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4FEE5" w14:textId="77777777" w:rsidR="00E069BB" w:rsidRPr="00F6340E" w:rsidRDefault="00E069BB" w:rsidP="00F83E0E">
      <w:pPr>
        <w:pStyle w:val="Title"/>
        <w:spacing w:line="276" w:lineRule="auto"/>
        <w:rPr>
          <w:rFonts w:ascii="Arial" w:hAnsi="Arial" w:cs="Arial"/>
          <w:color w:val="000000" w:themeColor="text1"/>
          <w:lang w:val="sr-Cyrl-BA"/>
        </w:rPr>
      </w:pPr>
      <w:bookmarkStart w:id="0" w:name="_GoBack"/>
      <w:bookmarkEnd w:id="0"/>
    </w:p>
    <w:p w14:paraId="06138E55" w14:textId="2811223E" w:rsidR="00E069BB" w:rsidRPr="00F6340E" w:rsidRDefault="00E069BB" w:rsidP="00F83E0E">
      <w:pPr>
        <w:pStyle w:val="Title"/>
        <w:spacing w:line="276" w:lineRule="auto"/>
        <w:rPr>
          <w:rFonts w:ascii="Arial" w:hAnsi="Arial" w:cs="Arial"/>
          <w:color w:val="000000" w:themeColor="text1"/>
          <w:lang w:val="sr-Cyrl-BA"/>
        </w:rPr>
      </w:pPr>
    </w:p>
    <w:p w14:paraId="345B7273" w14:textId="33427C05" w:rsidR="00E069BB" w:rsidRPr="00F6340E" w:rsidRDefault="00E069BB" w:rsidP="00F83E0E">
      <w:pPr>
        <w:spacing w:line="276" w:lineRule="auto"/>
        <w:rPr>
          <w:rFonts w:ascii="Arial" w:hAnsi="Arial" w:cs="Arial"/>
          <w:color w:val="000000" w:themeColor="text1"/>
          <w:lang w:val="sr-Cyrl-BA"/>
        </w:rPr>
      </w:pPr>
    </w:p>
    <w:p w14:paraId="189CA848" w14:textId="4CF08B2D" w:rsidR="00E069BB" w:rsidRPr="00F6340E" w:rsidRDefault="00E069BB" w:rsidP="00F83E0E">
      <w:pPr>
        <w:spacing w:line="276" w:lineRule="auto"/>
        <w:rPr>
          <w:rFonts w:ascii="Arial" w:hAnsi="Arial" w:cs="Arial"/>
          <w:color w:val="000000" w:themeColor="text1"/>
          <w:lang w:val="sr-Cyrl-BA"/>
        </w:rPr>
      </w:pPr>
    </w:p>
    <w:p w14:paraId="43181FF4" w14:textId="0F8EAEFB" w:rsidR="00E069BB" w:rsidRPr="00F6340E" w:rsidRDefault="00E069BB" w:rsidP="00F83E0E">
      <w:pPr>
        <w:spacing w:line="276" w:lineRule="auto"/>
        <w:rPr>
          <w:rFonts w:ascii="Arial" w:hAnsi="Arial" w:cs="Arial"/>
          <w:color w:val="000000" w:themeColor="text1"/>
          <w:lang w:val="sr-Cyrl-BA"/>
        </w:rPr>
      </w:pPr>
    </w:p>
    <w:p w14:paraId="0CF3F905" w14:textId="77777777" w:rsidR="00847B04" w:rsidRPr="00F6340E" w:rsidRDefault="00847B04" w:rsidP="00F83E0E">
      <w:pPr>
        <w:spacing w:line="276" w:lineRule="auto"/>
        <w:rPr>
          <w:rFonts w:ascii="Arial" w:hAnsi="Arial" w:cs="Arial"/>
          <w:color w:val="000000" w:themeColor="text1"/>
          <w:lang w:val="sr-Cyrl-BA"/>
        </w:rPr>
      </w:pPr>
    </w:p>
    <w:p w14:paraId="06A4DD22" w14:textId="77777777" w:rsidR="00847B04" w:rsidRPr="00F6340E" w:rsidRDefault="00847B04" w:rsidP="00F83E0E">
      <w:pPr>
        <w:spacing w:line="276" w:lineRule="auto"/>
        <w:rPr>
          <w:rFonts w:ascii="Arial" w:hAnsi="Arial" w:cs="Arial"/>
          <w:color w:val="000000" w:themeColor="text1"/>
          <w:lang w:val="sr-Cyrl-BA"/>
        </w:rPr>
      </w:pPr>
    </w:p>
    <w:p w14:paraId="7DC40A2F" w14:textId="77777777" w:rsidR="00847B04" w:rsidRPr="00F6340E" w:rsidRDefault="00847B04" w:rsidP="00F83E0E">
      <w:pPr>
        <w:spacing w:line="276" w:lineRule="auto"/>
        <w:rPr>
          <w:rFonts w:ascii="Arial" w:hAnsi="Arial" w:cs="Arial"/>
          <w:color w:val="000000" w:themeColor="text1"/>
          <w:lang w:val="sr-Cyrl-BA"/>
        </w:rPr>
      </w:pPr>
    </w:p>
    <w:p w14:paraId="64C7AD0D" w14:textId="77777777" w:rsidR="00847B04" w:rsidRPr="00F6340E" w:rsidRDefault="00847B04" w:rsidP="00F83E0E">
      <w:pPr>
        <w:spacing w:line="276" w:lineRule="auto"/>
        <w:rPr>
          <w:rFonts w:ascii="Arial" w:hAnsi="Arial" w:cs="Arial"/>
          <w:color w:val="000000" w:themeColor="text1"/>
          <w:lang w:val="sr-Cyrl-BA"/>
        </w:rPr>
      </w:pPr>
    </w:p>
    <w:p w14:paraId="5B46AEDA" w14:textId="77777777" w:rsidR="00847B04" w:rsidRPr="00F6340E" w:rsidRDefault="00847B04" w:rsidP="00F83E0E">
      <w:pPr>
        <w:spacing w:line="276" w:lineRule="auto"/>
        <w:rPr>
          <w:rFonts w:ascii="Arial" w:hAnsi="Arial" w:cs="Arial"/>
          <w:color w:val="000000" w:themeColor="text1"/>
          <w:lang w:val="sr-Cyrl-BA"/>
        </w:rPr>
      </w:pPr>
    </w:p>
    <w:p w14:paraId="41AEC6F3" w14:textId="77777777" w:rsidR="00847B04" w:rsidRPr="00F6340E" w:rsidRDefault="00847B04" w:rsidP="00F83E0E">
      <w:pPr>
        <w:spacing w:line="276" w:lineRule="auto"/>
        <w:rPr>
          <w:rFonts w:ascii="Arial" w:hAnsi="Arial" w:cs="Arial"/>
          <w:color w:val="000000" w:themeColor="text1"/>
          <w:lang w:val="sr-Cyrl-BA"/>
        </w:rPr>
      </w:pPr>
    </w:p>
    <w:p w14:paraId="69132560" w14:textId="77777777" w:rsidR="00847B04" w:rsidRPr="00F6340E" w:rsidRDefault="00847B04" w:rsidP="00F83E0E">
      <w:pPr>
        <w:spacing w:line="276" w:lineRule="auto"/>
        <w:rPr>
          <w:rFonts w:ascii="Arial" w:hAnsi="Arial" w:cs="Arial"/>
          <w:color w:val="000000" w:themeColor="text1"/>
          <w:lang w:val="sr-Cyrl-BA"/>
        </w:rPr>
      </w:pPr>
    </w:p>
    <w:p w14:paraId="1E8DD08F" w14:textId="77777777" w:rsidR="00847B04" w:rsidRPr="00F6340E" w:rsidRDefault="00847B04" w:rsidP="00F83E0E">
      <w:pPr>
        <w:spacing w:line="276" w:lineRule="auto"/>
        <w:rPr>
          <w:rFonts w:ascii="Arial" w:hAnsi="Arial" w:cs="Arial"/>
          <w:color w:val="000000" w:themeColor="text1"/>
          <w:lang w:val="sr-Cyrl-BA"/>
        </w:rPr>
      </w:pPr>
    </w:p>
    <w:p w14:paraId="6FDB96C4" w14:textId="77777777" w:rsidR="00E069BB" w:rsidRPr="00F6340E" w:rsidRDefault="00E069BB" w:rsidP="00F83E0E">
      <w:pPr>
        <w:spacing w:line="276" w:lineRule="auto"/>
        <w:rPr>
          <w:rFonts w:ascii="Arial" w:hAnsi="Arial" w:cs="Arial"/>
          <w:color w:val="000000" w:themeColor="text1"/>
          <w:lang w:val="sr-Cyrl-BA"/>
        </w:rPr>
      </w:pPr>
    </w:p>
    <w:p w14:paraId="690AE631" w14:textId="696D96A0" w:rsidR="002C1393" w:rsidRPr="00F6340E" w:rsidRDefault="00F9706C" w:rsidP="00F83E0E">
      <w:pPr>
        <w:spacing w:before="200" w:after="200" w:line="276" w:lineRule="auto"/>
        <w:jc w:val="center"/>
        <w:rPr>
          <w:rFonts w:ascii="Arial" w:eastAsiaTheme="majorEastAsia" w:hAnsi="Arial" w:cs="Arial"/>
          <w:b/>
          <w:color w:val="00B0F0"/>
          <w:spacing w:val="-10"/>
          <w:kern w:val="28"/>
          <w:sz w:val="48"/>
          <w:szCs w:val="48"/>
          <w:lang w:val="sr-Cyrl-BA"/>
        </w:rPr>
      </w:pPr>
      <w:r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С</w:t>
      </w:r>
      <w:r w:rsidR="00A56E08">
        <w:rPr>
          <w:rFonts w:ascii="Arial" w:eastAsiaTheme="majorEastAsia" w:hAnsi="Arial" w:cs="Arial"/>
          <w:b/>
          <w:color w:val="00B0F0"/>
          <w:spacing w:val="-10"/>
          <w:kern w:val="28"/>
          <w:sz w:val="48"/>
          <w:szCs w:val="48"/>
          <w:lang w:val="sr-Cyrl-BA"/>
        </w:rPr>
        <w:t>мј</w:t>
      </w:r>
      <w:r w:rsidR="00EE6AA2">
        <w:rPr>
          <w:rFonts w:ascii="Arial" w:eastAsiaTheme="majorEastAsia" w:hAnsi="Arial" w:cs="Arial"/>
          <w:b/>
          <w:color w:val="00B0F0"/>
          <w:spacing w:val="-10"/>
          <w:kern w:val="28"/>
          <w:sz w:val="48"/>
          <w:szCs w:val="48"/>
          <w:lang w:val="sr-Cyrl-BA"/>
        </w:rPr>
        <w:t>е</w:t>
      </w:r>
      <w:r w:rsidR="0071360A">
        <w:rPr>
          <w:rFonts w:ascii="Arial" w:eastAsiaTheme="majorEastAsia" w:hAnsi="Arial" w:cs="Arial"/>
          <w:b/>
          <w:color w:val="00B0F0"/>
          <w:spacing w:val="-10"/>
          <w:kern w:val="28"/>
          <w:sz w:val="48"/>
          <w:szCs w:val="48"/>
          <w:lang w:val="sr-Cyrl-BA"/>
        </w:rPr>
        <w:t>р</w:t>
      </w:r>
      <w:r w:rsidR="00A56E08">
        <w:rPr>
          <w:rFonts w:ascii="Arial" w:eastAsiaTheme="majorEastAsia" w:hAnsi="Arial" w:cs="Arial"/>
          <w:b/>
          <w:color w:val="00B0F0"/>
          <w:spacing w:val="-10"/>
          <w:kern w:val="28"/>
          <w:sz w:val="48"/>
          <w:szCs w:val="48"/>
          <w:lang w:val="sr-Cyrl-BA"/>
        </w:rPr>
        <w:t>ниц</w:t>
      </w:r>
      <w:r w:rsidR="00EE6AA2">
        <w:rPr>
          <w:rFonts w:ascii="Arial" w:eastAsiaTheme="majorEastAsia" w:hAnsi="Arial" w:cs="Arial"/>
          <w:b/>
          <w:color w:val="00B0F0"/>
          <w:spacing w:val="-10"/>
          <w:kern w:val="28"/>
          <w:sz w:val="48"/>
          <w:szCs w:val="48"/>
          <w:lang w:val="sr-Cyrl-BA"/>
        </w:rPr>
        <w:t>е</w:t>
      </w:r>
      <w:r w:rsidRPr="00F6340E">
        <w:rPr>
          <w:rFonts w:ascii="Arial" w:eastAsiaTheme="majorEastAsia" w:hAnsi="Arial" w:cs="Arial"/>
          <w:b/>
          <w:color w:val="00B0F0"/>
          <w:spacing w:val="-10"/>
          <w:kern w:val="28"/>
          <w:sz w:val="48"/>
          <w:szCs w:val="48"/>
          <w:lang w:val="sr-Cyrl-BA"/>
        </w:rPr>
        <w:t xml:space="preserve"> </w:t>
      </w:r>
      <w:r w:rsidR="00171F00">
        <w:rPr>
          <w:rFonts w:ascii="Arial" w:eastAsiaTheme="majorEastAsia" w:hAnsi="Arial" w:cs="Arial"/>
          <w:b/>
          <w:color w:val="00B0F0"/>
          <w:spacing w:val="-10"/>
          <w:kern w:val="28"/>
          <w:sz w:val="48"/>
          <w:szCs w:val="48"/>
          <w:lang w:val="sr-Cyrl-BA"/>
        </w:rPr>
        <w:t>з</w:t>
      </w:r>
      <w:r w:rsidR="00A56E08">
        <w:rPr>
          <w:rFonts w:ascii="Arial" w:eastAsiaTheme="majorEastAsia" w:hAnsi="Arial" w:cs="Arial"/>
          <w:b/>
          <w:color w:val="00B0F0"/>
          <w:spacing w:val="-10"/>
          <w:kern w:val="28"/>
          <w:sz w:val="48"/>
          <w:szCs w:val="48"/>
          <w:lang w:val="sr-Cyrl-BA"/>
        </w:rPr>
        <w:t>а</w:t>
      </w:r>
      <w:r w:rsidR="002C1393"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у</w:t>
      </w:r>
      <w:r w:rsidR="00A56E08">
        <w:rPr>
          <w:rFonts w:ascii="Arial" w:eastAsiaTheme="majorEastAsia" w:hAnsi="Arial" w:cs="Arial"/>
          <w:b/>
          <w:color w:val="00B0F0"/>
          <w:spacing w:val="-10"/>
          <w:kern w:val="28"/>
          <w:sz w:val="48"/>
          <w:szCs w:val="48"/>
          <w:lang w:val="sr-Cyrl-BA"/>
        </w:rPr>
        <w:t>на</w:t>
      </w:r>
      <w:r w:rsidR="0071360A">
        <w:rPr>
          <w:rFonts w:ascii="Arial" w:eastAsiaTheme="majorEastAsia" w:hAnsi="Arial" w:cs="Arial"/>
          <w:b/>
          <w:color w:val="00B0F0"/>
          <w:spacing w:val="-10"/>
          <w:kern w:val="28"/>
          <w:sz w:val="48"/>
          <w:szCs w:val="48"/>
          <w:lang w:val="sr-Cyrl-BA"/>
        </w:rPr>
        <w:t>пр</w:t>
      </w:r>
      <w:r w:rsidR="00A56E08">
        <w:rPr>
          <w:rFonts w:ascii="Arial" w:eastAsiaTheme="majorEastAsia" w:hAnsi="Arial" w:cs="Arial"/>
          <w:b/>
          <w:color w:val="00B0F0"/>
          <w:spacing w:val="-10"/>
          <w:kern w:val="28"/>
          <w:sz w:val="48"/>
          <w:szCs w:val="48"/>
          <w:lang w:val="sr-Cyrl-BA"/>
        </w:rPr>
        <w:t>ј</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ђ</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њ</w:t>
      </w:r>
      <w:r w:rsidR="00EE6AA2">
        <w:rPr>
          <w:rFonts w:ascii="Arial" w:eastAsiaTheme="majorEastAsia" w:hAnsi="Arial" w:cs="Arial"/>
          <w:b/>
          <w:color w:val="00B0F0"/>
          <w:spacing w:val="-10"/>
          <w:kern w:val="28"/>
          <w:sz w:val="48"/>
          <w:szCs w:val="48"/>
          <w:lang w:val="sr-Cyrl-BA"/>
        </w:rPr>
        <w:t>е</w:t>
      </w:r>
      <w:r w:rsidR="002C1393"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на</w:t>
      </w:r>
      <w:r w:rsidR="0071360A">
        <w:rPr>
          <w:rFonts w:ascii="Arial" w:eastAsiaTheme="majorEastAsia" w:hAnsi="Arial" w:cs="Arial"/>
          <w:b/>
          <w:color w:val="00B0F0"/>
          <w:spacing w:val="-10"/>
          <w:kern w:val="28"/>
          <w:sz w:val="48"/>
          <w:szCs w:val="48"/>
          <w:lang w:val="sr-Cyrl-BA"/>
        </w:rPr>
        <w:t>ст</w:t>
      </w:r>
      <w:r w:rsidR="00A56E08">
        <w:rPr>
          <w:rFonts w:ascii="Arial" w:eastAsiaTheme="majorEastAsia" w:hAnsi="Arial" w:cs="Arial"/>
          <w:b/>
          <w:color w:val="00B0F0"/>
          <w:spacing w:val="-10"/>
          <w:kern w:val="28"/>
          <w:sz w:val="48"/>
          <w:szCs w:val="48"/>
          <w:lang w:val="sr-Cyrl-BA"/>
        </w:rPr>
        <w:t>а</w:t>
      </w:r>
      <w:r w:rsidR="0071360A">
        <w:rPr>
          <w:rFonts w:ascii="Arial" w:eastAsiaTheme="majorEastAsia" w:hAnsi="Arial" w:cs="Arial"/>
          <w:b/>
          <w:color w:val="00B0F0"/>
          <w:spacing w:val="-10"/>
          <w:kern w:val="28"/>
          <w:sz w:val="48"/>
          <w:szCs w:val="48"/>
          <w:lang w:val="sr-Cyrl-BA"/>
        </w:rPr>
        <w:t>в</w:t>
      </w:r>
      <w:r w:rsidR="00EE6AA2">
        <w:rPr>
          <w:rFonts w:ascii="Arial" w:eastAsiaTheme="majorEastAsia" w:hAnsi="Arial" w:cs="Arial"/>
          <w:b/>
          <w:color w:val="00B0F0"/>
          <w:spacing w:val="-10"/>
          <w:kern w:val="28"/>
          <w:sz w:val="48"/>
          <w:szCs w:val="48"/>
          <w:lang w:val="sr-Cyrl-BA"/>
        </w:rPr>
        <w:t>е</w:t>
      </w:r>
      <w:r w:rsidR="008424F0"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пут</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м</w:t>
      </w:r>
      <w:r w:rsidR="008424F0"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ин</w:t>
      </w:r>
      <w:r w:rsidR="0071360A">
        <w:rPr>
          <w:rFonts w:ascii="Arial" w:eastAsiaTheme="majorEastAsia" w:hAnsi="Arial" w:cs="Arial"/>
          <w:b/>
          <w:color w:val="00B0F0"/>
          <w:spacing w:val="-10"/>
          <w:kern w:val="28"/>
          <w:sz w:val="48"/>
          <w:szCs w:val="48"/>
          <w:lang w:val="sr-Cyrl-BA"/>
        </w:rPr>
        <w:t>т</w:t>
      </w:r>
      <w:r w:rsidR="00EE6AA2">
        <w:rPr>
          <w:rFonts w:ascii="Arial" w:eastAsiaTheme="majorEastAsia" w:hAnsi="Arial" w:cs="Arial"/>
          <w:b/>
          <w:color w:val="00B0F0"/>
          <w:spacing w:val="-10"/>
          <w:kern w:val="28"/>
          <w:sz w:val="48"/>
          <w:szCs w:val="48"/>
          <w:lang w:val="sr-Cyrl-BA"/>
        </w:rPr>
        <w:t>е</w:t>
      </w:r>
      <w:r w:rsidR="0071360A">
        <w:rPr>
          <w:rFonts w:ascii="Arial" w:eastAsiaTheme="majorEastAsia" w:hAnsi="Arial" w:cs="Arial"/>
          <w:b/>
          <w:color w:val="00B0F0"/>
          <w:spacing w:val="-10"/>
          <w:kern w:val="28"/>
          <w:sz w:val="48"/>
          <w:szCs w:val="48"/>
          <w:lang w:val="sr-Cyrl-BA"/>
        </w:rPr>
        <w:t>р</w:t>
      </w:r>
      <w:r w:rsidR="00A56E08">
        <w:rPr>
          <w:rFonts w:ascii="Arial" w:eastAsiaTheme="majorEastAsia" w:hAnsi="Arial" w:cs="Arial"/>
          <w:b/>
          <w:color w:val="00B0F0"/>
          <w:spacing w:val="-10"/>
          <w:kern w:val="28"/>
          <w:sz w:val="48"/>
          <w:szCs w:val="48"/>
          <w:lang w:val="sr-Cyrl-BA"/>
        </w:rPr>
        <w:t>н</w:t>
      </w:r>
      <w:r w:rsidR="00EE6AA2">
        <w:rPr>
          <w:rFonts w:ascii="Arial" w:eastAsiaTheme="majorEastAsia" w:hAnsi="Arial" w:cs="Arial"/>
          <w:b/>
          <w:color w:val="00B0F0"/>
          <w:spacing w:val="-10"/>
          <w:kern w:val="28"/>
          <w:sz w:val="48"/>
          <w:szCs w:val="48"/>
          <w:lang w:val="sr-Cyrl-BA"/>
        </w:rPr>
        <w:t>е</w:t>
      </w:r>
      <w:r w:rsidR="0071360A">
        <w:rPr>
          <w:rFonts w:ascii="Arial" w:eastAsiaTheme="majorEastAsia" w:hAnsi="Arial" w:cs="Arial"/>
          <w:b/>
          <w:color w:val="00B0F0"/>
          <w:spacing w:val="-10"/>
          <w:kern w:val="28"/>
          <w:sz w:val="48"/>
          <w:szCs w:val="48"/>
          <w:lang w:val="sr-Cyrl-BA"/>
        </w:rPr>
        <w:t>т</w:t>
      </w:r>
      <w:r w:rsidR="00A56E08">
        <w:rPr>
          <w:rFonts w:ascii="Arial" w:eastAsiaTheme="majorEastAsia" w:hAnsi="Arial" w:cs="Arial"/>
          <w:b/>
          <w:color w:val="00B0F0"/>
          <w:spacing w:val="-10"/>
          <w:kern w:val="28"/>
          <w:sz w:val="48"/>
          <w:szCs w:val="48"/>
          <w:lang w:val="sr-Cyrl-BA"/>
        </w:rPr>
        <w:t>а</w:t>
      </w:r>
      <w:r w:rsidR="002C1393"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и</w:t>
      </w:r>
      <w:r w:rsidR="002C1393"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комбино</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ан</w:t>
      </w:r>
      <w:r w:rsidR="00EE6AA2">
        <w:rPr>
          <w:rFonts w:ascii="Arial" w:eastAsiaTheme="majorEastAsia" w:hAnsi="Arial" w:cs="Arial"/>
          <w:b/>
          <w:color w:val="00B0F0"/>
          <w:spacing w:val="-10"/>
          <w:kern w:val="28"/>
          <w:sz w:val="48"/>
          <w:szCs w:val="48"/>
          <w:lang w:val="sr-Cyrl-BA"/>
        </w:rPr>
        <w:t>е</w:t>
      </w:r>
      <w:r w:rsidR="002C1393"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на</w:t>
      </w:r>
      <w:r w:rsidR="0071360A">
        <w:rPr>
          <w:rFonts w:ascii="Arial" w:eastAsiaTheme="majorEastAsia" w:hAnsi="Arial" w:cs="Arial"/>
          <w:b/>
          <w:color w:val="00B0F0"/>
          <w:spacing w:val="-10"/>
          <w:kern w:val="28"/>
          <w:sz w:val="48"/>
          <w:szCs w:val="48"/>
          <w:lang w:val="sr-Cyrl-BA"/>
        </w:rPr>
        <w:t>ст</w:t>
      </w:r>
      <w:r w:rsidR="00A56E08">
        <w:rPr>
          <w:rFonts w:ascii="Arial" w:eastAsiaTheme="majorEastAsia" w:hAnsi="Arial" w:cs="Arial"/>
          <w:b/>
          <w:color w:val="00B0F0"/>
          <w:spacing w:val="-10"/>
          <w:kern w:val="28"/>
          <w:sz w:val="48"/>
          <w:szCs w:val="48"/>
          <w:lang w:val="sr-Cyrl-BA"/>
        </w:rPr>
        <w:t>а</w:t>
      </w:r>
      <w:r w:rsidR="0071360A">
        <w:rPr>
          <w:rFonts w:ascii="Arial" w:eastAsiaTheme="majorEastAsia" w:hAnsi="Arial" w:cs="Arial"/>
          <w:b/>
          <w:color w:val="00B0F0"/>
          <w:spacing w:val="-10"/>
          <w:kern w:val="28"/>
          <w:sz w:val="48"/>
          <w:szCs w:val="48"/>
          <w:lang w:val="sr-Cyrl-BA"/>
        </w:rPr>
        <w:t>в</w:t>
      </w:r>
      <w:r w:rsidR="00EE6AA2">
        <w:rPr>
          <w:rFonts w:ascii="Arial" w:eastAsiaTheme="majorEastAsia" w:hAnsi="Arial" w:cs="Arial"/>
          <w:b/>
          <w:color w:val="00B0F0"/>
          <w:spacing w:val="-10"/>
          <w:kern w:val="28"/>
          <w:sz w:val="48"/>
          <w:szCs w:val="48"/>
          <w:lang w:val="sr-Cyrl-BA"/>
        </w:rPr>
        <w:t>е</w:t>
      </w:r>
      <w:r w:rsidR="002F12FE" w:rsidRPr="00F6340E">
        <w:rPr>
          <w:rFonts w:ascii="Arial" w:eastAsiaTheme="majorEastAsia" w:hAnsi="Arial" w:cs="Arial"/>
          <w:b/>
          <w:color w:val="00B0F0"/>
          <w:spacing w:val="-10"/>
          <w:kern w:val="28"/>
          <w:sz w:val="48"/>
          <w:szCs w:val="48"/>
          <w:lang w:val="sr-Cyrl-BA"/>
        </w:rPr>
        <w:t xml:space="preserve"> </w:t>
      </w:r>
      <w:r w:rsidR="00171F00">
        <w:rPr>
          <w:rFonts w:ascii="Arial" w:eastAsiaTheme="majorEastAsia" w:hAnsi="Arial" w:cs="Arial"/>
          <w:b/>
          <w:color w:val="00B0F0"/>
          <w:spacing w:val="-10"/>
          <w:kern w:val="28"/>
          <w:sz w:val="48"/>
          <w:szCs w:val="48"/>
          <w:lang w:val="sr-Cyrl-BA"/>
        </w:rPr>
        <w:t>з</w:t>
      </w:r>
      <w:r w:rsidR="00A56E08">
        <w:rPr>
          <w:rFonts w:ascii="Arial" w:eastAsiaTheme="majorEastAsia" w:hAnsi="Arial" w:cs="Arial"/>
          <w:b/>
          <w:color w:val="00B0F0"/>
          <w:spacing w:val="-10"/>
          <w:kern w:val="28"/>
          <w:sz w:val="48"/>
          <w:szCs w:val="48"/>
          <w:lang w:val="sr-Cyrl-BA"/>
        </w:rPr>
        <w:t>а</w:t>
      </w:r>
      <w:r w:rsidR="002F12FE"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об</w:t>
      </w:r>
      <w:r w:rsidR="0071360A">
        <w:rPr>
          <w:rFonts w:ascii="Arial" w:eastAsiaTheme="majorEastAsia" w:hAnsi="Arial" w:cs="Arial"/>
          <w:b/>
          <w:color w:val="00B0F0"/>
          <w:spacing w:val="-10"/>
          <w:kern w:val="28"/>
          <w:sz w:val="48"/>
          <w:szCs w:val="48"/>
          <w:lang w:val="sr-Cyrl-BA"/>
        </w:rPr>
        <w:t>р</w:t>
      </w:r>
      <w:r w:rsidR="00A56E08">
        <w:rPr>
          <w:rFonts w:ascii="Arial" w:eastAsiaTheme="majorEastAsia" w:hAnsi="Arial" w:cs="Arial"/>
          <w:b/>
          <w:color w:val="00B0F0"/>
          <w:spacing w:val="-10"/>
          <w:kern w:val="28"/>
          <w:sz w:val="48"/>
          <w:szCs w:val="48"/>
          <w:lang w:val="sr-Cyrl-BA"/>
        </w:rPr>
        <w:t>а</w:t>
      </w:r>
      <w:r w:rsidR="00171F00">
        <w:rPr>
          <w:rFonts w:ascii="Arial" w:eastAsiaTheme="majorEastAsia" w:hAnsi="Arial" w:cs="Arial"/>
          <w:b/>
          <w:color w:val="00B0F0"/>
          <w:spacing w:val="-10"/>
          <w:kern w:val="28"/>
          <w:sz w:val="48"/>
          <w:szCs w:val="48"/>
          <w:lang w:val="sr-Cyrl-BA"/>
        </w:rPr>
        <w:t>з</w:t>
      </w:r>
      <w:r w:rsidR="00A56E08">
        <w:rPr>
          <w:rFonts w:ascii="Arial" w:eastAsiaTheme="majorEastAsia" w:hAnsi="Arial" w:cs="Arial"/>
          <w:b/>
          <w:color w:val="00B0F0"/>
          <w:spacing w:val="-10"/>
          <w:kern w:val="28"/>
          <w:sz w:val="48"/>
          <w:szCs w:val="48"/>
          <w:lang w:val="sr-Cyrl-BA"/>
        </w:rPr>
        <w:t>о</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н</w:t>
      </w:r>
      <w:r w:rsidR="00EE6AA2">
        <w:rPr>
          <w:rFonts w:ascii="Arial" w:eastAsiaTheme="majorEastAsia" w:hAnsi="Arial" w:cs="Arial"/>
          <w:b/>
          <w:color w:val="00B0F0"/>
          <w:spacing w:val="-10"/>
          <w:kern w:val="28"/>
          <w:sz w:val="48"/>
          <w:szCs w:val="48"/>
          <w:lang w:val="sr-Cyrl-BA"/>
        </w:rPr>
        <w:t>е</w:t>
      </w:r>
      <w:r w:rsidR="002F12FE"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с</w:t>
      </w:r>
      <w:r w:rsidR="00A56E08">
        <w:rPr>
          <w:rFonts w:ascii="Arial" w:eastAsiaTheme="majorEastAsia" w:hAnsi="Arial" w:cs="Arial"/>
          <w:b/>
          <w:color w:val="00B0F0"/>
          <w:spacing w:val="-10"/>
          <w:kern w:val="28"/>
          <w:sz w:val="48"/>
          <w:szCs w:val="48"/>
          <w:lang w:val="sr-Cyrl-BA"/>
        </w:rPr>
        <w:t>и</w:t>
      </w:r>
      <w:r w:rsidR="0071360A">
        <w:rPr>
          <w:rFonts w:ascii="Arial" w:eastAsiaTheme="majorEastAsia" w:hAnsi="Arial" w:cs="Arial"/>
          <w:b/>
          <w:color w:val="00B0F0"/>
          <w:spacing w:val="-10"/>
          <w:kern w:val="28"/>
          <w:sz w:val="48"/>
          <w:szCs w:val="48"/>
          <w:lang w:val="sr-Cyrl-BA"/>
        </w:rPr>
        <w:t>ст</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м</w:t>
      </w:r>
      <w:r w:rsidR="00EE6AA2">
        <w:rPr>
          <w:rFonts w:ascii="Arial" w:eastAsiaTheme="majorEastAsia" w:hAnsi="Arial" w:cs="Arial"/>
          <w:b/>
          <w:color w:val="00B0F0"/>
          <w:spacing w:val="-10"/>
          <w:kern w:val="28"/>
          <w:sz w:val="48"/>
          <w:szCs w:val="48"/>
          <w:lang w:val="sr-Cyrl-BA"/>
        </w:rPr>
        <w:t>е</w:t>
      </w:r>
      <w:r w:rsidR="002F12FE"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у</w:t>
      </w:r>
      <w:r w:rsidR="002F12FE"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Бо</w:t>
      </w:r>
      <w:r w:rsidR="0071360A">
        <w:rPr>
          <w:rFonts w:ascii="Arial" w:eastAsiaTheme="majorEastAsia" w:hAnsi="Arial" w:cs="Arial"/>
          <w:b/>
          <w:color w:val="00B0F0"/>
          <w:spacing w:val="-10"/>
          <w:kern w:val="28"/>
          <w:sz w:val="48"/>
          <w:szCs w:val="48"/>
          <w:lang w:val="sr-Cyrl-BA"/>
        </w:rPr>
        <w:t>с</w:t>
      </w:r>
      <w:r w:rsidR="00A56E08">
        <w:rPr>
          <w:rFonts w:ascii="Arial" w:eastAsiaTheme="majorEastAsia" w:hAnsi="Arial" w:cs="Arial"/>
          <w:b/>
          <w:color w:val="00B0F0"/>
          <w:spacing w:val="-10"/>
          <w:kern w:val="28"/>
          <w:sz w:val="48"/>
          <w:szCs w:val="48"/>
          <w:lang w:val="sr-Cyrl-BA"/>
        </w:rPr>
        <w:t>ни</w:t>
      </w:r>
      <w:r w:rsidR="002F12FE"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и</w:t>
      </w:r>
      <w:r w:rsidR="002F12FE"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Х</w:t>
      </w:r>
      <w:r w:rsidR="00EE6AA2">
        <w:rPr>
          <w:rFonts w:ascii="Arial" w:eastAsiaTheme="majorEastAsia" w:hAnsi="Arial" w:cs="Arial"/>
          <w:b/>
          <w:color w:val="00B0F0"/>
          <w:spacing w:val="-10"/>
          <w:kern w:val="28"/>
          <w:sz w:val="48"/>
          <w:szCs w:val="48"/>
          <w:lang w:val="sr-Cyrl-BA"/>
        </w:rPr>
        <w:t>е</w:t>
      </w:r>
      <w:r w:rsidR="0071360A">
        <w:rPr>
          <w:rFonts w:ascii="Arial" w:eastAsiaTheme="majorEastAsia" w:hAnsi="Arial" w:cs="Arial"/>
          <w:b/>
          <w:color w:val="00B0F0"/>
          <w:spacing w:val="-10"/>
          <w:kern w:val="28"/>
          <w:sz w:val="48"/>
          <w:szCs w:val="48"/>
          <w:lang w:val="sr-Cyrl-BA"/>
        </w:rPr>
        <w:t>р</w:t>
      </w:r>
      <w:r w:rsidR="00A56E08">
        <w:rPr>
          <w:rFonts w:ascii="Arial" w:eastAsiaTheme="majorEastAsia" w:hAnsi="Arial" w:cs="Arial"/>
          <w:b/>
          <w:color w:val="00B0F0"/>
          <w:spacing w:val="-10"/>
          <w:kern w:val="28"/>
          <w:sz w:val="48"/>
          <w:szCs w:val="48"/>
          <w:lang w:val="sr-Cyrl-BA"/>
        </w:rPr>
        <w:t>ц</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го</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ини</w:t>
      </w:r>
      <w:r w:rsidR="002C1393" w:rsidRPr="00F6340E">
        <w:rPr>
          <w:rFonts w:ascii="Arial" w:eastAsiaTheme="majorEastAsia" w:hAnsi="Arial" w:cs="Arial"/>
          <w:b/>
          <w:color w:val="00B0F0"/>
          <w:spacing w:val="-10"/>
          <w:kern w:val="28"/>
          <w:sz w:val="48"/>
          <w:szCs w:val="48"/>
          <w:lang w:val="sr-Cyrl-BA"/>
        </w:rPr>
        <w:t xml:space="preserve"> </w:t>
      </w:r>
      <w:r w:rsidR="0071360A">
        <w:rPr>
          <w:rFonts w:ascii="Arial" w:eastAsiaTheme="majorEastAsia" w:hAnsi="Arial" w:cs="Arial"/>
          <w:b/>
          <w:color w:val="00B0F0"/>
          <w:spacing w:val="-10"/>
          <w:kern w:val="28"/>
          <w:sz w:val="48"/>
          <w:szCs w:val="48"/>
          <w:lang w:val="sr-Cyrl-BA"/>
        </w:rPr>
        <w:t>у</w:t>
      </w:r>
      <w:r w:rsidR="002F12FE"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кон</w:t>
      </w:r>
      <w:r w:rsidR="0071360A">
        <w:rPr>
          <w:rFonts w:ascii="Arial" w:eastAsiaTheme="majorEastAsia" w:hAnsi="Arial" w:cs="Arial"/>
          <w:b/>
          <w:color w:val="00B0F0"/>
          <w:spacing w:val="-10"/>
          <w:kern w:val="28"/>
          <w:sz w:val="48"/>
          <w:szCs w:val="48"/>
          <w:lang w:val="sr-Cyrl-BA"/>
        </w:rPr>
        <w:t>т</w:t>
      </w:r>
      <w:r w:rsidR="00EE6AA2">
        <w:rPr>
          <w:rFonts w:ascii="Arial" w:eastAsiaTheme="majorEastAsia" w:hAnsi="Arial" w:cs="Arial"/>
          <w:b/>
          <w:color w:val="00B0F0"/>
          <w:spacing w:val="-10"/>
          <w:kern w:val="28"/>
          <w:sz w:val="48"/>
          <w:szCs w:val="48"/>
          <w:lang w:val="sr-Cyrl-BA"/>
        </w:rPr>
        <w:t>е</w:t>
      </w:r>
      <w:r w:rsidR="00A56E08">
        <w:rPr>
          <w:rFonts w:ascii="Arial" w:eastAsiaTheme="majorEastAsia" w:hAnsi="Arial" w:cs="Arial"/>
          <w:b/>
          <w:color w:val="00B0F0"/>
          <w:spacing w:val="-10"/>
          <w:kern w:val="28"/>
          <w:sz w:val="48"/>
          <w:szCs w:val="48"/>
          <w:lang w:val="sr-Cyrl-BA"/>
        </w:rPr>
        <w:t>к</w:t>
      </w:r>
      <w:r w:rsidR="0071360A">
        <w:rPr>
          <w:rFonts w:ascii="Arial" w:eastAsiaTheme="majorEastAsia" w:hAnsi="Arial" w:cs="Arial"/>
          <w:b/>
          <w:color w:val="00B0F0"/>
          <w:spacing w:val="-10"/>
          <w:kern w:val="28"/>
          <w:sz w:val="48"/>
          <w:szCs w:val="48"/>
          <w:lang w:val="sr-Cyrl-BA"/>
        </w:rPr>
        <w:t>сту</w:t>
      </w:r>
      <w:r w:rsidR="002C1393"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к</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али</w:t>
      </w:r>
      <w:r w:rsidR="0071360A">
        <w:rPr>
          <w:rFonts w:ascii="Arial" w:eastAsiaTheme="majorEastAsia" w:hAnsi="Arial" w:cs="Arial"/>
          <w:b/>
          <w:color w:val="00B0F0"/>
          <w:spacing w:val="-10"/>
          <w:kern w:val="28"/>
          <w:sz w:val="48"/>
          <w:szCs w:val="48"/>
          <w:lang w:val="sr-Cyrl-BA"/>
        </w:rPr>
        <w:t>т</w:t>
      </w:r>
      <w:r w:rsidR="00EE6AA2">
        <w:rPr>
          <w:rFonts w:ascii="Arial" w:eastAsiaTheme="majorEastAsia" w:hAnsi="Arial" w:cs="Arial"/>
          <w:b/>
          <w:color w:val="00B0F0"/>
          <w:spacing w:val="-10"/>
          <w:kern w:val="28"/>
          <w:sz w:val="48"/>
          <w:szCs w:val="48"/>
          <w:lang w:val="sr-Cyrl-BA"/>
        </w:rPr>
        <w:t>е</w:t>
      </w:r>
      <w:r w:rsidR="0071360A">
        <w:rPr>
          <w:rFonts w:ascii="Arial" w:eastAsiaTheme="majorEastAsia" w:hAnsi="Arial" w:cs="Arial"/>
          <w:b/>
          <w:color w:val="00B0F0"/>
          <w:spacing w:val="-10"/>
          <w:kern w:val="28"/>
          <w:sz w:val="48"/>
          <w:szCs w:val="48"/>
          <w:lang w:val="sr-Cyrl-BA"/>
        </w:rPr>
        <w:t>т</w:t>
      </w:r>
      <w:r w:rsidR="00A56E08">
        <w:rPr>
          <w:rFonts w:ascii="Arial" w:eastAsiaTheme="majorEastAsia" w:hAnsi="Arial" w:cs="Arial"/>
          <w:b/>
          <w:color w:val="00B0F0"/>
          <w:spacing w:val="-10"/>
          <w:kern w:val="28"/>
          <w:sz w:val="48"/>
          <w:szCs w:val="48"/>
          <w:lang w:val="sr-Cyrl-BA"/>
        </w:rPr>
        <w:t>ног</w:t>
      </w:r>
      <w:r w:rsidR="00AA1DC5"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и</w:t>
      </w:r>
      <w:r w:rsidR="00AA1DC5"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инкл</w:t>
      </w:r>
      <w:r w:rsidR="0071360A">
        <w:rPr>
          <w:rFonts w:ascii="Arial" w:eastAsiaTheme="majorEastAsia" w:hAnsi="Arial" w:cs="Arial"/>
          <w:b/>
          <w:color w:val="00B0F0"/>
          <w:spacing w:val="-10"/>
          <w:kern w:val="28"/>
          <w:sz w:val="48"/>
          <w:szCs w:val="48"/>
          <w:lang w:val="sr-Cyrl-BA"/>
        </w:rPr>
        <w:t>у</w:t>
      </w:r>
      <w:r w:rsidR="00171F00">
        <w:rPr>
          <w:rFonts w:ascii="Arial" w:eastAsiaTheme="majorEastAsia" w:hAnsi="Arial" w:cs="Arial"/>
          <w:b/>
          <w:color w:val="00B0F0"/>
          <w:spacing w:val="-10"/>
          <w:kern w:val="28"/>
          <w:sz w:val="48"/>
          <w:szCs w:val="48"/>
          <w:lang w:val="sr-Cyrl-BA"/>
        </w:rPr>
        <w:t>з</w:t>
      </w:r>
      <w:r w:rsidR="00A56E08">
        <w:rPr>
          <w:rFonts w:ascii="Arial" w:eastAsiaTheme="majorEastAsia" w:hAnsi="Arial" w:cs="Arial"/>
          <w:b/>
          <w:color w:val="00B0F0"/>
          <w:spacing w:val="-10"/>
          <w:kern w:val="28"/>
          <w:sz w:val="48"/>
          <w:szCs w:val="48"/>
          <w:lang w:val="sr-Cyrl-BA"/>
        </w:rPr>
        <w:t>и</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ног</w:t>
      </w:r>
      <w:r w:rsidR="00AA1DC5" w:rsidRPr="00F6340E">
        <w:rPr>
          <w:rFonts w:ascii="Arial" w:eastAsiaTheme="majorEastAsia" w:hAnsi="Arial" w:cs="Arial"/>
          <w:b/>
          <w:color w:val="00B0F0"/>
          <w:spacing w:val="-10"/>
          <w:kern w:val="28"/>
          <w:sz w:val="48"/>
          <w:szCs w:val="48"/>
          <w:lang w:val="sr-Cyrl-BA"/>
        </w:rPr>
        <w:t xml:space="preserve"> </w:t>
      </w:r>
      <w:r w:rsidR="00A56E08">
        <w:rPr>
          <w:rFonts w:ascii="Arial" w:eastAsiaTheme="majorEastAsia" w:hAnsi="Arial" w:cs="Arial"/>
          <w:b/>
          <w:color w:val="00B0F0"/>
          <w:spacing w:val="-10"/>
          <w:kern w:val="28"/>
          <w:sz w:val="48"/>
          <w:szCs w:val="48"/>
          <w:lang w:val="sr-Cyrl-BA"/>
        </w:rPr>
        <w:t>об</w:t>
      </w:r>
      <w:r w:rsidR="0071360A">
        <w:rPr>
          <w:rFonts w:ascii="Arial" w:eastAsiaTheme="majorEastAsia" w:hAnsi="Arial" w:cs="Arial"/>
          <w:b/>
          <w:color w:val="00B0F0"/>
          <w:spacing w:val="-10"/>
          <w:kern w:val="28"/>
          <w:sz w:val="48"/>
          <w:szCs w:val="48"/>
          <w:lang w:val="sr-Cyrl-BA"/>
        </w:rPr>
        <w:t>р</w:t>
      </w:r>
      <w:r w:rsidR="00A56E08">
        <w:rPr>
          <w:rFonts w:ascii="Arial" w:eastAsiaTheme="majorEastAsia" w:hAnsi="Arial" w:cs="Arial"/>
          <w:b/>
          <w:color w:val="00B0F0"/>
          <w:spacing w:val="-10"/>
          <w:kern w:val="28"/>
          <w:sz w:val="48"/>
          <w:szCs w:val="48"/>
          <w:lang w:val="sr-Cyrl-BA"/>
        </w:rPr>
        <w:t>а</w:t>
      </w:r>
      <w:r w:rsidR="00171F00">
        <w:rPr>
          <w:rFonts w:ascii="Arial" w:eastAsiaTheme="majorEastAsia" w:hAnsi="Arial" w:cs="Arial"/>
          <w:b/>
          <w:color w:val="00B0F0"/>
          <w:spacing w:val="-10"/>
          <w:kern w:val="28"/>
          <w:sz w:val="48"/>
          <w:szCs w:val="48"/>
          <w:lang w:val="sr-Cyrl-BA"/>
        </w:rPr>
        <w:t>з</w:t>
      </w:r>
      <w:r w:rsidR="00A56E08">
        <w:rPr>
          <w:rFonts w:ascii="Arial" w:eastAsiaTheme="majorEastAsia" w:hAnsi="Arial" w:cs="Arial"/>
          <w:b/>
          <w:color w:val="00B0F0"/>
          <w:spacing w:val="-10"/>
          <w:kern w:val="28"/>
          <w:sz w:val="48"/>
          <w:szCs w:val="48"/>
          <w:lang w:val="sr-Cyrl-BA"/>
        </w:rPr>
        <w:t>о</w:t>
      </w:r>
      <w:r w:rsidR="0071360A">
        <w:rPr>
          <w:rFonts w:ascii="Arial" w:eastAsiaTheme="majorEastAsia" w:hAnsi="Arial" w:cs="Arial"/>
          <w:b/>
          <w:color w:val="00B0F0"/>
          <w:spacing w:val="-10"/>
          <w:kern w:val="28"/>
          <w:sz w:val="48"/>
          <w:szCs w:val="48"/>
          <w:lang w:val="sr-Cyrl-BA"/>
        </w:rPr>
        <w:t>в</w:t>
      </w:r>
      <w:r w:rsidR="00A56E08">
        <w:rPr>
          <w:rFonts w:ascii="Arial" w:eastAsiaTheme="majorEastAsia" w:hAnsi="Arial" w:cs="Arial"/>
          <w:b/>
          <w:color w:val="00B0F0"/>
          <w:spacing w:val="-10"/>
          <w:kern w:val="28"/>
          <w:sz w:val="48"/>
          <w:szCs w:val="48"/>
          <w:lang w:val="sr-Cyrl-BA"/>
        </w:rPr>
        <w:t>ања</w:t>
      </w:r>
      <w:r w:rsidR="00AA1DC5" w:rsidRPr="00F6340E">
        <w:rPr>
          <w:rFonts w:ascii="Arial" w:eastAsiaTheme="majorEastAsia" w:hAnsi="Arial" w:cs="Arial"/>
          <w:b/>
          <w:color w:val="00B0F0"/>
          <w:spacing w:val="-10"/>
          <w:kern w:val="28"/>
          <w:sz w:val="48"/>
          <w:szCs w:val="48"/>
          <w:lang w:val="sr-Cyrl-BA"/>
        </w:rPr>
        <w:t xml:space="preserve"> </w:t>
      </w:r>
    </w:p>
    <w:p w14:paraId="15CB64A7" w14:textId="77777777" w:rsidR="004B5159" w:rsidRPr="00F6340E" w:rsidRDefault="004B5159" w:rsidP="00F83E0E">
      <w:pPr>
        <w:spacing w:before="200" w:after="200" w:line="276" w:lineRule="auto"/>
        <w:jc w:val="center"/>
        <w:rPr>
          <w:rFonts w:ascii="Arial" w:eastAsiaTheme="majorEastAsia" w:hAnsi="Arial" w:cs="Arial"/>
          <w:b/>
          <w:color w:val="000000" w:themeColor="text1"/>
          <w:spacing w:val="-10"/>
          <w:kern w:val="28"/>
          <w:sz w:val="48"/>
          <w:szCs w:val="48"/>
          <w:lang w:val="sr-Cyrl-BA"/>
        </w:rPr>
      </w:pPr>
    </w:p>
    <w:p w14:paraId="6E3C2E5C" w14:textId="77777777" w:rsidR="004B5159" w:rsidRPr="00F6340E" w:rsidRDefault="004B5159" w:rsidP="00F83E0E">
      <w:pPr>
        <w:spacing w:before="200" w:after="200" w:line="276" w:lineRule="auto"/>
        <w:jc w:val="center"/>
        <w:rPr>
          <w:rFonts w:ascii="Arial" w:eastAsiaTheme="majorEastAsia" w:hAnsi="Arial" w:cs="Arial"/>
          <w:b/>
          <w:color w:val="000000" w:themeColor="text1"/>
          <w:spacing w:val="-10"/>
          <w:kern w:val="28"/>
          <w:sz w:val="48"/>
          <w:szCs w:val="48"/>
          <w:lang w:val="sr-Cyrl-BA"/>
        </w:rPr>
      </w:pPr>
    </w:p>
    <w:p w14:paraId="19FB27B0" w14:textId="77777777" w:rsidR="002C1393" w:rsidRPr="00F6340E" w:rsidRDefault="002C1393" w:rsidP="00F83E0E">
      <w:pPr>
        <w:spacing w:before="200" w:after="200" w:line="276" w:lineRule="auto"/>
        <w:jc w:val="center"/>
        <w:rPr>
          <w:rFonts w:ascii="Arial" w:eastAsiaTheme="majorEastAsia" w:hAnsi="Arial" w:cs="Arial"/>
          <w:b/>
          <w:color w:val="000000" w:themeColor="text1"/>
          <w:spacing w:val="-10"/>
          <w:kern w:val="28"/>
          <w:sz w:val="48"/>
          <w:szCs w:val="48"/>
          <w:lang w:val="sr-Cyrl-BA"/>
        </w:rPr>
      </w:pPr>
    </w:p>
    <w:p w14:paraId="5757931D" w14:textId="77777777" w:rsidR="0039585F" w:rsidRPr="00F6340E" w:rsidRDefault="0039585F" w:rsidP="00F83E0E">
      <w:pPr>
        <w:spacing w:before="200" w:after="200" w:line="276" w:lineRule="auto"/>
        <w:jc w:val="center"/>
        <w:rPr>
          <w:rFonts w:ascii="Arial" w:eastAsiaTheme="majorEastAsia" w:hAnsi="Arial" w:cs="Arial"/>
          <w:b/>
          <w:color w:val="000000" w:themeColor="text1"/>
          <w:spacing w:val="-10"/>
          <w:kern w:val="28"/>
          <w:sz w:val="48"/>
          <w:szCs w:val="48"/>
          <w:lang w:val="sr-Cyrl-BA"/>
        </w:rPr>
      </w:pPr>
    </w:p>
    <w:p w14:paraId="00FC7778" w14:textId="77777777" w:rsidR="00E069BB" w:rsidRPr="00F6340E" w:rsidRDefault="00E069BB" w:rsidP="00F83E0E">
      <w:pPr>
        <w:spacing w:before="200" w:after="200" w:line="276" w:lineRule="auto"/>
        <w:jc w:val="left"/>
        <w:rPr>
          <w:rFonts w:ascii="Arial" w:hAnsi="Arial" w:cs="Arial"/>
          <w:color w:val="000000" w:themeColor="text1"/>
          <w:lang w:val="sr-Cyrl-BA"/>
        </w:rPr>
      </w:pPr>
    </w:p>
    <w:p w14:paraId="76EFFE73" w14:textId="12D6D431" w:rsidR="00E069BB" w:rsidRPr="00F6340E" w:rsidRDefault="0071360A" w:rsidP="009E668D">
      <w:pPr>
        <w:spacing w:before="200" w:after="200" w:line="276" w:lineRule="auto"/>
        <w:jc w:val="center"/>
        <w:rPr>
          <w:rFonts w:ascii="Arial" w:hAnsi="Arial" w:cs="Arial"/>
          <w:b/>
          <w:color w:val="00B0F0"/>
          <w:sz w:val="24"/>
          <w:szCs w:val="24"/>
          <w:lang w:val="sr-Cyrl-BA"/>
        </w:rPr>
      </w:pPr>
      <w:r>
        <w:rPr>
          <w:rFonts w:ascii="Arial" w:hAnsi="Arial" w:cs="Arial"/>
          <w:b/>
          <w:color w:val="00B0F0"/>
          <w:sz w:val="24"/>
          <w:szCs w:val="24"/>
          <w:lang w:val="sr-Cyrl-BA"/>
        </w:rPr>
        <w:t>С</w:t>
      </w:r>
      <w:r w:rsidR="00EE6AA2">
        <w:rPr>
          <w:rFonts w:ascii="Arial" w:hAnsi="Arial" w:cs="Arial"/>
          <w:b/>
          <w:color w:val="00B0F0"/>
          <w:sz w:val="24"/>
          <w:szCs w:val="24"/>
          <w:lang w:val="sr-Cyrl-BA"/>
        </w:rPr>
        <w:t>е</w:t>
      </w:r>
      <w:r>
        <w:rPr>
          <w:rFonts w:ascii="Arial" w:hAnsi="Arial" w:cs="Arial"/>
          <w:b/>
          <w:color w:val="00B0F0"/>
          <w:sz w:val="24"/>
          <w:szCs w:val="24"/>
          <w:lang w:val="sr-Cyrl-BA"/>
        </w:rPr>
        <w:t>пт</w:t>
      </w:r>
      <w:r w:rsidR="00EE6AA2">
        <w:rPr>
          <w:rFonts w:ascii="Arial" w:hAnsi="Arial" w:cs="Arial"/>
          <w:b/>
          <w:color w:val="00B0F0"/>
          <w:sz w:val="24"/>
          <w:szCs w:val="24"/>
          <w:lang w:val="sr-Cyrl-BA"/>
        </w:rPr>
        <w:t>е</w:t>
      </w:r>
      <w:r w:rsidR="00A56E08">
        <w:rPr>
          <w:rFonts w:ascii="Arial" w:hAnsi="Arial" w:cs="Arial"/>
          <w:b/>
          <w:color w:val="00B0F0"/>
          <w:sz w:val="24"/>
          <w:szCs w:val="24"/>
          <w:lang w:val="sr-Cyrl-BA"/>
        </w:rPr>
        <w:t>мба</w:t>
      </w:r>
      <w:r>
        <w:rPr>
          <w:rFonts w:ascii="Arial" w:hAnsi="Arial" w:cs="Arial"/>
          <w:b/>
          <w:color w:val="00B0F0"/>
          <w:sz w:val="24"/>
          <w:szCs w:val="24"/>
          <w:lang w:val="sr-Cyrl-BA"/>
        </w:rPr>
        <w:t>р</w:t>
      </w:r>
      <w:r w:rsidR="00AC604E" w:rsidRPr="00F6340E">
        <w:rPr>
          <w:rFonts w:ascii="Arial" w:hAnsi="Arial" w:cs="Arial"/>
          <w:b/>
          <w:color w:val="00B0F0"/>
          <w:sz w:val="24"/>
          <w:szCs w:val="24"/>
          <w:lang w:val="sr-Cyrl-BA"/>
        </w:rPr>
        <w:t xml:space="preserve"> </w:t>
      </w:r>
      <w:r w:rsidR="00E069BB" w:rsidRPr="00F6340E">
        <w:rPr>
          <w:rFonts w:ascii="Arial" w:hAnsi="Arial" w:cs="Arial"/>
          <w:b/>
          <w:color w:val="00B0F0"/>
          <w:sz w:val="24"/>
          <w:szCs w:val="24"/>
          <w:lang w:val="sr-Cyrl-BA"/>
        </w:rPr>
        <w:t>20</w:t>
      </w:r>
      <w:r w:rsidR="00883BA7" w:rsidRPr="00F6340E">
        <w:rPr>
          <w:rFonts w:ascii="Arial" w:hAnsi="Arial" w:cs="Arial"/>
          <w:b/>
          <w:color w:val="00B0F0"/>
          <w:sz w:val="24"/>
          <w:szCs w:val="24"/>
          <w:lang w:val="sr-Cyrl-BA"/>
        </w:rPr>
        <w:t>22</w:t>
      </w:r>
      <w:r w:rsidR="00E069BB" w:rsidRPr="00F6340E">
        <w:rPr>
          <w:rFonts w:ascii="Arial" w:hAnsi="Arial" w:cs="Arial"/>
          <w:b/>
          <w:color w:val="00B0F0"/>
          <w:sz w:val="24"/>
          <w:szCs w:val="24"/>
          <w:lang w:val="sr-Cyrl-BA"/>
        </w:rPr>
        <w:t xml:space="preserve">. </w:t>
      </w:r>
      <w:r w:rsidR="00A56E08">
        <w:rPr>
          <w:rFonts w:ascii="Arial" w:hAnsi="Arial" w:cs="Arial"/>
          <w:b/>
          <w:color w:val="00B0F0"/>
          <w:sz w:val="24"/>
          <w:szCs w:val="24"/>
          <w:lang w:val="sr-Cyrl-BA"/>
        </w:rPr>
        <w:t>годин</w:t>
      </w:r>
      <w:r w:rsidR="00EE6AA2">
        <w:rPr>
          <w:rFonts w:ascii="Arial" w:hAnsi="Arial" w:cs="Arial"/>
          <w:b/>
          <w:color w:val="00B0F0"/>
          <w:sz w:val="24"/>
          <w:szCs w:val="24"/>
          <w:lang w:val="sr-Cyrl-BA"/>
        </w:rPr>
        <w:t>е</w:t>
      </w:r>
    </w:p>
    <w:bookmarkStart w:id="1" w:name="_heading=h.gjdgxs" w:colFirst="0" w:colLast="0" w:displacedByCustomXml="next"/>
    <w:bookmarkEnd w:id="1" w:displacedByCustomXml="next"/>
    <w:sdt>
      <w:sdtPr>
        <w:rPr>
          <w:rFonts w:ascii="Arial" w:eastAsia="Cambria" w:hAnsi="Arial" w:cs="Arial"/>
          <w:b w:val="0"/>
          <w:bCs w:val="0"/>
          <w:color w:val="000000" w:themeColor="text1"/>
          <w:sz w:val="22"/>
          <w:szCs w:val="22"/>
          <w:lang w:val="sr-Cyrl-BA" w:eastAsia="en-GB"/>
        </w:rPr>
        <w:id w:val="-2140330840"/>
        <w:docPartObj>
          <w:docPartGallery w:val="Table of Contents"/>
          <w:docPartUnique/>
        </w:docPartObj>
      </w:sdtPr>
      <w:sdtEndPr>
        <w:rPr>
          <w:b/>
          <w:sz w:val="24"/>
          <w:szCs w:val="24"/>
        </w:rPr>
      </w:sdtEndPr>
      <w:sdtContent>
        <w:p w14:paraId="70118309" w14:textId="09AE4C4E" w:rsidR="00F00E30" w:rsidRPr="00F6340E" w:rsidRDefault="00BB4AEE" w:rsidP="00BB4AEE">
          <w:pPr>
            <w:pStyle w:val="TOCHeading"/>
            <w:tabs>
              <w:tab w:val="left" w:pos="285"/>
              <w:tab w:val="center" w:pos="4680"/>
            </w:tabs>
            <w:rPr>
              <w:rFonts w:ascii="Arial" w:hAnsi="Arial" w:cs="Arial"/>
              <w:b w:val="0"/>
              <w:color w:val="000000" w:themeColor="text1"/>
              <w:sz w:val="32"/>
              <w:szCs w:val="32"/>
              <w:lang w:val="sr-Cyrl-BA"/>
            </w:rPr>
          </w:pPr>
          <w:r w:rsidRPr="00F6340E">
            <w:rPr>
              <w:rFonts w:ascii="Arial" w:eastAsia="Cambria" w:hAnsi="Arial" w:cs="Arial"/>
              <w:b w:val="0"/>
              <w:bCs w:val="0"/>
              <w:color w:val="00B0F0"/>
              <w:sz w:val="22"/>
              <w:szCs w:val="22"/>
              <w:lang w:val="sr-Cyrl-BA" w:eastAsia="en-GB"/>
            </w:rPr>
            <w:tab/>
          </w:r>
          <w:r w:rsidRPr="00F6340E">
            <w:rPr>
              <w:rFonts w:ascii="Arial" w:eastAsia="Cambria" w:hAnsi="Arial" w:cs="Arial"/>
              <w:b w:val="0"/>
              <w:bCs w:val="0"/>
              <w:color w:val="00B0F0"/>
              <w:sz w:val="22"/>
              <w:szCs w:val="22"/>
              <w:lang w:val="sr-Cyrl-BA" w:eastAsia="en-GB"/>
            </w:rPr>
            <w:tab/>
          </w:r>
          <w:r w:rsidR="0071360A">
            <w:rPr>
              <w:rFonts w:ascii="Arial" w:hAnsi="Arial" w:cs="Arial"/>
              <w:b w:val="0"/>
              <w:color w:val="000000" w:themeColor="text1"/>
              <w:sz w:val="32"/>
              <w:szCs w:val="32"/>
              <w:lang w:val="sr-Cyrl-BA"/>
            </w:rPr>
            <w:t>С</w:t>
          </w:r>
          <w:r w:rsidR="00A56E08">
            <w:rPr>
              <w:rFonts w:ascii="Arial" w:hAnsi="Arial" w:cs="Arial"/>
              <w:b w:val="0"/>
              <w:color w:val="000000" w:themeColor="text1"/>
              <w:sz w:val="32"/>
              <w:szCs w:val="32"/>
              <w:lang w:val="sr-Cyrl-BA"/>
            </w:rPr>
            <w:t>ад</w:t>
          </w:r>
          <w:r w:rsidR="0071360A">
            <w:rPr>
              <w:rFonts w:ascii="Arial" w:hAnsi="Arial" w:cs="Arial"/>
              <w:b w:val="0"/>
              <w:color w:val="000000" w:themeColor="text1"/>
              <w:sz w:val="32"/>
              <w:szCs w:val="32"/>
              <w:lang w:val="sr-Cyrl-BA"/>
            </w:rPr>
            <w:t>р</w:t>
          </w:r>
          <w:r w:rsidR="00171F00">
            <w:rPr>
              <w:rFonts w:ascii="Arial" w:hAnsi="Arial" w:cs="Arial"/>
              <w:b w:val="0"/>
              <w:color w:val="000000" w:themeColor="text1"/>
              <w:sz w:val="32"/>
              <w:szCs w:val="32"/>
              <w:lang w:val="sr-Cyrl-BA"/>
            </w:rPr>
            <w:t>ж</w:t>
          </w:r>
          <w:r w:rsidR="00A56E08">
            <w:rPr>
              <w:rFonts w:ascii="Arial" w:hAnsi="Arial" w:cs="Arial"/>
              <w:b w:val="0"/>
              <w:color w:val="000000" w:themeColor="text1"/>
              <w:sz w:val="32"/>
              <w:szCs w:val="32"/>
              <w:lang w:val="sr-Cyrl-BA"/>
            </w:rPr>
            <w:t>ај</w:t>
          </w:r>
        </w:p>
        <w:p w14:paraId="496B5574" w14:textId="0F430FD6" w:rsidR="00FB0811" w:rsidRDefault="00F00E30">
          <w:pPr>
            <w:pStyle w:val="TOC1"/>
            <w:rPr>
              <w:rFonts w:asciiTheme="minorHAnsi" w:eastAsiaTheme="minorEastAsia" w:hAnsiTheme="minorHAnsi" w:cstheme="minorBidi"/>
              <w:b w:val="0"/>
              <w:noProof/>
              <w:sz w:val="22"/>
              <w:szCs w:val="22"/>
              <w:lang w:val="en-US" w:eastAsia="en-US"/>
            </w:rPr>
          </w:pPr>
          <w:r w:rsidRPr="00F6340E">
            <w:rPr>
              <w:b w:val="0"/>
              <w:color w:val="000000" w:themeColor="text1"/>
              <w:lang w:val="sr-Cyrl-BA"/>
            </w:rPr>
            <w:fldChar w:fldCharType="begin"/>
          </w:r>
          <w:r w:rsidRPr="00F6340E">
            <w:rPr>
              <w:b w:val="0"/>
              <w:color w:val="000000" w:themeColor="text1"/>
              <w:lang w:val="sr-Cyrl-BA"/>
            </w:rPr>
            <w:instrText xml:space="preserve"> TOC \o "1-3" \h \z \u </w:instrText>
          </w:r>
          <w:r w:rsidRPr="00F6340E">
            <w:rPr>
              <w:b w:val="0"/>
              <w:color w:val="000000" w:themeColor="text1"/>
              <w:lang w:val="sr-Cyrl-BA"/>
            </w:rPr>
            <w:fldChar w:fldCharType="separate"/>
          </w:r>
          <w:hyperlink w:anchor="_Toc119050287" w:history="1">
            <w:r w:rsidR="00FB0811" w:rsidRPr="00552FCC">
              <w:rPr>
                <w:rStyle w:val="Hyperlink"/>
                <w:noProof/>
                <w:lang w:val="sr-Cyrl-BA"/>
              </w:rPr>
              <w:t>Скраћенице</w:t>
            </w:r>
            <w:r w:rsidR="00FB0811">
              <w:rPr>
                <w:noProof/>
                <w:webHidden/>
              </w:rPr>
              <w:tab/>
            </w:r>
            <w:r w:rsidR="00FB0811">
              <w:rPr>
                <w:noProof/>
                <w:webHidden/>
              </w:rPr>
              <w:fldChar w:fldCharType="begin"/>
            </w:r>
            <w:r w:rsidR="00FB0811">
              <w:rPr>
                <w:noProof/>
                <w:webHidden/>
              </w:rPr>
              <w:instrText xml:space="preserve"> PAGEREF _Toc119050287 \h </w:instrText>
            </w:r>
            <w:r w:rsidR="00FB0811">
              <w:rPr>
                <w:noProof/>
                <w:webHidden/>
              </w:rPr>
            </w:r>
            <w:r w:rsidR="00FB0811">
              <w:rPr>
                <w:noProof/>
                <w:webHidden/>
              </w:rPr>
              <w:fldChar w:fldCharType="separate"/>
            </w:r>
            <w:r w:rsidR="00FB0811">
              <w:rPr>
                <w:noProof/>
                <w:webHidden/>
              </w:rPr>
              <w:t>4</w:t>
            </w:r>
            <w:r w:rsidR="00FB0811">
              <w:rPr>
                <w:noProof/>
                <w:webHidden/>
              </w:rPr>
              <w:fldChar w:fldCharType="end"/>
            </w:r>
          </w:hyperlink>
        </w:p>
        <w:p w14:paraId="35BA17E3" w14:textId="2CEA3893" w:rsidR="00FB0811" w:rsidRDefault="00B427E2">
          <w:pPr>
            <w:pStyle w:val="TOC1"/>
            <w:rPr>
              <w:rFonts w:asciiTheme="minorHAnsi" w:eastAsiaTheme="minorEastAsia" w:hAnsiTheme="minorHAnsi" w:cstheme="minorBidi"/>
              <w:b w:val="0"/>
              <w:noProof/>
              <w:sz w:val="22"/>
              <w:szCs w:val="22"/>
              <w:lang w:val="en-US" w:eastAsia="en-US"/>
            </w:rPr>
          </w:pPr>
          <w:hyperlink w:anchor="_Toc119050288" w:history="1">
            <w:r w:rsidR="00FB0811" w:rsidRPr="00552FCC">
              <w:rPr>
                <w:rStyle w:val="Hyperlink"/>
                <w:noProof/>
                <w:lang w:val="sr-Cyrl-BA"/>
              </w:rPr>
              <w:t>Увод</w:t>
            </w:r>
            <w:r w:rsidR="00FB0811">
              <w:rPr>
                <w:noProof/>
                <w:webHidden/>
              </w:rPr>
              <w:tab/>
            </w:r>
            <w:r w:rsidR="00FB0811">
              <w:rPr>
                <w:noProof/>
                <w:webHidden/>
              </w:rPr>
              <w:fldChar w:fldCharType="begin"/>
            </w:r>
            <w:r w:rsidR="00FB0811">
              <w:rPr>
                <w:noProof/>
                <w:webHidden/>
              </w:rPr>
              <w:instrText xml:space="preserve"> PAGEREF _Toc119050288 \h </w:instrText>
            </w:r>
            <w:r w:rsidR="00FB0811">
              <w:rPr>
                <w:noProof/>
                <w:webHidden/>
              </w:rPr>
            </w:r>
            <w:r w:rsidR="00FB0811">
              <w:rPr>
                <w:noProof/>
                <w:webHidden/>
              </w:rPr>
              <w:fldChar w:fldCharType="separate"/>
            </w:r>
            <w:r w:rsidR="00FB0811">
              <w:rPr>
                <w:noProof/>
                <w:webHidden/>
              </w:rPr>
              <w:t>5</w:t>
            </w:r>
            <w:r w:rsidR="00FB0811">
              <w:rPr>
                <w:noProof/>
                <w:webHidden/>
              </w:rPr>
              <w:fldChar w:fldCharType="end"/>
            </w:r>
          </w:hyperlink>
        </w:p>
        <w:p w14:paraId="3F3323A6" w14:textId="43E2DE2D" w:rsidR="00FB0811" w:rsidRDefault="00B427E2">
          <w:pPr>
            <w:pStyle w:val="TOC1"/>
            <w:rPr>
              <w:rFonts w:asciiTheme="minorHAnsi" w:eastAsiaTheme="minorEastAsia" w:hAnsiTheme="minorHAnsi" w:cstheme="minorBidi"/>
              <w:b w:val="0"/>
              <w:noProof/>
              <w:sz w:val="22"/>
              <w:szCs w:val="22"/>
              <w:lang w:val="en-US" w:eastAsia="en-US"/>
            </w:rPr>
          </w:pPr>
          <w:hyperlink w:anchor="_Toc119050289" w:history="1">
            <w:r w:rsidR="00FB0811" w:rsidRPr="00552FCC">
              <w:rPr>
                <w:rStyle w:val="Hyperlink"/>
                <w:noProof/>
                <w:lang w:val="sr-Cyrl-BA"/>
              </w:rPr>
              <w:t>1. Основни појмови</w:t>
            </w:r>
            <w:r w:rsidR="00FB0811">
              <w:rPr>
                <w:noProof/>
                <w:webHidden/>
              </w:rPr>
              <w:tab/>
            </w:r>
            <w:r w:rsidR="00FB0811">
              <w:rPr>
                <w:noProof/>
                <w:webHidden/>
              </w:rPr>
              <w:fldChar w:fldCharType="begin"/>
            </w:r>
            <w:r w:rsidR="00FB0811">
              <w:rPr>
                <w:noProof/>
                <w:webHidden/>
              </w:rPr>
              <w:instrText xml:space="preserve"> PAGEREF _Toc119050289 \h </w:instrText>
            </w:r>
            <w:r w:rsidR="00FB0811">
              <w:rPr>
                <w:noProof/>
                <w:webHidden/>
              </w:rPr>
            </w:r>
            <w:r w:rsidR="00FB0811">
              <w:rPr>
                <w:noProof/>
                <w:webHidden/>
              </w:rPr>
              <w:fldChar w:fldCharType="separate"/>
            </w:r>
            <w:r w:rsidR="00FB0811">
              <w:rPr>
                <w:noProof/>
                <w:webHidden/>
              </w:rPr>
              <w:t>7</w:t>
            </w:r>
            <w:r w:rsidR="00FB0811">
              <w:rPr>
                <w:noProof/>
                <w:webHidden/>
              </w:rPr>
              <w:fldChar w:fldCharType="end"/>
            </w:r>
          </w:hyperlink>
        </w:p>
        <w:p w14:paraId="27EB7C62" w14:textId="556C7BB6" w:rsidR="00FB0811" w:rsidRDefault="00B427E2">
          <w:pPr>
            <w:pStyle w:val="TOC2"/>
            <w:tabs>
              <w:tab w:val="left" w:pos="880"/>
            </w:tabs>
            <w:rPr>
              <w:rFonts w:eastAsiaTheme="minorEastAsia" w:cstheme="minorBidi"/>
              <w:b w:val="0"/>
              <w:bCs w:val="0"/>
              <w:noProof/>
              <w:szCs w:val="22"/>
              <w:lang w:val="en-US" w:eastAsia="en-US"/>
            </w:rPr>
          </w:pPr>
          <w:hyperlink w:anchor="_Toc119050290" w:history="1">
            <w:r w:rsidR="00FB0811" w:rsidRPr="00552FCC">
              <w:rPr>
                <w:rStyle w:val="Hyperlink"/>
                <w:noProof/>
                <w:lang w:val="sr-Cyrl-BA"/>
              </w:rPr>
              <w:t>1.1.</w:t>
            </w:r>
            <w:r w:rsidR="00FB0811">
              <w:rPr>
                <w:rFonts w:eastAsiaTheme="minorEastAsia" w:cstheme="minorBidi"/>
                <w:b w:val="0"/>
                <w:bCs w:val="0"/>
                <w:noProof/>
                <w:szCs w:val="22"/>
                <w:lang w:val="en-US" w:eastAsia="en-US"/>
              </w:rPr>
              <w:tab/>
            </w:r>
            <w:r w:rsidR="00FB0811" w:rsidRPr="00552FCC">
              <w:rPr>
                <w:rStyle w:val="Hyperlink"/>
                <w:noProof/>
                <w:lang w:val="sr-Cyrl-BA"/>
              </w:rPr>
              <w:t>Начин извођења наставе</w:t>
            </w:r>
            <w:r w:rsidR="00FB0811">
              <w:rPr>
                <w:noProof/>
                <w:webHidden/>
              </w:rPr>
              <w:tab/>
            </w:r>
            <w:r w:rsidR="00FB0811">
              <w:rPr>
                <w:noProof/>
                <w:webHidden/>
              </w:rPr>
              <w:fldChar w:fldCharType="begin"/>
            </w:r>
            <w:r w:rsidR="00FB0811">
              <w:rPr>
                <w:noProof/>
                <w:webHidden/>
              </w:rPr>
              <w:instrText xml:space="preserve"> PAGEREF _Toc119050290 \h </w:instrText>
            </w:r>
            <w:r w:rsidR="00FB0811">
              <w:rPr>
                <w:noProof/>
                <w:webHidden/>
              </w:rPr>
            </w:r>
            <w:r w:rsidR="00FB0811">
              <w:rPr>
                <w:noProof/>
                <w:webHidden/>
              </w:rPr>
              <w:fldChar w:fldCharType="separate"/>
            </w:r>
            <w:r w:rsidR="00FB0811">
              <w:rPr>
                <w:noProof/>
                <w:webHidden/>
              </w:rPr>
              <w:t>8</w:t>
            </w:r>
            <w:r w:rsidR="00FB0811">
              <w:rPr>
                <w:noProof/>
                <w:webHidden/>
              </w:rPr>
              <w:fldChar w:fldCharType="end"/>
            </w:r>
          </w:hyperlink>
        </w:p>
        <w:p w14:paraId="100F96B8" w14:textId="488F6669" w:rsidR="00FB0811" w:rsidRDefault="00B427E2">
          <w:pPr>
            <w:pStyle w:val="TOC3"/>
            <w:tabs>
              <w:tab w:val="left" w:pos="1320"/>
            </w:tabs>
            <w:rPr>
              <w:rFonts w:eastAsiaTheme="minorEastAsia" w:cstheme="minorBidi"/>
              <w:noProof/>
              <w:sz w:val="22"/>
              <w:szCs w:val="22"/>
              <w:lang w:val="en-US" w:eastAsia="en-US"/>
            </w:rPr>
          </w:pPr>
          <w:hyperlink w:anchor="_Toc119050291" w:history="1">
            <w:r w:rsidR="00FB0811" w:rsidRPr="00552FCC">
              <w:rPr>
                <w:rStyle w:val="Hyperlink"/>
                <w:noProof/>
                <w:lang w:val="sr-Cyrl-BA"/>
              </w:rPr>
              <w:t>1.1.1.</w:t>
            </w:r>
            <w:r w:rsidR="00FB0811">
              <w:rPr>
                <w:rFonts w:eastAsiaTheme="minorEastAsia" w:cstheme="minorBidi"/>
                <w:noProof/>
                <w:sz w:val="22"/>
                <w:szCs w:val="22"/>
                <w:lang w:val="en-US" w:eastAsia="en-US"/>
              </w:rPr>
              <w:tab/>
            </w:r>
            <w:r w:rsidR="00FB0811" w:rsidRPr="00552FCC">
              <w:rPr>
                <w:rStyle w:val="Hyperlink"/>
                <w:noProof/>
                <w:lang w:val="sr-Cyrl-BA"/>
              </w:rPr>
              <w:t>Настава путем интернета (</w:t>
            </w:r>
            <w:r w:rsidR="00FB0811" w:rsidRPr="00552FCC">
              <w:rPr>
                <w:rStyle w:val="Hyperlink"/>
                <w:noProof/>
                <w:lang w:val="hr-BA"/>
              </w:rPr>
              <w:t>Online teaching and learning</w:t>
            </w:r>
            <w:r w:rsidR="00FB0811" w:rsidRPr="00552FCC">
              <w:rPr>
                <w:rStyle w:val="Hyperlink"/>
                <w:noProof/>
                <w:lang w:val="sr-Cyrl-BA"/>
              </w:rPr>
              <w:t>)</w:t>
            </w:r>
            <w:r w:rsidR="00FB0811">
              <w:rPr>
                <w:noProof/>
                <w:webHidden/>
              </w:rPr>
              <w:tab/>
            </w:r>
            <w:r w:rsidR="00FB0811">
              <w:rPr>
                <w:noProof/>
                <w:webHidden/>
              </w:rPr>
              <w:fldChar w:fldCharType="begin"/>
            </w:r>
            <w:r w:rsidR="00FB0811">
              <w:rPr>
                <w:noProof/>
                <w:webHidden/>
              </w:rPr>
              <w:instrText xml:space="preserve"> PAGEREF _Toc119050291 \h </w:instrText>
            </w:r>
            <w:r w:rsidR="00FB0811">
              <w:rPr>
                <w:noProof/>
                <w:webHidden/>
              </w:rPr>
            </w:r>
            <w:r w:rsidR="00FB0811">
              <w:rPr>
                <w:noProof/>
                <w:webHidden/>
              </w:rPr>
              <w:fldChar w:fldCharType="separate"/>
            </w:r>
            <w:r w:rsidR="00FB0811">
              <w:rPr>
                <w:noProof/>
                <w:webHidden/>
              </w:rPr>
              <w:t>8</w:t>
            </w:r>
            <w:r w:rsidR="00FB0811">
              <w:rPr>
                <w:noProof/>
                <w:webHidden/>
              </w:rPr>
              <w:fldChar w:fldCharType="end"/>
            </w:r>
          </w:hyperlink>
        </w:p>
        <w:p w14:paraId="4115BF86" w14:textId="2F029F8C" w:rsidR="00FB0811" w:rsidRDefault="00B427E2">
          <w:pPr>
            <w:pStyle w:val="TOC3"/>
            <w:tabs>
              <w:tab w:val="left" w:pos="1320"/>
            </w:tabs>
            <w:rPr>
              <w:rFonts w:eastAsiaTheme="minorEastAsia" w:cstheme="minorBidi"/>
              <w:noProof/>
              <w:sz w:val="22"/>
              <w:szCs w:val="22"/>
              <w:lang w:val="en-US" w:eastAsia="en-US"/>
            </w:rPr>
          </w:pPr>
          <w:hyperlink w:anchor="_Toc119050292" w:history="1">
            <w:r w:rsidR="00FB0811" w:rsidRPr="00552FCC">
              <w:rPr>
                <w:rStyle w:val="Hyperlink"/>
                <w:noProof/>
                <w:lang w:val="sr-Cyrl-BA"/>
              </w:rPr>
              <w:t>1.1.2.</w:t>
            </w:r>
            <w:r w:rsidR="00FB0811">
              <w:rPr>
                <w:rFonts w:eastAsiaTheme="minorEastAsia" w:cstheme="minorBidi"/>
                <w:noProof/>
                <w:sz w:val="22"/>
                <w:szCs w:val="22"/>
                <w:lang w:val="en-US" w:eastAsia="en-US"/>
              </w:rPr>
              <w:tab/>
            </w:r>
            <w:r w:rsidR="00FB0811" w:rsidRPr="00552FCC">
              <w:rPr>
                <w:rStyle w:val="Hyperlink"/>
                <w:noProof/>
                <w:lang w:val="sr-Cyrl-BA"/>
              </w:rPr>
              <w:t>Комбинована настава (</w:t>
            </w:r>
            <w:r w:rsidR="00FB0811" w:rsidRPr="00552FCC">
              <w:rPr>
                <w:rStyle w:val="Hyperlink"/>
                <w:noProof/>
                <w:lang w:val="hr-BA"/>
              </w:rPr>
              <w:t>Blended teaching and learning</w:t>
            </w:r>
            <w:r w:rsidR="00FB0811" w:rsidRPr="00552FCC">
              <w:rPr>
                <w:rStyle w:val="Hyperlink"/>
                <w:noProof/>
                <w:lang w:val="sr-Cyrl-BA"/>
              </w:rPr>
              <w:t>)</w:t>
            </w:r>
            <w:r w:rsidR="00FB0811">
              <w:rPr>
                <w:noProof/>
                <w:webHidden/>
              </w:rPr>
              <w:tab/>
            </w:r>
            <w:r w:rsidR="00FB0811">
              <w:rPr>
                <w:noProof/>
                <w:webHidden/>
              </w:rPr>
              <w:fldChar w:fldCharType="begin"/>
            </w:r>
            <w:r w:rsidR="00FB0811">
              <w:rPr>
                <w:noProof/>
                <w:webHidden/>
              </w:rPr>
              <w:instrText xml:space="preserve"> PAGEREF _Toc119050292 \h </w:instrText>
            </w:r>
            <w:r w:rsidR="00FB0811">
              <w:rPr>
                <w:noProof/>
                <w:webHidden/>
              </w:rPr>
            </w:r>
            <w:r w:rsidR="00FB0811">
              <w:rPr>
                <w:noProof/>
                <w:webHidden/>
              </w:rPr>
              <w:fldChar w:fldCharType="separate"/>
            </w:r>
            <w:r w:rsidR="00FB0811">
              <w:rPr>
                <w:noProof/>
                <w:webHidden/>
              </w:rPr>
              <w:t>9</w:t>
            </w:r>
            <w:r w:rsidR="00FB0811">
              <w:rPr>
                <w:noProof/>
                <w:webHidden/>
              </w:rPr>
              <w:fldChar w:fldCharType="end"/>
            </w:r>
          </w:hyperlink>
        </w:p>
        <w:p w14:paraId="7A6157BC" w14:textId="211E0F6F" w:rsidR="00FB0811" w:rsidRDefault="00B427E2">
          <w:pPr>
            <w:pStyle w:val="TOC3"/>
            <w:tabs>
              <w:tab w:val="left" w:pos="1320"/>
            </w:tabs>
            <w:rPr>
              <w:rFonts w:eastAsiaTheme="minorEastAsia" w:cstheme="minorBidi"/>
              <w:noProof/>
              <w:sz w:val="22"/>
              <w:szCs w:val="22"/>
              <w:lang w:val="en-US" w:eastAsia="en-US"/>
            </w:rPr>
          </w:pPr>
          <w:hyperlink w:anchor="_Toc119050293" w:history="1">
            <w:r w:rsidR="00FB0811" w:rsidRPr="00552FCC">
              <w:rPr>
                <w:rStyle w:val="Hyperlink"/>
                <w:noProof/>
                <w:lang w:val="sr-Cyrl-BA"/>
              </w:rPr>
              <w:t>1.1.3.</w:t>
            </w:r>
            <w:r w:rsidR="00FB0811">
              <w:rPr>
                <w:rFonts w:eastAsiaTheme="minorEastAsia" w:cstheme="minorBidi"/>
                <w:noProof/>
                <w:sz w:val="22"/>
                <w:szCs w:val="22"/>
                <w:lang w:val="en-US" w:eastAsia="en-US"/>
              </w:rPr>
              <w:tab/>
            </w:r>
            <w:r w:rsidR="00FB0811" w:rsidRPr="00552FCC">
              <w:rPr>
                <w:rStyle w:val="Hyperlink"/>
                <w:noProof/>
                <w:lang w:val="sr-Cyrl-BA"/>
              </w:rPr>
              <w:t>Хибридна настава (</w:t>
            </w:r>
            <w:r w:rsidR="00FB0811" w:rsidRPr="00552FCC">
              <w:rPr>
                <w:rStyle w:val="Hyperlink"/>
                <w:noProof/>
                <w:lang w:val="hr-BA"/>
              </w:rPr>
              <w:t>Hybrid teaching and learning</w:t>
            </w:r>
            <w:r w:rsidR="00FB0811" w:rsidRPr="00552FCC">
              <w:rPr>
                <w:rStyle w:val="Hyperlink"/>
                <w:noProof/>
                <w:lang w:val="sr-Cyrl-BA"/>
              </w:rPr>
              <w:t>)</w:t>
            </w:r>
            <w:r w:rsidR="00FB0811">
              <w:rPr>
                <w:noProof/>
                <w:webHidden/>
              </w:rPr>
              <w:tab/>
            </w:r>
            <w:r w:rsidR="00FB0811">
              <w:rPr>
                <w:noProof/>
                <w:webHidden/>
              </w:rPr>
              <w:fldChar w:fldCharType="begin"/>
            </w:r>
            <w:r w:rsidR="00FB0811">
              <w:rPr>
                <w:noProof/>
                <w:webHidden/>
              </w:rPr>
              <w:instrText xml:space="preserve"> PAGEREF _Toc119050293 \h </w:instrText>
            </w:r>
            <w:r w:rsidR="00FB0811">
              <w:rPr>
                <w:noProof/>
                <w:webHidden/>
              </w:rPr>
            </w:r>
            <w:r w:rsidR="00FB0811">
              <w:rPr>
                <w:noProof/>
                <w:webHidden/>
              </w:rPr>
              <w:fldChar w:fldCharType="separate"/>
            </w:r>
            <w:r w:rsidR="00FB0811">
              <w:rPr>
                <w:noProof/>
                <w:webHidden/>
              </w:rPr>
              <w:t>9</w:t>
            </w:r>
            <w:r w:rsidR="00FB0811">
              <w:rPr>
                <w:noProof/>
                <w:webHidden/>
              </w:rPr>
              <w:fldChar w:fldCharType="end"/>
            </w:r>
          </w:hyperlink>
        </w:p>
        <w:p w14:paraId="036FC242" w14:textId="7A914DA5" w:rsidR="00FB0811" w:rsidRDefault="00B427E2">
          <w:pPr>
            <w:pStyle w:val="TOC3"/>
            <w:tabs>
              <w:tab w:val="left" w:pos="1320"/>
            </w:tabs>
            <w:rPr>
              <w:rFonts w:eastAsiaTheme="minorEastAsia" w:cstheme="minorBidi"/>
              <w:noProof/>
              <w:sz w:val="22"/>
              <w:szCs w:val="22"/>
              <w:lang w:val="en-US" w:eastAsia="en-US"/>
            </w:rPr>
          </w:pPr>
          <w:hyperlink w:anchor="_Toc119050294" w:history="1">
            <w:r w:rsidR="00FB0811" w:rsidRPr="00552FCC">
              <w:rPr>
                <w:rStyle w:val="Hyperlink"/>
                <w:noProof/>
                <w:lang w:val="sr-Cyrl-BA"/>
              </w:rPr>
              <w:t>1.1.4.</w:t>
            </w:r>
            <w:r w:rsidR="00FB0811">
              <w:rPr>
                <w:rFonts w:eastAsiaTheme="minorEastAsia" w:cstheme="minorBidi"/>
                <w:noProof/>
                <w:sz w:val="22"/>
                <w:szCs w:val="22"/>
                <w:lang w:val="en-US" w:eastAsia="en-US"/>
              </w:rPr>
              <w:tab/>
            </w:r>
            <w:r w:rsidR="00FB0811" w:rsidRPr="00552FCC">
              <w:rPr>
                <w:rStyle w:val="Hyperlink"/>
                <w:noProof/>
                <w:lang w:val="sr-Cyrl-BA"/>
              </w:rPr>
              <w:t>Учење на даљину (дистанце леарнинг)</w:t>
            </w:r>
            <w:r w:rsidR="00FB0811">
              <w:rPr>
                <w:noProof/>
                <w:webHidden/>
              </w:rPr>
              <w:tab/>
            </w:r>
            <w:r w:rsidR="00FB0811">
              <w:rPr>
                <w:noProof/>
                <w:webHidden/>
              </w:rPr>
              <w:fldChar w:fldCharType="begin"/>
            </w:r>
            <w:r w:rsidR="00FB0811">
              <w:rPr>
                <w:noProof/>
                <w:webHidden/>
              </w:rPr>
              <w:instrText xml:space="preserve"> PAGEREF _Toc119050294 \h </w:instrText>
            </w:r>
            <w:r w:rsidR="00FB0811">
              <w:rPr>
                <w:noProof/>
                <w:webHidden/>
              </w:rPr>
            </w:r>
            <w:r w:rsidR="00FB0811">
              <w:rPr>
                <w:noProof/>
                <w:webHidden/>
              </w:rPr>
              <w:fldChar w:fldCharType="separate"/>
            </w:r>
            <w:r w:rsidR="00FB0811">
              <w:rPr>
                <w:noProof/>
                <w:webHidden/>
              </w:rPr>
              <w:t>9</w:t>
            </w:r>
            <w:r w:rsidR="00FB0811">
              <w:rPr>
                <w:noProof/>
                <w:webHidden/>
              </w:rPr>
              <w:fldChar w:fldCharType="end"/>
            </w:r>
          </w:hyperlink>
        </w:p>
        <w:p w14:paraId="717C144C" w14:textId="158A5AEF" w:rsidR="00FB0811" w:rsidRDefault="00B427E2">
          <w:pPr>
            <w:pStyle w:val="TOC2"/>
            <w:tabs>
              <w:tab w:val="left" w:pos="880"/>
            </w:tabs>
            <w:rPr>
              <w:rFonts w:eastAsiaTheme="minorEastAsia" w:cstheme="minorBidi"/>
              <w:b w:val="0"/>
              <w:bCs w:val="0"/>
              <w:noProof/>
              <w:szCs w:val="22"/>
              <w:lang w:val="en-US" w:eastAsia="en-US"/>
            </w:rPr>
          </w:pPr>
          <w:hyperlink w:anchor="_Toc119050295" w:history="1">
            <w:r w:rsidR="00FB0811" w:rsidRPr="00552FCC">
              <w:rPr>
                <w:rStyle w:val="Hyperlink"/>
                <w:noProof/>
                <w:lang w:val="sr-Cyrl-BA"/>
              </w:rPr>
              <w:t>1.2.</w:t>
            </w:r>
            <w:r w:rsidR="00FB0811">
              <w:rPr>
                <w:rFonts w:eastAsiaTheme="minorEastAsia" w:cstheme="minorBidi"/>
                <w:b w:val="0"/>
                <w:bCs w:val="0"/>
                <w:noProof/>
                <w:szCs w:val="22"/>
                <w:lang w:val="en-US" w:eastAsia="en-US"/>
              </w:rPr>
              <w:tab/>
            </w:r>
            <w:r w:rsidR="00FB0811" w:rsidRPr="00552FCC">
              <w:rPr>
                <w:rStyle w:val="Hyperlink"/>
                <w:noProof/>
                <w:lang w:val="sr-Cyrl-BA"/>
              </w:rPr>
              <w:t>Стилови учења</w:t>
            </w:r>
            <w:r w:rsidR="00FB0811">
              <w:rPr>
                <w:noProof/>
                <w:webHidden/>
              </w:rPr>
              <w:tab/>
            </w:r>
            <w:r w:rsidR="00FB0811">
              <w:rPr>
                <w:noProof/>
                <w:webHidden/>
              </w:rPr>
              <w:fldChar w:fldCharType="begin"/>
            </w:r>
            <w:r w:rsidR="00FB0811">
              <w:rPr>
                <w:noProof/>
                <w:webHidden/>
              </w:rPr>
              <w:instrText xml:space="preserve"> PAGEREF _Toc119050295 \h </w:instrText>
            </w:r>
            <w:r w:rsidR="00FB0811">
              <w:rPr>
                <w:noProof/>
                <w:webHidden/>
              </w:rPr>
            </w:r>
            <w:r w:rsidR="00FB0811">
              <w:rPr>
                <w:noProof/>
                <w:webHidden/>
              </w:rPr>
              <w:fldChar w:fldCharType="separate"/>
            </w:r>
            <w:r w:rsidR="00FB0811">
              <w:rPr>
                <w:noProof/>
                <w:webHidden/>
              </w:rPr>
              <w:t>10</w:t>
            </w:r>
            <w:r w:rsidR="00FB0811">
              <w:rPr>
                <w:noProof/>
                <w:webHidden/>
              </w:rPr>
              <w:fldChar w:fldCharType="end"/>
            </w:r>
          </w:hyperlink>
        </w:p>
        <w:p w14:paraId="40239BE6" w14:textId="4B386C5E" w:rsidR="00FB0811" w:rsidRDefault="00B427E2">
          <w:pPr>
            <w:pStyle w:val="TOC3"/>
            <w:tabs>
              <w:tab w:val="left" w:pos="1320"/>
            </w:tabs>
            <w:rPr>
              <w:rFonts w:eastAsiaTheme="minorEastAsia" w:cstheme="minorBidi"/>
              <w:noProof/>
              <w:sz w:val="22"/>
              <w:szCs w:val="22"/>
              <w:lang w:val="en-US" w:eastAsia="en-US"/>
            </w:rPr>
          </w:pPr>
          <w:hyperlink w:anchor="_Toc119050299" w:history="1">
            <w:r w:rsidR="00FB0811" w:rsidRPr="00552FCC">
              <w:rPr>
                <w:rStyle w:val="Hyperlink"/>
                <w:noProof/>
                <w:lang w:val="sr-Cyrl-BA"/>
              </w:rPr>
              <w:t>1.2.1.</w:t>
            </w:r>
            <w:r w:rsidR="00FB0811">
              <w:rPr>
                <w:rFonts w:eastAsiaTheme="minorEastAsia" w:cstheme="minorBidi"/>
                <w:noProof/>
                <w:sz w:val="22"/>
                <w:szCs w:val="22"/>
                <w:lang w:val="en-US" w:eastAsia="en-US"/>
              </w:rPr>
              <w:tab/>
            </w:r>
            <w:r w:rsidR="00FB0811" w:rsidRPr="00552FCC">
              <w:rPr>
                <w:rStyle w:val="Hyperlink"/>
                <w:noProof/>
                <w:lang w:val="sr-Cyrl-BA"/>
              </w:rPr>
              <w:t>Дигитално учење (</w:t>
            </w:r>
            <w:r w:rsidR="00FB0811" w:rsidRPr="00552FCC">
              <w:rPr>
                <w:rStyle w:val="Hyperlink"/>
                <w:noProof/>
                <w:lang w:val="hr-BA"/>
              </w:rPr>
              <w:t>Digital learning</w:t>
            </w:r>
            <w:r w:rsidR="00FB0811" w:rsidRPr="00552FCC">
              <w:rPr>
                <w:rStyle w:val="Hyperlink"/>
                <w:noProof/>
                <w:lang w:val="sr-Cyrl-BA"/>
              </w:rPr>
              <w:t>)</w:t>
            </w:r>
            <w:r w:rsidR="00FB0811">
              <w:rPr>
                <w:noProof/>
                <w:webHidden/>
              </w:rPr>
              <w:tab/>
            </w:r>
            <w:r w:rsidR="00FB0811">
              <w:rPr>
                <w:noProof/>
                <w:webHidden/>
              </w:rPr>
              <w:fldChar w:fldCharType="begin"/>
            </w:r>
            <w:r w:rsidR="00FB0811">
              <w:rPr>
                <w:noProof/>
                <w:webHidden/>
              </w:rPr>
              <w:instrText xml:space="preserve"> PAGEREF _Toc119050299 \h </w:instrText>
            </w:r>
            <w:r w:rsidR="00FB0811">
              <w:rPr>
                <w:noProof/>
                <w:webHidden/>
              </w:rPr>
            </w:r>
            <w:r w:rsidR="00FB0811">
              <w:rPr>
                <w:noProof/>
                <w:webHidden/>
              </w:rPr>
              <w:fldChar w:fldCharType="separate"/>
            </w:r>
            <w:r w:rsidR="00FB0811">
              <w:rPr>
                <w:noProof/>
                <w:webHidden/>
              </w:rPr>
              <w:t>10</w:t>
            </w:r>
            <w:r w:rsidR="00FB0811">
              <w:rPr>
                <w:noProof/>
                <w:webHidden/>
              </w:rPr>
              <w:fldChar w:fldCharType="end"/>
            </w:r>
          </w:hyperlink>
        </w:p>
        <w:p w14:paraId="31209CCC" w14:textId="33B9EEA2" w:rsidR="00FB0811" w:rsidRDefault="00B427E2">
          <w:pPr>
            <w:pStyle w:val="TOC3"/>
            <w:tabs>
              <w:tab w:val="left" w:pos="1320"/>
            </w:tabs>
            <w:rPr>
              <w:rFonts w:eastAsiaTheme="minorEastAsia" w:cstheme="minorBidi"/>
              <w:noProof/>
              <w:sz w:val="22"/>
              <w:szCs w:val="22"/>
              <w:lang w:val="en-US" w:eastAsia="en-US"/>
            </w:rPr>
          </w:pPr>
          <w:hyperlink w:anchor="_Toc119050300" w:history="1">
            <w:r w:rsidR="00FB0811" w:rsidRPr="00552FCC">
              <w:rPr>
                <w:rStyle w:val="Hyperlink"/>
                <w:noProof/>
                <w:lang w:val="sr-Cyrl-BA"/>
              </w:rPr>
              <w:t>1.2.2.</w:t>
            </w:r>
            <w:r w:rsidR="00FB0811">
              <w:rPr>
                <w:rFonts w:eastAsiaTheme="minorEastAsia" w:cstheme="minorBidi"/>
                <w:noProof/>
                <w:sz w:val="22"/>
                <w:szCs w:val="22"/>
                <w:lang w:val="en-US" w:eastAsia="en-US"/>
              </w:rPr>
              <w:tab/>
            </w:r>
            <w:r w:rsidR="00FB0811" w:rsidRPr="00552FCC">
              <w:rPr>
                <w:rStyle w:val="Hyperlink"/>
                <w:noProof/>
                <w:lang w:val="sr-Cyrl-BA"/>
              </w:rPr>
              <w:t>Е-учење (Е-леарнинг)</w:t>
            </w:r>
            <w:r w:rsidR="00FB0811">
              <w:rPr>
                <w:noProof/>
                <w:webHidden/>
              </w:rPr>
              <w:tab/>
            </w:r>
            <w:r w:rsidR="00FB0811">
              <w:rPr>
                <w:noProof/>
                <w:webHidden/>
              </w:rPr>
              <w:fldChar w:fldCharType="begin"/>
            </w:r>
            <w:r w:rsidR="00FB0811">
              <w:rPr>
                <w:noProof/>
                <w:webHidden/>
              </w:rPr>
              <w:instrText xml:space="preserve"> PAGEREF _Toc119050300 \h </w:instrText>
            </w:r>
            <w:r w:rsidR="00FB0811">
              <w:rPr>
                <w:noProof/>
                <w:webHidden/>
              </w:rPr>
            </w:r>
            <w:r w:rsidR="00FB0811">
              <w:rPr>
                <w:noProof/>
                <w:webHidden/>
              </w:rPr>
              <w:fldChar w:fldCharType="separate"/>
            </w:r>
            <w:r w:rsidR="00FB0811">
              <w:rPr>
                <w:noProof/>
                <w:webHidden/>
              </w:rPr>
              <w:t>11</w:t>
            </w:r>
            <w:r w:rsidR="00FB0811">
              <w:rPr>
                <w:noProof/>
                <w:webHidden/>
              </w:rPr>
              <w:fldChar w:fldCharType="end"/>
            </w:r>
          </w:hyperlink>
        </w:p>
        <w:p w14:paraId="4B2C1A92" w14:textId="35ECF17C" w:rsidR="00FB0811" w:rsidRDefault="00B427E2">
          <w:pPr>
            <w:pStyle w:val="TOC1"/>
            <w:rPr>
              <w:rFonts w:asciiTheme="minorHAnsi" w:eastAsiaTheme="minorEastAsia" w:hAnsiTheme="minorHAnsi" w:cstheme="minorBidi"/>
              <w:b w:val="0"/>
              <w:noProof/>
              <w:sz w:val="22"/>
              <w:szCs w:val="22"/>
              <w:lang w:val="en-US" w:eastAsia="en-US"/>
            </w:rPr>
          </w:pPr>
          <w:hyperlink w:anchor="_Toc119050301" w:history="1">
            <w:r w:rsidR="00FB0811" w:rsidRPr="00552FCC">
              <w:rPr>
                <w:rStyle w:val="Hyperlink"/>
                <w:noProof/>
                <w:lang w:val="sr-Cyrl-BA"/>
              </w:rPr>
              <w:t>2. Креирање окружења за квалитетно (и) инклузивно образовање</w:t>
            </w:r>
            <w:r w:rsidR="00FB0811">
              <w:rPr>
                <w:noProof/>
                <w:webHidden/>
              </w:rPr>
              <w:tab/>
            </w:r>
            <w:r w:rsidR="00FB0811">
              <w:rPr>
                <w:noProof/>
                <w:webHidden/>
              </w:rPr>
              <w:fldChar w:fldCharType="begin"/>
            </w:r>
            <w:r w:rsidR="00FB0811">
              <w:rPr>
                <w:noProof/>
                <w:webHidden/>
              </w:rPr>
              <w:instrText xml:space="preserve"> PAGEREF _Toc119050301 \h </w:instrText>
            </w:r>
            <w:r w:rsidR="00FB0811">
              <w:rPr>
                <w:noProof/>
                <w:webHidden/>
              </w:rPr>
            </w:r>
            <w:r w:rsidR="00FB0811">
              <w:rPr>
                <w:noProof/>
                <w:webHidden/>
              </w:rPr>
              <w:fldChar w:fldCharType="separate"/>
            </w:r>
            <w:r w:rsidR="00FB0811">
              <w:rPr>
                <w:noProof/>
                <w:webHidden/>
              </w:rPr>
              <w:t>12</w:t>
            </w:r>
            <w:r w:rsidR="00FB0811">
              <w:rPr>
                <w:noProof/>
                <w:webHidden/>
              </w:rPr>
              <w:fldChar w:fldCharType="end"/>
            </w:r>
          </w:hyperlink>
        </w:p>
        <w:p w14:paraId="7604326B" w14:textId="2A901435" w:rsidR="00FB0811" w:rsidRDefault="00B427E2">
          <w:pPr>
            <w:pStyle w:val="TOC2"/>
            <w:tabs>
              <w:tab w:val="left" w:pos="880"/>
            </w:tabs>
            <w:rPr>
              <w:rFonts w:eastAsiaTheme="minorEastAsia" w:cstheme="minorBidi"/>
              <w:b w:val="0"/>
              <w:bCs w:val="0"/>
              <w:noProof/>
              <w:szCs w:val="22"/>
              <w:lang w:val="en-US" w:eastAsia="en-US"/>
            </w:rPr>
          </w:pPr>
          <w:hyperlink w:anchor="_Toc119050302" w:history="1">
            <w:r w:rsidR="00FB0811" w:rsidRPr="00552FCC">
              <w:rPr>
                <w:rStyle w:val="Hyperlink"/>
                <w:noProof/>
                <w:lang w:val="sr-Cyrl-BA"/>
              </w:rPr>
              <w:t>2.1.</w:t>
            </w:r>
            <w:r w:rsidR="00FB0811">
              <w:rPr>
                <w:rFonts w:eastAsiaTheme="minorEastAsia" w:cstheme="minorBidi"/>
                <w:b w:val="0"/>
                <w:bCs w:val="0"/>
                <w:noProof/>
                <w:szCs w:val="22"/>
                <w:lang w:val="en-US" w:eastAsia="en-US"/>
              </w:rPr>
              <w:tab/>
            </w:r>
            <w:r w:rsidR="00FB0811" w:rsidRPr="00552FCC">
              <w:rPr>
                <w:rStyle w:val="Hyperlink"/>
                <w:noProof/>
                <w:lang w:val="sr-Cyrl-BA"/>
              </w:rPr>
              <w:t>Разумијевање концепта квалитетно инклузивно образовање</w:t>
            </w:r>
            <w:r w:rsidR="00FB0811">
              <w:rPr>
                <w:noProof/>
                <w:webHidden/>
              </w:rPr>
              <w:tab/>
            </w:r>
            <w:r w:rsidR="00FB0811">
              <w:rPr>
                <w:noProof/>
                <w:webHidden/>
              </w:rPr>
              <w:fldChar w:fldCharType="begin"/>
            </w:r>
            <w:r w:rsidR="00FB0811">
              <w:rPr>
                <w:noProof/>
                <w:webHidden/>
              </w:rPr>
              <w:instrText xml:space="preserve"> PAGEREF _Toc119050302 \h </w:instrText>
            </w:r>
            <w:r w:rsidR="00FB0811">
              <w:rPr>
                <w:noProof/>
                <w:webHidden/>
              </w:rPr>
            </w:r>
            <w:r w:rsidR="00FB0811">
              <w:rPr>
                <w:noProof/>
                <w:webHidden/>
              </w:rPr>
              <w:fldChar w:fldCharType="separate"/>
            </w:r>
            <w:r w:rsidR="00FB0811">
              <w:rPr>
                <w:noProof/>
                <w:webHidden/>
              </w:rPr>
              <w:t>12</w:t>
            </w:r>
            <w:r w:rsidR="00FB0811">
              <w:rPr>
                <w:noProof/>
                <w:webHidden/>
              </w:rPr>
              <w:fldChar w:fldCharType="end"/>
            </w:r>
          </w:hyperlink>
        </w:p>
        <w:p w14:paraId="1A0F3BD8" w14:textId="7809695C" w:rsidR="00FB0811" w:rsidRDefault="00B427E2">
          <w:pPr>
            <w:pStyle w:val="TOC2"/>
            <w:tabs>
              <w:tab w:val="left" w:pos="880"/>
            </w:tabs>
            <w:rPr>
              <w:rFonts w:eastAsiaTheme="minorEastAsia" w:cstheme="minorBidi"/>
              <w:b w:val="0"/>
              <w:bCs w:val="0"/>
              <w:noProof/>
              <w:szCs w:val="22"/>
              <w:lang w:val="en-US" w:eastAsia="en-US"/>
            </w:rPr>
          </w:pPr>
          <w:hyperlink w:anchor="_Toc119050303" w:history="1">
            <w:r w:rsidR="00FB0811" w:rsidRPr="00552FCC">
              <w:rPr>
                <w:rStyle w:val="Hyperlink"/>
                <w:noProof/>
                <w:lang w:val="sr-Cyrl-BA"/>
              </w:rPr>
              <w:t>2.2.</w:t>
            </w:r>
            <w:r w:rsidR="00FB0811">
              <w:rPr>
                <w:rFonts w:eastAsiaTheme="minorEastAsia" w:cstheme="minorBidi"/>
                <w:b w:val="0"/>
                <w:bCs w:val="0"/>
                <w:noProof/>
                <w:szCs w:val="22"/>
                <w:lang w:val="en-US" w:eastAsia="en-US"/>
              </w:rPr>
              <w:tab/>
            </w:r>
            <w:r w:rsidR="00FB0811" w:rsidRPr="00552FCC">
              <w:rPr>
                <w:rStyle w:val="Hyperlink"/>
                <w:noProof/>
                <w:lang w:val="sr-Cyrl-BA"/>
              </w:rPr>
              <w:t>Универзални дизајн за учење – УДУ</w:t>
            </w:r>
            <w:r w:rsidR="00FB0811">
              <w:rPr>
                <w:noProof/>
                <w:webHidden/>
              </w:rPr>
              <w:tab/>
            </w:r>
            <w:r w:rsidR="00FB0811">
              <w:rPr>
                <w:noProof/>
                <w:webHidden/>
              </w:rPr>
              <w:fldChar w:fldCharType="begin"/>
            </w:r>
            <w:r w:rsidR="00FB0811">
              <w:rPr>
                <w:noProof/>
                <w:webHidden/>
              </w:rPr>
              <w:instrText xml:space="preserve"> PAGEREF _Toc119050303 \h </w:instrText>
            </w:r>
            <w:r w:rsidR="00FB0811">
              <w:rPr>
                <w:noProof/>
                <w:webHidden/>
              </w:rPr>
            </w:r>
            <w:r w:rsidR="00FB0811">
              <w:rPr>
                <w:noProof/>
                <w:webHidden/>
              </w:rPr>
              <w:fldChar w:fldCharType="separate"/>
            </w:r>
            <w:r w:rsidR="00FB0811">
              <w:rPr>
                <w:noProof/>
                <w:webHidden/>
              </w:rPr>
              <w:t>14</w:t>
            </w:r>
            <w:r w:rsidR="00FB0811">
              <w:rPr>
                <w:noProof/>
                <w:webHidden/>
              </w:rPr>
              <w:fldChar w:fldCharType="end"/>
            </w:r>
          </w:hyperlink>
        </w:p>
        <w:p w14:paraId="55778271" w14:textId="53A8D75A" w:rsidR="00FB0811" w:rsidRDefault="00B427E2">
          <w:pPr>
            <w:pStyle w:val="TOC2"/>
            <w:tabs>
              <w:tab w:val="left" w:pos="880"/>
            </w:tabs>
            <w:rPr>
              <w:rFonts w:eastAsiaTheme="minorEastAsia" w:cstheme="minorBidi"/>
              <w:b w:val="0"/>
              <w:bCs w:val="0"/>
              <w:noProof/>
              <w:szCs w:val="22"/>
              <w:lang w:val="en-US" w:eastAsia="en-US"/>
            </w:rPr>
          </w:pPr>
          <w:hyperlink w:anchor="_Toc119050304" w:history="1">
            <w:r w:rsidR="00FB0811" w:rsidRPr="00552FCC">
              <w:rPr>
                <w:rStyle w:val="Hyperlink"/>
                <w:noProof/>
                <w:lang w:val="sr-Cyrl-BA"/>
              </w:rPr>
              <w:t>2.3.</w:t>
            </w:r>
            <w:r w:rsidR="00FB0811">
              <w:rPr>
                <w:rFonts w:eastAsiaTheme="minorEastAsia" w:cstheme="minorBidi"/>
                <w:b w:val="0"/>
                <w:bCs w:val="0"/>
                <w:noProof/>
                <w:szCs w:val="22"/>
                <w:lang w:val="en-US" w:eastAsia="en-US"/>
              </w:rPr>
              <w:tab/>
            </w:r>
            <w:r w:rsidR="00FB0811" w:rsidRPr="00552FCC">
              <w:rPr>
                <w:rStyle w:val="Hyperlink"/>
                <w:noProof/>
                <w:lang w:val="sr-Cyrl-BA"/>
              </w:rPr>
              <w:t>Подршка учењу и подучавању у настави путем интернета и комбинованој настави</w:t>
            </w:r>
            <w:r w:rsidR="00FB0811">
              <w:rPr>
                <w:noProof/>
                <w:webHidden/>
              </w:rPr>
              <w:tab/>
            </w:r>
            <w:r w:rsidR="00FB0811">
              <w:rPr>
                <w:noProof/>
                <w:webHidden/>
              </w:rPr>
              <w:fldChar w:fldCharType="begin"/>
            </w:r>
            <w:r w:rsidR="00FB0811">
              <w:rPr>
                <w:noProof/>
                <w:webHidden/>
              </w:rPr>
              <w:instrText xml:space="preserve"> PAGEREF _Toc119050304 \h </w:instrText>
            </w:r>
            <w:r w:rsidR="00FB0811">
              <w:rPr>
                <w:noProof/>
                <w:webHidden/>
              </w:rPr>
            </w:r>
            <w:r w:rsidR="00FB0811">
              <w:rPr>
                <w:noProof/>
                <w:webHidden/>
              </w:rPr>
              <w:fldChar w:fldCharType="separate"/>
            </w:r>
            <w:r w:rsidR="00FB0811">
              <w:rPr>
                <w:noProof/>
                <w:webHidden/>
              </w:rPr>
              <w:t>15</w:t>
            </w:r>
            <w:r w:rsidR="00FB0811">
              <w:rPr>
                <w:noProof/>
                <w:webHidden/>
              </w:rPr>
              <w:fldChar w:fldCharType="end"/>
            </w:r>
          </w:hyperlink>
        </w:p>
        <w:p w14:paraId="64D412FF" w14:textId="722E58C1" w:rsidR="00FB0811" w:rsidRDefault="00B427E2">
          <w:pPr>
            <w:pStyle w:val="TOC3"/>
            <w:tabs>
              <w:tab w:val="left" w:pos="1320"/>
            </w:tabs>
            <w:rPr>
              <w:rFonts w:eastAsiaTheme="minorEastAsia" w:cstheme="minorBidi"/>
              <w:noProof/>
              <w:sz w:val="22"/>
              <w:szCs w:val="22"/>
              <w:lang w:val="en-US" w:eastAsia="en-US"/>
            </w:rPr>
          </w:pPr>
          <w:hyperlink w:anchor="_Toc119050305" w:history="1">
            <w:r w:rsidR="00FB0811" w:rsidRPr="00552FCC">
              <w:rPr>
                <w:rStyle w:val="Hyperlink"/>
                <w:noProof/>
                <w:lang w:val="sr-Cyrl-BA"/>
              </w:rPr>
              <w:t>2.3.1.</w:t>
            </w:r>
            <w:r w:rsidR="00FB0811">
              <w:rPr>
                <w:rFonts w:eastAsiaTheme="minorEastAsia" w:cstheme="minorBidi"/>
                <w:noProof/>
                <w:sz w:val="22"/>
                <w:szCs w:val="22"/>
                <w:lang w:val="en-US" w:eastAsia="en-US"/>
              </w:rPr>
              <w:tab/>
            </w:r>
            <w:r w:rsidR="00FB0811" w:rsidRPr="00552FCC">
              <w:rPr>
                <w:rStyle w:val="Hyperlink"/>
                <w:noProof/>
                <w:lang w:val="sr-Cyrl-BA"/>
              </w:rPr>
              <w:t>Диференцијација, индивидуализација, персонализација</w:t>
            </w:r>
            <w:r w:rsidR="00FB0811">
              <w:rPr>
                <w:noProof/>
                <w:webHidden/>
              </w:rPr>
              <w:tab/>
            </w:r>
            <w:r w:rsidR="00FB0811">
              <w:rPr>
                <w:noProof/>
                <w:webHidden/>
              </w:rPr>
              <w:fldChar w:fldCharType="begin"/>
            </w:r>
            <w:r w:rsidR="00FB0811">
              <w:rPr>
                <w:noProof/>
                <w:webHidden/>
              </w:rPr>
              <w:instrText xml:space="preserve"> PAGEREF _Toc119050305 \h </w:instrText>
            </w:r>
            <w:r w:rsidR="00FB0811">
              <w:rPr>
                <w:noProof/>
                <w:webHidden/>
              </w:rPr>
            </w:r>
            <w:r w:rsidR="00FB0811">
              <w:rPr>
                <w:noProof/>
                <w:webHidden/>
              </w:rPr>
              <w:fldChar w:fldCharType="separate"/>
            </w:r>
            <w:r w:rsidR="00FB0811">
              <w:rPr>
                <w:noProof/>
                <w:webHidden/>
              </w:rPr>
              <w:t>17</w:t>
            </w:r>
            <w:r w:rsidR="00FB0811">
              <w:rPr>
                <w:noProof/>
                <w:webHidden/>
              </w:rPr>
              <w:fldChar w:fldCharType="end"/>
            </w:r>
          </w:hyperlink>
        </w:p>
        <w:p w14:paraId="36E9BAB2" w14:textId="285B440C" w:rsidR="00FB0811" w:rsidRDefault="00B427E2">
          <w:pPr>
            <w:pStyle w:val="TOC2"/>
            <w:tabs>
              <w:tab w:val="left" w:pos="880"/>
            </w:tabs>
            <w:rPr>
              <w:rFonts w:eastAsiaTheme="minorEastAsia" w:cstheme="minorBidi"/>
              <w:b w:val="0"/>
              <w:bCs w:val="0"/>
              <w:noProof/>
              <w:szCs w:val="22"/>
              <w:lang w:val="en-US" w:eastAsia="en-US"/>
            </w:rPr>
          </w:pPr>
          <w:hyperlink w:anchor="_Toc119050306" w:history="1">
            <w:r w:rsidR="00FB0811" w:rsidRPr="00552FCC">
              <w:rPr>
                <w:rStyle w:val="Hyperlink"/>
                <w:noProof/>
                <w:lang w:val="sr-Cyrl-BA"/>
              </w:rPr>
              <w:t>2.4.</w:t>
            </w:r>
            <w:r w:rsidR="00FB0811">
              <w:rPr>
                <w:rFonts w:eastAsiaTheme="minorEastAsia" w:cstheme="minorBidi"/>
                <w:b w:val="0"/>
                <w:bCs w:val="0"/>
                <w:noProof/>
                <w:szCs w:val="22"/>
                <w:lang w:val="en-US" w:eastAsia="en-US"/>
              </w:rPr>
              <w:tab/>
            </w:r>
            <w:r w:rsidR="00FB0811" w:rsidRPr="00552FCC">
              <w:rPr>
                <w:rStyle w:val="Hyperlink"/>
                <w:noProof/>
                <w:lang w:val="sr-Cyrl-BA"/>
              </w:rPr>
              <w:t>Праћење, вредновање и оцјењивање постигнућа ученика/студената у настави путем интернета и комбинованој настави</w:t>
            </w:r>
            <w:r w:rsidR="00FB0811">
              <w:rPr>
                <w:noProof/>
                <w:webHidden/>
              </w:rPr>
              <w:tab/>
            </w:r>
            <w:r w:rsidR="00FB0811">
              <w:rPr>
                <w:noProof/>
                <w:webHidden/>
              </w:rPr>
              <w:fldChar w:fldCharType="begin"/>
            </w:r>
            <w:r w:rsidR="00FB0811">
              <w:rPr>
                <w:noProof/>
                <w:webHidden/>
              </w:rPr>
              <w:instrText xml:space="preserve"> PAGEREF _Toc119050306 \h </w:instrText>
            </w:r>
            <w:r w:rsidR="00FB0811">
              <w:rPr>
                <w:noProof/>
                <w:webHidden/>
              </w:rPr>
            </w:r>
            <w:r w:rsidR="00FB0811">
              <w:rPr>
                <w:noProof/>
                <w:webHidden/>
              </w:rPr>
              <w:fldChar w:fldCharType="separate"/>
            </w:r>
            <w:r w:rsidR="00FB0811">
              <w:rPr>
                <w:noProof/>
                <w:webHidden/>
              </w:rPr>
              <w:t>18</w:t>
            </w:r>
            <w:r w:rsidR="00FB0811">
              <w:rPr>
                <w:noProof/>
                <w:webHidden/>
              </w:rPr>
              <w:fldChar w:fldCharType="end"/>
            </w:r>
          </w:hyperlink>
        </w:p>
        <w:p w14:paraId="3FAC1462" w14:textId="6B83C146" w:rsidR="00FB0811" w:rsidRDefault="00B427E2">
          <w:pPr>
            <w:pStyle w:val="TOC1"/>
            <w:rPr>
              <w:rFonts w:asciiTheme="minorHAnsi" w:eastAsiaTheme="minorEastAsia" w:hAnsiTheme="minorHAnsi" w:cstheme="minorBidi"/>
              <w:b w:val="0"/>
              <w:noProof/>
              <w:sz w:val="22"/>
              <w:szCs w:val="22"/>
              <w:lang w:val="en-US" w:eastAsia="en-US"/>
            </w:rPr>
          </w:pPr>
          <w:hyperlink w:anchor="_Toc119050307" w:history="1">
            <w:r w:rsidR="00FB0811" w:rsidRPr="00552FCC">
              <w:rPr>
                <w:rStyle w:val="Hyperlink"/>
                <w:noProof/>
                <w:lang w:val="sr-Cyrl-BA"/>
              </w:rPr>
              <w:t>3. Стварање претпоставки за ефикасну употребу ИКТ-а у настави путем интернета и комбинованој настави</w:t>
            </w:r>
            <w:r w:rsidR="00FB0811">
              <w:rPr>
                <w:noProof/>
                <w:webHidden/>
              </w:rPr>
              <w:tab/>
            </w:r>
            <w:r w:rsidR="00FB0811">
              <w:rPr>
                <w:noProof/>
                <w:webHidden/>
              </w:rPr>
              <w:fldChar w:fldCharType="begin"/>
            </w:r>
            <w:r w:rsidR="00FB0811">
              <w:rPr>
                <w:noProof/>
                <w:webHidden/>
              </w:rPr>
              <w:instrText xml:space="preserve"> PAGEREF _Toc119050307 \h </w:instrText>
            </w:r>
            <w:r w:rsidR="00FB0811">
              <w:rPr>
                <w:noProof/>
                <w:webHidden/>
              </w:rPr>
            </w:r>
            <w:r w:rsidR="00FB0811">
              <w:rPr>
                <w:noProof/>
                <w:webHidden/>
              </w:rPr>
              <w:fldChar w:fldCharType="separate"/>
            </w:r>
            <w:r w:rsidR="00FB0811">
              <w:rPr>
                <w:noProof/>
                <w:webHidden/>
              </w:rPr>
              <w:t>21</w:t>
            </w:r>
            <w:r w:rsidR="00FB0811">
              <w:rPr>
                <w:noProof/>
                <w:webHidden/>
              </w:rPr>
              <w:fldChar w:fldCharType="end"/>
            </w:r>
          </w:hyperlink>
        </w:p>
        <w:p w14:paraId="4796C5A6" w14:textId="263CFBAD" w:rsidR="00FB0811" w:rsidRDefault="00B427E2">
          <w:pPr>
            <w:pStyle w:val="TOC2"/>
            <w:tabs>
              <w:tab w:val="left" w:pos="880"/>
            </w:tabs>
            <w:rPr>
              <w:rFonts w:eastAsiaTheme="minorEastAsia" w:cstheme="minorBidi"/>
              <w:b w:val="0"/>
              <w:bCs w:val="0"/>
              <w:noProof/>
              <w:szCs w:val="22"/>
              <w:lang w:val="en-US" w:eastAsia="en-US"/>
            </w:rPr>
          </w:pPr>
          <w:hyperlink w:anchor="_Toc119050308" w:history="1">
            <w:r w:rsidR="00FB0811" w:rsidRPr="00552FCC">
              <w:rPr>
                <w:rStyle w:val="Hyperlink"/>
                <w:noProof/>
                <w:lang w:val="sr-Cyrl-BA"/>
              </w:rPr>
              <w:t>3.1.</w:t>
            </w:r>
            <w:r w:rsidR="00FB0811">
              <w:rPr>
                <w:rFonts w:eastAsiaTheme="minorEastAsia" w:cstheme="minorBidi"/>
                <w:b w:val="0"/>
                <w:bCs w:val="0"/>
                <w:noProof/>
                <w:szCs w:val="22"/>
                <w:lang w:val="en-US" w:eastAsia="en-US"/>
              </w:rPr>
              <w:tab/>
            </w:r>
            <w:r w:rsidR="00FB0811" w:rsidRPr="00552FCC">
              <w:rPr>
                <w:rStyle w:val="Hyperlink"/>
                <w:noProof/>
                <w:lang w:val="sr-Cyrl-BA"/>
              </w:rPr>
              <w:t>Инфраструктура за ИКТ</w:t>
            </w:r>
            <w:r w:rsidR="00FB0811">
              <w:rPr>
                <w:noProof/>
                <w:webHidden/>
              </w:rPr>
              <w:tab/>
            </w:r>
            <w:r w:rsidR="00FB0811">
              <w:rPr>
                <w:noProof/>
                <w:webHidden/>
              </w:rPr>
              <w:fldChar w:fldCharType="begin"/>
            </w:r>
            <w:r w:rsidR="00FB0811">
              <w:rPr>
                <w:noProof/>
                <w:webHidden/>
              </w:rPr>
              <w:instrText xml:space="preserve"> PAGEREF _Toc119050308 \h </w:instrText>
            </w:r>
            <w:r w:rsidR="00FB0811">
              <w:rPr>
                <w:noProof/>
                <w:webHidden/>
              </w:rPr>
            </w:r>
            <w:r w:rsidR="00FB0811">
              <w:rPr>
                <w:noProof/>
                <w:webHidden/>
              </w:rPr>
              <w:fldChar w:fldCharType="separate"/>
            </w:r>
            <w:r w:rsidR="00FB0811">
              <w:rPr>
                <w:noProof/>
                <w:webHidden/>
              </w:rPr>
              <w:t>22</w:t>
            </w:r>
            <w:r w:rsidR="00FB0811">
              <w:rPr>
                <w:noProof/>
                <w:webHidden/>
              </w:rPr>
              <w:fldChar w:fldCharType="end"/>
            </w:r>
          </w:hyperlink>
        </w:p>
        <w:p w14:paraId="7E29472B" w14:textId="710061C5" w:rsidR="00FB0811" w:rsidRDefault="00B427E2">
          <w:pPr>
            <w:pStyle w:val="TOC3"/>
            <w:tabs>
              <w:tab w:val="left" w:pos="1320"/>
            </w:tabs>
            <w:rPr>
              <w:rFonts w:eastAsiaTheme="minorEastAsia" w:cstheme="minorBidi"/>
              <w:noProof/>
              <w:sz w:val="22"/>
              <w:szCs w:val="22"/>
              <w:lang w:val="en-US" w:eastAsia="en-US"/>
            </w:rPr>
          </w:pPr>
          <w:hyperlink w:anchor="_Toc119050309" w:history="1">
            <w:r w:rsidR="00FB0811" w:rsidRPr="00552FCC">
              <w:rPr>
                <w:rStyle w:val="Hyperlink"/>
                <w:noProof/>
                <w:lang w:val="sr-Cyrl-BA"/>
              </w:rPr>
              <w:t>3.1.1.</w:t>
            </w:r>
            <w:r w:rsidR="00FB0811">
              <w:rPr>
                <w:rFonts w:eastAsiaTheme="minorEastAsia" w:cstheme="minorBidi"/>
                <w:noProof/>
                <w:sz w:val="22"/>
                <w:szCs w:val="22"/>
                <w:lang w:val="en-US" w:eastAsia="en-US"/>
              </w:rPr>
              <w:tab/>
            </w:r>
            <w:r w:rsidR="00FB0811" w:rsidRPr="00552FCC">
              <w:rPr>
                <w:rStyle w:val="Hyperlink"/>
                <w:noProof/>
                <w:lang w:val="sr-Cyrl-BA"/>
              </w:rPr>
              <w:t>Хардверска инфраструктура</w:t>
            </w:r>
            <w:r w:rsidR="00FB0811">
              <w:rPr>
                <w:noProof/>
                <w:webHidden/>
              </w:rPr>
              <w:tab/>
            </w:r>
            <w:r w:rsidR="00FB0811">
              <w:rPr>
                <w:noProof/>
                <w:webHidden/>
              </w:rPr>
              <w:fldChar w:fldCharType="begin"/>
            </w:r>
            <w:r w:rsidR="00FB0811">
              <w:rPr>
                <w:noProof/>
                <w:webHidden/>
              </w:rPr>
              <w:instrText xml:space="preserve"> PAGEREF _Toc119050309 \h </w:instrText>
            </w:r>
            <w:r w:rsidR="00FB0811">
              <w:rPr>
                <w:noProof/>
                <w:webHidden/>
              </w:rPr>
            </w:r>
            <w:r w:rsidR="00FB0811">
              <w:rPr>
                <w:noProof/>
                <w:webHidden/>
              </w:rPr>
              <w:fldChar w:fldCharType="separate"/>
            </w:r>
            <w:r w:rsidR="00FB0811">
              <w:rPr>
                <w:noProof/>
                <w:webHidden/>
              </w:rPr>
              <w:t>22</w:t>
            </w:r>
            <w:r w:rsidR="00FB0811">
              <w:rPr>
                <w:noProof/>
                <w:webHidden/>
              </w:rPr>
              <w:fldChar w:fldCharType="end"/>
            </w:r>
          </w:hyperlink>
        </w:p>
        <w:p w14:paraId="109C42F9" w14:textId="13FF11D8" w:rsidR="00FB0811" w:rsidRDefault="00B427E2">
          <w:pPr>
            <w:pStyle w:val="TOC3"/>
            <w:tabs>
              <w:tab w:val="left" w:pos="1320"/>
            </w:tabs>
            <w:rPr>
              <w:rFonts w:eastAsiaTheme="minorEastAsia" w:cstheme="minorBidi"/>
              <w:noProof/>
              <w:sz w:val="22"/>
              <w:szCs w:val="22"/>
              <w:lang w:val="en-US" w:eastAsia="en-US"/>
            </w:rPr>
          </w:pPr>
          <w:hyperlink w:anchor="_Toc119050310" w:history="1">
            <w:r w:rsidR="00FB0811" w:rsidRPr="00552FCC">
              <w:rPr>
                <w:rStyle w:val="Hyperlink"/>
                <w:noProof/>
                <w:lang w:val="sr-Cyrl-BA"/>
              </w:rPr>
              <w:t>3.1.2.</w:t>
            </w:r>
            <w:r w:rsidR="00FB0811">
              <w:rPr>
                <w:rFonts w:eastAsiaTheme="minorEastAsia" w:cstheme="minorBidi"/>
                <w:noProof/>
                <w:sz w:val="22"/>
                <w:szCs w:val="22"/>
                <w:lang w:val="en-US" w:eastAsia="en-US"/>
              </w:rPr>
              <w:tab/>
            </w:r>
            <w:r w:rsidR="00FB0811" w:rsidRPr="00552FCC">
              <w:rPr>
                <w:rStyle w:val="Hyperlink"/>
                <w:noProof/>
                <w:lang w:val="sr-Cyrl-BA"/>
              </w:rPr>
              <w:t>Мрежна инфраструктура</w:t>
            </w:r>
            <w:r w:rsidR="00FB0811">
              <w:rPr>
                <w:noProof/>
                <w:webHidden/>
              </w:rPr>
              <w:tab/>
            </w:r>
            <w:r w:rsidR="00FB0811">
              <w:rPr>
                <w:noProof/>
                <w:webHidden/>
              </w:rPr>
              <w:fldChar w:fldCharType="begin"/>
            </w:r>
            <w:r w:rsidR="00FB0811">
              <w:rPr>
                <w:noProof/>
                <w:webHidden/>
              </w:rPr>
              <w:instrText xml:space="preserve"> PAGEREF _Toc119050310 \h </w:instrText>
            </w:r>
            <w:r w:rsidR="00FB0811">
              <w:rPr>
                <w:noProof/>
                <w:webHidden/>
              </w:rPr>
            </w:r>
            <w:r w:rsidR="00FB0811">
              <w:rPr>
                <w:noProof/>
                <w:webHidden/>
              </w:rPr>
              <w:fldChar w:fldCharType="separate"/>
            </w:r>
            <w:r w:rsidR="00FB0811">
              <w:rPr>
                <w:noProof/>
                <w:webHidden/>
              </w:rPr>
              <w:t>23</w:t>
            </w:r>
            <w:r w:rsidR="00FB0811">
              <w:rPr>
                <w:noProof/>
                <w:webHidden/>
              </w:rPr>
              <w:fldChar w:fldCharType="end"/>
            </w:r>
          </w:hyperlink>
        </w:p>
        <w:p w14:paraId="55C1F1CB" w14:textId="28890B9A" w:rsidR="00FB0811" w:rsidRDefault="00B427E2">
          <w:pPr>
            <w:pStyle w:val="TOC3"/>
            <w:tabs>
              <w:tab w:val="left" w:pos="1320"/>
            </w:tabs>
            <w:rPr>
              <w:rFonts w:eastAsiaTheme="minorEastAsia" w:cstheme="minorBidi"/>
              <w:noProof/>
              <w:sz w:val="22"/>
              <w:szCs w:val="22"/>
              <w:lang w:val="en-US" w:eastAsia="en-US"/>
            </w:rPr>
          </w:pPr>
          <w:hyperlink w:anchor="_Toc119050311" w:history="1">
            <w:r w:rsidR="00FB0811" w:rsidRPr="00552FCC">
              <w:rPr>
                <w:rStyle w:val="Hyperlink"/>
                <w:noProof/>
                <w:lang w:val="sr-Cyrl-BA"/>
              </w:rPr>
              <w:t>3.1.3.</w:t>
            </w:r>
            <w:r w:rsidR="00FB0811">
              <w:rPr>
                <w:rFonts w:eastAsiaTheme="minorEastAsia" w:cstheme="minorBidi"/>
                <w:noProof/>
                <w:sz w:val="22"/>
                <w:szCs w:val="22"/>
                <w:lang w:val="en-US" w:eastAsia="en-US"/>
              </w:rPr>
              <w:tab/>
            </w:r>
            <w:r w:rsidR="00FB0811" w:rsidRPr="00552FCC">
              <w:rPr>
                <w:rStyle w:val="Hyperlink"/>
                <w:noProof/>
                <w:lang w:val="sr-Cyrl-BA"/>
              </w:rPr>
              <w:t>Софтверска инфраструктура</w:t>
            </w:r>
            <w:r w:rsidR="00FB0811">
              <w:rPr>
                <w:noProof/>
                <w:webHidden/>
              </w:rPr>
              <w:tab/>
            </w:r>
            <w:r w:rsidR="00FB0811">
              <w:rPr>
                <w:noProof/>
                <w:webHidden/>
              </w:rPr>
              <w:fldChar w:fldCharType="begin"/>
            </w:r>
            <w:r w:rsidR="00FB0811">
              <w:rPr>
                <w:noProof/>
                <w:webHidden/>
              </w:rPr>
              <w:instrText xml:space="preserve"> PAGEREF _Toc119050311 \h </w:instrText>
            </w:r>
            <w:r w:rsidR="00FB0811">
              <w:rPr>
                <w:noProof/>
                <w:webHidden/>
              </w:rPr>
            </w:r>
            <w:r w:rsidR="00FB0811">
              <w:rPr>
                <w:noProof/>
                <w:webHidden/>
              </w:rPr>
              <w:fldChar w:fldCharType="separate"/>
            </w:r>
            <w:r w:rsidR="00FB0811">
              <w:rPr>
                <w:noProof/>
                <w:webHidden/>
              </w:rPr>
              <w:t>23</w:t>
            </w:r>
            <w:r w:rsidR="00FB0811">
              <w:rPr>
                <w:noProof/>
                <w:webHidden/>
              </w:rPr>
              <w:fldChar w:fldCharType="end"/>
            </w:r>
          </w:hyperlink>
        </w:p>
        <w:p w14:paraId="0C65E073" w14:textId="4673CA3D" w:rsidR="00FB0811" w:rsidRDefault="00B427E2">
          <w:pPr>
            <w:pStyle w:val="TOC3"/>
            <w:tabs>
              <w:tab w:val="left" w:pos="1320"/>
            </w:tabs>
            <w:rPr>
              <w:rFonts w:eastAsiaTheme="minorEastAsia" w:cstheme="minorBidi"/>
              <w:noProof/>
              <w:sz w:val="22"/>
              <w:szCs w:val="22"/>
              <w:lang w:val="en-US" w:eastAsia="en-US"/>
            </w:rPr>
          </w:pPr>
          <w:hyperlink w:anchor="_Toc119050312" w:history="1">
            <w:r w:rsidR="00FB0811" w:rsidRPr="00552FCC">
              <w:rPr>
                <w:rStyle w:val="Hyperlink"/>
                <w:noProof/>
                <w:lang w:val="sr-Cyrl-BA"/>
              </w:rPr>
              <w:t>3.1.4.</w:t>
            </w:r>
            <w:r w:rsidR="00FB0811">
              <w:rPr>
                <w:rFonts w:eastAsiaTheme="minorEastAsia" w:cstheme="minorBidi"/>
                <w:noProof/>
                <w:sz w:val="22"/>
                <w:szCs w:val="22"/>
                <w:lang w:val="en-US" w:eastAsia="en-US"/>
              </w:rPr>
              <w:tab/>
            </w:r>
            <w:r w:rsidR="00FB0811" w:rsidRPr="00552FCC">
              <w:rPr>
                <w:rStyle w:val="Hyperlink"/>
                <w:noProof/>
                <w:lang w:val="sr-Cyrl-BA"/>
              </w:rPr>
              <w:t>Мјесто за похрану дигиталних материјала</w:t>
            </w:r>
            <w:r w:rsidR="00FB0811">
              <w:rPr>
                <w:noProof/>
                <w:webHidden/>
              </w:rPr>
              <w:tab/>
            </w:r>
            <w:r w:rsidR="00FB0811">
              <w:rPr>
                <w:noProof/>
                <w:webHidden/>
              </w:rPr>
              <w:fldChar w:fldCharType="begin"/>
            </w:r>
            <w:r w:rsidR="00FB0811">
              <w:rPr>
                <w:noProof/>
                <w:webHidden/>
              </w:rPr>
              <w:instrText xml:space="preserve"> PAGEREF _Toc119050312 \h </w:instrText>
            </w:r>
            <w:r w:rsidR="00FB0811">
              <w:rPr>
                <w:noProof/>
                <w:webHidden/>
              </w:rPr>
            </w:r>
            <w:r w:rsidR="00FB0811">
              <w:rPr>
                <w:noProof/>
                <w:webHidden/>
              </w:rPr>
              <w:fldChar w:fldCharType="separate"/>
            </w:r>
            <w:r w:rsidR="00FB0811">
              <w:rPr>
                <w:noProof/>
                <w:webHidden/>
              </w:rPr>
              <w:t>27</w:t>
            </w:r>
            <w:r w:rsidR="00FB0811">
              <w:rPr>
                <w:noProof/>
                <w:webHidden/>
              </w:rPr>
              <w:fldChar w:fldCharType="end"/>
            </w:r>
          </w:hyperlink>
        </w:p>
        <w:p w14:paraId="3B605E3D" w14:textId="26A1F0DA" w:rsidR="00FB0811" w:rsidRDefault="00B427E2">
          <w:pPr>
            <w:pStyle w:val="TOC3"/>
            <w:tabs>
              <w:tab w:val="left" w:pos="1320"/>
            </w:tabs>
            <w:rPr>
              <w:rFonts w:eastAsiaTheme="minorEastAsia" w:cstheme="minorBidi"/>
              <w:noProof/>
              <w:sz w:val="22"/>
              <w:szCs w:val="22"/>
              <w:lang w:val="en-US" w:eastAsia="en-US"/>
            </w:rPr>
          </w:pPr>
          <w:hyperlink w:anchor="_Toc119050313" w:history="1">
            <w:r w:rsidR="00FB0811" w:rsidRPr="00552FCC">
              <w:rPr>
                <w:rStyle w:val="Hyperlink"/>
                <w:noProof/>
                <w:lang w:val="sr-Cyrl-BA"/>
              </w:rPr>
              <w:t>3.1.5.</w:t>
            </w:r>
            <w:r w:rsidR="00FB0811">
              <w:rPr>
                <w:rFonts w:eastAsiaTheme="minorEastAsia" w:cstheme="minorBidi"/>
                <w:noProof/>
                <w:sz w:val="22"/>
                <w:szCs w:val="22"/>
                <w:lang w:val="en-US" w:eastAsia="en-US"/>
              </w:rPr>
              <w:tab/>
            </w:r>
            <w:r w:rsidR="00FB0811" w:rsidRPr="00552FCC">
              <w:rPr>
                <w:rStyle w:val="Hyperlink"/>
                <w:noProof/>
                <w:lang w:val="sr-Cyrl-BA"/>
              </w:rPr>
              <w:t>Одржавање опреме и пружање техничке помоћи</w:t>
            </w:r>
            <w:r w:rsidR="00FB0811">
              <w:rPr>
                <w:noProof/>
                <w:webHidden/>
              </w:rPr>
              <w:tab/>
            </w:r>
            <w:r w:rsidR="00FB0811">
              <w:rPr>
                <w:noProof/>
                <w:webHidden/>
              </w:rPr>
              <w:fldChar w:fldCharType="begin"/>
            </w:r>
            <w:r w:rsidR="00FB0811">
              <w:rPr>
                <w:noProof/>
                <w:webHidden/>
              </w:rPr>
              <w:instrText xml:space="preserve"> PAGEREF _Toc119050313 \h </w:instrText>
            </w:r>
            <w:r w:rsidR="00FB0811">
              <w:rPr>
                <w:noProof/>
                <w:webHidden/>
              </w:rPr>
            </w:r>
            <w:r w:rsidR="00FB0811">
              <w:rPr>
                <w:noProof/>
                <w:webHidden/>
              </w:rPr>
              <w:fldChar w:fldCharType="separate"/>
            </w:r>
            <w:r w:rsidR="00FB0811">
              <w:rPr>
                <w:noProof/>
                <w:webHidden/>
              </w:rPr>
              <w:t>28</w:t>
            </w:r>
            <w:r w:rsidR="00FB0811">
              <w:rPr>
                <w:noProof/>
                <w:webHidden/>
              </w:rPr>
              <w:fldChar w:fldCharType="end"/>
            </w:r>
          </w:hyperlink>
        </w:p>
        <w:p w14:paraId="7B0C286B" w14:textId="2DAA1021" w:rsidR="00FB0811" w:rsidRDefault="00B427E2">
          <w:pPr>
            <w:pStyle w:val="TOC3"/>
            <w:tabs>
              <w:tab w:val="left" w:pos="1320"/>
            </w:tabs>
            <w:rPr>
              <w:rFonts w:eastAsiaTheme="minorEastAsia" w:cstheme="minorBidi"/>
              <w:noProof/>
              <w:sz w:val="22"/>
              <w:szCs w:val="22"/>
              <w:lang w:val="en-US" w:eastAsia="en-US"/>
            </w:rPr>
          </w:pPr>
          <w:hyperlink w:anchor="_Toc119050314" w:history="1">
            <w:r w:rsidR="00FB0811" w:rsidRPr="00552FCC">
              <w:rPr>
                <w:rStyle w:val="Hyperlink"/>
                <w:noProof/>
                <w:lang w:val="sr-Cyrl-BA"/>
              </w:rPr>
              <w:t>3.1.6.</w:t>
            </w:r>
            <w:r w:rsidR="00FB0811">
              <w:rPr>
                <w:rFonts w:eastAsiaTheme="minorEastAsia" w:cstheme="minorBidi"/>
                <w:noProof/>
                <w:sz w:val="22"/>
                <w:szCs w:val="22"/>
                <w:lang w:val="en-US" w:eastAsia="en-US"/>
              </w:rPr>
              <w:tab/>
            </w:r>
            <w:r w:rsidR="00FB0811" w:rsidRPr="00552FCC">
              <w:rPr>
                <w:rStyle w:val="Hyperlink"/>
                <w:noProof/>
                <w:lang w:val="sr-Cyrl-BA"/>
              </w:rPr>
              <w:t>Сигурност</w:t>
            </w:r>
            <w:r w:rsidR="00FB0811">
              <w:rPr>
                <w:noProof/>
                <w:webHidden/>
              </w:rPr>
              <w:tab/>
            </w:r>
            <w:r w:rsidR="00FB0811">
              <w:rPr>
                <w:noProof/>
                <w:webHidden/>
              </w:rPr>
              <w:fldChar w:fldCharType="begin"/>
            </w:r>
            <w:r w:rsidR="00FB0811">
              <w:rPr>
                <w:noProof/>
                <w:webHidden/>
              </w:rPr>
              <w:instrText xml:space="preserve"> PAGEREF _Toc119050314 \h </w:instrText>
            </w:r>
            <w:r w:rsidR="00FB0811">
              <w:rPr>
                <w:noProof/>
                <w:webHidden/>
              </w:rPr>
            </w:r>
            <w:r w:rsidR="00FB0811">
              <w:rPr>
                <w:noProof/>
                <w:webHidden/>
              </w:rPr>
              <w:fldChar w:fldCharType="separate"/>
            </w:r>
            <w:r w:rsidR="00FB0811">
              <w:rPr>
                <w:noProof/>
                <w:webHidden/>
              </w:rPr>
              <w:t>28</w:t>
            </w:r>
            <w:r w:rsidR="00FB0811">
              <w:rPr>
                <w:noProof/>
                <w:webHidden/>
              </w:rPr>
              <w:fldChar w:fldCharType="end"/>
            </w:r>
          </w:hyperlink>
        </w:p>
        <w:p w14:paraId="1C777E0B" w14:textId="0A23F049" w:rsidR="00FB0811" w:rsidRDefault="00B427E2">
          <w:pPr>
            <w:pStyle w:val="TOC2"/>
            <w:tabs>
              <w:tab w:val="left" w:pos="880"/>
            </w:tabs>
            <w:rPr>
              <w:rFonts w:eastAsiaTheme="minorEastAsia" w:cstheme="minorBidi"/>
              <w:b w:val="0"/>
              <w:bCs w:val="0"/>
              <w:noProof/>
              <w:szCs w:val="22"/>
              <w:lang w:val="en-US" w:eastAsia="en-US"/>
            </w:rPr>
          </w:pPr>
          <w:hyperlink w:anchor="_Toc119050315" w:history="1">
            <w:r w:rsidR="00FB0811" w:rsidRPr="00552FCC">
              <w:rPr>
                <w:rStyle w:val="Hyperlink"/>
                <w:noProof/>
                <w:lang w:val="sr-Cyrl-BA"/>
              </w:rPr>
              <w:t>3.2.</w:t>
            </w:r>
            <w:r w:rsidR="00FB0811">
              <w:rPr>
                <w:rFonts w:eastAsiaTheme="minorEastAsia" w:cstheme="minorBidi"/>
                <w:b w:val="0"/>
                <w:bCs w:val="0"/>
                <w:noProof/>
                <w:szCs w:val="22"/>
                <w:lang w:val="en-US" w:eastAsia="en-US"/>
              </w:rPr>
              <w:tab/>
            </w:r>
            <w:r w:rsidR="00FB0811" w:rsidRPr="00552FCC">
              <w:rPr>
                <w:rStyle w:val="Hyperlink"/>
                <w:noProof/>
                <w:lang w:val="sr-Cyrl-BA"/>
              </w:rPr>
              <w:t>Интегрисање модела наставе путем интернета и комбиноване наставе у законску регулативу о образовању у свим административним јединицама у Босни и Херцеговини</w:t>
            </w:r>
            <w:r w:rsidR="00FB0811">
              <w:rPr>
                <w:noProof/>
                <w:webHidden/>
              </w:rPr>
              <w:tab/>
            </w:r>
            <w:r w:rsidR="00FB0811">
              <w:rPr>
                <w:noProof/>
                <w:webHidden/>
              </w:rPr>
              <w:fldChar w:fldCharType="begin"/>
            </w:r>
            <w:r w:rsidR="00FB0811">
              <w:rPr>
                <w:noProof/>
                <w:webHidden/>
              </w:rPr>
              <w:instrText xml:space="preserve"> PAGEREF _Toc119050315 \h </w:instrText>
            </w:r>
            <w:r w:rsidR="00FB0811">
              <w:rPr>
                <w:noProof/>
                <w:webHidden/>
              </w:rPr>
            </w:r>
            <w:r w:rsidR="00FB0811">
              <w:rPr>
                <w:noProof/>
                <w:webHidden/>
              </w:rPr>
              <w:fldChar w:fldCharType="separate"/>
            </w:r>
            <w:r w:rsidR="00FB0811">
              <w:rPr>
                <w:noProof/>
                <w:webHidden/>
              </w:rPr>
              <w:t>29</w:t>
            </w:r>
            <w:r w:rsidR="00FB0811">
              <w:rPr>
                <w:noProof/>
                <w:webHidden/>
              </w:rPr>
              <w:fldChar w:fldCharType="end"/>
            </w:r>
          </w:hyperlink>
        </w:p>
        <w:p w14:paraId="2F2B3880" w14:textId="34A89355" w:rsidR="00FB0811" w:rsidRDefault="00B427E2">
          <w:pPr>
            <w:pStyle w:val="TOC1"/>
            <w:tabs>
              <w:tab w:val="left" w:pos="440"/>
            </w:tabs>
            <w:rPr>
              <w:rFonts w:asciiTheme="minorHAnsi" w:eastAsiaTheme="minorEastAsia" w:hAnsiTheme="minorHAnsi" w:cstheme="minorBidi"/>
              <w:b w:val="0"/>
              <w:noProof/>
              <w:sz w:val="22"/>
              <w:szCs w:val="22"/>
              <w:lang w:val="en-US" w:eastAsia="en-US"/>
            </w:rPr>
          </w:pPr>
          <w:hyperlink w:anchor="_Toc119050316" w:history="1">
            <w:r w:rsidR="00FB0811" w:rsidRPr="00552FCC">
              <w:rPr>
                <w:rStyle w:val="Hyperlink"/>
                <w:noProof/>
                <w:lang w:val="sr-Cyrl-BA"/>
              </w:rPr>
              <w:t>4.</w:t>
            </w:r>
            <w:r w:rsidR="00FB0811">
              <w:rPr>
                <w:rFonts w:asciiTheme="minorHAnsi" w:eastAsiaTheme="minorEastAsia" w:hAnsiTheme="minorHAnsi" w:cstheme="minorBidi"/>
                <w:b w:val="0"/>
                <w:noProof/>
                <w:sz w:val="22"/>
                <w:szCs w:val="22"/>
                <w:lang w:val="en-US" w:eastAsia="en-US"/>
              </w:rPr>
              <w:tab/>
            </w:r>
            <w:r w:rsidR="00FB0811" w:rsidRPr="00552FCC">
              <w:rPr>
                <w:rStyle w:val="Hyperlink"/>
                <w:noProof/>
                <w:lang w:val="sr-Cyrl-BA"/>
              </w:rPr>
              <w:t>Развијање концепта стручног усавршавања наставника</w:t>
            </w:r>
            <w:r w:rsidR="00FB0811">
              <w:rPr>
                <w:noProof/>
                <w:webHidden/>
              </w:rPr>
              <w:tab/>
            </w:r>
            <w:r w:rsidR="00FB0811">
              <w:rPr>
                <w:noProof/>
                <w:webHidden/>
              </w:rPr>
              <w:fldChar w:fldCharType="begin"/>
            </w:r>
            <w:r w:rsidR="00FB0811">
              <w:rPr>
                <w:noProof/>
                <w:webHidden/>
              </w:rPr>
              <w:instrText xml:space="preserve"> PAGEREF _Toc119050316 \h </w:instrText>
            </w:r>
            <w:r w:rsidR="00FB0811">
              <w:rPr>
                <w:noProof/>
                <w:webHidden/>
              </w:rPr>
            </w:r>
            <w:r w:rsidR="00FB0811">
              <w:rPr>
                <w:noProof/>
                <w:webHidden/>
              </w:rPr>
              <w:fldChar w:fldCharType="separate"/>
            </w:r>
            <w:r w:rsidR="00FB0811">
              <w:rPr>
                <w:noProof/>
                <w:webHidden/>
              </w:rPr>
              <w:t>31</w:t>
            </w:r>
            <w:r w:rsidR="00FB0811">
              <w:rPr>
                <w:noProof/>
                <w:webHidden/>
              </w:rPr>
              <w:fldChar w:fldCharType="end"/>
            </w:r>
          </w:hyperlink>
        </w:p>
        <w:p w14:paraId="28234B70" w14:textId="2D007E76" w:rsidR="00FB0811" w:rsidRDefault="00B427E2">
          <w:pPr>
            <w:pStyle w:val="TOC2"/>
            <w:tabs>
              <w:tab w:val="left" w:pos="880"/>
            </w:tabs>
            <w:rPr>
              <w:rFonts w:eastAsiaTheme="minorEastAsia" w:cstheme="minorBidi"/>
              <w:b w:val="0"/>
              <w:bCs w:val="0"/>
              <w:noProof/>
              <w:szCs w:val="22"/>
              <w:lang w:val="en-US" w:eastAsia="en-US"/>
            </w:rPr>
          </w:pPr>
          <w:hyperlink w:anchor="_Toc119050317" w:history="1">
            <w:r w:rsidR="00FB0811" w:rsidRPr="00552FCC">
              <w:rPr>
                <w:rStyle w:val="Hyperlink"/>
                <w:noProof/>
                <w:lang w:val="sr-Cyrl-BA"/>
              </w:rPr>
              <w:t>4.1.</w:t>
            </w:r>
            <w:r w:rsidR="00FB0811">
              <w:rPr>
                <w:rFonts w:eastAsiaTheme="minorEastAsia" w:cstheme="minorBidi"/>
                <w:b w:val="0"/>
                <w:bCs w:val="0"/>
                <w:noProof/>
                <w:szCs w:val="22"/>
                <w:lang w:val="en-US" w:eastAsia="en-US"/>
              </w:rPr>
              <w:tab/>
            </w:r>
            <w:r w:rsidR="00FB0811" w:rsidRPr="00552FCC">
              <w:rPr>
                <w:rStyle w:val="Hyperlink"/>
                <w:noProof/>
                <w:lang w:val="sr-Cyrl-BA"/>
              </w:rPr>
              <w:t>Унапрјеђење педагошких и дигиталних компетенција наставника</w:t>
            </w:r>
            <w:r w:rsidR="00FB0811">
              <w:rPr>
                <w:noProof/>
                <w:webHidden/>
              </w:rPr>
              <w:tab/>
            </w:r>
            <w:r w:rsidR="00FB0811">
              <w:rPr>
                <w:noProof/>
                <w:webHidden/>
              </w:rPr>
              <w:fldChar w:fldCharType="begin"/>
            </w:r>
            <w:r w:rsidR="00FB0811">
              <w:rPr>
                <w:noProof/>
                <w:webHidden/>
              </w:rPr>
              <w:instrText xml:space="preserve"> PAGEREF _Toc119050317 \h </w:instrText>
            </w:r>
            <w:r w:rsidR="00FB0811">
              <w:rPr>
                <w:noProof/>
                <w:webHidden/>
              </w:rPr>
            </w:r>
            <w:r w:rsidR="00FB0811">
              <w:rPr>
                <w:noProof/>
                <w:webHidden/>
              </w:rPr>
              <w:fldChar w:fldCharType="separate"/>
            </w:r>
            <w:r w:rsidR="00FB0811">
              <w:rPr>
                <w:noProof/>
                <w:webHidden/>
              </w:rPr>
              <w:t>31</w:t>
            </w:r>
            <w:r w:rsidR="00FB0811">
              <w:rPr>
                <w:noProof/>
                <w:webHidden/>
              </w:rPr>
              <w:fldChar w:fldCharType="end"/>
            </w:r>
          </w:hyperlink>
        </w:p>
        <w:p w14:paraId="6D11BF5B" w14:textId="5931E190" w:rsidR="00FB0811" w:rsidRDefault="00B427E2">
          <w:pPr>
            <w:pStyle w:val="TOC3"/>
            <w:tabs>
              <w:tab w:val="left" w:pos="1320"/>
            </w:tabs>
            <w:rPr>
              <w:rFonts w:eastAsiaTheme="minorEastAsia" w:cstheme="minorBidi"/>
              <w:noProof/>
              <w:sz w:val="22"/>
              <w:szCs w:val="22"/>
              <w:lang w:val="en-US" w:eastAsia="en-US"/>
            </w:rPr>
          </w:pPr>
          <w:hyperlink w:anchor="_Toc119050318" w:history="1">
            <w:r w:rsidR="00FB0811" w:rsidRPr="00552FCC">
              <w:rPr>
                <w:rStyle w:val="Hyperlink"/>
                <w:noProof/>
                <w:lang w:val="sr-Cyrl-BA"/>
              </w:rPr>
              <w:t>4.1.1.</w:t>
            </w:r>
            <w:r w:rsidR="00FB0811">
              <w:rPr>
                <w:rFonts w:eastAsiaTheme="minorEastAsia" w:cstheme="minorBidi"/>
                <w:noProof/>
                <w:sz w:val="22"/>
                <w:szCs w:val="22"/>
                <w:lang w:val="en-US" w:eastAsia="en-US"/>
              </w:rPr>
              <w:tab/>
            </w:r>
            <w:r w:rsidR="00FB0811" w:rsidRPr="00552FCC">
              <w:rPr>
                <w:rStyle w:val="Hyperlink"/>
                <w:noProof/>
                <w:lang w:val="sr-Cyrl-BA"/>
              </w:rPr>
              <w:t>Развој знања - Педагошке компетенције наставника</w:t>
            </w:r>
            <w:r w:rsidR="00FB0811">
              <w:rPr>
                <w:noProof/>
                <w:webHidden/>
              </w:rPr>
              <w:tab/>
            </w:r>
            <w:r w:rsidR="00FB0811">
              <w:rPr>
                <w:noProof/>
                <w:webHidden/>
              </w:rPr>
              <w:fldChar w:fldCharType="begin"/>
            </w:r>
            <w:r w:rsidR="00FB0811">
              <w:rPr>
                <w:noProof/>
                <w:webHidden/>
              </w:rPr>
              <w:instrText xml:space="preserve"> PAGEREF _Toc119050318 \h </w:instrText>
            </w:r>
            <w:r w:rsidR="00FB0811">
              <w:rPr>
                <w:noProof/>
                <w:webHidden/>
              </w:rPr>
            </w:r>
            <w:r w:rsidR="00FB0811">
              <w:rPr>
                <w:noProof/>
                <w:webHidden/>
              </w:rPr>
              <w:fldChar w:fldCharType="separate"/>
            </w:r>
            <w:r w:rsidR="00FB0811">
              <w:rPr>
                <w:noProof/>
                <w:webHidden/>
              </w:rPr>
              <w:t>35</w:t>
            </w:r>
            <w:r w:rsidR="00FB0811">
              <w:rPr>
                <w:noProof/>
                <w:webHidden/>
              </w:rPr>
              <w:fldChar w:fldCharType="end"/>
            </w:r>
          </w:hyperlink>
        </w:p>
        <w:p w14:paraId="5CE704B0" w14:textId="1A186A58" w:rsidR="00FB0811" w:rsidRDefault="00B427E2">
          <w:pPr>
            <w:pStyle w:val="TOC3"/>
            <w:tabs>
              <w:tab w:val="left" w:pos="1320"/>
            </w:tabs>
            <w:rPr>
              <w:rFonts w:eastAsiaTheme="minorEastAsia" w:cstheme="minorBidi"/>
              <w:noProof/>
              <w:sz w:val="22"/>
              <w:szCs w:val="22"/>
              <w:lang w:val="en-US" w:eastAsia="en-US"/>
            </w:rPr>
          </w:pPr>
          <w:hyperlink w:anchor="_Toc119050319" w:history="1">
            <w:r w:rsidR="00FB0811" w:rsidRPr="00552FCC">
              <w:rPr>
                <w:rStyle w:val="Hyperlink"/>
                <w:noProof/>
                <w:lang w:val="sr-Cyrl-BA"/>
              </w:rPr>
              <w:t>4.1.2.</w:t>
            </w:r>
            <w:r w:rsidR="00FB0811">
              <w:rPr>
                <w:rFonts w:eastAsiaTheme="minorEastAsia" w:cstheme="minorBidi"/>
                <w:noProof/>
                <w:sz w:val="22"/>
                <w:szCs w:val="22"/>
                <w:lang w:val="en-US" w:eastAsia="en-US"/>
              </w:rPr>
              <w:tab/>
            </w:r>
            <w:r w:rsidR="00FB0811" w:rsidRPr="00552FCC">
              <w:rPr>
                <w:rStyle w:val="Hyperlink"/>
                <w:noProof/>
                <w:lang w:val="sr-Cyrl-BA"/>
              </w:rPr>
              <w:t>Примјена знања – Компетенције ученика/студента</w:t>
            </w:r>
            <w:r w:rsidR="00FB0811">
              <w:rPr>
                <w:noProof/>
                <w:webHidden/>
              </w:rPr>
              <w:tab/>
            </w:r>
            <w:r w:rsidR="00FB0811">
              <w:rPr>
                <w:noProof/>
                <w:webHidden/>
              </w:rPr>
              <w:fldChar w:fldCharType="begin"/>
            </w:r>
            <w:r w:rsidR="00FB0811">
              <w:rPr>
                <w:noProof/>
                <w:webHidden/>
              </w:rPr>
              <w:instrText xml:space="preserve"> PAGEREF _Toc119050319 \h </w:instrText>
            </w:r>
            <w:r w:rsidR="00FB0811">
              <w:rPr>
                <w:noProof/>
                <w:webHidden/>
              </w:rPr>
            </w:r>
            <w:r w:rsidR="00FB0811">
              <w:rPr>
                <w:noProof/>
                <w:webHidden/>
              </w:rPr>
              <w:fldChar w:fldCharType="separate"/>
            </w:r>
            <w:r w:rsidR="00FB0811">
              <w:rPr>
                <w:noProof/>
                <w:webHidden/>
              </w:rPr>
              <w:t>38</w:t>
            </w:r>
            <w:r w:rsidR="00FB0811">
              <w:rPr>
                <w:noProof/>
                <w:webHidden/>
              </w:rPr>
              <w:fldChar w:fldCharType="end"/>
            </w:r>
          </w:hyperlink>
        </w:p>
        <w:p w14:paraId="25ABACE1" w14:textId="05103492" w:rsidR="00FB0811" w:rsidRDefault="00B427E2">
          <w:pPr>
            <w:pStyle w:val="TOC3"/>
            <w:tabs>
              <w:tab w:val="left" w:pos="1320"/>
            </w:tabs>
            <w:rPr>
              <w:rFonts w:eastAsiaTheme="minorEastAsia" w:cstheme="minorBidi"/>
              <w:noProof/>
              <w:sz w:val="22"/>
              <w:szCs w:val="22"/>
              <w:lang w:val="en-US" w:eastAsia="en-US"/>
            </w:rPr>
          </w:pPr>
          <w:hyperlink w:anchor="_Toc119050320" w:history="1">
            <w:r w:rsidR="00FB0811" w:rsidRPr="00552FCC">
              <w:rPr>
                <w:rStyle w:val="Hyperlink"/>
                <w:noProof/>
                <w:lang w:val="sr-Cyrl-BA"/>
              </w:rPr>
              <w:t>4.1.3.</w:t>
            </w:r>
            <w:r w:rsidR="00FB0811">
              <w:rPr>
                <w:rFonts w:eastAsiaTheme="minorEastAsia" w:cstheme="minorBidi"/>
                <w:noProof/>
                <w:sz w:val="22"/>
                <w:szCs w:val="22"/>
                <w:lang w:val="en-US" w:eastAsia="en-US"/>
              </w:rPr>
              <w:tab/>
            </w:r>
            <w:r w:rsidR="00FB0811" w:rsidRPr="00552FCC">
              <w:rPr>
                <w:rStyle w:val="Hyperlink"/>
                <w:noProof/>
                <w:lang w:val="sr-Cyrl-BA"/>
              </w:rPr>
              <w:t>Размјена знања – Заједнице праксе</w:t>
            </w:r>
            <w:r w:rsidR="00FB0811">
              <w:rPr>
                <w:noProof/>
                <w:webHidden/>
              </w:rPr>
              <w:tab/>
            </w:r>
            <w:r w:rsidR="00FB0811">
              <w:rPr>
                <w:noProof/>
                <w:webHidden/>
              </w:rPr>
              <w:fldChar w:fldCharType="begin"/>
            </w:r>
            <w:r w:rsidR="00FB0811">
              <w:rPr>
                <w:noProof/>
                <w:webHidden/>
              </w:rPr>
              <w:instrText xml:space="preserve"> PAGEREF _Toc119050320 \h </w:instrText>
            </w:r>
            <w:r w:rsidR="00FB0811">
              <w:rPr>
                <w:noProof/>
                <w:webHidden/>
              </w:rPr>
            </w:r>
            <w:r w:rsidR="00FB0811">
              <w:rPr>
                <w:noProof/>
                <w:webHidden/>
              </w:rPr>
              <w:fldChar w:fldCharType="separate"/>
            </w:r>
            <w:r w:rsidR="00FB0811">
              <w:rPr>
                <w:noProof/>
                <w:webHidden/>
              </w:rPr>
              <w:t>41</w:t>
            </w:r>
            <w:r w:rsidR="00FB0811">
              <w:rPr>
                <w:noProof/>
                <w:webHidden/>
              </w:rPr>
              <w:fldChar w:fldCharType="end"/>
            </w:r>
          </w:hyperlink>
        </w:p>
        <w:p w14:paraId="4613FE84" w14:textId="5B285F54" w:rsidR="00FB0811" w:rsidRDefault="00B427E2">
          <w:pPr>
            <w:pStyle w:val="TOC3"/>
            <w:tabs>
              <w:tab w:val="left" w:pos="1320"/>
            </w:tabs>
            <w:rPr>
              <w:rFonts w:eastAsiaTheme="minorEastAsia" w:cstheme="minorBidi"/>
              <w:noProof/>
              <w:sz w:val="22"/>
              <w:szCs w:val="22"/>
              <w:lang w:val="en-US" w:eastAsia="en-US"/>
            </w:rPr>
          </w:pPr>
          <w:hyperlink w:anchor="_Toc119050321" w:history="1">
            <w:r w:rsidR="00FB0811" w:rsidRPr="00552FCC">
              <w:rPr>
                <w:rStyle w:val="Hyperlink"/>
                <w:noProof/>
                <w:lang w:val="sr-Cyrl-BA"/>
              </w:rPr>
              <w:t>4.1.4.</w:t>
            </w:r>
            <w:r w:rsidR="00FB0811">
              <w:rPr>
                <w:rFonts w:eastAsiaTheme="minorEastAsia" w:cstheme="minorBidi"/>
                <w:noProof/>
                <w:sz w:val="22"/>
                <w:szCs w:val="22"/>
                <w:lang w:val="en-US" w:eastAsia="en-US"/>
              </w:rPr>
              <w:tab/>
            </w:r>
            <w:r w:rsidR="00FB0811" w:rsidRPr="00552FCC">
              <w:rPr>
                <w:rStyle w:val="Hyperlink"/>
                <w:noProof/>
                <w:lang w:val="sr-Cyrl-BA"/>
              </w:rPr>
              <w:t>Знање и комуникација  - Организациона комуникација</w:t>
            </w:r>
            <w:r w:rsidR="00FB0811">
              <w:rPr>
                <w:noProof/>
                <w:webHidden/>
              </w:rPr>
              <w:tab/>
            </w:r>
            <w:r w:rsidR="00FB0811">
              <w:rPr>
                <w:noProof/>
                <w:webHidden/>
              </w:rPr>
              <w:fldChar w:fldCharType="begin"/>
            </w:r>
            <w:r w:rsidR="00FB0811">
              <w:rPr>
                <w:noProof/>
                <w:webHidden/>
              </w:rPr>
              <w:instrText xml:space="preserve"> PAGEREF _Toc119050321 \h </w:instrText>
            </w:r>
            <w:r w:rsidR="00FB0811">
              <w:rPr>
                <w:noProof/>
                <w:webHidden/>
              </w:rPr>
            </w:r>
            <w:r w:rsidR="00FB0811">
              <w:rPr>
                <w:noProof/>
                <w:webHidden/>
              </w:rPr>
              <w:fldChar w:fldCharType="separate"/>
            </w:r>
            <w:r w:rsidR="00FB0811">
              <w:rPr>
                <w:noProof/>
                <w:webHidden/>
              </w:rPr>
              <w:t>42</w:t>
            </w:r>
            <w:r w:rsidR="00FB0811">
              <w:rPr>
                <w:noProof/>
                <w:webHidden/>
              </w:rPr>
              <w:fldChar w:fldCharType="end"/>
            </w:r>
          </w:hyperlink>
        </w:p>
        <w:p w14:paraId="0817F270" w14:textId="458B6B59" w:rsidR="00FB0811" w:rsidRDefault="00B427E2">
          <w:pPr>
            <w:pStyle w:val="TOC2"/>
            <w:tabs>
              <w:tab w:val="left" w:pos="880"/>
            </w:tabs>
            <w:rPr>
              <w:rFonts w:eastAsiaTheme="minorEastAsia" w:cstheme="minorBidi"/>
              <w:b w:val="0"/>
              <w:bCs w:val="0"/>
              <w:noProof/>
              <w:szCs w:val="22"/>
              <w:lang w:val="en-US" w:eastAsia="en-US"/>
            </w:rPr>
          </w:pPr>
          <w:hyperlink w:anchor="_Toc119050322" w:history="1">
            <w:r w:rsidR="00FB0811" w:rsidRPr="00552FCC">
              <w:rPr>
                <w:rStyle w:val="Hyperlink"/>
                <w:noProof/>
                <w:lang w:val="sr-Cyrl-BA"/>
              </w:rPr>
              <w:t>4.2.</w:t>
            </w:r>
            <w:r w:rsidR="00FB0811">
              <w:rPr>
                <w:rFonts w:eastAsiaTheme="minorEastAsia" w:cstheme="minorBidi"/>
                <w:b w:val="0"/>
                <w:bCs w:val="0"/>
                <w:noProof/>
                <w:szCs w:val="22"/>
                <w:lang w:val="en-US" w:eastAsia="en-US"/>
              </w:rPr>
              <w:tab/>
            </w:r>
            <w:r w:rsidR="00FB0811" w:rsidRPr="00552FCC">
              <w:rPr>
                <w:rStyle w:val="Hyperlink"/>
                <w:noProof/>
                <w:lang w:val="sr-Cyrl-BA"/>
              </w:rPr>
              <w:t>Праћење, вредновање и стручно усавршавање наставника</w:t>
            </w:r>
            <w:r w:rsidR="00FB0811">
              <w:rPr>
                <w:noProof/>
                <w:webHidden/>
              </w:rPr>
              <w:tab/>
            </w:r>
            <w:r w:rsidR="00FB0811">
              <w:rPr>
                <w:noProof/>
                <w:webHidden/>
              </w:rPr>
              <w:fldChar w:fldCharType="begin"/>
            </w:r>
            <w:r w:rsidR="00FB0811">
              <w:rPr>
                <w:noProof/>
                <w:webHidden/>
              </w:rPr>
              <w:instrText xml:space="preserve"> PAGEREF _Toc119050322 \h </w:instrText>
            </w:r>
            <w:r w:rsidR="00FB0811">
              <w:rPr>
                <w:noProof/>
                <w:webHidden/>
              </w:rPr>
            </w:r>
            <w:r w:rsidR="00FB0811">
              <w:rPr>
                <w:noProof/>
                <w:webHidden/>
              </w:rPr>
              <w:fldChar w:fldCharType="separate"/>
            </w:r>
            <w:r w:rsidR="00FB0811">
              <w:rPr>
                <w:noProof/>
                <w:webHidden/>
              </w:rPr>
              <w:t>43</w:t>
            </w:r>
            <w:r w:rsidR="00FB0811">
              <w:rPr>
                <w:noProof/>
                <w:webHidden/>
              </w:rPr>
              <w:fldChar w:fldCharType="end"/>
            </w:r>
          </w:hyperlink>
        </w:p>
        <w:p w14:paraId="19BC560E" w14:textId="78CF2A3C" w:rsidR="00FB0811" w:rsidRDefault="00B427E2">
          <w:pPr>
            <w:pStyle w:val="TOC1"/>
            <w:tabs>
              <w:tab w:val="left" w:pos="440"/>
            </w:tabs>
            <w:rPr>
              <w:rFonts w:asciiTheme="minorHAnsi" w:eastAsiaTheme="minorEastAsia" w:hAnsiTheme="minorHAnsi" w:cstheme="minorBidi"/>
              <w:b w:val="0"/>
              <w:noProof/>
              <w:sz w:val="22"/>
              <w:szCs w:val="22"/>
              <w:lang w:val="en-US" w:eastAsia="en-US"/>
            </w:rPr>
          </w:pPr>
          <w:hyperlink w:anchor="_Toc119050323" w:history="1">
            <w:r w:rsidR="00FB0811" w:rsidRPr="00552FCC">
              <w:rPr>
                <w:rStyle w:val="Hyperlink"/>
                <w:noProof/>
                <w:lang w:val="hr-BA"/>
              </w:rPr>
              <w:t>5.</w:t>
            </w:r>
            <w:r w:rsidR="00FB0811">
              <w:rPr>
                <w:rFonts w:asciiTheme="minorHAnsi" w:eastAsiaTheme="minorEastAsia" w:hAnsiTheme="minorHAnsi" w:cstheme="minorBidi"/>
                <w:b w:val="0"/>
                <w:noProof/>
                <w:sz w:val="22"/>
                <w:szCs w:val="22"/>
                <w:lang w:val="en-US" w:eastAsia="en-US"/>
              </w:rPr>
              <w:tab/>
            </w:r>
            <w:r w:rsidR="00FB0811" w:rsidRPr="00552FCC">
              <w:rPr>
                <w:rStyle w:val="Hyperlink"/>
                <w:noProof/>
              </w:rPr>
              <w:t>Успостављање механизама за осигурање квалитета у образовању</w:t>
            </w:r>
            <w:r w:rsidR="00FB0811">
              <w:rPr>
                <w:noProof/>
                <w:webHidden/>
              </w:rPr>
              <w:tab/>
            </w:r>
            <w:r w:rsidR="00FB0811">
              <w:rPr>
                <w:noProof/>
                <w:webHidden/>
              </w:rPr>
              <w:fldChar w:fldCharType="begin"/>
            </w:r>
            <w:r w:rsidR="00FB0811">
              <w:rPr>
                <w:noProof/>
                <w:webHidden/>
              </w:rPr>
              <w:instrText xml:space="preserve"> PAGEREF _Toc119050323 \h </w:instrText>
            </w:r>
            <w:r w:rsidR="00FB0811">
              <w:rPr>
                <w:noProof/>
                <w:webHidden/>
              </w:rPr>
            </w:r>
            <w:r w:rsidR="00FB0811">
              <w:rPr>
                <w:noProof/>
                <w:webHidden/>
              </w:rPr>
              <w:fldChar w:fldCharType="separate"/>
            </w:r>
            <w:r w:rsidR="00FB0811">
              <w:rPr>
                <w:noProof/>
                <w:webHidden/>
              </w:rPr>
              <w:t>48</w:t>
            </w:r>
            <w:r w:rsidR="00FB0811">
              <w:rPr>
                <w:noProof/>
                <w:webHidden/>
              </w:rPr>
              <w:fldChar w:fldCharType="end"/>
            </w:r>
          </w:hyperlink>
        </w:p>
        <w:p w14:paraId="693E26BC" w14:textId="1D8EFEE5" w:rsidR="00FB0811" w:rsidRDefault="00B427E2">
          <w:pPr>
            <w:pStyle w:val="TOC2"/>
            <w:tabs>
              <w:tab w:val="left" w:pos="880"/>
            </w:tabs>
            <w:rPr>
              <w:rFonts w:eastAsiaTheme="minorEastAsia" w:cstheme="minorBidi"/>
              <w:b w:val="0"/>
              <w:bCs w:val="0"/>
              <w:noProof/>
              <w:szCs w:val="22"/>
              <w:lang w:val="en-US" w:eastAsia="en-US"/>
            </w:rPr>
          </w:pPr>
          <w:hyperlink w:anchor="_Toc119050324" w:history="1">
            <w:r w:rsidR="00FB0811" w:rsidRPr="00552FCC">
              <w:rPr>
                <w:rStyle w:val="Hyperlink"/>
                <w:noProof/>
                <w:lang w:val="sr-Cyrl-BA"/>
              </w:rPr>
              <w:t>5.1.</w:t>
            </w:r>
            <w:r w:rsidR="00FB0811">
              <w:rPr>
                <w:rFonts w:eastAsiaTheme="minorEastAsia" w:cstheme="minorBidi"/>
                <w:b w:val="0"/>
                <w:bCs w:val="0"/>
                <w:noProof/>
                <w:szCs w:val="22"/>
                <w:lang w:val="en-US" w:eastAsia="en-US"/>
              </w:rPr>
              <w:tab/>
            </w:r>
            <w:r w:rsidR="00FB0811" w:rsidRPr="00552FCC">
              <w:rPr>
                <w:rStyle w:val="Hyperlink"/>
                <w:noProof/>
                <w:lang w:val="sr-Cyrl-BA"/>
              </w:rPr>
              <w:t>(Само)вредновање у основним и средњим школама</w:t>
            </w:r>
            <w:r w:rsidR="00FB0811">
              <w:rPr>
                <w:noProof/>
                <w:webHidden/>
              </w:rPr>
              <w:tab/>
            </w:r>
            <w:r w:rsidR="00FB0811">
              <w:rPr>
                <w:noProof/>
                <w:webHidden/>
              </w:rPr>
              <w:fldChar w:fldCharType="begin"/>
            </w:r>
            <w:r w:rsidR="00FB0811">
              <w:rPr>
                <w:noProof/>
                <w:webHidden/>
              </w:rPr>
              <w:instrText xml:space="preserve"> PAGEREF _Toc119050324 \h </w:instrText>
            </w:r>
            <w:r w:rsidR="00FB0811">
              <w:rPr>
                <w:noProof/>
                <w:webHidden/>
              </w:rPr>
            </w:r>
            <w:r w:rsidR="00FB0811">
              <w:rPr>
                <w:noProof/>
                <w:webHidden/>
              </w:rPr>
              <w:fldChar w:fldCharType="separate"/>
            </w:r>
            <w:r w:rsidR="00FB0811">
              <w:rPr>
                <w:noProof/>
                <w:webHidden/>
              </w:rPr>
              <w:t>48</w:t>
            </w:r>
            <w:r w:rsidR="00FB0811">
              <w:rPr>
                <w:noProof/>
                <w:webHidden/>
              </w:rPr>
              <w:fldChar w:fldCharType="end"/>
            </w:r>
          </w:hyperlink>
        </w:p>
        <w:p w14:paraId="1060D75C" w14:textId="50C4492D" w:rsidR="00FB0811" w:rsidRDefault="00B427E2">
          <w:pPr>
            <w:pStyle w:val="TOC3"/>
            <w:tabs>
              <w:tab w:val="left" w:pos="1320"/>
            </w:tabs>
            <w:rPr>
              <w:rFonts w:eastAsiaTheme="minorEastAsia" w:cstheme="minorBidi"/>
              <w:noProof/>
              <w:sz w:val="22"/>
              <w:szCs w:val="22"/>
              <w:lang w:val="en-US" w:eastAsia="en-US"/>
            </w:rPr>
          </w:pPr>
          <w:hyperlink w:anchor="_Toc119050325" w:history="1">
            <w:r w:rsidR="00FB0811" w:rsidRPr="00552FCC">
              <w:rPr>
                <w:rStyle w:val="Hyperlink"/>
                <w:noProof/>
                <w:lang w:val="sr-Cyrl-BA"/>
              </w:rPr>
              <w:t>5.1.1.</w:t>
            </w:r>
            <w:r w:rsidR="00FB0811">
              <w:rPr>
                <w:rFonts w:eastAsiaTheme="minorEastAsia" w:cstheme="minorBidi"/>
                <w:noProof/>
                <w:sz w:val="22"/>
                <w:szCs w:val="22"/>
                <w:lang w:val="en-US" w:eastAsia="en-US"/>
              </w:rPr>
              <w:tab/>
            </w:r>
            <w:r w:rsidR="00FB0811" w:rsidRPr="00552FCC">
              <w:rPr>
                <w:rStyle w:val="Hyperlink"/>
                <w:noProof/>
                <w:lang w:val="sr-Cyrl-BA"/>
              </w:rPr>
              <w:t>Метод СЕЛФИЕ</w:t>
            </w:r>
            <w:r w:rsidR="00FB0811">
              <w:rPr>
                <w:noProof/>
                <w:webHidden/>
              </w:rPr>
              <w:tab/>
            </w:r>
            <w:r w:rsidR="00FB0811">
              <w:rPr>
                <w:noProof/>
                <w:webHidden/>
              </w:rPr>
              <w:fldChar w:fldCharType="begin"/>
            </w:r>
            <w:r w:rsidR="00FB0811">
              <w:rPr>
                <w:noProof/>
                <w:webHidden/>
              </w:rPr>
              <w:instrText xml:space="preserve"> PAGEREF _Toc119050325 \h </w:instrText>
            </w:r>
            <w:r w:rsidR="00FB0811">
              <w:rPr>
                <w:noProof/>
                <w:webHidden/>
              </w:rPr>
            </w:r>
            <w:r w:rsidR="00FB0811">
              <w:rPr>
                <w:noProof/>
                <w:webHidden/>
              </w:rPr>
              <w:fldChar w:fldCharType="separate"/>
            </w:r>
            <w:r w:rsidR="00FB0811">
              <w:rPr>
                <w:noProof/>
                <w:webHidden/>
              </w:rPr>
              <w:t>49</w:t>
            </w:r>
            <w:r w:rsidR="00FB0811">
              <w:rPr>
                <w:noProof/>
                <w:webHidden/>
              </w:rPr>
              <w:fldChar w:fldCharType="end"/>
            </w:r>
          </w:hyperlink>
        </w:p>
        <w:p w14:paraId="6E32AED3" w14:textId="11C48BAB" w:rsidR="00FB0811" w:rsidRDefault="00B427E2">
          <w:pPr>
            <w:pStyle w:val="TOC2"/>
            <w:tabs>
              <w:tab w:val="left" w:pos="880"/>
            </w:tabs>
            <w:rPr>
              <w:rFonts w:eastAsiaTheme="minorEastAsia" w:cstheme="minorBidi"/>
              <w:b w:val="0"/>
              <w:bCs w:val="0"/>
              <w:noProof/>
              <w:szCs w:val="22"/>
              <w:lang w:val="en-US" w:eastAsia="en-US"/>
            </w:rPr>
          </w:pPr>
          <w:hyperlink w:anchor="_Toc119050326" w:history="1">
            <w:r w:rsidR="00FB0811" w:rsidRPr="00552FCC">
              <w:rPr>
                <w:rStyle w:val="Hyperlink"/>
                <w:noProof/>
                <w:lang w:val="sr-Cyrl-BA"/>
              </w:rPr>
              <w:t>5.2.</w:t>
            </w:r>
            <w:r w:rsidR="00FB0811">
              <w:rPr>
                <w:rFonts w:eastAsiaTheme="minorEastAsia" w:cstheme="minorBidi"/>
                <w:b w:val="0"/>
                <w:bCs w:val="0"/>
                <w:noProof/>
                <w:szCs w:val="22"/>
                <w:lang w:val="en-US" w:eastAsia="en-US"/>
              </w:rPr>
              <w:tab/>
            </w:r>
            <w:r w:rsidR="00FB0811" w:rsidRPr="00552FCC">
              <w:rPr>
                <w:rStyle w:val="Hyperlink"/>
                <w:noProof/>
                <w:lang w:val="sr-Cyrl-BA"/>
              </w:rPr>
              <w:t>(Само)вредновање квалитете рада у високошколским институцијама</w:t>
            </w:r>
            <w:r w:rsidR="00FB0811">
              <w:rPr>
                <w:noProof/>
                <w:webHidden/>
              </w:rPr>
              <w:tab/>
            </w:r>
            <w:r w:rsidR="00FB0811">
              <w:rPr>
                <w:noProof/>
                <w:webHidden/>
              </w:rPr>
              <w:fldChar w:fldCharType="begin"/>
            </w:r>
            <w:r w:rsidR="00FB0811">
              <w:rPr>
                <w:noProof/>
                <w:webHidden/>
              </w:rPr>
              <w:instrText xml:space="preserve"> PAGEREF _Toc119050326 \h </w:instrText>
            </w:r>
            <w:r w:rsidR="00FB0811">
              <w:rPr>
                <w:noProof/>
                <w:webHidden/>
              </w:rPr>
            </w:r>
            <w:r w:rsidR="00FB0811">
              <w:rPr>
                <w:noProof/>
                <w:webHidden/>
              </w:rPr>
              <w:fldChar w:fldCharType="separate"/>
            </w:r>
            <w:r w:rsidR="00FB0811">
              <w:rPr>
                <w:noProof/>
                <w:webHidden/>
              </w:rPr>
              <w:t>51</w:t>
            </w:r>
            <w:r w:rsidR="00FB0811">
              <w:rPr>
                <w:noProof/>
                <w:webHidden/>
              </w:rPr>
              <w:fldChar w:fldCharType="end"/>
            </w:r>
          </w:hyperlink>
        </w:p>
        <w:p w14:paraId="2969BCA8" w14:textId="42D68383" w:rsidR="00FB0811" w:rsidRDefault="00B427E2">
          <w:pPr>
            <w:pStyle w:val="TOC2"/>
            <w:tabs>
              <w:tab w:val="left" w:pos="880"/>
            </w:tabs>
            <w:rPr>
              <w:rFonts w:eastAsiaTheme="minorEastAsia" w:cstheme="minorBidi"/>
              <w:b w:val="0"/>
              <w:bCs w:val="0"/>
              <w:noProof/>
              <w:szCs w:val="22"/>
              <w:lang w:val="en-US" w:eastAsia="en-US"/>
            </w:rPr>
          </w:pPr>
          <w:hyperlink w:anchor="_Toc119050327" w:history="1">
            <w:r w:rsidR="00FB0811" w:rsidRPr="00552FCC">
              <w:rPr>
                <w:rStyle w:val="Hyperlink"/>
                <w:noProof/>
                <w:lang w:val="sr-Cyrl-BA"/>
              </w:rPr>
              <w:t>5.3.</w:t>
            </w:r>
            <w:r w:rsidR="00FB0811">
              <w:rPr>
                <w:rFonts w:eastAsiaTheme="minorEastAsia" w:cstheme="minorBidi"/>
                <w:b w:val="0"/>
                <w:bCs w:val="0"/>
                <w:noProof/>
                <w:szCs w:val="22"/>
                <w:lang w:val="en-US" w:eastAsia="en-US"/>
              </w:rPr>
              <w:tab/>
            </w:r>
            <w:r w:rsidR="00FB0811" w:rsidRPr="00552FCC">
              <w:rPr>
                <w:rStyle w:val="Hyperlink"/>
                <w:noProof/>
                <w:lang w:val="sr-Cyrl-BA"/>
              </w:rPr>
              <w:t>Информатички систем за управљање образовањем</w:t>
            </w:r>
            <w:r w:rsidR="00FB0811">
              <w:rPr>
                <w:noProof/>
                <w:webHidden/>
              </w:rPr>
              <w:tab/>
            </w:r>
            <w:r w:rsidR="00FB0811">
              <w:rPr>
                <w:noProof/>
                <w:webHidden/>
              </w:rPr>
              <w:fldChar w:fldCharType="begin"/>
            </w:r>
            <w:r w:rsidR="00FB0811">
              <w:rPr>
                <w:noProof/>
                <w:webHidden/>
              </w:rPr>
              <w:instrText xml:space="preserve"> PAGEREF _Toc119050327 \h </w:instrText>
            </w:r>
            <w:r w:rsidR="00FB0811">
              <w:rPr>
                <w:noProof/>
                <w:webHidden/>
              </w:rPr>
            </w:r>
            <w:r w:rsidR="00FB0811">
              <w:rPr>
                <w:noProof/>
                <w:webHidden/>
              </w:rPr>
              <w:fldChar w:fldCharType="separate"/>
            </w:r>
            <w:r w:rsidR="00FB0811">
              <w:rPr>
                <w:noProof/>
                <w:webHidden/>
              </w:rPr>
              <w:t>53</w:t>
            </w:r>
            <w:r w:rsidR="00FB0811">
              <w:rPr>
                <w:noProof/>
                <w:webHidden/>
              </w:rPr>
              <w:fldChar w:fldCharType="end"/>
            </w:r>
          </w:hyperlink>
        </w:p>
        <w:p w14:paraId="58773100" w14:textId="3C1C3D95" w:rsidR="00FB0811" w:rsidRDefault="00B427E2">
          <w:pPr>
            <w:pStyle w:val="TOC3"/>
            <w:tabs>
              <w:tab w:val="left" w:pos="1320"/>
            </w:tabs>
            <w:rPr>
              <w:rFonts w:eastAsiaTheme="minorEastAsia" w:cstheme="minorBidi"/>
              <w:noProof/>
              <w:sz w:val="22"/>
              <w:szCs w:val="22"/>
              <w:lang w:val="en-US" w:eastAsia="en-US"/>
            </w:rPr>
          </w:pPr>
          <w:hyperlink w:anchor="_Toc119050328" w:history="1">
            <w:r w:rsidR="00FB0811" w:rsidRPr="00552FCC">
              <w:rPr>
                <w:rStyle w:val="Hyperlink"/>
                <w:noProof/>
                <w:lang w:val="sr-Cyrl-BA"/>
              </w:rPr>
              <w:t>5.3.1.</w:t>
            </w:r>
            <w:r w:rsidR="00FB0811">
              <w:rPr>
                <w:rFonts w:eastAsiaTheme="minorEastAsia" w:cstheme="minorBidi"/>
                <w:noProof/>
                <w:sz w:val="22"/>
                <w:szCs w:val="22"/>
                <w:lang w:val="en-US" w:eastAsia="en-US"/>
              </w:rPr>
              <w:tab/>
            </w:r>
            <w:r w:rsidR="00FB0811" w:rsidRPr="00552FCC">
              <w:rPr>
                <w:rStyle w:val="Hyperlink"/>
                <w:noProof/>
                <w:lang w:val="sr-Cyrl-BA"/>
              </w:rPr>
              <w:t>Основно и средње образовање</w:t>
            </w:r>
            <w:r w:rsidR="00FB0811">
              <w:rPr>
                <w:noProof/>
                <w:webHidden/>
              </w:rPr>
              <w:tab/>
            </w:r>
            <w:r w:rsidR="00FB0811">
              <w:rPr>
                <w:noProof/>
                <w:webHidden/>
              </w:rPr>
              <w:fldChar w:fldCharType="begin"/>
            </w:r>
            <w:r w:rsidR="00FB0811">
              <w:rPr>
                <w:noProof/>
                <w:webHidden/>
              </w:rPr>
              <w:instrText xml:space="preserve"> PAGEREF _Toc119050328 \h </w:instrText>
            </w:r>
            <w:r w:rsidR="00FB0811">
              <w:rPr>
                <w:noProof/>
                <w:webHidden/>
              </w:rPr>
            </w:r>
            <w:r w:rsidR="00FB0811">
              <w:rPr>
                <w:noProof/>
                <w:webHidden/>
              </w:rPr>
              <w:fldChar w:fldCharType="separate"/>
            </w:r>
            <w:r w:rsidR="00FB0811">
              <w:rPr>
                <w:noProof/>
                <w:webHidden/>
              </w:rPr>
              <w:t>53</w:t>
            </w:r>
            <w:r w:rsidR="00FB0811">
              <w:rPr>
                <w:noProof/>
                <w:webHidden/>
              </w:rPr>
              <w:fldChar w:fldCharType="end"/>
            </w:r>
          </w:hyperlink>
        </w:p>
        <w:p w14:paraId="6F9FC123" w14:textId="210EA445" w:rsidR="00FB0811" w:rsidRDefault="00B427E2">
          <w:pPr>
            <w:pStyle w:val="TOC3"/>
            <w:tabs>
              <w:tab w:val="left" w:pos="1320"/>
            </w:tabs>
            <w:rPr>
              <w:rFonts w:eastAsiaTheme="minorEastAsia" w:cstheme="minorBidi"/>
              <w:noProof/>
              <w:sz w:val="22"/>
              <w:szCs w:val="22"/>
              <w:lang w:val="en-US" w:eastAsia="en-US"/>
            </w:rPr>
          </w:pPr>
          <w:hyperlink w:anchor="_Toc119050329" w:history="1">
            <w:r w:rsidR="00FB0811" w:rsidRPr="00552FCC">
              <w:rPr>
                <w:rStyle w:val="Hyperlink"/>
                <w:noProof/>
                <w:lang w:val="sr-Cyrl-BA"/>
              </w:rPr>
              <w:t>5.3.2.</w:t>
            </w:r>
            <w:r w:rsidR="00FB0811">
              <w:rPr>
                <w:rFonts w:eastAsiaTheme="minorEastAsia" w:cstheme="minorBidi"/>
                <w:noProof/>
                <w:sz w:val="22"/>
                <w:szCs w:val="22"/>
                <w:lang w:val="en-US" w:eastAsia="en-US"/>
              </w:rPr>
              <w:tab/>
            </w:r>
            <w:r w:rsidR="00FB0811" w:rsidRPr="00552FCC">
              <w:rPr>
                <w:rStyle w:val="Hyperlink"/>
                <w:noProof/>
                <w:lang w:val="sr-Cyrl-BA"/>
              </w:rPr>
              <w:t>Високо образовање</w:t>
            </w:r>
            <w:r w:rsidR="00FB0811">
              <w:rPr>
                <w:noProof/>
                <w:webHidden/>
              </w:rPr>
              <w:tab/>
            </w:r>
            <w:r w:rsidR="00FB0811">
              <w:rPr>
                <w:noProof/>
                <w:webHidden/>
              </w:rPr>
              <w:fldChar w:fldCharType="begin"/>
            </w:r>
            <w:r w:rsidR="00FB0811">
              <w:rPr>
                <w:noProof/>
                <w:webHidden/>
              </w:rPr>
              <w:instrText xml:space="preserve"> PAGEREF _Toc119050329 \h </w:instrText>
            </w:r>
            <w:r w:rsidR="00FB0811">
              <w:rPr>
                <w:noProof/>
                <w:webHidden/>
              </w:rPr>
            </w:r>
            <w:r w:rsidR="00FB0811">
              <w:rPr>
                <w:noProof/>
                <w:webHidden/>
              </w:rPr>
              <w:fldChar w:fldCharType="separate"/>
            </w:r>
            <w:r w:rsidR="00FB0811">
              <w:rPr>
                <w:noProof/>
                <w:webHidden/>
              </w:rPr>
              <w:t>54</w:t>
            </w:r>
            <w:r w:rsidR="00FB0811">
              <w:rPr>
                <w:noProof/>
                <w:webHidden/>
              </w:rPr>
              <w:fldChar w:fldCharType="end"/>
            </w:r>
          </w:hyperlink>
        </w:p>
        <w:p w14:paraId="5EC14A62" w14:textId="7D551B54" w:rsidR="00FB0811" w:rsidRDefault="00B427E2">
          <w:pPr>
            <w:pStyle w:val="TOC1"/>
            <w:tabs>
              <w:tab w:val="left" w:pos="440"/>
            </w:tabs>
            <w:rPr>
              <w:rFonts w:asciiTheme="minorHAnsi" w:eastAsiaTheme="minorEastAsia" w:hAnsiTheme="minorHAnsi" w:cstheme="minorBidi"/>
              <w:b w:val="0"/>
              <w:noProof/>
              <w:sz w:val="22"/>
              <w:szCs w:val="22"/>
              <w:lang w:val="en-US" w:eastAsia="en-US"/>
            </w:rPr>
          </w:pPr>
          <w:hyperlink w:anchor="_Toc119050330" w:history="1">
            <w:r w:rsidR="00FB0811" w:rsidRPr="00552FCC">
              <w:rPr>
                <w:rStyle w:val="Hyperlink"/>
                <w:noProof/>
                <w:lang w:val="sr-Cyrl-BA"/>
              </w:rPr>
              <w:t>6.</w:t>
            </w:r>
            <w:r w:rsidR="00FB0811">
              <w:rPr>
                <w:rFonts w:asciiTheme="minorHAnsi" w:eastAsiaTheme="minorEastAsia" w:hAnsiTheme="minorHAnsi" w:cstheme="minorBidi"/>
                <w:b w:val="0"/>
                <w:noProof/>
                <w:sz w:val="22"/>
                <w:szCs w:val="22"/>
                <w:lang w:val="en-US" w:eastAsia="en-US"/>
              </w:rPr>
              <w:tab/>
            </w:r>
            <w:r w:rsidR="00FB0811" w:rsidRPr="00552FCC">
              <w:rPr>
                <w:rStyle w:val="Hyperlink"/>
                <w:noProof/>
                <w:lang w:val="sr-Cyrl-BA"/>
              </w:rPr>
              <w:t>Препоруке</w:t>
            </w:r>
            <w:r w:rsidR="00FB0811">
              <w:rPr>
                <w:noProof/>
                <w:webHidden/>
              </w:rPr>
              <w:tab/>
            </w:r>
            <w:r w:rsidR="00FB0811">
              <w:rPr>
                <w:noProof/>
                <w:webHidden/>
              </w:rPr>
              <w:fldChar w:fldCharType="begin"/>
            </w:r>
            <w:r w:rsidR="00FB0811">
              <w:rPr>
                <w:noProof/>
                <w:webHidden/>
              </w:rPr>
              <w:instrText xml:space="preserve"> PAGEREF _Toc119050330 \h </w:instrText>
            </w:r>
            <w:r w:rsidR="00FB0811">
              <w:rPr>
                <w:noProof/>
                <w:webHidden/>
              </w:rPr>
            </w:r>
            <w:r w:rsidR="00FB0811">
              <w:rPr>
                <w:noProof/>
                <w:webHidden/>
              </w:rPr>
              <w:fldChar w:fldCharType="separate"/>
            </w:r>
            <w:r w:rsidR="00FB0811">
              <w:rPr>
                <w:noProof/>
                <w:webHidden/>
              </w:rPr>
              <w:t>55</w:t>
            </w:r>
            <w:r w:rsidR="00FB0811">
              <w:rPr>
                <w:noProof/>
                <w:webHidden/>
              </w:rPr>
              <w:fldChar w:fldCharType="end"/>
            </w:r>
          </w:hyperlink>
        </w:p>
        <w:p w14:paraId="384F7662" w14:textId="7CC7249B" w:rsidR="00FB0811" w:rsidRDefault="00B427E2">
          <w:pPr>
            <w:pStyle w:val="TOC1"/>
            <w:tabs>
              <w:tab w:val="left" w:pos="440"/>
            </w:tabs>
            <w:rPr>
              <w:rFonts w:asciiTheme="minorHAnsi" w:eastAsiaTheme="minorEastAsia" w:hAnsiTheme="minorHAnsi" w:cstheme="minorBidi"/>
              <w:b w:val="0"/>
              <w:noProof/>
              <w:sz w:val="22"/>
              <w:szCs w:val="22"/>
              <w:lang w:val="en-US" w:eastAsia="en-US"/>
            </w:rPr>
          </w:pPr>
          <w:hyperlink w:anchor="_Toc119050331" w:history="1">
            <w:r w:rsidR="00FB0811" w:rsidRPr="00552FCC">
              <w:rPr>
                <w:rStyle w:val="Hyperlink"/>
                <w:noProof/>
                <w:lang w:val="sr-Cyrl-BA"/>
              </w:rPr>
              <w:t>7.</w:t>
            </w:r>
            <w:r w:rsidR="00FB0811">
              <w:rPr>
                <w:rFonts w:asciiTheme="minorHAnsi" w:eastAsiaTheme="minorEastAsia" w:hAnsiTheme="minorHAnsi" w:cstheme="minorBidi"/>
                <w:b w:val="0"/>
                <w:noProof/>
                <w:sz w:val="22"/>
                <w:szCs w:val="22"/>
                <w:lang w:val="en-US" w:eastAsia="en-US"/>
              </w:rPr>
              <w:tab/>
            </w:r>
            <w:r w:rsidR="00FB0811" w:rsidRPr="00552FCC">
              <w:rPr>
                <w:rStyle w:val="Hyperlink"/>
                <w:noProof/>
                <w:lang w:val="sr-Cyrl-BA"/>
              </w:rPr>
              <w:t>Литература</w:t>
            </w:r>
            <w:r w:rsidR="00FB0811">
              <w:rPr>
                <w:noProof/>
                <w:webHidden/>
              </w:rPr>
              <w:tab/>
            </w:r>
            <w:r w:rsidR="00FB0811">
              <w:rPr>
                <w:noProof/>
                <w:webHidden/>
              </w:rPr>
              <w:fldChar w:fldCharType="begin"/>
            </w:r>
            <w:r w:rsidR="00FB0811">
              <w:rPr>
                <w:noProof/>
                <w:webHidden/>
              </w:rPr>
              <w:instrText xml:space="preserve"> PAGEREF _Toc119050331 \h </w:instrText>
            </w:r>
            <w:r w:rsidR="00FB0811">
              <w:rPr>
                <w:noProof/>
                <w:webHidden/>
              </w:rPr>
            </w:r>
            <w:r w:rsidR="00FB0811">
              <w:rPr>
                <w:noProof/>
                <w:webHidden/>
              </w:rPr>
              <w:fldChar w:fldCharType="separate"/>
            </w:r>
            <w:r w:rsidR="00FB0811">
              <w:rPr>
                <w:noProof/>
                <w:webHidden/>
              </w:rPr>
              <w:t>68</w:t>
            </w:r>
            <w:r w:rsidR="00FB0811">
              <w:rPr>
                <w:noProof/>
                <w:webHidden/>
              </w:rPr>
              <w:fldChar w:fldCharType="end"/>
            </w:r>
          </w:hyperlink>
        </w:p>
        <w:p w14:paraId="6ADCEBE6" w14:textId="5B7D4CD7" w:rsidR="00F00E30" w:rsidRPr="00F6340E" w:rsidRDefault="00F00E30" w:rsidP="00D519BB">
          <w:pPr>
            <w:pStyle w:val="TOC1"/>
            <w:rPr>
              <w:color w:val="000000" w:themeColor="text1"/>
              <w:lang w:val="sr-Cyrl-BA"/>
            </w:rPr>
          </w:pPr>
          <w:r w:rsidRPr="00F6340E">
            <w:rPr>
              <w:b w:val="0"/>
              <w:color w:val="000000" w:themeColor="text1"/>
              <w:lang w:val="sr-Cyrl-BA"/>
            </w:rPr>
            <w:fldChar w:fldCharType="end"/>
          </w:r>
        </w:p>
      </w:sdtContent>
    </w:sdt>
    <w:p w14:paraId="006A76EE" w14:textId="349FF3A4" w:rsidR="007A59F9" w:rsidRPr="00F6340E" w:rsidRDefault="007A59F9">
      <w:pPr>
        <w:spacing w:after="160" w:line="259" w:lineRule="auto"/>
        <w:jc w:val="left"/>
        <w:rPr>
          <w:rFonts w:ascii="Arial" w:hAnsi="Arial" w:cs="Arial"/>
          <w:color w:val="000000" w:themeColor="text1"/>
          <w:lang w:val="sr-Cyrl-BA"/>
        </w:rPr>
      </w:pPr>
      <w:r w:rsidRPr="00F6340E">
        <w:rPr>
          <w:rFonts w:ascii="Arial" w:hAnsi="Arial" w:cs="Arial"/>
          <w:color w:val="000000" w:themeColor="text1"/>
          <w:lang w:val="sr-Cyrl-BA"/>
        </w:rPr>
        <w:br w:type="page"/>
      </w:r>
    </w:p>
    <w:p w14:paraId="23B3E55E" w14:textId="02C2FE84" w:rsidR="00AA1DC5" w:rsidRPr="00F6340E" w:rsidRDefault="0071360A" w:rsidP="00F83E0E">
      <w:pPr>
        <w:pStyle w:val="Heading1"/>
        <w:spacing w:before="200" w:after="200" w:line="276" w:lineRule="auto"/>
        <w:rPr>
          <w:rFonts w:eastAsia="Times New Roman" w:cs="Arial"/>
          <w:sz w:val="24"/>
          <w:szCs w:val="24"/>
          <w:lang w:val="sr-Cyrl-BA"/>
        </w:rPr>
      </w:pPr>
      <w:bookmarkStart w:id="2" w:name="_Toc119050287"/>
      <w:r>
        <w:rPr>
          <w:rFonts w:cs="Arial"/>
          <w:lang w:val="sr-Cyrl-BA"/>
        </w:rPr>
        <w:lastRenderedPageBreak/>
        <w:t>С</w:t>
      </w:r>
      <w:r w:rsidR="00A56E08">
        <w:rPr>
          <w:rFonts w:cs="Arial"/>
          <w:lang w:val="sr-Cyrl-BA"/>
        </w:rPr>
        <w:t>к</w:t>
      </w:r>
      <w:r>
        <w:rPr>
          <w:rFonts w:cs="Arial"/>
          <w:lang w:val="sr-Cyrl-BA"/>
        </w:rPr>
        <w:t>р</w:t>
      </w:r>
      <w:r w:rsidR="00A56E08">
        <w:rPr>
          <w:rFonts w:cs="Arial"/>
          <w:lang w:val="sr-Cyrl-BA"/>
        </w:rPr>
        <w:t>аћ</w:t>
      </w:r>
      <w:r w:rsidR="00EE6AA2">
        <w:rPr>
          <w:rFonts w:cs="Arial"/>
          <w:lang w:val="sr-Cyrl-BA"/>
        </w:rPr>
        <w:t>е</w:t>
      </w:r>
      <w:r w:rsidR="00A56E08">
        <w:rPr>
          <w:rFonts w:cs="Arial"/>
          <w:lang w:val="sr-Cyrl-BA"/>
        </w:rPr>
        <w:t>ниц</w:t>
      </w:r>
      <w:r w:rsidR="00EE6AA2">
        <w:rPr>
          <w:rFonts w:cs="Arial"/>
          <w:lang w:val="sr-Cyrl-BA"/>
        </w:rPr>
        <w:t>е</w:t>
      </w:r>
      <w:bookmarkEnd w:id="2"/>
    </w:p>
    <w:p w14:paraId="463F3C69" w14:textId="77777777" w:rsidR="001A6D76" w:rsidRDefault="001A6D76" w:rsidP="00F83E0E">
      <w:pPr>
        <w:spacing w:before="200" w:after="200" w:line="276" w:lineRule="auto"/>
        <w:rPr>
          <w:rFonts w:ascii="Arial" w:hAnsi="Arial" w:cs="Arial"/>
          <w:b/>
          <w:color w:val="000000" w:themeColor="text1"/>
          <w:lang w:val="sr-Cyrl-BA"/>
        </w:rPr>
      </w:pPr>
    </w:p>
    <w:p w14:paraId="4772FA53" w14:textId="475890D6"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БД</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w:t>
      </w:r>
      <w:r w:rsidR="001A6D76">
        <w:rPr>
          <w:rFonts w:ascii="Arial" w:hAnsi="Arial" w:cs="Arial"/>
          <w:color w:val="000000" w:themeColor="text1"/>
          <w:sz w:val="24"/>
          <w:szCs w:val="24"/>
          <w:lang w:val="sr-Latn-BA"/>
        </w:rPr>
        <w:t xml:space="preserve"> </w:t>
      </w:r>
      <w:r w:rsidR="00AA1DC5" w:rsidRPr="001A6D76">
        <w:rPr>
          <w:rFonts w:ascii="Arial" w:hAnsi="Arial" w:cs="Arial"/>
          <w:color w:val="000000" w:themeColor="text1"/>
          <w:sz w:val="24"/>
          <w:szCs w:val="24"/>
          <w:lang w:val="sr-Cyrl-BA"/>
        </w:rPr>
        <w:t xml:space="preserve">   </w:t>
      </w:r>
      <w:r w:rsidR="00AA1DC5" w:rsidRP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Б</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чко</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ди</w:t>
      </w:r>
      <w:r w:rsidR="0071360A" w:rsidRPr="001A6D76">
        <w:rPr>
          <w:rFonts w:ascii="Arial" w:hAnsi="Arial" w:cs="Arial"/>
          <w:color w:val="000000" w:themeColor="text1"/>
          <w:sz w:val="24"/>
          <w:szCs w:val="24"/>
          <w:lang w:val="sr-Cyrl-BA"/>
        </w:rPr>
        <w:t>стр</w:t>
      </w:r>
      <w:r w:rsidRPr="001A6D76">
        <w:rPr>
          <w:rFonts w:ascii="Arial" w:hAnsi="Arial" w:cs="Arial"/>
          <w:color w:val="000000" w:themeColor="text1"/>
          <w:sz w:val="24"/>
          <w:szCs w:val="24"/>
          <w:lang w:val="sr-Cyrl-BA"/>
        </w:rPr>
        <w:t>ик</w:t>
      </w:r>
      <w:r w:rsidR="0071360A" w:rsidRPr="001A6D76">
        <w:rPr>
          <w:rFonts w:ascii="Arial" w:hAnsi="Arial" w:cs="Arial"/>
          <w:color w:val="000000" w:themeColor="text1"/>
          <w:sz w:val="24"/>
          <w:szCs w:val="24"/>
          <w:lang w:val="sr-Cyrl-BA"/>
        </w:rPr>
        <w:t>т</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Бо</w:t>
      </w:r>
      <w:r w:rsidR="0071360A" w:rsidRPr="001A6D76">
        <w:rPr>
          <w:rFonts w:ascii="Arial" w:hAnsi="Arial" w:cs="Arial"/>
          <w:color w:val="000000" w:themeColor="text1"/>
          <w:sz w:val="24"/>
          <w:szCs w:val="24"/>
          <w:lang w:val="sr-Cyrl-BA"/>
        </w:rPr>
        <w:t>с</w:t>
      </w:r>
      <w:r w:rsidRPr="001A6D76">
        <w:rPr>
          <w:rFonts w:ascii="Arial" w:hAnsi="Arial" w:cs="Arial"/>
          <w:color w:val="000000" w:themeColor="text1"/>
          <w:sz w:val="24"/>
          <w:szCs w:val="24"/>
          <w:lang w:val="sr-Cyrl-BA"/>
        </w:rPr>
        <w:t>н</w:t>
      </w:r>
      <w:r w:rsidR="00EE6AA2" w:rsidRPr="001A6D76">
        <w:rPr>
          <w:rFonts w:ascii="Arial" w:hAnsi="Arial" w:cs="Arial"/>
          <w:color w:val="000000" w:themeColor="text1"/>
          <w:sz w:val="24"/>
          <w:szCs w:val="24"/>
          <w:lang w:val="sr-Cyrl-BA"/>
        </w:rPr>
        <w:t>е</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и</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Х</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ц</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го</w:t>
      </w:r>
      <w:r w:rsidR="0071360A" w:rsidRPr="001A6D76">
        <w:rPr>
          <w:rFonts w:ascii="Arial" w:hAnsi="Arial" w:cs="Arial"/>
          <w:color w:val="000000" w:themeColor="text1"/>
          <w:sz w:val="24"/>
          <w:szCs w:val="24"/>
          <w:lang w:val="sr-Cyrl-BA"/>
        </w:rPr>
        <w:t>в</w:t>
      </w:r>
      <w:r w:rsidRPr="001A6D76">
        <w:rPr>
          <w:rFonts w:ascii="Arial" w:hAnsi="Arial" w:cs="Arial"/>
          <w:color w:val="000000" w:themeColor="text1"/>
          <w:sz w:val="24"/>
          <w:szCs w:val="24"/>
          <w:lang w:val="sr-Cyrl-BA"/>
        </w:rPr>
        <w:t>ин</w:t>
      </w:r>
      <w:r w:rsidR="00EE6AA2" w:rsidRPr="001A6D76">
        <w:rPr>
          <w:rFonts w:ascii="Arial" w:hAnsi="Arial" w:cs="Arial"/>
          <w:color w:val="000000" w:themeColor="text1"/>
          <w:sz w:val="24"/>
          <w:szCs w:val="24"/>
          <w:lang w:val="sr-Cyrl-BA"/>
        </w:rPr>
        <w:t>е</w:t>
      </w:r>
    </w:p>
    <w:p w14:paraId="20FA1E51" w14:textId="225FD825"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БиХ</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xml:space="preserve">          </w:t>
      </w:r>
      <w:r w:rsidR="00AA1DC5" w:rsidRP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Бо</w:t>
      </w:r>
      <w:r w:rsidR="0071360A" w:rsidRPr="001A6D76">
        <w:rPr>
          <w:rFonts w:ascii="Arial" w:hAnsi="Arial" w:cs="Arial"/>
          <w:color w:val="000000" w:themeColor="text1"/>
          <w:sz w:val="24"/>
          <w:szCs w:val="24"/>
          <w:lang w:val="sr-Cyrl-BA"/>
        </w:rPr>
        <w:t>с</w:t>
      </w:r>
      <w:r w:rsidRPr="001A6D76">
        <w:rPr>
          <w:rFonts w:ascii="Arial" w:hAnsi="Arial" w:cs="Arial"/>
          <w:color w:val="000000" w:themeColor="text1"/>
          <w:sz w:val="24"/>
          <w:szCs w:val="24"/>
          <w:lang w:val="sr-Cyrl-BA"/>
        </w:rPr>
        <w:t>на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и</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Х</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ц</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го</w:t>
      </w:r>
      <w:r w:rsidR="0071360A" w:rsidRPr="001A6D76">
        <w:rPr>
          <w:rFonts w:ascii="Arial" w:hAnsi="Arial" w:cs="Arial"/>
          <w:color w:val="000000" w:themeColor="text1"/>
          <w:sz w:val="24"/>
          <w:szCs w:val="24"/>
          <w:lang w:val="sr-Cyrl-BA"/>
        </w:rPr>
        <w:t>в</w:t>
      </w:r>
      <w:r w:rsidRPr="001A6D76">
        <w:rPr>
          <w:rFonts w:ascii="Arial" w:hAnsi="Arial" w:cs="Arial"/>
          <w:color w:val="000000" w:themeColor="text1"/>
          <w:sz w:val="24"/>
          <w:szCs w:val="24"/>
          <w:lang w:val="sr-Cyrl-BA"/>
        </w:rPr>
        <w:t>ина</w:t>
      </w:r>
    </w:p>
    <w:p w14:paraId="3669CCF0" w14:textId="3BC02776"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ЦО</w:t>
      </w:r>
      <w:r w:rsidR="0071360A" w:rsidRPr="001A6D76">
        <w:rPr>
          <w:rFonts w:ascii="Arial" w:hAnsi="Arial" w:cs="Arial"/>
          <w:b/>
          <w:color w:val="000000" w:themeColor="text1"/>
          <w:sz w:val="24"/>
          <w:szCs w:val="24"/>
          <w:lang w:val="sr-Cyrl-BA"/>
        </w:rPr>
        <w:t>В</w:t>
      </w:r>
      <w:r w:rsidRPr="001A6D76">
        <w:rPr>
          <w:rFonts w:ascii="Arial" w:hAnsi="Arial" w:cs="Arial"/>
          <w:b/>
          <w:color w:val="000000" w:themeColor="text1"/>
          <w:sz w:val="24"/>
          <w:szCs w:val="24"/>
          <w:lang w:val="sr-Cyrl-BA"/>
        </w:rPr>
        <w:t>ИД</w:t>
      </w:r>
      <w:r w:rsidR="00AA1DC5" w:rsidRPr="001A6D76">
        <w:rPr>
          <w:rFonts w:ascii="Arial" w:hAnsi="Arial" w:cs="Arial"/>
          <w:b/>
          <w:color w:val="000000" w:themeColor="text1"/>
          <w:sz w:val="24"/>
          <w:szCs w:val="24"/>
          <w:lang w:val="sr-Cyrl-BA"/>
        </w:rPr>
        <w:t>-19</w:t>
      </w:r>
      <w:r w:rsidR="00AA1DC5" w:rsidRPr="001A6D76">
        <w:rPr>
          <w:rFonts w:ascii="Arial" w:hAnsi="Arial" w:cs="Arial"/>
          <w:color w:val="000000" w:themeColor="text1"/>
          <w:sz w:val="24"/>
          <w:szCs w:val="24"/>
          <w:lang w:val="sr-Cyrl-BA"/>
        </w:rPr>
        <w:t> </w:t>
      </w:r>
      <w:r w:rsid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Ко</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она</w:t>
      </w:r>
      <w:r w:rsidR="0071360A" w:rsidRPr="001A6D76">
        <w:rPr>
          <w:rFonts w:ascii="Arial" w:hAnsi="Arial" w:cs="Arial"/>
          <w:color w:val="000000" w:themeColor="text1"/>
          <w:sz w:val="24"/>
          <w:szCs w:val="24"/>
          <w:lang w:val="sr-Cyrl-BA"/>
        </w:rPr>
        <w:t>в</w:t>
      </w:r>
      <w:r w:rsidRPr="001A6D76">
        <w:rPr>
          <w:rFonts w:ascii="Arial" w:hAnsi="Arial" w:cs="Arial"/>
          <w:color w:val="000000" w:themeColor="text1"/>
          <w:sz w:val="24"/>
          <w:szCs w:val="24"/>
          <w:lang w:val="sr-Cyrl-BA"/>
        </w:rPr>
        <w:t>и</w:t>
      </w:r>
      <w:r w:rsidR="0071360A" w:rsidRPr="001A6D76">
        <w:rPr>
          <w:rFonts w:ascii="Arial" w:hAnsi="Arial" w:cs="Arial"/>
          <w:color w:val="000000" w:themeColor="text1"/>
          <w:sz w:val="24"/>
          <w:szCs w:val="24"/>
          <w:lang w:val="sr-Cyrl-BA"/>
        </w:rPr>
        <w:t>рус</w:t>
      </w:r>
      <w:r w:rsidRPr="001A6D76">
        <w:rPr>
          <w:rFonts w:ascii="Arial" w:hAnsi="Arial" w:cs="Arial"/>
          <w:color w:val="000000" w:themeColor="text1"/>
          <w:sz w:val="24"/>
          <w:szCs w:val="24"/>
          <w:lang w:val="sr-Cyrl-BA"/>
        </w:rPr>
        <w:t>на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бол</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ст</w:t>
      </w:r>
    </w:p>
    <w:p w14:paraId="13E7DFEB" w14:textId="6F04A35A" w:rsidR="00AA1DC5" w:rsidRPr="001A6D76" w:rsidRDefault="00EE6AA2"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Е</w:t>
      </w:r>
      <w:r w:rsidR="0071360A" w:rsidRPr="001A6D76">
        <w:rPr>
          <w:rFonts w:ascii="Arial" w:hAnsi="Arial" w:cs="Arial"/>
          <w:b/>
          <w:color w:val="000000" w:themeColor="text1"/>
          <w:sz w:val="24"/>
          <w:szCs w:val="24"/>
          <w:lang w:val="sr-Cyrl-BA"/>
        </w:rPr>
        <w:t>У</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xml:space="preserve">             </w:t>
      </w:r>
      <w:r w:rsidR="00AA1DC5" w:rsidRP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вр</w:t>
      </w:r>
      <w:r w:rsidR="00A56E08" w:rsidRPr="001A6D76">
        <w:rPr>
          <w:rFonts w:ascii="Arial" w:hAnsi="Arial" w:cs="Arial"/>
          <w:color w:val="000000" w:themeColor="text1"/>
          <w:sz w:val="24"/>
          <w:szCs w:val="24"/>
          <w:lang w:val="sr-Cyrl-BA"/>
        </w:rPr>
        <w:t>о</w:t>
      </w:r>
      <w:r w:rsidR="0071360A" w:rsidRPr="001A6D76">
        <w:rPr>
          <w:rFonts w:ascii="Arial" w:hAnsi="Arial" w:cs="Arial"/>
          <w:color w:val="000000" w:themeColor="text1"/>
          <w:sz w:val="24"/>
          <w:szCs w:val="24"/>
          <w:lang w:val="sr-Cyrl-BA"/>
        </w:rPr>
        <w:t>пс</w:t>
      </w:r>
      <w:r w:rsidR="00A56E08" w:rsidRPr="001A6D76">
        <w:rPr>
          <w:rFonts w:ascii="Arial" w:hAnsi="Arial" w:cs="Arial"/>
          <w:color w:val="000000" w:themeColor="text1"/>
          <w:sz w:val="24"/>
          <w:szCs w:val="24"/>
          <w:lang w:val="sr-Cyrl-BA"/>
        </w:rPr>
        <w:t>ка</w:t>
      </w:r>
      <w:r w:rsidR="00AA1DC5" w:rsidRPr="001A6D76">
        <w:rPr>
          <w:rFonts w:ascii="Arial" w:hAnsi="Arial" w:cs="Arial"/>
          <w:color w:val="000000" w:themeColor="text1"/>
          <w:sz w:val="24"/>
          <w:szCs w:val="24"/>
          <w:lang w:val="sr-Cyrl-BA"/>
        </w:rPr>
        <w:t xml:space="preserve"> </w:t>
      </w:r>
      <w:r w:rsidR="0071360A"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нија</w:t>
      </w:r>
    </w:p>
    <w:p w14:paraId="4185EDD9" w14:textId="5DCB3068"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ФБиХ</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w:t>
      </w:r>
      <w:r w:rsid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Ф</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д</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ација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Бо</w:t>
      </w:r>
      <w:r w:rsidR="0071360A" w:rsidRPr="001A6D76">
        <w:rPr>
          <w:rFonts w:ascii="Arial" w:hAnsi="Arial" w:cs="Arial"/>
          <w:color w:val="000000" w:themeColor="text1"/>
          <w:sz w:val="24"/>
          <w:szCs w:val="24"/>
          <w:lang w:val="sr-Cyrl-BA"/>
        </w:rPr>
        <w:t>с</w:t>
      </w:r>
      <w:r w:rsidRPr="001A6D76">
        <w:rPr>
          <w:rFonts w:ascii="Arial" w:hAnsi="Arial" w:cs="Arial"/>
          <w:color w:val="000000" w:themeColor="text1"/>
          <w:sz w:val="24"/>
          <w:szCs w:val="24"/>
          <w:lang w:val="sr-Cyrl-BA"/>
        </w:rPr>
        <w:t>н</w:t>
      </w:r>
      <w:r w:rsidR="00EE6AA2" w:rsidRPr="001A6D76">
        <w:rPr>
          <w:rFonts w:ascii="Arial" w:hAnsi="Arial" w:cs="Arial"/>
          <w:color w:val="000000" w:themeColor="text1"/>
          <w:sz w:val="24"/>
          <w:szCs w:val="24"/>
          <w:lang w:val="sr-Cyrl-BA"/>
        </w:rPr>
        <w:t>е</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и</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Х</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ц</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го</w:t>
      </w:r>
      <w:r w:rsidR="0071360A" w:rsidRPr="001A6D76">
        <w:rPr>
          <w:rFonts w:ascii="Arial" w:hAnsi="Arial" w:cs="Arial"/>
          <w:color w:val="000000" w:themeColor="text1"/>
          <w:sz w:val="24"/>
          <w:szCs w:val="24"/>
          <w:lang w:val="sr-Cyrl-BA"/>
        </w:rPr>
        <w:t>в</w:t>
      </w:r>
      <w:r w:rsidRPr="001A6D76">
        <w:rPr>
          <w:rFonts w:ascii="Arial" w:hAnsi="Arial" w:cs="Arial"/>
          <w:color w:val="000000" w:themeColor="text1"/>
          <w:sz w:val="24"/>
          <w:szCs w:val="24"/>
          <w:lang w:val="sr-Cyrl-BA"/>
        </w:rPr>
        <w:t>ин</w:t>
      </w:r>
      <w:r w:rsidR="00EE6AA2" w:rsidRPr="001A6D76">
        <w:rPr>
          <w:rFonts w:ascii="Arial" w:hAnsi="Arial" w:cs="Arial"/>
          <w:color w:val="000000" w:themeColor="text1"/>
          <w:sz w:val="24"/>
          <w:szCs w:val="24"/>
          <w:lang w:val="sr-Cyrl-BA"/>
        </w:rPr>
        <w:t>е</w:t>
      </w:r>
    </w:p>
    <w:p w14:paraId="4A026F81" w14:textId="25CE92B5"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ИЛО</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xml:space="preserve">      </w:t>
      </w:r>
      <w:r w:rsid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Ин</w:t>
      </w:r>
      <w:r w:rsidR="0071360A" w:rsidRPr="001A6D76">
        <w:rPr>
          <w:rFonts w:ascii="Arial" w:hAnsi="Arial" w:cs="Arial"/>
          <w:color w:val="000000" w:themeColor="text1"/>
          <w:sz w:val="24"/>
          <w:szCs w:val="24"/>
          <w:lang w:val="sr-Cyrl-BA"/>
        </w:rPr>
        <w:t>т</w:t>
      </w:r>
      <w:r w:rsidR="00EE6AA2" w:rsidRPr="001A6D76">
        <w:rPr>
          <w:rFonts w:ascii="Arial" w:hAnsi="Arial" w:cs="Arial"/>
          <w:color w:val="000000" w:themeColor="text1"/>
          <w:sz w:val="24"/>
          <w:szCs w:val="24"/>
          <w:lang w:val="sr-Cyrl-BA"/>
        </w:rPr>
        <w:t>е</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национална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о</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гани</w:t>
      </w:r>
      <w:r w:rsidR="00171F00" w:rsidRPr="001A6D76">
        <w:rPr>
          <w:rFonts w:ascii="Arial" w:hAnsi="Arial" w:cs="Arial"/>
          <w:color w:val="000000" w:themeColor="text1"/>
          <w:sz w:val="24"/>
          <w:szCs w:val="24"/>
          <w:lang w:val="sr-Cyrl-BA"/>
        </w:rPr>
        <w:t>з</w:t>
      </w:r>
      <w:r w:rsidRPr="001A6D76">
        <w:rPr>
          <w:rFonts w:ascii="Arial" w:hAnsi="Arial" w:cs="Arial"/>
          <w:color w:val="000000" w:themeColor="text1"/>
          <w:sz w:val="24"/>
          <w:szCs w:val="24"/>
          <w:lang w:val="sr-Cyrl-BA"/>
        </w:rPr>
        <w:t>ација</w:t>
      </w:r>
      <w:r w:rsidR="00AA1DC5" w:rsidRPr="001A6D76">
        <w:rPr>
          <w:rFonts w:ascii="Arial" w:hAnsi="Arial" w:cs="Arial"/>
          <w:color w:val="000000" w:themeColor="text1"/>
          <w:sz w:val="24"/>
          <w:szCs w:val="24"/>
          <w:lang w:val="sr-Cyrl-BA"/>
        </w:rPr>
        <w:t xml:space="preserve"> </w:t>
      </w:r>
      <w:r w:rsidR="00171F00" w:rsidRPr="001A6D76">
        <w:rPr>
          <w:rFonts w:ascii="Arial" w:hAnsi="Arial" w:cs="Arial"/>
          <w:color w:val="000000" w:themeColor="text1"/>
          <w:sz w:val="24"/>
          <w:szCs w:val="24"/>
          <w:lang w:val="sr-Cyrl-BA"/>
        </w:rPr>
        <w:t>з</w:t>
      </w:r>
      <w:r w:rsidRPr="001A6D76">
        <w:rPr>
          <w:rFonts w:ascii="Arial" w:hAnsi="Arial" w:cs="Arial"/>
          <w:color w:val="000000" w:themeColor="text1"/>
          <w:sz w:val="24"/>
          <w:szCs w:val="24"/>
          <w:lang w:val="sr-Cyrl-BA"/>
        </w:rPr>
        <w:t>а</w:t>
      </w:r>
      <w:r w:rsidR="00AA1DC5" w:rsidRPr="001A6D76">
        <w:rPr>
          <w:rFonts w:ascii="Arial" w:hAnsi="Arial" w:cs="Arial"/>
          <w:color w:val="000000" w:themeColor="text1"/>
          <w:sz w:val="24"/>
          <w:szCs w:val="24"/>
          <w:lang w:val="sr-Cyrl-BA"/>
        </w:rPr>
        <w:t xml:space="preserve"> </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ад</w:t>
      </w:r>
    </w:p>
    <w:p w14:paraId="5A7C8140" w14:textId="064373C6" w:rsidR="00AA1DC5" w:rsidRPr="001A6D76" w:rsidRDefault="00A56E08" w:rsidP="00F83E0E">
      <w:pPr>
        <w:spacing w:before="200" w:after="200" w:line="276" w:lineRule="auto"/>
        <w:rPr>
          <w:rFonts w:ascii="Arial" w:hAnsi="Arial" w:cs="Arial"/>
          <w:color w:val="000000" w:themeColor="text1"/>
          <w:sz w:val="24"/>
          <w:szCs w:val="24"/>
          <w:lang w:val="sr-Cyrl-BA"/>
        </w:rPr>
      </w:pPr>
      <w:r w:rsidRPr="001A6D76">
        <w:rPr>
          <w:rFonts w:ascii="Arial" w:hAnsi="Arial" w:cs="Arial"/>
          <w:b/>
          <w:color w:val="000000" w:themeColor="text1"/>
          <w:sz w:val="24"/>
          <w:szCs w:val="24"/>
          <w:lang w:val="sr-Cyrl-BA"/>
        </w:rPr>
        <w:t>ИК</w:t>
      </w:r>
      <w:r w:rsidR="0071360A" w:rsidRPr="001A6D76">
        <w:rPr>
          <w:rFonts w:ascii="Arial" w:hAnsi="Arial" w:cs="Arial"/>
          <w:b/>
          <w:color w:val="000000" w:themeColor="text1"/>
          <w:sz w:val="24"/>
          <w:szCs w:val="24"/>
          <w:lang w:val="sr-Cyrl-BA"/>
        </w:rPr>
        <w:t>Т</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w:t>
      </w:r>
      <w:r w:rsid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Инфо</w:t>
      </w:r>
      <w:r w:rsidR="0071360A" w:rsidRPr="001A6D76">
        <w:rPr>
          <w:rFonts w:ascii="Arial" w:hAnsi="Arial" w:cs="Arial"/>
          <w:color w:val="000000" w:themeColor="text1"/>
          <w:sz w:val="24"/>
          <w:szCs w:val="24"/>
          <w:lang w:val="sr-Cyrl-BA"/>
        </w:rPr>
        <w:t>р</w:t>
      </w:r>
      <w:r w:rsidRPr="001A6D76">
        <w:rPr>
          <w:rFonts w:ascii="Arial" w:hAnsi="Arial" w:cs="Arial"/>
          <w:color w:val="000000" w:themeColor="text1"/>
          <w:sz w:val="24"/>
          <w:szCs w:val="24"/>
          <w:lang w:val="sr-Cyrl-BA"/>
        </w:rPr>
        <w:t>ма</w:t>
      </w:r>
      <w:r w:rsidR="0071360A" w:rsidRPr="001A6D76">
        <w:rPr>
          <w:rFonts w:ascii="Arial" w:hAnsi="Arial" w:cs="Arial"/>
          <w:color w:val="000000" w:themeColor="text1"/>
          <w:sz w:val="24"/>
          <w:szCs w:val="24"/>
          <w:lang w:val="sr-Cyrl-BA"/>
        </w:rPr>
        <w:t>т</w:t>
      </w:r>
      <w:r w:rsidRPr="001A6D76">
        <w:rPr>
          <w:rFonts w:ascii="Arial" w:hAnsi="Arial" w:cs="Arial"/>
          <w:color w:val="000000" w:themeColor="text1"/>
          <w:sz w:val="24"/>
          <w:szCs w:val="24"/>
          <w:lang w:val="sr-Cyrl-BA"/>
        </w:rPr>
        <w:t>ичко</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ком</w:t>
      </w:r>
      <w:r w:rsidR="0071360A" w:rsidRPr="001A6D76">
        <w:rPr>
          <w:rFonts w:ascii="Arial" w:hAnsi="Arial" w:cs="Arial"/>
          <w:color w:val="000000" w:themeColor="text1"/>
          <w:sz w:val="24"/>
          <w:szCs w:val="24"/>
          <w:lang w:val="sr-Cyrl-BA"/>
        </w:rPr>
        <w:t>у</w:t>
      </w:r>
      <w:r w:rsidRPr="001A6D76">
        <w:rPr>
          <w:rFonts w:ascii="Arial" w:hAnsi="Arial" w:cs="Arial"/>
          <w:color w:val="000000" w:themeColor="text1"/>
          <w:sz w:val="24"/>
          <w:szCs w:val="24"/>
          <w:lang w:val="sr-Cyrl-BA"/>
        </w:rPr>
        <w:t>никацион</w:t>
      </w:r>
      <w:r w:rsidR="00EE6AA2" w:rsidRPr="001A6D76">
        <w:rPr>
          <w:rFonts w:ascii="Arial" w:hAnsi="Arial" w:cs="Arial"/>
          <w:color w:val="000000" w:themeColor="text1"/>
          <w:sz w:val="24"/>
          <w:szCs w:val="24"/>
          <w:lang w:val="sr-Cyrl-BA"/>
        </w:rPr>
        <w:t>е</w:t>
      </w:r>
      <w:r w:rsidR="00AA1DC5" w:rsidRPr="001A6D76">
        <w:rPr>
          <w:rFonts w:ascii="Arial" w:hAnsi="Arial" w:cs="Arial"/>
          <w:color w:val="000000" w:themeColor="text1"/>
          <w:sz w:val="24"/>
          <w:szCs w:val="24"/>
          <w:lang w:val="sr-Cyrl-BA"/>
        </w:rPr>
        <w:t xml:space="preserve"> </w:t>
      </w:r>
      <w:r w:rsidR="0071360A" w:rsidRPr="001A6D76">
        <w:rPr>
          <w:rFonts w:ascii="Arial" w:hAnsi="Arial" w:cs="Arial"/>
          <w:color w:val="000000" w:themeColor="text1"/>
          <w:sz w:val="24"/>
          <w:szCs w:val="24"/>
          <w:lang w:val="sr-Cyrl-BA"/>
        </w:rPr>
        <w:t>т</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хнологиј</w:t>
      </w:r>
      <w:r w:rsidR="00EE6AA2" w:rsidRPr="001A6D76">
        <w:rPr>
          <w:rFonts w:ascii="Arial" w:hAnsi="Arial" w:cs="Arial"/>
          <w:color w:val="000000" w:themeColor="text1"/>
          <w:sz w:val="24"/>
          <w:szCs w:val="24"/>
          <w:lang w:val="sr-Cyrl-BA"/>
        </w:rPr>
        <w:t>е</w:t>
      </w:r>
    </w:p>
    <w:p w14:paraId="757768D6" w14:textId="48ADB2FC" w:rsidR="00AA1DC5" w:rsidRPr="001A6D76" w:rsidRDefault="00A56E08" w:rsidP="00F83E0E">
      <w:pPr>
        <w:spacing w:before="200" w:after="200" w:line="276" w:lineRule="auto"/>
        <w:rPr>
          <w:rFonts w:ascii="Arial" w:hAnsi="Arial" w:cs="Arial"/>
          <w:color w:val="000000" w:themeColor="text1"/>
          <w:sz w:val="24"/>
          <w:szCs w:val="24"/>
          <w:highlight w:val="white"/>
          <w:lang w:val="sr-Cyrl-BA"/>
        </w:rPr>
      </w:pPr>
      <w:r w:rsidRPr="001A6D76">
        <w:rPr>
          <w:rFonts w:ascii="Arial" w:hAnsi="Arial" w:cs="Arial"/>
          <w:b/>
          <w:color w:val="000000" w:themeColor="text1"/>
          <w:sz w:val="24"/>
          <w:szCs w:val="24"/>
          <w:highlight w:val="white"/>
          <w:lang w:val="sr-Cyrl-BA"/>
        </w:rPr>
        <w:t>О</w:t>
      </w:r>
      <w:r w:rsidR="00EE6AA2" w:rsidRPr="001A6D76">
        <w:rPr>
          <w:rFonts w:ascii="Arial" w:hAnsi="Arial" w:cs="Arial"/>
          <w:b/>
          <w:color w:val="000000" w:themeColor="text1"/>
          <w:sz w:val="24"/>
          <w:szCs w:val="24"/>
          <w:highlight w:val="white"/>
          <w:lang w:val="sr-Cyrl-BA"/>
        </w:rPr>
        <w:t>Е</w:t>
      </w:r>
      <w:r w:rsidR="0071360A" w:rsidRPr="001A6D76">
        <w:rPr>
          <w:rFonts w:ascii="Arial" w:hAnsi="Arial" w:cs="Arial"/>
          <w:b/>
          <w:color w:val="000000" w:themeColor="text1"/>
          <w:sz w:val="24"/>
          <w:szCs w:val="24"/>
          <w:highlight w:val="white"/>
          <w:lang w:val="sr-Cyrl-BA"/>
        </w:rPr>
        <w:t>Р</w:t>
      </w:r>
      <w:r w:rsidR="00AA1DC5" w:rsidRPr="001A6D76">
        <w:rPr>
          <w:rFonts w:ascii="Arial" w:hAnsi="Arial" w:cs="Arial"/>
          <w:color w:val="000000" w:themeColor="text1"/>
          <w:sz w:val="24"/>
          <w:szCs w:val="24"/>
          <w:highlight w:val="white"/>
          <w:lang w:val="sr-Cyrl-BA"/>
        </w:rPr>
        <w:tab/>
      </w:r>
      <w:r w:rsidR="001A6D76">
        <w:rPr>
          <w:rFonts w:ascii="Arial" w:hAnsi="Arial" w:cs="Arial"/>
          <w:color w:val="000000" w:themeColor="text1"/>
          <w:sz w:val="24"/>
          <w:szCs w:val="24"/>
          <w:highlight w:val="white"/>
          <w:lang w:val="sr-Cyrl-BA"/>
        </w:rPr>
        <w:tab/>
      </w:r>
      <w:r w:rsidRPr="001A6D76">
        <w:rPr>
          <w:rFonts w:ascii="Arial" w:hAnsi="Arial" w:cs="Arial"/>
          <w:color w:val="000000" w:themeColor="text1"/>
          <w:sz w:val="24"/>
          <w:szCs w:val="24"/>
          <w:highlight w:val="white"/>
          <w:lang w:val="sr-Cyrl-BA"/>
        </w:rPr>
        <w:t>О</w:t>
      </w:r>
      <w:r w:rsidR="0071360A" w:rsidRPr="001A6D76">
        <w:rPr>
          <w:rFonts w:ascii="Arial" w:hAnsi="Arial" w:cs="Arial"/>
          <w:color w:val="000000" w:themeColor="text1"/>
          <w:sz w:val="24"/>
          <w:szCs w:val="24"/>
          <w:highlight w:val="white"/>
          <w:lang w:val="sr-Cyrl-BA"/>
        </w:rPr>
        <w:t>тв</w:t>
      </w:r>
      <w:r w:rsidRPr="001A6D76">
        <w:rPr>
          <w:rFonts w:ascii="Arial" w:hAnsi="Arial" w:cs="Arial"/>
          <w:color w:val="000000" w:themeColor="text1"/>
          <w:sz w:val="24"/>
          <w:szCs w:val="24"/>
          <w:highlight w:val="white"/>
          <w:lang w:val="sr-Cyrl-BA"/>
        </w:rPr>
        <w:t>о</w:t>
      </w:r>
      <w:r w:rsidR="0071360A" w:rsidRPr="001A6D76">
        <w:rPr>
          <w:rFonts w:ascii="Arial" w:hAnsi="Arial" w:cs="Arial"/>
          <w:color w:val="000000" w:themeColor="text1"/>
          <w:sz w:val="24"/>
          <w:szCs w:val="24"/>
          <w:highlight w:val="white"/>
          <w:lang w:val="sr-Cyrl-BA"/>
        </w:rPr>
        <w:t>р</w:t>
      </w:r>
      <w:r w:rsidR="00EE6AA2" w:rsidRPr="001A6D76">
        <w:rPr>
          <w:rFonts w:ascii="Arial" w:hAnsi="Arial" w:cs="Arial"/>
          <w:color w:val="000000" w:themeColor="text1"/>
          <w:sz w:val="24"/>
          <w:szCs w:val="24"/>
          <w:highlight w:val="white"/>
          <w:lang w:val="sr-Cyrl-BA"/>
        </w:rPr>
        <w:t>е</w:t>
      </w:r>
      <w:r w:rsidRPr="001A6D76">
        <w:rPr>
          <w:rFonts w:ascii="Arial" w:hAnsi="Arial" w:cs="Arial"/>
          <w:color w:val="000000" w:themeColor="text1"/>
          <w:sz w:val="24"/>
          <w:szCs w:val="24"/>
          <w:highlight w:val="white"/>
          <w:lang w:val="sr-Cyrl-BA"/>
        </w:rPr>
        <w:t>ни</w:t>
      </w:r>
      <w:r w:rsidR="00AA1DC5" w:rsidRPr="001A6D76">
        <w:rPr>
          <w:rFonts w:ascii="Arial" w:hAnsi="Arial" w:cs="Arial"/>
          <w:color w:val="000000" w:themeColor="text1"/>
          <w:sz w:val="24"/>
          <w:szCs w:val="24"/>
          <w:highlight w:val="white"/>
          <w:lang w:val="sr-Cyrl-BA"/>
        </w:rPr>
        <w:t xml:space="preserve"> </w:t>
      </w:r>
      <w:r w:rsidRPr="001A6D76">
        <w:rPr>
          <w:rFonts w:ascii="Arial" w:hAnsi="Arial" w:cs="Arial"/>
          <w:color w:val="000000" w:themeColor="text1"/>
          <w:sz w:val="24"/>
          <w:szCs w:val="24"/>
          <w:highlight w:val="white"/>
          <w:lang w:val="sr-Cyrl-BA"/>
        </w:rPr>
        <w:t>об</w:t>
      </w:r>
      <w:r w:rsidR="0071360A" w:rsidRPr="001A6D76">
        <w:rPr>
          <w:rFonts w:ascii="Arial" w:hAnsi="Arial" w:cs="Arial"/>
          <w:color w:val="000000" w:themeColor="text1"/>
          <w:sz w:val="24"/>
          <w:szCs w:val="24"/>
          <w:highlight w:val="white"/>
          <w:lang w:val="sr-Cyrl-BA"/>
        </w:rPr>
        <w:t>р</w:t>
      </w:r>
      <w:r w:rsidRPr="001A6D76">
        <w:rPr>
          <w:rFonts w:ascii="Arial" w:hAnsi="Arial" w:cs="Arial"/>
          <w:color w:val="000000" w:themeColor="text1"/>
          <w:sz w:val="24"/>
          <w:szCs w:val="24"/>
          <w:highlight w:val="white"/>
          <w:lang w:val="sr-Cyrl-BA"/>
        </w:rPr>
        <w:t>а</w:t>
      </w:r>
      <w:r w:rsidR="00171F00" w:rsidRPr="001A6D76">
        <w:rPr>
          <w:rFonts w:ascii="Arial" w:hAnsi="Arial" w:cs="Arial"/>
          <w:color w:val="000000" w:themeColor="text1"/>
          <w:sz w:val="24"/>
          <w:szCs w:val="24"/>
          <w:highlight w:val="white"/>
          <w:lang w:val="sr-Cyrl-BA"/>
        </w:rPr>
        <w:t>з</w:t>
      </w:r>
      <w:r w:rsidRPr="001A6D76">
        <w:rPr>
          <w:rFonts w:ascii="Arial" w:hAnsi="Arial" w:cs="Arial"/>
          <w:color w:val="000000" w:themeColor="text1"/>
          <w:sz w:val="24"/>
          <w:szCs w:val="24"/>
          <w:highlight w:val="white"/>
          <w:lang w:val="sr-Cyrl-BA"/>
        </w:rPr>
        <w:t>о</w:t>
      </w:r>
      <w:r w:rsidR="0071360A" w:rsidRPr="001A6D76">
        <w:rPr>
          <w:rFonts w:ascii="Arial" w:hAnsi="Arial" w:cs="Arial"/>
          <w:color w:val="000000" w:themeColor="text1"/>
          <w:sz w:val="24"/>
          <w:szCs w:val="24"/>
          <w:highlight w:val="white"/>
          <w:lang w:val="sr-Cyrl-BA"/>
        </w:rPr>
        <w:t>в</w:t>
      </w:r>
      <w:r w:rsidRPr="001A6D76">
        <w:rPr>
          <w:rFonts w:ascii="Arial" w:hAnsi="Arial" w:cs="Arial"/>
          <w:color w:val="000000" w:themeColor="text1"/>
          <w:sz w:val="24"/>
          <w:szCs w:val="24"/>
          <w:highlight w:val="white"/>
          <w:lang w:val="sr-Cyrl-BA"/>
        </w:rPr>
        <w:t>ни</w:t>
      </w:r>
      <w:r w:rsidR="00AA1DC5" w:rsidRPr="001A6D76">
        <w:rPr>
          <w:rFonts w:ascii="Arial" w:hAnsi="Arial" w:cs="Arial"/>
          <w:color w:val="000000" w:themeColor="text1"/>
          <w:sz w:val="24"/>
          <w:szCs w:val="24"/>
          <w:highlight w:val="white"/>
          <w:lang w:val="sr-Cyrl-BA"/>
        </w:rPr>
        <w:t xml:space="preserve"> </w:t>
      </w:r>
      <w:r w:rsidR="0071360A" w:rsidRPr="001A6D76">
        <w:rPr>
          <w:rFonts w:ascii="Arial" w:hAnsi="Arial" w:cs="Arial"/>
          <w:color w:val="000000" w:themeColor="text1"/>
          <w:sz w:val="24"/>
          <w:szCs w:val="24"/>
          <w:highlight w:val="white"/>
          <w:lang w:val="sr-Cyrl-BA"/>
        </w:rPr>
        <w:t>р</w:t>
      </w:r>
      <w:r w:rsidR="00EE6AA2" w:rsidRPr="001A6D76">
        <w:rPr>
          <w:rFonts w:ascii="Arial" w:hAnsi="Arial" w:cs="Arial"/>
          <w:color w:val="000000" w:themeColor="text1"/>
          <w:sz w:val="24"/>
          <w:szCs w:val="24"/>
          <w:highlight w:val="white"/>
          <w:lang w:val="sr-Cyrl-BA"/>
        </w:rPr>
        <w:t>е</w:t>
      </w:r>
      <w:r w:rsidR="0071360A" w:rsidRPr="001A6D76">
        <w:rPr>
          <w:rFonts w:ascii="Arial" w:hAnsi="Arial" w:cs="Arial"/>
          <w:color w:val="000000" w:themeColor="text1"/>
          <w:sz w:val="24"/>
          <w:szCs w:val="24"/>
          <w:highlight w:val="white"/>
          <w:lang w:val="sr-Cyrl-BA"/>
        </w:rPr>
        <w:t>сурс</w:t>
      </w:r>
      <w:r w:rsidRPr="001A6D76">
        <w:rPr>
          <w:rFonts w:ascii="Arial" w:hAnsi="Arial" w:cs="Arial"/>
          <w:color w:val="000000" w:themeColor="text1"/>
          <w:sz w:val="24"/>
          <w:szCs w:val="24"/>
          <w:highlight w:val="white"/>
          <w:lang w:val="sr-Cyrl-BA"/>
        </w:rPr>
        <w:t>и</w:t>
      </w:r>
      <w:r w:rsidR="00AC604E" w:rsidRPr="001A6D76">
        <w:rPr>
          <w:rFonts w:ascii="Arial" w:hAnsi="Arial" w:cs="Arial"/>
          <w:color w:val="000000" w:themeColor="text1"/>
          <w:sz w:val="24"/>
          <w:szCs w:val="24"/>
          <w:highlight w:val="white"/>
          <w:lang w:val="sr-Cyrl-BA"/>
        </w:rPr>
        <w:t xml:space="preserve"> </w:t>
      </w:r>
      <w:r w:rsidR="00AA1DC5" w:rsidRPr="001A6D76">
        <w:rPr>
          <w:rFonts w:ascii="Arial" w:hAnsi="Arial" w:cs="Arial"/>
          <w:color w:val="000000" w:themeColor="text1"/>
          <w:sz w:val="24"/>
          <w:szCs w:val="24"/>
          <w:highlight w:val="white"/>
          <w:lang w:val="sr-Cyrl-BA"/>
        </w:rPr>
        <w:t>(</w:t>
      </w:r>
      <w:r w:rsidR="00EE6AA2" w:rsidRPr="001A6D76">
        <w:rPr>
          <w:rFonts w:ascii="Arial" w:hAnsi="Arial" w:cs="Arial"/>
          <w:color w:val="000000" w:themeColor="text1"/>
          <w:sz w:val="24"/>
          <w:szCs w:val="24"/>
          <w:highlight w:val="white"/>
          <w:lang w:val="sr-Cyrl-BA"/>
        </w:rPr>
        <w:t>е</w:t>
      </w:r>
      <w:r w:rsidRPr="001A6D76">
        <w:rPr>
          <w:rFonts w:ascii="Arial" w:hAnsi="Arial" w:cs="Arial"/>
          <w:color w:val="000000" w:themeColor="text1"/>
          <w:sz w:val="24"/>
          <w:szCs w:val="24"/>
          <w:highlight w:val="white"/>
          <w:lang w:val="sr-Cyrl-BA"/>
        </w:rPr>
        <w:t>нг</w:t>
      </w:r>
      <w:r w:rsidR="00AA1DC5" w:rsidRPr="001A6D76">
        <w:rPr>
          <w:rFonts w:ascii="Arial" w:hAnsi="Arial" w:cs="Arial"/>
          <w:color w:val="000000" w:themeColor="text1"/>
          <w:sz w:val="24"/>
          <w:szCs w:val="24"/>
          <w:highlight w:val="white"/>
          <w:lang w:val="sr-Cyrl-BA"/>
        </w:rPr>
        <w:t xml:space="preserve">. </w:t>
      </w:r>
      <w:r w:rsidR="003C3116" w:rsidRPr="001A6D76">
        <w:rPr>
          <w:rFonts w:ascii="Arial" w:hAnsi="Arial" w:cs="Arial"/>
          <w:color w:val="000000" w:themeColor="text1"/>
          <w:sz w:val="24"/>
          <w:szCs w:val="24"/>
          <w:highlight w:val="white"/>
          <w:lang w:val="hr-BA"/>
        </w:rPr>
        <w:t>Open education resources</w:t>
      </w:r>
      <w:r w:rsidR="00AA1DC5" w:rsidRPr="001A6D76">
        <w:rPr>
          <w:rFonts w:ascii="Arial" w:hAnsi="Arial" w:cs="Arial"/>
          <w:color w:val="000000" w:themeColor="text1"/>
          <w:sz w:val="24"/>
          <w:szCs w:val="24"/>
          <w:highlight w:val="white"/>
          <w:lang w:val="sr-Cyrl-BA"/>
        </w:rPr>
        <w:t>)</w:t>
      </w:r>
    </w:p>
    <w:p w14:paraId="00FDCBDD" w14:textId="3818D300" w:rsidR="00AA1DC5" w:rsidRPr="001A6D76" w:rsidRDefault="0071360A" w:rsidP="00F83E0E">
      <w:pPr>
        <w:spacing w:before="200" w:after="200" w:line="276" w:lineRule="auto"/>
        <w:rPr>
          <w:rFonts w:ascii="Arial" w:hAnsi="Arial" w:cs="Arial"/>
          <w:color w:val="000000" w:themeColor="text1"/>
          <w:sz w:val="24"/>
          <w:szCs w:val="24"/>
          <w:lang w:val="sr-Cyrl-BA"/>
        </w:rPr>
      </w:pPr>
      <w:r w:rsidRPr="001A6D76">
        <w:rPr>
          <w:rFonts w:ascii="Arial" w:hAnsi="Arial" w:cs="Arial"/>
          <w:b/>
          <w:color w:val="000000" w:themeColor="text1"/>
          <w:sz w:val="24"/>
          <w:szCs w:val="24"/>
          <w:lang w:val="sr-Cyrl-BA"/>
        </w:rPr>
        <w:t>РС</w:t>
      </w:r>
      <w:r w:rsidR="00AA1DC5" w:rsidRPr="001A6D76">
        <w:rPr>
          <w:rFonts w:ascii="Arial" w:hAnsi="Arial" w:cs="Arial"/>
          <w:b/>
          <w:color w:val="000000" w:themeColor="text1"/>
          <w:sz w:val="24"/>
          <w:szCs w:val="24"/>
          <w:lang w:val="sr-Cyrl-BA"/>
        </w:rPr>
        <w:t>     </w:t>
      </w:r>
      <w:r w:rsidR="00AA1DC5" w:rsidRPr="001A6D76">
        <w:rPr>
          <w:rFonts w:ascii="Arial" w:hAnsi="Arial" w:cs="Arial"/>
          <w:color w:val="000000" w:themeColor="text1"/>
          <w:sz w:val="24"/>
          <w:szCs w:val="24"/>
          <w:lang w:val="sr-Cyrl-BA"/>
        </w:rPr>
        <w:t xml:space="preserve">           </w:t>
      </w:r>
      <w:r w:rsidR="00AA1DC5" w:rsidRP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Р</w:t>
      </w:r>
      <w:r w:rsidR="00EE6AA2" w:rsidRPr="001A6D76">
        <w:rPr>
          <w:rFonts w:ascii="Arial" w:hAnsi="Arial" w:cs="Arial"/>
          <w:color w:val="000000" w:themeColor="text1"/>
          <w:sz w:val="24"/>
          <w:szCs w:val="24"/>
          <w:lang w:val="sr-Cyrl-BA"/>
        </w:rPr>
        <w:t>е</w:t>
      </w:r>
      <w:r w:rsidRPr="001A6D76">
        <w:rPr>
          <w:rFonts w:ascii="Arial" w:hAnsi="Arial" w:cs="Arial"/>
          <w:color w:val="000000" w:themeColor="text1"/>
          <w:sz w:val="24"/>
          <w:szCs w:val="24"/>
          <w:lang w:val="sr-Cyrl-BA"/>
        </w:rPr>
        <w:t>пу</w:t>
      </w:r>
      <w:r w:rsidR="00A56E08" w:rsidRPr="001A6D76">
        <w:rPr>
          <w:rFonts w:ascii="Arial" w:hAnsi="Arial" w:cs="Arial"/>
          <w:color w:val="000000" w:themeColor="text1"/>
          <w:sz w:val="24"/>
          <w:szCs w:val="24"/>
          <w:lang w:val="sr-Cyrl-BA"/>
        </w:rPr>
        <w:t>блика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Српс</w:t>
      </w:r>
      <w:r w:rsidR="00A56E08" w:rsidRPr="001A6D76">
        <w:rPr>
          <w:rFonts w:ascii="Arial" w:hAnsi="Arial" w:cs="Arial"/>
          <w:color w:val="000000" w:themeColor="text1"/>
          <w:sz w:val="24"/>
          <w:szCs w:val="24"/>
          <w:lang w:val="sr-Cyrl-BA"/>
        </w:rPr>
        <w:t>ка</w:t>
      </w:r>
    </w:p>
    <w:p w14:paraId="238282FA" w14:textId="3A1CB3BA" w:rsidR="00AA1DC5" w:rsidRPr="001A6D76" w:rsidRDefault="00171F00" w:rsidP="00F83E0E">
      <w:pPr>
        <w:spacing w:before="200" w:after="200" w:line="276" w:lineRule="auto"/>
        <w:rPr>
          <w:rFonts w:ascii="Arial" w:eastAsia="Times New Roman" w:hAnsi="Arial" w:cs="Arial"/>
          <w:color w:val="000000" w:themeColor="text1"/>
          <w:sz w:val="24"/>
          <w:szCs w:val="24"/>
          <w:highlight w:val="white"/>
          <w:lang w:val="sr-Cyrl-BA"/>
        </w:rPr>
      </w:pPr>
      <w:r w:rsidRPr="001A6D76">
        <w:rPr>
          <w:rFonts w:ascii="Arial" w:hAnsi="Arial" w:cs="Arial"/>
          <w:b/>
          <w:color w:val="000000" w:themeColor="text1"/>
          <w:sz w:val="24"/>
          <w:szCs w:val="24"/>
          <w:lang w:val="sr-Cyrl-BA"/>
        </w:rPr>
        <w:t>З</w:t>
      </w:r>
      <w:r w:rsidR="00A56E08" w:rsidRPr="001A6D76">
        <w:rPr>
          <w:rFonts w:ascii="Arial" w:hAnsi="Arial" w:cs="Arial"/>
          <w:b/>
          <w:color w:val="000000" w:themeColor="text1"/>
          <w:sz w:val="24"/>
          <w:szCs w:val="24"/>
          <w:lang w:val="sr-Cyrl-BA"/>
        </w:rPr>
        <w:t>и</w:t>
      </w:r>
      <w:r w:rsidR="0071360A" w:rsidRPr="001A6D76">
        <w:rPr>
          <w:rFonts w:ascii="Arial" w:hAnsi="Arial" w:cs="Arial"/>
          <w:b/>
          <w:color w:val="000000" w:themeColor="text1"/>
          <w:sz w:val="24"/>
          <w:szCs w:val="24"/>
          <w:lang w:val="sr-Cyrl-BA"/>
        </w:rPr>
        <w:t>Т</w:t>
      </w:r>
      <w:r w:rsidR="00A56E08" w:rsidRPr="001A6D76">
        <w:rPr>
          <w:rFonts w:ascii="Arial" w:hAnsi="Arial" w:cs="Arial"/>
          <w:b/>
          <w:color w:val="000000" w:themeColor="text1"/>
          <w:sz w:val="24"/>
          <w:szCs w:val="24"/>
          <w:lang w:val="sr-Cyrl-BA"/>
        </w:rPr>
        <w:t>О</w:t>
      </w:r>
      <w:r w:rsidR="00AA1DC5" w:rsidRPr="001A6D76">
        <w:rPr>
          <w:rFonts w:ascii="Arial" w:hAnsi="Arial" w:cs="Arial"/>
          <w:color w:val="000000" w:themeColor="text1"/>
          <w:sz w:val="24"/>
          <w:szCs w:val="24"/>
          <w:highlight w:val="white"/>
          <w:lang w:val="sr-Cyrl-BA"/>
        </w:rPr>
        <w:tab/>
      </w:r>
      <w:r w:rsidR="00AA1DC5" w:rsidRPr="001A6D76">
        <w:rPr>
          <w:rFonts w:ascii="Arial" w:hAnsi="Arial" w:cs="Arial"/>
          <w:color w:val="000000" w:themeColor="text1"/>
          <w:sz w:val="24"/>
          <w:szCs w:val="24"/>
          <w:highlight w:val="white"/>
          <w:lang w:val="sr-Cyrl-BA"/>
        </w:rPr>
        <w:tab/>
      </w:r>
      <w:r w:rsidRPr="001A6D76">
        <w:rPr>
          <w:rFonts w:ascii="Arial" w:hAnsi="Arial" w:cs="Arial"/>
          <w:color w:val="000000" w:themeColor="text1"/>
          <w:sz w:val="24"/>
          <w:szCs w:val="24"/>
          <w:highlight w:val="white"/>
          <w:lang w:val="sr-Cyrl-BA"/>
        </w:rPr>
        <w:t>З</w:t>
      </w:r>
      <w:r w:rsidR="00A56E08" w:rsidRPr="001A6D76">
        <w:rPr>
          <w:rFonts w:ascii="Arial" w:hAnsi="Arial" w:cs="Arial"/>
          <w:color w:val="000000" w:themeColor="text1"/>
          <w:sz w:val="24"/>
          <w:szCs w:val="24"/>
          <w:highlight w:val="white"/>
          <w:lang w:val="sr-Cyrl-BA"/>
        </w:rPr>
        <w:t>ана</w:t>
      </w:r>
      <w:r w:rsidR="0071360A" w:rsidRPr="001A6D76">
        <w:rPr>
          <w:rFonts w:ascii="Arial" w:hAnsi="Arial" w:cs="Arial"/>
          <w:color w:val="000000" w:themeColor="text1"/>
          <w:sz w:val="24"/>
          <w:szCs w:val="24"/>
          <w:highlight w:val="white"/>
          <w:lang w:val="sr-Cyrl-BA"/>
        </w:rPr>
        <w:t>тс</w:t>
      </w:r>
      <w:r w:rsidR="00A56E08" w:rsidRPr="001A6D76">
        <w:rPr>
          <w:rFonts w:ascii="Arial" w:hAnsi="Arial" w:cs="Arial"/>
          <w:color w:val="000000" w:themeColor="text1"/>
          <w:sz w:val="24"/>
          <w:szCs w:val="24"/>
          <w:highlight w:val="white"/>
          <w:lang w:val="sr-Cyrl-BA"/>
        </w:rPr>
        <w:t>к</w:t>
      </w:r>
      <w:r w:rsidR="00EE6AA2" w:rsidRPr="001A6D76">
        <w:rPr>
          <w:rFonts w:ascii="Arial" w:hAnsi="Arial" w:cs="Arial"/>
          <w:color w:val="000000" w:themeColor="text1"/>
          <w:sz w:val="24"/>
          <w:szCs w:val="24"/>
          <w:highlight w:val="white"/>
          <w:lang w:val="sr-Cyrl-BA"/>
        </w:rPr>
        <w:t>е</w:t>
      </w:r>
      <w:r w:rsidR="00AA1DC5" w:rsidRPr="001A6D76">
        <w:rPr>
          <w:rFonts w:ascii="Arial" w:hAnsi="Arial" w:cs="Arial"/>
          <w:color w:val="000000" w:themeColor="text1"/>
          <w:sz w:val="24"/>
          <w:szCs w:val="24"/>
          <w:highlight w:val="white"/>
          <w:lang w:val="sr-Cyrl-BA"/>
        </w:rPr>
        <w:t xml:space="preserve"> </w:t>
      </w:r>
      <w:r w:rsidR="00A56E08" w:rsidRPr="001A6D76">
        <w:rPr>
          <w:rFonts w:ascii="Arial" w:hAnsi="Arial" w:cs="Arial"/>
          <w:color w:val="000000" w:themeColor="text1"/>
          <w:sz w:val="24"/>
          <w:szCs w:val="24"/>
          <w:highlight w:val="white"/>
          <w:lang w:val="sr-Cyrl-BA"/>
        </w:rPr>
        <w:t>и</w:t>
      </w:r>
      <w:r w:rsidR="00AA1DC5" w:rsidRPr="001A6D76">
        <w:rPr>
          <w:rFonts w:ascii="Arial" w:hAnsi="Arial" w:cs="Arial"/>
          <w:color w:val="000000" w:themeColor="text1"/>
          <w:sz w:val="24"/>
          <w:szCs w:val="24"/>
          <w:highlight w:val="white"/>
          <w:lang w:val="sr-Cyrl-BA"/>
        </w:rPr>
        <w:t xml:space="preserve"> </w:t>
      </w:r>
      <w:r w:rsidR="0071360A" w:rsidRPr="001A6D76">
        <w:rPr>
          <w:rFonts w:ascii="Arial" w:hAnsi="Arial" w:cs="Arial"/>
          <w:color w:val="000000" w:themeColor="text1"/>
          <w:sz w:val="24"/>
          <w:szCs w:val="24"/>
          <w:highlight w:val="white"/>
          <w:lang w:val="sr-Cyrl-BA"/>
        </w:rPr>
        <w:t>т</w:t>
      </w:r>
      <w:r w:rsidR="00EE6AA2" w:rsidRPr="001A6D76">
        <w:rPr>
          <w:rFonts w:ascii="Arial" w:hAnsi="Arial" w:cs="Arial"/>
          <w:color w:val="000000" w:themeColor="text1"/>
          <w:sz w:val="24"/>
          <w:szCs w:val="24"/>
          <w:highlight w:val="white"/>
          <w:lang w:val="sr-Cyrl-BA"/>
        </w:rPr>
        <w:t>е</w:t>
      </w:r>
      <w:r w:rsidR="00A56E08" w:rsidRPr="001A6D76">
        <w:rPr>
          <w:rFonts w:ascii="Arial" w:hAnsi="Arial" w:cs="Arial"/>
          <w:color w:val="000000" w:themeColor="text1"/>
          <w:sz w:val="24"/>
          <w:szCs w:val="24"/>
          <w:highlight w:val="white"/>
          <w:lang w:val="sr-Cyrl-BA"/>
        </w:rPr>
        <w:t>хничк</w:t>
      </w:r>
      <w:r w:rsidR="00EE6AA2" w:rsidRPr="001A6D76">
        <w:rPr>
          <w:rFonts w:ascii="Arial" w:hAnsi="Arial" w:cs="Arial"/>
          <w:color w:val="000000" w:themeColor="text1"/>
          <w:sz w:val="24"/>
          <w:szCs w:val="24"/>
          <w:highlight w:val="white"/>
          <w:lang w:val="sr-Cyrl-BA"/>
        </w:rPr>
        <w:t>е</w:t>
      </w:r>
      <w:r w:rsidR="00AA1DC5" w:rsidRPr="001A6D76">
        <w:rPr>
          <w:rFonts w:ascii="Arial" w:hAnsi="Arial" w:cs="Arial"/>
          <w:color w:val="000000" w:themeColor="text1"/>
          <w:sz w:val="24"/>
          <w:szCs w:val="24"/>
          <w:highlight w:val="white"/>
          <w:lang w:val="sr-Cyrl-BA"/>
        </w:rPr>
        <w:t xml:space="preserve"> </w:t>
      </w:r>
      <w:r w:rsidR="0071360A" w:rsidRPr="001A6D76">
        <w:rPr>
          <w:rFonts w:ascii="Arial" w:hAnsi="Arial" w:cs="Arial"/>
          <w:color w:val="000000" w:themeColor="text1"/>
          <w:sz w:val="24"/>
          <w:szCs w:val="24"/>
          <w:highlight w:val="white"/>
          <w:lang w:val="sr-Cyrl-BA"/>
        </w:rPr>
        <w:t>ш</w:t>
      </w:r>
      <w:r w:rsidR="00A56E08" w:rsidRPr="001A6D76">
        <w:rPr>
          <w:rFonts w:ascii="Arial" w:hAnsi="Arial" w:cs="Arial"/>
          <w:color w:val="000000" w:themeColor="text1"/>
          <w:sz w:val="24"/>
          <w:szCs w:val="24"/>
          <w:highlight w:val="white"/>
          <w:lang w:val="sr-Cyrl-BA"/>
        </w:rPr>
        <w:t>кол</w:t>
      </w:r>
      <w:r w:rsidR="00EE6AA2" w:rsidRPr="001A6D76">
        <w:rPr>
          <w:rFonts w:ascii="Arial" w:hAnsi="Arial" w:cs="Arial"/>
          <w:color w:val="000000" w:themeColor="text1"/>
          <w:sz w:val="24"/>
          <w:szCs w:val="24"/>
          <w:highlight w:val="white"/>
          <w:lang w:val="sr-Cyrl-BA"/>
        </w:rPr>
        <w:t>е</w:t>
      </w:r>
    </w:p>
    <w:p w14:paraId="60E7724F" w14:textId="4E8BDE34" w:rsidR="00AA1DC5" w:rsidRPr="001A6D76" w:rsidRDefault="0071360A"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У</w:t>
      </w:r>
      <w:r w:rsidR="00A56E08" w:rsidRPr="001A6D76">
        <w:rPr>
          <w:rFonts w:ascii="Arial" w:hAnsi="Arial" w:cs="Arial"/>
          <w:b/>
          <w:color w:val="000000" w:themeColor="text1"/>
          <w:sz w:val="24"/>
          <w:szCs w:val="24"/>
          <w:lang w:val="sr-Cyrl-BA"/>
        </w:rPr>
        <w:t>Н</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xml:space="preserve">        </w:t>
      </w:r>
      <w:r w:rsidR="00AA1DC5" w:rsidRPr="001A6D76">
        <w:rPr>
          <w:rFonts w:ascii="Arial" w:hAnsi="Arial" w:cs="Arial"/>
          <w:color w:val="000000" w:themeColor="text1"/>
          <w:sz w:val="24"/>
          <w:szCs w:val="24"/>
          <w:lang w:val="sr-Cyrl-BA"/>
        </w:rPr>
        <w:tab/>
      </w:r>
      <w:r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ј</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дињ</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ни</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на</w:t>
      </w:r>
      <w:r w:rsidRPr="001A6D76">
        <w:rPr>
          <w:rFonts w:ascii="Arial" w:hAnsi="Arial" w:cs="Arial"/>
          <w:color w:val="000000" w:themeColor="text1"/>
          <w:sz w:val="24"/>
          <w:szCs w:val="24"/>
          <w:lang w:val="sr-Cyrl-BA"/>
        </w:rPr>
        <w:t>р</w:t>
      </w:r>
      <w:r w:rsidR="00A56E08" w:rsidRPr="001A6D76">
        <w:rPr>
          <w:rFonts w:ascii="Arial" w:hAnsi="Arial" w:cs="Arial"/>
          <w:color w:val="000000" w:themeColor="text1"/>
          <w:sz w:val="24"/>
          <w:szCs w:val="24"/>
          <w:lang w:val="sr-Cyrl-BA"/>
        </w:rPr>
        <w:t>оди</w:t>
      </w:r>
    </w:p>
    <w:p w14:paraId="2A191C9A" w14:textId="7A92B0A8" w:rsidR="00AA1DC5" w:rsidRPr="001A6D76" w:rsidRDefault="0071360A"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У</w:t>
      </w:r>
      <w:r w:rsidR="00A56E08" w:rsidRPr="001A6D76">
        <w:rPr>
          <w:rFonts w:ascii="Arial" w:hAnsi="Arial" w:cs="Arial"/>
          <w:b/>
          <w:color w:val="000000" w:themeColor="text1"/>
          <w:sz w:val="24"/>
          <w:szCs w:val="24"/>
          <w:lang w:val="sr-Cyrl-BA"/>
        </w:rPr>
        <w:t>Н</w:t>
      </w:r>
      <w:r w:rsidR="00EE6AA2" w:rsidRPr="001A6D76">
        <w:rPr>
          <w:rFonts w:ascii="Arial" w:hAnsi="Arial" w:cs="Arial"/>
          <w:b/>
          <w:color w:val="000000" w:themeColor="text1"/>
          <w:sz w:val="24"/>
          <w:szCs w:val="24"/>
          <w:lang w:val="sr-Cyrl-BA"/>
        </w:rPr>
        <w:t>Е</w:t>
      </w:r>
      <w:r w:rsidRPr="001A6D76">
        <w:rPr>
          <w:rFonts w:ascii="Arial" w:hAnsi="Arial" w:cs="Arial"/>
          <w:b/>
          <w:color w:val="000000" w:themeColor="text1"/>
          <w:sz w:val="24"/>
          <w:szCs w:val="24"/>
          <w:lang w:val="sr-Cyrl-BA"/>
        </w:rPr>
        <w:t>С</w:t>
      </w:r>
      <w:r w:rsidR="00A56E08" w:rsidRPr="001A6D76">
        <w:rPr>
          <w:rFonts w:ascii="Arial" w:hAnsi="Arial" w:cs="Arial"/>
          <w:b/>
          <w:color w:val="000000" w:themeColor="text1"/>
          <w:sz w:val="24"/>
          <w:szCs w:val="24"/>
          <w:lang w:val="sr-Cyrl-BA"/>
        </w:rPr>
        <w:t>ЦО</w:t>
      </w:r>
      <w:r w:rsidR="00AA1DC5" w:rsidRPr="001A6D76">
        <w:rPr>
          <w:rFonts w:ascii="Arial" w:hAnsi="Arial" w:cs="Arial"/>
          <w:b/>
          <w:color w:val="000000" w:themeColor="text1"/>
          <w:sz w:val="24"/>
          <w:szCs w:val="24"/>
          <w:lang w:val="sr-Cyrl-BA"/>
        </w:rPr>
        <w:t> </w:t>
      </w:r>
      <w:r w:rsidR="001A6D76">
        <w:rPr>
          <w:rFonts w:ascii="Arial" w:hAnsi="Arial" w:cs="Arial"/>
          <w:b/>
          <w:color w:val="000000" w:themeColor="text1"/>
          <w:sz w:val="24"/>
          <w:szCs w:val="24"/>
          <w:lang w:val="sr-Cyrl-BA"/>
        </w:rPr>
        <w:tab/>
      </w:r>
      <w:r w:rsidR="00A56E08" w:rsidRPr="001A6D76">
        <w:rPr>
          <w:rFonts w:ascii="Arial" w:hAnsi="Arial" w:cs="Arial"/>
          <w:color w:val="000000" w:themeColor="text1"/>
          <w:sz w:val="24"/>
          <w:szCs w:val="24"/>
          <w:lang w:val="sr-Cyrl-BA"/>
        </w:rPr>
        <w:t>О</w:t>
      </w:r>
      <w:r w:rsidRPr="001A6D76">
        <w:rPr>
          <w:rFonts w:ascii="Arial" w:hAnsi="Arial" w:cs="Arial"/>
          <w:color w:val="000000" w:themeColor="text1"/>
          <w:sz w:val="24"/>
          <w:szCs w:val="24"/>
          <w:lang w:val="sr-Cyrl-BA"/>
        </w:rPr>
        <w:t>р</w:t>
      </w:r>
      <w:r w:rsidR="00A56E08" w:rsidRPr="001A6D76">
        <w:rPr>
          <w:rFonts w:ascii="Arial" w:hAnsi="Arial" w:cs="Arial"/>
          <w:color w:val="000000" w:themeColor="text1"/>
          <w:sz w:val="24"/>
          <w:szCs w:val="24"/>
          <w:lang w:val="sr-Cyrl-BA"/>
        </w:rPr>
        <w:t>гани</w:t>
      </w:r>
      <w:r w:rsidR="00171F00" w:rsidRPr="001A6D76">
        <w:rPr>
          <w:rFonts w:ascii="Arial" w:hAnsi="Arial" w:cs="Arial"/>
          <w:color w:val="000000" w:themeColor="text1"/>
          <w:sz w:val="24"/>
          <w:szCs w:val="24"/>
          <w:lang w:val="sr-Cyrl-BA"/>
        </w:rPr>
        <w:t>з</w:t>
      </w:r>
      <w:r w:rsidR="00A56E08" w:rsidRPr="001A6D76">
        <w:rPr>
          <w:rFonts w:ascii="Arial" w:hAnsi="Arial" w:cs="Arial"/>
          <w:color w:val="000000" w:themeColor="text1"/>
          <w:sz w:val="24"/>
          <w:szCs w:val="24"/>
          <w:lang w:val="sr-Cyrl-BA"/>
        </w:rPr>
        <w:t>ација</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ј</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дињ</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них</w:t>
      </w:r>
      <w:r w:rsidR="006C7D72"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на</w:t>
      </w:r>
      <w:r w:rsidRPr="001A6D76">
        <w:rPr>
          <w:rFonts w:ascii="Arial" w:hAnsi="Arial" w:cs="Arial"/>
          <w:color w:val="000000" w:themeColor="text1"/>
          <w:sz w:val="24"/>
          <w:szCs w:val="24"/>
          <w:lang w:val="sr-Cyrl-BA"/>
        </w:rPr>
        <w:t>р</w:t>
      </w:r>
      <w:r w:rsidR="00A56E08" w:rsidRPr="001A6D76">
        <w:rPr>
          <w:rFonts w:ascii="Arial" w:hAnsi="Arial" w:cs="Arial"/>
          <w:color w:val="000000" w:themeColor="text1"/>
          <w:sz w:val="24"/>
          <w:szCs w:val="24"/>
          <w:lang w:val="sr-Cyrl-BA"/>
        </w:rPr>
        <w:t>ода</w:t>
      </w:r>
      <w:r w:rsidR="00AA1DC5" w:rsidRPr="001A6D76">
        <w:rPr>
          <w:rFonts w:ascii="Arial" w:hAnsi="Arial" w:cs="Arial"/>
          <w:color w:val="000000" w:themeColor="text1"/>
          <w:sz w:val="24"/>
          <w:szCs w:val="24"/>
          <w:lang w:val="sr-Cyrl-BA"/>
        </w:rPr>
        <w:t xml:space="preserve"> </w:t>
      </w:r>
      <w:r w:rsidR="00171F00" w:rsidRPr="001A6D76">
        <w:rPr>
          <w:rFonts w:ascii="Arial" w:hAnsi="Arial" w:cs="Arial"/>
          <w:color w:val="000000" w:themeColor="text1"/>
          <w:sz w:val="24"/>
          <w:szCs w:val="24"/>
          <w:lang w:val="sr-Cyrl-BA"/>
        </w:rPr>
        <w:t>з</w:t>
      </w:r>
      <w:r w:rsidR="00A56E08" w:rsidRPr="001A6D76">
        <w:rPr>
          <w:rFonts w:ascii="Arial" w:hAnsi="Arial" w:cs="Arial"/>
          <w:color w:val="000000" w:themeColor="text1"/>
          <w:sz w:val="24"/>
          <w:szCs w:val="24"/>
          <w:lang w:val="sr-Cyrl-BA"/>
        </w:rPr>
        <w:t>а</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об</w:t>
      </w:r>
      <w:r w:rsidRPr="001A6D76">
        <w:rPr>
          <w:rFonts w:ascii="Arial" w:hAnsi="Arial" w:cs="Arial"/>
          <w:color w:val="000000" w:themeColor="text1"/>
          <w:sz w:val="24"/>
          <w:szCs w:val="24"/>
          <w:lang w:val="sr-Cyrl-BA"/>
        </w:rPr>
        <w:t>р</w:t>
      </w:r>
      <w:r w:rsidR="00A56E08" w:rsidRPr="001A6D76">
        <w:rPr>
          <w:rFonts w:ascii="Arial" w:hAnsi="Arial" w:cs="Arial"/>
          <w:color w:val="000000" w:themeColor="text1"/>
          <w:sz w:val="24"/>
          <w:szCs w:val="24"/>
          <w:lang w:val="sr-Cyrl-BA"/>
        </w:rPr>
        <w:t>а</w:t>
      </w:r>
      <w:r w:rsidR="00171F00" w:rsidRPr="001A6D76">
        <w:rPr>
          <w:rFonts w:ascii="Arial" w:hAnsi="Arial" w:cs="Arial"/>
          <w:color w:val="000000" w:themeColor="text1"/>
          <w:sz w:val="24"/>
          <w:szCs w:val="24"/>
          <w:lang w:val="sr-Cyrl-BA"/>
        </w:rPr>
        <w:t>з</w:t>
      </w:r>
      <w:r w:rsidR="00A56E08" w:rsidRPr="001A6D76">
        <w:rPr>
          <w:rFonts w:ascii="Arial" w:hAnsi="Arial" w:cs="Arial"/>
          <w:color w:val="000000" w:themeColor="text1"/>
          <w:sz w:val="24"/>
          <w:szCs w:val="24"/>
          <w:lang w:val="sr-Cyrl-BA"/>
        </w:rPr>
        <w:t>о</w:t>
      </w:r>
      <w:r w:rsidRPr="001A6D76">
        <w:rPr>
          <w:rFonts w:ascii="Arial" w:hAnsi="Arial" w:cs="Arial"/>
          <w:color w:val="000000" w:themeColor="text1"/>
          <w:sz w:val="24"/>
          <w:szCs w:val="24"/>
          <w:lang w:val="sr-Cyrl-BA"/>
        </w:rPr>
        <w:t>в</w:t>
      </w:r>
      <w:r w:rsidR="00A56E08" w:rsidRPr="001A6D76">
        <w:rPr>
          <w:rFonts w:ascii="Arial" w:hAnsi="Arial" w:cs="Arial"/>
          <w:color w:val="000000" w:themeColor="text1"/>
          <w:sz w:val="24"/>
          <w:szCs w:val="24"/>
          <w:lang w:val="sr-Cyrl-BA"/>
        </w:rPr>
        <w:t>ањ</w:t>
      </w:r>
      <w:r w:rsidR="00EE6AA2" w:rsidRPr="001A6D76">
        <w:rPr>
          <w:rFonts w:ascii="Arial" w:hAnsi="Arial" w:cs="Arial"/>
          <w:color w:val="000000" w:themeColor="text1"/>
          <w:sz w:val="24"/>
          <w:szCs w:val="24"/>
          <w:lang w:val="sr-Cyrl-BA"/>
        </w:rPr>
        <w:t>е</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на</w:t>
      </w:r>
      <w:r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к</w:t>
      </w:r>
      <w:r w:rsidRPr="001A6D76">
        <w:rPr>
          <w:rFonts w:ascii="Arial" w:hAnsi="Arial" w:cs="Arial"/>
          <w:color w:val="000000" w:themeColor="text1"/>
          <w:sz w:val="24"/>
          <w:szCs w:val="24"/>
          <w:lang w:val="sr-Cyrl-BA"/>
        </w:rPr>
        <w:t>у</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и</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к</w:t>
      </w:r>
      <w:r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л</w:t>
      </w:r>
      <w:r w:rsidRPr="001A6D76">
        <w:rPr>
          <w:rFonts w:ascii="Arial" w:hAnsi="Arial" w:cs="Arial"/>
          <w:color w:val="000000" w:themeColor="text1"/>
          <w:sz w:val="24"/>
          <w:szCs w:val="24"/>
          <w:lang w:val="sr-Cyrl-BA"/>
        </w:rPr>
        <w:t>туру</w:t>
      </w:r>
    </w:p>
    <w:p w14:paraId="206AFE4A" w14:textId="79265657" w:rsidR="00AA1DC5" w:rsidRPr="001A6D76" w:rsidRDefault="0071360A" w:rsidP="00F83E0E">
      <w:pPr>
        <w:spacing w:before="200" w:after="200" w:line="276" w:lineRule="auto"/>
        <w:rPr>
          <w:rFonts w:ascii="Arial" w:eastAsia="Times New Roman" w:hAnsi="Arial" w:cs="Arial"/>
          <w:color w:val="000000" w:themeColor="text1"/>
          <w:sz w:val="24"/>
          <w:szCs w:val="24"/>
          <w:lang w:val="sr-Cyrl-BA"/>
        </w:rPr>
      </w:pPr>
      <w:r w:rsidRPr="001A6D76">
        <w:rPr>
          <w:rFonts w:ascii="Arial" w:hAnsi="Arial" w:cs="Arial"/>
          <w:b/>
          <w:color w:val="000000" w:themeColor="text1"/>
          <w:sz w:val="24"/>
          <w:szCs w:val="24"/>
          <w:lang w:val="sr-Cyrl-BA"/>
        </w:rPr>
        <w:t>У</w:t>
      </w:r>
      <w:r w:rsidR="00A56E08" w:rsidRPr="001A6D76">
        <w:rPr>
          <w:rFonts w:ascii="Arial" w:hAnsi="Arial" w:cs="Arial"/>
          <w:b/>
          <w:color w:val="000000" w:themeColor="text1"/>
          <w:sz w:val="24"/>
          <w:szCs w:val="24"/>
          <w:lang w:val="sr-Cyrl-BA"/>
        </w:rPr>
        <w:t>НИЦ</w:t>
      </w:r>
      <w:r w:rsidR="00EE6AA2" w:rsidRPr="001A6D76">
        <w:rPr>
          <w:rFonts w:ascii="Arial" w:hAnsi="Arial" w:cs="Arial"/>
          <w:b/>
          <w:color w:val="000000" w:themeColor="text1"/>
          <w:sz w:val="24"/>
          <w:szCs w:val="24"/>
          <w:lang w:val="sr-Cyrl-BA"/>
        </w:rPr>
        <w:t>Е</w:t>
      </w:r>
      <w:r w:rsidR="00A56E08" w:rsidRPr="001A6D76">
        <w:rPr>
          <w:rFonts w:ascii="Arial" w:hAnsi="Arial" w:cs="Arial"/>
          <w:b/>
          <w:color w:val="000000" w:themeColor="text1"/>
          <w:sz w:val="24"/>
          <w:szCs w:val="24"/>
          <w:lang w:val="sr-Cyrl-BA"/>
        </w:rPr>
        <w:t>Ф</w:t>
      </w:r>
      <w:r w:rsidR="00AA1DC5" w:rsidRPr="001A6D76">
        <w:rPr>
          <w:rFonts w:ascii="Arial" w:hAnsi="Arial" w:cs="Arial"/>
          <w:b/>
          <w:color w:val="000000" w:themeColor="text1"/>
          <w:sz w:val="24"/>
          <w:szCs w:val="24"/>
          <w:lang w:val="sr-Cyrl-BA"/>
        </w:rPr>
        <w:t xml:space="preserve">  </w:t>
      </w:r>
      <w:r w:rsidR="00AA1DC5" w:rsidRPr="001A6D76">
        <w:rPr>
          <w:rFonts w:ascii="Arial" w:hAnsi="Arial" w:cs="Arial"/>
          <w:color w:val="000000" w:themeColor="text1"/>
          <w:sz w:val="24"/>
          <w:szCs w:val="24"/>
          <w:lang w:val="sr-Cyrl-BA"/>
        </w:rPr>
        <w:t xml:space="preserve">  </w:t>
      </w:r>
      <w:r w:rsidR="001A6D76">
        <w:rPr>
          <w:rFonts w:ascii="Arial" w:hAnsi="Arial" w:cs="Arial"/>
          <w:color w:val="000000" w:themeColor="text1"/>
          <w:sz w:val="24"/>
          <w:szCs w:val="24"/>
          <w:lang w:val="sr-Cyrl-BA"/>
        </w:rPr>
        <w:tab/>
      </w:r>
      <w:r w:rsidR="00A56E08" w:rsidRPr="001A6D76">
        <w:rPr>
          <w:rFonts w:ascii="Arial" w:hAnsi="Arial" w:cs="Arial"/>
          <w:color w:val="000000" w:themeColor="text1"/>
          <w:sz w:val="24"/>
          <w:szCs w:val="24"/>
          <w:lang w:val="sr-Cyrl-BA"/>
        </w:rPr>
        <w:t>Фонд</w:t>
      </w:r>
      <w:r w:rsidR="00AA1DC5" w:rsidRPr="001A6D76">
        <w:rPr>
          <w:rFonts w:ascii="Arial" w:hAnsi="Arial" w:cs="Arial"/>
          <w:color w:val="000000" w:themeColor="text1"/>
          <w:sz w:val="24"/>
          <w:szCs w:val="24"/>
          <w:lang w:val="sr-Cyrl-BA"/>
        </w:rPr>
        <w:t xml:space="preserve"> </w:t>
      </w:r>
      <w:r w:rsidRPr="001A6D76">
        <w:rPr>
          <w:rFonts w:ascii="Arial" w:hAnsi="Arial" w:cs="Arial"/>
          <w:color w:val="000000" w:themeColor="text1"/>
          <w:sz w:val="24"/>
          <w:szCs w:val="24"/>
          <w:lang w:val="sr-Cyrl-BA"/>
        </w:rPr>
        <w:t>У</w:t>
      </w:r>
      <w:r w:rsidR="00A56E08" w:rsidRPr="001A6D76">
        <w:rPr>
          <w:rFonts w:ascii="Arial" w:hAnsi="Arial" w:cs="Arial"/>
          <w:color w:val="000000" w:themeColor="text1"/>
          <w:sz w:val="24"/>
          <w:szCs w:val="24"/>
          <w:lang w:val="sr-Cyrl-BA"/>
        </w:rPr>
        <w:t>ј</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дињ</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них</w:t>
      </w:r>
      <w:r w:rsidR="006C7D72"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на</w:t>
      </w:r>
      <w:r w:rsidRPr="001A6D76">
        <w:rPr>
          <w:rFonts w:ascii="Arial" w:hAnsi="Arial" w:cs="Arial"/>
          <w:color w:val="000000" w:themeColor="text1"/>
          <w:sz w:val="24"/>
          <w:szCs w:val="24"/>
          <w:lang w:val="sr-Cyrl-BA"/>
        </w:rPr>
        <w:t>р</w:t>
      </w:r>
      <w:r w:rsidR="00A56E08" w:rsidRPr="001A6D76">
        <w:rPr>
          <w:rFonts w:ascii="Arial" w:hAnsi="Arial" w:cs="Arial"/>
          <w:color w:val="000000" w:themeColor="text1"/>
          <w:sz w:val="24"/>
          <w:szCs w:val="24"/>
          <w:lang w:val="sr-Cyrl-BA"/>
        </w:rPr>
        <w:t>ода</w:t>
      </w:r>
      <w:r w:rsidR="00AA1DC5" w:rsidRPr="001A6D76">
        <w:rPr>
          <w:rFonts w:ascii="Arial" w:hAnsi="Arial" w:cs="Arial"/>
          <w:color w:val="000000" w:themeColor="text1"/>
          <w:sz w:val="24"/>
          <w:szCs w:val="24"/>
          <w:lang w:val="sr-Cyrl-BA"/>
        </w:rPr>
        <w:t xml:space="preserve"> </w:t>
      </w:r>
      <w:r w:rsidR="00171F00" w:rsidRPr="001A6D76">
        <w:rPr>
          <w:rFonts w:ascii="Arial" w:hAnsi="Arial" w:cs="Arial"/>
          <w:color w:val="000000" w:themeColor="text1"/>
          <w:sz w:val="24"/>
          <w:szCs w:val="24"/>
          <w:lang w:val="sr-Cyrl-BA"/>
        </w:rPr>
        <w:t>з</w:t>
      </w:r>
      <w:r w:rsidR="00A56E08" w:rsidRPr="001A6D76">
        <w:rPr>
          <w:rFonts w:ascii="Arial" w:hAnsi="Arial" w:cs="Arial"/>
          <w:color w:val="000000" w:themeColor="text1"/>
          <w:sz w:val="24"/>
          <w:szCs w:val="24"/>
          <w:lang w:val="sr-Cyrl-BA"/>
        </w:rPr>
        <w:t>а</w:t>
      </w:r>
      <w:r w:rsidR="00AA1DC5" w:rsidRPr="001A6D76">
        <w:rPr>
          <w:rFonts w:ascii="Arial" w:hAnsi="Arial" w:cs="Arial"/>
          <w:color w:val="000000" w:themeColor="text1"/>
          <w:sz w:val="24"/>
          <w:szCs w:val="24"/>
          <w:lang w:val="sr-Cyrl-BA"/>
        </w:rPr>
        <w:t xml:space="preserve"> </w:t>
      </w:r>
      <w:r w:rsidR="00A56E08" w:rsidRPr="001A6D76">
        <w:rPr>
          <w:rFonts w:ascii="Arial" w:hAnsi="Arial" w:cs="Arial"/>
          <w:color w:val="000000" w:themeColor="text1"/>
          <w:sz w:val="24"/>
          <w:szCs w:val="24"/>
          <w:lang w:val="sr-Cyrl-BA"/>
        </w:rPr>
        <w:t>дј</w:t>
      </w:r>
      <w:r w:rsidR="00EE6AA2" w:rsidRPr="001A6D76">
        <w:rPr>
          <w:rFonts w:ascii="Arial" w:hAnsi="Arial" w:cs="Arial"/>
          <w:color w:val="000000" w:themeColor="text1"/>
          <w:sz w:val="24"/>
          <w:szCs w:val="24"/>
          <w:lang w:val="sr-Cyrl-BA"/>
        </w:rPr>
        <w:t>е</w:t>
      </w:r>
      <w:r w:rsidR="00A56E08" w:rsidRPr="001A6D76">
        <w:rPr>
          <w:rFonts w:ascii="Arial" w:hAnsi="Arial" w:cs="Arial"/>
          <w:color w:val="000000" w:themeColor="text1"/>
          <w:sz w:val="24"/>
          <w:szCs w:val="24"/>
          <w:lang w:val="sr-Cyrl-BA"/>
        </w:rPr>
        <w:t>ц</w:t>
      </w:r>
      <w:r w:rsidRPr="001A6D76">
        <w:rPr>
          <w:rFonts w:ascii="Arial" w:hAnsi="Arial" w:cs="Arial"/>
          <w:color w:val="000000" w:themeColor="text1"/>
          <w:sz w:val="24"/>
          <w:szCs w:val="24"/>
          <w:lang w:val="sr-Cyrl-BA"/>
        </w:rPr>
        <w:t>у</w:t>
      </w:r>
    </w:p>
    <w:p w14:paraId="43AA1527" w14:textId="275889C4" w:rsidR="00AA1DC5" w:rsidRPr="001A6D76" w:rsidRDefault="00A56E08" w:rsidP="00F83E0E">
      <w:pPr>
        <w:spacing w:before="200" w:after="200" w:line="276" w:lineRule="auto"/>
        <w:rPr>
          <w:rFonts w:ascii="Arial" w:eastAsia="Times New Roman" w:hAnsi="Arial" w:cs="Arial"/>
          <w:color w:val="000000" w:themeColor="text1"/>
          <w:sz w:val="24"/>
          <w:szCs w:val="24"/>
          <w:lang w:val="sr-Cyrl-BA"/>
        </w:rPr>
      </w:pPr>
      <w:r w:rsidRPr="001A6D76">
        <w:rPr>
          <w:rFonts w:ascii="Arial" w:eastAsia="Times New Roman" w:hAnsi="Arial" w:cs="Arial"/>
          <w:b/>
          <w:bCs/>
          <w:color w:val="000000" w:themeColor="text1"/>
          <w:sz w:val="24"/>
          <w:szCs w:val="24"/>
          <w:lang w:val="sr-Cyrl-BA"/>
        </w:rPr>
        <w:t>ЛАН</w:t>
      </w:r>
      <w:r w:rsidR="00753A6E" w:rsidRPr="001A6D76">
        <w:rPr>
          <w:rFonts w:ascii="Arial" w:eastAsia="Times New Roman" w:hAnsi="Arial" w:cs="Arial"/>
          <w:color w:val="000000" w:themeColor="text1"/>
          <w:sz w:val="24"/>
          <w:szCs w:val="24"/>
          <w:lang w:val="sr-Cyrl-BA"/>
        </w:rPr>
        <w:tab/>
      </w:r>
      <w:r w:rsidR="00753A6E" w:rsidRPr="001A6D76">
        <w:rPr>
          <w:rFonts w:ascii="Arial" w:eastAsia="Times New Roman" w:hAnsi="Arial" w:cs="Arial"/>
          <w:color w:val="000000" w:themeColor="text1"/>
          <w:sz w:val="24"/>
          <w:szCs w:val="24"/>
          <w:lang w:val="sr-Cyrl-BA"/>
        </w:rPr>
        <w:tab/>
      </w:r>
      <w:r w:rsidRPr="001A6D76">
        <w:rPr>
          <w:rFonts w:ascii="Arial" w:eastAsia="Times New Roman" w:hAnsi="Arial" w:cs="Arial"/>
          <w:color w:val="000000" w:themeColor="text1"/>
          <w:sz w:val="24"/>
          <w:szCs w:val="24"/>
          <w:lang w:val="sr-Cyrl-BA"/>
        </w:rPr>
        <w:t>М</w:t>
      </w:r>
      <w:r w:rsidR="0071360A" w:rsidRPr="001A6D76">
        <w:rPr>
          <w:rFonts w:ascii="Arial" w:eastAsia="Times New Roman" w:hAnsi="Arial" w:cs="Arial"/>
          <w:color w:val="000000" w:themeColor="text1"/>
          <w:sz w:val="24"/>
          <w:szCs w:val="24"/>
          <w:lang w:val="sr-Cyrl-BA"/>
        </w:rPr>
        <w:t>р</w:t>
      </w:r>
      <w:r w:rsidR="00EE6AA2" w:rsidRPr="001A6D76">
        <w:rPr>
          <w:rFonts w:ascii="Arial" w:eastAsia="Times New Roman" w:hAnsi="Arial" w:cs="Arial"/>
          <w:color w:val="000000" w:themeColor="text1"/>
          <w:sz w:val="24"/>
          <w:szCs w:val="24"/>
          <w:lang w:val="sr-Cyrl-BA"/>
        </w:rPr>
        <w:t>е</w:t>
      </w:r>
      <w:r w:rsidR="00171F00" w:rsidRPr="001A6D76">
        <w:rPr>
          <w:rFonts w:ascii="Arial" w:eastAsia="Times New Roman" w:hAnsi="Arial" w:cs="Arial"/>
          <w:color w:val="000000" w:themeColor="text1"/>
          <w:sz w:val="24"/>
          <w:szCs w:val="24"/>
          <w:lang w:val="sr-Cyrl-BA"/>
        </w:rPr>
        <w:t>ж</w:t>
      </w:r>
      <w:r w:rsidRPr="001A6D76">
        <w:rPr>
          <w:rFonts w:ascii="Arial" w:eastAsia="Times New Roman" w:hAnsi="Arial" w:cs="Arial"/>
          <w:color w:val="000000" w:themeColor="text1"/>
          <w:sz w:val="24"/>
          <w:szCs w:val="24"/>
          <w:lang w:val="sr-Cyrl-BA"/>
        </w:rPr>
        <w:t>а</w:t>
      </w:r>
      <w:r w:rsidR="006C7D72" w:rsidRPr="001A6D76">
        <w:rPr>
          <w:rFonts w:ascii="Arial" w:eastAsia="Times New Roman" w:hAnsi="Arial" w:cs="Arial"/>
          <w:color w:val="000000" w:themeColor="text1"/>
          <w:sz w:val="24"/>
          <w:szCs w:val="24"/>
          <w:lang w:val="sr-Cyrl-BA"/>
        </w:rPr>
        <w:t xml:space="preserve"> </w:t>
      </w:r>
      <w:r w:rsidRPr="001A6D76">
        <w:rPr>
          <w:rFonts w:ascii="Arial" w:eastAsia="Times New Roman" w:hAnsi="Arial" w:cs="Arial"/>
          <w:color w:val="000000" w:themeColor="text1"/>
          <w:sz w:val="24"/>
          <w:szCs w:val="24"/>
          <w:lang w:val="sr-Cyrl-BA"/>
        </w:rPr>
        <w:t>локалног</w:t>
      </w:r>
      <w:r w:rsidR="009A10E7" w:rsidRPr="001A6D76">
        <w:rPr>
          <w:rFonts w:ascii="Arial" w:eastAsia="Times New Roman" w:hAnsi="Arial" w:cs="Arial"/>
          <w:color w:val="000000" w:themeColor="text1"/>
          <w:sz w:val="24"/>
          <w:szCs w:val="24"/>
          <w:lang w:val="sr-Cyrl-BA"/>
        </w:rPr>
        <w:t xml:space="preserve"> </w:t>
      </w:r>
      <w:r w:rsidR="0071360A" w:rsidRPr="001A6D76">
        <w:rPr>
          <w:rFonts w:ascii="Arial" w:eastAsia="Times New Roman" w:hAnsi="Arial" w:cs="Arial"/>
          <w:color w:val="000000" w:themeColor="text1"/>
          <w:sz w:val="24"/>
          <w:szCs w:val="24"/>
          <w:lang w:val="sr-Cyrl-BA"/>
        </w:rPr>
        <w:t>п</w:t>
      </w:r>
      <w:r w:rsidRPr="001A6D76">
        <w:rPr>
          <w:rFonts w:ascii="Arial" w:eastAsia="Times New Roman" w:hAnsi="Arial" w:cs="Arial"/>
          <w:color w:val="000000" w:themeColor="text1"/>
          <w:sz w:val="24"/>
          <w:szCs w:val="24"/>
          <w:lang w:val="sr-Cyrl-BA"/>
        </w:rPr>
        <w:t>од</w:t>
      </w:r>
      <w:r w:rsidR="0071360A" w:rsidRPr="001A6D76">
        <w:rPr>
          <w:rFonts w:ascii="Arial" w:eastAsia="Times New Roman" w:hAnsi="Arial" w:cs="Arial"/>
          <w:color w:val="000000" w:themeColor="text1"/>
          <w:sz w:val="24"/>
          <w:szCs w:val="24"/>
          <w:lang w:val="sr-Cyrl-BA"/>
        </w:rPr>
        <w:t>ру</w:t>
      </w:r>
      <w:r w:rsidRPr="001A6D76">
        <w:rPr>
          <w:rFonts w:ascii="Arial" w:eastAsia="Times New Roman" w:hAnsi="Arial" w:cs="Arial"/>
          <w:color w:val="000000" w:themeColor="text1"/>
          <w:sz w:val="24"/>
          <w:szCs w:val="24"/>
          <w:lang w:val="sr-Cyrl-BA"/>
        </w:rPr>
        <w:t>чја</w:t>
      </w:r>
      <w:r w:rsidR="009A10E7" w:rsidRPr="001A6D76">
        <w:rPr>
          <w:rFonts w:ascii="Arial" w:eastAsia="Times New Roman" w:hAnsi="Arial" w:cs="Arial"/>
          <w:color w:val="000000" w:themeColor="text1"/>
          <w:sz w:val="24"/>
          <w:szCs w:val="24"/>
          <w:lang w:val="sr-Cyrl-BA"/>
        </w:rPr>
        <w:t xml:space="preserve"> </w:t>
      </w:r>
      <w:r w:rsidR="006C7D72" w:rsidRPr="001A6D76">
        <w:rPr>
          <w:rFonts w:ascii="Arial" w:eastAsia="Times New Roman" w:hAnsi="Arial" w:cs="Arial"/>
          <w:color w:val="000000" w:themeColor="text1"/>
          <w:sz w:val="24"/>
          <w:szCs w:val="24"/>
          <w:lang w:val="sr-Cyrl-BA"/>
        </w:rPr>
        <w:t>(</w:t>
      </w:r>
      <w:r w:rsidR="003C3116" w:rsidRPr="001A6D76">
        <w:rPr>
          <w:rFonts w:ascii="Arial" w:eastAsia="Times New Roman" w:hAnsi="Arial" w:cs="Arial"/>
          <w:color w:val="000000" w:themeColor="text1"/>
          <w:sz w:val="24"/>
          <w:szCs w:val="24"/>
          <w:lang w:val="hr-BA"/>
        </w:rPr>
        <w:t>Local area network</w:t>
      </w:r>
      <w:r w:rsidR="006C7D72" w:rsidRPr="001A6D76">
        <w:rPr>
          <w:rFonts w:ascii="Arial" w:eastAsia="Times New Roman" w:hAnsi="Arial" w:cs="Arial"/>
          <w:color w:val="000000" w:themeColor="text1"/>
          <w:sz w:val="24"/>
          <w:szCs w:val="24"/>
          <w:lang w:val="sr-Cyrl-BA"/>
        </w:rPr>
        <w:t>)</w:t>
      </w:r>
    </w:p>
    <w:p w14:paraId="12E0432C" w14:textId="666C4F15" w:rsidR="00753A6E" w:rsidRPr="001A6D76" w:rsidRDefault="00753A6E" w:rsidP="00F83E0E">
      <w:pPr>
        <w:spacing w:before="200" w:after="200" w:line="276" w:lineRule="auto"/>
        <w:rPr>
          <w:rFonts w:ascii="Arial" w:eastAsia="Times New Roman" w:hAnsi="Arial" w:cs="Arial"/>
          <w:color w:val="000000" w:themeColor="text1"/>
          <w:sz w:val="24"/>
          <w:szCs w:val="24"/>
          <w:lang w:val="sr-Cyrl-BA"/>
        </w:rPr>
      </w:pPr>
      <w:r w:rsidRPr="001A6D76">
        <w:rPr>
          <w:rFonts w:ascii="Arial" w:eastAsia="Times New Roman" w:hAnsi="Arial" w:cs="Arial"/>
          <w:b/>
          <w:bCs/>
          <w:color w:val="000000" w:themeColor="text1"/>
          <w:sz w:val="24"/>
          <w:szCs w:val="24"/>
          <w:lang w:val="sr-Cyrl-BA"/>
        </w:rPr>
        <w:t>W</w:t>
      </w:r>
      <w:r w:rsidR="00A56E08" w:rsidRPr="001A6D76">
        <w:rPr>
          <w:rFonts w:ascii="Arial" w:eastAsia="Times New Roman" w:hAnsi="Arial" w:cs="Arial"/>
          <w:b/>
          <w:bCs/>
          <w:color w:val="000000" w:themeColor="text1"/>
          <w:sz w:val="24"/>
          <w:szCs w:val="24"/>
          <w:lang w:val="sr-Cyrl-BA"/>
        </w:rPr>
        <w:t>ЛАН</w:t>
      </w:r>
      <w:r w:rsidR="001A6D76">
        <w:rPr>
          <w:rFonts w:ascii="Arial" w:eastAsia="Times New Roman" w:hAnsi="Arial" w:cs="Arial"/>
          <w:b/>
          <w:bCs/>
          <w:color w:val="000000" w:themeColor="text1"/>
          <w:sz w:val="24"/>
          <w:szCs w:val="24"/>
          <w:lang w:val="sr-Cyrl-BA"/>
        </w:rPr>
        <w:tab/>
      </w:r>
      <w:r w:rsidR="00A56E08" w:rsidRPr="001A6D76">
        <w:rPr>
          <w:rFonts w:ascii="Arial" w:eastAsia="Times New Roman" w:hAnsi="Arial" w:cs="Arial"/>
          <w:color w:val="000000" w:themeColor="text1"/>
          <w:sz w:val="24"/>
          <w:szCs w:val="24"/>
          <w:lang w:val="sr-Cyrl-BA"/>
        </w:rPr>
        <w:t>Б</w:t>
      </w:r>
      <w:r w:rsidR="00EE6AA2" w:rsidRPr="001A6D76">
        <w:rPr>
          <w:rFonts w:ascii="Arial" w:eastAsia="Times New Roman" w:hAnsi="Arial" w:cs="Arial"/>
          <w:color w:val="000000" w:themeColor="text1"/>
          <w:sz w:val="24"/>
          <w:szCs w:val="24"/>
          <w:lang w:val="sr-Cyrl-BA"/>
        </w:rPr>
        <w:t>е</w:t>
      </w:r>
      <w:r w:rsidR="00171F00" w:rsidRPr="001A6D76">
        <w:rPr>
          <w:rFonts w:ascii="Arial" w:eastAsia="Times New Roman" w:hAnsi="Arial" w:cs="Arial"/>
          <w:color w:val="000000" w:themeColor="text1"/>
          <w:sz w:val="24"/>
          <w:szCs w:val="24"/>
          <w:lang w:val="sr-Cyrl-BA"/>
        </w:rPr>
        <w:t>ж</w:t>
      </w:r>
      <w:r w:rsidR="00A56E08" w:rsidRPr="001A6D76">
        <w:rPr>
          <w:rFonts w:ascii="Arial" w:eastAsia="Times New Roman" w:hAnsi="Arial" w:cs="Arial"/>
          <w:color w:val="000000" w:themeColor="text1"/>
          <w:sz w:val="24"/>
          <w:szCs w:val="24"/>
          <w:lang w:val="sr-Cyrl-BA"/>
        </w:rPr>
        <w:t>ична</w:t>
      </w:r>
      <w:r w:rsidR="006C7D72" w:rsidRPr="001A6D76">
        <w:rPr>
          <w:rFonts w:ascii="Arial" w:eastAsia="Times New Roman" w:hAnsi="Arial" w:cs="Arial"/>
          <w:color w:val="000000" w:themeColor="text1"/>
          <w:sz w:val="24"/>
          <w:szCs w:val="24"/>
          <w:lang w:val="sr-Cyrl-BA"/>
        </w:rPr>
        <w:t xml:space="preserve"> </w:t>
      </w:r>
      <w:r w:rsidR="00A56E08" w:rsidRPr="001A6D76">
        <w:rPr>
          <w:rFonts w:ascii="Arial" w:eastAsia="Times New Roman" w:hAnsi="Arial" w:cs="Arial"/>
          <w:color w:val="000000" w:themeColor="text1"/>
          <w:sz w:val="24"/>
          <w:szCs w:val="24"/>
          <w:lang w:val="sr-Cyrl-BA"/>
        </w:rPr>
        <w:t>м</w:t>
      </w:r>
      <w:r w:rsidR="0071360A" w:rsidRPr="001A6D76">
        <w:rPr>
          <w:rFonts w:ascii="Arial" w:eastAsia="Times New Roman" w:hAnsi="Arial" w:cs="Arial"/>
          <w:color w:val="000000" w:themeColor="text1"/>
          <w:sz w:val="24"/>
          <w:szCs w:val="24"/>
          <w:lang w:val="sr-Cyrl-BA"/>
        </w:rPr>
        <w:t>р</w:t>
      </w:r>
      <w:r w:rsidR="00EE6AA2" w:rsidRPr="001A6D76">
        <w:rPr>
          <w:rFonts w:ascii="Arial" w:eastAsia="Times New Roman" w:hAnsi="Arial" w:cs="Arial"/>
          <w:color w:val="000000" w:themeColor="text1"/>
          <w:sz w:val="24"/>
          <w:szCs w:val="24"/>
          <w:lang w:val="sr-Cyrl-BA"/>
        </w:rPr>
        <w:t>е</w:t>
      </w:r>
      <w:r w:rsidR="00171F00" w:rsidRPr="001A6D76">
        <w:rPr>
          <w:rFonts w:ascii="Arial" w:eastAsia="Times New Roman" w:hAnsi="Arial" w:cs="Arial"/>
          <w:color w:val="000000" w:themeColor="text1"/>
          <w:sz w:val="24"/>
          <w:szCs w:val="24"/>
          <w:lang w:val="sr-Cyrl-BA"/>
        </w:rPr>
        <w:t>ж</w:t>
      </w:r>
      <w:r w:rsidR="00A56E08" w:rsidRPr="001A6D76">
        <w:rPr>
          <w:rFonts w:ascii="Arial" w:eastAsia="Times New Roman" w:hAnsi="Arial" w:cs="Arial"/>
          <w:color w:val="000000" w:themeColor="text1"/>
          <w:sz w:val="24"/>
          <w:szCs w:val="24"/>
          <w:lang w:val="sr-Cyrl-BA"/>
        </w:rPr>
        <w:t>а</w:t>
      </w:r>
      <w:r w:rsidR="009A10E7" w:rsidRPr="001A6D76">
        <w:rPr>
          <w:rFonts w:ascii="Arial" w:eastAsia="Times New Roman" w:hAnsi="Arial" w:cs="Arial"/>
          <w:color w:val="000000" w:themeColor="text1"/>
          <w:sz w:val="24"/>
          <w:szCs w:val="24"/>
          <w:lang w:val="sr-Cyrl-BA"/>
        </w:rPr>
        <w:t xml:space="preserve"> </w:t>
      </w:r>
      <w:r w:rsidR="00A56E08" w:rsidRPr="001A6D76">
        <w:rPr>
          <w:rFonts w:ascii="Arial" w:eastAsia="Times New Roman" w:hAnsi="Arial" w:cs="Arial"/>
          <w:color w:val="000000" w:themeColor="text1"/>
          <w:sz w:val="24"/>
          <w:szCs w:val="24"/>
          <w:lang w:val="sr-Cyrl-BA"/>
        </w:rPr>
        <w:t>локалног</w:t>
      </w:r>
      <w:r w:rsidR="009A10E7" w:rsidRPr="001A6D76">
        <w:rPr>
          <w:rFonts w:ascii="Arial" w:eastAsia="Times New Roman" w:hAnsi="Arial" w:cs="Arial"/>
          <w:color w:val="000000" w:themeColor="text1"/>
          <w:sz w:val="24"/>
          <w:szCs w:val="24"/>
          <w:lang w:val="sr-Cyrl-BA"/>
        </w:rPr>
        <w:t xml:space="preserve"> </w:t>
      </w:r>
      <w:r w:rsidR="0071360A" w:rsidRPr="001A6D76">
        <w:rPr>
          <w:rFonts w:ascii="Arial" w:eastAsia="Times New Roman" w:hAnsi="Arial" w:cs="Arial"/>
          <w:color w:val="000000" w:themeColor="text1"/>
          <w:sz w:val="24"/>
          <w:szCs w:val="24"/>
          <w:lang w:val="sr-Cyrl-BA"/>
        </w:rPr>
        <w:t>п</w:t>
      </w:r>
      <w:r w:rsidR="00A56E08" w:rsidRPr="001A6D76">
        <w:rPr>
          <w:rFonts w:ascii="Arial" w:eastAsia="Times New Roman" w:hAnsi="Arial" w:cs="Arial"/>
          <w:color w:val="000000" w:themeColor="text1"/>
          <w:sz w:val="24"/>
          <w:szCs w:val="24"/>
          <w:lang w:val="sr-Cyrl-BA"/>
        </w:rPr>
        <w:t>од</w:t>
      </w:r>
      <w:r w:rsidR="0071360A" w:rsidRPr="001A6D76">
        <w:rPr>
          <w:rFonts w:ascii="Arial" w:eastAsia="Times New Roman" w:hAnsi="Arial" w:cs="Arial"/>
          <w:color w:val="000000" w:themeColor="text1"/>
          <w:sz w:val="24"/>
          <w:szCs w:val="24"/>
          <w:lang w:val="sr-Cyrl-BA"/>
        </w:rPr>
        <w:t>ру</w:t>
      </w:r>
      <w:r w:rsidR="00A56E08" w:rsidRPr="001A6D76">
        <w:rPr>
          <w:rFonts w:ascii="Arial" w:eastAsia="Times New Roman" w:hAnsi="Arial" w:cs="Arial"/>
          <w:color w:val="000000" w:themeColor="text1"/>
          <w:sz w:val="24"/>
          <w:szCs w:val="24"/>
          <w:lang w:val="sr-Cyrl-BA"/>
        </w:rPr>
        <w:t>чја</w:t>
      </w:r>
      <w:r w:rsidR="009A10E7" w:rsidRPr="001A6D76">
        <w:rPr>
          <w:rFonts w:ascii="Arial" w:eastAsia="Times New Roman" w:hAnsi="Arial" w:cs="Arial"/>
          <w:color w:val="000000" w:themeColor="text1"/>
          <w:sz w:val="24"/>
          <w:szCs w:val="24"/>
          <w:lang w:val="sr-Cyrl-BA"/>
        </w:rPr>
        <w:t xml:space="preserve"> </w:t>
      </w:r>
      <w:r w:rsidR="006C7D72" w:rsidRPr="001A6D76">
        <w:rPr>
          <w:rFonts w:ascii="Arial" w:eastAsia="Times New Roman" w:hAnsi="Arial" w:cs="Arial"/>
          <w:color w:val="000000" w:themeColor="text1"/>
          <w:sz w:val="24"/>
          <w:szCs w:val="24"/>
          <w:lang w:val="sr-Cyrl-BA"/>
        </w:rPr>
        <w:t>(</w:t>
      </w:r>
      <w:r w:rsidR="00CB5414" w:rsidRPr="001A6D76">
        <w:rPr>
          <w:rFonts w:ascii="Arial" w:eastAsia="Times New Roman" w:hAnsi="Arial" w:cs="Arial"/>
          <w:color w:val="000000" w:themeColor="text1"/>
          <w:sz w:val="24"/>
          <w:szCs w:val="24"/>
          <w:lang w:val="hr-BA"/>
        </w:rPr>
        <w:t xml:space="preserve">Wireless </w:t>
      </w:r>
      <w:r w:rsidR="003C3116" w:rsidRPr="001A6D76">
        <w:rPr>
          <w:rFonts w:ascii="Arial" w:eastAsia="Times New Roman" w:hAnsi="Arial" w:cs="Arial"/>
          <w:color w:val="000000" w:themeColor="text1"/>
          <w:sz w:val="24"/>
          <w:szCs w:val="24"/>
          <w:lang w:val="hr-BA"/>
        </w:rPr>
        <w:t>local area network</w:t>
      </w:r>
      <w:r w:rsidRPr="001A6D76">
        <w:rPr>
          <w:rFonts w:ascii="Arial" w:eastAsia="Times New Roman" w:hAnsi="Arial" w:cs="Arial"/>
          <w:color w:val="000000" w:themeColor="text1"/>
          <w:sz w:val="24"/>
          <w:szCs w:val="24"/>
          <w:lang w:val="sr-Cyrl-BA"/>
        </w:rPr>
        <w:t>)</w:t>
      </w:r>
    </w:p>
    <w:p w14:paraId="2A8A4DD4" w14:textId="34AB705D" w:rsidR="00753A6E" w:rsidRPr="00F6340E" w:rsidRDefault="00753A6E" w:rsidP="00F83E0E">
      <w:pPr>
        <w:spacing w:before="200" w:after="200" w:line="276" w:lineRule="auto"/>
        <w:rPr>
          <w:rFonts w:ascii="Arial" w:eastAsia="Times New Roman" w:hAnsi="Arial" w:cs="Arial"/>
          <w:color w:val="000000" w:themeColor="text1"/>
          <w:lang w:val="sr-Cyrl-BA"/>
        </w:rPr>
      </w:pPr>
    </w:p>
    <w:p w14:paraId="6EFA62D0" w14:textId="77777777" w:rsidR="00AA1DC5" w:rsidRPr="00F6340E" w:rsidRDefault="00AA1DC5" w:rsidP="00F83E0E">
      <w:pPr>
        <w:spacing w:before="200" w:after="200" w:line="276" w:lineRule="auto"/>
        <w:rPr>
          <w:rFonts w:ascii="Arial" w:hAnsi="Arial" w:cs="Arial"/>
          <w:b/>
          <w:color w:val="000000" w:themeColor="text1"/>
          <w:sz w:val="24"/>
          <w:szCs w:val="24"/>
          <w:lang w:val="sr-Cyrl-BA"/>
        </w:rPr>
      </w:pPr>
      <w:r w:rsidRPr="00F6340E">
        <w:rPr>
          <w:rFonts w:ascii="Arial" w:hAnsi="Arial" w:cs="Arial"/>
          <w:b/>
          <w:color w:val="000000" w:themeColor="text1"/>
          <w:sz w:val="24"/>
          <w:szCs w:val="24"/>
          <w:lang w:val="sr-Cyrl-BA"/>
        </w:rPr>
        <w:t> </w:t>
      </w:r>
    </w:p>
    <w:p w14:paraId="16ADCA1D" w14:textId="77777777" w:rsidR="00AA1DC5" w:rsidRPr="00F6340E" w:rsidRDefault="00AA1DC5" w:rsidP="00F83E0E">
      <w:pPr>
        <w:spacing w:before="200" w:after="200" w:line="276" w:lineRule="auto"/>
        <w:jc w:val="left"/>
        <w:rPr>
          <w:rFonts w:ascii="Arial" w:hAnsi="Arial" w:cs="Arial"/>
          <w:b/>
          <w:color w:val="000000" w:themeColor="text1"/>
          <w:sz w:val="24"/>
          <w:szCs w:val="24"/>
          <w:lang w:val="sr-Cyrl-BA"/>
        </w:rPr>
      </w:pPr>
      <w:r w:rsidRPr="00F6340E">
        <w:rPr>
          <w:rFonts w:ascii="Arial" w:hAnsi="Arial" w:cs="Arial"/>
          <w:color w:val="000000" w:themeColor="text1"/>
          <w:lang w:val="sr-Cyrl-BA"/>
        </w:rPr>
        <w:br w:type="page"/>
      </w:r>
    </w:p>
    <w:p w14:paraId="6E43B59B" w14:textId="453A3952" w:rsidR="00AA1DC5" w:rsidRPr="00F6340E" w:rsidRDefault="0071360A" w:rsidP="0025422F">
      <w:pPr>
        <w:pStyle w:val="Heading1"/>
        <w:spacing w:line="276" w:lineRule="auto"/>
        <w:rPr>
          <w:rFonts w:cs="Arial"/>
          <w:szCs w:val="30"/>
          <w:lang w:val="sr-Cyrl-BA"/>
        </w:rPr>
      </w:pPr>
      <w:bookmarkStart w:id="3" w:name="_Toc119050288"/>
      <w:r>
        <w:rPr>
          <w:rFonts w:cs="Arial"/>
          <w:szCs w:val="30"/>
          <w:lang w:val="sr-Cyrl-BA"/>
        </w:rPr>
        <w:lastRenderedPageBreak/>
        <w:t>Ув</w:t>
      </w:r>
      <w:r w:rsidR="00A56E08">
        <w:rPr>
          <w:rFonts w:cs="Arial"/>
          <w:szCs w:val="30"/>
          <w:lang w:val="sr-Cyrl-BA"/>
        </w:rPr>
        <w:t>од</w:t>
      </w:r>
      <w:bookmarkEnd w:id="3"/>
    </w:p>
    <w:p w14:paraId="7A9D1CB8" w14:textId="37194A1A" w:rsidR="004B5159" w:rsidRPr="00F6340E" w:rsidRDefault="0071360A" w:rsidP="001A6D76">
      <w:pPr>
        <w:pStyle w:val="Body"/>
      </w:pPr>
      <w:r>
        <w:t>В</w:t>
      </w:r>
      <w:r w:rsidR="00A56E08">
        <w:t>ан</w:t>
      </w:r>
      <w:r>
        <w:t>р</w:t>
      </w:r>
      <w:r w:rsidR="00EE6AA2">
        <w:t>е</w:t>
      </w:r>
      <w:r w:rsidR="00A56E08">
        <w:t>дна</w:t>
      </w:r>
      <w:r w:rsidR="004B5159" w:rsidRPr="00F6340E">
        <w:t xml:space="preserve"> </w:t>
      </w:r>
      <w:r>
        <w:t>с</w:t>
      </w:r>
      <w:r w:rsidR="00A56E08">
        <w:t>и</w:t>
      </w:r>
      <w:r>
        <w:t>ту</w:t>
      </w:r>
      <w:r w:rsidR="00A56E08">
        <w:t>ација</w:t>
      </w:r>
      <w:r w:rsidR="004B5159" w:rsidRPr="00F6340E">
        <w:t xml:space="preserve"> </w:t>
      </w:r>
      <w:r>
        <w:t>пр</w:t>
      </w:r>
      <w:r w:rsidR="00A56E08">
        <w:t>о</w:t>
      </w:r>
      <w:r>
        <w:t>у</w:t>
      </w:r>
      <w:r w:rsidR="00171F00">
        <w:t>з</w:t>
      </w:r>
      <w:r>
        <w:t>р</w:t>
      </w:r>
      <w:r w:rsidR="00A56E08">
        <w:t>око</w:t>
      </w:r>
      <w:r>
        <w:t>в</w:t>
      </w:r>
      <w:r w:rsidR="00A56E08">
        <w:t>ана</w:t>
      </w:r>
      <w:r w:rsidR="004B5159" w:rsidRPr="00F6340E">
        <w:t xml:space="preserve"> </w:t>
      </w:r>
      <w:r>
        <w:t>п</w:t>
      </w:r>
      <w:r w:rsidR="00A56E08">
        <w:t>анд</w:t>
      </w:r>
      <w:r w:rsidR="00EE6AA2">
        <w:t>е</w:t>
      </w:r>
      <w:r w:rsidR="00A56E08">
        <w:t>мијом</w:t>
      </w:r>
      <w:r w:rsidR="004B5159" w:rsidRPr="00F6340E">
        <w:t xml:space="preserve"> </w:t>
      </w:r>
      <w:r w:rsidR="00A56E08">
        <w:t>Цо</w:t>
      </w:r>
      <w:r>
        <w:t>в</w:t>
      </w:r>
      <w:r w:rsidR="00A56E08">
        <w:t>ид</w:t>
      </w:r>
      <w:r w:rsidR="004B5159" w:rsidRPr="00F6340E">
        <w:t xml:space="preserve"> – 19 </w:t>
      </w:r>
      <w:r w:rsidR="00171F00">
        <w:t>з</w:t>
      </w:r>
      <w:r w:rsidR="00A56E08">
        <w:t>начајно</w:t>
      </w:r>
      <w:r w:rsidR="004B5159" w:rsidRPr="00F6340E">
        <w:t xml:space="preserve"> </w:t>
      </w:r>
      <w:r w:rsidR="00A56E08">
        <w:t>ј</w:t>
      </w:r>
      <w:r w:rsidR="00EE6AA2">
        <w:t>е</w:t>
      </w:r>
      <w:r w:rsidR="004B5159" w:rsidRPr="00F6340E">
        <w:t xml:space="preserve"> </w:t>
      </w:r>
      <w:r>
        <w:t>ут</w:t>
      </w:r>
      <w:r w:rsidR="00A56E08">
        <w:t>ицала</w:t>
      </w:r>
      <w:r w:rsidR="004B5159" w:rsidRPr="00F6340E">
        <w:t xml:space="preserve"> </w:t>
      </w:r>
      <w:r w:rsidR="00A56E08">
        <w:t>на</w:t>
      </w:r>
      <w:r w:rsidR="004B5159" w:rsidRPr="00F6340E">
        <w:t xml:space="preserve"> </w:t>
      </w:r>
      <w:r w:rsidR="00A56E08">
        <w:t>им</w:t>
      </w:r>
      <w:r>
        <w:t>п</w:t>
      </w:r>
      <w:r w:rsidR="00A56E08">
        <w:t>л</w:t>
      </w:r>
      <w:r w:rsidR="00EE6AA2">
        <w:t>е</w:t>
      </w:r>
      <w:r w:rsidR="00A56E08">
        <w:t>м</w:t>
      </w:r>
      <w:r w:rsidR="00EE6AA2">
        <w:t>е</w:t>
      </w:r>
      <w:r w:rsidR="00A56E08">
        <w:t>н</w:t>
      </w:r>
      <w:r>
        <w:t>т</w:t>
      </w:r>
      <w:r w:rsidR="00A56E08">
        <w:t>ациј</w:t>
      </w:r>
      <w:r>
        <w:t>у</w:t>
      </w:r>
      <w:r w:rsidR="00A93756" w:rsidRPr="00F6340E">
        <w:t xml:space="preserve"> </w:t>
      </w:r>
      <w:r w:rsidR="00A56E08">
        <w:t>об</w:t>
      </w:r>
      <w:r>
        <w:t>р</w:t>
      </w:r>
      <w:r w:rsidR="00A56E08">
        <w:t>а</w:t>
      </w:r>
      <w:r w:rsidR="00171F00">
        <w:t>з</w:t>
      </w:r>
      <w:r w:rsidR="00A56E08">
        <w:t>о</w:t>
      </w:r>
      <w:r>
        <w:t>в</w:t>
      </w:r>
      <w:r w:rsidR="00A56E08">
        <w:t>ног</w:t>
      </w:r>
      <w:r w:rsidR="00FA4499" w:rsidRPr="00F6340E">
        <w:t xml:space="preserve"> </w:t>
      </w:r>
      <w:r>
        <w:t>пр</w:t>
      </w:r>
      <w:r w:rsidR="00A56E08">
        <w:t>оц</w:t>
      </w:r>
      <w:r w:rsidR="00EE6AA2">
        <w:t>е</w:t>
      </w:r>
      <w:r>
        <w:t>с</w:t>
      </w:r>
      <w:r w:rsidR="00A56E08">
        <w:t>а</w:t>
      </w:r>
      <w:r w:rsidR="001C5F14" w:rsidRPr="00F6340E">
        <w:t>.</w:t>
      </w:r>
      <w:r w:rsidR="00FC5DD9" w:rsidRPr="00F6340E">
        <w:rPr>
          <w:rStyle w:val="FootnoteReference"/>
          <w:rFonts w:cs="Arial"/>
          <w:color w:val="000000" w:themeColor="text1"/>
          <w:szCs w:val="24"/>
        </w:rPr>
        <w:footnoteReference w:id="2"/>
      </w:r>
      <w:r w:rsidR="00FA4499" w:rsidRPr="00F6340E">
        <w:t xml:space="preserve"> </w:t>
      </w:r>
      <w:r>
        <w:t>Пр</w:t>
      </w:r>
      <w:r w:rsidR="00EE6AA2">
        <w:t>е</w:t>
      </w:r>
      <w:r w:rsidR="00A56E08">
        <w:t>ла</w:t>
      </w:r>
      <w:r w:rsidR="00171F00">
        <w:t>з</w:t>
      </w:r>
      <w:r w:rsidR="00A56E08">
        <w:t>ак</w:t>
      </w:r>
      <w:r w:rsidR="004B5159" w:rsidRPr="00F6340E">
        <w:t xml:space="preserve"> </w:t>
      </w:r>
      <w:r>
        <w:t>с</w:t>
      </w:r>
      <w:r w:rsidR="00A56E08">
        <w:t>а</w:t>
      </w:r>
      <w:r w:rsidR="004B5159" w:rsidRPr="00F6340E">
        <w:t xml:space="preserve"> </w:t>
      </w:r>
      <w:r>
        <w:t>тр</w:t>
      </w:r>
      <w:r w:rsidR="00A56E08">
        <w:t>адиционалног</w:t>
      </w:r>
      <w:r w:rsidR="004B5159" w:rsidRPr="00F6340E">
        <w:t xml:space="preserve"> </w:t>
      </w:r>
      <w:r w:rsidR="00A56E08">
        <w:t>мод</w:t>
      </w:r>
      <w:r w:rsidR="00EE6AA2">
        <w:t>е</w:t>
      </w:r>
      <w:r w:rsidR="00A56E08">
        <w:t>ла</w:t>
      </w:r>
      <w:r w:rsidR="004B5159" w:rsidRPr="00F6340E">
        <w:t xml:space="preserve"> </w:t>
      </w:r>
      <w:r w:rsidR="00A56E08">
        <w:t>на</w:t>
      </w:r>
      <w:r>
        <w:t>ст</w:t>
      </w:r>
      <w:r w:rsidR="00A56E08">
        <w:t>а</w:t>
      </w:r>
      <w:r>
        <w:t>в</w:t>
      </w:r>
      <w:r w:rsidR="00EE6AA2">
        <w:t>е</w:t>
      </w:r>
      <w:r w:rsidR="004B5159" w:rsidRPr="00F6340E">
        <w:t xml:space="preserve"> </w:t>
      </w:r>
      <w:r>
        <w:t>у</w:t>
      </w:r>
      <w:r w:rsidR="004B5159" w:rsidRPr="00F6340E">
        <w:t xml:space="preserve"> </w:t>
      </w:r>
      <w:r>
        <w:t>у</w:t>
      </w:r>
      <w:r w:rsidR="00A56E08">
        <w:t>чионици</w:t>
      </w:r>
      <w:r w:rsidR="004B5159" w:rsidRPr="00F6340E">
        <w:t xml:space="preserve"> </w:t>
      </w:r>
      <w:r w:rsidR="00A56E08">
        <w:t>на</w:t>
      </w:r>
      <w:r w:rsidR="004B5159" w:rsidRPr="00F6340E">
        <w:t xml:space="preserve"> </w:t>
      </w:r>
      <w:r w:rsidR="00A56E08">
        <w:t>на</w:t>
      </w:r>
      <w:r>
        <w:t>ст</w:t>
      </w:r>
      <w:r w:rsidR="00A56E08">
        <w:t>а</w:t>
      </w:r>
      <w:r>
        <w:t>ву</w:t>
      </w:r>
      <w:r w:rsidR="004B5159" w:rsidRPr="00F6340E">
        <w:t xml:space="preserve"> </w:t>
      </w:r>
      <w:r>
        <w:t>у</w:t>
      </w:r>
      <w:r w:rsidR="004B5159" w:rsidRPr="00F6340E">
        <w:t xml:space="preserve"> </w:t>
      </w:r>
      <w:r>
        <w:t>в</w:t>
      </w:r>
      <w:r w:rsidR="00A56E08">
        <w:t>и</w:t>
      </w:r>
      <w:r>
        <w:t>рту</w:t>
      </w:r>
      <w:r w:rsidR="00EE6AA2">
        <w:t>е</w:t>
      </w:r>
      <w:r w:rsidR="00A56E08">
        <w:t>лном</w:t>
      </w:r>
      <w:r w:rsidR="004B5159" w:rsidRPr="00F6340E">
        <w:t xml:space="preserve"> </w:t>
      </w:r>
      <w:r w:rsidR="00A56E08">
        <w:t>ок</w:t>
      </w:r>
      <w:r>
        <w:t>ру</w:t>
      </w:r>
      <w:r w:rsidR="00171F00">
        <w:t>ж</w:t>
      </w:r>
      <w:r w:rsidR="00EE6AA2">
        <w:t>е</w:t>
      </w:r>
      <w:r w:rsidR="00A56E08">
        <w:t>њ</w:t>
      </w:r>
      <w:r>
        <w:t>у</w:t>
      </w:r>
      <w:r w:rsidR="004B5159" w:rsidRPr="00F6340E">
        <w:t xml:space="preserve"> </w:t>
      </w:r>
      <w:r w:rsidR="00A56E08">
        <w:t>донио</w:t>
      </w:r>
      <w:r w:rsidR="00677DAF" w:rsidRPr="00F6340E">
        <w:t xml:space="preserve"> </w:t>
      </w:r>
      <w:r w:rsidR="00A56E08">
        <w:t>ј</w:t>
      </w:r>
      <w:r w:rsidR="00EE6AA2">
        <w:t>е</w:t>
      </w:r>
      <w:r w:rsidR="004B5159" w:rsidRPr="00F6340E">
        <w:t xml:space="preserve"> </w:t>
      </w:r>
      <w:r w:rsidR="00A56E08">
        <w:t>б</w:t>
      </w:r>
      <w:r>
        <w:t>р</w:t>
      </w:r>
      <w:r w:rsidR="00A56E08">
        <w:t>ојн</w:t>
      </w:r>
      <w:r w:rsidR="00EE6AA2">
        <w:t>е</w:t>
      </w:r>
      <w:r w:rsidR="004B5159" w:rsidRPr="00F6340E">
        <w:t xml:space="preserve"> </w:t>
      </w:r>
      <w:r w:rsidR="00A56E08">
        <w:t>и</w:t>
      </w:r>
      <w:r w:rsidR="00171F00">
        <w:t>з</w:t>
      </w:r>
      <w:r w:rsidR="00A56E08">
        <w:t>а</w:t>
      </w:r>
      <w:r w:rsidR="00171F00">
        <w:t>з</w:t>
      </w:r>
      <w:r w:rsidR="00A56E08">
        <w:t>о</w:t>
      </w:r>
      <w:r>
        <w:t>в</w:t>
      </w:r>
      <w:r w:rsidR="00EE6AA2">
        <w:t>е</w:t>
      </w:r>
      <w:r w:rsidR="004B5159" w:rsidRPr="00F6340E">
        <w:t xml:space="preserve"> </w:t>
      </w:r>
      <w:r>
        <w:t>с</w:t>
      </w:r>
      <w:r w:rsidR="00A56E08">
        <w:t>а</w:t>
      </w:r>
      <w:r w:rsidR="004B5159" w:rsidRPr="00F6340E">
        <w:t xml:space="preserve"> </w:t>
      </w:r>
      <w:r w:rsidR="00A56E08">
        <w:t>којима</w:t>
      </w:r>
      <w:r w:rsidR="004B5159" w:rsidRPr="00F6340E">
        <w:t xml:space="preserve"> </w:t>
      </w:r>
      <w:r>
        <w:t>су</w:t>
      </w:r>
      <w:r w:rsidR="004B5159" w:rsidRPr="00F6340E">
        <w:t xml:space="preserve"> </w:t>
      </w:r>
      <w:r>
        <w:t>с</w:t>
      </w:r>
      <w:r w:rsidR="00EE6AA2">
        <w:t>е</w:t>
      </w:r>
      <w:r w:rsidR="004B5159" w:rsidRPr="00F6340E">
        <w:t xml:space="preserve"> </w:t>
      </w:r>
      <w:r w:rsidR="00A56E08">
        <w:t>мо</w:t>
      </w:r>
      <w:r>
        <w:t>р</w:t>
      </w:r>
      <w:r w:rsidR="00A56E08">
        <w:t>али</w:t>
      </w:r>
      <w:r w:rsidR="004B5159" w:rsidRPr="00F6340E">
        <w:t xml:space="preserve"> </w:t>
      </w:r>
      <w:r>
        <w:t>су</w:t>
      </w:r>
      <w:r w:rsidR="00A56E08">
        <w:t>очи</w:t>
      </w:r>
      <w:r>
        <w:t>т</w:t>
      </w:r>
      <w:r w:rsidR="00A56E08">
        <w:t>и</w:t>
      </w:r>
      <w:r w:rsidR="004B5159" w:rsidRPr="00F6340E">
        <w:t xml:space="preserve"> </w:t>
      </w:r>
      <w:r>
        <w:t>св</w:t>
      </w:r>
      <w:r w:rsidR="00EE6AA2">
        <w:t>е</w:t>
      </w:r>
      <w:r w:rsidR="004B5159" w:rsidRPr="00F6340E">
        <w:t xml:space="preserve"> </w:t>
      </w:r>
      <w:r w:rsidR="00171F00">
        <w:t>з</w:t>
      </w:r>
      <w:r w:rsidR="00A56E08">
        <w:t>аин</w:t>
      </w:r>
      <w:r>
        <w:t>т</w:t>
      </w:r>
      <w:r w:rsidR="00EE6AA2">
        <w:t>е</w:t>
      </w:r>
      <w:r>
        <w:t>р</w:t>
      </w:r>
      <w:r w:rsidR="00EE6AA2">
        <w:t>е</w:t>
      </w:r>
      <w:r>
        <w:t>с</w:t>
      </w:r>
      <w:r w:rsidR="00A56E08">
        <w:t>о</w:t>
      </w:r>
      <w:r>
        <w:t>в</w:t>
      </w:r>
      <w:r w:rsidR="00A56E08">
        <w:t>ан</w:t>
      </w:r>
      <w:r w:rsidR="00EE6AA2">
        <w:t>е</w:t>
      </w:r>
      <w:r w:rsidR="00AC604E" w:rsidRPr="00F6340E">
        <w:t xml:space="preserve"> </w:t>
      </w:r>
      <w:r>
        <w:t>стр</w:t>
      </w:r>
      <w:r w:rsidR="00A56E08">
        <w:t>ан</w:t>
      </w:r>
      <w:r w:rsidR="00EE6AA2">
        <w:t>е</w:t>
      </w:r>
      <w:r w:rsidR="004B5159" w:rsidRPr="00F6340E">
        <w:t xml:space="preserve"> </w:t>
      </w:r>
      <w:r w:rsidR="00A56E08">
        <w:t>об</w:t>
      </w:r>
      <w:r>
        <w:t>р</w:t>
      </w:r>
      <w:r w:rsidR="00A56E08">
        <w:t>а</w:t>
      </w:r>
      <w:r w:rsidR="00171F00">
        <w:t>з</w:t>
      </w:r>
      <w:r w:rsidR="00A56E08">
        <w:t>о</w:t>
      </w:r>
      <w:r>
        <w:t>в</w:t>
      </w:r>
      <w:r w:rsidR="00A56E08">
        <w:t>ног</w:t>
      </w:r>
      <w:r w:rsidR="004B5159" w:rsidRPr="00F6340E">
        <w:t xml:space="preserve"> </w:t>
      </w:r>
      <w:r>
        <w:t>пр</w:t>
      </w:r>
      <w:r w:rsidR="00A56E08">
        <w:t>оц</w:t>
      </w:r>
      <w:r w:rsidR="00EE6AA2">
        <w:t>е</w:t>
      </w:r>
      <w:r>
        <w:t>с</w:t>
      </w:r>
      <w:r w:rsidR="00A56E08">
        <w:t>а</w:t>
      </w:r>
      <w:r w:rsidR="004B5159" w:rsidRPr="00F6340E">
        <w:t xml:space="preserve">: </w:t>
      </w:r>
      <w:r>
        <w:t>у</w:t>
      </w:r>
      <w:r w:rsidR="00A56E08">
        <w:t>ч</w:t>
      </w:r>
      <w:r w:rsidR="00EE6AA2">
        <w:t>е</w:t>
      </w:r>
      <w:r w:rsidR="00A56E08">
        <w:t>ници</w:t>
      </w:r>
      <w:r w:rsidR="004B5159" w:rsidRPr="00F6340E">
        <w:t>/</w:t>
      </w:r>
      <w:r>
        <w:t>сту</w:t>
      </w:r>
      <w:r w:rsidR="00A56E08">
        <w:t>д</w:t>
      </w:r>
      <w:r w:rsidR="00EE6AA2">
        <w:t>е</w:t>
      </w:r>
      <w:r w:rsidR="00A56E08">
        <w:t>н</w:t>
      </w:r>
      <w:r>
        <w:t>т</w:t>
      </w:r>
      <w:r w:rsidR="00A56E08">
        <w:t>и</w:t>
      </w:r>
      <w:r w:rsidR="004B5159" w:rsidRPr="00F6340E">
        <w:t xml:space="preserve">, </w:t>
      </w:r>
      <w:r w:rsidR="00A56E08">
        <w:t>на</w:t>
      </w:r>
      <w:r>
        <w:t>ст</w:t>
      </w:r>
      <w:r w:rsidR="00A56E08">
        <w:t>а</w:t>
      </w:r>
      <w:r>
        <w:t>в</w:t>
      </w:r>
      <w:r w:rsidR="00A56E08">
        <w:t>ници</w:t>
      </w:r>
      <w:r w:rsidR="004B5159" w:rsidRPr="00F6340E">
        <w:t xml:space="preserve">, </w:t>
      </w:r>
      <w:r>
        <w:t>р</w:t>
      </w:r>
      <w:r w:rsidR="00A56E08">
        <w:t>оди</w:t>
      </w:r>
      <w:r>
        <w:t>т</w:t>
      </w:r>
      <w:r w:rsidR="00EE6AA2">
        <w:t>е</w:t>
      </w:r>
      <w:r w:rsidR="00A56E08">
        <w:t>љи</w:t>
      </w:r>
      <w:r w:rsidR="004B5159" w:rsidRPr="00F6340E">
        <w:t xml:space="preserve"> </w:t>
      </w:r>
      <w:r>
        <w:t>п</w:t>
      </w:r>
      <w:r w:rsidR="00A56E08">
        <w:t>а</w:t>
      </w:r>
      <w:r w:rsidR="004B5159" w:rsidRPr="00F6340E">
        <w:t xml:space="preserve"> </w:t>
      </w:r>
      <w:r w:rsidR="00A56E08">
        <w:t>и</w:t>
      </w:r>
      <w:r w:rsidR="004B5159" w:rsidRPr="00F6340E">
        <w:t xml:space="preserve"> </w:t>
      </w:r>
      <w:r w:rsidR="00A56E08">
        <w:t>к</w:t>
      </w:r>
      <w:r>
        <w:t>р</w:t>
      </w:r>
      <w:r w:rsidR="00EE6AA2">
        <w:t>е</w:t>
      </w:r>
      <w:r w:rsidR="00A56E08">
        <w:t>а</w:t>
      </w:r>
      <w:r>
        <w:t>т</w:t>
      </w:r>
      <w:r w:rsidR="00A56E08">
        <w:t>о</w:t>
      </w:r>
      <w:r>
        <w:t>р</w:t>
      </w:r>
      <w:r w:rsidR="00A56E08">
        <w:t>и</w:t>
      </w:r>
      <w:r w:rsidR="004B5159" w:rsidRPr="00F6340E">
        <w:t xml:space="preserve"> </w:t>
      </w:r>
      <w:r w:rsidR="00A56E08">
        <w:t>об</w:t>
      </w:r>
      <w:r>
        <w:t>р</w:t>
      </w:r>
      <w:r w:rsidR="00A56E08">
        <w:t>а</w:t>
      </w:r>
      <w:r w:rsidR="00171F00">
        <w:t>з</w:t>
      </w:r>
      <w:r w:rsidR="00A56E08">
        <w:t>о</w:t>
      </w:r>
      <w:r>
        <w:t>в</w:t>
      </w:r>
      <w:r w:rsidR="00A56E08">
        <w:t>них</w:t>
      </w:r>
      <w:r w:rsidR="004B5159" w:rsidRPr="00F6340E">
        <w:t xml:space="preserve"> </w:t>
      </w:r>
      <w:r>
        <w:t>п</w:t>
      </w:r>
      <w:r w:rsidR="00A56E08">
        <w:t>оли</w:t>
      </w:r>
      <w:r>
        <w:t>т</w:t>
      </w:r>
      <w:r w:rsidR="00A56E08">
        <w:t>ика</w:t>
      </w:r>
      <w:r w:rsidR="004B5159" w:rsidRPr="00F6340E">
        <w:t xml:space="preserve"> </w:t>
      </w:r>
      <w:r w:rsidR="00A56E08">
        <w:t>и</w:t>
      </w:r>
      <w:r w:rsidR="004B5159" w:rsidRPr="00F6340E">
        <w:t xml:space="preserve"> </w:t>
      </w:r>
      <w:r w:rsidR="00A56E08">
        <w:t>надл</w:t>
      </w:r>
      <w:r w:rsidR="00EE6AA2">
        <w:t>е</w:t>
      </w:r>
      <w:r w:rsidR="00171F00">
        <w:t>ж</w:t>
      </w:r>
      <w:r w:rsidR="00A56E08">
        <w:t>н</w:t>
      </w:r>
      <w:r w:rsidR="00EE6AA2">
        <w:t>е</w:t>
      </w:r>
      <w:r w:rsidR="004B5159" w:rsidRPr="00F6340E">
        <w:t xml:space="preserve"> </w:t>
      </w:r>
      <w:r>
        <w:t>в</w:t>
      </w:r>
      <w:r w:rsidR="00A56E08">
        <w:t>ла</w:t>
      </w:r>
      <w:r>
        <w:t>ст</w:t>
      </w:r>
      <w:r w:rsidR="00A56E08">
        <w:t>и</w:t>
      </w:r>
      <w:r w:rsidR="004B5159" w:rsidRPr="00F6340E">
        <w:t xml:space="preserve"> </w:t>
      </w:r>
      <w:r>
        <w:t>у</w:t>
      </w:r>
      <w:r w:rsidR="004B5159" w:rsidRPr="00F6340E">
        <w:t xml:space="preserve"> </w:t>
      </w:r>
      <w:r>
        <w:t>п</w:t>
      </w:r>
      <w:r w:rsidR="00A56E08">
        <w:t>од</w:t>
      </w:r>
      <w:r>
        <w:t>ру</w:t>
      </w:r>
      <w:r w:rsidR="00A56E08">
        <w:t>чј</w:t>
      </w:r>
      <w:r>
        <w:t>у</w:t>
      </w:r>
      <w:r w:rsidR="004B5159" w:rsidRPr="00F6340E">
        <w:t xml:space="preserve"> </w:t>
      </w:r>
      <w:r w:rsidR="00A56E08">
        <w:t>об</w:t>
      </w:r>
      <w:r>
        <w:t>р</w:t>
      </w:r>
      <w:r w:rsidR="00A56E08">
        <w:t>а</w:t>
      </w:r>
      <w:r w:rsidR="00171F00">
        <w:t>з</w:t>
      </w:r>
      <w:r w:rsidR="00A56E08">
        <w:t>о</w:t>
      </w:r>
      <w:r>
        <w:t>в</w:t>
      </w:r>
      <w:r w:rsidR="00A56E08">
        <w:t>ања</w:t>
      </w:r>
      <w:r w:rsidR="004B5159" w:rsidRPr="00F6340E">
        <w:t xml:space="preserve">.  </w:t>
      </w:r>
    </w:p>
    <w:p w14:paraId="7863AC50" w14:textId="4F6DE93C" w:rsidR="004B5159" w:rsidRPr="00F6340E" w:rsidRDefault="0071360A" w:rsidP="001A6D76">
      <w:pPr>
        <w:pStyle w:val="Body"/>
        <w:rPr>
          <w:b/>
          <w:bCs/>
        </w:rPr>
      </w:pPr>
      <w:r>
        <w:t>У</w:t>
      </w:r>
      <w:r w:rsidR="004B5159" w:rsidRPr="00F6340E">
        <w:t xml:space="preserve"> </w:t>
      </w:r>
      <w:r w:rsidR="00A56E08">
        <w:t>кон</w:t>
      </w:r>
      <w:r>
        <w:t>т</w:t>
      </w:r>
      <w:r w:rsidR="00EE6AA2">
        <w:t>е</w:t>
      </w:r>
      <w:r w:rsidR="00A56E08">
        <w:t>к</w:t>
      </w:r>
      <w:r>
        <w:t>сту</w:t>
      </w:r>
      <w:r w:rsidR="004B5159" w:rsidRPr="00F6340E">
        <w:t xml:space="preserve"> </w:t>
      </w:r>
      <w:r w:rsidR="00A56E08">
        <w:t>Бо</w:t>
      </w:r>
      <w:r>
        <w:t>с</w:t>
      </w:r>
      <w:r w:rsidR="00A56E08">
        <w:t>н</w:t>
      </w:r>
      <w:r w:rsidR="00EE6AA2">
        <w:t>е</w:t>
      </w:r>
      <w:r w:rsidR="004B5159" w:rsidRPr="00F6340E">
        <w:t xml:space="preserve"> </w:t>
      </w:r>
      <w:r w:rsidR="00A56E08">
        <w:t>и</w:t>
      </w:r>
      <w:r w:rsidR="004B5159" w:rsidRPr="00F6340E">
        <w:t xml:space="preserve"> </w:t>
      </w:r>
      <w:r w:rsidR="00A56E08">
        <w:t>Х</w:t>
      </w:r>
      <w:r w:rsidR="00EE6AA2">
        <w:t>е</w:t>
      </w:r>
      <w:r>
        <w:t>р</w:t>
      </w:r>
      <w:r w:rsidR="00A56E08">
        <w:t>ц</w:t>
      </w:r>
      <w:r w:rsidR="00EE6AA2">
        <w:t>е</w:t>
      </w:r>
      <w:r w:rsidR="00A56E08">
        <w:t>го</w:t>
      </w:r>
      <w:r>
        <w:t>в</w:t>
      </w:r>
      <w:r w:rsidR="00A56E08">
        <w:t>ин</w:t>
      </w:r>
      <w:r w:rsidR="00EE6AA2">
        <w:t>е</w:t>
      </w:r>
      <w:r w:rsidR="004B5159" w:rsidRPr="00F6340E">
        <w:t xml:space="preserve"> </w:t>
      </w:r>
      <w:r w:rsidR="00A64064" w:rsidRPr="00F6340E">
        <w:t>(</w:t>
      </w:r>
      <w:r w:rsidR="00A56E08">
        <w:t>БиХ</w:t>
      </w:r>
      <w:r w:rsidR="00A64064" w:rsidRPr="00F6340E">
        <w:t xml:space="preserve">) </w:t>
      </w:r>
      <w:r>
        <w:t>с</w:t>
      </w:r>
      <w:r w:rsidR="00A56E08">
        <w:t>ам</w:t>
      </w:r>
      <w:r w:rsidR="004B5159" w:rsidRPr="00F6340E">
        <w:t xml:space="preserve"> </w:t>
      </w:r>
      <w:r>
        <w:t>пр</w:t>
      </w:r>
      <w:r w:rsidR="00A56E08">
        <w:t>оц</w:t>
      </w:r>
      <w:r w:rsidR="00EE6AA2">
        <w:t>е</w:t>
      </w:r>
      <w:r>
        <w:t>с</w:t>
      </w:r>
      <w:r w:rsidR="004B5159" w:rsidRPr="00F6340E">
        <w:t xml:space="preserve"> </w:t>
      </w:r>
      <w:r w:rsidR="00A56E08">
        <w:t>и</w:t>
      </w:r>
      <w:r w:rsidR="00171F00">
        <w:t>з</w:t>
      </w:r>
      <w:r w:rsidR="00A56E08">
        <w:t>мј</w:t>
      </w:r>
      <w:r w:rsidR="00EE6AA2">
        <w:t>е</w:t>
      </w:r>
      <w:r w:rsidR="00A56E08">
        <w:t>н</w:t>
      </w:r>
      <w:r w:rsidR="00EE6AA2">
        <w:t>е</w:t>
      </w:r>
      <w:r w:rsidR="004B5159" w:rsidRPr="00F6340E">
        <w:t xml:space="preserve"> </w:t>
      </w:r>
      <w:r w:rsidR="00171F00">
        <w:t>з</w:t>
      </w:r>
      <w:r w:rsidR="00A56E08">
        <w:t>аконода</w:t>
      </w:r>
      <w:r>
        <w:t>в</w:t>
      </w:r>
      <w:r w:rsidR="00A56E08">
        <w:t>ног</w:t>
      </w:r>
      <w:r w:rsidR="004B5159" w:rsidRPr="00F6340E">
        <w:t xml:space="preserve"> </w:t>
      </w:r>
      <w:r w:rsidR="00A56E08">
        <w:t>ок</w:t>
      </w:r>
      <w:r>
        <w:t>в</w:t>
      </w:r>
      <w:r w:rsidR="00A56E08">
        <w:t>и</w:t>
      </w:r>
      <w:r>
        <w:t>р</w:t>
      </w:r>
      <w:r w:rsidR="00A56E08">
        <w:t>а</w:t>
      </w:r>
      <w:r w:rsidR="004B5159" w:rsidRPr="00F6340E">
        <w:t xml:space="preserve"> </w:t>
      </w:r>
      <w:r w:rsidR="00A56E08">
        <w:t>одно</w:t>
      </w:r>
      <w:r>
        <w:t>с</w:t>
      </w:r>
      <w:r w:rsidR="00A56E08">
        <w:t>но</w:t>
      </w:r>
      <w:r w:rsidR="004B5159" w:rsidRPr="00F6340E">
        <w:t xml:space="preserve"> </w:t>
      </w:r>
      <w:r>
        <w:t>п</w:t>
      </w:r>
      <w:r w:rsidR="00A56E08">
        <w:t>од</w:t>
      </w:r>
      <w:r w:rsidR="00171F00">
        <w:t>з</w:t>
      </w:r>
      <w:r w:rsidR="00A56E08">
        <w:t>акон</w:t>
      </w:r>
      <w:r>
        <w:t>с</w:t>
      </w:r>
      <w:r w:rsidR="00A56E08">
        <w:t>ких</w:t>
      </w:r>
      <w:r w:rsidR="004B5159" w:rsidRPr="00F6340E">
        <w:t xml:space="preserve"> </w:t>
      </w:r>
      <w:r w:rsidR="00A56E08">
        <w:t>ака</w:t>
      </w:r>
      <w:r>
        <w:t>т</w:t>
      </w:r>
      <w:r w:rsidR="00A56E08">
        <w:t>а</w:t>
      </w:r>
      <w:r w:rsidR="004B5159" w:rsidRPr="00F6340E">
        <w:t xml:space="preserve">, </w:t>
      </w:r>
      <w:r w:rsidR="00A56E08">
        <w:t>којима</w:t>
      </w:r>
      <w:r w:rsidR="004B5159" w:rsidRPr="00F6340E">
        <w:t xml:space="preserve"> </w:t>
      </w:r>
      <w:r w:rsidR="00A56E08">
        <w:t>би</w:t>
      </w:r>
      <w:r w:rsidR="004B5159" w:rsidRPr="00F6340E">
        <w:t xml:space="preserve"> </w:t>
      </w:r>
      <w:r>
        <w:t>с</w:t>
      </w:r>
      <w:r w:rsidR="00EE6AA2">
        <w:t>е</w:t>
      </w:r>
      <w:r w:rsidR="004B5159" w:rsidRPr="00F6340E">
        <w:t xml:space="preserve"> </w:t>
      </w:r>
      <w:r w:rsidR="00A56E08">
        <w:t>о</w:t>
      </w:r>
      <w:r>
        <w:t>с</w:t>
      </w:r>
      <w:r w:rsidR="00A56E08">
        <w:t>иг</w:t>
      </w:r>
      <w:r>
        <w:t>ур</w:t>
      </w:r>
      <w:r w:rsidR="00A56E08">
        <w:t>ала</w:t>
      </w:r>
      <w:r w:rsidR="004B5159" w:rsidRPr="00F6340E">
        <w:t xml:space="preserve"> </w:t>
      </w:r>
      <w:r w:rsidR="00A56E08">
        <w:t>мог</w:t>
      </w:r>
      <w:r>
        <w:t>у</w:t>
      </w:r>
      <w:r w:rsidR="00A56E08">
        <w:t>ћно</w:t>
      </w:r>
      <w:r>
        <w:t>ст</w:t>
      </w:r>
      <w:r w:rsidR="004B5159" w:rsidRPr="00F6340E">
        <w:t xml:space="preserve"> </w:t>
      </w:r>
      <w:r w:rsidR="00A56E08">
        <w:t>и</w:t>
      </w:r>
      <w:r w:rsidR="00171F00">
        <w:t>з</w:t>
      </w:r>
      <w:r>
        <w:t>в</w:t>
      </w:r>
      <w:r w:rsidR="00A56E08">
        <w:t>ођ</w:t>
      </w:r>
      <w:r w:rsidR="00EE6AA2">
        <w:t>е</w:t>
      </w:r>
      <w:r w:rsidR="00A56E08">
        <w:t>ња</w:t>
      </w:r>
      <w:r w:rsidR="004B5159" w:rsidRPr="00F6340E">
        <w:t xml:space="preserve"> </w:t>
      </w:r>
      <w:r w:rsidR="00A56E08">
        <w:t>на</w:t>
      </w:r>
      <w:r>
        <w:t>ст</w:t>
      </w:r>
      <w:r w:rsidR="00A56E08">
        <w:t>а</w:t>
      </w:r>
      <w:r>
        <w:t>в</w:t>
      </w:r>
      <w:r w:rsidR="00EE6AA2">
        <w:t>е</w:t>
      </w:r>
      <w:r w:rsidR="00C47A01" w:rsidRPr="00F6340E">
        <w:t xml:space="preserve"> </w:t>
      </w:r>
      <w:r>
        <w:t>пут</w:t>
      </w:r>
      <w:r w:rsidR="00EE6AA2">
        <w:t>е</w:t>
      </w:r>
      <w:r w:rsidR="00A56E08">
        <w:t>м</w:t>
      </w:r>
      <w:r w:rsidR="00C47A01" w:rsidRPr="00F6340E">
        <w:t xml:space="preserve"> </w:t>
      </w:r>
      <w:r w:rsidR="00A56E08">
        <w:t>ин</w:t>
      </w:r>
      <w:r>
        <w:t>т</w:t>
      </w:r>
      <w:r w:rsidR="00EE6AA2">
        <w:t>е</w:t>
      </w:r>
      <w:r>
        <w:t>р</w:t>
      </w:r>
      <w:r w:rsidR="00A56E08">
        <w:t>н</w:t>
      </w:r>
      <w:r w:rsidR="00EE6AA2">
        <w:t>е</w:t>
      </w:r>
      <w:r>
        <w:t>т</w:t>
      </w:r>
      <w:r w:rsidR="00A56E08">
        <w:t>а</w:t>
      </w:r>
      <w:r w:rsidR="00AD0965" w:rsidRPr="00F6340E">
        <w:t>,</w:t>
      </w:r>
      <w:r w:rsidR="004B5159" w:rsidRPr="00F6340E">
        <w:t xml:space="preserve"> </w:t>
      </w:r>
      <w:r w:rsidR="00A56E08">
        <w:t>а</w:t>
      </w:r>
      <w:r w:rsidR="004B5159" w:rsidRPr="00F6340E">
        <w:t xml:space="preserve"> </w:t>
      </w:r>
      <w:r w:rsidR="00A56E08">
        <w:t>да</w:t>
      </w:r>
      <w:r w:rsidR="004B5159" w:rsidRPr="00F6340E">
        <w:t xml:space="preserve"> </w:t>
      </w:r>
      <w:r>
        <w:t>пр</w:t>
      </w:r>
      <w:r w:rsidR="00A56E08">
        <w:t>и</w:t>
      </w:r>
      <w:r w:rsidR="004B5159" w:rsidRPr="00F6340E">
        <w:t xml:space="preserve"> </w:t>
      </w:r>
      <w:r>
        <w:t>т</w:t>
      </w:r>
      <w:r w:rsidR="00A56E08">
        <w:t>ом</w:t>
      </w:r>
      <w:r w:rsidR="00EE6AA2">
        <w:t>е</w:t>
      </w:r>
      <w:r w:rsidR="004B5159" w:rsidRPr="00F6340E">
        <w:t xml:space="preserve"> </w:t>
      </w:r>
      <w:r w:rsidR="00A56E08">
        <w:t>и</w:t>
      </w:r>
      <w:r>
        <w:t>п</w:t>
      </w:r>
      <w:r w:rsidR="00A56E08">
        <w:t>ак</w:t>
      </w:r>
      <w:r w:rsidR="004B5159" w:rsidRPr="00F6340E">
        <w:t xml:space="preserve"> </w:t>
      </w:r>
      <w:r w:rsidR="00A56E08">
        <w:t>го</w:t>
      </w:r>
      <w:r>
        <w:t>в</w:t>
      </w:r>
      <w:r w:rsidR="00A56E08">
        <w:t>о</w:t>
      </w:r>
      <w:r>
        <w:t>р</w:t>
      </w:r>
      <w:r w:rsidR="00A56E08">
        <w:t>имо</w:t>
      </w:r>
      <w:r w:rsidR="004B5159" w:rsidRPr="00F6340E">
        <w:t xml:space="preserve"> </w:t>
      </w:r>
      <w:r w:rsidR="00A56E08">
        <w:t>о</w:t>
      </w:r>
      <w:r w:rsidR="004B5159" w:rsidRPr="00F6340E">
        <w:t xml:space="preserve"> </w:t>
      </w:r>
      <w:r w:rsidR="00A56E08">
        <w:t>к</w:t>
      </w:r>
      <w:r>
        <w:t>в</w:t>
      </w:r>
      <w:r w:rsidR="00A56E08">
        <w:t>али</w:t>
      </w:r>
      <w:r>
        <w:t>т</w:t>
      </w:r>
      <w:r w:rsidR="00EE6AA2">
        <w:t>е</w:t>
      </w:r>
      <w:r>
        <w:t>т</w:t>
      </w:r>
      <w:r w:rsidR="00A56E08">
        <w:t>и</w:t>
      </w:r>
      <w:r w:rsidR="004B5159" w:rsidRPr="00F6340E">
        <w:t xml:space="preserve"> </w:t>
      </w:r>
      <w:r w:rsidR="00A56E08">
        <w:t>одгојно</w:t>
      </w:r>
      <w:r w:rsidR="004B5159" w:rsidRPr="00F6340E">
        <w:t xml:space="preserve"> – </w:t>
      </w:r>
      <w:r w:rsidR="00A56E08">
        <w:t>об</w:t>
      </w:r>
      <w:r>
        <w:t>р</w:t>
      </w:r>
      <w:r w:rsidR="00A56E08">
        <w:t>а</w:t>
      </w:r>
      <w:r w:rsidR="00171F00">
        <w:t>з</w:t>
      </w:r>
      <w:r w:rsidR="00A56E08">
        <w:t>о</w:t>
      </w:r>
      <w:r>
        <w:t>в</w:t>
      </w:r>
      <w:r w:rsidR="00A56E08">
        <w:t>ног</w:t>
      </w:r>
      <w:r w:rsidR="004B5159" w:rsidRPr="00F6340E">
        <w:t xml:space="preserve"> </w:t>
      </w:r>
      <w:r>
        <w:t>р</w:t>
      </w:r>
      <w:r w:rsidR="00A56E08">
        <w:t>ада</w:t>
      </w:r>
      <w:r w:rsidR="004B5159" w:rsidRPr="00F6340E">
        <w:t xml:space="preserve">, </w:t>
      </w:r>
      <w:r w:rsidR="00A56E08">
        <w:t>био</w:t>
      </w:r>
      <w:r w:rsidR="004B5159" w:rsidRPr="00F6340E">
        <w:t xml:space="preserve"> </w:t>
      </w:r>
      <w:r w:rsidR="00A56E08">
        <w:t>ј</w:t>
      </w:r>
      <w:r w:rsidR="00EE6AA2">
        <w:t>е</w:t>
      </w:r>
      <w:r w:rsidR="004B5159" w:rsidRPr="00F6340E">
        <w:t xml:space="preserve"> </w:t>
      </w:r>
      <w:r w:rsidR="00A56E08">
        <w:t>ком</w:t>
      </w:r>
      <w:r>
        <w:t>п</w:t>
      </w:r>
      <w:r w:rsidR="00A56E08">
        <w:t>л</w:t>
      </w:r>
      <w:r w:rsidR="00EE6AA2">
        <w:t>е</w:t>
      </w:r>
      <w:r w:rsidR="00A56E08">
        <w:t>к</w:t>
      </w:r>
      <w:r>
        <w:t>с</w:t>
      </w:r>
      <w:r w:rsidR="00A56E08">
        <w:t>ан</w:t>
      </w:r>
      <w:r w:rsidR="004B5159" w:rsidRPr="00F6340E">
        <w:t xml:space="preserve"> </w:t>
      </w:r>
      <w:r w:rsidR="00A56E08">
        <w:t>и</w:t>
      </w:r>
      <w:r w:rsidR="004B5159" w:rsidRPr="00F6340E">
        <w:t xml:space="preserve"> </w:t>
      </w:r>
      <w:r w:rsidR="00A56E08">
        <w:t>но</w:t>
      </w:r>
      <w:r>
        <w:t>с</w:t>
      </w:r>
      <w:r w:rsidR="00A56E08">
        <w:t>и</w:t>
      </w:r>
      <w:r w:rsidR="004B5159" w:rsidRPr="00F6340E">
        <w:t xml:space="preserve"> </w:t>
      </w:r>
      <w:r>
        <w:t>р</w:t>
      </w:r>
      <w:r w:rsidR="00A56E08">
        <w:t>а</w:t>
      </w:r>
      <w:r w:rsidR="00171F00">
        <w:t>з</w:t>
      </w:r>
      <w:r w:rsidR="00A56E08">
        <w:t>лик</w:t>
      </w:r>
      <w:r w:rsidR="00EE6AA2">
        <w:t>е</w:t>
      </w:r>
      <w:r w:rsidR="004B5159" w:rsidRPr="00F6340E">
        <w:t xml:space="preserve"> </w:t>
      </w:r>
      <w:r w:rsidR="00A56E08">
        <w:t>на</w:t>
      </w:r>
      <w:r w:rsidR="004B5159" w:rsidRPr="00F6340E">
        <w:t xml:space="preserve"> </w:t>
      </w:r>
      <w:r w:rsidR="00A56E08">
        <w:t>ни</w:t>
      </w:r>
      <w:r>
        <w:t>в</w:t>
      </w:r>
      <w:r w:rsidR="00A56E08">
        <w:t>о</w:t>
      </w:r>
      <w:r>
        <w:t>у</w:t>
      </w:r>
      <w:r w:rsidR="004B5159" w:rsidRPr="00F6340E">
        <w:t xml:space="preserve"> </w:t>
      </w:r>
      <w:r w:rsidR="00A56E08">
        <w:t>админи</w:t>
      </w:r>
      <w:r>
        <w:t>стр</w:t>
      </w:r>
      <w:r w:rsidR="00A56E08">
        <w:t>а</w:t>
      </w:r>
      <w:r>
        <w:t>т</w:t>
      </w:r>
      <w:r w:rsidR="00A56E08">
        <w:t>и</w:t>
      </w:r>
      <w:r>
        <w:t>в</w:t>
      </w:r>
      <w:r w:rsidR="00A56E08">
        <w:t>них</w:t>
      </w:r>
      <w:r w:rsidR="004B5159" w:rsidRPr="00F6340E">
        <w:t xml:space="preserve"> </w:t>
      </w:r>
      <w:r w:rsidR="00A56E08">
        <w:t>ј</w:t>
      </w:r>
      <w:r w:rsidR="00EE6AA2">
        <w:t>е</w:t>
      </w:r>
      <w:r w:rsidR="00A56E08">
        <w:t>диница</w:t>
      </w:r>
      <w:r w:rsidR="004B5159" w:rsidRPr="00F6340E">
        <w:t xml:space="preserve">. </w:t>
      </w:r>
      <w:r>
        <w:t>Пр</w:t>
      </w:r>
      <w:r w:rsidR="00EE6AA2">
        <w:t>е</w:t>
      </w:r>
      <w:r w:rsidR="00A56E08">
        <w:t>гл</w:t>
      </w:r>
      <w:r w:rsidR="00EE6AA2">
        <w:t>е</w:t>
      </w:r>
      <w:r w:rsidR="00A56E08">
        <w:t>д</w:t>
      </w:r>
      <w:r w:rsidR="00A46474" w:rsidRPr="00F6340E">
        <w:t xml:space="preserve"> </w:t>
      </w:r>
      <w:r w:rsidR="00A56E08">
        <w:rPr>
          <w:highlight w:val="white"/>
        </w:rPr>
        <w:t>и</w:t>
      </w:r>
      <w:r w:rsidR="00171F00">
        <w:rPr>
          <w:highlight w:val="white"/>
        </w:rPr>
        <w:t>з</w:t>
      </w:r>
      <w:r w:rsidR="00A56E08">
        <w:rPr>
          <w:highlight w:val="white"/>
        </w:rPr>
        <w:t>мј</w:t>
      </w:r>
      <w:r w:rsidR="00EE6AA2">
        <w:rPr>
          <w:highlight w:val="white"/>
        </w:rPr>
        <w:t>е</w:t>
      </w:r>
      <w:r w:rsidR="00A56E08">
        <w:rPr>
          <w:highlight w:val="white"/>
        </w:rPr>
        <w:t>на</w:t>
      </w:r>
      <w:r w:rsidR="004B5159" w:rsidRPr="00F6340E">
        <w:rPr>
          <w:highlight w:val="white"/>
        </w:rPr>
        <w:t xml:space="preserve"> </w:t>
      </w:r>
      <w:r>
        <w:rPr>
          <w:highlight w:val="white"/>
        </w:rPr>
        <w:t>у</w:t>
      </w:r>
      <w:r w:rsidR="004B5159" w:rsidRPr="00F6340E">
        <w:rPr>
          <w:highlight w:val="white"/>
        </w:rPr>
        <w:t xml:space="preserve"> </w:t>
      </w:r>
      <w:r>
        <w:rPr>
          <w:highlight w:val="white"/>
        </w:rPr>
        <w:t>п</w:t>
      </w:r>
      <w:r w:rsidR="00A56E08">
        <w:rPr>
          <w:highlight w:val="white"/>
        </w:rPr>
        <w:t>од</w:t>
      </w:r>
      <w:r w:rsidR="00171F00">
        <w:rPr>
          <w:highlight w:val="white"/>
        </w:rPr>
        <w:t>з</w:t>
      </w:r>
      <w:r w:rsidR="00A56E08">
        <w:rPr>
          <w:highlight w:val="white"/>
        </w:rPr>
        <w:t>акон</w:t>
      </w:r>
      <w:r>
        <w:rPr>
          <w:highlight w:val="white"/>
        </w:rPr>
        <w:t>с</w:t>
      </w:r>
      <w:r w:rsidR="00A56E08">
        <w:rPr>
          <w:highlight w:val="white"/>
        </w:rPr>
        <w:t>ким</w:t>
      </w:r>
      <w:r w:rsidR="004B5159" w:rsidRPr="00F6340E">
        <w:rPr>
          <w:highlight w:val="white"/>
        </w:rPr>
        <w:t xml:space="preserve"> </w:t>
      </w:r>
      <w:r w:rsidR="00A56E08">
        <w:rPr>
          <w:highlight w:val="white"/>
        </w:rPr>
        <w:t>ак</w:t>
      </w:r>
      <w:r>
        <w:rPr>
          <w:highlight w:val="white"/>
        </w:rPr>
        <w:t>т</w:t>
      </w:r>
      <w:r w:rsidR="00A56E08">
        <w:rPr>
          <w:highlight w:val="white"/>
        </w:rPr>
        <w:t>има</w:t>
      </w:r>
      <w:r w:rsidR="004B5159" w:rsidRPr="00F6340E">
        <w:rPr>
          <w:highlight w:val="white"/>
        </w:rPr>
        <w:t xml:space="preserve"> </w:t>
      </w:r>
      <w:r w:rsidR="00A56E08">
        <w:rPr>
          <w:highlight w:val="white"/>
        </w:rPr>
        <w:t>на</w:t>
      </w:r>
      <w:r w:rsidR="004B5159" w:rsidRPr="00F6340E">
        <w:rPr>
          <w:highlight w:val="white"/>
        </w:rPr>
        <w:t xml:space="preserve"> </w:t>
      </w:r>
      <w:r w:rsidR="00A56E08">
        <w:rPr>
          <w:highlight w:val="white"/>
        </w:rPr>
        <w:t>ни</w:t>
      </w:r>
      <w:r>
        <w:rPr>
          <w:highlight w:val="white"/>
        </w:rPr>
        <w:t>в</w:t>
      </w:r>
      <w:r w:rsidR="00A56E08">
        <w:rPr>
          <w:highlight w:val="white"/>
        </w:rPr>
        <w:t>о</w:t>
      </w:r>
      <w:r>
        <w:rPr>
          <w:highlight w:val="white"/>
        </w:rPr>
        <w:t>у</w:t>
      </w:r>
      <w:r w:rsidR="004B5159" w:rsidRPr="00F6340E">
        <w:rPr>
          <w:highlight w:val="white"/>
        </w:rPr>
        <w:t xml:space="preserve"> </w:t>
      </w:r>
      <w:r w:rsidR="00A56E08">
        <w:rPr>
          <w:highlight w:val="white"/>
        </w:rPr>
        <w:t>админи</w:t>
      </w:r>
      <w:r>
        <w:rPr>
          <w:highlight w:val="white"/>
        </w:rPr>
        <w:t>стр</w:t>
      </w:r>
      <w:r w:rsidR="00A56E08">
        <w:rPr>
          <w:highlight w:val="white"/>
        </w:rPr>
        <w:t>а</w:t>
      </w:r>
      <w:r>
        <w:rPr>
          <w:highlight w:val="white"/>
        </w:rPr>
        <w:t>т</w:t>
      </w:r>
      <w:r w:rsidR="00A56E08">
        <w:rPr>
          <w:highlight w:val="white"/>
        </w:rPr>
        <w:t>и</w:t>
      </w:r>
      <w:r>
        <w:rPr>
          <w:highlight w:val="white"/>
        </w:rPr>
        <w:t>в</w:t>
      </w:r>
      <w:r w:rsidR="00A56E08">
        <w:rPr>
          <w:highlight w:val="white"/>
        </w:rPr>
        <w:t>них</w:t>
      </w:r>
      <w:r w:rsidR="004B5159" w:rsidRPr="00F6340E">
        <w:rPr>
          <w:highlight w:val="white"/>
        </w:rPr>
        <w:t xml:space="preserve"> </w:t>
      </w:r>
      <w:r w:rsidR="00A56E08">
        <w:rPr>
          <w:highlight w:val="white"/>
        </w:rPr>
        <w:t>ј</w:t>
      </w:r>
      <w:r w:rsidR="00EE6AA2">
        <w:rPr>
          <w:highlight w:val="white"/>
        </w:rPr>
        <w:t>е</w:t>
      </w:r>
      <w:r w:rsidR="00A56E08">
        <w:rPr>
          <w:highlight w:val="white"/>
        </w:rPr>
        <w:t>диница</w:t>
      </w:r>
      <w:r w:rsidR="004B5159" w:rsidRPr="00F6340E">
        <w:rPr>
          <w:highlight w:val="white"/>
        </w:rPr>
        <w:t xml:space="preserve"> </w:t>
      </w:r>
      <w:r w:rsidR="00A56E08">
        <w:rPr>
          <w:highlight w:val="white"/>
        </w:rPr>
        <w:t>до</w:t>
      </w:r>
      <w:r>
        <w:rPr>
          <w:highlight w:val="white"/>
        </w:rPr>
        <w:t>ступ</w:t>
      </w:r>
      <w:r w:rsidR="00A56E08">
        <w:rPr>
          <w:highlight w:val="white"/>
        </w:rPr>
        <w:t>ан</w:t>
      </w:r>
      <w:r w:rsidR="004B5159" w:rsidRPr="00F6340E">
        <w:rPr>
          <w:highlight w:val="white"/>
        </w:rPr>
        <w:t xml:space="preserve"> </w:t>
      </w:r>
      <w:r w:rsidR="00A56E08">
        <w:rPr>
          <w:highlight w:val="white"/>
        </w:rPr>
        <w:t>ј</w:t>
      </w:r>
      <w:r w:rsidR="00EE6AA2">
        <w:rPr>
          <w:highlight w:val="white"/>
        </w:rPr>
        <w:t>е</w:t>
      </w:r>
      <w:r w:rsidR="004B5159" w:rsidRPr="00F6340E">
        <w:rPr>
          <w:highlight w:val="white"/>
        </w:rPr>
        <w:t xml:space="preserve"> </w:t>
      </w:r>
      <w:r>
        <w:rPr>
          <w:highlight w:val="white"/>
        </w:rPr>
        <w:t>у</w:t>
      </w:r>
      <w:r w:rsidR="004B5159" w:rsidRPr="00F6340E">
        <w:rPr>
          <w:highlight w:val="white"/>
        </w:rPr>
        <w:t xml:space="preserve"> </w:t>
      </w:r>
      <w:r>
        <w:t>Пр</w:t>
      </w:r>
      <w:r w:rsidR="00EE6AA2">
        <w:t>е</w:t>
      </w:r>
      <w:r w:rsidR="00A56E08">
        <w:t>гл</w:t>
      </w:r>
      <w:r w:rsidR="00EE6AA2">
        <w:t>е</w:t>
      </w:r>
      <w:r w:rsidR="00A56E08">
        <w:t>дној</w:t>
      </w:r>
      <w:r w:rsidR="004B5159" w:rsidRPr="00F6340E">
        <w:t xml:space="preserve"> </w:t>
      </w:r>
      <w:r>
        <w:t>сту</w:t>
      </w:r>
      <w:r w:rsidR="00A56E08">
        <w:t>дији</w:t>
      </w:r>
      <w:r w:rsidR="004B5159" w:rsidRPr="00F6340E">
        <w:t xml:space="preserve"> </w:t>
      </w:r>
      <w:r w:rsidR="00A56E08">
        <w:t>о</w:t>
      </w:r>
      <w:r w:rsidR="004B5159" w:rsidRPr="00F6340E">
        <w:t xml:space="preserve"> </w:t>
      </w:r>
      <w:r w:rsidR="00A56E08">
        <w:t>к</w:t>
      </w:r>
      <w:r>
        <w:t>в</w:t>
      </w:r>
      <w:r w:rsidR="00A56E08">
        <w:t>али</w:t>
      </w:r>
      <w:r>
        <w:t>т</w:t>
      </w:r>
      <w:r w:rsidR="00EE6AA2">
        <w:t>е</w:t>
      </w:r>
      <w:r>
        <w:t>т</w:t>
      </w:r>
      <w:r w:rsidR="00A56E08">
        <w:t>и</w:t>
      </w:r>
      <w:r w:rsidR="004B5159" w:rsidRPr="00F6340E">
        <w:t xml:space="preserve"> </w:t>
      </w:r>
      <w:r w:rsidR="00A56E08">
        <w:t>на</w:t>
      </w:r>
      <w:r>
        <w:t>ст</w:t>
      </w:r>
      <w:r w:rsidR="00A56E08">
        <w:t>а</w:t>
      </w:r>
      <w:r>
        <w:t>в</w:t>
      </w:r>
      <w:r w:rsidR="00EE6AA2">
        <w:t>е</w:t>
      </w:r>
      <w:r w:rsidR="004B5159" w:rsidRPr="00F6340E">
        <w:t xml:space="preserve"> </w:t>
      </w:r>
      <w:r w:rsidR="00A56E08">
        <w:t>на</w:t>
      </w:r>
      <w:r w:rsidR="004B5159" w:rsidRPr="00F6340E">
        <w:t xml:space="preserve"> </w:t>
      </w:r>
      <w:r w:rsidR="00A56E08">
        <w:t>даљин</w:t>
      </w:r>
      <w:r>
        <w:t>у</w:t>
      </w:r>
      <w:r w:rsidR="004B5159" w:rsidRPr="00F6340E">
        <w:t xml:space="preserve"> </w:t>
      </w:r>
      <w:r w:rsidR="00A56E08">
        <w:t>и</w:t>
      </w:r>
      <w:r w:rsidR="004B5159" w:rsidRPr="00F6340E">
        <w:t xml:space="preserve"> </w:t>
      </w:r>
      <w:r w:rsidR="00A56E08">
        <w:t>комбино</w:t>
      </w:r>
      <w:r>
        <w:t>в</w:t>
      </w:r>
      <w:r w:rsidR="00A56E08">
        <w:t>аног</w:t>
      </w:r>
      <w:r w:rsidR="004B5159" w:rsidRPr="00F6340E">
        <w:t xml:space="preserve"> </w:t>
      </w:r>
      <w:r>
        <w:t>у</w:t>
      </w:r>
      <w:r w:rsidR="00A56E08">
        <w:t>ч</w:t>
      </w:r>
      <w:r w:rsidR="00EE6AA2">
        <w:t>е</w:t>
      </w:r>
      <w:r w:rsidR="00A56E08">
        <w:t>ња</w:t>
      </w:r>
      <w:r w:rsidR="004B5159" w:rsidRPr="00F6340E">
        <w:t xml:space="preserve"> </w:t>
      </w:r>
      <w:r>
        <w:t>у</w:t>
      </w:r>
      <w:r w:rsidR="004B5159" w:rsidRPr="00F6340E">
        <w:t xml:space="preserve"> </w:t>
      </w:r>
      <w:r w:rsidR="00A56E08">
        <w:t>о</w:t>
      </w:r>
      <w:r>
        <w:t>с</w:t>
      </w:r>
      <w:r w:rsidR="00A56E08">
        <w:t>но</w:t>
      </w:r>
      <w:r>
        <w:t>в</w:t>
      </w:r>
      <w:r w:rsidR="00A56E08">
        <w:t>ном</w:t>
      </w:r>
      <w:r w:rsidR="004B5159" w:rsidRPr="00F6340E">
        <w:t xml:space="preserve"> </w:t>
      </w:r>
      <w:r w:rsidR="00A56E08">
        <w:t>и</w:t>
      </w:r>
      <w:r w:rsidR="004B5159" w:rsidRPr="00F6340E">
        <w:t xml:space="preserve"> </w:t>
      </w:r>
      <w:r>
        <w:t>ср</w:t>
      </w:r>
      <w:r w:rsidR="00EE6AA2">
        <w:t>е</w:t>
      </w:r>
      <w:r w:rsidR="00A56E08">
        <w:t>дњ</w:t>
      </w:r>
      <w:r w:rsidR="00EE6AA2">
        <w:t>е</w:t>
      </w:r>
      <w:r w:rsidR="00A56E08">
        <w:t>м</w:t>
      </w:r>
      <w:r w:rsidR="004B5159" w:rsidRPr="00F6340E">
        <w:t xml:space="preserve"> </w:t>
      </w:r>
      <w:r w:rsidR="00A56E08">
        <w:t>об</w:t>
      </w:r>
      <w:r>
        <w:t>р</w:t>
      </w:r>
      <w:r w:rsidR="00A56E08">
        <w:t>а</w:t>
      </w:r>
      <w:r w:rsidR="00171F00">
        <w:t>з</w:t>
      </w:r>
      <w:r w:rsidR="00A56E08">
        <w:t>о</w:t>
      </w:r>
      <w:r>
        <w:t>в</w:t>
      </w:r>
      <w:r w:rsidR="00A56E08">
        <w:t>ањ</w:t>
      </w:r>
      <w:r>
        <w:t>у</w:t>
      </w:r>
      <w:r w:rsidR="004B5159" w:rsidRPr="00F6340E">
        <w:t xml:space="preserve"> (</w:t>
      </w:r>
      <w:r w:rsidR="00A56E08">
        <w:t>и</w:t>
      </w:r>
      <w:r w:rsidR="004B5159" w:rsidRPr="00F6340E">
        <w:t xml:space="preserve"> </w:t>
      </w:r>
      <w:r w:rsidR="00171F00">
        <w:t>З</w:t>
      </w:r>
      <w:r w:rsidR="00A56E08">
        <w:t>и</w:t>
      </w:r>
      <w:r>
        <w:t>Т</w:t>
      </w:r>
      <w:r w:rsidR="00A56E08">
        <w:t>О</w:t>
      </w:r>
      <w:r w:rsidR="004B5159" w:rsidRPr="00F6340E">
        <w:t xml:space="preserve">) </w:t>
      </w:r>
      <w:r>
        <w:t>у</w:t>
      </w:r>
      <w:r w:rsidR="004B5159" w:rsidRPr="00F6340E">
        <w:t xml:space="preserve"> </w:t>
      </w:r>
      <w:r w:rsidR="00A56E08">
        <w:t>Бо</w:t>
      </w:r>
      <w:r>
        <w:t>с</w:t>
      </w:r>
      <w:r w:rsidR="00A56E08">
        <w:t>ни</w:t>
      </w:r>
      <w:r w:rsidR="004B5159" w:rsidRPr="00F6340E">
        <w:t xml:space="preserve"> </w:t>
      </w:r>
      <w:r w:rsidR="00A56E08">
        <w:t>и</w:t>
      </w:r>
      <w:r w:rsidR="004B5159" w:rsidRPr="00F6340E">
        <w:t xml:space="preserve"> </w:t>
      </w:r>
      <w:r w:rsidR="00A56E08">
        <w:t>Х</w:t>
      </w:r>
      <w:r w:rsidR="00EE6AA2">
        <w:t>е</w:t>
      </w:r>
      <w:r>
        <w:t>р</w:t>
      </w:r>
      <w:r w:rsidR="00A56E08">
        <w:t>ц</w:t>
      </w:r>
      <w:r w:rsidR="00EE6AA2">
        <w:t>е</w:t>
      </w:r>
      <w:r w:rsidR="00A56E08">
        <w:t>го</w:t>
      </w:r>
      <w:r>
        <w:t>в</w:t>
      </w:r>
      <w:r w:rsidR="00A56E08">
        <w:t>ини</w:t>
      </w:r>
      <w:r w:rsidR="004B5159" w:rsidRPr="00F6340E">
        <w:t xml:space="preserve"> </w:t>
      </w:r>
      <w:r>
        <w:t>т</w:t>
      </w:r>
      <w:r w:rsidR="00A56E08">
        <w:t>оком</w:t>
      </w:r>
      <w:r w:rsidR="004B5159" w:rsidRPr="00F6340E">
        <w:t xml:space="preserve"> </w:t>
      </w:r>
      <w:r>
        <w:t>п</w:t>
      </w:r>
      <w:r w:rsidR="00A56E08">
        <w:t>анд</w:t>
      </w:r>
      <w:r w:rsidR="00EE6AA2">
        <w:t>е</w:t>
      </w:r>
      <w:r w:rsidR="00A56E08">
        <w:t>миј</w:t>
      </w:r>
      <w:r w:rsidR="00EE6AA2">
        <w:t>е</w:t>
      </w:r>
      <w:r w:rsidR="004B5159" w:rsidRPr="00F6340E">
        <w:t xml:space="preserve"> </w:t>
      </w:r>
      <w:r w:rsidR="00A56E08">
        <w:t>ко</w:t>
      </w:r>
      <w:r>
        <w:t>р</w:t>
      </w:r>
      <w:r w:rsidR="00A56E08">
        <w:t>она</w:t>
      </w:r>
      <w:r>
        <w:t>в</w:t>
      </w:r>
      <w:r w:rsidR="00A56E08">
        <w:t>и</w:t>
      </w:r>
      <w:r>
        <w:t>рус</w:t>
      </w:r>
      <w:r w:rsidR="00A56E08">
        <w:t>а</w:t>
      </w:r>
      <w:r w:rsidR="004B5159" w:rsidRPr="00F6340E">
        <w:t xml:space="preserve"> (</w:t>
      </w:r>
      <w:r>
        <w:t>У</w:t>
      </w:r>
      <w:r w:rsidR="00A56E08">
        <w:t>НИЦ</w:t>
      </w:r>
      <w:r w:rsidR="00EE6AA2">
        <w:t>Е</w:t>
      </w:r>
      <w:r w:rsidR="00A56E08">
        <w:t>Ф</w:t>
      </w:r>
      <w:r w:rsidR="004B5159" w:rsidRPr="00F6340E">
        <w:t>, 2021</w:t>
      </w:r>
      <w:r w:rsidR="00A56E08">
        <w:t>а</w:t>
      </w:r>
      <w:r w:rsidR="004B5159" w:rsidRPr="00F6340E">
        <w:t xml:space="preserve">) </w:t>
      </w:r>
      <w:r w:rsidR="00A56E08">
        <w:t>и</w:t>
      </w:r>
      <w:r w:rsidR="004B5159" w:rsidRPr="00F6340E">
        <w:t xml:space="preserve"> </w:t>
      </w:r>
      <w:r>
        <w:rPr>
          <w:bCs/>
        </w:rPr>
        <w:t>Пр</w:t>
      </w:r>
      <w:r w:rsidR="00EE6AA2">
        <w:rPr>
          <w:bCs/>
        </w:rPr>
        <w:t>е</w:t>
      </w:r>
      <w:r w:rsidR="00A56E08">
        <w:rPr>
          <w:bCs/>
        </w:rPr>
        <w:t>гл</w:t>
      </w:r>
      <w:r w:rsidR="00EE6AA2">
        <w:rPr>
          <w:bCs/>
        </w:rPr>
        <w:t>е</w:t>
      </w:r>
      <w:r w:rsidR="00A56E08">
        <w:rPr>
          <w:bCs/>
        </w:rPr>
        <w:t>дној</w:t>
      </w:r>
      <w:r w:rsidR="004B5159" w:rsidRPr="00F6340E">
        <w:rPr>
          <w:bCs/>
        </w:rPr>
        <w:t xml:space="preserve"> </w:t>
      </w:r>
      <w:r>
        <w:rPr>
          <w:bCs/>
        </w:rPr>
        <w:t>сту</w:t>
      </w:r>
      <w:r w:rsidR="00A56E08">
        <w:rPr>
          <w:bCs/>
        </w:rPr>
        <w:t>дији</w:t>
      </w:r>
      <w:r w:rsidR="004B5159" w:rsidRPr="00F6340E">
        <w:rPr>
          <w:bCs/>
        </w:rPr>
        <w:t xml:space="preserve"> </w:t>
      </w:r>
      <w:r w:rsidR="00A56E08">
        <w:rPr>
          <w:bCs/>
        </w:rPr>
        <w:t>о</w:t>
      </w:r>
      <w:r w:rsidR="004B5159" w:rsidRPr="00F6340E">
        <w:rPr>
          <w:bCs/>
        </w:rPr>
        <w:t xml:space="preserve"> </w:t>
      </w:r>
      <w:r w:rsidR="00A56E08">
        <w:rPr>
          <w:bCs/>
        </w:rPr>
        <w:t>к</w:t>
      </w:r>
      <w:r>
        <w:rPr>
          <w:bCs/>
        </w:rPr>
        <w:t>в</w:t>
      </w:r>
      <w:r w:rsidR="00A56E08">
        <w:rPr>
          <w:bCs/>
        </w:rPr>
        <w:t>али</w:t>
      </w:r>
      <w:r>
        <w:rPr>
          <w:bCs/>
        </w:rPr>
        <w:t>т</w:t>
      </w:r>
      <w:r w:rsidR="00EE6AA2">
        <w:rPr>
          <w:bCs/>
        </w:rPr>
        <w:t>е</w:t>
      </w:r>
      <w:r>
        <w:rPr>
          <w:bCs/>
        </w:rPr>
        <w:t>ту</w:t>
      </w:r>
      <w:r w:rsidR="004B5159" w:rsidRPr="00F6340E">
        <w:rPr>
          <w:bCs/>
        </w:rPr>
        <w:t xml:space="preserve"> </w:t>
      </w:r>
      <w:r>
        <w:rPr>
          <w:bCs/>
        </w:rPr>
        <w:t>у</w:t>
      </w:r>
      <w:r w:rsidR="00A56E08">
        <w:rPr>
          <w:bCs/>
        </w:rPr>
        <w:t>ч</w:t>
      </w:r>
      <w:r w:rsidR="00EE6AA2">
        <w:rPr>
          <w:bCs/>
        </w:rPr>
        <w:t>е</w:t>
      </w:r>
      <w:r w:rsidR="00A56E08">
        <w:rPr>
          <w:bCs/>
        </w:rPr>
        <w:t>ња</w:t>
      </w:r>
      <w:r w:rsidR="004B5159" w:rsidRPr="00F6340E">
        <w:rPr>
          <w:bCs/>
        </w:rPr>
        <w:t xml:space="preserve"> </w:t>
      </w:r>
      <w:r w:rsidR="00A56E08">
        <w:rPr>
          <w:bCs/>
        </w:rPr>
        <w:t>на</w:t>
      </w:r>
      <w:r w:rsidR="004B5159" w:rsidRPr="00F6340E">
        <w:rPr>
          <w:bCs/>
        </w:rPr>
        <w:t xml:space="preserve"> </w:t>
      </w:r>
      <w:r w:rsidR="00A56E08">
        <w:rPr>
          <w:bCs/>
        </w:rPr>
        <w:t>даљин</w:t>
      </w:r>
      <w:r>
        <w:rPr>
          <w:bCs/>
        </w:rPr>
        <w:t>у</w:t>
      </w:r>
      <w:r w:rsidR="004B5159" w:rsidRPr="00F6340E">
        <w:rPr>
          <w:bCs/>
        </w:rPr>
        <w:t xml:space="preserve"> </w:t>
      </w:r>
      <w:r>
        <w:rPr>
          <w:bCs/>
        </w:rPr>
        <w:t>у</w:t>
      </w:r>
      <w:r w:rsidR="004B5159" w:rsidRPr="00F6340E">
        <w:rPr>
          <w:bCs/>
        </w:rPr>
        <w:t xml:space="preserve"> </w:t>
      </w:r>
      <w:r>
        <w:rPr>
          <w:bCs/>
        </w:rPr>
        <w:t>в</w:t>
      </w:r>
      <w:r w:rsidR="00A56E08">
        <w:rPr>
          <w:bCs/>
        </w:rPr>
        <w:t>и</w:t>
      </w:r>
      <w:r>
        <w:rPr>
          <w:bCs/>
        </w:rPr>
        <w:t>с</w:t>
      </w:r>
      <w:r w:rsidR="00A56E08">
        <w:rPr>
          <w:bCs/>
        </w:rPr>
        <w:t>оком</w:t>
      </w:r>
      <w:r w:rsidR="004B5159" w:rsidRPr="00F6340E">
        <w:rPr>
          <w:bCs/>
        </w:rPr>
        <w:t xml:space="preserve"> </w:t>
      </w:r>
      <w:r w:rsidR="00A56E08">
        <w:rPr>
          <w:bCs/>
        </w:rPr>
        <w:t>об</w:t>
      </w:r>
      <w:r>
        <w:rPr>
          <w:bCs/>
        </w:rPr>
        <w:t>р</w:t>
      </w:r>
      <w:r w:rsidR="00A56E08">
        <w:rPr>
          <w:bCs/>
        </w:rPr>
        <w:t>а</w:t>
      </w:r>
      <w:r w:rsidR="00171F00">
        <w:rPr>
          <w:bCs/>
        </w:rPr>
        <w:t>з</w:t>
      </w:r>
      <w:r w:rsidR="00A56E08">
        <w:rPr>
          <w:bCs/>
        </w:rPr>
        <w:t>о</w:t>
      </w:r>
      <w:r>
        <w:rPr>
          <w:bCs/>
        </w:rPr>
        <w:t>в</w:t>
      </w:r>
      <w:r w:rsidR="00A56E08">
        <w:rPr>
          <w:bCs/>
        </w:rPr>
        <w:t>ањ</w:t>
      </w:r>
      <w:r>
        <w:rPr>
          <w:bCs/>
        </w:rPr>
        <w:t>у</w:t>
      </w:r>
      <w:r w:rsidR="004B5159" w:rsidRPr="00F6340E">
        <w:rPr>
          <w:bCs/>
        </w:rPr>
        <w:t xml:space="preserve"> </w:t>
      </w:r>
      <w:r>
        <w:rPr>
          <w:bCs/>
        </w:rPr>
        <w:t>у</w:t>
      </w:r>
      <w:r w:rsidR="004B5159" w:rsidRPr="00F6340E">
        <w:rPr>
          <w:bCs/>
        </w:rPr>
        <w:t xml:space="preserve"> </w:t>
      </w:r>
      <w:r w:rsidR="00A56E08">
        <w:rPr>
          <w:bCs/>
        </w:rPr>
        <w:t>Бо</w:t>
      </w:r>
      <w:r>
        <w:rPr>
          <w:bCs/>
        </w:rPr>
        <w:t>с</w:t>
      </w:r>
      <w:r w:rsidR="00A56E08">
        <w:rPr>
          <w:bCs/>
        </w:rPr>
        <w:t>ни</w:t>
      </w:r>
      <w:r w:rsidR="004B5159" w:rsidRPr="00F6340E">
        <w:rPr>
          <w:bCs/>
        </w:rPr>
        <w:t xml:space="preserve"> </w:t>
      </w:r>
      <w:r w:rsidR="00A56E08">
        <w:rPr>
          <w:bCs/>
        </w:rPr>
        <w:t>и</w:t>
      </w:r>
      <w:r w:rsidR="004B5159" w:rsidRPr="00F6340E">
        <w:rPr>
          <w:bCs/>
        </w:rPr>
        <w:t xml:space="preserve"> </w:t>
      </w:r>
      <w:r w:rsidR="00A56E08">
        <w:rPr>
          <w:bCs/>
        </w:rPr>
        <w:t>Х</w:t>
      </w:r>
      <w:r w:rsidR="00EE6AA2">
        <w:rPr>
          <w:bCs/>
        </w:rPr>
        <w:t>е</w:t>
      </w:r>
      <w:r>
        <w:rPr>
          <w:bCs/>
        </w:rPr>
        <w:t>р</w:t>
      </w:r>
      <w:r w:rsidR="00A56E08">
        <w:rPr>
          <w:bCs/>
        </w:rPr>
        <w:t>ц</w:t>
      </w:r>
      <w:r w:rsidR="00EE6AA2">
        <w:rPr>
          <w:bCs/>
        </w:rPr>
        <w:t>е</w:t>
      </w:r>
      <w:r w:rsidR="00A56E08">
        <w:rPr>
          <w:bCs/>
        </w:rPr>
        <w:t>го</w:t>
      </w:r>
      <w:r>
        <w:rPr>
          <w:bCs/>
        </w:rPr>
        <w:t>в</w:t>
      </w:r>
      <w:r w:rsidR="00A56E08">
        <w:rPr>
          <w:bCs/>
        </w:rPr>
        <w:t>ини</w:t>
      </w:r>
      <w:r w:rsidR="004B5159" w:rsidRPr="00F6340E">
        <w:rPr>
          <w:bCs/>
        </w:rPr>
        <w:t xml:space="preserve"> </w:t>
      </w:r>
      <w:r>
        <w:rPr>
          <w:bCs/>
        </w:rPr>
        <w:t>т</w:t>
      </w:r>
      <w:r w:rsidR="00A56E08">
        <w:rPr>
          <w:bCs/>
        </w:rPr>
        <w:t>оком</w:t>
      </w:r>
      <w:r w:rsidR="004B5159" w:rsidRPr="00F6340E">
        <w:rPr>
          <w:bCs/>
        </w:rPr>
        <w:t xml:space="preserve"> </w:t>
      </w:r>
      <w:r w:rsidR="00A56E08">
        <w:rPr>
          <w:bCs/>
        </w:rPr>
        <w:t>ЦО</w:t>
      </w:r>
      <w:r>
        <w:rPr>
          <w:bCs/>
        </w:rPr>
        <w:t>В</w:t>
      </w:r>
      <w:r w:rsidR="00A56E08">
        <w:rPr>
          <w:bCs/>
        </w:rPr>
        <w:t>ИД</w:t>
      </w:r>
      <w:r w:rsidR="004B5159" w:rsidRPr="00F6340E">
        <w:rPr>
          <w:bCs/>
        </w:rPr>
        <w:t xml:space="preserve">-19 </w:t>
      </w:r>
      <w:r>
        <w:rPr>
          <w:bCs/>
        </w:rPr>
        <w:t>п</w:t>
      </w:r>
      <w:r w:rsidR="00A56E08">
        <w:rPr>
          <w:bCs/>
        </w:rPr>
        <w:t>анд</w:t>
      </w:r>
      <w:r w:rsidR="00EE6AA2">
        <w:rPr>
          <w:bCs/>
        </w:rPr>
        <w:t>е</w:t>
      </w:r>
      <w:r w:rsidR="00A56E08">
        <w:rPr>
          <w:bCs/>
        </w:rPr>
        <w:t>миј</w:t>
      </w:r>
      <w:r w:rsidR="00EE6AA2">
        <w:rPr>
          <w:bCs/>
        </w:rPr>
        <w:t>е</w:t>
      </w:r>
      <w:r w:rsidR="004B5159" w:rsidRPr="00F6340E">
        <w:rPr>
          <w:bCs/>
        </w:rPr>
        <w:t xml:space="preserve"> (</w:t>
      </w:r>
      <w:r>
        <w:t>У</w:t>
      </w:r>
      <w:r w:rsidR="00A56E08">
        <w:t>Н</w:t>
      </w:r>
      <w:r w:rsidR="00EE6AA2">
        <w:t>Е</w:t>
      </w:r>
      <w:r>
        <w:t>С</w:t>
      </w:r>
      <w:r w:rsidR="00A56E08">
        <w:t>ЦО</w:t>
      </w:r>
      <w:r w:rsidR="004B5159" w:rsidRPr="00F6340E">
        <w:t>, 202</w:t>
      </w:r>
      <w:r w:rsidR="00AA02FC" w:rsidRPr="00F6340E">
        <w:t>1</w:t>
      </w:r>
      <w:r w:rsidR="004B5159" w:rsidRPr="00F6340E">
        <w:t xml:space="preserve">). </w:t>
      </w:r>
      <w:r>
        <w:t>У</w:t>
      </w:r>
      <w:r w:rsidR="004B5159" w:rsidRPr="00F6340E">
        <w:t xml:space="preserve"> </w:t>
      </w:r>
      <w:r>
        <w:t>сту</w:t>
      </w:r>
      <w:r w:rsidR="00A56E08">
        <w:t>дијама</w:t>
      </w:r>
      <w:r w:rsidR="004B5159" w:rsidRPr="00F6340E">
        <w:t xml:space="preserve"> </w:t>
      </w:r>
      <w:r>
        <w:t>с</w:t>
      </w:r>
      <w:r w:rsidR="00EE6AA2">
        <w:t>е</w:t>
      </w:r>
      <w:r w:rsidR="004B5159" w:rsidRPr="00F6340E">
        <w:t xml:space="preserve"> </w:t>
      </w:r>
      <w:r w:rsidR="00A56E08">
        <w:t>на</w:t>
      </w:r>
      <w:r>
        <w:t>в</w:t>
      </w:r>
      <w:r w:rsidR="00A56E08">
        <w:t>оди</w:t>
      </w:r>
      <w:r w:rsidR="004B5159" w:rsidRPr="00F6340E">
        <w:t xml:space="preserve"> </w:t>
      </w:r>
      <w:r w:rsidR="00A56E08">
        <w:t>да</w:t>
      </w:r>
      <w:r w:rsidR="004B5159" w:rsidRPr="00F6340E">
        <w:t xml:space="preserve"> </w:t>
      </w:r>
      <w:r>
        <w:rPr>
          <w:highlight w:val="white"/>
        </w:rPr>
        <w:t>су</w:t>
      </w:r>
      <w:r w:rsidR="004B5159" w:rsidRPr="00F6340E">
        <w:rPr>
          <w:highlight w:val="white"/>
        </w:rPr>
        <w:t xml:space="preserve"> </w:t>
      </w:r>
      <w:r w:rsidR="00A56E08">
        <w:rPr>
          <w:highlight w:val="white"/>
        </w:rPr>
        <w:t>надл</w:t>
      </w:r>
      <w:r w:rsidR="00EE6AA2">
        <w:rPr>
          <w:highlight w:val="white"/>
        </w:rPr>
        <w:t>е</w:t>
      </w:r>
      <w:r w:rsidR="00171F00">
        <w:rPr>
          <w:highlight w:val="white"/>
        </w:rPr>
        <w:t>ж</w:t>
      </w:r>
      <w:r w:rsidR="00A56E08">
        <w:rPr>
          <w:highlight w:val="white"/>
        </w:rPr>
        <w:t>н</w:t>
      </w:r>
      <w:r w:rsidR="00EE6AA2">
        <w:rPr>
          <w:highlight w:val="white"/>
        </w:rPr>
        <w:t>е</w:t>
      </w:r>
      <w:r w:rsidR="00677DAF" w:rsidRPr="00F6340E">
        <w:rPr>
          <w:highlight w:val="white"/>
        </w:rPr>
        <w:t xml:space="preserve"> </w:t>
      </w:r>
      <w:r w:rsidR="00A56E08">
        <w:rPr>
          <w:highlight w:val="white"/>
        </w:rPr>
        <w:t>об</w:t>
      </w:r>
      <w:r>
        <w:rPr>
          <w:highlight w:val="white"/>
        </w:rPr>
        <w:t>р</w:t>
      </w:r>
      <w:r w:rsidR="00A56E08">
        <w:rPr>
          <w:highlight w:val="white"/>
        </w:rPr>
        <w:t>а</w:t>
      </w:r>
      <w:r w:rsidR="00171F00">
        <w:rPr>
          <w:highlight w:val="white"/>
        </w:rPr>
        <w:t>з</w:t>
      </w:r>
      <w:r w:rsidR="00A56E08">
        <w:rPr>
          <w:highlight w:val="white"/>
        </w:rPr>
        <w:t>о</w:t>
      </w:r>
      <w:r>
        <w:rPr>
          <w:highlight w:val="white"/>
        </w:rPr>
        <w:t>в</w:t>
      </w:r>
      <w:r w:rsidR="00A56E08">
        <w:rPr>
          <w:highlight w:val="white"/>
        </w:rPr>
        <w:t>н</w:t>
      </w:r>
      <w:r w:rsidR="00EE6AA2">
        <w:rPr>
          <w:highlight w:val="white"/>
        </w:rPr>
        <w:t>е</w:t>
      </w:r>
      <w:r w:rsidR="00677DAF" w:rsidRPr="00F6340E">
        <w:rPr>
          <w:highlight w:val="white"/>
        </w:rPr>
        <w:t xml:space="preserve"> </w:t>
      </w:r>
      <w:r>
        <w:rPr>
          <w:highlight w:val="white"/>
        </w:rPr>
        <w:t>в</w:t>
      </w:r>
      <w:r w:rsidR="00A56E08">
        <w:rPr>
          <w:highlight w:val="white"/>
        </w:rPr>
        <w:t>ла</w:t>
      </w:r>
      <w:r>
        <w:rPr>
          <w:highlight w:val="white"/>
        </w:rPr>
        <w:t>ст</w:t>
      </w:r>
      <w:r w:rsidR="00A56E08">
        <w:rPr>
          <w:highlight w:val="white"/>
        </w:rPr>
        <w:t>и</w:t>
      </w:r>
      <w:r w:rsidR="004B5159" w:rsidRPr="00F6340E">
        <w:rPr>
          <w:highlight w:val="white"/>
        </w:rPr>
        <w:t xml:space="preserve"> </w:t>
      </w:r>
      <w:r w:rsidR="00A56E08">
        <w:rPr>
          <w:highlight w:val="white"/>
        </w:rPr>
        <w:t>омог</w:t>
      </w:r>
      <w:r>
        <w:rPr>
          <w:highlight w:val="white"/>
        </w:rPr>
        <w:t>у</w:t>
      </w:r>
      <w:r w:rsidR="00A56E08">
        <w:rPr>
          <w:highlight w:val="white"/>
        </w:rPr>
        <w:t>ћил</w:t>
      </w:r>
      <w:r w:rsidR="00EE6AA2">
        <w:rPr>
          <w:highlight w:val="white"/>
        </w:rPr>
        <w:t>е</w:t>
      </w:r>
      <w:r w:rsidR="004B5159" w:rsidRPr="00F6340E">
        <w:rPr>
          <w:highlight w:val="white"/>
        </w:rPr>
        <w:t xml:space="preserve"> </w:t>
      </w:r>
      <w:r w:rsidR="00A56E08">
        <w:rPr>
          <w:highlight w:val="white"/>
        </w:rPr>
        <w:t>да</w:t>
      </w:r>
      <w:r w:rsidR="004B5159" w:rsidRPr="00F6340E">
        <w:rPr>
          <w:highlight w:val="white"/>
        </w:rPr>
        <w:t xml:space="preserve"> </w:t>
      </w:r>
      <w:r>
        <w:rPr>
          <w:highlight w:val="white"/>
        </w:rPr>
        <w:t>с</w:t>
      </w:r>
      <w:r w:rsidR="00EE6AA2">
        <w:rPr>
          <w:highlight w:val="white"/>
        </w:rPr>
        <w:t>е</w:t>
      </w:r>
      <w:r w:rsidR="004B5159"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а</w:t>
      </w:r>
      <w:r w:rsidR="004B5159" w:rsidRPr="00F6340E">
        <w:rPr>
          <w:highlight w:val="white"/>
        </w:rPr>
        <w:t xml:space="preserve"> </w:t>
      </w:r>
      <w:r>
        <w:rPr>
          <w:highlight w:val="white"/>
        </w:rPr>
        <w:t>р</w:t>
      </w:r>
      <w:r w:rsidR="00EE6AA2">
        <w:rPr>
          <w:highlight w:val="white"/>
        </w:rPr>
        <w:t>е</w:t>
      </w:r>
      <w:r w:rsidR="00A56E08">
        <w:rPr>
          <w:highlight w:val="white"/>
        </w:rPr>
        <w:t>ла</w:t>
      </w:r>
      <w:r>
        <w:rPr>
          <w:highlight w:val="white"/>
        </w:rPr>
        <w:t>т</w:t>
      </w:r>
      <w:r w:rsidR="00A56E08">
        <w:rPr>
          <w:highlight w:val="white"/>
        </w:rPr>
        <w:t>и</w:t>
      </w:r>
      <w:r>
        <w:rPr>
          <w:highlight w:val="white"/>
        </w:rPr>
        <w:t>в</w:t>
      </w:r>
      <w:r w:rsidR="00A56E08">
        <w:rPr>
          <w:highlight w:val="white"/>
        </w:rPr>
        <w:t>но</w:t>
      </w:r>
      <w:r w:rsidR="004B5159" w:rsidRPr="00F6340E">
        <w:rPr>
          <w:highlight w:val="white"/>
        </w:rPr>
        <w:t xml:space="preserve"> </w:t>
      </w:r>
      <w:r w:rsidR="00A56E08">
        <w:rPr>
          <w:highlight w:val="white"/>
        </w:rPr>
        <w:t>б</w:t>
      </w:r>
      <w:r>
        <w:rPr>
          <w:highlight w:val="white"/>
        </w:rPr>
        <w:t>р</w:t>
      </w:r>
      <w:r w:rsidR="00171F00">
        <w:rPr>
          <w:highlight w:val="white"/>
        </w:rPr>
        <w:t>з</w:t>
      </w:r>
      <w:r w:rsidR="00A56E08">
        <w:rPr>
          <w:highlight w:val="white"/>
        </w:rPr>
        <w:t>о</w:t>
      </w:r>
      <w:r w:rsidR="004B5159" w:rsidRPr="00F6340E">
        <w:rPr>
          <w:highlight w:val="white"/>
        </w:rPr>
        <w:t xml:space="preserve"> </w:t>
      </w:r>
      <w:r>
        <w:rPr>
          <w:highlight w:val="white"/>
        </w:rPr>
        <w:t>усп</w:t>
      </w:r>
      <w:r w:rsidR="00A56E08">
        <w:rPr>
          <w:highlight w:val="white"/>
        </w:rPr>
        <w:t>о</w:t>
      </w:r>
      <w:r>
        <w:rPr>
          <w:highlight w:val="white"/>
        </w:rPr>
        <w:t>ст</w:t>
      </w:r>
      <w:r w:rsidR="00A56E08">
        <w:rPr>
          <w:highlight w:val="white"/>
        </w:rPr>
        <w:t>а</w:t>
      </w:r>
      <w:r>
        <w:rPr>
          <w:highlight w:val="white"/>
        </w:rPr>
        <w:t>в</w:t>
      </w:r>
      <w:r w:rsidR="00A56E08">
        <w:rPr>
          <w:highlight w:val="white"/>
        </w:rPr>
        <w:t>и</w:t>
      </w:r>
      <w:r w:rsidR="004B5159" w:rsidRPr="00F6340E">
        <w:rPr>
          <w:highlight w:val="white"/>
        </w:rPr>
        <w:t xml:space="preserve"> </w:t>
      </w:r>
      <w:r w:rsidR="00A56E08">
        <w:rPr>
          <w:highlight w:val="white"/>
        </w:rPr>
        <w:t>када</w:t>
      </w:r>
      <w:r w:rsidR="004B5159" w:rsidRPr="00F6340E">
        <w:rPr>
          <w:highlight w:val="white"/>
        </w:rPr>
        <w:t xml:space="preserve"> </w:t>
      </w:r>
      <w:r w:rsidR="00A56E08">
        <w:rPr>
          <w:highlight w:val="white"/>
        </w:rPr>
        <w:t>ј</w:t>
      </w:r>
      <w:r w:rsidR="00EE6AA2">
        <w:rPr>
          <w:highlight w:val="white"/>
        </w:rPr>
        <w:t>е</w:t>
      </w:r>
      <w:r w:rsidR="004B5159" w:rsidRPr="00F6340E">
        <w:rPr>
          <w:highlight w:val="white"/>
        </w:rPr>
        <w:t xml:space="preserve"> </w:t>
      </w:r>
      <w:r>
        <w:rPr>
          <w:highlight w:val="white"/>
        </w:rPr>
        <w:t>у</w:t>
      </w:r>
      <w:r w:rsidR="004B5159" w:rsidRPr="00F6340E">
        <w:rPr>
          <w:highlight w:val="white"/>
        </w:rPr>
        <w:t xml:space="preserve"> </w:t>
      </w:r>
      <w:r>
        <w:rPr>
          <w:highlight w:val="white"/>
        </w:rPr>
        <w:t>п</w:t>
      </w:r>
      <w:r w:rsidR="00A56E08">
        <w:rPr>
          <w:highlight w:val="white"/>
        </w:rPr>
        <w:t>и</w:t>
      </w:r>
      <w:r>
        <w:rPr>
          <w:highlight w:val="white"/>
        </w:rPr>
        <w:t>т</w:t>
      </w:r>
      <w:r w:rsidR="00A56E08">
        <w:rPr>
          <w:highlight w:val="white"/>
        </w:rPr>
        <w:t>ањ</w:t>
      </w:r>
      <w:r>
        <w:rPr>
          <w:highlight w:val="white"/>
        </w:rPr>
        <w:t>у</w:t>
      </w:r>
      <w:r w:rsidR="004B5159" w:rsidRPr="00F6340E">
        <w:rPr>
          <w:highlight w:val="white"/>
        </w:rPr>
        <w:t xml:space="preserve"> </w:t>
      </w:r>
      <w:r>
        <w:rPr>
          <w:highlight w:val="white"/>
        </w:rPr>
        <w:t>пр</w:t>
      </w:r>
      <w:r w:rsidR="00A56E08">
        <w:rPr>
          <w:highlight w:val="white"/>
        </w:rPr>
        <w:t>а</w:t>
      </w:r>
      <w:r>
        <w:rPr>
          <w:highlight w:val="white"/>
        </w:rPr>
        <w:t>в</w:t>
      </w:r>
      <w:r w:rsidR="00A56E08">
        <w:rPr>
          <w:highlight w:val="white"/>
        </w:rPr>
        <w:t>но</w:t>
      </w:r>
      <w:r w:rsidR="004B5159" w:rsidRPr="00F6340E">
        <w:rPr>
          <w:highlight w:val="white"/>
        </w:rPr>
        <w:t>-</w:t>
      </w:r>
      <w:r w:rsidR="00A56E08">
        <w:rPr>
          <w:highlight w:val="white"/>
        </w:rPr>
        <w:t>админи</w:t>
      </w:r>
      <w:r>
        <w:rPr>
          <w:highlight w:val="white"/>
        </w:rPr>
        <w:t>стр</w:t>
      </w:r>
      <w:r w:rsidR="00A56E08">
        <w:rPr>
          <w:highlight w:val="white"/>
        </w:rPr>
        <w:t>а</w:t>
      </w:r>
      <w:r>
        <w:rPr>
          <w:highlight w:val="white"/>
        </w:rPr>
        <w:t>т</w:t>
      </w:r>
      <w:r w:rsidR="00A56E08">
        <w:rPr>
          <w:highlight w:val="white"/>
        </w:rPr>
        <w:t>и</w:t>
      </w:r>
      <w:r>
        <w:rPr>
          <w:highlight w:val="white"/>
        </w:rPr>
        <w:t>в</w:t>
      </w:r>
      <w:r w:rsidR="00A56E08">
        <w:rPr>
          <w:highlight w:val="white"/>
        </w:rPr>
        <w:t>ни</w:t>
      </w:r>
      <w:r w:rsidR="004B5159" w:rsidRPr="00F6340E">
        <w:rPr>
          <w:highlight w:val="white"/>
        </w:rPr>
        <w:t xml:space="preserve"> </w:t>
      </w:r>
      <w:r w:rsidR="00A56E08">
        <w:rPr>
          <w:highlight w:val="white"/>
        </w:rPr>
        <w:t>а</w:t>
      </w:r>
      <w:r>
        <w:rPr>
          <w:highlight w:val="white"/>
        </w:rPr>
        <w:t>сп</w:t>
      </w:r>
      <w:r w:rsidR="00EE6AA2">
        <w:rPr>
          <w:highlight w:val="white"/>
        </w:rPr>
        <w:t>е</w:t>
      </w:r>
      <w:r w:rsidR="00A56E08">
        <w:rPr>
          <w:highlight w:val="white"/>
        </w:rPr>
        <w:t>к</w:t>
      </w:r>
      <w:r>
        <w:rPr>
          <w:highlight w:val="white"/>
        </w:rPr>
        <w:t>т</w:t>
      </w:r>
      <w:r w:rsidR="004B5159" w:rsidRPr="00F6340E">
        <w:rPr>
          <w:highlight w:val="white"/>
        </w:rPr>
        <w:t xml:space="preserve"> </w:t>
      </w:r>
      <w:r>
        <w:rPr>
          <w:highlight w:val="white"/>
        </w:rPr>
        <w:t>т</w:t>
      </w:r>
      <w:r w:rsidR="00EE6AA2">
        <w:rPr>
          <w:highlight w:val="white"/>
        </w:rPr>
        <w:t>е</w:t>
      </w:r>
      <w:r w:rsidR="004B5159" w:rsidRPr="00F6340E">
        <w:rPr>
          <w:highlight w:val="white"/>
        </w:rPr>
        <w:t xml:space="preserve"> </w:t>
      </w:r>
      <w:r w:rsidR="00A56E08">
        <w:rPr>
          <w:highlight w:val="white"/>
        </w:rPr>
        <w:t>да</w:t>
      </w:r>
      <w:r w:rsidR="004B5159" w:rsidRPr="00F6340E">
        <w:rPr>
          <w:highlight w:val="white"/>
        </w:rPr>
        <w:t xml:space="preserve"> </w:t>
      </w:r>
      <w:r w:rsidR="00A56E08">
        <w:rPr>
          <w:highlight w:val="white"/>
        </w:rPr>
        <w:t>ј</w:t>
      </w:r>
      <w:r w:rsidR="00EE6AA2">
        <w:rPr>
          <w:highlight w:val="white"/>
        </w:rPr>
        <w:t>е</w:t>
      </w:r>
      <w:r w:rsidR="004B5159" w:rsidRPr="00F6340E">
        <w:rPr>
          <w:highlight w:val="white"/>
        </w:rPr>
        <w:t xml:space="preserve"> </w:t>
      </w:r>
      <w:r>
        <w:rPr>
          <w:highlight w:val="white"/>
        </w:rPr>
        <w:t>в</w:t>
      </w:r>
      <w:r w:rsidR="00EE6AA2">
        <w:rPr>
          <w:highlight w:val="white"/>
        </w:rPr>
        <w:t>е</w:t>
      </w:r>
      <w:r w:rsidR="00A56E08">
        <w:rPr>
          <w:highlight w:val="white"/>
        </w:rPr>
        <w:t>ћина</w:t>
      </w:r>
      <w:r w:rsidR="004B5159" w:rsidRPr="00F6340E">
        <w:rPr>
          <w:highlight w:val="white"/>
        </w:rPr>
        <w:t xml:space="preserve"> </w:t>
      </w:r>
      <w:r>
        <w:rPr>
          <w:highlight w:val="white"/>
        </w:rPr>
        <w:t>пр</w:t>
      </w:r>
      <w:r w:rsidR="00EE6AA2">
        <w:rPr>
          <w:highlight w:val="white"/>
        </w:rPr>
        <w:t>е</w:t>
      </w:r>
      <w:r>
        <w:rPr>
          <w:highlight w:val="white"/>
        </w:rPr>
        <w:t>пр</w:t>
      </w:r>
      <w:r w:rsidR="00EE6AA2">
        <w:rPr>
          <w:highlight w:val="white"/>
        </w:rPr>
        <w:t>е</w:t>
      </w:r>
      <w:r w:rsidR="00A56E08">
        <w:rPr>
          <w:highlight w:val="white"/>
        </w:rPr>
        <w:t>ка</w:t>
      </w:r>
      <w:r w:rsidR="004B5159" w:rsidRPr="00F6340E">
        <w:rPr>
          <w:highlight w:val="white"/>
        </w:rPr>
        <w:t xml:space="preserve"> </w:t>
      </w:r>
      <w:r>
        <w:rPr>
          <w:highlight w:val="white"/>
        </w:rPr>
        <w:t>пр</w:t>
      </w:r>
      <w:r w:rsidR="00A56E08">
        <w:rPr>
          <w:highlight w:val="white"/>
        </w:rPr>
        <w:t>а</w:t>
      </w:r>
      <w:r>
        <w:rPr>
          <w:highlight w:val="white"/>
        </w:rPr>
        <w:t>в</w:t>
      </w:r>
      <w:r w:rsidR="00A56E08">
        <w:rPr>
          <w:highlight w:val="white"/>
        </w:rPr>
        <w:t>о</w:t>
      </w:r>
      <w:r>
        <w:rPr>
          <w:highlight w:val="white"/>
        </w:rPr>
        <w:t>вр</w:t>
      </w:r>
      <w:r w:rsidR="00EE6AA2">
        <w:rPr>
          <w:highlight w:val="white"/>
        </w:rPr>
        <w:t>е</w:t>
      </w:r>
      <w:r w:rsidR="00A56E08">
        <w:rPr>
          <w:highlight w:val="white"/>
        </w:rPr>
        <w:t>м</w:t>
      </w:r>
      <w:r w:rsidR="00EE6AA2">
        <w:rPr>
          <w:highlight w:val="white"/>
        </w:rPr>
        <w:t>е</w:t>
      </w:r>
      <w:r w:rsidR="00A56E08">
        <w:rPr>
          <w:highlight w:val="white"/>
        </w:rPr>
        <w:t>но</w:t>
      </w:r>
      <w:r w:rsidR="004B5159" w:rsidRPr="00F6340E">
        <w:rPr>
          <w:highlight w:val="white"/>
        </w:rPr>
        <w:t xml:space="preserve"> </w:t>
      </w:r>
      <w:r w:rsidR="00A56E08">
        <w:rPr>
          <w:highlight w:val="white"/>
        </w:rPr>
        <w:t>о</w:t>
      </w:r>
      <w:r>
        <w:rPr>
          <w:highlight w:val="white"/>
        </w:rPr>
        <w:t>т</w:t>
      </w:r>
      <w:r w:rsidR="00A56E08">
        <w:rPr>
          <w:highlight w:val="white"/>
        </w:rPr>
        <w:t>клоњ</w:t>
      </w:r>
      <w:r w:rsidR="00EE6AA2">
        <w:rPr>
          <w:highlight w:val="white"/>
        </w:rPr>
        <w:t>е</w:t>
      </w:r>
      <w:r w:rsidR="00A56E08">
        <w:rPr>
          <w:highlight w:val="white"/>
        </w:rPr>
        <w:t>на</w:t>
      </w:r>
      <w:r w:rsidR="004B5159" w:rsidRPr="00F6340E">
        <w:rPr>
          <w:highlight w:val="white"/>
        </w:rPr>
        <w:t xml:space="preserve"> </w:t>
      </w:r>
      <w:r>
        <w:rPr>
          <w:highlight w:val="white"/>
        </w:rPr>
        <w:t>у</w:t>
      </w:r>
      <w:r w:rsidR="004B5159" w:rsidRPr="00F6340E">
        <w:rPr>
          <w:highlight w:val="white"/>
        </w:rPr>
        <w:t xml:space="preserve"> </w:t>
      </w:r>
      <w:r>
        <w:rPr>
          <w:highlight w:val="white"/>
        </w:rPr>
        <w:t>в</w:t>
      </w:r>
      <w:r w:rsidR="00EE6AA2">
        <w:rPr>
          <w:highlight w:val="white"/>
        </w:rPr>
        <w:t>е</w:t>
      </w:r>
      <w:r w:rsidR="00A56E08">
        <w:rPr>
          <w:highlight w:val="white"/>
        </w:rPr>
        <w:t>ликој</w:t>
      </w:r>
      <w:r w:rsidR="004B5159" w:rsidRPr="00F6340E">
        <w:rPr>
          <w:highlight w:val="white"/>
        </w:rPr>
        <w:t xml:space="preserve"> </w:t>
      </w:r>
      <w:r w:rsidR="00A56E08">
        <w:rPr>
          <w:highlight w:val="white"/>
        </w:rPr>
        <w:t>мј</w:t>
      </w:r>
      <w:r w:rsidR="00EE6AA2">
        <w:rPr>
          <w:highlight w:val="white"/>
        </w:rPr>
        <w:t>е</w:t>
      </w:r>
      <w:r>
        <w:rPr>
          <w:highlight w:val="white"/>
        </w:rPr>
        <w:t>р</w:t>
      </w:r>
      <w:r w:rsidR="00A56E08">
        <w:rPr>
          <w:highlight w:val="white"/>
        </w:rPr>
        <w:t>и</w:t>
      </w:r>
      <w:r w:rsidR="004B5159" w:rsidRPr="00F6340E">
        <w:rPr>
          <w:highlight w:val="white"/>
        </w:rPr>
        <w:t xml:space="preserve"> </w:t>
      </w:r>
      <w:r>
        <w:rPr>
          <w:highlight w:val="white"/>
        </w:rPr>
        <w:t>упр</w:t>
      </w:r>
      <w:r w:rsidR="00A56E08">
        <w:rPr>
          <w:highlight w:val="white"/>
        </w:rPr>
        <w:t>а</w:t>
      </w:r>
      <w:r>
        <w:rPr>
          <w:highlight w:val="white"/>
        </w:rPr>
        <w:t>в</w:t>
      </w:r>
      <w:r w:rsidR="00A56E08">
        <w:rPr>
          <w:highlight w:val="white"/>
        </w:rPr>
        <w:t>о</w:t>
      </w:r>
      <w:r w:rsidR="004B5159" w:rsidRPr="00F6340E">
        <w:rPr>
          <w:highlight w:val="white"/>
        </w:rPr>
        <w:t xml:space="preserve"> </w:t>
      </w:r>
      <w:r w:rsidR="00171F00">
        <w:rPr>
          <w:highlight w:val="white"/>
        </w:rPr>
        <w:t>з</w:t>
      </w:r>
      <w:r w:rsidR="00A56E08">
        <w:rPr>
          <w:highlight w:val="white"/>
        </w:rPr>
        <w:t>ах</w:t>
      </w:r>
      <w:r>
        <w:rPr>
          <w:highlight w:val="white"/>
        </w:rPr>
        <w:t>в</w:t>
      </w:r>
      <w:r w:rsidR="00A56E08">
        <w:rPr>
          <w:highlight w:val="white"/>
        </w:rPr>
        <w:t>аљ</w:t>
      </w:r>
      <w:r>
        <w:rPr>
          <w:highlight w:val="white"/>
        </w:rPr>
        <w:t>у</w:t>
      </w:r>
      <w:r w:rsidR="00A56E08">
        <w:rPr>
          <w:highlight w:val="white"/>
        </w:rPr>
        <w:t>ј</w:t>
      </w:r>
      <w:r>
        <w:rPr>
          <w:highlight w:val="white"/>
        </w:rPr>
        <w:t>у</w:t>
      </w:r>
      <w:r w:rsidR="00A56E08">
        <w:rPr>
          <w:highlight w:val="white"/>
        </w:rPr>
        <w:t>ћи</w:t>
      </w:r>
      <w:r w:rsidR="004B5159" w:rsidRPr="00F6340E">
        <w:rPr>
          <w:highlight w:val="white"/>
        </w:rPr>
        <w:t xml:space="preserve"> </w:t>
      </w:r>
      <w:r w:rsidR="00A56E08">
        <w:rPr>
          <w:highlight w:val="white"/>
        </w:rPr>
        <w:t>б</w:t>
      </w:r>
      <w:r>
        <w:rPr>
          <w:highlight w:val="white"/>
        </w:rPr>
        <w:t>р</w:t>
      </w:r>
      <w:r w:rsidR="00171F00">
        <w:rPr>
          <w:highlight w:val="white"/>
        </w:rPr>
        <w:t>з</w:t>
      </w:r>
      <w:r w:rsidR="00A56E08">
        <w:rPr>
          <w:highlight w:val="white"/>
        </w:rPr>
        <w:t>им</w:t>
      </w:r>
      <w:r w:rsidR="004B5159" w:rsidRPr="00F6340E">
        <w:rPr>
          <w:highlight w:val="white"/>
        </w:rPr>
        <w:t xml:space="preserve"> </w:t>
      </w:r>
      <w:r w:rsidR="00A56E08">
        <w:rPr>
          <w:highlight w:val="white"/>
        </w:rPr>
        <w:t>ин</w:t>
      </w:r>
      <w:r>
        <w:rPr>
          <w:highlight w:val="white"/>
        </w:rPr>
        <w:t>т</w:t>
      </w:r>
      <w:r w:rsidR="00EE6AA2">
        <w:rPr>
          <w:highlight w:val="white"/>
        </w:rPr>
        <w:t>е</w:t>
      </w:r>
      <w:r>
        <w:rPr>
          <w:highlight w:val="white"/>
        </w:rPr>
        <w:t>рв</w:t>
      </w:r>
      <w:r w:rsidR="00EE6AA2">
        <w:rPr>
          <w:highlight w:val="white"/>
        </w:rPr>
        <w:t>е</w:t>
      </w:r>
      <w:r w:rsidR="00A56E08">
        <w:rPr>
          <w:highlight w:val="white"/>
        </w:rPr>
        <w:t>нцијама</w:t>
      </w:r>
      <w:r w:rsidR="004B5159" w:rsidRPr="00F6340E">
        <w:rPr>
          <w:highlight w:val="white"/>
        </w:rPr>
        <w:t xml:space="preserve"> </w:t>
      </w:r>
      <w:r w:rsidR="00A56E08">
        <w:rPr>
          <w:highlight w:val="white"/>
        </w:rPr>
        <w:t>надл</w:t>
      </w:r>
      <w:r w:rsidR="00EE6AA2">
        <w:rPr>
          <w:highlight w:val="white"/>
        </w:rPr>
        <w:t>е</w:t>
      </w:r>
      <w:r w:rsidR="00171F00">
        <w:rPr>
          <w:highlight w:val="white"/>
        </w:rPr>
        <w:t>ж</w:t>
      </w:r>
      <w:r w:rsidR="00A56E08">
        <w:rPr>
          <w:highlight w:val="white"/>
        </w:rPr>
        <w:t>них</w:t>
      </w:r>
      <w:r w:rsidR="004B5159" w:rsidRPr="00F6340E">
        <w:rPr>
          <w:highlight w:val="white"/>
        </w:rPr>
        <w:t xml:space="preserve"> </w:t>
      </w:r>
      <w:r w:rsidR="00A56E08">
        <w:rPr>
          <w:highlight w:val="white"/>
        </w:rPr>
        <w:t>об</w:t>
      </w:r>
      <w:r>
        <w:rPr>
          <w:highlight w:val="white"/>
        </w:rPr>
        <w:t>р</w:t>
      </w:r>
      <w:r w:rsidR="00A56E08">
        <w:rPr>
          <w:highlight w:val="white"/>
        </w:rPr>
        <w:t>а</w:t>
      </w:r>
      <w:r w:rsidR="00171F00">
        <w:rPr>
          <w:highlight w:val="white"/>
        </w:rPr>
        <w:t>з</w:t>
      </w:r>
      <w:r w:rsidR="00A56E08">
        <w:rPr>
          <w:highlight w:val="white"/>
        </w:rPr>
        <w:t>о</w:t>
      </w:r>
      <w:r>
        <w:rPr>
          <w:highlight w:val="white"/>
        </w:rPr>
        <w:t>в</w:t>
      </w:r>
      <w:r w:rsidR="00A56E08">
        <w:rPr>
          <w:highlight w:val="white"/>
        </w:rPr>
        <w:t>них</w:t>
      </w:r>
      <w:r w:rsidR="00973BB3" w:rsidRPr="00F6340E">
        <w:rPr>
          <w:highlight w:val="white"/>
        </w:rPr>
        <w:t xml:space="preserve"> </w:t>
      </w:r>
      <w:r>
        <w:rPr>
          <w:highlight w:val="white"/>
        </w:rPr>
        <w:t>в</w:t>
      </w:r>
      <w:r w:rsidR="00A56E08">
        <w:rPr>
          <w:highlight w:val="white"/>
        </w:rPr>
        <w:t>ла</w:t>
      </w:r>
      <w:r>
        <w:rPr>
          <w:highlight w:val="white"/>
        </w:rPr>
        <w:t>ст</w:t>
      </w:r>
      <w:r w:rsidR="00A56E08">
        <w:rPr>
          <w:highlight w:val="white"/>
        </w:rPr>
        <w:t>и</w:t>
      </w:r>
      <w:r w:rsidR="00973BB3" w:rsidRPr="00F6340E">
        <w:rPr>
          <w:highlight w:val="white"/>
        </w:rPr>
        <w:t xml:space="preserve"> </w:t>
      </w:r>
      <w:r w:rsidR="00A56E08">
        <w:rPr>
          <w:highlight w:val="white"/>
        </w:rPr>
        <w:t>и</w:t>
      </w:r>
      <w:r w:rsidR="004B5159" w:rsidRPr="00F6340E">
        <w:rPr>
          <w:highlight w:val="white"/>
        </w:rPr>
        <w:t xml:space="preserve"> </w:t>
      </w:r>
      <w:r>
        <w:rPr>
          <w:highlight w:val="white"/>
        </w:rPr>
        <w:t>в</w:t>
      </w:r>
      <w:r w:rsidR="00A56E08">
        <w:rPr>
          <w:highlight w:val="white"/>
        </w:rPr>
        <w:t>лада</w:t>
      </w:r>
      <w:r w:rsidR="004B5159" w:rsidRPr="00F6340E">
        <w:rPr>
          <w:highlight w:val="white"/>
        </w:rPr>
        <w:t xml:space="preserve"> </w:t>
      </w:r>
      <w:r w:rsidR="00A56E08">
        <w:rPr>
          <w:highlight w:val="white"/>
        </w:rPr>
        <w:t>како</w:t>
      </w:r>
      <w:r w:rsidR="004B5159" w:rsidRPr="00F6340E">
        <w:rPr>
          <w:highlight w:val="white"/>
        </w:rPr>
        <w:t xml:space="preserve"> </w:t>
      </w:r>
      <w:r w:rsidR="00A56E08">
        <w:rPr>
          <w:highlight w:val="white"/>
        </w:rPr>
        <w:t>би</w:t>
      </w:r>
      <w:r w:rsidR="004B5159" w:rsidRPr="00F6340E">
        <w:rPr>
          <w:highlight w:val="white"/>
        </w:rPr>
        <w:t xml:space="preserve"> </w:t>
      </w:r>
      <w:r>
        <w:rPr>
          <w:highlight w:val="white"/>
        </w:rPr>
        <w:t>с</w:t>
      </w:r>
      <w:r w:rsidR="00EE6AA2">
        <w:rPr>
          <w:highlight w:val="white"/>
        </w:rPr>
        <w:t>е</w:t>
      </w:r>
      <w:r w:rsidR="004B5159" w:rsidRPr="00F6340E">
        <w:rPr>
          <w:highlight w:val="white"/>
        </w:rPr>
        <w:t xml:space="preserve"> </w:t>
      </w:r>
      <w:r w:rsidR="00A56E08">
        <w:rPr>
          <w:highlight w:val="white"/>
        </w:rPr>
        <w:t>о</w:t>
      </w:r>
      <w:r>
        <w:rPr>
          <w:highlight w:val="white"/>
        </w:rPr>
        <w:t>с</w:t>
      </w:r>
      <w:r w:rsidR="00A56E08">
        <w:rPr>
          <w:highlight w:val="white"/>
        </w:rPr>
        <w:t>иг</w:t>
      </w:r>
      <w:r>
        <w:rPr>
          <w:highlight w:val="white"/>
        </w:rPr>
        <w:t>ур</w:t>
      </w:r>
      <w:r w:rsidR="00A56E08">
        <w:rPr>
          <w:highlight w:val="white"/>
        </w:rPr>
        <w:t>ао</w:t>
      </w:r>
      <w:r w:rsidR="004B5159" w:rsidRPr="00F6340E">
        <w:rPr>
          <w:highlight w:val="white"/>
        </w:rPr>
        <w:t xml:space="preserve"> </w:t>
      </w:r>
      <w:r w:rsidR="00A56E08">
        <w:rPr>
          <w:highlight w:val="white"/>
        </w:rPr>
        <w:t>кон</w:t>
      </w:r>
      <w:r>
        <w:rPr>
          <w:highlight w:val="white"/>
        </w:rPr>
        <w:t>т</w:t>
      </w:r>
      <w:r w:rsidR="00A56E08">
        <w:rPr>
          <w:highlight w:val="white"/>
        </w:rPr>
        <w:t>ин</w:t>
      </w:r>
      <w:r>
        <w:rPr>
          <w:highlight w:val="white"/>
        </w:rPr>
        <w:t>у</w:t>
      </w:r>
      <w:r w:rsidR="00A56E08">
        <w:rPr>
          <w:highlight w:val="white"/>
        </w:rPr>
        <w:t>и</w:t>
      </w:r>
      <w:r>
        <w:rPr>
          <w:highlight w:val="white"/>
        </w:rPr>
        <w:t>т</w:t>
      </w:r>
      <w:r w:rsidR="00EE6AA2">
        <w:rPr>
          <w:highlight w:val="white"/>
        </w:rPr>
        <w:t>е</w:t>
      </w:r>
      <w:r>
        <w:rPr>
          <w:highlight w:val="white"/>
        </w:rPr>
        <w:t>т</w:t>
      </w:r>
      <w:r w:rsidR="004B5159" w:rsidRPr="00F6340E">
        <w:rPr>
          <w:highlight w:val="white"/>
        </w:rPr>
        <w:t xml:space="preserve"> </w:t>
      </w:r>
      <w:r w:rsidR="00A56E08">
        <w:rPr>
          <w:highlight w:val="white"/>
        </w:rPr>
        <w:t>об</w:t>
      </w:r>
      <w:r>
        <w:rPr>
          <w:highlight w:val="white"/>
        </w:rPr>
        <w:t>р</w:t>
      </w:r>
      <w:r w:rsidR="00A56E08">
        <w:rPr>
          <w:highlight w:val="white"/>
        </w:rPr>
        <w:t>а</w:t>
      </w:r>
      <w:r w:rsidR="00171F00">
        <w:rPr>
          <w:highlight w:val="white"/>
        </w:rPr>
        <w:t>з</w:t>
      </w:r>
      <w:r w:rsidR="00A56E08">
        <w:rPr>
          <w:highlight w:val="white"/>
        </w:rPr>
        <w:t>о</w:t>
      </w:r>
      <w:r>
        <w:rPr>
          <w:highlight w:val="white"/>
        </w:rPr>
        <w:t>в</w:t>
      </w:r>
      <w:r w:rsidR="00A56E08">
        <w:rPr>
          <w:highlight w:val="white"/>
        </w:rPr>
        <w:t>ања</w:t>
      </w:r>
      <w:r w:rsidR="004B5159" w:rsidRPr="00F6340E">
        <w:rPr>
          <w:highlight w:val="white"/>
        </w:rPr>
        <w:t>.</w:t>
      </w:r>
    </w:p>
    <w:p w14:paraId="712B856A" w14:textId="7F21F1EB" w:rsidR="004A6A10" w:rsidRPr="00F6340E" w:rsidRDefault="0071360A" w:rsidP="001A6D76">
      <w:pPr>
        <w:pStyle w:val="Body"/>
      </w:pPr>
      <w:r>
        <w:t>Пр</w:t>
      </w:r>
      <w:r w:rsidR="00EE6AA2">
        <w:t>е</w:t>
      </w:r>
      <w:r w:rsidR="00A56E08">
        <w:t>ма</w:t>
      </w:r>
      <w:r w:rsidR="004B5159" w:rsidRPr="00F6340E">
        <w:t xml:space="preserve"> </w:t>
      </w:r>
      <w:r>
        <w:t>р</w:t>
      </w:r>
      <w:r w:rsidR="00EE6AA2">
        <w:t>е</w:t>
      </w:r>
      <w:r w:rsidR="00171F00">
        <w:t>з</w:t>
      </w:r>
      <w:r>
        <w:t>у</w:t>
      </w:r>
      <w:r w:rsidR="00A56E08">
        <w:t>л</w:t>
      </w:r>
      <w:r>
        <w:t>т</w:t>
      </w:r>
      <w:r w:rsidR="00A56E08">
        <w:t>а</w:t>
      </w:r>
      <w:r>
        <w:t>т</w:t>
      </w:r>
      <w:r w:rsidR="00A56E08">
        <w:t>има</w:t>
      </w:r>
      <w:r w:rsidR="004B5159" w:rsidRPr="00F6340E">
        <w:t xml:space="preserve"> </w:t>
      </w:r>
      <w:r w:rsidR="00A56E08">
        <w:t>на</w:t>
      </w:r>
      <w:r>
        <w:t>в</w:t>
      </w:r>
      <w:r w:rsidR="00EE6AA2">
        <w:t>е</w:t>
      </w:r>
      <w:r w:rsidR="00A56E08">
        <w:t>д</w:t>
      </w:r>
      <w:r w:rsidR="00EE6AA2">
        <w:t>е</w:t>
      </w:r>
      <w:r w:rsidR="00A56E08">
        <w:t>ног</w:t>
      </w:r>
      <w:r w:rsidR="00B305B6" w:rsidRPr="00F6340E">
        <w:t xml:space="preserve"> </w:t>
      </w:r>
      <w:r w:rsidR="00A56E08">
        <w:t>и</w:t>
      </w:r>
      <w:r>
        <w:t>стр</w:t>
      </w:r>
      <w:r w:rsidR="00A56E08">
        <w:t>а</w:t>
      </w:r>
      <w:r w:rsidR="00171F00">
        <w:t>ж</w:t>
      </w:r>
      <w:r w:rsidR="00A56E08">
        <w:t>и</w:t>
      </w:r>
      <w:r>
        <w:t>в</w:t>
      </w:r>
      <w:r w:rsidR="00A56E08">
        <w:t>ања</w:t>
      </w:r>
      <w:r w:rsidR="004B5159" w:rsidRPr="00F6340E">
        <w:t xml:space="preserve"> (</w:t>
      </w:r>
      <w:r>
        <w:t>У</w:t>
      </w:r>
      <w:r w:rsidR="00A56E08">
        <w:t>НИЦ</w:t>
      </w:r>
      <w:r w:rsidR="00EE6AA2">
        <w:t>Е</w:t>
      </w:r>
      <w:r w:rsidR="00A56E08">
        <w:t>Ф</w:t>
      </w:r>
      <w:r w:rsidR="004B5159" w:rsidRPr="00F6340E">
        <w:t>, 2021</w:t>
      </w:r>
      <w:r w:rsidR="00A56E08">
        <w:t>а</w:t>
      </w:r>
      <w:r w:rsidR="004B5159" w:rsidRPr="00F6340E">
        <w:t xml:space="preserve">), </w:t>
      </w:r>
      <w:r w:rsidR="00A56E08">
        <w:t>и</w:t>
      </w:r>
      <w:r>
        <w:t>с</w:t>
      </w:r>
      <w:r w:rsidR="00A56E08">
        <w:t>ходи</w:t>
      </w:r>
      <w:r w:rsidR="004B5159" w:rsidRPr="00F6340E">
        <w:t xml:space="preserve"> </w:t>
      </w:r>
      <w:r>
        <w:t>у</w:t>
      </w:r>
      <w:r w:rsidR="00A56E08">
        <w:t>ч</w:t>
      </w:r>
      <w:r w:rsidR="00EE6AA2">
        <w:t>е</w:t>
      </w:r>
      <w:r w:rsidR="00A56E08">
        <w:t>ња</w:t>
      </w:r>
      <w:r w:rsidR="004B5159" w:rsidRPr="00F6340E">
        <w:t xml:space="preserve"> </w:t>
      </w:r>
      <w:r>
        <w:t>с</w:t>
      </w:r>
      <w:r w:rsidR="00EE6AA2">
        <w:t>е</w:t>
      </w:r>
      <w:r w:rsidR="004B5159" w:rsidRPr="00F6340E">
        <w:t xml:space="preserve"> </w:t>
      </w:r>
      <w:r>
        <w:t>у</w:t>
      </w:r>
      <w:r w:rsidR="004B5159" w:rsidRPr="00F6340E">
        <w:t xml:space="preserve"> </w:t>
      </w:r>
      <w:r>
        <w:t>пр</w:t>
      </w:r>
      <w:r w:rsidR="00A56E08">
        <w:t>о</w:t>
      </w:r>
      <w:r>
        <w:t>т</w:t>
      </w:r>
      <w:r w:rsidR="00EE6AA2">
        <w:t>е</w:t>
      </w:r>
      <w:r w:rsidR="00A56E08">
        <w:t>кл</w:t>
      </w:r>
      <w:r w:rsidR="00EE6AA2">
        <w:t>е</w:t>
      </w:r>
      <w:r w:rsidR="004B5159" w:rsidRPr="00F6340E">
        <w:t xml:space="preserve"> </w:t>
      </w:r>
      <w:r w:rsidR="00A56E08">
        <w:t>д</w:t>
      </w:r>
      <w:r>
        <w:t>в</w:t>
      </w:r>
      <w:r w:rsidR="00A56E08">
        <w:t>иј</w:t>
      </w:r>
      <w:r w:rsidR="00EE6AA2">
        <w:t>е</w:t>
      </w:r>
      <w:r w:rsidR="004B5159" w:rsidRPr="00F6340E">
        <w:t xml:space="preserve"> </w:t>
      </w:r>
      <w:r>
        <w:t>ш</w:t>
      </w:r>
      <w:r w:rsidR="00A56E08">
        <w:t>кол</w:t>
      </w:r>
      <w:r>
        <w:t>с</w:t>
      </w:r>
      <w:r w:rsidR="00A56E08">
        <w:t>к</w:t>
      </w:r>
      <w:r w:rsidR="00EE6AA2">
        <w:t>е</w:t>
      </w:r>
      <w:r w:rsidR="004B5159" w:rsidRPr="00F6340E">
        <w:t xml:space="preserve"> </w:t>
      </w:r>
      <w:r w:rsidR="00A56E08">
        <w:t>годин</w:t>
      </w:r>
      <w:r w:rsidR="00EE6AA2">
        <w:t>е</w:t>
      </w:r>
      <w:r w:rsidR="004B5159" w:rsidRPr="00F6340E">
        <w:t xml:space="preserve"> </w:t>
      </w:r>
      <w:sdt>
        <w:sdtPr>
          <w:tag w:val="goog_rdk_18"/>
          <w:id w:val="-385876701"/>
        </w:sdtPr>
        <w:sdtEndPr/>
        <w:sdtContent/>
      </w:sdt>
      <w:sdt>
        <w:sdtPr>
          <w:tag w:val="goog_rdk_19"/>
          <w:id w:val="-1790346058"/>
        </w:sdtPr>
        <w:sdtEndPr/>
        <w:sdtContent/>
      </w:sdt>
      <w:r>
        <w:t>пр</w:t>
      </w:r>
      <w:r w:rsidR="00A56E08">
        <w:t>оцј</w:t>
      </w:r>
      <w:r w:rsidR="00EE6AA2">
        <w:t>е</w:t>
      </w:r>
      <w:r w:rsidR="00A56E08">
        <w:t>њ</w:t>
      </w:r>
      <w:r>
        <w:t>у</w:t>
      </w:r>
      <w:r w:rsidR="00A56E08">
        <w:t>ј</w:t>
      </w:r>
      <w:r>
        <w:t>у</w:t>
      </w:r>
      <w:r w:rsidR="004B5159" w:rsidRPr="00F6340E">
        <w:t xml:space="preserve"> </w:t>
      </w:r>
      <w:r w:rsidR="00A56E08">
        <w:t>као</w:t>
      </w:r>
      <w:r w:rsidR="004B5159" w:rsidRPr="00F6340E">
        <w:t xml:space="preserve"> </w:t>
      </w:r>
      <w:r w:rsidR="00171F00">
        <w:t>з</w:t>
      </w:r>
      <w:r w:rsidR="00A56E08">
        <w:t>начајно</w:t>
      </w:r>
      <w:r w:rsidR="004B5159" w:rsidRPr="00F6340E">
        <w:t xml:space="preserve"> </w:t>
      </w:r>
      <w:r>
        <w:t>с</w:t>
      </w:r>
      <w:r w:rsidR="00A56E08">
        <w:t>лабији</w:t>
      </w:r>
      <w:r w:rsidR="004B5159" w:rsidRPr="00F6340E">
        <w:t xml:space="preserve"> </w:t>
      </w:r>
      <w:r>
        <w:t>у</w:t>
      </w:r>
      <w:r w:rsidR="004B5159" w:rsidRPr="00F6340E">
        <w:t xml:space="preserve"> </w:t>
      </w:r>
      <w:r>
        <w:t>п</w:t>
      </w:r>
      <w:r w:rsidR="00A56E08">
        <w:t>о</w:t>
      </w:r>
      <w:r>
        <w:t>р</w:t>
      </w:r>
      <w:r w:rsidR="00EE6AA2">
        <w:t>е</w:t>
      </w:r>
      <w:r w:rsidR="00A56E08">
        <w:t>ђ</w:t>
      </w:r>
      <w:r w:rsidR="00EE6AA2">
        <w:t>е</w:t>
      </w:r>
      <w:r w:rsidR="00A56E08">
        <w:t>њ</w:t>
      </w:r>
      <w:r>
        <w:t>у</w:t>
      </w:r>
      <w:r w:rsidR="004B5159" w:rsidRPr="00F6340E">
        <w:t xml:space="preserve"> </w:t>
      </w:r>
      <w:r>
        <w:t>с</w:t>
      </w:r>
      <w:r w:rsidR="00A56E08">
        <w:t>а</w:t>
      </w:r>
      <w:r w:rsidR="004B5159" w:rsidRPr="00F6340E">
        <w:t xml:space="preserve"> </w:t>
      </w:r>
      <w:r>
        <w:t>пр</w:t>
      </w:r>
      <w:r w:rsidR="00EE6AA2">
        <w:t>е</w:t>
      </w:r>
      <w:r>
        <w:t>т</w:t>
      </w:r>
      <w:r w:rsidR="00A56E08">
        <w:t>ходним</w:t>
      </w:r>
      <w:r w:rsidR="004B5159" w:rsidRPr="00F6340E">
        <w:t xml:space="preserve"> </w:t>
      </w:r>
      <w:r w:rsidR="00A56E08">
        <w:t>годинама</w:t>
      </w:r>
      <w:r w:rsidR="004B5159" w:rsidRPr="00F6340E">
        <w:t xml:space="preserve">. </w:t>
      </w:r>
      <w:r w:rsidR="00A56E08">
        <w:t>Чак</w:t>
      </w:r>
      <w:r w:rsidR="004B5159" w:rsidRPr="00F6340E">
        <w:t xml:space="preserve"> 82,9% </w:t>
      </w:r>
      <w:r w:rsidR="00A56E08">
        <w:t>на</w:t>
      </w:r>
      <w:r>
        <w:t>ст</w:t>
      </w:r>
      <w:r w:rsidR="00A56E08">
        <w:t>а</w:t>
      </w:r>
      <w:r>
        <w:t>в</w:t>
      </w:r>
      <w:r w:rsidR="00A56E08">
        <w:t>ника</w:t>
      </w:r>
      <w:r w:rsidR="004B5159" w:rsidRPr="00F6340E">
        <w:t xml:space="preserve"> </w:t>
      </w:r>
      <w:r w:rsidR="00A56E08">
        <w:t>и</w:t>
      </w:r>
      <w:r w:rsidR="004B5159" w:rsidRPr="00F6340E">
        <w:t xml:space="preserve"> 72,5% </w:t>
      </w:r>
      <w:r w:rsidR="00A56E08">
        <w:t>и</w:t>
      </w:r>
      <w:r>
        <w:t>сп</w:t>
      </w:r>
      <w:r w:rsidR="00A56E08">
        <w:t>и</w:t>
      </w:r>
      <w:r>
        <w:t>т</w:t>
      </w:r>
      <w:r w:rsidR="00A56E08">
        <w:t>аних</w:t>
      </w:r>
      <w:r w:rsidR="004B5159" w:rsidRPr="00F6340E">
        <w:t xml:space="preserve"> </w:t>
      </w:r>
      <w:r>
        <w:lastRenderedPageBreak/>
        <w:t>пр</w:t>
      </w:r>
      <w:r w:rsidR="00EE6AA2">
        <w:t>е</w:t>
      </w:r>
      <w:r w:rsidR="00A56E08">
        <w:t>д</w:t>
      </w:r>
      <w:r>
        <w:t>ст</w:t>
      </w:r>
      <w:r w:rsidR="00A56E08">
        <w:t>а</w:t>
      </w:r>
      <w:r>
        <w:t>в</w:t>
      </w:r>
      <w:r w:rsidR="00A56E08">
        <w:t>ника</w:t>
      </w:r>
      <w:r w:rsidR="004B5159" w:rsidRPr="00F6340E">
        <w:t xml:space="preserve"> </w:t>
      </w:r>
      <w:r>
        <w:t>ш</w:t>
      </w:r>
      <w:r w:rsidR="00A56E08">
        <w:t>кол</w:t>
      </w:r>
      <w:r>
        <w:t>с</w:t>
      </w:r>
      <w:r w:rsidR="00A56E08">
        <w:t>к</w:t>
      </w:r>
      <w:r w:rsidR="00EE6AA2">
        <w:t>е</w:t>
      </w:r>
      <w:r w:rsidR="003C6BA5" w:rsidRPr="00F6340E">
        <w:t xml:space="preserve"> </w:t>
      </w:r>
      <w:r>
        <w:t>упр</w:t>
      </w:r>
      <w:r w:rsidR="00A56E08">
        <w:t>а</w:t>
      </w:r>
      <w:r>
        <w:t>в</w:t>
      </w:r>
      <w:r w:rsidR="00EE6AA2">
        <w:t>е</w:t>
      </w:r>
      <w:r w:rsidR="004B5159" w:rsidRPr="00F6340E">
        <w:t xml:space="preserve"> </w:t>
      </w:r>
      <w:r>
        <w:t>пр</w:t>
      </w:r>
      <w:r w:rsidR="00A56E08">
        <w:t>оцј</w:t>
      </w:r>
      <w:r w:rsidR="00EE6AA2">
        <w:t>е</w:t>
      </w:r>
      <w:r w:rsidR="00A56E08">
        <w:t>њ</w:t>
      </w:r>
      <w:r>
        <w:t>у</w:t>
      </w:r>
      <w:r w:rsidR="00A56E08">
        <w:t>ј</w:t>
      </w:r>
      <w:r>
        <w:t>у</w:t>
      </w:r>
      <w:r w:rsidR="004B5159" w:rsidRPr="00F6340E">
        <w:t xml:space="preserve"> </w:t>
      </w:r>
      <w:r w:rsidR="00A56E08">
        <w:t>да</w:t>
      </w:r>
      <w:r w:rsidR="004B5159" w:rsidRPr="00F6340E">
        <w:t xml:space="preserve"> </w:t>
      </w:r>
      <w:r w:rsidR="00A56E08">
        <w:t>ј</w:t>
      </w:r>
      <w:r w:rsidR="00EE6AA2">
        <w:t>е</w:t>
      </w:r>
      <w:r w:rsidR="004B5159" w:rsidRPr="00F6340E">
        <w:t xml:space="preserve"> </w:t>
      </w:r>
      <w:r w:rsidR="00A56E08">
        <w:t>до</w:t>
      </w:r>
      <w:r>
        <w:t>ш</w:t>
      </w:r>
      <w:r w:rsidR="00A56E08">
        <w:t>ло</w:t>
      </w:r>
      <w:r w:rsidR="004B5159" w:rsidRPr="00F6340E">
        <w:t xml:space="preserve"> </w:t>
      </w:r>
      <w:r w:rsidR="00A56E08">
        <w:t>до</w:t>
      </w:r>
      <w:r w:rsidR="004B5159" w:rsidRPr="00F6340E">
        <w:t xml:space="preserve"> </w:t>
      </w:r>
      <w:r w:rsidR="00171F00">
        <w:t>з</w:t>
      </w:r>
      <w:r w:rsidR="00A56E08">
        <w:t>начајног</w:t>
      </w:r>
      <w:r w:rsidR="004B5159" w:rsidRPr="00F6340E">
        <w:t xml:space="preserve"> </w:t>
      </w:r>
      <w:r>
        <w:t>п</w:t>
      </w:r>
      <w:r w:rsidR="00A56E08">
        <w:t>ада</w:t>
      </w:r>
      <w:r w:rsidR="004B5159" w:rsidRPr="00F6340E">
        <w:t xml:space="preserve"> </w:t>
      </w:r>
      <w:r>
        <w:t>у</w:t>
      </w:r>
      <w:r w:rsidR="004B5159" w:rsidRPr="00F6340E">
        <w:t xml:space="preserve"> </w:t>
      </w:r>
      <w:r>
        <w:t>с</w:t>
      </w:r>
      <w:r w:rsidR="00A56E08">
        <w:t>а</w:t>
      </w:r>
      <w:r>
        <w:t>в</w:t>
      </w:r>
      <w:r w:rsidR="00A56E08">
        <w:t>лада</w:t>
      </w:r>
      <w:r>
        <w:t>в</w:t>
      </w:r>
      <w:r w:rsidR="00A56E08">
        <w:t>ањ</w:t>
      </w:r>
      <w:r>
        <w:t>у</w:t>
      </w:r>
      <w:r w:rsidR="004B5159" w:rsidRPr="00F6340E">
        <w:t xml:space="preserve"> </w:t>
      </w:r>
      <w:r w:rsidR="00A56E08">
        <w:t>об</w:t>
      </w:r>
      <w:r>
        <w:t>р</w:t>
      </w:r>
      <w:r w:rsidR="00A56E08">
        <w:t>а</w:t>
      </w:r>
      <w:r w:rsidR="00171F00">
        <w:t>з</w:t>
      </w:r>
      <w:r w:rsidR="00A56E08">
        <w:t>о</w:t>
      </w:r>
      <w:r>
        <w:t>в</w:t>
      </w:r>
      <w:r w:rsidR="00A56E08">
        <w:t>них</w:t>
      </w:r>
      <w:r w:rsidR="004B5159" w:rsidRPr="00F6340E">
        <w:t xml:space="preserve"> </w:t>
      </w:r>
      <w:r w:rsidR="00A56E08">
        <w:t>и</w:t>
      </w:r>
      <w:r>
        <w:t>с</w:t>
      </w:r>
      <w:r w:rsidR="00A56E08">
        <w:t>хода</w:t>
      </w:r>
      <w:r w:rsidR="004B5159" w:rsidRPr="00F6340E">
        <w:t xml:space="preserve"> </w:t>
      </w:r>
      <w:r>
        <w:t>у</w:t>
      </w:r>
      <w:r w:rsidR="004B5159" w:rsidRPr="00F6340E">
        <w:t xml:space="preserve"> </w:t>
      </w:r>
      <w:r>
        <w:t>пр</w:t>
      </w:r>
      <w:r w:rsidR="00A56E08">
        <w:t>о</w:t>
      </w:r>
      <w:r>
        <w:t>т</w:t>
      </w:r>
      <w:r w:rsidR="00EE6AA2">
        <w:t>е</w:t>
      </w:r>
      <w:r w:rsidR="00A56E08">
        <w:t>кл</w:t>
      </w:r>
      <w:r w:rsidR="00EE6AA2">
        <w:t>е</w:t>
      </w:r>
      <w:r w:rsidR="004B5159" w:rsidRPr="00F6340E">
        <w:t xml:space="preserve"> </w:t>
      </w:r>
      <w:r w:rsidR="00A56E08">
        <w:t>д</w:t>
      </w:r>
      <w:r>
        <w:t>в</w:t>
      </w:r>
      <w:r w:rsidR="00A56E08">
        <w:t>иј</w:t>
      </w:r>
      <w:r w:rsidR="00EE6AA2">
        <w:t>е</w:t>
      </w:r>
      <w:r w:rsidR="004B5159" w:rsidRPr="00F6340E">
        <w:t xml:space="preserve"> </w:t>
      </w:r>
      <w:r>
        <w:t>ш</w:t>
      </w:r>
      <w:r w:rsidR="00A56E08">
        <w:t>кол</w:t>
      </w:r>
      <w:r>
        <w:t>с</w:t>
      </w:r>
      <w:r w:rsidR="00A56E08">
        <w:t>к</w:t>
      </w:r>
      <w:r w:rsidR="00EE6AA2">
        <w:t>е</w:t>
      </w:r>
      <w:r w:rsidR="004B5159" w:rsidRPr="00F6340E">
        <w:t xml:space="preserve"> </w:t>
      </w:r>
      <w:r w:rsidR="00A56E08">
        <w:t>годин</w:t>
      </w:r>
      <w:r w:rsidR="00EE6AA2">
        <w:t>е</w:t>
      </w:r>
      <w:r w:rsidR="004B5159" w:rsidRPr="00F6340E">
        <w:t xml:space="preserve">. </w:t>
      </w:r>
      <w:r w:rsidR="00A56E08">
        <w:t>О</w:t>
      </w:r>
      <w:r>
        <w:t>в</w:t>
      </w:r>
      <w:r w:rsidR="00A56E08">
        <w:t>о</w:t>
      </w:r>
      <w:r w:rsidR="004B5159" w:rsidRPr="00F6340E">
        <w:t xml:space="preserve"> </w:t>
      </w:r>
      <w:r>
        <w:t>с</w:t>
      </w:r>
      <w:r w:rsidR="00EE6AA2">
        <w:t>е</w:t>
      </w:r>
      <w:r w:rsidR="004B5159" w:rsidRPr="00F6340E">
        <w:t xml:space="preserve"> </w:t>
      </w:r>
      <w:r>
        <w:t>п</w:t>
      </w:r>
      <w:r w:rsidR="00A56E08">
        <w:t>о</w:t>
      </w:r>
      <w:r>
        <w:t>с</w:t>
      </w:r>
      <w:r w:rsidR="00EE6AA2">
        <w:t>е</w:t>
      </w:r>
      <w:r w:rsidR="00A56E08">
        <w:t>бно</w:t>
      </w:r>
      <w:r w:rsidR="004B5159" w:rsidRPr="00F6340E">
        <w:t xml:space="preserve"> </w:t>
      </w:r>
      <w:r w:rsidR="00A56E08">
        <w:t>одно</w:t>
      </w:r>
      <w:r>
        <w:t>с</w:t>
      </w:r>
      <w:r w:rsidR="00A56E08">
        <w:t>и</w:t>
      </w:r>
      <w:r w:rsidR="004B5159" w:rsidRPr="00F6340E">
        <w:t xml:space="preserve"> </w:t>
      </w:r>
      <w:r w:rsidR="00A56E08">
        <w:t>на</w:t>
      </w:r>
      <w:r w:rsidR="004B5159" w:rsidRPr="00F6340E">
        <w:t xml:space="preserve"> </w:t>
      </w:r>
      <w:r w:rsidR="00A56E08">
        <w:t>ма</w:t>
      </w:r>
      <w:r>
        <w:t>р</w:t>
      </w:r>
      <w:r w:rsidR="00A56E08">
        <w:t>гинали</w:t>
      </w:r>
      <w:r w:rsidR="00171F00">
        <w:t>з</w:t>
      </w:r>
      <w:r w:rsidR="00A56E08">
        <w:t>о</w:t>
      </w:r>
      <w:r>
        <w:t>в</w:t>
      </w:r>
      <w:r w:rsidR="00A56E08">
        <w:t>ан</w:t>
      </w:r>
      <w:r w:rsidR="00EE6AA2">
        <w:t>е</w:t>
      </w:r>
      <w:r w:rsidR="004B5159" w:rsidRPr="00F6340E">
        <w:t xml:space="preserve"> </w:t>
      </w:r>
      <w:r w:rsidR="00A56E08">
        <w:t>г</w:t>
      </w:r>
      <w:r>
        <w:t>руп</w:t>
      </w:r>
      <w:r w:rsidR="00EE6AA2">
        <w:t>е</w:t>
      </w:r>
      <w:r w:rsidR="004B5159" w:rsidRPr="00F6340E">
        <w:t xml:space="preserve"> </w:t>
      </w:r>
      <w:r w:rsidR="00A56E08">
        <w:t>дј</w:t>
      </w:r>
      <w:r w:rsidR="00EE6AA2">
        <w:t>е</w:t>
      </w:r>
      <w:r w:rsidR="00A56E08">
        <w:t>ц</w:t>
      </w:r>
      <w:r w:rsidR="00EE6AA2">
        <w:t>е</w:t>
      </w:r>
      <w:r w:rsidR="004B5159" w:rsidRPr="00F6340E">
        <w:t xml:space="preserve"> </w:t>
      </w:r>
      <w:r w:rsidR="00A56E08">
        <w:t>кој</w:t>
      </w:r>
      <w:r w:rsidR="00EE6AA2">
        <w:t>е</w:t>
      </w:r>
      <w:r w:rsidR="004B5159" w:rsidRPr="00F6340E">
        <w:t xml:space="preserve"> </w:t>
      </w:r>
      <w:r>
        <w:t>су</w:t>
      </w:r>
      <w:r w:rsidR="004B5159" w:rsidRPr="00F6340E">
        <w:t xml:space="preserve"> </w:t>
      </w:r>
      <w:r w:rsidR="00A56E08">
        <w:t>имал</w:t>
      </w:r>
      <w:r w:rsidR="00EE6AA2">
        <w:t>е</w:t>
      </w:r>
      <w:r w:rsidR="004B5159" w:rsidRPr="00F6340E">
        <w:t xml:space="preserve"> </w:t>
      </w:r>
      <w:r w:rsidR="00A56E08">
        <w:t>о</w:t>
      </w:r>
      <w:r>
        <w:t>т</w:t>
      </w:r>
      <w:r w:rsidR="00EE6AA2">
        <w:t>е</w:t>
      </w:r>
      <w:r w:rsidR="00171F00">
        <w:t>ж</w:t>
      </w:r>
      <w:r w:rsidR="00A56E08">
        <w:t>ан</w:t>
      </w:r>
      <w:r w:rsidR="004B5159" w:rsidRPr="00F6340E">
        <w:t xml:space="preserve"> </w:t>
      </w:r>
      <w:r>
        <w:t>пр</w:t>
      </w:r>
      <w:r w:rsidR="00A56E08">
        <w:t>и</w:t>
      </w:r>
      <w:r>
        <w:t>ступ</w:t>
      </w:r>
      <w:r w:rsidR="004B5159" w:rsidRPr="00F6340E">
        <w:t xml:space="preserve"> </w:t>
      </w:r>
      <w:r w:rsidR="00A56E08">
        <w:t>к</w:t>
      </w:r>
      <w:r>
        <w:t>в</w:t>
      </w:r>
      <w:r w:rsidR="00A56E08">
        <w:t>али</w:t>
      </w:r>
      <w:r>
        <w:t>т</w:t>
      </w:r>
      <w:r w:rsidR="00EE6AA2">
        <w:t>е</w:t>
      </w:r>
      <w:r>
        <w:t>т</w:t>
      </w:r>
      <w:r w:rsidR="00A56E08">
        <w:t>ном</w:t>
      </w:r>
      <w:r w:rsidR="004B5159" w:rsidRPr="00F6340E">
        <w:t xml:space="preserve"> </w:t>
      </w:r>
      <w:r w:rsidR="00A56E08">
        <w:t>инкл</w:t>
      </w:r>
      <w:r>
        <w:t>у</w:t>
      </w:r>
      <w:r w:rsidR="00171F00">
        <w:t>з</w:t>
      </w:r>
      <w:r w:rsidR="00A56E08">
        <w:t>и</w:t>
      </w:r>
      <w:r>
        <w:t>в</w:t>
      </w:r>
      <w:r w:rsidR="00A56E08">
        <w:t>ном</w:t>
      </w:r>
      <w:r w:rsidR="004B5159" w:rsidRPr="00F6340E">
        <w:t xml:space="preserve"> </w:t>
      </w:r>
      <w:r w:rsidR="00A56E08">
        <w:t>об</w:t>
      </w:r>
      <w:r>
        <w:t>р</w:t>
      </w:r>
      <w:r w:rsidR="00A56E08">
        <w:t>а</w:t>
      </w:r>
      <w:r w:rsidR="00171F00">
        <w:t>з</w:t>
      </w:r>
      <w:r w:rsidR="00A56E08">
        <w:t>о</w:t>
      </w:r>
      <w:r>
        <w:t>в</w:t>
      </w:r>
      <w:r w:rsidR="00A56E08">
        <w:t>ањ</w:t>
      </w:r>
      <w:r>
        <w:t>у</w:t>
      </w:r>
      <w:r w:rsidR="004B5159" w:rsidRPr="00F6340E">
        <w:t xml:space="preserve"> </w:t>
      </w:r>
      <w:r>
        <w:t>шт</w:t>
      </w:r>
      <w:r w:rsidR="00A56E08">
        <w:t>о</w:t>
      </w:r>
      <w:r w:rsidR="004B5159" w:rsidRPr="00F6340E">
        <w:t xml:space="preserve"> </w:t>
      </w:r>
      <w:r w:rsidR="00A56E08">
        <w:t>ј</w:t>
      </w:r>
      <w:r w:rsidR="00EE6AA2">
        <w:t>е</w:t>
      </w:r>
      <w:r w:rsidR="004B5159" w:rsidRPr="00F6340E">
        <w:t xml:space="preserve"> </w:t>
      </w:r>
      <w:r>
        <w:t>пр</w:t>
      </w:r>
      <w:r w:rsidR="00A56E08">
        <w:t>о</w:t>
      </w:r>
      <w:r>
        <w:t>у</w:t>
      </w:r>
      <w:r w:rsidR="00171F00">
        <w:t>з</w:t>
      </w:r>
      <w:r>
        <w:t>р</w:t>
      </w:r>
      <w:r w:rsidR="00A56E08">
        <w:t>око</w:t>
      </w:r>
      <w:r>
        <w:t>в</w:t>
      </w:r>
      <w:r w:rsidR="00A56E08">
        <w:t>ало</w:t>
      </w:r>
      <w:r w:rsidR="004B5159" w:rsidRPr="00F6340E">
        <w:t xml:space="preserve"> </w:t>
      </w:r>
      <w:r w:rsidR="00A56E08">
        <w:t>дода</w:t>
      </w:r>
      <w:r>
        <w:t>т</w:t>
      </w:r>
      <w:r w:rsidR="00A56E08">
        <w:t>н</w:t>
      </w:r>
      <w:r w:rsidR="00EE6AA2">
        <w:t>е</w:t>
      </w:r>
      <w:r w:rsidR="004B5159" w:rsidRPr="00F6340E">
        <w:t xml:space="preserve"> </w:t>
      </w:r>
      <w:r w:rsidR="00A56E08">
        <w:t>об</w:t>
      </w:r>
      <w:r>
        <w:t>р</w:t>
      </w:r>
      <w:r w:rsidR="00A56E08">
        <w:t>а</w:t>
      </w:r>
      <w:r w:rsidR="00171F00">
        <w:t>з</w:t>
      </w:r>
      <w:r w:rsidR="00A56E08">
        <w:t>о</w:t>
      </w:r>
      <w:r>
        <w:t>в</w:t>
      </w:r>
      <w:r w:rsidR="00A56E08">
        <w:t>н</w:t>
      </w:r>
      <w:r w:rsidR="00EE6AA2">
        <w:t>е</w:t>
      </w:r>
      <w:r w:rsidR="004B5159" w:rsidRPr="00F6340E">
        <w:t xml:space="preserve"> </w:t>
      </w:r>
      <w:r w:rsidR="00A56E08">
        <w:t>н</w:t>
      </w:r>
      <w:r w:rsidR="00EE6AA2">
        <w:t>е</w:t>
      </w:r>
      <w:r w:rsidR="00A56E08">
        <w:t>ј</w:t>
      </w:r>
      <w:r w:rsidR="00EE6AA2">
        <w:t>е</w:t>
      </w:r>
      <w:r w:rsidR="00A56E08">
        <w:t>днако</w:t>
      </w:r>
      <w:r>
        <w:t>ст</w:t>
      </w:r>
      <w:r w:rsidR="00A56E08">
        <w:t>и</w:t>
      </w:r>
      <w:r w:rsidR="004B5159" w:rsidRPr="00F6340E">
        <w:t xml:space="preserve">. </w:t>
      </w:r>
      <w:r w:rsidR="00A56E08">
        <w:t>Ни</w:t>
      </w:r>
      <w:r w:rsidR="004B5159" w:rsidRPr="00F6340E">
        <w:t xml:space="preserve"> </w:t>
      </w:r>
      <w:r>
        <w:t>с</w:t>
      </w:r>
      <w:r w:rsidR="00A56E08">
        <w:t>ами</w:t>
      </w:r>
      <w:r w:rsidR="004B5159" w:rsidRPr="00F6340E">
        <w:t xml:space="preserve"> </w:t>
      </w:r>
      <w:r w:rsidR="00A56E08">
        <w:t>на</w:t>
      </w:r>
      <w:r>
        <w:t>ст</w:t>
      </w:r>
      <w:r w:rsidR="00A56E08">
        <w:t>а</w:t>
      </w:r>
      <w:r>
        <w:t>в</w:t>
      </w:r>
      <w:r w:rsidR="00A56E08">
        <w:t>ници</w:t>
      </w:r>
      <w:r w:rsidR="004B5159" w:rsidRPr="00F6340E">
        <w:t xml:space="preserve"> </w:t>
      </w:r>
      <w:r w:rsidR="00A56E08">
        <w:t>ни</w:t>
      </w:r>
      <w:r>
        <w:t>су</w:t>
      </w:r>
      <w:r w:rsidR="004B5159" w:rsidRPr="00F6340E">
        <w:t xml:space="preserve"> </w:t>
      </w:r>
      <w:r w:rsidR="00A56E08">
        <w:t>и</w:t>
      </w:r>
      <w:r>
        <w:t>с</w:t>
      </w:r>
      <w:r w:rsidR="00A56E08">
        <w:t>ка</w:t>
      </w:r>
      <w:r w:rsidR="00171F00">
        <w:t>з</w:t>
      </w:r>
      <w:r w:rsidR="00A56E08">
        <w:t>али</w:t>
      </w:r>
      <w:r w:rsidR="004B5159" w:rsidRPr="00F6340E">
        <w:t xml:space="preserve"> </w:t>
      </w:r>
      <w:r w:rsidR="00171F00">
        <w:t>з</w:t>
      </w:r>
      <w:r w:rsidR="00A56E08">
        <w:t>адо</w:t>
      </w:r>
      <w:r>
        <w:t>в</w:t>
      </w:r>
      <w:r w:rsidR="00A56E08">
        <w:t>ољ</w:t>
      </w:r>
      <w:r>
        <w:t>ств</w:t>
      </w:r>
      <w:r w:rsidR="00A56E08">
        <w:t>о</w:t>
      </w:r>
      <w:r w:rsidR="004B5159" w:rsidRPr="00F6340E">
        <w:t xml:space="preserve"> </w:t>
      </w:r>
      <w:r>
        <w:t>у</w:t>
      </w:r>
      <w:r w:rsidR="00A56E08">
        <w:t>кљ</w:t>
      </w:r>
      <w:r>
        <w:t>у</w:t>
      </w:r>
      <w:r w:rsidR="00A56E08">
        <w:t>чи</w:t>
      </w:r>
      <w:r>
        <w:t>в</w:t>
      </w:r>
      <w:r w:rsidR="00A56E08">
        <w:t>ањ</w:t>
      </w:r>
      <w:r w:rsidR="00EE6AA2">
        <w:t>е</w:t>
      </w:r>
      <w:r w:rsidR="00A56E08">
        <w:t>м</w:t>
      </w:r>
      <w:r w:rsidR="004B5159" w:rsidRPr="00F6340E">
        <w:t xml:space="preserve"> </w:t>
      </w:r>
      <w:r w:rsidR="00A56E08">
        <w:t>дј</w:t>
      </w:r>
      <w:r w:rsidR="00EE6AA2">
        <w:t>е</w:t>
      </w:r>
      <w:r w:rsidR="00A56E08">
        <w:t>ц</w:t>
      </w:r>
      <w:r w:rsidR="00EE6AA2">
        <w:t>е</w:t>
      </w:r>
      <w:r w:rsidR="004B5159" w:rsidRPr="00F6340E">
        <w:t xml:space="preserve"> </w:t>
      </w:r>
      <w:r w:rsidR="00A56E08">
        <w:t>и</w:t>
      </w:r>
      <w:r w:rsidR="00171F00">
        <w:t>з</w:t>
      </w:r>
      <w:r w:rsidR="004B5159" w:rsidRPr="00F6340E">
        <w:t xml:space="preserve"> </w:t>
      </w:r>
      <w:r w:rsidR="00A56E08">
        <w:t>ма</w:t>
      </w:r>
      <w:r>
        <w:t>р</w:t>
      </w:r>
      <w:r w:rsidR="00A56E08">
        <w:t>гинали</w:t>
      </w:r>
      <w:r w:rsidR="00171F00">
        <w:t>з</w:t>
      </w:r>
      <w:r w:rsidR="00A56E08">
        <w:t>о</w:t>
      </w:r>
      <w:r>
        <w:t>в</w:t>
      </w:r>
      <w:r w:rsidR="00A56E08">
        <w:t>аних</w:t>
      </w:r>
      <w:r w:rsidR="004B5159" w:rsidRPr="00F6340E">
        <w:t xml:space="preserve"> </w:t>
      </w:r>
      <w:r w:rsidR="00A56E08">
        <w:t>г</w:t>
      </w:r>
      <w:r>
        <w:t>руп</w:t>
      </w:r>
      <w:r w:rsidR="00A56E08">
        <w:t>а</w:t>
      </w:r>
      <w:r w:rsidR="004B5159" w:rsidRPr="00F6340E">
        <w:t xml:space="preserve"> </w:t>
      </w:r>
      <w:r>
        <w:t>у</w:t>
      </w:r>
      <w:r w:rsidR="00947928" w:rsidRPr="00F6340E">
        <w:t xml:space="preserve"> </w:t>
      </w:r>
      <w:r w:rsidR="00A56E08">
        <w:t>на</w:t>
      </w:r>
      <w:r>
        <w:t>ст</w:t>
      </w:r>
      <w:r w:rsidR="00A56E08">
        <w:t>а</w:t>
      </w:r>
      <w:r>
        <w:t>в</w:t>
      </w:r>
      <w:r w:rsidR="00A56E08">
        <w:t>и</w:t>
      </w:r>
      <w:r w:rsidR="00947928" w:rsidRPr="00F6340E">
        <w:t xml:space="preserve"> </w:t>
      </w:r>
      <w:r>
        <w:t>пут</w:t>
      </w:r>
      <w:r w:rsidR="00EE6AA2">
        <w:t>е</w:t>
      </w:r>
      <w:r w:rsidR="00A56E08">
        <w:t>м</w:t>
      </w:r>
      <w:r w:rsidR="00947928" w:rsidRPr="00F6340E">
        <w:t xml:space="preserve"> </w:t>
      </w:r>
      <w:r w:rsidR="00A56E08">
        <w:t>ин</w:t>
      </w:r>
      <w:r>
        <w:t>т</w:t>
      </w:r>
      <w:r w:rsidR="00EE6AA2">
        <w:t>е</w:t>
      </w:r>
      <w:r>
        <w:t>р</w:t>
      </w:r>
      <w:r w:rsidR="00A56E08">
        <w:t>н</w:t>
      </w:r>
      <w:r w:rsidR="00EE6AA2">
        <w:t>е</w:t>
      </w:r>
      <w:r>
        <w:t>т</w:t>
      </w:r>
      <w:r w:rsidR="00A56E08">
        <w:t>а</w:t>
      </w:r>
      <w:r w:rsidR="00947928" w:rsidRPr="00F6340E">
        <w:t xml:space="preserve"> </w:t>
      </w:r>
      <w:r w:rsidR="004B5159" w:rsidRPr="00F6340E">
        <w:t>(</w:t>
      </w:r>
      <w:r w:rsidR="00A56E08">
        <w:t>дј</w:t>
      </w:r>
      <w:r w:rsidR="00EE6AA2">
        <w:t>е</w:t>
      </w:r>
      <w:r w:rsidR="00A56E08">
        <w:t>ца</w:t>
      </w:r>
      <w:r w:rsidR="00B04FA8">
        <w:t xml:space="preserve"> са </w:t>
      </w:r>
      <w:r>
        <w:t>п</w:t>
      </w:r>
      <w:r w:rsidR="00A56E08">
        <w:t>о</w:t>
      </w:r>
      <w:r>
        <w:t>т</w:t>
      </w:r>
      <w:r w:rsidR="00EE6AA2">
        <w:t>е</w:t>
      </w:r>
      <w:r>
        <w:t>ш</w:t>
      </w:r>
      <w:r w:rsidR="00A56E08">
        <w:t>коћама</w:t>
      </w:r>
      <w:r w:rsidR="004B5159" w:rsidRPr="00F6340E">
        <w:t xml:space="preserve"> </w:t>
      </w:r>
      <w:r>
        <w:t>у</w:t>
      </w:r>
      <w:r w:rsidR="004B5159" w:rsidRPr="00F6340E">
        <w:t xml:space="preserve"> </w:t>
      </w:r>
      <w:r>
        <w:t>р</w:t>
      </w:r>
      <w:r w:rsidR="00A56E08">
        <w:t>а</w:t>
      </w:r>
      <w:r w:rsidR="00171F00">
        <w:t>з</w:t>
      </w:r>
      <w:r>
        <w:t>в</w:t>
      </w:r>
      <w:r w:rsidR="00A56E08">
        <w:t>ој</w:t>
      </w:r>
      <w:r>
        <w:t>у</w:t>
      </w:r>
      <w:r w:rsidR="004B5159" w:rsidRPr="00F6340E">
        <w:t xml:space="preserve">, </w:t>
      </w:r>
      <w:r>
        <w:t>р</w:t>
      </w:r>
      <w:r w:rsidR="00A56E08">
        <w:t>ом</w:t>
      </w:r>
      <w:r>
        <w:t>с</w:t>
      </w:r>
      <w:r w:rsidR="00A56E08">
        <w:t>ка</w:t>
      </w:r>
      <w:r w:rsidR="004B5159" w:rsidRPr="00F6340E">
        <w:t xml:space="preserve"> </w:t>
      </w:r>
      <w:r w:rsidR="00A56E08">
        <w:t>дј</w:t>
      </w:r>
      <w:r w:rsidR="00EE6AA2">
        <w:t>е</w:t>
      </w:r>
      <w:r w:rsidR="00A56E08">
        <w:t>ца</w:t>
      </w:r>
      <w:r w:rsidR="004B5159" w:rsidRPr="00F6340E">
        <w:t xml:space="preserve">, </w:t>
      </w:r>
      <w:r w:rsidR="00A56E08">
        <w:t>дј</w:t>
      </w:r>
      <w:r w:rsidR="00EE6AA2">
        <w:t>е</w:t>
      </w:r>
      <w:r w:rsidR="00A56E08">
        <w:t>ца</w:t>
      </w:r>
      <w:r w:rsidR="004B5159" w:rsidRPr="00F6340E">
        <w:t xml:space="preserve"> </w:t>
      </w:r>
      <w:r w:rsidR="00A56E08">
        <w:t>и</w:t>
      </w:r>
      <w:r w:rsidR="00171F00">
        <w:t>з</w:t>
      </w:r>
      <w:r w:rsidR="004B5159" w:rsidRPr="00F6340E">
        <w:t xml:space="preserve"> </w:t>
      </w:r>
      <w:r>
        <w:t>с</w:t>
      </w:r>
      <w:r w:rsidR="00A56E08">
        <w:t>оцио</w:t>
      </w:r>
      <w:r w:rsidR="004B5159" w:rsidRPr="00F6340E">
        <w:t xml:space="preserve"> – </w:t>
      </w:r>
      <w:r w:rsidR="00EE6AA2">
        <w:t>е</w:t>
      </w:r>
      <w:r w:rsidR="00A56E08">
        <w:t>коном</w:t>
      </w:r>
      <w:r>
        <w:t>с</w:t>
      </w:r>
      <w:r w:rsidR="00A56E08">
        <w:t>ки</w:t>
      </w:r>
      <w:r w:rsidR="004B5159" w:rsidRPr="00F6340E">
        <w:t xml:space="preserve"> </w:t>
      </w:r>
      <w:r>
        <w:t>у</w:t>
      </w:r>
      <w:r w:rsidR="00A56E08">
        <w:t>г</w:t>
      </w:r>
      <w:r>
        <w:t>р</w:t>
      </w:r>
      <w:r w:rsidR="00A56E08">
        <w:t>о</w:t>
      </w:r>
      <w:r w:rsidR="00171F00">
        <w:t>ж</w:t>
      </w:r>
      <w:r w:rsidR="00EE6AA2">
        <w:t>е</w:t>
      </w:r>
      <w:r w:rsidR="00A56E08">
        <w:t>них</w:t>
      </w:r>
      <w:r w:rsidR="004B5159" w:rsidRPr="00F6340E">
        <w:t xml:space="preserve"> </w:t>
      </w:r>
      <w:r>
        <w:t>п</w:t>
      </w:r>
      <w:r w:rsidR="00A56E08">
        <w:t>о</w:t>
      </w:r>
      <w:r>
        <w:t>р</w:t>
      </w:r>
      <w:r w:rsidR="00A56E08">
        <w:t>одица</w:t>
      </w:r>
      <w:r w:rsidR="004B5159" w:rsidRPr="00F6340E">
        <w:t xml:space="preserve">) </w:t>
      </w:r>
      <w:r w:rsidR="00A56E08">
        <w:t>и</w:t>
      </w:r>
      <w:r w:rsidR="004B5159" w:rsidRPr="00F6340E">
        <w:t xml:space="preserve"> </w:t>
      </w:r>
      <w:r w:rsidR="00A56E08">
        <w:t>на</w:t>
      </w:r>
      <w:r>
        <w:t>в</w:t>
      </w:r>
      <w:r w:rsidR="00EE6AA2">
        <w:t>е</w:t>
      </w:r>
      <w:r w:rsidR="00A56E08">
        <w:t>ли</w:t>
      </w:r>
      <w:r w:rsidR="004B5159" w:rsidRPr="00F6340E">
        <w:t xml:space="preserve"> </w:t>
      </w:r>
      <w:r>
        <w:t>су</w:t>
      </w:r>
      <w:r w:rsidR="004B5159" w:rsidRPr="00F6340E">
        <w:t xml:space="preserve"> </w:t>
      </w:r>
      <w:r w:rsidR="00A56E08">
        <w:t>да</w:t>
      </w:r>
      <w:r w:rsidR="004B5159" w:rsidRPr="00F6340E">
        <w:t xml:space="preserve"> </w:t>
      </w:r>
      <w:r w:rsidR="00A56E08">
        <w:t>ј</w:t>
      </w:r>
      <w:r w:rsidR="00EE6AA2">
        <w:t>е</w:t>
      </w:r>
      <w:r w:rsidR="004B5159" w:rsidRPr="00F6340E">
        <w:t xml:space="preserve"> </w:t>
      </w:r>
      <w:r>
        <w:t>у</w:t>
      </w:r>
      <w:r w:rsidR="004B5159" w:rsidRPr="00F6340E">
        <w:t xml:space="preserve"> </w:t>
      </w:r>
      <w:r>
        <w:t>пр</w:t>
      </w:r>
      <w:r w:rsidR="00A56E08">
        <w:t>ак</w:t>
      </w:r>
      <w:r>
        <w:t>с</w:t>
      </w:r>
      <w:r w:rsidR="00A56E08">
        <w:t>и</w:t>
      </w:r>
      <w:r w:rsidR="004B5159" w:rsidRPr="00F6340E">
        <w:t xml:space="preserve"> </w:t>
      </w:r>
      <w:r w:rsidR="00A56E08">
        <w:t>било</w:t>
      </w:r>
      <w:r w:rsidR="004B5159" w:rsidRPr="00F6340E">
        <w:t xml:space="preserve"> </w:t>
      </w:r>
      <w:r w:rsidR="00A56E08">
        <w:t>до</w:t>
      </w:r>
      <w:r>
        <w:t>ст</w:t>
      </w:r>
      <w:r w:rsidR="00A56E08">
        <w:t>а</w:t>
      </w:r>
      <w:r w:rsidR="004B5159" w:rsidRPr="00F6340E">
        <w:t xml:space="preserve"> </w:t>
      </w:r>
      <w:r>
        <w:t>пр</w:t>
      </w:r>
      <w:r w:rsidR="00A56E08">
        <w:t>обл</w:t>
      </w:r>
      <w:r w:rsidR="00EE6AA2">
        <w:t>е</w:t>
      </w:r>
      <w:r w:rsidR="00A56E08">
        <w:t>ма</w:t>
      </w:r>
      <w:r w:rsidR="004B5159" w:rsidRPr="00F6340E">
        <w:t xml:space="preserve"> </w:t>
      </w:r>
      <w:r w:rsidR="00A56E08">
        <w:t>и</w:t>
      </w:r>
      <w:r w:rsidR="004B5159" w:rsidRPr="00F6340E">
        <w:t xml:space="preserve"> </w:t>
      </w:r>
      <w:r w:rsidR="00A56E08">
        <w:t>н</w:t>
      </w:r>
      <w:r w:rsidR="00EE6AA2">
        <w:t>е</w:t>
      </w:r>
      <w:r w:rsidR="00A56E08">
        <w:t>о</w:t>
      </w:r>
      <w:r>
        <w:t>ств</w:t>
      </w:r>
      <w:r w:rsidR="00A56E08">
        <w:t>а</w:t>
      </w:r>
      <w:r>
        <w:t>р</w:t>
      </w:r>
      <w:r w:rsidR="00EE6AA2">
        <w:t>е</w:t>
      </w:r>
      <w:r w:rsidR="00A56E08">
        <w:t>них</w:t>
      </w:r>
      <w:r w:rsidR="004B5159" w:rsidRPr="00F6340E">
        <w:t xml:space="preserve"> </w:t>
      </w:r>
      <w:r>
        <w:t>п</w:t>
      </w:r>
      <w:r w:rsidR="00A56E08">
        <w:t>лано</w:t>
      </w:r>
      <w:r>
        <w:t>в</w:t>
      </w:r>
      <w:r w:rsidR="00A56E08">
        <w:t>а</w:t>
      </w:r>
      <w:r w:rsidR="004B5159" w:rsidRPr="00F6340E">
        <w:t xml:space="preserve">. </w:t>
      </w:r>
      <w:r w:rsidR="00A56E08">
        <w:t>Када</w:t>
      </w:r>
      <w:r w:rsidR="004B5159" w:rsidRPr="00F6340E">
        <w:t xml:space="preserve"> </w:t>
      </w:r>
      <w:r w:rsidR="00A56E08">
        <w:t>ј</w:t>
      </w:r>
      <w:r w:rsidR="00EE6AA2">
        <w:t>е</w:t>
      </w:r>
      <w:r w:rsidR="004B5159" w:rsidRPr="00F6340E">
        <w:t xml:space="preserve"> </w:t>
      </w:r>
      <w:r>
        <w:t>р</w:t>
      </w:r>
      <w:r w:rsidR="00A56E08">
        <w:t>иј</w:t>
      </w:r>
      <w:r w:rsidR="00EE6AA2">
        <w:t>е</w:t>
      </w:r>
      <w:r w:rsidR="00A56E08">
        <w:t>ч</w:t>
      </w:r>
      <w:r w:rsidR="004B5159" w:rsidRPr="00F6340E">
        <w:t xml:space="preserve"> </w:t>
      </w:r>
      <w:r w:rsidR="00A56E08">
        <w:t>о</w:t>
      </w:r>
      <w:r w:rsidR="004B5159" w:rsidRPr="00F6340E">
        <w:t xml:space="preserve"> </w:t>
      </w:r>
      <w:r>
        <w:t>в</w:t>
      </w:r>
      <w:r w:rsidR="00A56E08">
        <w:t>и</w:t>
      </w:r>
      <w:r>
        <w:t>с</w:t>
      </w:r>
      <w:r w:rsidR="00A56E08">
        <w:t>око</w:t>
      </w:r>
      <w:r>
        <w:t>ш</w:t>
      </w:r>
      <w:r w:rsidR="00A56E08">
        <w:t>кол</w:t>
      </w:r>
      <w:r>
        <w:t>с</w:t>
      </w:r>
      <w:r w:rsidR="00A56E08">
        <w:t>ком</w:t>
      </w:r>
      <w:r w:rsidR="004B5159" w:rsidRPr="00F6340E">
        <w:t xml:space="preserve"> </w:t>
      </w:r>
      <w:r w:rsidR="00A56E08">
        <w:t>об</w:t>
      </w:r>
      <w:r>
        <w:t>р</w:t>
      </w:r>
      <w:r w:rsidR="00A56E08">
        <w:t>а</w:t>
      </w:r>
      <w:r w:rsidR="00171F00">
        <w:t>з</w:t>
      </w:r>
      <w:r w:rsidR="00A56E08">
        <w:t>о</w:t>
      </w:r>
      <w:r>
        <w:t>в</w:t>
      </w:r>
      <w:r w:rsidR="00A56E08">
        <w:t>ањ</w:t>
      </w:r>
      <w:r>
        <w:t>у</w:t>
      </w:r>
      <w:r w:rsidR="004B5159" w:rsidRPr="00F6340E">
        <w:t xml:space="preserve">, </w:t>
      </w:r>
      <w:r>
        <w:t>пр</w:t>
      </w:r>
      <w:r w:rsidR="00A56E08">
        <w:t>ак</w:t>
      </w:r>
      <w:r>
        <w:t>т</w:t>
      </w:r>
      <w:r w:rsidR="00A56E08">
        <w:t>ично</w:t>
      </w:r>
      <w:r w:rsidR="004B5159" w:rsidRPr="00F6340E">
        <w:t xml:space="preserve"> </w:t>
      </w:r>
      <w:r>
        <w:rPr>
          <w:bCs/>
        </w:rPr>
        <w:t>св</w:t>
      </w:r>
      <w:r w:rsidR="00A56E08">
        <w:rPr>
          <w:bCs/>
        </w:rPr>
        <w:t>аки</w:t>
      </w:r>
      <w:r w:rsidR="004B5159" w:rsidRPr="00F6340E">
        <w:rPr>
          <w:bCs/>
        </w:rPr>
        <w:t xml:space="preserve"> </w:t>
      </w:r>
      <w:r w:rsidR="00A56E08">
        <w:rPr>
          <w:bCs/>
        </w:rPr>
        <w:t>д</w:t>
      </w:r>
      <w:r>
        <w:rPr>
          <w:bCs/>
        </w:rPr>
        <w:t>ру</w:t>
      </w:r>
      <w:r w:rsidR="00A56E08">
        <w:rPr>
          <w:bCs/>
        </w:rPr>
        <w:t>ги</w:t>
      </w:r>
      <w:r w:rsidR="004B5159" w:rsidRPr="00F6340E">
        <w:rPr>
          <w:bCs/>
        </w:rPr>
        <w:t xml:space="preserve"> </w:t>
      </w:r>
      <w:r w:rsidR="00A56E08">
        <w:rPr>
          <w:bCs/>
        </w:rPr>
        <w:t>на</w:t>
      </w:r>
      <w:r>
        <w:rPr>
          <w:bCs/>
        </w:rPr>
        <w:t>ст</w:t>
      </w:r>
      <w:r w:rsidR="00A56E08">
        <w:rPr>
          <w:bCs/>
        </w:rPr>
        <w:t>а</w:t>
      </w:r>
      <w:r>
        <w:rPr>
          <w:bCs/>
        </w:rPr>
        <w:t>в</w:t>
      </w:r>
      <w:r w:rsidR="00A56E08">
        <w:rPr>
          <w:bCs/>
        </w:rPr>
        <w:t>ник</w:t>
      </w:r>
      <w:r w:rsidR="00677DAF" w:rsidRPr="00F6340E">
        <w:rPr>
          <w:bCs/>
        </w:rPr>
        <w:t xml:space="preserve"> </w:t>
      </w:r>
      <w:r w:rsidR="006B5098" w:rsidRPr="00F6340E">
        <w:rPr>
          <w:bCs/>
        </w:rPr>
        <w:t>(48,</w:t>
      </w:r>
      <w:r w:rsidR="004B5159" w:rsidRPr="00F6340E">
        <w:rPr>
          <w:bCs/>
        </w:rPr>
        <w:t xml:space="preserve">5%) </w:t>
      </w:r>
      <w:r w:rsidR="00A56E08">
        <w:rPr>
          <w:bCs/>
        </w:rPr>
        <w:t>на</w:t>
      </w:r>
      <w:r>
        <w:rPr>
          <w:bCs/>
        </w:rPr>
        <w:t>в</w:t>
      </w:r>
      <w:r w:rsidR="00A56E08">
        <w:rPr>
          <w:bCs/>
        </w:rPr>
        <w:t>оди</w:t>
      </w:r>
      <w:r w:rsidR="004B5159" w:rsidRPr="00F6340E">
        <w:rPr>
          <w:bCs/>
        </w:rPr>
        <w:t xml:space="preserve"> </w:t>
      </w:r>
      <w:r w:rsidR="00A56E08">
        <w:rPr>
          <w:bCs/>
        </w:rPr>
        <w:t>како</w:t>
      </w:r>
      <w:r w:rsidR="004B5159" w:rsidRPr="00F6340E">
        <w:rPr>
          <w:bCs/>
        </w:rPr>
        <w:t xml:space="preserve"> </w:t>
      </w:r>
      <w:r>
        <w:rPr>
          <w:bCs/>
        </w:rPr>
        <w:t>су</w:t>
      </w:r>
      <w:r w:rsidR="004B5159" w:rsidRPr="00F6340E">
        <w:rPr>
          <w:bCs/>
        </w:rPr>
        <w:t xml:space="preserve"> </w:t>
      </w:r>
      <w:r>
        <w:rPr>
          <w:bCs/>
        </w:rPr>
        <w:t>п</w:t>
      </w:r>
      <w:r w:rsidR="00A56E08">
        <w:rPr>
          <w:bCs/>
        </w:rPr>
        <w:t>о</w:t>
      </w:r>
      <w:r>
        <w:rPr>
          <w:bCs/>
        </w:rPr>
        <w:t>ст</w:t>
      </w:r>
      <w:r w:rsidR="00A56E08">
        <w:rPr>
          <w:bCs/>
        </w:rPr>
        <w:t>игн</w:t>
      </w:r>
      <w:r>
        <w:rPr>
          <w:bCs/>
        </w:rPr>
        <w:t>у</w:t>
      </w:r>
      <w:r w:rsidR="00A56E08">
        <w:rPr>
          <w:bCs/>
        </w:rPr>
        <w:t>ћа</w:t>
      </w:r>
      <w:r w:rsidR="004B5159" w:rsidRPr="00F6340E">
        <w:rPr>
          <w:bCs/>
        </w:rPr>
        <w:t xml:space="preserve"> </w:t>
      </w:r>
      <w:r w:rsidR="00A56E08">
        <w:rPr>
          <w:bCs/>
        </w:rPr>
        <w:t>била</w:t>
      </w:r>
      <w:r w:rsidR="004B5159" w:rsidRPr="00F6340E">
        <w:rPr>
          <w:bCs/>
        </w:rPr>
        <w:t xml:space="preserve"> </w:t>
      </w:r>
      <w:r w:rsidR="00171F00">
        <w:rPr>
          <w:bCs/>
        </w:rPr>
        <w:t>з</w:t>
      </w:r>
      <w:r w:rsidR="00A56E08">
        <w:rPr>
          <w:bCs/>
        </w:rPr>
        <w:t>начајно</w:t>
      </w:r>
      <w:r w:rsidR="004B5159" w:rsidRPr="00F6340E">
        <w:rPr>
          <w:bCs/>
        </w:rPr>
        <w:t xml:space="preserve"> </w:t>
      </w:r>
      <w:r>
        <w:rPr>
          <w:bCs/>
        </w:rPr>
        <w:t>с</w:t>
      </w:r>
      <w:r w:rsidR="00A56E08">
        <w:rPr>
          <w:bCs/>
        </w:rPr>
        <w:t>лабија</w:t>
      </w:r>
      <w:r w:rsidR="004B5159" w:rsidRPr="00F6340E">
        <w:rPr>
          <w:bCs/>
        </w:rPr>
        <w:t>.</w:t>
      </w:r>
    </w:p>
    <w:p w14:paraId="0E12AA4C" w14:textId="5695AEE8" w:rsidR="006B5098" w:rsidRPr="001A6D76" w:rsidRDefault="00A56E08" w:rsidP="001A6D76">
      <w:pPr>
        <w:pStyle w:val="Body"/>
        <w:rPr>
          <w:rFonts w:cs="Arial"/>
          <w:color w:val="000000" w:themeColor="text1"/>
          <w:szCs w:val="24"/>
        </w:rPr>
      </w:pPr>
      <w:r>
        <w:t>На</w:t>
      </w:r>
      <w:r w:rsidR="0071360A">
        <w:t>в</w:t>
      </w:r>
      <w:r w:rsidR="00EE6AA2">
        <w:t>е</w:t>
      </w:r>
      <w:r>
        <w:t>д</w:t>
      </w:r>
      <w:r w:rsidR="00EE6AA2">
        <w:t>е</w:t>
      </w:r>
      <w:r>
        <w:t>ни</w:t>
      </w:r>
      <w:r w:rsidR="000264AF" w:rsidRPr="00F6340E">
        <w:t xml:space="preserve"> </w:t>
      </w:r>
      <w:r w:rsidR="0071360A">
        <w:t>р</w:t>
      </w:r>
      <w:r w:rsidR="00EE6AA2">
        <w:t>е</w:t>
      </w:r>
      <w:r w:rsidR="00171F00">
        <w:t>з</w:t>
      </w:r>
      <w:r w:rsidR="0071360A">
        <w:t>у</w:t>
      </w:r>
      <w:r>
        <w:t>л</w:t>
      </w:r>
      <w:r w:rsidR="0071360A">
        <w:t>т</w:t>
      </w:r>
      <w:r>
        <w:t>а</w:t>
      </w:r>
      <w:r w:rsidR="0071360A">
        <w:t>т</w:t>
      </w:r>
      <w:r>
        <w:t>и</w:t>
      </w:r>
      <w:r w:rsidR="000264AF" w:rsidRPr="00F6340E">
        <w:t xml:space="preserve"> </w:t>
      </w:r>
      <w:r>
        <w:t>на</w:t>
      </w:r>
      <w:r w:rsidR="0071360A">
        <w:t>в</w:t>
      </w:r>
      <w:r>
        <w:t>од</w:t>
      </w:r>
      <w:r w:rsidR="00EE6AA2">
        <w:t>е</w:t>
      </w:r>
      <w:r w:rsidR="000264AF" w:rsidRPr="00F6340E">
        <w:t xml:space="preserve">, </w:t>
      </w:r>
      <w:r w:rsidR="0071360A">
        <w:t>п</w:t>
      </w:r>
      <w:r>
        <w:t>о</w:t>
      </w:r>
      <w:r w:rsidR="0071360A">
        <w:t>р</w:t>
      </w:r>
      <w:r w:rsidR="00EE6AA2">
        <w:t>е</w:t>
      </w:r>
      <w:r>
        <w:t>д</w:t>
      </w:r>
      <w:r w:rsidR="000264AF" w:rsidRPr="00F6340E">
        <w:t xml:space="preserve"> </w:t>
      </w:r>
      <w:r>
        <w:t>о</w:t>
      </w:r>
      <w:r w:rsidR="0071360A">
        <w:t>ст</w:t>
      </w:r>
      <w:r>
        <w:t>алог</w:t>
      </w:r>
      <w:r w:rsidR="000264AF" w:rsidRPr="00F6340E">
        <w:t xml:space="preserve">, </w:t>
      </w:r>
      <w:r>
        <w:t>и</w:t>
      </w:r>
      <w:r w:rsidR="000264AF" w:rsidRPr="00F6340E">
        <w:t xml:space="preserve"> </w:t>
      </w:r>
      <w:r>
        <w:t>на</w:t>
      </w:r>
      <w:r w:rsidR="004B5159" w:rsidRPr="00F6340E">
        <w:t xml:space="preserve"> </w:t>
      </w:r>
      <w:r w:rsidR="0071360A">
        <w:t>р</w:t>
      </w:r>
      <w:r>
        <w:t>а</w:t>
      </w:r>
      <w:r w:rsidR="00171F00">
        <w:t>з</w:t>
      </w:r>
      <w:r>
        <w:t>ми</w:t>
      </w:r>
      <w:r w:rsidR="0071360A">
        <w:t>ш</w:t>
      </w:r>
      <w:r>
        <w:t>љањ</w:t>
      </w:r>
      <w:r w:rsidR="00EE6AA2">
        <w:t>е</w:t>
      </w:r>
      <w:r w:rsidR="009A10E7" w:rsidRPr="00F6340E">
        <w:t xml:space="preserve"> </w:t>
      </w:r>
      <w:r>
        <w:t>о</w:t>
      </w:r>
      <w:r w:rsidR="009A10E7" w:rsidRPr="00F6340E">
        <w:t xml:space="preserve"> </w:t>
      </w:r>
      <w:r w:rsidR="0071360A">
        <w:t>у</w:t>
      </w:r>
      <w:r>
        <w:t>ло</w:t>
      </w:r>
      <w:r w:rsidR="00171F00">
        <w:t>з</w:t>
      </w:r>
      <w:r>
        <w:t>и</w:t>
      </w:r>
      <w:r w:rsidR="009A10E7" w:rsidRPr="00F6340E">
        <w:t xml:space="preserve"> </w:t>
      </w:r>
      <w:r>
        <w:t>на</w:t>
      </w:r>
      <w:r w:rsidR="0071360A">
        <w:t>ст</w:t>
      </w:r>
      <w:r>
        <w:t>а</w:t>
      </w:r>
      <w:r w:rsidR="0071360A">
        <w:t>в</w:t>
      </w:r>
      <w:r>
        <w:t>ника</w:t>
      </w:r>
      <w:r w:rsidR="004B5159" w:rsidRPr="00F6340E">
        <w:t xml:space="preserve"> </w:t>
      </w:r>
      <w:r>
        <w:t>и</w:t>
      </w:r>
      <w:r w:rsidR="004B5159" w:rsidRPr="00F6340E">
        <w:t xml:space="preserve"> </w:t>
      </w:r>
      <w:r>
        <w:t>њихо</w:t>
      </w:r>
      <w:r w:rsidR="0071360A">
        <w:t>в</w:t>
      </w:r>
      <w:r>
        <w:t>их</w:t>
      </w:r>
      <w:r w:rsidR="004B5159" w:rsidRPr="00F6340E">
        <w:t xml:space="preserve"> </w:t>
      </w:r>
      <w:r>
        <w:t>ком</w:t>
      </w:r>
      <w:r w:rsidR="0071360A">
        <w:t>п</w:t>
      </w:r>
      <w:r w:rsidR="00EE6AA2">
        <w:t>е</w:t>
      </w:r>
      <w:r w:rsidR="0071360A">
        <w:t>т</w:t>
      </w:r>
      <w:r w:rsidR="00EE6AA2">
        <w:t>е</w:t>
      </w:r>
      <w:r>
        <w:t>нција</w:t>
      </w:r>
      <w:r w:rsidR="004B5159" w:rsidRPr="00F6340E">
        <w:t xml:space="preserve"> </w:t>
      </w:r>
      <w:r w:rsidR="00171F00">
        <w:t>з</w:t>
      </w:r>
      <w:r>
        <w:t>а</w:t>
      </w:r>
      <w:r w:rsidR="004B5159" w:rsidRPr="00F6340E">
        <w:t xml:space="preserve"> </w:t>
      </w:r>
      <w:r>
        <w:t>им</w:t>
      </w:r>
      <w:r w:rsidR="0071360A">
        <w:t>п</w:t>
      </w:r>
      <w:r>
        <w:t>л</w:t>
      </w:r>
      <w:r w:rsidR="00EE6AA2">
        <w:t>е</w:t>
      </w:r>
      <w:r>
        <w:t>м</w:t>
      </w:r>
      <w:r w:rsidR="00EE6AA2">
        <w:t>е</w:t>
      </w:r>
      <w:r>
        <w:t>н</w:t>
      </w:r>
      <w:r w:rsidR="0071360A">
        <w:t>т</w:t>
      </w:r>
      <w:r>
        <w:t>ациј</w:t>
      </w:r>
      <w:r w:rsidR="0071360A">
        <w:t>у</w:t>
      </w:r>
      <w:r w:rsidR="004B5159" w:rsidRPr="00F6340E">
        <w:t xml:space="preserve"> </w:t>
      </w:r>
      <w:r>
        <w:t>к</w:t>
      </w:r>
      <w:r w:rsidR="0071360A">
        <w:t>в</w:t>
      </w:r>
      <w:r>
        <w:t>али</w:t>
      </w:r>
      <w:r w:rsidR="0071360A">
        <w:t>т</w:t>
      </w:r>
      <w:r w:rsidR="00EE6AA2">
        <w:t>е</w:t>
      </w:r>
      <w:r w:rsidR="0071360A">
        <w:t>т</w:t>
      </w:r>
      <w:r>
        <w:t>ног</w:t>
      </w:r>
      <w:r w:rsidR="004B5159" w:rsidRPr="00F6340E">
        <w:t xml:space="preserve"> </w:t>
      </w:r>
      <w:r>
        <w:t>инкл</w:t>
      </w:r>
      <w:r w:rsidR="0071360A">
        <w:t>у</w:t>
      </w:r>
      <w:r w:rsidR="00171F00">
        <w:t>з</w:t>
      </w:r>
      <w:r>
        <w:t>и</w:t>
      </w:r>
      <w:r w:rsidR="0071360A">
        <w:t>в</w:t>
      </w:r>
      <w:r>
        <w:t>ног</w:t>
      </w:r>
      <w:r w:rsidR="004B5159" w:rsidRPr="00F6340E">
        <w:t xml:space="preserve"> </w:t>
      </w:r>
      <w:r>
        <w:t>об</w:t>
      </w:r>
      <w:r w:rsidR="0071360A">
        <w:t>р</w:t>
      </w:r>
      <w:r>
        <w:t>а</w:t>
      </w:r>
      <w:r w:rsidR="00171F00">
        <w:t>з</w:t>
      </w:r>
      <w:r>
        <w:t>о</w:t>
      </w:r>
      <w:r w:rsidR="0071360A">
        <w:t>в</w:t>
      </w:r>
      <w:r>
        <w:t>ања</w:t>
      </w:r>
      <w:r w:rsidR="004B5159" w:rsidRPr="00F6340E">
        <w:t xml:space="preserve">. </w:t>
      </w:r>
      <w:r w:rsidR="0071360A">
        <w:t>Т</w:t>
      </w:r>
      <w:r>
        <w:t>ом</w:t>
      </w:r>
      <w:r w:rsidR="00EE6AA2">
        <w:t>е</w:t>
      </w:r>
      <w:r w:rsidR="004B5159" w:rsidRPr="00F6340E">
        <w:t xml:space="preserve"> </w:t>
      </w:r>
      <w:r w:rsidR="0071360A">
        <w:t>у</w:t>
      </w:r>
      <w:r w:rsidR="004B5159" w:rsidRPr="00F6340E">
        <w:t xml:space="preserve"> </w:t>
      </w:r>
      <w:r w:rsidR="0071360A">
        <w:t>пр</w:t>
      </w:r>
      <w:r>
        <w:t>илог</w:t>
      </w:r>
      <w:r w:rsidR="004B5159" w:rsidRPr="00F6340E">
        <w:t xml:space="preserve"> </w:t>
      </w:r>
      <w:r>
        <w:t>го</w:t>
      </w:r>
      <w:r w:rsidR="0071360A">
        <w:t>в</w:t>
      </w:r>
      <w:r>
        <w:t>о</w:t>
      </w:r>
      <w:r w:rsidR="0071360A">
        <w:t>р</w:t>
      </w:r>
      <w:r w:rsidR="00EE6AA2">
        <w:t>е</w:t>
      </w:r>
      <w:r w:rsidR="004B5159" w:rsidRPr="00F6340E">
        <w:t xml:space="preserve"> </w:t>
      </w:r>
      <w:r>
        <w:t>и</w:t>
      </w:r>
      <w:r w:rsidR="004B5159" w:rsidRPr="00F6340E">
        <w:t xml:space="preserve"> </w:t>
      </w:r>
      <w:r>
        <w:t>и</w:t>
      </w:r>
      <w:r w:rsidR="0071360A">
        <w:t>с</w:t>
      </w:r>
      <w:r>
        <w:t>ка</w:t>
      </w:r>
      <w:r w:rsidR="00171F00">
        <w:t>з</w:t>
      </w:r>
      <w:r>
        <w:t>ан</w:t>
      </w:r>
      <w:r w:rsidR="00EE6AA2">
        <w:t>е</w:t>
      </w:r>
      <w:r w:rsidR="004B5159" w:rsidRPr="00F6340E">
        <w:t xml:space="preserve"> </w:t>
      </w:r>
      <w:r w:rsidR="0071360A">
        <w:t>п</w:t>
      </w:r>
      <w:r>
        <w:t>о</w:t>
      </w:r>
      <w:r w:rsidR="0071360A">
        <w:t>тр</w:t>
      </w:r>
      <w:r w:rsidR="00EE6AA2">
        <w:t>е</w:t>
      </w:r>
      <w:r>
        <w:t>б</w:t>
      </w:r>
      <w:r w:rsidR="00EE6AA2">
        <w:t>е</w:t>
      </w:r>
      <w:r w:rsidR="004B5159" w:rsidRPr="00F6340E">
        <w:t xml:space="preserve"> </w:t>
      </w:r>
      <w:r>
        <w:t>на</w:t>
      </w:r>
      <w:r w:rsidR="0071360A">
        <w:t>ст</w:t>
      </w:r>
      <w:r>
        <w:t>а</w:t>
      </w:r>
      <w:r w:rsidR="0071360A">
        <w:t>в</w:t>
      </w:r>
      <w:r>
        <w:t>ника</w:t>
      </w:r>
      <w:r w:rsidR="004B5159" w:rsidRPr="00F6340E">
        <w:t xml:space="preserve"> </w:t>
      </w:r>
      <w:r w:rsidR="00171F00">
        <w:t>з</w:t>
      </w:r>
      <w:r>
        <w:t>а</w:t>
      </w:r>
      <w:r w:rsidR="004B5159" w:rsidRPr="00F6340E">
        <w:t xml:space="preserve"> </w:t>
      </w:r>
      <w:r>
        <w:t>дода</w:t>
      </w:r>
      <w:r w:rsidR="0071360A">
        <w:t>т</w:t>
      </w:r>
      <w:r>
        <w:t>ним</w:t>
      </w:r>
      <w:r w:rsidR="004B5159" w:rsidRPr="00F6340E">
        <w:t xml:space="preserve"> </w:t>
      </w:r>
      <w:r>
        <w:t>об</w:t>
      </w:r>
      <w:r w:rsidR="0071360A">
        <w:t>у</w:t>
      </w:r>
      <w:r>
        <w:t>кама</w:t>
      </w:r>
      <w:r w:rsidR="004B5159" w:rsidRPr="00F6340E">
        <w:t xml:space="preserve">. </w:t>
      </w:r>
      <w:r>
        <w:t>Наим</w:t>
      </w:r>
      <w:r w:rsidR="00EE6AA2">
        <w:t>е</w:t>
      </w:r>
      <w:r w:rsidR="004B5159" w:rsidRPr="00F6340E">
        <w:t xml:space="preserve">, 68,2% </w:t>
      </w:r>
      <w:r>
        <w:t>на</w:t>
      </w:r>
      <w:r w:rsidR="0071360A">
        <w:t>ст</w:t>
      </w:r>
      <w:r>
        <w:t>а</w:t>
      </w:r>
      <w:r w:rsidR="0071360A">
        <w:t>в</w:t>
      </w:r>
      <w:r>
        <w:t>ника</w:t>
      </w:r>
      <w:r w:rsidR="004B5159" w:rsidRPr="00F6340E">
        <w:t xml:space="preserve"> </w:t>
      </w:r>
      <w:r>
        <w:t>о</w:t>
      </w:r>
      <w:r w:rsidR="0071360A">
        <w:t>с</w:t>
      </w:r>
      <w:r>
        <w:t>но</w:t>
      </w:r>
      <w:r w:rsidR="0071360A">
        <w:t>в</w:t>
      </w:r>
      <w:r>
        <w:t>них</w:t>
      </w:r>
      <w:r w:rsidR="004B5159" w:rsidRPr="00F6340E">
        <w:t xml:space="preserve"> </w:t>
      </w:r>
      <w:r>
        <w:t>и</w:t>
      </w:r>
      <w:r w:rsidR="004B5159" w:rsidRPr="00F6340E">
        <w:t xml:space="preserve"> </w:t>
      </w:r>
      <w:r w:rsidR="0071360A">
        <w:t>ср</w:t>
      </w:r>
      <w:r w:rsidR="00EE6AA2">
        <w:t>е</w:t>
      </w:r>
      <w:r>
        <w:t>дњих</w:t>
      </w:r>
      <w:r w:rsidR="004B5159" w:rsidRPr="00F6340E">
        <w:t xml:space="preserve"> </w:t>
      </w:r>
      <w:r w:rsidR="0071360A">
        <w:t>ш</w:t>
      </w:r>
      <w:r>
        <w:t>кола</w:t>
      </w:r>
      <w:r w:rsidR="004B5159" w:rsidRPr="00F6340E">
        <w:t xml:space="preserve"> </w:t>
      </w:r>
      <w:r w:rsidR="0071360A">
        <w:t>с</w:t>
      </w:r>
      <w:r>
        <w:t>ма</w:t>
      </w:r>
      <w:r w:rsidR="0071360A">
        <w:t>тр</w:t>
      </w:r>
      <w:r>
        <w:t>а</w:t>
      </w:r>
      <w:r w:rsidR="004B5159" w:rsidRPr="00F6340E">
        <w:t xml:space="preserve"> </w:t>
      </w:r>
      <w:r>
        <w:t>да</w:t>
      </w:r>
      <w:r w:rsidR="004B5159" w:rsidRPr="00F6340E">
        <w:t xml:space="preserve"> </w:t>
      </w:r>
      <w:r w:rsidR="0071360A">
        <w:t>п</w:t>
      </w:r>
      <w:r>
        <w:t>о</w:t>
      </w:r>
      <w:r w:rsidR="0071360A">
        <w:t>ст</w:t>
      </w:r>
      <w:r>
        <w:t>оји</w:t>
      </w:r>
      <w:r w:rsidR="004B5159" w:rsidRPr="00F6340E">
        <w:t xml:space="preserve"> </w:t>
      </w:r>
      <w:r>
        <w:t>јо</w:t>
      </w:r>
      <w:r w:rsidR="0071360A">
        <w:t>ш</w:t>
      </w:r>
      <w:r w:rsidR="004B5159" w:rsidRPr="00F6340E">
        <w:t xml:space="preserve"> </w:t>
      </w:r>
      <w:r w:rsidR="0071360A">
        <w:t>пр</w:t>
      </w:r>
      <w:r>
        <w:t>о</w:t>
      </w:r>
      <w:r w:rsidR="0071360A">
        <w:t>ст</w:t>
      </w:r>
      <w:r>
        <w:t>о</w:t>
      </w:r>
      <w:r w:rsidR="0071360A">
        <w:t>р</w:t>
      </w:r>
      <w:r>
        <w:t>а</w:t>
      </w:r>
      <w:r w:rsidR="004B5159" w:rsidRPr="00F6340E">
        <w:t xml:space="preserve"> </w:t>
      </w:r>
      <w:r w:rsidR="00171F00">
        <w:t>з</w:t>
      </w:r>
      <w:r>
        <w:t>а</w:t>
      </w:r>
      <w:r w:rsidR="004B5159" w:rsidRPr="00F6340E">
        <w:t xml:space="preserve"> </w:t>
      </w:r>
      <w:r>
        <w:t>на</w:t>
      </w:r>
      <w:r w:rsidR="0071360A">
        <w:t>пр</w:t>
      </w:r>
      <w:r w:rsidR="00EE6AA2">
        <w:t>е</w:t>
      </w:r>
      <w:r>
        <w:t>дак</w:t>
      </w:r>
      <w:r w:rsidR="004B5159" w:rsidRPr="00F6340E">
        <w:t xml:space="preserve"> </w:t>
      </w:r>
      <w:r>
        <w:t>када</w:t>
      </w:r>
      <w:r w:rsidR="004B5159" w:rsidRPr="00F6340E">
        <w:t xml:space="preserve"> </w:t>
      </w:r>
      <w:r w:rsidR="0071360A">
        <w:t>с</w:t>
      </w:r>
      <w:r w:rsidR="00EE6AA2">
        <w:t>е</w:t>
      </w:r>
      <w:r w:rsidR="004B5159" w:rsidRPr="00F6340E">
        <w:t xml:space="preserve"> </w:t>
      </w:r>
      <w:r w:rsidR="0071360A">
        <w:t>р</w:t>
      </w:r>
      <w:r>
        <w:t>ади</w:t>
      </w:r>
      <w:r w:rsidR="004B5159" w:rsidRPr="00F6340E">
        <w:t xml:space="preserve"> </w:t>
      </w:r>
      <w:r>
        <w:t>о</w:t>
      </w:r>
      <w:r w:rsidR="004B5159" w:rsidRPr="00F6340E">
        <w:t xml:space="preserve"> </w:t>
      </w:r>
      <w:r w:rsidR="0071360A">
        <w:t>п</w:t>
      </w:r>
      <w:r w:rsidR="00EE6AA2">
        <w:t>е</w:t>
      </w:r>
      <w:r>
        <w:t>даго</w:t>
      </w:r>
      <w:r w:rsidR="0071360A">
        <w:t>ш</w:t>
      </w:r>
      <w:r>
        <w:t>ким</w:t>
      </w:r>
      <w:r w:rsidR="004B5159" w:rsidRPr="00F6340E">
        <w:t xml:space="preserve"> </w:t>
      </w:r>
      <w:r>
        <w:t>и</w:t>
      </w:r>
      <w:r w:rsidR="004B5159" w:rsidRPr="00F6340E">
        <w:t xml:space="preserve"> </w:t>
      </w:r>
      <w:r>
        <w:t>м</w:t>
      </w:r>
      <w:r w:rsidR="00EE6AA2">
        <w:t>е</w:t>
      </w:r>
      <w:r w:rsidR="0071360A">
        <w:t>т</w:t>
      </w:r>
      <w:r>
        <w:t>одичким</w:t>
      </w:r>
      <w:r w:rsidR="004B5159" w:rsidRPr="00F6340E">
        <w:t xml:space="preserve"> </w:t>
      </w:r>
      <w:r>
        <w:t>ком</w:t>
      </w:r>
      <w:r w:rsidR="0071360A">
        <w:t>п</w:t>
      </w:r>
      <w:r w:rsidR="00EE6AA2">
        <w:t>е</w:t>
      </w:r>
      <w:r w:rsidR="0071360A">
        <w:t>т</w:t>
      </w:r>
      <w:r w:rsidR="00EE6AA2">
        <w:t>е</w:t>
      </w:r>
      <w:r>
        <w:t>нцијама</w:t>
      </w:r>
      <w:r w:rsidR="004B5159" w:rsidRPr="00F6340E">
        <w:t xml:space="preserve"> </w:t>
      </w:r>
      <w:r w:rsidR="00171F00">
        <w:t>з</w:t>
      </w:r>
      <w:r>
        <w:t>а</w:t>
      </w:r>
      <w:r w:rsidR="004B5159" w:rsidRPr="00F6340E">
        <w:t xml:space="preserve"> </w:t>
      </w:r>
      <w:r>
        <w:t>и</w:t>
      </w:r>
      <w:r w:rsidR="00171F00">
        <w:t>з</w:t>
      </w:r>
      <w:r w:rsidR="0071360A">
        <w:t>в</w:t>
      </w:r>
      <w:r>
        <w:t>ођ</w:t>
      </w:r>
      <w:r w:rsidR="00EE6AA2">
        <w:t>е</w:t>
      </w:r>
      <w:r>
        <w:t>њ</w:t>
      </w:r>
      <w:r w:rsidR="00EE6AA2">
        <w:t>е</w:t>
      </w:r>
      <w:r w:rsidR="004B5159" w:rsidRPr="00F6340E">
        <w:t xml:space="preserve"> </w:t>
      </w:r>
      <w:r>
        <w:t>на</w:t>
      </w:r>
      <w:r w:rsidR="0071360A">
        <w:t>ст</w:t>
      </w:r>
      <w:r>
        <w:t>а</w:t>
      </w:r>
      <w:r w:rsidR="0071360A">
        <w:t>в</w:t>
      </w:r>
      <w:r w:rsidR="00EE6AA2">
        <w:t>е</w:t>
      </w:r>
      <w:r w:rsidR="00C47A01" w:rsidRPr="00F6340E">
        <w:t xml:space="preserve"> </w:t>
      </w:r>
      <w:r w:rsidR="0071360A">
        <w:t>пут</w:t>
      </w:r>
      <w:r w:rsidR="00EE6AA2">
        <w:t>е</w:t>
      </w:r>
      <w:r>
        <w:t>м</w:t>
      </w:r>
      <w:r w:rsidR="00C47A01" w:rsidRPr="00F6340E">
        <w:t xml:space="preserve"> </w:t>
      </w:r>
      <w:r>
        <w:t>ин</w:t>
      </w:r>
      <w:r w:rsidR="0071360A">
        <w:t>т</w:t>
      </w:r>
      <w:r w:rsidR="00EE6AA2">
        <w:t>е</w:t>
      </w:r>
      <w:r w:rsidR="0071360A">
        <w:t>р</w:t>
      </w:r>
      <w:r>
        <w:t>н</w:t>
      </w:r>
      <w:r w:rsidR="00EE6AA2">
        <w:t>е</w:t>
      </w:r>
      <w:r w:rsidR="0071360A">
        <w:t>т</w:t>
      </w:r>
      <w:r>
        <w:t>а</w:t>
      </w:r>
      <w:r w:rsidR="004B5159" w:rsidRPr="00F6340E">
        <w:t xml:space="preserve">, </w:t>
      </w:r>
      <w:r>
        <w:t>а</w:t>
      </w:r>
      <w:r w:rsidR="004B5159" w:rsidRPr="00F6340E">
        <w:t xml:space="preserve"> </w:t>
      </w:r>
      <w:r>
        <w:t>и</w:t>
      </w:r>
      <w:r w:rsidR="0071360A">
        <w:t>ст</w:t>
      </w:r>
      <w:r>
        <w:t>ог</w:t>
      </w:r>
      <w:r w:rsidR="004B5159" w:rsidRPr="00F6340E">
        <w:t xml:space="preserve"> </w:t>
      </w:r>
      <w:r w:rsidR="0071360A">
        <w:t>су</w:t>
      </w:r>
      <w:r w:rsidR="004B5159" w:rsidRPr="00F6340E">
        <w:t xml:space="preserve"> </w:t>
      </w:r>
      <w:r w:rsidR="0071360A">
        <w:t>ст</w:t>
      </w:r>
      <w:r>
        <w:t>а</w:t>
      </w:r>
      <w:r w:rsidR="0071360A">
        <w:t>в</w:t>
      </w:r>
      <w:r>
        <w:t>а</w:t>
      </w:r>
      <w:r w:rsidR="004B5159" w:rsidRPr="00F6340E">
        <w:t xml:space="preserve"> </w:t>
      </w:r>
      <w:r>
        <w:t>и</w:t>
      </w:r>
      <w:r w:rsidR="004B5159" w:rsidRPr="00F6340E">
        <w:t xml:space="preserve"> </w:t>
      </w:r>
      <w:r>
        <w:t>ин</w:t>
      </w:r>
      <w:r w:rsidR="0071360A">
        <w:t>т</w:t>
      </w:r>
      <w:r w:rsidR="00EE6AA2">
        <w:t>е</w:t>
      </w:r>
      <w:r w:rsidR="0071360A">
        <w:t>рв</w:t>
      </w:r>
      <w:r>
        <w:t>ј</w:t>
      </w:r>
      <w:r w:rsidR="0071360A">
        <w:t>у</w:t>
      </w:r>
      <w:r>
        <w:t>и</w:t>
      </w:r>
      <w:r w:rsidR="0071360A">
        <w:t>с</w:t>
      </w:r>
      <w:r>
        <w:t>ани</w:t>
      </w:r>
      <w:r w:rsidR="004B5159" w:rsidRPr="00F6340E">
        <w:t xml:space="preserve"> </w:t>
      </w:r>
      <w:r w:rsidR="0071360A">
        <w:t>пр</w:t>
      </w:r>
      <w:r w:rsidR="00EE6AA2">
        <w:t>е</w:t>
      </w:r>
      <w:r>
        <w:t>д</w:t>
      </w:r>
      <w:r w:rsidR="0071360A">
        <w:t>ст</w:t>
      </w:r>
      <w:r>
        <w:t>а</w:t>
      </w:r>
      <w:r w:rsidR="0071360A">
        <w:t>в</w:t>
      </w:r>
      <w:r>
        <w:t>ници</w:t>
      </w:r>
      <w:r w:rsidR="004B5159" w:rsidRPr="00F6340E">
        <w:t xml:space="preserve"> </w:t>
      </w:r>
      <w:r>
        <w:t>надл</w:t>
      </w:r>
      <w:r w:rsidR="00EE6AA2">
        <w:t>е</w:t>
      </w:r>
      <w:r w:rsidR="00171F00">
        <w:t>ж</w:t>
      </w:r>
      <w:r>
        <w:t>них</w:t>
      </w:r>
      <w:r w:rsidR="004B5159" w:rsidRPr="00F6340E">
        <w:t xml:space="preserve"> </w:t>
      </w:r>
      <w:r>
        <w:t>об</w:t>
      </w:r>
      <w:r w:rsidR="0071360A">
        <w:t>р</w:t>
      </w:r>
      <w:r>
        <w:t>а</w:t>
      </w:r>
      <w:r w:rsidR="00171F00">
        <w:t>з</w:t>
      </w:r>
      <w:r>
        <w:t>о</w:t>
      </w:r>
      <w:r w:rsidR="0071360A">
        <w:t>в</w:t>
      </w:r>
      <w:r>
        <w:t>них</w:t>
      </w:r>
      <w:r w:rsidR="00D27064" w:rsidRPr="00F6340E">
        <w:t xml:space="preserve"> </w:t>
      </w:r>
      <w:r w:rsidR="0071360A">
        <w:t>в</w:t>
      </w:r>
      <w:r>
        <w:t>ла</w:t>
      </w:r>
      <w:r w:rsidR="0071360A">
        <w:t>ст</w:t>
      </w:r>
      <w:r>
        <w:t>и</w:t>
      </w:r>
      <w:r w:rsidR="004B5159" w:rsidRPr="00F6340E">
        <w:t xml:space="preserve">, </w:t>
      </w:r>
      <w:r w:rsidR="0071360A">
        <w:t>п</w:t>
      </w:r>
      <w:r w:rsidR="00EE6AA2">
        <w:t>е</w:t>
      </w:r>
      <w:r>
        <w:t>даго</w:t>
      </w:r>
      <w:r w:rsidR="0071360A">
        <w:t>ш</w:t>
      </w:r>
      <w:r>
        <w:t>ких</w:t>
      </w:r>
      <w:r w:rsidR="004B5159" w:rsidRPr="00F6340E">
        <w:t xml:space="preserve"> </w:t>
      </w:r>
      <w:r w:rsidR="00171F00">
        <w:t>з</w:t>
      </w:r>
      <w:r>
        <w:t>а</w:t>
      </w:r>
      <w:r w:rsidR="0071360A">
        <w:t>в</w:t>
      </w:r>
      <w:r>
        <w:t>ода</w:t>
      </w:r>
      <w:r w:rsidR="004B5159" w:rsidRPr="00F6340E">
        <w:t xml:space="preserve">, </w:t>
      </w:r>
      <w:r w:rsidR="0071360A">
        <w:t>т</w:t>
      </w:r>
      <w:r w:rsidR="00EE6AA2">
        <w:t>е</w:t>
      </w:r>
      <w:r w:rsidR="004B5159" w:rsidRPr="00F6340E">
        <w:t xml:space="preserve"> </w:t>
      </w:r>
      <w:r w:rsidR="0071360A">
        <w:t>стру</w:t>
      </w:r>
      <w:r>
        <w:t>чњаци</w:t>
      </w:r>
      <w:r w:rsidR="004B5159" w:rsidRPr="00F6340E">
        <w:t xml:space="preserve"> </w:t>
      </w:r>
      <w:r>
        <w:t>и</w:t>
      </w:r>
      <w:r w:rsidR="00171F00">
        <w:t>з</w:t>
      </w:r>
      <w:r w:rsidR="004B5159" w:rsidRPr="00F6340E">
        <w:t xml:space="preserve"> </w:t>
      </w:r>
      <w:r>
        <w:t>обла</w:t>
      </w:r>
      <w:r w:rsidR="0071360A">
        <w:t>ст</w:t>
      </w:r>
      <w:r>
        <w:t>и</w:t>
      </w:r>
      <w:r w:rsidR="004B5159" w:rsidRPr="00F6340E">
        <w:t xml:space="preserve"> </w:t>
      </w:r>
      <w:r>
        <w:t>об</w:t>
      </w:r>
      <w:r w:rsidR="0071360A">
        <w:t>р</w:t>
      </w:r>
      <w:r>
        <w:t>а</w:t>
      </w:r>
      <w:r w:rsidR="00171F00">
        <w:t>з</w:t>
      </w:r>
      <w:r>
        <w:t>о</w:t>
      </w:r>
      <w:r w:rsidR="0071360A">
        <w:t>в</w:t>
      </w:r>
      <w:r>
        <w:t>ања</w:t>
      </w:r>
      <w:r w:rsidR="004B5159" w:rsidRPr="00F6340E">
        <w:t xml:space="preserve">. </w:t>
      </w:r>
      <w:r>
        <w:rPr>
          <w:bCs/>
        </w:rPr>
        <w:t>Анали</w:t>
      </w:r>
      <w:r w:rsidR="00171F00">
        <w:rPr>
          <w:bCs/>
        </w:rPr>
        <w:t>з</w:t>
      </w:r>
      <w:r>
        <w:rPr>
          <w:bCs/>
        </w:rPr>
        <w:t>и</w:t>
      </w:r>
      <w:r w:rsidR="0071360A">
        <w:rPr>
          <w:bCs/>
        </w:rPr>
        <w:t>р</w:t>
      </w:r>
      <w:r>
        <w:rPr>
          <w:bCs/>
        </w:rPr>
        <w:t>ан</w:t>
      </w:r>
      <w:r w:rsidR="00EE6AA2">
        <w:rPr>
          <w:bCs/>
        </w:rPr>
        <w:t>е</w:t>
      </w:r>
      <w:r w:rsidR="004B5159" w:rsidRPr="00F6340E">
        <w:rPr>
          <w:bCs/>
        </w:rPr>
        <w:t xml:space="preserve"> </w:t>
      </w:r>
      <w:r w:rsidR="0071360A">
        <w:rPr>
          <w:bCs/>
        </w:rPr>
        <w:t>су</w:t>
      </w:r>
      <w:r w:rsidR="009844AF" w:rsidRPr="00F6340E">
        <w:rPr>
          <w:bCs/>
        </w:rPr>
        <w:t xml:space="preserve"> </w:t>
      </w:r>
      <w:r>
        <w:rPr>
          <w:bCs/>
        </w:rPr>
        <w:t>и</w:t>
      </w:r>
      <w:r w:rsidR="004B5159" w:rsidRPr="00F6340E">
        <w:rPr>
          <w:bCs/>
        </w:rPr>
        <w:t xml:space="preserve"> </w:t>
      </w:r>
      <w:r w:rsidR="0071360A">
        <w:rPr>
          <w:bCs/>
        </w:rPr>
        <w:t>п</w:t>
      </w:r>
      <w:r>
        <w:rPr>
          <w:bCs/>
        </w:rPr>
        <w:t>о</w:t>
      </w:r>
      <w:r w:rsidR="0071360A">
        <w:rPr>
          <w:bCs/>
        </w:rPr>
        <w:t>тр</w:t>
      </w:r>
      <w:r w:rsidR="00EE6AA2">
        <w:rPr>
          <w:bCs/>
        </w:rPr>
        <w:t>е</w:t>
      </w:r>
      <w:r>
        <w:rPr>
          <w:bCs/>
        </w:rPr>
        <w:t>б</w:t>
      </w:r>
      <w:r w:rsidR="00EE6AA2">
        <w:rPr>
          <w:bCs/>
        </w:rPr>
        <w:t>е</w:t>
      </w:r>
      <w:r w:rsidR="004B5159" w:rsidRPr="00F6340E">
        <w:rPr>
          <w:bCs/>
        </w:rPr>
        <w:t xml:space="preserve"> </w:t>
      </w:r>
      <w:r>
        <w:rPr>
          <w:bCs/>
        </w:rPr>
        <w:t>на</w:t>
      </w:r>
      <w:r w:rsidR="0071360A">
        <w:rPr>
          <w:bCs/>
        </w:rPr>
        <w:t>ст</w:t>
      </w:r>
      <w:r>
        <w:rPr>
          <w:bCs/>
        </w:rPr>
        <w:t>а</w:t>
      </w:r>
      <w:r w:rsidR="0071360A">
        <w:rPr>
          <w:bCs/>
        </w:rPr>
        <w:t>в</w:t>
      </w:r>
      <w:r>
        <w:rPr>
          <w:bCs/>
        </w:rPr>
        <w:t>ника</w:t>
      </w:r>
      <w:r w:rsidR="004B5159" w:rsidRPr="00F6340E">
        <w:rPr>
          <w:bCs/>
        </w:rPr>
        <w:t xml:space="preserve"> </w:t>
      </w:r>
      <w:r>
        <w:rPr>
          <w:bCs/>
        </w:rPr>
        <w:t>и</w:t>
      </w:r>
      <w:r w:rsidR="004B5159" w:rsidRPr="00F6340E">
        <w:rPr>
          <w:bCs/>
        </w:rPr>
        <w:t xml:space="preserve"> </w:t>
      </w:r>
      <w:r w:rsidR="0071360A">
        <w:rPr>
          <w:bCs/>
        </w:rPr>
        <w:t>сту</w:t>
      </w:r>
      <w:r>
        <w:rPr>
          <w:bCs/>
        </w:rPr>
        <w:t>д</w:t>
      </w:r>
      <w:r w:rsidR="00EE6AA2">
        <w:rPr>
          <w:bCs/>
        </w:rPr>
        <w:t>е</w:t>
      </w:r>
      <w:r>
        <w:rPr>
          <w:bCs/>
        </w:rPr>
        <w:t>на</w:t>
      </w:r>
      <w:r w:rsidR="0071360A">
        <w:rPr>
          <w:bCs/>
        </w:rPr>
        <w:t>т</w:t>
      </w:r>
      <w:r>
        <w:rPr>
          <w:bCs/>
        </w:rPr>
        <w:t>а</w:t>
      </w:r>
      <w:r w:rsidR="008F5F2C" w:rsidRPr="00F6340E">
        <w:rPr>
          <w:bCs/>
        </w:rPr>
        <w:t>,</w:t>
      </w:r>
      <w:r w:rsidR="004B5159" w:rsidRPr="00F6340E">
        <w:rPr>
          <w:bCs/>
        </w:rPr>
        <w:t xml:space="preserve"> </w:t>
      </w:r>
      <w:r>
        <w:rPr>
          <w:bCs/>
        </w:rPr>
        <w:t>а</w:t>
      </w:r>
      <w:r w:rsidR="004B5159" w:rsidRPr="00F6340E">
        <w:rPr>
          <w:bCs/>
        </w:rPr>
        <w:t xml:space="preserve"> </w:t>
      </w:r>
      <w:r w:rsidR="0071360A">
        <w:rPr>
          <w:bCs/>
        </w:rPr>
        <w:t>в</w:t>
      </w:r>
      <w:r w:rsidR="00EE6AA2">
        <w:rPr>
          <w:bCs/>
        </w:rPr>
        <w:t>е</w:t>
      </w:r>
      <w:r w:rsidR="00171F00">
        <w:rPr>
          <w:bCs/>
        </w:rPr>
        <w:t>з</w:t>
      </w:r>
      <w:r>
        <w:rPr>
          <w:bCs/>
        </w:rPr>
        <w:t>ано</w:t>
      </w:r>
      <w:r w:rsidR="004B5159" w:rsidRPr="00F6340E">
        <w:rPr>
          <w:bCs/>
        </w:rPr>
        <w:t xml:space="preserve"> </w:t>
      </w:r>
      <w:r w:rsidR="00171F00">
        <w:rPr>
          <w:bCs/>
        </w:rPr>
        <w:t>з</w:t>
      </w:r>
      <w:r>
        <w:rPr>
          <w:bCs/>
        </w:rPr>
        <w:t>а</w:t>
      </w:r>
      <w:r w:rsidR="004B5159" w:rsidRPr="00F6340E">
        <w:rPr>
          <w:bCs/>
        </w:rPr>
        <w:t xml:space="preserve"> </w:t>
      </w:r>
      <w:r>
        <w:rPr>
          <w:bCs/>
        </w:rPr>
        <w:t>им</w:t>
      </w:r>
      <w:r w:rsidR="0071360A">
        <w:rPr>
          <w:bCs/>
        </w:rPr>
        <w:t>п</w:t>
      </w:r>
      <w:r>
        <w:rPr>
          <w:bCs/>
        </w:rPr>
        <w:t>л</w:t>
      </w:r>
      <w:r w:rsidR="00EE6AA2">
        <w:rPr>
          <w:bCs/>
        </w:rPr>
        <w:t>е</w:t>
      </w:r>
      <w:r>
        <w:rPr>
          <w:bCs/>
        </w:rPr>
        <w:t>м</w:t>
      </w:r>
      <w:r w:rsidR="00EE6AA2">
        <w:rPr>
          <w:bCs/>
        </w:rPr>
        <w:t>е</w:t>
      </w:r>
      <w:r>
        <w:rPr>
          <w:bCs/>
        </w:rPr>
        <w:t>н</w:t>
      </w:r>
      <w:r w:rsidR="0071360A">
        <w:rPr>
          <w:bCs/>
        </w:rPr>
        <w:t>т</w:t>
      </w:r>
      <w:r>
        <w:rPr>
          <w:bCs/>
        </w:rPr>
        <w:t>ациј</w:t>
      </w:r>
      <w:r w:rsidR="0071360A">
        <w:rPr>
          <w:bCs/>
        </w:rPr>
        <w:t>у</w:t>
      </w:r>
      <w:r w:rsidR="004B5159" w:rsidRPr="00F6340E">
        <w:rPr>
          <w:bCs/>
        </w:rPr>
        <w:t xml:space="preserve"> </w:t>
      </w:r>
      <w:r>
        <w:rPr>
          <w:bCs/>
        </w:rPr>
        <w:t>на</w:t>
      </w:r>
      <w:r w:rsidR="0071360A">
        <w:rPr>
          <w:bCs/>
        </w:rPr>
        <w:t>ст</w:t>
      </w:r>
      <w:r>
        <w:rPr>
          <w:bCs/>
        </w:rPr>
        <w:t>а</w:t>
      </w:r>
      <w:r w:rsidR="0071360A">
        <w:rPr>
          <w:bCs/>
        </w:rPr>
        <w:t>в</w:t>
      </w:r>
      <w:r w:rsidR="00EE6AA2">
        <w:rPr>
          <w:bCs/>
        </w:rPr>
        <w:t>е</w:t>
      </w:r>
      <w:r w:rsidR="00C47A01" w:rsidRPr="00F6340E">
        <w:rPr>
          <w:bCs/>
        </w:rPr>
        <w:t xml:space="preserve"> </w:t>
      </w:r>
      <w:r w:rsidR="0071360A">
        <w:rPr>
          <w:bCs/>
        </w:rPr>
        <w:t>пут</w:t>
      </w:r>
      <w:r w:rsidR="00EE6AA2">
        <w:rPr>
          <w:bCs/>
        </w:rPr>
        <w:t>е</w:t>
      </w:r>
      <w:r>
        <w:rPr>
          <w:bCs/>
        </w:rPr>
        <w:t>м</w:t>
      </w:r>
      <w:r w:rsidR="00C47A01" w:rsidRPr="00F6340E">
        <w:rPr>
          <w:bCs/>
        </w:rPr>
        <w:t xml:space="preserve"> </w:t>
      </w:r>
      <w:r>
        <w:rPr>
          <w:bCs/>
        </w:rPr>
        <w:t>ин</w:t>
      </w:r>
      <w:r w:rsidR="0071360A">
        <w:rPr>
          <w:bCs/>
        </w:rPr>
        <w:t>т</w:t>
      </w:r>
      <w:r w:rsidR="00EE6AA2">
        <w:rPr>
          <w:bCs/>
        </w:rPr>
        <w:t>е</w:t>
      </w:r>
      <w:r w:rsidR="0071360A">
        <w:rPr>
          <w:bCs/>
        </w:rPr>
        <w:t>р</w:t>
      </w:r>
      <w:r>
        <w:rPr>
          <w:bCs/>
        </w:rPr>
        <w:t>н</w:t>
      </w:r>
      <w:r w:rsidR="00EE6AA2">
        <w:rPr>
          <w:bCs/>
        </w:rPr>
        <w:t>е</w:t>
      </w:r>
      <w:r w:rsidR="0071360A">
        <w:rPr>
          <w:bCs/>
        </w:rPr>
        <w:t>т</w:t>
      </w:r>
      <w:r>
        <w:rPr>
          <w:bCs/>
        </w:rPr>
        <w:t>а</w:t>
      </w:r>
      <w:r w:rsidR="004B5159" w:rsidRPr="00F6340E">
        <w:rPr>
          <w:bCs/>
        </w:rPr>
        <w:t xml:space="preserve">. </w:t>
      </w:r>
      <w:r w:rsidR="0071360A">
        <w:rPr>
          <w:bCs/>
        </w:rPr>
        <w:t>П</w:t>
      </w:r>
      <w:r>
        <w:rPr>
          <w:bCs/>
        </w:rPr>
        <w:t>о</w:t>
      </w:r>
      <w:r w:rsidR="0071360A">
        <w:rPr>
          <w:bCs/>
        </w:rPr>
        <w:t>р</w:t>
      </w:r>
      <w:r w:rsidR="00EE6AA2">
        <w:rPr>
          <w:bCs/>
        </w:rPr>
        <w:t>е</w:t>
      </w:r>
      <w:r>
        <w:rPr>
          <w:bCs/>
        </w:rPr>
        <w:t>д</w:t>
      </w:r>
      <w:r w:rsidR="004B5159" w:rsidRPr="00F6340E">
        <w:rPr>
          <w:bCs/>
        </w:rPr>
        <w:t xml:space="preserve"> </w:t>
      </w:r>
      <w:r w:rsidR="0071360A">
        <w:rPr>
          <w:bCs/>
        </w:rPr>
        <w:t>пр</w:t>
      </w:r>
      <w:r w:rsidR="00EE6AA2">
        <w:rPr>
          <w:bCs/>
        </w:rPr>
        <w:t>е</w:t>
      </w:r>
      <w:r>
        <w:rPr>
          <w:bCs/>
        </w:rPr>
        <w:t>дно</w:t>
      </w:r>
      <w:r w:rsidR="0071360A">
        <w:rPr>
          <w:bCs/>
        </w:rPr>
        <w:t>ст</w:t>
      </w:r>
      <w:r>
        <w:rPr>
          <w:bCs/>
        </w:rPr>
        <w:t>и</w:t>
      </w:r>
      <w:r w:rsidR="004B5159" w:rsidRPr="00F6340E">
        <w:rPr>
          <w:bCs/>
        </w:rPr>
        <w:t xml:space="preserve"> </w:t>
      </w:r>
      <w:r>
        <w:rPr>
          <w:bCs/>
        </w:rPr>
        <w:t>и</w:t>
      </w:r>
      <w:r w:rsidR="004B5159" w:rsidRPr="00F6340E">
        <w:rPr>
          <w:bCs/>
        </w:rPr>
        <w:t xml:space="preserve"> </w:t>
      </w:r>
      <w:r>
        <w:rPr>
          <w:bCs/>
        </w:rPr>
        <w:t>ог</w:t>
      </w:r>
      <w:r w:rsidR="0071360A">
        <w:rPr>
          <w:bCs/>
        </w:rPr>
        <w:t>р</w:t>
      </w:r>
      <w:r>
        <w:rPr>
          <w:bCs/>
        </w:rPr>
        <w:t>анич</w:t>
      </w:r>
      <w:r w:rsidR="00EE6AA2">
        <w:rPr>
          <w:bCs/>
        </w:rPr>
        <w:t>е</w:t>
      </w:r>
      <w:r>
        <w:rPr>
          <w:bCs/>
        </w:rPr>
        <w:t>ња</w:t>
      </w:r>
      <w:r w:rsidR="004B5159" w:rsidRPr="00F6340E">
        <w:rPr>
          <w:bCs/>
        </w:rPr>
        <w:t xml:space="preserve"> </w:t>
      </w:r>
      <w:r>
        <w:rPr>
          <w:bCs/>
        </w:rPr>
        <w:t>кој</w:t>
      </w:r>
      <w:r w:rsidR="00EE6AA2">
        <w:rPr>
          <w:bCs/>
        </w:rPr>
        <w:t>е</w:t>
      </w:r>
      <w:r w:rsidR="004B5159" w:rsidRPr="00F6340E">
        <w:rPr>
          <w:bCs/>
        </w:rPr>
        <w:t xml:space="preserve"> </w:t>
      </w:r>
      <w:r w:rsidR="0071360A">
        <w:rPr>
          <w:bCs/>
        </w:rPr>
        <w:t>су</w:t>
      </w:r>
      <w:r w:rsidR="004B5159" w:rsidRPr="00F6340E">
        <w:rPr>
          <w:bCs/>
        </w:rPr>
        <w:t xml:space="preserve"> </w:t>
      </w:r>
      <w:r w:rsidR="0071360A">
        <w:rPr>
          <w:bCs/>
        </w:rPr>
        <w:t>пр</w:t>
      </w:r>
      <w:r w:rsidR="00EE6AA2">
        <w:rPr>
          <w:bCs/>
        </w:rPr>
        <w:t>е</w:t>
      </w:r>
      <w:r w:rsidR="0071360A">
        <w:rPr>
          <w:bCs/>
        </w:rPr>
        <w:t>п</w:t>
      </w:r>
      <w:r>
        <w:rPr>
          <w:bCs/>
        </w:rPr>
        <w:t>о</w:t>
      </w:r>
      <w:r w:rsidR="00171F00">
        <w:rPr>
          <w:bCs/>
        </w:rPr>
        <w:t>з</w:t>
      </w:r>
      <w:r>
        <w:rPr>
          <w:bCs/>
        </w:rPr>
        <w:t>на</w:t>
      </w:r>
      <w:r w:rsidR="0071360A">
        <w:rPr>
          <w:bCs/>
        </w:rPr>
        <w:t>т</w:t>
      </w:r>
      <w:r w:rsidR="00EE6AA2">
        <w:rPr>
          <w:bCs/>
        </w:rPr>
        <w:t>е</w:t>
      </w:r>
      <w:r w:rsidR="004B5159" w:rsidRPr="00F6340E">
        <w:rPr>
          <w:bCs/>
        </w:rPr>
        <w:t xml:space="preserve"> </w:t>
      </w:r>
      <w:r>
        <w:rPr>
          <w:bCs/>
        </w:rPr>
        <w:t>од</w:t>
      </w:r>
      <w:r w:rsidR="004B5159" w:rsidRPr="00F6340E">
        <w:rPr>
          <w:bCs/>
        </w:rPr>
        <w:t xml:space="preserve"> </w:t>
      </w:r>
      <w:r w:rsidR="0071360A">
        <w:rPr>
          <w:bCs/>
        </w:rPr>
        <w:t>стр</w:t>
      </w:r>
      <w:r>
        <w:rPr>
          <w:bCs/>
        </w:rPr>
        <w:t>ан</w:t>
      </w:r>
      <w:r w:rsidR="00EE6AA2">
        <w:rPr>
          <w:bCs/>
        </w:rPr>
        <w:t>е</w:t>
      </w:r>
      <w:r w:rsidR="004B5159" w:rsidRPr="00F6340E">
        <w:rPr>
          <w:bCs/>
        </w:rPr>
        <w:t xml:space="preserve"> </w:t>
      </w:r>
      <w:r>
        <w:rPr>
          <w:bCs/>
        </w:rPr>
        <w:t>ј</w:t>
      </w:r>
      <w:r w:rsidR="00EE6AA2">
        <w:rPr>
          <w:bCs/>
        </w:rPr>
        <w:t>е</w:t>
      </w:r>
      <w:r>
        <w:rPr>
          <w:bCs/>
        </w:rPr>
        <w:t>дних</w:t>
      </w:r>
      <w:r w:rsidR="004B5159" w:rsidRPr="00F6340E">
        <w:rPr>
          <w:bCs/>
        </w:rPr>
        <w:t xml:space="preserve"> </w:t>
      </w:r>
      <w:r>
        <w:rPr>
          <w:bCs/>
        </w:rPr>
        <w:t>и</w:t>
      </w:r>
      <w:r w:rsidR="004B5159" w:rsidRPr="00F6340E">
        <w:rPr>
          <w:bCs/>
        </w:rPr>
        <w:t xml:space="preserve"> </w:t>
      </w:r>
      <w:r>
        <w:rPr>
          <w:bCs/>
        </w:rPr>
        <w:t>д</w:t>
      </w:r>
      <w:r w:rsidR="0071360A">
        <w:rPr>
          <w:bCs/>
        </w:rPr>
        <w:t>ру</w:t>
      </w:r>
      <w:r>
        <w:rPr>
          <w:bCs/>
        </w:rPr>
        <w:t>гих</w:t>
      </w:r>
      <w:r w:rsidR="004B5159" w:rsidRPr="00F6340E">
        <w:rPr>
          <w:bCs/>
        </w:rPr>
        <w:t xml:space="preserve">, </w:t>
      </w:r>
      <w:r>
        <w:rPr>
          <w:bCs/>
        </w:rPr>
        <w:t>на</w:t>
      </w:r>
      <w:r w:rsidR="0071360A">
        <w:rPr>
          <w:bCs/>
        </w:rPr>
        <w:t>в</w:t>
      </w:r>
      <w:r>
        <w:rPr>
          <w:bCs/>
        </w:rPr>
        <w:t>оди</w:t>
      </w:r>
      <w:r w:rsidR="004B5159" w:rsidRPr="00F6340E">
        <w:rPr>
          <w:bCs/>
        </w:rPr>
        <w:t xml:space="preserve"> </w:t>
      </w:r>
      <w:r w:rsidR="0071360A">
        <w:rPr>
          <w:bCs/>
        </w:rPr>
        <w:t>с</w:t>
      </w:r>
      <w:r w:rsidR="00EE6AA2">
        <w:rPr>
          <w:bCs/>
        </w:rPr>
        <w:t>е</w:t>
      </w:r>
      <w:r w:rsidR="004B5159" w:rsidRPr="00F6340E">
        <w:rPr>
          <w:bCs/>
        </w:rPr>
        <w:t xml:space="preserve"> </w:t>
      </w:r>
      <w:r>
        <w:rPr>
          <w:bCs/>
        </w:rPr>
        <w:t>и</w:t>
      </w:r>
      <w:r w:rsidR="004B5159" w:rsidRPr="00F6340E">
        <w:rPr>
          <w:bCs/>
        </w:rPr>
        <w:t xml:space="preserve"> </w:t>
      </w:r>
      <w:r w:rsidR="0071360A">
        <w:rPr>
          <w:bCs/>
        </w:rPr>
        <w:t>пр</w:t>
      </w:r>
      <w:r w:rsidR="00EE6AA2">
        <w:rPr>
          <w:bCs/>
        </w:rPr>
        <w:t>е</w:t>
      </w:r>
      <w:r w:rsidR="0071360A">
        <w:rPr>
          <w:bCs/>
        </w:rPr>
        <w:t>п</w:t>
      </w:r>
      <w:r>
        <w:rPr>
          <w:bCs/>
        </w:rPr>
        <w:t>о</w:t>
      </w:r>
      <w:r w:rsidR="0071360A">
        <w:rPr>
          <w:bCs/>
        </w:rPr>
        <w:t>ру</w:t>
      </w:r>
      <w:r>
        <w:rPr>
          <w:bCs/>
        </w:rPr>
        <w:t>ка</w:t>
      </w:r>
      <w:r w:rsidR="004B5159" w:rsidRPr="00F6340E">
        <w:rPr>
          <w:bCs/>
        </w:rPr>
        <w:t xml:space="preserve"> </w:t>
      </w:r>
      <w:r>
        <w:rPr>
          <w:bCs/>
        </w:rPr>
        <w:t>да</w:t>
      </w:r>
      <w:r w:rsidR="004B5159" w:rsidRPr="00F6340E">
        <w:rPr>
          <w:bCs/>
        </w:rPr>
        <w:t xml:space="preserve"> </w:t>
      </w:r>
      <w:r w:rsidR="0071360A">
        <w:rPr>
          <w:bCs/>
        </w:rPr>
        <w:t>с</w:t>
      </w:r>
      <w:r w:rsidR="00EE6AA2">
        <w:rPr>
          <w:bCs/>
        </w:rPr>
        <w:t>е</w:t>
      </w:r>
      <w:r w:rsidR="004B5159" w:rsidRPr="00F6340E">
        <w:rPr>
          <w:bCs/>
        </w:rPr>
        <w:t xml:space="preserve"> </w:t>
      </w:r>
      <w:r w:rsidR="0071360A">
        <w:rPr>
          <w:bCs/>
        </w:rPr>
        <w:t>у</w:t>
      </w:r>
      <w:r w:rsidR="004B5159" w:rsidRPr="00F6340E">
        <w:rPr>
          <w:bCs/>
        </w:rPr>
        <w:t xml:space="preserve"> </w:t>
      </w:r>
      <w:r w:rsidR="0071360A">
        <w:rPr>
          <w:bCs/>
        </w:rPr>
        <w:t>стру</w:t>
      </w:r>
      <w:r>
        <w:rPr>
          <w:bCs/>
        </w:rPr>
        <w:t>чно</w:t>
      </w:r>
      <w:r w:rsidR="004B5159" w:rsidRPr="00F6340E">
        <w:rPr>
          <w:bCs/>
        </w:rPr>
        <w:t xml:space="preserve"> </w:t>
      </w:r>
      <w:r w:rsidR="0071360A">
        <w:rPr>
          <w:bCs/>
        </w:rPr>
        <w:t>ус</w:t>
      </w:r>
      <w:r>
        <w:rPr>
          <w:bCs/>
        </w:rPr>
        <w:t>а</w:t>
      </w:r>
      <w:r w:rsidR="0071360A">
        <w:rPr>
          <w:bCs/>
        </w:rPr>
        <w:t>врш</w:t>
      </w:r>
      <w:r>
        <w:rPr>
          <w:bCs/>
        </w:rPr>
        <w:t>а</w:t>
      </w:r>
      <w:r w:rsidR="0071360A">
        <w:rPr>
          <w:bCs/>
        </w:rPr>
        <w:t>в</w:t>
      </w:r>
      <w:r>
        <w:rPr>
          <w:bCs/>
        </w:rPr>
        <w:t>ањ</w:t>
      </w:r>
      <w:r w:rsidR="00EE6AA2">
        <w:rPr>
          <w:bCs/>
        </w:rPr>
        <w:t>е</w:t>
      </w:r>
      <w:r w:rsidR="004B5159" w:rsidRPr="00F6340E">
        <w:rPr>
          <w:bCs/>
        </w:rPr>
        <w:t xml:space="preserve"> </w:t>
      </w:r>
      <w:r>
        <w:rPr>
          <w:bCs/>
        </w:rPr>
        <w:t>на</w:t>
      </w:r>
      <w:r w:rsidR="0071360A">
        <w:rPr>
          <w:bCs/>
        </w:rPr>
        <w:t>ст</w:t>
      </w:r>
      <w:r>
        <w:rPr>
          <w:bCs/>
        </w:rPr>
        <w:t>а</w:t>
      </w:r>
      <w:r w:rsidR="0071360A">
        <w:rPr>
          <w:bCs/>
        </w:rPr>
        <w:t>в</w:t>
      </w:r>
      <w:r>
        <w:rPr>
          <w:bCs/>
        </w:rPr>
        <w:t>ника</w:t>
      </w:r>
      <w:r w:rsidR="004B5159" w:rsidRPr="00F6340E">
        <w:rPr>
          <w:bCs/>
        </w:rPr>
        <w:t xml:space="preserve"> </w:t>
      </w:r>
      <w:r w:rsidR="0071360A">
        <w:rPr>
          <w:bCs/>
        </w:rPr>
        <w:t>ув</w:t>
      </w:r>
      <w:r w:rsidR="00EE6AA2">
        <w:rPr>
          <w:bCs/>
        </w:rPr>
        <w:t>е</w:t>
      </w:r>
      <w:r>
        <w:rPr>
          <w:bCs/>
        </w:rPr>
        <w:t>д</w:t>
      </w:r>
      <w:r w:rsidR="0071360A">
        <w:rPr>
          <w:bCs/>
        </w:rPr>
        <w:t>у</w:t>
      </w:r>
      <w:r w:rsidR="004B5159" w:rsidRPr="00F6340E">
        <w:rPr>
          <w:bCs/>
        </w:rPr>
        <w:t xml:space="preserve"> </w:t>
      </w:r>
      <w:r w:rsidR="0071360A">
        <w:rPr>
          <w:bCs/>
        </w:rPr>
        <w:t>с</w:t>
      </w:r>
      <w:r>
        <w:rPr>
          <w:bCs/>
        </w:rPr>
        <w:t>ад</w:t>
      </w:r>
      <w:r w:rsidR="0071360A">
        <w:rPr>
          <w:bCs/>
        </w:rPr>
        <w:t>р</w:t>
      </w:r>
      <w:r w:rsidR="00171F00">
        <w:rPr>
          <w:bCs/>
        </w:rPr>
        <w:t>ж</w:t>
      </w:r>
      <w:r>
        <w:rPr>
          <w:bCs/>
        </w:rPr>
        <w:t>аји</w:t>
      </w:r>
      <w:r w:rsidR="004B5159" w:rsidRPr="00F6340E">
        <w:rPr>
          <w:bCs/>
        </w:rPr>
        <w:t xml:space="preserve"> </w:t>
      </w:r>
      <w:r>
        <w:rPr>
          <w:bCs/>
        </w:rPr>
        <w:t>који</w:t>
      </w:r>
      <w:r w:rsidR="004B5159" w:rsidRPr="00F6340E">
        <w:rPr>
          <w:bCs/>
        </w:rPr>
        <w:t xml:space="preserve"> </w:t>
      </w:r>
      <w:r>
        <w:rPr>
          <w:bCs/>
        </w:rPr>
        <w:t>ћ</w:t>
      </w:r>
      <w:r w:rsidR="00EE6AA2">
        <w:rPr>
          <w:bCs/>
        </w:rPr>
        <w:t>е</w:t>
      </w:r>
      <w:r w:rsidR="004B5159" w:rsidRPr="00F6340E">
        <w:rPr>
          <w:bCs/>
        </w:rPr>
        <w:t xml:space="preserve"> </w:t>
      </w:r>
      <w:r w:rsidR="0071360A">
        <w:rPr>
          <w:bCs/>
        </w:rPr>
        <w:t>р</w:t>
      </w:r>
      <w:r>
        <w:rPr>
          <w:bCs/>
        </w:rPr>
        <w:t>а</w:t>
      </w:r>
      <w:r w:rsidR="00171F00">
        <w:rPr>
          <w:bCs/>
        </w:rPr>
        <w:t>з</w:t>
      </w:r>
      <w:r w:rsidR="0071360A">
        <w:rPr>
          <w:bCs/>
        </w:rPr>
        <w:t>в</w:t>
      </w:r>
      <w:r>
        <w:rPr>
          <w:bCs/>
        </w:rPr>
        <w:t>и</w:t>
      </w:r>
      <w:r w:rsidR="0071360A">
        <w:rPr>
          <w:bCs/>
        </w:rPr>
        <w:t>т</w:t>
      </w:r>
      <w:r>
        <w:rPr>
          <w:bCs/>
        </w:rPr>
        <w:t>и</w:t>
      </w:r>
      <w:r w:rsidR="004B5159" w:rsidRPr="00F6340E">
        <w:rPr>
          <w:bCs/>
        </w:rPr>
        <w:t xml:space="preserve"> </w:t>
      </w:r>
      <w:r>
        <w:rPr>
          <w:bCs/>
        </w:rPr>
        <w:t>и</w:t>
      </w:r>
      <w:r w:rsidR="004B5159" w:rsidRPr="00F6340E">
        <w:rPr>
          <w:bCs/>
        </w:rPr>
        <w:t>/</w:t>
      </w:r>
      <w:r>
        <w:rPr>
          <w:bCs/>
        </w:rPr>
        <w:t>или</w:t>
      </w:r>
      <w:r w:rsidR="004B5159" w:rsidRPr="00F6340E">
        <w:rPr>
          <w:bCs/>
        </w:rPr>
        <w:t xml:space="preserve"> </w:t>
      </w:r>
      <w:r>
        <w:rPr>
          <w:bCs/>
        </w:rPr>
        <w:t>о</w:t>
      </w:r>
      <w:r w:rsidR="0071360A">
        <w:rPr>
          <w:bCs/>
        </w:rPr>
        <w:t>с</w:t>
      </w:r>
      <w:r>
        <w:rPr>
          <w:bCs/>
        </w:rPr>
        <w:t>на</w:t>
      </w:r>
      <w:r w:rsidR="00171F00">
        <w:rPr>
          <w:bCs/>
        </w:rPr>
        <w:t>ж</w:t>
      </w:r>
      <w:r>
        <w:rPr>
          <w:bCs/>
        </w:rPr>
        <w:t>и</w:t>
      </w:r>
      <w:r w:rsidR="0071360A">
        <w:rPr>
          <w:bCs/>
        </w:rPr>
        <w:t>т</w:t>
      </w:r>
      <w:r>
        <w:rPr>
          <w:bCs/>
        </w:rPr>
        <w:t>и</w:t>
      </w:r>
      <w:r w:rsidR="004B5159" w:rsidRPr="00F6340E">
        <w:rPr>
          <w:bCs/>
        </w:rPr>
        <w:t xml:space="preserve"> </w:t>
      </w:r>
      <w:r w:rsidR="0071360A">
        <w:rPr>
          <w:bCs/>
        </w:rPr>
        <w:t>п</w:t>
      </w:r>
      <w:r w:rsidR="00EE6AA2">
        <w:rPr>
          <w:bCs/>
        </w:rPr>
        <w:t>е</w:t>
      </w:r>
      <w:r>
        <w:rPr>
          <w:bCs/>
        </w:rPr>
        <w:t>даго</w:t>
      </w:r>
      <w:r w:rsidR="0071360A">
        <w:rPr>
          <w:bCs/>
        </w:rPr>
        <w:t>ш</w:t>
      </w:r>
      <w:r>
        <w:rPr>
          <w:bCs/>
        </w:rPr>
        <w:t>к</w:t>
      </w:r>
      <w:r w:rsidR="00EE6AA2">
        <w:rPr>
          <w:bCs/>
        </w:rPr>
        <w:t>е</w:t>
      </w:r>
      <w:r w:rsidR="004B5159" w:rsidRPr="00F6340E">
        <w:rPr>
          <w:bCs/>
        </w:rPr>
        <w:t xml:space="preserve"> </w:t>
      </w:r>
      <w:r>
        <w:rPr>
          <w:bCs/>
        </w:rPr>
        <w:t>и</w:t>
      </w:r>
      <w:r w:rsidR="004B5159" w:rsidRPr="00F6340E">
        <w:rPr>
          <w:bCs/>
        </w:rPr>
        <w:t xml:space="preserve"> </w:t>
      </w:r>
      <w:r>
        <w:rPr>
          <w:bCs/>
        </w:rPr>
        <w:t>диги</w:t>
      </w:r>
      <w:r w:rsidR="0071360A">
        <w:rPr>
          <w:bCs/>
        </w:rPr>
        <w:t>т</w:t>
      </w:r>
      <w:r>
        <w:rPr>
          <w:bCs/>
        </w:rPr>
        <w:t>алн</w:t>
      </w:r>
      <w:r w:rsidR="00EE6AA2">
        <w:rPr>
          <w:bCs/>
        </w:rPr>
        <w:t>е</w:t>
      </w:r>
      <w:r w:rsidR="004B5159" w:rsidRPr="00F6340E">
        <w:rPr>
          <w:bCs/>
        </w:rPr>
        <w:t xml:space="preserve"> </w:t>
      </w:r>
      <w:r>
        <w:rPr>
          <w:bCs/>
        </w:rPr>
        <w:t>ком</w:t>
      </w:r>
      <w:r w:rsidR="0071360A">
        <w:rPr>
          <w:bCs/>
        </w:rPr>
        <w:t>п</w:t>
      </w:r>
      <w:r w:rsidR="00EE6AA2">
        <w:rPr>
          <w:bCs/>
        </w:rPr>
        <w:t>е</w:t>
      </w:r>
      <w:r w:rsidR="0071360A">
        <w:rPr>
          <w:bCs/>
        </w:rPr>
        <w:t>т</w:t>
      </w:r>
      <w:r w:rsidR="00EE6AA2">
        <w:rPr>
          <w:bCs/>
        </w:rPr>
        <w:t>е</w:t>
      </w:r>
      <w:r>
        <w:rPr>
          <w:bCs/>
        </w:rPr>
        <w:t>нциј</w:t>
      </w:r>
      <w:r w:rsidR="00EE6AA2">
        <w:rPr>
          <w:bCs/>
        </w:rPr>
        <w:t>е</w:t>
      </w:r>
      <w:r w:rsidR="004B5159" w:rsidRPr="00F6340E">
        <w:rPr>
          <w:bCs/>
        </w:rPr>
        <w:t xml:space="preserve"> </w:t>
      </w:r>
      <w:r>
        <w:rPr>
          <w:bCs/>
        </w:rPr>
        <w:t>на</w:t>
      </w:r>
      <w:r w:rsidR="0071360A">
        <w:rPr>
          <w:bCs/>
        </w:rPr>
        <w:t>ст</w:t>
      </w:r>
      <w:r>
        <w:rPr>
          <w:bCs/>
        </w:rPr>
        <w:t>а</w:t>
      </w:r>
      <w:r w:rsidR="0071360A">
        <w:rPr>
          <w:bCs/>
        </w:rPr>
        <w:t>в</w:t>
      </w:r>
      <w:r>
        <w:rPr>
          <w:bCs/>
        </w:rPr>
        <w:t>ника</w:t>
      </w:r>
      <w:r w:rsidR="004B5159" w:rsidRPr="00F6340E">
        <w:rPr>
          <w:bCs/>
        </w:rPr>
        <w:t xml:space="preserve">. </w:t>
      </w:r>
      <w:r w:rsidR="0071360A">
        <w:rPr>
          <w:bCs/>
        </w:rPr>
        <w:t>Р</w:t>
      </w:r>
      <w:r>
        <w:rPr>
          <w:bCs/>
        </w:rPr>
        <w:t>ади</w:t>
      </w:r>
      <w:r w:rsidR="004B5159" w:rsidRPr="00F6340E">
        <w:rPr>
          <w:bCs/>
        </w:rPr>
        <w:t xml:space="preserve"> </w:t>
      </w:r>
      <w:r w:rsidR="0071360A">
        <w:rPr>
          <w:bCs/>
        </w:rPr>
        <w:t>с</w:t>
      </w:r>
      <w:r w:rsidR="00EE6AA2">
        <w:rPr>
          <w:bCs/>
        </w:rPr>
        <w:t>е</w:t>
      </w:r>
      <w:r w:rsidR="004B5159" w:rsidRPr="00F6340E">
        <w:rPr>
          <w:bCs/>
        </w:rPr>
        <w:t xml:space="preserve"> </w:t>
      </w:r>
      <w:r>
        <w:rPr>
          <w:bCs/>
        </w:rPr>
        <w:t>о</w:t>
      </w:r>
      <w:r w:rsidR="004B5159" w:rsidRPr="00F6340E">
        <w:rPr>
          <w:bCs/>
        </w:rPr>
        <w:t xml:space="preserve"> </w:t>
      </w:r>
      <w:r w:rsidR="0071360A">
        <w:rPr>
          <w:rStyle w:val="None"/>
          <w:rFonts w:cs="Arial"/>
          <w:color w:val="000000" w:themeColor="text1"/>
          <w:szCs w:val="24"/>
        </w:rPr>
        <w:t>у</w:t>
      </w:r>
      <w:r>
        <w:rPr>
          <w:rStyle w:val="None"/>
          <w:rFonts w:cs="Arial"/>
          <w:color w:val="000000" w:themeColor="text1"/>
          <w:szCs w:val="24"/>
        </w:rPr>
        <w:t>кљ</w:t>
      </w:r>
      <w:r w:rsidR="0071360A">
        <w:rPr>
          <w:rStyle w:val="None"/>
          <w:rFonts w:cs="Arial"/>
          <w:color w:val="000000" w:themeColor="text1"/>
          <w:szCs w:val="24"/>
        </w:rPr>
        <w:t>у</w:t>
      </w:r>
      <w:r>
        <w:rPr>
          <w:rStyle w:val="None"/>
          <w:rFonts w:cs="Arial"/>
          <w:color w:val="000000" w:themeColor="text1"/>
          <w:szCs w:val="24"/>
        </w:rPr>
        <w:t>чи</w:t>
      </w:r>
      <w:r w:rsidR="0071360A">
        <w:rPr>
          <w:rStyle w:val="None"/>
          <w:rFonts w:cs="Arial"/>
          <w:color w:val="000000" w:themeColor="text1"/>
          <w:szCs w:val="24"/>
        </w:rPr>
        <w:t>в</w:t>
      </w:r>
      <w:r>
        <w:rPr>
          <w:rStyle w:val="None"/>
          <w:rFonts w:cs="Arial"/>
          <w:color w:val="000000" w:themeColor="text1"/>
          <w:szCs w:val="24"/>
        </w:rPr>
        <w:t>ањ</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EE6AA2">
        <w:rPr>
          <w:rStyle w:val="None"/>
          <w:rFonts w:cs="Arial"/>
          <w:color w:val="000000" w:themeColor="text1"/>
          <w:szCs w:val="24"/>
        </w:rPr>
        <w:t>е</w:t>
      </w:r>
      <w:r>
        <w:rPr>
          <w:rStyle w:val="None"/>
          <w:rFonts w:cs="Arial"/>
          <w:color w:val="000000" w:themeColor="text1"/>
          <w:szCs w:val="24"/>
        </w:rPr>
        <w:t>л</w:t>
      </w:r>
      <w:r w:rsidR="00EE6AA2">
        <w:rPr>
          <w:rStyle w:val="None"/>
          <w:rFonts w:cs="Arial"/>
          <w:color w:val="000000" w:themeColor="text1"/>
          <w:szCs w:val="24"/>
        </w:rPr>
        <w:t>е</w:t>
      </w:r>
      <w:r>
        <w:rPr>
          <w:rStyle w:val="None"/>
          <w:rFonts w:cs="Arial"/>
          <w:color w:val="000000" w:themeColor="text1"/>
          <w:szCs w:val="24"/>
        </w:rPr>
        <w:t>м</w:t>
      </w:r>
      <w:r w:rsidR="00EE6AA2">
        <w:rPr>
          <w:rStyle w:val="None"/>
          <w:rFonts w:cs="Arial"/>
          <w:color w:val="000000" w:themeColor="text1"/>
          <w:szCs w:val="24"/>
        </w:rPr>
        <w:t>е</w:t>
      </w:r>
      <w:r>
        <w:rPr>
          <w:rStyle w:val="None"/>
          <w:rFonts w:cs="Arial"/>
          <w:color w:val="000000" w:themeColor="text1"/>
          <w:szCs w:val="24"/>
        </w:rPr>
        <w:t>на</w:t>
      </w:r>
      <w:r w:rsidR="0071360A">
        <w:rPr>
          <w:rStyle w:val="None"/>
          <w:rFonts w:cs="Arial"/>
          <w:color w:val="000000" w:themeColor="text1"/>
          <w:szCs w:val="24"/>
        </w:rPr>
        <w:t>т</w:t>
      </w:r>
      <w:r>
        <w:rPr>
          <w:rStyle w:val="None"/>
          <w:rFonts w:cs="Arial"/>
          <w:color w:val="000000" w:themeColor="text1"/>
          <w:szCs w:val="24"/>
        </w:rPr>
        <w:t>а</w:t>
      </w:r>
      <w:r w:rsidR="004B5159" w:rsidRPr="00F6340E">
        <w:rPr>
          <w:rStyle w:val="None"/>
          <w:rFonts w:cs="Arial"/>
          <w:color w:val="000000" w:themeColor="text1"/>
          <w:szCs w:val="24"/>
        </w:rPr>
        <w:t xml:space="preserve"> </w:t>
      </w:r>
      <w:r>
        <w:rPr>
          <w:rStyle w:val="None"/>
          <w:rFonts w:cs="Arial"/>
          <w:color w:val="000000" w:themeColor="text1"/>
          <w:szCs w:val="24"/>
        </w:rPr>
        <w:t>на</w:t>
      </w:r>
      <w:r w:rsidR="0071360A">
        <w:rPr>
          <w:rStyle w:val="None"/>
          <w:rFonts w:cs="Arial"/>
          <w:color w:val="000000" w:themeColor="text1"/>
          <w:szCs w:val="24"/>
        </w:rPr>
        <w:t>ст</w:t>
      </w:r>
      <w:r>
        <w:rPr>
          <w:rStyle w:val="None"/>
          <w:rFonts w:cs="Arial"/>
          <w:color w:val="000000" w:themeColor="text1"/>
          <w:szCs w:val="24"/>
        </w:rPr>
        <w:t>а</w:t>
      </w:r>
      <w:r w:rsidR="0071360A">
        <w:rPr>
          <w:rStyle w:val="None"/>
          <w:rFonts w:cs="Arial"/>
          <w:color w:val="000000" w:themeColor="text1"/>
          <w:szCs w:val="24"/>
        </w:rPr>
        <w:t>в</w:t>
      </w:r>
      <w:r w:rsidR="00EE6AA2">
        <w:rPr>
          <w:rStyle w:val="None"/>
          <w:rFonts w:cs="Arial"/>
          <w:color w:val="000000" w:themeColor="text1"/>
          <w:szCs w:val="24"/>
        </w:rPr>
        <w:t>е</w:t>
      </w:r>
      <w:r w:rsidR="00C47A01" w:rsidRPr="00F6340E">
        <w:rPr>
          <w:rStyle w:val="None"/>
          <w:rFonts w:cs="Arial"/>
          <w:color w:val="000000" w:themeColor="text1"/>
          <w:szCs w:val="24"/>
        </w:rPr>
        <w:t xml:space="preserve"> </w:t>
      </w:r>
      <w:r w:rsidR="0071360A">
        <w:rPr>
          <w:rStyle w:val="None"/>
          <w:rFonts w:cs="Arial"/>
          <w:color w:val="000000" w:themeColor="text1"/>
          <w:szCs w:val="24"/>
        </w:rPr>
        <w:t>пут</w:t>
      </w:r>
      <w:r w:rsidR="00EE6AA2">
        <w:rPr>
          <w:rStyle w:val="None"/>
          <w:rFonts w:cs="Arial"/>
          <w:color w:val="000000" w:themeColor="text1"/>
          <w:szCs w:val="24"/>
        </w:rPr>
        <w:t>е</w:t>
      </w:r>
      <w:r>
        <w:rPr>
          <w:rStyle w:val="None"/>
          <w:rFonts w:cs="Arial"/>
          <w:color w:val="000000" w:themeColor="text1"/>
          <w:szCs w:val="24"/>
        </w:rPr>
        <w:t>м</w:t>
      </w:r>
      <w:r w:rsidR="00C47A01" w:rsidRPr="00F6340E">
        <w:rPr>
          <w:rStyle w:val="None"/>
          <w:rFonts w:cs="Arial"/>
          <w:color w:val="000000" w:themeColor="text1"/>
          <w:szCs w:val="24"/>
        </w:rPr>
        <w:t xml:space="preserve"> </w:t>
      </w:r>
      <w:r>
        <w:rPr>
          <w:rStyle w:val="None"/>
          <w:rFonts w:cs="Arial"/>
          <w:color w:val="000000" w:themeColor="text1"/>
          <w:szCs w:val="24"/>
        </w:rPr>
        <w:t>ин</w:t>
      </w:r>
      <w:r w:rsidR="0071360A">
        <w:rPr>
          <w:rStyle w:val="None"/>
          <w:rFonts w:cs="Arial"/>
          <w:color w:val="000000" w:themeColor="text1"/>
          <w:szCs w:val="24"/>
        </w:rPr>
        <w:t>т</w:t>
      </w:r>
      <w:r w:rsidR="00EE6AA2">
        <w:rPr>
          <w:rStyle w:val="None"/>
          <w:rFonts w:cs="Arial"/>
          <w:color w:val="000000" w:themeColor="text1"/>
          <w:szCs w:val="24"/>
        </w:rPr>
        <w:t>е</w:t>
      </w:r>
      <w:r w:rsidR="0071360A">
        <w:rPr>
          <w:rStyle w:val="None"/>
          <w:rFonts w:cs="Arial"/>
          <w:color w:val="000000" w:themeColor="text1"/>
          <w:szCs w:val="24"/>
        </w:rPr>
        <w:t>р</w:t>
      </w:r>
      <w:r>
        <w:rPr>
          <w:rStyle w:val="None"/>
          <w:rFonts w:cs="Arial"/>
          <w:color w:val="000000" w:themeColor="text1"/>
          <w:szCs w:val="24"/>
        </w:rPr>
        <w:t>н</w:t>
      </w:r>
      <w:r w:rsidR="00EE6AA2">
        <w:rPr>
          <w:rStyle w:val="None"/>
          <w:rFonts w:cs="Arial"/>
          <w:color w:val="000000" w:themeColor="text1"/>
          <w:szCs w:val="24"/>
        </w:rPr>
        <w:t>е</w:t>
      </w:r>
      <w:r w:rsidR="0071360A">
        <w:rPr>
          <w:rStyle w:val="None"/>
          <w:rFonts w:cs="Arial"/>
          <w:color w:val="000000" w:themeColor="text1"/>
          <w:szCs w:val="24"/>
        </w:rPr>
        <w:t>т</w:t>
      </w:r>
      <w:r>
        <w:rPr>
          <w:rStyle w:val="None"/>
          <w:rFonts w:cs="Arial"/>
          <w:color w:val="000000" w:themeColor="text1"/>
          <w:szCs w:val="24"/>
        </w:rPr>
        <w:t>а</w:t>
      </w:r>
      <w:r w:rsidR="004B5159" w:rsidRPr="00F6340E">
        <w:rPr>
          <w:rStyle w:val="None"/>
          <w:rFonts w:cs="Arial"/>
          <w:color w:val="000000" w:themeColor="text1"/>
          <w:szCs w:val="24"/>
        </w:rPr>
        <w:t xml:space="preserve"> </w:t>
      </w:r>
      <w:r>
        <w:rPr>
          <w:rStyle w:val="None"/>
          <w:rFonts w:cs="Arial"/>
          <w:color w:val="000000" w:themeColor="text1"/>
          <w:szCs w:val="24"/>
        </w:rPr>
        <w:t>који</w:t>
      </w:r>
      <w:r w:rsidR="004B5159" w:rsidRPr="00F6340E">
        <w:rPr>
          <w:rStyle w:val="None"/>
          <w:rFonts w:cs="Arial"/>
          <w:color w:val="000000" w:themeColor="text1"/>
          <w:szCs w:val="24"/>
        </w:rPr>
        <w:t xml:space="preserve"> </w:t>
      </w:r>
      <w:r w:rsidR="0071360A">
        <w:rPr>
          <w:rStyle w:val="None"/>
          <w:rFonts w:cs="Arial"/>
          <w:color w:val="000000" w:themeColor="text1"/>
          <w:szCs w:val="24"/>
        </w:rPr>
        <w:t>с</w:t>
      </w:r>
      <w:r w:rsidR="00EE6AA2">
        <w:rPr>
          <w:rStyle w:val="None"/>
          <w:rFonts w:cs="Arial"/>
          <w:color w:val="000000" w:themeColor="text1"/>
          <w:szCs w:val="24"/>
        </w:rPr>
        <w:t>е</w:t>
      </w:r>
      <w:r w:rsidR="004B5159" w:rsidRPr="00F6340E">
        <w:rPr>
          <w:rStyle w:val="None"/>
          <w:rFonts w:cs="Arial"/>
          <w:color w:val="000000" w:themeColor="text1"/>
          <w:szCs w:val="24"/>
        </w:rPr>
        <w:t xml:space="preserve"> </w:t>
      </w:r>
      <w:r>
        <w:rPr>
          <w:rStyle w:val="None"/>
          <w:rFonts w:cs="Arial"/>
          <w:color w:val="000000" w:themeColor="text1"/>
          <w:szCs w:val="24"/>
        </w:rPr>
        <w:t>одно</w:t>
      </w:r>
      <w:r w:rsidR="0071360A">
        <w:rPr>
          <w:rStyle w:val="None"/>
          <w:rFonts w:cs="Arial"/>
          <w:color w:val="000000" w:themeColor="text1"/>
          <w:szCs w:val="24"/>
        </w:rPr>
        <w:t>с</w:t>
      </w:r>
      <w:r w:rsidR="00EE6AA2">
        <w:rPr>
          <w:rStyle w:val="None"/>
          <w:rFonts w:cs="Arial"/>
          <w:color w:val="000000" w:themeColor="text1"/>
          <w:szCs w:val="24"/>
        </w:rPr>
        <w:t>е</w:t>
      </w:r>
      <w:r w:rsidR="004B5159" w:rsidRPr="00F6340E">
        <w:rPr>
          <w:rStyle w:val="None"/>
          <w:rFonts w:cs="Arial"/>
          <w:color w:val="000000" w:themeColor="text1"/>
          <w:szCs w:val="24"/>
        </w:rPr>
        <w:t xml:space="preserve"> </w:t>
      </w:r>
      <w:r>
        <w:rPr>
          <w:rStyle w:val="None"/>
          <w:rFonts w:cs="Arial"/>
          <w:color w:val="000000" w:themeColor="text1"/>
          <w:szCs w:val="24"/>
        </w:rPr>
        <w:t>на</w:t>
      </w:r>
      <w:r w:rsidR="004B5159" w:rsidRPr="00F6340E">
        <w:rPr>
          <w:rStyle w:val="None"/>
          <w:rFonts w:cs="Arial"/>
          <w:color w:val="000000" w:themeColor="text1"/>
          <w:szCs w:val="24"/>
        </w:rPr>
        <w:t xml:space="preserve"> </w:t>
      </w:r>
      <w:r w:rsidR="0071360A">
        <w:rPr>
          <w:rStyle w:val="None"/>
          <w:rFonts w:cs="Arial"/>
          <w:color w:val="000000" w:themeColor="text1"/>
          <w:szCs w:val="24"/>
        </w:rPr>
        <w:t>пр</w:t>
      </w:r>
      <w:r>
        <w:rPr>
          <w:rStyle w:val="None"/>
          <w:rFonts w:cs="Arial"/>
          <w:color w:val="000000" w:themeColor="text1"/>
          <w:szCs w:val="24"/>
        </w:rPr>
        <w:t>имј</w:t>
      </w:r>
      <w:r w:rsidR="00EE6AA2">
        <w:rPr>
          <w:rStyle w:val="None"/>
          <w:rFonts w:cs="Arial"/>
          <w:color w:val="000000" w:themeColor="text1"/>
          <w:szCs w:val="24"/>
        </w:rPr>
        <w:t>е</w:t>
      </w:r>
      <w:r>
        <w:rPr>
          <w:rStyle w:val="None"/>
          <w:rFonts w:cs="Arial"/>
          <w:color w:val="000000" w:themeColor="text1"/>
          <w:szCs w:val="24"/>
        </w:rPr>
        <w:t>н</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71360A">
        <w:rPr>
          <w:rStyle w:val="None"/>
          <w:rFonts w:cs="Arial"/>
          <w:color w:val="000000" w:themeColor="text1"/>
          <w:szCs w:val="24"/>
        </w:rPr>
        <w:t>р</w:t>
      </w:r>
      <w:r>
        <w:rPr>
          <w:rStyle w:val="None"/>
          <w:rFonts w:cs="Arial"/>
          <w:color w:val="000000" w:themeColor="text1"/>
          <w:szCs w:val="24"/>
        </w:rPr>
        <w:t>а</w:t>
      </w:r>
      <w:r w:rsidR="00171F00">
        <w:rPr>
          <w:rStyle w:val="None"/>
          <w:rFonts w:cs="Arial"/>
          <w:color w:val="000000" w:themeColor="text1"/>
          <w:szCs w:val="24"/>
        </w:rPr>
        <w:t>з</w:t>
      </w:r>
      <w:r>
        <w:rPr>
          <w:rStyle w:val="None"/>
          <w:rFonts w:cs="Arial"/>
          <w:color w:val="000000" w:themeColor="text1"/>
          <w:szCs w:val="24"/>
        </w:rPr>
        <w:t>личи</w:t>
      </w:r>
      <w:r w:rsidR="0071360A">
        <w:rPr>
          <w:rStyle w:val="None"/>
          <w:rFonts w:cs="Arial"/>
          <w:color w:val="000000" w:themeColor="text1"/>
          <w:szCs w:val="24"/>
        </w:rPr>
        <w:t>т</w:t>
      </w:r>
      <w:r>
        <w:rPr>
          <w:rStyle w:val="None"/>
          <w:rFonts w:cs="Arial"/>
          <w:color w:val="000000" w:themeColor="text1"/>
          <w:szCs w:val="24"/>
        </w:rPr>
        <w:t>их</w:t>
      </w:r>
      <w:r w:rsidR="004B5159" w:rsidRPr="00F6340E">
        <w:rPr>
          <w:rStyle w:val="None"/>
          <w:rFonts w:cs="Arial"/>
          <w:color w:val="000000" w:themeColor="text1"/>
          <w:szCs w:val="24"/>
        </w:rPr>
        <w:t xml:space="preserve"> </w:t>
      </w:r>
      <w:r w:rsidR="0071360A">
        <w:rPr>
          <w:rStyle w:val="None"/>
          <w:rFonts w:cs="Arial"/>
          <w:color w:val="000000" w:themeColor="text1"/>
          <w:szCs w:val="24"/>
        </w:rPr>
        <w:t>т</w:t>
      </w:r>
      <w:r w:rsidR="00EE6AA2">
        <w:rPr>
          <w:rStyle w:val="None"/>
          <w:rFonts w:cs="Arial"/>
          <w:color w:val="000000" w:themeColor="text1"/>
          <w:szCs w:val="24"/>
        </w:rPr>
        <w:t>е</w:t>
      </w:r>
      <w:r>
        <w:rPr>
          <w:rStyle w:val="None"/>
          <w:rFonts w:cs="Arial"/>
          <w:color w:val="000000" w:themeColor="text1"/>
          <w:szCs w:val="24"/>
        </w:rPr>
        <w:t>хнологија</w:t>
      </w:r>
      <w:r w:rsidR="004B5159" w:rsidRPr="00F6340E">
        <w:rPr>
          <w:rStyle w:val="None"/>
          <w:rFonts w:cs="Arial"/>
          <w:color w:val="000000" w:themeColor="text1"/>
          <w:szCs w:val="24"/>
        </w:rPr>
        <w:t xml:space="preserve">, </w:t>
      </w:r>
      <w:r w:rsidR="0071360A">
        <w:rPr>
          <w:rStyle w:val="None"/>
          <w:rFonts w:cs="Arial"/>
          <w:color w:val="000000" w:themeColor="text1"/>
          <w:szCs w:val="24"/>
        </w:rPr>
        <w:t>р</w:t>
      </w:r>
      <w:r>
        <w:rPr>
          <w:rStyle w:val="None"/>
          <w:rFonts w:cs="Arial"/>
          <w:color w:val="000000" w:themeColor="text1"/>
          <w:szCs w:val="24"/>
        </w:rPr>
        <w:t>а</w:t>
      </w:r>
      <w:r w:rsidR="00171F00">
        <w:rPr>
          <w:rStyle w:val="None"/>
          <w:rFonts w:cs="Arial"/>
          <w:color w:val="000000" w:themeColor="text1"/>
          <w:szCs w:val="24"/>
        </w:rPr>
        <w:t>з</w:t>
      </w:r>
      <w:r>
        <w:rPr>
          <w:rStyle w:val="None"/>
          <w:rFonts w:cs="Arial"/>
          <w:color w:val="000000" w:themeColor="text1"/>
          <w:szCs w:val="24"/>
        </w:rPr>
        <w:t>личи</w:t>
      </w:r>
      <w:r w:rsidR="0071360A">
        <w:rPr>
          <w:rStyle w:val="None"/>
          <w:rFonts w:cs="Arial"/>
          <w:color w:val="000000" w:themeColor="text1"/>
          <w:szCs w:val="24"/>
        </w:rPr>
        <w:t>т</w:t>
      </w:r>
      <w:r>
        <w:rPr>
          <w:rStyle w:val="None"/>
          <w:rFonts w:cs="Arial"/>
          <w:color w:val="000000" w:themeColor="text1"/>
          <w:szCs w:val="24"/>
        </w:rPr>
        <w:t>их</w:t>
      </w:r>
      <w:r w:rsidR="004B5159" w:rsidRPr="00F6340E">
        <w:rPr>
          <w:rStyle w:val="None"/>
          <w:rFonts w:cs="Arial"/>
          <w:color w:val="000000" w:themeColor="text1"/>
          <w:szCs w:val="24"/>
        </w:rPr>
        <w:t xml:space="preserve"> </w:t>
      </w:r>
      <w:r>
        <w:rPr>
          <w:rStyle w:val="None"/>
          <w:rFonts w:cs="Arial"/>
          <w:color w:val="000000" w:themeColor="text1"/>
          <w:szCs w:val="24"/>
        </w:rPr>
        <w:t>ин</w:t>
      </w:r>
      <w:r w:rsidR="0071360A">
        <w:rPr>
          <w:rStyle w:val="None"/>
          <w:rFonts w:cs="Arial"/>
          <w:color w:val="000000" w:themeColor="text1"/>
          <w:szCs w:val="24"/>
        </w:rPr>
        <w:t>т</w:t>
      </w:r>
      <w:r w:rsidR="00EE6AA2">
        <w:rPr>
          <w:rStyle w:val="None"/>
          <w:rFonts w:cs="Arial"/>
          <w:color w:val="000000" w:themeColor="text1"/>
          <w:szCs w:val="24"/>
        </w:rPr>
        <w:t>е</w:t>
      </w:r>
      <w:r w:rsidR="0071360A">
        <w:rPr>
          <w:rStyle w:val="None"/>
          <w:rFonts w:cs="Arial"/>
          <w:color w:val="000000" w:themeColor="text1"/>
          <w:szCs w:val="24"/>
        </w:rPr>
        <w:t>р</w:t>
      </w:r>
      <w:r>
        <w:rPr>
          <w:rStyle w:val="None"/>
          <w:rFonts w:cs="Arial"/>
          <w:color w:val="000000" w:themeColor="text1"/>
          <w:szCs w:val="24"/>
        </w:rPr>
        <w:t>н</w:t>
      </w:r>
      <w:r w:rsidR="00EE6AA2">
        <w:rPr>
          <w:rStyle w:val="None"/>
          <w:rFonts w:cs="Arial"/>
          <w:color w:val="000000" w:themeColor="text1"/>
          <w:szCs w:val="24"/>
        </w:rPr>
        <w:t>е</w:t>
      </w:r>
      <w:r w:rsidR="0071360A">
        <w:rPr>
          <w:rStyle w:val="None"/>
          <w:rFonts w:cs="Arial"/>
          <w:color w:val="000000" w:themeColor="text1"/>
          <w:szCs w:val="24"/>
        </w:rPr>
        <w:t>т</w:t>
      </w:r>
      <w:r w:rsidR="004B5159" w:rsidRPr="00F6340E">
        <w:rPr>
          <w:rStyle w:val="None"/>
          <w:rFonts w:cs="Arial"/>
          <w:color w:val="000000" w:themeColor="text1"/>
          <w:szCs w:val="24"/>
        </w:rPr>
        <w:t xml:space="preserve"> </w:t>
      </w:r>
      <w:r>
        <w:rPr>
          <w:rStyle w:val="None"/>
          <w:rFonts w:cs="Arial"/>
          <w:color w:val="000000" w:themeColor="text1"/>
          <w:szCs w:val="24"/>
        </w:rPr>
        <w:t>и</w:t>
      </w:r>
      <w:r w:rsidR="00171F00">
        <w:rPr>
          <w:rStyle w:val="None"/>
          <w:rFonts w:cs="Arial"/>
          <w:color w:val="000000" w:themeColor="text1"/>
          <w:szCs w:val="24"/>
        </w:rPr>
        <w:t>з</w:t>
      </w:r>
      <w:r w:rsidR="0071360A">
        <w:rPr>
          <w:rStyle w:val="None"/>
          <w:rFonts w:cs="Arial"/>
          <w:color w:val="000000" w:themeColor="text1"/>
          <w:szCs w:val="24"/>
        </w:rPr>
        <w:t>в</w:t>
      </w:r>
      <w:r>
        <w:rPr>
          <w:rStyle w:val="None"/>
          <w:rFonts w:cs="Arial"/>
          <w:color w:val="000000" w:themeColor="text1"/>
          <w:szCs w:val="24"/>
        </w:rPr>
        <w:t>о</w:t>
      </w:r>
      <w:r w:rsidR="0071360A">
        <w:rPr>
          <w:rStyle w:val="None"/>
          <w:rFonts w:cs="Arial"/>
          <w:color w:val="000000" w:themeColor="text1"/>
          <w:szCs w:val="24"/>
        </w:rPr>
        <w:t>р</w:t>
      </w:r>
      <w:r>
        <w:rPr>
          <w:rStyle w:val="None"/>
          <w:rFonts w:cs="Arial"/>
          <w:color w:val="000000" w:themeColor="text1"/>
          <w:szCs w:val="24"/>
        </w:rPr>
        <w:t>а</w:t>
      </w:r>
      <w:r w:rsidR="004B5159" w:rsidRPr="00F6340E">
        <w:rPr>
          <w:rStyle w:val="None"/>
          <w:rFonts w:cs="Arial"/>
          <w:color w:val="000000" w:themeColor="text1"/>
          <w:szCs w:val="24"/>
        </w:rPr>
        <w:t xml:space="preserve"> </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Pr>
          <w:rStyle w:val="None"/>
          <w:rFonts w:cs="Arial"/>
          <w:color w:val="000000" w:themeColor="text1"/>
          <w:szCs w:val="24"/>
        </w:rPr>
        <w:t>на</w:t>
      </w:r>
      <w:r w:rsidR="0071360A">
        <w:rPr>
          <w:rStyle w:val="None"/>
          <w:rFonts w:cs="Arial"/>
          <w:color w:val="000000" w:themeColor="text1"/>
          <w:szCs w:val="24"/>
        </w:rPr>
        <w:t>ст</w:t>
      </w:r>
      <w:r>
        <w:rPr>
          <w:rStyle w:val="None"/>
          <w:rFonts w:cs="Arial"/>
          <w:color w:val="000000" w:themeColor="text1"/>
          <w:szCs w:val="24"/>
        </w:rPr>
        <w:t>а</w:t>
      </w:r>
      <w:r w:rsidR="0071360A">
        <w:rPr>
          <w:rStyle w:val="None"/>
          <w:rFonts w:cs="Arial"/>
          <w:color w:val="000000" w:themeColor="text1"/>
          <w:szCs w:val="24"/>
        </w:rPr>
        <w:t>в</w:t>
      </w:r>
      <w:r>
        <w:rPr>
          <w:rStyle w:val="None"/>
          <w:rFonts w:cs="Arial"/>
          <w:color w:val="000000" w:themeColor="text1"/>
          <w:szCs w:val="24"/>
        </w:rPr>
        <w:t>и</w:t>
      </w:r>
      <w:r w:rsidR="004B5159" w:rsidRPr="00F6340E">
        <w:rPr>
          <w:rStyle w:val="None"/>
          <w:rFonts w:cs="Arial"/>
          <w:color w:val="000000" w:themeColor="text1"/>
          <w:szCs w:val="24"/>
        </w:rPr>
        <w:t xml:space="preserve">, </w:t>
      </w:r>
      <w:r>
        <w:rPr>
          <w:rStyle w:val="None"/>
          <w:rFonts w:cs="Arial"/>
          <w:color w:val="000000" w:themeColor="text1"/>
          <w:szCs w:val="24"/>
        </w:rPr>
        <w:t>до</w:t>
      </w:r>
      <w:r w:rsidR="004B5159" w:rsidRPr="00F6340E">
        <w:rPr>
          <w:rStyle w:val="None"/>
          <w:rFonts w:cs="Arial"/>
          <w:color w:val="000000" w:themeColor="text1"/>
          <w:szCs w:val="24"/>
        </w:rPr>
        <w:t xml:space="preserve"> </w:t>
      </w:r>
      <w:r>
        <w:rPr>
          <w:rStyle w:val="None"/>
          <w:rFonts w:cs="Arial"/>
          <w:color w:val="000000" w:themeColor="text1"/>
          <w:szCs w:val="24"/>
        </w:rPr>
        <w:t>дока</w:t>
      </w:r>
      <w:r w:rsidR="00171F00">
        <w:rPr>
          <w:rStyle w:val="None"/>
          <w:rFonts w:cs="Arial"/>
          <w:color w:val="000000" w:themeColor="text1"/>
          <w:szCs w:val="24"/>
        </w:rPr>
        <w:t>з</w:t>
      </w:r>
      <w:r>
        <w:rPr>
          <w:rStyle w:val="None"/>
          <w:rFonts w:cs="Arial"/>
          <w:color w:val="000000" w:themeColor="text1"/>
          <w:szCs w:val="24"/>
        </w:rPr>
        <w:t>ано</w:t>
      </w:r>
      <w:r w:rsidR="004B5159" w:rsidRPr="00F6340E">
        <w:rPr>
          <w:rStyle w:val="None"/>
          <w:rFonts w:cs="Arial"/>
          <w:color w:val="000000" w:themeColor="text1"/>
          <w:szCs w:val="24"/>
        </w:rPr>
        <w:t xml:space="preserve"> </w:t>
      </w:r>
      <w:r w:rsidR="00EE6AA2">
        <w:rPr>
          <w:rStyle w:val="None"/>
          <w:rFonts w:cs="Arial"/>
          <w:color w:val="000000" w:themeColor="text1"/>
          <w:szCs w:val="24"/>
        </w:rPr>
        <w:t>е</w:t>
      </w:r>
      <w:r>
        <w:rPr>
          <w:rStyle w:val="None"/>
          <w:rFonts w:cs="Arial"/>
          <w:color w:val="000000" w:themeColor="text1"/>
          <w:szCs w:val="24"/>
        </w:rPr>
        <w:t>ф</w:t>
      </w:r>
      <w:r w:rsidR="00EE6AA2">
        <w:rPr>
          <w:rStyle w:val="None"/>
          <w:rFonts w:cs="Arial"/>
          <w:color w:val="000000" w:themeColor="text1"/>
          <w:szCs w:val="24"/>
        </w:rPr>
        <w:t>е</w:t>
      </w:r>
      <w:r>
        <w:rPr>
          <w:rStyle w:val="None"/>
          <w:rFonts w:cs="Arial"/>
          <w:color w:val="000000" w:themeColor="text1"/>
          <w:szCs w:val="24"/>
        </w:rPr>
        <w:t>к</w:t>
      </w:r>
      <w:r w:rsidR="0071360A">
        <w:rPr>
          <w:rStyle w:val="None"/>
          <w:rFonts w:cs="Arial"/>
          <w:color w:val="000000" w:themeColor="text1"/>
          <w:szCs w:val="24"/>
        </w:rPr>
        <w:t>т</w:t>
      </w:r>
      <w:r>
        <w:rPr>
          <w:rStyle w:val="None"/>
          <w:rFonts w:cs="Arial"/>
          <w:color w:val="000000" w:themeColor="text1"/>
          <w:szCs w:val="24"/>
        </w:rPr>
        <w:t>и</w:t>
      </w:r>
      <w:r w:rsidR="0071360A">
        <w:rPr>
          <w:rStyle w:val="None"/>
          <w:rFonts w:cs="Arial"/>
          <w:color w:val="000000" w:themeColor="text1"/>
          <w:szCs w:val="24"/>
        </w:rPr>
        <w:t>в</w:t>
      </w:r>
      <w:r>
        <w:rPr>
          <w:rStyle w:val="None"/>
          <w:rFonts w:cs="Arial"/>
          <w:color w:val="000000" w:themeColor="text1"/>
          <w:szCs w:val="24"/>
        </w:rPr>
        <w:t>них</w:t>
      </w:r>
      <w:r w:rsidR="004B5159" w:rsidRPr="00F6340E">
        <w:rPr>
          <w:rStyle w:val="None"/>
          <w:rFonts w:cs="Arial"/>
          <w:color w:val="000000" w:themeColor="text1"/>
          <w:szCs w:val="24"/>
        </w:rPr>
        <w:t xml:space="preserve"> </w:t>
      </w:r>
      <w:r>
        <w:rPr>
          <w:rStyle w:val="None"/>
          <w:rFonts w:cs="Arial"/>
          <w:color w:val="000000" w:themeColor="text1"/>
          <w:szCs w:val="24"/>
        </w:rPr>
        <w:t>м</w:t>
      </w:r>
      <w:r w:rsidR="00EE6AA2">
        <w:rPr>
          <w:rStyle w:val="None"/>
          <w:rFonts w:cs="Arial"/>
          <w:color w:val="000000" w:themeColor="text1"/>
          <w:szCs w:val="24"/>
        </w:rPr>
        <w:t>е</w:t>
      </w:r>
      <w:r w:rsidR="0071360A">
        <w:rPr>
          <w:rStyle w:val="None"/>
          <w:rFonts w:cs="Arial"/>
          <w:color w:val="000000" w:themeColor="text1"/>
          <w:szCs w:val="24"/>
        </w:rPr>
        <w:t>т</w:t>
      </w:r>
      <w:r>
        <w:rPr>
          <w:rStyle w:val="None"/>
          <w:rFonts w:cs="Arial"/>
          <w:color w:val="000000" w:themeColor="text1"/>
          <w:szCs w:val="24"/>
        </w:rPr>
        <w:t>одичких</w:t>
      </w:r>
      <w:r w:rsidR="004B5159" w:rsidRPr="00F6340E">
        <w:rPr>
          <w:rStyle w:val="None"/>
          <w:rFonts w:cs="Arial"/>
          <w:color w:val="000000" w:themeColor="text1"/>
          <w:szCs w:val="24"/>
        </w:rPr>
        <w:t xml:space="preserve"> </w:t>
      </w:r>
      <w:r w:rsidR="0071360A">
        <w:rPr>
          <w:rStyle w:val="None"/>
          <w:rFonts w:cs="Arial"/>
          <w:color w:val="000000" w:themeColor="text1"/>
          <w:szCs w:val="24"/>
        </w:rPr>
        <w:t>пр</w:t>
      </w:r>
      <w:r>
        <w:rPr>
          <w:rStyle w:val="None"/>
          <w:rFonts w:cs="Arial"/>
          <w:color w:val="000000" w:themeColor="text1"/>
          <w:szCs w:val="24"/>
        </w:rPr>
        <w:t>и</w:t>
      </w:r>
      <w:r w:rsidR="0071360A">
        <w:rPr>
          <w:rStyle w:val="None"/>
          <w:rFonts w:cs="Arial"/>
          <w:color w:val="000000" w:themeColor="text1"/>
          <w:szCs w:val="24"/>
        </w:rPr>
        <w:t>ступ</w:t>
      </w:r>
      <w:r>
        <w:rPr>
          <w:rStyle w:val="None"/>
          <w:rFonts w:cs="Arial"/>
          <w:color w:val="000000" w:themeColor="text1"/>
          <w:szCs w:val="24"/>
        </w:rPr>
        <w:t>а</w:t>
      </w:r>
      <w:r w:rsidR="004B5159" w:rsidRPr="00F6340E">
        <w:rPr>
          <w:rStyle w:val="None"/>
          <w:rFonts w:cs="Arial"/>
          <w:color w:val="000000" w:themeColor="text1"/>
          <w:szCs w:val="24"/>
        </w:rPr>
        <w:t xml:space="preserve"> </w:t>
      </w:r>
      <w:r>
        <w:rPr>
          <w:rStyle w:val="None"/>
          <w:rFonts w:cs="Arial"/>
          <w:color w:val="000000" w:themeColor="text1"/>
          <w:szCs w:val="24"/>
        </w:rPr>
        <w:t>као</w:t>
      </w:r>
      <w:r w:rsidR="004B5159" w:rsidRPr="00F6340E">
        <w:rPr>
          <w:rStyle w:val="None"/>
          <w:rFonts w:cs="Arial"/>
          <w:color w:val="000000" w:themeColor="text1"/>
          <w:szCs w:val="24"/>
        </w:rPr>
        <w:t xml:space="preserve"> </w:t>
      </w:r>
      <w:r w:rsidR="0071360A">
        <w:rPr>
          <w:rStyle w:val="None"/>
          <w:rFonts w:cs="Arial"/>
          <w:color w:val="000000" w:themeColor="text1"/>
          <w:szCs w:val="24"/>
        </w:rPr>
        <w:t>шт</w:t>
      </w:r>
      <w:r>
        <w:rPr>
          <w:rStyle w:val="None"/>
          <w:rFonts w:cs="Arial"/>
          <w:color w:val="000000" w:themeColor="text1"/>
          <w:szCs w:val="24"/>
        </w:rPr>
        <w:t>о</w:t>
      </w:r>
      <w:r w:rsidR="004B5159" w:rsidRPr="00F6340E">
        <w:rPr>
          <w:rStyle w:val="None"/>
          <w:rFonts w:cs="Arial"/>
          <w:color w:val="000000" w:themeColor="text1"/>
          <w:szCs w:val="24"/>
        </w:rPr>
        <w:t xml:space="preserve"> </w:t>
      </w:r>
      <w:r>
        <w:rPr>
          <w:rStyle w:val="None"/>
          <w:rFonts w:cs="Arial"/>
          <w:color w:val="000000" w:themeColor="text1"/>
          <w:szCs w:val="24"/>
        </w:rPr>
        <w:t>ј</w:t>
      </w:r>
      <w:r w:rsidR="00EE6AA2">
        <w:rPr>
          <w:rStyle w:val="None"/>
          <w:rFonts w:cs="Arial"/>
          <w:color w:val="000000" w:themeColor="text1"/>
          <w:szCs w:val="24"/>
        </w:rPr>
        <w:t>е</w:t>
      </w:r>
      <w:r w:rsidR="004B5159" w:rsidRPr="00F6340E">
        <w:rPr>
          <w:rStyle w:val="None"/>
          <w:rFonts w:cs="Arial"/>
          <w:color w:val="000000" w:themeColor="text1"/>
          <w:szCs w:val="24"/>
        </w:rPr>
        <w:t xml:space="preserve"> </w:t>
      </w:r>
      <w:r>
        <w:rPr>
          <w:rStyle w:val="None"/>
          <w:rFonts w:cs="Arial"/>
          <w:color w:val="000000" w:themeColor="text1"/>
          <w:szCs w:val="24"/>
        </w:rPr>
        <w:t>н</w:t>
      </w:r>
      <w:r w:rsidR="0071360A">
        <w:rPr>
          <w:rStyle w:val="None"/>
          <w:rFonts w:cs="Arial"/>
          <w:color w:val="000000" w:themeColor="text1"/>
          <w:szCs w:val="24"/>
        </w:rPr>
        <w:t>пр</w:t>
      </w:r>
      <w:r w:rsidR="004B5159" w:rsidRPr="00F6340E">
        <w:rPr>
          <w:rStyle w:val="None"/>
          <w:rFonts w:cs="Arial"/>
          <w:color w:val="000000" w:themeColor="text1"/>
          <w:szCs w:val="24"/>
        </w:rPr>
        <w:t xml:space="preserve">. </w:t>
      </w:r>
      <w:r>
        <w:rPr>
          <w:rStyle w:val="None"/>
          <w:rFonts w:cs="Arial"/>
          <w:color w:val="000000" w:themeColor="text1"/>
          <w:szCs w:val="24"/>
        </w:rPr>
        <w:t>об</w:t>
      </w:r>
      <w:r w:rsidR="0071360A">
        <w:rPr>
          <w:rStyle w:val="None"/>
          <w:rFonts w:cs="Arial"/>
          <w:color w:val="000000" w:themeColor="text1"/>
          <w:szCs w:val="24"/>
        </w:rPr>
        <w:t>р</w:t>
      </w:r>
      <w:r>
        <w:rPr>
          <w:rStyle w:val="None"/>
          <w:rFonts w:cs="Arial"/>
          <w:color w:val="000000" w:themeColor="text1"/>
          <w:szCs w:val="24"/>
        </w:rPr>
        <w:t>н</w:t>
      </w:r>
      <w:r w:rsidR="0071360A">
        <w:rPr>
          <w:rStyle w:val="None"/>
          <w:rFonts w:cs="Arial"/>
          <w:color w:val="000000" w:themeColor="text1"/>
          <w:szCs w:val="24"/>
        </w:rPr>
        <w:t>ут</w:t>
      </w:r>
      <w:r>
        <w:rPr>
          <w:rStyle w:val="None"/>
          <w:rFonts w:cs="Arial"/>
          <w:color w:val="000000" w:themeColor="text1"/>
          <w:szCs w:val="24"/>
        </w:rPr>
        <w:t>а</w:t>
      </w:r>
      <w:r w:rsidR="004B5159" w:rsidRPr="00F6340E">
        <w:rPr>
          <w:rStyle w:val="None"/>
          <w:rFonts w:cs="Arial"/>
          <w:color w:val="000000" w:themeColor="text1"/>
          <w:szCs w:val="24"/>
        </w:rPr>
        <w:t xml:space="preserve"> </w:t>
      </w:r>
      <w:r>
        <w:rPr>
          <w:rStyle w:val="None"/>
          <w:rFonts w:cs="Arial"/>
          <w:color w:val="000000" w:themeColor="text1"/>
          <w:szCs w:val="24"/>
        </w:rPr>
        <w:t>на</w:t>
      </w:r>
      <w:r w:rsidR="0071360A">
        <w:rPr>
          <w:rStyle w:val="None"/>
          <w:rFonts w:cs="Arial"/>
          <w:color w:val="000000" w:themeColor="text1"/>
          <w:szCs w:val="24"/>
        </w:rPr>
        <w:t>ст</w:t>
      </w:r>
      <w:r>
        <w:rPr>
          <w:rStyle w:val="None"/>
          <w:rFonts w:cs="Arial"/>
          <w:color w:val="000000" w:themeColor="text1"/>
          <w:szCs w:val="24"/>
        </w:rPr>
        <w:t>а</w:t>
      </w:r>
      <w:r w:rsidR="0071360A">
        <w:rPr>
          <w:rStyle w:val="None"/>
          <w:rFonts w:cs="Arial"/>
          <w:color w:val="000000" w:themeColor="text1"/>
          <w:szCs w:val="24"/>
        </w:rPr>
        <w:t>в</w:t>
      </w:r>
      <w:r>
        <w:rPr>
          <w:rStyle w:val="None"/>
          <w:rFonts w:cs="Arial"/>
          <w:color w:val="000000" w:themeColor="text1"/>
          <w:szCs w:val="24"/>
        </w:rPr>
        <w:t>а</w:t>
      </w:r>
      <w:r w:rsidR="004B5159" w:rsidRPr="00F6340E">
        <w:rPr>
          <w:rStyle w:val="None"/>
          <w:rFonts w:cs="Arial"/>
          <w:color w:val="000000" w:themeColor="text1"/>
          <w:szCs w:val="24"/>
        </w:rPr>
        <w:t xml:space="preserve"> (</w:t>
      </w:r>
      <w:r w:rsidR="00EE6AA2">
        <w:rPr>
          <w:rStyle w:val="None"/>
          <w:rFonts w:cs="Arial"/>
          <w:color w:val="000000" w:themeColor="text1"/>
          <w:szCs w:val="24"/>
        </w:rPr>
        <w:t>е</w:t>
      </w:r>
      <w:r>
        <w:rPr>
          <w:rStyle w:val="None"/>
          <w:rFonts w:cs="Arial"/>
          <w:color w:val="000000" w:themeColor="text1"/>
          <w:szCs w:val="24"/>
        </w:rPr>
        <w:t>нгл</w:t>
      </w:r>
      <w:r w:rsidR="004B5159" w:rsidRPr="00F6340E">
        <w:rPr>
          <w:rStyle w:val="None"/>
          <w:rFonts w:cs="Arial"/>
          <w:color w:val="000000" w:themeColor="text1"/>
          <w:szCs w:val="24"/>
        </w:rPr>
        <w:t xml:space="preserve">. </w:t>
      </w:r>
      <w:r w:rsidR="00CB5414">
        <w:rPr>
          <w:rStyle w:val="None"/>
          <w:rFonts w:cs="Arial"/>
          <w:color w:val="000000" w:themeColor="text1"/>
          <w:szCs w:val="24"/>
          <w:lang w:val="hr-BA"/>
        </w:rPr>
        <w:t>Flipped classroom</w:t>
      </w:r>
      <w:r w:rsidR="004B5159" w:rsidRPr="00F6340E">
        <w:rPr>
          <w:rStyle w:val="None"/>
          <w:rFonts w:cs="Arial"/>
          <w:color w:val="000000" w:themeColor="text1"/>
          <w:szCs w:val="24"/>
        </w:rPr>
        <w:t xml:space="preserve">), </w:t>
      </w:r>
      <w:r>
        <w:rPr>
          <w:rStyle w:val="None"/>
          <w:rFonts w:cs="Arial"/>
          <w:color w:val="000000" w:themeColor="text1"/>
          <w:szCs w:val="24"/>
        </w:rPr>
        <w:t>а</w:t>
      </w:r>
      <w:r w:rsidR="004B5159" w:rsidRPr="00F6340E">
        <w:rPr>
          <w:rStyle w:val="None"/>
          <w:rFonts w:cs="Arial"/>
          <w:color w:val="000000" w:themeColor="text1"/>
          <w:szCs w:val="24"/>
        </w:rPr>
        <w:t xml:space="preserve"> </w:t>
      </w:r>
      <w:r w:rsidR="0071360A">
        <w:rPr>
          <w:rStyle w:val="None"/>
          <w:rFonts w:cs="Arial"/>
          <w:color w:val="000000" w:themeColor="text1"/>
          <w:szCs w:val="24"/>
        </w:rPr>
        <w:t>п</w:t>
      </w:r>
      <w:r>
        <w:rPr>
          <w:rStyle w:val="None"/>
          <w:rFonts w:cs="Arial"/>
          <w:color w:val="000000" w:themeColor="text1"/>
          <w:szCs w:val="24"/>
        </w:rPr>
        <w:t>о</w:t>
      </w:r>
      <w:r w:rsidR="0071360A">
        <w:rPr>
          <w:rStyle w:val="None"/>
          <w:rFonts w:cs="Arial"/>
          <w:color w:val="000000" w:themeColor="text1"/>
          <w:szCs w:val="24"/>
        </w:rPr>
        <w:t>с</w:t>
      </w:r>
      <w:r w:rsidR="00EE6AA2">
        <w:rPr>
          <w:rStyle w:val="None"/>
          <w:rFonts w:cs="Arial"/>
          <w:color w:val="000000" w:themeColor="text1"/>
          <w:szCs w:val="24"/>
        </w:rPr>
        <w:t>е</w:t>
      </w:r>
      <w:r>
        <w:rPr>
          <w:rStyle w:val="None"/>
          <w:rFonts w:cs="Arial"/>
          <w:color w:val="000000" w:themeColor="text1"/>
          <w:szCs w:val="24"/>
        </w:rPr>
        <w:t>бн</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71360A">
        <w:rPr>
          <w:rStyle w:val="None"/>
          <w:rFonts w:cs="Arial"/>
          <w:color w:val="000000" w:themeColor="text1"/>
          <w:szCs w:val="24"/>
        </w:rPr>
        <w:t>п</w:t>
      </w:r>
      <w:r>
        <w:rPr>
          <w:rStyle w:val="None"/>
          <w:rFonts w:cs="Arial"/>
          <w:color w:val="000000" w:themeColor="text1"/>
          <w:szCs w:val="24"/>
        </w:rPr>
        <w:t>а</w:t>
      </w:r>
      <w:r w:rsidR="00171F00">
        <w:rPr>
          <w:rStyle w:val="None"/>
          <w:rFonts w:cs="Arial"/>
          <w:color w:val="000000" w:themeColor="text1"/>
          <w:szCs w:val="24"/>
        </w:rPr>
        <w:t>ж</w:t>
      </w:r>
      <w:r>
        <w:rPr>
          <w:rStyle w:val="None"/>
          <w:rFonts w:cs="Arial"/>
          <w:color w:val="000000" w:themeColor="text1"/>
          <w:szCs w:val="24"/>
        </w:rPr>
        <w:t>њ</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71360A">
        <w:rPr>
          <w:rStyle w:val="None"/>
          <w:rFonts w:cs="Arial"/>
          <w:color w:val="000000" w:themeColor="text1"/>
          <w:szCs w:val="24"/>
        </w:rPr>
        <w:t>в</w:t>
      </w:r>
      <w:r>
        <w:rPr>
          <w:rStyle w:val="None"/>
          <w:rFonts w:cs="Arial"/>
          <w:color w:val="000000" w:themeColor="text1"/>
          <w:szCs w:val="24"/>
        </w:rPr>
        <w:t>аља</w:t>
      </w:r>
      <w:r w:rsidR="004B5159" w:rsidRPr="00F6340E">
        <w:rPr>
          <w:rStyle w:val="None"/>
          <w:rFonts w:cs="Arial"/>
          <w:color w:val="000000" w:themeColor="text1"/>
          <w:szCs w:val="24"/>
        </w:rPr>
        <w:t xml:space="preserve"> </w:t>
      </w:r>
      <w:r w:rsidR="0071360A">
        <w:rPr>
          <w:rStyle w:val="None"/>
          <w:rFonts w:cs="Arial"/>
          <w:color w:val="000000" w:themeColor="text1"/>
          <w:szCs w:val="24"/>
        </w:rPr>
        <w:t>ус</w:t>
      </w:r>
      <w:r>
        <w:rPr>
          <w:rStyle w:val="None"/>
          <w:rFonts w:cs="Arial"/>
          <w:color w:val="000000" w:themeColor="text1"/>
          <w:szCs w:val="24"/>
        </w:rPr>
        <w:t>мј</w:t>
      </w:r>
      <w:r w:rsidR="00EE6AA2">
        <w:rPr>
          <w:rStyle w:val="None"/>
          <w:rFonts w:cs="Arial"/>
          <w:color w:val="000000" w:themeColor="text1"/>
          <w:szCs w:val="24"/>
        </w:rPr>
        <w:t>е</w:t>
      </w:r>
      <w:r w:rsidR="0071360A">
        <w:rPr>
          <w:rStyle w:val="None"/>
          <w:rFonts w:cs="Arial"/>
          <w:color w:val="000000" w:themeColor="text1"/>
          <w:szCs w:val="24"/>
        </w:rPr>
        <w:t>р</w:t>
      </w:r>
      <w:r>
        <w:rPr>
          <w:rStyle w:val="None"/>
          <w:rFonts w:cs="Arial"/>
          <w:color w:val="000000" w:themeColor="text1"/>
          <w:szCs w:val="24"/>
        </w:rPr>
        <w:t>и</w:t>
      </w:r>
      <w:r w:rsidR="0071360A">
        <w:rPr>
          <w:rStyle w:val="None"/>
          <w:rFonts w:cs="Arial"/>
          <w:color w:val="000000" w:themeColor="text1"/>
          <w:szCs w:val="24"/>
        </w:rPr>
        <w:t>т</w:t>
      </w:r>
      <w:r>
        <w:rPr>
          <w:rStyle w:val="None"/>
          <w:rFonts w:cs="Arial"/>
          <w:color w:val="000000" w:themeColor="text1"/>
          <w:szCs w:val="24"/>
        </w:rPr>
        <w:t>и</w:t>
      </w:r>
      <w:r w:rsidR="004B5159" w:rsidRPr="00F6340E">
        <w:rPr>
          <w:rStyle w:val="None"/>
          <w:rFonts w:cs="Arial"/>
          <w:color w:val="000000" w:themeColor="text1"/>
          <w:szCs w:val="24"/>
        </w:rPr>
        <w:t xml:space="preserve"> </w:t>
      </w:r>
      <w:r>
        <w:rPr>
          <w:rStyle w:val="None"/>
          <w:rFonts w:cs="Arial"/>
          <w:color w:val="000000" w:themeColor="text1"/>
          <w:szCs w:val="24"/>
        </w:rPr>
        <w:t>на</w:t>
      </w:r>
      <w:r w:rsidR="004B5159" w:rsidRPr="00F6340E">
        <w:rPr>
          <w:rStyle w:val="None"/>
          <w:rFonts w:cs="Arial"/>
          <w:color w:val="000000" w:themeColor="text1"/>
          <w:szCs w:val="24"/>
        </w:rPr>
        <w:t xml:space="preserve"> </w:t>
      </w:r>
      <w:r w:rsidR="0071360A">
        <w:rPr>
          <w:rStyle w:val="None"/>
          <w:rFonts w:cs="Arial"/>
          <w:color w:val="000000" w:themeColor="text1"/>
          <w:szCs w:val="24"/>
        </w:rPr>
        <w:t>вр</w:t>
      </w:r>
      <w:r>
        <w:rPr>
          <w:rStyle w:val="None"/>
          <w:rFonts w:cs="Arial"/>
          <w:color w:val="000000" w:themeColor="text1"/>
          <w:szCs w:val="24"/>
        </w:rPr>
        <w:t>иј</w:t>
      </w:r>
      <w:r w:rsidR="00EE6AA2">
        <w:rPr>
          <w:rStyle w:val="None"/>
          <w:rFonts w:cs="Arial"/>
          <w:color w:val="000000" w:themeColor="text1"/>
          <w:szCs w:val="24"/>
        </w:rPr>
        <w:t>е</w:t>
      </w:r>
      <w:r>
        <w:rPr>
          <w:rStyle w:val="None"/>
          <w:rFonts w:cs="Arial"/>
          <w:color w:val="000000" w:themeColor="text1"/>
          <w:szCs w:val="24"/>
        </w:rPr>
        <w:t>дно</w:t>
      </w:r>
      <w:r w:rsidR="0071360A">
        <w:rPr>
          <w:rStyle w:val="None"/>
          <w:rFonts w:cs="Arial"/>
          <w:color w:val="000000" w:themeColor="text1"/>
          <w:szCs w:val="24"/>
        </w:rPr>
        <w:t>ст</w:t>
      </w:r>
      <w:r>
        <w:rPr>
          <w:rStyle w:val="None"/>
          <w:rFonts w:cs="Arial"/>
          <w:color w:val="000000" w:themeColor="text1"/>
          <w:szCs w:val="24"/>
        </w:rPr>
        <w:t>и</w:t>
      </w:r>
      <w:r w:rsidR="004B5159" w:rsidRPr="00F6340E">
        <w:rPr>
          <w:rStyle w:val="None"/>
          <w:rFonts w:cs="Arial"/>
          <w:color w:val="000000" w:themeColor="text1"/>
          <w:szCs w:val="24"/>
        </w:rPr>
        <w:t xml:space="preserve"> </w:t>
      </w:r>
      <w:r>
        <w:rPr>
          <w:rStyle w:val="None"/>
          <w:rFonts w:cs="Arial"/>
          <w:color w:val="000000" w:themeColor="text1"/>
          <w:szCs w:val="24"/>
        </w:rPr>
        <w:t>комбино</w:t>
      </w:r>
      <w:r w:rsidR="0071360A">
        <w:rPr>
          <w:rStyle w:val="None"/>
          <w:rFonts w:cs="Arial"/>
          <w:color w:val="000000" w:themeColor="text1"/>
          <w:szCs w:val="24"/>
        </w:rPr>
        <w:t>в</w:t>
      </w:r>
      <w:r>
        <w:rPr>
          <w:rStyle w:val="None"/>
          <w:rFonts w:cs="Arial"/>
          <w:color w:val="000000" w:themeColor="text1"/>
          <w:szCs w:val="24"/>
        </w:rPr>
        <w:t>аног</w:t>
      </w:r>
      <w:r w:rsidR="004B5159" w:rsidRPr="00F6340E">
        <w:rPr>
          <w:rStyle w:val="None"/>
          <w:rFonts w:cs="Arial"/>
          <w:color w:val="000000" w:themeColor="text1"/>
          <w:szCs w:val="24"/>
        </w:rPr>
        <w:t xml:space="preserve"> </w:t>
      </w:r>
      <w:r w:rsidR="0071360A">
        <w:rPr>
          <w:rStyle w:val="None"/>
          <w:rFonts w:cs="Arial"/>
          <w:color w:val="000000" w:themeColor="text1"/>
          <w:szCs w:val="24"/>
        </w:rPr>
        <w:t>пр</w:t>
      </w:r>
      <w:r>
        <w:rPr>
          <w:rStyle w:val="None"/>
          <w:rFonts w:cs="Arial"/>
          <w:color w:val="000000" w:themeColor="text1"/>
          <w:szCs w:val="24"/>
        </w:rPr>
        <w:t>и</w:t>
      </w:r>
      <w:r w:rsidR="0071360A">
        <w:rPr>
          <w:rStyle w:val="None"/>
          <w:rFonts w:cs="Arial"/>
          <w:color w:val="000000" w:themeColor="text1"/>
          <w:szCs w:val="24"/>
        </w:rPr>
        <w:t>ступ</w:t>
      </w:r>
      <w:r>
        <w:rPr>
          <w:rStyle w:val="None"/>
          <w:rFonts w:cs="Arial"/>
          <w:color w:val="000000" w:themeColor="text1"/>
          <w:szCs w:val="24"/>
        </w:rPr>
        <w:t>а</w:t>
      </w:r>
      <w:r w:rsidR="004B5159" w:rsidRPr="00F6340E">
        <w:rPr>
          <w:rStyle w:val="None"/>
          <w:rFonts w:cs="Arial"/>
          <w:color w:val="000000" w:themeColor="text1"/>
          <w:szCs w:val="24"/>
        </w:rPr>
        <w:t xml:space="preserve"> (</w:t>
      </w:r>
      <w:r w:rsidR="00EE6AA2">
        <w:rPr>
          <w:rStyle w:val="None"/>
          <w:rFonts w:cs="Arial"/>
          <w:color w:val="000000" w:themeColor="text1"/>
          <w:szCs w:val="24"/>
        </w:rPr>
        <w:t>е</w:t>
      </w:r>
      <w:r>
        <w:rPr>
          <w:rStyle w:val="None"/>
          <w:rFonts w:cs="Arial"/>
          <w:color w:val="000000" w:themeColor="text1"/>
          <w:szCs w:val="24"/>
        </w:rPr>
        <w:t>нгл</w:t>
      </w:r>
      <w:r w:rsidR="004B5159" w:rsidRPr="00F6340E">
        <w:rPr>
          <w:rStyle w:val="None"/>
          <w:rFonts w:cs="Arial"/>
          <w:color w:val="000000" w:themeColor="text1"/>
          <w:szCs w:val="24"/>
        </w:rPr>
        <w:t xml:space="preserve">. </w:t>
      </w:r>
      <w:r w:rsidR="00CB5414">
        <w:rPr>
          <w:rStyle w:val="None"/>
          <w:rFonts w:cs="Arial"/>
          <w:color w:val="000000" w:themeColor="text1"/>
          <w:szCs w:val="24"/>
          <w:lang w:val="hr-BA"/>
        </w:rPr>
        <w:t>Blended learning</w:t>
      </w:r>
      <w:r w:rsidR="004B5159" w:rsidRPr="00F6340E">
        <w:rPr>
          <w:rStyle w:val="None"/>
          <w:rFonts w:cs="Arial"/>
          <w:color w:val="000000" w:themeColor="text1"/>
          <w:szCs w:val="24"/>
        </w:rPr>
        <w:t xml:space="preserve">), </w:t>
      </w:r>
      <w:r w:rsidR="0071360A">
        <w:rPr>
          <w:rStyle w:val="None"/>
          <w:rFonts w:cs="Arial"/>
          <w:color w:val="000000" w:themeColor="text1"/>
          <w:szCs w:val="24"/>
        </w:rPr>
        <w:t>шт</w:t>
      </w:r>
      <w:r>
        <w:rPr>
          <w:rStyle w:val="None"/>
          <w:rFonts w:cs="Arial"/>
          <w:color w:val="000000" w:themeColor="text1"/>
          <w:szCs w:val="24"/>
        </w:rPr>
        <w:t>о</w:t>
      </w:r>
      <w:r w:rsidR="004B5159" w:rsidRPr="00F6340E">
        <w:rPr>
          <w:rStyle w:val="None"/>
          <w:rFonts w:cs="Arial"/>
          <w:color w:val="000000" w:themeColor="text1"/>
          <w:szCs w:val="24"/>
        </w:rPr>
        <w:t xml:space="preserve"> </w:t>
      </w:r>
      <w:r>
        <w:rPr>
          <w:rStyle w:val="None"/>
          <w:rFonts w:cs="Arial"/>
          <w:color w:val="000000" w:themeColor="text1"/>
          <w:szCs w:val="24"/>
        </w:rPr>
        <w:t>би</w:t>
      </w:r>
      <w:r w:rsidR="004B5159" w:rsidRPr="00F6340E">
        <w:rPr>
          <w:rStyle w:val="None"/>
          <w:rFonts w:cs="Arial"/>
          <w:color w:val="000000" w:themeColor="text1"/>
          <w:szCs w:val="24"/>
        </w:rPr>
        <w:t xml:space="preserve"> </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71360A">
        <w:rPr>
          <w:rStyle w:val="None"/>
          <w:rFonts w:cs="Arial"/>
          <w:color w:val="000000" w:themeColor="text1"/>
          <w:szCs w:val="24"/>
        </w:rPr>
        <w:t>п</w:t>
      </w:r>
      <w:r w:rsidR="00EE6AA2">
        <w:rPr>
          <w:rStyle w:val="None"/>
          <w:rFonts w:cs="Arial"/>
          <w:color w:val="000000" w:themeColor="text1"/>
          <w:szCs w:val="24"/>
        </w:rPr>
        <w:t>е</w:t>
      </w:r>
      <w:r w:rsidR="0071360A">
        <w:rPr>
          <w:rStyle w:val="None"/>
          <w:rFonts w:cs="Arial"/>
          <w:color w:val="000000" w:themeColor="text1"/>
          <w:szCs w:val="24"/>
        </w:rPr>
        <w:t>рсп</w:t>
      </w:r>
      <w:r w:rsidR="00EE6AA2">
        <w:rPr>
          <w:rStyle w:val="None"/>
          <w:rFonts w:cs="Arial"/>
          <w:color w:val="000000" w:themeColor="text1"/>
          <w:szCs w:val="24"/>
        </w:rPr>
        <w:t>е</w:t>
      </w:r>
      <w:r>
        <w:rPr>
          <w:rStyle w:val="None"/>
          <w:rFonts w:cs="Arial"/>
          <w:color w:val="000000" w:themeColor="text1"/>
          <w:szCs w:val="24"/>
        </w:rPr>
        <w:t>к</w:t>
      </w:r>
      <w:r w:rsidR="0071360A">
        <w:rPr>
          <w:rStyle w:val="None"/>
          <w:rFonts w:cs="Arial"/>
          <w:color w:val="000000" w:themeColor="text1"/>
          <w:szCs w:val="24"/>
        </w:rPr>
        <w:t>т</w:t>
      </w:r>
      <w:r>
        <w:rPr>
          <w:rStyle w:val="None"/>
          <w:rFonts w:cs="Arial"/>
          <w:color w:val="000000" w:themeColor="text1"/>
          <w:szCs w:val="24"/>
        </w:rPr>
        <w:t>и</w:t>
      </w:r>
      <w:r w:rsidR="0071360A">
        <w:rPr>
          <w:rStyle w:val="None"/>
          <w:rFonts w:cs="Arial"/>
          <w:color w:val="000000" w:themeColor="text1"/>
          <w:szCs w:val="24"/>
        </w:rPr>
        <w:t>в</w:t>
      </w:r>
      <w:r>
        <w:rPr>
          <w:rStyle w:val="None"/>
          <w:rFonts w:cs="Arial"/>
          <w:color w:val="000000" w:themeColor="text1"/>
          <w:szCs w:val="24"/>
        </w:rPr>
        <w:t>и</w:t>
      </w:r>
      <w:r w:rsidR="004B5159" w:rsidRPr="00F6340E">
        <w:rPr>
          <w:rStyle w:val="None"/>
          <w:rFonts w:cs="Arial"/>
          <w:color w:val="000000" w:themeColor="text1"/>
          <w:szCs w:val="24"/>
        </w:rPr>
        <w:t xml:space="preserve"> </w:t>
      </w:r>
      <w:r>
        <w:rPr>
          <w:rStyle w:val="None"/>
          <w:rFonts w:cs="Arial"/>
          <w:color w:val="000000" w:themeColor="text1"/>
          <w:szCs w:val="24"/>
        </w:rPr>
        <w:t>могло</w:t>
      </w:r>
      <w:r w:rsidR="004B5159" w:rsidRPr="00F6340E">
        <w:rPr>
          <w:rStyle w:val="None"/>
          <w:rFonts w:cs="Arial"/>
          <w:color w:val="000000" w:themeColor="text1"/>
          <w:szCs w:val="24"/>
        </w:rPr>
        <w:t xml:space="preserve"> </w:t>
      </w:r>
      <w:r w:rsidR="0071360A">
        <w:rPr>
          <w:rStyle w:val="None"/>
          <w:rFonts w:cs="Arial"/>
          <w:color w:val="000000" w:themeColor="text1"/>
          <w:szCs w:val="24"/>
        </w:rPr>
        <w:t>пр</w:t>
      </w:r>
      <w:r w:rsidR="00EE6AA2">
        <w:rPr>
          <w:rStyle w:val="None"/>
          <w:rFonts w:cs="Arial"/>
          <w:color w:val="000000" w:themeColor="text1"/>
          <w:szCs w:val="24"/>
        </w:rPr>
        <w:t>е</w:t>
      </w:r>
      <w:r>
        <w:rPr>
          <w:rStyle w:val="None"/>
          <w:rFonts w:cs="Arial"/>
          <w:color w:val="000000" w:themeColor="text1"/>
          <w:szCs w:val="24"/>
        </w:rPr>
        <w:t>д</w:t>
      </w:r>
      <w:r w:rsidR="0071360A">
        <w:rPr>
          <w:rStyle w:val="None"/>
          <w:rFonts w:cs="Arial"/>
          <w:color w:val="000000" w:themeColor="text1"/>
          <w:szCs w:val="24"/>
        </w:rPr>
        <w:t>ст</w:t>
      </w:r>
      <w:r>
        <w:rPr>
          <w:rStyle w:val="None"/>
          <w:rFonts w:cs="Arial"/>
          <w:color w:val="000000" w:themeColor="text1"/>
          <w:szCs w:val="24"/>
        </w:rPr>
        <w:t>а</w:t>
      </w:r>
      <w:r w:rsidR="0071360A">
        <w:rPr>
          <w:rStyle w:val="None"/>
          <w:rFonts w:cs="Arial"/>
          <w:color w:val="000000" w:themeColor="text1"/>
          <w:szCs w:val="24"/>
        </w:rPr>
        <w:t>в</w:t>
      </w:r>
      <w:r>
        <w:rPr>
          <w:rStyle w:val="None"/>
          <w:rFonts w:cs="Arial"/>
          <w:color w:val="000000" w:themeColor="text1"/>
          <w:szCs w:val="24"/>
        </w:rPr>
        <w:t>ља</w:t>
      </w:r>
      <w:r w:rsidR="0071360A">
        <w:rPr>
          <w:rStyle w:val="None"/>
          <w:rFonts w:cs="Arial"/>
          <w:color w:val="000000" w:themeColor="text1"/>
          <w:szCs w:val="24"/>
        </w:rPr>
        <w:t>т</w:t>
      </w:r>
      <w:r>
        <w:rPr>
          <w:rStyle w:val="None"/>
          <w:rFonts w:cs="Arial"/>
          <w:color w:val="000000" w:themeColor="text1"/>
          <w:szCs w:val="24"/>
        </w:rPr>
        <w:t>и</w:t>
      </w:r>
      <w:r w:rsidR="004B5159" w:rsidRPr="00F6340E">
        <w:rPr>
          <w:rStyle w:val="None"/>
          <w:rFonts w:cs="Arial"/>
          <w:color w:val="000000" w:themeColor="text1"/>
          <w:szCs w:val="24"/>
        </w:rPr>
        <w:t xml:space="preserve"> </w:t>
      </w:r>
      <w:r>
        <w:rPr>
          <w:rStyle w:val="None"/>
          <w:rFonts w:cs="Arial"/>
          <w:color w:val="000000" w:themeColor="text1"/>
          <w:szCs w:val="24"/>
        </w:rPr>
        <w:t>доминан</w:t>
      </w:r>
      <w:r w:rsidR="0071360A">
        <w:rPr>
          <w:rStyle w:val="None"/>
          <w:rFonts w:cs="Arial"/>
          <w:color w:val="000000" w:themeColor="text1"/>
          <w:szCs w:val="24"/>
        </w:rPr>
        <w:t>т</w:t>
      </w:r>
      <w:r>
        <w:rPr>
          <w:rStyle w:val="None"/>
          <w:rFonts w:cs="Arial"/>
          <w:color w:val="000000" w:themeColor="text1"/>
          <w:szCs w:val="24"/>
        </w:rPr>
        <w:t>ан</w:t>
      </w:r>
      <w:r w:rsidR="004B5159" w:rsidRPr="00F6340E">
        <w:rPr>
          <w:rStyle w:val="None"/>
          <w:rFonts w:cs="Arial"/>
          <w:color w:val="000000" w:themeColor="text1"/>
          <w:szCs w:val="24"/>
        </w:rPr>
        <w:t xml:space="preserve"> </w:t>
      </w:r>
      <w:r>
        <w:rPr>
          <w:rStyle w:val="None"/>
          <w:rFonts w:cs="Arial"/>
          <w:color w:val="000000" w:themeColor="text1"/>
          <w:szCs w:val="24"/>
        </w:rPr>
        <w:t>облик</w:t>
      </w:r>
      <w:r w:rsidR="004B5159" w:rsidRPr="00F6340E">
        <w:rPr>
          <w:rStyle w:val="None"/>
          <w:rFonts w:cs="Arial"/>
          <w:color w:val="000000" w:themeColor="text1"/>
          <w:szCs w:val="24"/>
        </w:rPr>
        <w:t xml:space="preserve"> </w:t>
      </w:r>
      <w:r w:rsidR="0071360A">
        <w:rPr>
          <w:rStyle w:val="None"/>
          <w:rFonts w:cs="Arial"/>
          <w:color w:val="000000" w:themeColor="text1"/>
          <w:szCs w:val="24"/>
        </w:rPr>
        <w:t>у</w:t>
      </w:r>
      <w:r>
        <w:rPr>
          <w:rStyle w:val="None"/>
          <w:rFonts w:cs="Arial"/>
          <w:color w:val="000000" w:themeColor="text1"/>
          <w:szCs w:val="24"/>
        </w:rPr>
        <w:t>ч</w:t>
      </w:r>
      <w:r w:rsidR="00EE6AA2">
        <w:rPr>
          <w:rStyle w:val="None"/>
          <w:rFonts w:cs="Arial"/>
          <w:color w:val="000000" w:themeColor="text1"/>
          <w:szCs w:val="24"/>
        </w:rPr>
        <w:t>е</w:t>
      </w:r>
      <w:r>
        <w:rPr>
          <w:rStyle w:val="None"/>
          <w:rFonts w:cs="Arial"/>
          <w:color w:val="000000" w:themeColor="text1"/>
          <w:szCs w:val="24"/>
        </w:rPr>
        <w:t>ња</w:t>
      </w:r>
      <w:r w:rsidR="004B5159" w:rsidRPr="00F6340E">
        <w:rPr>
          <w:rStyle w:val="None"/>
          <w:rFonts w:cs="Arial"/>
          <w:color w:val="000000" w:themeColor="text1"/>
          <w:szCs w:val="24"/>
        </w:rPr>
        <w:t xml:space="preserve"> </w:t>
      </w:r>
      <w:r>
        <w:rPr>
          <w:rStyle w:val="None"/>
          <w:rFonts w:cs="Arial"/>
          <w:color w:val="000000" w:themeColor="text1"/>
          <w:szCs w:val="24"/>
        </w:rPr>
        <w:t>и</w:t>
      </w:r>
      <w:r w:rsidR="004B5159" w:rsidRPr="00F6340E">
        <w:rPr>
          <w:rStyle w:val="None"/>
          <w:rFonts w:cs="Arial"/>
          <w:color w:val="000000" w:themeColor="text1"/>
          <w:szCs w:val="24"/>
        </w:rPr>
        <w:t xml:space="preserve"> </w:t>
      </w:r>
      <w:r w:rsidR="0071360A">
        <w:rPr>
          <w:rStyle w:val="None"/>
          <w:rFonts w:cs="Arial"/>
          <w:color w:val="000000" w:themeColor="text1"/>
          <w:szCs w:val="24"/>
        </w:rPr>
        <w:t>п</w:t>
      </w:r>
      <w:r>
        <w:rPr>
          <w:rStyle w:val="None"/>
          <w:rFonts w:cs="Arial"/>
          <w:color w:val="000000" w:themeColor="text1"/>
          <w:szCs w:val="24"/>
        </w:rPr>
        <w:t>од</w:t>
      </w:r>
      <w:r w:rsidR="0071360A">
        <w:rPr>
          <w:rStyle w:val="None"/>
          <w:rFonts w:cs="Arial"/>
          <w:color w:val="000000" w:themeColor="text1"/>
          <w:szCs w:val="24"/>
        </w:rPr>
        <w:t>у</w:t>
      </w:r>
      <w:r>
        <w:rPr>
          <w:rStyle w:val="None"/>
          <w:rFonts w:cs="Arial"/>
          <w:color w:val="000000" w:themeColor="text1"/>
          <w:szCs w:val="24"/>
        </w:rPr>
        <w:t>ча</w:t>
      </w:r>
      <w:r w:rsidR="0071360A">
        <w:rPr>
          <w:rStyle w:val="None"/>
          <w:rFonts w:cs="Arial"/>
          <w:color w:val="000000" w:themeColor="text1"/>
          <w:szCs w:val="24"/>
        </w:rPr>
        <w:t>в</w:t>
      </w:r>
      <w:r>
        <w:rPr>
          <w:rStyle w:val="None"/>
          <w:rFonts w:cs="Arial"/>
          <w:color w:val="000000" w:themeColor="text1"/>
          <w:szCs w:val="24"/>
        </w:rPr>
        <w:t>ања</w:t>
      </w:r>
      <w:r w:rsidR="004B5159" w:rsidRPr="00F6340E">
        <w:rPr>
          <w:rStyle w:val="None"/>
          <w:rFonts w:cs="Arial"/>
          <w:color w:val="000000" w:themeColor="text1"/>
          <w:szCs w:val="24"/>
        </w:rPr>
        <w:t xml:space="preserve"> </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r w:rsidR="0071360A">
        <w:rPr>
          <w:rStyle w:val="None"/>
          <w:rFonts w:cs="Arial"/>
          <w:color w:val="000000" w:themeColor="text1"/>
          <w:szCs w:val="24"/>
        </w:rPr>
        <w:t>в</w:t>
      </w:r>
      <w:r>
        <w:rPr>
          <w:rStyle w:val="None"/>
          <w:rFonts w:cs="Arial"/>
          <w:color w:val="000000" w:themeColor="text1"/>
          <w:szCs w:val="24"/>
        </w:rPr>
        <w:t>и</w:t>
      </w:r>
      <w:r w:rsidR="0071360A">
        <w:rPr>
          <w:rStyle w:val="None"/>
          <w:rFonts w:cs="Arial"/>
          <w:color w:val="000000" w:themeColor="text1"/>
          <w:szCs w:val="24"/>
        </w:rPr>
        <w:t>с</w:t>
      </w:r>
      <w:r>
        <w:rPr>
          <w:rStyle w:val="None"/>
          <w:rFonts w:cs="Arial"/>
          <w:color w:val="000000" w:themeColor="text1"/>
          <w:szCs w:val="24"/>
        </w:rPr>
        <w:t>око</w:t>
      </w:r>
      <w:r w:rsidR="0071360A">
        <w:rPr>
          <w:rStyle w:val="None"/>
          <w:rFonts w:cs="Arial"/>
          <w:color w:val="000000" w:themeColor="text1"/>
          <w:szCs w:val="24"/>
        </w:rPr>
        <w:t>ш</w:t>
      </w:r>
      <w:r>
        <w:rPr>
          <w:rStyle w:val="None"/>
          <w:rFonts w:cs="Arial"/>
          <w:color w:val="000000" w:themeColor="text1"/>
          <w:szCs w:val="24"/>
        </w:rPr>
        <w:t>кол</w:t>
      </w:r>
      <w:r w:rsidR="0071360A">
        <w:rPr>
          <w:rStyle w:val="None"/>
          <w:rFonts w:cs="Arial"/>
          <w:color w:val="000000" w:themeColor="text1"/>
          <w:szCs w:val="24"/>
        </w:rPr>
        <w:t>с</w:t>
      </w:r>
      <w:r>
        <w:rPr>
          <w:rStyle w:val="None"/>
          <w:rFonts w:cs="Arial"/>
          <w:color w:val="000000" w:themeColor="text1"/>
          <w:szCs w:val="24"/>
        </w:rPr>
        <w:t>ком</w:t>
      </w:r>
      <w:r w:rsidR="004B5159" w:rsidRPr="00F6340E">
        <w:rPr>
          <w:rStyle w:val="None"/>
          <w:rFonts w:cs="Arial"/>
          <w:color w:val="000000" w:themeColor="text1"/>
          <w:szCs w:val="24"/>
        </w:rPr>
        <w:t xml:space="preserve"> </w:t>
      </w:r>
      <w:r>
        <w:rPr>
          <w:rStyle w:val="None"/>
          <w:rFonts w:cs="Arial"/>
          <w:color w:val="000000" w:themeColor="text1"/>
          <w:szCs w:val="24"/>
        </w:rPr>
        <w:t>об</w:t>
      </w:r>
      <w:r w:rsidR="0071360A">
        <w:rPr>
          <w:rStyle w:val="None"/>
          <w:rFonts w:cs="Arial"/>
          <w:color w:val="000000" w:themeColor="text1"/>
          <w:szCs w:val="24"/>
        </w:rPr>
        <w:t>р</w:t>
      </w:r>
      <w:r>
        <w:rPr>
          <w:rStyle w:val="None"/>
          <w:rFonts w:cs="Arial"/>
          <w:color w:val="000000" w:themeColor="text1"/>
          <w:szCs w:val="24"/>
        </w:rPr>
        <w:t>а</w:t>
      </w:r>
      <w:r w:rsidR="00171F00">
        <w:rPr>
          <w:rStyle w:val="None"/>
          <w:rFonts w:cs="Arial"/>
          <w:color w:val="000000" w:themeColor="text1"/>
          <w:szCs w:val="24"/>
        </w:rPr>
        <w:t>з</w:t>
      </w:r>
      <w:r>
        <w:rPr>
          <w:rStyle w:val="None"/>
          <w:rFonts w:cs="Arial"/>
          <w:color w:val="000000" w:themeColor="text1"/>
          <w:szCs w:val="24"/>
        </w:rPr>
        <w:t>о</w:t>
      </w:r>
      <w:r w:rsidR="0071360A">
        <w:rPr>
          <w:rStyle w:val="None"/>
          <w:rFonts w:cs="Arial"/>
          <w:color w:val="000000" w:themeColor="text1"/>
          <w:szCs w:val="24"/>
        </w:rPr>
        <w:t>в</w:t>
      </w:r>
      <w:r>
        <w:rPr>
          <w:rStyle w:val="None"/>
          <w:rFonts w:cs="Arial"/>
          <w:color w:val="000000" w:themeColor="text1"/>
          <w:szCs w:val="24"/>
        </w:rPr>
        <w:t>ањ</w:t>
      </w:r>
      <w:r w:rsidR="0071360A">
        <w:rPr>
          <w:rStyle w:val="None"/>
          <w:rFonts w:cs="Arial"/>
          <w:color w:val="000000" w:themeColor="text1"/>
          <w:szCs w:val="24"/>
        </w:rPr>
        <w:t>у</w:t>
      </w:r>
      <w:r w:rsidR="004B5159" w:rsidRPr="00F6340E">
        <w:rPr>
          <w:rStyle w:val="None"/>
          <w:rFonts w:cs="Arial"/>
          <w:color w:val="000000" w:themeColor="text1"/>
          <w:szCs w:val="24"/>
        </w:rPr>
        <w:t xml:space="preserve">.  </w:t>
      </w:r>
    </w:p>
    <w:p w14:paraId="7D1BE5BF" w14:textId="4763D1F2" w:rsidR="006B5098" w:rsidRPr="00F6340E" w:rsidRDefault="00A56E08" w:rsidP="001A6D76">
      <w:pPr>
        <w:pStyle w:val="Body"/>
      </w:pPr>
      <w:r>
        <w:rPr>
          <w:highlight w:val="white"/>
        </w:rPr>
        <w:t>Нала</w:t>
      </w:r>
      <w:r w:rsidR="00171F00">
        <w:rPr>
          <w:highlight w:val="white"/>
        </w:rPr>
        <w:t>з</w:t>
      </w:r>
      <w:r>
        <w:rPr>
          <w:highlight w:val="white"/>
        </w:rPr>
        <w:t>и</w:t>
      </w:r>
      <w:r w:rsidR="00FC5DD9" w:rsidRPr="00F6340E">
        <w:rPr>
          <w:highlight w:val="white"/>
        </w:rPr>
        <w:t xml:space="preserve"> </w:t>
      </w:r>
      <w:r>
        <w:rPr>
          <w:highlight w:val="white"/>
        </w:rPr>
        <w:t>и</w:t>
      </w:r>
      <w:r w:rsidR="0071360A">
        <w:rPr>
          <w:highlight w:val="white"/>
        </w:rPr>
        <w:t>стр</w:t>
      </w:r>
      <w:r>
        <w:rPr>
          <w:highlight w:val="white"/>
        </w:rPr>
        <w:t>а</w:t>
      </w:r>
      <w:r w:rsidR="00171F00">
        <w:rPr>
          <w:highlight w:val="white"/>
        </w:rPr>
        <w:t>ж</w:t>
      </w:r>
      <w:r>
        <w:rPr>
          <w:highlight w:val="white"/>
        </w:rPr>
        <w:t>и</w:t>
      </w:r>
      <w:r w:rsidR="0071360A">
        <w:rPr>
          <w:highlight w:val="white"/>
        </w:rPr>
        <w:t>в</w:t>
      </w:r>
      <w:r>
        <w:rPr>
          <w:highlight w:val="white"/>
        </w:rPr>
        <w:t>ања</w:t>
      </w:r>
      <w:r w:rsidR="00FC5DD9" w:rsidRPr="00F6340E">
        <w:rPr>
          <w:highlight w:val="white"/>
        </w:rPr>
        <w:t xml:space="preserve"> </w:t>
      </w:r>
      <w:r w:rsidR="0071360A">
        <w:rPr>
          <w:highlight w:val="white"/>
        </w:rPr>
        <w:t>т</w:t>
      </w:r>
      <w:r w:rsidR="00EE6AA2">
        <w:rPr>
          <w:highlight w:val="white"/>
        </w:rPr>
        <w:t>е</w:t>
      </w:r>
      <w:r w:rsidR="00FC5DD9" w:rsidRPr="00F6340E">
        <w:rPr>
          <w:highlight w:val="white"/>
        </w:rPr>
        <w:t xml:space="preserve"> </w:t>
      </w:r>
      <w:r>
        <w:rPr>
          <w:highlight w:val="white"/>
        </w:rPr>
        <w:t>ид</w:t>
      </w:r>
      <w:r w:rsidR="00EE6AA2">
        <w:rPr>
          <w:highlight w:val="white"/>
        </w:rPr>
        <w:t>е</w:t>
      </w:r>
      <w:r>
        <w:rPr>
          <w:highlight w:val="white"/>
        </w:rPr>
        <w:t>н</w:t>
      </w:r>
      <w:r w:rsidR="0071360A">
        <w:rPr>
          <w:highlight w:val="white"/>
        </w:rPr>
        <w:t>т</w:t>
      </w:r>
      <w:r>
        <w:rPr>
          <w:highlight w:val="white"/>
        </w:rPr>
        <w:t>ифико</w:t>
      </w:r>
      <w:r w:rsidR="0071360A">
        <w:rPr>
          <w:highlight w:val="white"/>
        </w:rPr>
        <w:t>в</w:t>
      </w:r>
      <w:r>
        <w:rPr>
          <w:highlight w:val="white"/>
        </w:rPr>
        <w:t>ан</w:t>
      </w:r>
      <w:r w:rsidR="00EE6AA2">
        <w:rPr>
          <w:highlight w:val="white"/>
        </w:rPr>
        <w:t>е</w:t>
      </w:r>
      <w:r w:rsidR="000427C8" w:rsidRPr="00F6340E">
        <w:rPr>
          <w:highlight w:val="white"/>
        </w:rPr>
        <w:t xml:space="preserve"> </w:t>
      </w:r>
      <w:r w:rsidR="0071360A">
        <w:rPr>
          <w:highlight w:val="white"/>
        </w:rPr>
        <w:t>пр</w:t>
      </w:r>
      <w:r w:rsidR="00EE6AA2">
        <w:rPr>
          <w:highlight w:val="white"/>
        </w:rPr>
        <w:t>е</w:t>
      </w:r>
      <w:r w:rsidR="0071360A">
        <w:rPr>
          <w:highlight w:val="white"/>
        </w:rPr>
        <w:t>пр</w:t>
      </w:r>
      <w:r w:rsidR="00EE6AA2">
        <w:rPr>
          <w:highlight w:val="white"/>
        </w:rPr>
        <w:t>е</w:t>
      </w:r>
      <w:r>
        <w:rPr>
          <w:highlight w:val="white"/>
        </w:rPr>
        <w:t>к</w:t>
      </w:r>
      <w:r w:rsidR="00EE6AA2">
        <w:rPr>
          <w:highlight w:val="white"/>
        </w:rPr>
        <w:t>е</w:t>
      </w:r>
      <w:r w:rsidR="000427C8" w:rsidRPr="00F6340E">
        <w:rPr>
          <w:highlight w:val="white"/>
        </w:rPr>
        <w:t xml:space="preserve"> </w:t>
      </w:r>
      <w:r>
        <w:rPr>
          <w:highlight w:val="white"/>
        </w:rPr>
        <w:t>и</w:t>
      </w:r>
      <w:r w:rsidR="000427C8" w:rsidRPr="00F6340E">
        <w:rPr>
          <w:highlight w:val="white"/>
        </w:rPr>
        <w:t xml:space="preserve"> </w:t>
      </w:r>
      <w:r>
        <w:rPr>
          <w:highlight w:val="white"/>
        </w:rPr>
        <w:t>и</w:t>
      </w:r>
      <w:r w:rsidR="00171F00">
        <w:rPr>
          <w:highlight w:val="white"/>
        </w:rPr>
        <w:t>з</w:t>
      </w:r>
      <w:r>
        <w:rPr>
          <w:highlight w:val="white"/>
        </w:rPr>
        <w:t>а</w:t>
      </w:r>
      <w:r w:rsidR="00171F00">
        <w:rPr>
          <w:highlight w:val="white"/>
        </w:rPr>
        <w:t>з</w:t>
      </w:r>
      <w:r>
        <w:rPr>
          <w:highlight w:val="white"/>
        </w:rPr>
        <w:t>о</w:t>
      </w:r>
      <w:r w:rsidR="0071360A">
        <w:rPr>
          <w:highlight w:val="white"/>
        </w:rPr>
        <w:t>в</w:t>
      </w:r>
      <w:r>
        <w:rPr>
          <w:highlight w:val="white"/>
        </w:rPr>
        <w:t>и</w:t>
      </w:r>
      <w:r w:rsidR="000427C8" w:rsidRPr="00F6340E">
        <w:rPr>
          <w:highlight w:val="white"/>
        </w:rPr>
        <w:t xml:space="preserve"> </w:t>
      </w:r>
      <w:r w:rsidR="0071360A">
        <w:rPr>
          <w:highlight w:val="white"/>
        </w:rPr>
        <w:t>п</w:t>
      </w:r>
      <w:r>
        <w:rPr>
          <w:highlight w:val="white"/>
        </w:rPr>
        <w:t>ока</w:t>
      </w:r>
      <w:r w:rsidR="00171F00">
        <w:rPr>
          <w:highlight w:val="white"/>
        </w:rPr>
        <w:t>з</w:t>
      </w:r>
      <w:r w:rsidR="0071360A">
        <w:rPr>
          <w:highlight w:val="white"/>
        </w:rPr>
        <w:t>у</w:t>
      </w:r>
      <w:r>
        <w:rPr>
          <w:highlight w:val="white"/>
        </w:rPr>
        <w:t>ј</w:t>
      </w:r>
      <w:r w:rsidR="0071360A">
        <w:rPr>
          <w:highlight w:val="white"/>
        </w:rPr>
        <w:t>у</w:t>
      </w:r>
      <w:r w:rsidR="007C52F2" w:rsidRPr="00F6340E">
        <w:rPr>
          <w:highlight w:val="white"/>
        </w:rPr>
        <w:t xml:space="preserve"> </w:t>
      </w:r>
      <w:r w:rsidR="0071360A">
        <w:rPr>
          <w:highlight w:val="white"/>
        </w:rPr>
        <w:t>т</w:t>
      </w:r>
      <w:r>
        <w:rPr>
          <w:highlight w:val="white"/>
        </w:rPr>
        <w:t>о</w:t>
      </w:r>
      <w:r w:rsidR="00FC5DD9" w:rsidRPr="00F6340E">
        <w:rPr>
          <w:highlight w:val="white"/>
        </w:rPr>
        <w:t xml:space="preserve"> </w:t>
      </w:r>
      <w:r>
        <w:rPr>
          <w:highlight w:val="white"/>
        </w:rPr>
        <w:t>да</w:t>
      </w:r>
      <w:r w:rsidR="00FC5DD9" w:rsidRPr="00F6340E">
        <w:rPr>
          <w:highlight w:val="white"/>
        </w:rPr>
        <w:t xml:space="preserve"> </w:t>
      </w:r>
      <w:r>
        <w:rPr>
          <w:highlight w:val="white"/>
        </w:rPr>
        <w:t>ј</w:t>
      </w:r>
      <w:r w:rsidR="00EE6AA2">
        <w:rPr>
          <w:highlight w:val="white"/>
        </w:rPr>
        <w:t>е</w:t>
      </w:r>
      <w:r w:rsidR="00FC5DD9" w:rsidRPr="00F6340E">
        <w:rPr>
          <w:highlight w:val="white"/>
        </w:rPr>
        <w:t xml:space="preserve"> </w:t>
      </w:r>
      <w:r w:rsidR="0071360A">
        <w:rPr>
          <w:highlight w:val="white"/>
        </w:rPr>
        <w:t>п</w:t>
      </w:r>
      <w:r>
        <w:rPr>
          <w:highlight w:val="white"/>
        </w:rPr>
        <w:t>о</w:t>
      </w:r>
      <w:r w:rsidR="0071360A">
        <w:rPr>
          <w:highlight w:val="white"/>
        </w:rPr>
        <w:t>тр</w:t>
      </w:r>
      <w:r w:rsidR="00EE6AA2">
        <w:rPr>
          <w:highlight w:val="white"/>
        </w:rPr>
        <w:t>е</w:t>
      </w:r>
      <w:r>
        <w:rPr>
          <w:highlight w:val="white"/>
        </w:rPr>
        <w:t>бно</w:t>
      </w:r>
      <w:r w:rsidR="009A10E7" w:rsidRPr="00F6340E">
        <w:rPr>
          <w:highlight w:val="white"/>
        </w:rPr>
        <w:t xml:space="preserve"> </w:t>
      </w:r>
      <w:r w:rsidR="0071360A">
        <w:rPr>
          <w:highlight w:val="white"/>
        </w:rPr>
        <w:t>п</w:t>
      </w:r>
      <w:r>
        <w:rPr>
          <w:highlight w:val="white"/>
        </w:rPr>
        <w:t>оно</w:t>
      </w:r>
      <w:r w:rsidR="0071360A">
        <w:rPr>
          <w:highlight w:val="white"/>
        </w:rPr>
        <w:t>в</w:t>
      </w:r>
      <w:r>
        <w:rPr>
          <w:highlight w:val="white"/>
        </w:rPr>
        <w:t>о</w:t>
      </w:r>
      <w:r w:rsidR="009A10E7" w:rsidRPr="00F6340E">
        <w:rPr>
          <w:highlight w:val="white"/>
        </w:rPr>
        <w:t xml:space="preserve"> </w:t>
      </w:r>
      <w:r w:rsidR="0071360A">
        <w:rPr>
          <w:highlight w:val="white"/>
        </w:rPr>
        <w:t>р</w:t>
      </w:r>
      <w:r>
        <w:rPr>
          <w:highlight w:val="white"/>
        </w:rPr>
        <w:t>а</w:t>
      </w:r>
      <w:r w:rsidR="00171F00">
        <w:rPr>
          <w:highlight w:val="white"/>
        </w:rPr>
        <w:t>з</w:t>
      </w:r>
      <w:r>
        <w:rPr>
          <w:highlight w:val="white"/>
        </w:rPr>
        <w:t>ми</w:t>
      </w:r>
      <w:r w:rsidR="0071360A">
        <w:rPr>
          <w:highlight w:val="white"/>
        </w:rPr>
        <w:t>с</w:t>
      </w:r>
      <w:r>
        <w:rPr>
          <w:highlight w:val="white"/>
        </w:rPr>
        <w:t>ли</w:t>
      </w:r>
      <w:r w:rsidR="0071360A">
        <w:rPr>
          <w:highlight w:val="white"/>
        </w:rPr>
        <w:t>т</w:t>
      </w:r>
      <w:r>
        <w:rPr>
          <w:highlight w:val="white"/>
        </w:rPr>
        <w:t>и</w:t>
      </w:r>
      <w:r w:rsidR="009A10E7" w:rsidRPr="00F6340E">
        <w:rPr>
          <w:highlight w:val="white"/>
        </w:rPr>
        <w:t xml:space="preserve"> </w:t>
      </w:r>
      <w:r>
        <w:rPr>
          <w:highlight w:val="white"/>
        </w:rPr>
        <w:t>о</w:t>
      </w:r>
      <w:r w:rsidR="009A10E7" w:rsidRPr="00F6340E">
        <w:rPr>
          <w:highlight w:val="white"/>
        </w:rPr>
        <w:t xml:space="preserve"> </w:t>
      </w:r>
      <w:r w:rsidR="0071360A">
        <w:rPr>
          <w:highlight w:val="white"/>
        </w:rPr>
        <w:lastRenderedPageBreak/>
        <w:t>тр</w:t>
      </w:r>
      <w:r w:rsidR="00EE6AA2">
        <w:rPr>
          <w:highlight w:val="white"/>
        </w:rPr>
        <w:t>е</w:t>
      </w:r>
      <w:r>
        <w:rPr>
          <w:highlight w:val="white"/>
        </w:rPr>
        <w:t>н</w:t>
      </w:r>
      <w:r w:rsidR="0071360A">
        <w:rPr>
          <w:highlight w:val="white"/>
        </w:rPr>
        <w:t>ут</w:t>
      </w:r>
      <w:r>
        <w:rPr>
          <w:highlight w:val="white"/>
        </w:rPr>
        <w:t>ној</w:t>
      </w:r>
      <w:r w:rsidR="00FC5DD9" w:rsidRPr="00F6340E">
        <w:rPr>
          <w:highlight w:val="white"/>
        </w:rPr>
        <w:t xml:space="preserve"> </w:t>
      </w:r>
      <w:r>
        <w:rPr>
          <w:highlight w:val="white"/>
        </w:rPr>
        <w:t>одгојно</w:t>
      </w:r>
      <w:r w:rsidR="00FC5DD9" w:rsidRPr="00F6340E">
        <w:rPr>
          <w:highlight w:val="white"/>
        </w:rPr>
        <w:t xml:space="preserve"> – </w:t>
      </w:r>
      <w:r>
        <w:rPr>
          <w:highlight w:val="white"/>
        </w:rPr>
        <w:t>об</w:t>
      </w:r>
      <w:r w:rsidR="0071360A">
        <w:rPr>
          <w:highlight w:val="white"/>
        </w:rPr>
        <w:t>р</w:t>
      </w:r>
      <w:r>
        <w:rPr>
          <w:highlight w:val="white"/>
        </w:rPr>
        <w:t>а</w:t>
      </w:r>
      <w:r w:rsidR="00171F00">
        <w:rPr>
          <w:highlight w:val="white"/>
        </w:rPr>
        <w:t>з</w:t>
      </w:r>
      <w:r>
        <w:rPr>
          <w:highlight w:val="white"/>
        </w:rPr>
        <w:t>о</w:t>
      </w:r>
      <w:r w:rsidR="0071360A">
        <w:rPr>
          <w:highlight w:val="white"/>
        </w:rPr>
        <w:t>в</w:t>
      </w:r>
      <w:r>
        <w:rPr>
          <w:highlight w:val="white"/>
        </w:rPr>
        <w:t>ној</w:t>
      </w:r>
      <w:r w:rsidR="00FC5DD9" w:rsidRPr="00F6340E">
        <w:rPr>
          <w:highlight w:val="white"/>
        </w:rPr>
        <w:t xml:space="preserve"> </w:t>
      </w:r>
      <w:r w:rsidR="0071360A">
        <w:rPr>
          <w:highlight w:val="white"/>
        </w:rPr>
        <w:t>пр</w:t>
      </w:r>
      <w:r>
        <w:rPr>
          <w:highlight w:val="white"/>
        </w:rPr>
        <w:t>ак</w:t>
      </w:r>
      <w:r w:rsidR="0071360A">
        <w:rPr>
          <w:highlight w:val="white"/>
        </w:rPr>
        <w:t>с</w:t>
      </w:r>
      <w:r>
        <w:rPr>
          <w:highlight w:val="white"/>
        </w:rPr>
        <w:t>и</w:t>
      </w:r>
      <w:r w:rsidR="00FC5DD9" w:rsidRPr="00F6340E">
        <w:rPr>
          <w:highlight w:val="white"/>
        </w:rPr>
        <w:t xml:space="preserve"> </w:t>
      </w:r>
      <w:r>
        <w:rPr>
          <w:highlight w:val="white"/>
        </w:rPr>
        <w:t>н</w:t>
      </w:r>
      <w:r w:rsidR="00EE6AA2">
        <w:rPr>
          <w:highlight w:val="white"/>
        </w:rPr>
        <w:t>е</w:t>
      </w:r>
      <w:r w:rsidR="00FC5DD9" w:rsidRPr="00F6340E">
        <w:rPr>
          <w:highlight w:val="white"/>
        </w:rPr>
        <w:t xml:space="preserve"> </w:t>
      </w:r>
      <w:r w:rsidR="0071360A">
        <w:rPr>
          <w:highlight w:val="white"/>
        </w:rPr>
        <w:t>у</w:t>
      </w:r>
      <w:r>
        <w:rPr>
          <w:highlight w:val="white"/>
        </w:rPr>
        <w:t>мањ</w:t>
      </w:r>
      <w:r w:rsidR="0071360A">
        <w:rPr>
          <w:highlight w:val="white"/>
        </w:rPr>
        <w:t>у</w:t>
      </w:r>
      <w:r>
        <w:rPr>
          <w:highlight w:val="white"/>
        </w:rPr>
        <w:t>ј</w:t>
      </w:r>
      <w:r w:rsidR="0071360A">
        <w:rPr>
          <w:highlight w:val="white"/>
        </w:rPr>
        <w:t>у</w:t>
      </w:r>
      <w:r>
        <w:rPr>
          <w:highlight w:val="white"/>
        </w:rPr>
        <w:t>ћи</w:t>
      </w:r>
      <w:r w:rsidR="00FC5DD9" w:rsidRPr="00F6340E">
        <w:rPr>
          <w:highlight w:val="white"/>
        </w:rPr>
        <w:t xml:space="preserve"> </w:t>
      </w:r>
      <w:r w:rsidR="0071360A">
        <w:rPr>
          <w:highlight w:val="white"/>
        </w:rPr>
        <w:t>в</w:t>
      </w:r>
      <w:r>
        <w:rPr>
          <w:highlight w:val="white"/>
        </w:rPr>
        <w:t>а</w:t>
      </w:r>
      <w:r w:rsidR="00171F00">
        <w:rPr>
          <w:highlight w:val="white"/>
        </w:rPr>
        <w:t>ж</w:t>
      </w:r>
      <w:r>
        <w:rPr>
          <w:highlight w:val="white"/>
        </w:rPr>
        <w:t>но</w:t>
      </w:r>
      <w:r w:rsidR="0071360A">
        <w:rPr>
          <w:highlight w:val="white"/>
        </w:rPr>
        <w:t>ст</w:t>
      </w:r>
      <w:r w:rsidR="00FC5DD9" w:rsidRPr="00F6340E">
        <w:rPr>
          <w:highlight w:val="white"/>
        </w:rPr>
        <w:t xml:space="preserve"> </w:t>
      </w:r>
      <w:r w:rsidR="0071360A">
        <w:rPr>
          <w:highlight w:val="white"/>
        </w:rPr>
        <w:t>пр</w:t>
      </w:r>
      <w:r>
        <w:rPr>
          <w:highlight w:val="white"/>
        </w:rPr>
        <w:t>и</w:t>
      </w:r>
      <w:r w:rsidR="0071360A">
        <w:rPr>
          <w:highlight w:val="white"/>
        </w:rPr>
        <w:t>сут</w:t>
      </w:r>
      <w:r>
        <w:rPr>
          <w:highlight w:val="white"/>
        </w:rPr>
        <w:t>ног</w:t>
      </w:r>
      <w:r w:rsidR="009A10E7" w:rsidRPr="00F6340E">
        <w:rPr>
          <w:highlight w:val="white"/>
        </w:rPr>
        <w:t xml:space="preserve"> </w:t>
      </w:r>
      <w:r w:rsidR="0071360A">
        <w:rPr>
          <w:highlight w:val="white"/>
        </w:rPr>
        <w:t>тр</w:t>
      </w:r>
      <w:r>
        <w:rPr>
          <w:highlight w:val="white"/>
        </w:rPr>
        <w:t>адиционалног</w:t>
      </w:r>
      <w:r w:rsidR="00FC5DD9" w:rsidRPr="00F6340E">
        <w:rPr>
          <w:highlight w:val="white"/>
        </w:rPr>
        <w:t xml:space="preserve"> </w:t>
      </w:r>
      <w:r w:rsidR="0071360A">
        <w:rPr>
          <w:highlight w:val="white"/>
        </w:rPr>
        <w:t>п</w:t>
      </w:r>
      <w:r w:rsidR="00EE6AA2">
        <w:rPr>
          <w:highlight w:val="white"/>
        </w:rPr>
        <w:t>е</w:t>
      </w:r>
      <w:r>
        <w:rPr>
          <w:highlight w:val="white"/>
        </w:rPr>
        <w:t>даго</w:t>
      </w:r>
      <w:r w:rsidR="0071360A">
        <w:rPr>
          <w:highlight w:val="white"/>
        </w:rPr>
        <w:t>ш</w:t>
      </w:r>
      <w:r>
        <w:rPr>
          <w:highlight w:val="white"/>
        </w:rPr>
        <w:t>ког</w:t>
      </w:r>
      <w:r w:rsidR="00FC5DD9" w:rsidRPr="00F6340E">
        <w:rPr>
          <w:highlight w:val="white"/>
        </w:rPr>
        <w:t xml:space="preserve"> </w:t>
      </w:r>
      <w:r w:rsidR="0071360A">
        <w:rPr>
          <w:highlight w:val="white"/>
        </w:rPr>
        <w:t>пр</w:t>
      </w:r>
      <w:r>
        <w:rPr>
          <w:highlight w:val="white"/>
        </w:rPr>
        <w:t>и</w:t>
      </w:r>
      <w:r w:rsidR="0071360A">
        <w:rPr>
          <w:highlight w:val="white"/>
        </w:rPr>
        <w:t>ступ</w:t>
      </w:r>
      <w:r>
        <w:rPr>
          <w:highlight w:val="white"/>
        </w:rPr>
        <w:t>а</w:t>
      </w:r>
      <w:r w:rsidR="00FC5DD9" w:rsidRPr="00F6340E">
        <w:rPr>
          <w:highlight w:val="white"/>
        </w:rPr>
        <w:t xml:space="preserve">. </w:t>
      </w:r>
      <w:r>
        <w:rPr>
          <w:highlight w:val="white"/>
        </w:rPr>
        <w:t>Наим</w:t>
      </w:r>
      <w:r w:rsidR="00EE6AA2">
        <w:rPr>
          <w:highlight w:val="white"/>
        </w:rPr>
        <w:t>е</w:t>
      </w:r>
      <w:r w:rsidR="00FC5DD9" w:rsidRPr="00F6340E">
        <w:rPr>
          <w:highlight w:val="white"/>
        </w:rPr>
        <w:t xml:space="preserve">, </w:t>
      </w:r>
      <w:r w:rsidR="0071360A">
        <w:rPr>
          <w:highlight w:val="white"/>
        </w:rPr>
        <w:t>у</w:t>
      </w:r>
      <w:r w:rsidR="00FC5DD9" w:rsidRPr="00F6340E">
        <w:rPr>
          <w:highlight w:val="white"/>
        </w:rPr>
        <w:t xml:space="preserve"> </w:t>
      </w:r>
      <w:r w:rsidR="0071360A">
        <w:rPr>
          <w:highlight w:val="white"/>
        </w:rPr>
        <w:t>прв</w:t>
      </w:r>
      <w:r>
        <w:rPr>
          <w:highlight w:val="white"/>
        </w:rPr>
        <w:t>ом</w:t>
      </w:r>
      <w:r w:rsidR="00FC5DD9" w:rsidRPr="00F6340E">
        <w:rPr>
          <w:highlight w:val="white"/>
        </w:rPr>
        <w:t xml:space="preserve"> </w:t>
      </w:r>
      <w:r w:rsidR="0071360A">
        <w:rPr>
          <w:highlight w:val="white"/>
        </w:rPr>
        <w:t>р</w:t>
      </w:r>
      <w:r w:rsidR="00EE6AA2">
        <w:rPr>
          <w:highlight w:val="white"/>
        </w:rPr>
        <w:t>е</w:t>
      </w:r>
      <w:r>
        <w:rPr>
          <w:highlight w:val="white"/>
        </w:rPr>
        <w:t>д</w:t>
      </w:r>
      <w:r w:rsidR="0071360A">
        <w:rPr>
          <w:highlight w:val="white"/>
        </w:rPr>
        <w:t>у</w:t>
      </w:r>
      <w:r w:rsidR="00FC5DD9" w:rsidRPr="00F6340E">
        <w:rPr>
          <w:highlight w:val="white"/>
        </w:rPr>
        <w:t xml:space="preserve"> </w:t>
      </w:r>
      <w:r>
        <w:rPr>
          <w:highlight w:val="white"/>
        </w:rPr>
        <w:t>го</w:t>
      </w:r>
      <w:r w:rsidR="0071360A">
        <w:rPr>
          <w:highlight w:val="white"/>
        </w:rPr>
        <w:t>в</w:t>
      </w:r>
      <w:r>
        <w:rPr>
          <w:highlight w:val="white"/>
        </w:rPr>
        <w:t>о</w:t>
      </w:r>
      <w:r w:rsidR="0071360A">
        <w:rPr>
          <w:highlight w:val="white"/>
        </w:rPr>
        <w:t>р</w:t>
      </w:r>
      <w:r>
        <w:rPr>
          <w:highlight w:val="white"/>
        </w:rPr>
        <w:t>имо</w:t>
      </w:r>
      <w:r w:rsidR="00FC5DD9" w:rsidRPr="00F6340E">
        <w:rPr>
          <w:highlight w:val="white"/>
        </w:rPr>
        <w:t xml:space="preserve"> </w:t>
      </w:r>
      <w:r>
        <w:rPr>
          <w:highlight w:val="white"/>
        </w:rPr>
        <w:t>о</w:t>
      </w:r>
      <w:r w:rsidR="00FC5DD9" w:rsidRPr="00F6340E">
        <w:rPr>
          <w:highlight w:val="white"/>
        </w:rPr>
        <w:t xml:space="preserve"> </w:t>
      </w:r>
      <w:r>
        <w:rPr>
          <w:highlight w:val="white"/>
        </w:rPr>
        <w:t>на</w:t>
      </w:r>
      <w:r w:rsidR="0071360A">
        <w:rPr>
          <w:highlight w:val="white"/>
        </w:rPr>
        <w:t>пр</w:t>
      </w:r>
      <w:r w:rsidR="00EE6AA2">
        <w:rPr>
          <w:highlight w:val="white"/>
        </w:rPr>
        <w:t>е</w:t>
      </w:r>
      <w:r w:rsidR="0071360A">
        <w:rPr>
          <w:highlight w:val="white"/>
        </w:rPr>
        <w:t>т</w:t>
      </w:r>
      <w:r>
        <w:rPr>
          <w:highlight w:val="white"/>
        </w:rPr>
        <w:t>к</w:t>
      </w:r>
      <w:r w:rsidR="0071360A">
        <w:rPr>
          <w:highlight w:val="white"/>
        </w:rPr>
        <w:t>у</w:t>
      </w:r>
      <w:r w:rsidR="00FC5DD9" w:rsidRPr="00F6340E">
        <w:rPr>
          <w:highlight w:val="white"/>
        </w:rPr>
        <w:t xml:space="preserve"> </w:t>
      </w:r>
      <w:r>
        <w:rPr>
          <w:highlight w:val="white"/>
        </w:rPr>
        <w:t>инфо</w:t>
      </w:r>
      <w:r w:rsidR="0071360A">
        <w:rPr>
          <w:highlight w:val="white"/>
        </w:rPr>
        <w:t>р</w:t>
      </w:r>
      <w:r>
        <w:rPr>
          <w:highlight w:val="white"/>
        </w:rPr>
        <w:t>ма</w:t>
      </w:r>
      <w:r w:rsidR="0071360A">
        <w:rPr>
          <w:highlight w:val="white"/>
        </w:rPr>
        <w:t>т</w:t>
      </w:r>
      <w:r>
        <w:rPr>
          <w:highlight w:val="white"/>
        </w:rPr>
        <w:t>ичко</w:t>
      </w:r>
      <w:r w:rsidR="00FC5DD9" w:rsidRPr="00F6340E">
        <w:rPr>
          <w:highlight w:val="white"/>
        </w:rPr>
        <w:t xml:space="preserve"> – </w:t>
      </w:r>
      <w:r>
        <w:rPr>
          <w:highlight w:val="white"/>
        </w:rPr>
        <w:t>ком</w:t>
      </w:r>
      <w:r w:rsidR="0071360A">
        <w:rPr>
          <w:highlight w:val="white"/>
        </w:rPr>
        <w:t>у</w:t>
      </w:r>
      <w:r>
        <w:rPr>
          <w:highlight w:val="white"/>
        </w:rPr>
        <w:t>никацион</w:t>
      </w:r>
      <w:r w:rsidR="00EE6AA2">
        <w:rPr>
          <w:highlight w:val="white"/>
        </w:rPr>
        <w:t>е</w:t>
      </w:r>
      <w:r w:rsidR="00FC5DD9" w:rsidRPr="00F6340E">
        <w:rPr>
          <w:highlight w:val="white"/>
        </w:rPr>
        <w:t xml:space="preserve"> </w:t>
      </w:r>
      <w:r w:rsidR="0071360A">
        <w:rPr>
          <w:highlight w:val="white"/>
        </w:rPr>
        <w:t>т</w:t>
      </w:r>
      <w:r w:rsidR="00EE6AA2">
        <w:rPr>
          <w:highlight w:val="white"/>
        </w:rPr>
        <w:t>е</w:t>
      </w:r>
      <w:r>
        <w:rPr>
          <w:highlight w:val="white"/>
        </w:rPr>
        <w:t>хнологиј</w:t>
      </w:r>
      <w:r w:rsidR="00EE6AA2">
        <w:rPr>
          <w:highlight w:val="white"/>
        </w:rPr>
        <w:t>е</w:t>
      </w:r>
      <w:r w:rsidR="00FC5DD9" w:rsidRPr="00F6340E">
        <w:rPr>
          <w:highlight w:val="white"/>
        </w:rPr>
        <w:t xml:space="preserve"> (</w:t>
      </w:r>
      <w:r>
        <w:rPr>
          <w:highlight w:val="white"/>
        </w:rPr>
        <w:t>ИК</w:t>
      </w:r>
      <w:r w:rsidR="0071360A">
        <w:rPr>
          <w:highlight w:val="white"/>
        </w:rPr>
        <w:t>Т</w:t>
      </w:r>
      <w:r w:rsidR="00FC5DD9" w:rsidRPr="00F6340E">
        <w:rPr>
          <w:highlight w:val="white"/>
        </w:rPr>
        <w:t xml:space="preserve">) </w:t>
      </w:r>
      <w:r>
        <w:rPr>
          <w:highlight w:val="white"/>
        </w:rPr>
        <w:t>која</w:t>
      </w:r>
      <w:r w:rsidR="00FC5DD9" w:rsidRPr="00F6340E">
        <w:rPr>
          <w:highlight w:val="white"/>
        </w:rPr>
        <w:t xml:space="preserve"> </w:t>
      </w:r>
      <w:r w:rsidR="0071360A">
        <w:rPr>
          <w:highlight w:val="white"/>
        </w:rPr>
        <w:t>с</w:t>
      </w:r>
      <w:r w:rsidR="00EE6AA2">
        <w:rPr>
          <w:highlight w:val="white"/>
        </w:rPr>
        <w:t>е</w:t>
      </w:r>
      <w:r w:rsidR="00FC5DD9" w:rsidRPr="00F6340E">
        <w:rPr>
          <w:highlight w:val="white"/>
        </w:rPr>
        <w:t xml:space="preserve"> </w:t>
      </w:r>
      <w:r w:rsidR="0071360A">
        <w:rPr>
          <w:highlight w:val="white"/>
        </w:rPr>
        <w:t>пр</w:t>
      </w:r>
      <w:r>
        <w:rPr>
          <w:highlight w:val="white"/>
        </w:rPr>
        <w:t>о</w:t>
      </w:r>
      <w:r w:rsidR="0071360A">
        <w:rPr>
          <w:highlight w:val="white"/>
        </w:rPr>
        <w:t>т</w:t>
      </w:r>
      <w:r w:rsidR="00EE6AA2">
        <w:rPr>
          <w:highlight w:val="white"/>
        </w:rPr>
        <w:t>е</w:t>
      </w:r>
      <w:r>
        <w:rPr>
          <w:highlight w:val="white"/>
        </w:rPr>
        <w:t>клих</w:t>
      </w:r>
      <w:r w:rsidR="00FC5DD9" w:rsidRPr="00F6340E">
        <w:rPr>
          <w:highlight w:val="white"/>
        </w:rPr>
        <w:t xml:space="preserve"> </w:t>
      </w:r>
      <w:r>
        <w:rPr>
          <w:highlight w:val="white"/>
        </w:rPr>
        <w:t>година</w:t>
      </w:r>
      <w:r w:rsidR="00FC5DD9" w:rsidRPr="00F6340E">
        <w:rPr>
          <w:highlight w:val="white"/>
        </w:rPr>
        <w:t xml:space="preserve"> </w:t>
      </w:r>
      <w:r w:rsidR="0071360A">
        <w:rPr>
          <w:highlight w:val="white"/>
        </w:rPr>
        <w:t>у</w:t>
      </w:r>
      <w:r>
        <w:rPr>
          <w:highlight w:val="white"/>
        </w:rPr>
        <w:t>кљ</w:t>
      </w:r>
      <w:r w:rsidR="0071360A">
        <w:rPr>
          <w:highlight w:val="white"/>
        </w:rPr>
        <w:t>у</w:t>
      </w:r>
      <w:r>
        <w:rPr>
          <w:highlight w:val="white"/>
        </w:rPr>
        <w:t>чила</w:t>
      </w:r>
      <w:r w:rsidR="009A10E7" w:rsidRPr="00F6340E">
        <w:rPr>
          <w:highlight w:val="white"/>
        </w:rPr>
        <w:t xml:space="preserve"> </w:t>
      </w:r>
      <w:r w:rsidR="0071360A">
        <w:rPr>
          <w:highlight w:val="white"/>
        </w:rPr>
        <w:t>у</w:t>
      </w:r>
      <w:r w:rsidR="00FC5DD9" w:rsidRPr="00F6340E">
        <w:rPr>
          <w:highlight w:val="white"/>
        </w:rPr>
        <w:t xml:space="preserve"> </w:t>
      </w:r>
      <w:r w:rsidR="0071360A">
        <w:rPr>
          <w:highlight w:val="white"/>
        </w:rPr>
        <w:t>св</w:t>
      </w:r>
      <w:r w:rsidR="00EE6AA2">
        <w:rPr>
          <w:highlight w:val="white"/>
        </w:rPr>
        <w:t>е</w:t>
      </w:r>
      <w:r w:rsidR="00FC5DD9" w:rsidRPr="00F6340E">
        <w:rPr>
          <w:highlight w:val="white"/>
        </w:rPr>
        <w:t xml:space="preserve"> </w:t>
      </w:r>
      <w:r w:rsidR="0071360A">
        <w:rPr>
          <w:highlight w:val="white"/>
        </w:rPr>
        <w:t>с</w:t>
      </w:r>
      <w:r>
        <w:rPr>
          <w:highlight w:val="white"/>
        </w:rPr>
        <w:t>ф</w:t>
      </w:r>
      <w:r w:rsidR="00EE6AA2">
        <w:rPr>
          <w:highlight w:val="white"/>
        </w:rPr>
        <w:t>е</w:t>
      </w:r>
      <w:r w:rsidR="0071360A">
        <w:rPr>
          <w:highlight w:val="white"/>
        </w:rPr>
        <w:t>р</w:t>
      </w:r>
      <w:r w:rsidR="00EE6AA2">
        <w:rPr>
          <w:highlight w:val="white"/>
        </w:rPr>
        <w:t>е</w:t>
      </w:r>
      <w:r w:rsidR="00FC5DD9" w:rsidRPr="00F6340E">
        <w:rPr>
          <w:highlight w:val="white"/>
        </w:rPr>
        <w:t xml:space="preserve"> </w:t>
      </w:r>
      <w:r>
        <w:rPr>
          <w:highlight w:val="white"/>
        </w:rPr>
        <w:t>чо</w:t>
      </w:r>
      <w:r w:rsidR="0071360A">
        <w:rPr>
          <w:highlight w:val="white"/>
        </w:rPr>
        <w:t>в</w:t>
      </w:r>
      <w:r>
        <w:rPr>
          <w:highlight w:val="white"/>
        </w:rPr>
        <w:t>ј</w:t>
      </w:r>
      <w:r w:rsidR="00EE6AA2">
        <w:rPr>
          <w:highlight w:val="white"/>
        </w:rPr>
        <w:t>е</w:t>
      </w:r>
      <w:r>
        <w:rPr>
          <w:highlight w:val="white"/>
        </w:rPr>
        <w:t>ко</w:t>
      </w:r>
      <w:r w:rsidR="0071360A">
        <w:rPr>
          <w:highlight w:val="white"/>
        </w:rPr>
        <w:t>в</w:t>
      </w:r>
      <w:r>
        <w:rPr>
          <w:highlight w:val="white"/>
        </w:rPr>
        <w:t>а</w:t>
      </w:r>
      <w:r w:rsidR="00FC5DD9" w:rsidRPr="00F6340E">
        <w:rPr>
          <w:highlight w:val="white"/>
        </w:rPr>
        <w:t xml:space="preserve"> </w:t>
      </w:r>
      <w:r w:rsidR="0071360A">
        <w:rPr>
          <w:highlight w:val="white"/>
        </w:rPr>
        <w:t>р</w:t>
      </w:r>
      <w:r>
        <w:rPr>
          <w:highlight w:val="white"/>
        </w:rPr>
        <w:t>ада</w:t>
      </w:r>
      <w:r w:rsidR="009A10E7" w:rsidRPr="00F6340E">
        <w:rPr>
          <w:highlight w:val="white"/>
        </w:rPr>
        <w:t xml:space="preserve"> </w:t>
      </w:r>
      <w:r w:rsidR="0071360A">
        <w:rPr>
          <w:highlight w:val="white"/>
        </w:rPr>
        <w:t>п</w:t>
      </w:r>
      <w:r>
        <w:rPr>
          <w:highlight w:val="white"/>
        </w:rPr>
        <w:t>а</w:t>
      </w:r>
      <w:r w:rsidR="00FC5DD9" w:rsidRPr="00F6340E">
        <w:rPr>
          <w:highlight w:val="white"/>
        </w:rPr>
        <w:t xml:space="preserve"> </w:t>
      </w:r>
      <w:r w:rsidR="0071360A">
        <w:rPr>
          <w:highlight w:val="white"/>
        </w:rPr>
        <w:t>т</w:t>
      </w:r>
      <w:r>
        <w:rPr>
          <w:highlight w:val="white"/>
        </w:rPr>
        <w:t>ако</w:t>
      </w:r>
      <w:r w:rsidR="00FC5DD9" w:rsidRPr="00F6340E">
        <w:rPr>
          <w:highlight w:val="white"/>
        </w:rPr>
        <w:t xml:space="preserve"> </w:t>
      </w:r>
      <w:r>
        <w:rPr>
          <w:highlight w:val="white"/>
        </w:rPr>
        <w:t>и</w:t>
      </w:r>
      <w:r w:rsidR="00FC5DD9" w:rsidRPr="00F6340E">
        <w:rPr>
          <w:highlight w:val="white"/>
        </w:rPr>
        <w:t xml:space="preserve"> </w:t>
      </w:r>
      <w:r w:rsidR="0071360A">
        <w:rPr>
          <w:highlight w:val="white"/>
        </w:rPr>
        <w:t>у</w:t>
      </w:r>
      <w:r w:rsidR="00FC5DD9" w:rsidRPr="00F6340E">
        <w:rPr>
          <w:highlight w:val="white"/>
        </w:rPr>
        <w:t xml:space="preserve"> </w:t>
      </w:r>
      <w:r>
        <w:rPr>
          <w:highlight w:val="white"/>
        </w:rPr>
        <w:t>об</w:t>
      </w:r>
      <w:r w:rsidR="0071360A">
        <w:rPr>
          <w:highlight w:val="white"/>
        </w:rPr>
        <w:t>р</w:t>
      </w:r>
      <w:r>
        <w:rPr>
          <w:highlight w:val="white"/>
        </w:rPr>
        <w:t>а</w:t>
      </w:r>
      <w:r w:rsidR="00171F00">
        <w:rPr>
          <w:highlight w:val="white"/>
        </w:rPr>
        <w:t>з</w:t>
      </w:r>
      <w:r>
        <w:rPr>
          <w:highlight w:val="white"/>
        </w:rPr>
        <w:t>о</w:t>
      </w:r>
      <w:r w:rsidR="0071360A">
        <w:rPr>
          <w:highlight w:val="white"/>
        </w:rPr>
        <w:t>в</w:t>
      </w:r>
      <w:r>
        <w:rPr>
          <w:highlight w:val="white"/>
        </w:rPr>
        <w:t>н</w:t>
      </w:r>
      <w:r w:rsidR="0071360A">
        <w:rPr>
          <w:highlight w:val="white"/>
        </w:rPr>
        <w:t>у</w:t>
      </w:r>
      <w:r w:rsidR="00FC5DD9" w:rsidRPr="00F6340E">
        <w:rPr>
          <w:highlight w:val="white"/>
        </w:rPr>
        <w:t xml:space="preserve">. </w:t>
      </w:r>
      <w:r w:rsidR="0071360A">
        <w:rPr>
          <w:highlight w:val="white"/>
        </w:rPr>
        <w:t>В</w:t>
      </w:r>
      <w:r>
        <w:rPr>
          <w:highlight w:val="white"/>
        </w:rPr>
        <w:t>ан</w:t>
      </w:r>
      <w:r w:rsidR="0071360A">
        <w:rPr>
          <w:highlight w:val="white"/>
        </w:rPr>
        <w:t>р</w:t>
      </w:r>
      <w:r w:rsidR="00EE6AA2">
        <w:rPr>
          <w:highlight w:val="white"/>
        </w:rPr>
        <w:t>е</w:t>
      </w:r>
      <w:r>
        <w:rPr>
          <w:highlight w:val="white"/>
        </w:rPr>
        <w:t>дна</w:t>
      </w:r>
      <w:r w:rsidR="005012AC" w:rsidRPr="00F6340E">
        <w:rPr>
          <w:highlight w:val="white"/>
        </w:rPr>
        <w:t xml:space="preserve"> </w:t>
      </w:r>
      <w:r w:rsidR="0071360A">
        <w:rPr>
          <w:highlight w:val="white"/>
        </w:rPr>
        <w:t>с</w:t>
      </w:r>
      <w:r>
        <w:rPr>
          <w:highlight w:val="white"/>
        </w:rPr>
        <w:t>и</w:t>
      </w:r>
      <w:r w:rsidR="0071360A">
        <w:rPr>
          <w:highlight w:val="white"/>
        </w:rPr>
        <w:t>ту</w:t>
      </w:r>
      <w:r>
        <w:rPr>
          <w:highlight w:val="white"/>
        </w:rPr>
        <w:t>ација</w:t>
      </w:r>
      <w:r w:rsidR="005012AC" w:rsidRPr="00F6340E">
        <w:rPr>
          <w:highlight w:val="white"/>
        </w:rPr>
        <w:t xml:space="preserve"> </w:t>
      </w:r>
      <w:r w:rsidR="0071360A">
        <w:t>пр</w:t>
      </w:r>
      <w:r>
        <w:t>о</w:t>
      </w:r>
      <w:r w:rsidR="0071360A">
        <w:t>у</w:t>
      </w:r>
      <w:r w:rsidR="00171F00">
        <w:t>з</w:t>
      </w:r>
      <w:r w:rsidR="0071360A">
        <w:t>р</w:t>
      </w:r>
      <w:r>
        <w:t>око</w:t>
      </w:r>
      <w:r w:rsidR="0071360A">
        <w:t>в</w:t>
      </w:r>
      <w:r>
        <w:t>ана</w:t>
      </w:r>
      <w:r w:rsidR="005012AC" w:rsidRPr="00F6340E">
        <w:t xml:space="preserve"> </w:t>
      </w:r>
      <w:r w:rsidR="0071360A">
        <w:t>п</w:t>
      </w:r>
      <w:r>
        <w:t>анд</w:t>
      </w:r>
      <w:r w:rsidR="00EE6AA2">
        <w:t>е</w:t>
      </w:r>
      <w:r>
        <w:t>мијом</w:t>
      </w:r>
      <w:r w:rsidR="005012AC" w:rsidRPr="00F6340E">
        <w:t xml:space="preserve"> </w:t>
      </w:r>
      <w:r>
        <w:t>Цо</w:t>
      </w:r>
      <w:r w:rsidR="0071360A">
        <w:t>в</w:t>
      </w:r>
      <w:r>
        <w:t>ид</w:t>
      </w:r>
      <w:r w:rsidR="005012AC" w:rsidRPr="00F6340E">
        <w:t xml:space="preserve"> – 19</w:t>
      </w:r>
      <w:r w:rsidR="00727C7D" w:rsidRPr="00F6340E">
        <w:t xml:space="preserve">, </w:t>
      </w:r>
      <w:r w:rsidR="0071360A">
        <w:t>т</w:t>
      </w:r>
      <w:r>
        <w:t>оком</w:t>
      </w:r>
      <w:r w:rsidR="005012AC" w:rsidRPr="00F6340E">
        <w:t xml:space="preserve"> </w:t>
      </w:r>
      <w:r>
        <w:t>кој</w:t>
      </w:r>
      <w:r w:rsidR="00EE6AA2">
        <w:t>е</w:t>
      </w:r>
      <w:r w:rsidR="005012AC" w:rsidRPr="00F6340E">
        <w:t xml:space="preserve"> </w:t>
      </w:r>
      <w:r w:rsidR="0071360A">
        <w:t>с</w:t>
      </w:r>
      <w:r w:rsidR="00EE6AA2">
        <w:t>е</w:t>
      </w:r>
      <w:r w:rsidR="005012AC" w:rsidRPr="00F6340E">
        <w:t xml:space="preserve"> </w:t>
      </w:r>
      <w:r w:rsidR="0071360A">
        <w:rPr>
          <w:highlight w:val="white"/>
        </w:rPr>
        <w:t>упр</w:t>
      </w:r>
      <w:r>
        <w:rPr>
          <w:highlight w:val="white"/>
        </w:rPr>
        <w:t>а</w:t>
      </w:r>
      <w:r w:rsidR="0071360A">
        <w:rPr>
          <w:highlight w:val="white"/>
        </w:rPr>
        <w:t>в</w:t>
      </w:r>
      <w:r>
        <w:rPr>
          <w:highlight w:val="white"/>
        </w:rPr>
        <w:t>о</w:t>
      </w:r>
      <w:r w:rsidR="00FC5DD9" w:rsidRPr="00F6340E">
        <w:rPr>
          <w:highlight w:val="white"/>
        </w:rPr>
        <w:t xml:space="preserve"> </w:t>
      </w:r>
      <w:r w:rsidR="00171F00">
        <w:rPr>
          <w:highlight w:val="white"/>
        </w:rPr>
        <w:t>з</w:t>
      </w:r>
      <w:r>
        <w:rPr>
          <w:highlight w:val="white"/>
        </w:rPr>
        <w:t>ах</w:t>
      </w:r>
      <w:r w:rsidR="0071360A">
        <w:rPr>
          <w:highlight w:val="white"/>
        </w:rPr>
        <w:t>в</w:t>
      </w:r>
      <w:r>
        <w:rPr>
          <w:highlight w:val="white"/>
        </w:rPr>
        <w:t>аљ</w:t>
      </w:r>
      <w:r w:rsidR="0071360A">
        <w:rPr>
          <w:highlight w:val="white"/>
        </w:rPr>
        <w:t>у</w:t>
      </w:r>
      <w:r>
        <w:rPr>
          <w:highlight w:val="white"/>
        </w:rPr>
        <w:t>ј</w:t>
      </w:r>
      <w:r w:rsidR="0071360A">
        <w:rPr>
          <w:highlight w:val="white"/>
        </w:rPr>
        <w:t>у</w:t>
      </w:r>
      <w:r>
        <w:rPr>
          <w:highlight w:val="white"/>
        </w:rPr>
        <w:t>ћи</w:t>
      </w:r>
      <w:r w:rsidR="00FC5DD9" w:rsidRPr="00F6340E">
        <w:rPr>
          <w:highlight w:val="white"/>
        </w:rPr>
        <w:t xml:space="preserve"> </w:t>
      </w:r>
      <w:r>
        <w:rPr>
          <w:highlight w:val="white"/>
        </w:rPr>
        <w:t>ала</w:t>
      </w:r>
      <w:r w:rsidR="0071360A">
        <w:rPr>
          <w:highlight w:val="white"/>
        </w:rPr>
        <w:t>т</w:t>
      </w:r>
      <w:r>
        <w:rPr>
          <w:highlight w:val="white"/>
        </w:rPr>
        <w:t>има</w:t>
      </w:r>
      <w:r w:rsidR="00FC5DD9" w:rsidRPr="00F6340E">
        <w:rPr>
          <w:highlight w:val="white"/>
        </w:rPr>
        <w:t xml:space="preserve"> </w:t>
      </w:r>
      <w:r>
        <w:rPr>
          <w:highlight w:val="white"/>
        </w:rPr>
        <w:t>ИК</w:t>
      </w:r>
      <w:r w:rsidR="0071360A">
        <w:rPr>
          <w:highlight w:val="white"/>
        </w:rPr>
        <w:t>Т</w:t>
      </w:r>
      <w:r w:rsidR="002B5CE0" w:rsidRPr="00F6340E">
        <w:rPr>
          <w:highlight w:val="white"/>
        </w:rPr>
        <w:t>-</w:t>
      </w:r>
      <w:r>
        <w:rPr>
          <w:highlight w:val="white"/>
        </w:rPr>
        <w:t>а</w:t>
      </w:r>
      <w:r w:rsidR="002B5CE0" w:rsidRPr="00F6340E">
        <w:rPr>
          <w:highlight w:val="white"/>
        </w:rPr>
        <w:t xml:space="preserve"> </w:t>
      </w:r>
      <w:r>
        <w:t>ком</w:t>
      </w:r>
      <w:r w:rsidR="0071360A">
        <w:t>п</w:t>
      </w:r>
      <w:r>
        <w:t>л</w:t>
      </w:r>
      <w:r w:rsidR="00EE6AA2">
        <w:t>е</w:t>
      </w:r>
      <w:r w:rsidR="0071360A">
        <w:t>т</w:t>
      </w:r>
      <w:r>
        <w:t>ан</w:t>
      </w:r>
      <w:r w:rsidR="00FC5DD9" w:rsidRPr="00F6340E">
        <w:t xml:space="preserve"> </w:t>
      </w:r>
      <w:r>
        <w:t>на</w:t>
      </w:r>
      <w:r w:rsidR="0071360A">
        <w:t>ст</w:t>
      </w:r>
      <w:r>
        <w:t>а</w:t>
      </w:r>
      <w:r w:rsidR="0071360A">
        <w:t>в</w:t>
      </w:r>
      <w:r>
        <w:t>ни</w:t>
      </w:r>
      <w:r w:rsidR="00FC5DD9" w:rsidRPr="00F6340E">
        <w:t xml:space="preserve"> </w:t>
      </w:r>
      <w:r w:rsidR="0071360A">
        <w:t>пр</w:t>
      </w:r>
      <w:r>
        <w:t>оц</w:t>
      </w:r>
      <w:r w:rsidR="00EE6AA2">
        <w:t>е</w:t>
      </w:r>
      <w:r w:rsidR="0071360A">
        <w:t>с</w:t>
      </w:r>
      <w:r w:rsidR="00FC5DD9" w:rsidRPr="00F6340E">
        <w:t xml:space="preserve"> </w:t>
      </w:r>
      <w:r w:rsidR="0071360A">
        <w:t>у</w:t>
      </w:r>
      <w:r w:rsidR="00FC5DD9" w:rsidRPr="00F6340E">
        <w:t xml:space="preserve"> </w:t>
      </w:r>
      <w:r>
        <w:t>о</w:t>
      </w:r>
      <w:r w:rsidR="0071360A">
        <w:t>с</w:t>
      </w:r>
      <w:r>
        <w:t>но</w:t>
      </w:r>
      <w:r w:rsidR="0071360A">
        <w:t>в</w:t>
      </w:r>
      <w:r>
        <w:t>ним</w:t>
      </w:r>
      <w:r w:rsidR="00FC5DD9" w:rsidRPr="00F6340E">
        <w:t xml:space="preserve">, </w:t>
      </w:r>
      <w:r w:rsidR="0071360A">
        <w:t>ср</w:t>
      </w:r>
      <w:r w:rsidR="00EE6AA2">
        <w:t>е</w:t>
      </w:r>
      <w:r>
        <w:t>дњим</w:t>
      </w:r>
      <w:r w:rsidR="00FC5DD9" w:rsidRPr="00F6340E">
        <w:t xml:space="preserve"> </w:t>
      </w:r>
      <w:r w:rsidR="0071360A">
        <w:t>ш</w:t>
      </w:r>
      <w:r>
        <w:t>колама</w:t>
      </w:r>
      <w:r w:rsidR="00FC5DD9" w:rsidRPr="00F6340E">
        <w:t xml:space="preserve"> </w:t>
      </w:r>
      <w:r>
        <w:t>и</w:t>
      </w:r>
      <w:r w:rsidR="00FC5DD9" w:rsidRPr="00F6340E">
        <w:t xml:space="preserve"> </w:t>
      </w:r>
      <w:r w:rsidR="0071360A">
        <w:t>в</w:t>
      </w:r>
      <w:r>
        <w:t>и</w:t>
      </w:r>
      <w:r w:rsidR="0071360A">
        <w:t>с</w:t>
      </w:r>
      <w:r>
        <w:t>око</w:t>
      </w:r>
      <w:r w:rsidR="0071360A">
        <w:t>ш</w:t>
      </w:r>
      <w:r>
        <w:t>кол</w:t>
      </w:r>
      <w:r w:rsidR="0071360A">
        <w:t>с</w:t>
      </w:r>
      <w:r>
        <w:t>ким</w:t>
      </w:r>
      <w:r w:rsidR="00FC5DD9" w:rsidRPr="00F6340E">
        <w:t xml:space="preserve"> </w:t>
      </w:r>
      <w:r>
        <w:t>ин</w:t>
      </w:r>
      <w:r w:rsidR="0071360A">
        <w:t>ст</w:t>
      </w:r>
      <w:r>
        <w:t>и</w:t>
      </w:r>
      <w:r w:rsidR="0071360A">
        <w:t>ту</w:t>
      </w:r>
      <w:r>
        <w:t>цијама</w:t>
      </w:r>
      <w:r w:rsidR="00FC5DD9" w:rsidRPr="00F6340E">
        <w:t xml:space="preserve"> </w:t>
      </w:r>
      <w:r>
        <w:t>и</w:t>
      </w:r>
      <w:r w:rsidR="0071360A">
        <w:t>п</w:t>
      </w:r>
      <w:r>
        <w:t>ак</w:t>
      </w:r>
      <w:r w:rsidR="00FC5DD9" w:rsidRPr="00F6340E">
        <w:t xml:space="preserve"> </w:t>
      </w:r>
      <w:r>
        <w:t>од</w:t>
      </w:r>
      <w:r w:rsidR="0071360A">
        <w:t>в</w:t>
      </w:r>
      <w:r>
        <w:t>ијао</w:t>
      </w:r>
      <w:r w:rsidR="005012AC" w:rsidRPr="00F6340E">
        <w:t xml:space="preserve">, </w:t>
      </w:r>
      <w:r w:rsidR="0071360A">
        <w:t>с</w:t>
      </w:r>
      <w:r>
        <w:t>амо</w:t>
      </w:r>
      <w:r w:rsidR="005012AC" w:rsidRPr="00F6340E">
        <w:t xml:space="preserve"> </w:t>
      </w:r>
      <w:r>
        <w:t>ј</w:t>
      </w:r>
      <w:r w:rsidR="00EE6AA2">
        <w:t>е</w:t>
      </w:r>
      <w:r w:rsidR="005012AC" w:rsidRPr="00F6340E">
        <w:t xml:space="preserve"> </w:t>
      </w:r>
      <w:r w:rsidR="0071360A">
        <w:t>у</w:t>
      </w:r>
      <w:r>
        <w:t>б</w:t>
      </w:r>
      <w:r w:rsidR="0071360A">
        <w:t>р</w:t>
      </w:r>
      <w:r w:rsidR="00171F00">
        <w:t>з</w:t>
      </w:r>
      <w:r>
        <w:t>ала</w:t>
      </w:r>
      <w:r w:rsidR="00727C7D" w:rsidRPr="00F6340E">
        <w:t xml:space="preserve"> </w:t>
      </w:r>
      <w:r w:rsidR="0071360A">
        <w:t>пр</w:t>
      </w:r>
      <w:r>
        <w:t>омј</w:t>
      </w:r>
      <w:r w:rsidR="00EE6AA2">
        <w:t>е</w:t>
      </w:r>
      <w:r>
        <w:t>н</w:t>
      </w:r>
      <w:r w:rsidR="00EE6AA2">
        <w:t>е</w:t>
      </w:r>
      <w:r w:rsidR="00142BDE" w:rsidRPr="00F6340E">
        <w:t xml:space="preserve"> </w:t>
      </w:r>
      <w:r w:rsidR="0071360A">
        <w:t>у</w:t>
      </w:r>
      <w:r w:rsidR="007C52F2" w:rsidRPr="00F6340E">
        <w:t xml:space="preserve"> </w:t>
      </w:r>
      <w:r>
        <w:t>об</w:t>
      </w:r>
      <w:r w:rsidR="0071360A">
        <w:t>р</w:t>
      </w:r>
      <w:r>
        <w:t>а</w:t>
      </w:r>
      <w:r w:rsidR="00171F00">
        <w:t>з</w:t>
      </w:r>
      <w:r>
        <w:t>о</w:t>
      </w:r>
      <w:r w:rsidR="0071360A">
        <w:t>в</w:t>
      </w:r>
      <w:r>
        <w:t>ањ</w:t>
      </w:r>
      <w:r w:rsidR="0071360A">
        <w:t>у</w:t>
      </w:r>
      <w:r w:rsidR="007C52F2" w:rsidRPr="00F6340E">
        <w:t xml:space="preserve"> </w:t>
      </w:r>
      <w:r>
        <w:t>чим</w:t>
      </w:r>
      <w:r w:rsidR="00EE6AA2">
        <w:t>е</w:t>
      </w:r>
      <w:r w:rsidR="007C52F2" w:rsidRPr="00F6340E">
        <w:t xml:space="preserve"> </w:t>
      </w:r>
      <w:r>
        <w:t>ј</w:t>
      </w:r>
      <w:r w:rsidR="00EE6AA2">
        <w:t>е</w:t>
      </w:r>
      <w:r w:rsidR="007C52F2" w:rsidRPr="00F6340E">
        <w:t xml:space="preserve"> </w:t>
      </w:r>
      <w:r>
        <w:t>и</w:t>
      </w:r>
      <w:r w:rsidR="007C52F2" w:rsidRPr="00F6340E">
        <w:t xml:space="preserve"> </w:t>
      </w:r>
      <w:r w:rsidR="00171F00">
        <w:t>з</w:t>
      </w:r>
      <w:r w:rsidR="0071360A">
        <w:t>в</w:t>
      </w:r>
      <w:r>
        <w:t>анично</w:t>
      </w:r>
      <w:r w:rsidR="007C52F2" w:rsidRPr="00F6340E">
        <w:t xml:space="preserve"> </w:t>
      </w:r>
      <w:r w:rsidR="00171F00">
        <w:t>з</w:t>
      </w:r>
      <w:r>
        <w:t>а</w:t>
      </w:r>
      <w:r w:rsidR="0071360A">
        <w:t>п</w:t>
      </w:r>
      <w:r>
        <w:t>оч</w:t>
      </w:r>
      <w:r w:rsidR="00EE6AA2">
        <w:t>е</w:t>
      </w:r>
      <w:r>
        <w:t>ла</w:t>
      </w:r>
      <w:r w:rsidR="007C52F2" w:rsidRPr="00F6340E">
        <w:t xml:space="preserve"> </w:t>
      </w:r>
      <w:r>
        <w:t>глобална</w:t>
      </w:r>
      <w:r w:rsidR="00B305B6" w:rsidRPr="00F6340E">
        <w:t xml:space="preserve"> </w:t>
      </w:r>
      <w:r w:rsidR="0071360A">
        <w:t>тр</w:t>
      </w:r>
      <w:r>
        <w:t>ан</w:t>
      </w:r>
      <w:r w:rsidR="0071360A">
        <w:t>с</w:t>
      </w:r>
      <w:r>
        <w:t>фо</w:t>
      </w:r>
      <w:r w:rsidR="0071360A">
        <w:t>р</w:t>
      </w:r>
      <w:r>
        <w:t>мација</w:t>
      </w:r>
      <w:r w:rsidR="007C52F2" w:rsidRPr="00F6340E">
        <w:t xml:space="preserve"> </w:t>
      </w:r>
      <w:r>
        <w:t>об</w:t>
      </w:r>
      <w:r w:rsidR="0071360A">
        <w:t>р</w:t>
      </w:r>
      <w:r>
        <w:t>а</w:t>
      </w:r>
      <w:r w:rsidR="00171F00">
        <w:t>з</w:t>
      </w:r>
      <w:r>
        <w:t>о</w:t>
      </w:r>
      <w:r w:rsidR="0071360A">
        <w:t>в</w:t>
      </w:r>
      <w:r>
        <w:t>ања</w:t>
      </w:r>
      <w:r w:rsidR="00B305B6" w:rsidRPr="00F6340E">
        <w:t>.</w:t>
      </w:r>
    </w:p>
    <w:p w14:paraId="1F59834F" w14:textId="5AAA8573" w:rsidR="004B5159" w:rsidRPr="00F6340E" w:rsidRDefault="00A56E08" w:rsidP="001A6D76">
      <w:pPr>
        <w:pStyle w:val="Body"/>
      </w:pPr>
      <w:r>
        <w:t>Анали</w:t>
      </w:r>
      <w:r w:rsidR="00171F00">
        <w:t>з</w:t>
      </w:r>
      <w:r>
        <w:t>а</w:t>
      </w:r>
      <w:r w:rsidR="004B5159" w:rsidRPr="00F6340E">
        <w:t xml:space="preserve"> </w:t>
      </w:r>
      <w:r w:rsidR="0071360A">
        <w:t>ст</w:t>
      </w:r>
      <w:r>
        <w:t>ања</w:t>
      </w:r>
      <w:r w:rsidR="004B5159" w:rsidRPr="00F6340E">
        <w:t xml:space="preserve"> </w:t>
      </w:r>
      <w:r>
        <w:t>и</w:t>
      </w:r>
      <w:r w:rsidR="004B5159" w:rsidRPr="00F6340E">
        <w:t xml:space="preserve"> </w:t>
      </w:r>
      <w:r w:rsidR="0071360A">
        <w:t>п</w:t>
      </w:r>
      <w:r>
        <w:t>о</w:t>
      </w:r>
      <w:r w:rsidR="0071360A">
        <w:t>тр</w:t>
      </w:r>
      <w:r w:rsidR="00EE6AA2">
        <w:t>е</w:t>
      </w:r>
      <w:r>
        <w:t>ба</w:t>
      </w:r>
      <w:r w:rsidR="004B5159" w:rsidRPr="00F6340E">
        <w:t xml:space="preserve"> </w:t>
      </w:r>
      <w:r>
        <w:t>на</w:t>
      </w:r>
      <w:r w:rsidR="004B5159" w:rsidRPr="00F6340E">
        <w:t xml:space="preserve"> </w:t>
      </w:r>
      <w:r w:rsidR="0071360A">
        <w:t>св</w:t>
      </w:r>
      <w:r>
        <w:t>им</w:t>
      </w:r>
      <w:r w:rsidR="004B5159" w:rsidRPr="00F6340E">
        <w:t xml:space="preserve"> </w:t>
      </w:r>
      <w:r>
        <w:t>ни</w:t>
      </w:r>
      <w:r w:rsidR="0071360A">
        <w:t>в</w:t>
      </w:r>
      <w:r>
        <w:t>оима</w:t>
      </w:r>
      <w:r w:rsidR="004B5159" w:rsidRPr="00F6340E">
        <w:t xml:space="preserve"> </w:t>
      </w:r>
      <w:r>
        <w:t>об</w:t>
      </w:r>
      <w:r w:rsidR="0071360A">
        <w:t>р</w:t>
      </w:r>
      <w:r>
        <w:t>а</w:t>
      </w:r>
      <w:r w:rsidR="00171F00">
        <w:t>з</w:t>
      </w:r>
      <w:r>
        <w:t>о</w:t>
      </w:r>
      <w:r w:rsidR="0071360A">
        <w:t>в</w:t>
      </w:r>
      <w:r>
        <w:t>ања</w:t>
      </w:r>
      <w:r w:rsidR="004B5159" w:rsidRPr="00F6340E">
        <w:t xml:space="preserve"> </w:t>
      </w:r>
      <w:r w:rsidR="0071360A">
        <w:t>у</w:t>
      </w:r>
      <w:r w:rsidR="00C16BAC" w:rsidRPr="00F6340E">
        <w:t xml:space="preserve"> </w:t>
      </w:r>
      <w:r>
        <w:t>Бо</w:t>
      </w:r>
      <w:r w:rsidR="0071360A">
        <w:t>с</w:t>
      </w:r>
      <w:r>
        <w:t>ни</w:t>
      </w:r>
      <w:r w:rsidR="00C16BAC" w:rsidRPr="00F6340E">
        <w:t xml:space="preserve"> </w:t>
      </w:r>
      <w:r>
        <w:t>и</w:t>
      </w:r>
      <w:r w:rsidR="00C16BAC" w:rsidRPr="00F6340E">
        <w:t xml:space="preserve"> </w:t>
      </w:r>
      <w:r>
        <w:t>Х</w:t>
      </w:r>
      <w:r w:rsidR="00EE6AA2">
        <w:t>е</w:t>
      </w:r>
      <w:r w:rsidR="0071360A">
        <w:t>р</w:t>
      </w:r>
      <w:r>
        <w:t>ц</w:t>
      </w:r>
      <w:r w:rsidR="00EE6AA2">
        <w:t>е</w:t>
      </w:r>
      <w:r>
        <w:t>го</w:t>
      </w:r>
      <w:r w:rsidR="0071360A">
        <w:t>в</w:t>
      </w:r>
      <w:r>
        <w:t>ини</w:t>
      </w:r>
      <w:r w:rsidR="00C16BAC" w:rsidRPr="00F6340E">
        <w:t xml:space="preserve"> </w:t>
      </w:r>
      <w:r w:rsidR="0071360A">
        <w:t>п</w:t>
      </w:r>
      <w:r>
        <w:t>ока</w:t>
      </w:r>
      <w:r w:rsidR="00171F00">
        <w:t>з</w:t>
      </w:r>
      <w:r w:rsidR="0071360A">
        <w:t>у</w:t>
      </w:r>
      <w:r>
        <w:t>ј</w:t>
      </w:r>
      <w:r w:rsidR="00EE6AA2">
        <w:t>е</w:t>
      </w:r>
      <w:r w:rsidR="004B5159" w:rsidRPr="00F6340E">
        <w:t xml:space="preserve"> </w:t>
      </w:r>
      <w:r>
        <w:t>да</w:t>
      </w:r>
      <w:r w:rsidR="004B5159" w:rsidRPr="00F6340E">
        <w:t xml:space="preserve"> </w:t>
      </w:r>
      <w:r>
        <w:t>ј</w:t>
      </w:r>
      <w:r w:rsidR="00EE6AA2">
        <w:t>е</w:t>
      </w:r>
      <w:r w:rsidR="004B5159" w:rsidRPr="00F6340E">
        <w:t xml:space="preserve"> </w:t>
      </w:r>
      <w:r>
        <w:t>н</w:t>
      </w:r>
      <w:r w:rsidR="00EE6AA2">
        <w:t>е</w:t>
      </w:r>
      <w:r>
        <w:t>о</w:t>
      </w:r>
      <w:r w:rsidR="0071360A">
        <w:t>п</w:t>
      </w:r>
      <w:r>
        <w:t>ходно</w:t>
      </w:r>
      <w:r w:rsidR="004B5159" w:rsidRPr="00F6340E">
        <w:t xml:space="preserve"> </w:t>
      </w:r>
      <w:r w:rsidR="0071360A">
        <w:t>п</w:t>
      </w:r>
      <w:r>
        <w:t>оно</w:t>
      </w:r>
      <w:r w:rsidR="0071360A">
        <w:t>в</w:t>
      </w:r>
      <w:r>
        <w:t>о</w:t>
      </w:r>
      <w:r w:rsidR="009A10E7" w:rsidRPr="00F6340E">
        <w:t xml:space="preserve"> </w:t>
      </w:r>
      <w:r w:rsidR="0071360A">
        <w:t>р</w:t>
      </w:r>
      <w:r>
        <w:t>а</w:t>
      </w:r>
      <w:r w:rsidR="00171F00">
        <w:t>з</w:t>
      </w:r>
      <w:r w:rsidR="0071360A">
        <w:t>в</w:t>
      </w:r>
      <w:r>
        <w:t>и</w:t>
      </w:r>
      <w:r w:rsidR="0071360A">
        <w:t>т</w:t>
      </w:r>
      <w:r>
        <w:t>и</w:t>
      </w:r>
      <w:r w:rsidR="009A10E7" w:rsidRPr="00F6340E">
        <w:t xml:space="preserve"> </w:t>
      </w:r>
      <w:r>
        <w:t>конц</w:t>
      </w:r>
      <w:r w:rsidR="00EE6AA2">
        <w:t>е</w:t>
      </w:r>
      <w:r w:rsidR="0071360A">
        <w:t>пт</w:t>
      </w:r>
      <w:r w:rsidR="004B5159" w:rsidRPr="00F6340E">
        <w:t xml:space="preserve"> </w:t>
      </w:r>
      <w:r w:rsidR="0071360A">
        <w:t>пр</w:t>
      </w:r>
      <w:r>
        <w:t>ог</w:t>
      </w:r>
      <w:r w:rsidR="0071360A">
        <w:t>р</w:t>
      </w:r>
      <w:r>
        <w:t>ам</w:t>
      </w:r>
      <w:r w:rsidR="00EE6AA2">
        <w:t>е</w:t>
      </w:r>
      <w:r w:rsidR="004B5159" w:rsidRPr="00F6340E">
        <w:t xml:space="preserve"> </w:t>
      </w:r>
      <w:r w:rsidR="0071360A">
        <w:t>стру</w:t>
      </w:r>
      <w:r>
        <w:t>чног</w:t>
      </w:r>
      <w:r w:rsidR="004B5159" w:rsidRPr="00F6340E">
        <w:t xml:space="preserve"> </w:t>
      </w:r>
      <w:r w:rsidR="0071360A">
        <w:t>ус</w:t>
      </w:r>
      <w:r>
        <w:t>а</w:t>
      </w:r>
      <w:r w:rsidR="0071360A">
        <w:t>врш</w:t>
      </w:r>
      <w:r>
        <w:t>а</w:t>
      </w:r>
      <w:r w:rsidR="0071360A">
        <w:t>в</w:t>
      </w:r>
      <w:r>
        <w:t>ања</w:t>
      </w:r>
      <w:r w:rsidR="004B5159" w:rsidRPr="00F6340E">
        <w:t xml:space="preserve"> </w:t>
      </w:r>
      <w:r>
        <w:t>на</w:t>
      </w:r>
      <w:r w:rsidR="0071360A">
        <w:t>ст</w:t>
      </w:r>
      <w:r>
        <w:t>а</w:t>
      </w:r>
      <w:r w:rsidR="0071360A">
        <w:t>в</w:t>
      </w:r>
      <w:r>
        <w:t>ника</w:t>
      </w:r>
      <w:r w:rsidR="004B5159" w:rsidRPr="00F6340E">
        <w:t xml:space="preserve"> </w:t>
      </w:r>
      <w:r w:rsidR="002C37D1" w:rsidRPr="00F6340E">
        <w:t>(</w:t>
      </w:r>
      <w:r>
        <w:t>али</w:t>
      </w:r>
      <w:r w:rsidR="002C37D1" w:rsidRPr="00F6340E">
        <w:t xml:space="preserve"> </w:t>
      </w:r>
      <w:r>
        <w:t>и</w:t>
      </w:r>
      <w:r w:rsidR="002C37D1" w:rsidRPr="00F6340E">
        <w:t xml:space="preserve"> </w:t>
      </w:r>
      <w:r>
        <w:t>иницијалног</w:t>
      </w:r>
      <w:r w:rsidR="002C37D1" w:rsidRPr="00F6340E">
        <w:t xml:space="preserve"> </w:t>
      </w:r>
      <w:r>
        <w:t>об</w:t>
      </w:r>
      <w:r w:rsidR="0071360A">
        <w:t>р</w:t>
      </w:r>
      <w:r>
        <w:t>а</w:t>
      </w:r>
      <w:r w:rsidR="00171F00">
        <w:t>з</w:t>
      </w:r>
      <w:r>
        <w:t>о</w:t>
      </w:r>
      <w:r w:rsidR="0071360A">
        <w:t>в</w:t>
      </w:r>
      <w:r>
        <w:t>ања</w:t>
      </w:r>
      <w:r w:rsidR="002C37D1" w:rsidRPr="00F6340E">
        <w:t xml:space="preserve">) </w:t>
      </w:r>
      <w:r>
        <w:t>како</w:t>
      </w:r>
      <w:r w:rsidR="004B5159" w:rsidRPr="00F6340E">
        <w:t xml:space="preserve"> </w:t>
      </w:r>
      <w:r>
        <w:t>би</w:t>
      </w:r>
      <w:r w:rsidR="004B5159" w:rsidRPr="00F6340E">
        <w:t xml:space="preserve"> </w:t>
      </w:r>
      <w:r>
        <w:t>били</w:t>
      </w:r>
      <w:r w:rsidR="004B5159" w:rsidRPr="00F6340E">
        <w:t xml:space="preserve"> </w:t>
      </w:r>
      <w:r w:rsidR="0071360A">
        <w:t>ус</w:t>
      </w:r>
      <w:r>
        <w:t>клађ</w:t>
      </w:r>
      <w:r w:rsidR="00EE6AA2">
        <w:t>е</w:t>
      </w:r>
      <w:r>
        <w:t>ни</w:t>
      </w:r>
      <w:r w:rsidR="004B5159" w:rsidRPr="00F6340E">
        <w:t xml:space="preserve"> </w:t>
      </w:r>
      <w:r w:rsidR="0071360A">
        <w:t>с</w:t>
      </w:r>
      <w:r>
        <w:t>а</w:t>
      </w:r>
      <w:r w:rsidR="004B5159" w:rsidRPr="00F6340E">
        <w:t xml:space="preserve"> </w:t>
      </w:r>
      <w:r w:rsidR="0071360A">
        <w:t>с</w:t>
      </w:r>
      <w:r>
        <w:t>а</w:t>
      </w:r>
      <w:r w:rsidR="0071360A">
        <w:t>вр</w:t>
      </w:r>
      <w:r w:rsidR="00EE6AA2">
        <w:t>е</w:t>
      </w:r>
      <w:r>
        <w:t>м</w:t>
      </w:r>
      <w:r w:rsidR="00EE6AA2">
        <w:t>е</w:t>
      </w:r>
      <w:r>
        <w:t>ним</w:t>
      </w:r>
      <w:r w:rsidR="004B5159" w:rsidRPr="00F6340E">
        <w:t xml:space="preserve"> </w:t>
      </w:r>
      <w:r>
        <w:t>ок</w:t>
      </w:r>
      <w:r w:rsidR="0071360A">
        <w:t>в</w:t>
      </w:r>
      <w:r>
        <w:t>и</w:t>
      </w:r>
      <w:r w:rsidR="0071360A">
        <w:t>р</w:t>
      </w:r>
      <w:r>
        <w:t>има</w:t>
      </w:r>
      <w:r w:rsidR="009A10E7" w:rsidRPr="00F6340E">
        <w:t xml:space="preserve"> </w:t>
      </w:r>
      <w:r>
        <w:t>ком</w:t>
      </w:r>
      <w:r w:rsidR="0071360A">
        <w:t>п</w:t>
      </w:r>
      <w:r w:rsidR="00EE6AA2">
        <w:t>е</w:t>
      </w:r>
      <w:r w:rsidR="0071360A">
        <w:t>т</w:t>
      </w:r>
      <w:r w:rsidR="00EE6AA2">
        <w:t>е</w:t>
      </w:r>
      <w:r>
        <w:t>нција</w:t>
      </w:r>
      <w:r w:rsidR="004B5159" w:rsidRPr="00F6340E">
        <w:t xml:space="preserve">, </w:t>
      </w:r>
      <w:r>
        <w:t>који</w:t>
      </w:r>
      <w:r w:rsidR="004B5159" w:rsidRPr="00F6340E">
        <w:t xml:space="preserve">, </w:t>
      </w:r>
      <w:r w:rsidR="0071360A">
        <w:t>у</w:t>
      </w:r>
      <w:r w:rsidR="00171F00">
        <w:t>з</w:t>
      </w:r>
      <w:r w:rsidR="004B5159" w:rsidRPr="00F6340E">
        <w:t xml:space="preserve"> </w:t>
      </w:r>
      <w:r w:rsidR="0071360A">
        <w:t>п</w:t>
      </w:r>
      <w:r w:rsidR="00EE6AA2">
        <w:t>е</w:t>
      </w:r>
      <w:r>
        <w:t>даго</w:t>
      </w:r>
      <w:r w:rsidR="0071360A">
        <w:t>ш</w:t>
      </w:r>
      <w:r>
        <w:t>к</w:t>
      </w:r>
      <w:r w:rsidR="00EE6AA2">
        <w:t>е</w:t>
      </w:r>
      <w:r w:rsidR="004B5159" w:rsidRPr="00F6340E">
        <w:t xml:space="preserve"> </w:t>
      </w:r>
      <w:r>
        <w:t>ком</w:t>
      </w:r>
      <w:r w:rsidR="0071360A">
        <w:t>п</w:t>
      </w:r>
      <w:r w:rsidR="00EE6AA2">
        <w:t>е</w:t>
      </w:r>
      <w:r w:rsidR="0071360A">
        <w:t>т</w:t>
      </w:r>
      <w:r w:rsidR="00EE6AA2">
        <w:t>е</w:t>
      </w:r>
      <w:r>
        <w:t>нциј</w:t>
      </w:r>
      <w:r w:rsidR="00EE6AA2">
        <w:t>е</w:t>
      </w:r>
      <w:r w:rsidR="004B5159" w:rsidRPr="00F6340E">
        <w:t xml:space="preserve">, </w:t>
      </w:r>
      <w:r>
        <w:t>нагла</w:t>
      </w:r>
      <w:r w:rsidR="0071360A">
        <w:t>ш</w:t>
      </w:r>
      <w:r>
        <w:t>а</w:t>
      </w:r>
      <w:r w:rsidR="0071360A">
        <w:t>в</w:t>
      </w:r>
      <w:r>
        <w:t>ај</w:t>
      </w:r>
      <w:r w:rsidR="0071360A">
        <w:t>у</w:t>
      </w:r>
      <w:r w:rsidR="004B5159" w:rsidRPr="00F6340E">
        <w:t xml:space="preserve"> </w:t>
      </w:r>
      <w:r>
        <w:t>и</w:t>
      </w:r>
      <w:r w:rsidR="004B5159" w:rsidRPr="00F6340E">
        <w:t xml:space="preserve"> </w:t>
      </w:r>
      <w:r w:rsidR="0071360A">
        <w:t>в</w:t>
      </w:r>
      <w:r>
        <w:t>а</w:t>
      </w:r>
      <w:r w:rsidR="00171F00">
        <w:t>ж</w:t>
      </w:r>
      <w:r>
        <w:t>но</w:t>
      </w:r>
      <w:r w:rsidR="0071360A">
        <w:t>ст</w:t>
      </w:r>
      <w:r w:rsidR="004B5159" w:rsidRPr="00F6340E">
        <w:t xml:space="preserve"> </w:t>
      </w:r>
      <w:r>
        <w:t>диги</w:t>
      </w:r>
      <w:r w:rsidR="0071360A">
        <w:t>т</w:t>
      </w:r>
      <w:r>
        <w:t>алних</w:t>
      </w:r>
      <w:r w:rsidR="004B5159" w:rsidRPr="00F6340E">
        <w:t xml:space="preserve"> </w:t>
      </w:r>
      <w:r>
        <w:t>ком</w:t>
      </w:r>
      <w:r w:rsidR="0071360A">
        <w:t>п</w:t>
      </w:r>
      <w:r w:rsidR="00EE6AA2">
        <w:t>е</w:t>
      </w:r>
      <w:r w:rsidR="0071360A">
        <w:t>т</w:t>
      </w:r>
      <w:r w:rsidR="00EE6AA2">
        <w:t>е</w:t>
      </w:r>
      <w:r>
        <w:t>нција</w:t>
      </w:r>
      <w:r w:rsidR="004B5159" w:rsidRPr="00F6340E">
        <w:t xml:space="preserve">. </w:t>
      </w:r>
      <w:r>
        <w:t>Ода</w:t>
      </w:r>
      <w:r w:rsidR="0071360A">
        <w:t>т</w:t>
      </w:r>
      <w:r>
        <w:t>л</w:t>
      </w:r>
      <w:r w:rsidR="00EE6AA2">
        <w:t>е</w:t>
      </w:r>
      <w:r w:rsidR="004B5159" w:rsidRPr="00F6340E">
        <w:t xml:space="preserve"> </w:t>
      </w:r>
      <w:r>
        <w:t>дола</w:t>
      </w:r>
      <w:r w:rsidR="00171F00">
        <w:t>з</w:t>
      </w:r>
      <w:r>
        <w:t>и</w:t>
      </w:r>
      <w:r w:rsidR="009A10E7" w:rsidRPr="00F6340E">
        <w:t xml:space="preserve"> </w:t>
      </w:r>
      <w:r w:rsidR="0071360A">
        <w:t>п</w:t>
      </w:r>
      <w:r>
        <w:t>о</w:t>
      </w:r>
      <w:r w:rsidR="0071360A">
        <w:t>тр</w:t>
      </w:r>
      <w:r w:rsidR="00EE6AA2">
        <w:t>е</w:t>
      </w:r>
      <w:r>
        <w:t>ба</w:t>
      </w:r>
      <w:r w:rsidR="004B5159" w:rsidRPr="00F6340E">
        <w:t xml:space="preserve"> </w:t>
      </w:r>
      <w:r>
        <w:t>да</w:t>
      </w:r>
      <w:r w:rsidR="004B5159" w:rsidRPr="00F6340E">
        <w:t xml:space="preserve"> </w:t>
      </w:r>
      <w:r w:rsidR="0071360A">
        <w:t>с</w:t>
      </w:r>
      <w:r w:rsidR="00EE6AA2">
        <w:t>е</w:t>
      </w:r>
      <w:r w:rsidR="004B5159" w:rsidRPr="00F6340E">
        <w:t xml:space="preserve"> </w:t>
      </w:r>
      <w:r>
        <w:t>к</w:t>
      </w:r>
      <w:r w:rsidR="0071360A">
        <w:t>р</w:t>
      </w:r>
      <w:r w:rsidR="00EE6AA2">
        <w:t>е</w:t>
      </w:r>
      <w:r>
        <w:t>и</w:t>
      </w:r>
      <w:r w:rsidR="0071360A">
        <w:t>р</w:t>
      </w:r>
      <w:r>
        <w:t>а</w:t>
      </w:r>
      <w:r w:rsidR="004B5159" w:rsidRPr="00F6340E">
        <w:t xml:space="preserve"> </w:t>
      </w:r>
      <w:r>
        <w:t>док</w:t>
      </w:r>
      <w:r w:rsidR="0071360A">
        <w:t>у</w:t>
      </w:r>
      <w:r>
        <w:t>м</w:t>
      </w:r>
      <w:r w:rsidR="00EE6AA2">
        <w:t>е</w:t>
      </w:r>
      <w:r>
        <w:t>н</w:t>
      </w:r>
      <w:r w:rsidR="0071360A">
        <w:t>т</w:t>
      </w:r>
      <w:r w:rsidR="004B5159" w:rsidRPr="00F6340E">
        <w:t xml:space="preserve"> </w:t>
      </w:r>
      <w:r>
        <w:t>који</w:t>
      </w:r>
      <w:r w:rsidR="004B5159" w:rsidRPr="00F6340E">
        <w:t xml:space="preserve"> </w:t>
      </w:r>
      <w:r>
        <w:t>ћ</w:t>
      </w:r>
      <w:r w:rsidR="00EE6AA2">
        <w:t>е</w:t>
      </w:r>
      <w:r w:rsidR="004B5159" w:rsidRPr="00F6340E">
        <w:t xml:space="preserve"> </w:t>
      </w:r>
      <w:r>
        <w:t>да</w:t>
      </w:r>
      <w:r w:rsidR="0071360A">
        <w:t>т</w:t>
      </w:r>
      <w:r>
        <w:t>и</w:t>
      </w:r>
      <w:r w:rsidR="004B5159" w:rsidRPr="00F6340E">
        <w:t xml:space="preserve"> </w:t>
      </w:r>
      <w:r w:rsidR="0071360A">
        <w:t>с</w:t>
      </w:r>
      <w:r>
        <w:t>мј</w:t>
      </w:r>
      <w:r w:rsidR="00EE6AA2">
        <w:t>е</w:t>
      </w:r>
      <w:r w:rsidR="0071360A">
        <w:t>р</w:t>
      </w:r>
      <w:r>
        <w:t>ниц</w:t>
      </w:r>
      <w:r w:rsidR="00EE6AA2">
        <w:t>е</w:t>
      </w:r>
      <w:r w:rsidR="00C16BAC" w:rsidRPr="00F6340E">
        <w:t xml:space="preserve"> </w:t>
      </w:r>
      <w:r w:rsidR="00171F00">
        <w:t>з</w:t>
      </w:r>
      <w:r>
        <w:t>а</w:t>
      </w:r>
      <w:r w:rsidR="004B5159" w:rsidRPr="00F6340E">
        <w:t xml:space="preserve"> </w:t>
      </w:r>
      <w:r w:rsidR="0071360A">
        <w:t>у</w:t>
      </w:r>
      <w:r>
        <w:t>на</w:t>
      </w:r>
      <w:r w:rsidR="0071360A">
        <w:t>пр</w:t>
      </w:r>
      <w:r>
        <w:t>ј</w:t>
      </w:r>
      <w:r w:rsidR="00EE6AA2">
        <w:t>е</w:t>
      </w:r>
      <w:r>
        <w:t>ђ</w:t>
      </w:r>
      <w:r w:rsidR="00EE6AA2">
        <w:t>е</w:t>
      </w:r>
      <w:r>
        <w:t>њ</w:t>
      </w:r>
      <w:r w:rsidR="00EE6AA2">
        <w:t>е</w:t>
      </w:r>
      <w:r w:rsidR="004B5159" w:rsidRPr="00F6340E">
        <w:t xml:space="preserve"> </w:t>
      </w:r>
      <w:r>
        <w:t>на</w:t>
      </w:r>
      <w:r w:rsidR="0071360A">
        <w:t>ст</w:t>
      </w:r>
      <w:r>
        <w:t>а</w:t>
      </w:r>
      <w:r w:rsidR="0071360A">
        <w:t>в</w:t>
      </w:r>
      <w:r w:rsidR="00EE6AA2">
        <w:t>е</w:t>
      </w:r>
      <w:r w:rsidR="008424F0" w:rsidRPr="00F6340E">
        <w:t xml:space="preserve"> </w:t>
      </w:r>
      <w:r w:rsidR="0071360A">
        <w:t>пут</w:t>
      </w:r>
      <w:r w:rsidR="00EE6AA2">
        <w:t>е</w:t>
      </w:r>
      <w:r>
        <w:t>м</w:t>
      </w:r>
      <w:r w:rsidR="008424F0" w:rsidRPr="00F6340E">
        <w:t xml:space="preserve"> </w:t>
      </w:r>
      <w:r>
        <w:t>ин</w:t>
      </w:r>
      <w:r w:rsidR="0071360A">
        <w:t>т</w:t>
      </w:r>
      <w:r w:rsidR="00EE6AA2">
        <w:t>е</w:t>
      </w:r>
      <w:r w:rsidR="0071360A">
        <w:t>р</w:t>
      </w:r>
      <w:r>
        <w:t>н</w:t>
      </w:r>
      <w:r w:rsidR="00EE6AA2">
        <w:t>е</w:t>
      </w:r>
      <w:r w:rsidR="0071360A">
        <w:t>т</w:t>
      </w:r>
      <w:r>
        <w:t>а</w:t>
      </w:r>
      <w:r w:rsidR="004B5159" w:rsidRPr="00F6340E">
        <w:t xml:space="preserve"> </w:t>
      </w:r>
      <w:r>
        <w:t>и</w:t>
      </w:r>
      <w:r w:rsidR="004B5159" w:rsidRPr="00F6340E">
        <w:t xml:space="preserve"> </w:t>
      </w:r>
      <w:r>
        <w:t>комбино</w:t>
      </w:r>
      <w:r w:rsidR="0071360A">
        <w:t>в</w:t>
      </w:r>
      <w:r>
        <w:t>ан</w:t>
      </w:r>
      <w:r w:rsidR="00EE6AA2">
        <w:t>е</w:t>
      </w:r>
      <w:r w:rsidR="004B5159" w:rsidRPr="00F6340E">
        <w:t xml:space="preserve"> </w:t>
      </w:r>
      <w:r>
        <w:t>на</w:t>
      </w:r>
      <w:r w:rsidR="0071360A">
        <w:t>ст</w:t>
      </w:r>
      <w:r>
        <w:t>а</w:t>
      </w:r>
      <w:r w:rsidR="0071360A">
        <w:t>в</w:t>
      </w:r>
      <w:r w:rsidR="00EE6AA2">
        <w:t>е</w:t>
      </w:r>
      <w:r w:rsidR="009C6DDA" w:rsidRPr="00F6340E">
        <w:t xml:space="preserve"> </w:t>
      </w:r>
      <w:r w:rsidR="00171F00">
        <w:t>з</w:t>
      </w:r>
      <w:r>
        <w:t>а</w:t>
      </w:r>
      <w:r w:rsidR="009C6DDA" w:rsidRPr="00F6340E">
        <w:t xml:space="preserve"> </w:t>
      </w:r>
      <w:r>
        <w:t>надл</w:t>
      </w:r>
      <w:r w:rsidR="00EE6AA2">
        <w:t>е</w:t>
      </w:r>
      <w:r w:rsidR="00171F00">
        <w:t>ж</w:t>
      </w:r>
      <w:r>
        <w:t>н</w:t>
      </w:r>
      <w:r w:rsidR="00EE6AA2">
        <w:t>е</w:t>
      </w:r>
      <w:r w:rsidR="009C6DDA" w:rsidRPr="00F6340E">
        <w:t xml:space="preserve"> </w:t>
      </w:r>
      <w:r>
        <w:t>об</w:t>
      </w:r>
      <w:r w:rsidR="0071360A">
        <w:t>р</w:t>
      </w:r>
      <w:r>
        <w:t>а</w:t>
      </w:r>
      <w:r w:rsidR="00171F00">
        <w:t>з</w:t>
      </w:r>
      <w:r>
        <w:t>о</w:t>
      </w:r>
      <w:r w:rsidR="0071360A">
        <w:t>в</w:t>
      </w:r>
      <w:r>
        <w:t>н</w:t>
      </w:r>
      <w:r w:rsidR="00EE6AA2">
        <w:t>е</w:t>
      </w:r>
      <w:r w:rsidR="009C6DDA" w:rsidRPr="00F6340E">
        <w:t xml:space="preserve"> </w:t>
      </w:r>
      <w:r w:rsidR="0071360A">
        <w:t>в</w:t>
      </w:r>
      <w:r>
        <w:t>ла</w:t>
      </w:r>
      <w:r w:rsidR="0071360A">
        <w:t>ст</w:t>
      </w:r>
      <w:r>
        <w:t>и</w:t>
      </w:r>
      <w:r w:rsidR="004B5159" w:rsidRPr="00F6340E">
        <w:t xml:space="preserve"> </w:t>
      </w:r>
      <w:r w:rsidR="0071360A">
        <w:t>у</w:t>
      </w:r>
      <w:r w:rsidR="004B5159" w:rsidRPr="00F6340E">
        <w:t xml:space="preserve"> </w:t>
      </w:r>
      <w:r>
        <w:t>кон</w:t>
      </w:r>
      <w:r w:rsidR="0071360A">
        <w:t>т</w:t>
      </w:r>
      <w:r w:rsidR="00EE6AA2">
        <w:t>е</w:t>
      </w:r>
      <w:r>
        <w:t>к</w:t>
      </w:r>
      <w:r w:rsidR="0071360A">
        <w:t>сту</w:t>
      </w:r>
      <w:r w:rsidR="004B5159" w:rsidRPr="00F6340E">
        <w:t xml:space="preserve"> </w:t>
      </w:r>
      <w:r>
        <w:t>к</w:t>
      </w:r>
      <w:r w:rsidR="0071360A">
        <w:t>в</w:t>
      </w:r>
      <w:r>
        <w:t>али</w:t>
      </w:r>
      <w:r w:rsidR="0071360A">
        <w:t>т</w:t>
      </w:r>
      <w:r w:rsidR="00EE6AA2">
        <w:t>е</w:t>
      </w:r>
      <w:r w:rsidR="0071360A">
        <w:t>т</w:t>
      </w:r>
      <w:r>
        <w:t>ног</w:t>
      </w:r>
      <w:r w:rsidR="004B5159" w:rsidRPr="00F6340E">
        <w:t xml:space="preserve"> </w:t>
      </w:r>
      <w:r>
        <w:t>инкл</w:t>
      </w:r>
      <w:r w:rsidR="0071360A">
        <w:t>у</w:t>
      </w:r>
      <w:r w:rsidR="00171F00">
        <w:t>з</w:t>
      </w:r>
      <w:r>
        <w:t>и</w:t>
      </w:r>
      <w:r w:rsidR="0071360A">
        <w:t>в</w:t>
      </w:r>
      <w:r>
        <w:t>ног</w:t>
      </w:r>
      <w:r w:rsidR="004B5159" w:rsidRPr="00F6340E">
        <w:t xml:space="preserve"> </w:t>
      </w:r>
      <w:r>
        <w:t>об</w:t>
      </w:r>
      <w:r w:rsidR="0071360A">
        <w:t>р</w:t>
      </w:r>
      <w:r>
        <w:t>а</w:t>
      </w:r>
      <w:r w:rsidR="00171F00">
        <w:t>з</w:t>
      </w:r>
      <w:r>
        <w:t>о</w:t>
      </w:r>
      <w:r w:rsidR="0071360A">
        <w:t>в</w:t>
      </w:r>
      <w:r>
        <w:t>ања</w:t>
      </w:r>
      <w:r w:rsidR="004B5159" w:rsidRPr="00F6340E">
        <w:t xml:space="preserve"> </w:t>
      </w:r>
      <w:r w:rsidR="0071360A">
        <w:t>с</w:t>
      </w:r>
      <w:r>
        <w:t>а</w:t>
      </w:r>
      <w:r w:rsidR="004B5159" w:rsidRPr="00F6340E">
        <w:t xml:space="preserve"> </w:t>
      </w:r>
      <w:r w:rsidR="0071360A">
        <w:t>п</w:t>
      </w:r>
      <w:r>
        <w:t>о</w:t>
      </w:r>
      <w:r w:rsidR="0071360A">
        <w:t>с</w:t>
      </w:r>
      <w:r w:rsidR="00EE6AA2">
        <w:t>е</w:t>
      </w:r>
      <w:r>
        <w:t>бним</w:t>
      </w:r>
      <w:r w:rsidR="00430BD2" w:rsidRPr="00F6340E">
        <w:t xml:space="preserve"> </w:t>
      </w:r>
      <w:r>
        <w:t>о</w:t>
      </w:r>
      <w:r w:rsidR="0071360A">
        <w:t>сврт</w:t>
      </w:r>
      <w:r>
        <w:t>ом</w:t>
      </w:r>
      <w:r w:rsidR="00430BD2" w:rsidRPr="00F6340E">
        <w:t xml:space="preserve"> </w:t>
      </w:r>
      <w:r>
        <w:t>на</w:t>
      </w:r>
      <w:r w:rsidR="00430BD2" w:rsidRPr="00F6340E">
        <w:t xml:space="preserve"> </w:t>
      </w:r>
      <w:r w:rsidR="0071360A">
        <w:t>п</w:t>
      </w:r>
      <w:r w:rsidR="00EE6AA2">
        <w:t>е</w:t>
      </w:r>
      <w:r>
        <w:t>даго</w:t>
      </w:r>
      <w:r w:rsidR="0071360A">
        <w:t>ш</w:t>
      </w:r>
      <w:r>
        <w:t>к</w:t>
      </w:r>
      <w:r w:rsidR="00EE6AA2">
        <w:t>е</w:t>
      </w:r>
      <w:r w:rsidR="00430BD2" w:rsidRPr="00F6340E">
        <w:t xml:space="preserve"> </w:t>
      </w:r>
      <w:r>
        <w:t>и</w:t>
      </w:r>
      <w:r w:rsidR="00430BD2" w:rsidRPr="00F6340E">
        <w:t xml:space="preserve"> </w:t>
      </w:r>
      <w:r>
        <w:t>диги</w:t>
      </w:r>
      <w:r w:rsidR="0071360A">
        <w:t>т</w:t>
      </w:r>
      <w:r>
        <w:t>алн</w:t>
      </w:r>
      <w:r w:rsidR="00EE6AA2">
        <w:t>е</w:t>
      </w:r>
      <w:r w:rsidR="004B5159" w:rsidRPr="00F6340E">
        <w:t xml:space="preserve"> </w:t>
      </w:r>
      <w:r>
        <w:t>ком</w:t>
      </w:r>
      <w:r w:rsidR="0071360A">
        <w:t>п</w:t>
      </w:r>
      <w:r w:rsidR="00EE6AA2">
        <w:t>е</w:t>
      </w:r>
      <w:r w:rsidR="0071360A">
        <w:t>т</w:t>
      </w:r>
      <w:r w:rsidR="00EE6AA2">
        <w:t>е</w:t>
      </w:r>
      <w:r>
        <w:t>нциј</w:t>
      </w:r>
      <w:r w:rsidR="00EE6AA2">
        <w:t>е</w:t>
      </w:r>
      <w:r w:rsidR="004B5159" w:rsidRPr="00F6340E">
        <w:t xml:space="preserve"> </w:t>
      </w:r>
      <w:r>
        <w:t>на</w:t>
      </w:r>
      <w:r w:rsidR="0071360A">
        <w:t>ст</w:t>
      </w:r>
      <w:r>
        <w:t>а</w:t>
      </w:r>
      <w:r w:rsidR="0071360A">
        <w:t>в</w:t>
      </w:r>
      <w:r>
        <w:t>ника</w:t>
      </w:r>
      <w:r w:rsidR="004B5159" w:rsidRPr="00F6340E">
        <w:t xml:space="preserve">. </w:t>
      </w:r>
    </w:p>
    <w:p w14:paraId="6483B4F9" w14:textId="5426A5D3" w:rsidR="00C87D38" w:rsidRPr="00F6340E" w:rsidRDefault="00E069BB" w:rsidP="00F83E0E">
      <w:pPr>
        <w:pStyle w:val="Heading1"/>
        <w:spacing w:line="276" w:lineRule="auto"/>
        <w:rPr>
          <w:rFonts w:cs="Arial"/>
          <w:szCs w:val="30"/>
          <w:lang w:val="sr-Cyrl-BA"/>
        </w:rPr>
      </w:pPr>
      <w:bookmarkStart w:id="4" w:name="_Toc119050289"/>
      <w:r w:rsidRPr="00F6340E">
        <w:rPr>
          <w:rFonts w:cs="Arial"/>
          <w:szCs w:val="30"/>
          <w:lang w:val="sr-Cyrl-BA"/>
        </w:rPr>
        <w:lastRenderedPageBreak/>
        <w:t xml:space="preserve">1. </w:t>
      </w:r>
      <w:r w:rsidR="00A56E08">
        <w:rPr>
          <w:rFonts w:cs="Arial"/>
          <w:szCs w:val="30"/>
          <w:lang w:val="sr-Cyrl-BA"/>
        </w:rPr>
        <w:t>О</w:t>
      </w:r>
      <w:r w:rsidR="0071360A">
        <w:rPr>
          <w:rFonts w:cs="Arial"/>
          <w:szCs w:val="30"/>
          <w:lang w:val="sr-Cyrl-BA"/>
        </w:rPr>
        <w:t>с</w:t>
      </w:r>
      <w:r w:rsidR="00A56E08">
        <w:rPr>
          <w:rFonts w:cs="Arial"/>
          <w:szCs w:val="30"/>
          <w:lang w:val="sr-Cyrl-BA"/>
        </w:rPr>
        <w:t>но</w:t>
      </w:r>
      <w:r w:rsidR="0071360A">
        <w:rPr>
          <w:rFonts w:cs="Arial"/>
          <w:szCs w:val="30"/>
          <w:lang w:val="sr-Cyrl-BA"/>
        </w:rPr>
        <w:t>в</w:t>
      </w:r>
      <w:r w:rsidR="00A56E08">
        <w:rPr>
          <w:rFonts w:cs="Arial"/>
          <w:szCs w:val="30"/>
          <w:lang w:val="sr-Cyrl-BA"/>
        </w:rPr>
        <w:t>ни</w:t>
      </w:r>
      <w:r w:rsidR="00664C6D" w:rsidRPr="00F6340E">
        <w:rPr>
          <w:rFonts w:cs="Arial"/>
          <w:szCs w:val="30"/>
          <w:lang w:val="sr-Cyrl-BA"/>
        </w:rPr>
        <w:t xml:space="preserve"> </w:t>
      </w:r>
      <w:r w:rsidR="0071360A">
        <w:rPr>
          <w:rFonts w:cs="Arial"/>
          <w:szCs w:val="30"/>
          <w:lang w:val="sr-Cyrl-BA"/>
        </w:rPr>
        <w:t>п</w:t>
      </w:r>
      <w:r w:rsidR="00A56E08">
        <w:rPr>
          <w:rFonts w:cs="Arial"/>
          <w:szCs w:val="30"/>
          <w:lang w:val="sr-Cyrl-BA"/>
        </w:rPr>
        <w:t>ојмо</w:t>
      </w:r>
      <w:r w:rsidR="0071360A">
        <w:rPr>
          <w:rFonts w:cs="Arial"/>
          <w:szCs w:val="30"/>
          <w:lang w:val="sr-Cyrl-BA"/>
        </w:rPr>
        <w:t>в</w:t>
      </w:r>
      <w:r w:rsidR="00A56E08">
        <w:rPr>
          <w:rFonts w:cs="Arial"/>
          <w:szCs w:val="30"/>
          <w:lang w:val="sr-Cyrl-BA"/>
        </w:rPr>
        <w:t>и</w:t>
      </w:r>
      <w:r w:rsidR="006E4CAC" w:rsidRPr="00F6340E">
        <w:rPr>
          <w:rStyle w:val="FootnoteReference"/>
          <w:rFonts w:cs="Arial"/>
          <w:szCs w:val="30"/>
          <w:lang w:val="sr-Cyrl-BA"/>
        </w:rPr>
        <w:footnoteReference w:id="3"/>
      </w:r>
      <w:bookmarkEnd w:id="4"/>
      <w:r w:rsidR="00664C6D" w:rsidRPr="00F6340E">
        <w:rPr>
          <w:rFonts w:cs="Arial"/>
          <w:szCs w:val="30"/>
          <w:lang w:val="sr-Cyrl-BA"/>
        </w:rPr>
        <w:t xml:space="preserve"> </w:t>
      </w:r>
    </w:p>
    <w:p w14:paraId="445ADCC8" w14:textId="454D916E" w:rsidR="00FB382C" w:rsidRPr="00F6340E" w:rsidRDefault="0071360A" w:rsidP="001A6D76">
      <w:pPr>
        <w:pStyle w:val="Body"/>
      </w:pPr>
      <w:r>
        <w:t>У</w:t>
      </w:r>
      <w:r w:rsidR="000B5F9E" w:rsidRPr="00F6340E">
        <w:t xml:space="preserve"> </w:t>
      </w:r>
      <w:r w:rsidR="00A56E08">
        <w:t>о</w:t>
      </w:r>
      <w:r>
        <w:t>в</w:t>
      </w:r>
      <w:r w:rsidR="00A56E08">
        <w:t>ом</w:t>
      </w:r>
      <w:r w:rsidR="000B5F9E" w:rsidRPr="00F6340E">
        <w:t xml:space="preserve"> </w:t>
      </w:r>
      <w:r>
        <w:t>п</w:t>
      </w:r>
      <w:r w:rsidR="00A56E08">
        <w:t>огла</w:t>
      </w:r>
      <w:r>
        <w:t>в</w:t>
      </w:r>
      <w:r w:rsidR="00A56E08">
        <w:t>љ</w:t>
      </w:r>
      <w:r>
        <w:t>у</w:t>
      </w:r>
      <w:r w:rsidR="000B5F9E" w:rsidRPr="00F6340E">
        <w:t xml:space="preserve"> </w:t>
      </w:r>
      <w:r>
        <w:t>с</w:t>
      </w:r>
      <w:r w:rsidR="00EE6AA2">
        <w:t>е</w:t>
      </w:r>
      <w:r w:rsidR="000B5F9E" w:rsidRPr="00F6340E">
        <w:t xml:space="preserve"> </w:t>
      </w:r>
      <w:r>
        <w:t>р</w:t>
      </w:r>
      <w:r w:rsidR="00A56E08">
        <w:t>а</w:t>
      </w:r>
      <w:r w:rsidR="00171F00">
        <w:t>з</w:t>
      </w:r>
      <w:r w:rsidR="00A56E08">
        <w:t>ма</w:t>
      </w:r>
      <w:r>
        <w:t>тр</w:t>
      </w:r>
      <w:r w:rsidR="00A56E08">
        <w:t>ај</w:t>
      </w:r>
      <w:r>
        <w:t>у</w:t>
      </w:r>
      <w:r w:rsidR="00270A7A" w:rsidRPr="00F6340E">
        <w:t xml:space="preserve"> </w:t>
      </w:r>
      <w:r w:rsidR="00A56E08">
        <w:t>о</w:t>
      </w:r>
      <w:r>
        <w:t>с</w:t>
      </w:r>
      <w:r w:rsidR="00A56E08">
        <w:t>но</w:t>
      </w:r>
      <w:r>
        <w:t>в</w:t>
      </w:r>
      <w:r w:rsidR="00A56E08">
        <w:t>ни</w:t>
      </w:r>
      <w:r w:rsidR="00270A7A" w:rsidRPr="00F6340E">
        <w:t xml:space="preserve"> </w:t>
      </w:r>
      <w:r>
        <w:t>п</w:t>
      </w:r>
      <w:r w:rsidR="00A56E08">
        <w:t>ојмо</w:t>
      </w:r>
      <w:r>
        <w:t>в</w:t>
      </w:r>
      <w:r w:rsidR="00A56E08">
        <w:t>и</w:t>
      </w:r>
      <w:r w:rsidR="000B5F9E" w:rsidRPr="00F6340E">
        <w:t xml:space="preserve">, </w:t>
      </w:r>
      <w:r w:rsidR="00A56E08">
        <w:t>који</w:t>
      </w:r>
      <w:r w:rsidR="000B5F9E" w:rsidRPr="00F6340E">
        <w:t xml:space="preserve"> </w:t>
      </w:r>
      <w:r>
        <w:t>су</w:t>
      </w:r>
      <w:r w:rsidR="000B5F9E" w:rsidRPr="00F6340E">
        <w:t xml:space="preserve"> </w:t>
      </w:r>
      <w:r>
        <w:t>в</w:t>
      </w:r>
      <w:r w:rsidR="00EE6AA2">
        <w:t>е</w:t>
      </w:r>
      <w:r w:rsidR="00171F00">
        <w:t>з</w:t>
      </w:r>
      <w:r w:rsidR="00A56E08">
        <w:t>ани</w:t>
      </w:r>
      <w:r w:rsidR="000B5F9E" w:rsidRPr="00F6340E">
        <w:t xml:space="preserve"> </w:t>
      </w:r>
      <w:r w:rsidR="00171F00">
        <w:t>з</w:t>
      </w:r>
      <w:r w:rsidR="00A56E08">
        <w:t>а</w:t>
      </w:r>
      <w:r w:rsidR="000B5F9E" w:rsidRPr="00F6340E">
        <w:t xml:space="preserve"> </w:t>
      </w:r>
      <w:r>
        <w:t>пр</w:t>
      </w:r>
      <w:r w:rsidR="00A56E08">
        <w:t>имј</w:t>
      </w:r>
      <w:r w:rsidR="00EE6AA2">
        <w:t>е</w:t>
      </w:r>
      <w:r w:rsidR="00A56E08">
        <w:t>н</w:t>
      </w:r>
      <w:r>
        <w:t>у</w:t>
      </w:r>
      <w:r w:rsidR="000B5F9E" w:rsidRPr="00F6340E">
        <w:t xml:space="preserve"> </w:t>
      </w:r>
      <w:r w:rsidR="00A56E08">
        <w:t>инфо</w:t>
      </w:r>
      <w:r>
        <w:t>р</w:t>
      </w:r>
      <w:r w:rsidR="00A56E08">
        <w:t>ма</w:t>
      </w:r>
      <w:r>
        <w:t>т</w:t>
      </w:r>
      <w:r w:rsidR="00A56E08">
        <w:t>ичко</w:t>
      </w:r>
      <w:r w:rsidR="00BF0C16" w:rsidRPr="00F6340E">
        <w:t xml:space="preserve"> – </w:t>
      </w:r>
      <w:r w:rsidR="00A56E08">
        <w:t>ком</w:t>
      </w:r>
      <w:r>
        <w:t>у</w:t>
      </w:r>
      <w:r w:rsidR="00A56E08">
        <w:t>никацион</w:t>
      </w:r>
      <w:r w:rsidR="00EE6AA2">
        <w:t>е</w:t>
      </w:r>
      <w:r w:rsidR="00BF0C16" w:rsidRPr="00F6340E">
        <w:t xml:space="preserve"> </w:t>
      </w:r>
      <w:r>
        <w:t>т</w:t>
      </w:r>
      <w:r w:rsidR="00EE6AA2">
        <w:t>е</w:t>
      </w:r>
      <w:r w:rsidR="00A56E08">
        <w:t>хнологиј</w:t>
      </w:r>
      <w:r w:rsidR="00EE6AA2">
        <w:t>е</w:t>
      </w:r>
      <w:r w:rsidR="00BF0C16" w:rsidRPr="00F6340E">
        <w:t xml:space="preserve"> (</w:t>
      </w:r>
      <w:r w:rsidR="00A56E08">
        <w:t>ИК</w:t>
      </w:r>
      <w:r>
        <w:t>Т</w:t>
      </w:r>
      <w:r w:rsidR="00BF0C16" w:rsidRPr="00F6340E">
        <w:t>)</w:t>
      </w:r>
      <w:r w:rsidR="000B5F9E" w:rsidRPr="00F6340E">
        <w:t xml:space="preserve"> </w:t>
      </w:r>
      <w:r>
        <w:t>у</w:t>
      </w:r>
      <w:r w:rsidR="000B5F9E" w:rsidRPr="00F6340E">
        <w:t xml:space="preserve"> </w:t>
      </w:r>
      <w:r w:rsidR="00A56E08">
        <w:t>об</w:t>
      </w:r>
      <w:r>
        <w:t>р</w:t>
      </w:r>
      <w:r w:rsidR="00A56E08">
        <w:t>а</w:t>
      </w:r>
      <w:r w:rsidR="00171F00">
        <w:t>з</w:t>
      </w:r>
      <w:r w:rsidR="00A56E08">
        <w:t>о</w:t>
      </w:r>
      <w:r>
        <w:t>в</w:t>
      </w:r>
      <w:r w:rsidR="00A56E08">
        <w:t>ањ</w:t>
      </w:r>
      <w:r>
        <w:t>у</w:t>
      </w:r>
      <w:r w:rsidR="000B5F9E" w:rsidRPr="00F6340E">
        <w:t xml:space="preserve">. </w:t>
      </w:r>
      <w:r w:rsidR="00A56E08">
        <w:t>Наим</w:t>
      </w:r>
      <w:r w:rsidR="00EE6AA2">
        <w:t>е</w:t>
      </w:r>
      <w:r w:rsidR="000B5F9E" w:rsidRPr="00F6340E">
        <w:t>,</w:t>
      </w:r>
      <w:r w:rsidR="00BA0A28" w:rsidRPr="00F6340E">
        <w:t xml:space="preserve"> </w:t>
      </w:r>
      <w:r>
        <w:t>п</w:t>
      </w:r>
      <w:r w:rsidR="00A56E08">
        <w:t>о</w:t>
      </w:r>
      <w:r>
        <w:t>ст</w:t>
      </w:r>
      <w:r w:rsidR="00A56E08">
        <w:t>ој</w:t>
      </w:r>
      <w:r w:rsidR="00EE6AA2">
        <w:t>е</w:t>
      </w:r>
      <w:r w:rsidR="00A56E08">
        <w:t>ћа</w:t>
      </w:r>
      <w:r w:rsidR="00BA0A28" w:rsidRPr="00F6340E">
        <w:t xml:space="preserve"> </w:t>
      </w:r>
      <w:r w:rsidR="00A56E08">
        <w:t>н</w:t>
      </w:r>
      <w:r w:rsidR="00EE6AA2">
        <w:t>е</w:t>
      </w:r>
      <w:r>
        <w:t>у</w:t>
      </w:r>
      <w:r w:rsidR="00A56E08">
        <w:t>ј</w:t>
      </w:r>
      <w:r w:rsidR="00EE6AA2">
        <w:t>е</w:t>
      </w:r>
      <w:r w:rsidR="00A56E08">
        <w:t>днач</w:t>
      </w:r>
      <w:r w:rsidR="00EE6AA2">
        <w:t>е</w:t>
      </w:r>
      <w:r w:rsidR="00A56E08">
        <w:t>но</w:t>
      </w:r>
      <w:r>
        <w:t>ст</w:t>
      </w:r>
      <w:r w:rsidR="00BA0A28" w:rsidRPr="00F6340E">
        <w:t xml:space="preserve"> </w:t>
      </w:r>
      <w:r>
        <w:t>п</w:t>
      </w:r>
      <w:r w:rsidR="00A56E08">
        <w:t>ојмо</w:t>
      </w:r>
      <w:r>
        <w:t>в</w:t>
      </w:r>
      <w:r w:rsidR="00A56E08">
        <w:t>а</w:t>
      </w:r>
      <w:r w:rsidR="000B5F9E" w:rsidRPr="00F6340E">
        <w:t xml:space="preserve"> </w:t>
      </w:r>
      <w:r>
        <w:t>у</w:t>
      </w:r>
      <w:r w:rsidR="000B5F9E" w:rsidRPr="00F6340E">
        <w:t xml:space="preserve"> </w:t>
      </w:r>
      <w:r w:rsidR="00A56E08">
        <w:t>док</w:t>
      </w:r>
      <w:r>
        <w:t>у</w:t>
      </w:r>
      <w:r w:rsidR="00A56E08">
        <w:t>м</w:t>
      </w:r>
      <w:r w:rsidR="00EE6AA2">
        <w:t>е</w:t>
      </w:r>
      <w:r w:rsidR="00A56E08">
        <w:t>н</w:t>
      </w:r>
      <w:r>
        <w:t>т</w:t>
      </w:r>
      <w:r w:rsidR="00A56E08">
        <w:t>има</w:t>
      </w:r>
      <w:r w:rsidR="000B5F9E" w:rsidRPr="00F6340E">
        <w:t xml:space="preserve"> </w:t>
      </w:r>
      <w:r w:rsidR="00A56E08">
        <w:t>који</w:t>
      </w:r>
      <w:r w:rsidR="000B5F9E" w:rsidRPr="00F6340E">
        <w:t xml:space="preserve"> </w:t>
      </w:r>
      <w:r>
        <w:t>тр</w:t>
      </w:r>
      <w:r w:rsidR="00EE6AA2">
        <w:t>е</w:t>
      </w:r>
      <w:r>
        <w:t>т</w:t>
      </w:r>
      <w:r w:rsidR="00A56E08">
        <w:t>и</w:t>
      </w:r>
      <w:r>
        <w:t>р</w:t>
      </w:r>
      <w:r w:rsidR="00A56E08">
        <w:t>ај</w:t>
      </w:r>
      <w:r>
        <w:t>у</w:t>
      </w:r>
      <w:r w:rsidR="000B5F9E" w:rsidRPr="00F6340E">
        <w:t xml:space="preserve"> </w:t>
      </w:r>
      <w:r w:rsidR="00A56E08">
        <w:t>об</w:t>
      </w:r>
      <w:r>
        <w:t>р</w:t>
      </w:r>
      <w:r w:rsidR="00A56E08">
        <w:t>а</w:t>
      </w:r>
      <w:r w:rsidR="00171F00">
        <w:t>з</w:t>
      </w:r>
      <w:r w:rsidR="00A56E08">
        <w:t>о</w:t>
      </w:r>
      <w:r>
        <w:t>в</w:t>
      </w:r>
      <w:r w:rsidR="00A56E08">
        <w:t>ањ</w:t>
      </w:r>
      <w:r w:rsidR="00EE6AA2">
        <w:t>е</w:t>
      </w:r>
      <w:r w:rsidR="000B5F9E" w:rsidRPr="00F6340E">
        <w:t xml:space="preserve"> </w:t>
      </w:r>
      <w:r>
        <w:t>у</w:t>
      </w:r>
      <w:r w:rsidR="000B5F9E" w:rsidRPr="00F6340E">
        <w:t xml:space="preserve"> </w:t>
      </w:r>
      <w:r w:rsidR="00A56E08">
        <w:t>но</w:t>
      </w:r>
      <w:r>
        <w:t>в</w:t>
      </w:r>
      <w:r w:rsidR="00A56E08">
        <w:t>она</w:t>
      </w:r>
      <w:r>
        <w:t>ст</w:t>
      </w:r>
      <w:r w:rsidR="00A56E08">
        <w:t>алим</w:t>
      </w:r>
      <w:r w:rsidR="000B5F9E" w:rsidRPr="00F6340E">
        <w:t xml:space="preserve"> </w:t>
      </w:r>
      <w:r w:rsidR="00A56E08">
        <w:t>околно</w:t>
      </w:r>
      <w:r>
        <w:t>ст</w:t>
      </w:r>
      <w:r w:rsidR="00A56E08">
        <w:t>има</w:t>
      </w:r>
      <w:r w:rsidR="000B5F9E" w:rsidRPr="00F6340E">
        <w:t xml:space="preserve"> </w:t>
      </w:r>
      <w:r w:rsidR="00A56E08">
        <w:t>и</w:t>
      </w:r>
      <w:r w:rsidR="000B5F9E" w:rsidRPr="00F6340E">
        <w:t xml:space="preserve"> </w:t>
      </w:r>
      <w:r>
        <w:t>в</w:t>
      </w:r>
      <w:r w:rsidR="00A56E08">
        <w:t>и</w:t>
      </w:r>
      <w:r>
        <w:t>рту</w:t>
      </w:r>
      <w:r w:rsidR="00EE6AA2">
        <w:t>е</w:t>
      </w:r>
      <w:r w:rsidR="00A56E08">
        <w:t>лном</w:t>
      </w:r>
      <w:r w:rsidR="000B5F9E" w:rsidRPr="00F6340E">
        <w:t xml:space="preserve"> </w:t>
      </w:r>
      <w:r w:rsidR="00A56E08">
        <w:t>ок</w:t>
      </w:r>
      <w:r>
        <w:t>ру</w:t>
      </w:r>
      <w:r w:rsidR="00171F00">
        <w:t>ж</w:t>
      </w:r>
      <w:r w:rsidR="00EE6AA2">
        <w:t>е</w:t>
      </w:r>
      <w:r w:rsidR="00A56E08">
        <w:t>њ</w:t>
      </w:r>
      <w:r>
        <w:t>у</w:t>
      </w:r>
      <w:r w:rsidR="000B5F9E" w:rsidRPr="00F6340E">
        <w:t xml:space="preserve">, </w:t>
      </w:r>
      <w:r w:rsidR="00A56E08">
        <w:t>ч</w:t>
      </w:r>
      <w:r w:rsidR="00EE6AA2">
        <w:t>е</w:t>
      </w:r>
      <w:r>
        <w:t>ст</w:t>
      </w:r>
      <w:r w:rsidR="00A56E08">
        <w:t>о</w:t>
      </w:r>
      <w:r w:rsidR="000B5F9E" w:rsidRPr="00F6340E">
        <w:t xml:space="preserve"> </w:t>
      </w:r>
      <w:r w:rsidR="00171F00">
        <w:t>з</w:t>
      </w:r>
      <w:r w:rsidR="00A56E08">
        <w:t>а</w:t>
      </w:r>
      <w:r w:rsidR="00270A7A" w:rsidRPr="00F6340E">
        <w:t xml:space="preserve"> </w:t>
      </w:r>
      <w:r>
        <w:t>р</w:t>
      </w:r>
      <w:r w:rsidR="00EE6AA2">
        <w:t>е</w:t>
      </w:r>
      <w:r w:rsidR="00171F00">
        <w:t>з</w:t>
      </w:r>
      <w:r>
        <w:t>у</w:t>
      </w:r>
      <w:r w:rsidR="00A56E08">
        <w:t>л</w:t>
      </w:r>
      <w:r>
        <w:t>т</w:t>
      </w:r>
      <w:r w:rsidR="00A56E08">
        <w:t>а</w:t>
      </w:r>
      <w:r>
        <w:t>т</w:t>
      </w:r>
      <w:r w:rsidR="00270A7A" w:rsidRPr="00F6340E">
        <w:t xml:space="preserve"> </w:t>
      </w:r>
      <w:r w:rsidR="00A56E08">
        <w:t>има</w:t>
      </w:r>
      <w:r w:rsidR="000B5F9E" w:rsidRPr="00F6340E">
        <w:t xml:space="preserve"> </w:t>
      </w:r>
      <w:r w:rsidR="00A56E08">
        <w:t>б</w:t>
      </w:r>
      <w:r>
        <w:t>р</w:t>
      </w:r>
      <w:r w:rsidR="00A56E08">
        <w:t>ојна</w:t>
      </w:r>
      <w:r w:rsidR="00270A7A" w:rsidRPr="00F6340E">
        <w:t xml:space="preserve"> </w:t>
      </w:r>
      <w:r>
        <w:t>п</w:t>
      </w:r>
      <w:r w:rsidR="00A56E08">
        <w:t>и</w:t>
      </w:r>
      <w:r>
        <w:t>т</w:t>
      </w:r>
      <w:r w:rsidR="00A56E08">
        <w:t>ања</w:t>
      </w:r>
      <w:r w:rsidR="000B5F9E" w:rsidRPr="00F6340E">
        <w:t xml:space="preserve"> </w:t>
      </w:r>
      <w:r w:rsidR="00A56E08">
        <w:t>о</w:t>
      </w:r>
      <w:r w:rsidR="000B5F9E" w:rsidRPr="00F6340E">
        <w:t xml:space="preserve"> </w:t>
      </w:r>
      <w:r w:rsidR="00A56E08">
        <w:t>њихо</w:t>
      </w:r>
      <w:r>
        <w:t>в</w:t>
      </w:r>
      <w:r w:rsidR="00A56E08">
        <w:t>ој</w:t>
      </w:r>
      <w:r w:rsidR="000B5F9E" w:rsidRPr="00F6340E">
        <w:t xml:space="preserve"> </w:t>
      </w:r>
      <w:r w:rsidR="00A56E08">
        <w:t>м</w:t>
      </w:r>
      <w:r w:rsidR="00EE6AA2">
        <w:t>е</w:t>
      </w:r>
      <w:r w:rsidR="00A56E08">
        <w:t>ђ</w:t>
      </w:r>
      <w:r>
        <w:t>ус</w:t>
      </w:r>
      <w:r w:rsidR="00A56E08">
        <w:t>обној</w:t>
      </w:r>
      <w:r w:rsidR="000B5F9E" w:rsidRPr="00F6340E">
        <w:t xml:space="preserve"> </w:t>
      </w:r>
      <w:r>
        <w:t>р</w:t>
      </w:r>
      <w:r w:rsidR="00A56E08">
        <w:t>а</w:t>
      </w:r>
      <w:r w:rsidR="00171F00">
        <w:t>з</w:t>
      </w:r>
      <w:r w:rsidR="00A56E08">
        <w:t>лици</w:t>
      </w:r>
      <w:r w:rsidR="000B5F9E" w:rsidRPr="00F6340E">
        <w:t xml:space="preserve">. </w:t>
      </w:r>
      <w:r w:rsidR="00A56E08">
        <w:t>Како</w:t>
      </w:r>
      <w:r w:rsidR="000B5F9E" w:rsidRPr="00F6340E">
        <w:t xml:space="preserve"> </w:t>
      </w:r>
      <w:r w:rsidR="00A56E08">
        <w:t>би</w:t>
      </w:r>
      <w:r w:rsidR="000B5F9E" w:rsidRPr="00F6340E">
        <w:t xml:space="preserve"> </w:t>
      </w:r>
      <w:r>
        <w:t>с</w:t>
      </w:r>
      <w:r w:rsidR="00EE6AA2">
        <w:t>е</w:t>
      </w:r>
      <w:r w:rsidR="000B5F9E" w:rsidRPr="00F6340E">
        <w:t xml:space="preserve"> </w:t>
      </w:r>
      <w:r w:rsidR="00A56E08">
        <w:t>обја</w:t>
      </w:r>
      <w:r>
        <w:t>с</w:t>
      </w:r>
      <w:r w:rsidR="00A56E08">
        <w:t>нила</w:t>
      </w:r>
      <w:r w:rsidR="000B5F9E" w:rsidRPr="00F6340E">
        <w:t xml:space="preserve"> </w:t>
      </w:r>
      <w:r w:rsidR="00A56E08">
        <w:t>и</w:t>
      </w:r>
      <w:r w:rsidR="000B5F9E" w:rsidRPr="00F6340E">
        <w:t xml:space="preserve"> </w:t>
      </w:r>
      <w:r>
        <w:t>р</w:t>
      </w:r>
      <w:r w:rsidR="00A56E08">
        <w:t>а</w:t>
      </w:r>
      <w:r w:rsidR="00171F00">
        <w:t>з</w:t>
      </w:r>
      <w:r>
        <w:t>у</w:t>
      </w:r>
      <w:r w:rsidR="00A56E08">
        <w:t>мј</w:t>
      </w:r>
      <w:r w:rsidR="00EE6AA2">
        <w:t>е</w:t>
      </w:r>
      <w:r w:rsidR="00A56E08">
        <w:t>ла</w:t>
      </w:r>
      <w:r w:rsidR="000B5F9E" w:rsidRPr="00F6340E">
        <w:t xml:space="preserve"> </w:t>
      </w:r>
      <w:r>
        <w:t>сушт</w:t>
      </w:r>
      <w:r w:rsidR="00A56E08">
        <w:t>ина</w:t>
      </w:r>
      <w:r w:rsidR="000B5F9E" w:rsidRPr="00F6340E">
        <w:t xml:space="preserve"> </w:t>
      </w:r>
      <w:r>
        <w:t>п</w:t>
      </w:r>
      <w:r w:rsidR="00A56E08">
        <w:t>ојмо</w:t>
      </w:r>
      <w:r>
        <w:t>в</w:t>
      </w:r>
      <w:r w:rsidR="00A56E08">
        <w:t>а</w:t>
      </w:r>
      <w:r w:rsidR="006B5098" w:rsidRPr="00F6340E">
        <w:t>,</w:t>
      </w:r>
      <w:r w:rsidR="000B5F9E" w:rsidRPr="00F6340E">
        <w:t xml:space="preserve"> </w:t>
      </w:r>
      <w:r w:rsidR="00A56E08">
        <w:t>који</w:t>
      </w:r>
      <w:r w:rsidR="000B5F9E" w:rsidRPr="00F6340E">
        <w:t xml:space="preserve"> </w:t>
      </w:r>
      <w:r>
        <w:t>су</w:t>
      </w:r>
      <w:r w:rsidR="000B5F9E" w:rsidRPr="00F6340E">
        <w:t xml:space="preserve"> </w:t>
      </w:r>
      <w:r>
        <w:t>пр</w:t>
      </w:r>
      <w:r w:rsidR="00A56E08">
        <w:t>и</w:t>
      </w:r>
      <w:r>
        <w:t>сут</w:t>
      </w:r>
      <w:r w:rsidR="00A56E08">
        <w:t>ни</w:t>
      </w:r>
      <w:r w:rsidR="000B5F9E" w:rsidRPr="00F6340E">
        <w:t xml:space="preserve"> </w:t>
      </w:r>
      <w:r>
        <w:t>у</w:t>
      </w:r>
      <w:r w:rsidR="000B5F9E" w:rsidRPr="00F6340E">
        <w:t xml:space="preserve"> </w:t>
      </w:r>
      <w:r w:rsidR="00A56E08">
        <w:t>ак</w:t>
      </w:r>
      <w:r>
        <w:t>ту</w:t>
      </w:r>
      <w:r w:rsidR="00EE6AA2">
        <w:t>е</w:t>
      </w:r>
      <w:r w:rsidR="00A56E08">
        <w:t>лним</w:t>
      </w:r>
      <w:r w:rsidR="000B5F9E" w:rsidRPr="00F6340E">
        <w:t xml:space="preserve"> </w:t>
      </w:r>
      <w:r w:rsidR="00A56E08">
        <w:t>док</w:t>
      </w:r>
      <w:r>
        <w:t>у</w:t>
      </w:r>
      <w:r w:rsidR="00A56E08">
        <w:t>м</w:t>
      </w:r>
      <w:r w:rsidR="00EE6AA2">
        <w:t>е</w:t>
      </w:r>
      <w:r w:rsidR="00A56E08">
        <w:t>н</w:t>
      </w:r>
      <w:r>
        <w:t>т</w:t>
      </w:r>
      <w:r w:rsidR="00A56E08">
        <w:t>има</w:t>
      </w:r>
      <w:r w:rsidR="000B5F9E" w:rsidRPr="00F6340E">
        <w:t xml:space="preserve">, </w:t>
      </w:r>
      <w:r w:rsidR="00A56E08">
        <w:t>кон</w:t>
      </w:r>
      <w:r>
        <w:t>су</w:t>
      </w:r>
      <w:r w:rsidR="00A56E08">
        <w:t>л</w:t>
      </w:r>
      <w:r>
        <w:t>т</w:t>
      </w:r>
      <w:r w:rsidR="00A56E08">
        <w:t>о</w:t>
      </w:r>
      <w:r>
        <w:t>в</w:t>
      </w:r>
      <w:r w:rsidR="00A56E08">
        <w:t>ана</w:t>
      </w:r>
      <w:r w:rsidR="000B5F9E" w:rsidRPr="00F6340E">
        <w:t xml:space="preserve"> </w:t>
      </w:r>
      <w:r w:rsidR="00A56E08">
        <w:t>ј</w:t>
      </w:r>
      <w:r w:rsidR="00EE6AA2">
        <w:t>е</w:t>
      </w:r>
      <w:r w:rsidR="000B5F9E" w:rsidRPr="00F6340E">
        <w:t xml:space="preserve"> </w:t>
      </w:r>
      <w:r>
        <w:t>р</w:t>
      </w:r>
      <w:r w:rsidR="00EE6AA2">
        <w:t>е</w:t>
      </w:r>
      <w:r w:rsidR="00A56E08">
        <w:t>л</w:t>
      </w:r>
      <w:r w:rsidR="00EE6AA2">
        <w:t>е</w:t>
      </w:r>
      <w:r>
        <w:t>в</w:t>
      </w:r>
      <w:r w:rsidR="00A56E08">
        <w:t>ан</w:t>
      </w:r>
      <w:r>
        <w:t>т</w:t>
      </w:r>
      <w:r w:rsidR="00A56E08">
        <w:t>на</w:t>
      </w:r>
      <w:r w:rsidR="000B5F9E" w:rsidRPr="00F6340E">
        <w:t xml:space="preserve"> </w:t>
      </w:r>
      <w:r>
        <w:t>стру</w:t>
      </w:r>
      <w:r w:rsidR="00A56E08">
        <w:t>чно</w:t>
      </w:r>
      <w:r w:rsidR="000B5F9E" w:rsidRPr="00F6340E">
        <w:t xml:space="preserve"> – </w:t>
      </w:r>
      <w:r w:rsidR="00A56E08">
        <w:t>на</w:t>
      </w:r>
      <w:r>
        <w:t>у</w:t>
      </w:r>
      <w:r w:rsidR="00A56E08">
        <w:t>чна</w:t>
      </w:r>
      <w:r w:rsidR="000B5F9E" w:rsidRPr="00F6340E">
        <w:t xml:space="preserve"> </w:t>
      </w:r>
      <w:r w:rsidR="00A56E08">
        <w:t>ли</w:t>
      </w:r>
      <w:r>
        <w:t>т</w:t>
      </w:r>
      <w:r w:rsidR="00EE6AA2">
        <w:t>е</w:t>
      </w:r>
      <w:r>
        <w:t>р</w:t>
      </w:r>
      <w:r w:rsidR="00A56E08">
        <w:t>а</w:t>
      </w:r>
      <w:r>
        <w:t>тур</w:t>
      </w:r>
      <w:r w:rsidR="00A56E08">
        <w:t>а</w:t>
      </w:r>
      <w:r w:rsidR="000B5F9E" w:rsidRPr="00F6340E">
        <w:t xml:space="preserve"> </w:t>
      </w:r>
      <w:r>
        <w:t>т</w:t>
      </w:r>
      <w:r w:rsidR="00EE6AA2">
        <w:t>е</w:t>
      </w:r>
      <w:r w:rsidR="000B5F9E" w:rsidRPr="00F6340E">
        <w:t xml:space="preserve"> </w:t>
      </w:r>
      <w:r w:rsidR="00A56E08">
        <w:t>ј</w:t>
      </w:r>
      <w:r w:rsidR="00EE6AA2">
        <w:t>е</w:t>
      </w:r>
      <w:r w:rsidR="000B5F9E" w:rsidRPr="00F6340E">
        <w:t xml:space="preserve"> </w:t>
      </w:r>
      <w:r w:rsidR="00A56E08">
        <w:t>да</w:t>
      </w:r>
      <w:r>
        <w:t>т</w:t>
      </w:r>
      <w:r w:rsidR="000B5F9E" w:rsidRPr="00F6340E">
        <w:t xml:space="preserve"> </w:t>
      </w:r>
      <w:r w:rsidR="00A56E08">
        <w:t>к</w:t>
      </w:r>
      <w:r>
        <w:t>р</w:t>
      </w:r>
      <w:r w:rsidR="00A56E08">
        <w:t>а</w:t>
      </w:r>
      <w:r>
        <w:t>т</w:t>
      </w:r>
      <w:r w:rsidR="00A56E08">
        <w:t>ак</w:t>
      </w:r>
      <w:r w:rsidR="000B5F9E" w:rsidRPr="00F6340E">
        <w:t xml:space="preserve"> </w:t>
      </w:r>
      <w:r>
        <w:t>т</w:t>
      </w:r>
      <w:r w:rsidR="00EE6AA2">
        <w:t>е</w:t>
      </w:r>
      <w:r w:rsidR="00A56E08">
        <w:t>о</w:t>
      </w:r>
      <w:r>
        <w:t>р</w:t>
      </w:r>
      <w:r w:rsidR="00A56E08">
        <w:t>иј</w:t>
      </w:r>
      <w:r>
        <w:t>с</w:t>
      </w:r>
      <w:r w:rsidR="00A56E08">
        <w:t>ки</w:t>
      </w:r>
      <w:r w:rsidR="000B5F9E" w:rsidRPr="00F6340E">
        <w:t xml:space="preserve"> </w:t>
      </w:r>
      <w:r>
        <w:t>пр</w:t>
      </w:r>
      <w:r w:rsidR="00EE6AA2">
        <w:t>е</w:t>
      </w:r>
      <w:r w:rsidR="00A56E08">
        <w:t>гл</w:t>
      </w:r>
      <w:r w:rsidR="00EE6AA2">
        <w:t>е</w:t>
      </w:r>
      <w:r w:rsidR="00A56E08">
        <w:t>д</w:t>
      </w:r>
      <w:r w:rsidR="000B5F9E" w:rsidRPr="00F6340E">
        <w:t xml:space="preserve"> </w:t>
      </w:r>
      <w:r w:rsidR="00A56E08">
        <w:t>најч</w:t>
      </w:r>
      <w:r w:rsidR="00EE6AA2">
        <w:t>е</w:t>
      </w:r>
      <w:r>
        <w:t>ш</w:t>
      </w:r>
      <w:r w:rsidR="00A56E08">
        <w:t>ћ</w:t>
      </w:r>
      <w:r w:rsidR="00EE6AA2">
        <w:t>е</w:t>
      </w:r>
      <w:r w:rsidR="000B5F9E" w:rsidRPr="00F6340E">
        <w:t xml:space="preserve"> </w:t>
      </w:r>
      <w:r w:rsidR="00A56E08">
        <w:t>ко</w:t>
      </w:r>
      <w:r>
        <w:t>р</w:t>
      </w:r>
      <w:r w:rsidR="00A56E08">
        <w:t>и</w:t>
      </w:r>
      <w:r>
        <w:t>шт</w:t>
      </w:r>
      <w:r w:rsidR="00EE6AA2">
        <w:t>е</w:t>
      </w:r>
      <w:r w:rsidR="00A56E08">
        <w:t>них</w:t>
      </w:r>
      <w:r w:rsidR="000B5F9E" w:rsidRPr="00F6340E">
        <w:t xml:space="preserve"> </w:t>
      </w:r>
      <w:r>
        <w:t>п</w:t>
      </w:r>
      <w:r w:rsidR="00A56E08">
        <w:t>ојмо</w:t>
      </w:r>
      <w:r>
        <w:t>в</w:t>
      </w:r>
      <w:r w:rsidR="00A56E08">
        <w:t>а</w:t>
      </w:r>
      <w:r w:rsidR="000B5F9E" w:rsidRPr="00F6340E">
        <w:t xml:space="preserve">.  </w:t>
      </w:r>
    </w:p>
    <w:p w14:paraId="1BB3AC3F" w14:textId="7B3E96B0" w:rsidR="00B543E7" w:rsidRPr="00F6340E" w:rsidRDefault="0071360A" w:rsidP="001A6D76">
      <w:pPr>
        <w:pStyle w:val="Body"/>
      </w:pPr>
      <w:r>
        <w:t>П</w:t>
      </w:r>
      <w:r w:rsidR="00A56E08">
        <w:t>ојам</w:t>
      </w:r>
      <w:r w:rsidR="00B543E7" w:rsidRPr="00F6340E">
        <w:t xml:space="preserve"> </w:t>
      </w:r>
      <w:r w:rsidR="00A56E08">
        <w:t>к</w:t>
      </w:r>
      <w:r>
        <w:t>в</w:t>
      </w:r>
      <w:r w:rsidR="00A56E08">
        <w:t>али</w:t>
      </w:r>
      <w:r>
        <w:t>т</w:t>
      </w:r>
      <w:r w:rsidR="00EE6AA2">
        <w:t>е</w:t>
      </w:r>
      <w:r>
        <w:t>т</w:t>
      </w:r>
      <w:r w:rsidR="00A56E08">
        <w:t>но</w:t>
      </w:r>
      <w:r w:rsidR="00B543E7" w:rsidRPr="00F6340E">
        <w:t xml:space="preserve"> </w:t>
      </w:r>
      <w:r w:rsidR="00A56E08">
        <w:t>инкл</w:t>
      </w:r>
      <w:r>
        <w:t>у</w:t>
      </w:r>
      <w:r w:rsidR="00171F00">
        <w:t>з</w:t>
      </w:r>
      <w:r w:rsidR="00A56E08">
        <w:t>и</w:t>
      </w:r>
      <w:r>
        <w:t>в</w:t>
      </w:r>
      <w:r w:rsidR="00A56E08">
        <w:t>но</w:t>
      </w:r>
      <w:r w:rsidR="00B543E7" w:rsidRPr="00F6340E">
        <w:t xml:space="preserve"> </w:t>
      </w:r>
      <w:r w:rsidR="00A56E08">
        <w:t>об</w:t>
      </w:r>
      <w:r>
        <w:t>р</w:t>
      </w:r>
      <w:r w:rsidR="00A56E08">
        <w:t>а</w:t>
      </w:r>
      <w:r w:rsidR="00171F00">
        <w:t>з</w:t>
      </w:r>
      <w:r w:rsidR="00A56E08">
        <w:t>о</w:t>
      </w:r>
      <w:r>
        <w:t>в</w:t>
      </w:r>
      <w:r w:rsidR="00A56E08">
        <w:t>ањ</w:t>
      </w:r>
      <w:r w:rsidR="00EE6AA2">
        <w:t>е</w:t>
      </w:r>
      <w:r w:rsidR="00F87FCA" w:rsidRPr="00F6340E">
        <w:t>,</w:t>
      </w:r>
      <w:r w:rsidR="00B543E7" w:rsidRPr="00F6340E">
        <w:t xml:space="preserve"> </w:t>
      </w:r>
      <w:r w:rsidR="00A56E08">
        <w:t>који</w:t>
      </w:r>
      <w:r w:rsidR="00B543E7" w:rsidRPr="00F6340E">
        <w:t xml:space="preserve"> </w:t>
      </w:r>
      <w:r w:rsidR="00A56E08">
        <w:t>ј</w:t>
      </w:r>
      <w:r w:rsidR="00EE6AA2">
        <w:t>е</w:t>
      </w:r>
      <w:r w:rsidR="00B543E7" w:rsidRPr="00F6340E">
        <w:t xml:space="preserve"> </w:t>
      </w:r>
      <w:r>
        <w:t>пр</w:t>
      </w:r>
      <w:r w:rsidR="00A56E08">
        <w:t>и</w:t>
      </w:r>
      <w:r>
        <w:t>сут</w:t>
      </w:r>
      <w:r w:rsidR="00A56E08">
        <w:t>ан</w:t>
      </w:r>
      <w:r w:rsidR="00B543E7" w:rsidRPr="00F6340E">
        <w:t xml:space="preserve"> </w:t>
      </w:r>
      <w:r>
        <w:t>у</w:t>
      </w:r>
      <w:r w:rsidR="00B543E7" w:rsidRPr="00F6340E">
        <w:t xml:space="preserve"> </w:t>
      </w:r>
      <w:r w:rsidR="00A56E08">
        <w:t>на</w:t>
      </w:r>
      <w:r w:rsidR="00171F00">
        <w:t>з</w:t>
      </w:r>
      <w:r w:rsidR="00A56E08">
        <w:t>и</w:t>
      </w:r>
      <w:r>
        <w:t>ву</w:t>
      </w:r>
      <w:r w:rsidR="00B543E7" w:rsidRPr="00F6340E">
        <w:t xml:space="preserve"> </w:t>
      </w:r>
      <w:r w:rsidR="00A56E08">
        <w:t>док</w:t>
      </w:r>
      <w:r>
        <w:t>у</w:t>
      </w:r>
      <w:r w:rsidR="00A56E08">
        <w:t>м</w:t>
      </w:r>
      <w:r w:rsidR="00EE6AA2">
        <w:t>е</w:t>
      </w:r>
      <w:r w:rsidR="00A56E08">
        <w:t>н</w:t>
      </w:r>
      <w:r>
        <w:t>т</w:t>
      </w:r>
      <w:r w:rsidR="00A56E08">
        <w:t>а</w:t>
      </w:r>
      <w:r w:rsidR="00B543E7" w:rsidRPr="00F6340E">
        <w:t xml:space="preserve"> </w:t>
      </w:r>
      <w:r w:rsidR="00A56E08">
        <w:t>и</w:t>
      </w:r>
      <w:r w:rsidR="00B543E7" w:rsidRPr="00F6340E">
        <w:t xml:space="preserve"> </w:t>
      </w:r>
      <w:r>
        <w:t>пр</w:t>
      </w:r>
      <w:r w:rsidR="00A56E08">
        <w:t>о</w:t>
      </w:r>
      <w:r>
        <w:t>т</w:t>
      </w:r>
      <w:r w:rsidR="00EE6AA2">
        <w:t>е</w:t>
      </w:r>
      <w:r w:rsidR="00171F00">
        <w:t>ж</w:t>
      </w:r>
      <w:r w:rsidR="00EE6AA2">
        <w:t>е</w:t>
      </w:r>
      <w:r w:rsidR="00B543E7" w:rsidRPr="00F6340E">
        <w:t xml:space="preserve"> </w:t>
      </w:r>
      <w:r>
        <w:t>с</w:t>
      </w:r>
      <w:r w:rsidR="00EE6AA2">
        <w:t>е</w:t>
      </w:r>
      <w:r w:rsidR="00B543E7" w:rsidRPr="00F6340E">
        <w:t xml:space="preserve"> </w:t>
      </w:r>
      <w:r w:rsidR="00A56E08">
        <w:t>к</w:t>
      </w:r>
      <w:r>
        <w:t>р</w:t>
      </w:r>
      <w:r w:rsidR="00A56E08">
        <w:t>о</w:t>
      </w:r>
      <w:r w:rsidR="00171F00">
        <w:t>з</w:t>
      </w:r>
      <w:r w:rsidR="00B543E7" w:rsidRPr="00F6340E">
        <w:t xml:space="preserve"> </w:t>
      </w:r>
      <w:r w:rsidR="00A56E08">
        <w:t>ком</w:t>
      </w:r>
      <w:r>
        <w:t>п</w:t>
      </w:r>
      <w:r w:rsidR="00A56E08">
        <w:t>л</w:t>
      </w:r>
      <w:r w:rsidR="00EE6AA2">
        <w:t>е</w:t>
      </w:r>
      <w:r>
        <w:t>т</w:t>
      </w:r>
      <w:r w:rsidR="00A56E08">
        <w:t>ан</w:t>
      </w:r>
      <w:r w:rsidR="00B543E7" w:rsidRPr="00F6340E">
        <w:t xml:space="preserve"> </w:t>
      </w:r>
      <w:r>
        <w:t>с</w:t>
      </w:r>
      <w:r w:rsidR="00A56E08">
        <w:t>ад</w:t>
      </w:r>
      <w:r>
        <w:t>р</w:t>
      </w:r>
      <w:r w:rsidR="00171F00">
        <w:t>ж</w:t>
      </w:r>
      <w:r w:rsidR="00A56E08">
        <w:t>ај</w:t>
      </w:r>
      <w:r w:rsidR="00F87FCA" w:rsidRPr="00F6340E">
        <w:t>,</w:t>
      </w:r>
      <w:r w:rsidR="00B543E7" w:rsidRPr="00F6340E">
        <w:t xml:space="preserve"> </w:t>
      </w:r>
      <w:r w:rsidR="00A56E08">
        <w:t>нагла</w:t>
      </w:r>
      <w:r>
        <w:t>ш</w:t>
      </w:r>
      <w:r w:rsidR="00A56E08">
        <w:t>а</w:t>
      </w:r>
      <w:r>
        <w:t>в</w:t>
      </w:r>
      <w:r w:rsidR="00A56E08">
        <w:t>а</w:t>
      </w:r>
      <w:r w:rsidR="00B543E7" w:rsidRPr="00F6340E">
        <w:t xml:space="preserve"> </w:t>
      </w:r>
      <w:r w:rsidR="00A56E08">
        <w:t>конц</w:t>
      </w:r>
      <w:r w:rsidR="00EE6AA2">
        <w:t>е</w:t>
      </w:r>
      <w:r>
        <w:t>пт</w:t>
      </w:r>
      <w:r w:rsidR="00B543E7" w:rsidRPr="00F6340E">
        <w:t xml:space="preserve"> </w:t>
      </w:r>
      <w:r w:rsidR="00A56E08">
        <w:t>об</w:t>
      </w:r>
      <w:r>
        <w:t>р</w:t>
      </w:r>
      <w:r w:rsidR="00A56E08">
        <w:t>а</w:t>
      </w:r>
      <w:r w:rsidR="00171F00">
        <w:t>з</w:t>
      </w:r>
      <w:r w:rsidR="00A56E08">
        <w:t>о</w:t>
      </w:r>
      <w:r>
        <w:t>в</w:t>
      </w:r>
      <w:r w:rsidR="00A56E08">
        <w:t>ања</w:t>
      </w:r>
      <w:r w:rsidR="00F87FCA" w:rsidRPr="00F6340E">
        <w:t xml:space="preserve"> </w:t>
      </w:r>
      <w:r w:rsidR="00A56E08">
        <w:t>до</w:t>
      </w:r>
      <w:r>
        <w:t>ступ</w:t>
      </w:r>
      <w:r w:rsidR="00A56E08">
        <w:t>ног</w:t>
      </w:r>
      <w:r w:rsidR="00F87FCA" w:rsidRPr="00F6340E">
        <w:t xml:space="preserve"> </w:t>
      </w:r>
      <w:r w:rsidR="00A56E08">
        <w:t>и</w:t>
      </w:r>
      <w:r w:rsidR="00F87FCA" w:rsidRPr="00F6340E">
        <w:t xml:space="preserve"> </w:t>
      </w:r>
      <w:r>
        <w:t>пр</w:t>
      </w:r>
      <w:r w:rsidR="00A56E08">
        <w:t>и</w:t>
      </w:r>
      <w:r>
        <w:t>ступ</w:t>
      </w:r>
      <w:r w:rsidR="00A56E08">
        <w:t>ачног</w:t>
      </w:r>
      <w:r w:rsidR="00F87FCA" w:rsidRPr="00F6340E">
        <w:t xml:space="preserve"> </w:t>
      </w:r>
      <w:r>
        <w:t>св</w:t>
      </w:r>
      <w:r w:rsidR="00A56E08">
        <w:t>има</w:t>
      </w:r>
      <w:r w:rsidR="009C6DDA" w:rsidRPr="00F6340E">
        <w:t>,</w:t>
      </w:r>
      <w:r w:rsidR="00F87FCA" w:rsidRPr="00F6340E">
        <w:t xml:space="preserve"> </w:t>
      </w:r>
      <w:r w:rsidR="00A56E08">
        <w:t>одно</w:t>
      </w:r>
      <w:r>
        <w:t>с</w:t>
      </w:r>
      <w:r w:rsidR="00A56E08">
        <w:t>но</w:t>
      </w:r>
      <w:r w:rsidR="00F87FCA" w:rsidRPr="00F6340E">
        <w:t xml:space="preserve"> </w:t>
      </w:r>
      <w:r w:rsidR="00A56E08">
        <w:t>об</w:t>
      </w:r>
      <w:r>
        <w:t>р</w:t>
      </w:r>
      <w:r w:rsidR="00A56E08">
        <w:t>а</w:t>
      </w:r>
      <w:r w:rsidR="00171F00">
        <w:t>з</w:t>
      </w:r>
      <w:r w:rsidR="00A56E08">
        <w:t>о</w:t>
      </w:r>
      <w:r>
        <w:t>в</w:t>
      </w:r>
      <w:r w:rsidR="00A56E08">
        <w:t>ања</w:t>
      </w:r>
      <w:r w:rsidR="00F87FCA" w:rsidRPr="00F6340E">
        <w:t xml:space="preserve"> </w:t>
      </w:r>
      <w:r w:rsidR="00171F00">
        <w:t>з</w:t>
      </w:r>
      <w:r w:rsidR="00A56E08">
        <w:t>а</w:t>
      </w:r>
      <w:r w:rsidR="00F87FCA" w:rsidRPr="00F6340E">
        <w:t xml:space="preserve"> </w:t>
      </w:r>
      <w:r>
        <w:t>св</w:t>
      </w:r>
      <w:r w:rsidR="00EE6AA2">
        <w:t>е</w:t>
      </w:r>
      <w:r w:rsidR="00F87FCA" w:rsidRPr="00F6340E">
        <w:t>.</w:t>
      </w:r>
      <w:r w:rsidR="00B04FA8">
        <w:t xml:space="preserve"> </w:t>
      </w:r>
      <w:r w:rsidR="001F2F40">
        <w:t>С</w:t>
      </w:r>
      <w:r w:rsidR="00B04FA8">
        <w:t xml:space="preserve"> </w:t>
      </w:r>
      <w:r w:rsidR="00A56E08">
        <w:t>об</w:t>
      </w:r>
      <w:r w:rsidR="00171F00">
        <w:t>з</w:t>
      </w:r>
      <w:r w:rsidR="00A56E08">
        <w:t>и</w:t>
      </w:r>
      <w:r>
        <w:t>р</w:t>
      </w:r>
      <w:r w:rsidR="00A56E08">
        <w:t>ом</w:t>
      </w:r>
      <w:r w:rsidR="00F87FCA" w:rsidRPr="00F6340E">
        <w:t xml:space="preserve"> </w:t>
      </w:r>
      <w:r w:rsidR="00A56E08">
        <w:t>на</w:t>
      </w:r>
      <w:r w:rsidR="00F87FCA" w:rsidRPr="00F6340E">
        <w:t xml:space="preserve"> </w:t>
      </w:r>
      <w:r w:rsidR="00A56E08">
        <w:t>б</w:t>
      </w:r>
      <w:r>
        <w:t>р</w:t>
      </w:r>
      <w:r w:rsidR="00A56E08">
        <w:t>ојн</w:t>
      </w:r>
      <w:r w:rsidR="00EE6AA2">
        <w:t>е</w:t>
      </w:r>
      <w:r w:rsidR="00F87FCA" w:rsidRPr="00F6340E">
        <w:t xml:space="preserve"> </w:t>
      </w:r>
      <w:r>
        <w:t>р</w:t>
      </w:r>
      <w:r w:rsidR="00A56E08">
        <w:t>ањи</w:t>
      </w:r>
      <w:r>
        <w:t>в</w:t>
      </w:r>
      <w:r w:rsidR="00EE6AA2">
        <w:t>е</w:t>
      </w:r>
      <w:r w:rsidR="00F80805" w:rsidRPr="00F6340E">
        <w:t xml:space="preserve"> </w:t>
      </w:r>
      <w:r w:rsidR="00A56E08">
        <w:t>г</w:t>
      </w:r>
      <w:r>
        <w:t>руп</w:t>
      </w:r>
      <w:r w:rsidR="00EE6AA2">
        <w:t>е</w:t>
      </w:r>
      <w:r w:rsidR="00F87FCA" w:rsidRPr="00F6340E">
        <w:t xml:space="preserve"> </w:t>
      </w:r>
      <w:r w:rsidR="00A56E08">
        <w:t>и</w:t>
      </w:r>
      <w:r w:rsidR="00E31156" w:rsidRPr="00F6340E">
        <w:t xml:space="preserve"> </w:t>
      </w:r>
      <w:r w:rsidR="00A56E08">
        <w:t>њихо</w:t>
      </w:r>
      <w:r>
        <w:t>ву</w:t>
      </w:r>
      <w:r w:rsidR="006B5098" w:rsidRPr="00F6340E">
        <w:t xml:space="preserve"> (</w:t>
      </w:r>
      <w:r w:rsidR="00A56E08">
        <w:t>н</w:t>
      </w:r>
      <w:r w:rsidR="00EE6AA2">
        <w:t>е</w:t>
      </w:r>
      <w:r w:rsidR="006B5098" w:rsidRPr="00F6340E">
        <w:t>)</w:t>
      </w:r>
      <w:r>
        <w:t>у</w:t>
      </w:r>
      <w:r w:rsidR="00A56E08">
        <w:t>кљ</w:t>
      </w:r>
      <w:r>
        <w:t>у</w:t>
      </w:r>
      <w:r w:rsidR="00A56E08">
        <w:t>ч</w:t>
      </w:r>
      <w:r w:rsidR="00EE6AA2">
        <w:t>е</w:t>
      </w:r>
      <w:r w:rsidR="00A56E08">
        <w:t>но</w:t>
      </w:r>
      <w:r>
        <w:t>ст</w:t>
      </w:r>
      <w:r w:rsidR="00F87FCA" w:rsidRPr="00F6340E">
        <w:t xml:space="preserve"> </w:t>
      </w:r>
      <w:r>
        <w:t>у</w:t>
      </w:r>
      <w:r w:rsidR="00F87FCA" w:rsidRPr="00F6340E">
        <w:t xml:space="preserve"> </w:t>
      </w:r>
      <w:r>
        <w:t>р</w:t>
      </w:r>
      <w:r w:rsidR="00EE6AA2">
        <w:t>е</w:t>
      </w:r>
      <w:r w:rsidR="00A56E08">
        <w:t>до</w:t>
      </w:r>
      <w:r>
        <w:t>в</w:t>
      </w:r>
      <w:r w:rsidR="00A56E08">
        <w:t>ни</w:t>
      </w:r>
      <w:r w:rsidR="00DB12EE" w:rsidRPr="00F6340E">
        <w:t xml:space="preserve"> </w:t>
      </w:r>
      <w:r w:rsidR="00A56E08">
        <w:t>об</w:t>
      </w:r>
      <w:r>
        <w:t>р</w:t>
      </w:r>
      <w:r w:rsidR="00A56E08">
        <w:t>а</w:t>
      </w:r>
      <w:r w:rsidR="00171F00">
        <w:t>з</w:t>
      </w:r>
      <w:r w:rsidR="00A56E08">
        <w:t>о</w:t>
      </w:r>
      <w:r>
        <w:t>в</w:t>
      </w:r>
      <w:r w:rsidR="00A56E08">
        <w:t>ни</w:t>
      </w:r>
      <w:r w:rsidR="00F87FCA" w:rsidRPr="00F6340E">
        <w:t xml:space="preserve"> </w:t>
      </w:r>
      <w:r>
        <w:t>с</w:t>
      </w:r>
      <w:r w:rsidR="00A56E08">
        <w:t>и</w:t>
      </w:r>
      <w:r>
        <w:t>ст</w:t>
      </w:r>
      <w:r w:rsidR="00EE6AA2">
        <w:t>е</w:t>
      </w:r>
      <w:r w:rsidR="00A56E08">
        <w:t>м</w:t>
      </w:r>
      <w:r w:rsidR="00F87FCA" w:rsidRPr="00F6340E">
        <w:t xml:space="preserve"> </w:t>
      </w:r>
      <w:r w:rsidR="00A56E08">
        <w:t>б</w:t>
      </w:r>
      <w:r w:rsidR="00EE6AA2">
        <w:t>е</w:t>
      </w:r>
      <w:r w:rsidR="00171F00">
        <w:t>з</w:t>
      </w:r>
      <w:r w:rsidR="00F87FCA" w:rsidRPr="00F6340E">
        <w:t xml:space="preserve"> </w:t>
      </w:r>
      <w:r w:rsidR="00A56E08">
        <w:t>об</w:t>
      </w:r>
      <w:r w:rsidR="00171F00">
        <w:t>з</w:t>
      </w:r>
      <w:r w:rsidR="00A56E08">
        <w:t>и</w:t>
      </w:r>
      <w:r>
        <w:t>р</w:t>
      </w:r>
      <w:r w:rsidR="00A56E08">
        <w:t>а</w:t>
      </w:r>
      <w:r w:rsidR="00F87FCA" w:rsidRPr="00F6340E">
        <w:t xml:space="preserve"> </w:t>
      </w:r>
      <w:r w:rsidR="00A56E08">
        <w:t>на</w:t>
      </w:r>
      <w:r w:rsidR="00F87FCA" w:rsidRPr="00F6340E">
        <w:t xml:space="preserve"> </w:t>
      </w:r>
      <w:r>
        <w:t>п</w:t>
      </w:r>
      <w:r w:rsidR="00A56E08">
        <w:t>о</w:t>
      </w:r>
      <w:r>
        <w:t>ст</w:t>
      </w:r>
      <w:r w:rsidR="00A56E08">
        <w:t>ој</w:t>
      </w:r>
      <w:r w:rsidR="00EE6AA2">
        <w:t>е</w:t>
      </w:r>
      <w:r w:rsidR="00A56E08">
        <w:t>ћ</w:t>
      </w:r>
      <w:r w:rsidR="00EE6AA2">
        <w:t>е</w:t>
      </w:r>
      <w:r w:rsidR="00F87FCA" w:rsidRPr="00F6340E">
        <w:t xml:space="preserve"> </w:t>
      </w:r>
      <w:r w:rsidR="00171F00">
        <w:t>з</w:t>
      </w:r>
      <w:r w:rsidR="00A56E08">
        <w:t>акон</w:t>
      </w:r>
      <w:r>
        <w:t>с</w:t>
      </w:r>
      <w:r w:rsidR="00A56E08">
        <w:t>к</w:t>
      </w:r>
      <w:r w:rsidR="00EE6AA2">
        <w:t>е</w:t>
      </w:r>
      <w:r w:rsidR="00DB12EE" w:rsidRPr="00F6340E">
        <w:t xml:space="preserve"> </w:t>
      </w:r>
      <w:r>
        <w:t>пр</w:t>
      </w:r>
      <w:r w:rsidR="00EE6AA2">
        <w:t>е</w:t>
      </w:r>
      <w:r w:rsidR="00A56E08">
        <w:t>д</w:t>
      </w:r>
      <w:r>
        <w:t>ус</w:t>
      </w:r>
      <w:r w:rsidR="00A56E08">
        <w:t>ло</w:t>
      </w:r>
      <w:r>
        <w:t>в</w:t>
      </w:r>
      <w:r w:rsidR="00EE6AA2">
        <w:t>е</w:t>
      </w:r>
      <w:r w:rsidR="00F87FCA" w:rsidRPr="00F6340E">
        <w:t xml:space="preserve"> </w:t>
      </w:r>
      <w:r w:rsidR="00A56E08">
        <w:t>кој</w:t>
      </w:r>
      <w:r w:rsidR="00EE6AA2">
        <w:t>е</w:t>
      </w:r>
      <w:r w:rsidR="00F87FCA" w:rsidRPr="00F6340E">
        <w:t xml:space="preserve"> </w:t>
      </w:r>
      <w:r>
        <w:t>тр</w:t>
      </w:r>
      <w:r w:rsidR="00EE6AA2">
        <w:t>е</w:t>
      </w:r>
      <w:r>
        <w:t>т</w:t>
      </w:r>
      <w:r w:rsidR="00A56E08">
        <w:t>и</w:t>
      </w:r>
      <w:r>
        <w:t>р</w:t>
      </w:r>
      <w:r w:rsidR="00A56E08">
        <w:t>ај</w:t>
      </w:r>
      <w:r>
        <w:t>у</w:t>
      </w:r>
      <w:r w:rsidR="00F87FCA" w:rsidRPr="00F6340E">
        <w:t xml:space="preserve"> </w:t>
      </w:r>
      <w:r>
        <w:t>пр</w:t>
      </w:r>
      <w:r w:rsidR="00A56E08">
        <w:t>а</w:t>
      </w:r>
      <w:r>
        <w:t>в</w:t>
      </w:r>
      <w:r w:rsidR="00A56E08">
        <w:t>о</w:t>
      </w:r>
      <w:r w:rsidR="00F87FCA" w:rsidRPr="00F6340E">
        <w:t xml:space="preserve"> </w:t>
      </w:r>
      <w:r w:rsidR="00A56E08">
        <w:t>на</w:t>
      </w:r>
      <w:r w:rsidR="00F87FCA" w:rsidRPr="00F6340E">
        <w:t xml:space="preserve"> </w:t>
      </w:r>
      <w:r w:rsidR="00A56E08">
        <w:t>об</w:t>
      </w:r>
      <w:r>
        <w:t>р</w:t>
      </w:r>
      <w:r w:rsidR="00A56E08">
        <w:t>а</w:t>
      </w:r>
      <w:r w:rsidR="00171F00">
        <w:t>з</w:t>
      </w:r>
      <w:r w:rsidR="00A56E08">
        <w:t>о</w:t>
      </w:r>
      <w:r>
        <w:t>в</w:t>
      </w:r>
      <w:r w:rsidR="00A56E08">
        <w:t>ањ</w:t>
      </w:r>
      <w:r w:rsidR="00EE6AA2">
        <w:t>е</w:t>
      </w:r>
      <w:r w:rsidR="00F87FCA" w:rsidRPr="00F6340E">
        <w:t xml:space="preserve">, </w:t>
      </w:r>
      <w:r>
        <w:t>у</w:t>
      </w:r>
      <w:r w:rsidR="00F87FCA" w:rsidRPr="00F6340E">
        <w:t xml:space="preserve"> </w:t>
      </w:r>
      <w:r>
        <w:t>пр</w:t>
      </w:r>
      <w:r w:rsidR="00A56E08">
        <w:t>ак</w:t>
      </w:r>
      <w:r>
        <w:t>с</w:t>
      </w:r>
      <w:r w:rsidR="00A56E08">
        <w:t>и</w:t>
      </w:r>
      <w:r w:rsidR="00F87FCA" w:rsidRPr="00F6340E">
        <w:t xml:space="preserve"> </w:t>
      </w:r>
      <w:r w:rsidR="00A56E08">
        <w:t>јо</w:t>
      </w:r>
      <w:r>
        <w:t>ш</w:t>
      </w:r>
      <w:r w:rsidR="00F87FCA" w:rsidRPr="00F6340E">
        <w:t xml:space="preserve"> </w:t>
      </w:r>
      <w:r>
        <w:t>ув</w:t>
      </w:r>
      <w:r w:rsidR="00A56E08">
        <w:t>иј</w:t>
      </w:r>
      <w:r w:rsidR="00EE6AA2">
        <w:t>е</w:t>
      </w:r>
      <w:r w:rsidR="00A56E08">
        <w:t>к</w:t>
      </w:r>
      <w:r w:rsidR="00F87FCA" w:rsidRPr="00F6340E">
        <w:t xml:space="preserve"> </w:t>
      </w:r>
      <w:r>
        <w:t>п</w:t>
      </w:r>
      <w:r w:rsidR="00A56E08">
        <w:t>о</w:t>
      </w:r>
      <w:r>
        <w:t>ст</w:t>
      </w:r>
      <w:r w:rsidR="00A56E08">
        <w:t>ој</w:t>
      </w:r>
      <w:r w:rsidR="00EE6AA2">
        <w:t>е</w:t>
      </w:r>
      <w:r w:rsidR="00543F85" w:rsidRPr="00F6340E">
        <w:t xml:space="preserve"> </w:t>
      </w:r>
      <w:r w:rsidR="00A56E08">
        <w:t>б</w:t>
      </w:r>
      <w:r>
        <w:t>р</w:t>
      </w:r>
      <w:r w:rsidR="00A56E08">
        <w:t>ојн</w:t>
      </w:r>
      <w:r w:rsidR="00EE6AA2">
        <w:t>е</w:t>
      </w:r>
      <w:r w:rsidR="00543F85" w:rsidRPr="00F6340E">
        <w:t xml:space="preserve"> </w:t>
      </w:r>
      <w:r>
        <w:t>пр</w:t>
      </w:r>
      <w:r w:rsidR="00EE6AA2">
        <w:t>е</w:t>
      </w:r>
      <w:r>
        <w:t>пр</w:t>
      </w:r>
      <w:r w:rsidR="00EE6AA2">
        <w:t>е</w:t>
      </w:r>
      <w:r w:rsidR="00A56E08">
        <w:t>к</w:t>
      </w:r>
      <w:r w:rsidR="00EE6AA2">
        <w:t>е</w:t>
      </w:r>
      <w:r w:rsidR="00543F85" w:rsidRPr="00F6340E">
        <w:t xml:space="preserve"> </w:t>
      </w:r>
      <w:r w:rsidR="00A56E08">
        <w:t>кој</w:t>
      </w:r>
      <w:r w:rsidR="00EE6AA2">
        <w:t>е</w:t>
      </w:r>
      <w:r w:rsidR="00543F85" w:rsidRPr="00F6340E">
        <w:t xml:space="preserve"> </w:t>
      </w:r>
      <w:r w:rsidR="00A56E08">
        <w:t>он</w:t>
      </w:r>
      <w:r w:rsidR="00EE6AA2">
        <w:t>е</w:t>
      </w:r>
      <w:r w:rsidR="00A56E08">
        <w:t>мог</w:t>
      </w:r>
      <w:r>
        <w:t>у</w:t>
      </w:r>
      <w:r w:rsidR="00A56E08">
        <w:t>ћа</w:t>
      </w:r>
      <w:r>
        <w:t>в</w:t>
      </w:r>
      <w:r w:rsidR="00A56E08">
        <w:t>ај</w:t>
      </w:r>
      <w:r>
        <w:t>у</w:t>
      </w:r>
      <w:r w:rsidR="00F87FCA" w:rsidRPr="00F6340E">
        <w:t xml:space="preserve"> </w:t>
      </w:r>
      <w:r w:rsidR="00A56E08">
        <w:t>о</w:t>
      </w:r>
      <w:r>
        <w:t>ств</w:t>
      </w:r>
      <w:r w:rsidR="00A56E08">
        <w:t>а</w:t>
      </w:r>
      <w:r>
        <w:t>р</w:t>
      </w:r>
      <w:r w:rsidR="00A56E08">
        <w:t>и</w:t>
      </w:r>
      <w:r>
        <w:t>в</w:t>
      </w:r>
      <w:r w:rsidR="00A56E08">
        <w:t>ањ</w:t>
      </w:r>
      <w:r w:rsidR="00EE6AA2">
        <w:t>е</w:t>
      </w:r>
      <w:r w:rsidR="00F87FCA" w:rsidRPr="00F6340E">
        <w:t xml:space="preserve"> </w:t>
      </w:r>
      <w:r>
        <w:t>т</w:t>
      </w:r>
      <w:r w:rsidR="00A56E08">
        <w:t>их</w:t>
      </w:r>
      <w:r w:rsidR="00F87FCA" w:rsidRPr="00F6340E">
        <w:t xml:space="preserve"> </w:t>
      </w:r>
      <w:r>
        <w:t>пр</w:t>
      </w:r>
      <w:r w:rsidR="00A56E08">
        <w:t>а</w:t>
      </w:r>
      <w:r>
        <w:t>в</w:t>
      </w:r>
      <w:r w:rsidR="00A56E08">
        <w:t>а</w:t>
      </w:r>
      <w:r w:rsidR="00F87FCA" w:rsidRPr="00F6340E">
        <w:t xml:space="preserve">. </w:t>
      </w:r>
      <w:r w:rsidR="00A56E08">
        <w:t>Го</w:t>
      </w:r>
      <w:r>
        <w:t>в</w:t>
      </w:r>
      <w:r w:rsidR="00A56E08">
        <w:t>о</w:t>
      </w:r>
      <w:r>
        <w:t>р</w:t>
      </w:r>
      <w:r w:rsidR="00A56E08">
        <w:t>и</w:t>
      </w:r>
      <w:r>
        <w:t>т</w:t>
      </w:r>
      <w:r w:rsidR="00A56E08">
        <w:t>и</w:t>
      </w:r>
      <w:r w:rsidR="00F87FCA" w:rsidRPr="00F6340E">
        <w:t xml:space="preserve"> </w:t>
      </w:r>
      <w:r w:rsidR="00A56E08">
        <w:t>о</w:t>
      </w:r>
      <w:r w:rsidR="00F87FCA" w:rsidRPr="00F6340E">
        <w:t xml:space="preserve"> </w:t>
      </w:r>
      <w:r w:rsidR="00A56E08">
        <w:t>к</w:t>
      </w:r>
      <w:r>
        <w:t>в</w:t>
      </w:r>
      <w:r w:rsidR="00A56E08">
        <w:t>али</w:t>
      </w:r>
      <w:r>
        <w:t>т</w:t>
      </w:r>
      <w:r w:rsidR="00EE6AA2">
        <w:t>е</w:t>
      </w:r>
      <w:r>
        <w:t>т</w:t>
      </w:r>
      <w:r w:rsidR="00A56E08">
        <w:t>ном</w:t>
      </w:r>
      <w:r w:rsidR="00F87FCA" w:rsidRPr="00F6340E">
        <w:t xml:space="preserve"> </w:t>
      </w:r>
      <w:r w:rsidR="00A56E08">
        <w:t>об</w:t>
      </w:r>
      <w:r>
        <w:t>р</w:t>
      </w:r>
      <w:r w:rsidR="00A56E08">
        <w:t>а</w:t>
      </w:r>
      <w:r w:rsidR="00171F00">
        <w:t>з</w:t>
      </w:r>
      <w:r w:rsidR="00A56E08">
        <w:t>о</w:t>
      </w:r>
      <w:r>
        <w:t>в</w:t>
      </w:r>
      <w:r w:rsidR="00A56E08">
        <w:t>ањ</w:t>
      </w:r>
      <w:r>
        <w:t>у</w:t>
      </w:r>
      <w:r w:rsidR="00F87FCA" w:rsidRPr="00F6340E">
        <w:t xml:space="preserve"> </w:t>
      </w:r>
      <w:r w:rsidR="00171F00">
        <w:t>з</w:t>
      </w:r>
      <w:r w:rsidR="00A56E08">
        <w:t>начи</w:t>
      </w:r>
      <w:r w:rsidR="00F87FCA" w:rsidRPr="00F6340E">
        <w:t xml:space="preserve"> </w:t>
      </w:r>
      <w:r w:rsidR="00A56E08">
        <w:t>го</w:t>
      </w:r>
      <w:r>
        <w:t>в</w:t>
      </w:r>
      <w:r w:rsidR="00A56E08">
        <w:t>о</w:t>
      </w:r>
      <w:r>
        <w:t>р</w:t>
      </w:r>
      <w:r w:rsidR="00A56E08">
        <w:t>и</w:t>
      </w:r>
      <w:r>
        <w:t>т</w:t>
      </w:r>
      <w:r w:rsidR="00A56E08">
        <w:t>и</w:t>
      </w:r>
      <w:r w:rsidR="00F87FCA" w:rsidRPr="00F6340E">
        <w:t xml:space="preserve"> </w:t>
      </w:r>
      <w:r w:rsidR="00A56E08">
        <w:t>о</w:t>
      </w:r>
      <w:r w:rsidR="00F87FCA" w:rsidRPr="00F6340E">
        <w:t xml:space="preserve"> </w:t>
      </w:r>
      <w:r>
        <w:t>р</w:t>
      </w:r>
      <w:r w:rsidR="00A56E08">
        <w:t>а</w:t>
      </w:r>
      <w:r>
        <w:t>в</w:t>
      </w:r>
      <w:r w:rsidR="00A56E08">
        <w:t>но</w:t>
      </w:r>
      <w:r>
        <w:t>пр</w:t>
      </w:r>
      <w:r w:rsidR="00A56E08">
        <w:t>а</w:t>
      </w:r>
      <w:r>
        <w:t>в</w:t>
      </w:r>
      <w:r w:rsidR="00A56E08">
        <w:t>но</w:t>
      </w:r>
      <w:r>
        <w:t>ст</w:t>
      </w:r>
      <w:r w:rsidR="00A56E08">
        <w:t>и</w:t>
      </w:r>
      <w:r w:rsidR="00F87FCA" w:rsidRPr="00F6340E">
        <w:t xml:space="preserve"> </w:t>
      </w:r>
      <w:r w:rsidR="00A56E08">
        <w:t>и</w:t>
      </w:r>
      <w:r w:rsidR="00F87FCA" w:rsidRPr="00F6340E">
        <w:t xml:space="preserve"> </w:t>
      </w:r>
      <w:r w:rsidR="00A56E08">
        <w:t>об</w:t>
      </w:r>
      <w:r>
        <w:t>р</w:t>
      </w:r>
      <w:r w:rsidR="00A56E08">
        <w:t>а</w:t>
      </w:r>
      <w:r w:rsidR="00171F00">
        <w:t>з</w:t>
      </w:r>
      <w:r w:rsidR="00A56E08">
        <w:t>о</w:t>
      </w:r>
      <w:r>
        <w:t>в</w:t>
      </w:r>
      <w:r w:rsidR="00A56E08">
        <w:t>ањ</w:t>
      </w:r>
      <w:r>
        <w:t>у</w:t>
      </w:r>
      <w:r w:rsidR="00F87FCA" w:rsidRPr="00F6340E">
        <w:t xml:space="preserve"> </w:t>
      </w:r>
      <w:r w:rsidR="00A56E08">
        <w:t>б</w:t>
      </w:r>
      <w:r w:rsidR="00EE6AA2">
        <w:t>е</w:t>
      </w:r>
      <w:r w:rsidR="00171F00">
        <w:t>з</w:t>
      </w:r>
      <w:r w:rsidR="00F87FCA" w:rsidRPr="00F6340E">
        <w:t xml:space="preserve"> </w:t>
      </w:r>
      <w:r w:rsidR="00A56E08">
        <w:t>ди</w:t>
      </w:r>
      <w:r>
        <w:t>с</w:t>
      </w:r>
      <w:r w:rsidR="00A56E08">
        <w:t>к</w:t>
      </w:r>
      <w:r>
        <w:t>р</w:t>
      </w:r>
      <w:r w:rsidR="00A56E08">
        <w:t>иминациј</w:t>
      </w:r>
      <w:r w:rsidR="00EE6AA2">
        <w:t>е</w:t>
      </w:r>
      <w:r w:rsidR="00F87FCA" w:rsidRPr="00F6340E">
        <w:t xml:space="preserve"> </w:t>
      </w:r>
      <w:r>
        <w:t>п</w:t>
      </w:r>
      <w:r w:rsidR="00A56E08">
        <w:t>о</w:t>
      </w:r>
      <w:r w:rsidR="00F87FCA" w:rsidRPr="00F6340E">
        <w:t xml:space="preserve"> </w:t>
      </w:r>
      <w:r w:rsidR="00A56E08">
        <w:t>било</w:t>
      </w:r>
      <w:r w:rsidR="00F87FCA" w:rsidRPr="00F6340E">
        <w:t xml:space="preserve"> </w:t>
      </w:r>
      <w:r w:rsidR="00A56E08">
        <w:t>којој</w:t>
      </w:r>
      <w:r w:rsidR="00270A7A" w:rsidRPr="00F6340E">
        <w:t xml:space="preserve"> </w:t>
      </w:r>
      <w:r w:rsidR="00A56E08">
        <w:t>о</w:t>
      </w:r>
      <w:r>
        <w:t>с</w:t>
      </w:r>
      <w:r w:rsidR="00A56E08">
        <w:t>но</w:t>
      </w:r>
      <w:r>
        <w:t>в</w:t>
      </w:r>
      <w:r w:rsidR="00A56E08">
        <w:t>и</w:t>
      </w:r>
      <w:r w:rsidR="00F87FCA" w:rsidRPr="00F6340E">
        <w:t xml:space="preserve"> </w:t>
      </w:r>
      <w:r>
        <w:t>шт</w:t>
      </w:r>
      <w:r w:rsidR="00A56E08">
        <w:t>о</w:t>
      </w:r>
      <w:r w:rsidR="00F87FCA" w:rsidRPr="00F6340E">
        <w:t xml:space="preserve"> </w:t>
      </w:r>
      <w:r w:rsidR="00A56E08">
        <w:t>им</w:t>
      </w:r>
      <w:r>
        <w:t>п</w:t>
      </w:r>
      <w:r w:rsidR="00A56E08">
        <w:t>лици</w:t>
      </w:r>
      <w:r>
        <w:t>р</w:t>
      </w:r>
      <w:r w:rsidR="00A56E08">
        <w:t>а</w:t>
      </w:r>
      <w:r w:rsidR="00F87FCA" w:rsidRPr="00F6340E">
        <w:t xml:space="preserve"> </w:t>
      </w:r>
      <w:r w:rsidR="00A56E08">
        <w:t>да</w:t>
      </w:r>
      <w:r w:rsidR="00F87FCA" w:rsidRPr="00F6340E">
        <w:t xml:space="preserve"> </w:t>
      </w:r>
      <w:r w:rsidR="00A56E08">
        <w:t>ј</w:t>
      </w:r>
      <w:r w:rsidR="00EE6AA2">
        <w:t>е</w:t>
      </w:r>
      <w:r w:rsidR="00F87FCA" w:rsidRPr="00F6340E">
        <w:t xml:space="preserve"> </w:t>
      </w:r>
      <w:r w:rsidR="00A56E08">
        <w:t>к</w:t>
      </w:r>
      <w:r>
        <w:t>в</w:t>
      </w:r>
      <w:r w:rsidR="00A56E08">
        <w:t>али</w:t>
      </w:r>
      <w:r>
        <w:t>т</w:t>
      </w:r>
      <w:r w:rsidR="00EE6AA2">
        <w:t>е</w:t>
      </w:r>
      <w:r>
        <w:t>т</w:t>
      </w:r>
      <w:r w:rsidR="00A56E08">
        <w:t>но</w:t>
      </w:r>
      <w:r w:rsidR="00F87FCA" w:rsidRPr="00F6340E">
        <w:t xml:space="preserve"> </w:t>
      </w:r>
      <w:r w:rsidR="00A56E08">
        <w:t>об</w:t>
      </w:r>
      <w:r>
        <w:t>р</w:t>
      </w:r>
      <w:r w:rsidR="00A56E08">
        <w:t>а</w:t>
      </w:r>
      <w:r w:rsidR="00171F00">
        <w:t>з</w:t>
      </w:r>
      <w:r w:rsidR="00A56E08">
        <w:t>о</w:t>
      </w:r>
      <w:r>
        <w:t>в</w:t>
      </w:r>
      <w:r w:rsidR="00A56E08">
        <w:t>ањ</w:t>
      </w:r>
      <w:r w:rsidR="00EE6AA2">
        <w:t>е</w:t>
      </w:r>
      <w:r w:rsidR="00F87FCA" w:rsidRPr="00F6340E">
        <w:t xml:space="preserve"> </w:t>
      </w:r>
      <w:r w:rsidR="00A56E08">
        <w:t>и</w:t>
      </w:r>
      <w:r>
        <w:t>ст</w:t>
      </w:r>
      <w:r w:rsidR="00A56E08">
        <w:t>о</w:t>
      </w:r>
      <w:r>
        <w:t>вр</w:t>
      </w:r>
      <w:r w:rsidR="00EE6AA2">
        <w:t>е</w:t>
      </w:r>
      <w:r w:rsidR="00A56E08">
        <w:t>м</w:t>
      </w:r>
      <w:r w:rsidR="00EE6AA2">
        <w:t>е</w:t>
      </w:r>
      <w:r w:rsidR="00A56E08">
        <w:t>но</w:t>
      </w:r>
      <w:r w:rsidR="00F87FCA" w:rsidRPr="00F6340E">
        <w:t xml:space="preserve"> </w:t>
      </w:r>
      <w:r w:rsidR="00A56E08">
        <w:t>и</w:t>
      </w:r>
      <w:r w:rsidR="00F87FCA" w:rsidRPr="00F6340E">
        <w:t xml:space="preserve"> </w:t>
      </w:r>
      <w:r w:rsidR="00A56E08">
        <w:t>инкл</w:t>
      </w:r>
      <w:r>
        <w:t>у</w:t>
      </w:r>
      <w:r w:rsidR="00171F00">
        <w:t>з</w:t>
      </w:r>
      <w:r w:rsidR="00A56E08">
        <w:t>и</w:t>
      </w:r>
      <w:r>
        <w:t>в</w:t>
      </w:r>
      <w:r w:rsidR="00A56E08">
        <w:t>но</w:t>
      </w:r>
      <w:r w:rsidR="00F87FCA" w:rsidRPr="00F6340E">
        <w:t xml:space="preserve">. </w:t>
      </w:r>
      <w:r w:rsidR="00A56E08">
        <w:t>М</w:t>
      </w:r>
      <w:r w:rsidR="00EE6AA2">
        <w:t>е</w:t>
      </w:r>
      <w:r w:rsidR="00A56E08">
        <w:t>ђ</w:t>
      </w:r>
      <w:r>
        <w:t>ут</w:t>
      </w:r>
      <w:r w:rsidR="00A56E08">
        <w:t>им</w:t>
      </w:r>
      <w:r w:rsidR="00F87FCA" w:rsidRPr="00F6340E">
        <w:t xml:space="preserve">, </w:t>
      </w:r>
      <w:r>
        <w:t>у</w:t>
      </w:r>
      <w:r w:rsidR="00F87FCA" w:rsidRPr="00F6340E">
        <w:t xml:space="preserve"> </w:t>
      </w:r>
      <w:r w:rsidR="00A56E08">
        <w:t>об</w:t>
      </w:r>
      <w:r>
        <w:t>р</w:t>
      </w:r>
      <w:r w:rsidR="00A56E08">
        <w:t>а</w:t>
      </w:r>
      <w:r w:rsidR="00171F00">
        <w:t>з</w:t>
      </w:r>
      <w:r w:rsidR="00A56E08">
        <w:t>о</w:t>
      </w:r>
      <w:r>
        <w:t>в</w:t>
      </w:r>
      <w:r w:rsidR="00A56E08">
        <w:t>ном</w:t>
      </w:r>
      <w:r w:rsidR="00F87FCA" w:rsidRPr="00F6340E">
        <w:t xml:space="preserve"> </w:t>
      </w:r>
      <w:r w:rsidR="00A56E08">
        <w:t>кон</w:t>
      </w:r>
      <w:r>
        <w:t>т</w:t>
      </w:r>
      <w:r w:rsidR="00EE6AA2">
        <w:t>е</w:t>
      </w:r>
      <w:r w:rsidR="00A56E08">
        <w:t>к</w:t>
      </w:r>
      <w:r>
        <w:t>сту</w:t>
      </w:r>
      <w:r w:rsidR="00F87FCA" w:rsidRPr="00F6340E">
        <w:t xml:space="preserve"> </w:t>
      </w:r>
      <w:r w:rsidR="00A56E08">
        <w:t>Бо</w:t>
      </w:r>
      <w:r>
        <w:t>с</w:t>
      </w:r>
      <w:r w:rsidR="00A56E08">
        <w:t>н</w:t>
      </w:r>
      <w:r w:rsidR="00EE6AA2">
        <w:t>е</w:t>
      </w:r>
      <w:r w:rsidR="00F87FCA" w:rsidRPr="00F6340E">
        <w:t xml:space="preserve"> </w:t>
      </w:r>
      <w:r w:rsidR="00A56E08">
        <w:t>и</w:t>
      </w:r>
      <w:r w:rsidR="00F87FCA" w:rsidRPr="00F6340E">
        <w:t xml:space="preserve"> </w:t>
      </w:r>
      <w:r w:rsidR="00A56E08">
        <w:t>Х</w:t>
      </w:r>
      <w:r w:rsidR="00EE6AA2">
        <w:t>е</w:t>
      </w:r>
      <w:r>
        <w:t>р</w:t>
      </w:r>
      <w:r w:rsidR="00A56E08">
        <w:t>ц</w:t>
      </w:r>
      <w:r w:rsidR="00EE6AA2">
        <w:t>е</w:t>
      </w:r>
      <w:r w:rsidR="00A56E08">
        <w:t>го</w:t>
      </w:r>
      <w:r>
        <w:t>в</w:t>
      </w:r>
      <w:r w:rsidR="00A56E08">
        <w:t>ин</w:t>
      </w:r>
      <w:r w:rsidR="00EE6AA2">
        <w:t>е</w:t>
      </w:r>
      <w:r w:rsidR="00F87FCA" w:rsidRPr="00F6340E">
        <w:t xml:space="preserve"> </w:t>
      </w:r>
      <w:r w:rsidR="00A56E08">
        <w:t>н</w:t>
      </w:r>
      <w:r w:rsidR="00EE6AA2">
        <w:t>е</w:t>
      </w:r>
      <w:r w:rsidR="00F87FCA" w:rsidRPr="00F6340E">
        <w:t xml:space="preserve"> </w:t>
      </w:r>
      <w:r>
        <w:t>п</w:t>
      </w:r>
      <w:r w:rsidR="00A56E08">
        <w:t>о</w:t>
      </w:r>
      <w:r>
        <w:t>ст</w:t>
      </w:r>
      <w:r w:rsidR="00A56E08">
        <w:t>оји</w:t>
      </w:r>
      <w:r w:rsidR="00F87FCA" w:rsidRPr="00F6340E">
        <w:t xml:space="preserve"> </w:t>
      </w:r>
      <w:r w:rsidR="00A56E08">
        <w:t>ја</w:t>
      </w:r>
      <w:r>
        <w:t>с</w:t>
      </w:r>
      <w:r w:rsidR="00A56E08">
        <w:t>но</w:t>
      </w:r>
      <w:r w:rsidR="00F87FCA" w:rsidRPr="00F6340E">
        <w:t xml:space="preserve"> </w:t>
      </w:r>
      <w:r>
        <w:t>р</w:t>
      </w:r>
      <w:r w:rsidR="00A56E08">
        <w:t>а</w:t>
      </w:r>
      <w:r w:rsidR="00171F00">
        <w:t>з</w:t>
      </w:r>
      <w:r>
        <w:t>у</w:t>
      </w:r>
      <w:r w:rsidR="00A56E08">
        <w:t>миј</w:t>
      </w:r>
      <w:r w:rsidR="00EE6AA2">
        <w:t>е</w:t>
      </w:r>
      <w:r>
        <w:t>в</w:t>
      </w:r>
      <w:r w:rsidR="00A56E08">
        <w:t>ањ</w:t>
      </w:r>
      <w:r w:rsidR="00EE6AA2">
        <w:t>е</w:t>
      </w:r>
      <w:r w:rsidR="00F87FCA" w:rsidRPr="00F6340E">
        <w:t xml:space="preserve"> </w:t>
      </w:r>
      <w:r w:rsidR="00A56E08">
        <w:t>к</w:t>
      </w:r>
      <w:r>
        <w:t>в</w:t>
      </w:r>
      <w:r w:rsidR="00A56E08">
        <w:t>али</w:t>
      </w:r>
      <w:r>
        <w:t>т</w:t>
      </w:r>
      <w:r w:rsidR="00EE6AA2">
        <w:t>е</w:t>
      </w:r>
      <w:r>
        <w:t>т</w:t>
      </w:r>
      <w:r w:rsidR="00A56E08">
        <w:t>ног</w:t>
      </w:r>
      <w:r w:rsidR="00330625" w:rsidRPr="00F6340E">
        <w:t xml:space="preserve"> </w:t>
      </w:r>
      <w:r w:rsidR="00A56E08">
        <w:t>об</w:t>
      </w:r>
      <w:r>
        <w:t>р</w:t>
      </w:r>
      <w:r w:rsidR="00A56E08">
        <w:t>а</w:t>
      </w:r>
      <w:r w:rsidR="00171F00">
        <w:t>з</w:t>
      </w:r>
      <w:r w:rsidR="00A56E08">
        <w:t>о</w:t>
      </w:r>
      <w:r>
        <w:t>в</w:t>
      </w:r>
      <w:r w:rsidR="00A56E08">
        <w:t>ања</w:t>
      </w:r>
      <w:r w:rsidR="00330625" w:rsidRPr="00F6340E">
        <w:t xml:space="preserve"> </w:t>
      </w:r>
      <w:r w:rsidR="00A56E08">
        <w:t>као</w:t>
      </w:r>
      <w:r w:rsidR="00330625" w:rsidRPr="00F6340E">
        <w:t xml:space="preserve"> </w:t>
      </w:r>
      <w:r w:rsidR="00A56E08">
        <w:t>инкл</w:t>
      </w:r>
      <w:r>
        <w:t>у</w:t>
      </w:r>
      <w:r w:rsidR="00171F00">
        <w:t>з</w:t>
      </w:r>
      <w:r w:rsidR="00A56E08">
        <w:t>и</w:t>
      </w:r>
      <w:r>
        <w:t>в</w:t>
      </w:r>
      <w:r w:rsidR="00A56E08">
        <w:t>ног</w:t>
      </w:r>
      <w:r w:rsidR="00330625" w:rsidRPr="00F6340E">
        <w:t xml:space="preserve"> </w:t>
      </w:r>
      <w:r w:rsidR="00A56E08">
        <w:t>об</w:t>
      </w:r>
      <w:r>
        <w:t>р</w:t>
      </w:r>
      <w:r w:rsidR="00A56E08">
        <w:t>а</w:t>
      </w:r>
      <w:r w:rsidR="00171F00">
        <w:t>з</w:t>
      </w:r>
      <w:r w:rsidR="00A56E08">
        <w:t>о</w:t>
      </w:r>
      <w:r>
        <w:t>в</w:t>
      </w:r>
      <w:r w:rsidR="00A56E08">
        <w:t>ања</w:t>
      </w:r>
      <w:r w:rsidR="00330625" w:rsidRPr="00F6340E">
        <w:t xml:space="preserve"> – </w:t>
      </w:r>
      <w:r w:rsidR="00A56E08">
        <w:t>об</w:t>
      </w:r>
      <w:r>
        <w:t>р</w:t>
      </w:r>
      <w:r w:rsidR="00A56E08">
        <w:t>а</w:t>
      </w:r>
      <w:r w:rsidR="00171F00">
        <w:t>з</w:t>
      </w:r>
      <w:r w:rsidR="00A56E08">
        <w:t>о</w:t>
      </w:r>
      <w:r>
        <w:t>в</w:t>
      </w:r>
      <w:r w:rsidR="00A56E08">
        <w:t>ања</w:t>
      </w:r>
      <w:r w:rsidR="00330625" w:rsidRPr="00F6340E">
        <w:t xml:space="preserve"> </w:t>
      </w:r>
      <w:r w:rsidR="00171F00">
        <w:t>з</w:t>
      </w:r>
      <w:r w:rsidR="00A56E08">
        <w:t>а</w:t>
      </w:r>
      <w:r w:rsidR="00330625" w:rsidRPr="00F6340E">
        <w:t xml:space="preserve"> </w:t>
      </w:r>
      <w:r>
        <w:t>св</w:t>
      </w:r>
      <w:r w:rsidR="00EE6AA2">
        <w:t>е</w:t>
      </w:r>
      <w:r w:rsidR="00330625" w:rsidRPr="00F6340E">
        <w:t xml:space="preserve">. </w:t>
      </w:r>
      <w:r w:rsidR="00A56E08">
        <w:t>Имај</w:t>
      </w:r>
      <w:r>
        <w:t>у</w:t>
      </w:r>
      <w:r w:rsidR="00A56E08">
        <w:t>ћи</w:t>
      </w:r>
      <w:r w:rsidR="00330625" w:rsidRPr="00F6340E">
        <w:t xml:space="preserve"> </w:t>
      </w:r>
      <w:r>
        <w:t>т</w:t>
      </w:r>
      <w:r w:rsidR="00A56E08">
        <w:t>о</w:t>
      </w:r>
      <w:r w:rsidR="00330625" w:rsidRPr="00F6340E">
        <w:t xml:space="preserve"> </w:t>
      </w:r>
      <w:r>
        <w:t>у</w:t>
      </w:r>
      <w:r w:rsidR="00330625" w:rsidRPr="00F6340E">
        <w:t xml:space="preserve"> </w:t>
      </w:r>
      <w:r>
        <w:t>в</w:t>
      </w:r>
      <w:r w:rsidR="00A56E08">
        <w:t>ид</w:t>
      </w:r>
      <w:r>
        <w:t>у</w:t>
      </w:r>
      <w:r w:rsidR="00330625" w:rsidRPr="00F6340E">
        <w:t xml:space="preserve">, </w:t>
      </w:r>
      <w:r>
        <w:t>у</w:t>
      </w:r>
      <w:r w:rsidR="00330625" w:rsidRPr="00F6340E">
        <w:t xml:space="preserve"> </w:t>
      </w:r>
      <w:r w:rsidR="00A56E08">
        <w:t>на</w:t>
      </w:r>
      <w:r w:rsidR="00171F00">
        <w:t>з</w:t>
      </w:r>
      <w:r w:rsidR="00A56E08">
        <w:t>и</w:t>
      </w:r>
      <w:r>
        <w:t>ву</w:t>
      </w:r>
      <w:r w:rsidR="00330625" w:rsidRPr="00F6340E">
        <w:t xml:space="preserve"> </w:t>
      </w:r>
      <w:r w:rsidR="00A56E08">
        <w:t>док</w:t>
      </w:r>
      <w:r>
        <w:t>у</w:t>
      </w:r>
      <w:r w:rsidR="00A56E08">
        <w:t>м</w:t>
      </w:r>
      <w:r w:rsidR="00EE6AA2">
        <w:t>е</w:t>
      </w:r>
      <w:r w:rsidR="00A56E08">
        <w:t>н</w:t>
      </w:r>
      <w:r>
        <w:t>т</w:t>
      </w:r>
      <w:r w:rsidR="00A56E08">
        <w:t>а</w:t>
      </w:r>
      <w:r w:rsidR="00DB12EE" w:rsidRPr="00F6340E">
        <w:t xml:space="preserve"> </w:t>
      </w:r>
      <w:r w:rsidR="00A56E08">
        <w:t>ко</w:t>
      </w:r>
      <w:r>
        <w:t>р</w:t>
      </w:r>
      <w:r w:rsidR="00A56E08">
        <w:t>и</w:t>
      </w:r>
      <w:r>
        <w:t>ст</w:t>
      </w:r>
      <w:r w:rsidR="00A56E08">
        <w:t>и</w:t>
      </w:r>
      <w:r w:rsidR="00DB12EE" w:rsidRPr="00F6340E">
        <w:t xml:space="preserve"> </w:t>
      </w:r>
      <w:r>
        <w:t>с</w:t>
      </w:r>
      <w:r w:rsidR="00EE6AA2">
        <w:t>е</w:t>
      </w:r>
      <w:r w:rsidR="00330625" w:rsidRPr="00F6340E">
        <w:t xml:space="preserve"> </w:t>
      </w:r>
      <w:r>
        <w:t>в</w:t>
      </w:r>
      <w:r w:rsidR="00EE6AA2">
        <w:t>е</w:t>
      </w:r>
      <w:r w:rsidR="00171F00">
        <w:t>з</w:t>
      </w:r>
      <w:r w:rsidR="00A56E08">
        <w:t>ник</w:t>
      </w:r>
      <w:r w:rsidR="00330625" w:rsidRPr="00F6340E">
        <w:t xml:space="preserve"> (</w:t>
      </w:r>
      <w:r w:rsidR="00A56E08">
        <w:t>и</w:t>
      </w:r>
      <w:r w:rsidR="00330625" w:rsidRPr="00F6340E">
        <w:t xml:space="preserve">) </w:t>
      </w:r>
      <w:r>
        <w:t>с</w:t>
      </w:r>
      <w:r w:rsidR="00A56E08">
        <w:t>а</w:t>
      </w:r>
      <w:r w:rsidR="00330625" w:rsidRPr="00F6340E">
        <w:t xml:space="preserve"> </w:t>
      </w:r>
      <w:r w:rsidR="00A56E08">
        <w:t>намј</w:t>
      </w:r>
      <w:r w:rsidR="00EE6AA2">
        <w:t>е</w:t>
      </w:r>
      <w:r>
        <w:t>р</w:t>
      </w:r>
      <w:r w:rsidR="00A56E08">
        <w:t>ом</w:t>
      </w:r>
      <w:r w:rsidR="00330625" w:rsidRPr="00F6340E">
        <w:t xml:space="preserve"> </w:t>
      </w:r>
      <w:r w:rsidR="00A56E08">
        <w:t>да</w:t>
      </w:r>
      <w:r w:rsidR="00330625" w:rsidRPr="00F6340E">
        <w:t xml:space="preserve"> </w:t>
      </w:r>
      <w:r>
        <w:t>с</w:t>
      </w:r>
      <w:r w:rsidR="00EE6AA2">
        <w:t>е</w:t>
      </w:r>
      <w:r w:rsidR="00330625" w:rsidRPr="00F6340E">
        <w:t xml:space="preserve"> </w:t>
      </w:r>
      <w:r>
        <w:t>у</w:t>
      </w:r>
      <w:r w:rsidR="00A56E08">
        <w:t>ка</w:t>
      </w:r>
      <w:r w:rsidR="00171F00">
        <w:t>ж</w:t>
      </w:r>
      <w:r w:rsidR="00EE6AA2">
        <w:t>е</w:t>
      </w:r>
      <w:r w:rsidR="00330625" w:rsidRPr="00F6340E">
        <w:t xml:space="preserve">, </w:t>
      </w:r>
      <w:r>
        <w:t>с</w:t>
      </w:r>
      <w:r w:rsidR="00A56E08">
        <w:t>а</w:t>
      </w:r>
      <w:r w:rsidR="00330625" w:rsidRPr="00F6340E">
        <w:t xml:space="preserve"> </w:t>
      </w:r>
      <w:r w:rsidR="00A56E08">
        <w:t>ј</w:t>
      </w:r>
      <w:r w:rsidR="00EE6AA2">
        <w:t>е</w:t>
      </w:r>
      <w:r w:rsidR="00A56E08">
        <w:t>дн</w:t>
      </w:r>
      <w:r w:rsidR="00EE6AA2">
        <w:t>е</w:t>
      </w:r>
      <w:r w:rsidR="00330625" w:rsidRPr="00F6340E">
        <w:t xml:space="preserve"> </w:t>
      </w:r>
      <w:r>
        <w:t>стр</w:t>
      </w:r>
      <w:r w:rsidR="00A56E08">
        <w:t>ан</w:t>
      </w:r>
      <w:r w:rsidR="00EE6AA2">
        <w:t>е</w:t>
      </w:r>
      <w:r w:rsidR="00330625" w:rsidRPr="00F6340E">
        <w:t xml:space="preserve">, </w:t>
      </w:r>
      <w:r w:rsidR="00A56E08">
        <w:t>на</w:t>
      </w:r>
      <w:r w:rsidR="00330625" w:rsidRPr="00F6340E">
        <w:t xml:space="preserve"> </w:t>
      </w:r>
      <w:r w:rsidR="00A56E08">
        <w:t>н</w:t>
      </w:r>
      <w:r w:rsidR="00EE6AA2">
        <w:t>е</w:t>
      </w:r>
      <w:r>
        <w:t>р</w:t>
      </w:r>
      <w:r w:rsidR="00A56E08">
        <w:t>а</w:t>
      </w:r>
      <w:r>
        <w:t>с</w:t>
      </w:r>
      <w:r w:rsidR="00A56E08">
        <w:t>киди</w:t>
      </w:r>
      <w:r>
        <w:t>в</w:t>
      </w:r>
      <w:r w:rsidR="00A56E08">
        <w:t>о</w:t>
      </w:r>
      <w:r>
        <w:t>ст</w:t>
      </w:r>
      <w:r w:rsidR="00330625" w:rsidRPr="00F6340E">
        <w:t xml:space="preserve"> </w:t>
      </w:r>
      <w:r w:rsidR="00A56E08">
        <w:t>к</w:t>
      </w:r>
      <w:r>
        <w:t>в</w:t>
      </w:r>
      <w:r w:rsidR="00A56E08">
        <w:t>али</w:t>
      </w:r>
      <w:r>
        <w:t>т</w:t>
      </w:r>
      <w:r w:rsidR="00EE6AA2">
        <w:t>е</w:t>
      </w:r>
      <w:r>
        <w:t>т</w:t>
      </w:r>
      <w:r w:rsidR="00A56E08">
        <w:t>ног</w:t>
      </w:r>
      <w:r w:rsidR="00330625" w:rsidRPr="00F6340E">
        <w:t xml:space="preserve"> </w:t>
      </w:r>
      <w:r w:rsidR="00A56E08">
        <w:t>об</w:t>
      </w:r>
      <w:r>
        <w:t>р</w:t>
      </w:r>
      <w:r w:rsidR="00A56E08">
        <w:t>а</w:t>
      </w:r>
      <w:r w:rsidR="00171F00">
        <w:t>з</w:t>
      </w:r>
      <w:r w:rsidR="00A56E08">
        <w:t>о</w:t>
      </w:r>
      <w:r>
        <w:t>в</w:t>
      </w:r>
      <w:r w:rsidR="00A56E08">
        <w:t>ања</w:t>
      </w:r>
      <w:r w:rsidR="00330625" w:rsidRPr="00F6340E">
        <w:t xml:space="preserve"> </w:t>
      </w:r>
      <w:r w:rsidR="00A56E08">
        <w:t>од</w:t>
      </w:r>
      <w:r w:rsidR="00330625" w:rsidRPr="00F6340E">
        <w:t xml:space="preserve"> </w:t>
      </w:r>
      <w:r w:rsidR="00A56E08">
        <w:t>инкл</w:t>
      </w:r>
      <w:r>
        <w:t>у</w:t>
      </w:r>
      <w:r w:rsidR="00171F00">
        <w:t>з</w:t>
      </w:r>
      <w:r w:rsidR="00A56E08">
        <w:t>и</w:t>
      </w:r>
      <w:r>
        <w:t>в</w:t>
      </w:r>
      <w:r w:rsidR="00A56E08">
        <w:t>ног</w:t>
      </w:r>
      <w:r w:rsidR="00330625" w:rsidRPr="00F6340E">
        <w:t xml:space="preserve">, </w:t>
      </w:r>
      <w:r w:rsidR="00A56E08">
        <w:t>док</w:t>
      </w:r>
      <w:r w:rsidR="00B04FA8">
        <w:t xml:space="preserve"> са </w:t>
      </w:r>
      <w:r w:rsidR="00A56E08">
        <w:t>д</w:t>
      </w:r>
      <w:r>
        <w:t>ру</w:t>
      </w:r>
      <w:r w:rsidR="00A56E08">
        <w:t>г</w:t>
      </w:r>
      <w:r w:rsidR="00EE6AA2">
        <w:t>е</w:t>
      </w:r>
      <w:r w:rsidR="00330625" w:rsidRPr="00F6340E">
        <w:t xml:space="preserve"> </w:t>
      </w:r>
      <w:r>
        <w:t>стр</w:t>
      </w:r>
      <w:r w:rsidR="00A56E08">
        <w:t>ан</w:t>
      </w:r>
      <w:r w:rsidR="00EE6AA2">
        <w:t>е</w:t>
      </w:r>
      <w:r w:rsidR="00330625" w:rsidRPr="00F6340E">
        <w:t xml:space="preserve"> </w:t>
      </w:r>
      <w:r w:rsidR="00A56E08">
        <w:t>нагла</w:t>
      </w:r>
      <w:r>
        <w:t>ш</w:t>
      </w:r>
      <w:r w:rsidR="00A56E08">
        <w:t>а</w:t>
      </w:r>
      <w:r>
        <w:t>в</w:t>
      </w:r>
      <w:r w:rsidR="00A56E08">
        <w:t>а</w:t>
      </w:r>
      <w:r w:rsidR="00330625" w:rsidRPr="00F6340E">
        <w:t xml:space="preserve"> </w:t>
      </w:r>
      <w:r w:rsidR="00A56E08">
        <w:t>и</w:t>
      </w:r>
      <w:r w:rsidR="00330625" w:rsidRPr="00F6340E">
        <w:t xml:space="preserve"> </w:t>
      </w:r>
      <w:r>
        <w:t>п</w:t>
      </w:r>
      <w:r w:rsidR="00A56E08">
        <w:t>о</w:t>
      </w:r>
      <w:r>
        <w:t>ст</w:t>
      </w:r>
      <w:r w:rsidR="00A56E08">
        <w:t>ој</w:t>
      </w:r>
      <w:r w:rsidR="00EE6AA2">
        <w:t>е</w:t>
      </w:r>
      <w:r w:rsidR="00A56E08">
        <w:t>ћ</w:t>
      </w:r>
      <w:r w:rsidR="00EE6AA2">
        <w:t>е</w:t>
      </w:r>
      <w:r w:rsidR="00330625" w:rsidRPr="00F6340E">
        <w:t xml:space="preserve"> </w:t>
      </w:r>
      <w:r w:rsidR="00A56E08">
        <w:t>и</w:t>
      </w:r>
      <w:r w:rsidR="00171F00">
        <w:t>з</w:t>
      </w:r>
      <w:r w:rsidR="00A56E08">
        <w:t>а</w:t>
      </w:r>
      <w:r w:rsidR="00171F00">
        <w:t>з</w:t>
      </w:r>
      <w:r w:rsidR="00A56E08">
        <w:t>о</w:t>
      </w:r>
      <w:r>
        <w:t>в</w:t>
      </w:r>
      <w:r w:rsidR="00EE6AA2">
        <w:t>е</w:t>
      </w:r>
      <w:r w:rsidR="00330625" w:rsidRPr="00F6340E">
        <w:t xml:space="preserve"> </w:t>
      </w:r>
      <w:r>
        <w:t>у</w:t>
      </w:r>
      <w:r w:rsidR="00330625" w:rsidRPr="00F6340E">
        <w:t xml:space="preserve"> </w:t>
      </w:r>
      <w:r>
        <w:t>т</w:t>
      </w:r>
      <w:r w:rsidR="00EE6AA2">
        <w:t>е</w:t>
      </w:r>
      <w:r w:rsidR="00A56E08">
        <w:t>о</w:t>
      </w:r>
      <w:r>
        <w:t>р</w:t>
      </w:r>
      <w:r w:rsidR="00A56E08">
        <w:t>ији</w:t>
      </w:r>
      <w:r w:rsidR="00330625" w:rsidRPr="00F6340E">
        <w:t xml:space="preserve"> </w:t>
      </w:r>
      <w:r w:rsidR="00A56E08">
        <w:t>и</w:t>
      </w:r>
      <w:r w:rsidR="00330625" w:rsidRPr="00F6340E">
        <w:t xml:space="preserve"> </w:t>
      </w:r>
      <w:r>
        <w:t>пр</w:t>
      </w:r>
      <w:r w:rsidR="00A56E08">
        <w:t>ак</w:t>
      </w:r>
      <w:r>
        <w:t>с</w:t>
      </w:r>
      <w:r w:rsidR="00A56E08">
        <w:t>и</w:t>
      </w:r>
      <w:r w:rsidR="00330625" w:rsidRPr="00F6340E">
        <w:t xml:space="preserve"> </w:t>
      </w:r>
      <w:r w:rsidR="00A56E08">
        <w:t>об</w:t>
      </w:r>
      <w:r>
        <w:t>р</w:t>
      </w:r>
      <w:r w:rsidR="00A56E08">
        <w:t>а</w:t>
      </w:r>
      <w:r w:rsidR="00171F00">
        <w:t>з</w:t>
      </w:r>
      <w:r w:rsidR="00A56E08">
        <w:t>о</w:t>
      </w:r>
      <w:r>
        <w:t>в</w:t>
      </w:r>
      <w:r w:rsidR="00A56E08">
        <w:t>ања</w:t>
      </w:r>
      <w:r w:rsidR="00330625" w:rsidRPr="00F6340E">
        <w:t xml:space="preserve"> </w:t>
      </w:r>
      <w:r>
        <w:t>у</w:t>
      </w:r>
      <w:r w:rsidR="00330625" w:rsidRPr="00F6340E">
        <w:t xml:space="preserve"> </w:t>
      </w:r>
      <w:r w:rsidR="00A56E08">
        <w:t>Бо</w:t>
      </w:r>
      <w:r>
        <w:t>с</w:t>
      </w:r>
      <w:r w:rsidR="00A56E08">
        <w:t>ни</w:t>
      </w:r>
      <w:r w:rsidR="00330625" w:rsidRPr="00F6340E">
        <w:t xml:space="preserve"> </w:t>
      </w:r>
      <w:r w:rsidR="00A56E08">
        <w:t>и</w:t>
      </w:r>
      <w:r w:rsidR="00330625" w:rsidRPr="00F6340E">
        <w:t xml:space="preserve"> </w:t>
      </w:r>
      <w:r w:rsidR="00A56E08">
        <w:t>Х</w:t>
      </w:r>
      <w:r w:rsidR="00EE6AA2">
        <w:t>е</w:t>
      </w:r>
      <w:r>
        <w:t>р</w:t>
      </w:r>
      <w:r w:rsidR="00A56E08">
        <w:t>ц</w:t>
      </w:r>
      <w:r w:rsidR="00EE6AA2">
        <w:t>е</w:t>
      </w:r>
      <w:r w:rsidR="00A56E08">
        <w:t>го</w:t>
      </w:r>
      <w:r>
        <w:t>в</w:t>
      </w:r>
      <w:r w:rsidR="00A56E08">
        <w:t>ини</w:t>
      </w:r>
      <w:r w:rsidR="00330625" w:rsidRPr="00F6340E">
        <w:t xml:space="preserve">. </w:t>
      </w:r>
    </w:p>
    <w:p w14:paraId="0D78115E" w14:textId="61A01FEB" w:rsidR="006B5098" w:rsidRPr="00F6340E" w:rsidRDefault="0071360A" w:rsidP="001A6D76">
      <w:pPr>
        <w:pStyle w:val="Body"/>
      </w:pPr>
      <w:r>
        <w:lastRenderedPageBreak/>
        <w:t>У</w:t>
      </w:r>
      <w:r w:rsidR="00FB382C" w:rsidRPr="00F6340E">
        <w:t xml:space="preserve"> </w:t>
      </w:r>
      <w:r w:rsidR="00A56E08">
        <w:t>док</w:t>
      </w:r>
      <w:r>
        <w:t>у</w:t>
      </w:r>
      <w:r w:rsidR="00A56E08">
        <w:t>м</w:t>
      </w:r>
      <w:r w:rsidR="00EE6AA2">
        <w:t>е</w:t>
      </w:r>
      <w:r w:rsidR="00A56E08">
        <w:t>н</w:t>
      </w:r>
      <w:r>
        <w:t>ту</w:t>
      </w:r>
      <w:r w:rsidR="00FB382C" w:rsidRPr="00F6340E">
        <w:t xml:space="preserve"> </w:t>
      </w:r>
      <w:r>
        <w:t>с</w:t>
      </w:r>
      <w:r w:rsidR="00EE6AA2">
        <w:t>е</w:t>
      </w:r>
      <w:r w:rsidR="00DB12EE" w:rsidRPr="00F6340E">
        <w:t xml:space="preserve"> </w:t>
      </w:r>
      <w:r w:rsidR="00A56E08">
        <w:t>ко</w:t>
      </w:r>
      <w:r>
        <w:t>р</w:t>
      </w:r>
      <w:r w:rsidR="00A56E08">
        <w:t>и</w:t>
      </w:r>
      <w:r>
        <w:t>ст</w:t>
      </w:r>
      <w:r w:rsidR="00A56E08">
        <w:t>и</w:t>
      </w:r>
      <w:r w:rsidR="00DB12EE" w:rsidRPr="00F6340E">
        <w:t xml:space="preserve"> </w:t>
      </w:r>
      <w:r w:rsidR="00A56E08">
        <w:t>и</w:t>
      </w:r>
      <w:r w:rsidR="000B5F9E" w:rsidRPr="00F6340E">
        <w:t xml:space="preserve"> </w:t>
      </w:r>
      <w:r>
        <w:t>п</w:t>
      </w:r>
      <w:r w:rsidR="00A56E08">
        <w:t>ојам</w:t>
      </w:r>
      <w:r w:rsidR="00FB382C" w:rsidRPr="00F6340E">
        <w:t xml:space="preserve"> </w:t>
      </w:r>
      <w:r w:rsidR="00A56E08">
        <w:t>на</w:t>
      </w:r>
      <w:r>
        <w:t>ст</w:t>
      </w:r>
      <w:r w:rsidR="00A56E08">
        <w:t>а</w:t>
      </w:r>
      <w:r>
        <w:t>в</w:t>
      </w:r>
      <w:r w:rsidR="00A56E08">
        <w:t>ник</w:t>
      </w:r>
      <w:r w:rsidR="00DB12EE" w:rsidRPr="00F6340E">
        <w:t>,</w:t>
      </w:r>
      <w:r w:rsidR="00FB382C" w:rsidRPr="00F6340E">
        <w:t xml:space="preserve"> </w:t>
      </w:r>
      <w:r w:rsidR="00A56E08">
        <w:t>а</w:t>
      </w:r>
      <w:r w:rsidR="00FB382C" w:rsidRPr="00F6340E">
        <w:t xml:space="preserve"> </w:t>
      </w:r>
      <w:r w:rsidR="00A56E08">
        <w:t>одно</w:t>
      </w:r>
      <w:r>
        <w:t>с</w:t>
      </w:r>
      <w:r w:rsidR="00A56E08">
        <w:t>и</w:t>
      </w:r>
      <w:r w:rsidR="00FB382C" w:rsidRPr="00F6340E">
        <w:t xml:space="preserve"> </w:t>
      </w:r>
      <w:r>
        <w:t>с</w:t>
      </w:r>
      <w:r w:rsidR="00EE6AA2">
        <w:t>е</w:t>
      </w:r>
      <w:r w:rsidR="00FB382C" w:rsidRPr="00F6340E">
        <w:t xml:space="preserve"> </w:t>
      </w:r>
      <w:r w:rsidR="00A56E08">
        <w:t>на</w:t>
      </w:r>
      <w:r w:rsidR="00FB382C" w:rsidRPr="00F6340E">
        <w:t xml:space="preserve"> </w:t>
      </w:r>
      <w:r>
        <w:t>св</w:t>
      </w:r>
      <w:r w:rsidR="00A56E08">
        <w:t>ак</w:t>
      </w:r>
      <w:r>
        <w:t>у</w:t>
      </w:r>
      <w:r w:rsidR="00FB382C" w:rsidRPr="00F6340E">
        <w:t xml:space="preserve"> </w:t>
      </w:r>
      <w:r w:rsidR="00A56E08">
        <w:t>о</w:t>
      </w:r>
      <w:r>
        <w:t>с</w:t>
      </w:r>
      <w:r w:rsidR="00A56E08">
        <w:t>об</w:t>
      </w:r>
      <w:r>
        <w:t>у</w:t>
      </w:r>
      <w:r w:rsidR="00740C05" w:rsidRPr="00F6340E">
        <w:t xml:space="preserve"> </w:t>
      </w:r>
      <w:r>
        <w:t>у</w:t>
      </w:r>
      <w:r w:rsidR="00A56E08">
        <w:t>кљ</w:t>
      </w:r>
      <w:r>
        <w:t>у</w:t>
      </w:r>
      <w:r w:rsidR="00A56E08">
        <w:t>ч</w:t>
      </w:r>
      <w:r w:rsidR="00EE6AA2">
        <w:t>е</w:t>
      </w:r>
      <w:r w:rsidR="00A56E08">
        <w:t>н</w:t>
      </w:r>
      <w:r>
        <w:t>у</w:t>
      </w:r>
      <w:r w:rsidR="00FB382C" w:rsidRPr="00F6340E">
        <w:t xml:space="preserve"> </w:t>
      </w:r>
      <w:r>
        <w:t>у</w:t>
      </w:r>
      <w:r w:rsidR="00FB382C" w:rsidRPr="00F6340E">
        <w:t xml:space="preserve"> </w:t>
      </w:r>
      <w:r w:rsidR="00A56E08">
        <w:t>одгојно</w:t>
      </w:r>
      <w:r w:rsidR="00FB382C" w:rsidRPr="00F6340E">
        <w:t xml:space="preserve"> – </w:t>
      </w:r>
      <w:r w:rsidR="00A56E08">
        <w:t>об</w:t>
      </w:r>
      <w:r>
        <w:t>р</w:t>
      </w:r>
      <w:r w:rsidR="00A56E08">
        <w:t>а</w:t>
      </w:r>
      <w:r w:rsidR="00171F00">
        <w:t>з</w:t>
      </w:r>
      <w:r w:rsidR="00A56E08">
        <w:t>о</w:t>
      </w:r>
      <w:r>
        <w:t>в</w:t>
      </w:r>
      <w:r w:rsidR="00A56E08">
        <w:t>ни</w:t>
      </w:r>
      <w:r w:rsidR="00FB382C" w:rsidRPr="00F6340E">
        <w:t xml:space="preserve"> </w:t>
      </w:r>
      <w:r>
        <w:t>пр</w:t>
      </w:r>
      <w:r w:rsidR="00A56E08">
        <w:t>оц</w:t>
      </w:r>
      <w:r w:rsidR="00EE6AA2">
        <w:t>е</w:t>
      </w:r>
      <w:r>
        <w:t>с</w:t>
      </w:r>
      <w:r w:rsidR="006B5098" w:rsidRPr="00F6340E">
        <w:t>,</w:t>
      </w:r>
      <w:r w:rsidR="00FB382C" w:rsidRPr="00F6340E">
        <w:t xml:space="preserve"> </w:t>
      </w:r>
      <w:r w:rsidR="00A56E08">
        <w:t>која</w:t>
      </w:r>
      <w:r w:rsidR="00740C05" w:rsidRPr="00F6340E">
        <w:t xml:space="preserve"> </w:t>
      </w:r>
      <w:r w:rsidR="00A56E08">
        <w:t>оба</w:t>
      </w:r>
      <w:r>
        <w:t>в</w:t>
      </w:r>
      <w:r w:rsidR="00A56E08">
        <w:t>ља</w:t>
      </w:r>
      <w:r w:rsidR="00740C05" w:rsidRPr="00F6340E">
        <w:t xml:space="preserve"> </w:t>
      </w:r>
      <w:r>
        <w:t>у</w:t>
      </w:r>
      <w:r w:rsidR="00A56E08">
        <w:t>лог</w:t>
      </w:r>
      <w:r>
        <w:t>у</w:t>
      </w:r>
      <w:r w:rsidR="00740C05" w:rsidRPr="00F6340E">
        <w:t xml:space="preserve"> </w:t>
      </w:r>
      <w:r w:rsidR="00A56E08">
        <w:t>на</w:t>
      </w:r>
      <w:r>
        <w:t>ст</w:t>
      </w:r>
      <w:r w:rsidR="00A56E08">
        <w:t>а</w:t>
      </w:r>
      <w:r>
        <w:t>в</w:t>
      </w:r>
      <w:r w:rsidR="00A56E08">
        <w:t>ника</w:t>
      </w:r>
      <w:r w:rsidR="00740C05" w:rsidRPr="00F6340E">
        <w:t xml:space="preserve"> </w:t>
      </w:r>
      <w:r w:rsidR="00A56E08">
        <w:t>или</w:t>
      </w:r>
      <w:r w:rsidR="00740C05" w:rsidRPr="00F6340E">
        <w:t xml:space="preserve"> </w:t>
      </w:r>
      <w:r w:rsidR="00A56E08">
        <w:t>на</w:t>
      </w:r>
      <w:r>
        <w:t>ст</w:t>
      </w:r>
      <w:r w:rsidR="00A56E08">
        <w:t>а</w:t>
      </w:r>
      <w:r>
        <w:t>в</w:t>
      </w:r>
      <w:r w:rsidR="00A56E08">
        <w:t>ниц</w:t>
      </w:r>
      <w:r w:rsidR="00EE6AA2">
        <w:t>е</w:t>
      </w:r>
      <w:r w:rsidR="00740C05" w:rsidRPr="00F6340E">
        <w:t xml:space="preserve"> </w:t>
      </w:r>
      <w:r>
        <w:t>р</w:t>
      </w:r>
      <w:r w:rsidR="00A56E08">
        <w:t>а</w:t>
      </w:r>
      <w:r w:rsidR="00171F00">
        <w:t>з</w:t>
      </w:r>
      <w:r>
        <w:t>р</w:t>
      </w:r>
      <w:r w:rsidR="00EE6AA2">
        <w:t>е</w:t>
      </w:r>
      <w:r w:rsidR="00A56E08">
        <w:t>дн</w:t>
      </w:r>
      <w:r w:rsidR="00EE6AA2">
        <w:t>е</w:t>
      </w:r>
      <w:r w:rsidR="00740C05" w:rsidRPr="00F6340E">
        <w:t xml:space="preserve"> </w:t>
      </w:r>
      <w:r w:rsidR="00A56E08">
        <w:t>или</w:t>
      </w:r>
      <w:r w:rsidR="00740C05" w:rsidRPr="00F6340E">
        <w:t xml:space="preserve"> </w:t>
      </w:r>
      <w:r>
        <w:t>пр</w:t>
      </w:r>
      <w:r w:rsidR="00EE6AA2">
        <w:t>е</w:t>
      </w:r>
      <w:r w:rsidR="00A56E08">
        <w:t>дм</w:t>
      </w:r>
      <w:r w:rsidR="00EE6AA2">
        <w:t>е</w:t>
      </w:r>
      <w:r>
        <w:t>т</w:t>
      </w:r>
      <w:r w:rsidR="00A56E08">
        <w:t>н</w:t>
      </w:r>
      <w:r w:rsidR="00EE6AA2">
        <w:t>е</w:t>
      </w:r>
      <w:r w:rsidR="00740C05" w:rsidRPr="00F6340E">
        <w:t xml:space="preserve"> </w:t>
      </w:r>
      <w:r w:rsidR="00A56E08">
        <w:t>на</w:t>
      </w:r>
      <w:r>
        <w:t>ст</w:t>
      </w:r>
      <w:r w:rsidR="00A56E08">
        <w:t>а</w:t>
      </w:r>
      <w:r>
        <w:t>в</w:t>
      </w:r>
      <w:r w:rsidR="00EE6AA2">
        <w:t>е</w:t>
      </w:r>
      <w:r w:rsidR="00740C05" w:rsidRPr="00F6340E">
        <w:t xml:space="preserve">, </w:t>
      </w:r>
      <w:r>
        <w:t>пр</w:t>
      </w:r>
      <w:r w:rsidR="00A56E08">
        <w:t>оф</w:t>
      </w:r>
      <w:r w:rsidR="00EE6AA2">
        <w:t>е</w:t>
      </w:r>
      <w:r>
        <w:t>с</w:t>
      </w:r>
      <w:r w:rsidR="00A56E08">
        <w:t>о</w:t>
      </w:r>
      <w:r>
        <w:t>р</w:t>
      </w:r>
      <w:r w:rsidR="00A56E08">
        <w:t>а</w:t>
      </w:r>
      <w:r w:rsidR="00740C05" w:rsidRPr="00F6340E">
        <w:t xml:space="preserve"> </w:t>
      </w:r>
      <w:r w:rsidR="00A56E08">
        <w:t>или</w:t>
      </w:r>
      <w:r w:rsidR="00FB382C" w:rsidRPr="00F6340E">
        <w:t xml:space="preserve"> </w:t>
      </w:r>
      <w:r>
        <w:t>пр</w:t>
      </w:r>
      <w:r w:rsidR="00A56E08">
        <w:t>оф</w:t>
      </w:r>
      <w:r w:rsidR="00EE6AA2">
        <w:t>е</w:t>
      </w:r>
      <w:r>
        <w:t>с</w:t>
      </w:r>
      <w:r w:rsidR="00A56E08">
        <w:t>о</w:t>
      </w:r>
      <w:r>
        <w:t>р</w:t>
      </w:r>
      <w:r w:rsidR="00A56E08">
        <w:t>иц</w:t>
      </w:r>
      <w:r w:rsidR="00EE6AA2">
        <w:t>е</w:t>
      </w:r>
      <w:r w:rsidR="00FB382C" w:rsidRPr="00F6340E">
        <w:t xml:space="preserve"> </w:t>
      </w:r>
      <w:r>
        <w:t>у</w:t>
      </w:r>
      <w:r w:rsidR="00FB382C" w:rsidRPr="00F6340E">
        <w:t xml:space="preserve"> </w:t>
      </w:r>
      <w:r>
        <w:t>ср</w:t>
      </w:r>
      <w:r w:rsidR="00EE6AA2">
        <w:t>е</w:t>
      </w:r>
      <w:r w:rsidR="00A56E08">
        <w:t>дњој</w:t>
      </w:r>
      <w:r w:rsidR="00FB382C" w:rsidRPr="00F6340E">
        <w:t xml:space="preserve"> </w:t>
      </w:r>
      <w:r w:rsidR="00CB5414">
        <w:t>ш</w:t>
      </w:r>
      <w:r w:rsidR="00A56E08">
        <w:t>коли</w:t>
      </w:r>
      <w:r w:rsidR="00FB382C" w:rsidRPr="00F6340E">
        <w:t xml:space="preserve"> </w:t>
      </w:r>
      <w:r w:rsidR="00A56E08">
        <w:t>и</w:t>
      </w:r>
      <w:r w:rsidR="00FB382C" w:rsidRPr="00F6340E">
        <w:t xml:space="preserve"> </w:t>
      </w:r>
      <w:r>
        <w:t>пр</w:t>
      </w:r>
      <w:r w:rsidR="00A56E08">
        <w:t>оф</w:t>
      </w:r>
      <w:r w:rsidR="00EE6AA2">
        <w:t>е</w:t>
      </w:r>
      <w:r>
        <w:t>с</w:t>
      </w:r>
      <w:r w:rsidR="00A56E08">
        <w:t>о</w:t>
      </w:r>
      <w:r>
        <w:t>р</w:t>
      </w:r>
      <w:r w:rsidR="00A56E08">
        <w:t>а</w:t>
      </w:r>
      <w:r w:rsidR="00FB382C" w:rsidRPr="00F6340E">
        <w:t xml:space="preserve"> </w:t>
      </w:r>
      <w:r w:rsidR="00A56E08">
        <w:t>или</w:t>
      </w:r>
      <w:r w:rsidR="00FB382C" w:rsidRPr="00F6340E">
        <w:t xml:space="preserve"> </w:t>
      </w:r>
      <w:r>
        <w:t>пр</w:t>
      </w:r>
      <w:r w:rsidR="00A56E08">
        <w:t>оф</w:t>
      </w:r>
      <w:r w:rsidR="00EE6AA2">
        <w:t>е</w:t>
      </w:r>
      <w:r>
        <w:t>с</w:t>
      </w:r>
      <w:r w:rsidR="00A56E08">
        <w:t>о</w:t>
      </w:r>
      <w:r>
        <w:t>р</w:t>
      </w:r>
      <w:r w:rsidR="00A56E08">
        <w:t>иц</w:t>
      </w:r>
      <w:r w:rsidR="00EE6AA2">
        <w:t>е</w:t>
      </w:r>
      <w:r w:rsidR="00FB382C" w:rsidRPr="00F6340E">
        <w:t xml:space="preserve"> </w:t>
      </w:r>
      <w:r>
        <w:t>у</w:t>
      </w:r>
      <w:r w:rsidR="00FB382C" w:rsidRPr="00F6340E">
        <w:t xml:space="preserve"> </w:t>
      </w:r>
      <w:r>
        <w:t>в</w:t>
      </w:r>
      <w:r w:rsidR="00A56E08">
        <w:t>и</w:t>
      </w:r>
      <w:r>
        <w:t>с</w:t>
      </w:r>
      <w:r w:rsidR="00A56E08">
        <w:t>око</w:t>
      </w:r>
      <w:r>
        <w:t>ш</w:t>
      </w:r>
      <w:r w:rsidR="00A56E08">
        <w:t>кол</w:t>
      </w:r>
      <w:r>
        <w:t>с</w:t>
      </w:r>
      <w:r w:rsidR="00A56E08">
        <w:t>кој</w:t>
      </w:r>
      <w:r w:rsidR="00FB382C" w:rsidRPr="00F6340E">
        <w:t xml:space="preserve"> </w:t>
      </w:r>
      <w:r w:rsidR="00A56E08">
        <w:t>ин</w:t>
      </w:r>
      <w:r>
        <w:t>ст</w:t>
      </w:r>
      <w:r w:rsidR="00A56E08">
        <w:t>и</w:t>
      </w:r>
      <w:r>
        <w:t>ту</w:t>
      </w:r>
      <w:r w:rsidR="00A56E08">
        <w:t>цији</w:t>
      </w:r>
      <w:r w:rsidR="00FB382C" w:rsidRPr="00F6340E">
        <w:t>.</w:t>
      </w:r>
      <w:r w:rsidR="00740C05" w:rsidRPr="00F6340E">
        <w:t xml:space="preserve"> </w:t>
      </w:r>
      <w:r>
        <w:t>П</w:t>
      </w:r>
      <w:r w:rsidR="00A56E08">
        <w:t>ојам</w:t>
      </w:r>
      <w:r w:rsidR="00740C05" w:rsidRPr="00F6340E">
        <w:t xml:space="preserve"> </w:t>
      </w:r>
      <w:r w:rsidR="00A56E08">
        <w:t>на</w:t>
      </w:r>
      <w:r>
        <w:t>ст</w:t>
      </w:r>
      <w:r w:rsidR="00A56E08">
        <w:t>а</w:t>
      </w:r>
      <w:r>
        <w:t>в</w:t>
      </w:r>
      <w:r w:rsidR="00A56E08">
        <w:t>ник</w:t>
      </w:r>
      <w:r w:rsidR="00740C05" w:rsidRPr="00F6340E">
        <w:t xml:space="preserve"> </w:t>
      </w:r>
      <w:r w:rsidR="00A56E08">
        <w:t>ј</w:t>
      </w:r>
      <w:r w:rsidR="00EE6AA2">
        <w:t>е</w:t>
      </w:r>
      <w:r w:rsidR="00740C05" w:rsidRPr="00F6340E">
        <w:t xml:space="preserve"> </w:t>
      </w:r>
      <w:r w:rsidR="00A56E08">
        <w:t>ко</w:t>
      </w:r>
      <w:r>
        <w:t>р</w:t>
      </w:r>
      <w:r w:rsidR="00A56E08">
        <w:t>и</w:t>
      </w:r>
      <w:r w:rsidR="00CB5414">
        <w:t>ш</w:t>
      </w:r>
      <w:r>
        <w:t>т</w:t>
      </w:r>
      <w:r w:rsidR="00EE6AA2">
        <w:t>е</w:t>
      </w:r>
      <w:r w:rsidR="00A56E08">
        <w:t>н</w:t>
      </w:r>
      <w:r w:rsidR="00740C05" w:rsidRPr="00F6340E">
        <w:t xml:space="preserve"> </w:t>
      </w:r>
      <w:r>
        <w:t>у</w:t>
      </w:r>
      <w:r w:rsidR="00740C05" w:rsidRPr="00F6340E">
        <w:t xml:space="preserve"> </w:t>
      </w:r>
      <w:r>
        <w:t>р</w:t>
      </w:r>
      <w:r w:rsidR="00A56E08">
        <w:t>одно</w:t>
      </w:r>
      <w:r w:rsidR="00740C05" w:rsidRPr="00F6340E">
        <w:t xml:space="preserve"> </w:t>
      </w:r>
      <w:r w:rsidR="00A56E08">
        <w:t>н</w:t>
      </w:r>
      <w:r w:rsidR="00EE6AA2">
        <w:t>е</w:t>
      </w:r>
      <w:r>
        <w:t>утр</w:t>
      </w:r>
      <w:r w:rsidR="00A56E08">
        <w:t>алној</w:t>
      </w:r>
      <w:r w:rsidR="00740C05" w:rsidRPr="00F6340E">
        <w:t xml:space="preserve"> </w:t>
      </w:r>
      <w:r w:rsidR="00A56E08">
        <w:t>фо</w:t>
      </w:r>
      <w:r>
        <w:t>р</w:t>
      </w:r>
      <w:r w:rsidR="00A56E08">
        <w:t>ми</w:t>
      </w:r>
      <w:r w:rsidR="00740C05" w:rsidRPr="00F6340E">
        <w:t xml:space="preserve"> </w:t>
      </w:r>
      <w:r w:rsidR="00A56E08">
        <w:t>и</w:t>
      </w:r>
      <w:r w:rsidR="00740C05" w:rsidRPr="00F6340E">
        <w:t xml:space="preserve"> </w:t>
      </w:r>
      <w:r w:rsidR="00A56E08">
        <w:t>одно</w:t>
      </w:r>
      <w:r>
        <w:t>с</w:t>
      </w:r>
      <w:r w:rsidR="00A56E08">
        <w:t>и</w:t>
      </w:r>
      <w:r w:rsidR="00740C05" w:rsidRPr="00F6340E">
        <w:t xml:space="preserve"> </w:t>
      </w:r>
      <w:r>
        <w:t>с</w:t>
      </w:r>
      <w:r w:rsidR="00EE6AA2">
        <w:t>е</w:t>
      </w:r>
      <w:r w:rsidR="00740C05" w:rsidRPr="00F6340E">
        <w:t xml:space="preserve"> </w:t>
      </w:r>
      <w:r>
        <w:t>п</w:t>
      </w:r>
      <w:r w:rsidR="00A56E08">
        <w:t>одј</w:t>
      </w:r>
      <w:r w:rsidR="00EE6AA2">
        <w:t>е</w:t>
      </w:r>
      <w:r w:rsidR="00A56E08">
        <w:t>днако</w:t>
      </w:r>
      <w:r w:rsidR="00740C05" w:rsidRPr="00F6340E">
        <w:t xml:space="preserve"> </w:t>
      </w:r>
      <w:r w:rsidR="00A56E08">
        <w:t>и</w:t>
      </w:r>
      <w:r w:rsidR="00740C05" w:rsidRPr="00F6340E">
        <w:t xml:space="preserve"> </w:t>
      </w:r>
      <w:r w:rsidR="00A56E08">
        <w:t>на</w:t>
      </w:r>
      <w:r w:rsidR="00740C05" w:rsidRPr="00F6340E">
        <w:t xml:space="preserve"> </w:t>
      </w:r>
      <w:r w:rsidR="00A56E08">
        <w:t>м</w:t>
      </w:r>
      <w:r>
        <w:t>у</w:t>
      </w:r>
      <w:r w:rsidR="00CB5414">
        <w:t>ш</w:t>
      </w:r>
      <w:r w:rsidR="00A56E08">
        <w:t>ка</w:t>
      </w:r>
      <w:r>
        <w:t>р</w:t>
      </w:r>
      <w:r w:rsidR="00A56E08">
        <w:t>ц</w:t>
      </w:r>
      <w:r w:rsidR="00EE6AA2">
        <w:t>е</w:t>
      </w:r>
      <w:r w:rsidR="00740C05" w:rsidRPr="00F6340E">
        <w:t xml:space="preserve"> </w:t>
      </w:r>
      <w:r w:rsidR="00A56E08">
        <w:t>и</w:t>
      </w:r>
      <w:r w:rsidR="00740C05" w:rsidRPr="00F6340E">
        <w:t xml:space="preserve"> </w:t>
      </w:r>
      <w:r w:rsidR="00CB5414">
        <w:t>ж</w:t>
      </w:r>
      <w:r w:rsidR="00EE6AA2">
        <w:t>е</w:t>
      </w:r>
      <w:r w:rsidR="00A56E08">
        <w:t>н</w:t>
      </w:r>
      <w:r w:rsidR="00EE6AA2">
        <w:t>е</w:t>
      </w:r>
      <w:r w:rsidR="00740C05" w:rsidRPr="00F6340E">
        <w:t xml:space="preserve">. </w:t>
      </w:r>
    </w:p>
    <w:p w14:paraId="4FE7F345" w14:textId="1FB0C972" w:rsidR="00D02117" w:rsidRPr="00F6340E" w:rsidRDefault="0071360A" w:rsidP="001A6D76">
      <w:pPr>
        <w:pStyle w:val="Body"/>
      </w:pPr>
      <w:r>
        <w:t>П</w:t>
      </w:r>
      <w:r w:rsidR="00A56E08">
        <w:t>ојам</w:t>
      </w:r>
      <w:r w:rsidR="00FB382C" w:rsidRPr="00F6340E">
        <w:t xml:space="preserve"> </w:t>
      </w:r>
      <w:r>
        <w:t>у</w:t>
      </w:r>
      <w:r w:rsidR="00CB5414">
        <w:t>ч</w:t>
      </w:r>
      <w:r w:rsidR="00EE6AA2">
        <w:t>е</w:t>
      </w:r>
      <w:r w:rsidR="00A56E08">
        <w:t>ник</w:t>
      </w:r>
      <w:r w:rsidR="00DB12EE" w:rsidRPr="00F6340E">
        <w:t xml:space="preserve"> </w:t>
      </w:r>
      <w:r w:rsidR="00A56E08">
        <w:t>ко</w:t>
      </w:r>
      <w:r>
        <w:t>р</w:t>
      </w:r>
      <w:r w:rsidR="00A56E08">
        <w:t>и</w:t>
      </w:r>
      <w:r>
        <w:t>ст</w:t>
      </w:r>
      <w:r w:rsidR="00A56E08">
        <w:t>и</w:t>
      </w:r>
      <w:r w:rsidR="00DB12EE" w:rsidRPr="00F6340E">
        <w:t xml:space="preserve"> </w:t>
      </w:r>
      <w:r>
        <w:t>с</w:t>
      </w:r>
      <w:r w:rsidR="00EE6AA2">
        <w:t>е</w:t>
      </w:r>
      <w:r w:rsidR="00FB382C" w:rsidRPr="00F6340E">
        <w:t xml:space="preserve"> </w:t>
      </w:r>
      <w:r w:rsidR="00171F00">
        <w:t>з</w:t>
      </w:r>
      <w:r w:rsidR="00A56E08">
        <w:t>а</w:t>
      </w:r>
      <w:r w:rsidR="00FB382C" w:rsidRPr="00F6340E">
        <w:t xml:space="preserve"> </w:t>
      </w:r>
      <w:r>
        <w:t>св</w:t>
      </w:r>
      <w:r w:rsidR="00A56E08">
        <w:t>аког</w:t>
      </w:r>
      <w:r w:rsidR="00FB382C" w:rsidRPr="00F6340E">
        <w:t xml:space="preserve"> </w:t>
      </w:r>
      <w:r>
        <w:t>п</w:t>
      </w:r>
      <w:r w:rsidR="00A56E08">
        <w:t>ола</w:t>
      </w:r>
      <w:r w:rsidR="00171F00">
        <w:t>з</w:t>
      </w:r>
      <w:r w:rsidR="00A56E08">
        <w:t>ника</w:t>
      </w:r>
      <w:r w:rsidR="00FB382C" w:rsidRPr="00F6340E">
        <w:t xml:space="preserve"> </w:t>
      </w:r>
      <w:r>
        <w:t>у</w:t>
      </w:r>
      <w:r w:rsidR="00FB382C" w:rsidRPr="00F6340E">
        <w:t xml:space="preserve"> </w:t>
      </w:r>
      <w:r w:rsidR="00A56E08">
        <w:t>на</w:t>
      </w:r>
      <w:r>
        <w:t>ст</w:t>
      </w:r>
      <w:r w:rsidR="00A56E08">
        <w:t>а</w:t>
      </w:r>
      <w:r>
        <w:t>в</w:t>
      </w:r>
      <w:r w:rsidR="00A56E08">
        <w:t>ном</w:t>
      </w:r>
      <w:r w:rsidR="00FB382C" w:rsidRPr="00F6340E">
        <w:t xml:space="preserve"> </w:t>
      </w:r>
      <w:r>
        <w:t>пр</w:t>
      </w:r>
      <w:r w:rsidR="00A56E08">
        <w:t>оц</w:t>
      </w:r>
      <w:r w:rsidR="00EE6AA2">
        <w:t>е</w:t>
      </w:r>
      <w:r>
        <w:t>су</w:t>
      </w:r>
      <w:r w:rsidR="00FB382C" w:rsidRPr="00F6340E">
        <w:t xml:space="preserve"> </w:t>
      </w:r>
      <w:r w:rsidR="00A56E08">
        <w:t>било</w:t>
      </w:r>
      <w:r w:rsidR="00FB382C" w:rsidRPr="00F6340E">
        <w:t xml:space="preserve"> </w:t>
      </w:r>
      <w:r w:rsidR="00A56E08">
        <w:t>да</w:t>
      </w:r>
      <w:r w:rsidR="00FB382C" w:rsidRPr="00F6340E">
        <w:t xml:space="preserve"> </w:t>
      </w:r>
      <w:r>
        <w:t>с</w:t>
      </w:r>
      <w:r w:rsidR="00EE6AA2">
        <w:t>е</w:t>
      </w:r>
      <w:r w:rsidR="00FB382C" w:rsidRPr="00F6340E">
        <w:t xml:space="preserve"> </w:t>
      </w:r>
      <w:r>
        <w:t>р</w:t>
      </w:r>
      <w:r w:rsidR="00A56E08">
        <w:t>ади</w:t>
      </w:r>
      <w:r w:rsidR="00FB382C" w:rsidRPr="00F6340E">
        <w:t xml:space="preserve"> </w:t>
      </w:r>
      <w:r w:rsidR="00A56E08">
        <w:t>о</w:t>
      </w:r>
      <w:r w:rsidR="00FB382C" w:rsidRPr="00F6340E">
        <w:t xml:space="preserve"> </w:t>
      </w:r>
      <w:r w:rsidR="00A56E08">
        <w:t>о</w:t>
      </w:r>
      <w:r>
        <w:t>с</w:t>
      </w:r>
      <w:r w:rsidR="00A56E08">
        <w:t>но</w:t>
      </w:r>
      <w:r>
        <w:t>в</w:t>
      </w:r>
      <w:r w:rsidR="00A56E08">
        <w:t>ној</w:t>
      </w:r>
      <w:r w:rsidR="00FB382C" w:rsidRPr="00F6340E">
        <w:t xml:space="preserve"> </w:t>
      </w:r>
      <w:r w:rsidR="00A56E08">
        <w:t>или</w:t>
      </w:r>
      <w:r w:rsidR="00FB382C" w:rsidRPr="00F6340E">
        <w:t xml:space="preserve"> </w:t>
      </w:r>
      <w:r>
        <w:t>ср</w:t>
      </w:r>
      <w:r w:rsidR="00EE6AA2">
        <w:t>е</w:t>
      </w:r>
      <w:r w:rsidR="00A56E08">
        <w:t>дњој</w:t>
      </w:r>
      <w:r w:rsidR="00FB382C" w:rsidRPr="00F6340E">
        <w:t xml:space="preserve"> </w:t>
      </w:r>
      <w:r>
        <w:t>ш</w:t>
      </w:r>
      <w:r w:rsidR="00A56E08">
        <w:t>коли</w:t>
      </w:r>
      <w:r w:rsidR="00FB382C" w:rsidRPr="00F6340E">
        <w:t xml:space="preserve">, </w:t>
      </w:r>
      <w:r w:rsidR="00A56E08">
        <w:t>док</w:t>
      </w:r>
      <w:r w:rsidR="00FB382C" w:rsidRPr="00F6340E">
        <w:t xml:space="preserve"> </w:t>
      </w:r>
      <w:r>
        <w:t>с</w:t>
      </w:r>
      <w:r w:rsidR="00EE6AA2">
        <w:t>е</w:t>
      </w:r>
      <w:r w:rsidR="00FB382C" w:rsidRPr="00F6340E">
        <w:t xml:space="preserve"> </w:t>
      </w:r>
      <w:r w:rsidR="00171F00">
        <w:t>з</w:t>
      </w:r>
      <w:r w:rsidR="00A56E08">
        <w:t>а</w:t>
      </w:r>
      <w:r w:rsidR="00FB382C" w:rsidRPr="00F6340E">
        <w:t xml:space="preserve"> </w:t>
      </w:r>
      <w:r>
        <w:t>п</w:t>
      </w:r>
      <w:r w:rsidR="00A56E08">
        <w:t>ола</w:t>
      </w:r>
      <w:r w:rsidR="00171F00">
        <w:t>з</w:t>
      </w:r>
      <w:r w:rsidR="00A56E08">
        <w:t>ник</w:t>
      </w:r>
      <w:r w:rsidR="00EE6AA2">
        <w:t>е</w:t>
      </w:r>
      <w:r w:rsidR="00FB382C" w:rsidRPr="00F6340E">
        <w:t xml:space="preserve"> </w:t>
      </w:r>
      <w:r>
        <w:t>у</w:t>
      </w:r>
      <w:r w:rsidR="00FB382C" w:rsidRPr="00F6340E">
        <w:t xml:space="preserve"> </w:t>
      </w:r>
      <w:r>
        <w:t>в</w:t>
      </w:r>
      <w:r w:rsidR="00A56E08">
        <w:t>и</w:t>
      </w:r>
      <w:r>
        <w:t>с</w:t>
      </w:r>
      <w:r w:rsidR="00A56E08">
        <w:t>око</w:t>
      </w:r>
      <w:r>
        <w:t>ш</w:t>
      </w:r>
      <w:r w:rsidR="00A56E08">
        <w:t>кол</w:t>
      </w:r>
      <w:r>
        <w:t>с</w:t>
      </w:r>
      <w:r w:rsidR="00A56E08">
        <w:t>ком</w:t>
      </w:r>
      <w:r w:rsidR="00FB382C" w:rsidRPr="00F6340E">
        <w:t xml:space="preserve"> </w:t>
      </w:r>
      <w:r w:rsidR="00A56E08">
        <w:t>об</w:t>
      </w:r>
      <w:r>
        <w:t>р</w:t>
      </w:r>
      <w:r w:rsidR="00A56E08">
        <w:t>а</w:t>
      </w:r>
      <w:r w:rsidR="00171F00">
        <w:t>з</w:t>
      </w:r>
      <w:r w:rsidR="00A56E08">
        <w:t>о</w:t>
      </w:r>
      <w:r>
        <w:t>в</w:t>
      </w:r>
      <w:r w:rsidR="00A56E08">
        <w:t>ањ</w:t>
      </w:r>
      <w:r>
        <w:t>у</w:t>
      </w:r>
      <w:r w:rsidR="00DB12EE" w:rsidRPr="00F6340E">
        <w:t xml:space="preserve"> </w:t>
      </w:r>
      <w:r w:rsidR="00A56E08">
        <w:t>ко</w:t>
      </w:r>
      <w:r>
        <w:t>р</w:t>
      </w:r>
      <w:r w:rsidR="00A56E08">
        <w:t>и</w:t>
      </w:r>
      <w:r>
        <w:t>ст</w:t>
      </w:r>
      <w:r w:rsidR="00A56E08">
        <w:t>и</w:t>
      </w:r>
      <w:r w:rsidR="00DB12EE" w:rsidRPr="00F6340E">
        <w:t xml:space="preserve"> </w:t>
      </w:r>
      <w:r>
        <w:t>п</w:t>
      </w:r>
      <w:r w:rsidR="00A56E08">
        <w:t>ојам</w:t>
      </w:r>
      <w:r w:rsidR="0029666C" w:rsidRPr="00F6340E">
        <w:t xml:space="preserve"> </w:t>
      </w:r>
      <w:r>
        <w:t>сту</w:t>
      </w:r>
      <w:r w:rsidR="00A56E08">
        <w:t>д</w:t>
      </w:r>
      <w:r w:rsidR="00EE6AA2">
        <w:t>е</w:t>
      </w:r>
      <w:r w:rsidR="00A56E08">
        <w:t>н</w:t>
      </w:r>
      <w:r>
        <w:t>т</w:t>
      </w:r>
      <w:r w:rsidR="00FB382C" w:rsidRPr="00F6340E">
        <w:t xml:space="preserve">. </w:t>
      </w:r>
      <w:r>
        <w:t>П</w:t>
      </w:r>
      <w:r w:rsidR="00A56E08">
        <w:t>ојмо</w:t>
      </w:r>
      <w:r>
        <w:t>в</w:t>
      </w:r>
      <w:r w:rsidR="00A56E08">
        <w:t>и</w:t>
      </w:r>
      <w:r w:rsidR="0029666C" w:rsidRPr="00F6340E">
        <w:t xml:space="preserve"> </w:t>
      </w:r>
      <w:r w:rsidR="00A56E08">
        <w:t>који</w:t>
      </w:r>
      <w:r w:rsidR="00FB382C" w:rsidRPr="00F6340E">
        <w:t xml:space="preserve"> </w:t>
      </w:r>
      <w:r>
        <w:t>с</w:t>
      </w:r>
      <w:r w:rsidR="00EE6AA2">
        <w:t>е</w:t>
      </w:r>
      <w:r w:rsidR="00FB382C" w:rsidRPr="00F6340E">
        <w:t xml:space="preserve"> </w:t>
      </w:r>
      <w:r w:rsidR="00A56E08">
        <w:t>ко</w:t>
      </w:r>
      <w:r>
        <w:t>р</w:t>
      </w:r>
      <w:r w:rsidR="00A56E08">
        <w:t>и</w:t>
      </w:r>
      <w:r>
        <w:t>ст</w:t>
      </w:r>
      <w:r w:rsidR="00EE6AA2">
        <w:t>е</w:t>
      </w:r>
      <w:r w:rsidR="00FB382C" w:rsidRPr="00F6340E">
        <w:t xml:space="preserve"> </w:t>
      </w:r>
      <w:r w:rsidR="00171F00">
        <w:t>з</w:t>
      </w:r>
      <w:r w:rsidR="00A56E08">
        <w:t>а</w:t>
      </w:r>
      <w:r w:rsidR="0029666C" w:rsidRPr="00F6340E">
        <w:t xml:space="preserve"> </w:t>
      </w:r>
      <w:r>
        <w:t>п</w:t>
      </w:r>
      <w:r w:rsidR="00A56E08">
        <w:t>ола</w:t>
      </w:r>
      <w:r w:rsidR="00171F00">
        <w:t>з</w:t>
      </w:r>
      <w:r w:rsidR="00A56E08">
        <w:t>ник</w:t>
      </w:r>
      <w:r w:rsidR="00EE6AA2">
        <w:t>е</w:t>
      </w:r>
      <w:r w:rsidR="0029666C" w:rsidRPr="00F6340E">
        <w:t xml:space="preserve"> </w:t>
      </w:r>
      <w:r>
        <w:t>т</w:t>
      </w:r>
      <w:r w:rsidR="00A56E08">
        <w:t>акођ</w:t>
      </w:r>
      <w:r w:rsidR="00EE6AA2">
        <w:t>е</w:t>
      </w:r>
      <w:r w:rsidR="00FB382C" w:rsidRPr="00F6340E">
        <w:t xml:space="preserve"> </w:t>
      </w:r>
      <w:r>
        <w:t>су</w:t>
      </w:r>
      <w:r w:rsidR="00FB382C" w:rsidRPr="00F6340E">
        <w:t xml:space="preserve"> </w:t>
      </w:r>
      <w:r>
        <w:t>р</w:t>
      </w:r>
      <w:r w:rsidR="00A56E08">
        <w:t>одно</w:t>
      </w:r>
      <w:r w:rsidR="00FB382C" w:rsidRPr="00F6340E">
        <w:t xml:space="preserve"> </w:t>
      </w:r>
      <w:r w:rsidR="00A56E08">
        <w:t>н</w:t>
      </w:r>
      <w:r w:rsidR="00EE6AA2">
        <w:t>е</w:t>
      </w:r>
      <w:r>
        <w:t>утр</w:t>
      </w:r>
      <w:r w:rsidR="00A56E08">
        <w:t>ални</w:t>
      </w:r>
      <w:r w:rsidR="00FB382C" w:rsidRPr="00F6340E">
        <w:t xml:space="preserve"> </w:t>
      </w:r>
      <w:r w:rsidR="00A56E08">
        <w:t>и</w:t>
      </w:r>
      <w:r w:rsidR="00FB382C" w:rsidRPr="00F6340E">
        <w:t xml:space="preserve"> </w:t>
      </w:r>
      <w:r w:rsidR="00A56E08">
        <w:t>одно</w:t>
      </w:r>
      <w:r>
        <w:t>с</w:t>
      </w:r>
      <w:r w:rsidR="00EE6AA2">
        <w:t>е</w:t>
      </w:r>
      <w:r w:rsidR="00FB382C" w:rsidRPr="00F6340E">
        <w:t xml:space="preserve"> </w:t>
      </w:r>
      <w:r>
        <w:t>с</w:t>
      </w:r>
      <w:r w:rsidR="00EE6AA2">
        <w:t>е</w:t>
      </w:r>
      <w:r w:rsidR="00FB382C" w:rsidRPr="00F6340E">
        <w:t xml:space="preserve"> </w:t>
      </w:r>
      <w:r w:rsidR="00A56E08">
        <w:t>ј</w:t>
      </w:r>
      <w:r w:rsidR="00EE6AA2">
        <w:t>е</w:t>
      </w:r>
      <w:r w:rsidR="00A56E08">
        <w:t>днако</w:t>
      </w:r>
      <w:r w:rsidR="00FB382C" w:rsidRPr="00F6340E">
        <w:t xml:space="preserve"> </w:t>
      </w:r>
      <w:r w:rsidR="00A56E08">
        <w:t>и</w:t>
      </w:r>
      <w:r w:rsidR="00FB382C" w:rsidRPr="00F6340E">
        <w:t xml:space="preserve"> </w:t>
      </w:r>
      <w:r w:rsidR="00A56E08">
        <w:t>на</w:t>
      </w:r>
      <w:r w:rsidR="00FB382C" w:rsidRPr="00F6340E">
        <w:t xml:space="preserve"> </w:t>
      </w:r>
      <w:r>
        <w:t>у</w:t>
      </w:r>
      <w:r w:rsidR="00CB5414">
        <w:t>ч</w:t>
      </w:r>
      <w:r w:rsidR="00EE6AA2">
        <w:t>е</w:t>
      </w:r>
      <w:r w:rsidR="00A56E08">
        <w:t>ник</w:t>
      </w:r>
      <w:r w:rsidR="00EE6AA2">
        <w:t>е</w:t>
      </w:r>
      <w:r w:rsidR="00FB382C" w:rsidRPr="00F6340E">
        <w:t xml:space="preserve"> </w:t>
      </w:r>
      <w:r w:rsidR="00A56E08">
        <w:t>и</w:t>
      </w:r>
      <w:r w:rsidR="00FB382C" w:rsidRPr="00F6340E">
        <w:t xml:space="preserve"> </w:t>
      </w:r>
      <w:r>
        <w:t>у</w:t>
      </w:r>
      <w:r w:rsidR="00CB5414">
        <w:t>ч</w:t>
      </w:r>
      <w:r w:rsidR="00EE6AA2">
        <w:t>е</w:t>
      </w:r>
      <w:r w:rsidR="00A56E08">
        <w:t>ниц</w:t>
      </w:r>
      <w:r w:rsidR="00EE6AA2">
        <w:t>е</w:t>
      </w:r>
      <w:r w:rsidR="00FB382C" w:rsidRPr="00F6340E">
        <w:t xml:space="preserve"> </w:t>
      </w:r>
      <w:r w:rsidR="00A56E08">
        <w:t>одно</w:t>
      </w:r>
      <w:r>
        <w:t>с</w:t>
      </w:r>
      <w:r w:rsidR="00A56E08">
        <w:t>но</w:t>
      </w:r>
      <w:r w:rsidR="00FB382C" w:rsidRPr="00F6340E">
        <w:t xml:space="preserve"> </w:t>
      </w:r>
      <w:r>
        <w:t>сту</w:t>
      </w:r>
      <w:r w:rsidR="00A56E08">
        <w:t>д</w:t>
      </w:r>
      <w:r w:rsidR="00EE6AA2">
        <w:t>е</w:t>
      </w:r>
      <w:r w:rsidR="00A56E08">
        <w:t>н</w:t>
      </w:r>
      <w:r>
        <w:t>т</w:t>
      </w:r>
      <w:r w:rsidR="00EE6AA2">
        <w:t>е</w:t>
      </w:r>
      <w:r w:rsidR="00FB382C" w:rsidRPr="00F6340E">
        <w:t xml:space="preserve"> </w:t>
      </w:r>
      <w:r w:rsidR="00A56E08">
        <w:t>и</w:t>
      </w:r>
      <w:r w:rsidR="00FB382C" w:rsidRPr="00F6340E">
        <w:t xml:space="preserve"> </w:t>
      </w:r>
      <w:r>
        <w:t>сту</w:t>
      </w:r>
      <w:r w:rsidR="00A56E08">
        <w:t>д</w:t>
      </w:r>
      <w:r w:rsidR="00EE6AA2">
        <w:t>е</w:t>
      </w:r>
      <w:r w:rsidR="00A56E08">
        <w:t>н</w:t>
      </w:r>
      <w:r>
        <w:t>т</w:t>
      </w:r>
      <w:r w:rsidR="00A56E08">
        <w:t>иц</w:t>
      </w:r>
      <w:r w:rsidR="00EE6AA2">
        <w:t>е</w:t>
      </w:r>
      <w:r w:rsidR="00FB382C" w:rsidRPr="00F6340E">
        <w:t xml:space="preserve">. </w:t>
      </w:r>
    </w:p>
    <w:p w14:paraId="7349EC87" w14:textId="07480656" w:rsidR="00C87D38" w:rsidRPr="00F6340E" w:rsidRDefault="0071360A" w:rsidP="001A6D76">
      <w:pPr>
        <w:pStyle w:val="Body"/>
        <w:rPr>
          <w:rStyle w:val="markedcontent"/>
          <w:rFonts w:cs="Arial"/>
          <w:szCs w:val="30"/>
        </w:rPr>
      </w:pPr>
      <w:r>
        <w:t>П</w:t>
      </w:r>
      <w:r w:rsidR="00A56E08">
        <w:t>ојам</w:t>
      </w:r>
      <w:r w:rsidR="0029666C" w:rsidRPr="00F6340E">
        <w:t xml:space="preserve"> </w:t>
      </w:r>
      <w:r w:rsidR="00A56E08">
        <w:t>об</w:t>
      </w:r>
      <w:r>
        <w:t>р</w:t>
      </w:r>
      <w:r w:rsidR="00A56E08">
        <w:t>а</w:t>
      </w:r>
      <w:r w:rsidR="00171F00">
        <w:t>з</w:t>
      </w:r>
      <w:r w:rsidR="00A56E08">
        <w:t>о</w:t>
      </w:r>
      <w:r>
        <w:t>в</w:t>
      </w:r>
      <w:r w:rsidR="00A56E08">
        <w:t>на</w:t>
      </w:r>
      <w:r w:rsidR="00C23CA6" w:rsidRPr="00F6340E">
        <w:t xml:space="preserve"> </w:t>
      </w:r>
      <w:r w:rsidR="00A56E08">
        <w:t>ин</w:t>
      </w:r>
      <w:r>
        <w:t>ст</w:t>
      </w:r>
      <w:r w:rsidR="00A56E08">
        <w:t>и</w:t>
      </w:r>
      <w:r>
        <w:t>ту</w:t>
      </w:r>
      <w:r w:rsidR="00A56E08">
        <w:t>ција</w:t>
      </w:r>
      <w:r w:rsidR="00D50EA3" w:rsidRPr="00F6340E">
        <w:t xml:space="preserve"> </w:t>
      </w:r>
      <w:r>
        <w:t>с</w:t>
      </w:r>
      <w:r w:rsidR="00EE6AA2">
        <w:t>е</w:t>
      </w:r>
      <w:r w:rsidR="00D50EA3" w:rsidRPr="00F6340E">
        <w:t xml:space="preserve"> </w:t>
      </w:r>
      <w:r w:rsidR="00A56E08">
        <w:t>одно</w:t>
      </w:r>
      <w:r>
        <w:t>с</w:t>
      </w:r>
      <w:r w:rsidR="00A56E08">
        <w:t>и</w:t>
      </w:r>
      <w:r w:rsidR="00D50EA3" w:rsidRPr="00F6340E">
        <w:t xml:space="preserve"> </w:t>
      </w:r>
      <w:r w:rsidR="00A56E08">
        <w:t>на</w:t>
      </w:r>
      <w:r w:rsidR="00D50EA3" w:rsidRPr="00F6340E">
        <w:t xml:space="preserve"> </w:t>
      </w:r>
      <w:r w:rsidR="00A56E08">
        <w:t>о</w:t>
      </w:r>
      <w:r>
        <w:t>с</w:t>
      </w:r>
      <w:r w:rsidR="00A56E08">
        <w:t>но</w:t>
      </w:r>
      <w:r>
        <w:t>в</w:t>
      </w:r>
      <w:r w:rsidR="00A56E08">
        <w:t>н</w:t>
      </w:r>
      <w:r w:rsidR="00EE6AA2">
        <w:t>е</w:t>
      </w:r>
      <w:r w:rsidR="00D50EA3" w:rsidRPr="00F6340E">
        <w:t xml:space="preserve"> </w:t>
      </w:r>
      <w:r w:rsidR="00A56E08">
        <w:t>и</w:t>
      </w:r>
      <w:r w:rsidR="00D50EA3" w:rsidRPr="00F6340E">
        <w:t xml:space="preserve"> </w:t>
      </w:r>
      <w:r>
        <w:t>ср</w:t>
      </w:r>
      <w:r w:rsidR="00EE6AA2">
        <w:t>е</w:t>
      </w:r>
      <w:r w:rsidR="00A56E08">
        <w:t>дњ</w:t>
      </w:r>
      <w:r w:rsidR="00EE6AA2">
        <w:t>е</w:t>
      </w:r>
      <w:r w:rsidR="00D50EA3" w:rsidRPr="00F6340E">
        <w:t xml:space="preserve"> </w:t>
      </w:r>
      <w:r>
        <w:t>ш</w:t>
      </w:r>
      <w:r w:rsidR="00A56E08">
        <w:t>кол</w:t>
      </w:r>
      <w:r w:rsidR="00EE6AA2">
        <w:t>е</w:t>
      </w:r>
      <w:r w:rsidR="0022781E" w:rsidRPr="00F6340E">
        <w:t xml:space="preserve"> </w:t>
      </w:r>
      <w:r>
        <w:t>т</w:t>
      </w:r>
      <w:r w:rsidR="00EE6AA2">
        <w:t>е</w:t>
      </w:r>
      <w:r w:rsidR="0022781E" w:rsidRPr="00F6340E">
        <w:t xml:space="preserve"> </w:t>
      </w:r>
      <w:r>
        <w:t>в</w:t>
      </w:r>
      <w:r w:rsidR="00A56E08">
        <w:t>и</w:t>
      </w:r>
      <w:r>
        <w:t>с</w:t>
      </w:r>
      <w:r w:rsidR="00A56E08">
        <w:t>око</w:t>
      </w:r>
      <w:r>
        <w:t>ш</w:t>
      </w:r>
      <w:r w:rsidR="00A56E08">
        <w:t>кол</w:t>
      </w:r>
      <w:r>
        <w:t>с</w:t>
      </w:r>
      <w:r w:rsidR="00A56E08">
        <w:t>к</w:t>
      </w:r>
      <w:r w:rsidR="00EE6AA2">
        <w:t>е</w:t>
      </w:r>
      <w:r w:rsidR="0022781E" w:rsidRPr="00F6340E">
        <w:t xml:space="preserve"> </w:t>
      </w:r>
      <w:r w:rsidR="00A56E08">
        <w:t>ин</w:t>
      </w:r>
      <w:r>
        <w:t>ст</w:t>
      </w:r>
      <w:r w:rsidR="00A56E08">
        <w:t>и</w:t>
      </w:r>
      <w:r>
        <w:t>ту</w:t>
      </w:r>
      <w:r w:rsidR="00A56E08">
        <w:t>циј</w:t>
      </w:r>
      <w:r w:rsidR="00EE6AA2">
        <w:t>е</w:t>
      </w:r>
      <w:r w:rsidR="0022781E" w:rsidRPr="00F6340E">
        <w:t xml:space="preserve"> </w:t>
      </w:r>
      <w:r w:rsidR="0022781E" w:rsidRPr="00F6340E">
        <w:rPr>
          <w:rStyle w:val="markedcontent"/>
          <w:rFonts w:cs="Arial"/>
          <w:szCs w:val="30"/>
        </w:rPr>
        <w:t>(</w:t>
      </w:r>
      <w:r>
        <w:rPr>
          <w:rStyle w:val="markedcontent"/>
          <w:rFonts w:cs="Arial"/>
          <w:szCs w:val="30"/>
        </w:rPr>
        <w:t>у</w:t>
      </w:r>
      <w:r w:rsidR="00A56E08">
        <w:rPr>
          <w:rStyle w:val="markedcontent"/>
          <w:rFonts w:cs="Arial"/>
          <w:szCs w:val="30"/>
        </w:rPr>
        <w:t>ни</w:t>
      </w:r>
      <w:r>
        <w:rPr>
          <w:rStyle w:val="markedcontent"/>
          <w:rFonts w:cs="Arial"/>
          <w:szCs w:val="30"/>
        </w:rPr>
        <w:t>в</w:t>
      </w:r>
      <w:r w:rsidR="00EE6AA2">
        <w:rPr>
          <w:rStyle w:val="markedcontent"/>
          <w:rFonts w:cs="Arial"/>
          <w:szCs w:val="30"/>
        </w:rPr>
        <w:t>е</w:t>
      </w:r>
      <w:r>
        <w:rPr>
          <w:rStyle w:val="markedcontent"/>
          <w:rFonts w:cs="Arial"/>
          <w:szCs w:val="30"/>
        </w:rPr>
        <w:t>р</w:t>
      </w:r>
      <w:r w:rsidR="00171F00">
        <w:rPr>
          <w:rStyle w:val="markedcontent"/>
          <w:rFonts w:cs="Arial"/>
          <w:szCs w:val="30"/>
        </w:rPr>
        <w:t>з</w:t>
      </w:r>
      <w:r w:rsidR="00A56E08">
        <w:rPr>
          <w:rStyle w:val="markedcontent"/>
          <w:rFonts w:cs="Arial"/>
          <w:szCs w:val="30"/>
        </w:rPr>
        <w:t>и</w:t>
      </w:r>
      <w:r>
        <w:rPr>
          <w:rStyle w:val="markedcontent"/>
          <w:rFonts w:cs="Arial"/>
          <w:szCs w:val="30"/>
        </w:rPr>
        <w:t>т</w:t>
      </w:r>
      <w:r w:rsidR="00EE6AA2">
        <w:rPr>
          <w:rStyle w:val="markedcontent"/>
          <w:rFonts w:cs="Arial"/>
          <w:szCs w:val="30"/>
        </w:rPr>
        <w:t>е</w:t>
      </w:r>
      <w:r>
        <w:rPr>
          <w:rStyle w:val="markedcontent"/>
          <w:rFonts w:cs="Arial"/>
          <w:szCs w:val="30"/>
        </w:rPr>
        <w:t>т</w:t>
      </w:r>
      <w:r w:rsidR="00EE6AA2">
        <w:rPr>
          <w:rStyle w:val="markedcontent"/>
          <w:rFonts w:cs="Arial"/>
          <w:szCs w:val="30"/>
        </w:rPr>
        <w:t>е</w:t>
      </w:r>
      <w:r w:rsidR="00FA763F" w:rsidRPr="00F6340E">
        <w:rPr>
          <w:rStyle w:val="markedcontent"/>
          <w:rFonts w:cs="Arial"/>
          <w:szCs w:val="30"/>
        </w:rPr>
        <w:t xml:space="preserve"> </w:t>
      </w:r>
      <w:r w:rsidR="00A56E08">
        <w:rPr>
          <w:rStyle w:val="markedcontent"/>
          <w:rFonts w:cs="Arial"/>
          <w:szCs w:val="30"/>
        </w:rPr>
        <w:t>и</w:t>
      </w:r>
      <w:r w:rsidR="004B323E" w:rsidRPr="00F6340E">
        <w:rPr>
          <w:rStyle w:val="markedcontent"/>
          <w:rFonts w:cs="Arial"/>
          <w:szCs w:val="30"/>
        </w:rPr>
        <w:t xml:space="preserve"> </w:t>
      </w:r>
      <w:r>
        <w:rPr>
          <w:rStyle w:val="markedcontent"/>
          <w:rFonts w:cs="Arial"/>
          <w:szCs w:val="30"/>
        </w:rPr>
        <w:t>в</w:t>
      </w:r>
      <w:r w:rsidR="00A56E08">
        <w:rPr>
          <w:rStyle w:val="markedcontent"/>
          <w:rFonts w:cs="Arial"/>
          <w:szCs w:val="30"/>
        </w:rPr>
        <w:t>и</w:t>
      </w:r>
      <w:r>
        <w:rPr>
          <w:rStyle w:val="markedcontent"/>
          <w:rFonts w:cs="Arial"/>
          <w:szCs w:val="30"/>
        </w:rPr>
        <w:t>с</w:t>
      </w:r>
      <w:r w:rsidR="00A56E08">
        <w:rPr>
          <w:rStyle w:val="markedcontent"/>
          <w:rFonts w:cs="Arial"/>
          <w:szCs w:val="30"/>
        </w:rPr>
        <w:t>ок</w:t>
      </w:r>
      <w:r w:rsidR="00EE6AA2">
        <w:rPr>
          <w:rStyle w:val="markedcontent"/>
          <w:rFonts w:cs="Arial"/>
          <w:szCs w:val="30"/>
        </w:rPr>
        <w:t>е</w:t>
      </w:r>
      <w:r w:rsidR="004B323E" w:rsidRPr="00F6340E">
        <w:rPr>
          <w:rStyle w:val="markedcontent"/>
          <w:rFonts w:cs="Arial"/>
          <w:szCs w:val="30"/>
        </w:rPr>
        <w:t xml:space="preserve"> </w:t>
      </w:r>
      <w:r>
        <w:rPr>
          <w:rStyle w:val="markedcontent"/>
          <w:rFonts w:cs="Arial"/>
          <w:szCs w:val="30"/>
        </w:rPr>
        <w:t>ш</w:t>
      </w:r>
      <w:r w:rsidR="00A56E08">
        <w:rPr>
          <w:rStyle w:val="markedcontent"/>
          <w:rFonts w:cs="Arial"/>
          <w:szCs w:val="30"/>
        </w:rPr>
        <w:t>кол</w:t>
      </w:r>
      <w:r w:rsidR="00EE6AA2">
        <w:rPr>
          <w:rStyle w:val="markedcontent"/>
          <w:rFonts w:cs="Arial"/>
          <w:szCs w:val="30"/>
        </w:rPr>
        <w:t>е</w:t>
      </w:r>
      <w:r w:rsidR="0022781E" w:rsidRPr="00F6340E">
        <w:rPr>
          <w:rStyle w:val="markedcontent"/>
          <w:rFonts w:cs="Arial"/>
          <w:szCs w:val="30"/>
        </w:rPr>
        <w:t>)</w:t>
      </w:r>
      <w:r w:rsidR="004B323E" w:rsidRPr="00F6340E">
        <w:rPr>
          <w:rStyle w:val="markedcontent"/>
          <w:rFonts w:cs="Arial"/>
          <w:szCs w:val="30"/>
        </w:rPr>
        <w:t xml:space="preserve">. </w:t>
      </w:r>
    </w:p>
    <w:p w14:paraId="2BFD7285" w14:textId="2023DF95" w:rsidR="00483250" w:rsidRPr="00F6340E" w:rsidRDefault="00A56E08" w:rsidP="000962EB">
      <w:pPr>
        <w:pStyle w:val="Heading2"/>
        <w:numPr>
          <w:ilvl w:val="1"/>
          <w:numId w:val="68"/>
        </w:numPr>
        <w:rPr>
          <w:lang w:val="sr-Cyrl-BA"/>
        </w:rPr>
      </w:pPr>
      <w:bookmarkStart w:id="5" w:name="_Toc119050290"/>
      <w:r>
        <w:rPr>
          <w:lang w:val="sr-Cyrl-BA"/>
        </w:rPr>
        <w:t>Начин</w:t>
      </w:r>
      <w:r w:rsidR="00483250" w:rsidRPr="00F6340E">
        <w:rPr>
          <w:lang w:val="sr-Cyrl-BA"/>
        </w:rPr>
        <w:t xml:space="preserve"> </w:t>
      </w:r>
      <w:r>
        <w:rPr>
          <w:lang w:val="sr-Cyrl-BA"/>
        </w:rPr>
        <w:t>и</w:t>
      </w:r>
      <w:r w:rsidR="00171F00">
        <w:rPr>
          <w:lang w:val="sr-Cyrl-BA"/>
        </w:rPr>
        <w:t>з</w:t>
      </w:r>
      <w:r w:rsidR="0071360A">
        <w:rPr>
          <w:lang w:val="sr-Cyrl-BA"/>
        </w:rPr>
        <w:t>в</w:t>
      </w:r>
      <w:r>
        <w:rPr>
          <w:lang w:val="sr-Cyrl-BA"/>
        </w:rPr>
        <w:t>ођ</w:t>
      </w:r>
      <w:r w:rsidR="00EE6AA2">
        <w:rPr>
          <w:lang w:val="sr-Cyrl-BA"/>
        </w:rPr>
        <w:t>е</w:t>
      </w:r>
      <w:r>
        <w:rPr>
          <w:lang w:val="sr-Cyrl-BA"/>
        </w:rPr>
        <w:t>ња</w:t>
      </w:r>
      <w:r w:rsidR="00483250" w:rsidRPr="00F6340E">
        <w:rPr>
          <w:lang w:val="sr-Cyrl-BA"/>
        </w:rPr>
        <w:t xml:space="preserve"> </w:t>
      </w:r>
      <w:r>
        <w:rPr>
          <w:lang w:val="sr-Cyrl-BA"/>
        </w:rPr>
        <w:t>на</w:t>
      </w:r>
      <w:r w:rsidR="0071360A">
        <w:rPr>
          <w:lang w:val="sr-Cyrl-BA"/>
        </w:rPr>
        <w:t>ст</w:t>
      </w:r>
      <w:r>
        <w:rPr>
          <w:lang w:val="sr-Cyrl-BA"/>
        </w:rPr>
        <w:t>а</w:t>
      </w:r>
      <w:r w:rsidR="0071360A">
        <w:rPr>
          <w:lang w:val="sr-Cyrl-BA"/>
        </w:rPr>
        <w:t>в</w:t>
      </w:r>
      <w:r w:rsidR="00EE6AA2">
        <w:rPr>
          <w:lang w:val="sr-Cyrl-BA"/>
        </w:rPr>
        <w:t>е</w:t>
      </w:r>
      <w:bookmarkEnd w:id="5"/>
      <w:r w:rsidR="00483250" w:rsidRPr="00F6340E">
        <w:rPr>
          <w:lang w:val="sr-Cyrl-BA"/>
        </w:rPr>
        <w:t xml:space="preserve"> </w:t>
      </w:r>
    </w:p>
    <w:p w14:paraId="501D9DDD" w14:textId="1ABC5251" w:rsidR="00872771" w:rsidRPr="00F6340E" w:rsidRDefault="00A56E08" w:rsidP="001A6D76">
      <w:pPr>
        <w:pStyle w:val="Heading3"/>
        <w:numPr>
          <w:ilvl w:val="2"/>
          <w:numId w:val="73"/>
        </w:numPr>
        <w:ind w:left="567" w:hanging="567"/>
        <w:rPr>
          <w:lang w:val="sr-Cyrl-BA"/>
        </w:rPr>
      </w:pPr>
      <w:bookmarkStart w:id="6" w:name="_Toc119050291"/>
      <w:r>
        <w:rPr>
          <w:lang w:val="sr-Cyrl-BA"/>
        </w:rPr>
        <w:t>На</w:t>
      </w:r>
      <w:r w:rsidR="0071360A">
        <w:rPr>
          <w:lang w:val="sr-Cyrl-BA"/>
        </w:rPr>
        <w:t>ст</w:t>
      </w:r>
      <w:r>
        <w:rPr>
          <w:lang w:val="sr-Cyrl-BA"/>
        </w:rPr>
        <w:t>а</w:t>
      </w:r>
      <w:r w:rsidR="0071360A">
        <w:rPr>
          <w:lang w:val="sr-Cyrl-BA"/>
        </w:rPr>
        <w:t>в</w:t>
      </w:r>
      <w:r>
        <w:rPr>
          <w:lang w:val="sr-Cyrl-BA"/>
        </w:rPr>
        <w:t>а</w:t>
      </w:r>
      <w:r w:rsidR="00EE6127" w:rsidRPr="00F6340E">
        <w:rPr>
          <w:lang w:val="sr-Cyrl-BA"/>
        </w:rPr>
        <w:t xml:space="preserve"> </w:t>
      </w:r>
      <w:r w:rsidR="0071360A">
        <w:rPr>
          <w:lang w:val="sr-Cyrl-BA"/>
        </w:rPr>
        <w:t>пут</w:t>
      </w:r>
      <w:r w:rsidR="00EE6AA2">
        <w:rPr>
          <w:lang w:val="sr-Cyrl-BA"/>
        </w:rPr>
        <w:t>е</w:t>
      </w:r>
      <w:r>
        <w:rPr>
          <w:lang w:val="sr-Cyrl-BA"/>
        </w:rPr>
        <w:t>м</w:t>
      </w:r>
      <w:r w:rsidR="00EE6127" w:rsidRPr="00F6340E">
        <w:rPr>
          <w:lang w:val="sr-Cyrl-BA"/>
        </w:rPr>
        <w:t xml:space="preserve"> </w:t>
      </w:r>
      <w:r>
        <w:rPr>
          <w:lang w:val="sr-Cyrl-BA"/>
        </w:rPr>
        <w:t>ин</w:t>
      </w:r>
      <w:r w:rsidR="0071360A">
        <w:rPr>
          <w:lang w:val="sr-Cyrl-BA"/>
        </w:rPr>
        <w:t>т</w:t>
      </w:r>
      <w:r w:rsidR="00EE6AA2">
        <w:rPr>
          <w:lang w:val="sr-Cyrl-BA"/>
        </w:rPr>
        <w:t>е</w:t>
      </w:r>
      <w:r w:rsidR="0071360A">
        <w:rPr>
          <w:lang w:val="sr-Cyrl-BA"/>
        </w:rPr>
        <w:t>р</w:t>
      </w:r>
      <w:r>
        <w:rPr>
          <w:lang w:val="sr-Cyrl-BA"/>
        </w:rPr>
        <w:t>н</w:t>
      </w:r>
      <w:r w:rsidR="00EE6AA2">
        <w:rPr>
          <w:lang w:val="sr-Cyrl-BA"/>
        </w:rPr>
        <w:t>е</w:t>
      </w:r>
      <w:r w:rsidR="0071360A">
        <w:rPr>
          <w:lang w:val="sr-Cyrl-BA"/>
        </w:rPr>
        <w:t>т</w:t>
      </w:r>
      <w:r>
        <w:rPr>
          <w:lang w:val="sr-Cyrl-BA"/>
        </w:rPr>
        <w:t>а</w:t>
      </w:r>
      <w:r w:rsidR="00136CC1" w:rsidRPr="00F6340E">
        <w:rPr>
          <w:lang w:val="sr-Cyrl-BA"/>
        </w:rPr>
        <w:t xml:space="preserve"> (</w:t>
      </w:r>
      <w:r w:rsidR="00CB5414">
        <w:rPr>
          <w:lang w:val="hr-BA"/>
        </w:rPr>
        <w:t>Online teaching and learning</w:t>
      </w:r>
      <w:r w:rsidR="00136CC1" w:rsidRPr="00F6340E">
        <w:rPr>
          <w:lang w:val="sr-Cyrl-BA"/>
        </w:rPr>
        <w:t>)</w:t>
      </w:r>
      <w:bookmarkEnd w:id="6"/>
    </w:p>
    <w:p w14:paraId="5EBD28E8" w14:textId="6B0068D8" w:rsidR="00F176F2" w:rsidRPr="00F6340E" w:rsidRDefault="00A56E08" w:rsidP="00210EE1">
      <w:pPr>
        <w:pStyle w:val="Body"/>
      </w:pPr>
      <w:r>
        <w:t>На</w:t>
      </w:r>
      <w:r w:rsidR="0071360A">
        <w:t>ст</w:t>
      </w:r>
      <w:r>
        <w:t>а</w:t>
      </w:r>
      <w:r w:rsidR="0071360A">
        <w:t>в</w:t>
      </w:r>
      <w:r>
        <w:t>а</w:t>
      </w:r>
      <w:r w:rsidR="00EE6127" w:rsidRPr="00F6340E">
        <w:t xml:space="preserve"> </w:t>
      </w:r>
      <w:r w:rsidR="0071360A">
        <w:t>пут</w:t>
      </w:r>
      <w:r w:rsidR="00EE6AA2">
        <w:t>е</w:t>
      </w:r>
      <w:r>
        <w:t>м</w:t>
      </w:r>
      <w:r w:rsidR="00EE6127" w:rsidRPr="00F6340E">
        <w:t xml:space="preserve"> </w:t>
      </w:r>
      <w:r>
        <w:t>ин</w:t>
      </w:r>
      <w:r w:rsidR="0071360A">
        <w:t>т</w:t>
      </w:r>
      <w:r w:rsidR="00EE6AA2">
        <w:t>е</w:t>
      </w:r>
      <w:r w:rsidR="0071360A">
        <w:t>р</w:t>
      </w:r>
      <w:r>
        <w:t>н</w:t>
      </w:r>
      <w:r w:rsidR="00EE6AA2">
        <w:t>е</w:t>
      </w:r>
      <w:r w:rsidR="0071360A">
        <w:t>т</w:t>
      </w:r>
      <w:r>
        <w:t>а</w:t>
      </w:r>
      <w:r w:rsidR="00F176F2" w:rsidRPr="00F6340E">
        <w:t xml:space="preserve"> </w:t>
      </w:r>
      <w:r>
        <w:t>ј</w:t>
      </w:r>
      <w:r w:rsidR="00EE6AA2">
        <w:t>е</w:t>
      </w:r>
      <w:r w:rsidR="00F176F2" w:rsidRPr="00F6340E">
        <w:t xml:space="preserve"> </w:t>
      </w:r>
      <w:r>
        <w:t>облик</w:t>
      </w:r>
      <w:r w:rsidR="00F176F2" w:rsidRPr="00F6340E">
        <w:t xml:space="preserve"> </w:t>
      </w:r>
      <w:r w:rsidR="0071360A">
        <w:t>у</w:t>
      </w:r>
      <w:r>
        <w:t>ч</w:t>
      </w:r>
      <w:r w:rsidR="00EE6AA2">
        <w:t>е</w:t>
      </w:r>
      <w:r>
        <w:t>ња</w:t>
      </w:r>
      <w:r w:rsidR="00F176F2" w:rsidRPr="00F6340E">
        <w:t xml:space="preserve"> </w:t>
      </w:r>
      <w:r>
        <w:t>и</w:t>
      </w:r>
      <w:r w:rsidR="00F176F2" w:rsidRPr="00F6340E">
        <w:t xml:space="preserve"> </w:t>
      </w:r>
      <w:r w:rsidR="0071360A">
        <w:t>п</w:t>
      </w:r>
      <w:r>
        <w:t>од</w:t>
      </w:r>
      <w:r w:rsidR="0071360A">
        <w:t>у</w:t>
      </w:r>
      <w:r>
        <w:t>ча</w:t>
      </w:r>
      <w:r w:rsidR="0071360A">
        <w:t>в</w:t>
      </w:r>
      <w:r>
        <w:t>ања</w:t>
      </w:r>
      <w:r w:rsidR="00F176F2" w:rsidRPr="00F6340E">
        <w:t xml:space="preserve"> </w:t>
      </w:r>
      <w:r w:rsidR="0071360A">
        <w:t>у</w:t>
      </w:r>
      <w:r w:rsidR="00F176F2" w:rsidRPr="00F6340E">
        <w:t xml:space="preserve"> </w:t>
      </w:r>
      <w:r>
        <w:t>кој</w:t>
      </w:r>
      <w:r w:rsidR="00EE6AA2">
        <w:t>е</w:t>
      </w:r>
      <w:r>
        <w:t>м</w:t>
      </w:r>
      <w:r w:rsidR="00F176F2" w:rsidRPr="00F6340E">
        <w:t xml:space="preserve"> </w:t>
      </w:r>
      <w:r>
        <w:t>ниј</w:t>
      </w:r>
      <w:r w:rsidR="00EE6AA2">
        <w:t>е</w:t>
      </w:r>
      <w:r w:rsidR="00F176F2" w:rsidRPr="00F6340E">
        <w:t xml:space="preserve"> </w:t>
      </w:r>
      <w:r>
        <w:t>н</w:t>
      </w:r>
      <w:r w:rsidR="00EE6AA2">
        <w:t>е</w:t>
      </w:r>
      <w:r>
        <w:t>о</w:t>
      </w:r>
      <w:r w:rsidR="0071360A">
        <w:t>п</w:t>
      </w:r>
      <w:r>
        <w:t>ходна</w:t>
      </w:r>
      <w:r w:rsidR="00F176F2" w:rsidRPr="00F6340E">
        <w:t xml:space="preserve"> </w:t>
      </w:r>
      <w:r>
        <w:t>фи</w:t>
      </w:r>
      <w:r w:rsidR="00171F00">
        <w:t>з</w:t>
      </w:r>
      <w:r>
        <w:t>ичка</w:t>
      </w:r>
      <w:r w:rsidR="00F176F2" w:rsidRPr="00F6340E">
        <w:t xml:space="preserve"> </w:t>
      </w:r>
      <w:r w:rsidR="0071360A">
        <w:t>пр</w:t>
      </w:r>
      <w:r>
        <w:t>и</w:t>
      </w:r>
      <w:r w:rsidR="0071360A">
        <w:t>сут</w:t>
      </w:r>
      <w:r>
        <w:t>но</w:t>
      </w:r>
      <w:r w:rsidR="0071360A">
        <w:t>ст</w:t>
      </w:r>
      <w:r w:rsidR="00F176F2" w:rsidRPr="00F6340E">
        <w:t xml:space="preserve"> </w:t>
      </w:r>
      <w:r>
        <w:t>на</w:t>
      </w:r>
      <w:r w:rsidR="0071360A">
        <w:t>ст</w:t>
      </w:r>
      <w:r>
        <w:t>а</w:t>
      </w:r>
      <w:r w:rsidR="0071360A">
        <w:t>в</w:t>
      </w:r>
      <w:r>
        <w:t>ника</w:t>
      </w:r>
      <w:r w:rsidR="00F176F2" w:rsidRPr="00F6340E">
        <w:t xml:space="preserve"> </w:t>
      </w:r>
      <w:r>
        <w:t>и</w:t>
      </w:r>
      <w:r w:rsidR="00F176F2" w:rsidRPr="00F6340E">
        <w:t xml:space="preserve"> </w:t>
      </w:r>
      <w:r w:rsidR="0071360A">
        <w:t>у</w:t>
      </w:r>
      <w:r>
        <w:t>ч</w:t>
      </w:r>
      <w:r w:rsidR="00EE6AA2">
        <w:t>е</w:t>
      </w:r>
      <w:r>
        <w:t>ника</w:t>
      </w:r>
      <w:r w:rsidR="00F176F2" w:rsidRPr="00F6340E">
        <w:t>/</w:t>
      </w:r>
      <w:r w:rsidR="0071360A">
        <w:t>сту</w:t>
      </w:r>
      <w:r>
        <w:t>д</w:t>
      </w:r>
      <w:r w:rsidR="00EE6AA2">
        <w:t>е</w:t>
      </w:r>
      <w:r>
        <w:t>н</w:t>
      </w:r>
      <w:r w:rsidR="0071360A">
        <w:t>т</w:t>
      </w:r>
      <w:r>
        <w:t>а</w:t>
      </w:r>
      <w:r w:rsidR="00F176F2" w:rsidRPr="00F6340E">
        <w:t xml:space="preserve">, </w:t>
      </w:r>
      <w:r w:rsidR="0071360A">
        <w:t>в</w:t>
      </w:r>
      <w:r w:rsidR="00EE6AA2">
        <w:t>е</w:t>
      </w:r>
      <w:r>
        <w:t>ћ</w:t>
      </w:r>
      <w:r w:rsidR="00F176F2" w:rsidRPr="00F6340E">
        <w:t xml:space="preserve"> </w:t>
      </w:r>
      <w:r w:rsidR="0071360A">
        <w:t>с</w:t>
      </w:r>
      <w:r w:rsidR="00EE6AA2">
        <w:t>е</w:t>
      </w:r>
      <w:r w:rsidR="00F176F2" w:rsidRPr="00F6340E">
        <w:t xml:space="preserve"> </w:t>
      </w:r>
      <w:r w:rsidR="0071360A">
        <w:t>пр</w:t>
      </w:r>
      <w:r>
        <w:t>оц</w:t>
      </w:r>
      <w:r w:rsidR="00EE6AA2">
        <w:t>е</w:t>
      </w:r>
      <w:r w:rsidR="0071360A">
        <w:t>с</w:t>
      </w:r>
      <w:r w:rsidR="00F176F2" w:rsidRPr="00F6340E">
        <w:t xml:space="preserve"> </w:t>
      </w:r>
      <w:r w:rsidR="0071360A">
        <w:t>у</w:t>
      </w:r>
      <w:r>
        <w:t>ч</w:t>
      </w:r>
      <w:r w:rsidR="00EE6AA2">
        <w:t>е</w:t>
      </w:r>
      <w:r>
        <w:t>ња</w:t>
      </w:r>
      <w:r w:rsidR="00F176F2" w:rsidRPr="00F6340E">
        <w:t xml:space="preserve"> </w:t>
      </w:r>
      <w:r>
        <w:t>и</w:t>
      </w:r>
      <w:r w:rsidR="00F176F2" w:rsidRPr="00F6340E">
        <w:t xml:space="preserve"> </w:t>
      </w:r>
      <w:r w:rsidR="0071360A">
        <w:t>п</w:t>
      </w:r>
      <w:r>
        <w:t>од</w:t>
      </w:r>
      <w:r w:rsidR="0071360A">
        <w:t>у</w:t>
      </w:r>
      <w:r>
        <w:t>ча</w:t>
      </w:r>
      <w:r w:rsidR="0071360A">
        <w:t>в</w:t>
      </w:r>
      <w:r>
        <w:t>ања</w:t>
      </w:r>
      <w:r w:rsidR="00F176F2" w:rsidRPr="00F6340E">
        <w:t xml:space="preserve"> </w:t>
      </w:r>
      <w:r>
        <w:t>од</w:t>
      </w:r>
      <w:r w:rsidR="0071360A">
        <w:t>в</w:t>
      </w:r>
      <w:r>
        <w:t>ија</w:t>
      </w:r>
      <w:r w:rsidR="00F176F2" w:rsidRPr="00F6340E">
        <w:t xml:space="preserve"> </w:t>
      </w:r>
      <w:r w:rsidR="0071360A">
        <w:t>у</w:t>
      </w:r>
      <w:r w:rsidR="00F176F2" w:rsidRPr="00F6340E">
        <w:t xml:space="preserve"> </w:t>
      </w:r>
      <w:r w:rsidR="0071360A">
        <w:t>в</w:t>
      </w:r>
      <w:r>
        <w:t>и</w:t>
      </w:r>
      <w:r w:rsidR="0071360A">
        <w:t>рту</w:t>
      </w:r>
      <w:r w:rsidR="00EE6AA2">
        <w:t>е</w:t>
      </w:r>
      <w:r>
        <w:t>лном</w:t>
      </w:r>
      <w:r w:rsidR="00F176F2" w:rsidRPr="00F6340E">
        <w:t xml:space="preserve"> </w:t>
      </w:r>
      <w:r>
        <w:t>ок</w:t>
      </w:r>
      <w:r w:rsidR="0071360A">
        <w:t>ру</w:t>
      </w:r>
      <w:r w:rsidR="00171F00">
        <w:t>ж</w:t>
      </w:r>
      <w:r w:rsidR="00EE6AA2">
        <w:t>е</w:t>
      </w:r>
      <w:r>
        <w:t>њ</w:t>
      </w:r>
      <w:r w:rsidR="0071360A">
        <w:t>у</w:t>
      </w:r>
      <w:r w:rsidR="00F176F2" w:rsidRPr="00F6340E">
        <w:t xml:space="preserve"> </w:t>
      </w:r>
      <w:r w:rsidR="0071360A">
        <w:t>у</w:t>
      </w:r>
      <w:r w:rsidR="00171F00">
        <w:t>з</w:t>
      </w:r>
      <w:r w:rsidR="00F176F2" w:rsidRPr="00F6340E">
        <w:t xml:space="preserve"> </w:t>
      </w:r>
      <w:r w:rsidR="0071360A">
        <w:t>п</w:t>
      </w:r>
      <w:r>
        <w:t>од</w:t>
      </w:r>
      <w:r w:rsidR="0071360A">
        <w:t>рш</w:t>
      </w:r>
      <w:r>
        <w:t>к</w:t>
      </w:r>
      <w:r w:rsidR="0071360A">
        <w:t>у</w:t>
      </w:r>
      <w:r w:rsidR="00F176F2" w:rsidRPr="00F6340E">
        <w:t xml:space="preserve"> </w:t>
      </w:r>
      <w:r>
        <w:t>диги</w:t>
      </w:r>
      <w:r w:rsidR="0071360A">
        <w:t>т</w:t>
      </w:r>
      <w:r>
        <w:t>алних</w:t>
      </w:r>
      <w:r w:rsidR="00F176F2" w:rsidRPr="00F6340E">
        <w:t xml:space="preserve"> </w:t>
      </w:r>
      <w:r w:rsidR="0071360A">
        <w:t>т</w:t>
      </w:r>
      <w:r w:rsidR="00EE6AA2">
        <w:t>е</w:t>
      </w:r>
      <w:r>
        <w:t>хнологија</w:t>
      </w:r>
      <w:r w:rsidR="00F176F2" w:rsidRPr="00F6340E">
        <w:t xml:space="preserve">. </w:t>
      </w:r>
      <w:r w:rsidR="00171F00">
        <w:t>З</w:t>
      </w:r>
      <w:r>
        <w:t>а</w:t>
      </w:r>
      <w:r w:rsidR="0071360A">
        <w:t>т</w:t>
      </w:r>
      <w:r>
        <w:t>о</w:t>
      </w:r>
      <w:r w:rsidR="00743C0E" w:rsidRPr="00F6340E">
        <w:t xml:space="preserve"> </w:t>
      </w:r>
      <w:r>
        <w:t>ј</w:t>
      </w:r>
      <w:r w:rsidR="00EE6AA2">
        <w:t>е</w:t>
      </w:r>
      <w:r w:rsidR="00F176F2" w:rsidRPr="00F6340E">
        <w:t xml:space="preserve"> </w:t>
      </w:r>
      <w:r w:rsidR="0071360A">
        <w:t>т</w:t>
      </w:r>
      <w:r>
        <w:t>о</w:t>
      </w:r>
      <w:r w:rsidR="00F176F2" w:rsidRPr="00F6340E">
        <w:t xml:space="preserve"> </w:t>
      </w:r>
      <w:r>
        <w:t>на</w:t>
      </w:r>
      <w:r w:rsidR="0071360A">
        <w:t>ст</w:t>
      </w:r>
      <w:r>
        <w:t>а</w:t>
      </w:r>
      <w:r w:rsidR="0071360A">
        <w:t>в</w:t>
      </w:r>
      <w:r>
        <w:t>а</w:t>
      </w:r>
      <w:r w:rsidR="00F176F2" w:rsidRPr="00F6340E">
        <w:t xml:space="preserve"> </w:t>
      </w:r>
      <w:r>
        <w:t>која</w:t>
      </w:r>
      <w:r w:rsidR="00F176F2" w:rsidRPr="00F6340E">
        <w:t xml:space="preserve"> </w:t>
      </w:r>
      <w:r w:rsidR="0071360A">
        <w:t>с</w:t>
      </w:r>
      <w:r w:rsidR="00EE6AA2">
        <w:t>е</w:t>
      </w:r>
      <w:r w:rsidR="00F176F2" w:rsidRPr="00F6340E">
        <w:t xml:space="preserve"> </w:t>
      </w:r>
      <w:r>
        <w:t>мо</w:t>
      </w:r>
      <w:r w:rsidR="00171F00">
        <w:t>ж</w:t>
      </w:r>
      <w:r w:rsidR="00EE6AA2">
        <w:t>е</w:t>
      </w:r>
      <w:r w:rsidR="00F176F2" w:rsidRPr="00F6340E">
        <w:t xml:space="preserve"> </w:t>
      </w:r>
      <w:r>
        <w:t>од</w:t>
      </w:r>
      <w:r w:rsidR="0071360A">
        <w:t>в</w:t>
      </w:r>
      <w:r>
        <w:t>ија</w:t>
      </w:r>
      <w:r w:rsidR="0071360A">
        <w:t>т</w:t>
      </w:r>
      <w:r>
        <w:t>и</w:t>
      </w:r>
      <w:r w:rsidR="00F176F2" w:rsidRPr="00F6340E">
        <w:t xml:space="preserve"> </w:t>
      </w:r>
      <w:r w:rsidR="0071360A">
        <w:t>у</w:t>
      </w:r>
      <w:r w:rsidR="00F176F2" w:rsidRPr="00F6340E">
        <w:t xml:space="preserve"> </w:t>
      </w:r>
      <w:r>
        <w:t>било</w:t>
      </w:r>
      <w:r w:rsidR="00F176F2" w:rsidRPr="00F6340E">
        <w:t xml:space="preserve"> </w:t>
      </w:r>
      <w:r>
        <w:t>кој</w:t>
      </w:r>
      <w:r w:rsidR="00EE6AA2">
        <w:t>е</w:t>
      </w:r>
      <w:r w:rsidR="00F176F2" w:rsidRPr="00F6340E">
        <w:t xml:space="preserve"> </w:t>
      </w:r>
      <w:r w:rsidR="0071360A">
        <w:t>вр</w:t>
      </w:r>
      <w:r>
        <w:t>иј</w:t>
      </w:r>
      <w:r w:rsidR="00EE6AA2">
        <w:t>е</w:t>
      </w:r>
      <w:r>
        <w:t>м</w:t>
      </w:r>
      <w:r w:rsidR="00EE6AA2">
        <w:t>е</w:t>
      </w:r>
      <w:r w:rsidR="00F176F2" w:rsidRPr="00F6340E">
        <w:t xml:space="preserve"> </w:t>
      </w:r>
      <w:r>
        <w:t>и</w:t>
      </w:r>
      <w:r w:rsidR="00F176F2" w:rsidRPr="00F6340E">
        <w:t xml:space="preserve"> </w:t>
      </w:r>
      <w:r>
        <w:t>на</w:t>
      </w:r>
      <w:r w:rsidR="00F176F2" w:rsidRPr="00F6340E">
        <w:t xml:space="preserve"> </w:t>
      </w:r>
      <w:r>
        <w:t>било</w:t>
      </w:r>
      <w:r w:rsidR="00F176F2" w:rsidRPr="00F6340E">
        <w:t xml:space="preserve"> </w:t>
      </w:r>
      <w:r>
        <w:t>кој</w:t>
      </w:r>
      <w:r w:rsidR="00EE6AA2">
        <w:t>е</w:t>
      </w:r>
      <w:r>
        <w:t>м</w:t>
      </w:r>
      <w:r w:rsidR="00F176F2" w:rsidRPr="00F6340E">
        <w:t xml:space="preserve"> </w:t>
      </w:r>
      <w:r>
        <w:t>мј</w:t>
      </w:r>
      <w:r w:rsidR="00EE6AA2">
        <w:t>е</w:t>
      </w:r>
      <w:r w:rsidR="0071360A">
        <w:t>сту</w:t>
      </w:r>
      <w:r w:rsidR="00F176F2" w:rsidRPr="00F6340E">
        <w:t xml:space="preserve"> </w:t>
      </w:r>
      <w:r w:rsidR="0071360A">
        <w:t>п</w:t>
      </w:r>
      <w:r>
        <w:t>од</w:t>
      </w:r>
      <w:r w:rsidR="00F176F2" w:rsidRPr="00F6340E">
        <w:t xml:space="preserve"> </w:t>
      </w:r>
      <w:r w:rsidR="001A3922" w:rsidRPr="00F6340E">
        <w:t xml:space="preserve"> </w:t>
      </w:r>
      <w:r w:rsidR="0071360A">
        <w:t>ус</w:t>
      </w:r>
      <w:r>
        <w:t>ло</w:t>
      </w:r>
      <w:r w:rsidR="0071360A">
        <w:t>в</w:t>
      </w:r>
      <w:r>
        <w:t>ом</w:t>
      </w:r>
      <w:r w:rsidR="00F176F2" w:rsidRPr="00F6340E">
        <w:t xml:space="preserve"> </w:t>
      </w:r>
      <w:r>
        <w:t>да</w:t>
      </w:r>
      <w:r w:rsidR="00F176F2" w:rsidRPr="00F6340E">
        <w:t xml:space="preserve"> </w:t>
      </w:r>
      <w:r w:rsidR="0071360A">
        <w:t>у</w:t>
      </w:r>
      <w:r>
        <w:t>ч</w:t>
      </w:r>
      <w:r w:rsidR="00EE6AA2">
        <w:t>е</w:t>
      </w:r>
      <w:r>
        <w:t>ници</w:t>
      </w:r>
      <w:r w:rsidR="00F176F2" w:rsidRPr="00F6340E">
        <w:t>/</w:t>
      </w:r>
      <w:r w:rsidR="0071360A">
        <w:t>сту</w:t>
      </w:r>
      <w:r>
        <w:t>д</w:t>
      </w:r>
      <w:r w:rsidR="00EE6AA2">
        <w:t>е</w:t>
      </w:r>
      <w:r>
        <w:t>н</w:t>
      </w:r>
      <w:r w:rsidR="0071360A">
        <w:t>т</w:t>
      </w:r>
      <w:r>
        <w:t>и</w:t>
      </w:r>
      <w:r w:rsidR="00F176F2" w:rsidRPr="00F6340E">
        <w:t xml:space="preserve"> </w:t>
      </w:r>
      <w:r>
        <w:t>имај</w:t>
      </w:r>
      <w:r w:rsidR="0071360A">
        <w:t>у</w:t>
      </w:r>
      <w:r w:rsidR="00F176F2" w:rsidRPr="00F6340E">
        <w:t xml:space="preserve"> </w:t>
      </w:r>
      <w:r w:rsidR="0071360A">
        <w:t>пр</w:t>
      </w:r>
      <w:r>
        <w:t>и</w:t>
      </w:r>
      <w:r w:rsidR="0071360A">
        <w:t>ступ</w:t>
      </w:r>
      <w:r w:rsidR="00F176F2" w:rsidRPr="00F6340E">
        <w:t xml:space="preserve"> </w:t>
      </w:r>
      <w:r>
        <w:t>ин</w:t>
      </w:r>
      <w:r w:rsidR="0071360A">
        <w:t>т</w:t>
      </w:r>
      <w:r w:rsidR="00EE6AA2">
        <w:t>е</w:t>
      </w:r>
      <w:r w:rsidR="0071360A">
        <w:t>р</w:t>
      </w:r>
      <w:r>
        <w:t>н</w:t>
      </w:r>
      <w:r w:rsidR="00EE6AA2">
        <w:t>е</w:t>
      </w:r>
      <w:r w:rsidR="0071360A">
        <w:t>ту</w:t>
      </w:r>
      <w:r w:rsidR="00F176F2" w:rsidRPr="00F6340E">
        <w:t xml:space="preserve">. </w:t>
      </w:r>
      <w:r>
        <w:t>Мо</w:t>
      </w:r>
      <w:r w:rsidR="00171F00">
        <w:t>ж</w:t>
      </w:r>
      <w:r w:rsidR="00EE6AA2">
        <w:t>е</w:t>
      </w:r>
      <w:r w:rsidR="00F176F2" w:rsidRPr="00F6340E">
        <w:t xml:space="preserve"> </w:t>
      </w:r>
      <w:r w:rsidR="0071360A">
        <w:t>с</w:t>
      </w:r>
      <w:r w:rsidR="00EE6AA2">
        <w:t>е</w:t>
      </w:r>
      <w:r w:rsidR="00F176F2" w:rsidRPr="00F6340E">
        <w:t xml:space="preserve"> </w:t>
      </w:r>
      <w:r w:rsidR="0071360A">
        <w:t>п</w:t>
      </w:r>
      <w:r>
        <w:t>одиј</w:t>
      </w:r>
      <w:r w:rsidR="00EE6AA2">
        <w:t>е</w:t>
      </w:r>
      <w:r>
        <w:t>ли</w:t>
      </w:r>
      <w:r w:rsidR="0071360A">
        <w:t>т</w:t>
      </w:r>
      <w:r>
        <w:t>и</w:t>
      </w:r>
      <w:r w:rsidR="00F176F2" w:rsidRPr="00F6340E">
        <w:t xml:space="preserve"> </w:t>
      </w:r>
      <w:r w:rsidR="0071360A">
        <w:t>у</w:t>
      </w:r>
      <w:r w:rsidR="00F176F2" w:rsidRPr="00F6340E">
        <w:t xml:space="preserve"> </w:t>
      </w:r>
      <w:r w:rsidR="0071360A">
        <w:t>тр</w:t>
      </w:r>
      <w:r>
        <w:t>и</w:t>
      </w:r>
      <w:r w:rsidR="00F176F2" w:rsidRPr="00F6340E">
        <w:t xml:space="preserve"> </w:t>
      </w:r>
      <w:r>
        <w:t>гла</w:t>
      </w:r>
      <w:r w:rsidR="0071360A">
        <w:t>в</w:t>
      </w:r>
      <w:r>
        <w:t>н</w:t>
      </w:r>
      <w:r w:rsidR="00EE6AA2">
        <w:t>е</w:t>
      </w:r>
      <w:r w:rsidR="00F176F2" w:rsidRPr="00F6340E">
        <w:t xml:space="preserve"> </w:t>
      </w:r>
      <w:r>
        <w:t>ка</w:t>
      </w:r>
      <w:r w:rsidR="0071360A">
        <w:t>т</w:t>
      </w:r>
      <w:r w:rsidR="00EE6AA2">
        <w:t>е</w:t>
      </w:r>
      <w:r>
        <w:t>го</w:t>
      </w:r>
      <w:r w:rsidR="0071360A">
        <w:t>р</w:t>
      </w:r>
      <w:r>
        <w:t>иј</w:t>
      </w:r>
      <w:r w:rsidR="00EE6AA2">
        <w:t>е</w:t>
      </w:r>
      <w:r w:rsidR="00F176F2" w:rsidRPr="00F6340E">
        <w:t xml:space="preserve">: </w:t>
      </w:r>
      <w:r w:rsidR="0071360A">
        <w:t>у</w:t>
      </w:r>
      <w:r>
        <w:t>ч</w:t>
      </w:r>
      <w:r w:rsidR="00EE6AA2">
        <w:t>е</w:t>
      </w:r>
      <w:r>
        <w:t>њ</w:t>
      </w:r>
      <w:r w:rsidR="00EE6AA2">
        <w:t>е</w:t>
      </w:r>
      <w:r w:rsidR="00F176F2" w:rsidRPr="00F6340E">
        <w:t xml:space="preserve"> </w:t>
      </w:r>
      <w:r>
        <w:t>и</w:t>
      </w:r>
      <w:r w:rsidR="00F176F2" w:rsidRPr="00F6340E">
        <w:t xml:space="preserve"> </w:t>
      </w:r>
      <w:r w:rsidR="0071360A">
        <w:t>п</w:t>
      </w:r>
      <w:r>
        <w:t>од</w:t>
      </w:r>
      <w:r w:rsidR="0071360A">
        <w:t>у</w:t>
      </w:r>
      <w:r>
        <w:t>ча</w:t>
      </w:r>
      <w:r w:rsidR="0071360A">
        <w:t>в</w:t>
      </w:r>
      <w:r>
        <w:t>ањ</w:t>
      </w:r>
      <w:r w:rsidR="00EE6AA2">
        <w:t>е</w:t>
      </w:r>
      <w:r w:rsidR="00F176F2" w:rsidRPr="00F6340E">
        <w:t xml:space="preserve"> </w:t>
      </w:r>
      <w:r w:rsidR="00171F00">
        <w:t>з</w:t>
      </w:r>
      <w:r>
        <w:t>а</w:t>
      </w:r>
      <w:r w:rsidR="0071360A">
        <w:t>с</w:t>
      </w:r>
      <w:r>
        <w:t>но</w:t>
      </w:r>
      <w:r w:rsidR="0071360A">
        <w:t>в</w:t>
      </w:r>
      <w:r>
        <w:t>ано</w:t>
      </w:r>
      <w:r w:rsidR="00F176F2" w:rsidRPr="00F6340E">
        <w:t xml:space="preserve"> </w:t>
      </w:r>
      <w:r>
        <w:t>на</w:t>
      </w:r>
      <w:r w:rsidR="00F176F2" w:rsidRPr="00F6340E">
        <w:t xml:space="preserve"> </w:t>
      </w:r>
      <w:r w:rsidR="0071360A">
        <w:t>пр</w:t>
      </w:r>
      <w:r>
        <w:t>имј</w:t>
      </w:r>
      <w:r w:rsidR="00EE6AA2">
        <w:t>е</w:t>
      </w:r>
      <w:r>
        <w:t>ни</w:t>
      </w:r>
      <w:r w:rsidR="00F176F2" w:rsidRPr="00F6340E">
        <w:t xml:space="preserve"> </w:t>
      </w:r>
      <w:r w:rsidR="0071360A">
        <w:t>п</w:t>
      </w:r>
      <w:r>
        <w:t>ла</w:t>
      </w:r>
      <w:r w:rsidR="0071360A">
        <w:t>т</w:t>
      </w:r>
      <w:r>
        <w:t>фо</w:t>
      </w:r>
      <w:r w:rsidR="0071360A">
        <w:t>р</w:t>
      </w:r>
      <w:r>
        <w:t>м</w:t>
      </w:r>
      <w:r w:rsidR="00EE6AA2">
        <w:t>е</w:t>
      </w:r>
      <w:r w:rsidR="00F176F2" w:rsidRPr="00F6340E">
        <w:t xml:space="preserve">, </w:t>
      </w:r>
      <w:r>
        <w:t>на</w:t>
      </w:r>
      <w:r w:rsidR="0071360A">
        <w:t>ст</w:t>
      </w:r>
      <w:r>
        <w:t>а</w:t>
      </w:r>
      <w:r w:rsidR="0071360A">
        <w:t>в</w:t>
      </w:r>
      <w:r>
        <w:t>нико</w:t>
      </w:r>
      <w:r w:rsidR="0071360A">
        <w:t>в</w:t>
      </w:r>
      <w:r>
        <w:t>о</w:t>
      </w:r>
      <w:r w:rsidR="00F176F2" w:rsidRPr="00F6340E">
        <w:t xml:space="preserve"> </w:t>
      </w:r>
      <w:r w:rsidR="0071360A">
        <w:t>в</w:t>
      </w:r>
      <w:r>
        <w:t>ођ</w:t>
      </w:r>
      <w:r w:rsidR="00EE6AA2">
        <w:t>е</w:t>
      </w:r>
      <w:r>
        <w:t>њ</w:t>
      </w:r>
      <w:r w:rsidR="00EE6AA2">
        <w:t>е</w:t>
      </w:r>
      <w:r w:rsidR="00F176F2" w:rsidRPr="00F6340E">
        <w:t xml:space="preserve"> </w:t>
      </w:r>
      <w:r w:rsidR="0071360A">
        <w:t>пр</w:t>
      </w:r>
      <w:r>
        <w:t>оц</w:t>
      </w:r>
      <w:r w:rsidR="00EE6AA2">
        <w:t>е</w:t>
      </w:r>
      <w:r w:rsidR="0071360A">
        <w:t>с</w:t>
      </w:r>
      <w:r>
        <w:t>а</w:t>
      </w:r>
      <w:r w:rsidR="00F176F2" w:rsidRPr="00F6340E">
        <w:t xml:space="preserve"> </w:t>
      </w:r>
      <w:r>
        <w:t>к</w:t>
      </w:r>
      <w:r w:rsidR="0071360A">
        <w:t>р</w:t>
      </w:r>
      <w:r>
        <w:t>о</w:t>
      </w:r>
      <w:r w:rsidR="00171F00">
        <w:t>з</w:t>
      </w:r>
      <w:r w:rsidR="00F176F2" w:rsidRPr="00F6340E">
        <w:t xml:space="preserve"> </w:t>
      </w:r>
      <w:r w:rsidR="0071360A">
        <w:t>пр</w:t>
      </w:r>
      <w:r w:rsidR="00EE6AA2">
        <w:t>е</w:t>
      </w:r>
      <w:r>
        <w:t>но</w:t>
      </w:r>
      <w:r w:rsidR="0071360A">
        <w:t>с</w:t>
      </w:r>
      <w:r w:rsidR="00F176F2" w:rsidRPr="00F6340E">
        <w:t xml:space="preserve"> </w:t>
      </w:r>
      <w:r w:rsidR="0071360A">
        <w:t>у</w:t>
      </w:r>
      <w:r w:rsidR="00171F00">
        <w:t>ж</w:t>
      </w:r>
      <w:r>
        <w:t>и</w:t>
      </w:r>
      <w:r w:rsidR="0071360A">
        <w:t>в</w:t>
      </w:r>
      <w:r>
        <w:t>о</w:t>
      </w:r>
      <w:r w:rsidR="00F176F2" w:rsidRPr="00F6340E">
        <w:t xml:space="preserve"> </w:t>
      </w:r>
      <w:r>
        <w:t>и</w:t>
      </w:r>
      <w:r w:rsidR="00F176F2" w:rsidRPr="00F6340E">
        <w:t xml:space="preserve"> </w:t>
      </w:r>
      <w:r w:rsidR="0071360A">
        <w:t>у</w:t>
      </w:r>
      <w:r>
        <w:t>ч</w:t>
      </w:r>
      <w:r w:rsidR="00EE6AA2">
        <w:t>е</w:t>
      </w:r>
      <w:r>
        <w:t>њ</w:t>
      </w:r>
      <w:r w:rsidR="00EE6AA2">
        <w:t>е</w:t>
      </w:r>
      <w:r w:rsidR="00F176F2" w:rsidRPr="00F6340E">
        <w:t xml:space="preserve"> </w:t>
      </w:r>
      <w:r>
        <w:t>и</w:t>
      </w:r>
      <w:r w:rsidR="00F176F2" w:rsidRPr="00F6340E">
        <w:t xml:space="preserve"> </w:t>
      </w:r>
      <w:r w:rsidR="0071360A">
        <w:t>п</w:t>
      </w:r>
      <w:r>
        <w:t>од</w:t>
      </w:r>
      <w:r w:rsidR="0071360A">
        <w:t>у</w:t>
      </w:r>
      <w:r>
        <w:t>ча</w:t>
      </w:r>
      <w:r w:rsidR="0071360A">
        <w:t>в</w:t>
      </w:r>
      <w:r>
        <w:t>ања</w:t>
      </w:r>
      <w:r w:rsidR="00F176F2" w:rsidRPr="00F6340E">
        <w:t xml:space="preserve"> </w:t>
      </w:r>
      <w:r>
        <w:t>к</w:t>
      </w:r>
      <w:r w:rsidR="0071360A">
        <w:t>р</w:t>
      </w:r>
      <w:r>
        <w:t>о</w:t>
      </w:r>
      <w:r w:rsidR="00171F00">
        <w:t>з</w:t>
      </w:r>
      <w:r w:rsidR="00F33370" w:rsidRPr="00F6340E">
        <w:t xml:space="preserve"> </w:t>
      </w:r>
      <w:r w:rsidR="0071360A">
        <w:t>пр</w:t>
      </w:r>
      <w:r>
        <w:t>имј</w:t>
      </w:r>
      <w:r w:rsidR="00EE6AA2">
        <w:t>е</w:t>
      </w:r>
      <w:r>
        <w:t>н</w:t>
      </w:r>
      <w:r w:rsidR="0071360A">
        <w:t>у</w:t>
      </w:r>
      <w:r w:rsidR="00F33370" w:rsidRPr="00F6340E">
        <w:t xml:space="preserve"> </w:t>
      </w:r>
      <w:r w:rsidR="0071360A">
        <w:t>в</w:t>
      </w:r>
      <w:r>
        <w:t>ид</w:t>
      </w:r>
      <w:r w:rsidR="00EE6AA2">
        <w:t>е</w:t>
      </w:r>
      <w:r>
        <w:t>а</w:t>
      </w:r>
      <w:r w:rsidR="00F33370" w:rsidRPr="00F6340E">
        <w:t xml:space="preserve"> (</w:t>
      </w:r>
      <w:r w:rsidR="0071360A">
        <w:t>У</w:t>
      </w:r>
      <w:r>
        <w:t>Н</w:t>
      </w:r>
      <w:r w:rsidR="00EE6AA2">
        <w:t>Е</w:t>
      </w:r>
      <w:r w:rsidR="0071360A">
        <w:t>С</w:t>
      </w:r>
      <w:r>
        <w:t>ЦО</w:t>
      </w:r>
      <w:r w:rsidR="00AF5ED2" w:rsidRPr="00F6340E">
        <w:t xml:space="preserve"> </w:t>
      </w:r>
      <w:r>
        <w:t>и</w:t>
      </w:r>
      <w:r w:rsidR="00AF5ED2" w:rsidRPr="00F6340E">
        <w:t xml:space="preserve"> </w:t>
      </w:r>
      <w:r>
        <w:t>И</w:t>
      </w:r>
      <w:r w:rsidR="0071360A">
        <w:t>ТУ</w:t>
      </w:r>
      <w:r w:rsidR="00F176F2" w:rsidRPr="00F6340E">
        <w:t xml:space="preserve">, 2021). </w:t>
      </w:r>
    </w:p>
    <w:p w14:paraId="19D7291F" w14:textId="3865A770" w:rsidR="00F176F2" w:rsidRPr="00F6340E" w:rsidRDefault="00A56E08" w:rsidP="00210EE1">
      <w:pPr>
        <w:pStyle w:val="Body"/>
        <w:rPr>
          <w:rFonts w:eastAsia="Calibri Light"/>
        </w:rPr>
      </w:pPr>
      <w:r>
        <w:t>На</w:t>
      </w:r>
      <w:r w:rsidR="00F176F2" w:rsidRPr="00F6340E">
        <w:t xml:space="preserve"> </w:t>
      </w:r>
      <w:r w:rsidR="0071360A">
        <w:t>с</w:t>
      </w:r>
      <w:r>
        <w:t>личан</w:t>
      </w:r>
      <w:r w:rsidR="00F176F2" w:rsidRPr="00F6340E">
        <w:t xml:space="preserve"> </w:t>
      </w:r>
      <w:r>
        <w:t>начин</w:t>
      </w:r>
      <w:r w:rsidR="00F176F2" w:rsidRPr="00F6340E">
        <w:t xml:space="preserve"> </w:t>
      </w:r>
      <w:r>
        <w:t>на</w:t>
      </w:r>
      <w:r w:rsidR="0071360A">
        <w:t>ст</w:t>
      </w:r>
      <w:r>
        <w:t>а</w:t>
      </w:r>
      <w:r w:rsidR="0071360A">
        <w:t>ву</w:t>
      </w:r>
      <w:r w:rsidR="00F176F2" w:rsidRPr="00F6340E">
        <w:t xml:space="preserve"> </w:t>
      </w:r>
      <w:r w:rsidR="0071360A">
        <w:t>пут</w:t>
      </w:r>
      <w:r w:rsidR="00EE6AA2">
        <w:t>е</w:t>
      </w:r>
      <w:r>
        <w:t>м</w:t>
      </w:r>
      <w:r w:rsidR="008424F0" w:rsidRPr="00F6340E">
        <w:t xml:space="preserve"> </w:t>
      </w:r>
      <w:r>
        <w:t>ин</w:t>
      </w:r>
      <w:r w:rsidR="0071360A">
        <w:t>т</w:t>
      </w:r>
      <w:r w:rsidR="00EE6AA2">
        <w:t>е</w:t>
      </w:r>
      <w:r w:rsidR="0071360A">
        <w:t>р</w:t>
      </w:r>
      <w:r>
        <w:t>н</w:t>
      </w:r>
      <w:r w:rsidR="00EE6AA2">
        <w:t>е</w:t>
      </w:r>
      <w:r w:rsidR="0071360A">
        <w:t>т</w:t>
      </w:r>
      <w:r>
        <w:t>а</w:t>
      </w:r>
      <w:r w:rsidR="008424F0" w:rsidRPr="00F6340E">
        <w:t xml:space="preserve"> </w:t>
      </w:r>
      <w:r>
        <w:t>д</w:t>
      </w:r>
      <w:r w:rsidR="00EE6AA2">
        <w:t>е</w:t>
      </w:r>
      <w:r>
        <w:t>фини</w:t>
      </w:r>
      <w:r w:rsidR="0071360A">
        <w:t>ш</w:t>
      </w:r>
      <w:r w:rsidR="00EE6AA2">
        <w:t>е</w:t>
      </w:r>
      <w:r w:rsidR="00743C0E" w:rsidRPr="00F6340E">
        <w:t xml:space="preserve"> </w:t>
      </w:r>
      <w:r>
        <w:t>и</w:t>
      </w:r>
      <w:r w:rsidR="00F176F2" w:rsidRPr="00F6340E">
        <w:t xml:space="preserve"> </w:t>
      </w:r>
      <w:r w:rsidR="0071360A">
        <w:t>У</w:t>
      </w:r>
      <w:r>
        <w:t>Н</w:t>
      </w:r>
      <w:r w:rsidR="00EE6AA2">
        <w:t>Е</w:t>
      </w:r>
      <w:r w:rsidR="0071360A">
        <w:t>С</w:t>
      </w:r>
      <w:r>
        <w:t>ЦО</w:t>
      </w:r>
      <w:r w:rsidR="00F176F2" w:rsidRPr="00F6340E">
        <w:t xml:space="preserve"> (2022). </w:t>
      </w:r>
      <w:r w:rsidR="0071360A">
        <w:t>Т</w:t>
      </w:r>
      <w:r>
        <w:t>о</w:t>
      </w:r>
      <w:r w:rsidR="00F176F2" w:rsidRPr="00F6340E">
        <w:t xml:space="preserve"> </w:t>
      </w:r>
      <w:r>
        <w:t>ј</w:t>
      </w:r>
      <w:r w:rsidR="00EE6AA2">
        <w:t>е</w:t>
      </w:r>
      <w:r w:rsidR="00F176F2" w:rsidRPr="00F6340E">
        <w:t xml:space="preserve"> </w:t>
      </w:r>
      <w:r>
        <w:t>на</w:t>
      </w:r>
      <w:r w:rsidR="0071360A">
        <w:t>ст</w:t>
      </w:r>
      <w:r>
        <w:t>а</w:t>
      </w:r>
      <w:r w:rsidR="0071360A">
        <w:t>в</w:t>
      </w:r>
      <w:r>
        <w:t>а</w:t>
      </w:r>
      <w:r w:rsidR="00F176F2" w:rsidRPr="00F6340E">
        <w:rPr>
          <w:rFonts w:eastAsia="Calibri Light"/>
        </w:rPr>
        <w:t xml:space="preserve"> </w:t>
      </w:r>
      <w:r>
        <w:rPr>
          <w:rFonts w:eastAsia="Calibri Light"/>
        </w:rPr>
        <w:t>која</w:t>
      </w:r>
      <w:r w:rsidR="00FC7E7F" w:rsidRPr="00F6340E">
        <w:rPr>
          <w:rFonts w:eastAsia="Calibri Light"/>
        </w:rPr>
        <w:t xml:space="preserve"> </w:t>
      </w:r>
      <w:r w:rsidR="0071360A">
        <w:rPr>
          <w:rFonts w:eastAsia="Calibri Light"/>
        </w:rPr>
        <w:t>п</w:t>
      </w:r>
      <w:r>
        <w:rPr>
          <w:rFonts w:eastAsia="Calibri Light"/>
        </w:rPr>
        <w:t>од</w:t>
      </w:r>
      <w:r w:rsidR="0071360A">
        <w:rPr>
          <w:rFonts w:eastAsia="Calibri Light"/>
        </w:rPr>
        <w:t>р</w:t>
      </w:r>
      <w:r>
        <w:rPr>
          <w:rFonts w:eastAsia="Calibri Light"/>
        </w:rPr>
        <w:t>а</w:t>
      </w:r>
      <w:r w:rsidR="00171F00">
        <w:rPr>
          <w:rFonts w:eastAsia="Calibri Light"/>
        </w:rPr>
        <w:t>з</w:t>
      </w:r>
      <w:r w:rsidR="0071360A">
        <w:rPr>
          <w:rFonts w:eastAsia="Calibri Light"/>
        </w:rPr>
        <w:t>у</w:t>
      </w:r>
      <w:r>
        <w:rPr>
          <w:rFonts w:eastAsia="Calibri Light"/>
        </w:rPr>
        <w:t>миј</w:t>
      </w:r>
      <w:r w:rsidR="00EE6AA2">
        <w:rPr>
          <w:rFonts w:eastAsia="Calibri Light"/>
        </w:rPr>
        <w:t>е</w:t>
      </w:r>
      <w:r w:rsidR="0071360A">
        <w:rPr>
          <w:rFonts w:eastAsia="Calibri Light"/>
        </w:rPr>
        <w:t>в</w:t>
      </w:r>
      <w:r>
        <w:rPr>
          <w:rFonts w:eastAsia="Calibri Light"/>
        </w:rPr>
        <w:t>а</w:t>
      </w:r>
      <w:r w:rsidR="00F176F2" w:rsidRPr="00F6340E">
        <w:rPr>
          <w:rFonts w:eastAsia="Calibri Light"/>
        </w:rPr>
        <w:t xml:space="preserve"> </w:t>
      </w:r>
      <w:r w:rsidR="0071360A">
        <w:rPr>
          <w:rFonts w:eastAsia="Calibri Light"/>
        </w:rPr>
        <w:t>у</w:t>
      </w:r>
      <w:r>
        <w:rPr>
          <w:rFonts w:eastAsia="Calibri Light"/>
        </w:rPr>
        <w:t>ч</w:t>
      </w:r>
      <w:r w:rsidR="00EE6AA2">
        <w:rPr>
          <w:rFonts w:eastAsia="Calibri Light"/>
        </w:rPr>
        <w:t>е</w:t>
      </w:r>
      <w:r>
        <w:rPr>
          <w:rFonts w:eastAsia="Calibri Light"/>
        </w:rPr>
        <w:t>њ</w:t>
      </w:r>
      <w:r w:rsidR="00EE6AA2">
        <w:rPr>
          <w:rFonts w:eastAsia="Calibri Light"/>
        </w:rPr>
        <w:t>е</w:t>
      </w:r>
      <w:r w:rsidR="00F176F2" w:rsidRPr="00F6340E">
        <w:rPr>
          <w:rFonts w:eastAsia="Calibri Light"/>
        </w:rPr>
        <w:t xml:space="preserve"> </w:t>
      </w:r>
      <w:r>
        <w:rPr>
          <w:rFonts w:eastAsia="Calibri Light"/>
        </w:rPr>
        <w:t>и</w:t>
      </w:r>
      <w:r w:rsidR="00F176F2" w:rsidRPr="00F6340E">
        <w:rPr>
          <w:rFonts w:eastAsia="Calibri Light"/>
        </w:rPr>
        <w:t xml:space="preserve"> </w:t>
      </w:r>
      <w:r w:rsidR="0071360A">
        <w:rPr>
          <w:rFonts w:eastAsia="Calibri Light"/>
        </w:rPr>
        <w:t>п</w:t>
      </w:r>
      <w:r>
        <w:rPr>
          <w:rFonts w:eastAsia="Calibri Light"/>
        </w:rPr>
        <w:t>од</w:t>
      </w:r>
      <w:r w:rsidR="0071360A">
        <w:rPr>
          <w:rFonts w:eastAsia="Calibri Light"/>
        </w:rPr>
        <w:t>у</w:t>
      </w:r>
      <w:r>
        <w:rPr>
          <w:rFonts w:eastAsia="Calibri Light"/>
        </w:rPr>
        <w:t>ча</w:t>
      </w:r>
      <w:r w:rsidR="0071360A">
        <w:rPr>
          <w:rFonts w:eastAsia="Calibri Light"/>
        </w:rPr>
        <w:t>в</w:t>
      </w:r>
      <w:r>
        <w:rPr>
          <w:rFonts w:eastAsia="Calibri Light"/>
        </w:rPr>
        <w:t>ањ</w:t>
      </w:r>
      <w:r w:rsidR="00EE6AA2">
        <w:rPr>
          <w:rFonts w:eastAsia="Calibri Light"/>
        </w:rPr>
        <w:t>е</w:t>
      </w:r>
      <w:r w:rsidR="00F176F2" w:rsidRPr="00F6340E">
        <w:rPr>
          <w:rFonts w:eastAsia="Calibri Light"/>
        </w:rPr>
        <w:t xml:space="preserve"> </w:t>
      </w:r>
      <w:r w:rsidR="0071360A">
        <w:rPr>
          <w:rFonts w:eastAsia="Calibri Light"/>
        </w:rPr>
        <w:t>пут</w:t>
      </w:r>
      <w:r w:rsidR="00EE6AA2">
        <w:rPr>
          <w:rFonts w:eastAsia="Calibri Light"/>
        </w:rPr>
        <w:t>е</w:t>
      </w:r>
      <w:r>
        <w:rPr>
          <w:rFonts w:eastAsia="Calibri Light"/>
        </w:rPr>
        <w:t>м</w:t>
      </w:r>
      <w:r w:rsidR="00F176F2" w:rsidRPr="00F6340E">
        <w:rPr>
          <w:rFonts w:eastAsia="Calibri Light"/>
        </w:rPr>
        <w:t xml:space="preserve"> </w:t>
      </w:r>
      <w:r>
        <w:rPr>
          <w:rFonts w:eastAsia="Calibri Light"/>
        </w:rPr>
        <w:t>ин</w:t>
      </w:r>
      <w:r w:rsidR="0071360A">
        <w:rPr>
          <w:rFonts w:eastAsia="Calibri Light"/>
        </w:rPr>
        <w:t>т</w:t>
      </w:r>
      <w:r w:rsidR="00EE6AA2">
        <w:rPr>
          <w:rFonts w:eastAsia="Calibri Light"/>
        </w:rPr>
        <w:t>е</w:t>
      </w:r>
      <w:r w:rsidR="0071360A">
        <w:rPr>
          <w:rFonts w:eastAsia="Calibri Light"/>
        </w:rPr>
        <w:t>р</w:t>
      </w:r>
      <w:r>
        <w:rPr>
          <w:rFonts w:eastAsia="Calibri Light"/>
        </w:rPr>
        <w:t>н</w:t>
      </w:r>
      <w:r w:rsidR="00EE6AA2">
        <w:rPr>
          <w:rFonts w:eastAsia="Calibri Light"/>
        </w:rPr>
        <w:t>е</w:t>
      </w:r>
      <w:r w:rsidR="0071360A">
        <w:rPr>
          <w:rFonts w:eastAsia="Calibri Light"/>
        </w:rPr>
        <w:t>т</w:t>
      </w:r>
      <w:r>
        <w:rPr>
          <w:rFonts w:eastAsia="Calibri Light"/>
        </w:rPr>
        <w:t>а</w:t>
      </w:r>
      <w:r w:rsidR="00F176F2" w:rsidRPr="00F6340E">
        <w:rPr>
          <w:rFonts w:eastAsia="Calibri Light"/>
        </w:rPr>
        <w:t xml:space="preserve">, </w:t>
      </w:r>
      <w:r>
        <w:rPr>
          <w:rFonts w:eastAsia="Calibri Light"/>
        </w:rPr>
        <w:t>фл</w:t>
      </w:r>
      <w:r w:rsidR="00EE6AA2">
        <w:rPr>
          <w:rFonts w:eastAsia="Calibri Light"/>
        </w:rPr>
        <w:t>е</w:t>
      </w:r>
      <w:r>
        <w:rPr>
          <w:rFonts w:eastAsia="Calibri Light"/>
        </w:rPr>
        <w:t>к</w:t>
      </w:r>
      <w:r w:rsidR="0071360A">
        <w:rPr>
          <w:rFonts w:eastAsia="Calibri Light"/>
        </w:rPr>
        <w:t>с</w:t>
      </w:r>
      <w:r>
        <w:rPr>
          <w:rFonts w:eastAsia="Calibri Light"/>
        </w:rPr>
        <w:t>ибилно</w:t>
      </w:r>
      <w:r w:rsidR="00F176F2" w:rsidRPr="00F6340E">
        <w:rPr>
          <w:rFonts w:eastAsia="Calibri Light"/>
        </w:rPr>
        <w:t xml:space="preserve"> </w:t>
      </w:r>
      <w:r w:rsidR="0071360A">
        <w:rPr>
          <w:rFonts w:eastAsia="Calibri Light"/>
        </w:rPr>
        <w:t>у</w:t>
      </w:r>
      <w:r>
        <w:rPr>
          <w:rFonts w:eastAsia="Calibri Light"/>
        </w:rPr>
        <w:t>ч</w:t>
      </w:r>
      <w:r w:rsidR="00EE6AA2">
        <w:rPr>
          <w:rFonts w:eastAsia="Calibri Light"/>
        </w:rPr>
        <w:t>е</w:t>
      </w:r>
      <w:r>
        <w:rPr>
          <w:rFonts w:eastAsia="Calibri Light"/>
        </w:rPr>
        <w:t>њ</w:t>
      </w:r>
      <w:r w:rsidR="00EE6AA2">
        <w:rPr>
          <w:rFonts w:eastAsia="Calibri Light"/>
        </w:rPr>
        <w:t>е</w:t>
      </w:r>
      <w:r w:rsidR="00F176F2" w:rsidRPr="00F6340E">
        <w:rPr>
          <w:rFonts w:eastAsia="Calibri Light"/>
        </w:rPr>
        <w:t xml:space="preserve"> </w:t>
      </w:r>
      <w:r>
        <w:rPr>
          <w:rFonts w:eastAsia="Calibri Light"/>
        </w:rPr>
        <w:t>и</w:t>
      </w:r>
      <w:r w:rsidR="00F176F2" w:rsidRPr="00F6340E">
        <w:rPr>
          <w:rFonts w:eastAsia="Calibri Light"/>
        </w:rPr>
        <w:t xml:space="preserve"> </w:t>
      </w:r>
      <w:r>
        <w:rPr>
          <w:rFonts w:eastAsia="Calibri Light"/>
        </w:rPr>
        <w:t>ма</w:t>
      </w:r>
      <w:r w:rsidR="0071360A">
        <w:rPr>
          <w:rFonts w:eastAsia="Calibri Light"/>
        </w:rPr>
        <w:t>с</w:t>
      </w:r>
      <w:r>
        <w:rPr>
          <w:rFonts w:eastAsia="Calibri Light"/>
        </w:rPr>
        <w:t>о</w:t>
      </w:r>
      <w:r w:rsidR="0071360A">
        <w:rPr>
          <w:rFonts w:eastAsia="Calibri Light"/>
        </w:rPr>
        <w:t>в</w:t>
      </w:r>
      <w:r>
        <w:rPr>
          <w:rFonts w:eastAsia="Calibri Light"/>
        </w:rPr>
        <w:t>н</w:t>
      </w:r>
      <w:r w:rsidR="00EE6AA2">
        <w:rPr>
          <w:rFonts w:eastAsia="Calibri Light"/>
        </w:rPr>
        <w:t>е</w:t>
      </w:r>
      <w:r w:rsidR="00F176F2" w:rsidRPr="00F6340E">
        <w:rPr>
          <w:rFonts w:eastAsia="Calibri Light"/>
        </w:rPr>
        <w:t xml:space="preserve"> </w:t>
      </w:r>
      <w:r>
        <w:rPr>
          <w:rFonts w:eastAsia="Calibri Light"/>
        </w:rPr>
        <w:t>о</w:t>
      </w:r>
      <w:r w:rsidR="0071360A">
        <w:rPr>
          <w:rFonts w:eastAsia="Calibri Light"/>
        </w:rPr>
        <w:t>тв</w:t>
      </w:r>
      <w:r>
        <w:rPr>
          <w:rFonts w:eastAsia="Calibri Light"/>
        </w:rPr>
        <w:t>о</w:t>
      </w:r>
      <w:r w:rsidR="0071360A">
        <w:rPr>
          <w:rFonts w:eastAsia="Calibri Light"/>
        </w:rPr>
        <w:t>р</w:t>
      </w:r>
      <w:r w:rsidR="00EE6AA2">
        <w:rPr>
          <w:rFonts w:eastAsia="Calibri Light"/>
        </w:rPr>
        <w:t>е</w:t>
      </w:r>
      <w:r>
        <w:rPr>
          <w:rFonts w:eastAsia="Calibri Light"/>
        </w:rPr>
        <w:t>н</w:t>
      </w:r>
      <w:r w:rsidR="00EE6AA2">
        <w:rPr>
          <w:rFonts w:eastAsia="Calibri Light"/>
        </w:rPr>
        <w:t>е</w:t>
      </w:r>
      <w:r w:rsidR="00F176F2" w:rsidRPr="00F6340E">
        <w:rPr>
          <w:rFonts w:eastAsia="Calibri Light"/>
        </w:rPr>
        <w:t xml:space="preserve"> </w:t>
      </w:r>
      <w:r>
        <w:rPr>
          <w:rFonts w:eastAsia="Calibri Light"/>
        </w:rPr>
        <w:t>к</w:t>
      </w:r>
      <w:r w:rsidR="0071360A">
        <w:rPr>
          <w:rFonts w:eastAsia="Calibri Light"/>
        </w:rPr>
        <w:t>урс</w:t>
      </w:r>
      <w:r w:rsidR="00EE6AA2">
        <w:rPr>
          <w:rFonts w:eastAsia="Calibri Light"/>
        </w:rPr>
        <w:t>е</w:t>
      </w:r>
      <w:r w:rsidR="0071360A">
        <w:rPr>
          <w:rFonts w:eastAsia="Calibri Light"/>
        </w:rPr>
        <w:t>в</w:t>
      </w:r>
      <w:r w:rsidR="00EE6AA2">
        <w:rPr>
          <w:rFonts w:eastAsia="Calibri Light"/>
        </w:rPr>
        <w:t>е</w:t>
      </w:r>
      <w:r w:rsidR="00F176F2" w:rsidRPr="00F6340E">
        <w:rPr>
          <w:rFonts w:eastAsia="Calibri Light"/>
        </w:rPr>
        <w:t xml:space="preserve"> </w:t>
      </w:r>
      <w:r w:rsidR="0071360A">
        <w:rPr>
          <w:rFonts w:eastAsia="Calibri Light"/>
        </w:rPr>
        <w:t>пут</w:t>
      </w:r>
      <w:r w:rsidR="00EE6AA2">
        <w:rPr>
          <w:rFonts w:eastAsia="Calibri Light"/>
        </w:rPr>
        <w:t>е</w:t>
      </w:r>
      <w:r>
        <w:rPr>
          <w:rFonts w:eastAsia="Calibri Light"/>
        </w:rPr>
        <w:t>м</w:t>
      </w:r>
      <w:r w:rsidR="00EE6127" w:rsidRPr="00F6340E">
        <w:rPr>
          <w:rFonts w:eastAsia="Calibri Light"/>
        </w:rPr>
        <w:t xml:space="preserve"> </w:t>
      </w:r>
      <w:r>
        <w:rPr>
          <w:rFonts w:eastAsia="Calibri Light"/>
        </w:rPr>
        <w:t>ин</w:t>
      </w:r>
      <w:r w:rsidR="0071360A">
        <w:rPr>
          <w:rFonts w:eastAsia="Calibri Light"/>
        </w:rPr>
        <w:t>т</w:t>
      </w:r>
      <w:r w:rsidR="00EE6AA2">
        <w:rPr>
          <w:rFonts w:eastAsia="Calibri Light"/>
        </w:rPr>
        <w:t>е</w:t>
      </w:r>
      <w:r w:rsidR="0071360A">
        <w:rPr>
          <w:rFonts w:eastAsia="Calibri Light"/>
        </w:rPr>
        <w:t>р</w:t>
      </w:r>
      <w:r>
        <w:rPr>
          <w:rFonts w:eastAsia="Calibri Light"/>
        </w:rPr>
        <w:t>н</w:t>
      </w:r>
      <w:r w:rsidR="00EE6AA2">
        <w:rPr>
          <w:rFonts w:eastAsia="Calibri Light"/>
        </w:rPr>
        <w:t>е</w:t>
      </w:r>
      <w:r w:rsidR="0071360A">
        <w:rPr>
          <w:rFonts w:eastAsia="Calibri Light"/>
        </w:rPr>
        <w:t>т</w:t>
      </w:r>
      <w:r>
        <w:rPr>
          <w:rFonts w:eastAsia="Calibri Light"/>
        </w:rPr>
        <w:t>а</w:t>
      </w:r>
      <w:r w:rsidR="00EE6127" w:rsidRPr="00F6340E">
        <w:rPr>
          <w:rFonts w:eastAsia="Calibri Light"/>
        </w:rPr>
        <w:t xml:space="preserve"> </w:t>
      </w:r>
      <w:r w:rsidR="00F176F2" w:rsidRPr="00F6340E">
        <w:rPr>
          <w:rFonts w:eastAsia="Calibri Light"/>
        </w:rPr>
        <w:t>(</w:t>
      </w:r>
      <w:r>
        <w:rPr>
          <w:rFonts w:eastAsia="Calibri Light"/>
        </w:rPr>
        <w:t>МООЦ</w:t>
      </w:r>
      <w:r w:rsidR="00F176F2" w:rsidRPr="00F6340E">
        <w:rPr>
          <w:rFonts w:eastAsia="Calibri Light"/>
        </w:rPr>
        <w:t xml:space="preserve">), </w:t>
      </w:r>
      <w:r w:rsidR="0071360A">
        <w:rPr>
          <w:rFonts w:eastAsia="Calibri Light"/>
        </w:rPr>
        <w:t>т</w:t>
      </w:r>
      <w:r w:rsidR="00EE6AA2">
        <w:rPr>
          <w:rFonts w:eastAsia="Calibri Light"/>
        </w:rPr>
        <w:t>е</w:t>
      </w:r>
      <w:r w:rsidR="00F176F2" w:rsidRPr="00F6340E">
        <w:rPr>
          <w:rFonts w:eastAsia="Calibri Light"/>
        </w:rPr>
        <w:t xml:space="preserve"> </w:t>
      </w:r>
      <w:r>
        <w:rPr>
          <w:rFonts w:eastAsia="Calibri Light"/>
        </w:rPr>
        <w:t>и</w:t>
      </w:r>
      <w:r w:rsidR="00171F00">
        <w:rPr>
          <w:rFonts w:eastAsia="Calibri Light"/>
        </w:rPr>
        <w:t>з</w:t>
      </w:r>
      <w:r>
        <w:rPr>
          <w:rFonts w:eastAsia="Calibri Light"/>
        </w:rPr>
        <w:t>д</w:t>
      </w:r>
      <w:r w:rsidR="0071360A">
        <w:rPr>
          <w:rFonts w:eastAsia="Calibri Light"/>
        </w:rPr>
        <w:t>в</w:t>
      </w:r>
      <w:r>
        <w:rPr>
          <w:rFonts w:eastAsia="Calibri Light"/>
        </w:rPr>
        <w:t>аја</w:t>
      </w:r>
      <w:r w:rsidR="00F176F2" w:rsidRPr="00F6340E">
        <w:rPr>
          <w:rFonts w:eastAsia="Calibri Light"/>
        </w:rPr>
        <w:t xml:space="preserve"> </w:t>
      </w:r>
      <w:r>
        <w:rPr>
          <w:rFonts w:eastAsia="Calibri Light"/>
        </w:rPr>
        <w:t>ка</w:t>
      </w:r>
      <w:r w:rsidR="0071360A">
        <w:rPr>
          <w:rFonts w:eastAsia="Calibri Light"/>
        </w:rPr>
        <w:t>р</w:t>
      </w:r>
      <w:r>
        <w:rPr>
          <w:rFonts w:eastAsia="Calibri Light"/>
        </w:rPr>
        <w:t>ак</w:t>
      </w:r>
      <w:r w:rsidR="0071360A">
        <w:rPr>
          <w:rFonts w:eastAsia="Calibri Light"/>
        </w:rPr>
        <w:t>т</w:t>
      </w:r>
      <w:r w:rsidR="00EE6AA2">
        <w:rPr>
          <w:rFonts w:eastAsia="Calibri Light"/>
        </w:rPr>
        <w:t>е</w:t>
      </w:r>
      <w:r w:rsidR="0071360A">
        <w:rPr>
          <w:rFonts w:eastAsia="Calibri Light"/>
        </w:rPr>
        <w:t>р</w:t>
      </w:r>
      <w:r>
        <w:rPr>
          <w:rFonts w:eastAsia="Calibri Light"/>
        </w:rPr>
        <w:t>и</w:t>
      </w:r>
      <w:r w:rsidR="0071360A">
        <w:rPr>
          <w:rFonts w:eastAsia="Calibri Light"/>
        </w:rPr>
        <w:t>ст</w:t>
      </w:r>
      <w:r>
        <w:rPr>
          <w:rFonts w:eastAsia="Calibri Light"/>
        </w:rPr>
        <w:t>ик</w:t>
      </w:r>
      <w:r w:rsidR="00EE6AA2">
        <w:rPr>
          <w:rFonts w:eastAsia="Calibri Light"/>
        </w:rPr>
        <w:t>е</w:t>
      </w:r>
      <w:r w:rsidR="00F176F2" w:rsidRPr="00F6340E">
        <w:rPr>
          <w:rFonts w:eastAsia="Calibri Light"/>
        </w:rPr>
        <w:t xml:space="preserve"> </w:t>
      </w:r>
      <w:r w:rsidR="0071360A">
        <w:rPr>
          <w:rFonts w:eastAsia="Calibri Light"/>
        </w:rPr>
        <w:t>св</w:t>
      </w:r>
      <w:r>
        <w:rPr>
          <w:rFonts w:eastAsia="Calibri Light"/>
        </w:rPr>
        <w:t>их</w:t>
      </w:r>
      <w:r w:rsidR="00F176F2" w:rsidRPr="00F6340E">
        <w:rPr>
          <w:rFonts w:eastAsia="Calibri Light"/>
        </w:rPr>
        <w:t xml:space="preserve"> </w:t>
      </w:r>
      <w:r>
        <w:rPr>
          <w:rFonts w:eastAsia="Calibri Light"/>
        </w:rPr>
        <w:t>облика</w:t>
      </w:r>
      <w:r w:rsidR="00F176F2" w:rsidRPr="00F6340E">
        <w:rPr>
          <w:rFonts w:eastAsia="Calibri Light"/>
        </w:rPr>
        <w:t xml:space="preserve"> </w:t>
      </w:r>
      <w:r w:rsidR="00EE6AA2">
        <w:rPr>
          <w:rFonts w:eastAsia="Calibri Light"/>
        </w:rPr>
        <w:t>е</w:t>
      </w:r>
      <w:r>
        <w:rPr>
          <w:rFonts w:eastAsia="Calibri Light"/>
        </w:rPr>
        <w:t>л</w:t>
      </w:r>
      <w:r w:rsidR="00EE6AA2">
        <w:rPr>
          <w:rFonts w:eastAsia="Calibri Light"/>
        </w:rPr>
        <w:t>е</w:t>
      </w:r>
      <w:r>
        <w:rPr>
          <w:rFonts w:eastAsia="Calibri Light"/>
        </w:rPr>
        <w:t>к</w:t>
      </w:r>
      <w:r w:rsidR="0071360A">
        <w:rPr>
          <w:rFonts w:eastAsia="Calibri Light"/>
        </w:rPr>
        <w:t>тр</w:t>
      </w:r>
      <w:r>
        <w:rPr>
          <w:rFonts w:eastAsia="Calibri Light"/>
        </w:rPr>
        <w:t>он</w:t>
      </w:r>
      <w:r w:rsidR="0071360A">
        <w:rPr>
          <w:rFonts w:eastAsia="Calibri Light"/>
        </w:rPr>
        <w:t>с</w:t>
      </w:r>
      <w:r>
        <w:rPr>
          <w:rFonts w:eastAsia="Calibri Light"/>
        </w:rPr>
        <w:t>ког</w:t>
      </w:r>
      <w:r w:rsidR="00F176F2" w:rsidRPr="00F6340E">
        <w:rPr>
          <w:rFonts w:eastAsia="Calibri Light"/>
        </w:rPr>
        <w:t xml:space="preserve"> </w:t>
      </w:r>
      <w:r w:rsidR="0071360A">
        <w:rPr>
          <w:rFonts w:eastAsia="Calibri Light"/>
        </w:rPr>
        <w:t>у</w:t>
      </w:r>
      <w:r>
        <w:rPr>
          <w:rFonts w:eastAsia="Calibri Light"/>
        </w:rPr>
        <w:t>ч</w:t>
      </w:r>
      <w:r w:rsidR="00EE6AA2">
        <w:rPr>
          <w:rFonts w:eastAsia="Calibri Light"/>
        </w:rPr>
        <w:t>е</w:t>
      </w:r>
      <w:r>
        <w:rPr>
          <w:rFonts w:eastAsia="Calibri Light"/>
        </w:rPr>
        <w:t>ња</w:t>
      </w:r>
      <w:r w:rsidR="00F176F2" w:rsidRPr="00F6340E">
        <w:rPr>
          <w:rFonts w:eastAsia="Calibri Light"/>
        </w:rPr>
        <w:t xml:space="preserve">: </w:t>
      </w:r>
    </w:p>
    <w:p w14:paraId="14868C9B" w14:textId="4ACF29BF" w:rsidR="00872771" w:rsidRPr="00F6340E" w:rsidRDefault="0071360A" w:rsidP="00210EE1">
      <w:pPr>
        <w:pStyle w:val="Bulletlist"/>
      </w:pPr>
      <w:r>
        <w:lastRenderedPageBreak/>
        <w:t>р</w:t>
      </w:r>
      <w:r w:rsidR="00A56E08">
        <w:t>а</w:t>
      </w:r>
      <w:r w:rsidR="00171F00">
        <w:t>з</w:t>
      </w:r>
      <w:r w:rsidR="00A56E08">
        <w:t>д</w:t>
      </w:r>
      <w:r>
        <w:t>в</w:t>
      </w:r>
      <w:r w:rsidR="00A56E08">
        <w:t>ој</w:t>
      </w:r>
      <w:r w:rsidR="00EE6AA2">
        <w:t>е</w:t>
      </w:r>
      <w:r w:rsidR="00A56E08">
        <w:t>но</w:t>
      </w:r>
      <w:r>
        <w:t>ст</w:t>
      </w:r>
      <w:r w:rsidR="00872771" w:rsidRPr="00F6340E">
        <w:t xml:space="preserve"> </w:t>
      </w:r>
      <w:r w:rsidR="00A56E08">
        <w:t>на</w:t>
      </w:r>
      <w:r>
        <w:t>ст</w:t>
      </w:r>
      <w:r w:rsidR="00A56E08">
        <w:t>а</w:t>
      </w:r>
      <w:r>
        <w:t>в</w:t>
      </w:r>
      <w:r w:rsidR="00A56E08">
        <w:t>ника</w:t>
      </w:r>
      <w:r w:rsidR="00872771" w:rsidRPr="00F6340E">
        <w:t xml:space="preserve"> </w:t>
      </w:r>
      <w:r w:rsidR="00A56E08">
        <w:t>и</w:t>
      </w:r>
      <w:r w:rsidR="00872771" w:rsidRPr="00F6340E">
        <w:t xml:space="preserve"> </w:t>
      </w:r>
      <w:r>
        <w:t>у</w:t>
      </w:r>
      <w:r w:rsidR="00A56E08">
        <w:t>ч</w:t>
      </w:r>
      <w:r w:rsidR="00EE6AA2">
        <w:t>е</w:t>
      </w:r>
      <w:r w:rsidR="00A56E08">
        <w:t>ника</w:t>
      </w:r>
      <w:r w:rsidR="00872771" w:rsidRPr="00F6340E">
        <w:t xml:space="preserve"> </w:t>
      </w:r>
      <w:r>
        <w:t>у</w:t>
      </w:r>
      <w:r w:rsidR="00872771" w:rsidRPr="00F6340E">
        <w:t xml:space="preserve"> </w:t>
      </w:r>
      <w:r>
        <w:t>пр</w:t>
      </w:r>
      <w:r w:rsidR="00A56E08">
        <w:t>о</w:t>
      </w:r>
      <w:r>
        <w:t>ст</w:t>
      </w:r>
      <w:r w:rsidR="00A56E08">
        <w:t>о</w:t>
      </w:r>
      <w:r>
        <w:t>ру</w:t>
      </w:r>
      <w:r w:rsidR="00872771" w:rsidRPr="00F6340E">
        <w:t xml:space="preserve"> </w:t>
      </w:r>
      <w:r w:rsidR="00A56E08">
        <w:t>или</w:t>
      </w:r>
      <w:r w:rsidR="00872771" w:rsidRPr="00F6340E">
        <w:t xml:space="preserve"> </w:t>
      </w:r>
      <w:r>
        <w:t>вр</w:t>
      </w:r>
      <w:r w:rsidR="00EE6AA2">
        <w:t>е</w:t>
      </w:r>
      <w:r w:rsidR="00A56E08">
        <w:t>м</w:t>
      </w:r>
      <w:r w:rsidR="00EE6AA2">
        <w:t>е</w:t>
      </w:r>
      <w:r w:rsidR="00A56E08">
        <w:t>н</w:t>
      </w:r>
      <w:r>
        <w:t>у</w:t>
      </w:r>
      <w:r w:rsidR="00872771" w:rsidRPr="00F6340E">
        <w:t xml:space="preserve">, </w:t>
      </w:r>
      <w:r w:rsidR="00A56E08">
        <w:t>или</w:t>
      </w:r>
      <w:r w:rsidR="00872771" w:rsidRPr="00F6340E">
        <w:t xml:space="preserve"> </w:t>
      </w:r>
      <w:r w:rsidR="00A56E08">
        <w:t>и</w:t>
      </w:r>
      <w:r w:rsidR="00872771" w:rsidRPr="00F6340E">
        <w:t xml:space="preserve"> </w:t>
      </w:r>
      <w:r>
        <w:t>у</w:t>
      </w:r>
      <w:r w:rsidR="00872771" w:rsidRPr="00F6340E">
        <w:t xml:space="preserve"> </w:t>
      </w:r>
      <w:r>
        <w:t>пр</w:t>
      </w:r>
      <w:r w:rsidR="00A56E08">
        <w:t>о</w:t>
      </w:r>
      <w:r>
        <w:t>ст</w:t>
      </w:r>
      <w:r w:rsidR="00A56E08">
        <w:t>о</w:t>
      </w:r>
      <w:r>
        <w:t>ру</w:t>
      </w:r>
      <w:r w:rsidR="00872771" w:rsidRPr="00F6340E">
        <w:t xml:space="preserve"> </w:t>
      </w:r>
      <w:r w:rsidR="00A56E08">
        <w:t>и</w:t>
      </w:r>
      <w:r w:rsidR="00872771" w:rsidRPr="00F6340E">
        <w:t xml:space="preserve"> </w:t>
      </w:r>
      <w:r>
        <w:t>у</w:t>
      </w:r>
      <w:r w:rsidR="00872771" w:rsidRPr="00F6340E">
        <w:t xml:space="preserve"> </w:t>
      </w:r>
      <w:r>
        <w:t>вр</w:t>
      </w:r>
      <w:r w:rsidR="00EE6AA2">
        <w:t>е</w:t>
      </w:r>
      <w:r w:rsidR="00A56E08">
        <w:t>м</w:t>
      </w:r>
      <w:r w:rsidR="00EE6AA2">
        <w:t>е</w:t>
      </w:r>
      <w:r w:rsidR="00A56E08">
        <w:t>н</w:t>
      </w:r>
      <w:r>
        <w:t>у</w:t>
      </w:r>
      <w:r w:rsidR="00872771" w:rsidRPr="00F6340E">
        <w:t xml:space="preserve"> </w:t>
      </w:r>
      <w:r w:rsidR="00A56E08">
        <w:t>и</w:t>
      </w:r>
      <w:r w:rsidR="00872771" w:rsidRPr="00F6340E">
        <w:t xml:space="preserve"> </w:t>
      </w:r>
    </w:p>
    <w:p w14:paraId="08CCD208" w14:textId="3D809D2A" w:rsidR="00872771" w:rsidRPr="00F6340E" w:rsidRDefault="0071360A" w:rsidP="00210EE1">
      <w:pPr>
        <w:pStyle w:val="Bulletlist"/>
      </w:pPr>
      <w:r>
        <w:t>уп</w:t>
      </w:r>
      <w:r w:rsidR="00A56E08">
        <w:t>о</w:t>
      </w:r>
      <w:r>
        <w:t>тр</w:t>
      </w:r>
      <w:r w:rsidR="00EE6AA2">
        <w:t>е</w:t>
      </w:r>
      <w:r w:rsidR="00A56E08">
        <w:t>б</w:t>
      </w:r>
      <w:r>
        <w:t>у</w:t>
      </w:r>
      <w:r w:rsidR="00872771" w:rsidRPr="00F6340E">
        <w:t xml:space="preserve"> </w:t>
      </w:r>
      <w:r w:rsidR="00A56E08">
        <w:t>м</w:t>
      </w:r>
      <w:r w:rsidR="00EE6AA2">
        <w:t>е</w:t>
      </w:r>
      <w:r w:rsidR="00A56E08">
        <w:t>дија</w:t>
      </w:r>
      <w:r w:rsidR="00872771" w:rsidRPr="00F6340E">
        <w:t xml:space="preserve"> </w:t>
      </w:r>
      <w:r w:rsidR="00A56E08">
        <w:t>и</w:t>
      </w:r>
      <w:r w:rsidR="00872771" w:rsidRPr="00F6340E">
        <w:t xml:space="preserve"> </w:t>
      </w:r>
      <w:r>
        <w:t>т</w:t>
      </w:r>
      <w:r w:rsidR="00EE6AA2">
        <w:t>е</w:t>
      </w:r>
      <w:r w:rsidR="00A56E08">
        <w:t>хнологиј</w:t>
      </w:r>
      <w:r w:rsidR="00EE6AA2">
        <w:t>е</w:t>
      </w:r>
      <w:r w:rsidR="00872771" w:rsidRPr="00F6340E">
        <w:t xml:space="preserve">, </w:t>
      </w:r>
      <w:r w:rsidR="00A56E08">
        <w:t>који</w:t>
      </w:r>
      <w:r w:rsidR="00872771" w:rsidRPr="00F6340E">
        <w:t xml:space="preserve"> </w:t>
      </w:r>
      <w:r w:rsidR="00A56E08">
        <w:t>омог</w:t>
      </w:r>
      <w:r>
        <w:t>у</w:t>
      </w:r>
      <w:r w:rsidR="00A56E08">
        <w:t>ћа</w:t>
      </w:r>
      <w:r>
        <w:t>в</w:t>
      </w:r>
      <w:r w:rsidR="00A56E08">
        <w:t>ај</w:t>
      </w:r>
      <w:r>
        <w:t>у</w:t>
      </w:r>
      <w:r w:rsidR="00872771" w:rsidRPr="00F6340E">
        <w:t xml:space="preserve"> </w:t>
      </w:r>
      <w:r w:rsidR="00A56E08">
        <w:t>ком</w:t>
      </w:r>
      <w:r>
        <w:t>у</w:t>
      </w:r>
      <w:r w:rsidR="00A56E08">
        <w:t>никациј</w:t>
      </w:r>
      <w:r>
        <w:t>у</w:t>
      </w:r>
      <w:r w:rsidR="00872771" w:rsidRPr="00F6340E">
        <w:t xml:space="preserve"> </w:t>
      </w:r>
      <w:r w:rsidR="00A56E08">
        <w:t>и</w:t>
      </w:r>
      <w:r w:rsidR="00872771" w:rsidRPr="00F6340E">
        <w:t xml:space="preserve"> </w:t>
      </w:r>
      <w:r>
        <w:t>р</w:t>
      </w:r>
      <w:r w:rsidR="00A56E08">
        <w:t>а</w:t>
      </w:r>
      <w:r w:rsidR="00171F00">
        <w:t>з</w:t>
      </w:r>
      <w:r w:rsidR="00A56E08">
        <w:t>мј</w:t>
      </w:r>
      <w:r w:rsidR="00EE6AA2">
        <w:t>е</w:t>
      </w:r>
      <w:r w:rsidR="00A56E08">
        <w:t>н</w:t>
      </w:r>
      <w:r>
        <w:t>у</w:t>
      </w:r>
      <w:r w:rsidR="00872771" w:rsidRPr="00F6340E">
        <w:t xml:space="preserve"> </w:t>
      </w:r>
      <w:r>
        <w:t>т</w:t>
      </w:r>
      <w:r w:rsidR="00A56E08">
        <w:t>оком</w:t>
      </w:r>
      <w:r w:rsidR="00872771" w:rsidRPr="00F6340E">
        <w:t xml:space="preserve"> </w:t>
      </w:r>
      <w:r w:rsidR="00A56E08">
        <w:t>на</w:t>
      </w:r>
      <w:r>
        <w:t>ст</w:t>
      </w:r>
      <w:r w:rsidR="00A56E08">
        <w:t>а</w:t>
      </w:r>
      <w:r>
        <w:t>в</w:t>
      </w:r>
      <w:r w:rsidR="00A56E08">
        <w:t>ног</w:t>
      </w:r>
      <w:r w:rsidR="00872771" w:rsidRPr="00F6340E">
        <w:t xml:space="preserve"> </w:t>
      </w:r>
      <w:r>
        <w:t>пр</w:t>
      </w:r>
      <w:r w:rsidR="00A56E08">
        <w:t>оц</w:t>
      </w:r>
      <w:r w:rsidR="00EE6AA2">
        <w:t>е</w:t>
      </w:r>
      <w:r>
        <w:t>с</w:t>
      </w:r>
      <w:r w:rsidR="00A56E08">
        <w:t>а</w:t>
      </w:r>
      <w:r w:rsidR="00872771" w:rsidRPr="00F6340E">
        <w:t xml:space="preserve"> </w:t>
      </w:r>
      <w:r>
        <w:t>успр</w:t>
      </w:r>
      <w:r w:rsidR="00A56E08">
        <w:t>ко</w:t>
      </w:r>
      <w:r>
        <w:t>с</w:t>
      </w:r>
      <w:r w:rsidR="00872771" w:rsidRPr="00F6340E">
        <w:t xml:space="preserve"> </w:t>
      </w:r>
      <w:r w:rsidR="00A56E08">
        <w:t>о</w:t>
      </w:r>
      <w:r>
        <w:t>в</w:t>
      </w:r>
      <w:r w:rsidR="00A56E08">
        <w:t>ој</w:t>
      </w:r>
      <w:r w:rsidR="00872771" w:rsidRPr="00F6340E">
        <w:t xml:space="preserve"> </w:t>
      </w:r>
      <w:r>
        <w:t>р</w:t>
      </w:r>
      <w:r w:rsidR="00A56E08">
        <w:t>а</w:t>
      </w:r>
      <w:r w:rsidR="00171F00">
        <w:t>з</w:t>
      </w:r>
      <w:r w:rsidR="00A56E08">
        <w:t>д</w:t>
      </w:r>
      <w:r>
        <w:t>в</w:t>
      </w:r>
      <w:r w:rsidR="00A56E08">
        <w:t>ој</w:t>
      </w:r>
      <w:r w:rsidR="00EE6AA2">
        <w:t>е</w:t>
      </w:r>
      <w:r w:rsidR="00A56E08">
        <w:t>но</w:t>
      </w:r>
      <w:r>
        <w:t>ст</w:t>
      </w:r>
      <w:r w:rsidR="00A56E08">
        <w:t>и</w:t>
      </w:r>
      <w:r w:rsidR="00872771" w:rsidRPr="00F6340E">
        <w:t xml:space="preserve">. </w:t>
      </w:r>
    </w:p>
    <w:p w14:paraId="13E0691E" w14:textId="301C5F91" w:rsidR="005B6581" w:rsidRPr="00210EE1" w:rsidRDefault="0071360A" w:rsidP="00210EE1">
      <w:pPr>
        <w:pStyle w:val="Body"/>
        <w:rPr>
          <w:lang w:val="en-US"/>
        </w:rPr>
      </w:pPr>
      <w:r>
        <w:t>Пр</w:t>
      </w:r>
      <w:r w:rsidR="00EE6AA2">
        <w:t>е</w:t>
      </w:r>
      <w:r w:rsidR="00A56E08">
        <w:t>ма</w:t>
      </w:r>
      <w:r w:rsidR="00872771" w:rsidRPr="00F6340E">
        <w:t xml:space="preserve"> </w:t>
      </w:r>
      <w:r w:rsidR="00A56E08">
        <w:t>ИЛО</w:t>
      </w:r>
      <w:r w:rsidR="00EE6127" w:rsidRPr="00F6340E">
        <w:t>-</w:t>
      </w:r>
      <w:r>
        <w:t>у</w:t>
      </w:r>
      <w:r w:rsidR="00872771" w:rsidRPr="00F6340E">
        <w:t xml:space="preserve"> (2021) </w:t>
      </w:r>
      <w:r w:rsidR="00A56E08">
        <w:t>на</w:t>
      </w:r>
      <w:r>
        <w:t>ст</w:t>
      </w:r>
      <w:r w:rsidR="00A56E08">
        <w:t>а</w:t>
      </w:r>
      <w:r>
        <w:t>в</w:t>
      </w:r>
      <w:r w:rsidR="00A56E08">
        <w:t>а</w:t>
      </w:r>
      <w:r w:rsidR="00EE6127" w:rsidRPr="00F6340E">
        <w:t xml:space="preserve"> </w:t>
      </w:r>
      <w:r>
        <w:t>пут</w:t>
      </w:r>
      <w:r w:rsidR="00EE6AA2">
        <w:t>е</w:t>
      </w:r>
      <w:r w:rsidR="00A56E08">
        <w:t>м</w:t>
      </w:r>
      <w:r w:rsidR="00EE6127" w:rsidRPr="00F6340E">
        <w:t xml:space="preserve"> </w:t>
      </w:r>
      <w:r w:rsidR="00A56E08">
        <w:t>ин</w:t>
      </w:r>
      <w:r>
        <w:t>т</w:t>
      </w:r>
      <w:r w:rsidR="00EE6AA2">
        <w:t>е</w:t>
      </w:r>
      <w:r>
        <w:t>р</w:t>
      </w:r>
      <w:r w:rsidR="00A56E08">
        <w:t>н</w:t>
      </w:r>
      <w:r w:rsidR="00EE6AA2">
        <w:t>е</w:t>
      </w:r>
      <w:r>
        <w:t>т</w:t>
      </w:r>
      <w:r w:rsidR="00A56E08">
        <w:t>а</w:t>
      </w:r>
      <w:r w:rsidR="00872771" w:rsidRPr="00F6340E">
        <w:t xml:space="preserve"> </w:t>
      </w:r>
      <w:r w:rsidR="00A56E08">
        <w:t>ј</w:t>
      </w:r>
      <w:r w:rsidR="00EE6AA2">
        <w:t>е</w:t>
      </w:r>
      <w:r w:rsidR="00872771" w:rsidRPr="00F6340E">
        <w:t xml:space="preserve"> </w:t>
      </w:r>
      <w:r w:rsidR="00A56E08">
        <w:t>начин</w:t>
      </w:r>
      <w:r w:rsidR="00872771" w:rsidRPr="00F6340E">
        <w:t xml:space="preserve"> </w:t>
      </w:r>
      <w:r w:rsidR="00A56E08">
        <w:t>и</w:t>
      </w:r>
      <w:r w:rsidR="00171F00">
        <w:t>з</w:t>
      </w:r>
      <w:r>
        <w:t>в</w:t>
      </w:r>
      <w:r w:rsidR="00A56E08">
        <w:t>ођ</w:t>
      </w:r>
      <w:r w:rsidR="00EE6AA2">
        <w:t>е</w:t>
      </w:r>
      <w:r w:rsidR="00A56E08">
        <w:t>ња</w:t>
      </w:r>
      <w:r w:rsidR="00872771" w:rsidRPr="00F6340E">
        <w:t xml:space="preserve"> </w:t>
      </w:r>
      <w:r w:rsidR="00A56E08">
        <w:t>на</w:t>
      </w:r>
      <w:r>
        <w:t>ст</w:t>
      </w:r>
      <w:r w:rsidR="00A56E08">
        <w:t>а</w:t>
      </w:r>
      <w:r>
        <w:t>в</w:t>
      </w:r>
      <w:r w:rsidR="00A56E08">
        <w:t>ног</w:t>
      </w:r>
      <w:r w:rsidR="00872771" w:rsidRPr="00F6340E">
        <w:t xml:space="preserve"> </w:t>
      </w:r>
      <w:r>
        <w:t>пр</w:t>
      </w:r>
      <w:r w:rsidR="00A56E08">
        <w:t>ог</w:t>
      </w:r>
      <w:r>
        <w:t>р</w:t>
      </w:r>
      <w:r w:rsidR="00A56E08">
        <w:t>ама</w:t>
      </w:r>
      <w:r w:rsidR="00872771" w:rsidRPr="00F6340E">
        <w:t xml:space="preserve"> </w:t>
      </w:r>
      <w:r w:rsidR="00A56E08">
        <w:t>или</w:t>
      </w:r>
      <w:r w:rsidR="00872771" w:rsidRPr="00F6340E">
        <w:t xml:space="preserve"> </w:t>
      </w:r>
      <w:r>
        <w:t>пр</w:t>
      </w:r>
      <w:r w:rsidR="00A56E08">
        <w:t>ог</w:t>
      </w:r>
      <w:r>
        <w:t>р</w:t>
      </w:r>
      <w:r w:rsidR="00A56E08">
        <w:t>ама</w:t>
      </w:r>
      <w:r w:rsidR="00872771" w:rsidRPr="00F6340E">
        <w:t xml:space="preserve"> </w:t>
      </w:r>
      <w:r w:rsidR="00A56E08">
        <w:t>о</w:t>
      </w:r>
      <w:r>
        <w:t>сп</w:t>
      </w:r>
      <w:r w:rsidR="00A56E08">
        <w:t>о</w:t>
      </w:r>
      <w:r>
        <w:t>с</w:t>
      </w:r>
      <w:r w:rsidR="00A56E08">
        <w:t>обља</w:t>
      </w:r>
      <w:r>
        <w:t>в</w:t>
      </w:r>
      <w:r w:rsidR="00A56E08">
        <w:t>ања</w:t>
      </w:r>
      <w:r w:rsidR="00872771" w:rsidRPr="00F6340E">
        <w:t xml:space="preserve"> </w:t>
      </w:r>
      <w:r w:rsidR="00A56E08">
        <w:t>на</w:t>
      </w:r>
      <w:r w:rsidR="00872771" w:rsidRPr="00F6340E">
        <w:t xml:space="preserve"> </w:t>
      </w:r>
      <w:r w:rsidR="00A56E08">
        <w:t>даљин</w:t>
      </w:r>
      <w:r>
        <w:t>у</w:t>
      </w:r>
      <w:r w:rsidR="00872771" w:rsidRPr="00F6340E">
        <w:t xml:space="preserve">. </w:t>
      </w:r>
      <w:r w:rsidR="00A56E08">
        <w:t>Она</w:t>
      </w:r>
      <w:r w:rsidR="00E864CA" w:rsidRPr="00F6340E">
        <w:t xml:space="preserve"> </w:t>
      </w:r>
      <w:r w:rsidR="00A56E08">
        <w:t>мо</w:t>
      </w:r>
      <w:r w:rsidR="00171F00">
        <w:t>ж</w:t>
      </w:r>
      <w:r w:rsidR="00EE6AA2">
        <w:t>е</w:t>
      </w:r>
      <w:r w:rsidR="00872771" w:rsidRPr="00F6340E">
        <w:t xml:space="preserve"> </w:t>
      </w:r>
      <w:r w:rsidR="00A56E08">
        <w:t>да</w:t>
      </w:r>
      <w:r w:rsidR="00872771" w:rsidRPr="00F6340E">
        <w:t xml:space="preserve"> </w:t>
      </w:r>
      <w:r w:rsidR="00A56E08">
        <w:t>об</w:t>
      </w:r>
      <w:r>
        <w:t>у</w:t>
      </w:r>
      <w:r w:rsidR="00A56E08">
        <w:t>х</w:t>
      </w:r>
      <w:r>
        <w:t>в</w:t>
      </w:r>
      <w:r w:rsidR="00A56E08">
        <w:t>а</w:t>
      </w:r>
      <w:r>
        <w:t>т</w:t>
      </w:r>
      <w:r w:rsidR="00A56E08">
        <w:t>и</w:t>
      </w:r>
      <w:r w:rsidR="00872771" w:rsidRPr="00F6340E">
        <w:t xml:space="preserve">, </w:t>
      </w:r>
      <w:r w:rsidR="00A56E08">
        <w:t>али</w:t>
      </w:r>
      <w:r w:rsidR="00872771" w:rsidRPr="00F6340E">
        <w:t xml:space="preserve"> </w:t>
      </w:r>
      <w:r w:rsidR="00A56E08">
        <w:t>н</w:t>
      </w:r>
      <w:r w:rsidR="00EE6AA2">
        <w:t>е</w:t>
      </w:r>
      <w:r w:rsidR="00872771" w:rsidRPr="00F6340E">
        <w:t xml:space="preserve"> </w:t>
      </w:r>
      <w:r w:rsidR="00A56E08">
        <w:t>и</w:t>
      </w:r>
      <w:r w:rsidR="00872771" w:rsidRPr="00F6340E">
        <w:t xml:space="preserve"> </w:t>
      </w:r>
      <w:r w:rsidR="00A56E08">
        <w:t>да</w:t>
      </w:r>
      <w:r w:rsidR="00872771" w:rsidRPr="00F6340E">
        <w:t xml:space="preserve"> </w:t>
      </w:r>
      <w:r w:rsidR="00A56E08">
        <w:t>н</w:t>
      </w:r>
      <w:r w:rsidR="00EE6AA2">
        <w:t>е</w:t>
      </w:r>
      <w:r w:rsidR="00A56E08">
        <w:t>о</w:t>
      </w:r>
      <w:r>
        <w:t>п</w:t>
      </w:r>
      <w:r w:rsidR="00A56E08">
        <w:t>ходно</w:t>
      </w:r>
      <w:r w:rsidR="00872771" w:rsidRPr="00F6340E">
        <w:t xml:space="preserve"> </w:t>
      </w:r>
      <w:r w:rsidR="00171F00">
        <w:t>з</w:t>
      </w:r>
      <w:r w:rsidR="00A56E08">
        <w:t>ах</w:t>
      </w:r>
      <w:r>
        <w:t>т</w:t>
      </w:r>
      <w:r w:rsidR="00A56E08">
        <w:t>иј</w:t>
      </w:r>
      <w:r w:rsidR="00EE6AA2">
        <w:t>е</w:t>
      </w:r>
      <w:r>
        <w:t>в</w:t>
      </w:r>
      <w:r w:rsidR="00A56E08">
        <w:t>а</w:t>
      </w:r>
      <w:r w:rsidR="00872771" w:rsidRPr="00F6340E">
        <w:t xml:space="preserve"> </w:t>
      </w:r>
      <w:r w:rsidR="00A56E08">
        <w:t>и</w:t>
      </w:r>
      <w:r>
        <w:t>ст</w:t>
      </w:r>
      <w:r w:rsidR="00A56E08">
        <w:t>о</w:t>
      </w:r>
      <w:r>
        <w:t>вр</w:t>
      </w:r>
      <w:r w:rsidR="00EE6AA2">
        <w:t>е</w:t>
      </w:r>
      <w:r w:rsidR="00A56E08">
        <w:t>м</w:t>
      </w:r>
      <w:r w:rsidR="00EE6AA2">
        <w:t>е</w:t>
      </w:r>
      <w:r w:rsidR="00A56E08">
        <w:t>н</w:t>
      </w:r>
      <w:r>
        <w:t>у</w:t>
      </w:r>
      <w:r w:rsidR="00872771" w:rsidRPr="00F6340E">
        <w:t xml:space="preserve"> </w:t>
      </w:r>
      <w:r w:rsidR="00A56E08">
        <w:t>ин</w:t>
      </w:r>
      <w:r>
        <w:t>т</w:t>
      </w:r>
      <w:r w:rsidR="00EE6AA2">
        <w:t>е</w:t>
      </w:r>
      <w:r>
        <w:t>р</w:t>
      </w:r>
      <w:r w:rsidR="00A56E08">
        <w:t>акциј</w:t>
      </w:r>
      <w:r>
        <w:t>у</w:t>
      </w:r>
      <w:r w:rsidR="00872771" w:rsidRPr="00F6340E">
        <w:t xml:space="preserve"> </w:t>
      </w:r>
      <w:r w:rsidR="00A56E08">
        <w:t>и</w:t>
      </w:r>
      <w:r w:rsidR="00171F00">
        <w:t>з</w:t>
      </w:r>
      <w:r w:rsidR="00A56E08">
        <w:t>м</w:t>
      </w:r>
      <w:r w:rsidR="00EE6AA2">
        <w:t>е</w:t>
      </w:r>
      <w:r w:rsidR="00A56E08">
        <w:t>ђ</w:t>
      </w:r>
      <w:r>
        <w:t>у</w:t>
      </w:r>
      <w:r w:rsidR="00872771" w:rsidRPr="00F6340E">
        <w:t xml:space="preserve"> </w:t>
      </w:r>
      <w:r w:rsidR="00A56E08">
        <w:t>на</w:t>
      </w:r>
      <w:r>
        <w:t>ст</w:t>
      </w:r>
      <w:r w:rsidR="00A56E08">
        <w:t>а</w:t>
      </w:r>
      <w:r>
        <w:t>в</w:t>
      </w:r>
      <w:r w:rsidR="00A56E08">
        <w:t>ника</w:t>
      </w:r>
      <w:r w:rsidR="00872771" w:rsidRPr="00F6340E">
        <w:t xml:space="preserve"> </w:t>
      </w:r>
      <w:r w:rsidR="00A56E08">
        <w:t>и</w:t>
      </w:r>
      <w:r w:rsidR="00872771" w:rsidRPr="00F6340E">
        <w:t xml:space="preserve"> </w:t>
      </w:r>
      <w:r>
        <w:t>у</w:t>
      </w:r>
      <w:r w:rsidR="00A56E08">
        <w:t>ч</w:t>
      </w:r>
      <w:r w:rsidR="00EE6AA2">
        <w:t>е</w:t>
      </w:r>
      <w:r w:rsidR="00A56E08">
        <w:t>ника</w:t>
      </w:r>
      <w:r w:rsidR="00872771" w:rsidRPr="00F6340E">
        <w:t xml:space="preserve">, </w:t>
      </w:r>
      <w:r w:rsidR="00A56E08">
        <w:t>ј</w:t>
      </w:r>
      <w:r w:rsidR="00EE6AA2">
        <w:t>е</w:t>
      </w:r>
      <w:r>
        <w:t>р</w:t>
      </w:r>
      <w:r w:rsidR="00872771" w:rsidRPr="00F6340E">
        <w:t xml:space="preserve"> </w:t>
      </w:r>
      <w:r>
        <w:t>с</w:t>
      </w:r>
      <w:r w:rsidR="00EE6AA2">
        <w:t>е</w:t>
      </w:r>
      <w:r w:rsidR="00872771" w:rsidRPr="00F6340E">
        <w:t xml:space="preserve"> </w:t>
      </w:r>
      <w:r w:rsidR="00A56E08">
        <w:t>мо</w:t>
      </w:r>
      <w:r w:rsidR="00171F00">
        <w:t>ж</w:t>
      </w:r>
      <w:r w:rsidR="00EE6AA2">
        <w:t>е</w:t>
      </w:r>
      <w:r w:rsidR="00872771" w:rsidRPr="00F6340E">
        <w:t xml:space="preserve"> </w:t>
      </w:r>
      <w:r>
        <w:t>р</w:t>
      </w:r>
      <w:r w:rsidR="00EE6AA2">
        <w:t>е</w:t>
      </w:r>
      <w:r w:rsidR="00A56E08">
        <w:t>али</w:t>
      </w:r>
      <w:r w:rsidR="00171F00">
        <w:t>з</w:t>
      </w:r>
      <w:r w:rsidR="00A56E08">
        <w:t>о</w:t>
      </w:r>
      <w:r>
        <w:t>в</w:t>
      </w:r>
      <w:r w:rsidR="00A56E08">
        <w:t>а</w:t>
      </w:r>
      <w:r>
        <w:t>т</w:t>
      </w:r>
      <w:r w:rsidR="00A56E08">
        <w:t>и</w:t>
      </w:r>
      <w:r w:rsidR="00872771" w:rsidRPr="00F6340E">
        <w:t xml:space="preserve"> </w:t>
      </w:r>
      <w:r>
        <w:t>пут</w:t>
      </w:r>
      <w:r w:rsidR="00EE6AA2">
        <w:t>е</w:t>
      </w:r>
      <w:r w:rsidR="00A56E08">
        <w:t>м</w:t>
      </w:r>
      <w:r w:rsidR="00872771" w:rsidRPr="00F6340E">
        <w:t xml:space="preserve"> </w:t>
      </w:r>
      <w:r>
        <w:t>с</w:t>
      </w:r>
      <w:r w:rsidR="00A56E08">
        <w:t>ад</w:t>
      </w:r>
      <w:r>
        <w:t>р</w:t>
      </w:r>
      <w:r w:rsidR="00171F00">
        <w:t>ж</w:t>
      </w:r>
      <w:r w:rsidR="00A56E08">
        <w:t>аја</w:t>
      </w:r>
      <w:r w:rsidR="00872771" w:rsidRPr="00F6340E">
        <w:t xml:space="preserve"> </w:t>
      </w:r>
      <w:r w:rsidR="00A56E08">
        <w:t>који</w:t>
      </w:r>
      <w:r w:rsidR="00872771" w:rsidRPr="00F6340E">
        <w:t xml:space="preserve"> </w:t>
      </w:r>
      <w:r>
        <w:t>с</w:t>
      </w:r>
      <w:r w:rsidR="00EE6AA2">
        <w:t>е</w:t>
      </w:r>
      <w:r w:rsidR="00872771" w:rsidRPr="00F6340E">
        <w:t xml:space="preserve"> </w:t>
      </w:r>
      <w:r w:rsidR="00A56E08">
        <w:t>ч</w:t>
      </w:r>
      <w:r>
        <w:t>ув</w:t>
      </w:r>
      <w:r w:rsidR="00A56E08">
        <w:t>а</w:t>
      </w:r>
      <w:r w:rsidR="00872771" w:rsidRPr="00F6340E">
        <w:t xml:space="preserve"> </w:t>
      </w:r>
      <w:r>
        <w:t>у</w:t>
      </w:r>
      <w:r w:rsidR="00872771" w:rsidRPr="00F6340E">
        <w:t xml:space="preserve"> </w:t>
      </w:r>
      <w:r w:rsidR="00A56E08">
        <w:t>диги</w:t>
      </w:r>
      <w:r>
        <w:t>т</w:t>
      </w:r>
      <w:r w:rsidR="00A56E08">
        <w:t>алном</w:t>
      </w:r>
      <w:r w:rsidR="00872771" w:rsidRPr="00F6340E">
        <w:t xml:space="preserve"> </w:t>
      </w:r>
      <w:r w:rsidR="00A56E08">
        <w:t>облик</w:t>
      </w:r>
      <w:r>
        <w:t>у</w:t>
      </w:r>
      <w:r w:rsidR="00872771" w:rsidRPr="00F6340E">
        <w:t xml:space="preserve"> </w:t>
      </w:r>
      <w:r w:rsidR="00A56E08">
        <w:t>и</w:t>
      </w:r>
      <w:r w:rsidR="00872771" w:rsidRPr="00F6340E">
        <w:t xml:space="preserve">, </w:t>
      </w:r>
      <w:r w:rsidR="00A56E08">
        <w:t>као</w:t>
      </w:r>
      <w:r w:rsidR="00872771" w:rsidRPr="00F6340E">
        <w:t xml:space="preserve"> </w:t>
      </w:r>
      <w:r>
        <w:t>т</w:t>
      </w:r>
      <w:r w:rsidR="00A56E08">
        <w:t>ака</w:t>
      </w:r>
      <w:r>
        <w:t>в</w:t>
      </w:r>
      <w:r w:rsidR="00872771" w:rsidRPr="00F6340E">
        <w:t xml:space="preserve">, </w:t>
      </w:r>
      <w:r w:rsidR="00A56E08">
        <w:t>мо</w:t>
      </w:r>
      <w:r w:rsidR="00171F00">
        <w:t>ж</w:t>
      </w:r>
      <w:r w:rsidR="00EE6AA2">
        <w:t>е</w:t>
      </w:r>
      <w:r w:rsidR="00872771" w:rsidRPr="00F6340E">
        <w:t xml:space="preserve"> </w:t>
      </w:r>
      <w:r>
        <w:t>с</w:t>
      </w:r>
      <w:r w:rsidR="00EE6AA2">
        <w:t>е</w:t>
      </w:r>
      <w:r w:rsidR="00C47A01" w:rsidRPr="00F6340E">
        <w:t xml:space="preserve"> </w:t>
      </w:r>
      <w:r>
        <w:t>пр</w:t>
      </w:r>
      <w:r w:rsidR="00EE6AA2">
        <w:t>е</w:t>
      </w:r>
      <w:r>
        <w:t>у</w:t>
      </w:r>
      <w:r w:rsidR="00171F00">
        <w:t>з</w:t>
      </w:r>
      <w:r w:rsidR="00EE6AA2">
        <w:t>е</w:t>
      </w:r>
      <w:r>
        <w:t>т</w:t>
      </w:r>
      <w:r w:rsidR="00A56E08">
        <w:t>и</w:t>
      </w:r>
      <w:r w:rsidR="00872771" w:rsidRPr="00F6340E">
        <w:t xml:space="preserve">. </w:t>
      </w:r>
      <w:r w:rsidR="00A56E08">
        <w:t>Одно</w:t>
      </w:r>
      <w:r>
        <w:t>с</w:t>
      </w:r>
      <w:r w:rsidR="00A56E08">
        <w:t>но</w:t>
      </w:r>
      <w:r w:rsidR="00480DA2" w:rsidRPr="00F6340E">
        <w:t xml:space="preserve">, </w:t>
      </w:r>
      <w:r w:rsidR="00A56E08">
        <w:t>мо</w:t>
      </w:r>
      <w:r w:rsidR="00171F00">
        <w:t>ж</w:t>
      </w:r>
      <w:r w:rsidR="00EE6AA2">
        <w:t>е</w:t>
      </w:r>
      <w:r w:rsidR="00A56E08">
        <w:t>мо</w:t>
      </w:r>
      <w:r w:rsidR="00480DA2" w:rsidRPr="00F6340E">
        <w:t xml:space="preserve"> </w:t>
      </w:r>
      <w:r w:rsidR="00A56E08">
        <w:t>го</w:t>
      </w:r>
      <w:r>
        <w:t>в</w:t>
      </w:r>
      <w:r w:rsidR="00A56E08">
        <w:t>о</w:t>
      </w:r>
      <w:r>
        <w:t>р</w:t>
      </w:r>
      <w:r w:rsidR="00A56E08">
        <w:t>и</w:t>
      </w:r>
      <w:r>
        <w:t>т</w:t>
      </w:r>
      <w:r w:rsidR="00A56E08">
        <w:t>и</w:t>
      </w:r>
      <w:r w:rsidR="00480DA2" w:rsidRPr="00F6340E">
        <w:t xml:space="preserve"> </w:t>
      </w:r>
      <w:r w:rsidR="00A56E08">
        <w:t>о</w:t>
      </w:r>
      <w:r w:rsidR="00480DA2" w:rsidRPr="00F6340E">
        <w:t xml:space="preserve"> </w:t>
      </w:r>
      <w:r>
        <w:t>с</w:t>
      </w:r>
      <w:r w:rsidR="00A56E08">
        <w:t>инх</w:t>
      </w:r>
      <w:r>
        <w:t>р</w:t>
      </w:r>
      <w:r w:rsidR="00A56E08">
        <w:t>оном</w:t>
      </w:r>
      <w:r w:rsidR="00480DA2" w:rsidRPr="00F6340E">
        <w:t xml:space="preserve"> </w:t>
      </w:r>
      <w:r>
        <w:t>у</w:t>
      </w:r>
      <w:r w:rsidR="00A56E08">
        <w:t>ч</w:t>
      </w:r>
      <w:r w:rsidR="00EE6AA2">
        <w:t>е</w:t>
      </w:r>
      <w:r w:rsidR="00A56E08">
        <w:t>њ</w:t>
      </w:r>
      <w:r>
        <w:t>у</w:t>
      </w:r>
      <w:r w:rsidR="00480DA2" w:rsidRPr="00F6340E">
        <w:t xml:space="preserve"> </w:t>
      </w:r>
      <w:r w:rsidR="00A56E08">
        <w:t>и</w:t>
      </w:r>
      <w:r w:rsidR="00480DA2" w:rsidRPr="00F6340E">
        <w:t xml:space="preserve"> </w:t>
      </w:r>
      <w:r>
        <w:t>п</w:t>
      </w:r>
      <w:r w:rsidR="00A56E08">
        <w:t>од</w:t>
      </w:r>
      <w:r>
        <w:t>у</w:t>
      </w:r>
      <w:r w:rsidR="00A56E08">
        <w:t>ча</w:t>
      </w:r>
      <w:r>
        <w:t>в</w:t>
      </w:r>
      <w:r w:rsidR="00A56E08">
        <w:t>ањ</w:t>
      </w:r>
      <w:r>
        <w:t>у</w:t>
      </w:r>
      <w:r w:rsidR="00480DA2" w:rsidRPr="00F6340E">
        <w:t xml:space="preserve"> </w:t>
      </w:r>
      <w:r w:rsidR="00A56E08">
        <w:t>кој</w:t>
      </w:r>
      <w:r w:rsidR="00EE6AA2">
        <w:t>е</w:t>
      </w:r>
      <w:r w:rsidR="00480DA2" w:rsidRPr="00F6340E">
        <w:t xml:space="preserve"> </w:t>
      </w:r>
      <w:r>
        <w:t>с</w:t>
      </w:r>
      <w:r w:rsidR="00EE6AA2">
        <w:t>е</w:t>
      </w:r>
      <w:r w:rsidR="00480DA2" w:rsidRPr="00F6340E">
        <w:t xml:space="preserve"> </w:t>
      </w:r>
      <w:r w:rsidR="00A56E08">
        <w:t>од</w:t>
      </w:r>
      <w:r>
        <w:t>в</w:t>
      </w:r>
      <w:r w:rsidR="00A56E08">
        <w:t>ија</w:t>
      </w:r>
      <w:r w:rsidR="00480DA2" w:rsidRPr="00F6340E">
        <w:t xml:space="preserve"> </w:t>
      </w:r>
      <w:r>
        <w:t>у</w:t>
      </w:r>
      <w:r w:rsidR="00480DA2" w:rsidRPr="00F6340E">
        <w:t xml:space="preserve"> </w:t>
      </w:r>
      <w:r>
        <w:t>ств</w:t>
      </w:r>
      <w:r w:rsidR="00A56E08">
        <w:t>а</w:t>
      </w:r>
      <w:r>
        <w:t>р</w:t>
      </w:r>
      <w:r w:rsidR="00A56E08">
        <w:t>ном</w:t>
      </w:r>
      <w:r w:rsidR="00480DA2" w:rsidRPr="00F6340E">
        <w:t xml:space="preserve"> </w:t>
      </w:r>
      <w:r>
        <w:t>вр</w:t>
      </w:r>
      <w:r w:rsidR="00EE6AA2">
        <w:t>е</w:t>
      </w:r>
      <w:r w:rsidR="00A56E08">
        <w:t>м</w:t>
      </w:r>
      <w:r w:rsidR="00EE6AA2">
        <w:t>е</w:t>
      </w:r>
      <w:r w:rsidR="00A56E08">
        <w:t>н</w:t>
      </w:r>
      <w:r>
        <w:t>у</w:t>
      </w:r>
      <w:r w:rsidR="00480DA2" w:rsidRPr="00F6340E">
        <w:t xml:space="preserve">, </w:t>
      </w:r>
      <w:r>
        <w:t>т</w:t>
      </w:r>
      <w:r w:rsidR="00EE6AA2">
        <w:t>е</w:t>
      </w:r>
      <w:r w:rsidR="00480DA2" w:rsidRPr="00F6340E">
        <w:t xml:space="preserve"> </w:t>
      </w:r>
      <w:r w:rsidR="00A56E08">
        <w:t>о</w:t>
      </w:r>
      <w:r w:rsidR="00480DA2" w:rsidRPr="00F6340E">
        <w:t xml:space="preserve"> </w:t>
      </w:r>
      <w:r w:rsidR="00A56E08">
        <w:t>а</w:t>
      </w:r>
      <w:r>
        <w:t>с</w:t>
      </w:r>
      <w:r w:rsidR="00A56E08">
        <w:t>инх</w:t>
      </w:r>
      <w:r>
        <w:t>р</w:t>
      </w:r>
      <w:r w:rsidR="00A56E08">
        <w:t>оном</w:t>
      </w:r>
      <w:r w:rsidR="00480DA2" w:rsidRPr="00F6340E">
        <w:t xml:space="preserve"> </w:t>
      </w:r>
      <w:r w:rsidR="00A56E08">
        <w:t>кој</w:t>
      </w:r>
      <w:r w:rsidR="00EE6AA2">
        <w:t>е</w:t>
      </w:r>
      <w:r w:rsidR="00480DA2" w:rsidRPr="00F6340E">
        <w:t xml:space="preserve"> </w:t>
      </w:r>
      <w:r>
        <w:t>с</w:t>
      </w:r>
      <w:r w:rsidR="00EE6AA2">
        <w:t>е</w:t>
      </w:r>
      <w:r w:rsidR="00480DA2" w:rsidRPr="00F6340E">
        <w:t xml:space="preserve"> </w:t>
      </w:r>
      <w:r w:rsidR="00A56E08">
        <w:t>од</w:t>
      </w:r>
      <w:r>
        <w:t>в</w:t>
      </w:r>
      <w:r w:rsidR="00A56E08">
        <w:t>ија</w:t>
      </w:r>
      <w:r w:rsidR="00480DA2" w:rsidRPr="00F6340E">
        <w:t xml:space="preserve"> </w:t>
      </w:r>
      <w:r>
        <w:t>пут</w:t>
      </w:r>
      <w:r w:rsidR="00EE6AA2">
        <w:t>е</w:t>
      </w:r>
      <w:r w:rsidR="00A56E08">
        <w:t>м</w:t>
      </w:r>
      <w:r w:rsidR="00480DA2" w:rsidRPr="00F6340E">
        <w:t xml:space="preserve"> </w:t>
      </w:r>
      <w:r w:rsidR="00A56E08">
        <w:t>м</w:t>
      </w:r>
      <w:r>
        <w:t>р</w:t>
      </w:r>
      <w:r w:rsidR="00EE6AA2">
        <w:t>е</w:t>
      </w:r>
      <w:r w:rsidR="00171F00">
        <w:t>ж</w:t>
      </w:r>
      <w:r w:rsidR="00A56E08">
        <w:t>них</w:t>
      </w:r>
      <w:r w:rsidR="00480DA2" w:rsidRPr="00F6340E">
        <w:t xml:space="preserve"> </w:t>
      </w:r>
      <w:r w:rsidR="00A56E08">
        <w:t>канала</w:t>
      </w:r>
      <w:r w:rsidR="00480DA2" w:rsidRPr="00F6340E">
        <w:t xml:space="preserve">, </w:t>
      </w:r>
      <w:r w:rsidR="00A56E08">
        <w:t>али</w:t>
      </w:r>
      <w:r w:rsidR="00480DA2" w:rsidRPr="00F6340E">
        <w:t xml:space="preserve"> </w:t>
      </w:r>
      <w:r w:rsidR="00A56E08">
        <w:t>б</w:t>
      </w:r>
      <w:r w:rsidR="00EE6AA2">
        <w:t>е</w:t>
      </w:r>
      <w:r w:rsidR="00171F00">
        <w:t>з</w:t>
      </w:r>
      <w:r w:rsidR="00480DA2" w:rsidRPr="00F6340E">
        <w:t xml:space="preserve"> </w:t>
      </w:r>
      <w:r w:rsidR="00A56E08">
        <w:t>ин</w:t>
      </w:r>
      <w:r>
        <w:t>т</w:t>
      </w:r>
      <w:r w:rsidR="00EE6AA2">
        <w:t>е</w:t>
      </w:r>
      <w:r>
        <w:t>р</w:t>
      </w:r>
      <w:r w:rsidR="00A56E08">
        <w:t>акциј</w:t>
      </w:r>
      <w:r w:rsidR="00EE6AA2">
        <w:t>е</w:t>
      </w:r>
      <w:r w:rsidR="00480DA2" w:rsidRPr="00F6340E">
        <w:t xml:space="preserve"> </w:t>
      </w:r>
      <w:r>
        <w:t>у</w:t>
      </w:r>
      <w:r w:rsidR="00480DA2" w:rsidRPr="00F6340E">
        <w:t xml:space="preserve"> </w:t>
      </w:r>
      <w:r>
        <w:t>ств</w:t>
      </w:r>
      <w:r w:rsidR="00A56E08">
        <w:t>а</w:t>
      </w:r>
      <w:r>
        <w:t>р</w:t>
      </w:r>
      <w:r w:rsidR="00A56E08">
        <w:t>ном</w:t>
      </w:r>
      <w:r w:rsidR="00480DA2" w:rsidRPr="00F6340E">
        <w:t xml:space="preserve"> </w:t>
      </w:r>
      <w:r>
        <w:t>вр</w:t>
      </w:r>
      <w:r w:rsidR="00EE6AA2">
        <w:t>е</w:t>
      </w:r>
      <w:r w:rsidR="00A56E08">
        <w:t>м</w:t>
      </w:r>
      <w:r w:rsidR="00EE6AA2">
        <w:t>е</w:t>
      </w:r>
      <w:r w:rsidR="00A56E08">
        <w:t>н</w:t>
      </w:r>
      <w:r>
        <w:t>у</w:t>
      </w:r>
      <w:r w:rsidR="00480DA2" w:rsidRPr="00F6340E">
        <w:t xml:space="preserve">. </w:t>
      </w:r>
      <w:r>
        <w:t>С</w:t>
      </w:r>
      <w:r w:rsidR="00A56E08">
        <w:t>ад</w:t>
      </w:r>
      <w:r>
        <w:t>р</w:t>
      </w:r>
      <w:r w:rsidR="00171F00">
        <w:t>ж</w:t>
      </w:r>
      <w:r w:rsidR="00A56E08">
        <w:t>аји</w:t>
      </w:r>
      <w:r w:rsidR="00872771" w:rsidRPr="00F6340E">
        <w:t xml:space="preserve"> </w:t>
      </w:r>
      <w:r w:rsidR="00A56E08">
        <w:t>на</w:t>
      </w:r>
      <w:r>
        <w:t>ст</w:t>
      </w:r>
      <w:r w:rsidR="00A56E08">
        <w:t>а</w:t>
      </w:r>
      <w:r>
        <w:t>в</w:t>
      </w:r>
      <w:r w:rsidR="00EE6AA2">
        <w:t>е</w:t>
      </w:r>
      <w:r w:rsidR="00C47A01" w:rsidRPr="00F6340E">
        <w:t xml:space="preserve"> </w:t>
      </w:r>
      <w:r>
        <w:t>пут</w:t>
      </w:r>
      <w:r w:rsidR="00EE6AA2">
        <w:t>е</w:t>
      </w:r>
      <w:r w:rsidR="00A56E08">
        <w:t>м</w:t>
      </w:r>
      <w:r w:rsidR="00C47A01" w:rsidRPr="00F6340E">
        <w:t xml:space="preserve"> </w:t>
      </w:r>
      <w:r w:rsidR="00A56E08">
        <w:t>ин</w:t>
      </w:r>
      <w:r>
        <w:t>т</w:t>
      </w:r>
      <w:r w:rsidR="00EE6AA2">
        <w:t>е</w:t>
      </w:r>
      <w:r>
        <w:t>р</w:t>
      </w:r>
      <w:r w:rsidR="00A56E08">
        <w:t>н</w:t>
      </w:r>
      <w:r w:rsidR="00EE6AA2">
        <w:t>е</w:t>
      </w:r>
      <w:r>
        <w:t>т</w:t>
      </w:r>
      <w:r w:rsidR="00A56E08">
        <w:t>а</w:t>
      </w:r>
      <w:r w:rsidR="00872771" w:rsidRPr="00F6340E">
        <w:t xml:space="preserve"> </w:t>
      </w:r>
      <w:r w:rsidR="00A56E08">
        <w:t>мог</w:t>
      </w:r>
      <w:r>
        <w:t>у</w:t>
      </w:r>
      <w:r w:rsidR="00872771" w:rsidRPr="00F6340E">
        <w:t xml:space="preserve"> </w:t>
      </w:r>
      <w:r w:rsidR="00A56E08">
        <w:t>би</w:t>
      </w:r>
      <w:r>
        <w:t>т</w:t>
      </w:r>
      <w:r w:rsidR="00A56E08">
        <w:t>и</w:t>
      </w:r>
      <w:r w:rsidR="00872771" w:rsidRPr="00F6340E">
        <w:t xml:space="preserve"> </w:t>
      </w:r>
      <w:r>
        <w:t>р</w:t>
      </w:r>
      <w:r w:rsidR="00A56E08">
        <w:t>а</w:t>
      </w:r>
      <w:r w:rsidR="00171F00">
        <w:t>з</w:t>
      </w:r>
      <w:r w:rsidR="00A56E08">
        <w:t>личи</w:t>
      </w:r>
      <w:r>
        <w:t>т</w:t>
      </w:r>
      <w:r w:rsidR="00A56E08">
        <w:t>ог</w:t>
      </w:r>
      <w:r w:rsidR="00872771" w:rsidRPr="00F6340E">
        <w:t xml:space="preserve"> </w:t>
      </w:r>
      <w:r w:rsidR="00A56E08">
        <w:t>фо</w:t>
      </w:r>
      <w:r>
        <w:t>р</w:t>
      </w:r>
      <w:r w:rsidR="00A56E08">
        <w:t>ма</w:t>
      </w:r>
      <w:r>
        <w:t>т</w:t>
      </w:r>
      <w:r w:rsidR="00A56E08">
        <w:t>а</w:t>
      </w:r>
      <w:r w:rsidR="00872771" w:rsidRPr="00F6340E">
        <w:t xml:space="preserve">, </w:t>
      </w:r>
      <w:r w:rsidR="00A56E08">
        <w:t>као</w:t>
      </w:r>
      <w:r w:rsidR="00872771" w:rsidRPr="00F6340E">
        <w:t xml:space="preserve"> </w:t>
      </w:r>
      <w:r w:rsidR="00A56E08">
        <w:t>и</w:t>
      </w:r>
      <w:r w:rsidR="00872771" w:rsidRPr="00F6340E">
        <w:t xml:space="preserve"> </w:t>
      </w:r>
      <w:r w:rsidR="00A56E08">
        <w:t>ни</w:t>
      </w:r>
      <w:r>
        <w:t>в</w:t>
      </w:r>
      <w:r w:rsidR="00A56E08">
        <w:t>ои</w:t>
      </w:r>
      <w:r w:rsidR="00872771" w:rsidRPr="00F6340E">
        <w:t xml:space="preserve"> </w:t>
      </w:r>
      <w:r w:rsidR="00A56E08">
        <w:t>ин</w:t>
      </w:r>
      <w:r>
        <w:t>т</w:t>
      </w:r>
      <w:r w:rsidR="00EE6AA2">
        <w:t>е</w:t>
      </w:r>
      <w:r>
        <w:t>р</w:t>
      </w:r>
      <w:r w:rsidR="00A56E08">
        <w:t>акциј</w:t>
      </w:r>
      <w:r w:rsidR="00EE6AA2">
        <w:t>е</w:t>
      </w:r>
      <w:r w:rsidR="00872771" w:rsidRPr="00F6340E">
        <w:t xml:space="preserve"> </w:t>
      </w:r>
      <w:r w:rsidR="00A56E08">
        <w:t>и</w:t>
      </w:r>
      <w:r w:rsidR="00171F00">
        <w:t>з</w:t>
      </w:r>
      <w:r w:rsidR="00A56E08">
        <w:t>м</w:t>
      </w:r>
      <w:r w:rsidR="00EE6AA2">
        <w:t>е</w:t>
      </w:r>
      <w:r w:rsidR="00A56E08">
        <w:t>ђ</w:t>
      </w:r>
      <w:r>
        <w:t>у</w:t>
      </w:r>
      <w:r w:rsidR="00872771" w:rsidRPr="00F6340E">
        <w:t xml:space="preserve"> </w:t>
      </w:r>
      <w:r w:rsidR="00A56E08">
        <w:t>на</w:t>
      </w:r>
      <w:r>
        <w:t>ст</w:t>
      </w:r>
      <w:r w:rsidR="00A56E08">
        <w:t>а</w:t>
      </w:r>
      <w:r>
        <w:t>в</w:t>
      </w:r>
      <w:r w:rsidR="00A56E08">
        <w:t>ника</w:t>
      </w:r>
      <w:r w:rsidR="00872771" w:rsidRPr="00F6340E">
        <w:t xml:space="preserve"> </w:t>
      </w:r>
      <w:r w:rsidR="00A56E08">
        <w:t>и</w:t>
      </w:r>
      <w:r w:rsidR="00872771" w:rsidRPr="00F6340E">
        <w:t xml:space="preserve"> </w:t>
      </w:r>
      <w:r>
        <w:t>у</w:t>
      </w:r>
      <w:r w:rsidR="00A56E08">
        <w:t>ч</w:t>
      </w:r>
      <w:r w:rsidR="00EE6AA2">
        <w:t>е</w:t>
      </w:r>
      <w:r w:rsidR="00A56E08">
        <w:t>ника</w:t>
      </w:r>
      <w:r w:rsidR="00872771" w:rsidRPr="00F6340E">
        <w:t xml:space="preserve">, </w:t>
      </w:r>
      <w:r w:rsidR="00A56E08">
        <w:t>који</w:t>
      </w:r>
      <w:r w:rsidR="00872771" w:rsidRPr="00F6340E">
        <w:t xml:space="preserve"> </w:t>
      </w:r>
      <w:r>
        <w:t>с</w:t>
      </w:r>
      <w:r w:rsidR="00EE6AA2">
        <w:t>е</w:t>
      </w:r>
      <w:r w:rsidR="00872771" w:rsidRPr="00F6340E">
        <w:t xml:space="preserve"> </w:t>
      </w:r>
      <w:r w:rsidR="00A56E08">
        <w:t>к</w:t>
      </w:r>
      <w:r>
        <w:t>р</w:t>
      </w:r>
      <w:r w:rsidR="00EE6AA2">
        <w:t>е</w:t>
      </w:r>
      <w:r w:rsidR="00A56E08">
        <w:t>ћ</w:t>
      </w:r>
      <w:r w:rsidR="00EE6AA2">
        <w:t>е</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у</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р</w:t>
      </w:r>
      <w:r w:rsidR="00A56E08">
        <w:rPr>
          <w:rStyle w:val="markedcontent"/>
          <w:rFonts w:eastAsia="Calibri Light" w:cs="Arial"/>
          <w:color w:val="000000" w:themeColor="text1"/>
          <w:szCs w:val="24"/>
        </w:rPr>
        <w:t>а</w:t>
      </w:r>
      <w:r>
        <w:rPr>
          <w:rStyle w:val="markedcontent"/>
          <w:rFonts w:eastAsia="Calibri Light" w:cs="Arial"/>
          <w:color w:val="000000" w:themeColor="text1"/>
          <w:szCs w:val="24"/>
        </w:rPr>
        <w:t>сп</w:t>
      </w:r>
      <w:r w:rsidR="00A56E08">
        <w:rPr>
          <w:rStyle w:val="markedcontent"/>
          <w:rFonts w:eastAsia="Calibri Light" w:cs="Arial"/>
          <w:color w:val="000000" w:themeColor="text1"/>
          <w:szCs w:val="24"/>
        </w:rPr>
        <w:t>он</w:t>
      </w:r>
      <w:r>
        <w:rPr>
          <w:rStyle w:val="markedcontent"/>
          <w:rFonts w:eastAsia="Calibri Light" w:cs="Arial"/>
          <w:color w:val="000000" w:themeColor="text1"/>
          <w:szCs w:val="24"/>
        </w:rPr>
        <w:t>у</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од</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п</w:t>
      </w:r>
      <w:r w:rsidR="00A56E08">
        <w:rPr>
          <w:rStyle w:val="markedcontent"/>
          <w:rFonts w:eastAsia="Calibri Light" w:cs="Arial"/>
          <w:color w:val="000000" w:themeColor="text1"/>
          <w:szCs w:val="24"/>
        </w:rPr>
        <w:t>о</w:t>
      </w:r>
      <w:r>
        <w:rPr>
          <w:rStyle w:val="markedcontent"/>
          <w:rFonts w:eastAsia="Calibri Light" w:cs="Arial"/>
          <w:color w:val="000000" w:themeColor="text1"/>
          <w:szCs w:val="24"/>
        </w:rPr>
        <w:t>тпу</w:t>
      </w:r>
      <w:r w:rsidR="00A56E08">
        <w:rPr>
          <w:rStyle w:val="markedcontent"/>
          <w:rFonts w:eastAsia="Calibri Light" w:cs="Arial"/>
          <w:color w:val="000000" w:themeColor="text1"/>
          <w:szCs w:val="24"/>
        </w:rPr>
        <w:t>но</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а</w:t>
      </w:r>
      <w:r>
        <w:rPr>
          <w:rStyle w:val="markedcontent"/>
          <w:rFonts w:eastAsia="Calibri Light" w:cs="Arial"/>
          <w:color w:val="000000" w:themeColor="text1"/>
          <w:szCs w:val="24"/>
        </w:rPr>
        <w:t>ут</w:t>
      </w:r>
      <w:r w:rsidR="00A56E08">
        <w:rPr>
          <w:rStyle w:val="markedcontent"/>
          <w:rFonts w:eastAsia="Calibri Light" w:cs="Arial"/>
          <w:color w:val="000000" w:themeColor="text1"/>
          <w:szCs w:val="24"/>
        </w:rPr>
        <w:t>ономног</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с</w:t>
      </w:r>
      <w:r w:rsidR="00A56E08">
        <w:rPr>
          <w:rStyle w:val="markedcontent"/>
          <w:rFonts w:eastAsia="Calibri Light" w:cs="Arial"/>
          <w:color w:val="000000" w:themeColor="text1"/>
          <w:szCs w:val="24"/>
        </w:rPr>
        <w:t>амо</w:t>
      </w:r>
      <w:r>
        <w:rPr>
          <w:rStyle w:val="markedcontent"/>
          <w:rFonts w:eastAsia="Calibri Light" w:cs="Arial"/>
          <w:color w:val="000000" w:themeColor="text1"/>
          <w:szCs w:val="24"/>
        </w:rPr>
        <w:t>ст</w:t>
      </w:r>
      <w:r w:rsidR="00A56E08">
        <w:rPr>
          <w:rStyle w:val="markedcontent"/>
          <w:rFonts w:eastAsia="Calibri Light" w:cs="Arial"/>
          <w:color w:val="000000" w:themeColor="text1"/>
          <w:szCs w:val="24"/>
        </w:rPr>
        <w:t>алног</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у</w:t>
      </w:r>
      <w:r w:rsidR="00A56E08">
        <w:rPr>
          <w:rStyle w:val="markedcontent"/>
          <w:rFonts w:eastAsia="Calibri Light" w:cs="Arial"/>
          <w:color w:val="000000" w:themeColor="text1"/>
          <w:szCs w:val="24"/>
        </w:rPr>
        <w:t>ч</w:t>
      </w:r>
      <w:r w:rsidR="00EE6AA2">
        <w:rPr>
          <w:rStyle w:val="markedcontent"/>
          <w:rFonts w:eastAsia="Calibri Light" w:cs="Arial"/>
          <w:color w:val="000000" w:themeColor="text1"/>
          <w:szCs w:val="24"/>
        </w:rPr>
        <w:t>е</w:t>
      </w:r>
      <w:r w:rsidR="00A56E08">
        <w:rPr>
          <w:rStyle w:val="markedcontent"/>
          <w:rFonts w:eastAsia="Calibri Light" w:cs="Arial"/>
          <w:color w:val="000000" w:themeColor="text1"/>
          <w:szCs w:val="24"/>
        </w:rPr>
        <w:t>ња</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в</w:t>
      </w:r>
      <w:r w:rsidR="00A56E08">
        <w:rPr>
          <w:rStyle w:val="markedcontent"/>
          <w:rFonts w:eastAsia="Calibri Light" w:cs="Arial"/>
          <w:color w:val="000000" w:themeColor="text1"/>
          <w:szCs w:val="24"/>
        </w:rPr>
        <w:t>ла</w:t>
      </w:r>
      <w:r>
        <w:rPr>
          <w:rStyle w:val="markedcontent"/>
          <w:rFonts w:eastAsia="Calibri Light" w:cs="Arial"/>
          <w:color w:val="000000" w:themeColor="text1"/>
          <w:szCs w:val="24"/>
        </w:rPr>
        <w:t>ст</w:t>
      </w:r>
      <w:r w:rsidR="00A56E08">
        <w:rPr>
          <w:rStyle w:val="markedcontent"/>
          <w:rFonts w:eastAsia="Calibri Light" w:cs="Arial"/>
          <w:color w:val="000000" w:themeColor="text1"/>
          <w:szCs w:val="24"/>
        </w:rPr>
        <w:t>и</w:t>
      </w:r>
      <w:r>
        <w:rPr>
          <w:rStyle w:val="markedcontent"/>
          <w:rFonts w:eastAsia="Calibri Light" w:cs="Arial"/>
          <w:color w:val="000000" w:themeColor="text1"/>
          <w:szCs w:val="24"/>
        </w:rPr>
        <w:t>т</w:t>
      </w:r>
      <w:r w:rsidR="00A56E08">
        <w:rPr>
          <w:rStyle w:val="markedcontent"/>
          <w:rFonts w:eastAsia="Calibri Light" w:cs="Arial"/>
          <w:color w:val="000000" w:themeColor="text1"/>
          <w:szCs w:val="24"/>
        </w:rPr>
        <w:t>им</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т</w:t>
      </w:r>
      <w:r w:rsidR="00EE6AA2">
        <w:rPr>
          <w:rStyle w:val="markedcontent"/>
          <w:rFonts w:eastAsia="Calibri Light" w:cs="Arial"/>
          <w:color w:val="000000" w:themeColor="text1"/>
          <w:szCs w:val="24"/>
        </w:rPr>
        <w:t>е</w:t>
      </w:r>
      <w:r w:rsidR="00A56E08">
        <w:rPr>
          <w:rStyle w:val="markedcontent"/>
          <w:rFonts w:eastAsia="Calibri Light" w:cs="Arial"/>
          <w:color w:val="000000" w:themeColor="text1"/>
          <w:szCs w:val="24"/>
        </w:rPr>
        <w:t>м</w:t>
      </w:r>
      <w:r>
        <w:rPr>
          <w:rStyle w:val="markedcontent"/>
          <w:rFonts w:eastAsia="Calibri Light" w:cs="Arial"/>
          <w:color w:val="000000" w:themeColor="text1"/>
          <w:szCs w:val="24"/>
        </w:rPr>
        <w:t>п</w:t>
      </w:r>
      <w:r w:rsidR="00A56E08">
        <w:rPr>
          <w:rStyle w:val="markedcontent"/>
          <w:rFonts w:eastAsia="Calibri Light" w:cs="Arial"/>
          <w:color w:val="000000" w:themeColor="text1"/>
          <w:szCs w:val="24"/>
        </w:rPr>
        <w:t>ом</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п</w:t>
      </w:r>
      <w:r>
        <w:rPr>
          <w:rStyle w:val="markedcontent"/>
          <w:rFonts w:cs="Arial"/>
          <w:color w:val="000000" w:themeColor="text1"/>
          <w:szCs w:val="24"/>
        </w:rPr>
        <w:t>р</w:t>
      </w:r>
      <w:r w:rsidR="00EE6AA2">
        <w:rPr>
          <w:rStyle w:val="markedcontent"/>
          <w:rFonts w:cs="Arial"/>
          <w:color w:val="000000" w:themeColor="text1"/>
          <w:szCs w:val="24"/>
        </w:rPr>
        <w:t>е</w:t>
      </w:r>
      <w:r w:rsidR="00A56E08">
        <w:rPr>
          <w:rStyle w:val="markedcontent"/>
          <w:rFonts w:cs="Arial"/>
          <w:color w:val="000000" w:themeColor="text1"/>
          <w:szCs w:val="24"/>
        </w:rPr>
        <w:t>ко</w:t>
      </w:r>
      <w:r w:rsidR="00872771" w:rsidRPr="00F6340E">
        <w:rPr>
          <w:rStyle w:val="markedcontent"/>
          <w:rFonts w:cs="Arial"/>
          <w:color w:val="000000" w:themeColor="text1"/>
          <w:szCs w:val="24"/>
        </w:rPr>
        <w:t xml:space="preserve"> </w:t>
      </w:r>
      <w:r w:rsidR="00A56E08">
        <w:rPr>
          <w:rStyle w:val="markedcontent"/>
          <w:rFonts w:eastAsia="Calibri Light" w:cs="Arial"/>
          <w:color w:val="000000" w:themeColor="text1"/>
          <w:szCs w:val="24"/>
        </w:rPr>
        <w:t>комбинациј</w:t>
      </w:r>
      <w:r w:rsidR="00EE6AA2">
        <w:rPr>
          <w:rStyle w:val="markedcontent"/>
          <w:rFonts w:eastAsia="Calibri Light" w:cs="Arial"/>
          <w:color w:val="000000" w:themeColor="text1"/>
          <w:szCs w:val="24"/>
        </w:rPr>
        <w:t>е</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с</w:t>
      </w:r>
      <w:r w:rsidR="00A56E08">
        <w:rPr>
          <w:rStyle w:val="markedcontent"/>
          <w:rFonts w:eastAsia="Calibri Light" w:cs="Arial"/>
          <w:color w:val="000000" w:themeColor="text1"/>
          <w:szCs w:val="24"/>
        </w:rPr>
        <w:t>амо</w:t>
      </w:r>
      <w:r>
        <w:rPr>
          <w:rStyle w:val="markedcontent"/>
          <w:rFonts w:eastAsia="Calibri Light" w:cs="Arial"/>
          <w:color w:val="000000" w:themeColor="text1"/>
          <w:szCs w:val="24"/>
        </w:rPr>
        <w:t>ст</w:t>
      </w:r>
      <w:r w:rsidR="00A56E08">
        <w:rPr>
          <w:rStyle w:val="markedcontent"/>
          <w:rFonts w:eastAsia="Calibri Light" w:cs="Arial"/>
          <w:color w:val="000000" w:themeColor="text1"/>
          <w:szCs w:val="24"/>
        </w:rPr>
        <w:t>алног</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у</w:t>
      </w:r>
      <w:r w:rsidR="00A56E08">
        <w:rPr>
          <w:rStyle w:val="markedcontent"/>
          <w:rFonts w:eastAsia="Calibri Light" w:cs="Arial"/>
          <w:color w:val="000000" w:themeColor="text1"/>
          <w:szCs w:val="24"/>
        </w:rPr>
        <w:t>ч</w:t>
      </w:r>
      <w:r w:rsidR="00EE6AA2">
        <w:rPr>
          <w:rStyle w:val="markedcontent"/>
          <w:rFonts w:eastAsia="Calibri Light" w:cs="Arial"/>
          <w:color w:val="000000" w:themeColor="text1"/>
          <w:szCs w:val="24"/>
        </w:rPr>
        <w:t>е</w:t>
      </w:r>
      <w:r w:rsidR="00A56E08">
        <w:rPr>
          <w:rStyle w:val="markedcontent"/>
          <w:rFonts w:eastAsia="Calibri Light" w:cs="Arial"/>
          <w:color w:val="000000" w:themeColor="text1"/>
          <w:szCs w:val="24"/>
        </w:rPr>
        <w:t>ња</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и</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п</w:t>
      </w:r>
      <w:r w:rsidR="00A56E08">
        <w:rPr>
          <w:rStyle w:val="markedcontent"/>
          <w:rFonts w:eastAsia="Calibri Light" w:cs="Arial"/>
          <w:color w:val="000000" w:themeColor="text1"/>
          <w:szCs w:val="24"/>
        </w:rPr>
        <w:t>од</w:t>
      </w:r>
      <w:r>
        <w:rPr>
          <w:rStyle w:val="markedcontent"/>
          <w:rFonts w:eastAsia="Calibri Light" w:cs="Arial"/>
          <w:color w:val="000000" w:themeColor="text1"/>
          <w:szCs w:val="24"/>
        </w:rPr>
        <w:t>у</w:t>
      </w:r>
      <w:r w:rsidR="00A56E08">
        <w:rPr>
          <w:rStyle w:val="markedcontent"/>
          <w:rFonts w:eastAsia="Calibri Light" w:cs="Arial"/>
          <w:color w:val="000000" w:themeColor="text1"/>
          <w:szCs w:val="24"/>
        </w:rPr>
        <w:t>ча</w:t>
      </w:r>
      <w:r>
        <w:rPr>
          <w:rStyle w:val="markedcontent"/>
          <w:rFonts w:eastAsia="Calibri Light" w:cs="Arial"/>
          <w:color w:val="000000" w:themeColor="text1"/>
          <w:szCs w:val="24"/>
        </w:rPr>
        <w:t>в</w:t>
      </w:r>
      <w:r w:rsidR="00A56E08">
        <w:rPr>
          <w:rStyle w:val="markedcontent"/>
          <w:rFonts w:eastAsia="Calibri Light" w:cs="Arial"/>
          <w:color w:val="000000" w:themeColor="text1"/>
          <w:szCs w:val="24"/>
        </w:rPr>
        <w:t>ања</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до</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на</w:t>
      </w:r>
      <w:r>
        <w:rPr>
          <w:rStyle w:val="markedcontent"/>
          <w:rFonts w:eastAsia="Calibri Light" w:cs="Arial"/>
          <w:color w:val="000000" w:themeColor="text1"/>
          <w:szCs w:val="24"/>
        </w:rPr>
        <w:t>ст</w:t>
      </w:r>
      <w:r w:rsidR="00A56E08">
        <w:rPr>
          <w:rStyle w:val="markedcontent"/>
          <w:rFonts w:eastAsia="Calibri Light" w:cs="Arial"/>
          <w:color w:val="000000" w:themeColor="text1"/>
          <w:szCs w:val="24"/>
        </w:rPr>
        <w:t>а</w:t>
      </w:r>
      <w:r>
        <w:rPr>
          <w:rStyle w:val="markedcontent"/>
          <w:rFonts w:eastAsia="Calibri Light" w:cs="Arial"/>
          <w:color w:val="000000" w:themeColor="text1"/>
          <w:szCs w:val="24"/>
        </w:rPr>
        <w:t>в</w:t>
      </w:r>
      <w:r w:rsidR="00EE6AA2">
        <w:rPr>
          <w:rStyle w:val="markedcontent"/>
          <w:rFonts w:eastAsia="Calibri Light" w:cs="Arial"/>
          <w:color w:val="000000" w:themeColor="text1"/>
          <w:szCs w:val="24"/>
        </w:rPr>
        <w:t>е</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која</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с</w:t>
      </w:r>
      <w:r w:rsidR="00EE6AA2">
        <w:rPr>
          <w:rStyle w:val="markedcontent"/>
          <w:rFonts w:eastAsia="Calibri Light" w:cs="Arial"/>
          <w:color w:val="000000" w:themeColor="text1"/>
          <w:szCs w:val="24"/>
        </w:rPr>
        <w:t>е</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од</w:t>
      </w:r>
      <w:r>
        <w:rPr>
          <w:rStyle w:val="markedcontent"/>
          <w:rFonts w:eastAsia="Calibri Light" w:cs="Arial"/>
          <w:color w:val="000000" w:themeColor="text1"/>
          <w:szCs w:val="24"/>
        </w:rPr>
        <w:t>в</w:t>
      </w:r>
      <w:r w:rsidR="00A56E08">
        <w:rPr>
          <w:rStyle w:val="markedcontent"/>
          <w:rFonts w:eastAsia="Calibri Light" w:cs="Arial"/>
          <w:color w:val="000000" w:themeColor="text1"/>
          <w:szCs w:val="24"/>
        </w:rPr>
        <w:t>ија</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и</w:t>
      </w:r>
      <w:r>
        <w:rPr>
          <w:rStyle w:val="markedcontent"/>
          <w:rFonts w:eastAsia="Calibri Light" w:cs="Arial"/>
          <w:color w:val="000000" w:themeColor="text1"/>
          <w:szCs w:val="24"/>
        </w:rPr>
        <w:t>с</w:t>
      </w:r>
      <w:r w:rsidR="00A56E08">
        <w:rPr>
          <w:rStyle w:val="markedcontent"/>
          <w:rFonts w:eastAsia="Calibri Light" w:cs="Arial"/>
          <w:color w:val="000000" w:themeColor="text1"/>
          <w:szCs w:val="24"/>
        </w:rPr>
        <w:t>кљ</w:t>
      </w:r>
      <w:r>
        <w:rPr>
          <w:rStyle w:val="markedcontent"/>
          <w:rFonts w:eastAsia="Calibri Light" w:cs="Arial"/>
          <w:color w:val="000000" w:themeColor="text1"/>
          <w:szCs w:val="24"/>
        </w:rPr>
        <w:t>у</w:t>
      </w:r>
      <w:r w:rsidR="00A56E08">
        <w:rPr>
          <w:rStyle w:val="markedcontent"/>
          <w:rFonts w:eastAsia="Calibri Light" w:cs="Arial"/>
          <w:color w:val="000000" w:themeColor="text1"/>
          <w:szCs w:val="24"/>
        </w:rPr>
        <w:t>чи</w:t>
      </w:r>
      <w:r>
        <w:rPr>
          <w:rStyle w:val="markedcontent"/>
          <w:rFonts w:eastAsia="Calibri Light" w:cs="Arial"/>
          <w:color w:val="000000" w:themeColor="text1"/>
          <w:szCs w:val="24"/>
        </w:rPr>
        <w:t>в</w:t>
      </w:r>
      <w:r w:rsidR="00A56E08">
        <w:rPr>
          <w:rStyle w:val="markedcontent"/>
          <w:rFonts w:eastAsia="Calibri Light" w:cs="Arial"/>
          <w:color w:val="000000" w:themeColor="text1"/>
          <w:szCs w:val="24"/>
        </w:rPr>
        <w:t>о</w:t>
      </w:r>
      <w:r w:rsidR="00872771" w:rsidRPr="00F6340E">
        <w:rPr>
          <w:rStyle w:val="markedcontent"/>
          <w:rFonts w:eastAsia="Calibri Light" w:cs="Arial"/>
          <w:color w:val="000000" w:themeColor="text1"/>
          <w:szCs w:val="24"/>
        </w:rPr>
        <w:t xml:space="preserve"> </w:t>
      </w:r>
      <w:r>
        <w:rPr>
          <w:rStyle w:val="markedcontent"/>
          <w:rFonts w:eastAsia="Calibri Light" w:cs="Arial"/>
          <w:color w:val="000000" w:themeColor="text1"/>
          <w:szCs w:val="24"/>
        </w:rPr>
        <w:t>пут</w:t>
      </w:r>
      <w:r w:rsidR="00EE6AA2">
        <w:rPr>
          <w:rStyle w:val="markedcontent"/>
          <w:rFonts w:eastAsia="Calibri Light" w:cs="Arial"/>
          <w:color w:val="000000" w:themeColor="text1"/>
          <w:szCs w:val="24"/>
        </w:rPr>
        <w:t>е</w:t>
      </w:r>
      <w:r w:rsidR="00A56E08">
        <w:rPr>
          <w:rStyle w:val="markedcontent"/>
          <w:rFonts w:eastAsia="Calibri Light" w:cs="Arial"/>
          <w:color w:val="000000" w:themeColor="text1"/>
          <w:szCs w:val="24"/>
        </w:rPr>
        <w:t>м</w:t>
      </w:r>
      <w:r w:rsidR="00872771" w:rsidRPr="00F6340E">
        <w:rPr>
          <w:rStyle w:val="markedcontent"/>
          <w:rFonts w:eastAsia="Calibri Light" w:cs="Arial"/>
          <w:color w:val="000000" w:themeColor="text1"/>
          <w:szCs w:val="24"/>
        </w:rPr>
        <w:t xml:space="preserve"> </w:t>
      </w:r>
      <w:r w:rsidR="00A56E08">
        <w:rPr>
          <w:rStyle w:val="markedcontent"/>
          <w:rFonts w:eastAsia="Calibri Light" w:cs="Arial"/>
          <w:color w:val="000000" w:themeColor="text1"/>
          <w:szCs w:val="24"/>
        </w:rPr>
        <w:t>ин</w:t>
      </w:r>
      <w:r>
        <w:rPr>
          <w:rStyle w:val="markedcontent"/>
          <w:rFonts w:eastAsia="Calibri Light" w:cs="Arial"/>
          <w:color w:val="000000" w:themeColor="text1"/>
          <w:szCs w:val="24"/>
        </w:rPr>
        <w:t>т</w:t>
      </w:r>
      <w:r w:rsidR="00EE6AA2">
        <w:rPr>
          <w:rStyle w:val="markedcontent"/>
          <w:rFonts w:eastAsia="Calibri Light" w:cs="Arial"/>
          <w:color w:val="000000" w:themeColor="text1"/>
          <w:szCs w:val="24"/>
        </w:rPr>
        <w:t>е</w:t>
      </w:r>
      <w:r>
        <w:rPr>
          <w:rStyle w:val="markedcontent"/>
          <w:rFonts w:eastAsia="Calibri Light" w:cs="Arial"/>
          <w:color w:val="000000" w:themeColor="text1"/>
          <w:szCs w:val="24"/>
        </w:rPr>
        <w:t>р</w:t>
      </w:r>
      <w:r w:rsidR="00A56E08">
        <w:rPr>
          <w:rStyle w:val="markedcontent"/>
          <w:rFonts w:eastAsia="Calibri Light" w:cs="Arial"/>
          <w:color w:val="000000" w:themeColor="text1"/>
          <w:szCs w:val="24"/>
        </w:rPr>
        <w:t>н</w:t>
      </w:r>
      <w:r w:rsidR="00EE6AA2">
        <w:rPr>
          <w:rStyle w:val="markedcontent"/>
          <w:rFonts w:eastAsia="Calibri Light" w:cs="Arial"/>
          <w:color w:val="000000" w:themeColor="text1"/>
          <w:szCs w:val="24"/>
        </w:rPr>
        <w:t>е</w:t>
      </w:r>
      <w:r>
        <w:rPr>
          <w:rStyle w:val="markedcontent"/>
          <w:rFonts w:eastAsia="Calibri Light" w:cs="Arial"/>
          <w:color w:val="000000" w:themeColor="text1"/>
          <w:szCs w:val="24"/>
        </w:rPr>
        <w:t>т</w:t>
      </w:r>
      <w:r w:rsidR="00A56E08">
        <w:rPr>
          <w:rStyle w:val="markedcontent"/>
          <w:rFonts w:eastAsia="Calibri Light" w:cs="Arial"/>
          <w:color w:val="000000" w:themeColor="text1"/>
          <w:szCs w:val="24"/>
        </w:rPr>
        <w:t>а</w:t>
      </w:r>
      <w:r w:rsidR="00872771" w:rsidRPr="00F6340E">
        <w:rPr>
          <w:rStyle w:val="markedcontent"/>
          <w:rFonts w:eastAsia="Calibri Light" w:cs="Arial"/>
          <w:color w:val="000000" w:themeColor="text1"/>
          <w:szCs w:val="24"/>
        </w:rPr>
        <w:t>.</w:t>
      </w:r>
      <w:r w:rsidR="00872771" w:rsidRPr="00F6340E">
        <w:t xml:space="preserve"> </w:t>
      </w:r>
      <w:r>
        <w:t>Пр</w:t>
      </w:r>
      <w:r w:rsidR="00EE6AA2">
        <w:t>е</w:t>
      </w:r>
      <w:r w:rsidR="00A56E08">
        <w:t>дно</w:t>
      </w:r>
      <w:r>
        <w:t>ст</w:t>
      </w:r>
      <w:r w:rsidR="00872771" w:rsidRPr="00F6340E">
        <w:t xml:space="preserve"> </w:t>
      </w:r>
      <w:r w:rsidR="00A56E08">
        <w:t>на</w:t>
      </w:r>
      <w:r>
        <w:t>ст</w:t>
      </w:r>
      <w:r w:rsidR="00A56E08">
        <w:t>а</w:t>
      </w:r>
      <w:r>
        <w:t>в</w:t>
      </w:r>
      <w:r w:rsidR="00EE6AA2">
        <w:t>е</w:t>
      </w:r>
      <w:r w:rsidR="00C47A01" w:rsidRPr="00F6340E">
        <w:t xml:space="preserve"> </w:t>
      </w:r>
      <w:r>
        <w:t>пут</w:t>
      </w:r>
      <w:r w:rsidR="00EE6AA2">
        <w:t>е</w:t>
      </w:r>
      <w:r w:rsidR="00A56E08">
        <w:t>м</w:t>
      </w:r>
      <w:r w:rsidR="00C47A01" w:rsidRPr="00F6340E">
        <w:t xml:space="preserve"> </w:t>
      </w:r>
      <w:r w:rsidR="00A56E08">
        <w:t>ин</w:t>
      </w:r>
      <w:r>
        <w:t>т</w:t>
      </w:r>
      <w:r w:rsidR="00EE6AA2">
        <w:t>е</w:t>
      </w:r>
      <w:r>
        <w:t>р</w:t>
      </w:r>
      <w:r w:rsidR="00A56E08">
        <w:t>н</w:t>
      </w:r>
      <w:r w:rsidR="00EE6AA2">
        <w:t>е</w:t>
      </w:r>
      <w:r>
        <w:t>т</w:t>
      </w:r>
      <w:r w:rsidR="00A56E08">
        <w:t>а</w:t>
      </w:r>
      <w:r w:rsidR="00872771" w:rsidRPr="00F6340E">
        <w:t xml:space="preserve"> </w:t>
      </w:r>
      <w:r w:rsidR="00A56E08">
        <w:t>ј</w:t>
      </w:r>
      <w:r w:rsidR="00EE6AA2">
        <w:t>е</w:t>
      </w:r>
      <w:r w:rsidR="00872771" w:rsidRPr="00F6340E">
        <w:t xml:space="preserve"> </w:t>
      </w:r>
      <w:r>
        <w:t>пр</w:t>
      </w:r>
      <w:r w:rsidR="00A56E08">
        <w:t>и</w:t>
      </w:r>
      <w:r>
        <w:t>ступ</w:t>
      </w:r>
      <w:r w:rsidR="00872771" w:rsidRPr="00F6340E">
        <w:t xml:space="preserve"> </w:t>
      </w:r>
      <w:r>
        <w:t>в</w:t>
      </w:r>
      <w:r w:rsidR="00EE6AA2">
        <w:t>е</w:t>
      </w:r>
      <w:r w:rsidR="00A56E08">
        <w:t>ћ</w:t>
      </w:r>
      <w:r w:rsidR="00EE6AA2">
        <w:t>е</w:t>
      </w:r>
      <w:r w:rsidR="00A56E08">
        <w:t>м</w:t>
      </w:r>
      <w:r w:rsidR="00872771" w:rsidRPr="00F6340E">
        <w:t xml:space="preserve"> </w:t>
      </w:r>
      <w:r w:rsidR="00A56E08">
        <w:t>б</w:t>
      </w:r>
      <w:r>
        <w:t>р</w:t>
      </w:r>
      <w:r w:rsidR="00A56E08">
        <w:t>ој</w:t>
      </w:r>
      <w:r>
        <w:t>у</w:t>
      </w:r>
      <w:r w:rsidR="00872771" w:rsidRPr="00F6340E">
        <w:t xml:space="preserve"> </w:t>
      </w:r>
      <w:r>
        <w:t>у</w:t>
      </w:r>
      <w:r w:rsidR="00A56E08">
        <w:t>ч</w:t>
      </w:r>
      <w:r w:rsidR="00EE6AA2">
        <w:t>е</w:t>
      </w:r>
      <w:r w:rsidR="00A56E08">
        <w:t>ника</w:t>
      </w:r>
      <w:r w:rsidR="000B5AA0" w:rsidRPr="00F6340E">
        <w:t>/</w:t>
      </w:r>
      <w:r>
        <w:t>сту</w:t>
      </w:r>
      <w:r w:rsidR="00A56E08">
        <w:t>д</w:t>
      </w:r>
      <w:r w:rsidR="00EE6AA2">
        <w:t>е</w:t>
      </w:r>
      <w:r w:rsidR="00A56E08">
        <w:t>на</w:t>
      </w:r>
      <w:r>
        <w:t>т</w:t>
      </w:r>
      <w:r w:rsidR="00A56E08">
        <w:t>а</w:t>
      </w:r>
      <w:r w:rsidR="00872771" w:rsidRPr="00F6340E">
        <w:t xml:space="preserve">, </w:t>
      </w:r>
      <w:r>
        <w:t>у</w:t>
      </w:r>
      <w:r w:rsidR="00A56E08">
        <w:t>кљ</w:t>
      </w:r>
      <w:r>
        <w:t>у</w:t>
      </w:r>
      <w:r w:rsidR="00A56E08">
        <w:t>ч</w:t>
      </w:r>
      <w:r>
        <w:t>у</w:t>
      </w:r>
      <w:r w:rsidR="00A56E08">
        <w:t>ј</w:t>
      </w:r>
      <w:r>
        <w:t>у</w:t>
      </w:r>
      <w:r w:rsidR="00A56E08">
        <w:t>ћи</w:t>
      </w:r>
      <w:r w:rsidR="00872771" w:rsidRPr="00F6340E">
        <w:t xml:space="preserve"> </w:t>
      </w:r>
      <w:r w:rsidR="00A56E08">
        <w:t>и</w:t>
      </w:r>
      <w:r w:rsidR="00872771" w:rsidRPr="00F6340E">
        <w:t xml:space="preserve"> </w:t>
      </w:r>
      <w:r w:rsidR="00A56E08">
        <w:t>он</w:t>
      </w:r>
      <w:r w:rsidR="00EE6AA2">
        <w:t>е</w:t>
      </w:r>
      <w:r w:rsidR="00872771" w:rsidRPr="00F6340E">
        <w:t xml:space="preserve"> </w:t>
      </w:r>
      <w:r w:rsidR="00A56E08">
        <w:t>који</w:t>
      </w:r>
      <w:r w:rsidR="00872771" w:rsidRPr="00F6340E">
        <w:t xml:space="preserve">, </w:t>
      </w:r>
      <w:r w:rsidR="00171F00">
        <w:t>з</w:t>
      </w:r>
      <w:r w:rsidR="00A56E08">
        <w:t>бог</w:t>
      </w:r>
      <w:r w:rsidR="00872771" w:rsidRPr="00F6340E">
        <w:t xml:space="preserve"> </w:t>
      </w:r>
      <w:r>
        <w:t>р</w:t>
      </w:r>
      <w:r w:rsidR="00A56E08">
        <w:t>а</w:t>
      </w:r>
      <w:r w:rsidR="00171F00">
        <w:t>з</w:t>
      </w:r>
      <w:r w:rsidR="00A56E08">
        <w:t>личи</w:t>
      </w:r>
      <w:r>
        <w:t>т</w:t>
      </w:r>
      <w:r w:rsidR="00A56E08">
        <w:t>их</w:t>
      </w:r>
      <w:r w:rsidR="00872771" w:rsidRPr="00F6340E">
        <w:t xml:space="preserve"> </w:t>
      </w:r>
      <w:r w:rsidR="00A56E08">
        <w:t>околно</w:t>
      </w:r>
      <w:r>
        <w:t>ст</w:t>
      </w:r>
      <w:r w:rsidR="00A56E08">
        <w:t>и</w:t>
      </w:r>
      <w:r w:rsidR="00872771" w:rsidRPr="00F6340E">
        <w:t xml:space="preserve">, </w:t>
      </w:r>
      <w:r w:rsidR="00A56E08">
        <w:t>н</w:t>
      </w:r>
      <w:r w:rsidR="00EE6AA2">
        <w:t>е</w:t>
      </w:r>
      <w:r w:rsidR="00A56E08">
        <w:t>мај</w:t>
      </w:r>
      <w:r>
        <w:t>у</w:t>
      </w:r>
      <w:r w:rsidR="00872771" w:rsidRPr="00F6340E">
        <w:t xml:space="preserve"> </w:t>
      </w:r>
      <w:r>
        <w:t>пр</w:t>
      </w:r>
      <w:r w:rsidR="00A56E08">
        <w:t>и</w:t>
      </w:r>
      <w:r>
        <w:t>ступ</w:t>
      </w:r>
      <w:r w:rsidR="00872771" w:rsidRPr="00F6340E">
        <w:t xml:space="preserve"> </w:t>
      </w:r>
      <w:r>
        <w:t>тр</w:t>
      </w:r>
      <w:r w:rsidR="00A56E08">
        <w:t>адиционалној</w:t>
      </w:r>
      <w:r w:rsidR="00872771" w:rsidRPr="00F6340E">
        <w:t xml:space="preserve"> </w:t>
      </w:r>
      <w:r w:rsidR="00A56E08">
        <w:t>на</w:t>
      </w:r>
      <w:r>
        <w:t>ст</w:t>
      </w:r>
      <w:r w:rsidR="00A56E08">
        <w:t>а</w:t>
      </w:r>
      <w:r>
        <w:t>в</w:t>
      </w:r>
      <w:r w:rsidR="00A56E08">
        <w:t>и</w:t>
      </w:r>
      <w:r w:rsidR="00872771" w:rsidRPr="00F6340E">
        <w:t xml:space="preserve"> </w:t>
      </w:r>
      <w:r w:rsidR="00A56E08">
        <w:t>и</w:t>
      </w:r>
      <w:r w:rsidR="00872771" w:rsidRPr="00F6340E">
        <w:t xml:space="preserve"> </w:t>
      </w:r>
      <w:r w:rsidR="00A56E08">
        <w:t>о</w:t>
      </w:r>
      <w:r>
        <w:t>сп</w:t>
      </w:r>
      <w:r w:rsidR="00A56E08">
        <w:t>о</w:t>
      </w:r>
      <w:r>
        <w:t>с</w:t>
      </w:r>
      <w:r w:rsidR="00A56E08">
        <w:t>обља</w:t>
      </w:r>
      <w:r>
        <w:t>в</w:t>
      </w:r>
      <w:r w:rsidR="00A56E08">
        <w:t>ањ</w:t>
      </w:r>
      <w:r>
        <w:t>у</w:t>
      </w:r>
      <w:r w:rsidR="00872771" w:rsidRPr="00F6340E">
        <w:t xml:space="preserve"> </w:t>
      </w:r>
      <w:r>
        <w:t>р</w:t>
      </w:r>
      <w:r w:rsidR="00A56E08">
        <w:t>ади</w:t>
      </w:r>
      <w:r w:rsidR="00872771" w:rsidRPr="00F6340E">
        <w:t xml:space="preserve"> </w:t>
      </w:r>
      <w:r>
        <w:t>ст</w:t>
      </w:r>
      <w:r w:rsidR="00A56E08">
        <w:t>ицања</w:t>
      </w:r>
      <w:r w:rsidR="00872771" w:rsidRPr="00F6340E">
        <w:t xml:space="preserve"> </w:t>
      </w:r>
      <w:r w:rsidR="00A56E08">
        <w:t>но</w:t>
      </w:r>
      <w:r>
        <w:t>в</w:t>
      </w:r>
      <w:r w:rsidR="00A56E08">
        <w:t>их</w:t>
      </w:r>
      <w:r w:rsidR="00872771" w:rsidRPr="00F6340E">
        <w:t xml:space="preserve"> </w:t>
      </w:r>
      <w:r w:rsidR="00171F00">
        <w:t>з</w:t>
      </w:r>
      <w:r w:rsidR="00A56E08">
        <w:t>нања</w:t>
      </w:r>
      <w:r w:rsidR="00872771" w:rsidRPr="00F6340E">
        <w:t xml:space="preserve"> </w:t>
      </w:r>
      <w:r w:rsidR="00A56E08">
        <w:t>и</w:t>
      </w:r>
      <w:r w:rsidR="00872771" w:rsidRPr="00F6340E">
        <w:t xml:space="preserve"> </w:t>
      </w:r>
      <w:r>
        <w:t>в</w:t>
      </w:r>
      <w:r w:rsidR="00A56E08">
        <w:t>ј</w:t>
      </w:r>
      <w:r w:rsidR="00EE6AA2">
        <w:t>е</w:t>
      </w:r>
      <w:r>
        <w:t>шт</w:t>
      </w:r>
      <w:r w:rsidR="00A56E08">
        <w:t>ина</w:t>
      </w:r>
      <w:r w:rsidR="00872771" w:rsidRPr="00F6340E">
        <w:t xml:space="preserve"> (</w:t>
      </w:r>
      <w:r w:rsidR="00A56E08">
        <w:t>ИЛО</w:t>
      </w:r>
      <w:r w:rsidR="00872771" w:rsidRPr="00F6340E">
        <w:t>, 2021).</w:t>
      </w:r>
    </w:p>
    <w:p w14:paraId="4275BC6A" w14:textId="1131566C" w:rsidR="00483250" w:rsidRPr="00F6340E" w:rsidRDefault="00A56E08" w:rsidP="001A6D76">
      <w:pPr>
        <w:pStyle w:val="Heading3"/>
        <w:numPr>
          <w:ilvl w:val="2"/>
          <w:numId w:val="73"/>
        </w:numPr>
        <w:ind w:left="567" w:hanging="567"/>
        <w:rPr>
          <w:lang w:val="sr-Cyrl-BA"/>
        </w:rPr>
      </w:pPr>
      <w:bookmarkStart w:id="7" w:name="_Toc119050292"/>
      <w:r>
        <w:rPr>
          <w:lang w:val="sr-Cyrl-BA"/>
        </w:rPr>
        <w:t>Комбино</w:t>
      </w:r>
      <w:r w:rsidR="0071360A">
        <w:rPr>
          <w:lang w:val="sr-Cyrl-BA"/>
        </w:rPr>
        <w:t>в</w:t>
      </w:r>
      <w:r>
        <w:rPr>
          <w:lang w:val="sr-Cyrl-BA"/>
        </w:rPr>
        <w:t>ана</w:t>
      </w:r>
      <w:r w:rsidR="00872771" w:rsidRPr="00F6340E">
        <w:rPr>
          <w:lang w:val="sr-Cyrl-BA"/>
        </w:rPr>
        <w:t xml:space="preserve"> </w:t>
      </w:r>
      <w:r>
        <w:rPr>
          <w:lang w:val="sr-Cyrl-BA"/>
        </w:rPr>
        <w:t>на</w:t>
      </w:r>
      <w:r w:rsidR="0071360A">
        <w:rPr>
          <w:lang w:val="sr-Cyrl-BA"/>
        </w:rPr>
        <w:t>ст</w:t>
      </w:r>
      <w:r>
        <w:rPr>
          <w:lang w:val="sr-Cyrl-BA"/>
        </w:rPr>
        <w:t>а</w:t>
      </w:r>
      <w:r w:rsidR="0071360A">
        <w:rPr>
          <w:lang w:val="sr-Cyrl-BA"/>
        </w:rPr>
        <w:t>в</w:t>
      </w:r>
      <w:r>
        <w:rPr>
          <w:lang w:val="sr-Cyrl-BA"/>
        </w:rPr>
        <w:t>а</w:t>
      </w:r>
      <w:r w:rsidR="00872771" w:rsidRPr="00F6340E">
        <w:rPr>
          <w:lang w:val="sr-Cyrl-BA"/>
        </w:rPr>
        <w:t xml:space="preserve"> </w:t>
      </w:r>
      <w:r w:rsidR="000053AE" w:rsidRPr="00F6340E">
        <w:rPr>
          <w:lang w:val="sr-Cyrl-BA"/>
        </w:rPr>
        <w:t>(</w:t>
      </w:r>
      <w:r w:rsidR="000010C5">
        <w:rPr>
          <w:lang w:val="hr-BA"/>
        </w:rPr>
        <w:t>Blended teaching and learning</w:t>
      </w:r>
      <w:r w:rsidR="000053AE" w:rsidRPr="00F6340E">
        <w:rPr>
          <w:lang w:val="sr-Cyrl-BA"/>
        </w:rPr>
        <w:t>)</w:t>
      </w:r>
      <w:bookmarkEnd w:id="7"/>
    </w:p>
    <w:p w14:paraId="7EA105A7" w14:textId="030C1627" w:rsidR="00872771" w:rsidRPr="00F6340E" w:rsidRDefault="00A56E08" w:rsidP="00210EE1">
      <w:pPr>
        <w:pStyle w:val="Body"/>
      </w:pPr>
      <w:r>
        <w:t>Комбино</w:t>
      </w:r>
      <w:r w:rsidR="0071360A">
        <w:t>в</w:t>
      </w:r>
      <w:r>
        <w:t>ана</w:t>
      </w:r>
      <w:r w:rsidR="00872771" w:rsidRPr="00F6340E">
        <w:t xml:space="preserve"> </w:t>
      </w:r>
      <w:r>
        <w:t>на</w:t>
      </w:r>
      <w:r w:rsidR="0071360A">
        <w:t>ст</w:t>
      </w:r>
      <w:r>
        <w:t>а</w:t>
      </w:r>
      <w:r w:rsidR="0071360A">
        <w:t>в</w:t>
      </w:r>
      <w:r>
        <w:t>а</w:t>
      </w:r>
      <w:r w:rsidR="00872771" w:rsidRPr="00F6340E">
        <w:t xml:space="preserve"> </w:t>
      </w:r>
      <w:r>
        <w:t>ј</w:t>
      </w:r>
      <w:r w:rsidR="00EE6AA2">
        <w:t>е</w:t>
      </w:r>
      <w:r w:rsidR="00872771" w:rsidRPr="00F6340E">
        <w:t xml:space="preserve"> </w:t>
      </w:r>
      <w:r>
        <w:t>комбинација</w:t>
      </w:r>
      <w:r w:rsidR="00872771" w:rsidRPr="00F6340E">
        <w:t xml:space="preserve"> </w:t>
      </w:r>
      <w:r>
        <w:t>на</w:t>
      </w:r>
      <w:r w:rsidR="0071360A">
        <w:t>ст</w:t>
      </w:r>
      <w:r>
        <w:t>а</w:t>
      </w:r>
      <w:r w:rsidR="0071360A">
        <w:t>в</w:t>
      </w:r>
      <w:r w:rsidR="00EE6AA2">
        <w:t>е</w:t>
      </w:r>
      <w:r w:rsidR="00C47A01" w:rsidRPr="00F6340E">
        <w:t xml:space="preserve"> </w:t>
      </w:r>
      <w:r w:rsidR="0071360A">
        <w:t>пут</w:t>
      </w:r>
      <w:r w:rsidR="00EE6AA2">
        <w:t>е</w:t>
      </w:r>
      <w:r>
        <w:t>м</w:t>
      </w:r>
      <w:r w:rsidR="00C47A01" w:rsidRPr="00F6340E">
        <w:t xml:space="preserve"> </w:t>
      </w:r>
      <w:r>
        <w:t>ин</w:t>
      </w:r>
      <w:r w:rsidR="0071360A">
        <w:t>т</w:t>
      </w:r>
      <w:r w:rsidR="00EE6AA2">
        <w:t>е</w:t>
      </w:r>
      <w:r w:rsidR="0071360A">
        <w:t>р</w:t>
      </w:r>
      <w:r>
        <w:t>н</w:t>
      </w:r>
      <w:r w:rsidR="00EE6AA2">
        <w:t>е</w:t>
      </w:r>
      <w:r w:rsidR="0071360A">
        <w:t>т</w:t>
      </w:r>
      <w:r>
        <w:t>а</w:t>
      </w:r>
      <w:r w:rsidR="00872771" w:rsidRPr="00F6340E">
        <w:t xml:space="preserve"> </w:t>
      </w:r>
      <w:r>
        <w:t>и</w:t>
      </w:r>
      <w:r w:rsidR="00872771" w:rsidRPr="00F6340E">
        <w:t xml:space="preserve"> </w:t>
      </w:r>
      <w:r w:rsidR="0071360A">
        <w:t>р</w:t>
      </w:r>
      <w:r w:rsidR="00EE6AA2">
        <w:t>е</w:t>
      </w:r>
      <w:r>
        <w:t>до</w:t>
      </w:r>
      <w:r w:rsidR="0071360A">
        <w:t>в</w:t>
      </w:r>
      <w:r>
        <w:t>ног</w:t>
      </w:r>
      <w:r w:rsidR="00872771" w:rsidRPr="00F6340E">
        <w:t xml:space="preserve"> </w:t>
      </w:r>
      <w:r>
        <w:t>и</w:t>
      </w:r>
      <w:r w:rsidR="00872771" w:rsidRPr="00F6340E">
        <w:t>/</w:t>
      </w:r>
      <w:r>
        <w:t>или</w:t>
      </w:r>
      <w:r w:rsidR="00872771" w:rsidRPr="00F6340E">
        <w:t xml:space="preserve"> </w:t>
      </w:r>
      <w:r w:rsidR="0071360A">
        <w:t>п</w:t>
      </w:r>
      <w:r>
        <w:t>о</w:t>
      </w:r>
      <w:r w:rsidR="0071360A">
        <w:t>вр</w:t>
      </w:r>
      <w:r w:rsidR="00EE6AA2">
        <w:t>е</w:t>
      </w:r>
      <w:r>
        <w:t>м</w:t>
      </w:r>
      <w:r w:rsidR="00EE6AA2">
        <w:t>е</w:t>
      </w:r>
      <w:r>
        <w:t>ног</w:t>
      </w:r>
      <w:r w:rsidR="00872771" w:rsidRPr="00F6340E">
        <w:t xml:space="preserve"> </w:t>
      </w:r>
      <w:r>
        <w:t>ди</w:t>
      </w:r>
      <w:r w:rsidR="0071360A">
        <w:t>р</w:t>
      </w:r>
      <w:r w:rsidR="00EE6AA2">
        <w:t>е</w:t>
      </w:r>
      <w:r>
        <w:t>к</w:t>
      </w:r>
      <w:r w:rsidR="0071360A">
        <w:t>т</w:t>
      </w:r>
      <w:r>
        <w:t>ног</w:t>
      </w:r>
      <w:r w:rsidR="00872771" w:rsidRPr="00F6340E">
        <w:t xml:space="preserve"> </w:t>
      </w:r>
      <w:r>
        <w:t>кон</w:t>
      </w:r>
      <w:r w:rsidR="0071360A">
        <w:t>т</w:t>
      </w:r>
      <w:r>
        <w:t>ак</w:t>
      </w:r>
      <w:r w:rsidR="0071360A">
        <w:t>т</w:t>
      </w:r>
      <w:r>
        <w:t>а</w:t>
      </w:r>
      <w:r w:rsidR="00872771" w:rsidRPr="00F6340E">
        <w:t xml:space="preserve"> </w:t>
      </w:r>
      <w:r>
        <w:t>и</w:t>
      </w:r>
      <w:r w:rsidR="00171F00">
        <w:t>з</w:t>
      </w:r>
      <w:r>
        <w:t>м</w:t>
      </w:r>
      <w:r w:rsidR="00EE6AA2">
        <w:t>е</w:t>
      </w:r>
      <w:r>
        <w:t>ђ</w:t>
      </w:r>
      <w:r w:rsidR="0071360A">
        <w:t>у</w:t>
      </w:r>
      <w:r w:rsidR="00872771" w:rsidRPr="00F6340E">
        <w:t xml:space="preserve"> </w:t>
      </w:r>
      <w:r w:rsidR="0071360A">
        <w:t>у</w:t>
      </w:r>
      <w:r>
        <w:t>ч</w:t>
      </w:r>
      <w:r w:rsidR="00EE6AA2">
        <w:t>е</w:t>
      </w:r>
      <w:r>
        <w:t>ника</w:t>
      </w:r>
      <w:r w:rsidR="00872771" w:rsidRPr="00F6340E">
        <w:t xml:space="preserve"> </w:t>
      </w:r>
      <w:r>
        <w:t>и</w:t>
      </w:r>
      <w:r w:rsidR="00872771" w:rsidRPr="00F6340E">
        <w:t xml:space="preserve"> </w:t>
      </w:r>
      <w:r>
        <w:t>на</w:t>
      </w:r>
      <w:r w:rsidR="0071360A">
        <w:t>ст</w:t>
      </w:r>
      <w:r>
        <w:t>а</w:t>
      </w:r>
      <w:r w:rsidR="0071360A">
        <w:t>в</w:t>
      </w:r>
      <w:r>
        <w:t>ника</w:t>
      </w:r>
      <w:r w:rsidR="00872771" w:rsidRPr="00F6340E">
        <w:t xml:space="preserve">. </w:t>
      </w:r>
      <w:r>
        <w:t>О</w:t>
      </w:r>
      <w:r w:rsidR="0071360A">
        <w:t>в</w:t>
      </w:r>
      <w:r>
        <w:t>ај</w:t>
      </w:r>
      <w:r w:rsidR="00872771" w:rsidRPr="00F6340E">
        <w:t xml:space="preserve"> </w:t>
      </w:r>
      <w:r>
        <w:t>мод</w:t>
      </w:r>
      <w:r w:rsidR="00EE6AA2">
        <w:t>е</w:t>
      </w:r>
      <w:r>
        <w:t>л</w:t>
      </w:r>
      <w:r w:rsidR="00872771" w:rsidRPr="00F6340E">
        <w:t xml:space="preserve"> </w:t>
      </w:r>
      <w:r w:rsidR="0071360A">
        <w:t>с</w:t>
      </w:r>
      <w:r>
        <w:t>ад</w:t>
      </w:r>
      <w:r w:rsidR="0071360A">
        <w:t>р</w:t>
      </w:r>
      <w:r w:rsidR="00171F00">
        <w:t>ж</w:t>
      </w:r>
      <w:r>
        <w:t>и</w:t>
      </w:r>
      <w:r w:rsidR="00872771" w:rsidRPr="00F6340E">
        <w:t xml:space="preserve"> </w:t>
      </w:r>
      <w:r w:rsidR="00EE6AA2">
        <w:rPr>
          <w:rStyle w:val="y2iqfc"/>
          <w:rFonts w:cs="Arial"/>
          <w:color w:val="000000" w:themeColor="text1"/>
        </w:rPr>
        <w:t>е</w:t>
      </w:r>
      <w:r>
        <w:rPr>
          <w:rStyle w:val="y2iqfc"/>
          <w:rFonts w:cs="Arial"/>
          <w:color w:val="000000" w:themeColor="text1"/>
        </w:rPr>
        <w:t>л</w:t>
      </w:r>
      <w:r w:rsidR="00EE6AA2">
        <w:rPr>
          <w:rStyle w:val="y2iqfc"/>
          <w:rFonts w:cs="Arial"/>
          <w:color w:val="000000" w:themeColor="text1"/>
        </w:rPr>
        <w:t>е</w:t>
      </w:r>
      <w:r>
        <w:rPr>
          <w:rStyle w:val="y2iqfc"/>
          <w:rFonts w:cs="Arial"/>
          <w:color w:val="000000" w:themeColor="text1"/>
        </w:rPr>
        <w:t>м</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кон</w:t>
      </w:r>
      <w:r w:rsidR="0071360A">
        <w:rPr>
          <w:rStyle w:val="y2iqfc"/>
          <w:rFonts w:cs="Arial"/>
          <w:color w:val="000000" w:themeColor="text1"/>
        </w:rPr>
        <w:t>тр</w:t>
      </w:r>
      <w:r>
        <w:rPr>
          <w:rStyle w:val="y2iqfc"/>
          <w:rFonts w:cs="Arial"/>
          <w:color w:val="000000" w:themeColor="text1"/>
        </w:rPr>
        <w:t>ол</w:t>
      </w:r>
      <w:r w:rsidR="00EE6AA2">
        <w:rPr>
          <w:rStyle w:val="y2iqfc"/>
          <w:rFonts w:cs="Arial"/>
          <w:color w:val="000000" w:themeColor="text1"/>
        </w:rPr>
        <w:t>е</w:t>
      </w:r>
      <w:r w:rsidR="00872771"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ника</w:t>
      </w:r>
      <w:r w:rsidR="00872771" w:rsidRPr="00F6340E">
        <w:rPr>
          <w:rStyle w:val="y2iqfc"/>
          <w:rFonts w:cs="Arial"/>
          <w:color w:val="000000" w:themeColor="text1"/>
        </w:rPr>
        <w:t xml:space="preserve"> </w:t>
      </w:r>
      <w:r>
        <w:rPr>
          <w:rStyle w:val="y2iqfc"/>
          <w:rFonts w:cs="Arial"/>
          <w:color w:val="000000" w:themeColor="text1"/>
        </w:rPr>
        <w:t>над</w:t>
      </w:r>
      <w:r w:rsidR="00872771" w:rsidRPr="00F6340E">
        <w:rPr>
          <w:rStyle w:val="y2iqfc"/>
          <w:rFonts w:cs="Arial"/>
          <w:color w:val="000000" w:themeColor="text1"/>
        </w:rPr>
        <w:t xml:space="preserve"> </w:t>
      </w:r>
      <w:r w:rsidR="0071360A">
        <w:rPr>
          <w:rStyle w:val="y2iqfc"/>
          <w:rFonts w:cs="Arial"/>
          <w:color w:val="000000" w:themeColor="text1"/>
        </w:rPr>
        <w:t>вр</w:t>
      </w:r>
      <w:r w:rsidR="00EE6AA2">
        <w:rPr>
          <w:rStyle w:val="y2iqfc"/>
          <w:rFonts w:cs="Arial"/>
          <w:color w:val="000000" w:themeColor="text1"/>
        </w:rPr>
        <w:t>е</w:t>
      </w:r>
      <w:r>
        <w:rPr>
          <w:rStyle w:val="y2iqfc"/>
          <w:rFonts w:cs="Arial"/>
          <w:color w:val="000000" w:themeColor="text1"/>
        </w:rPr>
        <w:t>м</w:t>
      </w:r>
      <w:r w:rsidR="00EE6AA2">
        <w:rPr>
          <w:rStyle w:val="y2iqfc"/>
          <w:rFonts w:cs="Arial"/>
          <w:color w:val="000000" w:themeColor="text1"/>
        </w:rPr>
        <w:t>е</w:t>
      </w:r>
      <w:r>
        <w:rPr>
          <w:rStyle w:val="y2iqfc"/>
          <w:rFonts w:cs="Arial"/>
          <w:color w:val="000000" w:themeColor="text1"/>
        </w:rPr>
        <w:t>ном</w:t>
      </w:r>
      <w:r w:rsidR="00872771" w:rsidRPr="00F6340E">
        <w:rPr>
          <w:rStyle w:val="y2iqfc"/>
          <w:rFonts w:cs="Arial"/>
          <w:color w:val="000000" w:themeColor="text1"/>
        </w:rPr>
        <w:t xml:space="preserve">, </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м</w:t>
      </w:r>
      <w:r w:rsidR="0071360A">
        <w:rPr>
          <w:rStyle w:val="y2iqfc"/>
          <w:rFonts w:cs="Arial"/>
          <w:color w:val="000000" w:themeColor="text1"/>
        </w:rPr>
        <w:t>п</w:t>
      </w:r>
      <w:r>
        <w:rPr>
          <w:rStyle w:val="y2iqfc"/>
          <w:rFonts w:cs="Arial"/>
          <w:color w:val="000000" w:themeColor="text1"/>
        </w:rPr>
        <w:t>ом</w:t>
      </w:r>
      <w:r w:rsidR="00872771" w:rsidRPr="00F6340E">
        <w:rPr>
          <w:rStyle w:val="y2iqfc"/>
          <w:rFonts w:cs="Arial"/>
          <w:color w:val="000000" w:themeColor="text1"/>
        </w:rPr>
        <w:t xml:space="preserve">, </w:t>
      </w:r>
      <w:r w:rsidR="0071360A">
        <w:rPr>
          <w:rStyle w:val="y2iqfc"/>
          <w:rFonts w:cs="Arial"/>
          <w:color w:val="000000" w:themeColor="text1"/>
        </w:rPr>
        <w:t>пут</w:t>
      </w:r>
      <w:r>
        <w:rPr>
          <w:rStyle w:val="y2iqfc"/>
          <w:rFonts w:cs="Arial"/>
          <w:color w:val="000000" w:themeColor="text1"/>
        </w:rPr>
        <w:t>ањом</w:t>
      </w:r>
      <w:r w:rsidR="00872771" w:rsidRPr="00F6340E">
        <w:rPr>
          <w:rStyle w:val="y2iqfc"/>
          <w:rFonts w:cs="Arial"/>
          <w:color w:val="000000" w:themeColor="text1"/>
        </w:rPr>
        <w:t xml:space="preserve"> </w:t>
      </w:r>
      <w:r>
        <w:rPr>
          <w:rStyle w:val="y2iqfc"/>
          <w:rFonts w:cs="Arial"/>
          <w:color w:val="000000" w:themeColor="text1"/>
        </w:rPr>
        <w:t>и</w:t>
      </w:r>
      <w:r w:rsidR="00872771" w:rsidRPr="00F6340E">
        <w:rPr>
          <w:rStyle w:val="y2iqfc"/>
          <w:rFonts w:cs="Arial"/>
          <w:color w:val="000000" w:themeColor="text1"/>
        </w:rPr>
        <w:t>/</w:t>
      </w:r>
      <w:r>
        <w:rPr>
          <w:rStyle w:val="y2iqfc"/>
          <w:rFonts w:cs="Arial"/>
          <w:color w:val="000000" w:themeColor="text1"/>
        </w:rPr>
        <w:t>или</w:t>
      </w:r>
      <w:r w:rsidR="00872771" w:rsidRPr="00F6340E">
        <w:rPr>
          <w:rStyle w:val="y2iqfc"/>
          <w:rFonts w:cs="Arial"/>
          <w:color w:val="000000" w:themeColor="text1"/>
        </w:rPr>
        <w:t xml:space="preserve"> </w:t>
      </w:r>
      <w:r>
        <w:rPr>
          <w:rStyle w:val="y2iqfc"/>
          <w:rFonts w:cs="Arial"/>
          <w:color w:val="000000" w:themeColor="text1"/>
        </w:rPr>
        <w:t>мј</w:t>
      </w:r>
      <w:r w:rsidR="00EE6AA2">
        <w:rPr>
          <w:rStyle w:val="y2iqfc"/>
          <w:rFonts w:cs="Arial"/>
          <w:color w:val="000000" w:themeColor="text1"/>
        </w:rPr>
        <w:t>е</w:t>
      </w:r>
      <w:r w:rsidR="0071360A">
        <w:rPr>
          <w:rStyle w:val="y2iqfc"/>
          <w:rFonts w:cs="Arial"/>
          <w:color w:val="000000" w:themeColor="text1"/>
        </w:rPr>
        <w:t>ст</w:t>
      </w:r>
      <w:r>
        <w:rPr>
          <w:rStyle w:val="y2iqfc"/>
          <w:rFonts w:cs="Arial"/>
          <w:color w:val="000000" w:themeColor="text1"/>
        </w:rPr>
        <w:t>ом</w:t>
      </w:r>
      <w:r w:rsidR="00872771"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ња</w:t>
      </w:r>
      <w:r w:rsidR="00872771" w:rsidRPr="00F6340E">
        <w:rPr>
          <w:rStyle w:val="y2iqfc"/>
          <w:rFonts w:cs="Arial"/>
          <w:color w:val="000000" w:themeColor="text1"/>
        </w:rPr>
        <w:t xml:space="preserve">, </w:t>
      </w:r>
      <w:r>
        <w:rPr>
          <w:rStyle w:val="y2iqfc"/>
          <w:rFonts w:cs="Arial"/>
          <w:color w:val="000000" w:themeColor="text1"/>
        </w:rPr>
        <w:t>омог</w:t>
      </w:r>
      <w:r w:rsidR="0071360A">
        <w:rPr>
          <w:rStyle w:val="y2iqfc"/>
          <w:rFonts w:cs="Arial"/>
          <w:color w:val="000000" w:themeColor="text1"/>
        </w:rPr>
        <w:t>у</w:t>
      </w:r>
      <w:r>
        <w:rPr>
          <w:rStyle w:val="y2iqfc"/>
          <w:rFonts w:cs="Arial"/>
          <w:color w:val="000000" w:themeColor="text1"/>
        </w:rPr>
        <w:t>ћа</w:t>
      </w:r>
      <w:r w:rsidR="0071360A">
        <w:rPr>
          <w:rStyle w:val="y2iqfc"/>
          <w:rFonts w:cs="Arial"/>
          <w:color w:val="000000" w:themeColor="text1"/>
        </w:rPr>
        <w:t>в</w:t>
      </w:r>
      <w:r>
        <w:rPr>
          <w:rStyle w:val="y2iqfc"/>
          <w:rFonts w:cs="Arial"/>
          <w:color w:val="000000" w:themeColor="text1"/>
        </w:rPr>
        <w:t>ај</w:t>
      </w:r>
      <w:r w:rsidR="0071360A">
        <w:rPr>
          <w:rStyle w:val="y2iqfc"/>
          <w:rFonts w:cs="Arial"/>
          <w:color w:val="000000" w:themeColor="text1"/>
        </w:rPr>
        <w:t>у</w:t>
      </w:r>
      <w:r>
        <w:rPr>
          <w:rStyle w:val="y2iqfc"/>
          <w:rFonts w:cs="Arial"/>
          <w:color w:val="000000" w:themeColor="text1"/>
        </w:rPr>
        <w:t>ћи</w:t>
      </w:r>
      <w:r w:rsidR="00872771"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w:t>
      </w:r>
      <w:r w:rsidR="0071360A">
        <w:rPr>
          <w:rStyle w:val="y2iqfc"/>
          <w:rFonts w:cs="Arial"/>
          <w:color w:val="000000" w:themeColor="text1"/>
        </w:rPr>
        <w:t>у</w:t>
      </w:r>
      <w:r w:rsidR="000B5AA0"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ту</w:t>
      </w:r>
      <w:r w:rsidR="00872771" w:rsidRPr="00F6340E">
        <w:rPr>
          <w:rStyle w:val="y2iqfc"/>
          <w:rFonts w:cs="Arial"/>
          <w:color w:val="000000" w:themeColor="text1"/>
        </w:rPr>
        <w:t xml:space="preserve"> </w:t>
      </w:r>
      <w:r w:rsidR="000C1813" w:rsidRPr="00F6340E">
        <w:rPr>
          <w:rStyle w:val="y2iqfc"/>
          <w:rFonts w:cs="Arial"/>
          <w:color w:val="000000" w:themeColor="text1"/>
        </w:rPr>
        <w:t>(</w:t>
      </w:r>
      <w:r w:rsidR="0071360A">
        <w:rPr>
          <w:rStyle w:val="y2iqfc"/>
          <w:rFonts w:cs="Arial"/>
          <w:color w:val="000000" w:themeColor="text1"/>
        </w:rPr>
        <w:t>с</w:t>
      </w:r>
      <w:r>
        <w:rPr>
          <w:rStyle w:val="y2iqfc"/>
          <w:rFonts w:cs="Arial"/>
          <w:color w:val="000000" w:themeColor="text1"/>
        </w:rPr>
        <w:t>амо</w:t>
      </w:r>
      <w:r w:rsidR="000C1813" w:rsidRPr="00F6340E">
        <w:rPr>
          <w:rStyle w:val="y2iqfc"/>
          <w:rFonts w:cs="Arial"/>
          <w:color w:val="000000" w:themeColor="text1"/>
        </w:rPr>
        <w:t>)</w:t>
      </w:r>
      <w:r>
        <w:rPr>
          <w:rStyle w:val="y2iqfc"/>
          <w:rFonts w:cs="Arial"/>
          <w:color w:val="000000" w:themeColor="text1"/>
        </w:rPr>
        <w:t>о</w:t>
      </w:r>
      <w:r w:rsidR="0071360A">
        <w:rPr>
          <w:rStyle w:val="y2iqfc"/>
          <w:rFonts w:cs="Arial"/>
          <w:color w:val="000000" w:themeColor="text1"/>
        </w:rPr>
        <w:t>р</w:t>
      </w:r>
      <w:r>
        <w:rPr>
          <w:rStyle w:val="y2iqfc"/>
          <w:rFonts w:cs="Arial"/>
          <w:color w:val="000000" w:themeColor="text1"/>
        </w:rPr>
        <w:t>иј</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и</w:t>
      </w:r>
      <w:r w:rsidR="0071360A">
        <w:rPr>
          <w:rStyle w:val="y2iqfc"/>
          <w:rFonts w:cs="Arial"/>
          <w:color w:val="000000" w:themeColor="text1"/>
        </w:rPr>
        <w:t>с</w:t>
      </w:r>
      <w:r>
        <w:rPr>
          <w:rStyle w:val="y2iqfc"/>
          <w:rFonts w:cs="Arial"/>
          <w:color w:val="000000" w:themeColor="text1"/>
        </w:rPr>
        <w:t>ано</w:t>
      </w:r>
      <w:r w:rsidR="00872771" w:rsidRPr="00F6340E">
        <w:rPr>
          <w:rStyle w:val="y2iqfc"/>
          <w:rFonts w:cs="Arial"/>
          <w:color w:val="000000" w:themeColor="text1"/>
        </w:rPr>
        <w:t xml:space="preserve"> </w:t>
      </w:r>
      <w:r w:rsidR="0071360A">
        <w:rPr>
          <w:rStyle w:val="y2iqfc"/>
          <w:rFonts w:cs="Arial"/>
          <w:color w:val="000000" w:themeColor="text1"/>
        </w:rPr>
        <w:t>ст</w:t>
      </w:r>
      <w:r>
        <w:rPr>
          <w:rStyle w:val="y2iqfc"/>
          <w:rFonts w:cs="Arial"/>
          <w:color w:val="000000" w:themeColor="text1"/>
        </w:rPr>
        <w:t>ицањ</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и</w:t>
      </w:r>
      <w:r w:rsidR="0071360A">
        <w:rPr>
          <w:rStyle w:val="y2iqfc"/>
          <w:rFonts w:cs="Arial"/>
          <w:color w:val="000000" w:themeColor="text1"/>
        </w:rPr>
        <w:t>с</w:t>
      </w:r>
      <w:r>
        <w:rPr>
          <w:rStyle w:val="y2iqfc"/>
          <w:rFonts w:cs="Arial"/>
          <w:color w:val="000000" w:themeColor="text1"/>
        </w:rPr>
        <w:t>к</w:t>
      </w:r>
      <w:r w:rsidR="0071360A">
        <w:rPr>
          <w:rStyle w:val="y2iqfc"/>
          <w:rFonts w:cs="Arial"/>
          <w:color w:val="000000" w:themeColor="text1"/>
        </w:rPr>
        <w:t>уств</w:t>
      </w:r>
      <w:r>
        <w:rPr>
          <w:rStyle w:val="y2iqfc"/>
          <w:rFonts w:cs="Arial"/>
          <w:color w:val="000000" w:themeColor="text1"/>
        </w:rPr>
        <w:t>а</w:t>
      </w:r>
      <w:r w:rsidR="006B5098" w:rsidRPr="00F6340E">
        <w:rPr>
          <w:rStyle w:val="y2iqfc"/>
          <w:rFonts w:cs="Arial"/>
          <w:color w:val="000000" w:themeColor="text1"/>
        </w:rPr>
        <w:t xml:space="preserve"> (</w:t>
      </w:r>
      <w:r>
        <w:rPr>
          <w:rStyle w:val="y2iqfc"/>
          <w:rFonts w:cs="Arial"/>
          <w:color w:val="000000" w:themeColor="text1"/>
        </w:rPr>
        <w:t>иНАЦОЛ</w:t>
      </w:r>
      <w:r w:rsidR="006B5098" w:rsidRPr="00F6340E">
        <w:rPr>
          <w:rStyle w:val="y2iqfc"/>
          <w:rFonts w:cs="Arial"/>
          <w:color w:val="000000" w:themeColor="text1"/>
        </w:rPr>
        <w:t>, 2015)</w:t>
      </w:r>
      <w:r w:rsidR="00872771" w:rsidRPr="00F6340E">
        <w:rPr>
          <w:rStyle w:val="y2iqfc"/>
          <w:rFonts w:cs="Arial"/>
          <w:color w:val="000000" w:themeColor="text1"/>
        </w:rPr>
        <w:t xml:space="preserve">. </w:t>
      </w:r>
      <w:r>
        <w:rPr>
          <w:rStyle w:val="y2iqfc"/>
          <w:rFonts w:cs="Arial"/>
          <w:color w:val="000000" w:themeColor="text1"/>
        </w:rPr>
        <w:t>Доб</w:t>
      </w:r>
      <w:r w:rsidR="0071360A">
        <w:rPr>
          <w:rStyle w:val="y2iqfc"/>
          <w:rFonts w:cs="Arial"/>
          <w:color w:val="000000" w:themeColor="text1"/>
        </w:rPr>
        <w:t>р</w:t>
      </w:r>
      <w:r>
        <w:rPr>
          <w:rStyle w:val="y2iqfc"/>
          <w:rFonts w:cs="Arial"/>
          <w:color w:val="000000" w:themeColor="text1"/>
        </w:rPr>
        <w:t>о</w:t>
      </w:r>
      <w:r w:rsidR="000C1813" w:rsidRPr="00F6340E">
        <w:rPr>
          <w:rStyle w:val="y2iqfc"/>
          <w:rFonts w:cs="Arial"/>
          <w:color w:val="000000" w:themeColor="text1"/>
        </w:rPr>
        <w:t xml:space="preserve"> </w:t>
      </w:r>
      <w:r>
        <w:rPr>
          <w:rStyle w:val="y2iqfc"/>
          <w:rFonts w:cs="Arial"/>
          <w:color w:val="000000" w:themeColor="text1"/>
        </w:rPr>
        <w:t>о</w:t>
      </w:r>
      <w:r w:rsidR="0071360A">
        <w:rPr>
          <w:rStyle w:val="y2iqfc"/>
          <w:rFonts w:cs="Arial"/>
          <w:color w:val="000000" w:themeColor="text1"/>
        </w:rPr>
        <w:t>р</w:t>
      </w:r>
      <w:r>
        <w:rPr>
          <w:rStyle w:val="y2iqfc"/>
          <w:rFonts w:cs="Arial"/>
          <w:color w:val="000000" w:themeColor="text1"/>
        </w:rPr>
        <w:t>гани</w:t>
      </w:r>
      <w:r w:rsidR="00171F00">
        <w:rPr>
          <w:rStyle w:val="y2iqfc"/>
          <w:rFonts w:cs="Arial"/>
          <w:color w:val="000000" w:themeColor="text1"/>
        </w:rPr>
        <w:t>з</w:t>
      </w:r>
      <w:r>
        <w:rPr>
          <w:rStyle w:val="y2iqfc"/>
          <w:rFonts w:cs="Arial"/>
          <w:color w:val="000000" w:themeColor="text1"/>
        </w:rPr>
        <w:t>о</w:t>
      </w:r>
      <w:r w:rsidR="0071360A">
        <w:rPr>
          <w:rStyle w:val="y2iqfc"/>
          <w:rFonts w:cs="Arial"/>
          <w:color w:val="000000" w:themeColor="text1"/>
        </w:rPr>
        <w:t>в</w:t>
      </w:r>
      <w:r>
        <w:rPr>
          <w:rStyle w:val="y2iqfc"/>
          <w:rFonts w:cs="Arial"/>
          <w:color w:val="000000" w:themeColor="text1"/>
        </w:rPr>
        <w:t>ана</w:t>
      </w:r>
      <w:r w:rsidR="000C1813" w:rsidRPr="00F6340E">
        <w:rPr>
          <w:rStyle w:val="y2iqfc"/>
          <w:rFonts w:cs="Arial"/>
          <w:color w:val="000000" w:themeColor="text1"/>
        </w:rPr>
        <w:t xml:space="preserve"> </w:t>
      </w:r>
      <w:r>
        <w:rPr>
          <w:rStyle w:val="y2iqfc"/>
          <w:rFonts w:cs="Arial"/>
          <w:color w:val="000000" w:themeColor="text1"/>
        </w:rPr>
        <w:t>комбино</w:t>
      </w:r>
      <w:r w:rsidR="0071360A">
        <w:rPr>
          <w:rStyle w:val="y2iqfc"/>
          <w:rFonts w:cs="Arial"/>
          <w:color w:val="000000" w:themeColor="text1"/>
        </w:rPr>
        <w:t>в</w:t>
      </w:r>
      <w:r>
        <w:rPr>
          <w:rStyle w:val="y2iqfc"/>
          <w:rFonts w:cs="Arial"/>
          <w:color w:val="000000" w:themeColor="text1"/>
        </w:rPr>
        <w:t>ана</w:t>
      </w:r>
      <w:r w:rsidR="000C1813"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а</w:t>
      </w:r>
      <w:r w:rsidR="000C1813" w:rsidRPr="00F6340E">
        <w:rPr>
          <w:rStyle w:val="y2iqfc"/>
          <w:rFonts w:cs="Arial"/>
          <w:color w:val="000000" w:themeColor="text1"/>
        </w:rPr>
        <w:t xml:space="preserve"> </w:t>
      </w:r>
      <w:r>
        <w:rPr>
          <w:rStyle w:val="y2iqfc"/>
          <w:rFonts w:cs="Arial"/>
          <w:color w:val="000000" w:themeColor="text1"/>
        </w:rPr>
        <w:t>има</w:t>
      </w:r>
      <w:r w:rsidR="000C1813" w:rsidRPr="00F6340E">
        <w:rPr>
          <w:rStyle w:val="y2iqfc"/>
          <w:rFonts w:cs="Arial"/>
          <w:color w:val="000000" w:themeColor="text1"/>
        </w:rPr>
        <w:t xml:space="preserve"> </w:t>
      </w:r>
      <w:r>
        <w:rPr>
          <w:rStyle w:val="y2iqfc"/>
          <w:rFonts w:cs="Arial"/>
          <w:color w:val="000000" w:themeColor="text1"/>
        </w:rPr>
        <w:t>б</w:t>
      </w:r>
      <w:r w:rsidR="0071360A">
        <w:rPr>
          <w:rStyle w:val="y2iqfc"/>
          <w:rFonts w:cs="Arial"/>
          <w:color w:val="000000" w:themeColor="text1"/>
        </w:rPr>
        <w:t>р</w:t>
      </w:r>
      <w:r>
        <w:rPr>
          <w:rStyle w:val="y2iqfc"/>
          <w:rFonts w:cs="Arial"/>
          <w:color w:val="000000" w:themeColor="text1"/>
        </w:rPr>
        <w:t>ојн</w:t>
      </w:r>
      <w:r w:rsidR="00EE6AA2">
        <w:rPr>
          <w:rStyle w:val="y2iqfc"/>
          <w:rFonts w:cs="Arial"/>
          <w:color w:val="000000" w:themeColor="text1"/>
        </w:rPr>
        <w:t>е</w:t>
      </w:r>
      <w:r w:rsidR="000C1813" w:rsidRPr="00F6340E">
        <w:rPr>
          <w:rStyle w:val="y2iqfc"/>
          <w:rFonts w:cs="Arial"/>
          <w:color w:val="000000" w:themeColor="text1"/>
        </w:rPr>
        <w:t xml:space="preserve"> </w:t>
      </w:r>
      <w:r w:rsidR="0071360A">
        <w:rPr>
          <w:rStyle w:val="y2iqfc"/>
          <w:rFonts w:cs="Arial"/>
          <w:color w:val="000000" w:themeColor="text1"/>
        </w:rPr>
        <w:t>пр</w:t>
      </w:r>
      <w:r w:rsidR="00EE6AA2">
        <w:rPr>
          <w:rStyle w:val="y2iqfc"/>
          <w:rFonts w:cs="Arial"/>
          <w:color w:val="000000" w:themeColor="text1"/>
        </w:rPr>
        <w:t>е</w:t>
      </w:r>
      <w:r>
        <w:rPr>
          <w:rStyle w:val="y2iqfc"/>
          <w:rFonts w:cs="Arial"/>
          <w:color w:val="000000" w:themeColor="text1"/>
        </w:rPr>
        <w:t>дно</w:t>
      </w:r>
      <w:r w:rsidR="0071360A">
        <w:rPr>
          <w:rStyle w:val="y2iqfc"/>
          <w:rFonts w:cs="Arial"/>
          <w:color w:val="000000" w:themeColor="text1"/>
        </w:rPr>
        <w:t>ст</w:t>
      </w:r>
      <w:r>
        <w:rPr>
          <w:rStyle w:val="y2iqfc"/>
          <w:rFonts w:cs="Arial"/>
          <w:color w:val="000000" w:themeColor="text1"/>
        </w:rPr>
        <w:t>и</w:t>
      </w:r>
      <w:r w:rsidR="000C1813" w:rsidRPr="00F6340E">
        <w:rPr>
          <w:rStyle w:val="y2iqfc"/>
          <w:rFonts w:cs="Arial"/>
          <w:color w:val="000000" w:themeColor="text1"/>
        </w:rPr>
        <w:t xml:space="preserve"> </w:t>
      </w:r>
      <w:r>
        <w:rPr>
          <w:rStyle w:val="y2iqfc"/>
          <w:rFonts w:cs="Arial"/>
          <w:color w:val="000000" w:themeColor="text1"/>
        </w:rPr>
        <w:t>кој</w:t>
      </w:r>
      <w:r w:rsidR="00EE6AA2">
        <w:rPr>
          <w:rStyle w:val="y2iqfc"/>
          <w:rFonts w:cs="Arial"/>
          <w:color w:val="000000" w:themeColor="text1"/>
        </w:rPr>
        <w:t>е</w:t>
      </w:r>
      <w:r w:rsidR="000C1813" w:rsidRPr="00F6340E">
        <w:rPr>
          <w:rStyle w:val="y2iqfc"/>
          <w:rFonts w:cs="Arial"/>
          <w:color w:val="000000" w:themeColor="text1"/>
        </w:rPr>
        <w:t xml:space="preserve"> </w:t>
      </w:r>
      <w:r w:rsidR="0071360A">
        <w:rPr>
          <w:rStyle w:val="y2iqfc"/>
          <w:rFonts w:cs="Arial"/>
          <w:color w:val="000000" w:themeColor="text1"/>
        </w:rPr>
        <w:t>с</w:t>
      </w:r>
      <w:r w:rsidR="00EE6AA2">
        <w:rPr>
          <w:rStyle w:val="y2iqfc"/>
          <w:rFonts w:cs="Arial"/>
          <w:color w:val="000000" w:themeColor="text1"/>
        </w:rPr>
        <w:t>е</w:t>
      </w:r>
      <w:r w:rsidR="000C1813" w:rsidRPr="00F6340E">
        <w:rPr>
          <w:rStyle w:val="y2iqfc"/>
          <w:rFonts w:cs="Arial"/>
          <w:color w:val="000000" w:themeColor="text1"/>
        </w:rPr>
        <w:t xml:space="preserve"> </w:t>
      </w:r>
      <w:r>
        <w:rPr>
          <w:rStyle w:val="y2iqfc"/>
          <w:rFonts w:cs="Arial"/>
          <w:color w:val="000000" w:themeColor="text1"/>
        </w:rPr>
        <w:t>огл</w:t>
      </w:r>
      <w:r w:rsidR="00EE6AA2">
        <w:rPr>
          <w:rStyle w:val="y2iqfc"/>
          <w:rFonts w:cs="Arial"/>
          <w:color w:val="000000" w:themeColor="text1"/>
        </w:rPr>
        <w:t>е</w:t>
      </w:r>
      <w:r>
        <w:rPr>
          <w:rStyle w:val="y2iqfc"/>
          <w:rFonts w:cs="Arial"/>
          <w:color w:val="000000" w:themeColor="text1"/>
        </w:rPr>
        <w:t>дај</w:t>
      </w:r>
      <w:r w:rsidR="0071360A">
        <w:rPr>
          <w:rStyle w:val="y2iqfc"/>
          <w:rFonts w:cs="Arial"/>
          <w:color w:val="000000" w:themeColor="text1"/>
        </w:rPr>
        <w:t>у</w:t>
      </w:r>
      <w:r w:rsidR="000C1813" w:rsidRPr="00F6340E">
        <w:rPr>
          <w:rStyle w:val="y2iqfc"/>
          <w:rFonts w:cs="Arial"/>
          <w:color w:val="000000" w:themeColor="text1"/>
        </w:rPr>
        <w:t xml:space="preserve"> </w:t>
      </w:r>
      <w:r w:rsidR="0071360A">
        <w:rPr>
          <w:rStyle w:val="y2iqfc"/>
          <w:rFonts w:cs="Arial"/>
          <w:color w:val="000000" w:themeColor="text1"/>
        </w:rPr>
        <w:t>у</w:t>
      </w:r>
      <w:r w:rsidR="000C1813" w:rsidRPr="00F6340E">
        <w:rPr>
          <w:rStyle w:val="y2iqfc"/>
          <w:rFonts w:cs="Arial"/>
          <w:color w:val="000000" w:themeColor="text1"/>
        </w:rPr>
        <w:t xml:space="preserve"> </w:t>
      </w:r>
      <w:r w:rsidR="0071360A">
        <w:rPr>
          <w:rStyle w:val="y2iqfc"/>
          <w:rFonts w:cs="Arial"/>
          <w:color w:val="000000" w:themeColor="text1"/>
        </w:rPr>
        <w:t>т</w:t>
      </w:r>
      <w:r>
        <w:rPr>
          <w:rStyle w:val="y2iqfc"/>
          <w:rFonts w:cs="Arial"/>
          <w:color w:val="000000" w:themeColor="text1"/>
        </w:rPr>
        <w:t>ом</w:t>
      </w:r>
      <w:r w:rsidR="00EE6AA2">
        <w:rPr>
          <w:rStyle w:val="y2iqfc"/>
          <w:rFonts w:cs="Arial"/>
          <w:color w:val="000000" w:themeColor="text1"/>
        </w:rPr>
        <w:t>е</w:t>
      </w:r>
      <w:r w:rsidR="000C1813" w:rsidRPr="00F6340E">
        <w:rPr>
          <w:rStyle w:val="y2iqfc"/>
          <w:rFonts w:cs="Arial"/>
          <w:color w:val="000000" w:themeColor="text1"/>
        </w:rPr>
        <w:t xml:space="preserve"> </w:t>
      </w:r>
      <w:r>
        <w:rPr>
          <w:rStyle w:val="y2iqfc"/>
          <w:rFonts w:cs="Arial"/>
          <w:color w:val="000000" w:themeColor="text1"/>
        </w:rPr>
        <w:t>да</w:t>
      </w:r>
      <w:r w:rsidR="000C1813"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ници</w:t>
      </w:r>
      <w:r w:rsidR="000B5AA0"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и</w:t>
      </w:r>
      <w:r w:rsidR="000C1813" w:rsidRPr="00F6340E">
        <w:rPr>
          <w:rStyle w:val="y2iqfc"/>
          <w:rFonts w:cs="Arial"/>
          <w:color w:val="000000" w:themeColor="text1"/>
        </w:rPr>
        <w:t xml:space="preserve"> </w:t>
      </w:r>
      <w:r>
        <w:rPr>
          <w:rStyle w:val="y2iqfc"/>
          <w:rFonts w:cs="Arial"/>
          <w:color w:val="000000" w:themeColor="text1"/>
        </w:rPr>
        <w:t>ни</w:t>
      </w:r>
      <w:r w:rsidR="0071360A">
        <w:rPr>
          <w:rStyle w:val="y2iqfc"/>
          <w:rFonts w:cs="Arial"/>
          <w:color w:val="000000" w:themeColor="text1"/>
        </w:rPr>
        <w:t>су</w:t>
      </w:r>
      <w:r w:rsidR="000C1813"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амо</w:t>
      </w:r>
      <w:r w:rsidR="00B500A5"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а</w:t>
      </w:r>
      <w:r w:rsidR="0071360A">
        <w:rPr>
          <w:rStyle w:val="y2iqfc"/>
          <w:rFonts w:cs="Arial"/>
          <w:color w:val="000000" w:themeColor="text1"/>
        </w:rPr>
        <w:t>с</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ни</w:t>
      </w:r>
      <w:r w:rsidR="000C1813"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sidR="0071360A">
        <w:rPr>
          <w:rStyle w:val="y2iqfc"/>
          <w:rFonts w:cs="Arial"/>
          <w:color w:val="000000" w:themeColor="text1"/>
        </w:rPr>
        <w:t>с</w:t>
      </w:r>
      <w:r>
        <w:rPr>
          <w:rStyle w:val="y2iqfc"/>
          <w:rFonts w:cs="Arial"/>
          <w:color w:val="000000" w:themeColor="text1"/>
        </w:rPr>
        <w:t>ници</w:t>
      </w:r>
      <w:r w:rsidR="00B500A5" w:rsidRPr="00F6340E">
        <w:rPr>
          <w:rStyle w:val="y2iqfc"/>
          <w:rFonts w:cs="Arial"/>
          <w:color w:val="000000" w:themeColor="text1"/>
        </w:rPr>
        <w:t xml:space="preserve">, </w:t>
      </w:r>
      <w:r>
        <w:rPr>
          <w:rStyle w:val="y2iqfc"/>
          <w:rFonts w:cs="Arial"/>
          <w:color w:val="000000" w:themeColor="text1"/>
        </w:rPr>
        <w:t>који</w:t>
      </w:r>
      <w:r w:rsidR="00B500A5" w:rsidRPr="00F6340E">
        <w:rPr>
          <w:rStyle w:val="y2iqfc"/>
          <w:rFonts w:cs="Arial"/>
          <w:color w:val="000000" w:themeColor="text1"/>
        </w:rPr>
        <w:t xml:space="preserve"> </w:t>
      </w:r>
      <w:r w:rsidR="0071360A">
        <w:rPr>
          <w:rStyle w:val="y2iqfc"/>
          <w:rFonts w:cs="Arial"/>
          <w:color w:val="000000" w:themeColor="text1"/>
        </w:rPr>
        <w:t>пр</w:t>
      </w:r>
      <w:r>
        <w:rPr>
          <w:rStyle w:val="y2iqfc"/>
          <w:rFonts w:cs="Arial"/>
          <w:color w:val="000000" w:themeColor="text1"/>
        </w:rPr>
        <w:t>имај</w:t>
      </w:r>
      <w:r w:rsidR="0071360A">
        <w:rPr>
          <w:rStyle w:val="y2iqfc"/>
          <w:rFonts w:cs="Arial"/>
          <w:color w:val="000000" w:themeColor="text1"/>
        </w:rPr>
        <w:t>у</w:t>
      </w:r>
      <w:r w:rsidR="00B500A5" w:rsidRPr="00F6340E">
        <w:rPr>
          <w:rStyle w:val="y2iqfc"/>
          <w:rFonts w:cs="Arial"/>
          <w:color w:val="000000" w:themeColor="text1"/>
        </w:rPr>
        <w:t xml:space="preserve"> </w:t>
      </w:r>
      <w:r>
        <w:rPr>
          <w:rStyle w:val="y2iqfc"/>
          <w:rFonts w:cs="Arial"/>
          <w:color w:val="000000" w:themeColor="text1"/>
        </w:rPr>
        <w:t>инфо</w:t>
      </w:r>
      <w:r w:rsidR="0071360A">
        <w:rPr>
          <w:rStyle w:val="y2iqfc"/>
          <w:rFonts w:cs="Arial"/>
          <w:color w:val="000000" w:themeColor="text1"/>
        </w:rPr>
        <w:t>р</w:t>
      </w:r>
      <w:r>
        <w:rPr>
          <w:rStyle w:val="y2iqfc"/>
          <w:rFonts w:cs="Arial"/>
          <w:color w:val="000000" w:themeColor="text1"/>
        </w:rPr>
        <w:t>мациј</w:t>
      </w:r>
      <w:r w:rsidR="00EE6AA2">
        <w:rPr>
          <w:rStyle w:val="y2iqfc"/>
          <w:rFonts w:cs="Arial"/>
          <w:color w:val="000000" w:themeColor="text1"/>
        </w:rPr>
        <w:t>е</w:t>
      </w:r>
      <w:r w:rsidR="00E864CA" w:rsidRPr="00F6340E">
        <w:rPr>
          <w:rStyle w:val="y2iqfc"/>
          <w:rFonts w:cs="Arial"/>
          <w:color w:val="000000" w:themeColor="text1"/>
        </w:rPr>
        <w:t>,</w:t>
      </w:r>
      <w:r w:rsidR="00B500A5" w:rsidRPr="00F6340E">
        <w:rPr>
          <w:rStyle w:val="y2iqfc"/>
          <w:rFonts w:cs="Arial"/>
          <w:color w:val="000000" w:themeColor="text1"/>
        </w:rPr>
        <w:t xml:space="preserve"> </w:t>
      </w:r>
      <w:r>
        <w:rPr>
          <w:rStyle w:val="y2iqfc"/>
          <w:rFonts w:cs="Arial"/>
          <w:color w:val="000000" w:themeColor="text1"/>
        </w:rPr>
        <w:t>а</w:t>
      </w:r>
      <w:r w:rsidR="008444A3"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лога</w:t>
      </w:r>
      <w:r w:rsidR="008444A3"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ника</w:t>
      </w:r>
      <w:r w:rsidR="008444A3" w:rsidRPr="00F6340E">
        <w:rPr>
          <w:rStyle w:val="y2iqfc"/>
          <w:rFonts w:cs="Arial"/>
          <w:color w:val="000000" w:themeColor="text1"/>
        </w:rPr>
        <w:t xml:space="preserve"> </w:t>
      </w:r>
      <w:r w:rsidR="0071360A">
        <w:rPr>
          <w:rStyle w:val="y2iqfc"/>
          <w:rFonts w:cs="Arial"/>
          <w:color w:val="000000" w:themeColor="text1"/>
        </w:rPr>
        <w:t>с</w:t>
      </w:r>
      <w:r w:rsidR="00EE6AA2">
        <w:rPr>
          <w:rStyle w:val="y2iqfc"/>
          <w:rFonts w:cs="Arial"/>
          <w:color w:val="000000" w:themeColor="text1"/>
        </w:rPr>
        <w:t>е</w:t>
      </w:r>
      <w:r w:rsidR="008444A3" w:rsidRPr="00F6340E">
        <w:rPr>
          <w:rStyle w:val="y2iqfc"/>
          <w:rFonts w:cs="Arial"/>
          <w:color w:val="000000" w:themeColor="text1"/>
        </w:rPr>
        <w:t xml:space="preserve"> </w:t>
      </w:r>
      <w:r>
        <w:rPr>
          <w:rStyle w:val="y2iqfc"/>
          <w:rFonts w:cs="Arial"/>
          <w:color w:val="000000" w:themeColor="text1"/>
        </w:rPr>
        <w:t>миј</w:t>
      </w:r>
      <w:r w:rsidR="00EE6AA2">
        <w:rPr>
          <w:rStyle w:val="y2iqfc"/>
          <w:rFonts w:cs="Arial"/>
          <w:color w:val="000000" w:themeColor="text1"/>
        </w:rPr>
        <w:t>е</w:t>
      </w:r>
      <w:r>
        <w:rPr>
          <w:rStyle w:val="y2iqfc"/>
          <w:rFonts w:cs="Arial"/>
          <w:color w:val="000000" w:themeColor="text1"/>
        </w:rPr>
        <w:t>ња</w:t>
      </w:r>
      <w:r w:rsidR="00B500A5" w:rsidRPr="00F6340E">
        <w:rPr>
          <w:rStyle w:val="y2iqfc"/>
          <w:rFonts w:cs="Arial"/>
          <w:color w:val="000000" w:themeColor="text1"/>
        </w:rPr>
        <w:t xml:space="preserve">. </w:t>
      </w:r>
      <w:r>
        <w:rPr>
          <w:rStyle w:val="y2iqfc"/>
          <w:rFonts w:cs="Arial"/>
          <w:color w:val="000000" w:themeColor="text1"/>
        </w:rPr>
        <w:t>Наим</w:t>
      </w:r>
      <w:r w:rsidR="00EE6AA2">
        <w:rPr>
          <w:rStyle w:val="y2iqfc"/>
          <w:rFonts w:cs="Arial"/>
          <w:color w:val="000000" w:themeColor="text1"/>
        </w:rPr>
        <w:t>е</w:t>
      </w:r>
      <w:r w:rsidR="008444A3" w:rsidRPr="00F6340E">
        <w:rPr>
          <w:rStyle w:val="y2iqfc"/>
          <w:rFonts w:cs="Arial"/>
          <w:color w:val="000000" w:themeColor="text1"/>
        </w:rPr>
        <w:t>,</w:t>
      </w:r>
      <w:r w:rsidR="00B500A5" w:rsidRPr="00F6340E">
        <w:rPr>
          <w:rStyle w:val="y2iqfc"/>
          <w:rFonts w:cs="Arial"/>
          <w:color w:val="000000" w:themeColor="text1"/>
        </w:rPr>
        <w:t xml:space="preserve"> </w:t>
      </w:r>
      <w:r w:rsidR="0071360A">
        <w:rPr>
          <w:rStyle w:val="y2iqfc"/>
          <w:rFonts w:cs="Arial"/>
          <w:color w:val="000000" w:themeColor="text1"/>
        </w:rPr>
        <w:t>у</w:t>
      </w:r>
      <w:r w:rsidR="00E864CA" w:rsidRPr="00F6340E">
        <w:rPr>
          <w:rStyle w:val="y2iqfc"/>
          <w:rFonts w:cs="Arial"/>
          <w:color w:val="000000" w:themeColor="text1"/>
        </w:rPr>
        <w:t xml:space="preserve"> </w:t>
      </w:r>
      <w:r>
        <w:rPr>
          <w:rStyle w:val="y2iqfc"/>
          <w:rFonts w:cs="Arial"/>
          <w:color w:val="000000" w:themeColor="text1"/>
        </w:rPr>
        <w:t>комбино</w:t>
      </w:r>
      <w:r w:rsidR="0071360A">
        <w:rPr>
          <w:rStyle w:val="y2iqfc"/>
          <w:rFonts w:cs="Arial"/>
          <w:color w:val="000000" w:themeColor="text1"/>
        </w:rPr>
        <w:t>в</w:t>
      </w:r>
      <w:r>
        <w:rPr>
          <w:rStyle w:val="y2iqfc"/>
          <w:rFonts w:cs="Arial"/>
          <w:color w:val="000000" w:themeColor="text1"/>
        </w:rPr>
        <w:t>ањ</w:t>
      </w:r>
      <w:r w:rsidR="0071360A">
        <w:rPr>
          <w:rStyle w:val="y2iqfc"/>
          <w:rFonts w:cs="Arial"/>
          <w:color w:val="000000" w:themeColor="text1"/>
        </w:rPr>
        <w:t>у</w:t>
      </w:r>
      <w:r w:rsidR="00B500A5"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C47A01" w:rsidRPr="00F6340E">
        <w:rPr>
          <w:rStyle w:val="y2iqfc"/>
          <w:rFonts w:cs="Arial"/>
          <w:color w:val="000000" w:themeColor="text1"/>
        </w:rPr>
        <w:t xml:space="preserve"> </w:t>
      </w:r>
      <w:r w:rsidR="0071360A">
        <w:rPr>
          <w:rStyle w:val="y2iqfc"/>
          <w:rFonts w:cs="Arial"/>
          <w:color w:val="000000" w:themeColor="text1"/>
        </w:rPr>
        <w:t>пут</w:t>
      </w:r>
      <w:r w:rsidR="00EE6AA2">
        <w:rPr>
          <w:rStyle w:val="y2iqfc"/>
          <w:rFonts w:cs="Arial"/>
          <w:color w:val="000000" w:themeColor="text1"/>
        </w:rPr>
        <w:t>е</w:t>
      </w:r>
      <w:r>
        <w:rPr>
          <w:rStyle w:val="y2iqfc"/>
          <w:rFonts w:cs="Arial"/>
          <w:color w:val="000000" w:themeColor="text1"/>
        </w:rPr>
        <w:t>м</w:t>
      </w:r>
      <w:r w:rsidR="00C47A01" w:rsidRPr="00F6340E">
        <w:rPr>
          <w:rStyle w:val="y2iqfc"/>
          <w:rFonts w:cs="Arial"/>
          <w:color w:val="000000" w:themeColor="text1"/>
        </w:rPr>
        <w:t xml:space="preserve"> </w:t>
      </w:r>
      <w:r>
        <w:rPr>
          <w:rStyle w:val="y2iqfc"/>
          <w:rFonts w:cs="Arial"/>
          <w:color w:val="000000" w:themeColor="text1"/>
        </w:rPr>
        <w:t>ин</w:t>
      </w:r>
      <w:r w:rsidR="0071360A">
        <w:rPr>
          <w:rStyle w:val="y2iqfc"/>
          <w:rFonts w:cs="Arial"/>
          <w:color w:val="000000" w:themeColor="text1"/>
        </w:rPr>
        <w:t>т</w:t>
      </w:r>
      <w:r w:rsidR="00EE6AA2">
        <w:rPr>
          <w:rStyle w:val="y2iqfc"/>
          <w:rFonts w:cs="Arial"/>
          <w:color w:val="000000" w:themeColor="text1"/>
        </w:rPr>
        <w:t>е</w:t>
      </w:r>
      <w:r w:rsidR="0071360A">
        <w:rPr>
          <w:rStyle w:val="y2iqfc"/>
          <w:rFonts w:cs="Arial"/>
          <w:color w:val="000000" w:themeColor="text1"/>
        </w:rPr>
        <w:t>р</w:t>
      </w:r>
      <w:r>
        <w:rPr>
          <w:rStyle w:val="y2iqfc"/>
          <w:rFonts w:cs="Arial"/>
          <w:color w:val="000000" w:themeColor="text1"/>
        </w:rPr>
        <w:t>н</w:t>
      </w:r>
      <w:r w:rsidR="00EE6AA2">
        <w:rPr>
          <w:rStyle w:val="y2iqfc"/>
          <w:rFonts w:cs="Arial"/>
          <w:color w:val="000000" w:themeColor="text1"/>
        </w:rPr>
        <w:t>е</w:t>
      </w:r>
      <w:r w:rsidR="0071360A">
        <w:rPr>
          <w:rStyle w:val="y2iqfc"/>
          <w:rFonts w:cs="Arial"/>
          <w:color w:val="000000" w:themeColor="text1"/>
        </w:rPr>
        <w:t>т</w:t>
      </w:r>
      <w:r>
        <w:rPr>
          <w:rStyle w:val="y2iqfc"/>
          <w:rFonts w:cs="Arial"/>
          <w:color w:val="000000" w:themeColor="text1"/>
        </w:rPr>
        <w:t>а</w:t>
      </w:r>
      <w:r w:rsidR="00B500A5" w:rsidRPr="00F6340E">
        <w:rPr>
          <w:rStyle w:val="y2iqfc"/>
          <w:rFonts w:cs="Arial"/>
          <w:color w:val="000000" w:themeColor="text1"/>
        </w:rPr>
        <w:t xml:space="preserve"> </w:t>
      </w:r>
      <w:r>
        <w:rPr>
          <w:rStyle w:val="y2iqfc"/>
          <w:rFonts w:cs="Arial"/>
          <w:color w:val="000000" w:themeColor="text1"/>
        </w:rPr>
        <w:t>и</w:t>
      </w:r>
      <w:r w:rsidR="00B500A5"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B500A5" w:rsidRPr="00F6340E">
        <w:rPr>
          <w:rStyle w:val="y2iqfc"/>
          <w:rFonts w:cs="Arial"/>
          <w:color w:val="000000" w:themeColor="text1"/>
        </w:rPr>
        <w:t xml:space="preserve"> </w:t>
      </w:r>
      <w:r w:rsidR="0071360A">
        <w:rPr>
          <w:rStyle w:val="y2iqfc"/>
          <w:rFonts w:cs="Arial"/>
          <w:color w:val="000000" w:themeColor="text1"/>
        </w:rPr>
        <w:t>у</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чионици</w:t>
      </w:r>
      <w:r w:rsidR="00B500A5"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ници</w:t>
      </w:r>
      <w:r w:rsidR="00B500A5" w:rsidRPr="00F6340E">
        <w:rPr>
          <w:rStyle w:val="y2iqfc"/>
          <w:rFonts w:cs="Arial"/>
          <w:color w:val="000000" w:themeColor="text1"/>
        </w:rPr>
        <w:t xml:space="preserve"> </w:t>
      </w:r>
      <w:r w:rsidR="0071360A">
        <w:rPr>
          <w:rStyle w:val="y2iqfc"/>
          <w:rFonts w:cs="Arial"/>
          <w:color w:val="000000" w:themeColor="text1"/>
        </w:rPr>
        <w:t>су</w:t>
      </w:r>
      <w:r w:rsidR="00C47A01" w:rsidRPr="00F6340E">
        <w:rPr>
          <w:rStyle w:val="y2iqfc"/>
          <w:rFonts w:cs="Arial"/>
          <w:color w:val="000000" w:themeColor="text1"/>
        </w:rPr>
        <w:t xml:space="preserve"> </w:t>
      </w:r>
      <w:r>
        <w:rPr>
          <w:rStyle w:val="y2iqfc"/>
          <w:rFonts w:cs="Arial"/>
          <w:color w:val="000000" w:themeColor="text1"/>
        </w:rPr>
        <w:t>м</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о</w:t>
      </w:r>
      <w:r w:rsidR="0071360A">
        <w:rPr>
          <w:rStyle w:val="y2iqfc"/>
          <w:rFonts w:cs="Arial"/>
          <w:color w:val="000000" w:themeColor="text1"/>
        </w:rPr>
        <w:t>р</w:t>
      </w:r>
      <w:r>
        <w:rPr>
          <w:rStyle w:val="y2iqfc"/>
          <w:rFonts w:cs="Arial"/>
          <w:color w:val="000000" w:themeColor="text1"/>
        </w:rPr>
        <w:t>и</w:t>
      </w:r>
      <w:r w:rsidR="00C47A01" w:rsidRPr="00F6340E">
        <w:rPr>
          <w:rStyle w:val="y2iqfc"/>
          <w:rFonts w:cs="Arial"/>
          <w:color w:val="000000" w:themeColor="text1"/>
        </w:rPr>
        <w:t xml:space="preserve"> </w:t>
      </w:r>
      <w:r>
        <w:rPr>
          <w:rStyle w:val="y2iqfc"/>
          <w:rFonts w:cs="Arial"/>
          <w:color w:val="000000" w:themeColor="text1"/>
        </w:rPr>
        <w:t>и</w:t>
      </w:r>
      <w:r w:rsidR="008444A3"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од</w:t>
      </w:r>
      <w:r w:rsidR="0071360A">
        <w:rPr>
          <w:rStyle w:val="y2iqfc"/>
          <w:rFonts w:cs="Arial"/>
          <w:color w:val="000000" w:themeColor="text1"/>
        </w:rPr>
        <w:t>р</w:t>
      </w:r>
      <w:r w:rsidR="00171F00">
        <w:rPr>
          <w:rStyle w:val="y2iqfc"/>
          <w:rFonts w:cs="Arial"/>
          <w:color w:val="000000" w:themeColor="text1"/>
        </w:rPr>
        <w:t>ж</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ај</w:t>
      </w:r>
      <w:r w:rsidR="0071360A">
        <w:rPr>
          <w:rStyle w:val="y2iqfc"/>
          <w:rFonts w:cs="Arial"/>
          <w:color w:val="000000" w:themeColor="text1"/>
        </w:rPr>
        <w:t>у</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w:t>
      </w:r>
      <w:r w:rsidR="00EE6AA2">
        <w:rPr>
          <w:rStyle w:val="y2iqfc"/>
          <w:rFonts w:cs="Arial"/>
          <w:color w:val="000000" w:themeColor="text1"/>
        </w:rPr>
        <w:t>е</w:t>
      </w:r>
      <w:r w:rsidR="000B5AA0"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sidR="00EE6AA2">
        <w:rPr>
          <w:rStyle w:val="y2iqfc"/>
          <w:rFonts w:cs="Arial"/>
          <w:color w:val="000000" w:themeColor="text1"/>
        </w:rPr>
        <w:t>е</w:t>
      </w:r>
      <w:r w:rsidR="00B500A5" w:rsidRPr="00F6340E">
        <w:rPr>
          <w:rStyle w:val="y2iqfc"/>
          <w:rFonts w:cs="Arial"/>
          <w:color w:val="000000" w:themeColor="text1"/>
        </w:rPr>
        <w:t xml:space="preserve"> </w:t>
      </w:r>
      <w:r>
        <w:rPr>
          <w:rStyle w:val="y2iqfc"/>
          <w:rFonts w:cs="Arial"/>
          <w:color w:val="000000" w:themeColor="text1"/>
        </w:rPr>
        <w:t>к</w:t>
      </w:r>
      <w:r w:rsidR="0071360A">
        <w:rPr>
          <w:rStyle w:val="y2iqfc"/>
          <w:rFonts w:cs="Arial"/>
          <w:color w:val="000000" w:themeColor="text1"/>
        </w:rPr>
        <w:t>р</w:t>
      </w:r>
      <w:r>
        <w:rPr>
          <w:rStyle w:val="y2iqfc"/>
          <w:rFonts w:cs="Arial"/>
          <w:color w:val="000000" w:themeColor="text1"/>
        </w:rPr>
        <w:t>о</w:t>
      </w:r>
      <w:r w:rsidR="00171F00">
        <w:rPr>
          <w:rStyle w:val="y2iqfc"/>
          <w:rFonts w:cs="Arial"/>
          <w:color w:val="000000" w:themeColor="text1"/>
        </w:rPr>
        <w:t>з</w:t>
      </w:r>
      <w:r w:rsidR="00B500A5" w:rsidRPr="00F6340E">
        <w:rPr>
          <w:rStyle w:val="y2iqfc"/>
          <w:rFonts w:cs="Arial"/>
          <w:color w:val="000000" w:themeColor="text1"/>
        </w:rPr>
        <w:t xml:space="preserve"> </w:t>
      </w:r>
      <w:r>
        <w:rPr>
          <w:rStyle w:val="y2iqfc"/>
          <w:rFonts w:cs="Arial"/>
          <w:color w:val="000000" w:themeColor="text1"/>
        </w:rPr>
        <w:t>инди</w:t>
      </w:r>
      <w:r w:rsidR="0071360A">
        <w:rPr>
          <w:rStyle w:val="y2iqfc"/>
          <w:rFonts w:cs="Arial"/>
          <w:color w:val="000000" w:themeColor="text1"/>
        </w:rPr>
        <w:t>в</w:t>
      </w:r>
      <w:r>
        <w:rPr>
          <w:rStyle w:val="y2iqfc"/>
          <w:rFonts w:cs="Arial"/>
          <w:color w:val="000000" w:themeColor="text1"/>
        </w:rPr>
        <w:t>ид</w:t>
      </w:r>
      <w:r w:rsidR="0071360A">
        <w:rPr>
          <w:rStyle w:val="y2iqfc"/>
          <w:rFonts w:cs="Arial"/>
          <w:color w:val="000000" w:themeColor="text1"/>
        </w:rPr>
        <w:t>у</w:t>
      </w:r>
      <w:r>
        <w:rPr>
          <w:rStyle w:val="y2iqfc"/>
          <w:rFonts w:cs="Arial"/>
          <w:color w:val="000000" w:themeColor="text1"/>
        </w:rPr>
        <w:t>али</w:t>
      </w:r>
      <w:r w:rsidR="00171F00">
        <w:rPr>
          <w:rStyle w:val="y2iqfc"/>
          <w:rFonts w:cs="Arial"/>
          <w:color w:val="000000" w:themeColor="text1"/>
        </w:rPr>
        <w:t>з</w:t>
      </w:r>
      <w:r>
        <w:rPr>
          <w:rStyle w:val="y2iqfc"/>
          <w:rFonts w:cs="Arial"/>
          <w:color w:val="000000" w:themeColor="text1"/>
        </w:rPr>
        <w:t>о</w:t>
      </w:r>
      <w:r w:rsidR="0071360A">
        <w:rPr>
          <w:rStyle w:val="y2iqfc"/>
          <w:rFonts w:cs="Arial"/>
          <w:color w:val="000000" w:themeColor="text1"/>
        </w:rPr>
        <w:t>в</w:t>
      </w:r>
      <w:r>
        <w:rPr>
          <w:rStyle w:val="y2iqfc"/>
          <w:rFonts w:cs="Arial"/>
          <w:color w:val="000000" w:themeColor="text1"/>
        </w:rPr>
        <w:t>ањ</w:t>
      </w:r>
      <w:r w:rsidR="00EE6AA2">
        <w:rPr>
          <w:rStyle w:val="y2iqfc"/>
          <w:rFonts w:cs="Arial"/>
          <w:color w:val="000000" w:themeColor="text1"/>
        </w:rPr>
        <w:t>е</w:t>
      </w:r>
      <w:r w:rsidR="00B500A5" w:rsidRPr="00F6340E">
        <w:rPr>
          <w:rStyle w:val="y2iqfc"/>
          <w:rFonts w:cs="Arial"/>
          <w:color w:val="000000" w:themeColor="text1"/>
        </w:rPr>
        <w:t xml:space="preserve">, </w:t>
      </w:r>
      <w:r w:rsidR="0071360A">
        <w:rPr>
          <w:rStyle w:val="y2iqfc"/>
          <w:rFonts w:cs="Arial"/>
          <w:color w:val="000000" w:themeColor="text1"/>
        </w:rPr>
        <w:t>шт</w:t>
      </w:r>
      <w:r>
        <w:rPr>
          <w:rStyle w:val="y2iqfc"/>
          <w:rFonts w:cs="Arial"/>
          <w:color w:val="000000" w:themeColor="text1"/>
        </w:rPr>
        <w:t>о</w:t>
      </w:r>
      <w:r w:rsidR="00B500A5" w:rsidRPr="00F6340E">
        <w:rPr>
          <w:rStyle w:val="y2iqfc"/>
          <w:rFonts w:cs="Arial"/>
          <w:color w:val="000000" w:themeColor="text1"/>
        </w:rPr>
        <w:t xml:space="preserve"> </w:t>
      </w:r>
      <w:r w:rsidR="0071360A">
        <w:rPr>
          <w:rStyle w:val="y2iqfc"/>
          <w:rFonts w:cs="Arial"/>
          <w:color w:val="000000" w:themeColor="text1"/>
        </w:rPr>
        <w:t>ут</w:t>
      </w:r>
      <w:r>
        <w:rPr>
          <w:rStyle w:val="y2iqfc"/>
          <w:rFonts w:cs="Arial"/>
          <w:color w:val="000000" w:themeColor="text1"/>
        </w:rPr>
        <w:t>ич</w:t>
      </w:r>
      <w:r w:rsidR="00EE6AA2">
        <w:rPr>
          <w:rStyle w:val="y2iqfc"/>
          <w:rFonts w:cs="Arial"/>
          <w:color w:val="000000" w:themeColor="text1"/>
        </w:rPr>
        <w:t>е</w:t>
      </w:r>
      <w:r w:rsidR="00B500A5" w:rsidRPr="00F6340E">
        <w:rPr>
          <w:rStyle w:val="y2iqfc"/>
          <w:rFonts w:cs="Arial"/>
          <w:color w:val="000000" w:themeColor="text1"/>
        </w:rPr>
        <w:t xml:space="preserve"> </w:t>
      </w:r>
      <w:r>
        <w:rPr>
          <w:rStyle w:val="y2iqfc"/>
          <w:rFonts w:cs="Arial"/>
          <w:color w:val="000000" w:themeColor="text1"/>
        </w:rPr>
        <w:t>на</w:t>
      </w:r>
      <w:r w:rsidR="00B500A5" w:rsidRPr="00F6340E">
        <w:rPr>
          <w:rStyle w:val="y2iqfc"/>
          <w:rFonts w:cs="Arial"/>
          <w:color w:val="000000" w:themeColor="text1"/>
        </w:rPr>
        <w:t xml:space="preserve"> </w:t>
      </w:r>
      <w:r w:rsidR="0071360A">
        <w:rPr>
          <w:rStyle w:val="y2iqfc"/>
          <w:rFonts w:cs="Arial"/>
          <w:color w:val="000000" w:themeColor="text1"/>
        </w:rPr>
        <w:t>в</w:t>
      </w:r>
      <w:r w:rsidR="00EE6AA2">
        <w:rPr>
          <w:rStyle w:val="y2iqfc"/>
          <w:rFonts w:cs="Arial"/>
          <w:color w:val="000000" w:themeColor="text1"/>
        </w:rPr>
        <w:t>е</w:t>
      </w:r>
      <w:r>
        <w:rPr>
          <w:rStyle w:val="y2iqfc"/>
          <w:rFonts w:cs="Arial"/>
          <w:color w:val="000000" w:themeColor="text1"/>
        </w:rPr>
        <w:t>ћ</w:t>
      </w:r>
      <w:r w:rsidR="0071360A">
        <w:rPr>
          <w:rStyle w:val="y2iqfc"/>
          <w:rFonts w:cs="Arial"/>
          <w:color w:val="000000" w:themeColor="text1"/>
        </w:rPr>
        <w:t>у</w:t>
      </w:r>
      <w:r w:rsidR="00B500A5" w:rsidRPr="00F6340E">
        <w:rPr>
          <w:rStyle w:val="y2iqfc"/>
          <w:rFonts w:cs="Arial"/>
          <w:color w:val="000000" w:themeColor="text1"/>
        </w:rPr>
        <w:t xml:space="preserve"> </w:t>
      </w:r>
      <w:r>
        <w:rPr>
          <w:rStyle w:val="y2iqfc"/>
          <w:rFonts w:cs="Arial"/>
          <w:color w:val="000000" w:themeColor="text1"/>
        </w:rPr>
        <w:t>а</w:t>
      </w:r>
      <w:r w:rsidR="0071360A">
        <w:rPr>
          <w:rStyle w:val="y2iqfc"/>
          <w:rFonts w:cs="Arial"/>
          <w:color w:val="000000" w:themeColor="text1"/>
        </w:rPr>
        <w:t>ут</w:t>
      </w:r>
      <w:r>
        <w:rPr>
          <w:rStyle w:val="y2iqfc"/>
          <w:rFonts w:cs="Arial"/>
          <w:color w:val="000000" w:themeColor="text1"/>
        </w:rPr>
        <w:t>ономиј</w:t>
      </w:r>
      <w:r w:rsidR="0071360A">
        <w:rPr>
          <w:rStyle w:val="y2iqfc"/>
          <w:rFonts w:cs="Arial"/>
          <w:color w:val="000000" w:themeColor="text1"/>
        </w:rPr>
        <w:t>у</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ника</w:t>
      </w:r>
      <w:r w:rsidR="000B5AA0"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на</w:t>
      </w:r>
      <w:r w:rsidR="0071360A">
        <w:rPr>
          <w:rStyle w:val="y2iqfc"/>
          <w:rFonts w:cs="Arial"/>
          <w:color w:val="000000" w:themeColor="text1"/>
        </w:rPr>
        <w:t>т</w:t>
      </w:r>
      <w:r>
        <w:rPr>
          <w:rStyle w:val="y2iqfc"/>
          <w:rFonts w:cs="Arial"/>
          <w:color w:val="000000" w:themeColor="text1"/>
        </w:rPr>
        <w:t>а</w:t>
      </w:r>
      <w:r w:rsidR="00B500A5" w:rsidRPr="00F6340E">
        <w:rPr>
          <w:rStyle w:val="y2iqfc"/>
          <w:rFonts w:cs="Arial"/>
          <w:color w:val="000000" w:themeColor="text1"/>
        </w:rPr>
        <w:t xml:space="preserve">, </w:t>
      </w:r>
      <w:r>
        <w:rPr>
          <w:rStyle w:val="y2iqfc"/>
          <w:rFonts w:cs="Arial"/>
          <w:color w:val="000000" w:themeColor="text1"/>
        </w:rPr>
        <w:t>њихо</w:t>
      </w:r>
      <w:r w:rsidR="0071360A">
        <w:rPr>
          <w:rStyle w:val="y2iqfc"/>
          <w:rFonts w:cs="Arial"/>
          <w:color w:val="000000" w:themeColor="text1"/>
        </w:rPr>
        <w:t>ву</w:t>
      </w:r>
      <w:r w:rsidR="008444A3" w:rsidRPr="00F6340E">
        <w:rPr>
          <w:rStyle w:val="y2iqfc"/>
          <w:rFonts w:cs="Arial"/>
          <w:color w:val="000000" w:themeColor="text1"/>
        </w:rPr>
        <w:t xml:space="preserve"> </w:t>
      </w:r>
      <w:r>
        <w:rPr>
          <w:rStyle w:val="y2iqfc"/>
          <w:rFonts w:cs="Arial"/>
          <w:color w:val="000000" w:themeColor="text1"/>
        </w:rPr>
        <w:lastRenderedPageBreak/>
        <w:t>мо</w:t>
      </w:r>
      <w:r w:rsidR="0071360A">
        <w:rPr>
          <w:rStyle w:val="y2iqfc"/>
          <w:rFonts w:cs="Arial"/>
          <w:color w:val="000000" w:themeColor="text1"/>
        </w:rPr>
        <w:t>т</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ациј</w:t>
      </w:r>
      <w:r w:rsidR="0071360A">
        <w:rPr>
          <w:rStyle w:val="y2iqfc"/>
          <w:rFonts w:cs="Arial"/>
          <w:color w:val="000000" w:themeColor="text1"/>
        </w:rPr>
        <w:t>у</w:t>
      </w:r>
      <w:r w:rsidR="00B500A5" w:rsidRPr="00F6340E">
        <w:rPr>
          <w:rStyle w:val="y2iqfc"/>
          <w:rFonts w:cs="Arial"/>
          <w:color w:val="000000" w:themeColor="text1"/>
        </w:rPr>
        <w:t xml:space="preserve"> </w:t>
      </w:r>
      <w:r>
        <w:rPr>
          <w:rStyle w:val="y2iqfc"/>
          <w:rFonts w:cs="Arial"/>
          <w:color w:val="000000" w:themeColor="text1"/>
        </w:rPr>
        <w:t>и</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sidR="0071360A">
        <w:rPr>
          <w:rStyle w:val="y2iqfc"/>
          <w:rFonts w:cs="Arial"/>
          <w:color w:val="000000" w:themeColor="text1"/>
        </w:rPr>
        <w:t>ств</w:t>
      </w:r>
      <w:r>
        <w:rPr>
          <w:rStyle w:val="y2iqfc"/>
          <w:rFonts w:cs="Arial"/>
          <w:color w:val="000000" w:themeColor="text1"/>
        </w:rPr>
        <w:t>о</w:t>
      </w:r>
      <w:r w:rsidR="0071360A">
        <w:rPr>
          <w:rStyle w:val="y2iqfc"/>
          <w:rFonts w:cs="Arial"/>
          <w:color w:val="000000" w:themeColor="text1"/>
        </w:rPr>
        <w:t>в</w:t>
      </w:r>
      <w:r>
        <w:rPr>
          <w:rStyle w:val="y2iqfc"/>
          <w:rFonts w:cs="Arial"/>
          <w:color w:val="000000" w:themeColor="text1"/>
        </w:rPr>
        <w:t>ањ</w:t>
      </w:r>
      <w:r w:rsidR="00EE6AA2">
        <w:rPr>
          <w:rStyle w:val="y2iqfc"/>
          <w:rFonts w:cs="Arial"/>
          <w:color w:val="000000" w:themeColor="text1"/>
        </w:rPr>
        <w:t>е</w:t>
      </w:r>
      <w:r w:rsidR="00B500A5" w:rsidRPr="00F6340E">
        <w:rPr>
          <w:rStyle w:val="y2iqfc"/>
          <w:rFonts w:cs="Arial"/>
          <w:color w:val="000000" w:themeColor="text1"/>
        </w:rPr>
        <w:t xml:space="preserve">, </w:t>
      </w:r>
      <w:r>
        <w:rPr>
          <w:rStyle w:val="y2iqfc"/>
          <w:rFonts w:cs="Arial"/>
          <w:color w:val="000000" w:themeColor="text1"/>
        </w:rPr>
        <w:t>али</w:t>
      </w:r>
      <w:r w:rsidR="00B500A5" w:rsidRPr="00F6340E">
        <w:rPr>
          <w:rStyle w:val="y2iqfc"/>
          <w:rFonts w:cs="Arial"/>
          <w:color w:val="000000" w:themeColor="text1"/>
        </w:rPr>
        <w:t xml:space="preserve"> </w:t>
      </w:r>
      <w:r>
        <w:rPr>
          <w:rStyle w:val="y2iqfc"/>
          <w:rFonts w:cs="Arial"/>
          <w:color w:val="000000" w:themeColor="text1"/>
        </w:rPr>
        <w:t>и</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на</w:t>
      </w:r>
      <w:r w:rsidR="0071360A">
        <w:rPr>
          <w:rStyle w:val="y2iqfc"/>
          <w:rFonts w:cs="Arial"/>
          <w:color w:val="000000" w:themeColor="text1"/>
        </w:rPr>
        <w:t>пр</w:t>
      </w:r>
      <w:r>
        <w:rPr>
          <w:rStyle w:val="y2iqfc"/>
          <w:rFonts w:cs="Arial"/>
          <w:color w:val="000000" w:themeColor="text1"/>
        </w:rPr>
        <w:t>ј</w:t>
      </w:r>
      <w:r w:rsidR="00EE6AA2">
        <w:rPr>
          <w:rStyle w:val="y2iqfc"/>
          <w:rFonts w:cs="Arial"/>
          <w:color w:val="000000" w:themeColor="text1"/>
        </w:rPr>
        <w:t>е</w:t>
      </w:r>
      <w:r>
        <w:rPr>
          <w:rStyle w:val="y2iqfc"/>
          <w:rFonts w:cs="Arial"/>
          <w:color w:val="000000" w:themeColor="text1"/>
        </w:rPr>
        <w:t>ђи</w:t>
      </w:r>
      <w:r w:rsidR="0071360A">
        <w:rPr>
          <w:rStyle w:val="y2iqfc"/>
          <w:rFonts w:cs="Arial"/>
          <w:color w:val="000000" w:themeColor="text1"/>
        </w:rPr>
        <w:t>в</w:t>
      </w:r>
      <w:r>
        <w:rPr>
          <w:rStyle w:val="y2iqfc"/>
          <w:rFonts w:cs="Arial"/>
          <w:color w:val="000000" w:themeColor="text1"/>
        </w:rPr>
        <w:t>ањ</w:t>
      </w:r>
      <w:r w:rsidR="00EE6AA2">
        <w:rPr>
          <w:rStyle w:val="y2iqfc"/>
          <w:rFonts w:cs="Arial"/>
          <w:color w:val="000000" w:themeColor="text1"/>
        </w:rPr>
        <w:t>е</w:t>
      </w:r>
      <w:r w:rsidR="00B500A5" w:rsidRPr="00F6340E">
        <w:rPr>
          <w:rStyle w:val="y2iqfc"/>
          <w:rFonts w:cs="Arial"/>
          <w:color w:val="000000" w:themeColor="text1"/>
        </w:rPr>
        <w:t xml:space="preserve"> </w:t>
      </w:r>
      <w:r w:rsidR="0071360A">
        <w:rPr>
          <w:rStyle w:val="y2iqfc"/>
          <w:rFonts w:cs="Arial"/>
          <w:color w:val="000000" w:themeColor="text1"/>
        </w:rPr>
        <w:t>в</w:t>
      </w:r>
      <w:r>
        <w:rPr>
          <w:rStyle w:val="y2iqfc"/>
          <w:rFonts w:cs="Arial"/>
          <w:color w:val="000000" w:themeColor="text1"/>
        </w:rPr>
        <w:t>ј</w:t>
      </w:r>
      <w:r w:rsidR="00EE6AA2">
        <w:rPr>
          <w:rStyle w:val="y2iqfc"/>
          <w:rFonts w:cs="Arial"/>
          <w:color w:val="000000" w:themeColor="text1"/>
        </w:rPr>
        <w:t>е</w:t>
      </w:r>
      <w:r w:rsidR="0071360A">
        <w:rPr>
          <w:rStyle w:val="y2iqfc"/>
          <w:rFonts w:cs="Arial"/>
          <w:color w:val="000000" w:themeColor="text1"/>
        </w:rPr>
        <w:t>шт</w:t>
      </w:r>
      <w:r>
        <w:rPr>
          <w:rStyle w:val="y2iqfc"/>
          <w:rFonts w:cs="Arial"/>
          <w:color w:val="000000" w:themeColor="text1"/>
        </w:rPr>
        <w:t>ина</w:t>
      </w:r>
      <w:r w:rsidR="00B500A5"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ња</w:t>
      </w:r>
      <w:r w:rsidR="00B500A5" w:rsidRPr="00F6340E">
        <w:rPr>
          <w:rStyle w:val="y2iqfc"/>
          <w:rFonts w:cs="Arial"/>
          <w:color w:val="000000" w:themeColor="text1"/>
        </w:rPr>
        <w:t xml:space="preserve"> </w:t>
      </w:r>
      <w:r>
        <w:rPr>
          <w:rStyle w:val="y2iqfc"/>
          <w:rFonts w:cs="Arial"/>
          <w:color w:val="000000" w:themeColor="text1"/>
        </w:rPr>
        <w:t>и</w:t>
      </w:r>
      <w:r w:rsidR="00B500A5" w:rsidRPr="00F6340E">
        <w:rPr>
          <w:rStyle w:val="y2iqfc"/>
          <w:rFonts w:cs="Arial"/>
          <w:color w:val="000000" w:themeColor="text1"/>
        </w:rPr>
        <w:t xml:space="preserve"> </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алних</w:t>
      </w:r>
      <w:r w:rsidR="00B500A5" w:rsidRPr="00F6340E">
        <w:rPr>
          <w:rStyle w:val="y2iqfc"/>
          <w:rFonts w:cs="Arial"/>
          <w:color w:val="000000" w:themeColor="text1"/>
        </w:rPr>
        <w:t xml:space="preserve"> </w:t>
      </w:r>
      <w:r>
        <w:rPr>
          <w:rStyle w:val="y2iqfc"/>
          <w:rFonts w:cs="Arial"/>
          <w:color w:val="000000" w:themeColor="text1"/>
        </w:rPr>
        <w:t>ком</w:t>
      </w:r>
      <w:r w:rsidR="0071360A">
        <w:rPr>
          <w:rStyle w:val="y2iqfc"/>
          <w:rFonts w:cs="Arial"/>
          <w:color w:val="000000" w:themeColor="text1"/>
        </w:rPr>
        <w:t>п</w:t>
      </w:r>
      <w:r w:rsidR="00EE6AA2">
        <w:rPr>
          <w:rStyle w:val="y2iqfc"/>
          <w:rFonts w:cs="Arial"/>
          <w:color w:val="000000" w:themeColor="text1"/>
        </w:rPr>
        <w:t>е</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нција</w:t>
      </w:r>
      <w:r w:rsidR="00B500A5" w:rsidRPr="00F6340E">
        <w:rPr>
          <w:rStyle w:val="y2iqfc"/>
          <w:rFonts w:cs="Arial"/>
          <w:color w:val="000000" w:themeColor="text1"/>
        </w:rPr>
        <w:t xml:space="preserve">. </w:t>
      </w:r>
      <w:r>
        <w:rPr>
          <w:rStyle w:val="y2iqfc"/>
          <w:rFonts w:cs="Arial"/>
          <w:color w:val="000000" w:themeColor="text1"/>
        </w:rPr>
        <w:t>И</w:t>
      </w:r>
      <w:r w:rsidR="0071360A">
        <w:rPr>
          <w:rStyle w:val="y2iqfc"/>
          <w:rFonts w:cs="Arial"/>
          <w:color w:val="000000" w:themeColor="text1"/>
        </w:rPr>
        <w:t>стр</w:t>
      </w:r>
      <w:r>
        <w:rPr>
          <w:rStyle w:val="y2iqfc"/>
          <w:rFonts w:cs="Arial"/>
          <w:color w:val="000000" w:themeColor="text1"/>
        </w:rPr>
        <w:t>а</w:t>
      </w:r>
      <w:r w:rsidR="00171F00">
        <w:rPr>
          <w:rStyle w:val="y2iqfc"/>
          <w:rFonts w:cs="Arial"/>
          <w:color w:val="000000" w:themeColor="text1"/>
        </w:rPr>
        <w:t>ж</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ањ</w:t>
      </w:r>
      <w:r w:rsidR="00EE6AA2">
        <w:rPr>
          <w:rStyle w:val="y2iqfc"/>
          <w:rFonts w:cs="Arial"/>
          <w:color w:val="000000" w:themeColor="text1"/>
        </w:rPr>
        <w:t>е</w:t>
      </w:r>
      <w:r w:rsidR="00872771"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ока</w:t>
      </w:r>
      <w:r w:rsidR="00171F00">
        <w:rPr>
          <w:rStyle w:val="y2iqfc"/>
          <w:rFonts w:cs="Arial"/>
          <w:color w:val="000000" w:themeColor="text1"/>
        </w:rPr>
        <w:t>з</w:t>
      </w:r>
      <w:r w:rsidR="0071360A">
        <w:rPr>
          <w:rStyle w:val="y2iqfc"/>
          <w:rFonts w:cs="Arial"/>
          <w:color w:val="000000" w:themeColor="text1"/>
        </w:rPr>
        <w:t>у</w:t>
      </w:r>
      <w:r>
        <w:rPr>
          <w:rStyle w:val="y2iqfc"/>
          <w:rFonts w:cs="Arial"/>
          <w:color w:val="000000" w:themeColor="text1"/>
        </w:rPr>
        <w:t>ј</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да</w:t>
      </w:r>
      <w:r w:rsidR="00872771" w:rsidRPr="00F6340E">
        <w:rPr>
          <w:rStyle w:val="y2iqfc"/>
          <w:rFonts w:cs="Arial"/>
          <w:color w:val="000000" w:themeColor="text1"/>
        </w:rPr>
        <w:t xml:space="preserve"> </w:t>
      </w:r>
      <w:r w:rsidR="0071360A">
        <w:rPr>
          <w:rStyle w:val="y2iqfc"/>
          <w:rFonts w:cs="Arial"/>
          <w:color w:val="000000" w:themeColor="text1"/>
        </w:rPr>
        <w:t>с</w:t>
      </w:r>
      <w:r w:rsidR="00EE6AA2">
        <w:rPr>
          <w:rStyle w:val="y2iqfc"/>
          <w:rFonts w:cs="Arial"/>
          <w:color w:val="000000" w:themeColor="text1"/>
        </w:rPr>
        <w:t>е</w:t>
      </w:r>
      <w:r w:rsidR="00872771"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ници</w:t>
      </w:r>
      <w:r w:rsidR="00872771" w:rsidRPr="00F6340E">
        <w:rPr>
          <w:rStyle w:val="y2iqfc"/>
          <w:rFonts w:cs="Arial"/>
          <w:color w:val="000000" w:themeColor="text1"/>
        </w:rPr>
        <w:t xml:space="preserve"> </w:t>
      </w:r>
      <w:r>
        <w:rPr>
          <w:rStyle w:val="y2iqfc"/>
          <w:rFonts w:cs="Arial"/>
          <w:color w:val="000000" w:themeColor="text1"/>
        </w:rPr>
        <w:t>који</w:t>
      </w:r>
      <w:r w:rsidR="00872771" w:rsidRPr="00F6340E">
        <w:rPr>
          <w:rStyle w:val="y2iqfc"/>
          <w:rFonts w:cs="Arial"/>
          <w:color w:val="000000" w:themeColor="text1"/>
        </w:rPr>
        <w:t xml:space="preserve"> </w:t>
      </w:r>
      <w:r>
        <w:rPr>
          <w:rStyle w:val="y2iqfc"/>
          <w:rFonts w:cs="Arial"/>
          <w:color w:val="000000" w:themeColor="text1"/>
        </w:rPr>
        <w:t>имај</w:t>
      </w:r>
      <w:r w:rsidR="0071360A">
        <w:rPr>
          <w:rStyle w:val="y2iqfc"/>
          <w:rFonts w:cs="Arial"/>
          <w:color w:val="000000" w:themeColor="text1"/>
        </w:rPr>
        <w:t>у</w:t>
      </w:r>
      <w:r w:rsidR="00872771" w:rsidRPr="00F6340E">
        <w:rPr>
          <w:rStyle w:val="y2iqfc"/>
          <w:rFonts w:cs="Arial"/>
          <w:color w:val="000000" w:themeColor="text1"/>
        </w:rPr>
        <w:t xml:space="preserve"> </w:t>
      </w:r>
      <w:r w:rsidR="0071360A">
        <w:rPr>
          <w:rStyle w:val="y2iqfc"/>
          <w:rFonts w:cs="Arial"/>
          <w:color w:val="000000" w:themeColor="text1"/>
        </w:rPr>
        <w:t>пр</w:t>
      </w:r>
      <w:r>
        <w:rPr>
          <w:rStyle w:val="y2iqfc"/>
          <w:rFonts w:cs="Arial"/>
          <w:color w:val="000000" w:themeColor="text1"/>
        </w:rPr>
        <w:t>и</w:t>
      </w:r>
      <w:r w:rsidR="0071360A">
        <w:rPr>
          <w:rStyle w:val="y2iqfc"/>
          <w:rFonts w:cs="Arial"/>
          <w:color w:val="000000" w:themeColor="text1"/>
        </w:rPr>
        <w:t>ступ</w:t>
      </w:r>
      <w:r w:rsidR="00872771" w:rsidRPr="00F6340E">
        <w:rPr>
          <w:rStyle w:val="y2iqfc"/>
          <w:rFonts w:cs="Arial"/>
          <w:color w:val="000000" w:themeColor="text1"/>
        </w:rPr>
        <w:t xml:space="preserve"> </w:t>
      </w:r>
      <w:r>
        <w:rPr>
          <w:rStyle w:val="y2iqfc"/>
          <w:rFonts w:cs="Arial"/>
          <w:color w:val="000000" w:themeColor="text1"/>
        </w:rPr>
        <w:t>комбинацији</w:t>
      </w:r>
      <w:r w:rsidR="00872771"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C47A01" w:rsidRPr="00F6340E">
        <w:rPr>
          <w:rStyle w:val="y2iqfc"/>
          <w:rFonts w:cs="Arial"/>
          <w:color w:val="000000" w:themeColor="text1"/>
        </w:rPr>
        <w:t xml:space="preserve"> </w:t>
      </w:r>
      <w:r w:rsidR="0071360A">
        <w:rPr>
          <w:rStyle w:val="y2iqfc"/>
          <w:rFonts w:cs="Arial"/>
          <w:color w:val="000000" w:themeColor="text1"/>
        </w:rPr>
        <w:t>пут</w:t>
      </w:r>
      <w:r w:rsidR="00EE6AA2">
        <w:rPr>
          <w:rStyle w:val="y2iqfc"/>
          <w:rFonts w:cs="Arial"/>
          <w:color w:val="000000" w:themeColor="text1"/>
        </w:rPr>
        <w:t>е</w:t>
      </w:r>
      <w:r>
        <w:rPr>
          <w:rStyle w:val="y2iqfc"/>
          <w:rFonts w:cs="Arial"/>
          <w:color w:val="000000" w:themeColor="text1"/>
        </w:rPr>
        <w:t>м</w:t>
      </w:r>
      <w:r w:rsidR="00C47A01" w:rsidRPr="00F6340E">
        <w:rPr>
          <w:rStyle w:val="y2iqfc"/>
          <w:rFonts w:cs="Arial"/>
          <w:color w:val="000000" w:themeColor="text1"/>
        </w:rPr>
        <w:t xml:space="preserve"> </w:t>
      </w:r>
      <w:r>
        <w:rPr>
          <w:rStyle w:val="y2iqfc"/>
          <w:rFonts w:cs="Arial"/>
          <w:color w:val="000000" w:themeColor="text1"/>
        </w:rPr>
        <w:t>ин</w:t>
      </w:r>
      <w:r w:rsidR="0071360A">
        <w:rPr>
          <w:rStyle w:val="y2iqfc"/>
          <w:rFonts w:cs="Arial"/>
          <w:color w:val="000000" w:themeColor="text1"/>
        </w:rPr>
        <w:t>т</w:t>
      </w:r>
      <w:r w:rsidR="00EE6AA2">
        <w:rPr>
          <w:rStyle w:val="y2iqfc"/>
          <w:rFonts w:cs="Arial"/>
          <w:color w:val="000000" w:themeColor="text1"/>
        </w:rPr>
        <w:t>е</w:t>
      </w:r>
      <w:r w:rsidR="0071360A">
        <w:rPr>
          <w:rStyle w:val="y2iqfc"/>
          <w:rFonts w:cs="Arial"/>
          <w:color w:val="000000" w:themeColor="text1"/>
        </w:rPr>
        <w:t>р</w:t>
      </w:r>
      <w:r>
        <w:rPr>
          <w:rStyle w:val="y2iqfc"/>
          <w:rFonts w:cs="Arial"/>
          <w:color w:val="000000" w:themeColor="text1"/>
        </w:rPr>
        <w:t>н</w:t>
      </w:r>
      <w:r w:rsidR="00EE6AA2">
        <w:rPr>
          <w:rStyle w:val="y2iqfc"/>
          <w:rFonts w:cs="Arial"/>
          <w:color w:val="000000" w:themeColor="text1"/>
        </w:rPr>
        <w:t>е</w:t>
      </w:r>
      <w:r w:rsidR="0071360A">
        <w:rPr>
          <w:rStyle w:val="y2iqfc"/>
          <w:rFonts w:cs="Arial"/>
          <w:color w:val="000000" w:themeColor="text1"/>
        </w:rPr>
        <w:t>т</w:t>
      </w:r>
      <w:r>
        <w:rPr>
          <w:rStyle w:val="y2iqfc"/>
          <w:rFonts w:cs="Arial"/>
          <w:color w:val="000000" w:themeColor="text1"/>
        </w:rPr>
        <w:t>а</w:t>
      </w:r>
      <w:r w:rsidR="00C47A01" w:rsidRPr="00F6340E">
        <w:rPr>
          <w:rStyle w:val="y2iqfc"/>
          <w:rFonts w:cs="Arial"/>
          <w:color w:val="000000" w:themeColor="text1"/>
        </w:rPr>
        <w:t xml:space="preserve"> </w:t>
      </w:r>
      <w:r>
        <w:rPr>
          <w:rStyle w:val="y2iqfc"/>
          <w:rFonts w:cs="Arial"/>
          <w:color w:val="000000" w:themeColor="text1"/>
        </w:rPr>
        <w:t>и</w:t>
      </w:r>
      <w:r w:rsidR="00872771" w:rsidRPr="00F6340E">
        <w:rPr>
          <w:rStyle w:val="y2iqfc"/>
          <w:rFonts w:cs="Arial"/>
          <w:color w:val="000000" w:themeColor="text1"/>
        </w:rPr>
        <w:t xml:space="preserve"> </w:t>
      </w:r>
      <w:r>
        <w:rPr>
          <w:rStyle w:val="y2iqfc"/>
          <w:rFonts w:cs="Arial"/>
          <w:color w:val="000000" w:themeColor="text1"/>
        </w:rPr>
        <w:t>ди</w:t>
      </w:r>
      <w:r w:rsidR="0071360A">
        <w:rPr>
          <w:rStyle w:val="y2iqfc"/>
          <w:rFonts w:cs="Arial"/>
          <w:color w:val="000000" w:themeColor="text1"/>
        </w:rPr>
        <w:t>р</w:t>
      </w:r>
      <w:r w:rsidR="00EE6AA2">
        <w:rPr>
          <w:rStyle w:val="y2iqfc"/>
          <w:rFonts w:cs="Arial"/>
          <w:color w:val="000000" w:themeColor="text1"/>
        </w:rPr>
        <w:t>е</w:t>
      </w:r>
      <w:r>
        <w:rPr>
          <w:rStyle w:val="y2iqfc"/>
          <w:rFonts w:cs="Arial"/>
          <w:color w:val="000000" w:themeColor="text1"/>
        </w:rPr>
        <w:t>к</w:t>
      </w:r>
      <w:r w:rsidR="0071360A">
        <w:rPr>
          <w:rStyle w:val="y2iqfc"/>
          <w:rFonts w:cs="Arial"/>
          <w:color w:val="000000" w:themeColor="text1"/>
        </w:rPr>
        <w:t>т</w:t>
      </w:r>
      <w:r>
        <w:rPr>
          <w:rStyle w:val="y2iqfc"/>
          <w:rFonts w:cs="Arial"/>
          <w:color w:val="000000" w:themeColor="text1"/>
        </w:rPr>
        <w:t>н</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и</w:t>
      </w:r>
      <w:r w:rsidR="0071360A">
        <w:rPr>
          <w:rStyle w:val="y2iqfc"/>
          <w:rFonts w:cs="Arial"/>
          <w:color w:val="000000" w:themeColor="text1"/>
        </w:rPr>
        <w:t>ст</w:t>
      </w:r>
      <w:r>
        <w:rPr>
          <w:rStyle w:val="y2iqfc"/>
          <w:rFonts w:cs="Arial"/>
          <w:color w:val="000000" w:themeColor="text1"/>
        </w:rPr>
        <w:t>ич</w:t>
      </w:r>
      <w:r w:rsidR="0071360A">
        <w:rPr>
          <w:rStyle w:val="y2iqfc"/>
          <w:rFonts w:cs="Arial"/>
          <w:color w:val="000000" w:themeColor="text1"/>
        </w:rPr>
        <w:t>у</w:t>
      </w:r>
      <w:r w:rsidR="00872771" w:rsidRPr="00F6340E">
        <w:rPr>
          <w:rStyle w:val="y2iqfc"/>
          <w:rFonts w:cs="Arial"/>
          <w:color w:val="000000" w:themeColor="text1"/>
        </w:rPr>
        <w:t xml:space="preserve"> </w:t>
      </w:r>
      <w:r w:rsidR="0071360A">
        <w:rPr>
          <w:rStyle w:val="y2iqfc"/>
          <w:rFonts w:cs="Arial"/>
          <w:color w:val="000000" w:themeColor="text1"/>
        </w:rPr>
        <w:t>у</w:t>
      </w:r>
      <w:r w:rsidR="00872771" w:rsidRPr="00F6340E">
        <w:rPr>
          <w:rStyle w:val="y2iqfc"/>
          <w:rFonts w:cs="Arial"/>
          <w:color w:val="000000" w:themeColor="text1"/>
        </w:rPr>
        <w:t xml:space="preserve"> </w:t>
      </w:r>
      <w:r>
        <w:rPr>
          <w:rStyle w:val="y2iqfc"/>
          <w:rFonts w:cs="Arial"/>
          <w:color w:val="000000" w:themeColor="text1"/>
        </w:rPr>
        <w:t>одно</w:t>
      </w:r>
      <w:r w:rsidR="0071360A">
        <w:rPr>
          <w:rStyle w:val="y2iqfc"/>
          <w:rFonts w:cs="Arial"/>
          <w:color w:val="000000" w:themeColor="text1"/>
        </w:rPr>
        <w:t>су</w:t>
      </w:r>
      <w:r w:rsidR="00872771" w:rsidRPr="00F6340E">
        <w:rPr>
          <w:rStyle w:val="y2iqfc"/>
          <w:rFonts w:cs="Arial"/>
          <w:color w:val="000000" w:themeColor="text1"/>
        </w:rPr>
        <w:t xml:space="preserve"> </w:t>
      </w:r>
      <w:r>
        <w:rPr>
          <w:rStyle w:val="y2iqfc"/>
          <w:rFonts w:cs="Arial"/>
          <w:color w:val="000000" w:themeColor="text1"/>
        </w:rPr>
        <w:t>на</w:t>
      </w:r>
      <w:r w:rsidR="00872771" w:rsidRPr="00F6340E">
        <w:rPr>
          <w:rStyle w:val="y2iqfc"/>
          <w:rFonts w:cs="Arial"/>
          <w:color w:val="000000" w:themeColor="text1"/>
        </w:rPr>
        <w:t xml:space="preserve"> </w:t>
      </w:r>
      <w:r w:rsidR="0071360A">
        <w:rPr>
          <w:rStyle w:val="y2iqfc"/>
          <w:rFonts w:cs="Arial"/>
          <w:color w:val="000000" w:themeColor="text1"/>
        </w:rPr>
        <w:t>врш</w:t>
      </w:r>
      <w:r>
        <w:rPr>
          <w:rStyle w:val="y2iqfc"/>
          <w:rFonts w:cs="Arial"/>
          <w:color w:val="000000" w:themeColor="text1"/>
        </w:rPr>
        <w:t>њак</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који</w:t>
      </w:r>
      <w:r w:rsidR="00872771" w:rsidRPr="00F6340E">
        <w:rPr>
          <w:rStyle w:val="y2iqfc"/>
          <w:rFonts w:cs="Arial"/>
          <w:color w:val="000000" w:themeColor="text1"/>
        </w:rPr>
        <w:t xml:space="preserve"> </w:t>
      </w:r>
      <w:r w:rsidR="0071360A">
        <w:rPr>
          <w:rStyle w:val="y2iqfc"/>
          <w:rFonts w:cs="Arial"/>
          <w:color w:val="000000" w:themeColor="text1"/>
        </w:rPr>
        <w:t>су</w:t>
      </w:r>
      <w:r w:rsidR="00872771" w:rsidRPr="00F6340E">
        <w:rPr>
          <w:rStyle w:val="y2iqfc"/>
          <w:rFonts w:cs="Arial"/>
          <w:color w:val="000000" w:themeColor="text1"/>
        </w:rPr>
        <w:t xml:space="preserve"> </w:t>
      </w:r>
      <w:r>
        <w:rPr>
          <w:rStyle w:val="y2iqfc"/>
          <w:rFonts w:cs="Arial"/>
          <w:color w:val="000000" w:themeColor="text1"/>
        </w:rPr>
        <w:t>и</w:t>
      </w:r>
      <w:r w:rsidR="00171F00">
        <w:rPr>
          <w:rStyle w:val="y2iqfc"/>
          <w:rFonts w:cs="Arial"/>
          <w:color w:val="000000" w:themeColor="text1"/>
        </w:rPr>
        <w:t>з</w:t>
      </w:r>
      <w:r>
        <w:rPr>
          <w:rStyle w:val="y2iqfc"/>
          <w:rFonts w:cs="Arial"/>
          <w:color w:val="000000" w:themeColor="text1"/>
        </w:rPr>
        <w:t>ло</w:t>
      </w:r>
      <w:r w:rsidR="00171F00">
        <w:rPr>
          <w:rStyle w:val="y2iqfc"/>
          <w:rFonts w:cs="Arial"/>
          <w:color w:val="000000" w:themeColor="text1"/>
        </w:rPr>
        <w:t>ж</w:t>
      </w:r>
      <w:r w:rsidR="00EE6AA2">
        <w:rPr>
          <w:rStyle w:val="y2iqfc"/>
          <w:rFonts w:cs="Arial"/>
          <w:color w:val="000000" w:themeColor="text1"/>
        </w:rPr>
        <w:t>е</w:t>
      </w:r>
      <w:r>
        <w:rPr>
          <w:rStyle w:val="y2iqfc"/>
          <w:rFonts w:cs="Arial"/>
          <w:color w:val="000000" w:themeColor="text1"/>
        </w:rPr>
        <w:t>ни</w:t>
      </w:r>
      <w:r w:rsidR="00872771"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амо</w:t>
      </w:r>
      <w:r w:rsidR="00872771" w:rsidRPr="00F6340E">
        <w:rPr>
          <w:rStyle w:val="y2iqfc"/>
          <w:rFonts w:cs="Arial"/>
          <w:color w:val="000000" w:themeColor="text1"/>
        </w:rPr>
        <w:t xml:space="preserve"> </w:t>
      </w:r>
      <w:r>
        <w:rPr>
          <w:rStyle w:val="y2iqfc"/>
          <w:rFonts w:cs="Arial"/>
          <w:color w:val="000000" w:themeColor="text1"/>
        </w:rPr>
        <w:t>ј</w:t>
      </w:r>
      <w:r w:rsidR="00EE6AA2">
        <w:rPr>
          <w:rStyle w:val="y2iqfc"/>
          <w:rFonts w:cs="Arial"/>
          <w:color w:val="000000" w:themeColor="text1"/>
        </w:rPr>
        <w:t>е</w:t>
      </w:r>
      <w:r>
        <w:rPr>
          <w:rStyle w:val="y2iqfc"/>
          <w:rFonts w:cs="Arial"/>
          <w:color w:val="000000" w:themeColor="text1"/>
        </w:rPr>
        <w:t>дном</w:t>
      </w:r>
      <w:r w:rsidR="00872771" w:rsidRPr="00F6340E">
        <w:rPr>
          <w:rStyle w:val="y2iqfc"/>
          <w:rFonts w:cs="Arial"/>
          <w:color w:val="000000" w:themeColor="text1"/>
        </w:rPr>
        <w:t xml:space="preserve"> </w:t>
      </w:r>
      <w:r>
        <w:rPr>
          <w:rStyle w:val="y2iqfc"/>
          <w:rFonts w:cs="Arial"/>
          <w:color w:val="000000" w:themeColor="text1"/>
        </w:rPr>
        <w:t>мод</w:t>
      </w:r>
      <w:r w:rsidR="00EE6AA2">
        <w:rPr>
          <w:rStyle w:val="y2iqfc"/>
          <w:rFonts w:cs="Arial"/>
          <w:color w:val="000000" w:themeColor="text1"/>
        </w:rPr>
        <w:t>е</w:t>
      </w:r>
      <w:r>
        <w:rPr>
          <w:rStyle w:val="y2iqfc"/>
          <w:rFonts w:cs="Arial"/>
          <w:color w:val="000000" w:themeColor="text1"/>
        </w:rPr>
        <w:t>л</w:t>
      </w:r>
      <w:r w:rsidR="0071360A">
        <w:rPr>
          <w:rStyle w:val="y2iqfc"/>
          <w:rFonts w:cs="Arial"/>
          <w:color w:val="000000" w:themeColor="text1"/>
        </w:rPr>
        <w:t>у</w:t>
      </w:r>
      <w:r w:rsidR="00872771"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872771" w:rsidRPr="00F6340E">
        <w:rPr>
          <w:rStyle w:val="y2iqfc"/>
          <w:rFonts w:cs="Arial"/>
          <w:color w:val="000000" w:themeColor="text1"/>
        </w:rPr>
        <w:t xml:space="preserve"> (</w:t>
      </w:r>
      <w:r>
        <w:rPr>
          <w:rStyle w:val="y2iqfc"/>
          <w:rFonts w:cs="Arial"/>
          <w:color w:val="000000" w:themeColor="text1"/>
        </w:rPr>
        <w:t>иНАЦОЛ</w:t>
      </w:r>
      <w:r w:rsidR="00872771" w:rsidRPr="00F6340E">
        <w:rPr>
          <w:rStyle w:val="y2iqfc"/>
          <w:rFonts w:cs="Arial"/>
          <w:color w:val="000000" w:themeColor="text1"/>
        </w:rPr>
        <w:t>, 2015).</w:t>
      </w:r>
    </w:p>
    <w:p w14:paraId="5ADDF465" w14:textId="19581DD2" w:rsidR="00483250" w:rsidRPr="00F6340E" w:rsidRDefault="00A56E08" w:rsidP="001A6D76">
      <w:pPr>
        <w:pStyle w:val="Heading3"/>
        <w:numPr>
          <w:ilvl w:val="2"/>
          <w:numId w:val="73"/>
        </w:numPr>
        <w:ind w:left="567" w:hanging="567"/>
        <w:rPr>
          <w:lang w:val="sr-Cyrl-BA"/>
        </w:rPr>
      </w:pPr>
      <w:bookmarkStart w:id="8" w:name="_Toc119050293"/>
      <w:r>
        <w:rPr>
          <w:lang w:val="sr-Cyrl-BA"/>
        </w:rPr>
        <w:t>Хиб</w:t>
      </w:r>
      <w:r w:rsidR="0071360A">
        <w:rPr>
          <w:lang w:val="sr-Cyrl-BA"/>
        </w:rPr>
        <w:t>р</w:t>
      </w:r>
      <w:r>
        <w:rPr>
          <w:lang w:val="sr-Cyrl-BA"/>
        </w:rPr>
        <w:t>идна</w:t>
      </w:r>
      <w:r w:rsidR="00872771" w:rsidRPr="00F6340E">
        <w:rPr>
          <w:lang w:val="sr-Cyrl-BA"/>
        </w:rPr>
        <w:t xml:space="preserve"> </w:t>
      </w:r>
      <w:r>
        <w:rPr>
          <w:lang w:val="sr-Cyrl-BA"/>
        </w:rPr>
        <w:t>на</w:t>
      </w:r>
      <w:r w:rsidR="0071360A">
        <w:rPr>
          <w:lang w:val="sr-Cyrl-BA"/>
        </w:rPr>
        <w:t>ст</w:t>
      </w:r>
      <w:r>
        <w:rPr>
          <w:lang w:val="sr-Cyrl-BA"/>
        </w:rPr>
        <w:t>а</w:t>
      </w:r>
      <w:r w:rsidR="0071360A">
        <w:rPr>
          <w:lang w:val="sr-Cyrl-BA"/>
        </w:rPr>
        <w:t>в</w:t>
      </w:r>
      <w:r>
        <w:rPr>
          <w:lang w:val="sr-Cyrl-BA"/>
        </w:rPr>
        <w:t>а</w:t>
      </w:r>
      <w:r w:rsidR="000053AE" w:rsidRPr="00F6340E">
        <w:rPr>
          <w:lang w:val="sr-Cyrl-BA"/>
        </w:rPr>
        <w:t xml:space="preserve"> (</w:t>
      </w:r>
      <w:r w:rsidR="000010C5">
        <w:rPr>
          <w:lang w:val="hr-BA"/>
        </w:rPr>
        <w:t>Hybrid teaching and learning</w:t>
      </w:r>
      <w:r w:rsidR="000053AE" w:rsidRPr="00F6340E">
        <w:rPr>
          <w:lang w:val="sr-Cyrl-BA"/>
        </w:rPr>
        <w:t>)</w:t>
      </w:r>
      <w:bookmarkEnd w:id="8"/>
      <w:r w:rsidR="00483250" w:rsidRPr="00F6340E">
        <w:rPr>
          <w:lang w:val="sr-Cyrl-BA"/>
        </w:rPr>
        <w:t xml:space="preserve"> </w:t>
      </w:r>
    </w:p>
    <w:p w14:paraId="4F7FAAFB" w14:textId="30D89B8D" w:rsidR="00DF475A" w:rsidRPr="00F6340E" w:rsidRDefault="00A56E08" w:rsidP="00210EE1">
      <w:pPr>
        <w:pStyle w:val="Body"/>
        <w:rPr>
          <w:rFonts w:eastAsiaTheme="minorHAnsi"/>
        </w:rPr>
      </w:pPr>
      <w:r>
        <w:t>Хиб</w:t>
      </w:r>
      <w:r w:rsidR="0071360A">
        <w:t>р</w:t>
      </w:r>
      <w:r>
        <w:t>идни</w:t>
      </w:r>
      <w:r w:rsidR="006B5098" w:rsidRPr="00F6340E">
        <w:t xml:space="preserve"> </w:t>
      </w:r>
      <w:r>
        <w:t>мод</w:t>
      </w:r>
      <w:r w:rsidR="00EE6AA2">
        <w:t>е</w:t>
      </w:r>
      <w:r>
        <w:t>л</w:t>
      </w:r>
      <w:r w:rsidR="00734CE4" w:rsidRPr="00F6340E">
        <w:t xml:space="preserve"> </w:t>
      </w:r>
      <w:r>
        <w:t>на</w:t>
      </w:r>
      <w:r w:rsidR="0071360A">
        <w:t>ст</w:t>
      </w:r>
      <w:r>
        <w:t>а</w:t>
      </w:r>
      <w:r w:rsidR="0071360A">
        <w:t>в</w:t>
      </w:r>
      <w:r w:rsidR="00EE6AA2">
        <w:t>е</w:t>
      </w:r>
      <w:r w:rsidR="00734CE4" w:rsidRPr="00F6340E">
        <w:t xml:space="preserve"> </w:t>
      </w:r>
      <w:r w:rsidR="0071360A">
        <w:t>у</w:t>
      </w:r>
      <w:r>
        <w:t>кљ</w:t>
      </w:r>
      <w:r w:rsidR="0071360A">
        <w:t>у</w:t>
      </w:r>
      <w:r>
        <w:t>ч</w:t>
      </w:r>
      <w:r w:rsidR="0071360A">
        <w:t>у</w:t>
      </w:r>
      <w:r>
        <w:t>ј</w:t>
      </w:r>
      <w:r w:rsidR="00EE6AA2">
        <w:t>е</w:t>
      </w:r>
      <w:r w:rsidR="00DE2815" w:rsidRPr="00F6340E">
        <w:t xml:space="preserve"> </w:t>
      </w:r>
      <w:r w:rsidR="0071360A">
        <w:t>р</w:t>
      </w:r>
      <w:r>
        <w:t>а</w:t>
      </w:r>
      <w:r w:rsidR="00171F00">
        <w:t>з</w:t>
      </w:r>
      <w:r>
        <w:t>личи</w:t>
      </w:r>
      <w:r w:rsidR="0071360A">
        <w:t>т</w:t>
      </w:r>
      <w:r w:rsidR="00EE6AA2">
        <w:t>е</w:t>
      </w:r>
      <w:r w:rsidR="00DE2815" w:rsidRPr="00F6340E">
        <w:t xml:space="preserve"> </w:t>
      </w:r>
      <w:r w:rsidR="0071360A">
        <w:t>п</w:t>
      </w:r>
      <w:r w:rsidR="00EE6AA2">
        <w:t>е</w:t>
      </w:r>
      <w:r>
        <w:t>даго</w:t>
      </w:r>
      <w:r w:rsidR="0071360A">
        <w:t>ш</w:t>
      </w:r>
      <w:r>
        <w:t>к</w:t>
      </w:r>
      <w:r w:rsidR="00EE6AA2">
        <w:t>е</w:t>
      </w:r>
      <w:r w:rsidR="00DE2815" w:rsidRPr="00F6340E">
        <w:t xml:space="preserve"> </w:t>
      </w:r>
      <w:r w:rsidR="0071360A">
        <w:t>пр</w:t>
      </w:r>
      <w:r>
        <w:t>и</w:t>
      </w:r>
      <w:r w:rsidR="0071360A">
        <w:t>ступ</w:t>
      </w:r>
      <w:r w:rsidR="00EE6AA2">
        <w:t>е</w:t>
      </w:r>
      <w:r w:rsidR="00734CE4" w:rsidRPr="00F6340E">
        <w:t xml:space="preserve"> </w:t>
      </w:r>
      <w:r>
        <w:t>и</w:t>
      </w:r>
      <w:r w:rsidR="00734CE4" w:rsidRPr="00F6340E">
        <w:t xml:space="preserve"> </w:t>
      </w:r>
      <w:r w:rsidR="0071360A">
        <w:t>т</w:t>
      </w:r>
      <w:r w:rsidR="00EE6AA2">
        <w:t>е</w:t>
      </w:r>
      <w:r>
        <w:t>хнологиј</w:t>
      </w:r>
      <w:r w:rsidR="00EE6AA2">
        <w:t>е</w:t>
      </w:r>
      <w:r w:rsidR="00DE2815" w:rsidRPr="00F6340E">
        <w:t xml:space="preserve">, </w:t>
      </w:r>
      <w:r w:rsidR="0071360A">
        <w:t>т</w:t>
      </w:r>
      <w:r w:rsidR="00EE6AA2">
        <w:t>е</w:t>
      </w:r>
      <w:r w:rsidR="00DE2815" w:rsidRPr="00F6340E">
        <w:t xml:space="preserve"> </w:t>
      </w:r>
      <w:r>
        <w:t>омог</w:t>
      </w:r>
      <w:r w:rsidR="0071360A">
        <w:t>у</w:t>
      </w:r>
      <w:r>
        <w:t>ћа</w:t>
      </w:r>
      <w:r w:rsidR="0071360A">
        <w:t>в</w:t>
      </w:r>
      <w:r>
        <w:t>а</w:t>
      </w:r>
      <w:r w:rsidR="00734CE4" w:rsidRPr="00F6340E">
        <w:t xml:space="preserve"> </w:t>
      </w:r>
      <w:r w:rsidR="0071360A">
        <w:t>у</w:t>
      </w:r>
      <w:r>
        <w:t>ч</w:t>
      </w:r>
      <w:r w:rsidR="00EE6AA2">
        <w:t>е</w:t>
      </w:r>
      <w:r>
        <w:t>њ</w:t>
      </w:r>
      <w:r w:rsidR="00EE6AA2">
        <w:t>е</w:t>
      </w:r>
      <w:r w:rsidR="00C232B4" w:rsidRPr="00F6340E">
        <w:t xml:space="preserve"> </w:t>
      </w:r>
      <w:r>
        <w:t>и</w:t>
      </w:r>
      <w:r w:rsidR="00C232B4" w:rsidRPr="00F6340E">
        <w:t xml:space="preserve"> </w:t>
      </w:r>
      <w:r w:rsidR="0071360A">
        <w:t>п</w:t>
      </w:r>
      <w:r>
        <w:t>од</w:t>
      </w:r>
      <w:r w:rsidR="0071360A">
        <w:t>у</w:t>
      </w:r>
      <w:r>
        <w:t>ча</w:t>
      </w:r>
      <w:r w:rsidR="0071360A">
        <w:t>в</w:t>
      </w:r>
      <w:r>
        <w:t>ањ</w:t>
      </w:r>
      <w:r w:rsidR="00EE6AA2">
        <w:t>е</w:t>
      </w:r>
      <w:r w:rsidR="00C232B4" w:rsidRPr="00F6340E">
        <w:t xml:space="preserve"> </w:t>
      </w:r>
      <w:r>
        <w:t>на</w:t>
      </w:r>
      <w:r w:rsidR="00C232B4" w:rsidRPr="00F6340E">
        <w:t xml:space="preserve"> </w:t>
      </w:r>
      <w:r>
        <w:t>фл</w:t>
      </w:r>
      <w:r w:rsidR="00EE6AA2">
        <w:t>е</w:t>
      </w:r>
      <w:r>
        <w:t>к</w:t>
      </w:r>
      <w:r w:rsidR="0071360A">
        <w:t>с</w:t>
      </w:r>
      <w:r>
        <w:t>ибилнији</w:t>
      </w:r>
      <w:r w:rsidR="00734CE4" w:rsidRPr="00F6340E">
        <w:t xml:space="preserve"> </w:t>
      </w:r>
      <w:r>
        <w:t>начин</w:t>
      </w:r>
      <w:r w:rsidR="00C232B4" w:rsidRPr="00F6340E">
        <w:t xml:space="preserve">, </w:t>
      </w:r>
      <w:r w:rsidR="0071360A">
        <w:t>пут</w:t>
      </w:r>
      <w:r w:rsidR="00EE6AA2">
        <w:t>е</w:t>
      </w:r>
      <w:r>
        <w:t>м</w:t>
      </w:r>
      <w:r w:rsidR="00C47A01" w:rsidRPr="00F6340E">
        <w:t xml:space="preserve"> </w:t>
      </w:r>
      <w:r>
        <w:t>ин</w:t>
      </w:r>
      <w:r w:rsidR="0071360A">
        <w:t>т</w:t>
      </w:r>
      <w:r w:rsidR="00EE6AA2">
        <w:t>е</w:t>
      </w:r>
      <w:r w:rsidR="0071360A">
        <w:t>р</w:t>
      </w:r>
      <w:r>
        <w:t>н</w:t>
      </w:r>
      <w:r w:rsidR="00EE6AA2">
        <w:t>е</w:t>
      </w:r>
      <w:r w:rsidR="0071360A">
        <w:t>т</w:t>
      </w:r>
      <w:r>
        <w:t>а</w:t>
      </w:r>
      <w:r w:rsidR="00C232B4" w:rsidRPr="00F6340E">
        <w:t xml:space="preserve"> </w:t>
      </w:r>
      <w:r>
        <w:t>и</w:t>
      </w:r>
      <w:r w:rsidR="00DE2815" w:rsidRPr="00F6340E">
        <w:t>/</w:t>
      </w:r>
      <w:r>
        <w:t>или</w:t>
      </w:r>
      <w:r w:rsidR="00DE2815" w:rsidRPr="00F6340E">
        <w:t xml:space="preserve"> </w:t>
      </w:r>
      <w:r w:rsidR="0071360A">
        <w:t>у</w:t>
      </w:r>
      <w:r w:rsidR="00C232B4" w:rsidRPr="00F6340E">
        <w:t xml:space="preserve"> </w:t>
      </w:r>
      <w:r w:rsidR="0071360A">
        <w:t>у</w:t>
      </w:r>
      <w:r>
        <w:t>чионици</w:t>
      </w:r>
      <w:r w:rsidR="00C47A01" w:rsidRPr="00F6340E">
        <w:t>,</w:t>
      </w:r>
      <w:r w:rsidR="00C232B4" w:rsidRPr="00F6340E">
        <w:t xml:space="preserve"> </w:t>
      </w:r>
      <w:r>
        <w:t>а</w:t>
      </w:r>
      <w:r w:rsidR="00C232B4" w:rsidRPr="00F6340E">
        <w:t xml:space="preserve"> </w:t>
      </w:r>
      <w:r w:rsidR="0071360A">
        <w:t>у</w:t>
      </w:r>
      <w:r w:rsidR="00E864CA" w:rsidRPr="00F6340E">
        <w:t xml:space="preserve"> </w:t>
      </w:r>
      <w:r w:rsidR="0071360A">
        <w:t>с</w:t>
      </w:r>
      <w:r>
        <w:t>клад</w:t>
      </w:r>
      <w:r w:rsidR="0071360A">
        <w:t>у</w:t>
      </w:r>
      <w:r w:rsidR="00B04FA8">
        <w:t xml:space="preserve"> са </w:t>
      </w:r>
      <w:r>
        <w:t>околно</w:t>
      </w:r>
      <w:r w:rsidR="0071360A">
        <w:t>ст</w:t>
      </w:r>
      <w:r>
        <w:t>има</w:t>
      </w:r>
      <w:r w:rsidR="00C232B4" w:rsidRPr="00F6340E">
        <w:t xml:space="preserve"> </w:t>
      </w:r>
      <w:r>
        <w:t>и</w:t>
      </w:r>
      <w:r w:rsidR="00C232B4" w:rsidRPr="00F6340E">
        <w:t xml:space="preserve"> </w:t>
      </w:r>
      <w:r>
        <w:t>мог</w:t>
      </w:r>
      <w:r w:rsidR="0071360A">
        <w:t>у</w:t>
      </w:r>
      <w:r>
        <w:t>ћно</w:t>
      </w:r>
      <w:r w:rsidR="0071360A">
        <w:t>ст</w:t>
      </w:r>
      <w:r>
        <w:t>има</w:t>
      </w:r>
      <w:r w:rsidR="00C232B4" w:rsidRPr="00F6340E">
        <w:t xml:space="preserve"> </w:t>
      </w:r>
      <w:r w:rsidR="0071360A">
        <w:t>п</w:t>
      </w:r>
      <w:r>
        <w:t>ола</w:t>
      </w:r>
      <w:r w:rsidR="00171F00">
        <w:t>з</w:t>
      </w:r>
      <w:r>
        <w:t>ника</w:t>
      </w:r>
      <w:r w:rsidR="00DE2815" w:rsidRPr="00F6340E">
        <w:t xml:space="preserve"> </w:t>
      </w:r>
      <w:r>
        <w:t>и</w:t>
      </w:r>
      <w:r w:rsidR="00DE2815" w:rsidRPr="00F6340E">
        <w:t xml:space="preserve"> </w:t>
      </w:r>
      <w:r>
        <w:t>као</w:t>
      </w:r>
      <w:r w:rsidR="00DE2815" w:rsidRPr="00F6340E">
        <w:t xml:space="preserve"> </w:t>
      </w:r>
      <w:r w:rsidR="0071360A">
        <w:t>т</w:t>
      </w:r>
      <w:r>
        <w:t>ака</w:t>
      </w:r>
      <w:r w:rsidR="0071360A">
        <w:t>в</w:t>
      </w:r>
      <w:r w:rsidR="00DE2815" w:rsidRPr="00F6340E">
        <w:t xml:space="preserve"> </w:t>
      </w:r>
      <w:r w:rsidR="0071360A">
        <w:t>пр</w:t>
      </w:r>
      <w:r>
        <w:t>имј</w:t>
      </w:r>
      <w:r w:rsidR="00EE6AA2">
        <w:t>е</w:t>
      </w:r>
      <w:r>
        <w:t>њ</w:t>
      </w:r>
      <w:r w:rsidR="0071360A">
        <w:t>у</w:t>
      </w:r>
      <w:r>
        <w:t>ј</w:t>
      </w:r>
      <w:r w:rsidR="00EE6AA2">
        <w:t>е</w:t>
      </w:r>
      <w:r w:rsidR="00DE2815" w:rsidRPr="00F6340E">
        <w:t xml:space="preserve"> </w:t>
      </w:r>
      <w:r w:rsidR="0071360A">
        <w:t>с</w:t>
      </w:r>
      <w:r w:rsidR="00EE6AA2">
        <w:t>е</w:t>
      </w:r>
      <w:r w:rsidR="00DE2815" w:rsidRPr="00F6340E">
        <w:t xml:space="preserve"> </w:t>
      </w:r>
      <w:r>
        <w:t>и</w:t>
      </w:r>
      <w:r w:rsidR="00DE2815" w:rsidRPr="00F6340E">
        <w:t xml:space="preserve"> </w:t>
      </w:r>
      <w:r w:rsidR="0071360A">
        <w:t>у</w:t>
      </w:r>
      <w:r w:rsidR="00DE2815" w:rsidRPr="00F6340E">
        <w:t xml:space="preserve"> </w:t>
      </w:r>
      <w:r w:rsidR="0071360A">
        <w:t>с</w:t>
      </w:r>
      <w:r>
        <w:t>и</w:t>
      </w:r>
      <w:r w:rsidR="0071360A">
        <w:t>ту</w:t>
      </w:r>
      <w:r>
        <w:t>ацијама</w:t>
      </w:r>
      <w:r w:rsidR="00DE2815" w:rsidRPr="00F6340E">
        <w:t xml:space="preserve"> </w:t>
      </w:r>
      <w:r>
        <w:t>кој</w:t>
      </w:r>
      <w:r w:rsidR="00EE6AA2">
        <w:t>е</w:t>
      </w:r>
      <w:r w:rsidR="00DE2815" w:rsidRPr="00F6340E">
        <w:t xml:space="preserve"> </w:t>
      </w:r>
      <w:r>
        <w:t>ни</w:t>
      </w:r>
      <w:r w:rsidR="0071360A">
        <w:t>су</w:t>
      </w:r>
      <w:r w:rsidR="00DE2815" w:rsidRPr="00F6340E">
        <w:t xml:space="preserve"> </w:t>
      </w:r>
      <w:r w:rsidR="0071360A">
        <w:t>в</w:t>
      </w:r>
      <w:r>
        <w:t>ан</w:t>
      </w:r>
      <w:r w:rsidR="0071360A">
        <w:t>р</w:t>
      </w:r>
      <w:r w:rsidR="00EE6AA2">
        <w:t>е</w:t>
      </w:r>
      <w:r>
        <w:t>дн</w:t>
      </w:r>
      <w:r w:rsidR="00EE6AA2">
        <w:t>е</w:t>
      </w:r>
      <w:r w:rsidR="00DE2815" w:rsidRPr="00F6340E">
        <w:t xml:space="preserve"> </w:t>
      </w:r>
      <w:r>
        <w:t>и</w:t>
      </w:r>
      <w:r w:rsidR="00DE2815" w:rsidRPr="00F6340E">
        <w:t>/</w:t>
      </w:r>
      <w:r>
        <w:t>или</w:t>
      </w:r>
      <w:r w:rsidR="00DE2815" w:rsidRPr="00F6340E">
        <w:t xml:space="preserve"> </w:t>
      </w:r>
      <w:r>
        <w:t>хи</w:t>
      </w:r>
      <w:r w:rsidR="0071360A">
        <w:t>т</w:t>
      </w:r>
      <w:r>
        <w:t>н</w:t>
      </w:r>
      <w:r w:rsidR="00EE6AA2">
        <w:t>е</w:t>
      </w:r>
      <w:r w:rsidR="00DE2815" w:rsidRPr="00F6340E">
        <w:t xml:space="preserve"> </w:t>
      </w:r>
      <w:r w:rsidR="00C232B4" w:rsidRPr="00F6340E">
        <w:t>(</w:t>
      </w:r>
      <w:r w:rsidR="0071360A">
        <w:rPr>
          <w:rFonts w:eastAsiaTheme="minorHAnsi"/>
          <w:color w:val="2E2E2D"/>
          <w:sz w:val="26"/>
          <w:szCs w:val="26"/>
        </w:rPr>
        <w:t>У</w:t>
      </w:r>
      <w:r>
        <w:rPr>
          <w:rFonts w:eastAsiaTheme="minorHAnsi"/>
          <w:color w:val="2E2E2D"/>
          <w:sz w:val="26"/>
          <w:szCs w:val="26"/>
        </w:rPr>
        <w:t>Н</w:t>
      </w:r>
      <w:r w:rsidR="00EE6AA2">
        <w:rPr>
          <w:rFonts w:eastAsiaTheme="minorHAnsi"/>
          <w:color w:val="2E2E2D"/>
          <w:sz w:val="26"/>
          <w:szCs w:val="26"/>
        </w:rPr>
        <w:t>Е</w:t>
      </w:r>
      <w:r w:rsidR="0071360A">
        <w:rPr>
          <w:rFonts w:eastAsiaTheme="minorHAnsi"/>
          <w:color w:val="2E2E2D"/>
          <w:sz w:val="26"/>
          <w:szCs w:val="26"/>
        </w:rPr>
        <w:t>С</w:t>
      </w:r>
      <w:r>
        <w:rPr>
          <w:rFonts w:eastAsiaTheme="minorHAnsi"/>
          <w:color w:val="2E2E2D"/>
          <w:sz w:val="26"/>
          <w:szCs w:val="26"/>
        </w:rPr>
        <w:t>ЦО</w:t>
      </w:r>
      <w:r w:rsidR="00A34F4A" w:rsidRPr="00F6340E">
        <w:rPr>
          <w:rFonts w:eastAsiaTheme="minorHAnsi"/>
          <w:color w:val="2E2E2D"/>
          <w:sz w:val="26"/>
          <w:szCs w:val="26"/>
        </w:rPr>
        <w:t xml:space="preserve"> </w:t>
      </w:r>
      <w:r>
        <w:rPr>
          <w:rFonts w:eastAsiaTheme="minorHAnsi"/>
          <w:color w:val="2E2E2D"/>
          <w:sz w:val="26"/>
          <w:szCs w:val="26"/>
        </w:rPr>
        <w:t>и</w:t>
      </w:r>
      <w:r w:rsidR="004A6A10" w:rsidRPr="00F6340E">
        <w:rPr>
          <w:rFonts w:eastAsiaTheme="minorHAnsi"/>
          <w:color w:val="2E2E2D"/>
          <w:sz w:val="26"/>
          <w:szCs w:val="26"/>
        </w:rPr>
        <w:t xml:space="preserve"> </w:t>
      </w:r>
      <w:r>
        <w:rPr>
          <w:rFonts w:eastAsiaTheme="minorHAnsi"/>
          <w:color w:val="2E2E2D"/>
          <w:sz w:val="26"/>
          <w:szCs w:val="26"/>
        </w:rPr>
        <w:t>И</w:t>
      </w:r>
      <w:r w:rsidR="0071360A">
        <w:rPr>
          <w:rFonts w:eastAsiaTheme="minorHAnsi"/>
          <w:color w:val="2E2E2D"/>
          <w:sz w:val="26"/>
          <w:szCs w:val="26"/>
        </w:rPr>
        <w:t>ТУ</w:t>
      </w:r>
      <w:r w:rsidR="00710D32" w:rsidRPr="00F6340E">
        <w:t xml:space="preserve">, </w:t>
      </w:r>
      <w:r w:rsidR="00DE2815" w:rsidRPr="00F6340E">
        <w:t>2021)</w:t>
      </w:r>
      <w:r w:rsidR="00C232B4" w:rsidRPr="00F6340E">
        <w:t xml:space="preserve">. </w:t>
      </w:r>
      <w:r>
        <w:t>Хиб</w:t>
      </w:r>
      <w:r w:rsidR="0071360A">
        <w:t>р</w:t>
      </w:r>
      <w:r>
        <w:t>идна</w:t>
      </w:r>
      <w:r w:rsidR="00EF37D5" w:rsidRPr="00F6340E">
        <w:t xml:space="preserve"> </w:t>
      </w:r>
      <w:r>
        <w:t>на</w:t>
      </w:r>
      <w:r w:rsidR="0071360A">
        <w:t>ст</w:t>
      </w:r>
      <w:r>
        <w:t>а</w:t>
      </w:r>
      <w:r w:rsidR="0071360A">
        <w:t>в</w:t>
      </w:r>
      <w:r>
        <w:t>а</w:t>
      </w:r>
      <w:r w:rsidR="00EF37D5" w:rsidRPr="00F6340E">
        <w:t xml:space="preserve"> </w:t>
      </w:r>
      <w:r>
        <w:t>ј</w:t>
      </w:r>
      <w:r w:rsidR="00EE6AA2">
        <w:t>е</w:t>
      </w:r>
      <w:r w:rsidR="00EF37D5" w:rsidRPr="00F6340E">
        <w:t xml:space="preserve"> </w:t>
      </w:r>
      <w:r>
        <w:t>мод</w:t>
      </w:r>
      <w:r w:rsidR="00EE6AA2">
        <w:t>е</w:t>
      </w:r>
      <w:r>
        <w:t>л</w:t>
      </w:r>
      <w:r w:rsidR="00EF37D5" w:rsidRPr="00F6340E">
        <w:t xml:space="preserve"> </w:t>
      </w:r>
      <w:r>
        <w:t>који</w:t>
      </w:r>
      <w:r w:rsidR="00EF37D5" w:rsidRPr="00F6340E">
        <w:t xml:space="preserve"> </w:t>
      </w:r>
      <w:r>
        <w:t>комбин</w:t>
      </w:r>
      <w:r w:rsidR="0071360A">
        <w:t>у</w:t>
      </w:r>
      <w:r>
        <w:t>ј</w:t>
      </w:r>
      <w:r w:rsidR="00EE6AA2">
        <w:t>е</w:t>
      </w:r>
      <w:r w:rsidR="00743C0E" w:rsidRPr="00F6340E">
        <w:t xml:space="preserve"> </w:t>
      </w:r>
      <w:r>
        <w:t>на</w:t>
      </w:r>
      <w:r w:rsidR="0071360A">
        <w:t>ст</w:t>
      </w:r>
      <w:r>
        <w:t>а</w:t>
      </w:r>
      <w:r w:rsidR="0071360A">
        <w:t>ву</w:t>
      </w:r>
      <w:r w:rsidR="00C47A01" w:rsidRPr="00F6340E">
        <w:t xml:space="preserve"> </w:t>
      </w:r>
      <w:r w:rsidR="0071360A">
        <w:t>пут</w:t>
      </w:r>
      <w:r w:rsidR="00EE6AA2">
        <w:t>е</w:t>
      </w:r>
      <w:r>
        <w:t>м</w:t>
      </w:r>
      <w:r w:rsidR="00C47A01" w:rsidRPr="00F6340E">
        <w:t xml:space="preserve"> </w:t>
      </w:r>
      <w:r>
        <w:t>ин</w:t>
      </w:r>
      <w:r w:rsidR="0071360A">
        <w:t>т</w:t>
      </w:r>
      <w:r w:rsidR="00EE6AA2">
        <w:t>е</w:t>
      </w:r>
      <w:r w:rsidR="0071360A">
        <w:t>р</w:t>
      </w:r>
      <w:r>
        <w:t>н</w:t>
      </w:r>
      <w:r w:rsidR="00EE6AA2">
        <w:t>е</w:t>
      </w:r>
      <w:r w:rsidR="0071360A">
        <w:t>т</w:t>
      </w:r>
      <w:r>
        <w:t>а</w:t>
      </w:r>
      <w:r w:rsidR="00C47A01" w:rsidRPr="00F6340E">
        <w:t xml:space="preserve"> </w:t>
      </w:r>
      <w:r>
        <w:t>и</w:t>
      </w:r>
      <w:r w:rsidR="00C47A01" w:rsidRPr="00F6340E">
        <w:t xml:space="preserve"> </w:t>
      </w:r>
      <w:r>
        <w:t>на</w:t>
      </w:r>
      <w:r w:rsidR="0071360A">
        <w:t>ст</w:t>
      </w:r>
      <w:r>
        <w:t>а</w:t>
      </w:r>
      <w:r w:rsidR="0071360A">
        <w:t>ву</w:t>
      </w:r>
      <w:r w:rsidR="002E0D93" w:rsidRPr="00F6340E">
        <w:t xml:space="preserve"> </w:t>
      </w:r>
      <w:r w:rsidR="0071360A">
        <w:t>у</w:t>
      </w:r>
      <w:r w:rsidR="009B1E3D" w:rsidRPr="00F6340E">
        <w:t xml:space="preserve"> </w:t>
      </w:r>
      <w:r w:rsidR="0071360A">
        <w:t>у</w:t>
      </w:r>
      <w:r>
        <w:t>чионици</w:t>
      </w:r>
      <w:r w:rsidR="00763B31" w:rsidRPr="00F6340E">
        <w:t xml:space="preserve"> </w:t>
      </w:r>
      <w:r>
        <w:t>на</w:t>
      </w:r>
      <w:r w:rsidR="00EF37D5" w:rsidRPr="00F6340E">
        <w:t xml:space="preserve"> </w:t>
      </w:r>
      <w:r>
        <w:t>начин</w:t>
      </w:r>
      <w:r w:rsidR="00EF37D5" w:rsidRPr="00F6340E">
        <w:t xml:space="preserve"> </w:t>
      </w:r>
      <w:r>
        <w:t>да</w:t>
      </w:r>
      <w:r w:rsidR="00EF37D5" w:rsidRPr="00F6340E">
        <w:t xml:space="preserve"> </w:t>
      </w:r>
      <w:r>
        <w:t>ј</w:t>
      </w:r>
      <w:r w:rsidR="00EE6AA2">
        <w:t>е</w:t>
      </w:r>
      <w:r w:rsidR="00EF37D5" w:rsidRPr="00F6340E">
        <w:t xml:space="preserve"> </w:t>
      </w:r>
      <w:r>
        <w:t>ј</w:t>
      </w:r>
      <w:r w:rsidR="00EE6AA2">
        <w:t>е</w:t>
      </w:r>
      <w:r>
        <w:t>дна</w:t>
      </w:r>
      <w:r w:rsidR="00EF37D5" w:rsidRPr="00F6340E">
        <w:t xml:space="preserve"> </w:t>
      </w:r>
      <w:r>
        <w:t>г</w:t>
      </w:r>
      <w:r w:rsidR="0071360A">
        <w:t>руп</w:t>
      </w:r>
      <w:r>
        <w:t>а</w:t>
      </w:r>
      <w:r w:rsidR="00EF37D5" w:rsidRPr="00F6340E">
        <w:t xml:space="preserve"> </w:t>
      </w:r>
      <w:r w:rsidR="0071360A">
        <w:t>у</w:t>
      </w:r>
      <w:r>
        <w:t>ч</w:t>
      </w:r>
      <w:r w:rsidR="00EE6AA2">
        <w:t>е</w:t>
      </w:r>
      <w:r>
        <w:t>ника</w:t>
      </w:r>
      <w:r w:rsidR="000B5AA0" w:rsidRPr="00F6340E">
        <w:t>/</w:t>
      </w:r>
      <w:r w:rsidR="0071360A">
        <w:t>сту</w:t>
      </w:r>
      <w:r>
        <w:t>д</w:t>
      </w:r>
      <w:r w:rsidR="00EE6AA2">
        <w:t>е</w:t>
      </w:r>
      <w:r>
        <w:t>на</w:t>
      </w:r>
      <w:r w:rsidR="0071360A">
        <w:t>т</w:t>
      </w:r>
      <w:r>
        <w:t>а</w:t>
      </w:r>
      <w:r w:rsidR="00DE2815" w:rsidRPr="00F6340E">
        <w:t xml:space="preserve"> </w:t>
      </w:r>
      <w:r w:rsidR="0071360A">
        <w:t>у</w:t>
      </w:r>
      <w:r w:rsidR="00EF37D5" w:rsidRPr="00F6340E">
        <w:t xml:space="preserve"> </w:t>
      </w:r>
      <w:r w:rsidR="0071360A">
        <w:t>у</w:t>
      </w:r>
      <w:r>
        <w:t>чионици</w:t>
      </w:r>
      <w:r w:rsidR="00EF37D5" w:rsidRPr="00F6340E">
        <w:t xml:space="preserve"> </w:t>
      </w:r>
      <w:r>
        <w:t>док</w:t>
      </w:r>
      <w:r w:rsidR="00EF37D5" w:rsidRPr="00F6340E">
        <w:t xml:space="preserve"> </w:t>
      </w:r>
      <w:r>
        <w:t>д</w:t>
      </w:r>
      <w:r w:rsidR="0071360A">
        <w:t>ру</w:t>
      </w:r>
      <w:r>
        <w:t>га</w:t>
      </w:r>
      <w:r w:rsidR="00EF37D5" w:rsidRPr="00F6340E">
        <w:t xml:space="preserve"> </w:t>
      </w:r>
      <w:r>
        <w:t>г</w:t>
      </w:r>
      <w:r w:rsidR="0071360A">
        <w:t>руп</w:t>
      </w:r>
      <w:r>
        <w:t>а</w:t>
      </w:r>
      <w:r w:rsidR="00EF37D5" w:rsidRPr="00F6340E">
        <w:t xml:space="preserve"> </w:t>
      </w:r>
      <w:r w:rsidR="0071360A">
        <w:t>у</w:t>
      </w:r>
      <w:r>
        <w:t>ч</w:t>
      </w:r>
      <w:r w:rsidR="00EE6AA2">
        <w:t>е</w:t>
      </w:r>
      <w:r w:rsidR="0071360A">
        <w:t>ству</w:t>
      </w:r>
      <w:r>
        <w:t>ј</w:t>
      </w:r>
      <w:r w:rsidR="00EE6AA2">
        <w:t>е</w:t>
      </w:r>
      <w:r w:rsidR="00EF37D5" w:rsidRPr="00F6340E">
        <w:t xml:space="preserve"> </w:t>
      </w:r>
      <w:r w:rsidR="0071360A">
        <w:t>у</w:t>
      </w:r>
      <w:r w:rsidR="00EF37D5" w:rsidRPr="00F6340E">
        <w:t xml:space="preserve"> </w:t>
      </w:r>
      <w:r>
        <w:t>на</w:t>
      </w:r>
      <w:r w:rsidR="0071360A">
        <w:t>ст</w:t>
      </w:r>
      <w:r>
        <w:t>а</w:t>
      </w:r>
      <w:r w:rsidR="0071360A">
        <w:t>в</w:t>
      </w:r>
      <w:r>
        <w:t>ном</w:t>
      </w:r>
      <w:r w:rsidR="00EF37D5" w:rsidRPr="00F6340E">
        <w:t xml:space="preserve"> </w:t>
      </w:r>
      <w:r w:rsidR="0071360A">
        <w:t>пр</w:t>
      </w:r>
      <w:r>
        <w:t>оц</w:t>
      </w:r>
      <w:r w:rsidR="00EE6AA2">
        <w:t>е</w:t>
      </w:r>
      <w:r w:rsidR="0071360A">
        <w:t>су</w:t>
      </w:r>
      <w:r w:rsidR="00EF37D5" w:rsidRPr="00F6340E">
        <w:t xml:space="preserve"> </w:t>
      </w:r>
      <w:r w:rsidR="0071360A">
        <w:t>пр</w:t>
      </w:r>
      <w:r w:rsidR="00EE6AA2">
        <w:t>е</w:t>
      </w:r>
      <w:r>
        <w:t>ко</w:t>
      </w:r>
      <w:r w:rsidR="00EF37D5" w:rsidRPr="00F6340E">
        <w:t xml:space="preserve"> </w:t>
      </w:r>
      <w:r>
        <w:t>до</w:t>
      </w:r>
      <w:r w:rsidR="0071360A">
        <w:t>ступ</w:t>
      </w:r>
      <w:r>
        <w:t>них</w:t>
      </w:r>
      <w:r w:rsidR="00EF37D5" w:rsidRPr="00F6340E">
        <w:t xml:space="preserve"> </w:t>
      </w:r>
      <w:r>
        <w:t>диги</w:t>
      </w:r>
      <w:r w:rsidR="0071360A">
        <w:t>т</w:t>
      </w:r>
      <w:r>
        <w:t>алних</w:t>
      </w:r>
      <w:r w:rsidR="00EF37D5" w:rsidRPr="00F6340E">
        <w:t xml:space="preserve"> </w:t>
      </w:r>
      <w:r>
        <w:t>ала</w:t>
      </w:r>
      <w:r w:rsidR="0071360A">
        <w:t>т</w:t>
      </w:r>
      <w:r>
        <w:t>а</w:t>
      </w:r>
      <w:r w:rsidR="00C47A01" w:rsidRPr="00F6340E">
        <w:t>,</w:t>
      </w:r>
      <w:r w:rsidR="00EF37D5" w:rsidRPr="00F6340E">
        <w:t xml:space="preserve"> </w:t>
      </w:r>
      <w:r>
        <w:t>а</w:t>
      </w:r>
      <w:r w:rsidR="00EF37D5" w:rsidRPr="00F6340E">
        <w:t xml:space="preserve"> </w:t>
      </w:r>
      <w:r w:rsidR="0071360A">
        <w:t>св</w:t>
      </w:r>
      <w:r w:rsidR="00EE6AA2">
        <w:t>е</w:t>
      </w:r>
      <w:r w:rsidR="00EF37D5" w:rsidRPr="00F6340E">
        <w:t xml:space="preserve"> </w:t>
      </w:r>
      <w:r w:rsidR="0071360A">
        <w:t>с</w:t>
      </w:r>
      <w:r w:rsidR="00EE6AA2">
        <w:t>е</w:t>
      </w:r>
      <w:r w:rsidR="00EF37D5" w:rsidRPr="00F6340E">
        <w:t xml:space="preserve"> </w:t>
      </w:r>
      <w:r>
        <w:t>од</w:t>
      </w:r>
      <w:r w:rsidR="0071360A">
        <w:t>в</w:t>
      </w:r>
      <w:r>
        <w:t>ија</w:t>
      </w:r>
      <w:r w:rsidR="00EF37D5" w:rsidRPr="00F6340E">
        <w:t xml:space="preserve"> </w:t>
      </w:r>
      <w:r w:rsidR="0071360A">
        <w:t>у</w:t>
      </w:r>
      <w:r w:rsidR="00EF37D5" w:rsidRPr="00F6340E">
        <w:t xml:space="preserve"> </w:t>
      </w:r>
      <w:r>
        <w:t>и</w:t>
      </w:r>
      <w:r w:rsidR="0071360A">
        <w:t>ст</w:t>
      </w:r>
      <w:r>
        <w:t>ом</w:t>
      </w:r>
      <w:r w:rsidR="00EF37D5" w:rsidRPr="00F6340E">
        <w:t xml:space="preserve"> </w:t>
      </w:r>
      <w:r w:rsidR="0071360A">
        <w:t>вр</w:t>
      </w:r>
      <w:r w:rsidR="00EE6AA2">
        <w:t>е</w:t>
      </w:r>
      <w:r>
        <w:t>м</w:t>
      </w:r>
      <w:r w:rsidR="00EE6AA2">
        <w:t>е</w:t>
      </w:r>
      <w:r>
        <w:t>н</w:t>
      </w:r>
      <w:r w:rsidR="0071360A">
        <w:t>с</w:t>
      </w:r>
      <w:r>
        <w:t>ком</w:t>
      </w:r>
      <w:r w:rsidR="00EF37D5" w:rsidRPr="00F6340E">
        <w:t xml:space="preserve"> </w:t>
      </w:r>
      <w:r w:rsidR="0071360A">
        <w:t>пр</w:t>
      </w:r>
      <w:r>
        <w:t>о</w:t>
      </w:r>
      <w:r w:rsidR="0071360A">
        <w:t>ст</w:t>
      </w:r>
      <w:r>
        <w:t>о</w:t>
      </w:r>
      <w:r w:rsidR="0071360A">
        <w:t>ру</w:t>
      </w:r>
      <w:r w:rsidR="00EF37D5" w:rsidRPr="00F6340E">
        <w:t xml:space="preserve">. </w:t>
      </w:r>
      <w:r w:rsidR="00171F00">
        <w:t>З</w:t>
      </w:r>
      <w:r>
        <w:t>а</w:t>
      </w:r>
      <w:r w:rsidR="0071360A">
        <w:t>т</w:t>
      </w:r>
      <w:r>
        <w:t>о</w:t>
      </w:r>
      <w:r w:rsidR="00E105A8" w:rsidRPr="00F6340E">
        <w:t xml:space="preserve">, </w:t>
      </w:r>
      <w:r>
        <w:t>комбино</w:t>
      </w:r>
      <w:r w:rsidR="0071360A">
        <w:t>в</w:t>
      </w:r>
      <w:r>
        <w:t>ана</w:t>
      </w:r>
      <w:r w:rsidR="00E105A8" w:rsidRPr="00F6340E">
        <w:t xml:space="preserve"> </w:t>
      </w:r>
      <w:r>
        <w:t>и</w:t>
      </w:r>
      <w:r w:rsidR="00E105A8" w:rsidRPr="00F6340E">
        <w:t xml:space="preserve"> </w:t>
      </w:r>
      <w:r>
        <w:t>хиб</w:t>
      </w:r>
      <w:r w:rsidR="0071360A">
        <w:t>р</w:t>
      </w:r>
      <w:r>
        <w:t>идна</w:t>
      </w:r>
      <w:r w:rsidR="00E105A8" w:rsidRPr="00F6340E">
        <w:t xml:space="preserve"> </w:t>
      </w:r>
      <w:r>
        <w:t>на</w:t>
      </w:r>
      <w:r w:rsidR="0071360A">
        <w:t>ст</w:t>
      </w:r>
      <w:r>
        <w:t>а</w:t>
      </w:r>
      <w:r w:rsidR="0071360A">
        <w:t>в</w:t>
      </w:r>
      <w:r>
        <w:t>а</w:t>
      </w:r>
      <w:r w:rsidR="00E105A8" w:rsidRPr="00F6340E">
        <w:t xml:space="preserve"> </w:t>
      </w:r>
      <w:r>
        <w:t>ни</w:t>
      </w:r>
      <w:r w:rsidR="0071360A">
        <w:t>су</w:t>
      </w:r>
      <w:r w:rsidR="00E105A8" w:rsidRPr="00F6340E">
        <w:t xml:space="preserve"> </w:t>
      </w:r>
      <w:r w:rsidR="0071360A">
        <w:t>с</w:t>
      </w:r>
      <w:r>
        <w:t>иноними</w:t>
      </w:r>
      <w:r w:rsidR="00B04FA8">
        <w:t xml:space="preserve"> </w:t>
      </w:r>
      <w:r w:rsidR="001F2F40">
        <w:t>с обзиром</w:t>
      </w:r>
      <w:r w:rsidR="00E105A8" w:rsidRPr="00F6340E">
        <w:t xml:space="preserve"> </w:t>
      </w:r>
      <w:r>
        <w:t>да</w:t>
      </w:r>
      <w:r w:rsidR="00E105A8" w:rsidRPr="00F6340E">
        <w:t xml:space="preserve"> </w:t>
      </w:r>
      <w:r>
        <w:t>о</w:t>
      </w:r>
      <w:r w:rsidR="0071360A">
        <w:t>в</w:t>
      </w:r>
      <w:r>
        <w:t>ај</w:t>
      </w:r>
      <w:r w:rsidR="00E105A8" w:rsidRPr="00F6340E">
        <w:t xml:space="preserve"> </w:t>
      </w:r>
      <w:r>
        <w:t>мод</w:t>
      </w:r>
      <w:r w:rsidR="00EE6AA2">
        <w:t>е</w:t>
      </w:r>
      <w:r>
        <w:t>л</w:t>
      </w:r>
      <w:r w:rsidR="00E105A8"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E105A8" w:rsidRPr="00F6340E">
        <w:t xml:space="preserve"> </w:t>
      </w:r>
      <w:r>
        <w:t>и</w:t>
      </w:r>
      <w:r w:rsidR="0071360A">
        <w:t>ст</w:t>
      </w:r>
      <w:r>
        <w:t>о</w:t>
      </w:r>
      <w:r w:rsidR="0071360A">
        <w:t>вр</w:t>
      </w:r>
      <w:r w:rsidR="00EE6AA2">
        <w:t>е</w:t>
      </w:r>
      <w:r>
        <w:t>м</w:t>
      </w:r>
      <w:r w:rsidR="00EE6AA2">
        <w:t>е</w:t>
      </w:r>
      <w:r>
        <w:t>но</w:t>
      </w:r>
      <w:r w:rsidR="00E105A8" w:rsidRPr="00F6340E">
        <w:t xml:space="preserve"> </w:t>
      </w:r>
      <w:r w:rsidR="0071360A">
        <w:t>у</w:t>
      </w:r>
      <w:r>
        <w:t>ч</w:t>
      </w:r>
      <w:r w:rsidR="00EE6AA2">
        <w:t>е</w:t>
      </w:r>
      <w:r>
        <w:t>њ</w:t>
      </w:r>
      <w:r w:rsidR="00EE6AA2">
        <w:t>е</w:t>
      </w:r>
      <w:r w:rsidR="00E105A8" w:rsidRPr="00F6340E">
        <w:t xml:space="preserve"> </w:t>
      </w:r>
      <w:r>
        <w:t>и</w:t>
      </w:r>
      <w:r w:rsidR="00E105A8" w:rsidRPr="00F6340E">
        <w:t xml:space="preserve"> </w:t>
      </w:r>
      <w:r w:rsidR="0071360A">
        <w:t>п</w:t>
      </w:r>
      <w:r>
        <w:t>од</w:t>
      </w:r>
      <w:r w:rsidR="0071360A">
        <w:t>у</w:t>
      </w:r>
      <w:r>
        <w:t>ча</w:t>
      </w:r>
      <w:r w:rsidR="0071360A">
        <w:t>в</w:t>
      </w:r>
      <w:r>
        <w:t>ањ</w:t>
      </w:r>
      <w:r w:rsidR="00EE6AA2">
        <w:t>е</w:t>
      </w:r>
      <w:r w:rsidR="00E105A8" w:rsidRPr="00F6340E">
        <w:t xml:space="preserve"> </w:t>
      </w:r>
      <w:r>
        <w:t>г</w:t>
      </w:r>
      <w:r w:rsidR="0071360A">
        <w:t>руп</w:t>
      </w:r>
      <w:r w:rsidR="00EE6AA2">
        <w:t>е</w:t>
      </w:r>
      <w:r w:rsidR="00E105A8" w:rsidRPr="00F6340E">
        <w:t xml:space="preserve"> </w:t>
      </w:r>
      <w:r w:rsidR="0071360A">
        <w:t>у</w:t>
      </w:r>
      <w:r>
        <w:t>ч</w:t>
      </w:r>
      <w:r w:rsidR="00EE6AA2">
        <w:t>е</w:t>
      </w:r>
      <w:r>
        <w:t>ника</w:t>
      </w:r>
      <w:r w:rsidR="000B5AA0" w:rsidRPr="00F6340E">
        <w:t>/</w:t>
      </w:r>
      <w:r w:rsidR="0071360A">
        <w:t>сту</w:t>
      </w:r>
      <w:r>
        <w:t>д</w:t>
      </w:r>
      <w:r w:rsidR="00EE6AA2">
        <w:t>е</w:t>
      </w:r>
      <w:r>
        <w:t>на</w:t>
      </w:r>
      <w:r w:rsidR="0071360A">
        <w:t>т</w:t>
      </w:r>
      <w:r>
        <w:t>а</w:t>
      </w:r>
      <w:r w:rsidR="00DE2815" w:rsidRPr="00F6340E">
        <w:t xml:space="preserve"> </w:t>
      </w:r>
      <w:r w:rsidR="0071360A">
        <w:t>у</w:t>
      </w:r>
      <w:r w:rsidR="00E105A8" w:rsidRPr="00F6340E">
        <w:t xml:space="preserve"> </w:t>
      </w:r>
      <w:r w:rsidR="0071360A">
        <w:t>у</w:t>
      </w:r>
      <w:r>
        <w:t>чионици</w:t>
      </w:r>
      <w:r w:rsidR="00E105A8" w:rsidRPr="00F6340E">
        <w:t xml:space="preserve"> </w:t>
      </w:r>
      <w:r>
        <w:t>и</w:t>
      </w:r>
      <w:r w:rsidR="00E105A8" w:rsidRPr="00F6340E">
        <w:t xml:space="preserve"> </w:t>
      </w:r>
      <w:r>
        <w:t>д</w:t>
      </w:r>
      <w:r w:rsidR="0071360A">
        <w:t>ру</w:t>
      </w:r>
      <w:r>
        <w:t>г</w:t>
      </w:r>
      <w:r w:rsidR="00EE6AA2">
        <w:t>е</w:t>
      </w:r>
      <w:r w:rsidR="00E105A8" w:rsidRPr="00F6340E">
        <w:t xml:space="preserve"> </w:t>
      </w:r>
      <w:r>
        <w:t>г</w:t>
      </w:r>
      <w:r w:rsidR="0071360A">
        <w:t>руп</w:t>
      </w:r>
      <w:r w:rsidR="00EE6AA2">
        <w:t>е</w:t>
      </w:r>
      <w:r w:rsidR="00E105A8" w:rsidRPr="00F6340E">
        <w:t xml:space="preserve"> </w:t>
      </w:r>
      <w:r w:rsidR="0071360A">
        <w:t>п</w:t>
      </w:r>
      <w:r>
        <w:t>ола</w:t>
      </w:r>
      <w:r w:rsidR="00171F00">
        <w:t>з</w:t>
      </w:r>
      <w:r>
        <w:t>ника</w:t>
      </w:r>
      <w:r w:rsidR="00BF0C16" w:rsidRPr="00F6340E">
        <w:t>,</w:t>
      </w:r>
      <w:r w:rsidR="00DE2815" w:rsidRPr="00F6340E">
        <w:t xml:space="preserve"> </w:t>
      </w:r>
      <w:r>
        <w:t>који</w:t>
      </w:r>
      <w:r w:rsidR="00E105A8" w:rsidRPr="00F6340E">
        <w:t xml:space="preserve"> </w:t>
      </w:r>
      <w:r>
        <w:t>на</w:t>
      </w:r>
      <w:r w:rsidR="0071360A">
        <w:t>ст</w:t>
      </w:r>
      <w:r>
        <w:t>а</w:t>
      </w:r>
      <w:r w:rsidR="0071360A">
        <w:t>в</w:t>
      </w:r>
      <w:r>
        <w:t>и</w:t>
      </w:r>
      <w:r w:rsidR="00E105A8" w:rsidRPr="00F6340E">
        <w:t xml:space="preserve"> </w:t>
      </w:r>
      <w:r w:rsidR="0071360A">
        <w:t>пр</w:t>
      </w:r>
      <w:r>
        <w:t>и</w:t>
      </w:r>
      <w:r w:rsidR="0071360A">
        <w:t>суству</w:t>
      </w:r>
      <w:r>
        <w:t>ј</w:t>
      </w:r>
      <w:r w:rsidR="0071360A">
        <w:t>у</w:t>
      </w:r>
      <w:r w:rsidR="00E105A8" w:rsidRPr="00F6340E">
        <w:t xml:space="preserve"> </w:t>
      </w:r>
      <w:r w:rsidR="0071360A">
        <w:t>в</w:t>
      </w:r>
      <w:r>
        <w:t>и</w:t>
      </w:r>
      <w:r w:rsidR="0071360A">
        <w:t>рту</w:t>
      </w:r>
      <w:r w:rsidR="00EE6AA2">
        <w:t>е</w:t>
      </w:r>
      <w:r>
        <w:t>лно</w:t>
      </w:r>
      <w:r w:rsidR="00E105A8" w:rsidRPr="00F6340E">
        <w:t xml:space="preserve"> </w:t>
      </w:r>
      <w:r>
        <w:t>к</w:t>
      </w:r>
      <w:r w:rsidR="0071360A">
        <w:t>р</w:t>
      </w:r>
      <w:r>
        <w:t>о</w:t>
      </w:r>
      <w:r w:rsidR="00171F00">
        <w:t>з</w:t>
      </w:r>
      <w:r w:rsidR="00E105A8" w:rsidRPr="00F6340E">
        <w:t xml:space="preserve"> </w:t>
      </w:r>
      <w:r w:rsidR="0071360A">
        <w:t>уп</w:t>
      </w:r>
      <w:r>
        <w:t>о</w:t>
      </w:r>
      <w:r w:rsidR="0071360A">
        <w:t>тр</w:t>
      </w:r>
      <w:r w:rsidR="00EE6AA2">
        <w:t>е</w:t>
      </w:r>
      <w:r>
        <w:t>б</w:t>
      </w:r>
      <w:r w:rsidR="0071360A">
        <w:t>у</w:t>
      </w:r>
      <w:r w:rsidR="00E105A8" w:rsidRPr="00F6340E">
        <w:t xml:space="preserve"> </w:t>
      </w:r>
      <w:r w:rsidR="0071360A">
        <w:t>р</w:t>
      </w:r>
      <w:r>
        <w:t>а</w:t>
      </w:r>
      <w:r w:rsidR="00171F00">
        <w:t>з</w:t>
      </w:r>
      <w:r>
        <w:t>личи</w:t>
      </w:r>
      <w:r w:rsidR="0071360A">
        <w:t>т</w:t>
      </w:r>
      <w:r>
        <w:t>их</w:t>
      </w:r>
      <w:r w:rsidR="00E105A8" w:rsidRPr="00F6340E">
        <w:t xml:space="preserve"> </w:t>
      </w:r>
      <w:r>
        <w:t>ала</w:t>
      </w:r>
      <w:r w:rsidR="0071360A">
        <w:t>т</w:t>
      </w:r>
      <w:r>
        <w:t>а</w:t>
      </w:r>
      <w:r w:rsidR="00E105A8" w:rsidRPr="00F6340E">
        <w:t xml:space="preserve"> </w:t>
      </w:r>
      <w:r w:rsidR="00171F00">
        <w:t>з</w:t>
      </w:r>
      <w:r>
        <w:t>а</w:t>
      </w:r>
      <w:r w:rsidR="00E105A8" w:rsidRPr="00F6340E">
        <w:t xml:space="preserve"> </w:t>
      </w:r>
      <w:r w:rsidR="0071360A">
        <w:t>в</w:t>
      </w:r>
      <w:r>
        <w:t>ид</w:t>
      </w:r>
      <w:r w:rsidR="00EE6AA2">
        <w:t>е</w:t>
      </w:r>
      <w:r>
        <w:t>о</w:t>
      </w:r>
      <w:r w:rsidR="00E105A8" w:rsidRPr="00F6340E">
        <w:t xml:space="preserve"> </w:t>
      </w:r>
      <w:r>
        <w:t>конф</w:t>
      </w:r>
      <w:r w:rsidR="00EE6AA2">
        <w:t>е</w:t>
      </w:r>
      <w:r w:rsidR="0071360A">
        <w:t>р</w:t>
      </w:r>
      <w:r w:rsidR="00EE6AA2">
        <w:t>е</w:t>
      </w:r>
      <w:r>
        <w:t>нциј</w:t>
      </w:r>
      <w:r w:rsidR="00EE6AA2">
        <w:t>е</w:t>
      </w:r>
      <w:r w:rsidR="00E105A8" w:rsidRPr="00F6340E">
        <w:t xml:space="preserve">. </w:t>
      </w:r>
    </w:p>
    <w:p w14:paraId="6F8FA517" w14:textId="2414CEB2" w:rsidR="00483250" w:rsidRPr="00F6340E" w:rsidRDefault="0071360A" w:rsidP="001A6D76">
      <w:pPr>
        <w:pStyle w:val="Heading3"/>
        <w:numPr>
          <w:ilvl w:val="2"/>
          <w:numId w:val="73"/>
        </w:numPr>
        <w:ind w:left="567" w:hanging="567"/>
        <w:rPr>
          <w:lang w:val="sr-Cyrl-BA"/>
        </w:rPr>
      </w:pPr>
      <w:bookmarkStart w:id="9" w:name="_Toc119050294"/>
      <w:r>
        <w:rPr>
          <w:lang w:val="sr-Cyrl-BA"/>
        </w:rPr>
        <w:t>У</w:t>
      </w:r>
      <w:r w:rsidR="00A56E08">
        <w:rPr>
          <w:lang w:val="sr-Cyrl-BA"/>
        </w:rPr>
        <w:t>ч</w:t>
      </w:r>
      <w:r w:rsidR="00EE6AA2">
        <w:rPr>
          <w:lang w:val="sr-Cyrl-BA"/>
        </w:rPr>
        <w:t>е</w:t>
      </w:r>
      <w:r w:rsidR="00A56E08">
        <w:rPr>
          <w:lang w:val="sr-Cyrl-BA"/>
        </w:rPr>
        <w:t>њ</w:t>
      </w:r>
      <w:r w:rsidR="00EE6AA2">
        <w:rPr>
          <w:lang w:val="sr-Cyrl-BA"/>
        </w:rPr>
        <w:t>е</w:t>
      </w:r>
      <w:r w:rsidR="00872771" w:rsidRPr="00F6340E">
        <w:rPr>
          <w:lang w:val="sr-Cyrl-BA"/>
        </w:rPr>
        <w:t xml:space="preserve"> </w:t>
      </w:r>
      <w:r w:rsidR="00A56E08">
        <w:rPr>
          <w:lang w:val="sr-Cyrl-BA"/>
        </w:rPr>
        <w:t>на</w:t>
      </w:r>
      <w:r w:rsidR="00872771" w:rsidRPr="00F6340E">
        <w:rPr>
          <w:lang w:val="sr-Cyrl-BA"/>
        </w:rPr>
        <w:t xml:space="preserve"> </w:t>
      </w:r>
      <w:r w:rsidR="00A56E08">
        <w:rPr>
          <w:lang w:val="sr-Cyrl-BA"/>
        </w:rPr>
        <w:t>даљин</w:t>
      </w:r>
      <w:r>
        <w:rPr>
          <w:lang w:val="sr-Cyrl-BA"/>
        </w:rPr>
        <w:t>у</w:t>
      </w:r>
      <w:r w:rsidR="000053AE" w:rsidRPr="00F6340E">
        <w:rPr>
          <w:lang w:val="sr-Cyrl-BA"/>
        </w:rPr>
        <w:t xml:space="preserve"> (</w:t>
      </w:r>
      <w:r w:rsidR="00A56E08">
        <w:rPr>
          <w:lang w:val="sr-Cyrl-BA"/>
        </w:rPr>
        <w:t>ди</w:t>
      </w:r>
      <w:r>
        <w:rPr>
          <w:lang w:val="sr-Cyrl-BA"/>
        </w:rPr>
        <w:t>ст</w:t>
      </w:r>
      <w:r w:rsidR="00A56E08">
        <w:rPr>
          <w:lang w:val="sr-Cyrl-BA"/>
        </w:rPr>
        <w:t>анц</w:t>
      </w:r>
      <w:r w:rsidR="00EE6AA2">
        <w:rPr>
          <w:lang w:val="sr-Cyrl-BA"/>
        </w:rPr>
        <w:t>е</w:t>
      </w:r>
      <w:r w:rsidR="000053AE" w:rsidRPr="00F6340E">
        <w:rPr>
          <w:lang w:val="sr-Cyrl-BA"/>
        </w:rPr>
        <w:t xml:space="preserve"> </w:t>
      </w:r>
      <w:r w:rsidR="00A56E08">
        <w:rPr>
          <w:lang w:val="sr-Cyrl-BA"/>
        </w:rPr>
        <w:t>л</w:t>
      </w:r>
      <w:r w:rsidR="00EE6AA2">
        <w:rPr>
          <w:lang w:val="sr-Cyrl-BA"/>
        </w:rPr>
        <w:t>е</w:t>
      </w:r>
      <w:r w:rsidR="00A56E08">
        <w:rPr>
          <w:lang w:val="sr-Cyrl-BA"/>
        </w:rPr>
        <w:t>а</w:t>
      </w:r>
      <w:r>
        <w:rPr>
          <w:lang w:val="sr-Cyrl-BA"/>
        </w:rPr>
        <w:t>р</w:t>
      </w:r>
      <w:r w:rsidR="00A56E08">
        <w:rPr>
          <w:lang w:val="sr-Cyrl-BA"/>
        </w:rPr>
        <w:t>нинг</w:t>
      </w:r>
      <w:r w:rsidR="000053AE" w:rsidRPr="00F6340E">
        <w:rPr>
          <w:lang w:val="sr-Cyrl-BA"/>
        </w:rPr>
        <w:t>)</w:t>
      </w:r>
      <w:bookmarkEnd w:id="9"/>
    </w:p>
    <w:p w14:paraId="019CABFF" w14:textId="349FDE50" w:rsidR="00483250" w:rsidRPr="00210EE1" w:rsidRDefault="0071360A" w:rsidP="00210EE1">
      <w:pPr>
        <w:pStyle w:val="Body"/>
        <w:rPr>
          <w:shd w:val="clear" w:color="auto" w:fill="FFFFFF"/>
          <w:lang w:val="en-US"/>
        </w:rPr>
      </w:pP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w:t>
      </w:r>
      <w:r w:rsidR="00EE6AA2">
        <w:rPr>
          <w:shd w:val="clear" w:color="auto" w:fill="FFFFFF"/>
        </w:rPr>
        <w:t>е</w:t>
      </w:r>
      <w:r w:rsidR="000E6CA4" w:rsidRPr="00F6340E">
        <w:rPr>
          <w:shd w:val="clear" w:color="auto" w:fill="FFFFFF"/>
        </w:rPr>
        <w:t xml:space="preserve"> </w:t>
      </w:r>
      <w:r w:rsidR="00A56E08">
        <w:rPr>
          <w:shd w:val="clear" w:color="auto" w:fill="FFFFFF"/>
        </w:rPr>
        <w:t>на</w:t>
      </w:r>
      <w:r w:rsidR="000E6CA4" w:rsidRPr="00F6340E">
        <w:rPr>
          <w:shd w:val="clear" w:color="auto" w:fill="FFFFFF"/>
        </w:rPr>
        <w:t xml:space="preserve"> </w:t>
      </w:r>
      <w:r w:rsidR="00A56E08">
        <w:rPr>
          <w:shd w:val="clear" w:color="auto" w:fill="FFFFFF"/>
        </w:rPr>
        <w:t>даљин</w:t>
      </w:r>
      <w:r>
        <w:rPr>
          <w:shd w:val="clear" w:color="auto" w:fill="FFFFFF"/>
        </w:rPr>
        <w:t>у</w:t>
      </w:r>
      <w:r w:rsidR="000E6CA4" w:rsidRPr="00F6340E">
        <w:rPr>
          <w:shd w:val="clear" w:color="auto" w:fill="FFFFFF"/>
        </w:rPr>
        <w:t xml:space="preserve"> </w:t>
      </w:r>
      <w:r w:rsidR="00A56E08">
        <w:rPr>
          <w:shd w:val="clear" w:color="auto" w:fill="FFFFFF"/>
        </w:rPr>
        <w:t>д</w:t>
      </w:r>
      <w:r w:rsidR="00EE6AA2">
        <w:rPr>
          <w:shd w:val="clear" w:color="auto" w:fill="FFFFFF"/>
        </w:rPr>
        <w:t>е</w:t>
      </w:r>
      <w:r w:rsidR="00A56E08">
        <w:rPr>
          <w:shd w:val="clear" w:color="auto" w:fill="FFFFFF"/>
        </w:rPr>
        <w:t>фини</w:t>
      </w:r>
      <w:r>
        <w:rPr>
          <w:shd w:val="clear" w:color="auto" w:fill="FFFFFF"/>
        </w:rPr>
        <w:t>ш</w:t>
      </w:r>
      <w:r w:rsidR="00EE6AA2">
        <w:rPr>
          <w:shd w:val="clear" w:color="auto" w:fill="FFFFFF"/>
        </w:rPr>
        <w:t>е</w:t>
      </w:r>
      <w:r w:rsidR="00743C0E" w:rsidRPr="00F6340E">
        <w:rPr>
          <w:shd w:val="clear" w:color="auto" w:fill="FFFFFF"/>
        </w:rPr>
        <w:t xml:space="preserve"> </w:t>
      </w:r>
      <w:r>
        <w:rPr>
          <w:shd w:val="clear" w:color="auto" w:fill="FFFFFF"/>
        </w:rPr>
        <w:t>с</w:t>
      </w:r>
      <w:r w:rsidR="00EE6AA2">
        <w:rPr>
          <w:shd w:val="clear" w:color="auto" w:fill="FFFFFF"/>
        </w:rPr>
        <w:t>е</w:t>
      </w:r>
      <w:r w:rsidR="000E6CA4" w:rsidRPr="00F6340E">
        <w:rPr>
          <w:shd w:val="clear" w:color="auto" w:fill="FFFFFF"/>
        </w:rPr>
        <w:t xml:space="preserve"> </w:t>
      </w:r>
      <w:r w:rsidR="00A56E08">
        <w:rPr>
          <w:shd w:val="clear" w:color="auto" w:fill="FFFFFF"/>
        </w:rPr>
        <w:t>као</w:t>
      </w:r>
      <w:r w:rsidR="000E6CA4"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w:t>
      </w:r>
      <w:r w:rsidR="00EE6AA2">
        <w:rPr>
          <w:shd w:val="clear" w:color="auto" w:fill="FFFFFF"/>
        </w:rPr>
        <w:t>е</w:t>
      </w:r>
      <w:r w:rsidR="000E6CA4" w:rsidRPr="00F6340E">
        <w:rPr>
          <w:shd w:val="clear" w:color="auto" w:fill="FFFFFF"/>
        </w:rPr>
        <w:t xml:space="preserve"> </w:t>
      </w:r>
      <w:r>
        <w:rPr>
          <w:shd w:val="clear" w:color="auto" w:fill="FFFFFF"/>
        </w:rPr>
        <w:t>п</w:t>
      </w:r>
      <w:r w:rsidR="00A56E08">
        <w:rPr>
          <w:shd w:val="clear" w:color="auto" w:fill="FFFFFF"/>
        </w:rPr>
        <w:t>о</w:t>
      </w:r>
      <w:r>
        <w:rPr>
          <w:shd w:val="clear" w:color="auto" w:fill="FFFFFF"/>
        </w:rPr>
        <w:t>с</w:t>
      </w:r>
      <w:r w:rsidR="00EE6AA2">
        <w:rPr>
          <w:shd w:val="clear" w:color="auto" w:fill="FFFFFF"/>
        </w:rPr>
        <w:t>е</w:t>
      </w:r>
      <w:r w:rsidR="00A56E08">
        <w:rPr>
          <w:shd w:val="clear" w:color="auto" w:fill="FFFFFF"/>
        </w:rPr>
        <w:t>бно</w:t>
      </w:r>
      <w:r w:rsidR="000E6CA4" w:rsidRPr="00F6340E">
        <w:rPr>
          <w:shd w:val="clear" w:color="auto" w:fill="FFFFFF"/>
        </w:rPr>
        <w:t xml:space="preserve"> </w:t>
      </w:r>
      <w:r w:rsidR="00A56E08">
        <w:rPr>
          <w:shd w:val="clear" w:color="auto" w:fill="FFFFFF"/>
        </w:rPr>
        <w:t>ди</w:t>
      </w:r>
      <w:r w:rsidR="00171F00">
        <w:rPr>
          <w:shd w:val="clear" w:color="auto" w:fill="FFFFFF"/>
        </w:rPr>
        <w:t>з</w:t>
      </w:r>
      <w:r w:rsidR="00A56E08">
        <w:rPr>
          <w:shd w:val="clear" w:color="auto" w:fill="FFFFFF"/>
        </w:rPr>
        <w:t>ајни</w:t>
      </w:r>
      <w:r>
        <w:rPr>
          <w:shd w:val="clear" w:color="auto" w:fill="FFFFFF"/>
        </w:rPr>
        <w:t>р</w:t>
      </w:r>
      <w:r w:rsidR="00A56E08">
        <w:rPr>
          <w:shd w:val="clear" w:color="auto" w:fill="FFFFFF"/>
        </w:rPr>
        <w:t>ано</w:t>
      </w:r>
      <w:r w:rsidR="000E6CA4" w:rsidRPr="00F6340E">
        <w:rPr>
          <w:shd w:val="clear" w:color="auto" w:fill="FFFFFF"/>
        </w:rPr>
        <w:t xml:space="preserve"> </w:t>
      </w:r>
      <w:r w:rsidR="00171F00">
        <w:rPr>
          <w:shd w:val="clear" w:color="auto" w:fill="FFFFFF"/>
        </w:rPr>
        <w:t>з</w:t>
      </w:r>
      <w:r w:rsidR="00A56E08">
        <w:rPr>
          <w:shd w:val="clear" w:color="auto" w:fill="FFFFFF"/>
        </w:rPr>
        <w:t>а</w:t>
      </w:r>
      <w:r w:rsidR="000E6CA4"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Pr>
          <w:shd w:val="clear" w:color="auto" w:fill="FFFFFF"/>
        </w:rPr>
        <w:t>с</w:t>
      </w:r>
      <w:r w:rsidR="00A56E08">
        <w:rPr>
          <w:shd w:val="clear" w:color="auto" w:fill="FFFFFF"/>
        </w:rPr>
        <w:t>ник</w:t>
      </w:r>
      <w:r w:rsidR="00EE6AA2">
        <w:rPr>
          <w:shd w:val="clear" w:color="auto" w:fill="FFFFFF"/>
        </w:rPr>
        <w:t>е</w:t>
      </w:r>
      <w:r w:rsidR="000E6CA4"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ник</w:t>
      </w:r>
      <w:r w:rsidR="00EE6AA2">
        <w:rPr>
          <w:shd w:val="clear" w:color="auto" w:fill="FFFFFF"/>
        </w:rPr>
        <w:t>е</w:t>
      </w:r>
      <w:r w:rsidR="000E6CA4" w:rsidRPr="00F6340E">
        <w:rPr>
          <w:shd w:val="clear" w:color="auto" w:fill="FFFFFF"/>
        </w:rPr>
        <w:t xml:space="preserve">, </w:t>
      </w:r>
      <w:r>
        <w:rPr>
          <w:shd w:val="clear" w:color="auto" w:fill="FFFFFF"/>
        </w:rPr>
        <w:t>сту</w:t>
      </w:r>
      <w:r w:rsidR="00A56E08">
        <w:rPr>
          <w:shd w:val="clear" w:color="auto" w:fill="FFFFFF"/>
        </w:rPr>
        <w:t>д</w:t>
      </w:r>
      <w:r w:rsidR="00EE6AA2">
        <w:rPr>
          <w:shd w:val="clear" w:color="auto" w:fill="FFFFFF"/>
        </w:rPr>
        <w:t>е</w:t>
      </w:r>
      <w:r w:rsidR="00A56E08">
        <w:rPr>
          <w:shd w:val="clear" w:color="auto" w:fill="FFFFFF"/>
        </w:rPr>
        <w:t>н</w:t>
      </w:r>
      <w:r>
        <w:rPr>
          <w:shd w:val="clear" w:color="auto" w:fill="FFFFFF"/>
        </w:rPr>
        <w:t>т</w:t>
      </w:r>
      <w:r w:rsidR="00EE6AA2">
        <w:rPr>
          <w:shd w:val="clear" w:color="auto" w:fill="FFFFFF"/>
        </w:rPr>
        <w:t>е</w:t>
      </w:r>
      <w:r w:rsidR="000E6CA4" w:rsidRPr="00F6340E">
        <w:rPr>
          <w:shd w:val="clear" w:color="auto" w:fill="FFFFFF"/>
        </w:rPr>
        <w:t xml:space="preserve">, </w:t>
      </w:r>
      <w:r w:rsidR="00A56E08">
        <w:rPr>
          <w:shd w:val="clear" w:color="auto" w:fill="FFFFFF"/>
        </w:rPr>
        <w:t>од</w:t>
      </w:r>
      <w:r>
        <w:rPr>
          <w:shd w:val="clear" w:color="auto" w:fill="FFFFFF"/>
        </w:rPr>
        <w:t>р</w:t>
      </w:r>
      <w:r w:rsidR="00A56E08">
        <w:rPr>
          <w:shd w:val="clear" w:color="auto" w:fill="FFFFFF"/>
        </w:rPr>
        <w:t>а</w:t>
      </w:r>
      <w:r>
        <w:rPr>
          <w:shd w:val="clear" w:color="auto" w:fill="FFFFFF"/>
        </w:rPr>
        <w:t>с</w:t>
      </w:r>
      <w:r w:rsidR="00A56E08">
        <w:rPr>
          <w:shd w:val="clear" w:color="auto" w:fill="FFFFFF"/>
        </w:rPr>
        <w:t>л</w:t>
      </w:r>
      <w:r w:rsidR="00EE6AA2">
        <w:rPr>
          <w:shd w:val="clear" w:color="auto" w:fill="FFFFFF"/>
        </w:rPr>
        <w:t>е</w:t>
      </w:r>
      <w:r w:rsidR="000E6CA4" w:rsidRPr="00F6340E">
        <w:rPr>
          <w:shd w:val="clear" w:color="auto" w:fill="FFFFFF"/>
        </w:rPr>
        <w:t xml:space="preserve"> </w:t>
      </w:r>
      <w:r>
        <w:rPr>
          <w:shd w:val="clear" w:color="auto" w:fill="FFFFFF"/>
        </w:rPr>
        <w:t>п</w:t>
      </w:r>
      <w:r w:rsidR="00A56E08">
        <w:rPr>
          <w:shd w:val="clear" w:color="auto" w:fill="FFFFFF"/>
        </w:rPr>
        <w:t>ола</w:t>
      </w:r>
      <w:r w:rsidR="00171F00">
        <w:rPr>
          <w:shd w:val="clear" w:color="auto" w:fill="FFFFFF"/>
        </w:rPr>
        <w:t>з</w:t>
      </w:r>
      <w:r w:rsidR="00A56E08">
        <w:rPr>
          <w:shd w:val="clear" w:color="auto" w:fill="FFFFFF"/>
        </w:rPr>
        <w:t>ник</w:t>
      </w:r>
      <w:r w:rsidR="00EE6AA2">
        <w:rPr>
          <w:shd w:val="clear" w:color="auto" w:fill="FFFFFF"/>
        </w:rPr>
        <w:t>е</w:t>
      </w:r>
      <w:r w:rsidR="000E6CA4" w:rsidRPr="00F6340E">
        <w:rPr>
          <w:shd w:val="clear" w:color="auto" w:fill="FFFFFF"/>
        </w:rPr>
        <w:t xml:space="preserve">) </w:t>
      </w:r>
      <w:r w:rsidR="00A56E08">
        <w:rPr>
          <w:shd w:val="clear" w:color="auto" w:fill="FFFFFF"/>
        </w:rPr>
        <w:t>који</w:t>
      </w:r>
      <w:r w:rsidR="000E6CA4" w:rsidRPr="00F6340E">
        <w:rPr>
          <w:shd w:val="clear" w:color="auto" w:fill="FFFFFF"/>
        </w:rPr>
        <w:t xml:space="preserve"> </w:t>
      </w:r>
      <w:r>
        <w:rPr>
          <w:shd w:val="clear" w:color="auto" w:fill="FFFFFF"/>
        </w:rPr>
        <w:t>су</w:t>
      </w:r>
      <w:r w:rsidR="000E6CA4" w:rsidRPr="00F6340E">
        <w:rPr>
          <w:shd w:val="clear" w:color="auto" w:fill="FFFFFF"/>
        </w:rPr>
        <w:t xml:space="preserve"> </w:t>
      </w:r>
      <w:r w:rsidR="00A56E08">
        <w:rPr>
          <w:shd w:val="clear" w:color="auto" w:fill="FFFFFF"/>
        </w:rPr>
        <w:t>фи</w:t>
      </w:r>
      <w:r w:rsidR="00171F00">
        <w:rPr>
          <w:shd w:val="clear" w:color="auto" w:fill="FFFFFF"/>
        </w:rPr>
        <w:t>з</w:t>
      </w:r>
      <w:r w:rsidR="00A56E08">
        <w:rPr>
          <w:shd w:val="clear" w:color="auto" w:fill="FFFFFF"/>
        </w:rPr>
        <w:t>ички</w:t>
      </w:r>
      <w:r w:rsidR="000E6CA4" w:rsidRPr="00F6340E">
        <w:rPr>
          <w:shd w:val="clear" w:color="auto" w:fill="FFFFFF"/>
        </w:rPr>
        <w:t xml:space="preserve"> </w:t>
      </w:r>
      <w:r>
        <w:rPr>
          <w:shd w:val="clear" w:color="auto" w:fill="FFFFFF"/>
        </w:rPr>
        <w:t>у</w:t>
      </w:r>
      <w:r w:rsidR="00A56E08">
        <w:rPr>
          <w:shd w:val="clear" w:color="auto" w:fill="FFFFFF"/>
        </w:rPr>
        <w:t>даљ</w:t>
      </w:r>
      <w:r w:rsidR="00EE6AA2">
        <w:rPr>
          <w:shd w:val="clear" w:color="auto" w:fill="FFFFFF"/>
        </w:rPr>
        <w:t>е</w:t>
      </w:r>
      <w:r w:rsidR="00A56E08">
        <w:rPr>
          <w:shd w:val="clear" w:color="auto" w:fill="FFFFFF"/>
        </w:rPr>
        <w:t>ни</w:t>
      </w:r>
      <w:r w:rsidR="00F549D9" w:rsidRPr="00F6340E">
        <w:rPr>
          <w:shd w:val="clear" w:color="auto" w:fill="FFFFFF"/>
        </w:rPr>
        <w:t xml:space="preserve"> </w:t>
      </w:r>
      <w:r w:rsidR="00A56E08">
        <w:rPr>
          <w:shd w:val="clear" w:color="auto" w:fill="FFFFFF"/>
        </w:rPr>
        <w:t>од</w:t>
      </w:r>
      <w:r w:rsidR="00F549D9" w:rsidRPr="00F6340E">
        <w:rPr>
          <w:shd w:val="clear" w:color="auto" w:fill="FFFFFF"/>
        </w:rPr>
        <w:t xml:space="preserve"> </w:t>
      </w:r>
      <w:r w:rsidR="00A56E08">
        <w:rPr>
          <w:shd w:val="clear" w:color="auto" w:fill="FFFFFF"/>
        </w:rPr>
        <w:t>на</w:t>
      </w:r>
      <w:r>
        <w:rPr>
          <w:shd w:val="clear" w:color="auto" w:fill="FFFFFF"/>
        </w:rPr>
        <w:t>ст</w:t>
      </w:r>
      <w:r w:rsidR="00A56E08">
        <w:rPr>
          <w:shd w:val="clear" w:color="auto" w:fill="FFFFFF"/>
        </w:rPr>
        <w:t>а</w:t>
      </w:r>
      <w:r>
        <w:rPr>
          <w:shd w:val="clear" w:color="auto" w:fill="FFFFFF"/>
        </w:rPr>
        <w:t>в</w:t>
      </w:r>
      <w:r w:rsidR="00A56E08">
        <w:rPr>
          <w:shd w:val="clear" w:color="auto" w:fill="FFFFFF"/>
        </w:rPr>
        <w:t>ника</w:t>
      </w:r>
      <w:r w:rsidR="00672C7C" w:rsidRPr="00F6340E">
        <w:rPr>
          <w:shd w:val="clear" w:color="auto" w:fill="FFFFFF"/>
        </w:rPr>
        <w:t>,</w:t>
      </w:r>
      <w:r w:rsidR="000E6CA4" w:rsidRPr="00F6340E">
        <w:rPr>
          <w:shd w:val="clear" w:color="auto" w:fill="FFFFFF"/>
        </w:rPr>
        <w:t xml:space="preserve"> </w:t>
      </w:r>
      <w:r w:rsidR="00A56E08">
        <w:rPr>
          <w:shd w:val="clear" w:color="auto" w:fill="FFFFFF"/>
        </w:rPr>
        <w:t>а</w:t>
      </w:r>
      <w:r w:rsidR="000E6CA4" w:rsidRPr="00F6340E">
        <w:rPr>
          <w:shd w:val="clear" w:color="auto" w:fill="FFFFFF"/>
        </w:rPr>
        <w:t xml:space="preserve"> </w:t>
      </w:r>
      <w:r w:rsidR="00A56E08">
        <w:rPr>
          <w:shd w:val="clear" w:color="auto" w:fill="FFFFFF"/>
        </w:rPr>
        <w:t>и</w:t>
      </w:r>
      <w:r w:rsidR="00171F00">
        <w:rPr>
          <w:shd w:val="clear" w:color="auto" w:fill="FFFFFF"/>
        </w:rPr>
        <w:t>з</w:t>
      </w:r>
      <w:r>
        <w:rPr>
          <w:shd w:val="clear" w:color="auto" w:fill="FFFFFF"/>
        </w:rPr>
        <w:t>в</w:t>
      </w:r>
      <w:r w:rsidR="00A56E08">
        <w:rPr>
          <w:shd w:val="clear" w:color="auto" w:fill="FFFFFF"/>
        </w:rPr>
        <w:t>оди</w:t>
      </w:r>
      <w:r w:rsidR="000E6CA4" w:rsidRPr="00F6340E">
        <w:rPr>
          <w:shd w:val="clear" w:color="auto" w:fill="FFFFFF"/>
        </w:rPr>
        <w:t xml:space="preserve"> </w:t>
      </w:r>
      <w:r>
        <w:rPr>
          <w:shd w:val="clear" w:color="auto" w:fill="FFFFFF"/>
        </w:rPr>
        <w:t>с</w:t>
      </w:r>
      <w:r w:rsidR="00EE6AA2">
        <w:rPr>
          <w:shd w:val="clear" w:color="auto" w:fill="FFFFFF"/>
        </w:rPr>
        <w:t>е</w:t>
      </w:r>
      <w:r w:rsidR="000E6CA4" w:rsidRPr="00F6340E">
        <w:rPr>
          <w:shd w:val="clear" w:color="auto" w:fill="FFFFFF"/>
        </w:rPr>
        <w:t xml:space="preserve"> </w:t>
      </w:r>
      <w:r>
        <w:rPr>
          <w:shd w:val="clear" w:color="auto" w:fill="FFFFFF"/>
        </w:rPr>
        <w:t>п</w:t>
      </w:r>
      <w:r w:rsidR="00A56E08">
        <w:rPr>
          <w:shd w:val="clear" w:color="auto" w:fill="FFFFFF"/>
        </w:rPr>
        <w:t>о</w:t>
      </w:r>
      <w:r>
        <w:rPr>
          <w:shd w:val="clear" w:color="auto" w:fill="FFFFFF"/>
        </w:rPr>
        <w:t>ср</w:t>
      </w:r>
      <w:r w:rsidR="00EE6AA2">
        <w:rPr>
          <w:shd w:val="clear" w:color="auto" w:fill="FFFFFF"/>
        </w:rPr>
        <w:t>е</w:t>
      </w:r>
      <w:r w:rsidR="00A56E08">
        <w:rPr>
          <w:shd w:val="clear" w:color="auto" w:fill="FFFFFF"/>
        </w:rPr>
        <w:t>д</w:t>
      </w:r>
      <w:r>
        <w:rPr>
          <w:shd w:val="clear" w:color="auto" w:fill="FFFFFF"/>
        </w:rPr>
        <w:t>ств</w:t>
      </w:r>
      <w:r w:rsidR="00A56E08">
        <w:rPr>
          <w:shd w:val="clear" w:color="auto" w:fill="FFFFFF"/>
        </w:rPr>
        <w:t>ом</w:t>
      </w:r>
      <w:r w:rsidR="000E6CA4" w:rsidRPr="00F6340E">
        <w:rPr>
          <w:shd w:val="clear" w:color="auto" w:fill="FFFFFF"/>
        </w:rPr>
        <w:t xml:space="preserve"> </w:t>
      </w:r>
      <w:r w:rsidR="00A56E08">
        <w:rPr>
          <w:shd w:val="clear" w:color="auto" w:fill="FFFFFF"/>
        </w:rPr>
        <w:t>ин</w:t>
      </w:r>
      <w:r>
        <w:rPr>
          <w:shd w:val="clear" w:color="auto" w:fill="FFFFFF"/>
        </w:rPr>
        <w:t>т</w:t>
      </w:r>
      <w:r w:rsidR="00EE6AA2">
        <w:rPr>
          <w:shd w:val="clear" w:color="auto" w:fill="FFFFFF"/>
        </w:rPr>
        <w:t>е</w:t>
      </w:r>
      <w:r>
        <w:rPr>
          <w:shd w:val="clear" w:color="auto" w:fill="FFFFFF"/>
        </w:rPr>
        <w:t>р</w:t>
      </w:r>
      <w:r w:rsidR="00A56E08">
        <w:rPr>
          <w:shd w:val="clear" w:color="auto" w:fill="FFFFFF"/>
        </w:rPr>
        <w:t>н</w:t>
      </w:r>
      <w:r w:rsidR="00EE6AA2">
        <w:rPr>
          <w:shd w:val="clear" w:color="auto" w:fill="FFFFFF"/>
        </w:rPr>
        <w:t>е</w:t>
      </w:r>
      <w:r>
        <w:rPr>
          <w:shd w:val="clear" w:color="auto" w:fill="FFFFFF"/>
        </w:rPr>
        <w:t>т</w:t>
      </w:r>
      <w:r w:rsidR="00A56E08">
        <w:rPr>
          <w:shd w:val="clear" w:color="auto" w:fill="FFFFFF"/>
        </w:rPr>
        <w:t>а</w:t>
      </w:r>
      <w:r w:rsidR="000E6CA4" w:rsidRPr="00F6340E">
        <w:rPr>
          <w:shd w:val="clear" w:color="auto" w:fill="FFFFFF"/>
        </w:rPr>
        <w:t xml:space="preserve"> </w:t>
      </w:r>
      <w:r w:rsidR="00A56E08">
        <w:rPr>
          <w:shd w:val="clear" w:color="auto" w:fill="FFFFFF"/>
        </w:rPr>
        <w:t>и</w:t>
      </w:r>
      <w:r w:rsidR="000E6CA4" w:rsidRPr="00F6340E">
        <w:rPr>
          <w:shd w:val="clear" w:color="auto" w:fill="FFFFFF"/>
        </w:rPr>
        <w:t xml:space="preserve"> w</w:t>
      </w:r>
      <w:r w:rsidR="00EE6AA2">
        <w:rPr>
          <w:shd w:val="clear" w:color="auto" w:fill="FFFFFF"/>
        </w:rPr>
        <w:t>е</w:t>
      </w:r>
      <w:r w:rsidR="00A56E08">
        <w:rPr>
          <w:shd w:val="clear" w:color="auto" w:fill="FFFFFF"/>
        </w:rPr>
        <w:t>б</w:t>
      </w:r>
      <w:r w:rsidR="000E6CA4" w:rsidRPr="00F6340E">
        <w:rPr>
          <w:shd w:val="clear" w:color="auto" w:fill="FFFFFF"/>
        </w:rPr>
        <w:t xml:space="preserve"> </w:t>
      </w:r>
      <w:r>
        <w:rPr>
          <w:shd w:val="clear" w:color="auto" w:fill="FFFFFF"/>
        </w:rPr>
        <w:t>т</w:t>
      </w:r>
      <w:r w:rsidR="00EE6AA2">
        <w:rPr>
          <w:shd w:val="clear" w:color="auto" w:fill="FFFFFF"/>
        </w:rPr>
        <w:t>е</w:t>
      </w:r>
      <w:r w:rsidR="00A56E08">
        <w:rPr>
          <w:shd w:val="clear" w:color="auto" w:fill="FFFFFF"/>
        </w:rPr>
        <w:t>хнологија</w:t>
      </w:r>
      <w:r w:rsidR="006B5098" w:rsidRPr="00F6340E">
        <w:rPr>
          <w:shd w:val="clear" w:color="auto" w:fill="FFFFFF"/>
        </w:rPr>
        <w:t xml:space="preserve"> </w:t>
      </w:r>
      <w:r w:rsidR="006B5098" w:rsidRPr="00F6340E">
        <w:t>(</w:t>
      </w:r>
      <w:r w:rsidR="00A56E08">
        <w:t>К</w:t>
      </w:r>
      <w:r>
        <w:t>у</w:t>
      </w:r>
      <w:r w:rsidR="00A56E08">
        <w:t>ма</w:t>
      </w:r>
      <w:r>
        <w:t>р</w:t>
      </w:r>
      <w:r w:rsidR="006B5098" w:rsidRPr="00F6340E">
        <w:t xml:space="preserve"> </w:t>
      </w:r>
      <w:r w:rsidR="00A56E08">
        <w:t>Ба</w:t>
      </w:r>
      <w:r>
        <w:t>с</w:t>
      </w:r>
      <w:r w:rsidR="00A56E08">
        <w:t>ак</w:t>
      </w:r>
      <w:r w:rsidR="006B5098" w:rsidRPr="00F6340E">
        <w:t>, W</w:t>
      </w:r>
      <w:r w:rsidR="00A56E08">
        <w:t>о</w:t>
      </w:r>
      <w:r>
        <w:t>тт</w:t>
      </w:r>
      <w:r w:rsidR="00A56E08">
        <w:t>о</w:t>
      </w:r>
      <w:r w:rsidR="006B5098" w:rsidRPr="00F6340E">
        <w:t xml:space="preserve"> </w:t>
      </w:r>
      <w:r w:rsidR="00A56E08">
        <w:t>и</w:t>
      </w:r>
      <w:r w:rsidR="006B5098" w:rsidRPr="00F6340E">
        <w:t xml:space="preserve"> </w:t>
      </w:r>
      <w:r w:rsidR="00A56E08">
        <w:t>Б</w:t>
      </w:r>
      <w:r w:rsidR="00EE6AA2">
        <w:t>е</w:t>
      </w:r>
      <w:r w:rsidR="00A56E08">
        <w:t>ланг</w:t>
      </w:r>
      <w:r w:rsidR="00EE6AA2">
        <w:t>е</w:t>
      </w:r>
      <w:r>
        <w:t>р</w:t>
      </w:r>
      <w:r w:rsidR="006B5098" w:rsidRPr="00F6340E">
        <w:t>, 2018)</w:t>
      </w:r>
      <w:r w:rsidR="000E6CA4" w:rsidRPr="00F6340E">
        <w:rPr>
          <w:shd w:val="clear" w:color="auto" w:fill="FFFFFF"/>
        </w:rPr>
        <w:t xml:space="preserve">. </w:t>
      </w:r>
      <w:r w:rsidR="00A56E08">
        <w:t>Иако</w:t>
      </w:r>
      <w:r w:rsidR="003531ED" w:rsidRPr="00F6340E">
        <w:t xml:space="preserve"> </w:t>
      </w:r>
      <w:r>
        <w:t>у</w:t>
      </w:r>
      <w:r w:rsidR="003531ED" w:rsidRPr="00F6340E">
        <w:t xml:space="preserve"> </w:t>
      </w:r>
      <w:r w:rsidR="00A56E08">
        <w:t>мањој</w:t>
      </w:r>
      <w:r w:rsidR="003531ED" w:rsidRPr="00F6340E">
        <w:t xml:space="preserve"> </w:t>
      </w:r>
      <w:r w:rsidR="00A56E08">
        <w:t>мј</w:t>
      </w:r>
      <w:r w:rsidR="00EE6AA2">
        <w:t>е</w:t>
      </w:r>
      <w:r>
        <w:t>р</w:t>
      </w:r>
      <w:r w:rsidR="00A56E08">
        <w:t>и</w:t>
      </w:r>
      <w:r w:rsidR="003531ED" w:rsidRPr="00F6340E">
        <w:t xml:space="preserve"> </w:t>
      </w:r>
      <w:r>
        <w:t>пр</w:t>
      </w:r>
      <w:r w:rsidR="00A56E08">
        <w:t>и</w:t>
      </w:r>
      <w:r>
        <w:t>сут</w:t>
      </w:r>
      <w:r w:rsidR="00A56E08">
        <w:t>но</w:t>
      </w:r>
      <w:r w:rsidR="003531ED" w:rsidRPr="00F6340E">
        <w:t xml:space="preserve">, </w:t>
      </w:r>
      <w:r>
        <w:t>у</w:t>
      </w:r>
      <w:r w:rsidR="00A56E08">
        <w:t>ч</w:t>
      </w:r>
      <w:r w:rsidR="00EE6AA2">
        <w:t>е</w:t>
      </w:r>
      <w:r w:rsidR="00A56E08">
        <w:t>њ</w:t>
      </w:r>
      <w:r w:rsidR="00EE6AA2">
        <w:t>е</w:t>
      </w:r>
      <w:r w:rsidR="003531ED" w:rsidRPr="00F6340E">
        <w:t xml:space="preserve"> </w:t>
      </w:r>
      <w:r w:rsidR="00A56E08">
        <w:t>на</w:t>
      </w:r>
      <w:r w:rsidR="003531ED" w:rsidRPr="00F6340E">
        <w:t xml:space="preserve"> </w:t>
      </w:r>
      <w:r w:rsidR="00A56E08">
        <w:t>даљин</w:t>
      </w:r>
      <w:r>
        <w:t>у</w:t>
      </w:r>
      <w:r w:rsidR="003531ED" w:rsidRPr="00F6340E">
        <w:t xml:space="preserve"> </w:t>
      </w:r>
      <w:r>
        <w:t>у</w:t>
      </w:r>
      <w:r w:rsidR="00A56E08">
        <w:t>кљ</w:t>
      </w:r>
      <w:r>
        <w:t>у</w:t>
      </w:r>
      <w:r w:rsidR="00A56E08">
        <w:t>ч</w:t>
      </w:r>
      <w:r>
        <w:t>у</w:t>
      </w:r>
      <w:r w:rsidR="00A56E08">
        <w:t>ј</w:t>
      </w:r>
      <w:r w:rsidR="00EE6AA2">
        <w:t>е</w:t>
      </w:r>
      <w:r w:rsidR="003531ED" w:rsidRPr="00F6340E">
        <w:t xml:space="preserve"> </w:t>
      </w:r>
      <w:r w:rsidR="00A56E08">
        <w:t>и</w:t>
      </w:r>
      <w:r w:rsidR="003531ED" w:rsidRPr="00F6340E">
        <w:t xml:space="preserve"> </w:t>
      </w:r>
      <w:r w:rsidR="00A56E08">
        <w:t>д</w:t>
      </w:r>
      <w:r>
        <w:t>ру</w:t>
      </w:r>
      <w:r w:rsidR="00A56E08">
        <w:t>г</w:t>
      </w:r>
      <w:r w:rsidR="00EE6AA2">
        <w:t>е</w:t>
      </w:r>
      <w:r w:rsidR="003531ED" w:rsidRPr="00F6340E">
        <w:t xml:space="preserve"> </w:t>
      </w:r>
      <w:r w:rsidR="00A56E08">
        <w:t>м</w:t>
      </w:r>
      <w:r w:rsidR="00EE6AA2">
        <w:t>е</w:t>
      </w:r>
      <w:r w:rsidR="00A56E08">
        <w:t>диј</w:t>
      </w:r>
      <w:r w:rsidR="00EE6AA2">
        <w:t>е</w:t>
      </w:r>
      <w:r w:rsidR="003531ED" w:rsidRPr="00F6340E">
        <w:t xml:space="preserve"> </w:t>
      </w:r>
      <w:r>
        <w:t>п</w:t>
      </w:r>
      <w:r w:rsidR="00A56E08">
        <w:t>о</w:t>
      </w:r>
      <w:r>
        <w:t>пут</w:t>
      </w:r>
      <w:r w:rsidR="003531ED" w:rsidRPr="00F6340E">
        <w:t xml:space="preserve"> </w:t>
      </w:r>
      <w:r>
        <w:t>ТВ</w:t>
      </w:r>
      <w:r w:rsidR="003531ED" w:rsidRPr="00F6340E">
        <w:t xml:space="preserve"> </w:t>
      </w:r>
      <w:r w:rsidR="00A56E08">
        <w:t>и</w:t>
      </w:r>
      <w:r w:rsidR="003531ED" w:rsidRPr="00F6340E">
        <w:t xml:space="preserve"> </w:t>
      </w:r>
      <w:r>
        <w:t>п</w:t>
      </w:r>
      <w:r w:rsidR="00A56E08">
        <w:t>о</w:t>
      </w:r>
      <w:r>
        <w:t>шт</w:t>
      </w:r>
      <w:r w:rsidR="00EE6AA2">
        <w:t>е</w:t>
      </w:r>
      <w:r w:rsidR="003531ED" w:rsidRPr="00F6340E">
        <w:t xml:space="preserve"> </w:t>
      </w:r>
      <w:r w:rsidR="00A56E08">
        <w:t>којом</w:t>
      </w:r>
      <w:r w:rsidR="003531ED" w:rsidRPr="00F6340E">
        <w:t xml:space="preserve"> </w:t>
      </w:r>
      <w:r>
        <w:t>с</w:t>
      </w:r>
      <w:r w:rsidR="00EE6AA2">
        <w:t>е</w:t>
      </w:r>
      <w:r w:rsidR="003531ED" w:rsidRPr="00F6340E">
        <w:t xml:space="preserve"> </w:t>
      </w:r>
      <w:r>
        <w:t>ш</w:t>
      </w:r>
      <w:r w:rsidR="00A56E08">
        <w:t>аљ</w:t>
      </w:r>
      <w:r>
        <w:t>у</w:t>
      </w:r>
      <w:r w:rsidR="003531ED" w:rsidRPr="00F6340E">
        <w:t xml:space="preserve"> </w:t>
      </w:r>
      <w:r w:rsidR="00A56E08">
        <w:t>ма</w:t>
      </w:r>
      <w:r>
        <w:t>т</w:t>
      </w:r>
      <w:r w:rsidR="00EE6AA2">
        <w:t>е</w:t>
      </w:r>
      <w:r>
        <w:t>р</w:t>
      </w:r>
      <w:r w:rsidR="00A56E08">
        <w:t>ијали</w:t>
      </w:r>
      <w:r w:rsidR="003531ED" w:rsidRPr="00F6340E">
        <w:t xml:space="preserve"> </w:t>
      </w:r>
      <w:r w:rsidR="00171F00">
        <w:t>з</w:t>
      </w:r>
      <w:r w:rsidR="00A56E08">
        <w:t>а</w:t>
      </w:r>
      <w:r w:rsidR="003531ED" w:rsidRPr="00F6340E">
        <w:t xml:space="preserve"> </w:t>
      </w:r>
      <w:r>
        <w:t>у</w:t>
      </w:r>
      <w:r w:rsidR="00A56E08">
        <w:t>ч</w:t>
      </w:r>
      <w:r w:rsidR="00EE6AA2">
        <w:t>е</w:t>
      </w:r>
      <w:r w:rsidR="00A56E08">
        <w:t>њ</w:t>
      </w:r>
      <w:r w:rsidR="00EE6AA2">
        <w:t>е</w:t>
      </w:r>
      <w:r w:rsidR="003531ED" w:rsidRPr="00F6340E">
        <w:t>.</w:t>
      </w:r>
      <w:r w:rsidR="003531ED" w:rsidRPr="00F6340E">
        <w:rPr>
          <w:shd w:val="clear" w:color="auto" w:fill="FFFFFF"/>
        </w:rPr>
        <w:t xml:space="preserve"> </w:t>
      </w:r>
      <w:r w:rsidR="00171F00">
        <w:rPr>
          <w:shd w:val="clear" w:color="auto" w:fill="FFFFFF"/>
        </w:rPr>
        <w:t>З</w:t>
      </w:r>
      <w:r w:rsidR="00A56E08">
        <w:rPr>
          <w:shd w:val="clear" w:color="auto" w:fill="FFFFFF"/>
        </w:rPr>
        <w:t>а</w:t>
      </w:r>
      <w:r>
        <w:rPr>
          <w:shd w:val="clear" w:color="auto" w:fill="FFFFFF"/>
        </w:rPr>
        <w:t>т</w:t>
      </w:r>
      <w:r w:rsidR="00A56E08">
        <w:rPr>
          <w:shd w:val="clear" w:color="auto" w:fill="FFFFFF"/>
        </w:rPr>
        <w:t>о</w:t>
      </w:r>
      <w:r w:rsidR="00E864CA" w:rsidRPr="00F6340E">
        <w:rPr>
          <w:shd w:val="clear" w:color="auto" w:fill="FFFFFF"/>
        </w:rPr>
        <w:t xml:space="preserve"> </w:t>
      </w:r>
      <w:r>
        <w:rPr>
          <w:shd w:val="clear" w:color="auto" w:fill="FFFFFF"/>
        </w:rPr>
        <w:t>с</w:t>
      </w:r>
      <w:r w:rsidR="00EE6AA2">
        <w:rPr>
          <w:shd w:val="clear" w:color="auto" w:fill="FFFFFF"/>
        </w:rPr>
        <w:t>е</w:t>
      </w:r>
      <w:r w:rsidR="001A644A" w:rsidRPr="00F6340E">
        <w:rPr>
          <w:shd w:val="clear" w:color="auto" w:fill="FFFFFF"/>
        </w:rPr>
        <w:t xml:space="preserve"> </w:t>
      </w:r>
      <w:r>
        <w:rPr>
          <w:shd w:val="clear" w:color="auto" w:fill="FFFFFF"/>
        </w:rPr>
        <w:t>р</w:t>
      </w:r>
      <w:r w:rsidR="00A56E08">
        <w:rPr>
          <w:shd w:val="clear" w:color="auto" w:fill="FFFFFF"/>
        </w:rPr>
        <w:t>ади</w:t>
      </w:r>
      <w:r w:rsidR="001A644A" w:rsidRPr="00F6340E">
        <w:rPr>
          <w:shd w:val="clear" w:color="auto" w:fill="FFFFFF"/>
        </w:rPr>
        <w:t xml:space="preserve"> </w:t>
      </w:r>
      <w:r w:rsidR="00A56E08">
        <w:rPr>
          <w:shd w:val="clear" w:color="auto" w:fill="FFFFFF"/>
        </w:rPr>
        <w:t>о</w:t>
      </w:r>
      <w:r w:rsidR="001A644A" w:rsidRPr="00F6340E">
        <w:rPr>
          <w:shd w:val="clear" w:color="auto" w:fill="FFFFFF"/>
        </w:rPr>
        <w:t xml:space="preserve"> </w:t>
      </w:r>
      <w:r w:rsidR="00A56E08">
        <w:rPr>
          <w:shd w:val="clear" w:color="auto" w:fill="FFFFFF"/>
        </w:rPr>
        <w:t>мод</w:t>
      </w:r>
      <w:r w:rsidR="00EE6AA2">
        <w:rPr>
          <w:shd w:val="clear" w:color="auto" w:fill="FFFFFF"/>
        </w:rPr>
        <w:t>е</w:t>
      </w:r>
      <w:r w:rsidR="00A56E08">
        <w:rPr>
          <w:shd w:val="clear" w:color="auto" w:fill="FFFFFF"/>
        </w:rPr>
        <w:t>л</w:t>
      </w:r>
      <w:r>
        <w:rPr>
          <w:shd w:val="clear" w:color="auto" w:fill="FFFFFF"/>
        </w:rPr>
        <w:t>у</w:t>
      </w:r>
      <w:r w:rsidR="001A644A" w:rsidRPr="00F6340E">
        <w:rPr>
          <w:shd w:val="clear" w:color="auto" w:fill="FFFFFF"/>
        </w:rPr>
        <w:t xml:space="preserve"> </w:t>
      </w:r>
      <w:r w:rsidR="00A56E08">
        <w:rPr>
          <w:shd w:val="clear" w:color="auto" w:fill="FFFFFF"/>
        </w:rPr>
        <w:t>који</w:t>
      </w:r>
      <w:r w:rsidR="001A644A" w:rsidRPr="00F6340E">
        <w:rPr>
          <w:shd w:val="clear" w:color="auto" w:fill="FFFFFF"/>
        </w:rPr>
        <w:t xml:space="preserve"> </w:t>
      </w:r>
      <w:r>
        <w:rPr>
          <w:shd w:val="clear" w:color="auto" w:fill="FFFFFF"/>
        </w:rPr>
        <w:t>с</w:t>
      </w:r>
      <w:r w:rsidR="00EE6AA2">
        <w:rPr>
          <w:shd w:val="clear" w:color="auto" w:fill="FFFFFF"/>
        </w:rPr>
        <w:t>е</w:t>
      </w:r>
      <w:r w:rsidR="001A644A" w:rsidRPr="00F6340E">
        <w:rPr>
          <w:shd w:val="clear" w:color="auto" w:fill="FFFFFF"/>
        </w:rPr>
        <w:t xml:space="preserve"> </w:t>
      </w:r>
      <w:r w:rsidR="00A56E08">
        <w:rPr>
          <w:shd w:val="clear" w:color="auto" w:fill="FFFFFF"/>
        </w:rPr>
        <w:t>одно</w:t>
      </w:r>
      <w:r>
        <w:rPr>
          <w:shd w:val="clear" w:color="auto" w:fill="FFFFFF"/>
        </w:rPr>
        <w:t>с</w:t>
      </w:r>
      <w:r w:rsidR="00A56E08">
        <w:rPr>
          <w:shd w:val="clear" w:color="auto" w:fill="FFFFFF"/>
        </w:rPr>
        <w:t>и</w:t>
      </w:r>
      <w:r w:rsidR="001A644A" w:rsidRPr="00F6340E">
        <w:rPr>
          <w:shd w:val="clear" w:color="auto" w:fill="FFFFFF"/>
        </w:rPr>
        <w:t xml:space="preserve"> </w:t>
      </w:r>
      <w:r w:rsidR="00A56E08">
        <w:rPr>
          <w:shd w:val="clear" w:color="auto" w:fill="FFFFFF"/>
        </w:rPr>
        <w:t>на</w:t>
      </w:r>
      <w:r w:rsidR="00167F60" w:rsidRPr="00F6340E">
        <w:rPr>
          <w:shd w:val="clear" w:color="auto" w:fill="FFFFFF"/>
        </w:rPr>
        <w:t xml:space="preserve"> </w:t>
      </w:r>
      <w:r w:rsidR="00A56E08">
        <w:rPr>
          <w:shd w:val="clear" w:color="auto" w:fill="FFFFFF"/>
        </w:rPr>
        <w:t>им</w:t>
      </w:r>
      <w:r>
        <w:rPr>
          <w:shd w:val="clear" w:color="auto" w:fill="FFFFFF"/>
        </w:rPr>
        <w:t>п</w:t>
      </w:r>
      <w:r w:rsidR="00A56E08">
        <w:rPr>
          <w:shd w:val="clear" w:color="auto" w:fill="FFFFFF"/>
        </w:rPr>
        <w:t>л</w:t>
      </w:r>
      <w:r w:rsidR="00EE6AA2">
        <w:rPr>
          <w:shd w:val="clear" w:color="auto" w:fill="FFFFFF"/>
        </w:rPr>
        <w:t>е</w:t>
      </w:r>
      <w:r w:rsidR="00A56E08">
        <w:rPr>
          <w:shd w:val="clear" w:color="auto" w:fill="FFFFFF"/>
        </w:rPr>
        <w:t>м</w:t>
      </w:r>
      <w:r w:rsidR="00EE6AA2">
        <w:rPr>
          <w:shd w:val="clear" w:color="auto" w:fill="FFFFFF"/>
        </w:rPr>
        <w:t>е</w:t>
      </w:r>
      <w:r w:rsidR="00A56E08">
        <w:rPr>
          <w:shd w:val="clear" w:color="auto" w:fill="FFFFFF"/>
        </w:rPr>
        <w:t>н</w:t>
      </w:r>
      <w:r>
        <w:rPr>
          <w:shd w:val="clear" w:color="auto" w:fill="FFFFFF"/>
        </w:rPr>
        <w:t>т</w:t>
      </w:r>
      <w:r w:rsidR="00A56E08">
        <w:rPr>
          <w:shd w:val="clear" w:color="auto" w:fill="FFFFFF"/>
        </w:rPr>
        <w:t>ациј</w:t>
      </w:r>
      <w:r>
        <w:rPr>
          <w:shd w:val="clear" w:color="auto" w:fill="FFFFFF"/>
        </w:rPr>
        <w:t>у</w:t>
      </w:r>
      <w:r w:rsidR="00F12B5C" w:rsidRPr="00F6340E">
        <w:rPr>
          <w:shd w:val="clear" w:color="auto" w:fill="FFFFFF"/>
        </w:rPr>
        <w:t xml:space="preserve"> </w:t>
      </w:r>
      <w:r w:rsidR="00A56E08">
        <w:rPr>
          <w:shd w:val="clear" w:color="auto" w:fill="FFFFFF"/>
        </w:rPr>
        <w:t>об</w:t>
      </w:r>
      <w:r>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Pr>
          <w:shd w:val="clear" w:color="auto" w:fill="FFFFFF"/>
        </w:rPr>
        <w:t>в</w:t>
      </w:r>
      <w:r w:rsidR="00A56E08">
        <w:rPr>
          <w:shd w:val="clear" w:color="auto" w:fill="FFFFFF"/>
        </w:rPr>
        <w:t>ног</w:t>
      </w:r>
      <w:r w:rsidR="00F12B5C" w:rsidRPr="00F6340E">
        <w:rPr>
          <w:shd w:val="clear" w:color="auto" w:fill="FFFFFF"/>
        </w:rPr>
        <w:t xml:space="preserve"> </w:t>
      </w:r>
      <w:r>
        <w:rPr>
          <w:shd w:val="clear" w:color="auto" w:fill="FFFFFF"/>
        </w:rPr>
        <w:t>пр</w:t>
      </w:r>
      <w:r w:rsidR="00A56E08">
        <w:rPr>
          <w:shd w:val="clear" w:color="auto" w:fill="FFFFFF"/>
        </w:rPr>
        <w:t>оц</w:t>
      </w:r>
      <w:r w:rsidR="00EE6AA2">
        <w:rPr>
          <w:shd w:val="clear" w:color="auto" w:fill="FFFFFF"/>
        </w:rPr>
        <w:t>е</w:t>
      </w:r>
      <w:r>
        <w:rPr>
          <w:shd w:val="clear" w:color="auto" w:fill="FFFFFF"/>
        </w:rPr>
        <w:t>с</w:t>
      </w:r>
      <w:r w:rsidR="00A56E08">
        <w:rPr>
          <w:shd w:val="clear" w:color="auto" w:fill="FFFFFF"/>
        </w:rPr>
        <w:t>а</w:t>
      </w:r>
      <w:r w:rsidR="00B33C71" w:rsidRPr="00F6340E">
        <w:rPr>
          <w:shd w:val="clear" w:color="auto" w:fill="FFFFFF"/>
        </w:rPr>
        <w:t xml:space="preserve"> (</w:t>
      </w:r>
      <w:r>
        <w:rPr>
          <w:shd w:val="clear" w:color="auto" w:fill="FFFFFF"/>
        </w:rPr>
        <w:t>у</w:t>
      </w:r>
      <w:r w:rsidR="00B33C71" w:rsidRPr="00F6340E">
        <w:rPr>
          <w:shd w:val="clear" w:color="auto" w:fill="FFFFFF"/>
        </w:rPr>
        <w:t xml:space="preserve"> </w:t>
      </w:r>
      <w:r w:rsidR="00A56E08">
        <w:rPr>
          <w:shd w:val="clear" w:color="auto" w:fill="FFFFFF"/>
        </w:rPr>
        <w:t>ок</w:t>
      </w:r>
      <w:r>
        <w:rPr>
          <w:shd w:val="clear" w:color="auto" w:fill="FFFFFF"/>
        </w:rPr>
        <w:t>в</w:t>
      </w:r>
      <w:r w:rsidR="00A56E08">
        <w:rPr>
          <w:shd w:val="clear" w:color="auto" w:fill="FFFFFF"/>
        </w:rPr>
        <w:t>и</w:t>
      </w:r>
      <w:r>
        <w:rPr>
          <w:shd w:val="clear" w:color="auto" w:fill="FFFFFF"/>
        </w:rPr>
        <w:t>ру</w:t>
      </w:r>
      <w:r w:rsidR="00B33C71" w:rsidRPr="00F6340E">
        <w:rPr>
          <w:shd w:val="clear" w:color="auto" w:fill="FFFFFF"/>
        </w:rPr>
        <w:t xml:space="preserve"> </w:t>
      </w:r>
      <w:r w:rsidR="00A56E08">
        <w:rPr>
          <w:shd w:val="clear" w:color="auto" w:fill="FFFFFF"/>
        </w:rPr>
        <w:t>фо</w:t>
      </w:r>
      <w:r>
        <w:rPr>
          <w:shd w:val="clear" w:color="auto" w:fill="FFFFFF"/>
        </w:rPr>
        <w:t>р</w:t>
      </w:r>
      <w:r w:rsidR="00A56E08">
        <w:rPr>
          <w:shd w:val="clear" w:color="auto" w:fill="FFFFFF"/>
        </w:rPr>
        <w:t>малног</w:t>
      </w:r>
      <w:r w:rsidR="00B33C71" w:rsidRPr="00F6340E">
        <w:rPr>
          <w:shd w:val="clear" w:color="auto" w:fill="FFFFFF"/>
        </w:rPr>
        <w:t xml:space="preserve"> </w:t>
      </w:r>
      <w:r w:rsidR="00A56E08">
        <w:rPr>
          <w:shd w:val="clear" w:color="auto" w:fill="FFFFFF"/>
        </w:rPr>
        <w:t>и</w:t>
      </w:r>
      <w:r w:rsidR="00B33C71" w:rsidRPr="00F6340E">
        <w:rPr>
          <w:shd w:val="clear" w:color="auto" w:fill="FFFFFF"/>
        </w:rPr>
        <w:t>/</w:t>
      </w:r>
      <w:r w:rsidR="00A56E08">
        <w:rPr>
          <w:shd w:val="clear" w:color="auto" w:fill="FFFFFF"/>
        </w:rPr>
        <w:t>или</w:t>
      </w:r>
      <w:r w:rsidR="00B33C71" w:rsidRPr="00F6340E">
        <w:rPr>
          <w:shd w:val="clear" w:color="auto" w:fill="FFFFFF"/>
        </w:rPr>
        <w:t xml:space="preserve"> </w:t>
      </w:r>
      <w:r w:rsidR="00A56E08">
        <w:rPr>
          <w:shd w:val="clear" w:color="auto" w:fill="FFFFFF"/>
        </w:rPr>
        <w:t>н</w:t>
      </w:r>
      <w:r w:rsidR="00EE6AA2">
        <w:rPr>
          <w:shd w:val="clear" w:color="auto" w:fill="FFFFFF"/>
        </w:rPr>
        <w:t>е</w:t>
      </w:r>
      <w:r w:rsidR="00A56E08">
        <w:rPr>
          <w:shd w:val="clear" w:color="auto" w:fill="FFFFFF"/>
        </w:rPr>
        <w:t>фо</w:t>
      </w:r>
      <w:r>
        <w:rPr>
          <w:shd w:val="clear" w:color="auto" w:fill="FFFFFF"/>
        </w:rPr>
        <w:t>р</w:t>
      </w:r>
      <w:r w:rsidR="00A56E08">
        <w:rPr>
          <w:shd w:val="clear" w:color="auto" w:fill="FFFFFF"/>
        </w:rPr>
        <w:t>малног</w:t>
      </w:r>
      <w:r w:rsidR="00B33C71" w:rsidRPr="00F6340E">
        <w:rPr>
          <w:shd w:val="clear" w:color="auto" w:fill="FFFFFF"/>
        </w:rPr>
        <w:t xml:space="preserve"> </w:t>
      </w:r>
      <w:r w:rsidR="00A56E08">
        <w:rPr>
          <w:shd w:val="clear" w:color="auto" w:fill="FFFFFF"/>
        </w:rPr>
        <w:t>об</w:t>
      </w:r>
      <w:r>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Pr>
          <w:shd w:val="clear" w:color="auto" w:fill="FFFFFF"/>
        </w:rPr>
        <w:t>в</w:t>
      </w:r>
      <w:r w:rsidR="00A56E08">
        <w:rPr>
          <w:shd w:val="clear" w:color="auto" w:fill="FFFFFF"/>
        </w:rPr>
        <w:t>ања</w:t>
      </w:r>
      <w:r w:rsidR="00B33C71" w:rsidRPr="00F6340E">
        <w:rPr>
          <w:shd w:val="clear" w:color="auto" w:fill="FFFFFF"/>
        </w:rPr>
        <w:t xml:space="preserve">) </w:t>
      </w:r>
      <w:r w:rsidR="00A56E08">
        <w:rPr>
          <w:shd w:val="clear" w:color="auto" w:fill="FFFFFF"/>
        </w:rPr>
        <w:t>б</w:t>
      </w:r>
      <w:r w:rsidR="00EE6AA2">
        <w:rPr>
          <w:shd w:val="clear" w:color="auto" w:fill="FFFFFF"/>
        </w:rPr>
        <w:t>е</w:t>
      </w:r>
      <w:r w:rsidR="00171F00">
        <w:rPr>
          <w:shd w:val="clear" w:color="auto" w:fill="FFFFFF"/>
        </w:rPr>
        <w:t>з</w:t>
      </w:r>
      <w:r w:rsidR="00167F60" w:rsidRPr="00F6340E">
        <w:rPr>
          <w:shd w:val="clear" w:color="auto" w:fill="FFFFFF"/>
        </w:rPr>
        <w:t xml:space="preserve"> </w:t>
      </w:r>
      <w:r w:rsidR="00A56E08">
        <w:rPr>
          <w:shd w:val="clear" w:color="auto" w:fill="FFFFFF"/>
        </w:rPr>
        <w:t>об</w:t>
      </w:r>
      <w:r w:rsidR="00171F00">
        <w:rPr>
          <w:shd w:val="clear" w:color="auto" w:fill="FFFFFF"/>
        </w:rPr>
        <w:t>з</w:t>
      </w:r>
      <w:r w:rsidR="00A56E08">
        <w:rPr>
          <w:shd w:val="clear" w:color="auto" w:fill="FFFFFF"/>
        </w:rPr>
        <w:t>и</w:t>
      </w:r>
      <w:r>
        <w:rPr>
          <w:shd w:val="clear" w:color="auto" w:fill="FFFFFF"/>
        </w:rPr>
        <w:t>р</w:t>
      </w:r>
      <w:r w:rsidR="00A56E08">
        <w:rPr>
          <w:shd w:val="clear" w:color="auto" w:fill="FFFFFF"/>
        </w:rPr>
        <w:t>а</w:t>
      </w:r>
      <w:r w:rsidR="00167F60" w:rsidRPr="00F6340E">
        <w:rPr>
          <w:shd w:val="clear" w:color="auto" w:fill="FFFFFF"/>
        </w:rPr>
        <w:t xml:space="preserve"> </w:t>
      </w:r>
      <w:r w:rsidR="00A56E08">
        <w:rPr>
          <w:shd w:val="clear" w:color="auto" w:fill="FFFFFF"/>
        </w:rPr>
        <w:t>на</w:t>
      </w:r>
      <w:r w:rsidR="00167F60" w:rsidRPr="00F6340E">
        <w:rPr>
          <w:shd w:val="clear" w:color="auto" w:fill="FFFFFF"/>
        </w:rPr>
        <w:t xml:space="preserve"> </w:t>
      </w:r>
      <w:r w:rsidR="00A56E08">
        <w:rPr>
          <w:shd w:val="clear" w:color="auto" w:fill="FFFFFF"/>
        </w:rPr>
        <w:t>г</w:t>
      </w:r>
      <w:r w:rsidR="00EE6AA2">
        <w:rPr>
          <w:shd w:val="clear" w:color="auto" w:fill="FFFFFF"/>
        </w:rPr>
        <w:t>е</w:t>
      </w:r>
      <w:r w:rsidR="00A56E08">
        <w:rPr>
          <w:shd w:val="clear" w:color="auto" w:fill="FFFFFF"/>
        </w:rPr>
        <w:t>ог</w:t>
      </w:r>
      <w:r>
        <w:rPr>
          <w:shd w:val="clear" w:color="auto" w:fill="FFFFFF"/>
        </w:rPr>
        <w:t>р</w:t>
      </w:r>
      <w:r w:rsidR="00A56E08">
        <w:rPr>
          <w:shd w:val="clear" w:color="auto" w:fill="FFFFFF"/>
        </w:rPr>
        <w:t>аф</w:t>
      </w:r>
      <w:r>
        <w:rPr>
          <w:shd w:val="clear" w:color="auto" w:fill="FFFFFF"/>
        </w:rPr>
        <w:t>с</w:t>
      </w:r>
      <w:r w:rsidR="00A56E08">
        <w:rPr>
          <w:shd w:val="clear" w:color="auto" w:fill="FFFFFF"/>
        </w:rPr>
        <w:t>к</w:t>
      </w:r>
      <w:r>
        <w:rPr>
          <w:shd w:val="clear" w:color="auto" w:fill="FFFFFF"/>
        </w:rPr>
        <w:t>у</w:t>
      </w:r>
      <w:r w:rsidR="00167F60" w:rsidRPr="00F6340E">
        <w:rPr>
          <w:shd w:val="clear" w:color="auto" w:fill="FFFFFF"/>
        </w:rPr>
        <w:t xml:space="preserve"> </w:t>
      </w:r>
      <w:r w:rsidR="00A56E08">
        <w:rPr>
          <w:shd w:val="clear" w:color="auto" w:fill="FFFFFF"/>
        </w:rPr>
        <w:t>и</w:t>
      </w:r>
      <w:r w:rsidR="00167F60" w:rsidRPr="00F6340E">
        <w:rPr>
          <w:shd w:val="clear" w:color="auto" w:fill="FFFFFF"/>
        </w:rPr>
        <w:t xml:space="preserve"> </w:t>
      </w:r>
      <w:r>
        <w:rPr>
          <w:shd w:val="clear" w:color="auto" w:fill="FFFFFF"/>
        </w:rPr>
        <w:t>вр</w:t>
      </w:r>
      <w:r w:rsidR="00EE6AA2">
        <w:rPr>
          <w:shd w:val="clear" w:color="auto" w:fill="FFFFFF"/>
        </w:rPr>
        <w:t>е</w:t>
      </w:r>
      <w:r w:rsidR="00A56E08">
        <w:rPr>
          <w:shd w:val="clear" w:color="auto" w:fill="FFFFFF"/>
        </w:rPr>
        <w:t>м</w:t>
      </w:r>
      <w:r w:rsidR="00EE6AA2">
        <w:rPr>
          <w:shd w:val="clear" w:color="auto" w:fill="FFFFFF"/>
        </w:rPr>
        <w:t>е</w:t>
      </w:r>
      <w:r w:rsidR="00A56E08">
        <w:rPr>
          <w:shd w:val="clear" w:color="auto" w:fill="FFFFFF"/>
        </w:rPr>
        <w:t>н</w:t>
      </w:r>
      <w:r>
        <w:rPr>
          <w:shd w:val="clear" w:color="auto" w:fill="FFFFFF"/>
        </w:rPr>
        <w:t>с</w:t>
      </w:r>
      <w:r w:rsidR="00A56E08">
        <w:rPr>
          <w:shd w:val="clear" w:color="auto" w:fill="FFFFFF"/>
        </w:rPr>
        <w:t>к</w:t>
      </w:r>
      <w:r>
        <w:rPr>
          <w:shd w:val="clear" w:color="auto" w:fill="FFFFFF"/>
        </w:rPr>
        <w:t>у</w:t>
      </w:r>
      <w:r w:rsidR="00167F60" w:rsidRPr="00F6340E">
        <w:rPr>
          <w:shd w:val="clear" w:color="auto" w:fill="FFFFFF"/>
        </w:rPr>
        <w:t xml:space="preserve"> </w:t>
      </w:r>
      <w:r>
        <w:rPr>
          <w:shd w:val="clear" w:color="auto" w:fill="FFFFFF"/>
        </w:rPr>
        <w:t>у</w:t>
      </w:r>
      <w:r w:rsidR="00A56E08">
        <w:rPr>
          <w:shd w:val="clear" w:color="auto" w:fill="FFFFFF"/>
        </w:rPr>
        <w:t>даљ</w:t>
      </w:r>
      <w:r w:rsidR="00EE6AA2">
        <w:rPr>
          <w:shd w:val="clear" w:color="auto" w:fill="FFFFFF"/>
        </w:rPr>
        <w:t>е</w:t>
      </w:r>
      <w:r w:rsidR="00A56E08">
        <w:rPr>
          <w:shd w:val="clear" w:color="auto" w:fill="FFFFFF"/>
        </w:rPr>
        <w:t>но</w:t>
      </w:r>
      <w:r>
        <w:rPr>
          <w:shd w:val="clear" w:color="auto" w:fill="FFFFFF"/>
        </w:rPr>
        <w:t>ст</w:t>
      </w:r>
      <w:r w:rsidR="00167F60" w:rsidRPr="00F6340E">
        <w:rPr>
          <w:shd w:val="clear" w:color="auto" w:fill="FFFFFF"/>
        </w:rPr>
        <w:t xml:space="preserve"> </w:t>
      </w:r>
      <w:r w:rsidR="00A56E08">
        <w:rPr>
          <w:shd w:val="clear" w:color="auto" w:fill="FFFFFF"/>
        </w:rPr>
        <w:t>њ</w:t>
      </w:r>
      <w:r w:rsidR="00EE6AA2">
        <w:rPr>
          <w:shd w:val="clear" w:color="auto" w:fill="FFFFFF"/>
        </w:rPr>
        <w:t>е</w:t>
      </w:r>
      <w:r w:rsidR="00A56E08">
        <w:rPr>
          <w:shd w:val="clear" w:color="auto" w:fill="FFFFFF"/>
        </w:rPr>
        <w:t>го</w:t>
      </w:r>
      <w:r>
        <w:rPr>
          <w:shd w:val="clear" w:color="auto" w:fill="FFFFFF"/>
        </w:rPr>
        <w:t>в</w:t>
      </w:r>
      <w:r w:rsidR="00A56E08">
        <w:rPr>
          <w:shd w:val="clear" w:color="auto" w:fill="FFFFFF"/>
        </w:rPr>
        <w:t>их</w:t>
      </w:r>
      <w:r w:rsidR="00B34E4E"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Pr>
          <w:shd w:val="clear" w:color="auto" w:fill="FFFFFF"/>
        </w:rPr>
        <w:t>с</w:t>
      </w:r>
      <w:r w:rsidR="00A56E08">
        <w:rPr>
          <w:shd w:val="clear" w:color="auto" w:fill="FFFFFF"/>
        </w:rPr>
        <w:t>ника</w:t>
      </w:r>
      <w:r w:rsidR="00167F60" w:rsidRPr="00F6340E">
        <w:rPr>
          <w:shd w:val="clear" w:color="auto" w:fill="FFFFFF"/>
        </w:rPr>
        <w:t xml:space="preserve">, </w:t>
      </w:r>
      <w:r w:rsidR="00A56E08">
        <w:rPr>
          <w:shd w:val="clear" w:color="auto" w:fill="FFFFFF"/>
        </w:rPr>
        <w:t>на</w:t>
      </w:r>
      <w:r>
        <w:rPr>
          <w:shd w:val="clear" w:color="auto" w:fill="FFFFFF"/>
        </w:rPr>
        <w:t>ст</w:t>
      </w:r>
      <w:r w:rsidR="00A56E08">
        <w:rPr>
          <w:shd w:val="clear" w:color="auto" w:fill="FFFFFF"/>
        </w:rPr>
        <w:t>а</w:t>
      </w:r>
      <w:r>
        <w:rPr>
          <w:shd w:val="clear" w:color="auto" w:fill="FFFFFF"/>
        </w:rPr>
        <w:t>в</w:t>
      </w:r>
      <w:r w:rsidR="00A56E08">
        <w:rPr>
          <w:shd w:val="clear" w:color="auto" w:fill="FFFFFF"/>
        </w:rPr>
        <w:t>ника</w:t>
      </w:r>
      <w:r w:rsidR="00783670" w:rsidRPr="00F6340E">
        <w:rPr>
          <w:shd w:val="clear" w:color="auto" w:fill="FFFFFF"/>
        </w:rPr>
        <w:t xml:space="preserve"> </w:t>
      </w:r>
      <w:r w:rsidR="00A56E08">
        <w:rPr>
          <w:shd w:val="clear" w:color="auto" w:fill="FFFFFF"/>
        </w:rPr>
        <w:t>и</w:t>
      </w:r>
      <w:r w:rsidR="00783670"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ника</w:t>
      </w:r>
      <w:r w:rsidR="00783670" w:rsidRPr="00F6340E">
        <w:rPr>
          <w:shd w:val="clear" w:color="auto" w:fill="FFFFFF"/>
        </w:rPr>
        <w:t>/</w:t>
      </w:r>
      <w:r>
        <w:rPr>
          <w:shd w:val="clear" w:color="auto" w:fill="FFFFFF"/>
        </w:rPr>
        <w:t>сту</w:t>
      </w:r>
      <w:r w:rsidR="00A56E08">
        <w:rPr>
          <w:shd w:val="clear" w:color="auto" w:fill="FFFFFF"/>
        </w:rPr>
        <w:t>д</w:t>
      </w:r>
      <w:r w:rsidR="00EE6AA2">
        <w:rPr>
          <w:shd w:val="clear" w:color="auto" w:fill="FFFFFF"/>
        </w:rPr>
        <w:t>е</w:t>
      </w:r>
      <w:r w:rsidR="00A56E08">
        <w:rPr>
          <w:shd w:val="clear" w:color="auto" w:fill="FFFFFF"/>
        </w:rPr>
        <w:t>на</w:t>
      </w:r>
      <w:r>
        <w:rPr>
          <w:shd w:val="clear" w:color="auto" w:fill="FFFFFF"/>
        </w:rPr>
        <w:t>т</w:t>
      </w:r>
      <w:r w:rsidR="00A56E08">
        <w:rPr>
          <w:shd w:val="clear" w:color="auto" w:fill="FFFFFF"/>
        </w:rPr>
        <w:t>а</w:t>
      </w:r>
      <w:r w:rsidR="00167F60" w:rsidRPr="00F6340E">
        <w:rPr>
          <w:shd w:val="clear" w:color="auto" w:fill="FFFFFF"/>
        </w:rPr>
        <w:t>.</w:t>
      </w:r>
      <w:r w:rsidR="00B34E4E" w:rsidRPr="00F6340E">
        <w:rPr>
          <w:shd w:val="clear" w:color="auto" w:fill="FFFFFF"/>
        </w:rPr>
        <w:t xml:space="preserve"> </w:t>
      </w:r>
      <w:r>
        <w:rPr>
          <w:shd w:val="clear" w:color="auto" w:fill="FFFFFF"/>
        </w:rPr>
        <w:t>Пр</w:t>
      </w:r>
      <w:r w:rsidR="00A56E08">
        <w:rPr>
          <w:shd w:val="clear" w:color="auto" w:fill="FFFFFF"/>
        </w:rPr>
        <w:t>оц</w:t>
      </w:r>
      <w:r w:rsidR="00EE6AA2">
        <w:rPr>
          <w:shd w:val="clear" w:color="auto" w:fill="FFFFFF"/>
        </w:rPr>
        <w:t>е</w:t>
      </w:r>
      <w:r>
        <w:rPr>
          <w:shd w:val="clear" w:color="auto" w:fill="FFFFFF"/>
        </w:rPr>
        <w:t>с</w:t>
      </w:r>
      <w:r w:rsidR="00D94303" w:rsidRPr="00F6340E">
        <w:rPr>
          <w:shd w:val="clear" w:color="auto" w:fill="FFFFFF"/>
        </w:rPr>
        <w:t xml:space="preserve"> </w:t>
      </w:r>
      <w:r w:rsidR="00A56E08">
        <w:rPr>
          <w:shd w:val="clear" w:color="auto" w:fill="FFFFFF"/>
        </w:rPr>
        <w:t>ј</w:t>
      </w:r>
      <w:r w:rsidR="00EE6AA2">
        <w:rPr>
          <w:shd w:val="clear" w:color="auto" w:fill="FFFFFF"/>
        </w:rPr>
        <w:t>е</w:t>
      </w:r>
      <w:r w:rsidR="00D94303" w:rsidRPr="00F6340E">
        <w:rPr>
          <w:shd w:val="clear" w:color="auto" w:fill="FFFFFF"/>
        </w:rPr>
        <w:t xml:space="preserve"> </w:t>
      </w:r>
      <w:r>
        <w:rPr>
          <w:shd w:val="clear" w:color="auto" w:fill="FFFFFF"/>
        </w:rPr>
        <w:t>в</w:t>
      </w:r>
      <w:r w:rsidR="00A56E08">
        <w:rPr>
          <w:shd w:val="clear" w:color="auto" w:fill="FFFFFF"/>
        </w:rPr>
        <w:t>ођ</w:t>
      </w:r>
      <w:r w:rsidR="00EE6AA2">
        <w:rPr>
          <w:shd w:val="clear" w:color="auto" w:fill="FFFFFF"/>
        </w:rPr>
        <w:t>е</w:t>
      </w:r>
      <w:r w:rsidR="00A56E08">
        <w:rPr>
          <w:shd w:val="clear" w:color="auto" w:fill="FFFFFF"/>
        </w:rPr>
        <w:t>н</w:t>
      </w:r>
      <w:r w:rsidR="00D94303" w:rsidRPr="00F6340E">
        <w:rPr>
          <w:shd w:val="clear" w:color="auto" w:fill="FFFFFF"/>
        </w:rPr>
        <w:t xml:space="preserve"> </w:t>
      </w:r>
      <w:r w:rsidR="00A56E08">
        <w:rPr>
          <w:shd w:val="clear" w:color="auto" w:fill="FFFFFF"/>
        </w:rPr>
        <w:t>од</w:t>
      </w:r>
      <w:r w:rsidR="00D94303" w:rsidRPr="00F6340E">
        <w:rPr>
          <w:shd w:val="clear" w:color="auto" w:fill="FFFFFF"/>
        </w:rPr>
        <w:t xml:space="preserve"> </w:t>
      </w:r>
      <w:r>
        <w:rPr>
          <w:shd w:val="clear" w:color="auto" w:fill="FFFFFF"/>
        </w:rPr>
        <w:t>стр</w:t>
      </w:r>
      <w:r w:rsidR="00A56E08">
        <w:rPr>
          <w:shd w:val="clear" w:color="auto" w:fill="FFFFFF"/>
        </w:rPr>
        <w:t>ан</w:t>
      </w:r>
      <w:r w:rsidR="00EE6AA2">
        <w:rPr>
          <w:shd w:val="clear" w:color="auto" w:fill="FFFFFF"/>
        </w:rPr>
        <w:t>е</w:t>
      </w:r>
      <w:r w:rsidR="00D94303" w:rsidRPr="00F6340E">
        <w:rPr>
          <w:shd w:val="clear" w:color="auto" w:fill="FFFFFF"/>
        </w:rPr>
        <w:t xml:space="preserve"> </w:t>
      </w:r>
      <w:r w:rsidR="00A56E08">
        <w:rPr>
          <w:shd w:val="clear" w:color="auto" w:fill="FFFFFF"/>
        </w:rPr>
        <w:t>на</w:t>
      </w:r>
      <w:r>
        <w:rPr>
          <w:shd w:val="clear" w:color="auto" w:fill="FFFFFF"/>
        </w:rPr>
        <w:t>ст</w:t>
      </w:r>
      <w:r w:rsidR="00A56E08">
        <w:rPr>
          <w:shd w:val="clear" w:color="auto" w:fill="FFFFFF"/>
        </w:rPr>
        <w:t>а</w:t>
      </w:r>
      <w:r>
        <w:rPr>
          <w:shd w:val="clear" w:color="auto" w:fill="FFFFFF"/>
        </w:rPr>
        <w:t>в</w:t>
      </w:r>
      <w:r w:rsidR="00A56E08">
        <w:rPr>
          <w:shd w:val="clear" w:color="auto" w:fill="FFFFFF"/>
        </w:rPr>
        <w:t>ника</w:t>
      </w:r>
      <w:r w:rsidR="00D94303" w:rsidRPr="00F6340E">
        <w:rPr>
          <w:shd w:val="clear" w:color="auto" w:fill="FFFFFF"/>
        </w:rPr>
        <w:t xml:space="preserve"> </w:t>
      </w:r>
      <w:r>
        <w:rPr>
          <w:shd w:val="clear" w:color="auto" w:fill="FFFFFF"/>
        </w:rPr>
        <w:t>шт</w:t>
      </w:r>
      <w:r w:rsidR="00A56E08">
        <w:rPr>
          <w:shd w:val="clear" w:color="auto" w:fill="FFFFFF"/>
        </w:rPr>
        <w:t>о</w:t>
      </w:r>
      <w:r w:rsidR="007F4EEA" w:rsidRPr="00F6340E">
        <w:rPr>
          <w:shd w:val="clear" w:color="auto" w:fill="FFFFFF"/>
        </w:rPr>
        <w:t xml:space="preserve"> </w:t>
      </w:r>
      <w:r w:rsidR="00171F00">
        <w:rPr>
          <w:shd w:val="clear" w:color="auto" w:fill="FFFFFF"/>
        </w:rPr>
        <w:t>з</w:t>
      </w:r>
      <w:r w:rsidR="00A56E08">
        <w:rPr>
          <w:shd w:val="clear" w:color="auto" w:fill="FFFFFF"/>
        </w:rPr>
        <w:t>начи</w:t>
      </w:r>
      <w:r w:rsidR="007F4EEA" w:rsidRPr="00F6340E">
        <w:rPr>
          <w:shd w:val="clear" w:color="auto" w:fill="FFFFFF"/>
        </w:rPr>
        <w:t xml:space="preserve"> </w:t>
      </w:r>
      <w:r w:rsidR="00A56E08">
        <w:rPr>
          <w:shd w:val="clear" w:color="auto" w:fill="FFFFFF"/>
        </w:rPr>
        <w:t>да</w:t>
      </w:r>
      <w:r w:rsidR="007F4EEA" w:rsidRPr="00F6340E">
        <w:rPr>
          <w:shd w:val="clear" w:color="auto" w:fill="FFFFFF"/>
        </w:rPr>
        <w:t xml:space="preserve"> </w:t>
      </w:r>
      <w:r>
        <w:rPr>
          <w:shd w:val="clear" w:color="auto" w:fill="FFFFFF"/>
        </w:rPr>
        <w:t>п</w:t>
      </w:r>
      <w:r w:rsidR="00A56E08">
        <w:rPr>
          <w:shd w:val="clear" w:color="auto" w:fill="FFFFFF"/>
        </w:rPr>
        <w:t>о</w:t>
      </w:r>
      <w:r>
        <w:rPr>
          <w:shd w:val="clear" w:color="auto" w:fill="FFFFFF"/>
        </w:rPr>
        <w:t>ст</w:t>
      </w:r>
      <w:r w:rsidR="00A56E08">
        <w:rPr>
          <w:shd w:val="clear" w:color="auto" w:fill="FFFFFF"/>
        </w:rPr>
        <w:t>оји</w:t>
      </w:r>
      <w:r w:rsidR="007F4EEA" w:rsidRPr="00F6340E">
        <w:rPr>
          <w:shd w:val="clear" w:color="auto" w:fill="FFFFFF"/>
        </w:rPr>
        <w:t xml:space="preserve"> </w:t>
      </w:r>
      <w:r w:rsidR="00A56E08">
        <w:rPr>
          <w:shd w:val="clear" w:color="auto" w:fill="FFFFFF"/>
        </w:rPr>
        <w:t>ја</w:t>
      </w:r>
      <w:r>
        <w:rPr>
          <w:shd w:val="clear" w:color="auto" w:fill="FFFFFF"/>
        </w:rPr>
        <w:t>с</w:t>
      </w:r>
      <w:r w:rsidR="00A56E08">
        <w:rPr>
          <w:shd w:val="clear" w:color="auto" w:fill="FFFFFF"/>
        </w:rPr>
        <w:t>на</w:t>
      </w:r>
      <w:r w:rsidR="007F4EEA" w:rsidRPr="00F6340E">
        <w:rPr>
          <w:shd w:val="clear" w:color="auto" w:fill="FFFFFF"/>
        </w:rPr>
        <w:t xml:space="preserve"> </w:t>
      </w:r>
      <w:r>
        <w:rPr>
          <w:shd w:val="clear" w:color="auto" w:fill="FFFFFF"/>
        </w:rPr>
        <w:t>стру</w:t>
      </w:r>
      <w:r w:rsidR="00A56E08">
        <w:rPr>
          <w:shd w:val="clear" w:color="auto" w:fill="FFFFFF"/>
        </w:rPr>
        <w:t>к</w:t>
      </w:r>
      <w:r>
        <w:rPr>
          <w:shd w:val="clear" w:color="auto" w:fill="FFFFFF"/>
        </w:rPr>
        <w:t>тур</w:t>
      </w:r>
      <w:r w:rsidR="00A56E08">
        <w:rPr>
          <w:shd w:val="clear" w:color="auto" w:fill="FFFFFF"/>
        </w:rPr>
        <w:t>а</w:t>
      </w:r>
      <w:r w:rsidR="007F4EEA" w:rsidRPr="00F6340E">
        <w:rPr>
          <w:shd w:val="clear" w:color="auto" w:fill="FFFFFF"/>
        </w:rPr>
        <w:t xml:space="preserve"> </w:t>
      </w:r>
      <w:r w:rsidR="00A56E08">
        <w:rPr>
          <w:shd w:val="clear" w:color="auto" w:fill="FFFFFF"/>
        </w:rPr>
        <w:t>и</w:t>
      </w:r>
      <w:r w:rsidR="007F4EEA" w:rsidRPr="00F6340E">
        <w:rPr>
          <w:shd w:val="clear" w:color="auto" w:fill="FFFFFF"/>
        </w:rPr>
        <w:t xml:space="preserve"> </w:t>
      </w:r>
      <w:r w:rsidR="00A56E08">
        <w:rPr>
          <w:shd w:val="clear" w:color="auto" w:fill="FFFFFF"/>
        </w:rPr>
        <w:t>а</w:t>
      </w:r>
      <w:r>
        <w:rPr>
          <w:shd w:val="clear" w:color="auto" w:fill="FFFFFF"/>
        </w:rPr>
        <w:t>рт</w:t>
      </w:r>
      <w:r w:rsidR="00A56E08">
        <w:rPr>
          <w:shd w:val="clear" w:color="auto" w:fill="FFFFFF"/>
        </w:rPr>
        <w:t>ик</w:t>
      </w:r>
      <w:r>
        <w:rPr>
          <w:shd w:val="clear" w:color="auto" w:fill="FFFFFF"/>
        </w:rPr>
        <w:t>у</w:t>
      </w:r>
      <w:r w:rsidR="00A56E08">
        <w:rPr>
          <w:shd w:val="clear" w:color="auto" w:fill="FFFFFF"/>
        </w:rPr>
        <w:t>лација</w:t>
      </w:r>
      <w:r w:rsidR="007F4EEA" w:rsidRPr="00F6340E">
        <w:rPr>
          <w:shd w:val="clear" w:color="auto" w:fill="FFFFFF"/>
        </w:rPr>
        <w:t xml:space="preserve"> </w:t>
      </w:r>
      <w:r>
        <w:rPr>
          <w:shd w:val="clear" w:color="auto" w:fill="FFFFFF"/>
        </w:rPr>
        <w:t>у</w:t>
      </w:r>
      <w:r w:rsidR="007F4EEA" w:rsidRPr="00F6340E">
        <w:rPr>
          <w:shd w:val="clear" w:color="auto" w:fill="FFFFFF"/>
        </w:rPr>
        <w:t xml:space="preserve"> </w:t>
      </w:r>
      <w:r w:rsidR="00A56E08">
        <w:rPr>
          <w:shd w:val="clear" w:color="auto" w:fill="FFFFFF"/>
        </w:rPr>
        <w:t>њ</w:t>
      </w:r>
      <w:r w:rsidR="00EE6AA2">
        <w:rPr>
          <w:shd w:val="clear" w:color="auto" w:fill="FFFFFF"/>
        </w:rPr>
        <w:t>е</w:t>
      </w:r>
      <w:r w:rsidR="00A56E08">
        <w:rPr>
          <w:shd w:val="clear" w:color="auto" w:fill="FFFFFF"/>
        </w:rPr>
        <w:t>го</w:t>
      </w:r>
      <w:r>
        <w:rPr>
          <w:shd w:val="clear" w:color="auto" w:fill="FFFFFF"/>
        </w:rPr>
        <w:t>в</w:t>
      </w:r>
      <w:r w:rsidR="00A56E08">
        <w:rPr>
          <w:shd w:val="clear" w:color="auto" w:fill="FFFFFF"/>
        </w:rPr>
        <w:t>ом</w:t>
      </w:r>
      <w:r w:rsidR="007F4EEA" w:rsidRPr="00F6340E">
        <w:rPr>
          <w:shd w:val="clear" w:color="auto" w:fill="FFFFFF"/>
        </w:rPr>
        <w:t xml:space="preserve"> </w:t>
      </w:r>
      <w:r w:rsidR="00A56E08">
        <w:rPr>
          <w:shd w:val="clear" w:color="auto" w:fill="FFFFFF"/>
        </w:rPr>
        <w:t>и</w:t>
      </w:r>
      <w:r w:rsidR="00171F00">
        <w:rPr>
          <w:shd w:val="clear" w:color="auto" w:fill="FFFFFF"/>
        </w:rPr>
        <w:t>з</w:t>
      </w:r>
      <w:r>
        <w:rPr>
          <w:shd w:val="clear" w:color="auto" w:fill="FFFFFF"/>
        </w:rPr>
        <w:t>в</w:t>
      </w:r>
      <w:r w:rsidR="00A56E08">
        <w:rPr>
          <w:shd w:val="clear" w:color="auto" w:fill="FFFFFF"/>
        </w:rPr>
        <w:t>ођ</w:t>
      </w:r>
      <w:r w:rsidR="00EE6AA2">
        <w:rPr>
          <w:shd w:val="clear" w:color="auto" w:fill="FFFFFF"/>
        </w:rPr>
        <w:t>е</w:t>
      </w:r>
      <w:r w:rsidR="00A56E08">
        <w:rPr>
          <w:shd w:val="clear" w:color="auto" w:fill="FFFFFF"/>
        </w:rPr>
        <w:t>њ</w:t>
      </w:r>
      <w:r>
        <w:rPr>
          <w:shd w:val="clear" w:color="auto" w:fill="FFFFFF"/>
        </w:rPr>
        <w:t>у</w:t>
      </w:r>
      <w:r w:rsidR="007F4EEA" w:rsidRPr="00F6340E">
        <w:rPr>
          <w:shd w:val="clear" w:color="auto" w:fill="FFFFFF"/>
        </w:rPr>
        <w:t>.</w:t>
      </w:r>
    </w:p>
    <w:p w14:paraId="727F0956" w14:textId="75C2BF56" w:rsidR="00483250" w:rsidRPr="00F6340E" w:rsidRDefault="0071360A" w:rsidP="001A6D76">
      <w:pPr>
        <w:pStyle w:val="Heading2"/>
        <w:numPr>
          <w:ilvl w:val="1"/>
          <w:numId w:val="60"/>
        </w:numPr>
        <w:ind w:left="709"/>
        <w:rPr>
          <w:lang w:val="sr-Cyrl-BA"/>
        </w:rPr>
      </w:pPr>
      <w:bookmarkStart w:id="10" w:name="_Toc119050295"/>
      <w:r>
        <w:rPr>
          <w:lang w:val="sr-Cyrl-BA"/>
        </w:rPr>
        <w:lastRenderedPageBreak/>
        <w:t>Ст</w:t>
      </w:r>
      <w:r w:rsidR="00A56E08">
        <w:rPr>
          <w:lang w:val="sr-Cyrl-BA"/>
        </w:rPr>
        <w:t>ило</w:t>
      </w:r>
      <w:r>
        <w:rPr>
          <w:lang w:val="sr-Cyrl-BA"/>
        </w:rPr>
        <w:t>в</w:t>
      </w:r>
      <w:r w:rsidR="00A56E08">
        <w:rPr>
          <w:lang w:val="sr-Cyrl-BA"/>
        </w:rPr>
        <w:t>и</w:t>
      </w:r>
      <w:r w:rsidR="00483250" w:rsidRPr="00F6340E">
        <w:rPr>
          <w:lang w:val="sr-Cyrl-BA"/>
        </w:rPr>
        <w:t xml:space="preserve"> </w:t>
      </w:r>
      <w:r>
        <w:rPr>
          <w:lang w:val="sr-Cyrl-BA"/>
        </w:rPr>
        <w:t>у</w:t>
      </w:r>
      <w:r w:rsidR="00A56E08">
        <w:rPr>
          <w:lang w:val="sr-Cyrl-BA"/>
        </w:rPr>
        <w:t>ч</w:t>
      </w:r>
      <w:r w:rsidR="00EE6AA2">
        <w:rPr>
          <w:lang w:val="sr-Cyrl-BA"/>
        </w:rPr>
        <w:t>е</w:t>
      </w:r>
      <w:r w:rsidR="00A56E08">
        <w:rPr>
          <w:lang w:val="sr-Cyrl-BA"/>
        </w:rPr>
        <w:t>ња</w:t>
      </w:r>
      <w:bookmarkEnd w:id="10"/>
      <w:r w:rsidR="00483250" w:rsidRPr="00F6340E">
        <w:rPr>
          <w:lang w:val="sr-Cyrl-BA"/>
        </w:rPr>
        <w:t xml:space="preserve"> </w:t>
      </w:r>
      <w:r w:rsidR="001E7F24" w:rsidRPr="00F6340E">
        <w:rPr>
          <w:lang w:val="sr-Cyrl-BA"/>
        </w:rPr>
        <w:t xml:space="preserve"> </w:t>
      </w:r>
    </w:p>
    <w:p w14:paraId="643DA43B" w14:textId="77777777" w:rsidR="001A6D76" w:rsidRPr="001A6D76" w:rsidRDefault="001A6D76" w:rsidP="001A6D76">
      <w:pPr>
        <w:pStyle w:val="ListParagraph"/>
        <w:keepNext/>
        <w:keepLines/>
        <w:numPr>
          <w:ilvl w:val="0"/>
          <w:numId w:val="74"/>
        </w:numPr>
        <w:spacing w:before="320" w:after="320"/>
        <w:contextualSpacing w:val="0"/>
        <w:jc w:val="left"/>
        <w:outlineLvl w:val="2"/>
        <w:rPr>
          <w:rFonts w:ascii="Arial" w:eastAsiaTheme="majorEastAsia" w:hAnsi="Arial" w:cstheme="majorBidi"/>
          <w:b/>
          <w:vanish/>
          <w:color w:val="00B0F0"/>
          <w:sz w:val="24"/>
          <w:szCs w:val="24"/>
          <w:lang w:val="sr-Cyrl-BA"/>
        </w:rPr>
      </w:pPr>
      <w:bookmarkStart w:id="11" w:name="_Toc119017641"/>
      <w:bookmarkStart w:id="12" w:name="_Toc119050296"/>
      <w:bookmarkEnd w:id="11"/>
      <w:bookmarkEnd w:id="12"/>
    </w:p>
    <w:p w14:paraId="402DB845" w14:textId="77777777" w:rsidR="001A6D76" w:rsidRPr="001A6D76" w:rsidRDefault="001A6D76" w:rsidP="001A6D76">
      <w:pPr>
        <w:pStyle w:val="ListParagraph"/>
        <w:keepNext/>
        <w:keepLines/>
        <w:numPr>
          <w:ilvl w:val="1"/>
          <w:numId w:val="74"/>
        </w:numPr>
        <w:spacing w:before="320" w:after="320"/>
        <w:contextualSpacing w:val="0"/>
        <w:jc w:val="left"/>
        <w:outlineLvl w:val="2"/>
        <w:rPr>
          <w:rFonts w:ascii="Arial" w:eastAsiaTheme="majorEastAsia" w:hAnsi="Arial" w:cstheme="majorBidi"/>
          <w:b/>
          <w:vanish/>
          <w:color w:val="00B0F0"/>
          <w:sz w:val="24"/>
          <w:szCs w:val="24"/>
          <w:lang w:val="sr-Cyrl-BA"/>
        </w:rPr>
      </w:pPr>
      <w:bookmarkStart w:id="13" w:name="_Toc119017642"/>
      <w:bookmarkStart w:id="14" w:name="_Toc119050297"/>
      <w:bookmarkEnd w:id="13"/>
      <w:bookmarkEnd w:id="14"/>
    </w:p>
    <w:p w14:paraId="4FE9C46B" w14:textId="77777777" w:rsidR="001A6D76" w:rsidRPr="001A6D76" w:rsidRDefault="001A6D76" w:rsidP="001A6D76">
      <w:pPr>
        <w:pStyle w:val="ListParagraph"/>
        <w:keepNext/>
        <w:keepLines/>
        <w:numPr>
          <w:ilvl w:val="1"/>
          <w:numId w:val="74"/>
        </w:numPr>
        <w:spacing w:before="320" w:after="320"/>
        <w:contextualSpacing w:val="0"/>
        <w:jc w:val="left"/>
        <w:outlineLvl w:val="2"/>
        <w:rPr>
          <w:rFonts w:ascii="Arial" w:eastAsiaTheme="majorEastAsia" w:hAnsi="Arial" w:cstheme="majorBidi"/>
          <w:b/>
          <w:vanish/>
          <w:color w:val="00B0F0"/>
          <w:sz w:val="24"/>
          <w:szCs w:val="24"/>
          <w:lang w:val="sr-Cyrl-BA"/>
        </w:rPr>
      </w:pPr>
      <w:bookmarkStart w:id="15" w:name="_Toc119017643"/>
      <w:bookmarkStart w:id="16" w:name="_Toc119050298"/>
      <w:bookmarkEnd w:id="15"/>
      <w:bookmarkEnd w:id="16"/>
    </w:p>
    <w:p w14:paraId="3CCF193D" w14:textId="35030529" w:rsidR="009744BD" w:rsidRPr="00F6340E" w:rsidRDefault="00A56E08" w:rsidP="001A6D76">
      <w:pPr>
        <w:pStyle w:val="Heading3"/>
        <w:numPr>
          <w:ilvl w:val="2"/>
          <w:numId w:val="74"/>
        </w:numPr>
        <w:ind w:left="504"/>
        <w:rPr>
          <w:lang w:val="sr-Cyrl-BA"/>
        </w:rPr>
      </w:pPr>
      <w:bookmarkStart w:id="17" w:name="_Toc119050299"/>
      <w:r>
        <w:rPr>
          <w:lang w:val="sr-Cyrl-BA"/>
        </w:rPr>
        <w:t>Диги</w:t>
      </w:r>
      <w:r w:rsidR="0071360A">
        <w:rPr>
          <w:lang w:val="sr-Cyrl-BA"/>
        </w:rPr>
        <w:t>т</w:t>
      </w:r>
      <w:r>
        <w:rPr>
          <w:lang w:val="sr-Cyrl-BA"/>
        </w:rPr>
        <w:t>ално</w:t>
      </w:r>
      <w:r w:rsidR="00872771" w:rsidRPr="00F6340E">
        <w:rPr>
          <w:lang w:val="sr-Cyrl-BA"/>
        </w:rPr>
        <w:t xml:space="preserve"> </w:t>
      </w:r>
      <w:r w:rsidR="0071360A">
        <w:rPr>
          <w:lang w:val="sr-Cyrl-BA"/>
        </w:rPr>
        <w:t>у</w:t>
      </w:r>
      <w:r>
        <w:rPr>
          <w:lang w:val="sr-Cyrl-BA"/>
        </w:rPr>
        <w:t>ч</w:t>
      </w:r>
      <w:r w:rsidR="00EE6AA2">
        <w:rPr>
          <w:lang w:val="sr-Cyrl-BA"/>
        </w:rPr>
        <w:t>е</w:t>
      </w:r>
      <w:r>
        <w:rPr>
          <w:lang w:val="sr-Cyrl-BA"/>
        </w:rPr>
        <w:t>њ</w:t>
      </w:r>
      <w:r w:rsidR="00EE6AA2">
        <w:rPr>
          <w:lang w:val="sr-Cyrl-BA"/>
        </w:rPr>
        <w:t>е</w:t>
      </w:r>
      <w:r w:rsidR="000053AE" w:rsidRPr="00F6340E">
        <w:rPr>
          <w:lang w:val="sr-Cyrl-BA"/>
        </w:rPr>
        <w:t xml:space="preserve"> (</w:t>
      </w:r>
      <w:r w:rsidR="000010C5">
        <w:rPr>
          <w:lang w:val="hr-BA"/>
        </w:rPr>
        <w:t>Digital learning</w:t>
      </w:r>
      <w:r w:rsidR="000053AE" w:rsidRPr="00F6340E">
        <w:rPr>
          <w:lang w:val="sr-Cyrl-BA"/>
        </w:rPr>
        <w:t>)</w:t>
      </w:r>
      <w:bookmarkEnd w:id="17"/>
    </w:p>
    <w:p w14:paraId="0823C797" w14:textId="247009E3" w:rsidR="00F17EE6" w:rsidRPr="00F6340E" w:rsidRDefault="00A56E08" w:rsidP="00210EE1">
      <w:pPr>
        <w:pStyle w:val="Body"/>
      </w:pPr>
      <w:r>
        <w:rPr>
          <w:rStyle w:val="y2iqfc"/>
          <w:rFonts w:cs="Arial"/>
          <w:color w:val="202124"/>
          <w:szCs w:val="24"/>
        </w:rPr>
        <w:t>Диги</w:t>
      </w:r>
      <w:r w:rsidR="0071360A">
        <w:rPr>
          <w:rStyle w:val="y2iqfc"/>
          <w:rFonts w:cs="Arial"/>
          <w:color w:val="202124"/>
          <w:szCs w:val="24"/>
        </w:rPr>
        <w:t>т</w:t>
      </w:r>
      <w:r>
        <w:rPr>
          <w:rStyle w:val="y2iqfc"/>
          <w:rFonts w:cs="Arial"/>
          <w:color w:val="202124"/>
          <w:szCs w:val="24"/>
        </w:rPr>
        <w:t>ално</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EE6AA2">
        <w:rPr>
          <w:rStyle w:val="y2iqfc"/>
          <w:rFonts w:cs="Arial"/>
          <w:color w:val="202124"/>
          <w:szCs w:val="24"/>
        </w:rPr>
        <w:t>е</w:t>
      </w:r>
      <w:r w:rsidR="00F17EE6" w:rsidRPr="00F6340E">
        <w:rPr>
          <w:rStyle w:val="y2iqfc"/>
          <w:rFonts w:cs="Arial"/>
          <w:color w:val="202124"/>
          <w:szCs w:val="24"/>
        </w:rPr>
        <w:t xml:space="preserve"> </w:t>
      </w:r>
      <w:r>
        <w:rPr>
          <w:rStyle w:val="y2iqfc"/>
          <w:rFonts w:cs="Arial"/>
          <w:color w:val="202124"/>
          <w:szCs w:val="24"/>
        </w:rPr>
        <w:t>ј</w:t>
      </w:r>
      <w:r w:rsidR="00EE6AA2">
        <w:rPr>
          <w:rStyle w:val="y2iqfc"/>
          <w:rFonts w:cs="Arial"/>
          <w:color w:val="202124"/>
          <w:szCs w:val="24"/>
        </w:rPr>
        <w:t>е</w:t>
      </w:r>
      <w:r w:rsidR="00F17EE6" w:rsidRPr="00F6340E">
        <w:rPr>
          <w:rStyle w:val="y2iqfc"/>
          <w:rFonts w:cs="Arial"/>
          <w:color w:val="202124"/>
          <w:szCs w:val="24"/>
        </w:rPr>
        <w:t xml:space="preserve"> </w:t>
      </w:r>
      <w:r w:rsidR="0071360A">
        <w:rPr>
          <w:rStyle w:val="y2iqfc"/>
          <w:rFonts w:cs="Arial"/>
          <w:color w:val="202124"/>
          <w:szCs w:val="24"/>
        </w:rPr>
        <w:t>п</w:t>
      </w:r>
      <w:r>
        <w:rPr>
          <w:rStyle w:val="y2iqfc"/>
          <w:rFonts w:cs="Arial"/>
          <w:color w:val="202124"/>
          <w:szCs w:val="24"/>
        </w:rPr>
        <w:t>ојам</w:t>
      </w:r>
      <w:r w:rsidR="00BF0C16" w:rsidRPr="00F6340E">
        <w:rPr>
          <w:rStyle w:val="y2iqfc"/>
          <w:rFonts w:cs="Arial"/>
          <w:color w:val="202124"/>
          <w:szCs w:val="24"/>
        </w:rPr>
        <w:t>,</w:t>
      </w:r>
      <w:r w:rsidR="00F17EE6" w:rsidRPr="00F6340E">
        <w:rPr>
          <w:rStyle w:val="y2iqfc"/>
          <w:rFonts w:cs="Arial"/>
          <w:color w:val="202124"/>
          <w:szCs w:val="24"/>
        </w:rPr>
        <w:t xml:space="preserve"> </w:t>
      </w:r>
      <w:r>
        <w:rPr>
          <w:rStyle w:val="y2iqfc"/>
          <w:rFonts w:cs="Arial"/>
          <w:color w:val="202124"/>
          <w:szCs w:val="24"/>
        </w:rPr>
        <w:t>који</w:t>
      </w:r>
      <w:r w:rsidR="00F17EE6" w:rsidRPr="00F6340E">
        <w:rPr>
          <w:rStyle w:val="y2iqfc"/>
          <w:rFonts w:cs="Arial"/>
          <w:color w:val="202124"/>
          <w:szCs w:val="24"/>
        </w:rPr>
        <w:t xml:space="preserve"> </w:t>
      </w:r>
      <w:r w:rsidR="0071360A">
        <w:rPr>
          <w:rStyle w:val="y2iqfc"/>
          <w:rFonts w:cs="Arial"/>
          <w:color w:val="202124"/>
          <w:szCs w:val="24"/>
        </w:rPr>
        <w:t>с</w:t>
      </w:r>
      <w:r w:rsidR="00EE6AA2">
        <w:rPr>
          <w:rStyle w:val="y2iqfc"/>
          <w:rFonts w:cs="Arial"/>
          <w:color w:val="202124"/>
          <w:szCs w:val="24"/>
        </w:rPr>
        <w:t>е</w:t>
      </w:r>
      <w:r w:rsidR="00BF0C16" w:rsidRPr="00F6340E">
        <w:rPr>
          <w:rStyle w:val="y2iqfc"/>
          <w:rFonts w:cs="Arial"/>
          <w:color w:val="202124"/>
          <w:szCs w:val="24"/>
        </w:rPr>
        <w:t xml:space="preserve"> </w:t>
      </w:r>
      <w:r>
        <w:rPr>
          <w:rStyle w:val="y2iqfc"/>
          <w:rFonts w:cs="Arial"/>
          <w:color w:val="202124"/>
          <w:szCs w:val="24"/>
        </w:rPr>
        <w:t>одно</w:t>
      </w:r>
      <w:r w:rsidR="0071360A">
        <w:rPr>
          <w:rStyle w:val="y2iqfc"/>
          <w:rFonts w:cs="Arial"/>
          <w:color w:val="202124"/>
          <w:szCs w:val="24"/>
        </w:rPr>
        <w:t>с</w:t>
      </w:r>
      <w:r>
        <w:rPr>
          <w:rStyle w:val="y2iqfc"/>
          <w:rFonts w:cs="Arial"/>
          <w:color w:val="202124"/>
          <w:szCs w:val="24"/>
        </w:rPr>
        <w:t>и</w:t>
      </w:r>
      <w:r w:rsidR="00F17EE6" w:rsidRPr="00F6340E">
        <w:rPr>
          <w:rStyle w:val="y2iqfc"/>
          <w:rFonts w:cs="Arial"/>
          <w:color w:val="202124"/>
          <w:szCs w:val="24"/>
        </w:rPr>
        <w:t xml:space="preserve"> </w:t>
      </w:r>
      <w:r>
        <w:rPr>
          <w:rStyle w:val="y2iqfc"/>
          <w:rFonts w:cs="Arial"/>
          <w:color w:val="202124"/>
          <w:szCs w:val="24"/>
        </w:rPr>
        <w:t>на</w:t>
      </w:r>
      <w:r w:rsidR="00F17EE6" w:rsidRPr="00F6340E">
        <w:rPr>
          <w:rStyle w:val="y2iqfc"/>
          <w:rFonts w:cs="Arial"/>
          <w:color w:val="202124"/>
          <w:szCs w:val="24"/>
        </w:rPr>
        <w:t xml:space="preserve"> </w:t>
      </w:r>
      <w:r w:rsidR="0071360A">
        <w:rPr>
          <w:rStyle w:val="y2iqfc"/>
          <w:rFonts w:cs="Arial"/>
          <w:color w:val="202124"/>
          <w:szCs w:val="24"/>
        </w:rPr>
        <w:t>уп</w:t>
      </w:r>
      <w:r>
        <w:rPr>
          <w:rStyle w:val="y2iqfc"/>
          <w:rFonts w:cs="Arial"/>
          <w:color w:val="202124"/>
          <w:szCs w:val="24"/>
        </w:rPr>
        <w:t>о</w:t>
      </w:r>
      <w:r w:rsidR="0071360A">
        <w:rPr>
          <w:rStyle w:val="y2iqfc"/>
          <w:rFonts w:cs="Arial"/>
          <w:color w:val="202124"/>
          <w:szCs w:val="24"/>
        </w:rPr>
        <w:t>тр</w:t>
      </w:r>
      <w:r w:rsidR="00EE6AA2">
        <w:rPr>
          <w:rStyle w:val="y2iqfc"/>
          <w:rFonts w:cs="Arial"/>
          <w:color w:val="202124"/>
          <w:szCs w:val="24"/>
        </w:rPr>
        <w:t>е</w:t>
      </w:r>
      <w:r>
        <w:rPr>
          <w:rStyle w:val="y2iqfc"/>
          <w:rFonts w:cs="Arial"/>
          <w:color w:val="202124"/>
          <w:szCs w:val="24"/>
        </w:rPr>
        <w:t>б</w:t>
      </w:r>
      <w:r w:rsidR="0071360A">
        <w:rPr>
          <w:rStyle w:val="y2iqfc"/>
          <w:rFonts w:cs="Arial"/>
          <w:color w:val="202124"/>
          <w:szCs w:val="24"/>
        </w:rPr>
        <w:t>у</w:t>
      </w:r>
      <w:r w:rsidR="00F17EE6" w:rsidRPr="00F6340E">
        <w:rPr>
          <w:rStyle w:val="y2iqfc"/>
          <w:rFonts w:cs="Arial"/>
          <w:color w:val="202124"/>
          <w:szCs w:val="24"/>
        </w:rPr>
        <w:t xml:space="preserve"> </w:t>
      </w:r>
      <w:r>
        <w:rPr>
          <w:rStyle w:val="y2iqfc"/>
          <w:rFonts w:cs="Arial"/>
          <w:color w:val="202124"/>
          <w:szCs w:val="24"/>
        </w:rPr>
        <w:t>инфо</w:t>
      </w:r>
      <w:r w:rsidR="0071360A">
        <w:rPr>
          <w:rStyle w:val="y2iqfc"/>
          <w:rFonts w:cs="Arial"/>
          <w:color w:val="202124"/>
          <w:szCs w:val="24"/>
        </w:rPr>
        <w:t>р</w:t>
      </w:r>
      <w:r>
        <w:rPr>
          <w:rStyle w:val="y2iqfc"/>
          <w:rFonts w:cs="Arial"/>
          <w:color w:val="202124"/>
          <w:szCs w:val="24"/>
        </w:rPr>
        <w:t>ма</w:t>
      </w:r>
      <w:r w:rsidR="0071360A">
        <w:rPr>
          <w:rStyle w:val="y2iqfc"/>
          <w:rFonts w:cs="Arial"/>
          <w:color w:val="202124"/>
          <w:szCs w:val="24"/>
        </w:rPr>
        <w:t>т</w:t>
      </w:r>
      <w:r>
        <w:rPr>
          <w:rStyle w:val="y2iqfc"/>
          <w:rFonts w:cs="Arial"/>
          <w:color w:val="202124"/>
          <w:szCs w:val="24"/>
        </w:rPr>
        <w:t>ичких</w:t>
      </w:r>
      <w:r w:rsidR="00E864CA" w:rsidRPr="00F6340E">
        <w:rPr>
          <w:rStyle w:val="y2iqfc"/>
          <w:rFonts w:cs="Arial"/>
          <w:color w:val="202124"/>
          <w:szCs w:val="24"/>
        </w:rPr>
        <w:t>-</w:t>
      </w:r>
      <w:r>
        <w:rPr>
          <w:rStyle w:val="y2iqfc"/>
          <w:rFonts w:cs="Arial"/>
          <w:color w:val="202124"/>
          <w:szCs w:val="24"/>
        </w:rPr>
        <w:t>ком</w:t>
      </w:r>
      <w:r w:rsidR="0071360A">
        <w:rPr>
          <w:rStyle w:val="y2iqfc"/>
          <w:rFonts w:cs="Arial"/>
          <w:color w:val="202124"/>
          <w:szCs w:val="24"/>
        </w:rPr>
        <w:t>у</w:t>
      </w:r>
      <w:r>
        <w:rPr>
          <w:rStyle w:val="y2iqfc"/>
          <w:rFonts w:cs="Arial"/>
          <w:color w:val="202124"/>
          <w:szCs w:val="24"/>
        </w:rPr>
        <w:t>никационих</w:t>
      </w:r>
      <w:r w:rsidR="00F17EE6" w:rsidRPr="00F6340E">
        <w:rPr>
          <w:rStyle w:val="y2iqfc"/>
          <w:rFonts w:cs="Arial"/>
          <w:color w:val="202124"/>
          <w:szCs w:val="24"/>
        </w:rPr>
        <w:t xml:space="preserve"> </w:t>
      </w:r>
      <w:r w:rsidR="0071360A">
        <w:rPr>
          <w:rStyle w:val="y2iqfc"/>
          <w:rFonts w:cs="Arial"/>
          <w:color w:val="202124"/>
          <w:szCs w:val="24"/>
        </w:rPr>
        <w:t>т</w:t>
      </w:r>
      <w:r w:rsidR="00EE6AA2">
        <w:rPr>
          <w:rStyle w:val="y2iqfc"/>
          <w:rFonts w:cs="Arial"/>
          <w:color w:val="202124"/>
          <w:szCs w:val="24"/>
        </w:rPr>
        <w:t>е</w:t>
      </w:r>
      <w:r>
        <w:rPr>
          <w:rStyle w:val="y2iqfc"/>
          <w:rFonts w:cs="Arial"/>
          <w:color w:val="202124"/>
          <w:szCs w:val="24"/>
        </w:rPr>
        <w:t>хнологија</w:t>
      </w:r>
      <w:r w:rsidR="00F17EE6" w:rsidRPr="00F6340E">
        <w:rPr>
          <w:rStyle w:val="y2iqfc"/>
          <w:rFonts w:cs="Arial"/>
          <w:color w:val="202124"/>
          <w:szCs w:val="24"/>
        </w:rPr>
        <w:t xml:space="preserve"> (</w:t>
      </w:r>
      <w:r>
        <w:rPr>
          <w:rStyle w:val="y2iqfc"/>
          <w:rFonts w:cs="Arial"/>
          <w:color w:val="202124"/>
          <w:szCs w:val="24"/>
        </w:rPr>
        <w:t>ИК</w:t>
      </w:r>
      <w:r w:rsidR="0071360A">
        <w:rPr>
          <w:rStyle w:val="y2iqfc"/>
          <w:rFonts w:cs="Arial"/>
          <w:color w:val="202124"/>
          <w:szCs w:val="24"/>
        </w:rPr>
        <w:t>Т</w:t>
      </w:r>
      <w:r w:rsidR="00F17EE6" w:rsidRPr="00F6340E">
        <w:rPr>
          <w:rStyle w:val="y2iqfc"/>
          <w:rFonts w:cs="Arial"/>
          <w:color w:val="202124"/>
          <w:szCs w:val="24"/>
        </w:rPr>
        <w:t xml:space="preserve">) </w:t>
      </w:r>
      <w:r>
        <w:rPr>
          <w:rStyle w:val="y2iqfc"/>
          <w:rFonts w:cs="Arial"/>
          <w:color w:val="202124"/>
          <w:szCs w:val="24"/>
        </w:rPr>
        <w:t>г</w:t>
      </w:r>
      <w:r w:rsidR="00EE6AA2">
        <w:rPr>
          <w:rStyle w:val="y2iqfc"/>
          <w:rFonts w:cs="Arial"/>
          <w:color w:val="202124"/>
          <w:szCs w:val="24"/>
        </w:rPr>
        <w:t>е</w:t>
      </w:r>
      <w:r>
        <w:rPr>
          <w:rStyle w:val="y2iqfc"/>
          <w:rFonts w:cs="Arial"/>
          <w:color w:val="202124"/>
          <w:szCs w:val="24"/>
        </w:rPr>
        <w:t>н</w:t>
      </w:r>
      <w:r w:rsidR="00EE6AA2">
        <w:rPr>
          <w:rStyle w:val="y2iqfc"/>
          <w:rFonts w:cs="Arial"/>
          <w:color w:val="202124"/>
          <w:szCs w:val="24"/>
        </w:rPr>
        <w:t>е</w:t>
      </w:r>
      <w:r w:rsidR="0071360A">
        <w:rPr>
          <w:rStyle w:val="y2iqfc"/>
          <w:rFonts w:cs="Arial"/>
          <w:color w:val="202124"/>
          <w:szCs w:val="24"/>
        </w:rPr>
        <w:t>р</w:t>
      </w:r>
      <w:r>
        <w:rPr>
          <w:rStyle w:val="y2iqfc"/>
          <w:rFonts w:cs="Arial"/>
          <w:color w:val="202124"/>
          <w:szCs w:val="24"/>
        </w:rPr>
        <w:t>ално</w:t>
      </w:r>
      <w:r w:rsidR="000B5AA0" w:rsidRPr="00F6340E">
        <w:rPr>
          <w:rStyle w:val="y2iqfc"/>
          <w:rFonts w:cs="Arial"/>
          <w:color w:val="202124"/>
          <w:szCs w:val="24"/>
        </w:rPr>
        <w:t xml:space="preserve"> </w:t>
      </w:r>
      <w:r w:rsidR="0071360A">
        <w:rPr>
          <w:rStyle w:val="y2iqfc"/>
          <w:rFonts w:cs="Arial"/>
          <w:color w:val="202124"/>
          <w:szCs w:val="24"/>
        </w:rPr>
        <w:t>у</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71360A">
        <w:rPr>
          <w:rStyle w:val="y2iqfc"/>
          <w:rFonts w:cs="Arial"/>
          <w:color w:val="202124"/>
          <w:szCs w:val="24"/>
        </w:rPr>
        <w:t>у</w:t>
      </w:r>
      <w:r w:rsidR="00F17EE6" w:rsidRPr="00F6340E">
        <w:rPr>
          <w:rStyle w:val="y2iqfc"/>
          <w:rFonts w:cs="Arial"/>
          <w:color w:val="202124"/>
          <w:szCs w:val="24"/>
        </w:rPr>
        <w:t xml:space="preserve"> </w:t>
      </w:r>
      <w:r>
        <w:rPr>
          <w:rStyle w:val="y2iqfc"/>
          <w:rFonts w:cs="Arial"/>
          <w:color w:val="202124"/>
          <w:szCs w:val="24"/>
        </w:rPr>
        <w:t>и</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71360A">
        <w:rPr>
          <w:rStyle w:val="y2iqfc"/>
          <w:rFonts w:cs="Arial"/>
          <w:color w:val="202124"/>
          <w:szCs w:val="24"/>
        </w:rPr>
        <w:t>у</w:t>
      </w:r>
      <w:r w:rsidR="00F17EE6" w:rsidRPr="00F6340E">
        <w:rPr>
          <w:rStyle w:val="y2iqfc"/>
          <w:rFonts w:cs="Arial"/>
          <w:color w:val="202124"/>
          <w:szCs w:val="24"/>
        </w:rPr>
        <w:t xml:space="preserve"> </w:t>
      </w:r>
      <w:r>
        <w:rPr>
          <w:rStyle w:val="y2iqfc"/>
          <w:rFonts w:cs="Arial"/>
          <w:color w:val="202124"/>
          <w:szCs w:val="24"/>
        </w:rPr>
        <w:t>на</w:t>
      </w:r>
      <w:r w:rsidR="00F17EE6" w:rsidRPr="00F6340E">
        <w:rPr>
          <w:rStyle w:val="y2iqfc"/>
          <w:rFonts w:cs="Arial"/>
          <w:color w:val="202124"/>
          <w:szCs w:val="24"/>
        </w:rPr>
        <w:t xml:space="preserve"> </w:t>
      </w:r>
      <w:r>
        <w:rPr>
          <w:rStyle w:val="y2iqfc"/>
          <w:rFonts w:cs="Arial"/>
          <w:color w:val="202124"/>
          <w:szCs w:val="24"/>
        </w:rPr>
        <w:t>даљин</w:t>
      </w:r>
      <w:r w:rsidR="0071360A">
        <w:rPr>
          <w:rStyle w:val="y2iqfc"/>
          <w:rFonts w:cs="Arial"/>
          <w:color w:val="202124"/>
          <w:szCs w:val="24"/>
        </w:rPr>
        <w:t>у</w:t>
      </w:r>
      <w:r w:rsidR="00F17EE6" w:rsidRPr="00F6340E">
        <w:rPr>
          <w:rStyle w:val="y2iqfc"/>
          <w:rFonts w:cs="Arial"/>
          <w:color w:val="202124"/>
          <w:szCs w:val="24"/>
        </w:rPr>
        <w:t xml:space="preserve">. </w:t>
      </w:r>
      <w:r>
        <w:rPr>
          <w:rStyle w:val="y2iqfc"/>
          <w:rFonts w:cs="Arial"/>
          <w:color w:val="202124"/>
          <w:szCs w:val="24"/>
        </w:rPr>
        <w:t>О</w:t>
      </w:r>
      <w:r w:rsidR="0071360A">
        <w:rPr>
          <w:rStyle w:val="y2iqfc"/>
          <w:rFonts w:cs="Arial"/>
          <w:color w:val="202124"/>
          <w:szCs w:val="24"/>
        </w:rPr>
        <w:t>с</w:t>
      </w:r>
      <w:r>
        <w:rPr>
          <w:rStyle w:val="y2iqfc"/>
          <w:rFonts w:cs="Arial"/>
          <w:color w:val="202124"/>
          <w:szCs w:val="24"/>
        </w:rPr>
        <w:t>им</w:t>
      </w:r>
      <w:r w:rsidR="00770D64" w:rsidRPr="00F6340E">
        <w:rPr>
          <w:rStyle w:val="y2iqfc"/>
          <w:rFonts w:cs="Arial"/>
          <w:color w:val="202124"/>
          <w:szCs w:val="24"/>
        </w:rPr>
        <w:t xml:space="preserve"> </w:t>
      </w:r>
      <w:r w:rsidR="0071360A">
        <w:rPr>
          <w:rStyle w:val="y2iqfc"/>
          <w:rFonts w:cs="Arial"/>
          <w:color w:val="202124"/>
          <w:szCs w:val="24"/>
        </w:rPr>
        <w:t>т</w:t>
      </w:r>
      <w:r>
        <w:rPr>
          <w:rStyle w:val="y2iqfc"/>
          <w:rFonts w:cs="Arial"/>
          <w:color w:val="202124"/>
          <w:szCs w:val="24"/>
        </w:rPr>
        <w:t>ога</w:t>
      </w:r>
      <w:r w:rsidR="00F17EE6" w:rsidRPr="00F6340E">
        <w:rPr>
          <w:rStyle w:val="y2iqfc"/>
          <w:rFonts w:cs="Arial"/>
          <w:color w:val="202124"/>
          <w:szCs w:val="24"/>
        </w:rPr>
        <w:t xml:space="preserve">, </w:t>
      </w:r>
      <w:r>
        <w:rPr>
          <w:rStyle w:val="y2iqfc"/>
          <w:rFonts w:cs="Arial"/>
          <w:color w:val="202124"/>
          <w:szCs w:val="24"/>
        </w:rPr>
        <w:t>диги</w:t>
      </w:r>
      <w:r w:rsidR="0071360A">
        <w:rPr>
          <w:rStyle w:val="y2iqfc"/>
          <w:rFonts w:cs="Arial"/>
          <w:color w:val="202124"/>
          <w:szCs w:val="24"/>
        </w:rPr>
        <w:t>т</w:t>
      </w:r>
      <w:r>
        <w:rPr>
          <w:rStyle w:val="y2iqfc"/>
          <w:rFonts w:cs="Arial"/>
          <w:color w:val="202124"/>
          <w:szCs w:val="24"/>
        </w:rPr>
        <w:t>ално</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EE6AA2">
        <w:rPr>
          <w:rStyle w:val="y2iqfc"/>
          <w:rFonts w:cs="Arial"/>
          <w:color w:val="202124"/>
          <w:szCs w:val="24"/>
        </w:rPr>
        <w:t>е</w:t>
      </w:r>
      <w:r w:rsidR="00F17EE6" w:rsidRPr="00F6340E">
        <w:rPr>
          <w:rStyle w:val="y2iqfc"/>
          <w:rFonts w:cs="Arial"/>
          <w:color w:val="202124"/>
          <w:szCs w:val="24"/>
        </w:rPr>
        <w:t xml:space="preserve"> </w:t>
      </w:r>
      <w:r>
        <w:rPr>
          <w:rStyle w:val="y2iqfc"/>
          <w:rFonts w:cs="Arial"/>
          <w:color w:val="202124"/>
          <w:szCs w:val="24"/>
        </w:rPr>
        <w:t>ј</w:t>
      </w:r>
      <w:r w:rsidR="00EE6AA2">
        <w:rPr>
          <w:rStyle w:val="y2iqfc"/>
          <w:rFonts w:cs="Arial"/>
          <w:color w:val="202124"/>
          <w:szCs w:val="24"/>
        </w:rPr>
        <w:t>е</w:t>
      </w:r>
      <w:r w:rsidR="00F17EE6" w:rsidRPr="00F6340E">
        <w:rPr>
          <w:rStyle w:val="y2iqfc"/>
          <w:rFonts w:cs="Arial"/>
          <w:color w:val="202124"/>
          <w:szCs w:val="24"/>
        </w:rPr>
        <w:t xml:space="preserve"> </w:t>
      </w:r>
      <w:r w:rsidR="0071360A">
        <w:rPr>
          <w:rStyle w:val="y2iqfc"/>
          <w:rFonts w:cs="Arial"/>
          <w:color w:val="202124"/>
          <w:szCs w:val="24"/>
        </w:rPr>
        <w:t>т</w:t>
      </w:r>
      <w:r w:rsidR="00EE6AA2">
        <w:rPr>
          <w:rStyle w:val="y2iqfc"/>
          <w:rFonts w:cs="Arial"/>
          <w:color w:val="202124"/>
          <w:szCs w:val="24"/>
        </w:rPr>
        <w:t>е</w:t>
      </w:r>
      <w:r>
        <w:rPr>
          <w:rStyle w:val="y2iqfc"/>
          <w:rFonts w:cs="Arial"/>
          <w:color w:val="202124"/>
          <w:szCs w:val="24"/>
        </w:rPr>
        <w:t>хничко</w:t>
      </w:r>
      <w:r w:rsidR="00F17EE6" w:rsidRPr="00F6340E">
        <w:rPr>
          <w:rStyle w:val="y2iqfc"/>
          <w:rFonts w:cs="Arial"/>
          <w:color w:val="202124"/>
          <w:szCs w:val="24"/>
        </w:rPr>
        <w:t xml:space="preserve"> </w:t>
      </w:r>
      <w:r w:rsidR="0071360A">
        <w:rPr>
          <w:rStyle w:val="y2iqfc"/>
          <w:rFonts w:cs="Arial"/>
          <w:color w:val="202124"/>
          <w:szCs w:val="24"/>
        </w:rPr>
        <w:t>р</w:t>
      </w:r>
      <w:r>
        <w:rPr>
          <w:rStyle w:val="y2iqfc"/>
          <w:rFonts w:cs="Arial"/>
          <w:color w:val="202124"/>
          <w:szCs w:val="24"/>
        </w:rPr>
        <w:t>ј</w:t>
      </w:r>
      <w:r w:rsidR="00EE6AA2">
        <w:rPr>
          <w:rStyle w:val="y2iqfc"/>
          <w:rFonts w:cs="Arial"/>
          <w:color w:val="202124"/>
          <w:szCs w:val="24"/>
        </w:rPr>
        <w:t>е</w:t>
      </w:r>
      <w:r w:rsidR="0071360A">
        <w:rPr>
          <w:rStyle w:val="y2iqfc"/>
          <w:rFonts w:cs="Arial"/>
          <w:color w:val="202124"/>
          <w:szCs w:val="24"/>
        </w:rPr>
        <w:t>ш</w:t>
      </w:r>
      <w:r w:rsidR="00EE6AA2">
        <w:rPr>
          <w:rStyle w:val="y2iqfc"/>
          <w:rFonts w:cs="Arial"/>
          <w:color w:val="202124"/>
          <w:szCs w:val="24"/>
        </w:rPr>
        <w:t>е</w:t>
      </w:r>
      <w:r>
        <w:rPr>
          <w:rStyle w:val="y2iqfc"/>
          <w:rFonts w:cs="Arial"/>
          <w:color w:val="202124"/>
          <w:szCs w:val="24"/>
        </w:rPr>
        <w:t>њ</w:t>
      </w:r>
      <w:r w:rsidR="00EE6AA2">
        <w:rPr>
          <w:rStyle w:val="y2iqfc"/>
          <w:rFonts w:cs="Arial"/>
          <w:color w:val="202124"/>
          <w:szCs w:val="24"/>
        </w:rPr>
        <w:t>е</w:t>
      </w:r>
      <w:r w:rsidR="00F17EE6" w:rsidRPr="00F6340E">
        <w:rPr>
          <w:rStyle w:val="y2iqfc"/>
          <w:rFonts w:cs="Arial"/>
          <w:color w:val="202124"/>
          <w:szCs w:val="24"/>
        </w:rPr>
        <w:t xml:space="preserve"> </w:t>
      </w:r>
      <w:r w:rsidR="00171F00">
        <w:rPr>
          <w:rStyle w:val="y2iqfc"/>
          <w:rFonts w:cs="Arial"/>
          <w:color w:val="202124"/>
          <w:szCs w:val="24"/>
        </w:rPr>
        <w:t>з</w:t>
      </w:r>
      <w:r>
        <w:rPr>
          <w:rStyle w:val="y2iqfc"/>
          <w:rFonts w:cs="Arial"/>
          <w:color w:val="202124"/>
          <w:szCs w:val="24"/>
        </w:rPr>
        <w:t>а</w:t>
      </w:r>
      <w:r w:rsidR="00F17EE6" w:rsidRPr="00F6340E">
        <w:rPr>
          <w:rStyle w:val="y2iqfc"/>
          <w:rFonts w:cs="Arial"/>
          <w:color w:val="202124"/>
          <w:szCs w:val="24"/>
        </w:rPr>
        <w:t xml:space="preserve"> </w:t>
      </w:r>
      <w:r w:rsidR="0071360A">
        <w:rPr>
          <w:rStyle w:val="y2iqfc"/>
          <w:rFonts w:cs="Arial"/>
          <w:color w:val="202124"/>
          <w:szCs w:val="24"/>
        </w:rPr>
        <w:t>п</w:t>
      </w:r>
      <w:r>
        <w:rPr>
          <w:rStyle w:val="y2iqfc"/>
          <w:rFonts w:cs="Arial"/>
          <w:color w:val="202124"/>
          <w:szCs w:val="24"/>
        </w:rPr>
        <w:t>од</w:t>
      </w:r>
      <w:r w:rsidR="0071360A">
        <w:rPr>
          <w:rStyle w:val="y2iqfc"/>
          <w:rFonts w:cs="Arial"/>
          <w:color w:val="202124"/>
          <w:szCs w:val="24"/>
        </w:rPr>
        <w:t>рш</w:t>
      </w:r>
      <w:r>
        <w:rPr>
          <w:rStyle w:val="y2iqfc"/>
          <w:rFonts w:cs="Arial"/>
          <w:color w:val="202124"/>
          <w:szCs w:val="24"/>
        </w:rPr>
        <w:t>к</w:t>
      </w:r>
      <w:r w:rsidR="0071360A">
        <w:rPr>
          <w:rStyle w:val="y2iqfc"/>
          <w:rFonts w:cs="Arial"/>
          <w:color w:val="202124"/>
          <w:szCs w:val="24"/>
        </w:rPr>
        <w:t>у</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71360A">
        <w:rPr>
          <w:rStyle w:val="y2iqfc"/>
          <w:rFonts w:cs="Arial"/>
          <w:color w:val="202124"/>
          <w:szCs w:val="24"/>
        </w:rPr>
        <w:t>у</w:t>
      </w:r>
      <w:r w:rsidR="00F17EE6" w:rsidRPr="00F6340E">
        <w:rPr>
          <w:rStyle w:val="y2iqfc"/>
          <w:rFonts w:cs="Arial"/>
          <w:color w:val="202124"/>
          <w:szCs w:val="24"/>
        </w:rPr>
        <w:t xml:space="preserve"> </w:t>
      </w:r>
      <w:r>
        <w:rPr>
          <w:rStyle w:val="y2iqfc"/>
          <w:rFonts w:cs="Arial"/>
          <w:color w:val="202124"/>
          <w:szCs w:val="24"/>
        </w:rPr>
        <w:t>и</w:t>
      </w:r>
      <w:r w:rsidR="00F17EE6" w:rsidRPr="00F6340E">
        <w:rPr>
          <w:rStyle w:val="y2iqfc"/>
          <w:rFonts w:cs="Arial"/>
          <w:color w:val="202124"/>
          <w:szCs w:val="24"/>
        </w:rPr>
        <w:t xml:space="preserve"> </w:t>
      </w:r>
      <w:r w:rsidR="0071360A">
        <w:rPr>
          <w:rStyle w:val="y2iqfc"/>
          <w:rFonts w:cs="Arial"/>
          <w:color w:val="202124"/>
          <w:szCs w:val="24"/>
        </w:rPr>
        <w:t>п</w:t>
      </w:r>
      <w:r>
        <w:rPr>
          <w:rStyle w:val="y2iqfc"/>
          <w:rFonts w:cs="Arial"/>
          <w:color w:val="202124"/>
          <w:szCs w:val="24"/>
        </w:rPr>
        <w:t>од</w:t>
      </w:r>
      <w:r w:rsidR="0071360A">
        <w:rPr>
          <w:rStyle w:val="y2iqfc"/>
          <w:rFonts w:cs="Arial"/>
          <w:color w:val="202124"/>
          <w:szCs w:val="24"/>
        </w:rPr>
        <w:t>у</w:t>
      </w:r>
      <w:r>
        <w:rPr>
          <w:rStyle w:val="y2iqfc"/>
          <w:rFonts w:cs="Arial"/>
          <w:color w:val="202124"/>
          <w:szCs w:val="24"/>
        </w:rPr>
        <w:t>ча</w:t>
      </w:r>
      <w:r w:rsidR="0071360A">
        <w:rPr>
          <w:rStyle w:val="y2iqfc"/>
          <w:rFonts w:cs="Arial"/>
          <w:color w:val="202124"/>
          <w:szCs w:val="24"/>
        </w:rPr>
        <w:t>в</w:t>
      </w:r>
      <w:r>
        <w:rPr>
          <w:rStyle w:val="y2iqfc"/>
          <w:rFonts w:cs="Arial"/>
          <w:color w:val="202124"/>
          <w:szCs w:val="24"/>
        </w:rPr>
        <w:t>ањ</w:t>
      </w:r>
      <w:r w:rsidR="0071360A">
        <w:rPr>
          <w:rStyle w:val="y2iqfc"/>
          <w:rFonts w:cs="Arial"/>
          <w:color w:val="202124"/>
          <w:szCs w:val="24"/>
        </w:rPr>
        <w:t>у</w:t>
      </w:r>
      <w:r w:rsidR="00C77CF0" w:rsidRPr="00F6340E">
        <w:rPr>
          <w:rStyle w:val="y2iqfc"/>
          <w:rFonts w:cs="Arial"/>
          <w:color w:val="202124"/>
          <w:szCs w:val="24"/>
        </w:rPr>
        <w:t xml:space="preserve"> </w:t>
      </w:r>
      <w:r w:rsidR="00F17EE6" w:rsidRPr="00F6340E">
        <w:rPr>
          <w:rStyle w:val="y2iqfc"/>
          <w:rFonts w:cs="Arial"/>
          <w:color w:val="202124"/>
          <w:szCs w:val="24"/>
        </w:rPr>
        <w:t>(</w:t>
      </w:r>
      <w:r w:rsidR="0071360A">
        <w:rPr>
          <w:rStyle w:val="y2iqfc"/>
          <w:rFonts w:cs="Arial"/>
          <w:color w:val="202124"/>
          <w:szCs w:val="24"/>
        </w:rPr>
        <w:t>Су</w:t>
      </w:r>
      <w:r>
        <w:rPr>
          <w:rStyle w:val="y2iqfc"/>
          <w:rFonts w:cs="Arial"/>
          <w:color w:val="202124"/>
          <w:szCs w:val="24"/>
        </w:rPr>
        <w:t>хон</w:t>
      </w:r>
      <w:r w:rsidR="00EE6AA2">
        <w:rPr>
          <w:rStyle w:val="y2iqfc"/>
          <w:rFonts w:cs="Arial"/>
          <w:color w:val="202124"/>
          <w:szCs w:val="24"/>
        </w:rPr>
        <w:t>е</w:t>
      </w:r>
      <w:r>
        <w:rPr>
          <w:rStyle w:val="y2iqfc"/>
          <w:rFonts w:cs="Arial"/>
          <w:color w:val="202124"/>
          <w:szCs w:val="24"/>
        </w:rPr>
        <w:t>н</w:t>
      </w:r>
      <w:r w:rsidR="00F17EE6" w:rsidRPr="00F6340E">
        <w:rPr>
          <w:rStyle w:val="y2iqfc"/>
          <w:rFonts w:cs="Arial"/>
          <w:color w:val="202124"/>
          <w:szCs w:val="24"/>
        </w:rPr>
        <w:t xml:space="preserve">, 2005.), </w:t>
      </w:r>
      <w:r>
        <w:rPr>
          <w:rStyle w:val="y2iqfc"/>
          <w:rFonts w:cs="Arial"/>
          <w:color w:val="202124"/>
          <w:szCs w:val="24"/>
        </w:rPr>
        <w:t>а</w:t>
      </w:r>
      <w:r w:rsidR="00F17EE6" w:rsidRPr="00F6340E">
        <w:rPr>
          <w:rStyle w:val="y2iqfc"/>
          <w:rFonts w:cs="Arial"/>
          <w:color w:val="202124"/>
          <w:szCs w:val="24"/>
        </w:rPr>
        <w:t xml:space="preserve"> </w:t>
      </w:r>
      <w:r>
        <w:rPr>
          <w:rStyle w:val="y2iqfc"/>
          <w:rFonts w:cs="Arial"/>
          <w:color w:val="202124"/>
          <w:szCs w:val="24"/>
        </w:rPr>
        <w:t>мо</w:t>
      </w:r>
      <w:r w:rsidR="00171F00">
        <w:rPr>
          <w:rStyle w:val="y2iqfc"/>
          <w:rFonts w:cs="Arial"/>
          <w:color w:val="202124"/>
          <w:szCs w:val="24"/>
        </w:rPr>
        <w:t>ж</w:t>
      </w:r>
      <w:r w:rsidR="00EE6AA2">
        <w:rPr>
          <w:rStyle w:val="y2iqfc"/>
          <w:rFonts w:cs="Arial"/>
          <w:color w:val="202124"/>
          <w:szCs w:val="24"/>
        </w:rPr>
        <w:t>е</w:t>
      </w:r>
      <w:r w:rsidR="00F17EE6" w:rsidRPr="00F6340E">
        <w:rPr>
          <w:rStyle w:val="y2iqfc"/>
          <w:rFonts w:cs="Arial"/>
          <w:color w:val="202124"/>
          <w:szCs w:val="24"/>
        </w:rPr>
        <w:t xml:space="preserve"> </w:t>
      </w:r>
      <w:r>
        <w:rPr>
          <w:rStyle w:val="y2iqfc"/>
          <w:rFonts w:cs="Arial"/>
          <w:color w:val="202124"/>
          <w:szCs w:val="24"/>
        </w:rPr>
        <w:t>би</w:t>
      </w:r>
      <w:r w:rsidR="0071360A">
        <w:rPr>
          <w:rStyle w:val="y2iqfc"/>
          <w:rFonts w:cs="Arial"/>
          <w:color w:val="202124"/>
          <w:szCs w:val="24"/>
        </w:rPr>
        <w:t>т</w:t>
      </w:r>
      <w:r>
        <w:rPr>
          <w:rStyle w:val="y2iqfc"/>
          <w:rFonts w:cs="Arial"/>
          <w:color w:val="202124"/>
          <w:szCs w:val="24"/>
        </w:rPr>
        <w:t>и</w:t>
      </w:r>
      <w:r w:rsidR="00F17EE6" w:rsidRPr="00F6340E">
        <w:rPr>
          <w:rStyle w:val="y2iqfc"/>
          <w:rFonts w:cs="Arial"/>
          <w:color w:val="202124"/>
          <w:szCs w:val="24"/>
        </w:rPr>
        <w:t xml:space="preserve"> </w:t>
      </w:r>
      <w:r>
        <w:rPr>
          <w:rStyle w:val="y2iqfc"/>
          <w:rFonts w:cs="Arial"/>
          <w:color w:val="202124"/>
          <w:szCs w:val="24"/>
        </w:rPr>
        <w:t>и</w:t>
      </w:r>
      <w:r w:rsidR="00F17EE6" w:rsidRPr="00F6340E">
        <w:rPr>
          <w:rStyle w:val="y2iqfc"/>
          <w:rFonts w:cs="Arial"/>
          <w:color w:val="202124"/>
          <w:szCs w:val="24"/>
        </w:rPr>
        <w:t xml:space="preserve"> </w:t>
      </w:r>
      <w:r>
        <w:rPr>
          <w:rStyle w:val="y2iqfc"/>
          <w:rFonts w:cs="Arial"/>
          <w:color w:val="202124"/>
          <w:szCs w:val="24"/>
        </w:rPr>
        <w:t>об</w:t>
      </w:r>
      <w:r w:rsidR="0071360A">
        <w:rPr>
          <w:rStyle w:val="y2iqfc"/>
          <w:rFonts w:cs="Arial"/>
          <w:color w:val="202124"/>
          <w:szCs w:val="24"/>
        </w:rPr>
        <w:t>р</w:t>
      </w:r>
      <w:r>
        <w:rPr>
          <w:rStyle w:val="y2iqfc"/>
          <w:rFonts w:cs="Arial"/>
          <w:color w:val="202124"/>
          <w:szCs w:val="24"/>
        </w:rPr>
        <w:t>а</w:t>
      </w:r>
      <w:r w:rsidR="00171F00">
        <w:rPr>
          <w:rStyle w:val="y2iqfc"/>
          <w:rFonts w:cs="Arial"/>
          <w:color w:val="202124"/>
          <w:szCs w:val="24"/>
        </w:rPr>
        <w:t>з</w:t>
      </w:r>
      <w:r>
        <w:rPr>
          <w:rStyle w:val="y2iqfc"/>
          <w:rFonts w:cs="Arial"/>
          <w:color w:val="202124"/>
          <w:szCs w:val="24"/>
        </w:rPr>
        <w:t>о</w:t>
      </w:r>
      <w:r w:rsidR="0071360A">
        <w:rPr>
          <w:rStyle w:val="y2iqfc"/>
          <w:rFonts w:cs="Arial"/>
          <w:color w:val="202124"/>
          <w:szCs w:val="24"/>
        </w:rPr>
        <w:t>в</w:t>
      </w:r>
      <w:r>
        <w:rPr>
          <w:rStyle w:val="y2iqfc"/>
          <w:rFonts w:cs="Arial"/>
          <w:color w:val="202124"/>
          <w:szCs w:val="24"/>
        </w:rPr>
        <w:t>ни</w:t>
      </w:r>
      <w:r w:rsidR="00F17EE6" w:rsidRPr="00F6340E">
        <w:rPr>
          <w:rStyle w:val="y2iqfc"/>
          <w:rFonts w:cs="Arial"/>
          <w:color w:val="202124"/>
          <w:szCs w:val="24"/>
        </w:rPr>
        <w:t xml:space="preserve"> </w:t>
      </w:r>
      <w:r w:rsidR="0071360A">
        <w:rPr>
          <w:rStyle w:val="y2iqfc"/>
          <w:rFonts w:cs="Arial"/>
          <w:color w:val="202124"/>
          <w:szCs w:val="24"/>
        </w:rPr>
        <w:t>с</w:t>
      </w:r>
      <w:r>
        <w:rPr>
          <w:rStyle w:val="y2iqfc"/>
          <w:rFonts w:cs="Arial"/>
          <w:color w:val="202124"/>
          <w:szCs w:val="24"/>
        </w:rPr>
        <w:t>оф</w:t>
      </w:r>
      <w:r w:rsidR="0071360A">
        <w:rPr>
          <w:rStyle w:val="y2iqfc"/>
          <w:rFonts w:cs="Arial"/>
          <w:color w:val="202124"/>
          <w:szCs w:val="24"/>
        </w:rPr>
        <w:t>тв</w:t>
      </w:r>
      <w:r w:rsidR="00EE6AA2">
        <w:rPr>
          <w:rStyle w:val="y2iqfc"/>
          <w:rFonts w:cs="Arial"/>
          <w:color w:val="202124"/>
          <w:szCs w:val="24"/>
        </w:rPr>
        <w:t>е</w:t>
      </w:r>
      <w:r w:rsidR="0071360A">
        <w:rPr>
          <w:rStyle w:val="y2iqfc"/>
          <w:rFonts w:cs="Arial"/>
          <w:color w:val="202124"/>
          <w:szCs w:val="24"/>
        </w:rPr>
        <w:t>р</w:t>
      </w:r>
      <w:r w:rsidR="00F17EE6" w:rsidRPr="00F6340E">
        <w:rPr>
          <w:rStyle w:val="y2iqfc"/>
          <w:rFonts w:cs="Arial"/>
          <w:color w:val="202124"/>
          <w:szCs w:val="24"/>
        </w:rPr>
        <w:t xml:space="preserve">, </w:t>
      </w:r>
      <w:r>
        <w:rPr>
          <w:rStyle w:val="y2iqfc"/>
          <w:rFonts w:cs="Arial"/>
          <w:color w:val="202124"/>
          <w:szCs w:val="24"/>
        </w:rPr>
        <w:t>диги</w:t>
      </w:r>
      <w:r w:rsidR="0071360A">
        <w:rPr>
          <w:rStyle w:val="y2iqfc"/>
          <w:rFonts w:cs="Arial"/>
          <w:color w:val="202124"/>
          <w:szCs w:val="24"/>
        </w:rPr>
        <w:t>т</w:t>
      </w:r>
      <w:r>
        <w:rPr>
          <w:rStyle w:val="y2iqfc"/>
          <w:rFonts w:cs="Arial"/>
          <w:color w:val="202124"/>
          <w:szCs w:val="24"/>
        </w:rPr>
        <w:t>ални</w:t>
      </w:r>
      <w:r w:rsidR="00F17EE6" w:rsidRPr="00F6340E">
        <w:rPr>
          <w:rStyle w:val="y2iqfc"/>
          <w:rFonts w:cs="Arial"/>
          <w:color w:val="202124"/>
          <w:szCs w:val="24"/>
        </w:rPr>
        <w:t xml:space="preserve"> </w:t>
      </w:r>
      <w:r>
        <w:rPr>
          <w:rStyle w:val="y2iqfc"/>
          <w:rFonts w:cs="Arial"/>
          <w:color w:val="202124"/>
          <w:szCs w:val="24"/>
        </w:rPr>
        <w:t>ала</w:t>
      </w:r>
      <w:r w:rsidR="0071360A">
        <w:rPr>
          <w:rStyle w:val="y2iqfc"/>
          <w:rFonts w:cs="Arial"/>
          <w:color w:val="202124"/>
          <w:szCs w:val="24"/>
        </w:rPr>
        <w:t>т</w:t>
      </w:r>
      <w:r w:rsidR="00F17EE6" w:rsidRPr="00F6340E">
        <w:rPr>
          <w:rStyle w:val="y2iqfc"/>
          <w:rFonts w:cs="Arial"/>
          <w:color w:val="202124"/>
          <w:szCs w:val="24"/>
        </w:rPr>
        <w:t xml:space="preserve"> </w:t>
      </w:r>
      <w:r w:rsidR="00171F00">
        <w:rPr>
          <w:rStyle w:val="y2iqfc"/>
          <w:rFonts w:cs="Arial"/>
          <w:color w:val="202124"/>
          <w:szCs w:val="24"/>
        </w:rPr>
        <w:t>з</w:t>
      </w:r>
      <w:r>
        <w:rPr>
          <w:rStyle w:val="y2iqfc"/>
          <w:rFonts w:cs="Arial"/>
          <w:color w:val="202124"/>
          <w:szCs w:val="24"/>
        </w:rPr>
        <w:t>а</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EE6AA2">
        <w:rPr>
          <w:rStyle w:val="y2iqfc"/>
          <w:rFonts w:cs="Arial"/>
          <w:color w:val="202124"/>
          <w:szCs w:val="24"/>
        </w:rPr>
        <w:t>е</w:t>
      </w:r>
      <w:r w:rsidR="00F17EE6" w:rsidRPr="00F6340E">
        <w:rPr>
          <w:rStyle w:val="y2iqfc"/>
          <w:rFonts w:cs="Arial"/>
          <w:color w:val="202124"/>
          <w:szCs w:val="24"/>
        </w:rPr>
        <w:t xml:space="preserve">, </w:t>
      </w:r>
      <w:r w:rsidR="0071360A">
        <w:rPr>
          <w:rStyle w:val="y2iqfc"/>
          <w:rFonts w:cs="Arial"/>
          <w:color w:val="202124"/>
          <w:szCs w:val="24"/>
        </w:rPr>
        <w:t>сту</w:t>
      </w:r>
      <w:r>
        <w:rPr>
          <w:rStyle w:val="y2iqfc"/>
          <w:rFonts w:cs="Arial"/>
          <w:color w:val="202124"/>
          <w:szCs w:val="24"/>
        </w:rPr>
        <w:t>диј</w:t>
      </w:r>
      <w:r w:rsidR="0071360A">
        <w:rPr>
          <w:rStyle w:val="y2iqfc"/>
          <w:rFonts w:cs="Arial"/>
          <w:color w:val="202124"/>
          <w:szCs w:val="24"/>
        </w:rPr>
        <w:t>с</w:t>
      </w:r>
      <w:r>
        <w:rPr>
          <w:rStyle w:val="y2iqfc"/>
          <w:rFonts w:cs="Arial"/>
          <w:color w:val="202124"/>
          <w:szCs w:val="24"/>
        </w:rPr>
        <w:t>ки</w:t>
      </w:r>
      <w:r w:rsidR="00F17EE6" w:rsidRPr="00F6340E">
        <w:rPr>
          <w:rStyle w:val="y2iqfc"/>
          <w:rFonts w:cs="Arial"/>
          <w:color w:val="202124"/>
          <w:szCs w:val="24"/>
        </w:rPr>
        <w:t>/</w:t>
      </w:r>
      <w:r>
        <w:rPr>
          <w:rStyle w:val="y2iqfc"/>
          <w:rFonts w:cs="Arial"/>
          <w:color w:val="202124"/>
          <w:szCs w:val="24"/>
        </w:rPr>
        <w:t>об</w:t>
      </w:r>
      <w:r w:rsidR="0071360A">
        <w:rPr>
          <w:rStyle w:val="y2iqfc"/>
          <w:rFonts w:cs="Arial"/>
          <w:color w:val="202124"/>
          <w:szCs w:val="24"/>
        </w:rPr>
        <w:t>р</w:t>
      </w:r>
      <w:r>
        <w:rPr>
          <w:rStyle w:val="y2iqfc"/>
          <w:rFonts w:cs="Arial"/>
          <w:color w:val="202124"/>
          <w:szCs w:val="24"/>
        </w:rPr>
        <w:t>а</w:t>
      </w:r>
      <w:r w:rsidR="00171F00">
        <w:rPr>
          <w:rStyle w:val="y2iqfc"/>
          <w:rFonts w:cs="Arial"/>
          <w:color w:val="202124"/>
          <w:szCs w:val="24"/>
        </w:rPr>
        <w:t>з</w:t>
      </w:r>
      <w:r>
        <w:rPr>
          <w:rStyle w:val="y2iqfc"/>
          <w:rFonts w:cs="Arial"/>
          <w:color w:val="202124"/>
          <w:szCs w:val="24"/>
        </w:rPr>
        <w:t>о</w:t>
      </w:r>
      <w:r w:rsidR="0071360A">
        <w:rPr>
          <w:rStyle w:val="y2iqfc"/>
          <w:rFonts w:cs="Arial"/>
          <w:color w:val="202124"/>
          <w:szCs w:val="24"/>
        </w:rPr>
        <w:t>в</w:t>
      </w:r>
      <w:r>
        <w:rPr>
          <w:rStyle w:val="y2iqfc"/>
          <w:rFonts w:cs="Arial"/>
          <w:color w:val="202124"/>
          <w:szCs w:val="24"/>
        </w:rPr>
        <w:t>ни</w:t>
      </w:r>
      <w:r w:rsidR="00F17EE6" w:rsidRPr="00F6340E">
        <w:rPr>
          <w:rStyle w:val="y2iqfc"/>
          <w:rFonts w:cs="Arial"/>
          <w:color w:val="202124"/>
          <w:szCs w:val="24"/>
        </w:rPr>
        <w:t xml:space="preserve"> </w:t>
      </w:r>
      <w:r w:rsidR="0071360A">
        <w:rPr>
          <w:rStyle w:val="y2iqfc"/>
          <w:rFonts w:cs="Arial"/>
          <w:color w:val="202124"/>
          <w:szCs w:val="24"/>
        </w:rPr>
        <w:t>пр</w:t>
      </w:r>
      <w:r>
        <w:rPr>
          <w:rStyle w:val="y2iqfc"/>
          <w:rFonts w:cs="Arial"/>
          <w:color w:val="202124"/>
          <w:szCs w:val="24"/>
        </w:rPr>
        <w:t>ог</w:t>
      </w:r>
      <w:r w:rsidR="0071360A">
        <w:rPr>
          <w:rStyle w:val="y2iqfc"/>
          <w:rFonts w:cs="Arial"/>
          <w:color w:val="202124"/>
          <w:szCs w:val="24"/>
        </w:rPr>
        <w:t>р</w:t>
      </w:r>
      <w:r>
        <w:rPr>
          <w:rStyle w:val="y2iqfc"/>
          <w:rFonts w:cs="Arial"/>
          <w:color w:val="202124"/>
          <w:szCs w:val="24"/>
        </w:rPr>
        <w:t>ам</w:t>
      </w:r>
      <w:r w:rsidR="00F17EE6" w:rsidRPr="00F6340E">
        <w:rPr>
          <w:rStyle w:val="y2iqfc"/>
          <w:rFonts w:cs="Arial"/>
          <w:color w:val="202124"/>
          <w:szCs w:val="24"/>
        </w:rPr>
        <w:t xml:space="preserve"> </w:t>
      </w:r>
      <w:r w:rsidR="0071360A">
        <w:rPr>
          <w:rStyle w:val="y2iqfc"/>
          <w:rFonts w:cs="Arial"/>
          <w:color w:val="202124"/>
          <w:szCs w:val="24"/>
        </w:rPr>
        <w:t>пут</w:t>
      </w:r>
      <w:r w:rsidR="00EE6AA2">
        <w:rPr>
          <w:rStyle w:val="y2iqfc"/>
          <w:rFonts w:cs="Arial"/>
          <w:color w:val="202124"/>
          <w:szCs w:val="24"/>
        </w:rPr>
        <w:t>е</w:t>
      </w:r>
      <w:r>
        <w:rPr>
          <w:rStyle w:val="y2iqfc"/>
          <w:rFonts w:cs="Arial"/>
          <w:color w:val="202124"/>
          <w:szCs w:val="24"/>
        </w:rPr>
        <w:t>м</w:t>
      </w:r>
      <w:r w:rsidR="00C47A01" w:rsidRPr="00F6340E">
        <w:rPr>
          <w:rStyle w:val="y2iqfc"/>
          <w:rFonts w:cs="Arial"/>
          <w:color w:val="202124"/>
          <w:szCs w:val="24"/>
        </w:rPr>
        <w:t xml:space="preserve"> </w:t>
      </w:r>
      <w:r>
        <w:rPr>
          <w:rStyle w:val="y2iqfc"/>
          <w:rFonts w:cs="Arial"/>
          <w:color w:val="202124"/>
          <w:szCs w:val="24"/>
        </w:rPr>
        <w:t>ин</w:t>
      </w:r>
      <w:r w:rsidR="0071360A">
        <w:rPr>
          <w:rStyle w:val="y2iqfc"/>
          <w:rFonts w:cs="Arial"/>
          <w:color w:val="202124"/>
          <w:szCs w:val="24"/>
        </w:rPr>
        <w:t>т</w:t>
      </w:r>
      <w:r w:rsidR="00EE6AA2">
        <w:rPr>
          <w:rStyle w:val="y2iqfc"/>
          <w:rFonts w:cs="Arial"/>
          <w:color w:val="202124"/>
          <w:szCs w:val="24"/>
        </w:rPr>
        <w:t>е</w:t>
      </w:r>
      <w:r w:rsidR="0071360A">
        <w:rPr>
          <w:rStyle w:val="y2iqfc"/>
          <w:rFonts w:cs="Arial"/>
          <w:color w:val="202124"/>
          <w:szCs w:val="24"/>
        </w:rPr>
        <w:t>р</w:t>
      </w:r>
      <w:r>
        <w:rPr>
          <w:rStyle w:val="y2iqfc"/>
          <w:rFonts w:cs="Arial"/>
          <w:color w:val="202124"/>
          <w:szCs w:val="24"/>
        </w:rPr>
        <w:t>н</w:t>
      </w:r>
      <w:r w:rsidR="00EE6AA2">
        <w:rPr>
          <w:rStyle w:val="y2iqfc"/>
          <w:rFonts w:cs="Arial"/>
          <w:color w:val="202124"/>
          <w:szCs w:val="24"/>
        </w:rPr>
        <w:t>е</w:t>
      </w:r>
      <w:r w:rsidR="0071360A">
        <w:rPr>
          <w:rStyle w:val="y2iqfc"/>
          <w:rFonts w:cs="Arial"/>
          <w:color w:val="202124"/>
          <w:szCs w:val="24"/>
        </w:rPr>
        <w:t>т</w:t>
      </w:r>
      <w:r>
        <w:rPr>
          <w:rStyle w:val="y2iqfc"/>
          <w:rFonts w:cs="Arial"/>
          <w:color w:val="202124"/>
          <w:szCs w:val="24"/>
        </w:rPr>
        <w:t>а</w:t>
      </w:r>
      <w:r w:rsidR="00C47A01" w:rsidRPr="00F6340E">
        <w:rPr>
          <w:rStyle w:val="y2iqfc"/>
          <w:rFonts w:cs="Arial"/>
          <w:color w:val="202124"/>
          <w:szCs w:val="24"/>
        </w:rPr>
        <w:t xml:space="preserve"> </w:t>
      </w:r>
      <w:r>
        <w:rPr>
          <w:rStyle w:val="y2iqfc"/>
          <w:rFonts w:cs="Arial"/>
          <w:color w:val="202124"/>
          <w:szCs w:val="24"/>
        </w:rPr>
        <w:t>или</w:t>
      </w:r>
      <w:r w:rsidR="00F17EE6" w:rsidRPr="00F6340E">
        <w:rPr>
          <w:rStyle w:val="y2iqfc"/>
          <w:rFonts w:cs="Arial"/>
          <w:color w:val="202124"/>
          <w:szCs w:val="24"/>
        </w:rPr>
        <w:t xml:space="preserve"> </w:t>
      </w:r>
      <w:r w:rsidR="0071360A">
        <w:rPr>
          <w:rStyle w:val="y2iqfc"/>
          <w:rFonts w:cs="Arial"/>
          <w:color w:val="202124"/>
          <w:szCs w:val="24"/>
        </w:rPr>
        <w:t>р</w:t>
      </w:r>
      <w:r w:rsidR="00EE6AA2">
        <w:rPr>
          <w:rStyle w:val="y2iqfc"/>
          <w:rFonts w:cs="Arial"/>
          <w:color w:val="202124"/>
          <w:szCs w:val="24"/>
        </w:rPr>
        <w:t>е</w:t>
      </w:r>
      <w:r w:rsidR="0071360A">
        <w:rPr>
          <w:rStyle w:val="y2iqfc"/>
          <w:rFonts w:cs="Arial"/>
          <w:color w:val="202124"/>
          <w:szCs w:val="24"/>
        </w:rPr>
        <w:t>сурс</w:t>
      </w:r>
      <w:r w:rsidR="00F17EE6" w:rsidRPr="00F6340E">
        <w:rPr>
          <w:rStyle w:val="y2iqfc"/>
          <w:rFonts w:cs="Arial"/>
          <w:color w:val="202124"/>
          <w:szCs w:val="24"/>
        </w:rPr>
        <w:t xml:space="preserve"> </w:t>
      </w:r>
      <w:r w:rsidR="00171F00">
        <w:rPr>
          <w:rStyle w:val="y2iqfc"/>
          <w:rFonts w:cs="Arial"/>
          <w:color w:val="202124"/>
          <w:szCs w:val="24"/>
        </w:rPr>
        <w:t>з</w:t>
      </w:r>
      <w:r>
        <w:rPr>
          <w:rStyle w:val="y2iqfc"/>
          <w:rFonts w:cs="Arial"/>
          <w:color w:val="202124"/>
          <w:szCs w:val="24"/>
        </w:rPr>
        <w:t>а</w:t>
      </w:r>
      <w:r w:rsidR="00F17EE6" w:rsidRPr="00F6340E">
        <w:rPr>
          <w:rStyle w:val="y2iqfc"/>
          <w:rFonts w:cs="Arial"/>
          <w:color w:val="202124"/>
          <w:szCs w:val="24"/>
        </w:rPr>
        <w:t xml:space="preserve"> </w:t>
      </w:r>
      <w:r w:rsidR="0071360A">
        <w:rPr>
          <w:rStyle w:val="y2iqfc"/>
          <w:rFonts w:cs="Arial"/>
          <w:color w:val="202124"/>
          <w:szCs w:val="24"/>
        </w:rPr>
        <w:t>у</w:t>
      </w:r>
      <w:r>
        <w:rPr>
          <w:rStyle w:val="y2iqfc"/>
          <w:rFonts w:cs="Arial"/>
          <w:color w:val="202124"/>
          <w:szCs w:val="24"/>
        </w:rPr>
        <w:t>ч</w:t>
      </w:r>
      <w:r w:rsidR="00EE6AA2">
        <w:rPr>
          <w:rStyle w:val="y2iqfc"/>
          <w:rFonts w:cs="Arial"/>
          <w:color w:val="202124"/>
          <w:szCs w:val="24"/>
        </w:rPr>
        <w:t>е</w:t>
      </w:r>
      <w:r>
        <w:rPr>
          <w:rStyle w:val="y2iqfc"/>
          <w:rFonts w:cs="Arial"/>
          <w:color w:val="202124"/>
          <w:szCs w:val="24"/>
        </w:rPr>
        <w:t>њ</w:t>
      </w:r>
      <w:r w:rsidR="00EE6AA2">
        <w:rPr>
          <w:rStyle w:val="y2iqfc"/>
          <w:rFonts w:cs="Arial"/>
          <w:color w:val="202124"/>
          <w:szCs w:val="24"/>
        </w:rPr>
        <w:t>е</w:t>
      </w:r>
      <w:r w:rsidR="00F17EE6" w:rsidRPr="00F6340E">
        <w:rPr>
          <w:rStyle w:val="y2iqfc"/>
          <w:rFonts w:cs="Arial"/>
          <w:color w:val="202124"/>
          <w:szCs w:val="24"/>
        </w:rPr>
        <w:t xml:space="preserve"> (</w:t>
      </w:r>
      <w:r>
        <w:rPr>
          <w:rStyle w:val="y2iqfc"/>
          <w:rFonts w:cs="Arial"/>
          <w:color w:val="202124"/>
          <w:szCs w:val="24"/>
        </w:rPr>
        <w:t>Анохина</w:t>
      </w:r>
      <w:r w:rsidR="00F17EE6" w:rsidRPr="00F6340E">
        <w:rPr>
          <w:rStyle w:val="y2iqfc"/>
          <w:rFonts w:cs="Arial"/>
          <w:color w:val="202124"/>
          <w:szCs w:val="24"/>
        </w:rPr>
        <w:t xml:space="preserve">, 2005). </w:t>
      </w:r>
    </w:p>
    <w:p w14:paraId="3AD3AB80" w14:textId="428C5EE2" w:rsidR="009D5E84" w:rsidRPr="00F6340E" w:rsidRDefault="00A56E08" w:rsidP="00210EE1">
      <w:pPr>
        <w:pStyle w:val="Body"/>
        <w:rPr>
          <w:color w:val="000000" w:themeColor="text1"/>
        </w:rPr>
      </w:pPr>
      <w:r>
        <w:rPr>
          <w:color w:val="000000" w:themeColor="text1"/>
        </w:rPr>
        <w:t>Диги</w:t>
      </w:r>
      <w:r w:rsidR="0071360A">
        <w:rPr>
          <w:color w:val="000000" w:themeColor="text1"/>
        </w:rPr>
        <w:t>т</w:t>
      </w:r>
      <w:r>
        <w:rPr>
          <w:color w:val="000000" w:themeColor="text1"/>
        </w:rPr>
        <w:t>ално</w:t>
      </w:r>
      <w:r w:rsidR="00F17EE6" w:rsidRPr="00F6340E">
        <w:rPr>
          <w:color w:val="000000" w:themeColor="text1"/>
        </w:rPr>
        <w:t xml:space="preserve"> </w:t>
      </w:r>
      <w:r w:rsidR="0071360A">
        <w:rPr>
          <w:color w:val="000000" w:themeColor="text1"/>
        </w:rPr>
        <w:t>у</w:t>
      </w:r>
      <w:r>
        <w:rPr>
          <w:color w:val="000000" w:themeColor="text1"/>
        </w:rPr>
        <w:t>ч</w:t>
      </w:r>
      <w:r w:rsidR="00EE6AA2">
        <w:rPr>
          <w:color w:val="000000" w:themeColor="text1"/>
        </w:rPr>
        <w:t>е</w:t>
      </w:r>
      <w:r>
        <w:rPr>
          <w:color w:val="000000" w:themeColor="text1"/>
        </w:rPr>
        <w:t>њ</w:t>
      </w:r>
      <w:r w:rsidR="00EE6AA2">
        <w:rPr>
          <w:color w:val="000000" w:themeColor="text1"/>
        </w:rPr>
        <w:t>е</w:t>
      </w:r>
      <w:r w:rsidR="00F17EE6" w:rsidRPr="00F6340E">
        <w:rPr>
          <w:color w:val="000000" w:themeColor="text1"/>
        </w:rPr>
        <w:t xml:space="preserve">, </w:t>
      </w:r>
      <w:r>
        <w:rPr>
          <w:color w:val="000000" w:themeColor="text1"/>
        </w:rPr>
        <w:t>наим</w:t>
      </w:r>
      <w:r w:rsidR="00EE6AA2">
        <w:rPr>
          <w:color w:val="000000" w:themeColor="text1"/>
        </w:rPr>
        <w:t>е</w:t>
      </w:r>
      <w:r w:rsidR="00F17EE6" w:rsidRPr="00F6340E">
        <w:rPr>
          <w:color w:val="000000" w:themeColor="text1"/>
        </w:rPr>
        <w:t xml:space="preserve">, </w:t>
      </w:r>
      <w:r w:rsidR="0071360A">
        <w:rPr>
          <w:color w:val="000000" w:themeColor="text1"/>
        </w:rPr>
        <w:t>п</w:t>
      </w:r>
      <w:r>
        <w:rPr>
          <w:color w:val="000000" w:themeColor="text1"/>
        </w:rPr>
        <w:t>од</w:t>
      </w:r>
      <w:r w:rsidR="0071360A">
        <w:rPr>
          <w:color w:val="000000" w:themeColor="text1"/>
        </w:rPr>
        <w:t>р</w:t>
      </w:r>
      <w:r>
        <w:rPr>
          <w:color w:val="000000" w:themeColor="text1"/>
        </w:rPr>
        <w:t>а</w:t>
      </w:r>
      <w:r w:rsidR="00171F00">
        <w:rPr>
          <w:color w:val="000000" w:themeColor="text1"/>
        </w:rPr>
        <w:t>з</w:t>
      </w:r>
      <w:r w:rsidR="0071360A">
        <w:rPr>
          <w:color w:val="000000" w:themeColor="text1"/>
        </w:rPr>
        <w:t>у</w:t>
      </w:r>
      <w:r>
        <w:rPr>
          <w:color w:val="000000" w:themeColor="text1"/>
        </w:rPr>
        <w:t>миј</w:t>
      </w:r>
      <w:r w:rsidR="00EE6AA2">
        <w:rPr>
          <w:color w:val="000000" w:themeColor="text1"/>
        </w:rPr>
        <w:t>е</w:t>
      </w:r>
      <w:r w:rsidR="0071360A">
        <w:rPr>
          <w:color w:val="000000" w:themeColor="text1"/>
        </w:rPr>
        <w:t>в</w:t>
      </w:r>
      <w:r>
        <w:rPr>
          <w:color w:val="000000" w:themeColor="text1"/>
        </w:rPr>
        <w:t>а</w:t>
      </w:r>
      <w:r w:rsidR="009D5E84" w:rsidRPr="00F6340E">
        <w:rPr>
          <w:color w:val="000000" w:themeColor="text1"/>
        </w:rPr>
        <w:t xml:space="preserve"> </w:t>
      </w:r>
      <w:r>
        <w:rPr>
          <w:color w:val="000000" w:themeColor="text1"/>
        </w:rPr>
        <w:t>комбино</w:t>
      </w:r>
      <w:r w:rsidR="0071360A">
        <w:rPr>
          <w:color w:val="000000" w:themeColor="text1"/>
        </w:rPr>
        <w:t>в</w:t>
      </w:r>
      <w:r>
        <w:rPr>
          <w:color w:val="000000" w:themeColor="text1"/>
        </w:rPr>
        <w:t>ањ</w:t>
      </w:r>
      <w:r w:rsidR="00EE6AA2">
        <w:rPr>
          <w:color w:val="000000" w:themeColor="text1"/>
        </w:rPr>
        <w:t>е</w:t>
      </w:r>
      <w:r w:rsidR="009D5E84" w:rsidRPr="00F6340E">
        <w:rPr>
          <w:color w:val="000000" w:themeColor="text1"/>
        </w:rPr>
        <w:t xml:space="preserve"> </w:t>
      </w:r>
      <w:r w:rsidR="0071360A">
        <w:rPr>
          <w:color w:val="000000" w:themeColor="text1"/>
        </w:rPr>
        <w:t>т</w:t>
      </w:r>
      <w:r w:rsidR="00EE6AA2">
        <w:rPr>
          <w:color w:val="000000" w:themeColor="text1"/>
        </w:rPr>
        <w:t>е</w:t>
      </w:r>
      <w:r>
        <w:rPr>
          <w:color w:val="000000" w:themeColor="text1"/>
        </w:rPr>
        <w:t>хнологиј</w:t>
      </w:r>
      <w:r w:rsidR="00EE6AA2">
        <w:rPr>
          <w:color w:val="000000" w:themeColor="text1"/>
        </w:rPr>
        <w:t>е</w:t>
      </w:r>
      <w:r w:rsidR="009D5E84" w:rsidRPr="00F6340E">
        <w:rPr>
          <w:color w:val="000000" w:themeColor="text1"/>
        </w:rPr>
        <w:t xml:space="preserve">, </w:t>
      </w:r>
      <w:r>
        <w:rPr>
          <w:color w:val="000000" w:themeColor="text1"/>
        </w:rPr>
        <w:t>диги</w:t>
      </w:r>
      <w:r w:rsidR="0071360A">
        <w:rPr>
          <w:color w:val="000000" w:themeColor="text1"/>
        </w:rPr>
        <w:t>т</w:t>
      </w:r>
      <w:r>
        <w:rPr>
          <w:color w:val="000000" w:themeColor="text1"/>
        </w:rPr>
        <w:t>алног</w:t>
      </w:r>
      <w:r w:rsidR="009D5E84" w:rsidRPr="00F6340E">
        <w:rPr>
          <w:color w:val="000000" w:themeColor="text1"/>
        </w:rPr>
        <w:t xml:space="preserve"> </w:t>
      </w:r>
      <w:r w:rsidR="0071360A">
        <w:rPr>
          <w:color w:val="000000" w:themeColor="text1"/>
        </w:rPr>
        <w:t>с</w:t>
      </w:r>
      <w:r>
        <w:rPr>
          <w:color w:val="000000" w:themeColor="text1"/>
        </w:rPr>
        <w:t>ад</w:t>
      </w:r>
      <w:r w:rsidR="0071360A">
        <w:rPr>
          <w:color w:val="000000" w:themeColor="text1"/>
        </w:rPr>
        <w:t>р</w:t>
      </w:r>
      <w:r w:rsidR="00171F00">
        <w:rPr>
          <w:color w:val="000000" w:themeColor="text1"/>
        </w:rPr>
        <w:t>ж</w:t>
      </w:r>
      <w:r>
        <w:rPr>
          <w:color w:val="000000" w:themeColor="text1"/>
        </w:rPr>
        <w:t>аја</w:t>
      </w:r>
      <w:r w:rsidR="009D5E84" w:rsidRPr="00F6340E">
        <w:rPr>
          <w:color w:val="000000" w:themeColor="text1"/>
        </w:rPr>
        <w:t xml:space="preserve"> </w:t>
      </w:r>
      <w:r>
        <w:rPr>
          <w:color w:val="000000" w:themeColor="text1"/>
        </w:rPr>
        <w:t>и</w:t>
      </w:r>
      <w:r w:rsidR="009D5E84" w:rsidRPr="00F6340E">
        <w:rPr>
          <w:color w:val="000000" w:themeColor="text1"/>
        </w:rPr>
        <w:t xml:space="preserve"> </w:t>
      </w:r>
      <w:r>
        <w:rPr>
          <w:color w:val="000000" w:themeColor="text1"/>
        </w:rPr>
        <w:t>ин</w:t>
      </w:r>
      <w:r w:rsidR="0071360A">
        <w:rPr>
          <w:color w:val="000000" w:themeColor="text1"/>
        </w:rPr>
        <w:t>стру</w:t>
      </w:r>
      <w:r>
        <w:rPr>
          <w:color w:val="000000" w:themeColor="text1"/>
        </w:rPr>
        <w:t>кција</w:t>
      </w:r>
      <w:r w:rsidR="00727D98" w:rsidRPr="00F6340E">
        <w:rPr>
          <w:color w:val="000000" w:themeColor="text1"/>
        </w:rPr>
        <w:t xml:space="preserve"> (</w:t>
      </w:r>
      <w:r>
        <w:t>К</w:t>
      </w:r>
      <w:r w:rsidR="0071360A">
        <w:t>у</w:t>
      </w:r>
      <w:r>
        <w:t>ма</w:t>
      </w:r>
      <w:r w:rsidR="0071360A">
        <w:t>р</w:t>
      </w:r>
      <w:r w:rsidR="00727D98" w:rsidRPr="00F6340E">
        <w:t xml:space="preserve"> </w:t>
      </w:r>
      <w:r>
        <w:t>Ба</w:t>
      </w:r>
      <w:r w:rsidR="0071360A">
        <w:t>с</w:t>
      </w:r>
      <w:r>
        <w:t>ак</w:t>
      </w:r>
      <w:r w:rsidR="00727D98" w:rsidRPr="00F6340E">
        <w:t>, W</w:t>
      </w:r>
      <w:r>
        <w:t>о</w:t>
      </w:r>
      <w:r w:rsidR="0071360A">
        <w:t>тт</w:t>
      </w:r>
      <w:r>
        <w:t>о</w:t>
      </w:r>
      <w:r w:rsidR="00727D98" w:rsidRPr="00F6340E">
        <w:t xml:space="preserve"> </w:t>
      </w:r>
      <w:r>
        <w:t>и</w:t>
      </w:r>
      <w:r w:rsidR="00727D98" w:rsidRPr="00F6340E">
        <w:t xml:space="preserve"> </w:t>
      </w:r>
      <w:r>
        <w:t>Б</w:t>
      </w:r>
      <w:r w:rsidR="00EE6AA2">
        <w:t>е</w:t>
      </w:r>
      <w:r>
        <w:t>ланг</w:t>
      </w:r>
      <w:r w:rsidR="00EE6AA2">
        <w:t>е</w:t>
      </w:r>
      <w:r w:rsidR="0071360A">
        <w:t>р</w:t>
      </w:r>
      <w:r w:rsidR="00727D98" w:rsidRPr="00F6340E">
        <w:t>, 2018)</w:t>
      </w:r>
      <w:r w:rsidR="00F17EE6" w:rsidRPr="00F6340E">
        <w:t xml:space="preserve"> </w:t>
      </w:r>
      <w:r w:rsidR="0071360A">
        <w:t>пр</w:t>
      </w:r>
      <w:r>
        <w:t>и</w:t>
      </w:r>
      <w:r w:rsidR="00F17EE6" w:rsidRPr="00F6340E">
        <w:t xml:space="preserve"> </w:t>
      </w:r>
      <w:r>
        <w:t>ч</w:t>
      </w:r>
      <w:r w:rsidR="00EE6AA2">
        <w:t>е</w:t>
      </w:r>
      <w:r>
        <w:t>м</w:t>
      </w:r>
      <w:r w:rsidR="0071360A">
        <w:t>у</w:t>
      </w:r>
      <w:r w:rsidR="00F17EE6" w:rsidRPr="00F6340E">
        <w:t xml:space="preserve"> </w:t>
      </w:r>
      <w:r w:rsidR="0071360A">
        <w:t>с</w:t>
      </w:r>
      <w:r w:rsidR="00EE6AA2">
        <w:t>е</w:t>
      </w:r>
      <w:r w:rsidR="00727D98" w:rsidRPr="00F6340E">
        <w:t xml:space="preserve">: </w:t>
      </w:r>
      <w:r w:rsidR="009D5E84" w:rsidRPr="00F6340E">
        <w:rPr>
          <w:color w:val="000000" w:themeColor="text1"/>
        </w:rPr>
        <w:t xml:space="preserve"> </w:t>
      </w:r>
    </w:p>
    <w:p w14:paraId="17457450" w14:textId="242DE9C3" w:rsidR="009D5E84" w:rsidRPr="00F6340E" w:rsidRDefault="0071360A" w:rsidP="00210EE1">
      <w:pPr>
        <w:pStyle w:val="Bulletlist"/>
      </w:pPr>
      <w:r>
        <w:t>т</w:t>
      </w:r>
      <w:r w:rsidR="00EE6AA2">
        <w:t>е</w:t>
      </w:r>
      <w:r w:rsidR="00A56E08">
        <w:t>хнологија</w:t>
      </w:r>
      <w:r w:rsidR="009D5E84" w:rsidRPr="00F6340E">
        <w:t xml:space="preserve"> </w:t>
      </w:r>
      <w:r>
        <w:t>р</w:t>
      </w:r>
      <w:r w:rsidR="00A56E08">
        <w:t>а</w:t>
      </w:r>
      <w:r w:rsidR="00171F00">
        <w:t>з</w:t>
      </w:r>
      <w:r>
        <w:t>у</w:t>
      </w:r>
      <w:r w:rsidR="00A56E08">
        <w:t>миј</w:t>
      </w:r>
      <w:r w:rsidR="00EE6AA2">
        <w:t>е</w:t>
      </w:r>
      <w:r>
        <w:t>в</w:t>
      </w:r>
      <w:r w:rsidR="00A56E08">
        <w:t>а</w:t>
      </w:r>
      <w:r w:rsidR="009D5E84" w:rsidRPr="00F6340E">
        <w:t xml:space="preserve"> </w:t>
      </w:r>
      <w:r w:rsidR="00A56E08">
        <w:t>као</w:t>
      </w:r>
      <w:r w:rsidR="009D5E84" w:rsidRPr="00F6340E">
        <w:t xml:space="preserve"> </w:t>
      </w:r>
      <w:r w:rsidR="00A56E08">
        <w:t>ала</w:t>
      </w:r>
      <w:r>
        <w:t>т</w:t>
      </w:r>
      <w:r w:rsidR="009D5E84" w:rsidRPr="00F6340E">
        <w:t xml:space="preserve">, </w:t>
      </w:r>
      <w:r w:rsidR="00A56E08">
        <w:t>м</w:t>
      </w:r>
      <w:r w:rsidR="00EE6AA2">
        <w:t>е</w:t>
      </w:r>
      <w:r w:rsidR="00A56E08">
        <w:t>хани</w:t>
      </w:r>
      <w:r w:rsidR="00171F00">
        <w:t>з</w:t>
      </w:r>
      <w:r w:rsidR="00A56E08">
        <w:t>ам</w:t>
      </w:r>
      <w:r w:rsidR="009D5E84" w:rsidRPr="00F6340E">
        <w:t xml:space="preserve"> </w:t>
      </w:r>
      <w:r w:rsidR="00A56E08">
        <w:t>који</w:t>
      </w:r>
      <w:r w:rsidR="009D5E84" w:rsidRPr="00F6340E">
        <w:t xml:space="preserve"> </w:t>
      </w:r>
      <w:r w:rsidR="00A56E08">
        <w:t>омог</w:t>
      </w:r>
      <w:r>
        <w:t>у</w:t>
      </w:r>
      <w:r w:rsidR="00A56E08">
        <w:t>ћа</w:t>
      </w:r>
      <w:r>
        <w:t>в</w:t>
      </w:r>
      <w:r w:rsidR="00A56E08">
        <w:t>а</w:t>
      </w:r>
      <w:r w:rsidR="009D5E84" w:rsidRPr="00F6340E">
        <w:t xml:space="preserve"> </w:t>
      </w:r>
      <w:r w:rsidR="00A56E08">
        <w:t>и</w:t>
      </w:r>
      <w:r>
        <w:t>сп</w:t>
      </w:r>
      <w:r w:rsidR="00A56E08">
        <w:t>о</w:t>
      </w:r>
      <w:r>
        <w:t>ру</w:t>
      </w:r>
      <w:r w:rsidR="00A56E08">
        <w:t>к</w:t>
      </w:r>
      <w:r>
        <w:t>у</w:t>
      </w:r>
      <w:r w:rsidR="009D5E84" w:rsidRPr="00F6340E">
        <w:t xml:space="preserve"> </w:t>
      </w:r>
      <w:r w:rsidR="00A56E08">
        <w:t>и</w:t>
      </w:r>
      <w:r w:rsidR="009D5E84" w:rsidRPr="00F6340E">
        <w:t xml:space="preserve"> </w:t>
      </w:r>
      <w:r>
        <w:t>пр</w:t>
      </w:r>
      <w:r w:rsidR="00A56E08">
        <w:t>иј</w:t>
      </w:r>
      <w:r w:rsidR="00EE6AA2">
        <w:t>е</w:t>
      </w:r>
      <w:r w:rsidR="00A56E08">
        <w:t>м</w:t>
      </w:r>
      <w:r w:rsidR="009D5E84" w:rsidRPr="00F6340E">
        <w:t xml:space="preserve"> </w:t>
      </w:r>
      <w:r>
        <w:t>с</w:t>
      </w:r>
      <w:r w:rsidR="00A56E08">
        <w:t>ад</w:t>
      </w:r>
      <w:r>
        <w:t>р</w:t>
      </w:r>
      <w:r w:rsidR="00171F00">
        <w:t>ж</w:t>
      </w:r>
      <w:r w:rsidR="00A56E08">
        <w:t>аја</w:t>
      </w:r>
      <w:r w:rsidR="009D5E84" w:rsidRPr="00F6340E">
        <w:t xml:space="preserve"> </w:t>
      </w:r>
      <w:r w:rsidR="00A56E08">
        <w:t>од</w:t>
      </w:r>
      <w:r w:rsidR="009D5E84" w:rsidRPr="00F6340E">
        <w:t xml:space="preserve"> </w:t>
      </w:r>
      <w:r>
        <w:t>стр</w:t>
      </w:r>
      <w:r w:rsidR="00A56E08">
        <w:t>ан</w:t>
      </w:r>
      <w:r w:rsidR="00EE6AA2">
        <w:t>е</w:t>
      </w:r>
      <w:r w:rsidR="009D5E84" w:rsidRPr="00F6340E">
        <w:t xml:space="preserve"> </w:t>
      </w:r>
      <w:r w:rsidR="00A56E08">
        <w:t>онога</w:t>
      </w:r>
      <w:r w:rsidR="00E864CA" w:rsidRPr="00F6340E">
        <w:t xml:space="preserve"> </w:t>
      </w:r>
      <w:r w:rsidR="00A56E08">
        <w:t>ко</w:t>
      </w:r>
      <w:r w:rsidR="00E864CA" w:rsidRPr="00F6340E">
        <w:t xml:space="preserve"> </w:t>
      </w:r>
      <w:r>
        <w:t>у</w:t>
      </w:r>
      <w:r w:rsidR="00A56E08">
        <w:t>чи</w:t>
      </w:r>
      <w:r w:rsidR="009D5E84" w:rsidRPr="00F6340E">
        <w:t xml:space="preserve"> (</w:t>
      </w:r>
      <w:r w:rsidR="00A56E08">
        <w:t>об</w:t>
      </w:r>
      <w:r>
        <w:t>у</w:t>
      </w:r>
      <w:r w:rsidR="00A56E08">
        <w:t>х</w:t>
      </w:r>
      <w:r>
        <w:t>в</w:t>
      </w:r>
      <w:r w:rsidR="00A56E08">
        <w:t>а</w:t>
      </w:r>
      <w:r>
        <w:t>т</w:t>
      </w:r>
      <w:r w:rsidR="00A56E08">
        <w:t>а</w:t>
      </w:r>
      <w:r w:rsidR="009D5E84" w:rsidRPr="00F6340E">
        <w:t xml:space="preserve"> </w:t>
      </w:r>
      <w:r>
        <w:t>пр</w:t>
      </w:r>
      <w:r w:rsidR="00A56E08">
        <w:t>и</w:t>
      </w:r>
      <w:r>
        <w:t>ступ</w:t>
      </w:r>
      <w:r w:rsidR="009D5E84" w:rsidRPr="00F6340E">
        <w:t xml:space="preserve"> </w:t>
      </w:r>
      <w:r w:rsidR="00A56E08">
        <w:t>Ин</w:t>
      </w:r>
      <w:r>
        <w:t>т</w:t>
      </w:r>
      <w:r w:rsidR="00EE6AA2">
        <w:t>е</w:t>
      </w:r>
      <w:r>
        <w:t>р</w:t>
      </w:r>
      <w:r w:rsidR="00A56E08">
        <w:t>н</w:t>
      </w:r>
      <w:r w:rsidR="00EE6AA2">
        <w:t>е</w:t>
      </w:r>
      <w:r>
        <w:t>ту</w:t>
      </w:r>
      <w:r w:rsidR="009D5E84" w:rsidRPr="00F6340E">
        <w:t xml:space="preserve"> </w:t>
      </w:r>
      <w:r w:rsidR="00A56E08">
        <w:t>и</w:t>
      </w:r>
      <w:r w:rsidR="009D5E84" w:rsidRPr="00F6340E">
        <w:t xml:space="preserve"> </w:t>
      </w:r>
      <w:r w:rsidR="00A56E08">
        <w:t>ад</w:t>
      </w:r>
      <w:r w:rsidR="00EE6AA2">
        <w:t>е</w:t>
      </w:r>
      <w:r w:rsidR="00A56E08">
        <w:t>к</w:t>
      </w:r>
      <w:r>
        <w:t>в</w:t>
      </w:r>
      <w:r w:rsidR="00A56E08">
        <w:t>а</w:t>
      </w:r>
      <w:r>
        <w:t>т</w:t>
      </w:r>
      <w:r w:rsidR="00A56E08">
        <w:t>ан</w:t>
      </w:r>
      <w:r w:rsidR="009D5E84" w:rsidRPr="00F6340E">
        <w:t xml:space="preserve"> </w:t>
      </w:r>
      <w:r w:rsidR="00A56E08">
        <w:t>ха</w:t>
      </w:r>
      <w:r>
        <w:t>р</w:t>
      </w:r>
      <w:r w:rsidR="00A56E08">
        <w:t>д</w:t>
      </w:r>
      <w:r>
        <w:t>в</w:t>
      </w:r>
      <w:r w:rsidR="00EE6AA2">
        <w:t>е</w:t>
      </w:r>
      <w:r>
        <w:t>р</w:t>
      </w:r>
      <w:r w:rsidR="009D5E84" w:rsidRPr="00F6340E">
        <w:t>);</w:t>
      </w:r>
    </w:p>
    <w:p w14:paraId="7B7C2974" w14:textId="371B092A" w:rsidR="00727D98" w:rsidRPr="00F6340E" w:rsidRDefault="00A56E08" w:rsidP="00210EE1">
      <w:pPr>
        <w:pStyle w:val="Bulletlist"/>
      </w:pPr>
      <w:r>
        <w:t>диги</w:t>
      </w:r>
      <w:r w:rsidR="0071360A">
        <w:t>т</w:t>
      </w:r>
      <w:r>
        <w:t>ални</w:t>
      </w:r>
      <w:r w:rsidR="009D5E84" w:rsidRPr="00F6340E">
        <w:t xml:space="preserve"> </w:t>
      </w:r>
      <w:r w:rsidR="0071360A">
        <w:t>с</w:t>
      </w:r>
      <w:r>
        <w:t>ад</w:t>
      </w:r>
      <w:r w:rsidR="0071360A">
        <w:t>р</w:t>
      </w:r>
      <w:r w:rsidR="00171F00">
        <w:t>ж</w:t>
      </w:r>
      <w:r>
        <w:t>ај</w:t>
      </w:r>
      <w:r w:rsidR="00F17EE6" w:rsidRPr="00F6340E">
        <w:t xml:space="preserve"> </w:t>
      </w:r>
      <w:r>
        <w:t>одно</w:t>
      </w:r>
      <w:r w:rsidR="0071360A">
        <w:t>с</w:t>
      </w:r>
      <w:r>
        <w:t>и</w:t>
      </w:r>
      <w:r w:rsidR="00727D98" w:rsidRPr="00F6340E">
        <w:t xml:space="preserve"> </w:t>
      </w:r>
      <w:r w:rsidR="0071360A">
        <w:t>с</w:t>
      </w:r>
      <w:r w:rsidR="00EE6AA2">
        <w:t>е</w:t>
      </w:r>
      <w:r w:rsidR="00CD12B6" w:rsidRPr="00F6340E">
        <w:t xml:space="preserve"> </w:t>
      </w:r>
      <w:r>
        <w:t>на</w:t>
      </w:r>
      <w:r w:rsidR="009D5E84" w:rsidRPr="00F6340E">
        <w:t xml:space="preserve"> </w:t>
      </w:r>
      <w:r>
        <w:t>об</w:t>
      </w:r>
      <w:r w:rsidR="0071360A">
        <w:t>р</w:t>
      </w:r>
      <w:r>
        <w:t>а</w:t>
      </w:r>
      <w:r w:rsidR="00171F00">
        <w:t>з</w:t>
      </w:r>
      <w:r>
        <w:t>о</w:t>
      </w:r>
      <w:r w:rsidR="0071360A">
        <w:t>в</w:t>
      </w:r>
      <w:r>
        <w:t>ни</w:t>
      </w:r>
      <w:r w:rsidR="009D5E84" w:rsidRPr="00F6340E">
        <w:t xml:space="preserve"> </w:t>
      </w:r>
      <w:r w:rsidR="0071360A">
        <w:t>с</w:t>
      </w:r>
      <w:r>
        <w:t>ад</w:t>
      </w:r>
      <w:r w:rsidR="0071360A">
        <w:t>р</w:t>
      </w:r>
      <w:r w:rsidR="00171F00">
        <w:t>ж</w:t>
      </w:r>
      <w:r>
        <w:t>ај</w:t>
      </w:r>
      <w:r w:rsidR="009D5E84" w:rsidRPr="00F6340E">
        <w:t xml:space="preserve"> </w:t>
      </w:r>
      <w:r>
        <w:t>и</w:t>
      </w:r>
      <w:r w:rsidR="0071360A">
        <w:t>сп</w:t>
      </w:r>
      <w:r>
        <w:t>о</w:t>
      </w:r>
      <w:r w:rsidR="0071360A">
        <w:t>ру</w:t>
      </w:r>
      <w:r>
        <w:t>ч</w:t>
      </w:r>
      <w:r w:rsidR="00EE6AA2">
        <w:t>е</w:t>
      </w:r>
      <w:r>
        <w:t>н</w:t>
      </w:r>
      <w:r w:rsidR="009D5E84" w:rsidRPr="00F6340E">
        <w:t xml:space="preserve"> </w:t>
      </w:r>
      <w:r>
        <w:t>к</w:t>
      </w:r>
      <w:r w:rsidR="0071360A">
        <w:t>р</w:t>
      </w:r>
      <w:r>
        <w:t>о</w:t>
      </w:r>
      <w:r w:rsidR="00171F00">
        <w:t>з</w:t>
      </w:r>
      <w:r w:rsidR="009D5E84" w:rsidRPr="00F6340E">
        <w:t xml:space="preserve"> </w:t>
      </w:r>
      <w:r w:rsidR="0071360A">
        <w:t>пр</w:t>
      </w:r>
      <w:r>
        <w:t>имј</w:t>
      </w:r>
      <w:r w:rsidR="00EE6AA2">
        <w:t>е</w:t>
      </w:r>
      <w:r>
        <w:t>н</w:t>
      </w:r>
      <w:r w:rsidR="0071360A">
        <w:t>у</w:t>
      </w:r>
      <w:r w:rsidR="009D5E84" w:rsidRPr="00F6340E">
        <w:t xml:space="preserve"> </w:t>
      </w:r>
      <w:r w:rsidR="0071360A">
        <w:t>т</w:t>
      </w:r>
      <w:r w:rsidR="00EE6AA2">
        <w:t>е</w:t>
      </w:r>
      <w:r>
        <w:t>хнологиј</w:t>
      </w:r>
      <w:r w:rsidR="00EE6AA2">
        <w:t>е</w:t>
      </w:r>
      <w:r w:rsidR="00E864CA" w:rsidRPr="00F6340E">
        <w:t>,</w:t>
      </w:r>
      <w:r w:rsidR="009D5E84" w:rsidRPr="00F6340E">
        <w:t xml:space="preserve"> </w:t>
      </w:r>
      <w:r>
        <w:t>а</w:t>
      </w:r>
      <w:r w:rsidR="00727D98" w:rsidRPr="00F6340E">
        <w:t xml:space="preserve"> </w:t>
      </w:r>
      <w:r>
        <w:t>мо</w:t>
      </w:r>
      <w:r w:rsidR="00171F00">
        <w:t>ж</w:t>
      </w:r>
      <w:r w:rsidR="00EE6AA2">
        <w:t>е</w:t>
      </w:r>
      <w:r w:rsidR="00727D98" w:rsidRPr="00F6340E">
        <w:t xml:space="preserve"> </w:t>
      </w:r>
      <w:r w:rsidR="0071360A">
        <w:t>с</w:t>
      </w:r>
      <w:r w:rsidR="00EE6AA2">
        <w:t>е</w:t>
      </w:r>
      <w:r w:rsidR="00727D98" w:rsidRPr="00F6340E">
        <w:t xml:space="preserve"> </w:t>
      </w:r>
      <w:r>
        <w:t>ја</w:t>
      </w:r>
      <w:r w:rsidR="0071360A">
        <w:t>в</w:t>
      </w:r>
      <w:r>
        <w:t>ља</w:t>
      </w:r>
      <w:r w:rsidR="0071360A">
        <w:t>т</w:t>
      </w:r>
      <w:r>
        <w:t>и</w:t>
      </w:r>
      <w:r w:rsidR="00727D98" w:rsidRPr="00F6340E">
        <w:t xml:space="preserve"> </w:t>
      </w:r>
      <w:r w:rsidR="0071360A">
        <w:t>у</w:t>
      </w:r>
      <w:r w:rsidR="00727D98" w:rsidRPr="00F6340E">
        <w:t xml:space="preserve"> </w:t>
      </w:r>
      <w:r w:rsidR="0071360A">
        <w:t>р</w:t>
      </w:r>
      <w:r>
        <w:t>а</w:t>
      </w:r>
      <w:r w:rsidR="00171F00">
        <w:t>з</w:t>
      </w:r>
      <w:r>
        <w:t>личи</w:t>
      </w:r>
      <w:r w:rsidR="0071360A">
        <w:t>т</w:t>
      </w:r>
      <w:r>
        <w:t>им</w:t>
      </w:r>
      <w:r w:rsidR="00727D98" w:rsidRPr="00F6340E">
        <w:t xml:space="preserve"> </w:t>
      </w:r>
      <w:r>
        <w:t>облицима</w:t>
      </w:r>
      <w:r w:rsidR="00727D98" w:rsidRPr="00F6340E">
        <w:t xml:space="preserve"> </w:t>
      </w:r>
      <w:r>
        <w:t>као</w:t>
      </w:r>
      <w:r w:rsidR="00727D98" w:rsidRPr="00F6340E">
        <w:t xml:space="preserve"> </w:t>
      </w:r>
      <w:r w:rsidR="0071360A">
        <w:t>шт</w:t>
      </w:r>
      <w:r>
        <w:t>о</w:t>
      </w:r>
      <w:r w:rsidR="00727D98" w:rsidRPr="00F6340E">
        <w:t xml:space="preserve"> </w:t>
      </w:r>
      <w:r w:rsidR="0071360A">
        <w:t>су</w:t>
      </w:r>
      <w:r w:rsidR="00727D98" w:rsidRPr="00F6340E">
        <w:t xml:space="preserve"> </w:t>
      </w:r>
      <w:r w:rsidR="0071360A">
        <w:t>П</w:t>
      </w:r>
      <w:r>
        <w:t>ДФ</w:t>
      </w:r>
      <w:r w:rsidR="00727D98" w:rsidRPr="00F6340E">
        <w:t xml:space="preserve">, </w:t>
      </w:r>
      <w:r w:rsidR="0071360A">
        <w:t>т</w:t>
      </w:r>
      <w:r w:rsidR="00EE6AA2">
        <w:t>е</w:t>
      </w:r>
      <w:r>
        <w:t>к</w:t>
      </w:r>
      <w:r w:rsidR="0071360A">
        <w:t>ст</w:t>
      </w:r>
      <w:r w:rsidR="00727D98" w:rsidRPr="00F6340E">
        <w:t xml:space="preserve">, </w:t>
      </w:r>
      <w:r w:rsidR="0071360A">
        <w:t>пр</w:t>
      </w:r>
      <w:r w:rsidR="00EE6AA2">
        <w:t>е</w:t>
      </w:r>
      <w:r w:rsidR="00171F00">
        <w:t>з</w:t>
      </w:r>
      <w:r w:rsidR="00EE6AA2">
        <w:t>е</w:t>
      </w:r>
      <w:r>
        <w:t>н</w:t>
      </w:r>
      <w:r w:rsidR="0071360A">
        <w:t>т</w:t>
      </w:r>
      <w:r>
        <w:t>ација</w:t>
      </w:r>
      <w:r w:rsidR="00CD12B6" w:rsidRPr="00F6340E">
        <w:t xml:space="preserve"> </w:t>
      </w:r>
      <w:r w:rsidR="0071360A">
        <w:t>П</w:t>
      </w:r>
      <w:r>
        <w:t>о</w:t>
      </w:r>
      <w:r w:rsidR="00727D98" w:rsidRPr="00F6340E">
        <w:t>w</w:t>
      </w:r>
      <w:r w:rsidR="00EE6AA2">
        <w:t>е</w:t>
      </w:r>
      <w:r w:rsidR="0071360A">
        <w:t>рП</w:t>
      </w:r>
      <w:r>
        <w:t>оин</w:t>
      </w:r>
      <w:r w:rsidR="0071360A">
        <w:t>т</w:t>
      </w:r>
      <w:r w:rsidR="00727D98" w:rsidRPr="00F6340E">
        <w:t xml:space="preserve">, </w:t>
      </w:r>
      <w:r>
        <w:t>али</w:t>
      </w:r>
      <w:r w:rsidR="00727D98" w:rsidRPr="00F6340E">
        <w:t xml:space="preserve"> </w:t>
      </w:r>
      <w:r>
        <w:t>и</w:t>
      </w:r>
      <w:r w:rsidR="00727D98" w:rsidRPr="00F6340E">
        <w:t xml:space="preserve"> </w:t>
      </w:r>
      <w:r w:rsidR="0071360A">
        <w:t>св</w:t>
      </w:r>
      <w:r>
        <w:t>и</w:t>
      </w:r>
      <w:r w:rsidR="00727D98" w:rsidRPr="00F6340E">
        <w:t xml:space="preserve"> </w:t>
      </w:r>
      <w:r>
        <w:t>д</w:t>
      </w:r>
      <w:r w:rsidR="0071360A">
        <w:t>ру</w:t>
      </w:r>
      <w:r>
        <w:t>ги</w:t>
      </w:r>
      <w:r w:rsidR="00727D98" w:rsidRPr="00F6340E">
        <w:t xml:space="preserve"> </w:t>
      </w:r>
      <w:r>
        <w:t>облици</w:t>
      </w:r>
      <w:r w:rsidR="00727D98" w:rsidRPr="00F6340E">
        <w:t xml:space="preserve"> </w:t>
      </w:r>
      <w:r>
        <w:t>ин</w:t>
      </w:r>
      <w:r w:rsidR="0071360A">
        <w:t>т</w:t>
      </w:r>
      <w:r w:rsidR="00EE6AA2">
        <w:t>е</w:t>
      </w:r>
      <w:r w:rsidR="0071360A">
        <w:t>р</w:t>
      </w:r>
      <w:r>
        <w:t>ак</w:t>
      </w:r>
      <w:r w:rsidR="0071360A">
        <w:t>т</w:t>
      </w:r>
      <w:r>
        <w:t>и</w:t>
      </w:r>
      <w:r w:rsidR="0071360A">
        <w:t>в</w:t>
      </w:r>
      <w:r>
        <w:t>них</w:t>
      </w:r>
      <w:r w:rsidR="00727D98" w:rsidRPr="00F6340E">
        <w:t xml:space="preserve"> </w:t>
      </w:r>
      <w:r>
        <w:t>и</w:t>
      </w:r>
      <w:r w:rsidR="00727D98" w:rsidRPr="00F6340E">
        <w:t xml:space="preserve"> </w:t>
      </w:r>
      <w:r>
        <w:t>ада</w:t>
      </w:r>
      <w:r w:rsidR="0071360A">
        <w:t>пт</w:t>
      </w:r>
      <w:r>
        <w:t>и</w:t>
      </w:r>
      <w:r w:rsidR="0071360A">
        <w:t>в</w:t>
      </w:r>
      <w:r>
        <w:t>них</w:t>
      </w:r>
      <w:r w:rsidR="00727D98" w:rsidRPr="00F6340E">
        <w:t xml:space="preserve"> </w:t>
      </w:r>
      <w:r w:rsidR="0071360A">
        <w:t>с</w:t>
      </w:r>
      <w:r>
        <w:t>оф</w:t>
      </w:r>
      <w:r w:rsidR="0071360A">
        <w:t>тв</w:t>
      </w:r>
      <w:r w:rsidR="00EE6AA2">
        <w:t>е</w:t>
      </w:r>
      <w:r w:rsidR="0071360A">
        <w:t>р</w:t>
      </w:r>
      <w:r>
        <w:t>а</w:t>
      </w:r>
      <w:r w:rsidR="00727D98" w:rsidRPr="00F6340E">
        <w:t xml:space="preserve">, </w:t>
      </w:r>
      <w:r>
        <w:t>кла</w:t>
      </w:r>
      <w:r w:rsidR="0071360A">
        <w:t>с</w:t>
      </w:r>
      <w:r>
        <w:t>ичн</w:t>
      </w:r>
      <w:r w:rsidR="00EE6AA2">
        <w:t>е</w:t>
      </w:r>
      <w:r w:rsidR="00727D98" w:rsidRPr="00F6340E">
        <w:t xml:space="preserve"> </w:t>
      </w:r>
      <w:r>
        <w:t>ли</w:t>
      </w:r>
      <w:r w:rsidR="0071360A">
        <w:t>т</w:t>
      </w:r>
      <w:r w:rsidR="00EE6AA2">
        <w:t>е</w:t>
      </w:r>
      <w:r w:rsidR="0071360A">
        <w:t>р</w:t>
      </w:r>
      <w:r>
        <w:t>а</w:t>
      </w:r>
      <w:r w:rsidR="0071360A">
        <w:t>тур</w:t>
      </w:r>
      <w:r w:rsidR="00EE6AA2">
        <w:t>е</w:t>
      </w:r>
      <w:r w:rsidR="00727D98" w:rsidRPr="00F6340E">
        <w:t xml:space="preserve">, </w:t>
      </w:r>
      <w:r w:rsidR="0071360A">
        <w:t>в</w:t>
      </w:r>
      <w:r>
        <w:t>ид</w:t>
      </w:r>
      <w:r w:rsidR="00EE6AA2">
        <w:t>е</w:t>
      </w:r>
      <w:r>
        <w:t>о</w:t>
      </w:r>
      <w:r w:rsidR="00727D98" w:rsidRPr="00F6340E">
        <w:t xml:space="preserve"> </w:t>
      </w:r>
      <w:r>
        <w:t>л</w:t>
      </w:r>
      <w:r w:rsidR="00EE6AA2">
        <w:t>е</w:t>
      </w:r>
      <w:r>
        <w:t>кција</w:t>
      </w:r>
      <w:r w:rsidR="00727D98" w:rsidRPr="00F6340E">
        <w:t xml:space="preserve">, </w:t>
      </w:r>
      <w:r>
        <w:t>иг</w:t>
      </w:r>
      <w:r w:rsidR="0071360A">
        <w:t>р</w:t>
      </w:r>
      <w:r>
        <w:t>ица</w:t>
      </w:r>
      <w:r w:rsidR="00727D98" w:rsidRPr="00F6340E">
        <w:t xml:space="preserve"> </w:t>
      </w:r>
      <w:r>
        <w:t>и</w:t>
      </w:r>
      <w:r w:rsidR="00727D98" w:rsidRPr="00F6340E">
        <w:t xml:space="preserve"> </w:t>
      </w:r>
      <w:r>
        <w:t>д</w:t>
      </w:r>
      <w:r w:rsidR="0071360A">
        <w:t>р</w:t>
      </w:r>
      <w:r w:rsidR="00727D98" w:rsidRPr="00F6340E">
        <w:t xml:space="preserve">. </w:t>
      </w:r>
      <w:r w:rsidR="009D5E84" w:rsidRPr="00F6340E">
        <w:t xml:space="preserve"> </w:t>
      </w:r>
    </w:p>
    <w:p w14:paraId="2FF93223" w14:textId="4531E729" w:rsidR="00727D98" w:rsidRPr="00F6340E" w:rsidRDefault="00A56E08" w:rsidP="00210EE1">
      <w:pPr>
        <w:pStyle w:val="Bulletlist"/>
      </w:pPr>
      <w:r>
        <w:t>Ин</w:t>
      </w:r>
      <w:r w:rsidR="0071360A">
        <w:t>стру</w:t>
      </w:r>
      <w:r>
        <w:t>кциј</w:t>
      </w:r>
      <w:r w:rsidR="00EE6AA2">
        <w:t>е</w:t>
      </w:r>
      <w:r w:rsidR="0007366B" w:rsidRPr="00F6340E">
        <w:t xml:space="preserve"> </w:t>
      </w:r>
      <w:r w:rsidR="0071360A">
        <w:t>с</w:t>
      </w:r>
      <w:r w:rsidR="00EE6AA2">
        <w:t>е</w:t>
      </w:r>
      <w:r w:rsidR="00CD12B6" w:rsidRPr="00F6340E">
        <w:t xml:space="preserve"> </w:t>
      </w:r>
      <w:r>
        <w:t>одно</w:t>
      </w:r>
      <w:r w:rsidR="0071360A">
        <w:t>с</w:t>
      </w:r>
      <w:r w:rsidR="00EE6AA2">
        <w:t>е</w:t>
      </w:r>
      <w:r w:rsidR="0007366B" w:rsidRPr="00F6340E">
        <w:t xml:space="preserve"> </w:t>
      </w:r>
      <w:r>
        <w:t>на</w:t>
      </w:r>
      <w:r w:rsidR="0007366B" w:rsidRPr="00F6340E">
        <w:t xml:space="preserve"> </w:t>
      </w:r>
      <w:r>
        <w:t>и</w:t>
      </w:r>
      <w:r w:rsidR="00171F00">
        <w:t>з</w:t>
      </w:r>
      <w:r>
        <w:t>мј</w:t>
      </w:r>
      <w:r w:rsidR="00EE6AA2">
        <w:t>е</w:t>
      </w:r>
      <w:r>
        <w:t>њ</w:t>
      </w:r>
      <w:r w:rsidR="00EE6AA2">
        <w:t>е</w:t>
      </w:r>
      <w:r>
        <w:t>н</w:t>
      </w:r>
      <w:r w:rsidR="0071360A">
        <w:t>у</w:t>
      </w:r>
      <w:r w:rsidR="0007366B" w:rsidRPr="00F6340E">
        <w:t xml:space="preserve"> </w:t>
      </w:r>
      <w:r w:rsidR="0071360A">
        <w:t>у</w:t>
      </w:r>
      <w:r>
        <w:t>лог</w:t>
      </w:r>
      <w:r w:rsidR="0071360A">
        <w:t>у</w:t>
      </w:r>
      <w:r w:rsidR="0007366B" w:rsidRPr="00F6340E">
        <w:t xml:space="preserve"> </w:t>
      </w:r>
      <w:r>
        <w:t>на</w:t>
      </w:r>
      <w:r w:rsidR="0071360A">
        <w:t>ст</w:t>
      </w:r>
      <w:r>
        <w:t>а</w:t>
      </w:r>
      <w:r w:rsidR="0071360A">
        <w:t>в</w:t>
      </w:r>
      <w:r>
        <w:t>ника</w:t>
      </w:r>
      <w:r w:rsidR="0007366B" w:rsidRPr="00F6340E">
        <w:t xml:space="preserve"> </w:t>
      </w:r>
      <w:r w:rsidR="0071360A">
        <w:t>у</w:t>
      </w:r>
      <w:r w:rsidR="0007366B" w:rsidRPr="00F6340E">
        <w:t xml:space="preserve"> </w:t>
      </w:r>
      <w:r>
        <w:t>кон</w:t>
      </w:r>
      <w:r w:rsidR="0071360A">
        <w:t>т</w:t>
      </w:r>
      <w:r w:rsidR="00EE6AA2">
        <w:t>е</w:t>
      </w:r>
      <w:r>
        <w:t>к</w:t>
      </w:r>
      <w:r w:rsidR="0071360A">
        <w:t>сту</w:t>
      </w:r>
      <w:r w:rsidR="0007366B" w:rsidRPr="00F6340E">
        <w:t xml:space="preserve"> </w:t>
      </w:r>
      <w:r w:rsidR="0071360A">
        <w:t>п</w:t>
      </w:r>
      <w:r>
        <w:t>од</w:t>
      </w:r>
      <w:r w:rsidR="0071360A">
        <w:t>рш</w:t>
      </w:r>
      <w:r>
        <w:t>к</w:t>
      </w:r>
      <w:r w:rsidR="00EE6AA2">
        <w:t>е</w:t>
      </w:r>
      <w:r w:rsidR="0007366B" w:rsidRPr="00F6340E">
        <w:t xml:space="preserve"> </w:t>
      </w:r>
      <w:r>
        <w:t>и</w:t>
      </w:r>
      <w:r w:rsidR="0007366B" w:rsidRPr="00F6340E">
        <w:t xml:space="preserve"> </w:t>
      </w:r>
      <w:r w:rsidR="0071360A">
        <w:t>п</w:t>
      </w:r>
      <w:r>
        <w:t>омоћи</w:t>
      </w:r>
      <w:r w:rsidR="0007366B" w:rsidRPr="00F6340E">
        <w:t xml:space="preserve"> </w:t>
      </w:r>
      <w:r w:rsidR="0071360A">
        <w:t>у</w:t>
      </w:r>
      <w:r>
        <w:t>ч</w:t>
      </w:r>
      <w:r w:rsidR="00EE6AA2">
        <w:t>е</w:t>
      </w:r>
      <w:r>
        <w:t>њ</w:t>
      </w:r>
      <w:r w:rsidR="0071360A">
        <w:t>у</w:t>
      </w:r>
      <w:r w:rsidR="0007366B" w:rsidRPr="00F6340E">
        <w:t xml:space="preserve"> </w:t>
      </w:r>
      <w:r w:rsidR="0071360A">
        <w:t>у</w:t>
      </w:r>
      <w:r>
        <w:t>ч</w:t>
      </w:r>
      <w:r w:rsidR="00EE6AA2">
        <w:t>е</w:t>
      </w:r>
      <w:r>
        <w:t>ника</w:t>
      </w:r>
      <w:r w:rsidR="0007366B" w:rsidRPr="00F6340E">
        <w:t>/</w:t>
      </w:r>
      <w:r w:rsidR="0071360A">
        <w:t>сту</w:t>
      </w:r>
      <w:r>
        <w:t>д</w:t>
      </w:r>
      <w:r w:rsidR="00EE6AA2">
        <w:t>е</w:t>
      </w:r>
      <w:r>
        <w:t>н</w:t>
      </w:r>
      <w:r w:rsidR="0071360A">
        <w:t>т</w:t>
      </w:r>
      <w:r>
        <w:t>а</w:t>
      </w:r>
      <w:r w:rsidR="0007366B" w:rsidRPr="00F6340E">
        <w:t xml:space="preserve">. </w:t>
      </w:r>
    </w:p>
    <w:p w14:paraId="513D63FA" w14:textId="2B4CD095" w:rsidR="00AA30F4" w:rsidRPr="00F6340E" w:rsidRDefault="00A56E08" w:rsidP="00210EE1">
      <w:pPr>
        <w:pStyle w:val="Body"/>
        <w:rPr>
          <w:rStyle w:val="y2iqfc"/>
          <w:rFonts w:cs="Arial"/>
          <w:color w:val="000000" w:themeColor="text1"/>
          <w:szCs w:val="24"/>
        </w:rPr>
      </w:pPr>
      <w:r>
        <w:t>Диги</w:t>
      </w:r>
      <w:r w:rsidR="0071360A">
        <w:t>т</w:t>
      </w:r>
      <w:r>
        <w:t>ално</w:t>
      </w:r>
      <w:r w:rsidR="00AA30F4" w:rsidRPr="00F6340E">
        <w:t xml:space="preserve"> </w:t>
      </w:r>
      <w:r w:rsidR="0071360A">
        <w:t>у</w:t>
      </w:r>
      <w:r>
        <w:t>ч</w:t>
      </w:r>
      <w:r w:rsidR="00EE6AA2">
        <w:t>е</w:t>
      </w:r>
      <w:r>
        <w:t>њ</w:t>
      </w:r>
      <w:r w:rsidR="00EE6AA2">
        <w:t>е</w:t>
      </w:r>
      <w:r w:rsidR="0007366B" w:rsidRPr="00F6340E">
        <w:rPr>
          <w:rStyle w:val="y2iqfc"/>
          <w:rFonts w:cs="Arial"/>
          <w:color w:val="000000" w:themeColor="text1"/>
          <w:szCs w:val="24"/>
        </w:rPr>
        <w:t xml:space="preserve">, </w:t>
      </w:r>
      <w:r w:rsidR="00171F00">
        <w:rPr>
          <w:rStyle w:val="y2iqfc"/>
          <w:rFonts w:cs="Arial"/>
          <w:color w:val="000000" w:themeColor="text1"/>
          <w:szCs w:val="24"/>
        </w:rPr>
        <w:t>з</w:t>
      </w:r>
      <w:r>
        <w:rPr>
          <w:rStyle w:val="y2iqfc"/>
          <w:rFonts w:cs="Arial"/>
          <w:color w:val="000000" w:themeColor="text1"/>
          <w:szCs w:val="24"/>
        </w:rPr>
        <w:t>а</w:t>
      </w:r>
      <w:r w:rsidR="0071360A">
        <w:rPr>
          <w:rStyle w:val="y2iqfc"/>
          <w:rFonts w:cs="Arial"/>
          <w:color w:val="000000" w:themeColor="text1"/>
          <w:szCs w:val="24"/>
        </w:rPr>
        <w:t>т</w:t>
      </w:r>
      <w:r>
        <w:rPr>
          <w:rStyle w:val="y2iqfc"/>
          <w:rFonts w:cs="Arial"/>
          <w:color w:val="000000" w:themeColor="text1"/>
          <w:szCs w:val="24"/>
        </w:rPr>
        <w:t>о</w:t>
      </w:r>
      <w:r w:rsidR="0007366B" w:rsidRPr="00F6340E">
        <w:rPr>
          <w:rStyle w:val="y2iqfc"/>
          <w:rFonts w:cs="Arial"/>
          <w:color w:val="000000" w:themeColor="text1"/>
          <w:szCs w:val="24"/>
        </w:rPr>
        <w:t xml:space="preserve">, </w:t>
      </w:r>
      <w:r>
        <w:rPr>
          <w:rStyle w:val="y2iqfc"/>
          <w:rFonts w:cs="Arial"/>
          <w:color w:val="000000" w:themeColor="text1"/>
          <w:szCs w:val="24"/>
        </w:rPr>
        <w:t>о</w:t>
      </w:r>
      <w:r w:rsidR="00171F00">
        <w:rPr>
          <w:rStyle w:val="y2iqfc"/>
          <w:rFonts w:cs="Arial"/>
          <w:color w:val="000000" w:themeColor="text1"/>
          <w:szCs w:val="24"/>
        </w:rPr>
        <w:t>з</w:t>
      </w:r>
      <w:r>
        <w:rPr>
          <w:rStyle w:val="y2iqfc"/>
          <w:rFonts w:cs="Arial"/>
          <w:color w:val="000000" w:themeColor="text1"/>
          <w:szCs w:val="24"/>
        </w:rPr>
        <w:t>нача</w:t>
      </w:r>
      <w:r w:rsidR="0071360A">
        <w:rPr>
          <w:rStyle w:val="y2iqfc"/>
          <w:rFonts w:cs="Arial"/>
          <w:color w:val="000000" w:themeColor="text1"/>
          <w:szCs w:val="24"/>
        </w:rPr>
        <w:t>в</w:t>
      </w:r>
      <w:r>
        <w:rPr>
          <w:rStyle w:val="y2iqfc"/>
          <w:rFonts w:cs="Arial"/>
          <w:color w:val="000000" w:themeColor="text1"/>
          <w:szCs w:val="24"/>
        </w:rPr>
        <w:t>а</w:t>
      </w:r>
      <w:r w:rsidR="000F446A" w:rsidRPr="00F6340E">
        <w:rPr>
          <w:rStyle w:val="y2iqfc"/>
          <w:rFonts w:cs="Arial"/>
          <w:color w:val="000000" w:themeColor="text1"/>
          <w:szCs w:val="24"/>
        </w:rPr>
        <w:t xml:space="preserve"> </w:t>
      </w:r>
      <w:r w:rsidR="0071360A">
        <w:rPr>
          <w:rStyle w:val="y2iqfc"/>
          <w:rFonts w:cs="Arial"/>
          <w:color w:val="000000" w:themeColor="text1"/>
          <w:szCs w:val="24"/>
        </w:rPr>
        <w:t>св</w:t>
      </w:r>
      <w:r>
        <w:rPr>
          <w:rStyle w:val="y2iqfc"/>
          <w:rFonts w:cs="Arial"/>
          <w:color w:val="000000" w:themeColor="text1"/>
          <w:szCs w:val="24"/>
        </w:rPr>
        <w:t>ак</w:t>
      </w:r>
      <w:r w:rsidR="0071360A">
        <w:rPr>
          <w:rStyle w:val="y2iqfc"/>
          <w:rFonts w:cs="Arial"/>
          <w:color w:val="000000" w:themeColor="text1"/>
          <w:szCs w:val="24"/>
        </w:rPr>
        <w:t>у</w:t>
      </w:r>
      <w:r w:rsidR="00EA48D1" w:rsidRPr="00F6340E">
        <w:rPr>
          <w:rStyle w:val="y2iqfc"/>
          <w:rFonts w:cs="Arial"/>
          <w:color w:val="000000" w:themeColor="text1"/>
          <w:szCs w:val="24"/>
        </w:rPr>
        <w:t xml:space="preserve"> </w:t>
      </w:r>
      <w:r w:rsidR="0071360A">
        <w:rPr>
          <w:rStyle w:val="y2iqfc"/>
          <w:rFonts w:cs="Arial"/>
          <w:color w:val="000000" w:themeColor="text1"/>
          <w:szCs w:val="24"/>
        </w:rPr>
        <w:t>пр</w:t>
      </w:r>
      <w:r>
        <w:rPr>
          <w:rStyle w:val="y2iqfc"/>
          <w:rFonts w:cs="Arial"/>
          <w:color w:val="000000" w:themeColor="text1"/>
          <w:szCs w:val="24"/>
        </w:rPr>
        <w:t>ак</w:t>
      </w:r>
      <w:r w:rsidR="0071360A">
        <w:rPr>
          <w:rStyle w:val="y2iqfc"/>
          <w:rFonts w:cs="Arial"/>
          <w:color w:val="000000" w:themeColor="text1"/>
          <w:szCs w:val="24"/>
        </w:rPr>
        <w:t>су</w:t>
      </w:r>
      <w:r w:rsidR="00EA48D1" w:rsidRPr="00F6340E">
        <w:rPr>
          <w:rStyle w:val="y2iqfc"/>
          <w:rFonts w:cs="Arial"/>
          <w:color w:val="000000" w:themeColor="text1"/>
          <w:szCs w:val="24"/>
        </w:rPr>
        <w:t xml:space="preserve"> </w:t>
      </w:r>
      <w:r w:rsidR="0071360A">
        <w:rPr>
          <w:rStyle w:val="y2iqfc"/>
          <w:rFonts w:cs="Arial"/>
          <w:color w:val="000000" w:themeColor="text1"/>
          <w:szCs w:val="24"/>
        </w:rPr>
        <w:t>у</w:t>
      </w:r>
      <w:r>
        <w:rPr>
          <w:rStyle w:val="y2iqfc"/>
          <w:rFonts w:cs="Arial"/>
          <w:color w:val="000000" w:themeColor="text1"/>
          <w:szCs w:val="24"/>
        </w:rPr>
        <w:t>ч</w:t>
      </w:r>
      <w:r w:rsidR="00EE6AA2">
        <w:rPr>
          <w:rStyle w:val="y2iqfc"/>
          <w:rFonts w:cs="Arial"/>
          <w:color w:val="000000" w:themeColor="text1"/>
          <w:szCs w:val="24"/>
        </w:rPr>
        <w:t>е</w:t>
      </w:r>
      <w:r>
        <w:rPr>
          <w:rStyle w:val="y2iqfc"/>
          <w:rFonts w:cs="Arial"/>
          <w:color w:val="000000" w:themeColor="text1"/>
          <w:szCs w:val="24"/>
        </w:rPr>
        <w:t>ња</w:t>
      </w:r>
      <w:r w:rsidR="00AA30F4" w:rsidRPr="00F6340E">
        <w:rPr>
          <w:rStyle w:val="y2iqfc"/>
          <w:rFonts w:cs="Arial"/>
          <w:color w:val="000000" w:themeColor="text1"/>
          <w:szCs w:val="24"/>
        </w:rPr>
        <w:t xml:space="preserve">, </w:t>
      </w:r>
      <w:r>
        <w:rPr>
          <w:rStyle w:val="y2iqfc"/>
          <w:rFonts w:cs="Arial"/>
          <w:color w:val="000000" w:themeColor="text1"/>
          <w:szCs w:val="24"/>
        </w:rPr>
        <w:t>која</w:t>
      </w:r>
      <w:r w:rsidR="00EA48D1" w:rsidRPr="00F6340E">
        <w:rPr>
          <w:rStyle w:val="y2iqfc"/>
          <w:rFonts w:cs="Arial"/>
          <w:color w:val="000000" w:themeColor="text1"/>
          <w:szCs w:val="24"/>
        </w:rPr>
        <w:t xml:space="preserve"> </w:t>
      </w:r>
      <w:r w:rsidR="00EE6AA2">
        <w:rPr>
          <w:rStyle w:val="y2iqfc"/>
          <w:rFonts w:cs="Arial"/>
          <w:color w:val="000000" w:themeColor="text1"/>
          <w:szCs w:val="24"/>
        </w:rPr>
        <w:t>е</w:t>
      </w:r>
      <w:r>
        <w:rPr>
          <w:rStyle w:val="y2iqfc"/>
          <w:rFonts w:cs="Arial"/>
          <w:color w:val="000000" w:themeColor="text1"/>
          <w:szCs w:val="24"/>
        </w:rPr>
        <w:t>фика</w:t>
      </w:r>
      <w:r w:rsidR="0071360A">
        <w:rPr>
          <w:rStyle w:val="y2iqfc"/>
          <w:rFonts w:cs="Arial"/>
          <w:color w:val="000000" w:themeColor="text1"/>
          <w:szCs w:val="24"/>
        </w:rPr>
        <w:t>с</w:t>
      </w:r>
      <w:r>
        <w:rPr>
          <w:rStyle w:val="y2iqfc"/>
          <w:rFonts w:cs="Arial"/>
          <w:color w:val="000000" w:themeColor="text1"/>
          <w:szCs w:val="24"/>
        </w:rPr>
        <w:t>но</w:t>
      </w:r>
      <w:r w:rsidR="00AA30F4" w:rsidRPr="00F6340E">
        <w:rPr>
          <w:rStyle w:val="y2iqfc"/>
          <w:rFonts w:cs="Arial"/>
          <w:color w:val="000000" w:themeColor="text1"/>
          <w:szCs w:val="24"/>
        </w:rPr>
        <w:t xml:space="preserve"> </w:t>
      </w:r>
      <w:r w:rsidR="0071360A">
        <w:rPr>
          <w:rStyle w:val="y2iqfc"/>
          <w:rFonts w:cs="Arial"/>
          <w:color w:val="000000" w:themeColor="text1"/>
          <w:szCs w:val="24"/>
        </w:rPr>
        <w:t>уп</w:t>
      </w:r>
      <w:r>
        <w:rPr>
          <w:rStyle w:val="y2iqfc"/>
          <w:rFonts w:cs="Arial"/>
          <w:color w:val="000000" w:themeColor="text1"/>
          <w:szCs w:val="24"/>
        </w:rPr>
        <w:t>о</w:t>
      </w:r>
      <w:r w:rsidR="0071360A">
        <w:rPr>
          <w:rStyle w:val="y2iqfc"/>
          <w:rFonts w:cs="Arial"/>
          <w:color w:val="000000" w:themeColor="text1"/>
          <w:szCs w:val="24"/>
        </w:rPr>
        <w:t>тр</w:t>
      </w:r>
      <w:r w:rsidR="00EE6AA2">
        <w:rPr>
          <w:rStyle w:val="y2iqfc"/>
          <w:rFonts w:cs="Arial"/>
          <w:color w:val="000000" w:themeColor="text1"/>
          <w:szCs w:val="24"/>
        </w:rPr>
        <w:t>е</w:t>
      </w:r>
      <w:r>
        <w:rPr>
          <w:rStyle w:val="y2iqfc"/>
          <w:rFonts w:cs="Arial"/>
          <w:color w:val="000000" w:themeColor="text1"/>
          <w:szCs w:val="24"/>
        </w:rPr>
        <w:t>бља</w:t>
      </w:r>
      <w:r w:rsidR="0071360A">
        <w:rPr>
          <w:rStyle w:val="y2iqfc"/>
          <w:rFonts w:cs="Arial"/>
          <w:color w:val="000000" w:themeColor="text1"/>
          <w:szCs w:val="24"/>
        </w:rPr>
        <w:t>в</w:t>
      </w:r>
      <w:r>
        <w:rPr>
          <w:rStyle w:val="y2iqfc"/>
          <w:rFonts w:cs="Arial"/>
          <w:color w:val="000000" w:themeColor="text1"/>
          <w:szCs w:val="24"/>
        </w:rPr>
        <w:t>а</w:t>
      </w:r>
      <w:r w:rsidR="00AA30F4" w:rsidRPr="00F6340E">
        <w:rPr>
          <w:rStyle w:val="y2iqfc"/>
          <w:rFonts w:cs="Arial"/>
          <w:color w:val="000000" w:themeColor="text1"/>
          <w:szCs w:val="24"/>
        </w:rPr>
        <w:t xml:space="preserve"> </w:t>
      </w:r>
      <w:r w:rsidR="0071360A">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хнологиј</w:t>
      </w:r>
      <w:r w:rsidR="0071360A">
        <w:rPr>
          <w:rStyle w:val="y2iqfc"/>
          <w:rFonts w:cs="Arial"/>
          <w:color w:val="000000" w:themeColor="text1"/>
          <w:szCs w:val="24"/>
        </w:rPr>
        <w:t>у</w:t>
      </w:r>
      <w:r w:rsidR="00AA30F4" w:rsidRPr="00F6340E">
        <w:rPr>
          <w:rStyle w:val="y2iqfc"/>
          <w:rFonts w:cs="Arial"/>
          <w:color w:val="000000" w:themeColor="text1"/>
          <w:szCs w:val="24"/>
        </w:rPr>
        <w:t xml:space="preserve"> </w:t>
      </w:r>
      <w:r w:rsidR="0071360A">
        <w:rPr>
          <w:rStyle w:val="y2iqfc"/>
          <w:rFonts w:cs="Arial"/>
          <w:color w:val="000000" w:themeColor="text1"/>
          <w:szCs w:val="24"/>
        </w:rPr>
        <w:t>у</w:t>
      </w:r>
      <w:r w:rsidR="00AA30F4" w:rsidRPr="00F6340E">
        <w:rPr>
          <w:rStyle w:val="y2iqfc"/>
          <w:rFonts w:cs="Arial"/>
          <w:color w:val="000000" w:themeColor="text1"/>
          <w:szCs w:val="24"/>
        </w:rPr>
        <w:t xml:space="preserve"> </w:t>
      </w:r>
      <w:r w:rsidR="0071360A">
        <w:rPr>
          <w:rStyle w:val="y2iqfc"/>
          <w:rFonts w:cs="Arial"/>
          <w:color w:val="000000" w:themeColor="text1"/>
          <w:szCs w:val="24"/>
        </w:rPr>
        <w:t>свр</w:t>
      </w:r>
      <w:r>
        <w:rPr>
          <w:rStyle w:val="y2iqfc"/>
          <w:rFonts w:cs="Arial"/>
          <w:color w:val="000000" w:themeColor="text1"/>
          <w:szCs w:val="24"/>
        </w:rPr>
        <w:t>х</w:t>
      </w:r>
      <w:r w:rsidR="0071360A">
        <w:rPr>
          <w:rStyle w:val="y2iqfc"/>
          <w:rFonts w:cs="Arial"/>
          <w:color w:val="000000" w:themeColor="text1"/>
          <w:szCs w:val="24"/>
        </w:rPr>
        <w:t>у</w:t>
      </w:r>
      <w:r w:rsidR="00AA30F4" w:rsidRPr="00F6340E">
        <w:rPr>
          <w:rStyle w:val="y2iqfc"/>
          <w:rFonts w:cs="Arial"/>
          <w:color w:val="000000" w:themeColor="text1"/>
          <w:szCs w:val="24"/>
        </w:rPr>
        <w:t xml:space="preserve"> </w:t>
      </w:r>
      <w:r>
        <w:rPr>
          <w:rStyle w:val="y2iqfc"/>
          <w:rFonts w:cs="Arial"/>
          <w:color w:val="000000" w:themeColor="text1"/>
          <w:szCs w:val="24"/>
        </w:rPr>
        <w:t>јачања</w:t>
      </w:r>
      <w:r w:rsidR="00AA30F4" w:rsidRPr="00F6340E">
        <w:rPr>
          <w:rStyle w:val="y2iqfc"/>
          <w:rFonts w:cs="Arial"/>
          <w:color w:val="000000" w:themeColor="text1"/>
          <w:szCs w:val="24"/>
        </w:rPr>
        <w:t xml:space="preserve"> </w:t>
      </w:r>
      <w:r>
        <w:rPr>
          <w:rStyle w:val="y2iqfc"/>
          <w:rFonts w:cs="Arial"/>
          <w:color w:val="000000" w:themeColor="text1"/>
          <w:szCs w:val="24"/>
        </w:rPr>
        <w:t>и</w:t>
      </w:r>
      <w:r w:rsidR="0071360A">
        <w:rPr>
          <w:rStyle w:val="y2iqfc"/>
          <w:rFonts w:cs="Arial"/>
          <w:color w:val="000000" w:themeColor="text1"/>
          <w:szCs w:val="24"/>
        </w:rPr>
        <w:t>с</w:t>
      </w:r>
      <w:r>
        <w:rPr>
          <w:rStyle w:val="y2iqfc"/>
          <w:rFonts w:cs="Arial"/>
          <w:color w:val="000000" w:themeColor="text1"/>
          <w:szCs w:val="24"/>
        </w:rPr>
        <w:t>к</w:t>
      </w:r>
      <w:r w:rsidR="0071360A">
        <w:rPr>
          <w:rStyle w:val="y2iqfc"/>
          <w:rFonts w:cs="Arial"/>
          <w:color w:val="000000" w:themeColor="text1"/>
          <w:szCs w:val="24"/>
        </w:rPr>
        <w:t>уств</w:t>
      </w:r>
      <w:r>
        <w:rPr>
          <w:rStyle w:val="y2iqfc"/>
          <w:rFonts w:cs="Arial"/>
          <w:color w:val="000000" w:themeColor="text1"/>
          <w:szCs w:val="24"/>
        </w:rPr>
        <w:t>а</w:t>
      </w:r>
      <w:r w:rsidR="00AA30F4" w:rsidRPr="00F6340E">
        <w:rPr>
          <w:rStyle w:val="y2iqfc"/>
          <w:rFonts w:cs="Arial"/>
          <w:color w:val="000000" w:themeColor="text1"/>
          <w:szCs w:val="24"/>
        </w:rPr>
        <w:t xml:space="preserve"> </w:t>
      </w:r>
      <w:r w:rsidR="0071360A">
        <w:rPr>
          <w:rStyle w:val="y2iqfc"/>
          <w:rFonts w:cs="Arial"/>
          <w:color w:val="000000" w:themeColor="text1"/>
          <w:szCs w:val="24"/>
        </w:rPr>
        <w:t>у</w:t>
      </w:r>
      <w:r>
        <w:rPr>
          <w:rStyle w:val="y2iqfc"/>
          <w:rFonts w:cs="Arial"/>
          <w:color w:val="000000" w:themeColor="text1"/>
          <w:szCs w:val="24"/>
        </w:rPr>
        <w:t>ч</w:t>
      </w:r>
      <w:r w:rsidR="00EE6AA2">
        <w:rPr>
          <w:rStyle w:val="y2iqfc"/>
          <w:rFonts w:cs="Arial"/>
          <w:color w:val="000000" w:themeColor="text1"/>
          <w:szCs w:val="24"/>
        </w:rPr>
        <w:t>е</w:t>
      </w:r>
      <w:r>
        <w:rPr>
          <w:rStyle w:val="y2iqfc"/>
          <w:rFonts w:cs="Arial"/>
          <w:color w:val="000000" w:themeColor="text1"/>
          <w:szCs w:val="24"/>
        </w:rPr>
        <w:t>ња</w:t>
      </w:r>
      <w:r w:rsidR="000F446A" w:rsidRPr="00F6340E">
        <w:rPr>
          <w:rStyle w:val="y2iqfc"/>
          <w:rFonts w:cs="Arial"/>
          <w:color w:val="000000" w:themeColor="text1"/>
          <w:szCs w:val="24"/>
        </w:rPr>
        <w:t>,</w:t>
      </w:r>
      <w:r w:rsidR="00AA30F4" w:rsidRPr="00F6340E">
        <w:rPr>
          <w:rStyle w:val="y2iqfc"/>
          <w:rFonts w:cs="Arial"/>
          <w:color w:val="000000" w:themeColor="text1"/>
          <w:szCs w:val="24"/>
        </w:rPr>
        <w:t xml:space="preserve"> </w:t>
      </w:r>
      <w:r>
        <w:rPr>
          <w:rStyle w:val="y2iqfc"/>
          <w:rFonts w:cs="Arial"/>
          <w:color w:val="000000" w:themeColor="text1"/>
          <w:szCs w:val="24"/>
        </w:rPr>
        <w:t>а</w:t>
      </w:r>
      <w:r w:rsidR="00EA48D1" w:rsidRPr="00F6340E">
        <w:rPr>
          <w:rStyle w:val="y2iqfc"/>
          <w:rFonts w:cs="Arial"/>
          <w:color w:val="000000" w:themeColor="text1"/>
          <w:szCs w:val="24"/>
        </w:rPr>
        <w:t xml:space="preserve"> </w:t>
      </w:r>
      <w:r>
        <w:rPr>
          <w:rStyle w:val="y2iqfc"/>
          <w:rFonts w:cs="Arial"/>
          <w:color w:val="000000" w:themeColor="text1"/>
          <w:szCs w:val="24"/>
        </w:rPr>
        <w:t>об</w:t>
      </w:r>
      <w:r w:rsidR="0071360A">
        <w:rPr>
          <w:rStyle w:val="y2iqfc"/>
          <w:rFonts w:cs="Arial"/>
          <w:color w:val="000000" w:themeColor="text1"/>
          <w:szCs w:val="24"/>
        </w:rPr>
        <w:t>у</w:t>
      </w:r>
      <w:r>
        <w:rPr>
          <w:rStyle w:val="y2iqfc"/>
          <w:rFonts w:cs="Arial"/>
          <w:color w:val="000000" w:themeColor="text1"/>
          <w:szCs w:val="24"/>
        </w:rPr>
        <w:t>х</w:t>
      </w:r>
      <w:r w:rsidR="0071360A">
        <w:rPr>
          <w:rStyle w:val="y2iqfc"/>
          <w:rFonts w:cs="Arial"/>
          <w:color w:val="000000" w:themeColor="text1"/>
          <w:szCs w:val="24"/>
        </w:rPr>
        <w:t>в</w:t>
      </w:r>
      <w:r>
        <w:rPr>
          <w:rStyle w:val="y2iqfc"/>
          <w:rFonts w:cs="Arial"/>
          <w:color w:val="000000" w:themeColor="text1"/>
          <w:szCs w:val="24"/>
        </w:rPr>
        <w:t>а</w:t>
      </w:r>
      <w:r w:rsidR="0071360A">
        <w:rPr>
          <w:rStyle w:val="y2iqfc"/>
          <w:rFonts w:cs="Arial"/>
          <w:color w:val="000000" w:themeColor="text1"/>
          <w:szCs w:val="24"/>
        </w:rPr>
        <w:t>т</w:t>
      </w:r>
      <w:r>
        <w:rPr>
          <w:rStyle w:val="y2iqfc"/>
          <w:rFonts w:cs="Arial"/>
          <w:color w:val="000000" w:themeColor="text1"/>
          <w:szCs w:val="24"/>
        </w:rPr>
        <w:t>а</w:t>
      </w:r>
      <w:r w:rsidR="00EA48D1" w:rsidRPr="00F6340E">
        <w:rPr>
          <w:rStyle w:val="y2iqfc"/>
          <w:rFonts w:cs="Arial"/>
          <w:color w:val="000000" w:themeColor="text1"/>
          <w:szCs w:val="24"/>
        </w:rPr>
        <w:t xml:space="preserve"> </w:t>
      </w:r>
      <w:r w:rsidR="0071360A">
        <w:rPr>
          <w:rStyle w:val="y2iqfc"/>
          <w:rFonts w:cs="Arial"/>
          <w:color w:val="000000" w:themeColor="text1"/>
          <w:szCs w:val="24"/>
        </w:rPr>
        <w:t>ш</w:t>
      </w:r>
      <w:r>
        <w:rPr>
          <w:rStyle w:val="y2iqfc"/>
          <w:rFonts w:cs="Arial"/>
          <w:color w:val="000000" w:themeColor="text1"/>
          <w:szCs w:val="24"/>
        </w:rPr>
        <w:t>и</w:t>
      </w:r>
      <w:r w:rsidR="0071360A">
        <w:rPr>
          <w:rStyle w:val="y2iqfc"/>
          <w:rFonts w:cs="Arial"/>
          <w:color w:val="000000" w:themeColor="text1"/>
          <w:szCs w:val="24"/>
        </w:rPr>
        <w:t>р</w:t>
      </w:r>
      <w:r>
        <w:rPr>
          <w:rStyle w:val="y2iqfc"/>
          <w:rFonts w:cs="Arial"/>
          <w:color w:val="000000" w:themeColor="text1"/>
          <w:szCs w:val="24"/>
        </w:rPr>
        <w:t>ок</w:t>
      </w:r>
      <w:r w:rsidR="00EA48D1" w:rsidRPr="00F6340E">
        <w:rPr>
          <w:rStyle w:val="y2iqfc"/>
          <w:rFonts w:cs="Arial"/>
          <w:color w:val="000000" w:themeColor="text1"/>
          <w:szCs w:val="24"/>
        </w:rPr>
        <w:t xml:space="preserve"> </w:t>
      </w:r>
      <w:r w:rsidR="0071360A">
        <w:rPr>
          <w:rStyle w:val="y2iqfc"/>
          <w:rFonts w:cs="Arial"/>
          <w:color w:val="000000" w:themeColor="text1"/>
          <w:szCs w:val="24"/>
        </w:rPr>
        <w:t>сп</w:t>
      </w:r>
      <w:r w:rsidR="00EE6AA2">
        <w:rPr>
          <w:rStyle w:val="y2iqfc"/>
          <w:rFonts w:cs="Arial"/>
          <w:color w:val="000000" w:themeColor="text1"/>
          <w:szCs w:val="24"/>
        </w:rPr>
        <w:t>е</w:t>
      </w:r>
      <w:r>
        <w:rPr>
          <w:rStyle w:val="y2iqfc"/>
          <w:rFonts w:cs="Arial"/>
          <w:color w:val="000000" w:themeColor="text1"/>
          <w:szCs w:val="24"/>
        </w:rPr>
        <w:t>к</w:t>
      </w:r>
      <w:r w:rsidR="0071360A">
        <w:rPr>
          <w:rStyle w:val="y2iqfc"/>
          <w:rFonts w:cs="Arial"/>
          <w:color w:val="000000" w:themeColor="text1"/>
          <w:szCs w:val="24"/>
        </w:rPr>
        <w:t>т</w:t>
      </w:r>
      <w:r>
        <w:rPr>
          <w:rStyle w:val="y2iqfc"/>
          <w:rFonts w:cs="Arial"/>
          <w:color w:val="000000" w:themeColor="text1"/>
          <w:szCs w:val="24"/>
        </w:rPr>
        <w:t>а</w:t>
      </w:r>
      <w:r w:rsidR="0071360A">
        <w:rPr>
          <w:rStyle w:val="y2iqfc"/>
          <w:rFonts w:cs="Arial"/>
          <w:color w:val="000000" w:themeColor="text1"/>
          <w:szCs w:val="24"/>
        </w:rPr>
        <w:t>р</w:t>
      </w:r>
      <w:r w:rsidR="00EA48D1" w:rsidRPr="00F6340E">
        <w:rPr>
          <w:rStyle w:val="y2iqfc"/>
          <w:rFonts w:cs="Arial"/>
          <w:color w:val="000000" w:themeColor="text1"/>
          <w:szCs w:val="24"/>
        </w:rPr>
        <w:t xml:space="preserve"> </w:t>
      </w:r>
      <w:r>
        <w:rPr>
          <w:rStyle w:val="y2iqfc"/>
          <w:rFonts w:cs="Arial"/>
          <w:color w:val="000000" w:themeColor="text1"/>
          <w:szCs w:val="24"/>
        </w:rPr>
        <w:t>ала</w:t>
      </w:r>
      <w:r w:rsidR="0071360A">
        <w:rPr>
          <w:rStyle w:val="y2iqfc"/>
          <w:rFonts w:cs="Arial"/>
          <w:color w:val="000000" w:themeColor="text1"/>
          <w:szCs w:val="24"/>
        </w:rPr>
        <w:t>т</w:t>
      </w:r>
      <w:r>
        <w:rPr>
          <w:rStyle w:val="y2iqfc"/>
          <w:rFonts w:cs="Arial"/>
          <w:color w:val="000000" w:themeColor="text1"/>
          <w:szCs w:val="24"/>
        </w:rPr>
        <w:t>а</w:t>
      </w:r>
      <w:r w:rsidR="00EA48D1" w:rsidRPr="00F6340E">
        <w:rPr>
          <w:rStyle w:val="y2iqfc"/>
          <w:rFonts w:cs="Arial"/>
          <w:color w:val="000000" w:themeColor="text1"/>
          <w:szCs w:val="24"/>
        </w:rPr>
        <w:t xml:space="preserve"> </w:t>
      </w:r>
      <w:r>
        <w:rPr>
          <w:rStyle w:val="y2iqfc"/>
          <w:rFonts w:cs="Arial"/>
          <w:color w:val="000000" w:themeColor="text1"/>
          <w:szCs w:val="24"/>
        </w:rPr>
        <w:t>и</w:t>
      </w:r>
      <w:r w:rsidR="00EA48D1" w:rsidRPr="00F6340E">
        <w:rPr>
          <w:rStyle w:val="y2iqfc"/>
          <w:rFonts w:cs="Arial"/>
          <w:color w:val="000000" w:themeColor="text1"/>
          <w:szCs w:val="24"/>
        </w:rPr>
        <w:t xml:space="preserve"> </w:t>
      </w:r>
      <w:r w:rsidR="0071360A">
        <w:rPr>
          <w:rStyle w:val="y2iqfc"/>
          <w:rFonts w:cs="Arial"/>
          <w:color w:val="000000" w:themeColor="text1"/>
          <w:szCs w:val="24"/>
        </w:rPr>
        <w:t>пр</w:t>
      </w:r>
      <w:r>
        <w:rPr>
          <w:rStyle w:val="y2iqfc"/>
          <w:rFonts w:cs="Arial"/>
          <w:color w:val="000000" w:themeColor="text1"/>
          <w:szCs w:val="24"/>
        </w:rPr>
        <w:t>ак</w:t>
      </w:r>
      <w:r w:rsidR="0071360A">
        <w:rPr>
          <w:rStyle w:val="y2iqfc"/>
          <w:rFonts w:cs="Arial"/>
          <w:color w:val="000000" w:themeColor="text1"/>
          <w:szCs w:val="24"/>
        </w:rPr>
        <w:t>с</w:t>
      </w:r>
      <w:r>
        <w:rPr>
          <w:rStyle w:val="y2iqfc"/>
          <w:rFonts w:cs="Arial"/>
          <w:color w:val="000000" w:themeColor="text1"/>
          <w:szCs w:val="24"/>
        </w:rPr>
        <w:t>и</w:t>
      </w:r>
      <w:r w:rsidR="0007366B" w:rsidRPr="00F6340E">
        <w:rPr>
          <w:rStyle w:val="y2iqfc"/>
          <w:rFonts w:cs="Arial"/>
          <w:color w:val="000000" w:themeColor="text1"/>
          <w:szCs w:val="24"/>
        </w:rPr>
        <w:t xml:space="preserve">. </w:t>
      </w:r>
      <w:r>
        <w:t>К</w:t>
      </w:r>
      <w:r w:rsidR="0071360A">
        <w:t>у</w:t>
      </w:r>
      <w:r>
        <w:t>ма</w:t>
      </w:r>
      <w:r w:rsidR="0071360A">
        <w:t>р</w:t>
      </w:r>
      <w:r w:rsidR="008500A7" w:rsidRPr="00F6340E">
        <w:t xml:space="preserve"> </w:t>
      </w:r>
      <w:r>
        <w:t>Ба</w:t>
      </w:r>
      <w:r w:rsidR="0071360A">
        <w:t>с</w:t>
      </w:r>
      <w:r>
        <w:t>ак</w:t>
      </w:r>
      <w:r w:rsidR="008500A7" w:rsidRPr="00F6340E">
        <w:t>, W</w:t>
      </w:r>
      <w:r>
        <w:t>о</w:t>
      </w:r>
      <w:r w:rsidR="0071360A">
        <w:t>тт</w:t>
      </w:r>
      <w:r>
        <w:t>о</w:t>
      </w:r>
      <w:r w:rsidR="008500A7" w:rsidRPr="00F6340E">
        <w:t xml:space="preserve"> </w:t>
      </w:r>
      <w:r>
        <w:t>и</w:t>
      </w:r>
      <w:r w:rsidR="008500A7" w:rsidRPr="00F6340E">
        <w:t xml:space="preserve"> </w:t>
      </w:r>
      <w:r>
        <w:t>Б</w:t>
      </w:r>
      <w:r w:rsidR="00EE6AA2">
        <w:t>е</w:t>
      </w:r>
      <w:r>
        <w:t>ланг</w:t>
      </w:r>
      <w:r w:rsidR="00EE6AA2">
        <w:t>е</w:t>
      </w:r>
      <w:r w:rsidR="0071360A">
        <w:t>р</w:t>
      </w:r>
      <w:r w:rsidR="0007366B" w:rsidRPr="00F6340E">
        <w:t xml:space="preserve"> (</w:t>
      </w:r>
      <w:r w:rsidR="008500A7" w:rsidRPr="00F6340E">
        <w:t>2018)</w:t>
      </w:r>
      <w:r w:rsidR="0007366B" w:rsidRPr="00F6340E">
        <w:rPr>
          <w:rStyle w:val="y2iqfc"/>
          <w:rFonts w:cs="Arial"/>
          <w:color w:val="000000" w:themeColor="text1"/>
          <w:szCs w:val="24"/>
        </w:rPr>
        <w:t xml:space="preserve"> </w:t>
      </w:r>
      <w:r>
        <w:rPr>
          <w:rStyle w:val="y2iqfc"/>
          <w:rFonts w:cs="Arial"/>
          <w:color w:val="000000" w:themeColor="text1"/>
          <w:szCs w:val="24"/>
        </w:rPr>
        <w:t>на</w:t>
      </w:r>
      <w:r w:rsidR="0071360A">
        <w:rPr>
          <w:rStyle w:val="y2iqfc"/>
          <w:rFonts w:cs="Arial"/>
          <w:color w:val="000000" w:themeColor="text1"/>
          <w:szCs w:val="24"/>
        </w:rPr>
        <w:t>в</w:t>
      </w:r>
      <w:r>
        <w:rPr>
          <w:rStyle w:val="y2iqfc"/>
          <w:rFonts w:cs="Arial"/>
          <w:color w:val="000000" w:themeColor="text1"/>
          <w:szCs w:val="24"/>
        </w:rPr>
        <w:t>од</w:t>
      </w:r>
      <w:r w:rsidR="00EE6AA2">
        <w:rPr>
          <w:rStyle w:val="y2iqfc"/>
          <w:rFonts w:cs="Arial"/>
          <w:color w:val="000000" w:themeColor="text1"/>
          <w:szCs w:val="24"/>
        </w:rPr>
        <w:t>е</w:t>
      </w:r>
      <w:r w:rsidR="0007366B" w:rsidRPr="00F6340E">
        <w:rPr>
          <w:rStyle w:val="y2iqfc"/>
          <w:rFonts w:cs="Arial"/>
          <w:color w:val="000000" w:themeColor="text1"/>
          <w:szCs w:val="24"/>
        </w:rPr>
        <w:t xml:space="preserve"> </w:t>
      </w:r>
      <w:r>
        <w:rPr>
          <w:rStyle w:val="y2iqfc"/>
          <w:rFonts w:cs="Arial"/>
          <w:color w:val="000000" w:themeColor="text1"/>
          <w:szCs w:val="24"/>
        </w:rPr>
        <w:t>да</w:t>
      </w:r>
      <w:r w:rsidR="0007366B" w:rsidRPr="00F6340E">
        <w:rPr>
          <w:rStyle w:val="y2iqfc"/>
          <w:rFonts w:cs="Arial"/>
          <w:color w:val="000000" w:themeColor="text1"/>
          <w:szCs w:val="24"/>
        </w:rPr>
        <w:t xml:space="preserve"> </w:t>
      </w:r>
      <w:r w:rsidR="0071360A">
        <w:rPr>
          <w:rStyle w:val="y2iqfc"/>
          <w:rFonts w:cs="Arial"/>
          <w:color w:val="000000" w:themeColor="text1"/>
          <w:szCs w:val="24"/>
        </w:rPr>
        <w:t>с</w:t>
      </w:r>
      <w:r w:rsidR="00EE6AA2">
        <w:rPr>
          <w:rStyle w:val="y2iqfc"/>
          <w:rFonts w:cs="Arial"/>
          <w:color w:val="000000" w:themeColor="text1"/>
          <w:szCs w:val="24"/>
        </w:rPr>
        <w:t>е</w:t>
      </w:r>
      <w:r w:rsidR="0007366B" w:rsidRPr="00F6340E">
        <w:rPr>
          <w:rStyle w:val="y2iqfc"/>
          <w:rFonts w:cs="Arial"/>
          <w:color w:val="000000" w:themeColor="text1"/>
          <w:szCs w:val="24"/>
        </w:rPr>
        <w:t xml:space="preserve"> </w:t>
      </w:r>
      <w:r w:rsidR="0071360A">
        <w:rPr>
          <w:rStyle w:val="y2iqfc"/>
          <w:rFonts w:cs="Arial"/>
          <w:color w:val="000000" w:themeColor="text1"/>
          <w:szCs w:val="24"/>
        </w:rPr>
        <w:t>п</w:t>
      </w:r>
      <w:r>
        <w:rPr>
          <w:rStyle w:val="y2iqfc"/>
          <w:rFonts w:cs="Arial"/>
          <w:color w:val="000000" w:themeColor="text1"/>
          <w:szCs w:val="24"/>
        </w:rPr>
        <w:t>од</w:t>
      </w:r>
      <w:r w:rsidR="0007366B" w:rsidRPr="00F6340E">
        <w:rPr>
          <w:rStyle w:val="y2iqfc"/>
          <w:rFonts w:cs="Arial"/>
          <w:color w:val="000000" w:themeColor="text1"/>
          <w:szCs w:val="24"/>
        </w:rPr>
        <w:t xml:space="preserve"> </w:t>
      </w:r>
      <w:r>
        <w:rPr>
          <w:rStyle w:val="y2iqfc"/>
          <w:rFonts w:cs="Arial"/>
          <w:color w:val="000000" w:themeColor="text1"/>
          <w:szCs w:val="24"/>
        </w:rPr>
        <w:t>ок</w:t>
      </w:r>
      <w:r w:rsidR="0071360A">
        <w:rPr>
          <w:rStyle w:val="y2iqfc"/>
          <w:rFonts w:cs="Arial"/>
          <w:color w:val="000000" w:themeColor="text1"/>
          <w:szCs w:val="24"/>
        </w:rPr>
        <w:t>р</w:t>
      </w:r>
      <w:r>
        <w:rPr>
          <w:rStyle w:val="y2iqfc"/>
          <w:rFonts w:cs="Arial"/>
          <w:color w:val="000000" w:themeColor="text1"/>
          <w:szCs w:val="24"/>
        </w:rPr>
        <w:t>иљ</w:t>
      </w:r>
      <w:r w:rsidR="00EE6AA2">
        <w:rPr>
          <w:rStyle w:val="y2iqfc"/>
          <w:rFonts w:cs="Arial"/>
          <w:color w:val="000000" w:themeColor="text1"/>
          <w:szCs w:val="24"/>
        </w:rPr>
        <w:t>е</w:t>
      </w:r>
      <w:r>
        <w:rPr>
          <w:rStyle w:val="y2iqfc"/>
          <w:rFonts w:cs="Arial"/>
          <w:color w:val="000000" w:themeColor="text1"/>
          <w:szCs w:val="24"/>
        </w:rPr>
        <w:t>м</w:t>
      </w:r>
      <w:r w:rsidR="0007366B" w:rsidRPr="00F6340E">
        <w:rPr>
          <w:rStyle w:val="y2iqfc"/>
          <w:rFonts w:cs="Arial"/>
          <w:color w:val="000000" w:themeColor="text1"/>
          <w:szCs w:val="24"/>
        </w:rPr>
        <w:t xml:space="preserve"> </w:t>
      </w:r>
      <w:r>
        <w:rPr>
          <w:rStyle w:val="y2iqfc"/>
          <w:rFonts w:cs="Arial"/>
          <w:color w:val="000000" w:themeColor="text1"/>
          <w:szCs w:val="24"/>
        </w:rPr>
        <w:t>диги</w:t>
      </w:r>
      <w:r w:rsidR="0071360A">
        <w:rPr>
          <w:rStyle w:val="y2iqfc"/>
          <w:rFonts w:cs="Arial"/>
          <w:color w:val="000000" w:themeColor="text1"/>
          <w:szCs w:val="24"/>
        </w:rPr>
        <w:t>т</w:t>
      </w:r>
      <w:r>
        <w:rPr>
          <w:rStyle w:val="y2iqfc"/>
          <w:rFonts w:cs="Arial"/>
          <w:color w:val="000000" w:themeColor="text1"/>
          <w:szCs w:val="24"/>
        </w:rPr>
        <w:t>алног</w:t>
      </w:r>
      <w:r w:rsidR="0007366B" w:rsidRPr="00F6340E">
        <w:rPr>
          <w:rStyle w:val="y2iqfc"/>
          <w:rFonts w:cs="Arial"/>
          <w:color w:val="000000" w:themeColor="text1"/>
          <w:szCs w:val="24"/>
        </w:rPr>
        <w:t xml:space="preserve"> </w:t>
      </w:r>
      <w:r w:rsidR="0071360A">
        <w:rPr>
          <w:rStyle w:val="y2iqfc"/>
          <w:rFonts w:cs="Arial"/>
          <w:color w:val="000000" w:themeColor="text1"/>
          <w:szCs w:val="24"/>
        </w:rPr>
        <w:t>у</w:t>
      </w:r>
      <w:r>
        <w:rPr>
          <w:rStyle w:val="y2iqfc"/>
          <w:rFonts w:cs="Arial"/>
          <w:color w:val="000000" w:themeColor="text1"/>
          <w:szCs w:val="24"/>
        </w:rPr>
        <w:t>ч</w:t>
      </w:r>
      <w:r w:rsidR="00EE6AA2">
        <w:rPr>
          <w:rStyle w:val="y2iqfc"/>
          <w:rFonts w:cs="Arial"/>
          <w:color w:val="000000" w:themeColor="text1"/>
          <w:szCs w:val="24"/>
        </w:rPr>
        <w:t>е</w:t>
      </w:r>
      <w:r>
        <w:rPr>
          <w:rStyle w:val="y2iqfc"/>
          <w:rFonts w:cs="Arial"/>
          <w:color w:val="000000" w:themeColor="text1"/>
          <w:szCs w:val="24"/>
        </w:rPr>
        <w:t>ња</w:t>
      </w:r>
      <w:r w:rsidR="0007366B" w:rsidRPr="00F6340E">
        <w:rPr>
          <w:rStyle w:val="y2iqfc"/>
          <w:rFonts w:cs="Arial"/>
          <w:color w:val="000000" w:themeColor="text1"/>
          <w:szCs w:val="24"/>
        </w:rPr>
        <w:t xml:space="preserve"> </w:t>
      </w:r>
      <w:r>
        <w:rPr>
          <w:rStyle w:val="y2iqfc"/>
          <w:rFonts w:cs="Arial"/>
          <w:color w:val="000000" w:themeColor="text1"/>
          <w:szCs w:val="24"/>
        </w:rPr>
        <w:t>нала</w:t>
      </w:r>
      <w:r w:rsidR="00171F00">
        <w:rPr>
          <w:rStyle w:val="y2iqfc"/>
          <w:rFonts w:cs="Arial"/>
          <w:color w:val="000000" w:themeColor="text1"/>
          <w:szCs w:val="24"/>
        </w:rPr>
        <w:t>з</w:t>
      </w:r>
      <w:r w:rsidR="00EE6AA2">
        <w:rPr>
          <w:rStyle w:val="y2iqfc"/>
          <w:rFonts w:cs="Arial"/>
          <w:color w:val="000000" w:themeColor="text1"/>
          <w:szCs w:val="24"/>
        </w:rPr>
        <w:t>е</w:t>
      </w:r>
      <w:r w:rsidR="0007366B" w:rsidRPr="00F6340E">
        <w:rPr>
          <w:rStyle w:val="y2iqfc"/>
          <w:rFonts w:cs="Arial"/>
          <w:color w:val="000000" w:themeColor="text1"/>
          <w:szCs w:val="24"/>
        </w:rPr>
        <w:t xml:space="preserve">:  </w:t>
      </w:r>
    </w:p>
    <w:p w14:paraId="2A1C1E39" w14:textId="604CD86D" w:rsidR="00AA30F4" w:rsidRPr="00F6340E" w:rsidRDefault="00A56E08" w:rsidP="00210EE1">
      <w:pPr>
        <w:pStyle w:val="Bulletlist"/>
        <w:rPr>
          <w:rStyle w:val="y2iqfc"/>
        </w:rPr>
      </w:pPr>
      <w:r>
        <w:rPr>
          <w:rStyle w:val="y2iqfc"/>
        </w:rPr>
        <w:t>Ин</w:t>
      </w:r>
      <w:r w:rsidR="0071360A">
        <w:rPr>
          <w:rStyle w:val="y2iqfc"/>
        </w:rPr>
        <w:t>т</w:t>
      </w:r>
      <w:r w:rsidR="00EE6AA2">
        <w:rPr>
          <w:rStyle w:val="y2iqfc"/>
        </w:rPr>
        <w:t>е</w:t>
      </w:r>
      <w:r w:rsidR="0071360A">
        <w:rPr>
          <w:rStyle w:val="y2iqfc"/>
        </w:rPr>
        <w:t>р</w:t>
      </w:r>
      <w:r>
        <w:rPr>
          <w:rStyle w:val="y2iqfc"/>
        </w:rPr>
        <w:t>ак</w:t>
      </w:r>
      <w:r w:rsidR="0071360A">
        <w:rPr>
          <w:rStyle w:val="y2iqfc"/>
        </w:rPr>
        <w:t>т</w:t>
      </w:r>
      <w:r>
        <w:rPr>
          <w:rStyle w:val="y2iqfc"/>
        </w:rPr>
        <w:t>и</w:t>
      </w:r>
      <w:r w:rsidR="0071360A">
        <w:rPr>
          <w:rStyle w:val="y2iqfc"/>
        </w:rPr>
        <w:t>в</w:t>
      </w:r>
      <w:r>
        <w:rPr>
          <w:rStyle w:val="y2iqfc"/>
        </w:rPr>
        <w:t>ни</w:t>
      </w:r>
      <w:r w:rsidR="00EA48D1" w:rsidRPr="00F6340E">
        <w:rPr>
          <w:rStyle w:val="y2iqfc"/>
        </w:rPr>
        <w:t xml:space="preserve"> </w:t>
      </w:r>
      <w:r>
        <w:rPr>
          <w:rStyle w:val="y2iqfc"/>
        </w:rPr>
        <w:t>и</w:t>
      </w:r>
      <w:r w:rsidR="00171F00">
        <w:rPr>
          <w:rStyle w:val="y2iqfc"/>
        </w:rPr>
        <w:t>з</w:t>
      </w:r>
      <w:r w:rsidR="0071360A">
        <w:rPr>
          <w:rStyle w:val="y2iqfc"/>
        </w:rPr>
        <w:t>в</w:t>
      </w:r>
      <w:r>
        <w:rPr>
          <w:rStyle w:val="y2iqfc"/>
        </w:rPr>
        <w:t>о</w:t>
      </w:r>
      <w:r w:rsidR="0071360A">
        <w:rPr>
          <w:rStyle w:val="y2iqfc"/>
        </w:rPr>
        <w:t>р</w:t>
      </w:r>
      <w:r>
        <w:rPr>
          <w:rStyle w:val="y2iqfc"/>
        </w:rPr>
        <w:t>и</w:t>
      </w:r>
      <w:r w:rsidR="00AA30F4" w:rsidRPr="00F6340E">
        <w:rPr>
          <w:rStyle w:val="y2iqfc"/>
        </w:rPr>
        <w:t xml:space="preserve"> </w:t>
      </w:r>
      <w:r w:rsidR="0071360A">
        <w:rPr>
          <w:rStyle w:val="y2iqfc"/>
        </w:rPr>
        <w:t>у</w:t>
      </w:r>
      <w:r>
        <w:rPr>
          <w:rStyle w:val="y2iqfc"/>
        </w:rPr>
        <w:t>ч</w:t>
      </w:r>
      <w:r w:rsidR="00EE6AA2">
        <w:rPr>
          <w:rStyle w:val="y2iqfc"/>
        </w:rPr>
        <w:t>е</w:t>
      </w:r>
      <w:r>
        <w:rPr>
          <w:rStyle w:val="y2iqfc"/>
        </w:rPr>
        <w:t>ња</w:t>
      </w:r>
      <w:r w:rsidR="00EA48D1" w:rsidRPr="00F6340E">
        <w:rPr>
          <w:rStyle w:val="y2iqfc"/>
        </w:rPr>
        <w:t xml:space="preserve">, </w:t>
      </w:r>
      <w:r>
        <w:rPr>
          <w:rStyle w:val="y2iqfc"/>
        </w:rPr>
        <w:t>диги</w:t>
      </w:r>
      <w:r w:rsidR="0071360A">
        <w:rPr>
          <w:rStyle w:val="y2iqfc"/>
        </w:rPr>
        <w:t>т</w:t>
      </w:r>
      <w:r>
        <w:rPr>
          <w:rStyle w:val="y2iqfc"/>
        </w:rPr>
        <w:t>ални</w:t>
      </w:r>
      <w:r w:rsidR="00EA48D1" w:rsidRPr="00F6340E">
        <w:rPr>
          <w:rStyle w:val="y2iqfc"/>
        </w:rPr>
        <w:t xml:space="preserve"> </w:t>
      </w:r>
      <w:r w:rsidR="0071360A">
        <w:rPr>
          <w:rStyle w:val="y2iqfc"/>
        </w:rPr>
        <w:t>с</w:t>
      </w:r>
      <w:r>
        <w:rPr>
          <w:rStyle w:val="y2iqfc"/>
        </w:rPr>
        <w:t>ад</w:t>
      </w:r>
      <w:r w:rsidR="0071360A">
        <w:rPr>
          <w:rStyle w:val="y2iqfc"/>
        </w:rPr>
        <w:t>р</w:t>
      </w:r>
      <w:r w:rsidR="00171F00">
        <w:rPr>
          <w:rStyle w:val="y2iqfc"/>
        </w:rPr>
        <w:t>ж</w:t>
      </w:r>
      <w:r>
        <w:rPr>
          <w:rStyle w:val="y2iqfc"/>
        </w:rPr>
        <w:t>аји</w:t>
      </w:r>
      <w:r w:rsidR="00EA48D1" w:rsidRPr="00F6340E">
        <w:rPr>
          <w:rStyle w:val="y2iqfc"/>
        </w:rPr>
        <w:t xml:space="preserve"> </w:t>
      </w:r>
      <w:r w:rsidR="00171F00">
        <w:rPr>
          <w:rStyle w:val="y2iqfc"/>
        </w:rPr>
        <w:t>з</w:t>
      </w:r>
      <w:r>
        <w:rPr>
          <w:rStyle w:val="y2iqfc"/>
        </w:rPr>
        <w:t>а</w:t>
      </w:r>
      <w:r w:rsidR="00EA48D1" w:rsidRPr="00F6340E">
        <w:rPr>
          <w:rStyle w:val="y2iqfc"/>
        </w:rPr>
        <w:t xml:space="preserve"> </w:t>
      </w:r>
      <w:r w:rsidR="0071360A">
        <w:rPr>
          <w:rStyle w:val="y2iqfc"/>
        </w:rPr>
        <w:t>у</w:t>
      </w:r>
      <w:r>
        <w:rPr>
          <w:rStyle w:val="y2iqfc"/>
        </w:rPr>
        <w:t>ч</w:t>
      </w:r>
      <w:r w:rsidR="00EE6AA2">
        <w:rPr>
          <w:rStyle w:val="y2iqfc"/>
        </w:rPr>
        <w:t>е</w:t>
      </w:r>
      <w:r>
        <w:rPr>
          <w:rStyle w:val="y2iqfc"/>
        </w:rPr>
        <w:t>њ</w:t>
      </w:r>
      <w:r w:rsidR="00EE6AA2">
        <w:rPr>
          <w:rStyle w:val="y2iqfc"/>
        </w:rPr>
        <w:t>е</w:t>
      </w:r>
      <w:r w:rsidR="00EA48D1" w:rsidRPr="00F6340E">
        <w:rPr>
          <w:rStyle w:val="y2iqfc"/>
        </w:rPr>
        <w:t xml:space="preserve">, </w:t>
      </w:r>
      <w:r w:rsidR="0071360A">
        <w:rPr>
          <w:rStyle w:val="y2iqfc"/>
        </w:rPr>
        <w:t>с</w:t>
      </w:r>
      <w:r>
        <w:rPr>
          <w:rStyle w:val="y2iqfc"/>
        </w:rPr>
        <w:t>оф</w:t>
      </w:r>
      <w:r w:rsidR="0071360A">
        <w:rPr>
          <w:rStyle w:val="y2iqfc"/>
        </w:rPr>
        <w:t>тв</w:t>
      </w:r>
      <w:r w:rsidR="00EE6AA2">
        <w:rPr>
          <w:rStyle w:val="y2iqfc"/>
        </w:rPr>
        <w:t>е</w:t>
      </w:r>
      <w:r w:rsidR="0071360A">
        <w:rPr>
          <w:rStyle w:val="y2iqfc"/>
        </w:rPr>
        <w:t>р</w:t>
      </w:r>
      <w:r w:rsidR="00EA48D1" w:rsidRPr="00F6340E">
        <w:rPr>
          <w:rStyle w:val="y2iqfc"/>
        </w:rPr>
        <w:t xml:space="preserve"> </w:t>
      </w:r>
      <w:r>
        <w:rPr>
          <w:rStyle w:val="y2iqfc"/>
        </w:rPr>
        <w:t>или</w:t>
      </w:r>
      <w:r w:rsidR="00EA48D1" w:rsidRPr="00F6340E">
        <w:rPr>
          <w:rStyle w:val="y2iqfc"/>
        </w:rPr>
        <w:t xml:space="preserve"> </w:t>
      </w:r>
      <w:r w:rsidR="0071360A">
        <w:rPr>
          <w:rStyle w:val="y2iqfc"/>
        </w:rPr>
        <w:t>с</w:t>
      </w:r>
      <w:r>
        <w:rPr>
          <w:rStyle w:val="y2iqfc"/>
        </w:rPr>
        <w:t>им</w:t>
      </w:r>
      <w:r w:rsidR="0071360A">
        <w:rPr>
          <w:rStyle w:val="y2iqfc"/>
        </w:rPr>
        <w:t>у</w:t>
      </w:r>
      <w:r>
        <w:rPr>
          <w:rStyle w:val="y2iqfc"/>
        </w:rPr>
        <w:t>лациј</w:t>
      </w:r>
      <w:r w:rsidR="00EE6AA2">
        <w:rPr>
          <w:rStyle w:val="y2iqfc"/>
        </w:rPr>
        <w:t>е</w:t>
      </w:r>
      <w:r w:rsidR="00EA48D1" w:rsidRPr="00F6340E">
        <w:rPr>
          <w:rStyle w:val="y2iqfc"/>
        </w:rPr>
        <w:t xml:space="preserve"> </w:t>
      </w:r>
      <w:r>
        <w:rPr>
          <w:rStyle w:val="y2iqfc"/>
        </w:rPr>
        <w:t>који</w:t>
      </w:r>
      <w:r w:rsidR="00EA48D1" w:rsidRPr="00F6340E">
        <w:rPr>
          <w:rStyle w:val="y2iqfc"/>
        </w:rPr>
        <w:t xml:space="preserve"> </w:t>
      </w:r>
      <w:r w:rsidR="0071360A">
        <w:rPr>
          <w:rStyle w:val="y2iqfc"/>
        </w:rPr>
        <w:t>с</w:t>
      </w:r>
      <w:r w:rsidR="00EE6AA2">
        <w:rPr>
          <w:rStyle w:val="y2iqfc"/>
        </w:rPr>
        <w:t>е</w:t>
      </w:r>
      <w:r w:rsidR="00AA30F4" w:rsidRPr="00F6340E">
        <w:rPr>
          <w:rStyle w:val="y2iqfc"/>
        </w:rPr>
        <w:t xml:space="preserve"> </w:t>
      </w:r>
      <w:r>
        <w:rPr>
          <w:rStyle w:val="y2iqfc"/>
        </w:rPr>
        <w:t>одно</w:t>
      </w:r>
      <w:r w:rsidR="0071360A">
        <w:rPr>
          <w:rStyle w:val="y2iqfc"/>
        </w:rPr>
        <w:t>с</w:t>
      </w:r>
      <w:r w:rsidR="00EE6AA2">
        <w:rPr>
          <w:rStyle w:val="y2iqfc"/>
        </w:rPr>
        <w:t>е</w:t>
      </w:r>
      <w:r w:rsidR="00AA30F4" w:rsidRPr="00F6340E">
        <w:rPr>
          <w:rStyle w:val="y2iqfc"/>
        </w:rPr>
        <w:t xml:space="preserve"> </w:t>
      </w:r>
      <w:r>
        <w:rPr>
          <w:rStyle w:val="y2iqfc"/>
        </w:rPr>
        <w:t>на</w:t>
      </w:r>
      <w:r w:rsidR="00AA30F4" w:rsidRPr="00F6340E">
        <w:rPr>
          <w:rStyle w:val="y2iqfc"/>
        </w:rPr>
        <w:t xml:space="preserve"> </w:t>
      </w:r>
      <w:r>
        <w:rPr>
          <w:rStyle w:val="y2iqfc"/>
        </w:rPr>
        <w:t>об</w:t>
      </w:r>
      <w:r w:rsidR="0071360A">
        <w:rPr>
          <w:rStyle w:val="y2iqfc"/>
        </w:rPr>
        <w:t>р</w:t>
      </w:r>
      <w:r>
        <w:rPr>
          <w:rStyle w:val="y2iqfc"/>
        </w:rPr>
        <w:t>а</w:t>
      </w:r>
      <w:r w:rsidR="00171F00">
        <w:rPr>
          <w:rStyle w:val="y2iqfc"/>
        </w:rPr>
        <w:t>з</w:t>
      </w:r>
      <w:r>
        <w:rPr>
          <w:rStyle w:val="y2iqfc"/>
        </w:rPr>
        <w:t>о</w:t>
      </w:r>
      <w:r w:rsidR="0071360A">
        <w:rPr>
          <w:rStyle w:val="y2iqfc"/>
        </w:rPr>
        <w:t>в</w:t>
      </w:r>
      <w:r>
        <w:rPr>
          <w:rStyle w:val="y2iqfc"/>
        </w:rPr>
        <w:t>ни</w:t>
      </w:r>
      <w:r w:rsidR="00AA30F4" w:rsidRPr="00F6340E">
        <w:rPr>
          <w:rStyle w:val="y2iqfc"/>
        </w:rPr>
        <w:t xml:space="preserve"> </w:t>
      </w:r>
      <w:r w:rsidR="0071360A">
        <w:rPr>
          <w:rStyle w:val="y2iqfc"/>
        </w:rPr>
        <w:t>с</w:t>
      </w:r>
      <w:r>
        <w:rPr>
          <w:rStyle w:val="y2iqfc"/>
        </w:rPr>
        <w:t>ад</w:t>
      </w:r>
      <w:r w:rsidR="0071360A">
        <w:rPr>
          <w:rStyle w:val="y2iqfc"/>
        </w:rPr>
        <w:t>р</w:t>
      </w:r>
      <w:r w:rsidR="00171F00">
        <w:rPr>
          <w:rStyle w:val="y2iqfc"/>
        </w:rPr>
        <w:t>ж</w:t>
      </w:r>
      <w:r>
        <w:rPr>
          <w:rStyle w:val="y2iqfc"/>
        </w:rPr>
        <w:t>ај</w:t>
      </w:r>
      <w:r w:rsidR="00AA30F4" w:rsidRPr="00F6340E">
        <w:rPr>
          <w:rStyle w:val="y2iqfc"/>
        </w:rPr>
        <w:t xml:space="preserve">; </w:t>
      </w:r>
    </w:p>
    <w:p w14:paraId="5E2A6A95" w14:textId="3E9AE885" w:rsidR="00AA30F4" w:rsidRPr="00F6340E" w:rsidRDefault="0071360A" w:rsidP="00210EE1">
      <w:pPr>
        <w:pStyle w:val="Bulletlist"/>
        <w:rPr>
          <w:rStyle w:val="y2iqfc"/>
        </w:rPr>
      </w:pPr>
      <w:r>
        <w:rPr>
          <w:rStyle w:val="y2iqfc"/>
        </w:rPr>
        <w:t>Пр</w:t>
      </w:r>
      <w:r w:rsidR="00A56E08">
        <w:rPr>
          <w:rStyle w:val="y2iqfc"/>
        </w:rPr>
        <w:t>и</w:t>
      </w:r>
      <w:r>
        <w:rPr>
          <w:rStyle w:val="y2iqfc"/>
        </w:rPr>
        <w:t>ступ</w:t>
      </w:r>
      <w:r w:rsidR="00EA48D1" w:rsidRPr="00F6340E">
        <w:rPr>
          <w:rStyle w:val="y2iqfc"/>
        </w:rPr>
        <w:t xml:space="preserve"> </w:t>
      </w:r>
      <w:r w:rsidR="00A56E08">
        <w:rPr>
          <w:rStyle w:val="y2iqfc"/>
        </w:rPr>
        <w:t>ба</w:t>
      </w:r>
      <w:r w:rsidR="00171F00">
        <w:rPr>
          <w:rStyle w:val="y2iqfc"/>
        </w:rPr>
        <w:t>з</w:t>
      </w:r>
      <w:r w:rsidR="00A56E08">
        <w:rPr>
          <w:rStyle w:val="y2iqfc"/>
        </w:rPr>
        <w:t>ама</w:t>
      </w:r>
      <w:r w:rsidR="00EA48D1" w:rsidRPr="00F6340E">
        <w:rPr>
          <w:rStyle w:val="y2iqfc"/>
        </w:rPr>
        <w:t xml:space="preserve"> </w:t>
      </w:r>
      <w:r>
        <w:rPr>
          <w:rStyle w:val="y2iqfc"/>
        </w:rPr>
        <w:t>п</w:t>
      </w:r>
      <w:r w:rsidR="00A56E08">
        <w:rPr>
          <w:rStyle w:val="y2iqfc"/>
        </w:rPr>
        <w:t>ода</w:t>
      </w:r>
      <w:r>
        <w:rPr>
          <w:rStyle w:val="y2iqfc"/>
        </w:rPr>
        <w:t>т</w:t>
      </w:r>
      <w:r w:rsidR="00A56E08">
        <w:rPr>
          <w:rStyle w:val="y2iqfc"/>
        </w:rPr>
        <w:t>ака</w:t>
      </w:r>
      <w:r w:rsidR="009D5E84" w:rsidRPr="00F6340E">
        <w:rPr>
          <w:rStyle w:val="y2iqfc"/>
        </w:rPr>
        <w:t xml:space="preserve"> </w:t>
      </w:r>
      <w:r w:rsidR="00A56E08">
        <w:rPr>
          <w:rStyle w:val="y2iqfc"/>
        </w:rPr>
        <w:t>на</w:t>
      </w:r>
      <w:r w:rsidR="00CD12B6" w:rsidRPr="00F6340E">
        <w:rPr>
          <w:rStyle w:val="y2iqfc"/>
        </w:rPr>
        <w:t xml:space="preserve"> </w:t>
      </w:r>
      <w:r w:rsidR="00A56E08">
        <w:rPr>
          <w:rStyle w:val="y2iqfc"/>
        </w:rPr>
        <w:t>ин</w:t>
      </w:r>
      <w:r>
        <w:rPr>
          <w:rStyle w:val="y2iqfc"/>
        </w:rPr>
        <w:t>т</w:t>
      </w:r>
      <w:r w:rsidR="00EE6AA2">
        <w:rPr>
          <w:rStyle w:val="y2iqfc"/>
        </w:rPr>
        <w:t>е</w:t>
      </w:r>
      <w:r>
        <w:rPr>
          <w:rStyle w:val="y2iqfc"/>
        </w:rPr>
        <w:t>р</w:t>
      </w:r>
      <w:r w:rsidR="00A56E08">
        <w:rPr>
          <w:rStyle w:val="y2iqfc"/>
        </w:rPr>
        <w:t>н</w:t>
      </w:r>
      <w:r w:rsidR="00EE6AA2">
        <w:rPr>
          <w:rStyle w:val="y2iqfc"/>
        </w:rPr>
        <w:t>е</w:t>
      </w:r>
      <w:r>
        <w:rPr>
          <w:rStyle w:val="y2iqfc"/>
        </w:rPr>
        <w:t>ту</w:t>
      </w:r>
      <w:r w:rsidR="00CD12B6" w:rsidRPr="00F6340E">
        <w:rPr>
          <w:rStyle w:val="y2iqfc"/>
        </w:rPr>
        <w:t xml:space="preserve"> </w:t>
      </w:r>
      <w:r w:rsidR="00A56E08">
        <w:rPr>
          <w:rStyle w:val="y2iqfc"/>
        </w:rPr>
        <w:t>и</w:t>
      </w:r>
      <w:r w:rsidR="009D5E84" w:rsidRPr="00F6340E">
        <w:rPr>
          <w:rStyle w:val="y2iqfc"/>
        </w:rPr>
        <w:t xml:space="preserve"> </w:t>
      </w:r>
      <w:r w:rsidR="00A56E08">
        <w:rPr>
          <w:rStyle w:val="y2iqfc"/>
        </w:rPr>
        <w:t>д</w:t>
      </w:r>
      <w:r>
        <w:rPr>
          <w:rStyle w:val="y2iqfc"/>
        </w:rPr>
        <w:t>ру</w:t>
      </w:r>
      <w:r w:rsidR="00A56E08">
        <w:rPr>
          <w:rStyle w:val="y2iqfc"/>
        </w:rPr>
        <w:t>гим</w:t>
      </w:r>
      <w:r w:rsidR="009D5E84" w:rsidRPr="00F6340E">
        <w:rPr>
          <w:rStyle w:val="y2iqfc"/>
        </w:rPr>
        <w:t xml:space="preserve"> </w:t>
      </w:r>
      <w:r>
        <w:rPr>
          <w:rStyle w:val="y2iqfc"/>
        </w:rPr>
        <w:t>пр</w:t>
      </w:r>
      <w:r w:rsidR="00A56E08">
        <w:rPr>
          <w:rStyle w:val="y2iqfc"/>
        </w:rPr>
        <w:t>има</w:t>
      </w:r>
      <w:r>
        <w:rPr>
          <w:rStyle w:val="y2iqfc"/>
        </w:rPr>
        <w:t>р</w:t>
      </w:r>
      <w:r w:rsidR="00A56E08">
        <w:rPr>
          <w:rStyle w:val="y2iqfc"/>
        </w:rPr>
        <w:t>ним</w:t>
      </w:r>
      <w:r w:rsidR="009D5E84" w:rsidRPr="00F6340E">
        <w:rPr>
          <w:rStyle w:val="y2iqfc"/>
        </w:rPr>
        <w:t xml:space="preserve"> </w:t>
      </w:r>
      <w:r w:rsidR="00A56E08">
        <w:rPr>
          <w:rStyle w:val="y2iqfc"/>
        </w:rPr>
        <w:t>и</w:t>
      </w:r>
      <w:r w:rsidR="00171F00">
        <w:rPr>
          <w:rStyle w:val="y2iqfc"/>
        </w:rPr>
        <w:t>з</w:t>
      </w:r>
      <w:r>
        <w:rPr>
          <w:rStyle w:val="y2iqfc"/>
        </w:rPr>
        <w:t>в</w:t>
      </w:r>
      <w:r w:rsidR="00A56E08">
        <w:rPr>
          <w:rStyle w:val="y2iqfc"/>
        </w:rPr>
        <w:t>о</w:t>
      </w:r>
      <w:r>
        <w:rPr>
          <w:rStyle w:val="y2iqfc"/>
        </w:rPr>
        <w:t>р</w:t>
      </w:r>
      <w:r w:rsidR="00A56E08">
        <w:rPr>
          <w:rStyle w:val="y2iqfc"/>
        </w:rPr>
        <w:t>има</w:t>
      </w:r>
      <w:r w:rsidR="009D5E84" w:rsidRPr="00F6340E">
        <w:rPr>
          <w:rStyle w:val="y2iqfc"/>
        </w:rPr>
        <w:t xml:space="preserve"> </w:t>
      </w:r>
      <w:r w:rsidR="00A56E08">
        <w:rPr>
          <w:rStyle w:val="y2iqfc"/>
        </w:rPr>
        <w:t>и</w:t>
      </w:r>
      <w:r w:rsidR="000B5AA0" w:rsidRPr="00F6340E">
        <w:rPr>
          <w:rStyle w:val="y2iqfc"/>
        </w:rPr>
        <w:t xml:space="preserve"> </w:t>
      </w:r>
      <w:r w:rsidR="00A56E08">
        <w:rPr>
          <w:rStyle w:val="y2iqfc"/>
        </w:rPr>
        <w:t>док</w:t>
      </w:r>
      <w:r>
        <w:rPr>
          <w:rStyle w:val="y2iqfc"/>
        </w:rPr>
        <w:t>у</w:t>
      </w:r>
      <w:r w:rsidR="00A56E08">
        <w:rPr>
          <w:rStyle w:val="y2iqfc"/>
        </w:rPr>
        <w:t>м</w:t>
      </w:r>
      <w:r w:rsidR="00EE6AA2">
        <w:rPr>
          <w:rStyle w:val="y2iqfc"/>
        </w:rPr>
        <w:t>е</w:t>
      </w:r>
      <w:r w:rsidR="00A56E08">
        <w:rPr>
          <w:rStyle w:val="y2iqfc"/>
        </w:rPr>
        <w:t>н</w:t>
      </w:r>
      <w:r>
        <w:rPr>
          <w:rStyle w:val="y2iqfc"/>
        </w:rPr>
        <w:t>т</w:t>
      </w:r>
      <w:r w:rsidR="00A56E08">
        <w:rPr>
          <w:rStyle w:val="y2iqfc"/>
        </w:rPr>
        <w:t>има</w:t>
      </w:r>
      <w:r w:rsidR="00EA48D1" w:rsidRPr="00F6340E">
        <w:rPr>
          <w:rStyle w:val="y2iqfc"/>
        </w:rPr>
        <w:t>;</w:t>
      </w:r>
    </w:p>
    <w:p w14:paraId="0797CF77" w14:textId="1981A911" w:rsidR="00AA30F4" w:rsidRPr="00F6340E" w:rsidRDefault="0071360A" w:rsidP="00210EE1">
      <w:pPr>
        <w:pStyle w:val="Bulletlist"/>
        <w:rPr>
          <w:rStyle w:val="y2iqfc"/>
        </w:rPr>
      </w:pPr>
      <w:r>
        <w:rPr>
          <w:rStyle w:val="y2iqfc"/>
        </w:rPr>
        <w:lastRenderedPageBreak/>
        <w:t>Уп</w:t>
      </w:r>
      <w:r w:rsidR="00A56E08">
        <w:rPr>
          <w:rStyle w:val="y2iqfc"/>
        </w:rPr>
        <w:t>о</w:t>
      </w:r>
      <w:r>
        <w:rPr>
          <w:rStyle w:val="y2iqfc"/>
        </w:rPr>
        <w:t>тр</w:t>
      </w:r>
      <w:r w:rsidR="00EE6AA2">
        <w:rPr>
          <w:rStyle w:val="y2iqfc"/>
        </w:rPr>
        <w:t>е</w:t>
      </w:r>
      <w:r w:rsidR="00A56E08">
        <w:rPr>
          <w:rStyle w:val="y2iqfc"/>
        </w:rPr>
        <w:t>ба</w:t>
      </w:r>
      <w:r w:rsidR="00EA48D1" w:rsidRPr="00F6340E">
        <w:rPr>
          <w:rStyle w:val="y2iqfc"/>
        </w:rPr>
        <w:t xml:space="preserve"> </w:t>
      </w:r>
      <w:r>
        <w:rPr>
          <w:rStyle w:val="y2iqfc"/>
        </w:rPr>
        <w:t>п</w:t>
      </w:r>
      <w:r w:rsidR="00A56E08">
        <w:rPr>
          <w:rStyle w:val="y2iqfc"/>
        </w:rPr>
        <w:t>ода</w:t>
      </w:r>
      <w:r>
        <w:rPr>
          <w:rStyle w:val="y2iqfc"/>
        </w:rPr>
        <w:t>т</w:t>
      </w:r>
      <w:r w:rsidR="00A56E08">
        <w:rPr>
          <w:rStyle w:val="y2iqfc"/>
        </w:rPr>
        <w:t>ака</w:t>
      </w:r>
      <w:r w:rsidR="00EA48D1" w:rsidRPr="00F6340E">
        <w:rPr>
          <w:rStyle w:val="y2iqfc"/>
        </w:rPr>
        <w:t xml:space="preserve"> </w:t>
      </w:r>
      <w:r w:rsidR="00A56E08">
        <w:rPr>
          <w:rStyle w:val="y2iqfc"/>
        </w:rPr>
        <w:t>и</w:t>
      </w:r>
      <w:r w:rsidR="00EA48D1" w:rsidRPr="00F6340E">
        <w:rPr>
          <w:rStyle w:val="y2iqfc"/>
        </w:rPr>
        <w:t xml:space="preserve"> </w:t>
      </w:r>
      <w:r w:rsidR="00A56E08">
        <w:rPr>
          <w:rStyle w:val="y2iqfc"/>
        </w:rPr>
        <w:t>инфо</w:t>
      </w:r>
      <w:r>
        <w:rPr>
          <w:rStyle w:val="y2iqfc"/>
        </w:rPr>
        <w:t>р</w:t>
      </w:r>
      <w:r w:rsidR="00A56E08">
        <w:rPr>
          <w:rStyle w:val="y2iqfc"/>
        </w:rPr>
        <w:t>мација</w:t>
      </w:r>
      <w:r w:rsidR="00EA48D1" w:rsidRPr="00F6340E">
        <w:rPr>
          <w:rStyle w:val="y2iqfc"/>
        </w:rPr>
        <w:t xml:space="preserve"> </w:t>
      </w:r>
      <w:r w:rsidR="00171F00">
        <w:rPr>
          <w:rStyle w:val="y2iqfc"/>
        </w:rPr>
        <w:t>з</w:t>
      </w:r>
      <w:r w:rsidR="00A56E08">
        <w:rPr>
          <w:rStyle w:val="y2iqfc"/>
        </w:rPr>
        <w:t>а</w:t>
      </w:r>
      <w:r w:rsidR="00EA48D1" w:rsidRPr="00F6340E">
        <w:rPr>
          <w:rStyle w:val="y2iqfc"/>
        </w:rPr>
        <w:t xml:space="preserve"> </w:t>
      </w:r>
      <w:r>
        <w:rPr>
          <w:rStyle w:val="y2iqfc"/>
        </w:rPr>
        <w:t>п</w:t>
      </w:r>
      <w:r w:rsidR="00EE6AA2">
        <w:rPr>
          <w:rStyle w:val="y2iqfc"/>
        </w:rPr>
        <w:t>е</w:t>
      </w:r>
      <w:r>
        <w:rPr>
          <w:rStyle w:val="y2iqfc"/>
        </w:rPr>
        <w:t>рс</w:t>
      </w:r>
      <w:r w:rsidR="00A56E08">
        <w:rPr>
          <w:rStyle w:val="y2iqfc"/>
        </w:rPr>
        <w:t>онали</w:t>
      </w:r>
      <w:r w:rsidR="00171F00">
        <w:rPr>
          <w:rStyle w:val="y2iqfc"/>
        </w:rPr>
        <w:t>з</w:t>
      </w:r>
      <w:r w:rsidR="00A56E08">
        <w:rPr>
          <w:rStyle w:val="y2iqfc"/>
        </w:rPr>
        <w:t>ациј</w:t>
      </w:r>
      <w:r>
        <w:rPr>
          <w:rStyle w:val="y2iqfc"/>
        </w:rPr>
        <w:t>у</w:t>
      </w:r>
      <w:r w:rsidR="00EA48D1" w:rsidRPr="00F6340E">
        <w:rPr>
          <w:rStyle w:val="y2iqfc"/>
        </w:rPr>
        <w:t xml:space="preserve"> </w:t>
      </w:r>
      <w:r>
        <w:rPr>
          <w:rStyle w:val="y2iqfc"/>
        </w:rPr>
        <w:t>у</w:t>
      </w:r>
      <w:r w:rsidR="00A56E08">
        <w:rPr>
          <w:rStyle w:val="y2iqfc"/>
        </w:rPr>
        <w:t>ч</w:t>
      </w:r>
      <w:r w:rsidR="00EE6AA2">
        <w:rPr>
          <w:rStyle w:val="y2iqfc"/>
        </w:rPr>
        <w:t>е</w:t>
      </w:r>
      <w:r w:rsidR="00A56E08">
        <w:rPr>
          <w:rStyle w:val="y2iqfc"/>
        </w:rPr>
        <w:t>ња</w:t>
      </w:r>
      <w:r w:rsidR="00EA48D1" w:rsidRPr="00F6340E">
        <w:rPr>
          <w:rStyle w:val="y2iqfc"/>
        </w:rPr>
        <w:t xml:space="preserve"> </w:t>
      </w:r>
      <w:r w:rsidR="00A56E08">
        <w:rPr>
          <w:rStyle w:val="y2iqfc"/>
        </w:rPr>
        <w:t>и</w:t>
      </w:r>
      <w:r w:rsidR="00EA48D1" w:rsidRPr="00F6340E">
        <w:rPr>
          <w:rStyle w:val="y2iqfc"/>
        </w:rPr>
        <w:t xml:space="preserve"> </w:t>
      </w:r>
      <w:r>
        <w:rPr>
          <w:rStyle w:val="y2iqfc"/>
        </w:rPr>
        <w:t>пру</w:t>
      </w:r>
      <w:r w:rsidR="00171F00">
        <w:rPr>
          <w:rStyle w:val="y2iqfc"/>
        </w:rPr>
        <w:t>ж</w:t>
      </w:r>
      <w:r w:rsidR="00A56E08">
        <w:rPr>
          <w:rStyle w:val="y2iqfc"/>
        </w:rPr>
        <w:t>ањ</w:t>
      </w:r>
      <w:r w:rsidR="00EE6AA2">
        <w:rPr>
          <w:rStyle w:val="y2iqfc"/>
        </w:rPr>
        <w:t>е</w:t>
      </w:r>
      <w:r w:rsidR="00EA48D1" w:rsidRPr="00F6340E">
        <w:rPr>
          <w:rStyle w:val="y2iqfc"/>
        </w:rPr>
        <w:t xml:space="preserve"> </w:t>
      </w:r>
      <w:r w:rsidR="00A56E08">
        <w:rPr>
          <w:rStyle w:val="y2iqfc"/>
        </w:rPr>
        <w:t>циљаних</w:t>
      </w:r>
      <w:r w:rsidR="00EA48D1" w:rsidRPr="00F6340E">
        <w:rPr>
          <w:rStyle w:val="y2iqfc"/>
        </w:rPr>
        <w:t xml:space="preserve"> </w:t>
      </w:r>
      <w:r w:rsidR="00A56E08">
        <w:rPr>
          <w:rStyle w:val="y2iqfc"/>
        </w:rPr>
        <w:t>дода</w:t>
      </w:r>
      <w:r>
        <w:rPr>
          <w:rStyle w:val="y2iqfc"/>
        </w:rPr>
        <w:t>т</w:t>
      </w:r>
      <w:r w:rsidR="00A56E08">
        <w:rPr>
          <w:rStyle w:val="y2iqfc"/>
        </w:rPr>
        <w:t>них</w:t>
      </w:r>
      <w:r w:rsidR="00EA48D1" w:rsidRPr="00F6340E">
        <w:rPr>
          <w:rStyle w:val="y2iqfc"/>
        </w:rPr>
        <w:t xml:space="preserve"> </w:t>
      </w:r>
      <w:r w:rsidR="00A56E08">
        <w:rPr>
          <w:rStyle w:val="y2iqfc"/>
        </w:rPr>
        <w:t>ин</w:t>
      </w:r>
      <w:r>
        <w:rPr>
          <w:rStyle w:val="y2iqfc"/>
        </w:rPr>
        <w:t>стру</w:t>
      </w:r>
      <w:r w:rsidR="00A56E08">
        <w:rPr>
          <w:rStyle w:val="y2iqfc"/>
        </w:rPr>
        <w:t>кција</w:t>
      </w:r>
      <w:r w:rsidR="009D5E84" w:rsidRPr="00F6340E">
        <w:rPr>
          <w:rStyle w:val="y2iqfc"/>
        </w:rPr>
        <w:t xml:space="preserve"> </w:t>
      </w:r>
      <w:r w:rsidR="00171F00">
        <w:rPr>
          <w:rStyle w:val="y2iqfc"/>
        </w:rPr>
        <w:t>з</w:t>
      </w:r>
      <w:r w:rsidR="00A56E08">
        <w:rPr>
          <w:rStyle w:val="y2iqfc"/>
        </w:rPr>
        <w:t>а</w:t>
      </w:r>
      <w:r w:rsidR="009D5E84" w:rsidRPr="00F6340E">
        <w:rPr>
          <w:rStyle w:val="y2iqfc"/>
        </w:rPr>
        <w:t xml:space="preserve"> </w:t>
      </w:r>
      <w:r>
        <w:rPr>
          <w:rStyle w:val="y2iqfc"/>
        </w:rPr>
        <w:t>у</w:t>
      </w:r>
      <w:r w:rsidR="00A56E08">
        <w:rPr>
          <w:rStyle w:val="y2iqfc"/>
        </w:rPr>
        <w:t>ч</w:t>
      </w:r>
      <w:r w:rsidR="00EE6AA2">
        <w:rPr>
          <w:rStyle w:val="y2iqfc"/>
        </w:rPr>
        <w:t>е</w:t>
      </w:r>
      <w:r w:rsidR="00A56E08">
        <w:rPr>
          <w:rStyle w:val="y2iqfc"/>
        </w:rPr>
        <w:t>њ</w:t>
      </w:r>
      <w:r w:rsidR="00EE6AA2">
        <w:rPr>
          <w:rStyle w:val="y2iqfc"/>
        </w:rPr>
        <w:t>е</w:t>
      </w:r>
      <w:r w:rsidR="00EA48D1" w:rsidRPr="00F6340E">
        <w:rPr>
          <w:rStyle w:val="y2iqfc"/>
        </w:rPr>
        <w:t>;</w:t>
      </w:r>
    </w:p>
    <w:p w14:paraId="0ABDA473" w14:textId="4321DE2B" w:rsidR="00AA30F4" w:rsidRPr="00F6340E" w:rsidRDefault="00A56E08" w:rsidP="00210EE1">
      <w:pPr>
        <w:pStyle w:val="Bulletlist"/>
        <w:rPr>
          <w:rStyle w:val="y2iqfc"/>
        </w:rPr>
      </w:pPr>
      <w:r>
        <w:rPr>
          <w:rStyle w:val="y2iqfc"/>
        </w:rPr>
        <w:t>Оцј</w:t>
      </w:r>
      <w:r w:rsidR="00EE6AA2">
        <w:rPr>
          <w:rStyle w:val="y2iqfc"/>
        </w:rPr>
        <w:t>е</w:t>
      </w:r>
      <w:r>
        <w:rPr>
          <w:rStyle w:val="y2iqfc"/>
        </w:rPr>
        <w:t>њи</w:t>
      </w:r>
      <w:r w:rsidR="0071360A">
        <w:rPr>
          <w:rStyle w:val="y2iqfc"/>
        </w:rPr>
        <w:t>в</w:t>
      </w:r>
      <w:r>
        <w:rPr>
          <w:rStyle w:val="y2iqfc"/>
        </w:rPr>
        <w:t>ањ</w:t>
      </w:r>
      <w:r w:rsidR="00EE6AA2">
        <w:rPr>
          <w:rStyle w:val="y2iqfc"/>
        </w:rPr>
        <w:t>е</w:t>
      </w:r>
      <w:r w:rsidR="00CD12B6" w:rsidRPr="00F6340E">
        <w:rPr>
          <w:rStyle w:val="y2iqfc"/>
        </w:rPr>
        <w:t xml:space="preserve"> </w:t>
      </w:r>
      <w:r w:rsidR="0071360A">
        <w:rPr>
          <w:rStyle w:val="y2iqfc"/>
        </w:rPr>
        <w:t>пут</w:t>
      </w:r>
      <w:r w:rsidR="00EE6AA2">
        <w:rPr>
          <w:rStyle w:val="y2iqfc"/>
        </w:rPr>
        <w:t>е</w:t>
      </w:r>
      <w:r>
        <w:rPr>
          <w:rStyle w:val="y2iqfc"/>
        </w:rPr>
        <w:t>м</w:t>
      </w:r>
      <w:r w:rsidR="00CD12B6" w:rsidRPr="00F6340E">
        <w:rPr>
          <w:rStyle w:val="y2iqfc"/>
        </w:rPr>
        <w:t xml:space="preserve"> </w:t>
      </w:r>
      <w:r>
        <w:rPr>
          <w:rStyle w:val="y2iqfc"/>
        </w:rPr>
        <w:t>ин</w:t>
      </w:r>
      <w:r w:rsidR="0071360A">
        <w:rPr>
          <w:rStyle w:val="y2iqfc"/>
        </w:rPr>
        <w:t>т</w:t>
      </w:r>
      <w:r w:rsidR="00EE6AA2">
        <w:rPr>
          <w:rStyle w:val="y2iqfc"/>
        </w:rPr>
        <w:t>е</w:t>
      </w:r>
      <w:r w:rsidR="0071360A">
        <w:rPr>
          <w:rStyle w:val="y2iqfc"/>
        </w:rPr>
        <w:t>р</w:t>
      </w:r>
      <w:r>
        <w:rPr>
          <w:rStyle w:val="y2iqfc"/>
        </w:rPr>
        <w:t>н</w:t>
      </w:r>
      <w:r w:rsidR="00EE6AA2">
        <w:rPr>
          <w:rStyle w:val="y2iqfc"/>
        </w:rPr>
        <w:t>е</w:t>
      </w:r>
      <w:r w:rsidR="0071360A">
        <w:rPr>
          <w:rStyle w:val="y2iqfc"/>
        </w:rPr>
        <w:t>т</w:t>
      </w:r>
      <w:r>
        <w:rPr>
          <w:rStyle w:val="y2iqfc"/>
        </w:rPr>
        <w:t>а</w:t>
      </w:r>
      <w:r w:rsidR="00CD12B6" w:rsidRPr="00F6340E">
        <w:rPr>
          <w:rStyle w:val="y2iqfc"/>
        </w:rPr>
        <w:t xml:space="preserve"> </w:t>
      </w:r>
      <w:r>
        <w:rPr>
          <w:rStyle w:val="y2iqfc"/>
        </w:rPr>
        <w:t>и</w:t>
      </w:r>
      <w:r w:rsidR="009D5E84" w:rsidRPr="00F6340E">
        <w:rPr>
          <w:rStyle w:val="y2iqfc"/>
        </w:rPr>
        <w:t xml:space="preserve"> </w:t>
      </w:r>
      <w:r>
        <w:rPr>
          <w:rStyle w:val="y2iqfc"/>
        </w:rPr>
        <w:t>оцј</w:t>
      </w:r>
      <w:r w:rsidR="00EE6AA2">
        <w:rPr>
          <w:rStyle w:val="y2iqfc"/>
        </w:rPr>
        <w:t>е</w:t>
      </w:r>
      <w:r>
        <w:rPr>
          <w:rStyle w:val="y2iqfc"/>
        </w:rPr>
        <w:t>њи</w:t>
      </w:r>
      <w:r w:rsidR="0071360A">
        <w:rPr>
          <w:rStyle w:val="y2iqfc"/>
        </w:rPr>
        <w:t>в</w:t>
      </w:r>
      <w:r>
        <w:rPr>
          <w:rStyle w:val="y2iqfc"/>
        </w:rPr>
        <w:t>ањ</w:t>
      </w:r>
      <w:r w:rsidR="00EE6AA2">
        <w:rPr>
          <w:rStyle w:val="y2iqfc"/>
        </w:rPr>
        <w:t>е</w:t>
      </w:r>
      <w:r w:rsidR="00CD12B6" w:rsidRPr="00F6340E">
        <w:rPr>
          <w:rStyle w:val="y2iqfc"/>
        </w:rPr>
        <w:t xml:space="preserve"> </w:t>
      </w:r>
      <w:r w:rsidR="0071360A">
        <w:rPr>
          <w:rStyle w:val="y2iqfc"/>
        </w:rPr>
        <w:t>у</w:t>
      </w:r>
      <w:r w:rsidR="00171F00">
        <w:rPr>
          <w:rStyle w:val="y2iqfc"/>
        </w:rPr>
        <w:t>з</w:t>
      </w:r>
      <w:r w:rsidR="00AA30F4" w:rsidRPr="00F6340E">
        <w:rPr>
          <w:rStyle w:val="y2iqfc"/>
        </w:rPr>
        <w:t xml:space="preserve"> </w:t>
      </w:r>
      <w:r w:rsidR="0071360A">
        <w:rPr>
          <w:rStyle w:val="y2iqfc"/>
        </w:rPr>
        <w:t>пр</w:t>
      </w:r>
      <w:r>
        <w:rPr>
          <w:rStyle w:val="y2iqfc"/>
        </w:rPr>
        <w:t>имј</w:t>
      </w:r>
      <w:r w:rsidR="00EE6AA2">
        <w:rPr>
          <w:rStyle w:val="y2iqfc"/>
        </w:rPr>
        <w:t>е</w:t>
      </w:r>
      <w:r>
        <w:rPr>
          <w:rStyle w:val="y2iqfc"/>
        </w:rPr>
        <w:t>н</w:t>
      </w:r>
      <w:r w:rsidR="0071360A">
        <w:rPr>
          <w:rStyle w:val="y2iqfc"/>
        </w:rPr>
        <w:t>у</w:t>
      </w:r>
      <w:r w:rsidR="00AA30F4" w:rsidRPr="00F6340E">
        <w:rPr>
          <w:rStyle w:val="y2iqfc"/>
        </w:rPr>
        <w:t xml:space="preserve"> </w:t>
      </w:r>
      <w:r w:rsidR="0071360A">
        <w:rPr>
          <w:rStyle w:val="y2iqfc"/>
        </w:rPr>
        <w:t>р</w:t>
      </w:r>
      <w:r>
        <w:rPr>
          <w:rStyle w:val="y2iqfc"/>
        </w:rPr>
        <w:t>ач</w:t>
      </w:r>
      <w:r w:rsidR="0071360A">
        <w:rPr>
          <w:rStyle w:val="y2iqfc"/>
        </w:rPr>
        <w:t>у</w:t>
      </w:r>
      <w:r>
        <w:rPr>
          <w:rStyle w:val="y2iqfc"/>
        </w:rPr>
        <w:t>на</w:t>
      </w:r>
      <w:r w:rsidR="0071360A">
        <w:rPr>
          <w:rStyle w:val="y2iqfc"/>
        </w:rPr>
        <w:t>р</w:t>
      </w:r>
      <w:r>
        <w:rPr>
          <w:rStyle w:val="y2iqfc"/>
        </w:rPr>
        <w:t>а</w:t>
      </w:r>
      <w:r w:rsidR="00EA48D1" w:rsidRPr="00F6340E">
        <w:rPr>
          <w:rStyle w:val="y2iqfc"/>
        </w:rPr>
        <w:t>;</w:t>
      </w:r>
    </w:p>
    <w:p w14:paraId="186CD531" w14:textId="0B04666A" w:rsidR="00AA30F4" w:rsidRPr="00F6340E" w:rsidRDefault="00A56E08" w:rsidP="00210EE1">
      <w:pPr>
        <w:pStyle w:val="Bulletlist"/>
        <w:rPr>
          <w:rStyle w:val="y2iqfc"/>
        </w:rPr>
      </w:pPr>
      <w:r>
        <w:rPr>
          <w:rStyle w:val="y2iqfc"/>
        </w:rPr>
        <w:t>Ок</w:t>
      </w:r>
      <w:r w:rsidR="0071360A">
        <w:rPr>
          <w:rStyle w:val="y2iqfc"/>
        </w:rPr>
        <w:t>ру</w:t>
      </w:r>
      <w:r w:rsidR="00171F00">
        <w:rPr>
          <w:rStyle w:val="y2iqfc"/>
        </w:rPr>
        <w:t>ж</w:t>
      </w:r>
      <w:r w:rsidR="00EE6AA2">
        <w:rPr>
          <w:rStyle w:val="y2iqfc"/>
        </w:rPr>
        <w:t>е</w:t>
      </w:r>
      <w:r>
        <w:rPr>
          <w:rStyle w:val="y2iqfc"/>
        </w:rPr>
        <w:t>њ</w:t>
      </w:r>
      <w:r w:rsidR="00EE6AA2">
        <w:rPr>
          <w:rStyle w:val="y2iqfc"/>
        </w:rPr>
        <w:t>е</w:t>
      </w:r>
      <w:r w:rsidR="00EA48D1" w:rsidRPr="00F6340E">
        <w:rPr>
          <w:rStyle w:val="y2iqfc"/>
        </w:rPr>
        <w:t xml:space="preserve"> </w:t>
      </w:r>
      <w:r w:rsidR="00171F00">
        <w:rPr>
          <w:rStyle w:val="y2iqfc"/>
        </w:rPr>
        <w:t>з</w:t>
      </w:r>
      <w:r>
        <w:rPr>
          <w:rStyle w:val="y2iqfc"/>
        </w:rPr>
        <w:t>а</w:t>
      </w:r>
      <w:r w:rsidR="00AA30F4" w:rsidRPr="00F6340E">
        <w:rPr>
          <w:rStyle w:val="y2iqfc"/>
        </w:rPr>
        <w:t xml:space="preserve"> </w:t>
      </w:r>
      <w:r w:rsidR="0071360A">
        <w:rPr>
          <w:rStyle w:val="y2iqfc"/>
        </w:rPr>
        <w:t>у</w:t>
      </w:r>
      <w:r>
        <w:rPr>
          <w:rStyle w:val="y2iqfc"/>
        </w:rPr>
        <w:t>ч</w:t>
      </w:r>
      <w:r w:rsidR="00EE6AA2">
        <w:rPr>
          <w:rStyle w:val="y2iqfc"/>
        </w:rPr>
        <w:t>е</w:t>
      </w:r>
      <w:r>
        <w:rPr>
          <w:rStyle w:val="y2iqfc"/>
        </w:rPr>
        <w:t>њ</w:t>
      </w:r>
      <w:r w:rsidR="00EE6AA2">
        <w:rPr>
          <w:rStyle w:val="y2iqfc"/>
        </w:rPr>
        <w:t>е</w:t>
      </w:r>
      <w:r w:rsidR="00AA30F4" w:rsidRPr="00F6340E">
        <w:rPr>
          <w:rStyle w:val="y2iqfc"/>
        </w:rPr>
        <w:t xml:space="preserve"> </w:t>
      </w:r>
      <w:r>
        <w:rPr>
          <w:rStyle w:val="y2iqfc"/>
        </w:rPr>
        <w:t>кој</w:t>
      </w:r>
      <w:r w:rsidR="00EE6AA2">
        <w:rPr>
          <w:rStyle w:val="y2iqfc"/>
        </w:rPr>
        <w:t>е</w:t>
      </w:r>
      <w:r w:rsidR="00AA30F4" w:rsidRPr="00F6340E">
        <w:rPr>
          <w:rStyle w:val="y2iqfc"/>
        </w:rPr>
        <w:t xml:space="preserve"> </w:t>
      </w:r>
      <w:r>
        <w:rPr>
          <w:rStyle w:val="y2iqfc"/>
        </w:rPr>
        <w:t>омог</w:t>
      </w:r>
      <w:r w:rsidR="0071360A">
        <w:rPr>
          <w:rStyle w:val="y2iqfc"/>
        </w:rPr>
        <w:t>у</w:t>
      </w:r>
      <w:r>
        <w:rPr>
          <w:rStyle w:val="y2iqfc"/>
        </w:rPr>
        <w:t>ћа</w:t>
      </w:r>
      <w:r w:rsidR="0071360A">
        <w:rPr>
          <w:rStyle w:val="y2iqfc"/>
        </w:rPr>
        <w:t>в</w:t>
      </w:r>
      <w:r>
        <w:rPr>
          <w:rStyle w:val="y2iqfc"/>
        </w:rPr>
        <w:t>а</w:t>
      </w:r>
      <w:r w:rsidR="00AA30F4" w:rsidRPr="00F6340E">
        <w:rPr>
          <w:rStyle w:val="y2iqfc"/>
        </w:rPr>
        <w:t xml:space="preserve"> </w:t>
      </w:r>
      <w:r>
        <w:rPr>
          <w:rStyle w:val="y2iqfc"/>
        </w:rPr>
        <w:t>бога</w:t>
      </w:r>
      <w:r w:rsidR="0071360A">
        <w:rPr>
          <w:rStyle w:val="y2iqfc"/>
        </w:rPr>
        <w:t>ту</w:t>
      </w:r>
      <w:r w:rsidR="00AA30F4" w:rsidRPr="00F6340E">
        <w:rPr>
          <w:rStyle w:val="y2iqfc"/>
        </w:rPr>
        <w:t xml:space="preserve"> </w:t>
      </w:r>
      <w:r w:rsidR="0071360A">
        <w:rPr>
          <w:rStyle w:val="y2iqfc"/>
        </w:rPr>
        <w:t>с</w:t>
      </w:r>
      <w:r>
        <w:rPr>
          <w:rStyle w:val="y2iqfc"/>
        </w:rPr>
        <w:t>а</w:t>
      </w:r>
      <w:r w:rsidR="0071360A">
        <w:rPr>
          <w:rStyle w:val="y2iqfc"/>
        </w:rPr>
        <w:t>р</w:t>
      </w:r>
      <w:r>
        <w:rPr>
          <w:rStyle w:val="y2iqfc"/>
        </w:rPr>
        <w:t>адњ</w:t>
      </w:r>
      <w:r w:rsidR="0071360A">
        <w:rPr>
          <w:rStyle w:val="y2iqfc"/>
        </w:rPr>
        <w:t>у</w:t>
      </w:r>
      <w:r w:rsidR="00EA48D1" w:rsidRPr="00F6340E">
        <w:rPr>
          <w:rStyle w:val="y2iqfc"/>
        </w:rPr>
        <w:t xml:space="preserve"> </w:t>
      </w:r>
      <w:r>
        <w:rPr>
          <w:rStyle w:val="y2iqfc"/>
        </w:rPr>
        <w:t>и</w:t>
      </w:r>
      <w:r w:rsidR="00EA48D1" w:rsidRPr="00F6340E">
        <w:rPr>
          <w:rStyle w:val="y2iqfc"/>
        </w:rPr>
        <w:t xml:space="preserve"> </w:t>
      </w:r>
      <w:r>
        <w:rPr>
          <w:rStyle w:val="y2iqfc"/>
        </w:rPr>
        <w:t>ком</w:t>
      </w:r>
      <w:r w:rsidR="0071360A">
        <w:rPr>
          <w:rStyle w:val="y2iqfc"/>
        </w:rPr>
        <w:t>у</w:t>
      </w:r>
      <w:r>
        <w:rPr>
          <w:rStyle w:val="y2iqfc"/>
        </w:rPr>
        <w:t>никациј</w:t>
      </w:r>
      <w:r w:rsidR="0071360A">
        <w:rPr>
          <w:rStyle w:val="y2iqfc"/>
        </w:rPr>
        <w:t>у</w:t>
      </w:r>
      <w:r w:rsidR="00AA30F4" w:rsidRPr="00F6340E">
        <w:rPr>
          <w:rStyle w:val="y2iqfc"/>
        </w:rPr>
        <w:t xml:space="preserve">, </w:t>
      </w:r>
      <w:r w:rsidR="0071360A">
        <w:rPr>
          <w:rStyle w:val="y2iqfc"/>
        </w:rPr>
        <w:t>шт</w:t>
      </w:r>
      <w:r>
        <w:rPr>
          <w:rStyle w:val="y2iqfc"/>
        </w:rPr>
        <w:t>о</w:t>
      </w:r>
      <w:r w:rsidR="00AA30F4" w:rsidRPr="00F6340E">
        <w:rPr>
          <w:rStyle w:val="y2iqfc"/>
        </w:rPr>
        <w:t xml:space="preserve"> </w:t>
      </w:r>
      <w:r>
        <w:rPr>
          <w:rStyle w:val="y2iqfc"/>
        </w:rPr>
        <w:t>мо</w:t>
      </w:r>
      <w:r w:rsidR="00171F00">
        <w:rPr>
          <w:rStyle w:val="y2iqfc"/>
        </w:rPr>
        <w:t>ж</w:t>
      </w:r>
      <w:r w:rsidR="00EE6AA2">
        <w:rPr>
          <w:rStyle w:val="y2iqfc"/>
        </w:rPr>
        <w:t>е</w:t>
      </w:r>
      <w:r w:rsidR="00AA30F4" w:rsidRPr="00F6340E">
        <w:rPr>
          <w:rStyle w:val="y2iqfc"/>
        </w:rPr>
        <w:t xml:space="preserve"> </w:t>
      </w:r>
      <w:r w:rsidR="0071360A">
        <w:rPr>
          <w:rStyle w:val="y2iqfc"/>
        </w:rPr>
        <w:t>у</w:t>
      </w:r>
      <w:r>
        <w:rPr>
          <w:rStyle w:val="y2iqfc"/>
        </w:rPr>
        <w:t>кљ</w:t>
      </w:r>
      <w:r w:rsidR="0071360A">
        <w:rPr>
          <w:rStyle w:val="y2iqfc"/>
        </w:rPr>
        <w:t>у</w:t>
      </w:r>
      <w:r>
        <w:rPr>
          <w:rStyle w:val="y2iqfc"/>
        </w:rPr>
        <w:t>чи</w:t>
      </w:r>
      <w:r w:rsidR="0071360A">
        <w:rPr>
          <w:rStyle w:val="y2iqfc"/>
        </w:rPr>
        <w:t>в</w:t>
      </w:r>
      <w:r>
        <w:rPr>
          <w:rStyle w:val="y2iqfc"/>
        </w:rPr>
        <w:t>а</w:t>
      </w:r>
      <w:r w:rsidR="0071360A">
        <w:rPr>
          <w:rStyle w:val="y2iqfc"/>
        </w:rPr>
        <w:t>т</w:t>
      </w:r>
      <w:r>
        <w:rPr>
          <w:rStyle w:val="y2iqfc"/>
        </w:rPr>
        <w:t>и</w:t>
      </w:r>
      <w:r w:rsidR="00AA30F4" w:rsidRPr="00F6340E">
        <w:rPr>
          <w:rStyle w:val="y2iqfc"/>
        </w:rPr>
        <w:t xml:space="preserve"> </w:t>
      </w:r>
      <w:r w:rsidR="0071360A">
        <w:rPr>
          <w:rStyle w:val="y2iqfc"/>
        </w:rPr>
        <w:t>с</w:t>
      </w:r>
      <w:r>
        <w:rPr>
          <w:rStyle w:val="y2iqfc"/>
        </w:rPr>
        <w:t>а</w:t>
      </w:r>
      <w:r w:rsidR="0071360A">
        <w:rPr>
          <w:rStyle w:val="y2iqfc"/>
        </w:rPr>
        <w:t>р</w:t>
      </w:r>
      <w:r>
        <w:rPr>
          <w:rStyle w:val="y2iqfc"/>
        </w:rPr>
        <w:t>адничк</w:t>
      </w:r>
      <w:r w:rsidR="00EE6AA2">
        <w:rPr>
          <w:rStyle w:val="y2iqfc"/>
        </w:rPr>
        <w:t>е</w:t>
      </w:r>
      <w:r w:rsidR="00AA30F4" w:rsidRPr="00F6340E">
        <w:rPr>
          <w:rStyle w:val="y2iqfc"/>
        </w:rPr>
        <w:t xml:space="preserve"> </w:t>
      </w:r>
      <w:r>
        <w:rPr>
          <w:rStyle w:val="y2iqfc"/>
        </w:rPr>
        <w:t>одно</w:t>
      </w:r>
      <w:r w:rsidR="0071360A">
        <w:rPr>
          <w:rStyle w:val="y2iqfc"/>
        </w:rPr>
        <w:t>с</w:t>
      </w:r>
      <w:r w:rsidR="00EE6AA2">
        <w:rPr>
          <w:rStyle w:val="y2iqfc"/>
        </w:rPr>
        <w:t>е</w:t>
      </w:r>
      <w:r w:rsidR="00AA30F4" w:rsidRPr="00F6340E">
        <w:rPr>
          <w:rStyle w:val="y2iqfc"/>
        </w:rPr>
        <w:t xml:space="preserve"> </w:t>
      </w:r>
      <w:r w:rsidR="0071360A">
        <w:rPr>
          <w:rStyle w:val="y2iqfc"/>
        </w:rPr>
        <w:t>у</w:t>
      </w:r>
      <w:r>
        <w:rPr>
          <w:rStyle w:val="y2iqfc"/>
        </w:rPr>
        <w:t>ч</w:t>
      </w:r>
      <w:r w:rsidR="00EE6AA2">
        <w:rPr>
          <w:rStyle w:val="y2iqfc"/>
        </w:rPr>
        <w:t>е</w:t>
      </w:r>
      <w:r>
        <w:rPr>
          <w:rStyle w:val="y2iqfc"/>
        </w:rPr>
        <w:t>ника</w:t>
      </w:r>
      <w:r w:rsidR="00AA30F4" w:rsidRPr="00F6340E">
        <w:rPr>
          <w:rStyle w:val="y2iqfc"/>
        </w:rPr>
        <w:t>/</w:t>
      </w:r>
      <w:r w:rsidR="0071360A">
        <w:rPr>
          <w:rStyle w:val="y2iqfc"/>
        </w:rPr>
        <w:t>сту</w:t>
      </w:r>
      <w:r>
        <w:rPr>
          <w:rStyle w:val="y2iqfc"/>
        </w:rPr>
        <w:t>д</w:t>
      </w:r>
      <w:r w:rsidR="00EE6AA2">
        <w:rPr>
          <w:rStyle w:val="y2iqfc"/>
        </w:rPr>
        <w:t>е</w:t>
      </w:r>
      <w:r>
        <w:rPr>
          <w:rStyle w:val="y2iqfc"/>
        </w:rPr>
        <w:t>на</w:t>
      </w:r>
      <w:r w:rsidR="0071360A">
        <w:rPr>
          <w:rStyle w:val="y2iqfc"/>
        </w:rPr>
        <w:t>т</w:t>
      </w:r>
      <w:r>
        <w:rPr>
          <w:rStyle w:val="y2iqfc"/>
        </w:rPr>
        <w:t>а</w:t>
      </w:r>
      <w:r w:rsidR="00AA30F4" w:rsidRPr="00F6340E">
        <w:rPr>
          <w:rStyle w:val="y2iqfc"/>
        </w:rPr>
        <w:t xml:space="preserve"> </w:t>
      </w:r>
      <w:r w:rsidR="0071360A">
        <w:rPr>
          <w:rStyle w:val="y2iqfc"/>
        </w:rPr>
        <w:t>с</w:t>
      </w:r>
      <w:r>
        <w:rPr>
          <w:rStyle w:val="y2iqfc"/>
        </w:rPr>
        <w:t>а</w:t>
      </w:r>
      <w:r w:rsidR="00AA30F4" w:rsidRPr="00F6340E">
        <w:rPr>
          <w:rStyle w:val="y2iqfc"/>
        </w:rPr>
        <w:t xml:space="preserve"> </w:t>
      </w:r>
      <w:r w:rsidR="0071360A">
        <w:rPr>
          <w:rStyle w:val="y2iqfc"/>
        </w:rPr>
        <w:t>стру</w:t>
      </w:r>
      <w:r>
        <w:rPr>
          <w:rStyle w:val="y2iqfc"/>
        </w:rPr>
        <w:t>чњацима</w:t>
      </w:r>
      <w:r w:rsidR="00AA30F4" w:rsidRPr="00F6340E">
        <w:rPr>
          <w:rStyle w:val="y2iqfc"/>
        </w:rPr>
        <w:t xml:space="preserve"> </w:t>
      </w:r>
      <w:r>
        <w:rPr>
          <w:rStyle w:val="y2iqfc"/>
        </w:rPr>
        <w:t>и</w:t>
      </w:r>
      <w:r w:rsidR="00171F00">
        <w:rPr>
          <w:rStyle w:val="y2iqfc"/>
        </w:rPr>
        <w:t>з</w:t>
      </w:r>
      <w:r w:rsidR="00AA30F4" w:rsidRPr="00F6340E">
        <w:rPr>
          <w:rStyle w:val="y2iqfc"/>
        </w:rPr>
        <w:t xml:space="preserve"> </w:t>
      </w:r>
      <w:r w:rsidR="0071360A">
        <w:rPr>
          <w:rStyle w:val="y2iqfc"/>
        </w:rPr>
        <w:t>сп</w:t>
      </w:r>
      <w:r w:rsidR="00EE6AA2">
        <w:rPr>
          <w:rStyle w:val="y2iqfc"/>
        </w:rPr>
        <w:t>е</w:t>
      </w:r>
      <w:r>
        <w:rPr>
          <w:rStyle w:val="y2iqfc"/>
        </w:rPr>
        <w:t>цифичних</w:t>
      </w:r>
      <w:r w:rsidR="00AA30F4" w:rsidRPr="00F6340E">
        <w:rPr>
          <w:rStyle w:val="y2iqfc"/>
        </w:rPr>
        <w:t xml:space="preserve"> </w:t>
      </w:r>
      <w:r w:rsidR="0071360A">
        <w:rPr>
          <w:rStyle w:val="y2iqfc"/>
        </w:rPr>
        <w:t>п</w:t>
      </w:r>
      <w:r>
        <w:rPr>
          <w:rStyle w:val="y2iqfc"/>
        </w:rPr>
        <w:t>од</w:t>
      </w:r>
      <w:r w:rsidR="0071360A">
        <w:rPr>
          <w:rStyle w:val="y2iqfc"/>
        </w:rPr>
        <w:t>ру</w:t>
      </w:r>
      <w:r>
        <w:rPr>
          <w:rStyle w:val="y2iqfc"/>
        </w:rPr>
        <w:t>чја</w:t>
      </w:r>
      <w:r w:rsidR="00AA30F4" w:rsidRPr="00F6340E">
        <w:rPr>
          <w:rStyle w:val="y2iqfc"/>
        </w:rPr>
        <w:t xml:space="preserve">, </w:t>
      </w:r>
      <w:r>
        <w:rPr>
          <w:rStyle w:val="y2iqfc"/>
        </w:rPr>
        <w:t>али</w:t>
      </w:r>
      <w:r w:rsidR="00AA30F4" w:rsidRPr="00F6340E">
        <w:rPr>
          <w:rStyle w:val="y2iqfc"/>
        </w:rPr>
        <w:t xml:space="preserve"> </w:t>
      </w:r>
      <w:r>
        <w:rPr>
          <w:rStyle w:val="y2iqfc"/>
        </w:rPr>
        <w:t>и</w:t>
      </w:r>
      <w:r w:rsidR="00AA30F4" w:rsidRPr="00F6340E">
        <w:rPr>
          <w:rStyle w:val="y2iqfc"/>
        </w:rPr>
        <w:t xml:space="preserve"> </w:t>
      </w:r>
      <w:r w:rsidR="0071360A">
        <w:rPr>
          <w:rStyle w:val="y2iqfc"/>
        </w:rPr>
        <w:t>с</w:t>
      </w:r>
      <w:r>
        <w:rPr>
          <w:rStyle w:val="y2iqfc"/>
        </w:rPr>
        <w:t>а</w:t>
      </w:r>
      <w:r w:rsidR="00AA30F4" w:rsidRPr="00F6340E">
        <w:rPr>
          <w:rStyle w:val="y2iqfc"/>
        </w:rPr>
        <w:t xml:space="preserve"> </w:t>
      </w:r>
      <w:r w:rsidR="0071360A">
        <w:rPr>
          <w:rStyle w:val="y2iqfc"/>
        </w:rPr>
        <w:t>врш</w:t>
      </w:r>
      <w:r>
        <w:rPr>
          <w:rStyle w:val="y2iqfc"/>
        </w:rPr>
        <w:t>њацима</w:t>
      </w:r>
      <w:r w:rsidR="00AA30F4" w:rsidRPr="00F6340E">
        <w:rPr>
          <w:rStyle w:val="y2iqfc"/>
        </w:rPr>
        <w:t xml:space="preserve">; </w:t>
      </w:r>
    </w:p>
    <w:p w14:paraId="4DB61A52" w14:textId="05839D50" w:rsidR="00EA48D1" w:rsidRPr="00F6340E" w:rsidRDefault="00A56E08" w:rsidP="00210EE1">
      <w:pPr>
        <w:pStyle w:val="Bulletlist"/>
      </w:pPr>
      <w:r>
        <w:rPr>
          <w:rStyle w:val="y2iqfc"/>
        </w:rPr>
        <w:t>Хиб</w:t>
      </w:r>
      <w:r w:rsidR="0071360A">
        <w:rPr>
          <w:rStyle w:val="y2iqfc"/>
        </w:rPr>
        <w:t>р</w:t>
      </w:r>
      <w:r>
        <w:rPr>
          <w:rStyle w:val="y2iqfc"/>
        </w:rPr>
        <w:t>идно</w:t>
      </w:r>
      <w:r w:rsidR="00AA30F4" w:rsidRPr="00F6340E">
        <w:rPr>
          <w:rStyle w:val="y2iqfc"/>
        </w:rPr>
        <w:t xml:space="preserve"> </w:t>
      </w:r>
      <w:r>
        <w:rPr>
          <w:rStyle w:val="y2iqfc"/>
        </w:rPr>
        <w:t>или</w:t>
      </w:r>
      <w:r w:rsidR="00AA30F4" w:rsidRPr="00F6340E">
        <w:rPr>
          <w:rStyle w:val="y2iqfc"/>
        </w:rPr>
        <w:t xml:space="preserve"> </w:t>
      </w:r>
      <w:r>
        <w:rPr>
          <w:rStyle w:val="y2iqfc"/>
        </w:rPr>
        <w:t>комбино</w:t>
      </w:r>
      <w:r w:rsidR="0071360A">
        <w:rPr>
          <w:rStyle w:val="y2iqfc"/>
        </w:rPr>
        <w:t>в</w:t>
      </w:r>
      <w:r>
        <w:rPr>
          <w:rStyle w:val="y2iqfc"/>
        </w:rPr>
        <w:t>ано</w:t>
      </w:r>
      <w:r w:rsidR="00EA48D1" w:rsidRPr="00F6340E">
        <w:rPr>
          <w:rStyle w:val="y2iqfc"/>
        </w:rPr>
        <w:t xml:space="preserve"> </w:t>
      </w:r>
      <w:r w:rsidR="0071360A">
        <w:rPr>
          <w:rStyle w:val="y2iqfc"/>
        </w:rPr>
        <w:t>у</w:t>
      </w:r>
      <w:r>
        <w:rPr>
          <w:rStyle w:val="y2iqfc"/>
        </w:rPr>
        <w:t>ч</w:t>
      </w:r>
      <w:r w:rsidR="00EE6AA2">
        <w:rPr>
          <w:rStyle w:val="y2iqfc"/>
        </w:rPr>
        <w:t>е</w:t>
      </w:r>
      <w:r>
        <w:rPr>
          <w:rStyle w:val="y2iqfc"/>
        </w:rPr>
        <w:t>њ</w:t>
      </w:r>
      <w:r w:rsidR="00EE6AA2">
        <w:rPr>
          <w:rStyle w:val="y2iqfc"/>
        </w:rPr>
        <w:t>е</w:t>
      </w:r>
      <w:r w:rsidR="00AA30F4" w:rsidRPr="00F6340E">
        <w:rPr>
          <w:rStyle w:val="y2iqfc"/>
        </w:rPr>
        <w:t xml:space="preserve">. </w:t>
      </w:r>
    </w:p>
    <w:p w14:paraId="64C2DAE3" w14:textId="6712C992" w:rsidR="0007366B" w:rsidRPr="00F6340E" w:rsidRDefault="00171F00" w:rsidP="00210EE1">
      <w:pPr>
        <w:pStyle w:val="Body"/>
      </w:pPr>
      <w:r>
        <w:t>З</w:t>
      </w:r>
      <w:r w:rsidR="00A56E08">
        <w:t>а</w:t>
      </w:r>
      <w:r w:rsidR="0071360A">
        <w:t>т</w:t>
      </w:r>
      <w:r w:rsidR="00A56E08">
        <w:t>о</w:t>
      </w:r>
      <w:r w:rsidR="00743C0E" w:rsidRPr="00F6340E">
        <w:t xml:space="preserve"> </w:t>
      </w:r>
      <w:r w:rsidR="0071360A">
        <w:t>с</w:t>
      </w:r>
      <w:r w:rsidR="00EE6AA2">
        <w:t>е</w:t>
      </w:r>
      <w:r w:rsidR="0007366B" w:rsidRPr="00F6340E">
        <w:t xml:space="preserve"> </w:t>
      </w:r>
      <w:r w:rsidR="00A56E08">
        <w:t>диги</w:t>
      </w:r>
      <w:r w:rsidR="0071360A">
        <w:t>т</w:t>
      </w:r>
      <w:r w:rsidR="00A56E08">
        <w:t>ално</w:t>
      </w:r>
      <w:r w:rsidR="0007366B" w:rsidRPr="00F6340E">
        <w:t xml:space="preserve"> </w:t>
      </w:r>
      <w:r w:rsidR="0071360A">
        <w:t>у</w:t>
      </w:r>
      <w:r w:rsidR="00A56E08">
        <w:t>ч</w:t>
      </w:r>
      <w:r w:rsidR="00EE6AA2">
        <w:t>е</w:t>
      </w:r>
      <w:r w:rsidR="00A56E08">
        <w:t>њ</w:t>
      </w:r>
      <w:r w:rsidR="00EE6AA2">
        <w:t>е</w:t>
      </w:r>
      <w:r w:rsidR="0007366B" w:rsidRPr="00F6340E">
        <w:t xml:space="preserve"> </w:t>
      </w:r>
      <w:r w:rsidR="00A56E08">
        <w:t>мо</w:t>
      </w:r>
      <w:r>
        <w:t>ж</w:t>
      </w:r>
      <w:r w:rsidR="00EE6AA2">
        <w:t>е</w:t>
      </w:r>
      <w:r w:rsidR="000F446A" w:rsidRPr="00F6340E">
        <w:t xml:space="preserve"> </w:t>
      </w:r>
      <w:r w:rsidR="0071360A">
        <w:t>р</w:t>
      </w:r>
      <w:r w:rsidR="00A56E08">
        <w:t>а</w:t>
      </w:r>
      <w:r>
        <w:t>з</w:t>
      </w:r>
      <w:r w:rsidR="0071360A">
        <w:t>у</w:t>
      </w:r>
      <w:r w:rsidR="00A56E08">
        <w:t>мј</w:t>
      </w:r>
      <w:r w:rsidR="00EE6AA2">
        <w:t>е</w:t>
      </w:r>
      <w:r w:rsidR="0071360A">
        <w:t>т</w:t>
      </w:r>
      <w:r w:rsidR="00A56E08">
        <w:t>и</w:t>
      </w:r>
      <w:r w:rsidR="00F17EE6" w:rsidRPr="00F6340E">
        <w:t xml:space="preserve"> </w:t>
      </w:r>
      <w:r w:rsidR="00A56E08">
        <w:t>као</w:t>
      </w:r>
      <w:r w:rsidR="009744BD" w:rsidRPr="00F6340E">
        <w:t xml:space="preserve"> </w:t>
      </w:r>
      <w:r w:rsidR="0071360A">
        <w:t>п</w:t>
      </w:r>
      <w:r w:rsidR="00A56E08">
        <w:t>ојам</w:t>
      </w:r>
      <w:r w:rsidR="009744BD" w:rsidRPr="00F6340E">
        <w:t xml:space="preserve"> </w:t>
      </w:r>
      <w:r w:rsidR="00A56E08">
        <w:t>над</w:t>
      </w:r>
      <w:r w:rsidR="0071360A">
        <w:t>р</w:t>
      </w:r>
      <w:r w:rsidR="00EE6AA2">
        <w:t>е</w:t>
      </w:r>
      <w:r w:rsidR="00A56E08">
        <w:t>ђ</w:t>
      </w:r>
      <w:r w:rsidR="00EE6AA2">
        <w:t>е</w:t>
      </w:r>
      <w:r w:rsidR="00A56E08">
        <w:t>н</w:t>
      </w:r>
      <w:r w:rsidR="009744BD" w:rsidRPr="00F6340E">
        <w:t xml:space="preserve"> </w:t>
      </w:r>
      <w:r w:rsidR="0071360A">
        <w:t>св</w:t>
      </w:r>
      <w:r w:rsidR="00A56E08">
        <w:t>аком</w:t>
      </w:r>
      <w:r w:rsidR="009744BD" w:rsidRPr="00F6340E">
        <w:t xml:space="preserve"> </w:t>
      </w:r>
      <w:r w:rsidR="00A56E08">
        <w:t>облик</w:t>
      </w:r>
      <w:r w:rsidR="0071360A">
        <w:t>у</w:t>
      </w:r>
      <w:r w:rsidR="009744BD" w:rsidRPr="00F6340E">
        <w:t xml:space="preserve"> </w:t>
      </w:r>
      <w:r w:rsidR="0071360A">
        <w:t>у</w:t>
      </w:r>
      <w:r w:rsidR="00A56E08">
        <w:t>ч</w:t>
      </w:r>
      <w:r w:rsidR="00EE6AA2">
        <w:t>е</w:t>
      </w:r>
      <w:r w:rsidR="00A56E08">
        <w:t>ња</w:t>
      </w:r>
      <w:r w:rsidR="009744BD" w:rsidRPr="00F6340E">
        <w:t xml:space="preserve"> </w:t>
      </w:r>
      <w:r w:rsidR="00A56E08">
        <w:t>кој</w:t>
      </w:r>
      <w:r w:rsidR="00EE6AA2">
        <w:t>е</w:t>
      </w:r>
      <w:r w:rsidR="009744BD" w:rsidRPr="00F6340E">
        <w:t xml:space="preserve"> </w:t>
      </w:r>
      <w:r w:rsidR="0071360A">
        <w:t>п</w:t>
      </w:r>
      <w:r w:rsidR="00A56E08">
        <w:t>од</w:t>
      </w:r>
      <w:r w:rsidR="0071360A">
        <w:t>р</w:t>
      </w:r>
      <w:r w:rsidR="00A56E08">
        <w:t>а</w:t>
      </w:r>
      <w:r>
        <w:t>з</w:t>
      </w:r>
      <w:r w:rsidR="0071360A">
        <w:t>у</w:t>
      </w:r>
      <w:r w:rsidR="00A56E08">
        <w:t>миј</w:t>
      </w:r>
      <w:r w:rsidR="00EE6AA2">
        <w:t>е</w:t>
      </w:r>
      <w:r w:rsidR="0071360A">
        <w:t>в</w:t>
      </w:r>
      <w:r w:rsidR="00A56E08">
        <w:t>а</w:t>
      </w:r>
      <w:r w:rsidR="009744BD" w:rsidRPr="00F6340E">
        <w:t xml:space="preserve"> </w:t>
      </w:r>
      <w:r w:rsidR="0071360A">
        <w:t>пр</w:t>
      </w:r>
      <w:r w:rsidR="00A56E08">
        <w:t>имј</w:t>
      </w:r>
      <w:r w:rsidR="00EE6AA2">
        <w:t>е</w:t>
      </w:r>
      <w:r w:rsidR="00A56E08">
        <w:t>н</w:t>
      </w:r>
      <w:r w:rsidR="0071360A">
        <w:t>у</w:t>
      </w:r>
      <w:r w:rsidR="009744BD" w:rsidRPr="00F6340E">
        <w:t xml:space="preserve"> </w:t>
      </w:r>
      <w:r w:rsidR="0071360A">
        <w:t>р</w:t>
      </w:r>
      <w:r w:rsidR="00A56E08">
        <w:t>а</w:t>
      </w:r>
      <w:r>
        <w:t>з</w:t>
      </w:r>
      <w:r w:rsidR="00A56E08">
        <w:t>личи</w:t>
      </w:r>
      <w:r w:rsidR="0071360A">
        <w:t>т</w:t>
      </w:r>
      <w:r w:rsidR="00A56E08">
        <w:t>их</w:t>
      </w:r>
      <w:r w:rsidR="009744BD" w:rsidRPr="00F6340E">
        <w:t xml:space="preserve"> </w:t>
      </w:r>
      <w:r w:rsidR="00A56E08">
        <w:t>диги</w:t>
      </w:r>
      <w:r w:rsidR="0071360A">
        <w:t>т</w:t>
      </w:r>
      <w:r w:rsidR="00A56E08">
        <w:t>алних</w:t>
      </w:r>
      <w:r w:rsidR="009744BD" w:rsidRPr="00F6340E">
        <w:t xml:space="preserve"> </w:t>
      </w:r>
      <w:r w:rsidR="00A56E08">
        <w:t>ала</w:t>
      </w:r>
      <w:r w:rsidR="0071360A">
        <w:t>т</w:t>
      </w:r>
      <w:r w:rsidR="00A56E08">
        <w:t>а</w:t>
      </w:r>
      <w:r w:rsidR="009744BD" w:rsidRPr="00F6340E">
        <w:t>.</w:t>
      </w:r>
      <w:r w:rsidR="001D42B3" w:rsidRPr="00F6340E">
        <w:t xml:space="preserve"> </w:t>
      </w:r>
    </w:p>
    <w:p w14:paraId="55DB8203" w14:textId="1B0DA636" w:rsidR="00483250" w:rsidRPr="00F6340E" w:rsidRDefault="00EE6AA2" w:rsidP="001A6D76">
      <w:pPr>
        <w:pStyle w:val="Heading3"/>
        <w:numPr>
          <w:ilvl w:val="2"/>
          <w:numId w:val="74"/>
        </w:numPr>
        <w:ind w:left="567" w:hanging="567"/>
        <w:rPr>
          <w:lang w:val="sr-Cyrl-BA"/>
        </w:rPr>
      </w:pPr>
      <w:bookmarkStart w:id="18" w:name="_Toc119050300"/>
      <w:r>
        <w:rPr>
          <w:lang w:val="sr-Cyrl-BA"/>
        </w:rPr>
        <w:t>Е</w:t>
      </w:r>
      <w:r w:rsidR="00872771" w:rsidRPr="00F6340E">
        <w:rPr>
          <w:lang w:val="sr-Cyrl-BA"/>
        </w:rPr>
        <w:t>-</w:t>
      </w:r>
      <w:r w:rsidR="0071360A">
        <w:rPr>
          <w:lang w:val="sr-Cyrl-BA"/>
        </w:rPr>
        <w:t>у</w:t>
      </w:r>
      <w:r w:rsidR="00A56E08">
        <w:rPr>
          <w:lang w:val="sr-Cyrl-BA"/>
        </w:rPr>
        <w:t>ч</w:t>
      </w:r>
      <w:r>
        <w:rPr>
          <w:lang w:val="sr-Cyrl-BA"/>
        </w:rPr>
        <w:t>е</w:t>
      </w:r>
      <w:r w:rsidR="00A56E08">
        <w:rPr>
          <w:lang w:val="sr-Cyrl-BA"/>
        </w:rPr>
        <w:t>њ</w:t>
      </w:r>
      <w:r>
        <w:rPr>
          <w:lang w:val="sr-Cyrl-BA"/>
        </w:rPr>
        <w:t>е</w:t>
      </w:r>
      <w:r w:rsidR="000053AE" w:rsidRPr="00F6340E">
        <w:rPr>
          <w:lang w:val="sr-Cyrl-BA"/>
        </w:rPr>
        <w:t xml:space="preserve"> (</w:t>
      </w:r>
      <w:r>
        <w:rPr>
          <w:lang w:val="sr-Cyrl-BA"/>
        </w:rPr>
        <w:t>Е</w:t>
      </w:r>
      <w:r w:rsidR="000053AE" w:rsidRPr="00F6340E">
        <w:rPr>
          <w:lang w:val="sr-Cyrl-BA"/>
        </w:rPr>
        <w:t>-</w:t>
      </w:r>
      <w:r w:rsidR="00A56E08">
        <w:rPr>
          <w:lang w:val="sr-Cyrl-BA"/>
        </w:rPr>
        <w:t>л</w:t>
      </w:r>
      <w:r>
        <w:rPr>
          <w:lang w:val="sr-Cyrl-BA"/>
        </w:rPr>
        <w:t>е</w:t>
      </w:r>
      <w:r w:rsidR="00A56E08">
        <w:rPr>
          <w:lang w:val="sr-Cyrl-BA"/>
        </w:rPr>
        <w:t>а</w:t>
      </w:r>
      <w:r w:rsidR="0071360A">
        <w:rPr>
          <w:lang w:val="sr-Cyrl-BA"/>
        </w:rPr>
        <w:t>р</w:t>
      </w:r>
      <w:r w:rsidR="00A56E08">
        <w:rPr>
          <w:lang w:val="sr-Cyrl-BA"/>
        </w:rPr>
        <w:t>нинг</w:t>
      </w:r>
      <w:r w:rsidR="000053AE" w:rsidRPr="00F6340E">
        <w:rPr>
          <w:lang w:val="sr-Cyrl-BA"/>
        </w:rPr>
        <w:t>)</w:t>
      </w:r>
      <w:bookmarkEnd w:id="18"/>
    </w:p>
    <w:p w14:paraId="691E83AB" w14:textId="5F20358F" w:rsidR="00D229D3" w:rsidRPr="00F6340E" w:rsidRDefault="0071360A" w:rsidP="00210EE1">
      <w:pPr>
        <w:pStyle w:val="Body"/>
        <w:rPr>
          <w:shd w:val="clear" w:color="auto" w:fill="FFFFFF"/>
        </w:rPr>
      </w:pPr>
      <w:r>
        <w:rPr>
          <w:shd w:val="clear" w:color="auto" w:fill="FFFFFF"/>
        </w:rPr>
        <w:t>Пр</w:t>
      </w:r>
      <w:r w:rsidR="00EE6AA2">
        <w:rPr>
          <w:shd w:val="clear" w:color="auto" w:fill="FFFFFF"/>
        </w:rPr>
        <w:t>е</w:t>
      </w:r>
      <w:r w:rsidR="00A56E08">
        <w:rPr>
          <w:shd w:val="clear" w:color="auto" w:fill="FFFFFF"/>
        </w:rPr>
        <w:t>фик</w:t>
      </w:r>
      <w:r>
        <w:rPr>
          <w:shd w:val="clear" w:color="auto" w:fill="FFFFFF"/>
        </w:rPr>
        <w:t>с</w:t>
      </w:r>
      <w:r w:rsidR="000E6CA4" w:rsidRPr="00F6340E">
        <w:rPr>
          <w:shd w:val="clear" w:color="auto" w:fill="FFFFFF"/>
        </w:rPr>
        <w:t xml:space="preserve"> </w:t>
      </w:r>
      <w:r w:rsidR="00EE6AA2">
        <w:rPr>
          <w:shd w:val="clear" w:color="auto" w:fill="FFFFFF"/>
        </w:rPr>
        <w:t>Е</w:t>
      </w:r>
      <w:r w:rsidR="00F651B2" w:rsidRPr="00F6340E">
        <w:rPr>
          <w:shd w:val="clear" w:color="auto" w:fill="FFFFFF"/>
        </w:rPr>
        <w:t xml:space="preserve"> </w:t>
      </w:r>
      <w:r w:rsidR="000E6CA4" w:rsidRPr="00F6340E">
        <w:rPr>
          <w:shd w:val="clear" w:color="auto" w:fill="FFFFFF"/>
        </w:rPr>
        <w:t>- (</w:t>
      </w:r>
      <w:r w:rsidR="00EE6AA2">
        <w:rPr>
          <w:shd w:val="clear" w:color="auto" w:fill="FFFFFF"/>
        </w:rPr>
        <w:t>е</w:t>
      </w:r>
      <w:r w:rsidR="00A56E08">
        <w:rPr>
          <w:shd w:val="clear" w:color="auto" w:fill="FFFFFF"/>
        </w:rPr>
        <w:t>л</w:t>
      </w:r>
      <w:r w:rsidR="00EE6AA2">
        <w:rPr>
          <w:shd w:val="clear" w:color="auto" w:fill="FFFFFF"/>
        </w:rPr>
        <w:t>е</w:t>
      </w:r>
      <w:r w:rsidR="00A56E08">
        <w:rPr>
          <w:shd w:val="clear" w:color="auto" w:fill="FFFFFF"/>
        </w:rPr>
        <w:t>к</w:t>
      </w:r>
      <w:r>
        <w:rPr>
          <w:shd w:val="clear" w:color="auto" w:fill="FFFFFF"/>
        </w:rPr>
        <w:t>тр</w:t>
      </w:r>
      <w:r w:rsidR="00A56E08">
        <w:rPr>
          <w:shd w:val="clear" w:color="auto" w:fill="FFFFFF"/>
        </w:rPr>
        <w:t>он</w:t>
      </w:r>
      <w:r>
        <w:rPr>
          <w:shd w:val="clear" w:color="auto" w:fill="FFFFFF"/>
        </w:rPr>
        <w:t>с</w:t>
      </w:r>
      <w:r w:rsidR="00A56E08">
        <w:rPr>
          <w:shd w:val="clear" w:color="auto" w:fill="FFFFFF"/>
        </w:rPr>
        <w:t>ко</w:t>
      </w:r>
      <w:r w:rsidR="000E6CA4" w:rsidRPr="00F6340E">
        <w:rPr>
          <w:shd w:val="clear" w:color="auto" w:fill="FFFFFF"/>
        </w:rPr>
        <w:t xml:space="preserve">) </w:t>
      </w:r>
      <w:r w:rsidR="00A56E08">
        <w:rPr>
          <w:shd w:val="clear" w:color="auto" w:fill="FFFFFF"/>
        </w:rPr>
        <w:t>г</w:t>
      </w:r>
      <w:r w:rsidR="00EE6AA2">
        <w:rPr>
          <w:shd w:val="clear" w:color="auto" w:fill="FFFFFF"/>
        </w:rPr>
        <w:t>е</w:t>
      </w:r>
      <w:r w:rsidR="00A56E08">
        <w:rPr>
          <w:shd w:val="clear" w:color="auto" w:fill="FFFFFF"/>
        </w:rPr>
        <w:t>н</w:t>
      </w:r>
      <w:r w:rsidR="00EE6AA2">
        <w:rPr>
          <w:shd w:val="clear" w:color="auto" w:fill="FFFFFF"/>
        </w:rPr>
        <w:t>е</w:t>
      </w:r>
      <w:r>
        <w:rPr>
          <w:shd w:val="clear" w:color="auto" w:fill="FFFFFF"/>
        </w:rPr>
        <w:t>р</w:t>
      </w:r>
      <w:r w:rsidR="00A56E08">
        <w:rPr>
          <w:shd w:val="clear" w:color="auto" w:fill="FFFFFF"/>
        </w:rPr>
        <w:t>ално</w:t>
      </w:r>
      <w:r w:rsidR="000E6CA4" w:rsidRPr="00F6340E">
        <w:rPr>
          <w:shd w:val="clear" w:color="auto" w:fill="FFFFFF"/>
        </w:rPr>
        <w:t xml:space="preserve"> </w:t>
      </w:r>
      <w:r>
        <w:rPr>
          <w:shd w:val="clear" w:color="auto" w:fill="FFFFFF"/>
        </w:rPr>
        <w:t>пр</w:t>
      </w:r>
      <w:r w:rsidR="00EE6AA2">
        <w:rPr>
          <w:shd w:val="clear" w:color="auto" w:fill="FFFFFF"/>
        </w:rPr>
        <w:t>е</w:t>
      </w:r>
      <w:r w:rsidR="00A56E08">
        <w:rPr>
          <w:shd w:val="clear" w:color="auto" w:fill="FFFFFF"/>
        </w:rPr>
        <w:t>д</w:t>
      </w:r>
      <w:r>
        <w:rPr>
          <w:shd w:val="clear" w:color="auto" w:fill="FFFFFF"/>
        </w:rPr>
        <w:t>ст</w:t>
      </w:r>
      <w:r w:rsidR="00A56E08">
        <w:rPr>
          <w:shd w:val="clear" w:color="auto" w:fill="FFFFFF"/>
        </w:rPr>
        <w:t>а</w:t>
      </w:r>
      <w:r>
        <w:rPr>
          <w:shd w:val="clear" w:color="auto" w:fill="FFFFFF"/>
        </w:rPr>
        <w:t>в</w:t>
      </w:r>
      <w:r w:rsidR="00A56E08">
        <w:rPr>
          <w:shd w:val="clear" w:color="auto" w:fill="FFFFFF"/>
        </w:rPr>
        <w:t>ља</w:t>
      </w:r>
      <w:r w:rsidR="000E6CA4" w:rsidRPr="00F6340E">
        <w:rPr>
          <w:shd w:val="clear" w:color="auto" w:fill="FFFFFF"/>
        </w:rPr>
        <w:t xml:space="preserve"> </w:t>
      </w:r>
      <w:r w:rsidR="00A56E08">
        <w:rPr>
          <w:shd w:val="clear" w:color="auto" w:fill="FFFFFF"/>
        </w:rPr>
        <w:t>од</w:t>
      </w:r>
      <w:r>
        <w:rPr>
          <w:shd w:val="clear" w:color="auto" w:fill="FFFFFF"/>
        </w:rPr>
        <w:t>р</w:t>
      </w:r>
      <w:r w:rsidR="00EE6AA2">
        <w:rPr>
          <w:shd w:val="clear" w:color="auto" w:fill="FFFFFF"/>
        </w:rPr>
        <w:t>е</w:t>
      </w:r>
      <w:r w:rsidR="00A56E08">
        <w:rPr>
          <w:shd w:val="clear" w:color="auto" w:fill="FFFFFF"/>
        </w:rPr>
        <w:t>ђ</w:t>
      </w:r>
      <w:r w:rsidR="00EE6AA2">
        <w:rPr>
          <w:shd w:val="clear" w:color="auto" w:fill="FFFFFF"/>
        </w:rPr>
        <w:t>е</w:t>
      </w:r>
      <w:r w:rsidR="00A56E08">
        <w:rPr>
          <w:shd w:val="clear" w:color="auto" w:fill="FFFFFF"/>
        </w:rPr>
        <w:t>н</w:t>
      </w:r>
      <w:r w:rsidR="00EE6AA2">
        <w:rPr>
          <w:shd w:val="clear" w:color="auto" w:fill="FFFFFF"/>
        </w:rPr>
        <w:t>е</w:t>
      </w:r>
      <w:r w:rsidR="00F549D9" w:rsidRPr="00F6340E">
        <w:rPr>
          <w:shd w:val="clear" w:color="auto" w:fill="FFFFFF"/>
        </w:rPr>
        <w:t xml:space="preserve"> </w:t>
      </w:r>
      <w:r w:rsidR="00A56E08">
        <w:rPr>
          <w:shd w:val="clear" w:color="auto" w:fill="FFFFFF"/>
        </w:rPr>
        <w:t>ак</w:t>
      </w:r>
      <w:r>
        <w:rPr>
          <w:shd w:val="clear" w:color="auto" w:fill="FFFFFF"/>
        </w:rPr>
        <w:t>т</w:t>
      </w:r>
      <w:r w:rsidR="00A56E08">
        <w:rPr>
          <w:shd w:val="clear" w:color="auto" w:fill="FFFFFF"/>
        </w:rPr>
        <w:t>и</w:t>
      </w:r>
      <w:r>
        <w:rPr>
          <w:shd w:val="clear" w:color="auto" w:fill="FFFFFF"/>
        </w:rPr>
        <w:t>в</w:t>
      </w:r>
      <w:r w:rsidR="00A56E08">
        <w:rPr>
          <w:shd w:val="clear" w:color="auto" w:fill="FFFFFF"/>
        </w:rPr>
        <w:t>но</w:t>
      </w:r>
      <w:r>
        <w:rPr>
          <w:shd w:val="clear" w:color="auto" w:fill="FFFFFF"/>
        </w:rPr>
        <w:t>ст</w:t>
      </w:r>
      <w:r w:rsidR="00A56E08">
        <w:rPr>
          <w:shd w:val="clear" w:color="auto" w:fill="FFFFFF"/>
        </w:rPr>
        <w:t>и</w:t>
      </w:r>
      <w:r w:rsidR="00F549D9"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ња</w:t>
      </w:r>
      <w:r w:rsidR="00E36AF7" w:rsidRPr="00F6340E">
        <w:rPr>
          <w:shd w:val="clear" w:color="auto" w:fill="FFFFFF"/>
        </w:rPr>
        <w:t xml:space="preserve"> </w:t>
      </w:r>
      <w:r w:rsidR="00A56E08">
        <w:rPr>
          <w:shd w:val="clear" w:color="auto" w:fill="FFFFFF"/>
        </w:rPr>
        <w:t>кој</w:t>
      </w:r>
      <w:r w:rsidR="00EE6AA2">
        <w:rPr>
          <w:shd w:val="clear" w:color="auto" w:fill="FFFFFF"/>
        </w:rPr>
        <w:t>е</w:t>
      </w:r>
      <w:r w:rsidR="00F549D9" w:rsidRPr="00F6340E">
        <w:rPr>
          <w:shd w:val="clear" w:color="auto" w:fill="FFFFFF"/>
        </w:rPr>
        <w:t xml:space="preserve"> </w:t>
      </w:r>
      <w:r>
        <w:rPr>
          <w:shd w:val="clear" w:color="auto" w:fill="FFFFFF"/>
        </w:rPr>
        <w:t>с</w:t>
      </w:r>
      <w:r w:rsidR="00EE6AA2">
        <w:rPr>
          <w:shd w:val="clear" w:color="auto" w:fill="FFFFFF"/>
        </w:rPr>
        <w:t>е</w:t>
      </w:r>
      <w:r w:rsidR="00F549D9" w:rsidRPr="00F6340E">
        <w:rPr>
          <w:shd w:val="clear" w:color="auto" w:fill="FFFFFF"/>
        </w:rPr>
        <w:t xml:space="preserve"> </w:t>
      </w:r>
      <w:r w:rsidR="00A56E08">
        <w:rPr>
          <w:shd w:val="clear" w:color="auto" w:fill="FFFFFF"/>
        </w:rPr>
        <w:t>од</w:t>
      </w:r>
      <w:r>
        <w:rPr>
          <w:shd w:val="clear" w:color="auto" w:fill="FFFFFF"/>
        </w:rPr>
        <w:t>в</w:t>
      </w:r>
      <w:r w:rsidR="00A56E08">
        <w:rPr>
          <w:shd w:val="clear" w:color="auto" w:fill="FFFFFF"/>
        </w:rPr>
        <w:t>ијај</w:t>
      </w:r>
      <w:r>
        <w:rPr>
          <w:shd w:val="clear" w:color="auto" w:fill="FFFFFF"/>
        </w:rPr>
        <w:t>у</w:t>
      </w:r>
      <w:r w:rsidR="00F549D9" w:rsidRPr="00F6340E">
        <w:rPr>
          <w:shd w:val="clear" w:color="auto" w:fill="FFFFFF"/>
        </w:rPr>
        <w:t xml:space="preserve"> </w:t>
      </w:r>
      <w:r w:rsidR="00A56E08">
        <w:rPr>
          <w:shd w:val="clear" w:color="auto" w:fill="FFFFFF"/>
        </w:rPr>
        <w:t>к</w:t>
      </w:r>
      <w:r>
        <w:rPr>
          <w:shd w:val="clear" w:color="auto" w:fill="FFFFFF"/>
        </w:rPr>
        <w:t>р</w:t>
      </w:r>
      <w:r w:rsidR="00A56E08">
        <w:rPr>
          <w:shd w:val="clear" w:color="auto" w:fill="FFFFFF"/>
        </w:rPr>
        <w:t>о</w:t>
      </w:r>
      <w:r w:rsidR="00171F00">
        <w:rPr>
          <w:shd w:val="clear" w:color="auto" w:fill="FFFFFF"/>
        </w:rPr>
        <w:t>з</w:t>
      </w:r>
      <w:r w:rsidR="00F83C3C" w:rsidRPr="00F6340E">
        <w:rPr>
          <w:shd w:val="clear" w:color="auto" w:fill="FFFFFF"/>
        </w:rPr>
        <w:t xml:space="preserve"> </w:t>
      </w:r>
      <w:r>
        <w:rPr>
          <w:shd w:val="clear" w:color="auto" w:fill="FFFFFF"/>
        </w:rPr>
        <w:t>пр</w:t>
      </w:r>
      <w:r w:rsidR="00A56E08">
        <w:rPr>
          <w:shd w:val="clear" w:color="auto" w:fill="FFFFFF"/>
        </w:rPr>
        <w:t>имј</w:t>
      </w:r>
      <w:r w:rsidR="00EE6AA2">
        <w:rPr>
          <w:shd w:val="clear" w:color="auto" w:fill="FFFFFF"/>
        </w:rPr>
        <w:t>е</w:t>
      </w:r>
      <w:r w:rsidR="00A56E08">
        <w:rPr>
          <w:shd w:val="clear" w:color="auto" w:fill="FFFFFF"/>
        </w:rPr>
        <w:t>н</w:t>
      </w:r>
      <w:r>
        <w:rPr>
          <w:shd w:val="clear" w:color="auto" w:fill="FFFFFF"/>
        </w:rPr>
        <w:t>у</w:t>
      </w:r>
      <w:r w:rsidR="00F83C3C" w:rsidRPr="00F6340E">
        <w:rPr>
          <w:shd w:val="clear" w:color="auto" w:fill="FFFFFF"/>
        </w:rPr>
        <w:t xml:space="preserve"> </w:t>
      </w:r>
      <w:r>
        <w:rPr>
          <w:shd w:val="clear" w:color="auto" w:fill="FFFFFF"/>
        </w:rPr>
        <w:t>с</w:t>
      </w:r>
      <w:r w:rsidR="00A56E08">
        <w:rPr>
          <w:shd w:val="clear" w:color="auto" w:fill="FFFFFF"/>
        </w:rPr>
        <w:t>ад</w:t>
      </w:r>
      <w:r>
        <w:rPr>
          <w:shd w:val="clear" w:color="auto" w:fill="FFFFFF"/>
        </w:rPr>
        <w:t>р</w:t>
      </w:r>
      <w:r w:rsidR="00171F00">
        <w:rPr>
          <w:shd w:val="clear" w:color="auto" w:fill="FFFFFF"/>
        </w:rPr>
        <w:t>ж</w:t>
      </w:r>
      <w:r w:rsidR="00A56E08">
        <w:rPr>
          <w:shd w:val="clear" w:color="auto" w:fill="FFFFFF"/>
        </w:rPr>
        <w:t>аја</w:t>
      </w:r>
      <w:r w:rsidR="00E36AF7" w:rsidRPr="00F6340E">
        <w:rPr>
          <w:shd w:val="clear" w:color="auto" w:fill="FFFFFF"/>
        </w:rPr>
        <w:t xml:space="preserve"> </w:t>
      </w:r>
      <w:r w:rsidR="00A56E08">
        <w:rPr>
          <w:shd w:val="clear" w:color="auto" w:fill="FFFFFF"/>
        </w:rPr>
        <w:t>и</w:t>
      </w:r>
      <w:r w:rsidR="00E36AF7" w:rsidRPr="00F6340E">
        <w:rPr>
          <w:shd w:val="clear" w:color="auto" w:fill="FFFFFF"/>
        </w:rPr>
        <w:t xml:space="preserve"> </w:t>
      </w:r>
      <w:r w:rsidR="00A56E08">
        <w:rPr>
          <w:shd w:val="clear" w:color="auto" w:fill="FFFFFF"/>
        </w:rPr>
        <w:t>м</w:t>
      </w:r>
      <w:r w:rsidR="00EE6AA2">
        <w:rPr>
          <w:shd w:val="clear" w:color="auto" w:fill="FFFFFF"/>
        </w:rPr>
        <w:t>е</w:t>
      </w:r>
      <w:r>
        <w:rPr>
          <w:shd w:val="clear" w:color="auto" w:fill="FFFFFF"/>
        </w:rPr>
        <w:t>т</w:t>
      </w:r>
      <w:r w:rsidR="00A56E08">
        <w:rPr>
          <w:shd w:val="clear" w:color="auto" w:fill="FFFFFF"/>
        </w:rPr>
        <w:t>ода</w:t>
      </w:r>
      <w:r w:rsidR="00E36AF7"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ња</w:t>
      </w:r>
      <w:r w:rsidR="00E36AF7" w:rsidRPr="00F6340E">
        <w:rPr>
          <w:shd w:val="clear" w:color="auto" w:fill="FFFFFF"/>
        </w:rPr>
        <w:t xml:space="preserve">, </w:t>
      </w:r>
      <w:r w:rsidR="00A56E08">
        <w:rPr>
          <w:shd w:val="clear" w:color="auto" w:fill="FFFFFF"/>
        </w:rPr>
        <w:t>кој</w:t>
      </w:r>
      <w:r w:rsidR="00EE6AA2">
        <w:rPr>
          <w:shd w:val="clear" w:color="auto" w:fill="FFFFFF"/>
        </w:rPr>
        <w:t>е</w:t>
      </w:r>
      <w:r w:rsidR="00E36AF7" w:rsidRPr="00F6340E">
        <w:rPr>
          <w:shd w:val="clear" w:color="auto" w:fill="FFFFFF"/>
        </w:rPr>
        <w:t xml:space="preserve"> </w:t>
      </w:r>
      <w:r>
        <w:rPr>
          <w:shd w:val="clear" w:color="auto" w:fill="FFFFFF"/>
        </w:rPr>
        <w:t>с</w:t>
      </w:r>
      <w:r w:rsidR="00EE6AA2">
        <w:rPr>
          <w:shd w:val="clear" w:color="auto" w:fill="FFFFFF"/>
        </w:rPr>
        <w:t>е</w:t>
      </w:r>
      <w:r w:rsidR="00E36AF7" w:rsidRPr="00F6340E">
        <w:rPr>
          <w:shd w:val="clear" w:color="auto" w:fill="FFFFFF"/>
        </w:rPr>
        <w:t xml:space="preserve"> </w:t>
      </w:r>
      <w:r w:rsidR="00A56E08">
        <w:rPr>
          <w:shd w:val="clear" w:color="auto" w:fill="FFFFFF"/>
        </w:rPr>
        <w:t>и</w:t>
      </w:r>
      <w:r>
        <w:rPr>
          <w:shd w:val="clear" w:color="auto" w:fill="FFFFFF"/>
        </w:rPr>
        <w:t>сп</w:t>
      </w:r>
      <w:r w:rsidR="00A56E08">
        <w:rPr>
          <w:shd w:val="clear" w:color="auto" w:fill="FFFFFF"/>
        </w:rPr>
        <w:t>о</w:t>
      </w:r>
      <w:r>
        <w:rPr>
          <w:shd w:val="clear" w:color="auto" w:fill="FFFFFF"/>
        </w:rPr>
        <w:t>ру</w:t>
      </w:r>
      <w:r w:rsidR="00A56E08">
        <w:rPr>
          <w:shd w:val="clear" w:color="auto" w:fill="FFFFFF"/>
        </w:rPr>
        <w:t>ч</w:t>
      </w:r>
      <w:r>
        <w:rPr>
          <w:shd w:val="clear" w:color="auto" w:fill="FFFFFF"/>
        </w:rPr>
        <w:t>у</w:t>
      </w:r>
      <w:r w:rsidR="00A56E08">
        <w:rPr>
          <w:shd w:val="clear" w:color="auto" w:fill="FFFFFF"/>
        </w:rPr>
        <w:t>ј</w:t>
      </w:r>
      <w:r>
        <w:rPr>
          <w:shd w:val="clear" w:color="auto" w:fill="FFFFFF"/>
        </w:rPr>
        <w:t>у</w:t>
      </w:r>
      <w:r w:rsidR="00E36AF7" w:rsidRPr="00F6340E">
        <w:rPr>
          <w:shd w:val="clear" w:color="auto" w:fill="FFFFFF"/>
        </w:rPr>
        <w:t xml:space="preserve"> </w:t>
      </w:r>
      <w:r>
        <w:rPr>
          <w:shd w:val="clear" w:color="auto" w:fill="FFFFFF"/>
        </w:rPr>
        <w:t>пут</w:t>
      </w:r>
      <w:r w:rsidR="00EE6AA2">
        <w:rPr>
          <w:shd w:val="clear" w:color="auto" w:fill="FFFFFF"/>
        </w:rPr>
        <w:t>е</w:t>
      </w:r>
      <w:r w:rsidR="00A56E08">
        <w:rPr>
          <w:shd w:val="clear" w:color="auto" w:fill="FFFFFF"/>
        </w:rPr>
        <w:t>м</w:t>
      </w:r>
      <w:r w:rsidR="00E36AF7" w:rsidRPr="00F6340E">
        <w:rPr>
          <w:shd w:val="clear" w:color="auto" w:fill="FFFFFF"/>
        </w:rPr>
        <w:t xml:space="preserve"> </w:t>
      </w:r>
      <w:r w:rsidR="00A56E08">
        <w:rPr>
          <w:shd w:val="clear" w:color="auto" w:fill="FFFFFF"/>
        </w:rPr>
        <w:t>Ин</w:t>
      </w:r>
      <w:r>
        <w:rPr>
          <w:shd w:val="clear" w:color="auto" w:fill="FFFFFF"/>
        </w:rPr>
        <w:t>т</w:t>
      </w:r>
      <w:r w:rsidR="00EE6AA2">
        <w:rPr>
          <w:shd w:val="clear" w:color="auto" w:fill="FFFFFF"/>
        </w:rPr>
        <w:t>е</w:t>
      </w:r>
      <w:r>
        <w:rPr>
          <w:shd w:val="clear" w:color="auto" w:fill="FFFFFF"/>
        </w:rPr>
        <w:t>р</w:t>
      </w:r>
      <w:r w:rsidR="00A56E08">
        <w:rPr>
          <w:shd w:val="clear" w:color="auto" w:fill="FFFFFF"/>
        </w:rPr>
        <w:t>н</w:t>
      </w:r>
      <w:r w:rsidR="00EE6AA2">
        <w:rPr>
          <w:shd w:val="clear" w:color="auto" w:fill="FFFFFF"/>
        </w:rPr>
        <w:t>е</w:t>
      </w:r>
      <w:r>
        <w:rPr>
          <w:shd w:val="clear" w:color="auto" w:fill="FFFFFF"/>
        </w:rPr>
        <w:t>т</w:t>
      </w:r>
      <w:r w:rsidR="00A56E08">
        <w:rPr>
          <w:shd w:val="clear" w:color="auto" w:fill="FFFFFF"/>
        </w:rPr>
        <w:t>а</w:t>
      </w:r>
      <w:r w:rsidR="00E36AF7" w:rsidRPr="00F6340E">
        <w:rPr>
          <w:shd w:val="clear" w:color="auto" w:fill="FFFFFF"/>
        </w:rPr>
        <w:t xml:space="preserve"> </w:t>
      </w:r>
      <w:r w:rsidR="00A56E08">
        <w:rPr>
          <w:shd w:val="clear" w:color="auto" w:fill="FFFFFF"/>
        </w:rPr>
        <w:t>или</w:t>
      </w:r>
      <w:r w:rsidR="00E36AF7" w:rsidRPr="00F6340E">
        <w:rPr>
          <w:shd w:val="clear" w:color="auto" w:fill="FFFFFF"/>
        </w:rPr>
        <w:t xml:space="preserve"> </w:t>
      </w:r>
      <w:r w:rsidR="00A56E08">
        <w:rPr>
          <w:shd w:val="clear" w:color="auto" w:fill="FFFFFF"/>
        </w:rPr>
        <w:t>Ин</w:t>
      </w:r>
      <w:r>
        <w:rPr>
          <w:shd w:val="clear" w:color="auto" w:fill="FFFFFF"/>
        </w:rPr>
        <w:t>тр</w:t>
      </w:r>
      <w:r w:rsidR="00A56E08">
        <w:rPr>
          <w:shd w:val="clear" w:color="auto" w:fill="FFFFFF"/>
        </w:rPr>
        <w:t>ан</w:t>
      </w:r>
      <w:r w:rsidR="00EE6AA2">
        <w:rPr>
          <w:shd w:val="clear" w:color="auto" w:fill="FFFFFF"/>
        </w:rPr>
        <w:t>е</w:t>
      </w:r>
      <w:r>
        <w:rPr>
          <w:shd w:val="clear" w:color="auto" w:fill="FFFFFF"/>
        </w:rPr>
        <w:t>т</w:t>
      </w:r>
      <w:r w:rsidR="00A56E08">
        <w:rPr>
          <w:shd w:val="clear" w:color="auto" w:fill="FFFFFF"/>
        </w:rPr>
        <w:t>а</w:t>
      </w:r>
      <w:r w:rsidR="003855C7" w:rsidRPr="00F6340E">
        <w:rPr>
          <w:rStyle w:val="FootnoteReference"/>
          <w:rFonts w:eastAsia="Times New Roman" w:cs="Arial"/>
          <w:color w:val="000000" w:themeColor="text1"/>
          <w:szCs w:val="24"/>
          <w:shd w:val="clear" w:color="auto" w:fill="FFFFFF"/>
        </w:rPr>
        <w:footnoteReference w:id="4"/>
      </w:r>
      <w:r w:rsidR="00726609" w:rsidRPr="00F6340E">
        <w:rPr>
          <w:shd w:val="clear" w:color="auto" w:fill="FFFFFF"/>
        </w:rPr>
        <w:t xml:space="preserve">, </w:t>
      </w:r>
      <w:r w:rsidR="00A56E08">
        <w:rPr>
          <w:shd w:val="clear" w:color="auto" w:fill="FFFFFF"/>
        </w:rPr>
        <w:t>али</w:t>
      </w:r>
      <w:r w:rsidR="00726609" w:rsidRPr="00F6340E">
        <w:rPr>
          <w:shd w:val="clear" w:color="auto" w:fill="FFFFFF"/>
        </w:rPr>
        <w:t xml:space="preserve"> </w:t>
      </w:r>
      <w:r w:rsidR="00A56E08">
        <w:rPr>
          <w:shd w:val="clear" w:color="auto" w:fill="FFFFFF"/>
        </w:rPr>
        <w:t>и</w:t>
      </w:r>
      <w:r w:rsidR="00726609" w:rsidRPr="00F6340E">
        <w:rPr>
          <w:shd w:val="clear" w:color="auto" w:fill="FFFFFF"/>
        </w:rPr>
        <w:t xml:space="preserve"> </w:t>
      </w:r>
      <w:r w:rsidR="00A56E08">
        <w:rPr>
          <w:shd w:val="clear" w:color="auto" w:fill="FFFFFF"/>
        </w:rPr>
        <w:t>о</w:t>
      </w:r>
      <w:r>
        <w:rPr>
          <w:shd w:val="clear" w:color="auto" w:fill="FFFFFF"/>
        </w:rPr>
        <w:t>ст</w:t>
      </w:r>
      <w:r w:rsidR="00A56E08">
        <w:rPr>
          <w:shd w:val="clear" w:color="auto" w:fill="FFFFFF"/>
        </w:rPr>
        <w:t>алих</w:t>
      </w:r>
      <w:r w:rsidR="00726609" w:rsidRPr="00F6340E">
        <w:rPr>
          <w:shd w:val="clear" w:color="auto" w:fill="FFFFFF"/>
        </w:rPr>
        <w:t xml:space="preserve"> </w:t>
      </w:r>
      <w:r w:rsidR="00EE6AA2">
        <w:rPr>
          <w:shd w:val="clear" w:color="auto" w:fill="FFFFFF"/>
        </w:rPr>
        <w:t>е</w:t>
      </w:r>
      <w:r w:rsidR="00A56E08">
        <w:rPr>
          <w:shd w:val="clear" w:color="auto" w:fill="FFFFFF"/>
        </w:rPr>
        <w:t>л</w:t>
      </w:r>
      <w:r w:rsidR="00EE6AA2">
        <w:rPr>
          <w:shd w:val="clear" w:color="auto" w:fill="FFFFFF"/>
        </w:rPr>
        <w:t>е</w:t>
      </w:r>
      <w:r w:rsidR="00A56E08">
        <w:rPr>
          <w:shd w:val="clear" w:color="auto" w:fill="FFFFFF"/>
        </w:rPr>
        <w:t>к</w:t>
      </w:r>
      <w:r>
        <w:rPr>
          <w:shd w:val="clear" w:color="auto" w:fill="FFFFFF"/>
        </w:rPr>
        <w:t>тр</w:t>
      </w:r>
      <w:r w:rsidR="00A56E08">
        <w:rPr>
          <w:shd w:val="clear" w:color="auto" w:fill="FFFFFF"/>
        </w:rPr>
        <w:t>он</w:t>
      </w:r>
      <w:r>
        <w:rPr>
          <w:shd w:val="clear" w:color="auto" w:fill="FFFFFF"/>
        </w:rPr>
        <w:t>с</w:t>
      </w:r>
      <w:r w:rsidR="00A56E08">
        <w:rPr>
          <w:shd w:val="clear" w:color="auto" w:fill="FFFFFF"/>
        </w:rPr>
        <w:t>ких</w:t>
      </w:r>
      <w:r w:rsidR="00E36AF7" w:rsidRPr="00F6340E">
        <w:rPr>
          <w:shd w:val="clear" w:color="auto" w:fill="FFFFFF"/>
        </w:rPr>
        <w:t xml:space="preserve"> </w:t>
      </w:r>
      <w:r>
        <w:rPr>
          <w:shd w:val="clear" w:color="auto" w:fill="FFFFFF"/>
        </w:rPr>
        <w:t>ур</w:t>
      </w:r>
      <w:r w:rsidR="00EE6AA2">
        <w:rPr>
          <w:shd w:val="clear" w:color="auto" w:fill="FFFFFF"/>
        </w:rPr>
        <w:t>е</w:t>
      </w:r>
      <w:r w:rsidR="00A56E08">
        <w:rPr>
          <w:shd w:val="clear" w:color="auto" w:fill="FFFFFF"/>
        </w:rPr>
        <w:t>ђаја</w:t>
      </w:r>
      <w:r w:rsidR="00E36AF7" w:rsidRPr="00F6340E">
        <w:rPr>
          <w:shd w:val="clear" w:color="auto" w:fill="FFFFFF"/>
        </w:rPr>
        <w:t xml:space="preserve"> </w:t>
      </w:r>
      <w:r>
        <w:rPr>
          <w:shd w:val="clear" w:color="auto" w:fill="FFFFFF"/>
        </w:rPr>
        <w:t>п</w:t>
      </w:r>
      <w:r w:rsidR="00A56E08">
        <w:rPr>
          <w:shd w:val="clear" w:color="auto" w:fill="FFFFFF"/>
        </w:rPr>
        <w:t>о</w:t>
      </w:r>
      <w:r>
        <w:rPr>
          <w:shd w:val="clear" w:color="auto" w:fill="FFFFFF"/>
        </w:rPr>
        <w:t>пут</w:t>
      </w:r>
      <w:r w:rsidR="00E36AF7" w:rsidRPr="00F6340E">
        <w:rPr>
          <w:shd w:val="clear" w:color="auto" w:fill="FFFFFF"/>
        </w:rPr>
        <w:t xml:space="preserve"> </w:t>
      </w:r>
      <w:r w:rsidR="00A56E08">
        <w:rPr>
          <w:shd w:val="clear" w:color="auto" w:fill="FFFFFF"/>
        </w:rPr>
        <w:t>а</w:t>
      </w:r>
      <w:r>
        <w:rPr>
          <w:shd w:val="clear" w:color="auto" w:fill="FFFFFF"/>
        </w:rPr>
        <w:t>у</w:t>
      </w:r>
      <w:r w:rsidR="00A56E08">
        <w:rPr>
          <w:shd w:val="clear" w:color="auto" w:fill="FFFFFF"/>
        </w:rPr>
        <w:t>дио</w:t>
      </w:r>
      <w:r w:rsidR="00E36AF7" w:rsidRPr="00F6340E">
        <w:rPr>
          <w:shd w:val="clear" w:color="auto" w:fill="FFFFFF"/>
        </w:rPr>
        <w:t xml:space="preserve"> </w:t>
      </w:r>
      <w:r w:rsidR="00A56E08">
        <w:rPr>
          <w:shd w:val="clear" w:color="auto" w:fill="FFFFFF"/>
        </w:rPr>
        <w:t>и</w:t>
      </w:r>
      <w:r w:rsidR="00E36AF7" w:rsidRPr="00F6340E">
        <w:rPr>
          <w:shd w:val="clear" w:color="auto" w:fill="FFFFFF"/>
        </w:rPr>
        <w:t xml:space="preserve"> </w:t>
      </w:r>
      <w:r>
        <w:rPr>
          <w:shd w:val="clear" w:color="auto" w:fill="FFFFFF"/>
        </w:rPr>
        <w:t>в</w:t>
      </w:r>
      <w:r w:rsidR="00A56E08">
        <w:rPr>
          <w:shd w:val="clear" w:color="auto" w:fill="FFFFFF"/>
        </w:rPr>
        <w:t>ид</w:t>
      </w:r>
      <w:r w:rsidR="00EE6AA2">
        <w:rPr>
          <w:shd w:val="clear" w:color="auto" w:fill="FFFFFF"/>
        </w:rPr>
        <w:t>е</w:t>
      </w:r>
      <w:r w:rsidR="00A56E08">
        <w:rPr>
          <w:shd w:val="clear" w:color="auto" w:fill="FFFFFF"/>
        </w:rPr>
        <w:t>о</w:t>
      </w:r>
      <w:r w:rsidR="00E36AF7" w:rsidRPr="00F6340E">
        <w:rPr>
          <w:shd w:val="clear" w:color="auto" w:fill="FFFFFF"/>
        </w:rPr>
        <w:t xml:space="preserve"> </w:t>
      </w:r>
      <w:r w:rsidR="00A56E08">
        <w:rPr>
          <w:shd w:val="clear" w:color="auto" w:fill="FFFFFF"/>
        </w:rPr>
        <w:t>ка</w:t>
      </w:r>
      <w:r>
        <w:rPr>
          <w:shd w:val="clear" w:color="auto" w:fill="FFFFFF"/>
        </w:rPr>
        <w:t>с</w:t>
      </w:r>
      <w:r w:rsidR="00EE6AA2">
        <w:rPr>
          <w:shd w:val="clear" w:color="auto" w:fill="FFFFFF"/>
        </w:rPr>
        <w:t>е</w:t>
      </w:r>
      <w:r>
        <w:rPr>
          <w:shd w:val="clear" w:color="auto" w:fill="FFFFFF"/>
        </w:rPr>
        <w:t>т</w:t>
      </w:r>
      <w:r w:rsidR="00A56E08">
        <w:rPr>
          <w:shd w:val="clear" w:color="auto" w:fill="FFFFFF"/>
        </w:rPr>
        <w:t>а</w:t>
      </w:r>
      <w:r w:rsidR="00E36AF7" w:rsidRPr="00F6340E">
        <w:rPr>
          <w:shd w:val="clear" w:color="auto" w:fill="FFFFFF"/>
        </w:rPr>
        <w:t xml:space="preserve">, </w:t>
      </w:r>
      <w:r>
        <w:rPr>
          <w:shd w:val="clear" w:color="auto" w:fill="FFFFFF"/>
        </w:rPr>
        <w:t>с</w:t>
      </w:r>
      <w:r w:rsidR="00A56E08">
        <w:rPr>
          <w:shd w:val="clear" w:color="auto" w:fill="FFFFFF"/>
        </w:rPr>
        <w:t>а</w:t>
      </w:r>
      <w:r>
        <w:rPr>
          <w:shd w:val="clear" w:color="auto" w:fill="FFFFFF"/>
        </w:rPr>
        <w:t>т</w:t>
      </w:r>
      <w:r w:rsidR="00EE6AA2">
        <w:rPr>
          <w:shd w:val="clear" w:color="auto" w:fill="FFFFFF"/>
        </w:rPr>
        <w:t>е</w:t>
      </w:r>
      <w:r w:rsidR="00A56E08">
        <w:rPr>
          <w:shd w:val="clear" w:color="auto" w:fill="FFFFFF"/>
        </w:rPr>
        <w:t>ли</w:t>
      </w:r>
      <w:r>
        <w:rPr>
          <w:shd w:val="clear" w:color="auto" w:fill="FFFFFF"/>
        </w:rPr>
        <w:t>тс</w:t>
      </w:r>
      <w:r w:rsidR="00A56E08">
        <w:rPr>
          <w:shd w:val="clear" w:color="auto" w:fill="FFFFFF"/>
        </w:rPr>
        <w:t>ког</w:t>
      </w:r>
      <w:r w:rsidR="00E36AF7" w:rsidRPr="00F6340E">
        <w:rPr>
          <w:shd w:val="clear" w:color="auto" w:fill="FFFFFF"/>
        </w:rPr>
        <w:t xml:space="preserve"> </w:t>
      </w:r>
      <w:r w:rsidR="00EE6AA2">
        <w:rPr>
          <w:shd w:val="clear" w:color="auto" w:fill="FFFFFF"/>
        </w:rPr>
        <w:t>е</w:t>
      </w:r>
      <w:r w:rsidR="00A56E08">
        <w:rPr>
          <w:shd w:val="clear" w:color="auto" w:fill="FFFFFF"/>
        </w:rPr>
        <w:t>ми</w:t>
      </w:r>
      <w:r>
        <w:rPr>
          <w:shd w:val="clear" w:color="auto" w:fill="FFFFFF"/>
        </w:rPr>
        <w:t>т</w:t>
      </w:r>
      <w:r w:rsidR="00A56E08">
        <w:rPr>
          <w:shd w:val="clear" w:color="auto" w:fill="FFFFFF"/>
        </w:rPr>
        <w:t>и</w:t>
      </w:r>
      <w:r>
        <w:rPr>
          <w:shd w:val="clear" w:color="auto" w:fill="FFFFFF"/>
        </w:rPr>
        <w:t>р</w:t>
      </w:r>
      <w:r w:rsidR="00A56E08">
        <w:rPr>
          <w:shd w:val="clear" w:color="auto" w:fill="FFFFFF"/>
        </w:rPr>
        <w:t>ања</w:t>
      </w:r>
      <w:r w:rsidR="00E36AF7" w:rsidRPr="00F6340E">
        <w:rPr>
          <w:shd w:val="clear" w:color="auto" w:fill="FFFFFF"/>
        </w:rPr>
        <w:t xml:space="preserve"> </w:t>
      </w:r>
      <w:r w:rsidR="00A56E08">
        <w:rPr>
          <w:shd w:val="clear" w:color="auto" w:fill="FFFFFF"/>
        </w:rPr>
        <w:t>и</w:t>
      </w:r>
      <w:r w:rsidR="00E36AF7" w:rsidRPr="00F6340E">
        <w:rPr>
          <w:shd w:val="clear" w:color="auto" w:fill="FFFFFF"/>
        </w:rPr>
        <w:t xml:space="preserve"> </w:t>
      </w:r>
      <w:r w:rsidR="00A56E08">
        <w:rPr>
          <w:shd w:val="clear" w:color="auto" w:fill="FFFFFF"/>
        </w:rPr>
        <w:t>ин</w:t>
      </w:r>
      <w:r>
        <w:rPr>
          <w:shd w:val="clear" w:color="auto" w:fill="FFFFFF"/>
        </w:rPr>
        <w:t>т</w:t>
      </w:r>
      <w:r w:rsidR="00EE6AA2">
        <w:rPr>
          <w:shd w:val="clear" w:color="auto" w:fill="FFFFFF"/>
        </w:rPr>
        <w:t>е</w:t>
      </w:r>
      <w:r>
        <w:rPr>
          <w:shd w:val="clear" w:color="auto" w:fill="FFFFFF"/>
        </w:rPr>
        <w:t>р</w:t>
      </w:r>
      <w:r w:rsidR="00A56E08">
        <w:rPr>
          <w:shd w:val="clear" w:color="auto" w:fill="FFFFFF"/>
        </w:rPr>
        <w:t>ак</w:t>
      </w:r>
      <w:r>
        <w:rPr>
          <w:shd w:val="clear" w:color="auto" w:fill="FFFFFF"/>
        </w:rPr>
        <w:t>т</w:t>
      </w:r>
      <w:r w:rsidR="00A56E08">
        <w:rPr>
          <w:shd w:val="clear" w:color="auto" w:fill="FFFFFF"/>
        </w:rPr>
        <w:t>и</w:t>
      </w:r>
      <w:r>
        <w:rPr>
          <w:shd w:val="clear" w:color="auto" w:fill="FFFFFF"/>
        </w:rPr>
        <w:t>в</w:t>
      </w:r>
      <w:r w:rsidR="00A56E08">
        <w:rPr>
          <w:shd w:val="clear" w:color="auto" w:fill="FFFFFF"/>
        </w:rPr>
        <w:t>н</w:t>
      </w:r>
      <w:r w:rsidR="00EE6AA2">
        <w:rPr>
          <w:shd w:val="clear" w:color="auto" w:fill="FFFFFF"/>
        </w:rPr>
        <w:t>е</w:t>
      </w:r>
      <w:r w:rsidR="008C38AD" w:rsidRPr="00F6340E">
        <w:rPr>
          <w:shd w:val="clear" w:color="auto" w:fill="FFFFFF"/>
        </w:rPr>
        <w:t xml:space="preserve"> </w:t>
      </w:r>
      <w:r>
        <w:rPr>
          <w:shd w:val="clear" w:color="auto" w:fill="FFFFFF"/>
        </w:rPr>
        <w:t>ТВ</w:t>
      </w:r>
      <w:r w:rsidR="008C38AD" w:rsidRPr="00F6340E">
        <w:rPr>
          <w:shd w:val="clear" w:color="auto" w:fill="FFFFFF"/>
        </w:rPr>
        <w:t>.</w:t>
      </w:r>
      <w:r w:rsidR="003904C4" w:rsidRPr="00F6340E">
        <w:rPr>
          <w:rStyle w:val="FootnoteReference"/>
          <w:rFonts w:eastAsia="Times New Roman" w:cs="Arial"/>
          <w:color w:val="000000" w:themeColor="text1"/>
          <w:szCs w:val="24"/>
          <w:shd w:val="clear" w:color="auto" w:fill="FFFFFF"/>
        </w:rPr>
        <w:footnoteReference w:id="5"/>
      </w:r>
      <w:r w:rsidR="008C38AD" w:rsidRPr="00F6340E">
        <w:rPr>
          <w:shd w:val="clear" w:color="auto" w:fill="FFFFFF"/>
        </w:rPr>
        <w:t xml:space="preserve"> </w:t>
      </w:r>
      <w:r w:rsidR="00EE6AA2">
        <w:rPr>
          <w:shd w:val="clear" w:color="auto" w:fill="FFFFFF"/>
        </w:rPr>
        <w:t>Е</w:t>
      </w:r>
      <w:r w:rsidR="00E36AF7" w:rsidRPr="00F6340E">
        <w:rPr>
          <w:shd w:val="clear" w:color="auto" w:fill="FFFFFF"/>
        </w:rPr>
        <w:t xml:space="preserve"> –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w:t>
      </w:r>
      <w:r w:rsidR="00EE6AA2">
        <w:rPr>
          <w:shd w:val="clear" w:color="auto" w:fill="FFFFFF"/>
        </w:rPr>
        <w:t>е</w:t>
      </w:r>
      <w:r w:rsidR="00E36AF7" w:rsidRPr="00F6340E">
        <w:rPr>
          <w:shd w:val="clear" w:color="auto" w:fill="FFFFFF"/>
        </w:rPr>
        <w:t xml:space="preserve">, </w:t>
      </w:r>
      <w:r w:rsidR="00171F00">
        <w:rPr>
          <w:shd w:val="clear" w:color="auto" w:fill="FFFFFF"/>
        </w:rPr>
        <w:t>з</w:t>
      </w:r>
      <w:r w:rsidR="00A56E08">
        <w:rPr>
          <w:shd w:val="clear" w:color="auto" w:fill="FFFFFF"/>
        </w:rPr>
        <w:t>а</w:t>
      </w:r>
      <w:r w:rsidR="00E36AF7" w:rsidRPr="00F6340E">
        <w:rPr>
          <w:shd w:val="clear" w:color="auto" w:fill="FFFFFF"/>
        </w:rPr>
        <w:t xml:space="preserve"> </w:t>
      </w:r>
      <w:r>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лик</w:t>
      </w:r>
      <w:r>
        <w:rPr>
          <w:shd w:val="clear" w:color="auto" w:fill="FFFFFF"/>
        </w:rPr>
        <w:t>у</w:t>
      </w:r>
      <w:r w:rsidR="00E36AF7" w:rsidRPr="00F6340E">
        <w:rPr>
          <w:shd w:val="clear" w:color="auto" w:fill="FFFFFF"/>
        </w:rPr>
        <w:t xml:space="preserve"> </w:t>
      </w:r>
      <w:r w:rsidR="00A56E08">
        <w:rPr>
          <w:shd w:val="clear" w:color="auto" w:fill="FFFFFF"/>
        </w:rPr>
        <w:t>од</w:t>
      </w:r>
      <w:r w:rsidR="00E36AF7"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ња</w:t>
      </w:r>
      <w:r w:rsidR="00E36AF7" w:rsidRPr="00F6340E">
        <w:rPr>
          <w:shd w:val="clear" w:color="auto" w:fill="FFFFFF"/>
        </w:rPr>
        <w:t xml:space="preserve"> </w:t>
      </w:r>
      <w:r w:rsidR="00A56E08">
        <w:rPr>
          <w:shd w:val="clear" w:color="auto" w:fill="FFFFFF"/>
        </w:rPr>
        <w:t>на</w:t>
      </w:r>
      <w:r w:rsidR="00E36AF7" w:rsidRPr="00F6340E">
        <w:rPr>
          <w:shd w:val="clear" w:color="auto" w:fill="FFFFFF"/>
        </w:rPr>
        <w:t xml:space="preserve"> </w:t>
      </w:r>
      <w:r w:rsidR="00A56E08">
        <w:rPr>
          <w:shd w:val="clear" w:color="auto" w:fill="FFFFFF"/>
        </w:rPr>
        <w:t>даљин</w:t>
      </w:r>
      <w:r>
        <w:rPr>
          <w:shd w:val="clear" w:color="auto" w:fill="FFFFFF"/>
        </w:rPr>
        <w:t>у</w:t>
      </w:r>
      <w:r w:rsidR="00E36AF7" w:rsidRPr="00F6340E">
        <w:rPr>
          <w:shd w:val="clear" w:color="auto" w:fill="FFFFFF"/>
        </w:rPr>
        <w:t xml:space="preserve">, </w:t>
      </w:r>
      <w:r>
        <w:rPr>
          <w:shd w:val="clear" w:color="auto" w:fill="FFFFFF"/>
        </w:rPr>
        <w:t>п</w:t>
      </w:r>
      <w:r w:rsidR="00A56E08">
        <w:rPr>
          <w:shd w:val="clear" w:color="auto" w:fill="FFFFFF"/>
        </w:rPr>
        <w:t>од</w:t>
      </w:r>
      <w:r>
        <w:rPr>
          <w:shd w:val="clear" w:color="auto" w:fill="FFFFFF"/>
        </w:rPr>
        <w:t>р</w:t>
      </w:r>
      <w:r w:rsidR="00A56E08">
        <w:rPr>
          <w:shd w:val="clear" w:color="auto" w:fill="FFFFFF"/>
        </w:rPr>
        <w:t>а</w:t>
      </w:r>
      <w:r w:rsidR="00171F00">
        <w:rPr>
          <w:shd w:val="clear" w:color="auto" w:fill="FFFFFF"/>
        </w:rPr>
        <w:t>з</w:t>
      </w:r>
      <w:r>
        <w:rPr>
          <w:shd w:val="clear" w:color="auto" w:fill="FFFFFF"/>
        </w:rPr>
        <w:t>у</w:t>
      </w:r>
      <w:r w:rsidR="00A56E08">
        <w:rPr>
          <w:shd w:val="clear" w:color="auto" w:fill="FFFFFF"/>
        </w:rPr>
        <w:t>миј</w:t>
      </w:r>
      <w:r w:rsidR="00EE6AA2">
        <w:rPr>
          <w:shd w:val="clear" w:color="auto" w:fill="FFFFFF"/>
        </w:rPr>
        <w:t>е</w:t>
      </w:r>
      <w:r>
        <w:rPr>
          <w:shd w:val="clear" w:color="auto" w:fill="FFFFFF"/>
        </w:rPr>
        <w:t>в</w:t>
      </w:r>
      <w:r w:rsidR="00A56E08">
        <w:rPr>
          <w:shd w:val="clear" w:color="auto" w:fill="FFFFFF"/>
        </w:rPr>
        <w:t>а</w:t>
      </w:r>
      <w:r w:rsidR="00B33C71" w:rsidRPr="00F6340E">
        <w:rPr>
          <w:shd w:val="clear" w:color="auto" w:fill="FFFFFF"/>
        </w:rPr>
        <w:t xml:space="preserve"> </w:t>
      </w:r>
      <w:r>
        <w:rPr>
          <w:shd w:val="clear" w:color="auto" w:fill="FFFFFF"/>
        </w:rPr>
        <w:t>ст</w:t>
      </w:r>
      <w:r w:rsidR="00A56E08">
        <w:rPr>
          <w:shd w:val="clear" w:color="auto" w:fill="FFFFFF"/>
        </w:rPr>
        <w:t>ил</w:t>
      </w:r>
      <w:r w:rsidR="00B33C71" w:rsidRPr="00F6340E">
        <w:rPr>
          <w:shd w:val="clear" w:color="auto" w:fill="FFFFFF"/>
        </w:rPr>
        <w:t xml:space="preserve"> </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ња</w:t>
      </w:r>
      <w:r w:rsidR="00B33C71" w:rsidRPr="00F6340E">
        <w:rPr>
          <w:shd w:val="clear" w:color="auto" w:fill="FFFFFF"/>
        </w:rPr>
        <w:t xml:space="preserve"> </w:t>
      </w:r>
      <w:r w:rsidR="00A56E08">
        <w:rPr>
          <w:shd w:val="clear" w:color="auto" w:fill="FFFFFF"/>
        </w:rPr>
        <w:t>и</w:t>
      </w:r>
      <w:r w:rsidR="00B33C71" w:rsidRPr="00F6340E">
        <w:rPr>
          <w:shd w:val="clear" w:color="auto" w:fill="FFFFFF"/>
        </w:rPr>
        <w:t xml:space="preserve"> </w:t>
      </w:r>
      <w:r w:rsidR="00A56E08">
        <w:rPr>
          <w:shd w:val="clear" w:color="auto" w:fill="FFFFFF"/>
        </w:rPr>
        <w:t>н</w:t>
      </w:r>
      <w:r w:rsidR="00EE6AA2">
        <w:rPr>
          <w:shd w:val="clear" w:color="auto" w:fill="FFFFFF"/>
        </w:rPr>
        <w:t>е</w:t>
      </w:r>
      <w:r w:rsidR="007F4EEA" w:rsidRPr="00F6340E">
        <w:rPr>
          <w:shd w:val="clear" w:color="auto" w:fill="FFFFFF"/>
        </w:rPr>
        <w:t xml:space="preserve"> </w:t>
      </w:r>
      <w:r w:rsidR="00A56E08">
        <w:rPr>
          <w:shd w:val="clear" w:color="auto" w:fill="FFFFFF"/>
        </w:rPr>
        <w:t>мо</w:t>
      </w:r>
      <w:r>
        <w:rPr>
          <w:shd w:val="clear" w:color="auto" w:fill="FFFFFF"/>
        </w:rPr>
        <w:t>р</w:t>
      </w:r>
      <w:r w:rsidR="00A56E08">
        <w:rPr>
          <w:shd w:val="clear" w:color="auto" w:fill="FFFFFF"/>
        </w:rPr>
        <w:t>а</w:t>
      </w:r>
      <w:r w:rsidR="007F4EEA" w:rsidRPr="00F6340E">
        <w:rPr>
          <w:shd w:val="clear" w:color="auto" w:fill="FFFFFF"/>
        </w:rPr>
        <w:t xml:space="preserve"> </w:t>
      </w:r>
      <w:r w:rsidR="00A56E08">
        <w:rPr>
          <w:shd w:val="clear" w:color="auto" w:fill="FFFFFF"/>
        </w:rPr>
        <w:t>би</w:t>
      </w:r>
      <w:r>
        <w:rPr>
          <w:shd w:val="clear" w:color="auto" w:fill="FFFFFF"/>
        </w:rPr>
        <w:t>т</w:t>
      </w:r>
      <w:r w:rsidR="00A56E08">
        <w:rPr>
          <w:shd w:val="clear" w:color="auto" w:fill="FFFFFF"/>
        </w:rPr>
        <w:t>и</w:t>
      </w:r>
      <w:r w:rsidR="007F4EEA" w:rsidRPr="00F6340E">
        <w:rPr>
          <w:shd w:val="clear" w:color="auto" w:fill="FFFFFF"/>
        </w:rPr>
        <w:t xml:space="preserve"> </w:t>
      </w:r>
      <w:r>
        <w:rPr>
          <w:shd w:val="clear" w:color="auto" w:fill="FFFFFF"/>
        </w:rPr>
        <w:t>в</w:t>
      </w:r>
      <w:r w:rsidR="00EE6AA2">
        <w:rPr>
          <w:shd w:val="clear" w:color="auto" w:fill="FFFFFF"/>
        </w:rPr>
        <w:t>е</w:t>
      </w:r>
      <w:r w:rsidR="00171F00">
        <w:rPr>
          <w:shd w:val="clear" w:color="auto" w:fill="FFFFFF"/>
        </w:rPr>
        <w:t>з</w:t>
      </w:r>
      <w:r w:rsidR="00A56E08">
        <w:rPr>
          <w:shd w:val="clear" w:color="auto" w:fill="FFFFFF"/>
        </w:rPr>
        <w:t>ано</w:t>
      </w:r>
      <w:r w:rsidR="007F4EEA" w:rsidRPr="00F6340E">
        <w:rPr>
          <w:shd w:val="clear" w:color="auto" w:fill="FFFFFF"/>
        </w:rPr>
        <w:t xml:space="preserve"> </w:t>
      </w:r>
      <w:r w:rsidR="00171F00">
        <w:rPr>
          <w:shd w:val="clear" w:color="auto" w:fill="FFFFFF"/>
        </w:rPr>
        <w:t>з</w:t>
      </w:r>
      <w:r w:rsidR="00A56E08">
        <w:rPr>
          <w:shd w:val="clear" w:color="auto" w:fill="FFFFFF"/>
        </w:rPr>
        <w:t>а</w:t>
      </w:r>
      <w:r w:rsidR="007F4EEA" w:rsidRPr="00F6340E">
        <w:rPr>
          <w:shd w:val="clear" w:color="auto" w:fill="FFFFFF"/>
        </w:rPr>
        <w:t xml:space="preserve"> </w:t>
      </w:r>
      <w:r w:rsidR="00A56E08">
        <w:rPr>
          <w:shd w:val="clear" w:color="auto" w:fill="FFFFFF"/>
        </w:rPr>
        <w:t>од</w:t>
      </w:r>
      <w:r>
        <w:rPr>
          <w:shd w:val="clear" w:color="auto" w:fill="FFFFFF"/>
        </w:rPr>
        <w:t>р</w:t>
      </w:r>
      <w:r w:rsidR="00EE6AA2">
        <w:rPr>
          <w:shd w:val="clear" w:color="auto" w:fill="FFFFFF"/>
        </w:rPr>
        <w:t>е</w:t>
      </w:r>
      <w:r w:rsidR="00A56E08">
        <w:rPr>
          <w:shd w:val="clear" w:color="auto" w:fill="FFFFFF"/>
        </w:rPr>
        <w:t>ђ</w:t>
      </w:r>
      <w:r w:rsidR="00EE6AA2">
        <w:rPr>
          <w:shd w:val="clear" w:color="auto" w:fill="FFFFFF"/>
        </w:rPr>
        <w:t>е</w:t>
      </w:r>
      <w:r w:rsidR="00A56E08">
        <w:rPr>
          <w:shd w:val="clear" w:color="auto" w:fill="FFFFFF"/>
        </w:rPr>
        <w:t>ни</w:t>
      </w:r>
      <w:r w:rsidR="00B33C71" w:rsidRPr="00F6340E">
        <w:rPr>
          <w:shd w:val="clear" w:color="auto" w:fill="FFFFFF"/>
        </w:rPr>
        <w:t xml:space="preserve"> </w:t>
      </w:r>
      <w:r w:rsidR="00A56E08">
        <w:rPr>
          <w:shd w:val="clear" w:color="auto" w:fill="FFFFFF"/>
        </w:rPr>
        <w:t>об</w:t>
      </w:r>
      <w:r>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Pr>
          <w:shd w:val="clear" w:color="auto" w:fill="FFFFFF"/>
        </w:rPr>
        <w:t>в</w:t>
      </w:r>
      <w:r w:rsidR="00A56E08">
        <w:rPr>
          <w:shd w:val="clear" w:color="auto" w:fill="FFFFFF"/>
        </w:rPr>
        <w:t>ни</w:t>
      </w:r>
      <w:r w:rsidR="00B33C71" w:rsidRPr="00F6340E">
        <w:rPr>
          <w:shd w:val="clear" w:color="auto" w:fill="FFFFFF"/>
        </w:rPr>
        <w:t xml:space="preserve"> </w:t>
      </w:r>
      <w:r>
        <w:rPr>
          <w:shd w:val="clear" w:color="auto" w:fill="FFFFFF"/>
        </w:rPr>
        <w:t>пр</w:t>
      </w:r>
      <w:r w:rsidR="00A56E08">
        <w:rPr>
          <w:shd w:val="clear" w:color="auto" w:fill="FFFFFF"/>
        </w:rPr>
        <w:t>ог</w:t>
      </w:r>
      <w:r>
        <w:rPr>
          <w:shd w:val="clear" w:color="auto" w:fill="FFFFFF"/>
        </w:rPr>
        <w:t>р</w:t>
      </w:r>
      <w:r w:rsidR="00A56E08">
        <w:rPr>
          <w:shd w:val="clear" w:color="auto" w:fill="FFFFFF"/>
        </w:rPr>
        <w:t>ам</w:t>
      </w:r>
      <w:r w:rsidR="00CD12B6" w:rsidRPr="00F6340E">
        <w:rPr>
          <w:shd w:val="clear" w:color="auto" w:fill="FFFFFF"/>
        </w:rPr>
        <w:t>,</w:t>
      </w:r>
      <w:r w:rsidR="000E226F" w:rsidRPr="00F6340E">
        <w:rPr>
          <w:shd w:val="clear" w:color="auto" w:fill="FFFFFF"/>
        </w:rPr>
        <w:t xml:space="preserve"> </w:t>
      </w:r>
      <w:r w:rsidR="00A56E08">
        <w:rPr>
          <w:shd w:val="clear" w:color="auto" w:fill="FFFFFF"/>
        </w:rPr>
        <w:t>али</w:t>
      </w:r>
      <w:r w:rsidR="00CD12B6" w:rsidRPr="00F6340E">
        <w:rPr>
          <w:shd w:val="clear" w:color="auto" w:fill="FFFFFF"/>
        </w:rPr>
        <w:t>,</w:t>
      </w:r>
      <w:r w:rsidR="000E226F" w:rsidRPr="00F6340E">
        <w:rPr>
          <w:shd w:val="clear" w:color="auto" w:fill="FFFFFF"/>
        </w:rPr>
        <w:t xml:space="preserve"> </w:t>
      </w:r>
      <w:r w:rsidR="00A56E08">
        <w:rPr>
          <w:shd w:val="clear" w:color="auto" w:fill="FFFFFF"/>
        </w:rPr>
        <w:t>и</w:t>
      </w:r>
      <w:r>
        <w:rPr>
          <w:shd w:val="clear" w:color="auto" w:fill="FFFFFF"/>
        </w:rPr>
        <w:t>ст</w:t>
      </w:r>
      <w:r w:rsidR="00A56E08">
        <w:rPr>
          <w:shd w:val="clear" w:color="auto" w:fill="FFFFFF"/>
        </w:rPr>
        <w:t>о</w:t>
      </w:r>
      <w:r w:rsidR="000E226F" w:rsidRPr="00F6340E">
        <w:rPr>
          <w:shd w:val="clear" w:color="auto" w:fill="FFFFFF"/>
        </w:rPr>
        <w:t xml:space="preserve"> </w:t>
      </w:r>
      <w:r>
        <w:rPr>
          <w:shd w:val="clear" w:color="auto" w:fill="FFFFFF"/>
        </w:rPr>
        <w:t>т</w:t>
      </w:r>
      <w:r w:rsidR="00A56E08">
        <w:rPr>
          <w:shd w:val="clear" w:color="auto" w:fill="FFFFFF"/>
        </w:rPr>
        <w:t>ако</w:t>
      </w:r>
      <w:r w:rsidR="000E226F" w:rsidRPr="00F6340E">
        <w:rPr>
          <w:shd w:val="clear" w:color="auto" w:fill="FFFFFF"/>
        </w:rPr>
        <w:t xml:space="preserve">, </w:t>
      </w:r>
      <w:r>
        <w:rPr>
          <w:shd w:val="clear" w:color="auto" w:fill="FFFFFF"/>
        </w:rPr>
        <w:t>у</w:t>
      </w:r>
      <w:r w:rsidR="00A56E08">
        <w:rPr>
          <w:shd w:val="clear" w:color="auto" w:fill="FFFFFF"/>
        </w:rPr>
        <w:t>к</w:t>
      </w:r>
      <w:r>
        <w:rPr>
          <w:shd w:val="clear" w:color="auto" w:fill="FFFFFF"/>
        </w:rPr>
        <w:t>уп</w:t>
      </w:r>
      <w:r w:rsidR="00A56E08">
        <w:rPr>
          <w:shd w:val="clear" w:color="auto" w:fill="FFFFFF"/>
        </w:rPr>
        <w:t>ан</w:t>
      </w:r>
      <w:r w:rsidR="000E226F" w:rsidRPr="00F6340E">
        <w:rPr>
          <w:shd w:val="clear" w:color="auto" w:fill="FFFFFF"/>
        </w:rPr>
        <w:t xml:space="preserve"> </w:t>
      </w:r>
      <w:r>
        <w:rPr>
          <w:shd w:val="clear" w:color="auto" w:fill="FFFFFF"/>
        </w:rPr>
        <w:t>пр</w:t>
      </w:r>
      <w:r w:rsidR="00A56E08">
        <w:rPr>
          <w:shd w:val="clear" w:color="auto" w:fill="FFFFFF"/>
        </w:rPr>
        <w:t>ог</w:t>
      </w:r>
      <w:r>
        <w:rPr>
          <w:shd w:val="clear" w:color="auto" w:fill="FFFFFF"/>
        </w:rPr>
        <w:t>р</w:t>
      </w:r>
      <w:r w:rsidR="00A56E08">
        <w:rPr>
          <w:shd w:val="clear" w:color="auto" w:fill="FFFFFF"/>
        </w:rPr>
        <w:t>ам</w:t>
      </w:r>
      <w:r w:rsidR="000E226F" w:rsidRPr="00F6340E">
        <w:rPr>
          <w:shd w:val="clear" w:color="auto" w:fill="FFFFFF"/>
        </w:rPr>
        <w:t xml:space="preserve"> </w:t>
      </w:r>
      <w:r>
        <w:rPr>
          <w:shd w:val="clear" w:color="auto" w:fill="FFFFFF"/>
        </w:rPr>
        <w:t>с</w:t>
      </w:r>
      <w:r w:rsidR="00EE6AA2">
        <w:rPr>
          <w:shd w:val="clear" w:color="auto" w:fill="FFFFFF"/>
        </w:rPr>
        <w:t>е</w:t>
      </w:r>
      <w:r w:rsidR="000E226F" w:rsidRPr="00F6340E">
        <w:rPr>
          <w:shd w:val="clear" w:color="auto" w:fill="FFFFFF"/>
        </w:rPr>
        <w:t xml:space="preserve"> </w:t>
      </w:r>
      <w:r w:rsidR="00A56E08">
        <w:rPr>
          <w:shd w:val="clear" w:color="auto" w:fill="FFFFFF"/>
        </w:rPr>
        <w:t>мо</w:t>
      </w:r>
      <w:r w:rsidR="00171F00">
        <w:rPr>
          <w:shd w:val="clear" w:color="auto" w:fill="FFFFFF"/>
        </w:rPr>
        <w:t>ж</w:t>
      </w:r>
      <w:r w:rsidR="00EE6AA2">
        <w:rPr>
          <w:shd w:val="clear" w:color="auto" w:fill="FFFFFF"/>
        </w:rPr>
        <w:t>е</w:t>
      </w:r>
      <w:r w:rsidR="000F446A" w:rsidRPr="00F6340E">
        <w:rPr>
          <w:shd w:val="clear" w:color="auto" w:fill="FFFFFF"/>
        </w:rPr>
        <w:t xml:space="preserve"> </w:t>
      </w:r>
      <w:r>
        <w:rPr>
          <w:shd w:val="clear" w:color="auto" w:fill="FFFFFF"/>
        </w:rPr>
        <w:t>р</w:t>
      </w:r>
      <w:r w:rsidR="00EE6AA2">
        <w:rPr>
          <w:shd w:val="clear" w:color="auto" w:fill="FFFFFF"/>
        </w:rPr>
        <w:t>е</w:t>
      </w:r>
      <w:r w:rsidR="00A56E08">
        <w:rPr>
          <w:shd w:val="clear" w:color="auto" w:fill="FFFFFF"/>
        </w:rPr>
        <w:t>али</w:t>
      </w:r>
      <w:r w:rsidR="00171F00">
        <w:rPr>
          <w:shd w:val="clear" w:color="auto" w:fill="FFFFFF"/>
        </w:rPr>
        <w:t>з</w:t>
      </w:r>
      <w:r w:rsidR="00A56E08">
        <w:rPr>
          <w:shd w:val="clear" w:color="auto" w:fill="FFFFFF"/>
        </w:rPr>
        <w:t>о</w:t>
      </w:r>
      <w:r>
        <w:rPr>
          <w:shd w:val="clear" w:color="auto" w:fill="FFFFFF"/>
        </w:rPr>
        <w:t>в</w:t>
      </w:r>
      <w:r w:rsidR="00A56E08">
        <w:rPr>
          <w:shd w:val="clear" w:color="auto" w:fill="FFFFFF"/>
        </w:rPr>
        <w:t>а</w:t>
      </w:r>
      <w:r>
        <w:rPr>
          <w:shd w:val="clear" w:color="auto" w:fill="FFFFFF"/>
        </w:rPr>
        <w:t>т</w:t>
      </w:r>
      <w:r w:rsidR="00A56E08">
        <w:rPr>
          <w:shd w:val="clear" w:color="auto" w:fill="FFFFFF"/>
        </w:rPr>
        <w:t>и</w:t>
      </w:r>
      <w:r w:rsidR="000E226F" w:rsidRPr="00F6340E">
        <w:rPr>
          <w:shd w:val="clear" w:color="auto" w:fill="FFFFFF"/>
        </w:rPr>
        <w:t xml:space="preserve"> </w:t>
      </w:r>
      <w:r w:rsidR="00A56E08">
        <w:rPr>
          <w:shd w:val="clear" w:color="auto" w:fill="FFFFFF"/>
        </w:rPr>
        <w:t>ко</w:t>
      </w:r>
      <w:r>
        <w:rPr>
          <w:shd w:val="clear" w:color="auto" w:fill="FFFFFF"/>
        </w:rPr>
        <w:t>р</w:t>
      </w:r>
      <w:r w:rsidR="00A56E08">
        <w:rPr>
          <w:shd w:val="clear" w:color="auto" w:fill="FFFFFF"/>
        </w:rPr>
        <w:t>и</w:t>
      </w:r>
      <w:r>
        <w:rPr>
          <w:shd w:val="clear" w:color="auto" w:fill="FFFFFF"/>
        </w:rPr>
        <w:t>ст</w:t>
      </w:r>
      <w:r w:rsidR="00EE6AA2">
        <w:rPr>
          <w:shd w:val="clear" w:color="auto" w:fill="FFFFFF"/>
        </w:rPr>
        <w:t>е</w:t>
      </w:r>
      <w:r w:rsidR="00A56E08">
        <w:rPr>
          <w:shd w:val="clear" w:color="auto" w:fill="FFFFFF"/>
        </w:rPr>
        <w:t>ћи</w:t>
      </w:r>
      <w:r w:rsidR="000E226F" w:rsidRPr="00F6340E">
        <w:rPr>
          <w:shd w:val="clear" w:color="auto" w:fill="FFFFFF"/>
        </w:rPr>
        <w:t xml:space="preserve"> </w:t>
      </w:r>
      <w:r w:rsidR="00EE6AA2">
        <w:rPr>
          <w:shd w:val="clear" w:color="auto" w:fill="FFFFFF"/>
        </w:rPr>
        <w:t>е</w:t>
      </w:r>
      <w:r w:rsidR="000E226F" w:rsidRPr="00F6340E">
        <w:rPr>
          <w:shd w:val="clear" w:color="auto" w:fill="FFFFFF"/>
        </w:rPr>
        <w:t>-</w:t>
      </w:r>
      <w:r>
        <w:rPr>
          <w:shd w:val="clear" w:color="auto" w:fill="FFFFFF"/>
        </w:rPr>
        <w:t>у</w:t>
      </w:r>
      <w:r w:rsidR="00A56E08">
        <w:rPr>
          <w:shd w:val="clear" w:color="auto" w:fill="FFFFFF"/>
        </w:rPr>
        <w:t>ч</w:t>
      </w:r>
      <w:r w:rsidR="00EE6AA2">
        <w:rPr>
          <w:shd w:val="clear" w:color="auto" w:fill="FFFFFF"/>
        </w:rPr>
        <w:t>е</w:t>
      </w:r>
      <w:r w:rsidR="00A56E08">
        <w:rPr>
          <w:shd w:val="clear" w:color="auto" w:fill="FFFFFF"/>
        </w:rPr>
        <w:t>њ</w:t>
      </w:r>
      <w:r w:rsidR="00EE6AA2">
        <w:rPr>
          <w:shd w:val="clear" w:color="auto" w:fill="FFFFFF"/>
        </w:rPr>
        <w:t>е</w:t>
      </w:r>
      <w:r w:rsidR="002C37D1" w:rsidRPr="00F6340E">
        <w:rPr>
          <w:shd w:val="clear" w:color="auto" w:fill="FFFFFF"/>
        </w:rPr>
        <w:t xml:space="preserve">. </w:t>
      </w:r>
      <w:r w:rsidR="00A56E08">
        <w:rPr>
          <w:shd w:val="clear" w:color="auto" w:fill="FFFFFF"/>
        </w:rPr>
        <w:t>Најч</w:t>
      </w:r>
      <w:r w:rsidR="00EE6AA2">
        <w:rPr>
          <w:shd w:val="clear" w:color="auto" w:fill="FFFFFF"/>
        </w:rPr>
        <w:t>е</w:t>
      </w:r>
      <w:r>
        <w:rPr>
          <w:shd w:val="clear" w:color="auto" w:fill="FFFFFF"/>
        </w:rPr>
        <w:t>ш</w:t>
      </w:r>
      <w:r w:rsidR="00A56E08">
        <w:rPr>
          <w:shd w:val="clear" w:color="auto" w:fill="FFFFFF"/>
        </w:rPr>
        <w:t>ћ</w:t>
      </w:r>
      <w:r w:rsidR="00EE6AA2">
        <w:rPr>
          <w:shd w:val="clear" w:color="auto" w:fill="FFFFFF"/>
        </w:rPr>
        <w:t>е</w:t>
      </w:r>
      <w:r w:rsidR="000E226F" w:rsidRPr="00F6340E">
        <w:rPr>
          <w:shd w:val="clear" w:color="auto" w:fill="FFFFFF"/>
        </w:rPr>
        <w:t xml:space="preserve"> </w:t>
      </w:r>
      <w:r>
        <w:rPr>
          <w:shd w:val="clear" w:color="auto" w:fill="FFFFFF"/>
        </w:rPr>
        <w:t>су</w:t>
      </w:r>
      <w:r w:rsidR="000E226F" w:rsidRPr="00F6340E">
        <w:rPr>
          <w:shd w:val="clear" w:color="auto" w:fill="FFFFFF"/>
        </w:rPr>
        <w:t xml:space="preserve"> </w:t>
      </w:r>
      <w:r>
        <w:rPr>
          <w:shd w:val="clear" w:color="auto" w:fill="FFFFFF"/>
        </w:rPr>
        <w:t>т</w:t>
      </w:r>
      <w:r w:rsidR="00A56E08">
        <w:rPr>
          <w:shd w:val="clear" w:color="auto" w:fill="FFFFFF"/>
        </w:rPr>
        <w:t>о</w:t>
      </w:r>
      <w:r w:rsidR="000E226F" w:rsidRPr="00F6340E">
        <w:rPr>
          <w:shd w:val="clear" w:color="auto" w:fill="FFFFFF"/>
        </w:rPr>
        <w:t xml:space="preserve"> </w:t>
      </w:r>
      <w:r w:rsidR="00A56E08">
        <w:rPr>
          <w:shd w:val="clear" w:color="auto" w:fill="FFFFFF"/>
        </w:rPr>
        <w:t>к</w:t>
      </w:r>
      <w:r>
        <w:rPr>
          <w:shd w:val="clear" w:color="auto" w:fill="FFFFFF"/>
        </w:rPr>
        <w:t>р</w:t>
      </w:r>
      <w:r w:rsidR="00EE6AA2">
        <w:rPr>
          <w:shd w:val="clear" w:color="auto" w:fill="FFFFFF"/>
        </w:rPr>
        <w:t>е</w:t>
      </w:r>
      <w:r w:rsidR="00A56E08">
        <w:rPr>
          <w:shd w:val="clear" w:color="auto" w:fill="FFFFFF"/>
        </w:rPr>
        <w:t>и</w:t>
      </w:r>
      <w:r>
        <w:rPr>
          <w:shd w:val="clear" w:color="auto" w:fill="FFFFFF"/>
        </w:rPr>
        <w:t>р</w:t>
      </w:r>
      <w:r w:rsidR="00A56E08">
        <w:rPr>
          <w:shd w:val="clear" w:color="auto" w:fill="FFFFFF"/>
        </w:rPr>
        <w:t>ани</w:t>
      </w:r>
      <w:r w:rsidR="000E226F" w:rsidRPr="00F6340E">
        <w:rPr>
          <w:shd w:val="clear" w:color="auto" w:fill="FFFFFF"/>
        </w:rPr>
        <w:t xml:space="preserve"> </w:t>
      </w:r>
      <w:r w:rsidR="00A56E08">
        <w:rPr>
          <w:shd w:val="clear" w:color="auto" w:fill="FFFFFF"/>
        </w:rPr>
        <w:t>мод</w:t>
      </w:r>
      <w:r>
        <w:rPr>
          <w:shd w:val="clear" w:color="auto" w:fill="FFFFFF"/>
        </w:rPr>
        <w:t>у</w:t>
      </w:r>
      <w:r w:rsidR="00A56E08">
        <w:rPr>
          <w:shd w:val="clear" w:color="auto" w:fill="FFFFFF"/>
        </w:rPr>
        <w:t>ли</w:t>
      </w:r>
      <w:r w:rsidR="000E226F" w:rsidRPr="00F6340E">
        <w:rPr>
          <w:shd w:val="clear" w:color="auto" w:fill="FFFFFF"/>
        </w:rPr>
        <w:t xml:space="preserve">, </w:t>
      </w:r>
      <w:r>
        <w:rPr>
          <w:shd w:val="clear" w:color="auto" w:fill="FFFFFF"/>
        </w:rPr>
        <w:t>п</w:t>
      </w:r>
      <w:r w:rsidR="00A56E08">
        <w:rPr>
          <w:shd w:val="clear" w:color="auto" w:fill="FFFFFF"/>
        </w:rPr>
        <w:t>ох</w:t>
      </w:r>
      <w:r>
        <w:rPr>
          <w:shd w:val="clear" w:color="auto" w:fill="FFFFFF"/>
        </w:rPr>
        <w:t>р</w:t>
      </w:r>
      <w:r w:rsidR="00A56E08">
        <w:rPr>
          <w:shd w:val="clear" w:color="auto" w:fill="FFFFFF"/>
        </w:rPr>
        <w:t>ањ</w:t>
      </w:r>
      <w:r w:rsidR="00EE6AA2">
        <w:rPr>
          <w:shd w:val="clear" w:color="auto" w:fill="FFFFFF"/>
        </w:rPr>
        <w:t>е</w:t>
      </w:r>
      <w:r w:rsidR="00A56E08">
        <w:rPr>
          <w:shd w:val="clear" w:color="auto" w:fill="FFFFFF"/>
        </w:rPr>
        <w:t>ни</w:t>
      </w:r>
      <w:r w:rsidR="000E226F" w:rsidRPr="00F6340E">
        <w:rPr>
          <w:shd w:val="clear" w:color="auto" w:fill="FFFFFF"/>
        </w:rPr>
        <w:t xml:space="preserve"> </w:t>
      </w:r>
      <w:r w:rsidR="00A56E08">
        <w:rPr>
          <w:shd w:val="clear" w:color="auto" w:fill="FFFFFF"/>
        </w:rPr>
        <w:t>на</w:t>
      </w:r>
      <w:r w:rsidR="000E226F" w:rsidRPr="00F6340E">
        <w:rPr>
          <w:shd w:val="clear" w:color="auto" w:fill="FFFFFF"/>
        </w:rPr>
        <w:t xml:space="preserve"> </w:t>
      </w:r>
      <w:r w:rsidR="00A56E08">
        <w:rPr>
          <w:shd w:val="clear" w:color="auto" w:fill="FFFFFF"/>
        </w:rPr>
        <w:t>ин</w:t>
      </w:r>
      <w:r>
        <w:rPr>
          <w:shd w:val="clear" w:color="auto" w:fill="FFFFFF"/>
        </w:rPr>
        <w:t>т</w:t>
      </w:r>
      <w:r w:rsidR="00EE6AA2">
        <w:rPr>
          <w:shd w:val="clear" w:color="auto" w:fill="FFFFFF"/>
        </w:rPr>
        <w:t>е</w:t>
      </w:r>
      <w:r>
        <w:rPr>
          <w:shd w:val="clear" w:color="auto" w:fill="FFFFFF"/>
        </w:rPr>
        <w:t>р</w:t>
      </w:r>
      <w:r w:rsidR="00A56E08">
        <w:rPr>
          <w:shd w:val="clear" w:color="auto" w:fill="FFFFFF"/>
        </w:rPr>
        <w:t>н</w:t>
      </w:r>
      <w:r w:rsidR="00EE6AA2">
        <w:rPr>
          <w:shd w:val="clear" w:color="auto" w:fill="FFFFFF"/>
        </w:rPr>
        <w:t>е</w:t>
      </w:r>
      <w:r>
        <w:rPr>
          <w:shd w:val="clear" w:color="auto" w:fill="FFFFFF"/>
        </w:rPr>
        <w:t>т</w:t>
      </w:r>
      <w:r w:rsidR="000E226F" w:rsidRPr="00F6340E">
        <w:rPr>
          <w:shd w:val="clear" w:color="auto" w:fill="FFFFFF"/>
        </w:rPr>
        <w:t xml:space="preserve"> </w:t>
      </w:r>
      <w:r>
        <w:rPr>
          <w:shd w:val="clear" w:color="auto" w:fill="FFFFFF"/>
        </w:rPr>
        <w:t>стр</w:t>
      </w:r>
      <w:r w:rsidR="00A56E08">
        <w:rPr>
          <w:shd w:val="clear" w:color="auto" w:fill="FFFFFF"/>
        </w:rPr>
        <w:t>аницама</w:t>
      </w:r>
      <w:r w:rsidR="000E226F" w:rsidRPr="00F6340E">
        <w:rPr>
          <w:shd w:val="clear" w:color="auto" w:fill="FFFFFF"/>
        </w:rPr>
        <w:t xml:space="preserve"> </w:t>
      </w:r>
      <w:r w:rsidR="00A56E08">
        <w:rPr>
          <w:shd w:val="clear" w:color="auto" w:fill="FFFFFF"/>
        </w:rPr>
        <w:t>који</w:t>
      </w:r>
      <w:r w:rsidR="000E226F" w:rsidRPr="00F6340E">
        <w:rPr>
          <w:shd w:val="clear" w:color="auto" w:fill="FFFFFF"/>
        </w:rPr>
        <w:t xml:space="preserve"> </w:t>
      </w:r>
      <w:r>
        <w:rPr>
          <w:shd w:val="clear" w:color="auto" w:fill="FFFFFF"/>
        </w:rPr>
        <w:t>с</w:t>
      </w:r>
      <w:r w:rsidR="00EE6AA2">
        <w:rPr>
          <w:shd w:val="clear" w:color="auto" w:fill="FFFFFF"/>
        </w:rPr>
        <w:t>е</w:t>
      </w:r>
      <w:r w:rsidR="000E226F" w:rsidRPr="00F6340E">
        <w:rPr>
          <w:shd w:val="clear" w:color="auto" w:fill="FFFFFF"/>
        </w:rPr>
        <w:t xml:space="preserve"> </w:t>
      </w:r>
      <w:r>
        <w:rPr>
          <w:shd w:val="clear" w:color="auto" w:fill="FFFFFF"/>
        </w:rPr>
        <w:t>пр</w:t>
      </w:r>
      <w:r w:rsidR="00A56E08">
        <w:rPr>
          <w:shd w:val="clear" w:color="auto" w:fill="FFFFFF"/>
        </w:rPr>
        <w:t>ола</w:t>
      </w:r>
      <w:r w:rsidR="00171F00">
        <w:rPr>
          <w:shd w:val="clear" w:color="auto" w:fill="FFFFFF"/>
        </w:rPr>
        <w:t>з</w:t>
      </w:r>
      <w:r w:rsidR="00EE6AA2">
        <w:rPr>
          <w:shd w:val="clear" w:color="auto" w:fill="FFFFFF"/>
        </w:rPr>
        <w:t>е</w:t>
      </w:r>
      <w:r w:rsidR="000E226F" w:rsidRPr="00F6340E">
        <w:rPr>
          <w:shd w:val="clear" w:color="auto" w:fill="FFFFFF"/>
        </w:rPr>
        <w:t xml:space="preserve"> </w:t>
      </w:r>
      <w:r>
        <w:rPr>
          <w:shd w:val="clear" w:color="auto" w:fill="FFFFFF"/>
        </w:rPr>
        <w:t>у</w:t>
      </w:r>
      <w:r w:rsidR="000E226F" w:rsidRPr="00F6340E">
        <w:rPr>
          <w:shd w:val="clear" w:color="auto" w:fill="FFFFFF"/>
        </w:rPr>
        <w:t xml:space="preserve"> </w:t>
      </w:r>
      <w:r w:rsidR="00A56E08">
        <w:rPr>
          <w:shd w:val="clear" w:color="auto" w:fill="FFFFFF"/>
        </w:rPr>
        <w:t>од</w:t>
      </w:r>
      <w:r>
        <w:rPr>
          <w:shd w:val="clear" w:color="auto" w:fill="FFFFFF"/>
        </w:rPr>
        <w:t>р</w:t>
      </w:r>
      <w:r w:rsidR="00EE6AA2">
        <w:rPr>
          <w:shd w:val="clear" w:color="auto" w:fill="FFFFFF"/>
        </w:rPr>
        <w:t>е</w:t>
      </w:r>
      <w:r w:rsidR="00A56E08">
        <w:rPr>
          <w:shd w:val="clear" w:color="auto" w:fill="FFFFFF"/>
        </w:rPr>
        <w:t>ђ</w:t>
      </w:r>
      <w:r w:rsidR="00EE6AA2">
        <w:rPr>
          <w:shd w:val="clear" w:color="auto" w:fill="FFFFFF"/>
        </w:rPr>
        <w:t>е</w:t>
      </w:r>
      <w:r w:rsidR="00A56E08">
        <w:rPr>
          <w:shd w:val="clear" w:color="auto" w:fill="FFFFFF"/>
        </w:rPr>
        <w:t>ном</w:t>
      </w:r>
      <w:r w:rsidR="000E226F" w:rsidRPr="00F6340E">
        <w:rPr>
          <w:shd w:val="clear" w:color="auto" w:fill="FFFFFF"/>
        </w:rPr>
        <w:t xml:space="preserve"> </w:t>
      </w:r>
      <w:r>
        <w:rPr>
          <w:shd w:val="clear" w:color="auto" w:fill="FFFFFF"/>
        </w:rPr>
        <w:t>р</w:t>
      </w:r>
      <w:r w:rsidR="00A56E08">
        <w:rPr>
          <w:shd w:val="clear" w:color="auto" w:fill="FFFFFF"/>
        </w:rPr>
        <w:t>ок</w:t>
      </w:r>
      <w:r>
        <w:rPr>
          <w:shd w:val="clear" w:color="auto" w:fill="FFFFFF"/>
        </w:rPr>
        <w:t>у</w:t>
      </w:r>
      <w:r w:rsidR="000E226F" w:rsidRPr="00F6340E">
        <w:rPr>
          <w:shd w:val="clear" w:color="auto" w:fill="FFFFFF"/>
        </w:rPr>
        <w:t xml:space="preserve">, </w:t>
      </w:r>
      <w:r w:rsidR="00A56E08">
        <w:rPr>
          <w:shd w:val="clear" w:color="auto" w:fill="FFFFFF"/>
        </w:rPr>
        <w:t>али</w:t>
      </w:r>
      <w:r w:rsidR="000E226F" w:rsidRPr="00F6340E">
        <w:rPr>
          <w:shd w:val="clear" w:color="auto" w:fill="FFFFFF"/>
        </w:rPr>
        <w:t xml:space="preserve"> </w:t>
      </w:r>
      <w:r w:rsidR="00A56E08">
        <w:rPr>
          <w:shd w:val="clear" w:color="auto" w:fill="FFFFFF"/>
        </w:rPr>
        <w:t>на</w:t>
      </w:r>
      <w:r w:rsidR="000E226F" w:rsidRPr="00F6340E">
        <w:rPr>
          <w:shd w:val="clear" w:color="auto" w:fill="FFFFFF"/>
        </w:rPr>
        <w:t xml:space="preserve"> </w:t>
      </w:r>
      <w:r w:rsidR="00A56E08">
        <w:rPr>
          <w:shd w:val="clear" w:color="auto" w:fill="FFFFFF"/>
        </w:rPr>
        <w:t>о</w:t>
      </w:r>
      <w:r>
        <w:rPr>
          <w:shd w:val="clear" w:color="auto" w:fill="FFFFFF"/>
        </w:rPr>
        <w:t>с</w:t>
      </w:r>
      <w:r w:rsidR="00A56E08">
        <w:rPr>
          <w:shd w:val="clear" w:color="auto" w:fill="FFFFFF"/>
        </w:rPr>
        <w:t>но</w:t>
      </w:r>
      <w:r>
        <w:rPr>
          <w:shd w:val="clear" w:color="auto" w:fill="FFFFFF"/>
        </w:rPr>
        <w:t>ву</w:t>
      </w:r>
      <w:r w:rsidR="000E226F" w:rsidRPr="00F6340E">
        <w:rPr>
          <w:shd w:val="clear" w:color="auto" w:fill="FFFFFF"/>
        </w:rPr>
        <w:t xml:space="preserve"> </w:t>
      </w:r>
      <w:r>
        <w:rPr>
          <w:shd w:val="clear" w:color="auto" w:fill="FFFFFF"/>
        </w:rPr>
        <w:t>с</w:t>
      </w:r>
      <w:r w:rsidR="00A56E08">
        <w:rPr>
          <w:shd w:val="clear" w:color="auto" w:fill="FFFFFF"/>
        </w:rPr>
        <w:t>лободног</w:t>
      </w:r>
      <w:r w:rsidR="000E226F" w:rsidRPr="00F6340E">
        <w:rPr>
          <w:shd w:val="clear" w:color="auto" w:fill="FFFFFF"/>
        </w:rPr>
        <w:t xml:space="preserve"> </w:t>
      </w:r>
      <w:r w:rsidR="00A56E08">
        <w:rPr>
          <w:shd w:val="clear" w:color="auto" w:fill="FFFFFF"/>
        </w:rPr>
        <w:t>и</w:t>
      </w:r>
      <w:r w:rsidR="00171F00">
        <w:rPr>
          <w:shd w:val="clear" w:color="auto" w:fill="FFFFFF"/>
        </w:rPr>
        <w:t>з</w:t>
      </w:r>
      <w:r w:rsidR="00A56E08">
        <w:rPr>
          <w:shd w:val="clear" w:color="auto" w:fill="FFFFFF"/>
        </w:rPr>
        <w:t>бо</w:t>
      </w:r>
      <w:r>
        <w:rPr>
          <w:shd w:val="clear" w:color="auto" w:fill="FFFFFF"/>
        </w:rPr>
        <w:t>р</w:t>
      </w:r>
      <w:r w:rsidR="00A56E08">
        <w:rPr>
          <w:shd w:val="clear" w:color="auto" w:fill="FFFFFF"/>
        </w:rPr>
        <w:t>а</w:t>
      </w:r>
      <w:r w:rsidR="000E226F" w:rsidRPr="00F6340E">
        <w:rPr>
          <w:shd w:val="clear" w:color="auto" w:fill="FFFFFF"/>
        </w:rPr>
        <w:t xml:space="preserve"> </w:t>
      </w:r>
      <w:r w:rsidR="00A56E08">
        <w:rPr>
          <w:shd w:val="clear" w:color="auto" w:fill="FFFFFF"/>
        </w:rPr>
        <w:t>ко</w:t>
      </w:r>
      <w:r>
        <w:rPr>
          <w:shd w:val="clear" w:color="auto" w:fill="FFFFFF"/>
        </w:rPr>
        <w:t>р</w:t>
      </w:r>
      <w:r w:rsidR="00A56E08">
        <w:rPr>
          <w:shd w:val="clear" w:color="auto" w:fill="FFFFFF"/>
        </w:rPr>
        <w:t>и</w:t>
      </w:r>
      <w:r>
        <w:rPr>
          <w:shd w:val="clear" w:color="auto" w:fill="FFFFFF"/>
        </w:rPr>
        <w:t>с</w:t>
      </w:r>
      <w:r w:rsidR="00A56E08">
        <w:rPr>
          <w:shd w:val="clear" w:color="auto" w:fill="FFFFFF"/>
        </w:rPr>
        <w:t>ника</w:t>
      </w:r>
      <w:r w:rsidR="000E226F" w:rsidRPr="00F6340E">
        <w:rPr>
          <w:shd w:val="clear" w:color="auto" w:fill="FFFFFF"/>
        </w:rPr>
        <w:t xml:space="preserve"> </w:t>
      </w:r>
      <w:r w:rsidR="00A56E08">
        <w:rPr>
          <w:shd w:val="clear" w:color="auto" w:fill="FFFFFF"/>
        </w:rPr>
        <w:t>када</w:t>
      </w:r>
      <w:r w:rsidR="000E226F" w:rsidRPr="00F6340E">
        <w:rPr>
          <w:shd w:val="clear" w:color="auto" w:fill="FFFFFF"/>
        </w:rPr>
        <w:t xml:space="preserve"> </w:t>
      </w:r>
      <w:r w:rsidR="00A56E08">
        <w:rPr>
          <w:shd w:val="clear" w:color="auto" w:fill="FFFFFF"/>
        </w:rPr>
        <w:t>ћ</w:t>
      </w:r>
      <w:r w:rsidR="00EE6AA2">
        <w:rPr>
          <w:shd w:val="clear" w:color="auto" w:fill="FFFFFF"/>
        </w:rPr>
        <w:t>е</w:t>
      </w:r>
      <w:r w:rsidR="000E226F" w:rsidRPr="00F6340E">
        <w:rPr>
          <w:shd w:val="clear" w:color="auto" w:fill="FFFFFF"/>
        </w:rPr>
        <w:t xml:space="preserve"> </w:t>
      </w:r>
      <w:r>
        <w:rPr>
          <w:shd w:val="clear" w:color="auto" w:fill="FFFFFF"/>
        </w:rPr>
        <w:t>т</w:t>
      </w:r>
      <w:r w:rsidR="00EE6AA2">
        <w:rPr>
          <w:shd w:val="clear" w:color="auto" w:fill="FFFFFF"/>
        </w:rPr>
        <w:t>е</w:t>
      </w:r>
      <w:r w:rsidR="000E226F" w:rsidRPr="00F6340E">
        <w:rPr>
          <w:shd w:val="clear" w:color="auto" w:fill="FFFFFF"/>
        </w:rPr>
        <w:t xml:space="preserve"> </w:t>
      </w:r>
      <w:r w:rsidR="00A56E08">
        <w:rPr>
          <w:shd w:val="clear" w:color="auto" w:fill="FFFFFF"/>
        </w:rPr>
        <w:t>мод</w:t>
      </w:r>
      <w:r>
        <w:rPr>
          <w:shd w:val="clear" w:color="auto" w:fill="FFFFFF"/>
        </w:rPr>
        <w:t>у</w:t>
      </w:r>
      <w:r w:rsidR="00A56E08">
        <w:rPr>
          <w:shd w:val="clear" w:color="auto" w:fill="FFFFFF"/>
        </w:rPr>
        <w:t>л</w:t>
      </w:r>
      <w:r w:rsidR="00EE6AA2">
        <w:rPr>
          <w:shd w:val="clear" w:color="auto" w:fill="FFFFFF"/>
        </w:rPr>
        <w:t>е</w:t>
      </w:r>
      <w:r w:rsidR="000E226F" w:rsidRPr="00F6340E">
        <w:rPr>
          <w:shd w:val="clear" w:color="auto" w:fill="FFFFFF"/>
        </w:rPr>
        <w:t xml:space="preserve"> </w:t>
      </w:r>
      <w:r>
        <w:rPr>
          <w:shd w:val="clear" w:color="auto" w:fill="FFFFFF"/>
        </w:rPr>
        <w:t>с</w:t>
      </w:r>
      <w:r w:rsidR="00A56E08">
        <w:rPr>
          <w:shd w:val="clear" w:color="auto" w:fill="FFFFFF"/>
        </w:rPr>
        <w:t>а</w:t>
      </w:r>
      <w:r>
        <w:rPr>
          <w:shd w:val="clear" w:color="auto" w:fill="FFFFFF"/>
        </w:rPr>
        <w:t>в</w:t>
      </w:r>
      <w:r w:rsidR="00A56E08">
        <w:rPr>
          <w:shd w:val="clear" w:color="auto" w:fill="FFFFFF"/>
        </w:rPr>
        <w:t>лада</w:t>
      </w:r>
      <w:r>
        <w:rPr>
          <w:shd w:val="clear" w:color="auto" w:fill="FFFFFF"/>
        </w:rPr>
        <w:t>т</w:t>
      </w:r>
      <w:r w:rsidR="00A56E08">
        <w:rPr>
          <w:shd w:val="clear" w:color="auto" w:fill="FFFFFF"/>
        </w:rPr>
        <w:t>и</w:t>
      </w:r>
      <w:r w:rsidR="00B33C71" w:rsidRPr="00F6340E">
        <w:rPr>
          <w:shd w:val="clear" w:color="auto" w:fill="FFFFFF"/>
        </w:rPr>
        <w:t>.</w:t>
      </w:r>
    </w:p>
    <w:p w14:paraId="32B84A8F" w14:textId="1575A82A" w:rsidR="00E069BB" w:rsidRPr="00F6340E" w:rsidRDefault="00E069BB" w:rsidP="001E7F24">
      <w:pPr>
        <w:pStyle w:val="Heading1"/>
        <w:rPr>
          <w:lang w:val="sr-Cyrl-BA"/>
        </w:rPr>
      </w:pPr>
      <w:bookmarkStart w:id="19" w:name="_Toc119050301"/>
      <w:r w:rsidRPr="00F6340E">
        <w:rPr>
          <w:lang w:val="sr-Cyrl-BA"/>
        </w:rPr>
        <w:lastRenderedPageBreak/>
        <w:t xml:space="preserve">2. </w:t>
      </w:r>
      <w:r w:rsidR="00A56E08">
        <w:rPr>
          <w:lang w:val="sr-Cyrl-BA"/>
        </w:rPr>
        <w:t>К</w:t>
      </w:r>
      <w:r w:rsidR="0071360A">
        <w:rPr>
          <w:lang w:val="sr-Cyrl-BA"/>
        </w:rPr>
        <w:t>р</w:t>
      </w:r>
      <w:r w:rsidR="00EE6AA2">
        <w:rPr>
          <w:lang w:val="sr-Cyrl-BA"/>
        </w:rPr>
        <w:t>е</w:t>
      </w:r>
      <w:r w:rsidR="00A56E08">
        <w:rPr>
          <w:lang w:val="sr-Cyrl-BA"/>
        </w:rPr>
        <w:t>и</w:t>
      </w:r>
      <w:r w:rsidR="0071360A">
        <w:rPr>
          <w:lang w:val="sr-Cyrl-BA"/>
        </w:rPr>
        <w:t>р</w:t>
      </w:r>
      <w:r w:rsidR="00A56E08">
        <w:rPr>
          <w:lang w:val="sr-Cyrl-BA"/>
        </w:rPr>
        <w:t>ањ</w:t>
      </w:r>
      <w:r w:rsidR="00EE6AA2">
        <w:rPr>
          <w:lang w:val="sr-Cyrl-BA"/>
        </w:rPr>
        <w:t>е</w:t>
      </w:r>
      <w:r w:rsidRPr="00F6340E">
        <w:rPr>
          <w:lang w:val="sr-Cyrl-BA"/>
        </w:rPr>
        <w:t xml:space="preserve"> </w:t>
      </w:r>
      <w:r w:rsidR="00A56E08">
        <w:rPr>
          <w:lang w:val="sr-Cyrl-BA"/>
        </w:rPr>
        <w:t>ок</w:t>
      </w:r>
      <w:r w:rsidR="0071360A">
        <w:rPr>
          <w:lang w:val="sr-Cyrl-BA"/>
        </w:rPr>
        <w:t>ру</w:t>
      </w:r>
      <w:r w:rsidR="00171F00">
        <w:rPr>
          <w:lang w:val="sr-Cyrl-BA"/>
        </w:rPr>
        <w:t>ж</w:t>
      </w:r>
      <w:r w:rsidR="00EE6AA2">
        <w:rPr>
          <w:lang w:val="sr-Cyrl-BA"/>
        </w:rPr>
        <w:t>е</w:t>
      </w:r>
      <w:r w:rsidR="00A56E08">
        <w:rPr>
          <w:lang w:val="sr-Cyrl-BA"/>
        </w:rPr>
        <w:t>ња</w:t>
      </w:r>
      <w:r w:rsidRPr="00F6340E">
        <w:rPr>
          <w:lang w:val="sr-Cyrl-BA"/>
        </w:rPr>
        <w:t xml:space="preserve"> </w:t>
      </w:r>
      <w:r w:rsidR="00171F00">
        <w:rPr>
          <w:lang w:val="sr-Cyrl-BA"/>
        </w:rPr>
        <w:t>з</w:t>
      </w:r>
      <w:r w:rsidR="00A56E08">
        <w:rPr>
          <w:lang w:val="sr-Cyrl-BA"/>
        </w:rPr>
        <w:t>а</w:t>
      </w:r>
      <w:r w:rsidRPr="00F6340E">
        <w:rPr>
          <w:lang w:val="sr-Cyrl-BA"/>
        </w:rPr>
        <w:t xml:space="preserve"> </w:t>
      </w:r>
      <w:r w:rsidR="00A56E08">
        <w:rPr>
          <w:lang w:val="sr-Cyrl-BA"/>
        </w:rPr>
        <w:t>к</w:t>
      </w:r>
      <w:r w:rsidR="0071360A">
        <w:rPr>
          <w:lang w:val="sr-Cyrl-BA"/>
        </w:rPr>
        <w:t>в</w:t>
      </w:r>
      <w:r w:rsidR="00A56E08">
        <w:rPr>
          <w:lang w:val="sr-Cyrl-BA"/>
        </w:rPr>
        <w:t>али</w:t>
      </w:r>
      <w:r w:rsidR="0071360A">
        <w:rPr>
          <w:lang w:val="sr-Cyrl-BA"/>
        </w:rPr>
        <w:t>т</w:t>
      </w:r>
      <w:r w:rsidR="00EE6AA2">
        <w:rPr>
          <w:lang w:val="sr-Cyrl-BA"/>
        </w:rPr>
        <w:t>е</w:t>
      </w:r>
      <w:r w:rsidR="0071360A">
        <w:rPr>
          <w:lang w:val="sr-Cyrl-BA"/>
        </w:rPr>
        <w:t>т</w:t>
      </w:r>
      <w:r w:rsidR="00A56E08">
        <w:rPr>
          <w:lang w:val="sr-Cyrl-BA"/>
        </w:rPr>
        <w:t>но</w:t>
      </w:r>
      <w:r w:rsidRPr="00F6340E">
        <w:rPr>
          <w:lang w:val="sr-Cyrl-BA"/>
        </w:rPr>
        <w:t xml:space="preserve"> (</w:t>
      </w:r>
      <w:r w:rsidR="00A56E08">
        <w:rPr>
          <w:lang w:val="sr-Cyrl-BA"/>
        </w:rPr>
        <w:t>и</w:t>
      </w:r>
      <w:r w:rsidRPr="00F6340E">
        <w:rPr>
          <w:lang w:val="sr-Cyrl-BA"/>
        </w:rPr>
        <w:t xml:space="preserve">) </w:t>
      </w:r>
      <w:r w:rsidR="00A56E08">
        <w:rPr>
          <w:lang w:val="sr-Cyrl-BA"/>
        </w:rPr>
        <w:t>инкл</w:t>
      </w:r>
      <w:r w:rsidR="0071360A">
        <w:rPr>
          <w:lang w:val="sr-Cyrl-BA"/>
        </w:rPr>
        <w:t>у</w:t>
      </w:r>
      <w:r w:rsidR="00171F00">
        <w:rPr>
          <w:lang w:val="sr-Cyrl-BA"/>
        </w:rPr>
        <w:t>з</w:t>
      </w:r>
      <w:r w:rsidR="00A56E08">
        <w:rPr>
          <w:lang w:val="sr-Cyrl-BA"/>
        </w:rPr>
        <w:t>и</w:t>
      </w:r>
      <w:r w:rsidR="0071360A">
        <w:rPr>
          <w:lang w:val="sr-Cyrl-BA"/>
        </w:rPr>
        <w:t>в</w:t>
      </w:r>
      <w:r w:rsidR="00A56E08">
        <w:rPr>
          <w:lang w:val="sr-Cyrl-BA"/>
        </w:rPr>
        <w:t>но</w:t>
      </w:r>
      <w:r w:rsidRPr="00F6340E">
        <w:rPr>
          <w:lang w:val="sr-Cyrl-BA"/>
        </w:rPr>
        <w:t xml:space="preserve"> </w:t>
      </w:r>
      <w:r w:rsidR="00A56E08">
        <w:rPr>
          <w:lang w:val="sr-Cyrl-BA"/>
        </w:rPr>
        <w:t>об</w:t>
      </w:r>
      <w:r w:rsidR="0071360A">
        <w:rPr>
          <w:lang w:val="sr-Cyrl-BA"/>
        </w:rPr>
        <w:t>р</w:t>
      </w:r>
      <w:r w:rsidR="00A56E08">
        <w:rPr>
          <w:lang w:val="sr-Cyrl-BA"/>
        </w:rPr>
        <w:t>а</w:t>
      </w:r>
      <w:r w:rsidR="00171F00">
        <w:rPr>
          <w:lang w:val="sr-Cyrl-BA"/>
        </w:rPr>
        <w:t>з</w:t>
      </w:r>
      <w:r w:rsidR="00A56E08">
        <w:rPr>
          <w:lang w:val="sr-Cyrl-BA"/>
        </w:rPr>
        <w:t>о</w:t>
      </w:r>
      <w:r w:rsidR="0071360A">
        <w:rPr>
          <w:lang w:val="sr-Cyrl-BA"/>
        </w:rPr>
        <w:t>в</w:t>
      </w:r>
      <w:r w:rsidR="00A56E08">
        <w:rPr>
          <w:lang w:val="sr-Cyrl-BA"/>
        </w:rPr>
        <w:t>ањ</w:t>
      </w:r>
      <w:r w:rsidR="00EE6AA2">
        <w:rPr>
          <w:lang w:val="sr-Cyrl-BA"/>
        </w:rPr>
        <w:t>е</w:t>
      </w:r>
      <w:bookmarkEnd w:id="19"/>
      <w:r w:rsidRPr="00F6340E">
        <w:rPr>
          <w:lang w:val="sr-Cyrl-BA"/>
        </w:rPr>
        <w:t xml:space="preserve"> </w:t>
      </w:r>
    </w:p>
    <w:p w14:paraId="66162A90" w14:textId="7269078E" w:rsidR="00872771" w:rsidRPr="00F6340E" w:rsidRDefault="0071360A" w:rsidP="000962EB">
      <w:pPr>
        <w:pStyle w:val="Heading2"/>
        <w:numPr>
          <w:ilvl w:val="1"/>
          <w:numId w:val="69"/>
        </w:numPr>
        <w:rPr>
          <w:lang w:val="sr-Cyrl-BA"/>
        </w:rPr>
      </w:pPr>
      <w:bookmarkStart w:id="20" w:name="_Toc119050302"/>
      <w:r>
        <w:rPr>
          <w:lang w:val="sr-Cyrl-BA"/>
        </w:rPr>
        <w:t>Р</w:t>
      </w:r>
      <w:r w:rsidR="00A56E08">
        <w:rPr>
          <w:lang w:val="sr-Cyrl-BA"/>
        </w:rPr>
        <w:t>а</w:t>
      </w:r>
      <w:r w:rsidR="00171F00">
        <w:rPr>
          <w:lang w:val="sr-Cyrl-BA"/>
        </w:rPr>
        <w:t>з</w:t>
      </w:r>
      <w:r>
        <w:rPr>
          <w:lang w:val="sr-Cyrl-BA"/>
        </w:rPr>
        <w:t>у</w:t>
      </w:r>
      <w:r w:rsidR="00A56E08">
        <w:rPr>
          <w:lang w:val="sr-Cyrl-BA"/>
        </w:rPr>
        <w:t>миј</w:t>
      </w:r>
      <w:r w:rsidR="00EE6AA2">
        <w:rPr>
          <w:lang w:val="sr-Cyrl-BA"/>
        </w:rPr>
        <w:t>е</w:t>
      </w:r>
      <w:r>
        <w:rPr>
          <w:lang w:val="sr-Cyrl-BA"/>
        </w:rPr>
        <w:t>в</w:t>
      </w:r>
      <w:r w:rsidR="00A56E08">
        <w:rPr>
          <w:lang w:val="sr-Cyrl-BA"/>
        </w:rPr>
        <w:t>ањ</w:t>
      </w:r>
      <w:r w:rsidR="00EE6AA2">
        <w:rPr>
          <w:lang w:val="sr-Cyrl-BA"/>
        </w:rPr>
        <w:t>е</w:t>
      </w:r>
      <w:r w:rsidR="00872771" w:rsidRPr="00F6340E">
        <w:rPr>
          <w:lang w:val="sr-Cyrl-BA"/>
        </w:rPr>
        <w:t xml:space="preserve"> </w:t>
      </w:r>
      <w:r w:rsidR="00A56E08">
        <w:rPr>
          <w:lang w:val="sr-Cyrl-BA"/>
        </w:rPr>
        <w:t>конц</w:t>
      </w:r>
      <w:r w:rsidR="00EE6AA2">
        <w:rPr>
          <w:lang w:val="sr-Cyrl-BA"/>
        </w:rPr>
        <w:t>е</w:t>
      </w:r>
      <w:r>
        <w:rPr>
          <w:lang w:val="sr-Cyrl-BA"/>
        </w:rPr>
        <w:t>пт</w:t>
      </w:r>
      <w:r w:rsidR="00A56E08">
        <w:rPr>
          <w:lang w:val="sr-Cyrl-BA"/>
        </w:rPr>
        <w:t>а</w:t>
      </w:r>
      <w:r w:rsidR="00872771" w:rsidRPr="00F6340E">
        <w:rPr>
          <w:lang w:val="sr-Cyrl-BA"/>
        </w:rPr>
        <w:t xml:space="preserve"> </w:t>
      </w:r>
      <w:r w:rsidR="00A56E08">
        <w:rPr>
          <w:lang w:val="sr-Cyrl-BA"/>
        </w:rPr>
        <w:t>к</w:t>
      </w:r>
      <w:r>
        <w:rPr>
          <w:lang w:val="sr-Cyrl-BA"/>
        </w:rPr>
        <w:t>в</w:t>
      </w:r>
      <w:r w:rsidR="00A56E08">
        <w:rPr>
          <w:lang w:val="sr-Cyrl-BA"/>
        </w:rPr>
        <w:t>али</w:t>
      </w:r>
      <w:r>
        <w:rPr>
          <w:lang w:val="sr-Cyrl-BA"/>
        </w:rPr>
        <w:t>т</w:t>
      </w:r>
      <w:r w:rsidR="00EE6AA2">
        <w:rPr>
          <w:lang w:val="sr-Cyrl-BA"/>
        </w:rPr>
        <w:t>е</w:t>
      </w:r>
      <w:r>
        <w:rPr>
          <w:lang w:val="sr-Cyrl-BA"/>
        </w:rPr>
        <w:t>т</w:t>
      </w:r>
      <w:r w:rsidR="00A56E08">
        <w:rPr>
          <w:lang w:val="sr-Cyrl-BA"/>
        </w:rPr>
        <w:t>но</w:t>
      </w:r>
      <w:r w:rsidR="00872771" w:rsidRPr="00F6340E">
        <w:rPr>
          <w:lang w:val="sr-Cyrl-BA"/>
        </w:rPr>
        <w:t xml:space="preserve"> </w:t>
      </w:r>
      <w:r w:rsidR="00A56E08">
        <w:rPr>
          <w:lang w:val="sr-Cyrl-BA"/>
        </w:rPr>
        <w:t>инкл</w:t>
      </w:r>
      <w:r>
        <w:rPr>
          <w:lang w:val="sr-Cyrl-BA"/>
        </w:rPr>
        <w:t>у</w:t>
      </w:r>
      <w:r w:rsidR="00171F00">
        <w:rPr>
          <w:lang w:val="sr-Cyrl-BA"/>
        </w:rPr>
        <w:t>з</w:t>
      </w:r>
      <w:r w:rsidR="00A56E08">
        <w:rPr>
          <w:lang w:val="sr-Cyrl-BA"/>
        </w:rPr>
        <w:t>и</w:t>
      </w:r>
      <w:r>
        <w:rPr>
          <w:lang w:val="sr-Cyrl-BA"/>
        </w:rPr>
        <w:t>в</w:t>
      </w:r>
      <w:r w:rsidR="00A56E08">
        <w:rPr>
          <w:lang w:val="sr-Cyrl-BA"/>
        </w:rPr>
        <w:t>но</w:t>
      </w:r>
      <w:r w:rsidR="00872771" w:rsidRPr="00F6340E">
        <w:rPr>
          <w:lang w:val="sr-Cyrl-BA"/>
        </w:rPr>
        <w:t xml:space="preserve"> </w:t>
      </w:r>
      <w:r w:rsidR="00A56E08">
        <w:rPr>
          <w:lang w:val="sr-Cyrl-BA"/>
        </w:rPr>
        <w:t>об</w:t>
      </w:r>
      <w:r>
        <w:rPr>
          <w:lang w:val="sr-Cyrl-BA"/>
        </w:rPr>
        <w:t>р</w:t>
      </w:r>
      <w:r w:rsidR="00A56E08">
        <w:rPr>
          <w:lang w:val="sr-Cyrl-BA"/>
        </w:rPr>
        <w:t>а</w:t>
      </w:r>
      <w:r w:rsidR="00171F00">
        <w:rPr>
          <w:lang w:val="sr-Cyrl-BA"/>
        </w:rPr>
        <w:t>з</w:t>
      </w:r>
      <w:r w:rsidR="00A56E08">
        <w:rPr>
          <w:lang w:val="sr-Cyrl-BA"/>
        </w:rPr>
        <w:t>о</w:t>
      </w:r>
      <w:r>
        <w:rPr>
          <w:lang w:val="sr-Cyrl-BA"/>
        </w:rPr>
        <w:t>в</w:t>
      </w:r>
      <w:r w:rsidR="00A56E08">
        <w:rPr>
          <w:lang w:val="sr-Cyrl-BA"/>
        </w:rPr>
        <w:t>ањ</w:t>
      </w:r>
      <w:r w:rsidR="00EE6AA2">
        <w:rPr>
          <w:lang w:val="sr-Cyrl-BA"/>
        </w:rPr>
        <w:t>е</w:t>
      </w:r>
      <w:bookmarkEnd w:id="20"/>
    </w:p>
    <w:p w14:paraId="718A6936" w14:textId="75839AEA" w:rsidR="00872771" w:rsidRPr="00F6340E" w:rsidRDefault="00A56E08" w:rsidP="00210EE1">
      <w:pPr>
        <w:pStyle w:val="Body"/>
      </w:pPr>
      <w:r>
        <w:t>К</w:t>
      </w:r>
      <w:r w:rsidR="0071360A">
        <w:t>в</w:t>
      </w:r>
      <w:r>
        <w:t>али</w:t>
      </w:r>
      <w:r w:rsidR="0071360A">
        <w:t>т</w:t>
      </w:r>
      <w:r w:rsidR="00EE6AA2">
        <w:t>е</w:t>
      </w:r>
      <w:r w:rsidR="0071360A">
        <w:t>т</w:t>
      </w:r>
      <w:r>
        <w:t>но</w:t>
      </w:r>
      <w:r w:rsidR="00872771" w:rsidRPr="00F6340E">
        <w:t xml:space="preserve"> (</w:t>
      </w:r>
      <w:r>
        <w:t>и</w:t>
      </w:r>
      <w:r w:rsidR="00872771" w:rsidRPr="00F6340E">
        <w:t xml:space="preserve">) </w:t>
      </w:r>
      <w:r>
        <w:t>инкл</w:t>
      </w:r>
      <w:r w:rsidR="0071360A">
        <w:t>у</w:t>
      </w:r>
      <w:r w:rsidR="00171F00">
        <w:t>з</w:t>
      </w:r>
      <w:r>
        <w:t>и</w:t>
      </w:r>
      <w:r w:rsidR="0071360A">
        <w:t>в</w:t>
      </w:r>
      <w:r>
        <w:t>но</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t>л</w:t>
      </w:r>
      <w:r w:rsidR="00EE6AA2">
        <w:t>е</w:t>
      </w:r>
      <w:r w:rsidR="00171F00">
        <w:t>ж</w:t>
      </w:r>
      <w:r>
        <w:t>и</w:t>
      </w:r>
      <w:r w:rsidR="00872771" w:rsidRPr="00F6340E">
        <w:t xml:space="preserve"> </w:t>
      </w:r>
      <w:r>
        <w:t>на</w:t>
      </w:r>
      <w:r w:rsidR="00872771" w:rsidRPr="00F6340E">
        <w:t xml:space="preserve"> </w:t>
      </w:r>
      <w:r>
        <w:t>ј</w:t>
      </w:r>
      <w:r w:rsidR="00EE6AA2">
        <w:t>е</w:t>
      </w:r>
      <w:r>
        <w:t>днако</w:t>
      </w:r>
      <w:r w:rsidR="0071360A">
        <w:t>ст</w:t>
      </w:r>
      <w:r>
        <w:t>и</w:t>
      </w:r>
      <w:r w:rsidR="00872771" w:rsidRPr="00F6340E">
        <w:t xml:space="preserve"> </w:t>
      </w:r>
      <w:r>
        <w:t>и</w:t>
      </w:r>
      <w:r w:rsidR="00872771" w:rsidRPr="00F6340E">
        <w:t xml:space="preserve"> </w:t>
      </w:r>
      <w:r w:rsidR="0071360A">
        <w:t>р</w:t>
      </w:r>
      <w:r>
        <w:t>а</w:t>
      </w:r>
      <w:r w:rsidR="0071360A">
        <w:t>в</w:t>
      </w:r>
      <w:r>
        <w:t>но</w:t>
      </w:r>
      <w:r w:rsidR="0071360A">
        <w:t>пр</w:t>
      </w:r>
      <w:r>
        <w:t>а</w:t>
      </w:r>
      <w:r w:rsidR="0071360A">
        <w:t>в</w:t>
      </w:r>
      <w:r>
        <w:t>но</w:t>
      </w:r>
      <w:r w:rsidR="0071360A">
        <w:t>ст</w:t>
      </w:r>
      <w:r>
        <w:t>и</w:t>
      </w:r>
      <w:r w:rsidR="00872771" w:rsidRPr="00F6340E">
        <w:t xml:space="preserve"> </w:t>
      </w:r>
      <w:r w:rsidR="0071360A">
        <w:t>т</w:t>
      </w:r>
      <w:r w:rsidR="00EE6AA2">
        <w:t>е</w:t>
      </w:r>
      <w:r w:rsidR="00872771" w:rsidRPr="00F6340E">
        <w:t xml:space="preserve"> </w:t>
      </w:r>
      <w:r>
        <w:t>ј</w:t>
      </w:r>
      <w:r w:rsidR="00EE6AA2">
        <w:t>е</w:t>
      </w:r>
      <w:r w:rsidR="00872771" w:rsidRPr="00F6340E">
        <w:t xml:space="preserve"> </w:t>
      </w:r>
      <w:r>
        <w:t>нај</w:t>
      </w:r>
      <w:r w:rsidR="0071360A">
        <w:t>у</w:t>
      </w:r>
      <w:r w:rsidR="00171F00">
        <w:t>ж</w:t>
      </w:r>
      <w:r w:rsidR="00EE6AA2">
        <w:t>е</w:t>
      </w:r>
      <w:r w:rsidR="00872771" w:rsidRPr="00F6340E">
        <w:t xml:space="preserve"> </w:t>
      </w:r>
      <w:r w:rsidR="0071360A">
        <w:t>п</w:t>
      </w:r>
      <w:r>
        <w:t>о</w:t>
      </w:r>
      <w:r w:rsidR="0071360A">
        <w:t>в</w:t>
      </w:r>
      <w:r w:rsidR="00EE6AA2">
        <w:t>е</w:t>
      </w:r>
      <w:r w:rsidR="00171F00">
        <w:t>з</w:t>
      </w:r>
      <w:r>
        <w:t>ано</w:t>
      </w:r>
      <w:r w:rsidR="00B04FA8">
        <w:t xml:space="preserve"> са </w:t>
      </w:r>
      <w:r>
        <w:t>мод</w:t>
      </w:r>
      <w:r w:rsidR="00EE6AA2">
        <w:t>е</w:t>
      </w:r>
      <w:r>
        <w:t>лом</w:t>
      </w:r>
      <w:r w:rsidR="00872771" w:rsidRPr="00F6340E">
        <w:t xml:space="preserve"> </w:t>
      </w:r>
      <w:r>
        <w:t>О</w:t>
      </w:r>
      <w:r w:rsidR="0071360A">
        <w:t>с</w:t>
      </w:r>
      <w:r>
        <w:t>но</w:t>
      </w:r>
      <w:r w:rsidR="0071360A">
        <w:t>в</w:t>
      </w:r>
      <w:r>
        <w:t>них</w:t>
      </w:r>
      <w:r w:rsidR="00872771" w:rsidRPr="00F6340E">
        <w:t xml:space="preserve"> </w:t>
      </w:r>
      <w:r>
        <w:t>љ</w:t>
      </w:r>
      <w:r w:rsidR="0071360A">
        <w:t>у</w:t>
      </w:r>
      <w:r>
        <w:t>д</w:t>
      </w:r>
      <w:r w:rsidR="0071360A">
        <w:t>с</w:t>
      </w:r>
      <w:r>
        <w:t>ких</w:t>
      </w:r>
      <w:r w:rsidR="00872771" w:rsidRPr="00F6340E">
        <w:t xml:space="preserve"> </w:t>
      </w:r>
      <w:r w:rsidR="0071360A">
        <w:t>пр</w:t>
      </w:r>
      <w:r>
        <w:t>а</w:t>
      </w:r>
      <w:r w:rsidR="0071360A">
        <w:t>в</w:t>
      </w:r>
      <w:r>
        <w:t>а</w:t>
      </w:r>
      <w:r w:rsidR="00872771" w:rsidRPr="00F6340E">
        <w:t xml:space="preserve"> </w:t>
      </w:r>
      <w:r>
        <w:t>н</w:t>
      </w:r>
      <w:r w:rsidR="00EE6AA2">
        <w:t>е</w:t>
      </w:r>
      <w:r w:rsidR="00171F00">
        <w:t>з</w:t>
      </w:r>
      <w:r>
        <w:t>а</w:t>
      </w:r>
      <w:r w:rsidR="0071360A">
        <w:t>в</w:t>
      </w:r>
      <w:r>
        <w:t>и</w:t>
      </w:r>
      <w:r w:rsidR="0071360A">
        <w:t>с</w:t>
      </w:r>
      <w:r>
        <w:t>но</w:t>
      </w:r>
      <w:r w:rsidR="00872771" w:rsidRPr="00F6340E">
        <w:t xml:space="preserve"> </w:t>
      </w:r>
      <w:r>
        <w:t>од</w:t>
      </w:r>
      <w:r w:rsidR="00872771" w:rsidRPr="00F6340E">
        <w:t xml:space="preserve"> </w:t>
      </w:r>
      <w:r>
        <w:t>бој</w:t>
      </w:r>
      <w:r w:rsidR="00EE6AA2">
        <w:t>е</w:t>
      </w:r>
      <w:r w:rsidR="00872771" w:rsidRPr="00F6340E">
        <w:t xml:space="preserve"> </w:t>
      </w:r>
      <w:r>
        <w:t>ко</w:t>
      </w:r>
      <w:r w:rsidR="00171F00">
        <w:t>ж</w:t>
      </w:r>
      <w:r w:rsidR="00EE6AA2">
        <w:t>е</w:t>
      </w:r>
      <w:r w:rsidR="00872771" w:rsidRPr="00F6340E">
        <w:t xml:space="preserve">, </w:t>
      </w:r>
      <w:r w:rsidR="0071360A">
        <w:t>р</w:t>
      </w:r>
      <w:r>
        <w:t>а</w:t>
      </w:r>
      <w:r w:rsidR="0071360A">
        <w:t>с</w:t>
      </w:r>
      <w:r w:rsidR="00EE6AA2">
        <w:t>е</w:t>
      </w:r>
      <w:r w:rsidR="00872771" w:rsidRPr="00F6340E">
        <w:t xml:space="preserve">, </w:t>
      </w:r>
      <w:r>
        <w:t>ин</w:t>
      </w:r>
      <w:r w:rsidR="0071360A">
        <w:t>в</w:t>
      </w:r>
      <w:r>
        <w:t>алиди</w:t>
      </w:r>
      <w:r w:rsidR="0071360A">
        <w:t>т</w:t>
      </w:r>
      <w:r w:rsidR="00EE6AA2">
        <w:t>е</w:t>
      </w:r>
      <w:r w:rsidR="0071360A">
        <w:t>т</w:t>
      </w:r>
      <w:r w:rsidR="00EE6AA2">
        <w:t>е</w:t>
      </w:r>
      <w:r w:rsidR="00872771" w:rsidRPr="00F6340E">
        <w:t xml:space="preserve">, </w:t>
      </w:r>
      <w:r w:rsidR="0071360A">
        <w:t>сп</w:t>
      </w:r>
      <w:r>
        <w:t>ола</w:t>
      </w:r>
      <w:r w:rsidR="00872771" w:rsidRPr="00F6340E">
        <w:t xml:space="preserve">, </w:t>
      </w:r>
      <w:r>
        <w:t>ј</w:t>
      </w:r>
      <w:r w:rsidR="00EE6AA2">
        <w:t>е</w:t>
      </w:r>
      <w:r w:rsidR="00171F00">
        <w:t>з</w:t>
      </w:r>
      <w:r>
        <w:t>ика</w:t>
      </w:r>
      <w:r w:rsidR="00872771" w:rsidRPr="00F6340E">
        <w:t xml:space="preserve"> </w:t>
      </w:r>
      <w:r>
        <w:t>и</w:t>
      </w:r>
      <w:r w:rsidR="00872771" w:rsidRPr="00F6340E">
        <w:t xml:space="preserve"> </w:t>
      </w:r>
      <w:r>
        <w:t>д</w:t>
      </w:r>
      <w:r w:rsidR="0071360A">
        <w:t>р</w:t>
      </w:r>
      <w:r w:rsidR="00872771" w:rsidRPr="00F6340E">
        <w:t xml:space="preserve">. </w:t>
      </w:r>
      <w:r>
        <w:t>и</w:t>
      </w:r>
      <w:r w:rsidR="00872771" w:rsidRPr="00F6340E">
        <w:t xml:space="preserve"> </w:t>
      </w:r>
      <w:r w:rsidR="0071360A">
        <w:t>ус</w:t>
      </w:r>
      <w:r>
        <w:t>мј</w:t>
      </w:r>
      <w:r w:rsidR="00EE6AA2">
        <w:t>е</w:t>
      </w:r>
      <w:r w:rsidR="0071360A">
        <w:t>р</w:t>
      </w:r>
      <w:r w:rsidR="00EE6AA2">
        <w:t>е</w:t>
      </w:r>
      <w:r>
        <w:t>но</w:t>
      </w:r>
      <w:r w:rsidR="00872771" w:rsidRPr="00F6340E">
        <w:t xml:space="preserve"> </w:t>
      </w:r>
      <w:r>
        <w:t>ј</w:t>
      </w:r>
      <w:r w:rsidR="00EE6AA2">
        <w:t>е</w:t>
      </w:r>
      <w:r w:rsidR="00872771" w:rsidRPr="00F6340E">
        <w:t xml:space="preserve"> </w:t>
      </w:r>
      <w:r>
        <w:t>на</w:t>
      </w:r>
      <w:r w:rsidR="00872771" w:rsidRPr="00F6340E">
        <w:t xml:space="preserve"> </w:t>
      </w:r>
      <w:r w:rsidR="0071360A">
        <w:t>пр</w:t>
      </w:r>
      <w:r w:rsidR="00EE6AA2">
        <w:t>е</w:t>
      </w:r>
      <w:r>
        <w:t>д</w:t>
      </w:r>
      <w:r w:rsidR="0071360A">
        <w:t>ус</w:t>
      </w:r>
      <w:r>
        <w:t>ло</w:t>
      </w:r>
      <w:r w:rsidR="0071360A">
        <w:t>в</w:t>
      </w:r>
      <w:r w:rsidR="00EE6AA2">
        <w:t>е</w:t>
      </w:r>
      <w:r w:rsidR="00872771" w:rsidRPr="00F6340E">
        <w:t xml:space="preserve"> </w:t>
      </w:r>
      <w:r w:rsidR="00171F00">
        <w:t>з</w:t>
      </w:r>
      <w:r>
        <w:t>а</w:t>
      </w:r>
      <w:r w:rsidR="00872771" w:rsidRPr="00F6340E">
        <w:t xml:space="preserve"> </w:t>
      </w:r>
      <w:r>
        <w:t>о</w:t>
      </w:r>
      <w:r w:rsidR="0071360A">
        <w:t>ств</w:t>
      </w:r>
      <w:r>
        <w:t>а</w:t>
      </w:r>
      <w:r w:rsidR="0071360A">
        <w:t>р</w:t>
      </w:r>
      <w:r>
        <w:t>и</w:t>
      </w:r>
      <w:r w:rsidR="0071360A">
        <w:t>в</w:t>
      </w:r>
      <w:r>
        <w:t>ањ</w:t>
      </w:r>
      <w:r w:rsidR="00EE6AA2">
        <w:t>е</w:t>
      </w:r>
      <w:r w:rsidR="00872771" w:rsidRPr="00F6340E">
        <w:t xml:space="preserve"> </w:t>
      </w:r>
      <w:r w:rsidR="0071360A">
        <w:t>пр</w:t>
      </w:r>
      <w:r>
        <w:t>а</w:t>
      </w:r>
      <w:r w:rsidR="0071360A">
        <w:t>в</w:t>
      </w:r>
      <w:r>
        <w:t>а</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rsidR="0071360A">
        <w:t>Пр</w:t>
      </w:r>
      <w:r>
        <w:t>а</w:t>
      </w:r>
      <w:r w:rsidR="0071360A">
        <w:t>в</w:t>
      </w:r>
      <w:r>
        <w:t>о</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rsidR="0071360A">
        <w:t>пр</w:t>
      </w:r>
      <w:r>
        <w:t>и</w:t>
      </w:r>
      <w:r w:rsidR="0071360A">
        <w:t>п</w:t>
      </w:r>
      <w:r>
        <w:t>ада</w:t>
      </w:r>
      <w:r w:rsidR="00872771" w:rsidRPr="00F6340E">
        <w:t xml:space="preserve"> </w:t>
      </w:r>
      <w:r w:rsidR="0071360A">
        <w:t>св</w:t>
      </w:r>
      <w:r>
        <w:t>аком</w:t>
      </w:r>
      <w:r w:rsidR="00872771" w:rsidRPr="00F6340E">
        <w:t xml:space="preserve"> </w:t>
      </w:r>
      <w:r>
        <w:t>чо</w:t>
      </w:r>
      <w:r w:rsidR="0071360A">
        <w:t>в</w:t>
      </w:r>
      <w:r>
        <w:t>ј</w:t>
      </w:r>
      <w:r w:rsidR="00EE6AA2">
        <w:t>е</w:t>
      </w:r>
      <w:r>
        <w:t>к</w:t>
      </w:r>
      <w:r w:rsidR="0071360A">
        <w:t>у</w:t>
      </w:r>
      <w:r w:rsidR="00C71DCF" w:rsidRPr="00F6340E">
        <w:t>,</w:t>
      </w:r>
      <w:r w:rsidR="00872771" w:rsidRPr="00F6340E">
        <w:t xml:space="preserve"> </w:t>
      </w:r>
      <w:r>
        <w:t>а</w:t>
      </w:r>
      <w:r w:rsidR="00872771" w:rsidRPr="00F6340E">
        <w:t xml:space="preserve"> </w:t>
      </w:r>
      <w:r w:rsidR="0071360A">
        <w:t>св</w:t>
      </w:r>
      <w:r>
        <w:t>ој</w:t>
      </w:r>
      <w:r w:rsidR="00EE6AA2">
        <w:t>е</w:t>
      </w:r>
      <w:r w:rsidR="00872771" w:rsidRPr="00F6340E">
        <w:t xml:space="preserve"> </w:t>
      </w:r>
      <w:r>
        <w:t>мј</w:t>
      </w:r>
      <w:r w:rsidR="00EE6AA2">
        <w:t>е</w:t>
      </w:r>
      <w:r w:rsidR="0071360A">
        <w:t>ст</w:t>
      </w:r>
      <w:r>
        <w:t>о</w:t>
      </w:r>
      <w:r w:rsidR="00872771" w:rsidRPr="00F6340E">
        <w:t xml:space="preserve"> </w:t>
      </w:r>
      <w:r>
        <w:t>нала</w:t>
      </w:r>
      <w:r w:rsidR="00171F00">
        <w:t>з</w:t>
      </w:r>
      <w:r>
        <w:t>и</w:t>
      </w:r>
      <w:r w:rsidR="00872771" w:rsidRPr="00F6340E">
        <w:t xml:space="preserve"> </w:t>
      </w:r>
      <w:r w:rsidR="0071360A">
        <w:t>у</w:t>
      </w:r>
      <w:r w:rsidR="00872771" w:rsidRPr="00F6340E">
        <w:t xml:space="preserve"> </w:t>
      </w:r>
      <w:r>
        <w:t>нај</w:t>
      </w:r>
      <w:r w:rsidR="0071360A">
        <w:t>в</w:t>
      </w:r>
      <w:r>
        <w:t>а</w:t>
      </w:r>
      <w:r w:rsidR="00171F00">
        <w:t>ж</w:t>
      </w:r>
      <w:r>
        <w:t>ниј</w:t>
      </w:r>
      <w:r w:rsidR="00EE6AA2">
        <w:t>е</w:t>
      </w:r>
      <w:r>
        <w:t>м</w:t>
      </w:r>
      <w:r w:rsidR="00872771" w:rsidRPr="00F6340E">
        <w:t xml:space="preserve"> </w:t>
      </w:r>
      <w:r>
        <w:t>док</w:t>
      </w:r>
      <w:r w:rsidR="0071360A">
        <w:t>у</w:t>
      </w:r>
      <w:r>
        <w:t>м</w:t>
      </w:r>
      <w:r w:rsidR="00EE6AA2">
        <w:t>е</w:t>
      </w:r>
      <w:r>
        <w:t>н</w:t>
      </w:r>
      <w:r w:rsidR="0071360A">
        <w:t>ту</w:t>
      </w:r>
      <w:r w:rsidR="00872771" w:rsidRPr="00F6340E">
        <w:t xml:space="preserve">, </w:t>
      </w:r>
      <w:r>
        <w:t>који</w:t>
      </w:r>
      <w:r w:rsidR="00872771" w:rsidRPr="00F6340E">
        <w:t xml:space="preserve"> </w:t>
      </w:r>
      <w:r w:rsidR="0071360A">
        <w:t>с</w:t>
      </w:r>
      <w:r>
        <w:t>ад</w:t>
      </w:r>
      <w:r w:rsidR="0071360A">
        <w:t>р</w:t>
      </w:r>
      <w:r w:rsidR="00171F00">
        <w:t>ж</w:t>
      </w:r>
      <w:r>
        <w:t>и</w:t>
      </w:r>
      <w:r w:rsidR="00872771" w:rsidRPr="00F6340E">
        <w:t xml:space="preserve"> </w:t>
      </w:r>
      <w:r>
        <w:t>ид</w:t>
      </w:r>
      <w:r w:rsidR="00EE6AA2">
        <w:t>е</w:t>
      </w:r>
      <w:r>
        <w:t>ј</w:t>
      </w:r>
      <w:r w:rsidR="0071360A">
        <w:t>у</w:t>
      </w:r>
      <w:r w:rsidR="00872771" w:rsidRPr="00F6340E">
        <w:t xml:space="preserve"> </w:t>
      </w:r>
      <w:r>
        <w:t>о</w:t>
      </w:r>
      <w:r w:rsidR="00872771" w:rsidRPr="00F6340E">
        <w:t xml:space="preserve"> </w:t>
      </w:r>
      <w:r w:rsidR="0071360A">
        <w:t>пр</w:t>
      </w:r>
      <w:r>
        <w:t>омоцији</w:t>
      </w:r>
      <w:r w:rsidR="00872771" w:rsidRPr="00F6340E">
        <w:t xml:space="preserve"> </w:t>
      </w:r>
      <w:r>
        <w:t>и</w:t>
      </w:r>
      <w:r w:rsidR="00872771" w:rsidRPr="00F6340E">
        <w:t xml:space="preserve"> </w:t>
      </w:r>
      <w:r w:rsidR="00171F00">
        <w:t>з</w:t>
      </w:r>
      <w:r>
        <w:t>а</w:t>
      </w:r>
      <w:r w:rsidR="0071360A">
        <w:t>шт</w:t>
      </w:r>
      <w:r>
        <w:t>и</w:t>
      </w:r>
      <w:r w:rsidR="0071360A">
        <w:t>т</w:t>
      </w:r>
      <w:r>
        <w:t>и</w:t>
      </w:r>
      <w:r w:rsidR="00872771" w:rsidRPr="00F6340E">
        <w:t xml:space="preserve"> </w:t>
      </w:r>
      <w:r>
        <w:t>љ</w:t>
      </w:r>
      <w:r w:rsidR="0071360A">
        <w:t>у</w:t>
      </w:r>
      <w:r>
        <w:t>д</w:t>
      </w:r>
      <w:r w:rsidR="0071360A">
        <w:t>с</w:t>
      </w:r>
      <w:r>
        <w:t>ких</w:t>
      </w:r>
      <w:r w:rsidR="00872771" w:rsidRPr="00F6340E">
        <w:t xml:space="preserve"> </w:t>
      </w:r>
      <w:r w:rsidR="0071360A">
        <w:t>пр</w:t>
      </w:r>
      <w:r>
        <w:t>а</w:t>
      </w:r>
      <w:r w:rsidR="0071360A">
        <w:t>в</w:t>
      </w:r>
      <w:r>
        <w:t>а</w:t>
      </w:r>
      <w:r w:rsidR="00872771" w:rsidRPr="00F6340E">
        <w:t xml:space="preserve"> </w:t>
      </w:r>
      <w:r>
        <w:t>и</w:t>
      </w:r>
      <w:r w:rsidR="00872771" w:rsidRPr="00F6340E">
        <w:t xml:space="preserve"> </w:t>
      </w:r>
      <w:r w:rsidR="0071360A">
        <w:t>с</w:t>
      </w:r>
      <w:r>
        <w:t>лобода</w:t>
      </w:r>
      <w:r w:rsidR="00872771" w:rsidRPr="00F6340E">
        <w:t xml:space="preserve"> </w:t>
      </w:r>
      <w:r>
        <w:t>на</w:t>
      </w:r>
      <w:r w:rsidR="00872771" w:rsidRPr="00F6340E">
        <w:t xml:space="preserve"> </w:t>
      </w:r>
      <w:r>
        <w:t>ин</w:t>
      </w:r>
      <w:r w:rsidR="0071360A">
        <w:t>т</w:t>
      </w:r>
      <w:r w:rsidR="00EE6AA2">
        <w:t>е</w:t>
      </w:r>
      <w:r w:rsidR="0071360A">
        <w:t>р</w:t>
      </w:r>
      <w:r>
        <w:t>националном</w:t>
      </w:r>
      <w:r w:rsidR="00C71DCF" w:rsidRPr="00F6340E">
        <w:t xml:space="preserve"> </w:t>
      </w:r>
      <w:r>
        <w:t>ни</w:t>
      </w:r>
      <w:r w:rsidR="0071360A">
        <w:t>в</w:t>
      </w:r>
      <w:r>
        <w:t>о</w:t>
      </w:r>
      <w:r w:rsidR="0071360A">
        <w:t>у</w:t>
      </w:r>
      <w:r w:rsidR="00872771" w:rsidRPr="00F6340E">
        <w:t xml:space="preserve">, </w:t>
      </w:r>
      <w:r>
        <w:t>О</w:t>
      </w:r>
      <w:r w:rsidR="0071360A">
        <w:t>пшт</w:t>
      </w:r>
      <w:r>
        <w:t>ој</w:t>
      </w:r>
      <w:r w:rsidR="00872771" w:rsidRPr="00F6340E">
        <w:t xml:space="preserve"> </w:t>
      </w:r>
      <w:r>
        <w:t>д</w:t>
      </w:r>
      <w:r w:rsidR="00EE6AA2">
        <w:t>е</w:t>
      </w:r>
      <w:r>
        <w:t>кла</w:t>
      </w:r>
      <w:r w:rsidR="0071360A">
        <w:t>р</w:t>
      </w:r>
      <w:r>
        <w:t>ацији</w:t>
      </w:r>
      <w:r w:rsidR="00872771" w:rsidRPr="00F6340E">
        <w:t xml:space="preserve"> </w:t>
      </w:r>
      <w:r>
        <w:t>о</w:t>
      </w:r>
      <w:r w:rsidR="00872771" w:rsidRPr="00F6340E">
        <w:t xml:space="preserve"> </w:t>
      </w:r>
      <w:r>
        <w:t>љ</w:t>
      </w:r>
      <w:r w:rsidR="0071360A">
        <w:t>у</w:t>
      </w:r>
      <w:r>
        <w:t>д</w:t>
      </w:r>
      <w:r w:rsidR="0071360A">
        <w:t>с</w:t>
      </w:r>
      <w:r>
        <w:t>ким</w:t>
      </w:r>
      <w:r w:rsidR="00872771" w:rsidRPr="00F6340E">
        <w:t xml:space="preserve"> </w:t>
      </w:r>
      <w:r w:rsidR="0071360A">
        <w:t>пр</w:t>
      </w:r>
      <w:r>
        <w:t>а</w:t>
      </w:r>
      <w:r w:rsidR="0071360A">
        <w:t>в</w:t>
      </w:r>
      <w:r>
        <w:t>има</w:t>
      </w:r>
      <w:r w:rsidR="00872771" w:rsidRPr="00F6340E">
        <w:t xml:space="preserve"> </w:t>
      </w:r>
      <w:r w:rsidR="0071360A">
        <w:t>У</w:t>
      </w:r>
      <w:r>
        <w:t>ј</w:t>
      </w:r>
      <w:r w:rsidR="00EE6AA2">
        <w:t>е</w:t>
      </w:r>
      <w:r>
        <w:t>дињ</w:t>
      </w:r>
      <w:r w:rsidR="00EE6AA2">
        <w:t>е</w:t>
      </w:r>
      <w:r>
        <w:t>них</w:t>
      </w:r>
      <w:r w:rsidR="00872771" w:rsidRPr="00F6340E">
        <w:t xml:space="preserve"> </w:t>
      </w:r>
      <w:r>
        <w:t>на</w:t>
      </w:r>
      <w:r w:rsidR="0071360A">
        <w:t>р</w:t>
      </w:r>
      <w:r>
        <w:t>ода</w:t>
      </w:r>
      <w:r w:rsidR="00872771" w:rsidRPr="00F6340E">
        <w:t xml:space="preserve"> </w:t>
      </w:r>
      <w:r>
        <w:t>и</w:t>
      </w:r>
      <w:r w:rsidR="00171F00">
        <w:t>з</w:t>
      </w:r>
      <w:r w:rsidR="00872771" w:rsidRPr="00F6340E">
        <w:t xml:space="preserve"> 1948. </w:t>
      </w:r>
      <w:r>
        <w:t>годин</w:t>
      </w:r>
      <w:r w:rsidR="00EE6AA2">
        <w:t>е</w:t>
      </w:r>
      <w:r w:rsidR="00872771" w:rsidRPr="00F6340E">
        <w:t xml:space="preserve">. </w:t>
      </w:r>
      <w:r>
        <w:t>Она</w:t>
      </w:r>
      <w:r w:rsidR="00872771" w:rsidRPr="00F6340E">
        <w:t xml:space="preserve"> </w:t>
      </w:r>
      <w:r>
        <w:t>ј</w:t>
      </w:r>
      <w:r w:rsidR="00EE6AA2">
        <w:t>е</w:t>
      </w:r>
      <w:r w:rsidR="00872771" w:rsidRPr="00F6340E">
        <w:t xml:space="preserve"> </w:t>
      </w:r>
      <w:r w:rsidR="0071360A">
        <w:t>п</w:t>
      </w:r>
      <w:r>
        <w:t>о</w:t>
      </w:r>
      <w:r w:rsidR="0071360A">
        <w:t>ст</w:t>
      </w:r>
      <w:r>
        <w:t>ала</w:t>
      </w:r>
      <w:r w:rsidR="00872771" w:rsidRPr="00F6340E">
        <w:t xml:space="preserve"> </w:t>
      </w:r>
      <w:r w:rsidR="0071360A">
        <w:t>п</w:t>
      </w:r>
      <w:r>
        <w:t>ла</w:t>
      </w:r>
      <w:r w:rsidR="0071360A">
        <w:t>т</w:t>
      </w:r>
      <w:r>
        <w:t>фо</w:t>
      </w:r>
      <w:r w:rsidR="0071360A">
        <w:t>р</w:t>
      </w:r>
      <w:r>
        <w:t>ма</w:t>
      </w:r>
      <w:r w:rsidR="00872771" w:rsidRPr="00F6340E">
        <w:t xml:space="preserve"> </w:t>
      </w:r>
      <w:r w:rsidR="00171F00">
        <w:t>з</w:t>
      </w:r>
      <w:r>
        <w:t>а</w:t>
      </w:r>
      <w:r w:rsidR="00872771" w:rsidRPr="00F6340E">
        <w:t xml:space="preserve"> </w:t>
      </w:r>
      <w:r w:rsidR="0071360A">
        <w:t>р</w:t>
      </w:r>
      <w:r>
        <w:t>а</w:t>
      </w:r>
      <w:r w:rsidR="00171F00">
        <w:t>з</w:t>
      </w:r>
      <w:r w:rsidR="0071360A">
        <w:t>в</w:t>
      </w:r>
      <w:r>
        <w:t>ијањ</w:t>
      </w:r>
      <w:r w:rsidR="00EE6AA2">
        <w:t>е</w:t>
      </w:r>
      <w:r w:rsidR="00872771" w:rsidRPr="00F6340E">
        <w:t xml:space="preserve"> </w:t>
      </w:r>
      <w:r>
        <w:t>б</w:t>
      </w:r>
      <w:r w:rsidR="0071360A">
        <w:t>р</w:t>
      </w:r>
      <w:r>
        <w:t>ојних</w:t>
      </w:r>
      <w:r w:rsidR="00872771" w:rsidRPr="00F6340E">
        <w:t xml:space="preserve"> </w:t>
      </w:r>
      <w:r>
        <w:t>док</w:t>
      </w:r>
      <w:r w:rsidR="0071360A">
        <w:t>у</w:t>
      </w:r>
      <w:r>
        <w:t>м</w:t>
      </w:r>
      <w:r w:rsidR="00EE6AA2">
        <w:t>е</w:t>
      </w:r>
      <w:r>
        <w:t>на</w:t>
      </w:r>
      <w:r w:rsidR="0071360A">
        <w:t>т</w:t>
      </w:r>
      <w:r>
        <w:t>а</w:t>
      </w:r>
      <w:r w:rsidR="00872771" w:rsidRPr="00F6340E">
        <w:t xml:space="preserve"> </w:t>
      </w:r>
      <w:r>
        <w:t>и</w:t>
      </w:r>
      <w:r w:rsidR="00872771" w:rsidRPr="00F6340E">
        <w:t xml:space="preserve"> </w:t>
      </w:r>
      <w:r w:rsidR="0071360A">
        <w:t>стр</w:t>
      </w:r>
      <w:r>
        <w:t>а</w:t>
      </w:r>
      <w:r w:rsidR="0071360A">
        <w:t>т</w:t>
      </w:r>
      <w:r w:rsidR="00EE6AA2">
        <w:t>е</w:t>
      </w:r>
      <w:r>
        <w:t>гија</w:t>
      </w:r>
      <w:r w:rsidR="00872771" w:rsidRPr="00F6340E">
        <w:t xml:space="preserve"> </w:t>
      </w:r>
      <w:r w:rsidR="0071360A">
        <w:t>с</w:t>
      </w:r>
      <w:r>
        <w:t>а</w:t>
      </w:r>
      <w:r w:rsidR="00872771" w:rsidRPr="00F6340E">
        <w:t xml:space="preserve"> </w:t>
      </w:r>
      <w:r>
        <w:t>циљ</w:t>
      </w:r>
      <w:r w:rsidR="00EE6AA2">
        <w:t>е</w:t>
      </w:r>
      <w:r>
        <w:t>м</w:t>
      </w:r>
      <w:r w:rsidR="00872771" w:rsidRPr="00F6340E">
        <w:t xml:space="preserve"> </w:t>
      </w:r>
      <w:r>
        <w:t>о</w:t>
      </w:r>
      <w:r w:rsidR="0071360A">
        <w:t>с</w:t>
      </w:r>
      <w:r>
        <w:t>иг</w:t>
      </w:r>
      <w:r w:rsidR="0071360A">
        <w:t>ур</w:t>
      </w:r>
      <w:r>
        <w:t>ања</w:t>
      </w:r>
      <w:r w:rsidR="00872771" w:rsidRPr="00F6340E">
        <w:t xml:space="preserve"> </w:t>
      </w:r>
      <w:r>
        <w:t>и</w:t>
      </w:r>
      <w:r w:rsidR="00872771" w:rsidRPr="00F6340E">
        <w:t xml:space="preserve"> </w:t>
      </w:r>
      <w:r w:rsidR="00171F00">
        <w:t>з</w:t>
      </w:r>
      <w:r>
        <w:t>а</w:t>
      </w:r>
      <w:r w:rsidR="0071360A">
        <w:t>шт</w:t>
      </w:r>
      <w:r>
        <w:t>и</w:t>
      </w:r>
      <w:r w:rsidR="0071360A">
        <w:t>т</w:t>
      </w:r>
      <w:r w:rsidR="00EE6AA2">
        <w:t>е</w:t>
      </w:r>
      <w:r w:rsidR="00872771" w:rsidRPr="00F6340E">
        <w:t xml:space="preserve"> </w:t>
      </w:r>
      <w:r w:rsidR="0071360A">
        <w:t>пр</w:t>
      </w:r>
      <w:r>
        <w:t>а</w:t>
      </w:r>
      <w:r w:rsidR="0071360A">
        <w:t>в</w:t>
      </w:r>
      <w:r>
        <w:t>а</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095AD7" w:rsidRPr="00F6340E">
        <w:t xml:space="preserve">, </w:t>
      </w:r>
      <w:r>
        <w:t>а</w:t>
      </w:r>
      <w:r w:rsidR="00872771" w:rsidRPr="00F6340E">
        <w:t xml:space="preserve"> </w:t>
      </w:r>
      <w:r w:rsidR="0071360A">
        <w:t>п</w:t>
      </w:r>
      <w:r>
        <w:t>о</w:t>
      </w:r>
      <w:r w:rsidR="0071360A">
        <w:t>с</w:t>
      </w:r>
      <w:r w:rsidR="00EE6AA2">
        <w:t>е</w:t>
      </w:r>
      <w:r>
        <w:t>бно</w:t>
      </w:r>
      <w:r w:rsidR="00872771" w:rsidRPr="00F6340E">
        <w:t xml:space="preserve"> </w:t>
      </w:r>
      <w:r w:rsidR="0071360A">
        <w:t>пр</w:t>
      </w:r>
      <w:r>
        <w:t>и</w:t>
      </w:r>
      <w:r w:rsidR="0071360A">
        <w:t>п</w:t>
      </w:r>
      <w:r>
        <w:t>адника</w:t>
      </w:r>
      <w:r w:rsidR="00872771" w:rsidRPr="00F6340E">
        <w:t xml:space="preserve"> </w:t>
      </w:r>
      <w:r>
        <w:t>ма</w:t>
      </w:r>
      <w:r w:rsidR="0071360A">
        <w:t>р</w:t>
      </w:r>
      <w:r>
        <w:t>гинали</w:t>
      </w:r>
      <w:r w:rsidR="00171F00">
        <w:t>з</w:t>
      </w:r>
      <w:r>
        <w:t>о</w:t>
      </w:r>
      <w:r w:rsidR="0071360A">
        <w:t>в</w:t>
      </w:r>
      <w:r>
        <w:t>аних</w:t>
      </w:r>
      <w:r w:rsidR="00872771" w:rsidRPr="00F6340E">
        <w:t xml:space="preserve"> </w:t>
      </w:r>
      <w:r>
        <w:t>г</w:t>
      </w:r>
      <w:r w:rsidR="0071360A">
        <w:t>руп</w:t>
      </w:r>
      <w:r>
        <w:t>а</w:t>
      </w:r>
      <w:r w:rsidR="00872771" w:rsidRPr="00F6340E">
        <w:t xml:space="preserve"> </w:t>
      </w:r>
      <w:r>
        <w:t>као</w:t>
      </w:r>
      <w:r w:rsidR="00872771" w:rsidRPr="00F6340E">
        <w:t xml:space="preserve"> </w:t>
      </w:r>
      <w:r w:rsidR="0071360A">
        <w:t>шт</w:t>
      </w:r>
      <w:r>
        <w:t>о</w:t>
      </w:r>
      <w:r w:rsidR="00872771" w:rsidRPr="00F6340E">
        <w:t xml:space="preserve"> </w:t>
      </w:r>
      <w:r w:rsidR="0071360A">
        <w:t>су</w:t>
      </w:r>
      <w:r w:rsidR="00872771" w:rsidRPr="00F6340E">
        <w:t xml:space="preserve"> </w:t>
      </w:r>
      <w:r>
        <w:t>дј</w:t>
      </w:r>
      <w:r w:rsidR="00EE6AA2">
        <w:t>е</w:t>
      </w:r>
      <w:r>
        <w:t>ца</w:t>
      </w:r>
      <w:r w:rsidR="00872771" w:rsidRPr="00F6340E">
        <w:t xml:space="preserve"> </w:t>
      </w:r>
      <w:r w:rsidR="0071360A">
        <w:t>с</w:t>
      </w:r>
      <w:r>
        <w:t>а</w:t>
      </w:r>
      <w:r w:rsidR="00872771" w:rsidRPr="00F6340E">
        <w:t xml:space="preserve"> </w:t>
      </w:r>
      <w:r w:rsidR="0071360A">
        <w:t>п</w:t>
      </w:r>
      <w:r>
        <w:t>о</w:t>
      </w:r>
      <w:r w:rsidR="0071360A">
        <w:t>т</w:t>
      </w:r>
      <w:r w:rsidR="00EE6AA2">
        <w:t>е</w:t>
      </w:r>
      <w:r w:rsidR="0071360A">
        <w:t>ш</w:t>
      </w:r>
      <w:r>
        <w:t>коћама</w:t>
      </w:r>
      <w:r w:rsidR="00872771" w:rsidRPr="00F6340E">
        <w:t xml:space="preserve"> </w:t>
      </w:r>
      <w:r w:rsidR="0071360A">
        <w:t>у</w:t>
      </w:r>
      <w:r w:rsidR="00872771" w:rsidRPr="00F6340E">
        <w:t xml:space="preserve"> </w:t>
      </w:r>
      <w:r w:rsidR="0071360A">
        <w:t>р</w:t>
      </w:r>
      <w:r>
        <w:t>а</w:t>
      </w:r>
      <w:r w:rsidR="00171F00">
        <w:t>з</w:t>
      </w:r>
      <w:r w:rsidR="0071360A">
        <w:t>в</w:t>
      </w:r>
      <w:r>
        <w:t>ој</w:t>
      </w:r>
      <w:r w:rsidR="0071360A">
        <w:t>у</w:t>
      </w:r>
      <w:r w:rsidR="00872771" w:rsidRPr="00F6340E">
        <w:t xml:space="preserve">, </w:t>
      </w:r>
      <w:r>
        <w:t>о</w:t>
      </w:r>
      <w:r w:rsidR="0071360A">
        <w:t>с</w:t>
      </w:r>
      <w:r>
        <w:t>об</w:t>
      </w:r>
      <w:r w:rsidR="00EE6AA2">
        <w:t>е</w:t>
      </w:r>
      <w:r w:rsidR="00B04FA8">
        <w:t xml:space="preserve"> са </w:t>
      </w:r>
      <w:r>
        <w:t>ин</w:t>
      </w:r>
      <w:r w:rsidR="0071360A">
        <w:t>в</w:t>
      </w:r>
      <w:r>
        <w:t>алиди</w:t>
      </w:r>
      <w:r w:rsidR="0071360A">
        <w:t>т</w:t>
      </w:r>
      <w:r w:rsidR="00EE6AA2">
        <w:t>е</w:t>
      </w:r>
      <w:r w:rsidR="0071360A">
        <w:t>т</w:t>
      </w:r>
      <w:r>
        <w:t>ом</w:t>
      </w:r>
      <w:r w:rsidR="00872771" w:rsidRPr="00F6340E">
        <w:t xml:space="preserve">, </w:t>
      </w:r>
      <w:r w:rsidR="0071360A">
        <w:t>р</w:t>
      </w:r>
      <w:r>
        <w:t>ом</w:t>
      </w:r>
      <w:r w:rsidR="0071360A">
        <w:t>с</w:t>
      </w:r>
      <w:r>
        <w:t>ка</w:t>
      </w:r>
      <w:r w:rsidR="00872771" w:rsidRPr="00F6340E">
        <w:t xml:space="preserve"> </w:t>
      </w:r>
      <w:r>
        <w:t>национална</w:t>
      </w:r>
      <w:r w:rsidR="00872771" w:rsidRPr="00F6340E">
        <w:t xml:space="preserve"> </w:t>
      </w:r>
      <w:r>
        <w:t>мањина</w:t>
      </w:r>
      <w:r w:rsidR="00872771" w:rsidRPr="00F6340E">
        <w:t xml:space="preserve">, </w:t>
      </w:r>
      <w:r>
        <w:t>дј</w:t>
      </w:r>
      <w:r w:rsidR="00EE6AA2">
        <w:t>е</w:t>
      </w:r>
      <w:r>
        <w:t>ца</w:t>
      </w:r>
      <w:r w:rsidR="00872771" w:rsidRPr="00F6340E">
        <w:t xml:space="preserve"> </w:t>
      </w:r>
      <w:r>
        <w:t>и</w:t>
      </w:r>
      <w:r w:rsidR="00CF6A41" w:rsidRPr="00F6340E">
        <w:t xml:space="preserve"> </w:t>
      </w:r>
      <w:r>
        <w:t>млади</w:t>
      </w:r>
      <w:r w:rsidR="00CF6A41" w:rsidRPr="00F6340E">
        <w:t xml:space="preserve"> </w:t>
      </w:r>
      <w:r w:rsidR="0071360A">
        <w:t>у</w:t>
      </w:r>
      <w:r w:rsidR="00CF6A41" w:rsidRPr="00F6340E">
        <w:t xml:space="preserve"> </w:t>
      </w:r>
      <w:r w:rsidR="0071360A">
        <w:t>п</w:t>
      </w:r>
      <w:r>
        <w:t>о</w:t>
      </w:r>
      <w:r w:rsidR="0071360A">
        <w:t>р</w:t>
      </w:r>
      <w:r>
        <w:t>одицама</w:t>
      </w:r>
      <w:r w:rsidR="00872771" w:rsidRPr="00F6340E">
        <w:t xml:space="preserve"> </w:t>
      </w:r>
      <w:r>
        <w:t>ни</w:t>
      </w:r>
      <w:r w:rsidR="00171F00">
        <w:t>ж</w:t>
      </w:r>
      <w:r w:rsidR="00EE6AA2">
        <w:t>е</w:t>
      </w:r>
      <w:r>
        <w:t>г</w:t>
      </w:r>
      <w:r w:rsidR="00872771" w:rsidRPr="00F6340E">
        <w:t xml:space="preserve"> </w:t>
      </w:r>
      <w:r w:rsidR="00EE6AA2">
        <w:t>е</w:t>
      </w:r>
      <w:r>
        <w:t>коном</w:t>
      </w:r>
      <w:r w:rsidR="0071360A">
        <w:t>с</w:t>
      </w:r>
      <w:r>
        <w:t>ког</w:t>
      </w:r>
      <w:r w:rsidR="00872771" w:rsidRPr="00F6340E">
        <w:t xml:space="preserve"> </w:t>
      </w:r>
      <w:r w:rsidR="0071360A">
        <w:t>ст</w:t>
      </w:r>
      <w:r>
        <w:t>а</w:t>
      </w:r>
      <w:r w:rsidR="0071360A">
        <w:t>тус</w:t>
      </w:r>
      <w:r>
        <w:t>а</w:t>
      </w:r>
      <w:r w:rsidR="00872771" w:rsidRPr="00F6340E">
        <w:t xml:space="preserve"> </w:t>
      </w:r>
      <w:r>
        <w:t>и</w:t>
      </w:r>
      <w:r w:rsidR="00872771" w:rsidRPr="00F6340E">
        <w:t xml:space="preserve"> </w:t>
      </w:r>
      <w:r>
        <w:t>д</w:t>
      </w:r>
      <w:r w:rsidR="0071360A">
        <w:t>р</w:t>
      </w:r>
      <w:r w:rsidR="00872771" w:rsidRPr="00F6340E">
        <w:t xml:space="preserve">. </w:t>
      </w:r>
      <w:r>
        <w:t>Чланом</w:t>
      </w:r>
      <w:r w:rsidR="00D933BD" w:rsidRPr="00F6340E">
        <w:t xml:space="preserve"> 28 </w:t>
      </w:r>
      <w:hyperlink r:id="rId11" w:history="1">
        <w:r>
          <w:rPr>
            <w:rStyle w:val="Hyperlink"/>
            <w:rFonts w:cs="Arial"/>
            <w:bCs/>
            <w:szCs w:val="24"/>
          </w:rPr>
          <w:t>Кон</w:t>
        </w:r>
        <w:r w:rsidR="0071360A">
          <w:rPr>
            <w:rStyle w:val="Hyperlink"/>
            <w:rFonts w:cs="Arial"/>
            <w:bCs/>
            <w:szCs w:val="24"/>
          </w:rPr>
          <w:t>в</w:t>
        </w:r>
        <w:r w:rsidR="00EE6AA2">
          <w:rPr>
            <w:rStyle w:val="Hyperlink"/>
            <w:rFonts w:cs="Arial"/>
            <w:bCs/>
            <w:szCs w:val="24"/>
          </w:rPr>
          <w:t>е</w:t>
        </w:r>
        <w:r>
          <w:rPr>
            <w:rStyle w:val="Hyperlink"/>
            <w:rFonts w:cs="Arial"/>
            <w:bCs/>
            <w:szCs w:val="24"/>
          </w:rPr>
          <w:t>нциј</w:t>
        </w:r>
        <w:r w:rsidR="00EE6AA2">
          <w:rPr>
            <w:rStyle w:val="Hyperlink"/>
            <w:rFonts w:cs="Arial"/>
            <w:bCs/>
            <w:szCs w:val="24"/>
          </w:rPr>
          <w:t>е</w:t>
        </w:r>
        <w:r w:rsidR="00D933BD" w:rsidRPr="00F6340E">
          <w:rPr>
            <w:rStyle w:val="Hyperlink"/>
            <w:rFonts w:cs="Arial"/>
            <w:bCs/>
            <w:szCs w:val="24"/>
          </w:rPr>
          <w:t xml:space="preserve"> </w:t>
        </w:r>
        <w:r>
          <w:rPr>
            <w:rStyle w:val="Hyperlink"/>
            <w:rFonts w:cs="Arial"/>
            <w:bCs/>
            <w:szCs w:val="24"/>
          </w:rPr>
          <w:t>о</w:t>
        </w:r>
        <w:r w:rsidR="00D933BD" w:rsidRPr="00F6340E">
          <w:rPr>
            <w:rStyle w:val="Hyperlink"/>
            <w:rFonts w:cs="Arial"/>
            <w:bCs/>
            <w:szCs w:val="24"/>
          </w:rPr>
          <w:t xml:space="preserve"> </w:t>
        </w:r>
        <w:r w:rsidR="0071360A">
          <w:rPr>
            <w:rStyle w:val="Hyperlink"/>
            <w:rFonts w:cs="Arial"/>
            <w:bCs/>
            <w:szCs w:val="24"/>
          </w:rPr>
          <w:t>пр</w:t>
        </w:r>
        <w:r>
          <w:rPr>
            <w:rStyle w:val="Hyperlink"/>
            <w:rFonts w:cs="Arial"/>
            <w:bCs/>
            <w:szCs w:val="24"/>
          </w:rPr>
          <w:t>а</w:t>
        </w:r>
        <w:r w:rsidR="0071360A">
          <w:rPr>
            <w:rStyle w:val="Hyperlink"/>
            <w:rFonts w:cs="Arial"/>
            <w:bCs/>
            <w:szCs w:val="24"/>
          </w:rPr>
          <w:t>в</w:t>
        </w:r>
        <w:r>
          <w:rPr>
            <w:rStyle w:val="Hyperlink"/>
            <w:rFonts w:cs="Arial"/>
            <w:bCs/>
            <w:szCs w:val="24"/>
          </w:rPr>
          <w:t>има</w:t>
        </w:r>
        <w:r w:rsidR="00CF6A41" w:rsidRPr="00F6340E">
          <w:rPr>
            <w:rStyle w:val="Hyperlink"/>
            <w:rFonts w:cs="Arial"/>
            <w:bCs/>
            <w:szCs w:val="24"/>
          </w:rPr>
          <w:t xml:space="preserve"> </w:t>
        </w:r>
        <w:r>
          <w:rPr>
            <w:rStyle w:val="Hyperlink"/>
            <w:rFonts w:cs="Arial"/>
            <w:bCs/>
            <w:szCs w:val="24"/>
          </w:rPr>
          <w:t>дј</w:t>
        </w:r>
        <w:r w:rsidR="00EE6AA2">
          <w:rPr>
            <w:rStyle w:val="Hyperlink"/>
            <w:rFonts w:cs="Arial"/>
            <w:bCs/>
            <w:szCs w:val="24"/>
          </w:rPr>
          <w:t>е</w:t>
        </w:r>
        <w:r w:rsidR="0071360A">
          <w:rPr>
            <w:rStyle w:val="Hyperlink"/>
            <w:rFonts w:cs="Arial"/>
            <w:bCs/>
            <w:szCs w:val="24"/>
          </w:rPr>
          <w:t>т</w:t>
        </w:r>
        <w:r w:rsidR="00EE6AA2">
          <w:rPr>
            <w:rStyle w:val="Hyperlink"/>
            <w:rFonts w:cs="Arial"/>
            <w:bCs/>
            <w:szCs w:val="24"/>
          </w:rPr>
          <w:t>е</w:t>
        </w:r>
        <w:r w:rsidR="0071360A">
          <w:rPr>
            <w:rStyle w:val="Hyperlink"/>
            <w:rFonts w:cs="Arial"/>
            <w:bCs/>
            <w:szCs w:val="24"/>
          </w:rPr>
          <w:t>т</w:t>
        </w:r>
        <w:r>
          <w:rPr>
            <w:rStyle w:val="Hyperlink"/>
            <w:rFonts w:cs="Arial"/>
            <w:bCs/>
            <w:szCs w:val="24"/>
          </w:rPr>
          <w:t>а</w:t>
        </w:r>
        <w:r w:rsidR="00CF6A41" w:rsidRPr="00F6340E">
          <w:rPr>
            <w:rStyle w:val="Hyperlink"/>
            <w:rFonts w:cs="Arial"/>
            <w:bCs/>
            <w:szCs w:val="24"/>
          </w:rPr>
          <w:t xml:space="preserve"> (1989)</w:t>
        </w:r>
      </w:hyperlink>
      <w:r w:rsidR="00CF6A41" w:rsidRPr="00F6340E">
        <w:t xml:space="preserve"> </w:t>
      </w:r>
      <w:r w:rsidR="0071360A">
        <w:t>пр</w:t>
      </w:r>
      <w:r>
        <w:t>а</w:t>
      </w:r>
      <w:r w:rsidR="0071360A">
        <w:t>в</w:t>
      </w:r>
      <w:r>
        <w:t>о</w:t>
      </w:r>
      <w:r w:rsidR="00CF6A41" w:rsidRPr="00F6340E">
        <w:t xml:space="preserve"> </w:t>
      </w:r>
      <w:r>
        <w:t>на</w:t>
      </w:r>
      <w:r w:rsidR="00CF6A41" w:rsidRPr="00F6340E">
        <w:t xml:space="preserve"> </w:t>
      </w:r>
      <w:r>
        <w:t>об</w:t>
      </w:r>
      <w:r w:rsidR="0071360A">
        <w:t>р</w:t>
      </w:r>
      <w:r>
        <w:t>а</w:t>
      </w:r>
      <w:r w:rsidR="00171F00">
        <w:t>з</w:t>
      </w:r>
      <w:r>
        <w:t>о</w:t>
      </w:r>
      <w:r w:rsidR="0071360A">
        <w:t>в</w:t>
      </w:r>
      <w:r>
        <w:t>ањ</w:t>
      </w:r>
      <w:r w:rsidR="00EE6AA2">
        <w:t>е</w:t>
      </w:r>
      <w:r w:rsidR="00D933BD" w:rsidRPr="00F6340E">
        <w:t xml:space="preserve"> </w:t>
      </w:r>
      <w:r w:rsidR="0071360A">
        <w:t>пр</w:t>
      </w:r>
      <w:r>
        <w:t>и</w:t>
      </w:r>
      <w:r w:rsidR="00171F00">
        <w:t>з</w:t>
      </w:r>
      <w:r>
        <w:t>нај</w:t>
      </w:r>
      <w:r w:rsidR="00EE6AA2">
        <w:t>е</w:t>
      </w:r>
      <w:r w:rsidR="00D933BD" w:rsidRPr="00F6340E">
        <w:t xml:space="preserve"> </w:t>
      </w:r>
      <w:r w:rsidR="0071360A">
        <w:t>с</w:t>
      </w:r>
      <w:r w:rsidR="00EE6AA2">
        <w:t>е</w:t>
      </w:r>
      <w:r w:rsidR="00D933BD" w:rsidRPr="00F6340E">
        <w:t xml:space="preserve"> </w:t>
      </w:r>
      <w:r w:rsidR="0071360A">
        <w:t>св</w:t>
      </w:r>
      <w:r>
        <w:t>аком</w:t>
      </w:r>
      <w:r w:rsidR="00D933BD" w:rsidRPr="00F6340E">
        <w:t xml:space="preserve"> </w:t>
      </w:r>
      <w:r>
        <w:t>дј</w:t>
      </w:r>
      <w:r w:rsidR="00EE6AA2">
        <w:t>е</w:t>
      </w:r>
      <w:r w:rsidR="0071360A">
        <w:t>т</w:t>
      </w:r>
      <w:r w:rsidR="00EE6AA2">
        <w:t>е</w:t>
      </w:r>
      <w:r w:rsidR="0071360A">
        <w:t>ту</w:t>
      </w:r>
      <w:r w:rsidR="00D933BD" w:rsidRPr="00F6340E">
        <w:t xml:space="preserve"> </w:t>
      </w:r>
      <w:r w:rsidR="0071360A">
        <w:t>т</w:t>
      </w:r>
      <w:r w:rsidR="00EE6AA2">
        <w:t>е</w:t>
      </w:r>
      <w:r w:rsidR="00D933BD" w:rsidRPr="00F6340E">
        <w:t xml:space="preserve"> </w:t>
      </w:r>
      <w:r w:rsidR="0071360A">
        <w:t>с</w:t>
      </w:r>
      <w:r w:rsidR="00EE6AA2">
        <w:t>е</w:t>
      </w:r>
      <w:r w:rsidR="00D933BD" w:rsidRPr="00F6340E">
        <w:t xml:space="preserve"> </w:t>
      </w:r>
      <w:r w:rsidR="0071360A">
        <w:t>у</w:t>
      </w:r>
      <w:r w:rsidR="00D933BD" w:rsidRPr="00F6340E">
        <w:t xml:space="preserve"> </w:t>
      </w:r>
      <w:r w:rsidR="0071360A">
        <w:t>свр</w:t>
      </w:r>
      <w:r>
        <w:t>х</w:t>
      </w:r>
      <w:r w:rsidR="0071360A">
        <w:t>у</w:t>
      </w:r>
      <w:r w:rsidR="00D933BD" w:rsidRPr="00F6340E">
        <w:t xml:space="preserve"> </w:t>
      </w:r>
      <w:r>
        <w:t>о</w:t>
      </w:r>
      <w:r w:rsidR="0071360A">
        <w:t>ств</w:t>
      </w:r>
      <w:r>
        <w:t>а</w:t>
      </w:r>
      <w:r w:rsidR="0071360A">
        <w:t>р</w:t>
      </w:r>
      <w:r>
        <w:t>и</w:t>
      </w:r>
      <w:r w:rsidR="0071360A">
        <w:t>в</w:t>
      </w:r>
      <w:r>
        <w:t>ања</w:t>
      </w:r>
      <w:r w:rsidR="00D933BD" w:rsidRPr="00F6340E">
        <w:t xml:space="preserve"> </w:t>
      </w:r>
      <w:r w:rsidR="0071360A">
        <w:t>т</w:t>
      </w:r>
      <w:r>
        <w:t>ог</w:t>
      </w:r>
      <w:r w:rsidR="00D933BD" w:rsidRPr="00F6340E">
        <w:t xml:space="preserve"> </w:t>
      </w:r>
      <w:r w:rsidR="0071360A">
        <w:t>пр</w:t>
      </w:r>
      <w:r>
        <w:t>а</w:t>
      </w:r>
      <w:r w:rsidR="0071360A">
        <w:t>в</w:t>
      </w:r>
      <w:r>
        <w:t>а</w:t>
      </w:r>
      <w:r w:rsidR="00D933BD" w:rsidRPr="00F6340E">
        <w:t xml:space="preserve"> </w:t>
      </w:r>
      <w:r>
        <w:t>д</w:t>
      </w:r>
      <w:r w:rsidR="0071360A">
        <w:t>р</w:t>
      </w:r>
      <w:r w:rsidR="00171F00">
        <w:t>ж</w:t>
      </w:r>
      <w:r>
        <w:t>а</w:t>
      </w:r>
      <w:r w:rsidR="0071360A">
        <w:t>в</w:t>
      </w:r>
      <w:r w:rsidR="00EE6AA2">
        <w:t>е</w:t>
      </w:r>
      <w:r w:rsidR="00D933BD" w:rsidRPr="00F6340E">
        <w:t xml:space="preserve"> </w:t>
      </w:r>
      <w:r w:rsidR="0071360A">
        <w:t>п</w:t>
      </w:r>
      <w:r>
        <w:t>о</w:t>
      </w:r>
      <w:r w:rsidR="0071360A">
        <w:t>тп</w:t>
      </w:r>
      <w:r>
        <w:t>и</w:t>
      </w:r>
      <w:r w:rsidR="0071360A">
        <w:t>с</w:t>
      </w:r>
      <w:r>
        <w:t>ниц</w:t>
      </w:r>
      <w:r w:rsidR="00EE6AA2">
        <w:t>е</w:t>
      </w:r>
      <w:r w:rsidR="00D933BD" w:rsidRPr="00F6340E">
        <w:t xml:space="preserve"> </w:t>
      </w:r>
      <w:r>
        <w:t>оба</w:t>
      </w:r>
      <w:r w:rsidR="0071360A">
        <w:t>в</w:t>
      </w:r>
      <w:r w:rsidR="00EE6AA2">
        <w:t>е</w:t>
      </w:r>
      <w:r w:rsidR="00171F00">
        <w:t>з</w:t>
      </w:r>
      <w:r w:rsidR="0071360A">
        <w:t>у</w:t>
      </w:r>
      <w:r>
        <w:t>ј</w:t>
      </w:r>
      <w:r w:rsidR="0071360A">
        <w:t>у</w:t>
      </w:r>
      <w:r w:rsidR="00D933BD" w:rsidRPr="00F6340E">
        <w:t xml:space="preserve"> </w:t>
      </w:r>
      <w:r>
        <w:t>на</w:t>
      </w:r>
      <w:r w:rsidR="00D933BD" w:rsidRPr="00F6340E">
        <w:t xml:space="preserve"> </w:t>
      </w:r>
      <w:r w:rsidR="0071360A">
        <w:t>ств</w:t>
      </w:r>
      <w:r>
        <w:t>а</w:t>
      </w:r>
      <w:r w:rsidR="0071360A">
        <w:t>р</w:t>
      </w:r>
      <w:r>
        <w:t>ањ</w:t>
      </w:r>
      <w:r w:rsidR="00EE6AA2">
        <w:t>е</w:t>
      </w:r>
      <w:r w:rsidR="00D933BD" w:rsidRPr="00F6340E">
        <w:t xml:space="preserve"> </w:t>
      </w:r>
      <w:r>
        <w:t>ј</w:t>
      </w:r>
      <w:r w:rsidR="00EE6AA2">
        <w:t>е</w:t>
      </w:r>
      <w:r>
        <w:t>днаких</w:t>
      </w:r>
      <w:r w:rsidR="00D933BD" w:rsidRPr="00F6340E">
        <w:t xml:space="preserve"> </w:t>
      </w:r>
      <w:r>
        <w:t>мог</w:t>
      </w:r>
      <w:r w:rsidR="0071360A">
        <w:t>у</w:t>
      </w:r>
      <w:r>
        <w:t>ћно</w:t>
      </w:r>
      <w:r w:rsidR="0071360A">
        <w:t>ст</w:t>
      </w:r>
      <w:r>
        <w:t>и</w:t>
      </w:r>
      <w:r w:rsidR="00D933BD" w:rsidRPr="00F6340E">
        <w:t xml:space="preserve"> </w:t>
      </w:r>
      <w:r w:rsidR="00171F00">
        <w:t>з</w:t>
      </w:r>
      <w:r>
        <w:t>а</w:t>
      </w:r>
      <w:r w:rsidR="00D933BD" w:rsidRPr="00F6340E">
        <w:t xml:space="preserve"> </w:t>
      </w:r>
      <w:r w:rsidR="0071360A">
        <w:t>сву</w:t>
      </w:r>
      <w:r w:rsidR="00D933BD" w:rsidRPr="00F6340E">
        <w:t xml:space="preserve"> </w:t>
      </w:r>
      <w:r>
        <w:t>дј</w:t>
      </w:r>
      <w:r w:rsidR="00EE6AA2">
        <w:t>е</w:t>
      </w:r>
      <w:r>
        <w:t>ц</w:t>
      </w:r>
      <w:r w:rsidR="0071360A">
        <w:t>у</w:t>
      </w:r>
      <w:r w:rsidR="00D933BD" w:rsidRPr="00F6340E">
        <w:t xml:space="preserve"> </w:t>
      </w:r>
      <w:r>
        <w:t>и</w:t>
      </w:r>
      <w:r w:rsidR="00D933BD" w:rsidRPr="00F6340E">
        <w:t xml:space="preserve"> </w:t>
      </w:r>
      <w:r>
        <w:t>њихо</w:t>
      </w:r>
      <w:r w:rsidR="0071360A">
        <w:t>в</w:t>
      </w:r>
      <w:r>
        <w:t>о</w:t>
      </w:r>
      <w:r w:rsidR="00D933BD" w:rsidRPr="00F6340E">
        <w:t xml:space="preserve"> </w:t>
      </w:r>
      <w:r w:rsidR="0071360A">
        <w:t>у</w:t>
      </w:r>
      <w:r>
        <w:t>кљ</w:t>
      </w:r>
      <w:r w:rsidR="0071360A">
        <w:t>у</w:t>
      </w:r>
      <w:r>
        <w:t>чи</w:t>
      </w:r>
      <w:r w:rsidR="0071360A">
        <w:t>в</w:t>
      </w:r>
      <w:r>
        <w:t>ањ</w:t>
      </w:r>
      <w:r w:rsidR="00EE6AA2">
        <w:t>е</w:t>
      </w:r>
      <w:r w:rsidR="00D933BD" w:rsidRPr="00F6340E">
        <w:t xml:space="preserve"> </w:t>
      </w:r>
      <w:r w:rsidR="0071360A">
        <w:t>у</w:t>
      </w:r>
      <w:r w:rsidR="00D933BD" w:rsidRPr="00F6340E">
        <w:t xml:space="preserve"> </w:t>
      </w:r>
      <w:r w:rsidR="0071360A">
        <w:t>св</w:t>
      </w:r>
      <w:r>
        <w:t>им</w:t>
      </w:r>
      <w:r w:rsidR="00D933BD" w:rsidRPr="00F6340E">
        <w:t xml:space="preserve"> </w:t>
      </w:r>
      <w:r>
        <w:t>ни</w:t>
      </w:r>
      <w:r w:rsidR="0071360A">
        <w:t>в</w:t>
      </w:r>
      <w:r>
        <w:t>оима</w:t>
      </w:r>
      <w:r w:rsidR="00D933BD" w:rsidRPr="00F6340E">
        <w:t xml:space="preserve"> </w:t>
      </w:r>
      <w:r>
        <w:t>об</w:t>
      </w:r>
      <w:r w:rsidR="0071360A">
        <w:t>р</w:t>
      </w:r>
      <w:r>
        <w:t>а</w:t>
      </w:r>
      <w:r w:rsidR="00171F00">
        <w:t>з</w:t>
      </w:r>
      <w:r>
        <w:t>о</w:t>
      </w:r>
      <w:r w:rsidR="0071360A">
        <w:t>в</w:t>
      </w:r>
      <w:r>
        <w:t>ања</w:t>
      </w:r>
      <w:r w:rsidR="00D933BD" w:rsidRPr="00F6340E">
        <w:t xml:space="preserve">. </w:t>
      </w:r>
    </w:p>
    <w:p w14:paraId="65F32D88" w14:textId="54662E98" w:rsidR="00872771" w:rsidRPr="00F6340E" w:rsidRDefault="00A56E08" w:rsidP="00210EE1">
      <w:pPr>
        <w:pStyle w:val="Body"/>
      </w:pPr>
      <w:r>
        <w:t>И</w:t>
      </w:r>
      <w:r w:rsidR="0071360A">
        <w:t>п</w:t>
      </w:r>
      <w:r>
        <w:t>ак</w:t>
      </w:r>
      <w:r w:rsidR="00872771" w:rsidRPr="00F6340E">
        <w:t xml:space="preserve">, </w:t>
      </w:r>
      <w:r w:rsidR="0071360A">
        <w:t>пр</w:t>
      </w:r>
      <w:r>
        <w:t>а</w:t>
      </w:r>
      <w:r w:rsidR="0071360A">
        <w:t>в</w:t>
      </w:r>
      <w:r>
        <w:t>о</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t>као</w:t>
      </w:r>
      <w:r w:rsidR="00872771" w:rsidRPr="00F6340E">
        <w:t xml:space="preserve"> </w:t>
      </w:r>
      <w:r w:rsidR="00171F00">
        <w:t>з</w:t>
      </w:r>
      <w:r>
        <w:t>акон</w:t>
      </w:r>
      <w:r w:rsidR="0071360A">
        <w:t>с</w:t>
      </w:r>
      <w:r>
        <w:t>ка</w:t>
      </w:r>
      <w:r w:rsidR="00872771" w:rsidRPr="00F6340E">
        <w:t xml:space="preserve"> </w:t>
      </w:r>
      <w:r w:rsidR="0071360A">
        <w:t>пр</w:t>
      </w:r>
      <w:r w:rsidR="00EE6AA2">
        <w:t>е</w:t>
      </w:r>
      <w:r w:rsidR="0071360A">
        <w:t>тп</w:t>
      </w:r>
      <w:r>
        <w:t>о</w:t>
      </w:r>
      <w:r w:rsidR="0071360A">
        <w:t>ст</w:t>
      </w:r>
      <w:r>
        <w:t>а</w:t>
      </w:r>
      <w:r w:rsidR="0071360A">
        <w:t>в</w:t>
      </w:r>
      <w:r>
        <w:t>ка</w:t>
      </w:r>
      <w:r w:rsidR="00872771" w:rsidRPr="00F6340E">
        <w:t xml:space="preserve"> </w:t>
      </w:r>
      <w:r w:rsidR="0071360A">
        <w:t>с</w:t>
      </w:r>
      <w:r>
        <w:t>амо</w:t>
      </w:r>
      <w:r w:rsidR="00872771" w:rsidRPr="00F6340E">
        <w:t xml:space="preserve"> </w:t>
      </w:r>
      <w:r>
        <w:t>ј</w:t>
      </w:r>
      <w:r w:rsidR="00EE6AA2">
        <w:t>е</w:t>
      </w:r>
      <w:r w:rsidR="00872771" w:rsidRPr="00F6340E">
        <w:t xml:space="preserve"> </w:t>
      </w:r>
      <w:r w:rsidR="0071360A">
        <w:t>прв</w:t>
      </w:r>
      <w:r>
        <w:t>и</w:t>
      </w:r>
      <w:r w:rsidR="00872771" w:rsidRPr="00F6340E">
        <w:t xml:space="preserve"> </w:t>
      </w:r>
      <w:r>
        <w:t>ко</w:t>
      </w:r>
      <w:r w:rsidR="0071360A">
        <w:t>р</w:t>
      </w:r>
      <w:r>
        <w:t>ак</w:t>
      </w:r>
      <w:r w:rsidR="00872771" w:rsidRPr="00F6340E">
        <w:t xml:space="preserve"> </w:t>
      </w:r>
      <w:r>
        <w:t>ка</w:t>
      </w:r>
      <w:r w:rsidR="00872771" w:rsidRPr="00F6340E">
        <w:t xml:space="preserve"> </w:t>
      </w:r>
      <w:r w:rsidR="0071360A">
        <w:t>ств</w:t>
      </w:r>
      <w:r>
        <w:t>а</w:t>
      </w:r>
      <w:r w:rsidR="0071360A">
        <w:t>р</w:t>
      </w:r>
      <w:r>
        <w:t>ањ</w:t>
      </w:r>
      <w:r w:rsidR="0071360A">
        <w:t>у</w:t>
      </w:r>
      <w:r w:rsidR="00872771" w:rsidRPr="00F6340E">
        <w:t xml:space="preserve"> </w:t>
      </w:r>
      <w:r>
        <w:t>мог</w:t>
      </w:r>
      <w:r w:rsidR="0071360A">
        <w:t>у</w:t>
      </w:r>
      <w:r>
        <w:t>ћно</w:t>
      </w:r>
      <w:r w:rsidR="0071360A">
        <w:t>ст</w:t>
      </w:r>
      <w:r>
        <w:t>и</w:t>
      </w:r>
      <w:r w:rsidR="00872771" w:rsidRPr="00F6340E">
        <w:t xml:space="preserve"> </w:t>
      </w:r>
      <w:r w:rsidR="00171F00">
        <w:t>з</w:t>
      </w:r>
      <w:r>
        <w:t>а</w:t>
      </w:r>
      <w:r w:rsidR="00872771" w:rsidRPr="00F6340E">
        <w:t xml:space="preserve"> </w:t>
      </w:r>
      <w:r w:rsidR="0071360A">
        <w:t>у</w:t>
      </w:r>
      <w:r>
        <w:t>кљ</w:t>
      </w:r>
      <w:r w:rsidR="0071360A">
        <w:t>у</w:t>
      </w:r>
      <w:r>
        <w:t>чи</w:t>
      </w:r>
      <w:r w:rsidR="0071360A">
        <w:t>в</w:t>
      </w:r>
      <w:r>
        <w:t>ањ</w:t>
      </w:r>
      <w:r w:rsidR="00EE6AA2">
        <w:t>е</w:t>
      </w:r>
      <w:r w:rsidR="00872771" w:rsidRPr="00F6340E">
        <w:t xml:space="preserve"> </w:t>
      </w:r>
      <w:r w:rsidR="0071360A">
        <w:t>у</w:t>
      </w:r>
      <w:r w:rsidR="00872771" w:rsidRPr="00F6340E">
        <w:t xml:space="preserve"> </w:t>
      </w:r>
      <w:r w:rsidR="0071360A">
        <w:t>р</w:t>
      </w:r>
      <w:r w:rsidR="00EE6AA2">
        <w:t>е</w:t>
      </w:r>
      <w:r>
        <w:t>до</w:t>
      </w:r>
      <w:r w:rsidR="0071360A">
        <w:t>в</w:t>
      </w:r>
      <w:r>
        <w:t>ни</w:t>
      </w:r>
      <w:r w:rsidR="00DB12EE" w:rsidRPr="00F6340E">
        <w:t xml:space="preserve"> </w:t>
      </w:r>
      <w:r>
        <w:t>об</w:t>
      </w:r>
      <w:r w:rsidR="0071360A">
        <w:t>р</w:t>
      </w:r>
      <w:r>
        <w:t>а</w:t>
      </w:r>
      <w:r w:rsidR="00171F00">
        <w:t>з</w:t>
      </w:r>
      <w:r>
        <w:t>о</w:t>
      </w:r>
      <w:r w:rsidR="0071360A">
        <w:t>в</w:t>
      </w:r>
      <w:r>
        <w:t>ни</w:t>
      </w:r>
      <w:r w:rsidR="00872771" w:rsidRPr="00F6340E">
        <w:t xml:space="preserve"> </w:t>
      </w:r>
      <w:r w:rsidR="0071360A">
        <w:t>с</w:t>
      </w:r>
      <w:r>
        <w:t>и</w:t>
      </w:r>
      <w:r w:rsidR="0071360A">
        <w:t>ст</w:t>
      </w:r>
      <w:r w:rsidR="00EE6AA2">
        <w:t>е</w:t>
      </w:r>
      <w:r>
        <w:t>м</w:t>
      </w:r>
      <w:r w:rsidR="00872771" w:rsidRPr="00F6340E">
        <w:t xml:space="preserve"> </w:t>
      </w:r>
      <w:r>
        <w:t>и</w:t>
      </w:r>
      <w:r w:rsidR="00872771" w:rsidRPr="00F6340E">
        <w:t xml:space="preserve"> </w:t>
      </w:r>
      <w:r>
        <w:t>одно</w:t>
      </w:r>
      <w:r w:rsidR="0071360A">
        <w:t>с</w:t>
      </w:r>
      <w:r>
        <w:t>и</w:t>
      </w:r>
      <w:r w:rsidR="00872771" w:rsidRPr="00F6340E">
        <w:t xml:space="preserve"> </w:t>
      </w:r>
      <w:r w:rsidR="0071360A">
        <w:t>с</w:t>
      </w:r>
      <w:r w:rsidR="00EE6AA2">
        <w:t>е</w:t>
      </w:r>
      <w:r w:rsidR="00872771" w:rsidRPr="00F6340E">
        <w:t xml:space="preserve"> </w:t>
      </w:r>
      <w:r>
        <w:t>на</w:t>
      </w:r>
      <w:r w:rsidR="00872771" w:rsidRPr="00F6340E">
        <w:t xml:space="preserve"> </w:t>
      </w:r>
      <w:r w:rsidR="0071360A">
        <w:rPr>
          <w:i/>
        </w:rPr>
        <w:t>пр</w:t>
      </w:r>
      <w:r>
        <w:rPr>
          <w:i/>
        </w:rPr>
        <w:t>и</w:t>
      </w:r>
      <w:r w:rsidR="0071360A">
        <w:rPr>
          <w:i/>
        </w:rPr>
        <w:t>ступ</w:t>
      </w:r>
      <w:r w:rsidR="00872771" w:rsidRPr="00F6340E">
        <w:t xml:space="preserve"> </w:t>
      </w:r>
      <w:r>
        <w:t>одно</w:t>
      </w:r>
      <w:r w:rsidR="0071360A">
        <w:t>с</w:t>
      </w:r>
      <w:r>
        <w:t>но</w:t>
      </w:r>
      <w:r w:rsidR="00872771" w:rsidRPr="00F6340E">
        <w:t xml:space="preserve"> </w:t>
      </w:r>
      <w:r w:rsidR="0071360A">
        <w:t>у</w:t>
      </w:r>
      <w:r>
        <w:t>ла</w:t>
      </w:r>
      <w:r w:rsidR="00171F00">
        <w:t>з</w:t>
      </w:r>
      <w:r>
        <w:t>н</w:t>
      </w:r>
      <w:r w:rsidR="00EE6AA2">
        <w:t>е</w:t>
      </w:r>
      <w:r w:rsidR="00872771" w:rsidRPr="00F6340E">
        <w:t xml:space="preserve"> </w:t>
      </w:r>
      <w:r>
        <w:t>фак</w:t>
      </w:r>
      <w:r w:rsidR="0071360A">
        <w:t>т</w:t>
      </w:r>
      <w:r>
        <w:t>о</w:t>
      </w:r>
      <w:r w:rsidR="0071360A">
        <w:t>р</w:t>
      </w:r>
      <w:r w:rsidR="00EE6AA2">
        <w:t>е</w:t>
      </w:r>
      <w:r w:rsidR="00872771" w:rsidRPr="00F6340E">
        <w:t xml:space="preserve"> </w:t>
      </w:r>
      <w:r w:rsidR="0071360A">
        <w:t>в</w:t>
      </w:r>
      <w:r w:rsidR="00EE6AA2">
        <w:t>е</w:t>
      </w:r>
      <w:r w:rsidR="00171F00">
        <w:t>з</w:t>
      </w:r>
      <w:r>
        <w:t>ан</w:t>
      </w:r>
      <w:r w:rsidR="00EE6AA2">
        <w:t>е</w:t>
      </w:r>
      <w:r w:rsidR="00872771" w:rsidRPr="00F6340E">
        <w:t xml:space="preserve"> </w:t>
      </w:r>
      <w:r w:rsidR="00171F00">
        <w:t>з</w:t>
      </w:r>
      <w:r>
        <w:t>а</w:t>
      </w:r>
      <w:r w:rsidR="00872771" w:rsidRPr="00F6340E">
        <w:t xml:space="preserve"> </w:t>
      </w:r>
      <w:r w:rsidR="0071360A">
        <w:t>ш</w:t>
      </w:r>
      <w:r>
        <w:t>кол</w:t>
      </w:r>
      <w:r w:rsidR="0071360A">
        <w:t>у</w:t>
      </w:r>
      <w:r w:rsidR="00872771" w:rsidRPr="00F6340E">
        <w:t xml:space="preserve">, </w:t>
      </w:r>
      <w:r>
        <w:t>који</w:t>
      </w:r>
      <w:r w:rsidR="00872771" w:rsidRPr="00F6340E">
        <w:t xml:space="preserve"> </w:t>
      </w:r>
      <w:r>
        <w:t>олак</w:t>
      </w:r>
      <w:r w:rsidR="0071360A">
        <w:t>ш</w:t>
      </w:r>
      <w:r>
        <w:t>а</w:t>
      </w:r>
      <w:r w:rsidR="0071360A">
        <w:t>в</w:t>
      </w:r>
      <w:r>
        <w:t>ај</w:t>
      </w:r>
      <w:r w:rsidR="0071360A">
        <w:t>у</w:t>
      </w:r>
      <w:r w:rsidR="00872771" w:rsidRPr="00F6340E">
        <w:t xml:space="preserve"> </w:t>
      </w:r>
      <w:r>
        <w:t>или</w:t>
      </w:r>
      <w:r w:rsidR="00872771" w:rsidRPr="00F6340E">
        <w:t xml:space="preserve"> </w:t>
      </w:r>
      <w:r>
        <w:t>о</w:t>
      </w:r>
      <w:r w:rsidR="0071360A">
        <w:t>т</w:t>
      </w:r>
      <w:r w:rsidR="00EE6AA2">
        <w:t>е</w:t>
      </w:r>
      <w:r w:rsidR="00171F00">
        <w:t>ж</w:t>
      </w:r>
      <w:r>
        <w:t>а</w:t>
      </w:r>
      <w:r w:rsidR="0071360A">
        <w:t>в</w:t>
      </w:r>
      <w:r>
        <w:t>ај</w:t>
      </w:r>
      <w:r w:rsidR="0071360A">
        <w:t>у</w:t>
      </w:r>
      <w:r w:rsidR="00872771" w:rsidRPr="00F6340E">
        <w:t xml:space="preserve"> </w:t>
      </w:r>
      <w:r w:rsidR="0071360A">
        <w:t>пр</w:t>
      </w:r>
      <w:r>
        <w:t>и</w:t>
      </w:r>
      <w:r w:rsidR="0071360A">
        <w:t>ступ</w:t>
      </w:r>
      <w:r w:rsidR="00872771" w:rsidRPr="00F6340E">
        <w:t xml:space="preserve"> </w:t>
      </w:r>
      <w:r>
        <w:t>ма</w:t>
      </w:r>
      <w:r w:rsidR="0071360A">
        <w:t>р</w:t>
      </w:r>
      <w:r>
        <w:t>гинали</w:t>
      </w:r>
      <w:r w:rsidR="00171F00">
        <w:t>з</w:t>
      </w:r>
      <w:r>
        <w:t>о</w:t>
      </w:r>
      <w:r w:rsidR="0071360A">
        <w:t>в</w:t>
      </w:r>
      <w:r>
        <w:t>аним</w:t>
      </w:r>
      <w:r w:rsidR="00872771" w:rsidRPr="00F6340E">
        <w:t xml:space="preserve"> </w:t>
      </w:r>
      <w:r>
        <w:t>о</w:t>
      </w:r>
      <w:r w:rsidR="0071360A">
        <w:t>с</w:t>
      </w:r>
      <w:r>
        <w:t>обама</w:t>
      </w:r>
      <w:r w:rsidR="00872771" w:rsidRPr="00F6340E">
        <w:t xml:space="preserve">. </w:t>
      </w:r>
    </w:p>
    <w:p w14:paraId="3D26B06B" w14:textId="62441C9A" w:rsidR="00872771" w:rsidRPr="00F6340E" w:rsidRDefault="00A56E08" w:rsidP="00210EE1">
      <w:pPr>
        <w:pStyle w:val="Body"/>
      </w:pPr>
      <w:r>
        <w:t>М</w:t>
      </w:r>
      <w:r w:rsidR="0071360A">
        <w:t>у</w:t>
      </w:r>
      <w:r>
        <w:t>л</w:t>
      </w:r>
      <w:r w:rsidR="0071360A">
        <w:t>т</w:t>
      </w:r>
      <w:r>
        <w:t>идим</w:t>
      </w:r>
      <w:r w:rsidR="00EE6AA2">
        <w:t>е</w:t>
      </w:r>
      <w:r>
        <w:t>н</w:t>
      </w:r>
      <w:r w:rsidR="00171F00">
        <w:t>з</w:t>
      </w:r>
      <w:r>
        <w:t>ионално</w:t>
      </w:r>
      <w:r w:rsidR="0071360A">
        <w:t>ст</w:t>
      </w:r>
      <w:r w:rsidR="00872771" w:rsidRPr="00F6340E">
        <w:t xml:space="preserve"> </w:t>
      </w:r>
      <w:r w:rsidR="0071360A">
        <w:t>пр</w:t>
      </w:r>
      <w:r>
        <w:t>а</w:t>
      </w:r>
      <w:r w:rsidR="0071360A">
        <w:t>в</w:t>
      </w:r>
      <w:r>
        <w:t>а</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t>ј</w:t>
      </w:r>
      <w:r w:rsidR="00EE6AA2">
        <w:t>е</w:t>
      </w:r>
      <w:r w:rsidR="00872771" w:rsidRPr="00F6340E">
        <w:t xml:space="preserve"> </w:t>
      </w:r>
      <w:r>
        <w:t>о</w:t>
      </w:r>
      <w:r w:rsidR="0071360A">
        <w:t>п</w:t>
      </w:r>
      <w:r w:rsidR="00EE6AA2">
        <w:t>е</w:t>
      </w:r>
      <w:r w:rsidR="0071360A">
        <w:t>р</w:t>
      </w:r>
      <w:r>
        <w:t>ационали</w:t>
      </w:r>
      <w:r w:rsidR="00171F00">
        <w:t>з</w:t>
      </w:r>
      <w:r>
        <w:t>о</w:t>
      </w:r>
      <w:r w:rsidR="0071360A">
        <w:t>в</w:t>
      </w:r>
      <w:r>
        <w:t>ана</w:t>
      </w:r>
      <w:r w:rsidR="00C71DCF" w:rsidRPr="00F6340E">
        <w:t xml:space="preserve"> </w:t>
      </w:r>
      <w:r>
        <w:t>и</w:t>
      </w:r>
      <w:r w:rsidR="00872771" w:rsidRPr="00F6340E">
        <w:t xml:space="preserve"> </w:t>
      </w:r>
      <w:r>
        <w:t>к</w:t>
      </w:r>
      <w:r w:rsidR="0071360A">
        <w:t>р</w:t>
      </w:r>
      <w:r>
        <w:t>о</w:t>
      </w:r>
      <w:r w:rsidR="00171F00">
        <w:t>з</w:t>
      </w:r>
      <w:r w:rsidR="00872771" w:rsidRPr="00F6340E">
        <w:t xml:space="preserve"> </w:t>
      </w:r>
      <w:r w:rsidR="0071360A">
        <w:t>т</w:t>
      </w:r>
      <w:r w:rsidR="00171F00">
        <w:t>з</w:t>
      </w:r>
      <w:r w:rsidR="0071360A">
        <w:t>в</w:t>
      </w:r>
      <w:r w:rsidR="00872771" w:rsidRPr="00F6340E">
        <w:t>. 4</w:t>
      </w:r>
      <w:r>
        <w:t>А</w:t>
      </w:r>
      <w:r w:rsidR="00872771" w:rsidRPr="00F6340E">
        <w:t xml:space="preserve">, </w:t>
      </w:r>
      <w:r>
        <w:t>која</w:t>
      </w:r>
      <w:r w:rsidR="00872771" w:rsidRPr="00F6340E">
        <w:t xml:space="preserve"> </w:t>
      </w:r>
      <w:r>
        <w:t>омог</w:t>
      </w:r>
      <w:r w:rsidR="0071360A">
        <w:t>у</w:t>
      </w:r>
      <w:r>
        <w:t>ћа</w:t>
      </w:r>
      <w:r w:rsidR="0071360A">
        <w:t>в</w:t>
      </w:r>
      <w:r>
        <w:t>ај</w:t>
      </w:r>
      <w:r w:rsidR="0071360A">
        <w:t>у</w:t>
      </w:r>
      <w:r w:rsidR="00872771" w:rsidRPr="00F6340E">
        <w:t xml:space="preserve"> </w:t>
      </w:r>
      <w:r>
        <w:t>њ</w:t>
      </w:r>
      <w:r w:rsidR="00EE6AA2">
        <w:t>е</w:t>
      </w:r>
      <w:r w:rsidR="00171F00">
        <w:t>з</w:t>
      </w:r>
      <w:r>
        <w:t>ино</w:t>
      </w:r>
      <w:r w:rsidR="00095AD7" w:rsidRPr="00F6340E">
        <w:t xml:space="preserve"> </w:t>
      </w:r>
      <w:r w:rsidR="0071360A">
        <w:t>р</w:t>
      </w:r>
      <w:r>
        <w:t>а</w:t>
      </w:r>
      <w:r w:rsidR="00171F00">
        <w:t>з</w:t>
      </w:r>
      <w:r w:rsidR="0071360A">
        <w:t>у</w:t>
      </w:r>
      <w:r>
        <w:t>миј</w:t>
      </w:r>
      <w:r w:rsidR="00EE6AA2">
        <w:t>е</w:t>
      </w:r>
      <w:r w:rsidR="0071360A">
        <w:t>в</w:t>
      </w:r>
      <w:r>
        <w:t>ањ</w:t>
      </w:r>
      <w:r w:rsidR="00EE6AA2">
        <w:t>е</w:t>
      </w:r>
      <w:r w:rsidR="00872771" w:rsidRPr="00F6340E">
        <w:t xml:space="preserve"> (</w:t>
      </w:r>
      <w:r w:rsidR="0071360A">
        <w:t>Т</w:t>
      </w:r>
      <w:r>
        <w:t>ома</w:t>
      </w:r>
      <w:r w:rsidR="0071360A">
        <w:t>ш</w:t>
      </w:r>
      <w:r w:rsidR="00EE6AA2">
        <w:t>е</w:t>
      </w:r>
      <w:r w:rsidR="0071360A">
        <w:t>вс</w:t>
      </w:r>
      <w:r>
        <w:t>ки</w:t>
      </w:r>
      <w:r w:rsidR="00872771" w:rsidRPr="00F6340E">
        <w:t xml:space="preserve">, 2001): </w:t>
      </w:r>
    </w:p>
    <w:p w14:paraId="104AD5EF" w14:textId="514FFD03" w:rsidR="00872771" w:rsidRPr="00F6340E" w:rsidRDefault="000010C5" w:rsidP="00210EE1">
      <w:pPr>
        <w:pStyle w:val="Bulletlist"/>
        <w:rPr>
          <w:lang w:eastAsia="en-US"/>
        </w:rPr>
      </w:pPr>
      <w:r>
        <w:rPr>
          <w:b/>
          <w:lang w:val="hr-BA" w:eastAsia="en-US"/>
        </w:rPr>
        <w:lastRenderedPageBreak/>
        <w:t>Availability</w:t>
      </w:r>
      <w:r w:rsidR="00872771" w:rsidRPr="00F6340E">
        <w:rPr>
          <w:b/>
          <w:lang w:eastAsia="en-US"/>
        </w:rPr>
        <w:t>/</w:t>
      </w:r>
      <w:r w:rsidR="00A56E08">
        <w:rPr>
          <w:b/>
          <w:lang w:eastAsia="en-US"/>
        </w:rPr>
        <w:t>до</w:t>
      </w:r>
      <w:r w:rsidR="0071360A">
        <w:rPr>
          <w:b/>
          <w:lang w:eastAsia="en-US"/>
        </w:rPr>
        <w:t>ступ</w:t>
      </w:r>
      <w:r w:rsidR="00A56E08">
        <w:rPr>
          <w:b/>
          <w:lang w:eastAsia="en-US"/>
        </w:rPr>
        <w:t>но</w:t>
      </w:r>
      <w:r w:rsidR="0071360A">
        <w:rPr>
          <w:b/>
          <w:lang w:eastAsia="en-US"/>
        </w:rPr>
        <w:t>ст</w:t>
      </w:r>
      <w:r w:rsidR="00872771" w:rsidRPr="00F6340E">
        <w:rPr>
          <w:b/>
          <w:lang w:eastAsia="en-US"/>
        </w:rPr>
        <w:t>:</w:t>
      </w:r>
      <w:r w:rsidR="00872771" w:rsidRPr="00F6340E">
        <w:rPr>
          <w:lang w:eastAsia="en-US"/>
        </w:rPr>
        <w:t xml:space="preserve"> </w:t>
      </w:r>
      <w:r w:rsidR="0071360A">
        <w:rPr>
          <w:lang w:eastAsia="en-US"/>
        </w:rPr>
        <w:t>п</w:t>
      </w:r>
      <w:r w:rsidR="00A56E08">
        <w:rPr>
          <w:lang w:eastAsia="en-US"/>
        </w:rPr>
        <w:t>о</w:t>
      </w:r>
      <w:r w:rsidR="0071360A">
        <w:rPr>
          <w:lang w:eastAsia="en-US"/>
        </w:rPr>
        <w:t>ст</w:t>
      </w:r>
      <w:r w:rsidR="00A56E08">
        <w:rPr>
          <w:lang w:eastAsia="en-US"/>
        </w:rPr>
        <w:t>оји</w:t>
      </w:r>
      <w:r w:rsidR="00872771" w:rsidRPr="00F6340E">
        <w:rPr>
          <w:lang w:eastAsia="en-US"/>
        </w:rPr>
        <w:t xml:space="preserve"> </w:t>
      </w:r>
      <w:r w:rsidR="00A56E08">
        <w:rPr>
          <w:lang w:eastAsia="en-US"/>
        </w:rPr>
        <w:t>ли</w:t>
      </w:r>
      <w:r w:rsidR="00872771" w:rsidRPr="00F6340E">
        <w:rPr>
          <w:lang w:eastAsia="en-US"/>
        </w:rPr>
        <w:t xml:space="preserve"> </w:t>
      </w:r>
      <w:r w:rsidR="00A56E08">
        <w:rPr>
          <w:lang w:eastAsia="en-US"/>
        </w:rPr>
        <w:t>до</w:t>
      </w:r>
      <w:r w:rsidR="0071360A">
        <w:rPr>
          <w:lang w:eastAsia="en-US"/>
        </w:rPr>
        <w:t>в</w:t>
      </w:r>
      <w:r w:rsidR="00A56E08">
        <w:rPr>
          <w:lang w:eastAsia="en-US"/>
        </w:rPr>
        <w:t>ољан</w:t>
      </w:r>
      <w:r w:rsidR="00872771" w:rsidRPr="00F6340E">
        <w:rPr>
          <w:lang w:eastAsia="en-US"/>
        </w:rPr>
        <w:t xml:space="preserve"> </w:t>
      </w:r>
      <w:r w:rsidR="00A56E08">
        <w:rPr>
          <w:lang w:eastAsia="en-US"/>
        </w:rPr>
        <w:t>б</w:t>
      </w:r>
      <w:r w:rsidR="0071360A">
        <w:rPr>
          <w:lang w:eastAsia="en-US"/>
        </w:rPr>
        <w:t>р</w:t>
      </w:r>
      <w:r w:rsidR="00A56E08">
        <w:rPr>
          <w:lang w:eastAsia="en-US"/>
        </w:rPr>
        <w:t>ој</w:t>
      </w:r>
      <w:r w:rsidR="00872771" w:rsidRPr="00F6340E">
        <w:rPr>
          <w:lang w:eastAsia="en-US"/>
        </w:rPr>
        <w:t xml:space="preserve"> </w:t>
      </w:r>
      <w:r w:rsidR="00A56E08">
        <w:rPr>
          <w:lang w:eastAsia="en-US"/>
        </w:rPr>
        <w:t>ад</w:t>
      </w:r>
      <w:r w:rsidR="00EE6AA2">
        <w:rPr>
          <w:lang w:eastAsia="en-US"/>
        </w:rPr>
        <w:t>е</w:t>
      </w:r>
      <w:r w:rsidR="00A56E08">
        <w:rPr>
          <w:lang w:eastAsia="en-US"/>
        </w:rPr>
        <w:t>к</w:t>
      </w:r>
      <w:r w:rsidR="0071360A">
        <w:rPr>
          <w:lang w:eastAsia="en-US"/>
        </w:rPr>
        <w:t>в</w:t>
      </w:r>
      <w:r w:rsidR="00A56E08">
        <w:rPr>
          <w:lang w:eastAsia="en-US"/>
        </w:rPr>
        <w:t>а</w:t>
      </w:r>
      <w:r w:rsidR="0071360A">
        <w:rPr>
          <w:lang w:eastAsia="en-US"/>
        </w:rPr>
        <w:t>т</w:t>
      </w:r>
      <w:r w:rsidR="00A56E08">
        <w:rPr>
          <w:lang w:eastAsia="en-US"/>
        </w:rPr>
        <w:t>но</w:t>
      </w:r>
      <w:r w:rsidR="00872771" w:rsidRPr="00F6340E">
        <w:rPr>
          <w:lang w:eastAsia="en-US"/>
        </w:rPr>
        <w:t xml:space="preserve"> </w:t>
      </w:r>
      <w:r w:rsidR="00A56E08">
        <w:rPr>
          <w:lang w:eastAsia="en-US"/>
        </w:rPr>
        <w:t>о</w:t>
      </w:r>
      <w:r w:rsidR="0071360A">
        <w:rPr>
          <w:lang w:eastAsia="en-US"/>
        </w:rPr>
        <w:t>пр</w:t>
      </w:r>
      <w:r w:rsidR="00EE6AA2">
        <w:rPr>
          <w:lang w:eastAsia="en-US"/>
        </w:rPr>
        <w:t>е</w:t>
      </w:r>
      <w:r w:rsidR="00A56E08">
        <w:rPr>
          <w:lang w:eastAsia="en-US"/>
        </w:rPr>
        <w:t>мљ</w:t>
      </w:r>
      <w:r w:rsidR="00EE6AA2">
        <w:rPr>
          <w:lang w:eastAsia="en-US"/>
        </w:rPr>
        <w:t>е</w:t>
      </w:r>
      <w:r w:rsidR="00A56E08">
        <w:rPr>
          <w:lang w:eastAsia="en-US"/>
        </w:rPr>
        <w:t>них</w:t>
      </w:r>
      <w:r w:rsidR="00872771" w:rsidRPr="00F6340E">
        <w:rPr>
          <w:lang w:eastAsia="en-US"/>
        </w:rPr>
        <w:t xml:space="preserve"> </w:t>
      </w:r>
      <w:r w:rsidR="00A56E08">
        <w:rPr>
          <w:lang w:eastAsia="en-US"/>
        </w:rPr>
        <w:t>об</w:t>
      </w:r>
      <w:r w:rsidR="0071360A">
        <w:rPr>
          <w:lang w:eastAsia="en-US"/>
        </w:rPr>
        <w:t>р</w:t>
      </w:r>
      <w:r w:rsidR="00A56E08">
        <w:rPr>
          <w:lang w:eastAsia="en-US"/>
        </w:rPr>
        <w:t>а</w:t>
      </w:r>
      <w:r w:rsidR="00171F00">
        <w:rPr>
          <w:lang w:eastAsia="en-US"/>
        </w:rPr>
        <w:t>з</w:t>
      </w:r>
      <w:r w:rsidR="00A56E08">
        <w:rPr>
          <w:lang w:eastAsia="en-US"/>
        </w:rPr>
        <w:t>о</w:t>
      </w:r>
      <w:r w:rsidR="0071360A">
        <w:rPr>
          <w:lang w:eastAsia="en-US"/>
        </w:rPr>
        <w:t>в</w:t>
      </w:r>
      <w:r w:rsidR="00A56E08">
        <w:rPr>
          <w:lang w:eastAsia="en-US"/>
        </w:rPr>
        <w:t>них</w:t>
      </w:r>
      <w:r w:rsidR="00872771" w:rsidRPr="00F6340E">
        <w:rPr>
          <w:lang w:eastAsia="en-US"/>
        </w:rPr>
        <w:t xml:space="preserve"> </w:t>
      </w:r>
      <w:r w:rsidR="00A56E08">
        <w:rPr>
          <w:lang w:eastAsia="en-US"/>
        </w:rPr>
        <w:t>ин</w:t>
      </w:r>
      <w:r w:rsidR="0071360A">
        <w:rPr>
          <w:lang w:eastAsia="en-US"/>
        </w:rPr>
        <w:t>ст</w:t>
      </w:r>
      <w:r w:rsidR="00A56E08">
        <w:rPr>
          <w:lang w:eastAsia="en-US"/>
        </w:rPr>
        <w:t>и</w:t>
      </w:r>
      <w:r w:rsidR="0071360A">
        <w:rPr>
          <w:lang w:eastAsia="en-US"/>
        </w:rPr>
        <w:t>ту</w:t>
      </w:r>
      <w:r w:rsidR="00A56E08">
        <w:rPr>
          <w:lang w:eastAsia="en-US"/>
        </w:rPr>
        <w:t>ција</w:t>
      </w:r>
      <w:r w:rsidR="00872771" w:rsidRPr="00F6340E">
        <w:rPr>
          <w:lang w:eastAsia="en-US"/>
        </w:rPr>
        <w:t xml:space="preserve"> </w:t>
      </w:r>
      <w:r w:rsidR="00A56E08">
        <w:rPr>
          <w:lang w:eastAsia="en-US"/>
        </w:rPr>
        <w:t>и</w:t>
      </w:r>
      <w:r w:rsidR="00872771" w:rsidRPr="00F6340E">
        <w:rPr>
          <w:lang w:eastAsia="en-US"/>
        </w:rPr>
        <w:t xml:space="preserve"> </w:t>
      </w:r>
      <w:r w:rsidR="00A56E08">
        <w:rPr>
          <w:lang w:eastAsia="en-US"/>
        </w:rPr>
        <w:t>ј</w:t>
      </w:r>
      <w:r w:rsidR="00EE6AA2">
        <w:rPr>
          <w:lang w:eastAsia="en-US"/>
        </w:rPr>
        <w:t>е</w:t>
      </w:r>
      <w:r w:rsidR="0071360A">
        <w:rPr>
          <w:lang w:eastAsia="en-US"/>
        </w:rPr>
        <w:t>су</w:t>
      </w:r>
      <w:r w:rsidR="00872771" w:rsidRPr="00F6340E">
        <w:rPr>
          <w:lang w:eastAsia="en-US"/>
        </w:rPr>
        <w:t xml:space="preserve"> </w:t>
      </w:r>
      <w:r w:rsidR="00A56E08">
        <w:rPr>
          <w:lang w:eastAsia="en-US"/>
        </w:rPr>
        <w:t>ли</w:t>
      </w:r>
      <w:r w:rsidR="00872771" w:rsidRPr="00F6340E">
        <w:rPr>
          <w:lang w:eastAsia="en-US"/>
        </w:rPr>
        <w:t xml:space="preserve"> </w:t>
      </w:r>
      <w:r w:rsidR="0071360A">
        <w:rPr>
          <w:lang w:eastAsia="en-US"/>
        </w:rPr>
        <w:t>р</w:t>
      </w:r>
      <w:r w:rsidR="00EE6AA2">
        <w:rPr>
          <w:lang w:eastAsia="en-US"/>
        </w:rPr>
        <w:t>е</w:t>
      </w:r>
      <w:r w:rsidR="00A56E08">
        <w:rPr>
          <w:lang w:eastAsia="en-US"/>
        </w:rPr>
        <w:t>гионално</w:t>
      </w:r>
      <w:r w:rsidR="00872771" w:rsidRPr="00F6340E">
        <w:rPr>
          <w:lang w:eastAsia="en-US"/>
        </w:rPr>
        <w:t xml:space="preserve"> </w:t>
      </w:r>
      <w:r w:rsidR="00A56E08">
        <w:rPr>
          <w:lang w:eastAsia="en-US"/>
        </w:rPr>
        <w:t>ди</w:t>
      </w:r>
      <w:r w:rsidR="0071360A">
        <w:rPr>
          <w:lang w:eastAsia="en-US"/>
        </w:rPr>
        <w:t>стр</w:t>
      </w:r>
      <w:r w:rsidR="00A56E08">
        <w:rPr>
          <w:lang w:eastAsia="en-US"/>
        </w:rPr>
        <w:t>иб</w:t>
      </w:r>
      <w:r w:rsidR="0071360A">
        <w:rPr>
          <w:lang w:eastAsia="en-US"/>
        </w:rPr>
        <w:t>у</w:t>
      </w:r>
      <w:r w:rsidR="00A56E08">
        <w:rPr>
          <w:lang w:eastAsia="en-US"/>
        </w:rPr>
        <w:t>и</w:t>
      </w:r>
      <w:r w:rsidR="0071360A">
        <w:rPr>
          <w:lang w:eastAsia="en-US"/>
        </w:rPr>
        <w:t>р</w:t>
      </w:r>
      <w:r w:rsidR="00A56E08">
        <w:rPr>
          <w:lang w:eastAsia="en-US"/>
        </w:rPr>
        <w:t>ан</w:t>
      </w:r>
      <w:r w:rsidR="00EE6AA2">
        <w:rPr>
          <w:lang w:eastAsia="en-US"/>
        </w:rPr>
        <w:t>е</w:t>
      </w:r>
      <w:r w:rsidR="00872771" w:rsidRPr="00F6340E">
        <w:rPr>
          <w:lang w:eastAsia="en-US"/>
        </w:rPr>
        <w:t>?</w:t>
      </w:r>
    </w:p>
    <w:p w14:paraId="21FDFC3B" w14:textId="016BF0AC" w:rsidR="00872771" w:rsidRPr="00F6340E" w:rsidRDefault="000010C5" w:rsidP="00210EE1">
      <w:pPr>
        <w:pStyle w:val="Bulletlist"/>
        <w:rPr>
          <w:lang w:eastAsia="en-US"/>
        </w:rPr>
      </w:pPr>
      <w:r>
        <w:rPr>
          <w:b/>
          <w:lang w:val="hr-BA" w:eastAsia="en-US"/>
        </w:rPr>
        <w:t>Accessibility</w:t>
      </w:r>
      <w:r w:rsidR="00872771" w:rsidRPr="00F6340E">
        <w:rPr>
          <w:b/>
          <w:lang w:eastAsia="en-US"/>
        </w:rPr>
        <w:t>/</w:t>
      </w:r>
      <w:r w:rsidR="0071360A">
        <w:rPr>
          <w:b/>
          <w:lang w:eastAsia="en-US"/>
        </w:rPr>
        <w:t>пр</w:t>
      </w:r>
      <w:r w:rsidR="00A56E08">
        <w:rPr>
          <w:b/>
          <w:lang w:eastAsia="en-US"/>
        </w:rPr>
        <w:t>и</w:t>
      </w:r>
      <w:r w:rsidR="0071360A">
        <w:rPr>
          <w:b/>
          <w:lang w:eastAsia="en-US"/>
        </w:rPr>
        <w:t>ступ</w:t>
      </w:r>
      <w:r w:rsidR="00A56E08">
        <w:rPr>
          <w:b/>
          <w:lang w:eastAsia="en-US"/>
        </w:rPr>
        <w:t>ачно</w:t>
      </w:r>
      <w:r w:rsidR="0071360A">
        <w:rPr>
          <w:b/>
          <w:lang w:eastAsia="en-US"/>
        </w:rPr>
        <w:t>ст</w:t>
      </w:r>
      <w:r w:rsidR="00872771" w:rsidRPr="00F6340E">
        <w:rPr>
          <w:lang w:eastAsia="en-US"/>
        </w:rPr>
        <w:t xml:space="preserve">: </w:t>
      </w:r>
      <w:r w:rsidR="00A56E08">
        <w:rPr>
          <w:lang w:eastAsia="en-US"/>
        </w:rPr>
        <w:t>ј</w:t>
      </w:r>
      <w:r w:rsidR="00EE6AA2">
        <w:rPr>
          <w:lang w:eastAsia="en-US"/>
        </w:rPr>
        <w:t>е</w:t>
      </w:r>
      <w:r w:rsidR="0071360A">
        <w:rPr>
          <w:lang w:eastAsia="en-US"/>
        </w:rPr>
        <w:t>су</w:t>
      </w:r>
      <w:r w:rsidR="00872771" w:rsidRPr="00F6340E">
        <w:rPr>
          <w:lang w:eastAsia="en-US"/>
        </w:rPr>
        <w:t xml:space="preserve"> </w:t>
      </w:r>
      <w:r w:rsidR="00A56E08">
        <w:rPr>
          <w:lang w:eastAsia="en-US"/>
        </w:rPr>
        <w:t>ли</w:t>
      </w:r>
      <w:r w:rsidR="00872771" w:rsidRPr="00F6340E">
        <w:rPr>
          <w:lang w:eastAsia="en-US"/>
        </w:rPr>
        <w:t xml:space="preserve"> </w:t>
      </w:r>
      <w:r w:rsidR="00A56E08">
        <w:rPr>
          <w:lang w:eastAsia="en-US"/>
        </w:rPr>
        <w:t>ин</w:t>
      </w:r>
      <w:r w:rsidR="0071360A">
        <w:rPr>
          <w:lang w:eastAsia="en-US"/>
        </w:rPr>
        <w:t>ст</w:t>
      </w:r>
      <w:r w:rsidR="00A56E08">
        <w:rPr>
          <w:lang w:eastAsia="en-US"/>
        </w:rPr>
        <w:t>и</w:t>
      </w:r>
      <w:r w:rsidR="0071360A">
        <w:rPr>
          <w:lang w:eastAsia="en-US"/>
        </w:rPr>
        <w:t>ту</w:t>
      </w:r>
      <w:r w:rsidR="00A56E08">
        <w:rPr>
          <w:lang w:eastAsia="en-US"/>
        </w:rPr>
        <w:t>циј</w:t>
      </w:r>
      <w:r w:rsidR="00EE6AA2">
        <w:rPr>
          <w:lang w:eastAsia="en-US"/>
        </w:rPr>
        <w:t>е</w:t>
      </w:r>
      <w:r w:rsidR="00872771" w:rsidRPr="00F6340E">
        <w:rPr>
          <w:lang w:eastAsia="en-US"/>
        </w:rPr>
        <w:t xml:space="preserve"> </w:t>
      </w:r>
      <w:r w:rsidR="00A56E08">
        <w:rPr>
          <w:lang w:eastAsia="en-US"/>
        </w:rPr>
        <w:t>фи</w:t>
      </w:r>
      <w:r w:rsidR="00171F00">
        <w:rPr>
          <w:lang w:eastAsia="en-US"/>
        </w:rPr>
        <w:t>з</w:t>
      </w:r>
      <w:r w:rsidR="00A56E08">
        <w:rPr>
          <w:lang w:eastAsia="en-US"/>
        </w:rPr>
        <w:t>ички</w:t>
      </w:r>
      <w:r w:rsidR="00872771" w:rsidRPr="00F6340E">
        <w:rPr>
          <w:lang w:eastAsia="en-US"/>
        </w:rPr>
        <w:t xml:space="preserve"> </w:t>
      </w:r>
      <w:r w:rsidR="00A56E08">
        <w:rPr>
          <w:lang w:eastAsia="en-US"/>
        </w:rPr>
        <w:t>и</w:t>
      </w:r>
      <w:r w:rsidR="00872771" w:rsidRPr="00F6340E">
        <w:rPr>
          <w:lang w:eastAsia="en-US"/>
        </w:rPr>
        <w:t xml:space="preserve"> </w:t>
      </w:r>
      <w:r w:rsidR="00EE6AA2">
        <w:rPr>
          <w:lang w:eastAsia="en-US"/>
        </w:rPr>
        <w:t>е</w:t>
      </w:r>
      <w:r w:rsidR="00A56E08">
        <w:rPr>
          <w:lang w:eastAsia="en-US"/>
        </w:rPr>
        <w:t>коном</w:t>
      </w:r>
      <w:r w:rsidR="0071360A">
        <w:rPr>
          <w:lang w:eastAsia="en-US"/>
        </w:rPr>
        <w:t>с</w:t>
      </w:r>
      <w:r w:rsidR="00A56E08">
        <w:rPr>
          <w:lang w:eastAsia="en-US"/>
        </w:rPr>
        <w:t>ки</w:t>
      </w:r>
      <w:r w:rsidR="00872771" w:rsidRPr="00F6340E">
        <w:rPr>
          <w:lang w:eastAsia="en-US"/>
        </w:rPr>
        <w:t xml:space="preserve"> </w:t>
      </w:r>
      <w:r w:rsidR="00A56E08">
        <w:rPr>
          <w:lang w:eastAsia="en-US"/>
        </w:rPr>
        <w:t>до</w:t>
      </w:r>
      <w:r w:rsidR="0071360A">
        <w:rPr>
          <w:lang w:eastAsia="en-US"/>
        </w:rPr>
        <w:t>ступ</w:t>
      </w:r>
      <w:r w:rsidR="00A56E08">
        <w:rPr>
          <w:lang w:eastAsia="en-US"/>
        </w:rPr>
        <w:t>н</w:t>
      </w:r>
      <w:r w:rsidR="00EE6AA2">
        <w:rPr>
          <w:lang w:eastAsia="en-US"/>
        </w:rPr>
        <w:t>е</w:t>
      </w:r>
      <w:r w:rsidR="00872771" w:rsidRPr="00F6340E">
        <w:rPr>
          <w:lang w:eastAsia="en-US"/>
        </w:rPr>
        <w:t xml:space="preserve">, </w:t>
      </w:r>
      <w:r w:rsidR="00A56E08">
        <w:rPr>
          <w:lang w:eastAsia="en-US"/>
        </w:rPr>
        <w:t>одно</w:t>
      </w:r>
      <w:r w:rsidR="0071360A">
        <w:rPr>
          <w:lang w:eastAsia="en-US"/>
        </w:rPr>
        <w:t>с</w:t>
      </w:r>
      <w:r w:rsidR="00A56E08">
        <w:rPr>
          <w:lang w:eastAsia="en-US"/>
        </w:rPr>
        <w:t>но</w:t>
      </w:r>
      <w:r w:rsidR="00872771" w:rsidRPr="00F6340E">
        <w:rPr>
          <w:lang w:eastAsia="en-US"/>
        </w:rPr>
        <w:t xml:space="preserve"> </w:t>
      </w:r>
      <w:r w:rsidR="00A56E08">
        <w:rPr>
          <w:lang w:eastAsia="en-US"/>
        </w:rPr>
        <w:t>ј</w:t>
      </w:r>
      <w:r w:rsidR="00EE6AA2">
        <w:rPr>
          <w:lang w:eastAsia="en-US"/>
        </w:rPr>
        <w:t>е</w:t>
      </w:r>
      <w:r w:rsidR="00872771" w:rsidRPr="00F6340E">
        <w:rPr>
          <w:lang w:eastAsia="en-US"/>
        </w:rPr>
        <w:t xml:space="preserve"> </w:t>
      </w:r>
      <w:r w:rsidR="00A56E08">
        <w:rPr>
          <w:lang w:eastAsia="en-US"/>
        </w:rPr>
        <w:t>ли</w:t>
      </w:r>
      <w:r w:rsidR="00872771" w:rsidRPr="00F6340E">
        <w:rPr>
          <w:lang w:eastAsia="en-US"/>
        </w:rPr>
        <w:t xml:space="preserve"> </w:t>
      </w:r>
      <w:r w:rsidR="0071360A">
        <w:rPr>
          <w:lang w:eastAsia="en-US"/>
        </w:rPr>
        <w:t>пр</w:t>
      </w:r>
      <w:r w:rsidR="00A56E08">
        <w:rPr>
          <w:lang w:eastAsia="en-US"/>
        </w:rPr>
        <w:t>и</w:t>
      </w:r>
      <w:r w:rsidR="0071360A">
        <w:rPr>
          <w:lang w:eastAsia="en-US"/>
        </w:rPr>
        <w:t>ступ</w:t>
      </w:r>
      <w:r w:rsidR="00872771" w:rsidRPr="00F6340E">
        <w:rPr>
          <w:lang w:eastAsia="en-US"/>
        </w:rPr>
        <w:t xml:space="preserve"> </w:t>
      </w:r>
      <w:r w:rsidR="00A56E08">
        <w:rPr>
          <w:lang w:eastAsia="en-US"/>
        </w:rPr>
        <w:t>ј</w:t>
      </w:r>
      <w:r w:rsidR="00EE6AA2">
        <w:rPr>
          <w:lang w:eastAsia="en-US"/>
        </w:rPr>
        <w:t>е</w:t>
      </w:r>
      <w:r w:rsidR="00A56E08">
        <w:rPr>
          <w:lang w:eastAsia="en-US"/>
        </w:rPr>
        <w:t>днак</w:t>
      </w:r>
      <w:r w:rsidR="00872771" w:rsidRPr="00F6340E">
        <w:rPr>
          <w:lang w:eastAsia="en-US"/>
        </w:rPr>
        <w:t xml:space="preserve"> </w:t>
      </w:r>
      <w:r w:rsidR="00171F00">
        <w:rPr>
          <w:lang w:eastAsia="en-US"/>
        </w:rPr>
        <w:t>з</w:t>
      </w:r>
      <w:r w:rsidR="00A56E08">
        <w:rPr>
          <w:lang w:eastAsia="en-US"/>
        </w:rPr>
        <w:t>а</w:t>
      </w:r>
      <w:r w:rsidR="00872771" w:rsidRPr="00F6340E">
        <w:rPr>
          <w:lang w:eastAsia="en-US"/>
        </w:rPr>
        <w:t xml:space="preserve"> </w:t>
      </w:r>
      <w:r w:rsidR="0071360A">
        <w:rPr>
          <w:lang w:eastAsia="en-US"/>
        </w:rPr>
        <w:t>св</w:t>
      </w:r>
      <w:r w:rsidR="00EE6AA2">
        <w:rPr>
          <w:lang w:eastAsia="en-US"/>
        </w:rPr>
        <w:t>е</w:t>
      </w:r>
      <w:r w:rsidR="00872771" w:rsidRPr="00F6340E">
        <w:rPr>
          <w:lang w:eastAsia="en-US"/>
        </w:rPr>
        <w:t>?</w:t>
      </w:r>
    </w:p>
    <w:p w14:paraId="27C22513" w14:textId="71FA1638" w:rsidR="00872771" w:rsidRPr="00F6340E" w:rsidRDefault="000010C5" w:rsidP="00210EE1">
      <w:pPr>
        <w:pStyle w:val="Bulletlist"/>
        <w:rPr>
          <w:lang w:eastAsia="en-US"/>
        </w:rPr>
      </w:pPr>
      <w:r>
        <w:rPr>
          <w:b/>
          <w:lang w:val="hr-BA" w:eastAsia="en-US"/>
        </w:rPr>
        <w:t>Acceptability</w:t>
      </w:r>
      <w:r w:rsidR="00872771" w:rsidRPr="00F6340E">
        <w:rPr>
          <w:b/>
          <w:lang w:eastAsia="en-US"/>
        </w:rPr>
        <w:t>/</w:t>
      </w:r>
      <w:r w:rsidR="0071360A">
        <w:rPr>
          <w:b/>
          <w:lang w:eastAsia="en-US"/>
        </w:rPr>
        <w:t>пр</w:t>
      </w:r>
      <w:r w:rsidR="00A56E08">
        <w:rPr>
          <w:b/>
          <w:lang w:eastAsia="en-US"/>
        </w:rPr>
        <w:t>их</w:t>
      </w:r>
      <w:r w:rsidR="0071360A">
        <w:rPr>
          <w:b/>
          <w:lang w:eastAsia="en-US"/>
        </w:rPr>
        <w:t>в</w:t>
      </w:r>
      <w:r w:rsidR="00A56E08">
        <w:rPr>
          <w:b/>
          <w:lang w:eastAsia="en-US"/>
        </w:rPr>
        <w:t>а</w:t>
      </w:r>
      <w:r w:rsidR="0071360A">
        <w:rPr>
          <w:b/>
          <w:lang w:eastAsia="en-US"/>
        </w:rPr>
        <w:t>т</w:t>
      </w:r>
      <w:r w:rsidR="00A56E08">
        <w:rPr>
          <w:b/>
          <w:lang w:eastAsia="en-US"/>
        </w:rPr>
        <w:t>љи</w:t>
      </w:r>
      <w:r w:rsidR="0071360A">
        <w:rPr>
          <w:b/>
          <w:lang w:eastAsia="en-US"/>
        </w:rPr>
        <w:t>в</w:t>
      </w:r>
      <w:r w:rsidR="00A56E08">
        <w:rPr>
          <w:b/>
          <w:lang w:eastAsia="en-US"/>
        </w:rPr>
        <w:t>о</w:t>
      </w:r>
      <w:r w:rsidR="0071360A">
        <w:rPr>
          <w:b/>
          <w:lang w:eastAsia="en-US"/>
        </w:rPr>
        <w:t>ст</w:t>
      </w:r>
      <w:r w:rsidR="00872771" w:rsidRPr="00F6340E">
        <w:rPr>
          <w:lang w:eastAsia="en-US"/>
        </w:rPr>
        <w:t xml:space="preserve">: </w:t>
      </w:r>
      <w:r w:rsidR="00A56E08">
        <w:rPr>
          <w:lang w:eastAsia="en-US"/>
        </w:rPr>
        <w:t>омог</w:t>
      </w:r>
      <w:r w:rsidR="0071360A">
        <w:rPr>
          <w:lang w:eastAsia="en-US"/>
        </w:rPr>
        <w:t>у</w:t>
      </w:r>
      <w:r w:rsidR="00A56E08">
        <w:rPr>
          <w:lang w:eastAsia="en-US"/>
        </w:rPr>
        <w:t>ћа</w:t>
      </w:r>
      <w:r w:rsidR="0071360A">
        <w:rPr>
          <w:lang w:eastAsia="en-US"/>
        </w:rPr>
        <w:t>в</w:t>
      </w:r>
      <w:r w:rsidR="00A56E08">
        <w:rPr>
          <w:lang w:eastAsia="en-US"/>
        </w:rPr>
        <w:t>ај</w:t>
      </w:r>
      <w:r w:rsidR="0071360A">
        <w:rPr>
          <w:lang w:eastAsia="en-US"/>
        </w:rPr>
        <w:t>у</w:t>
      </w:r>
      <w:r w:rsidR="00872771" w:rsidRPr="00F6340E">
        <w:rPr>
          <w:lang w:eastAsia="en-US"/>
        </w:rPr>
        <w:t xml:space="preserve"> </w:t>
      </w:r>
      <w:r w:rsidR="00A56E08">
        <w:rPr>
          <w:lang w:eastAsia="en-US"/>
        </w:rPr>
        <w:t>ли</w:t>
      </w:r>
      <w:r w:rsidR="00872771" w:rsidRPr="00F6340E">
        <w:rPr>
          <w:lang w:eastAsia="en-US"/>
        </w:rPr>
        <w:t xml:space="preserve"> </w:t>
      </w:r>
      <w:r w:rsidR="00A56E08">
        <w:rPr>
          <w:lang w:eastAsia="en-US"/>
        </w:rPr>
        <w:t>об</w:t>
      </w:r>
      <w:r w:rsidR="0071360A">
        <w:rPr>
          <w:lang w:eastAsia="en-US"/>
        </w:rPr>
        <w:t>р</w:t>
      </w:r>
      <w:r w:rsidR="00A56E08">
        <w:rPr>
          <w:lang w:eastAsia="en-US"/>
        </w:rPr>
        <w:t>а</w:t>
      </w:r>
      <w:r w:rsidR="00171F00">
        <w:rPr>
          <w:lang w:eastAsia="en-US"/>
        </w:rPr>
        <w:t>з</w:t>
      </w:r>
      <w:r w:rsidR="00A56E08">
        <w:rPr>
          <w:lang w:eastAsia="en-US"/>
        </w:rPr>
        <w:t>о</w:t>
      </w:r>
      <w:r w:rsidR="0071360A">
        <w:rPr>
          <w:lang w:eastAsia="en-US"/>
        </w:rPr>
        <w:t>в</w:t>
      </w:r>
      <w:r w:rsidR="00A56E08">
        <w:rPr>
          <w:lang w:eastAsia="en-US"/>
        </w:rPr>
        <w:t>ни</w:t>
      </w:r>
      <w:r w:rsidR="00872771" w:rsidRPr="00F6340E">
        <w:rPr>
          <w:lang w:eastAsia="en-US"/>
        </w:rPr>
        <w:t xml:space="preserve"> </w:t>
      </w:r>
      <w:r w:rsidR="0071360A">
        <w:rPr>
          <w:lang w:eastAsia="en-US"/>
        </w:rPr>
        <w:t>пр</w:t>
      </w:r>
      <w:r w:rsidR="00A56E08">
        <w:rPr>
          <w:lang w:eastAsia="en-US"/>
        </w:rPr>
        <w:t>ог</w:t>
      </w:r>
      <w:r w:rsidR="0071360A">
        <w:rPr>
          <w:lang w:eastAsia="en-US"/>
        </w:rPr>
        <w:t>р</w:t>
      </w:r>
      <w:r w:rsidR="00A56E08">
        <w:rPr>
          <w:lang w:eastAsia="en-US"/>
        </w:rPr>
        <w:t>ами</w:t>
      </w:r>
      <w:r w:rsidR="006B5098" w:rsidRPr="00F6340E">
        <w:rPr>
          <w:lang w:eastAsia="en-US"/>
        </w:rPr>
        <w:t xml:space="preserve"> </w:t>
      </w:r>
      <w:r w:rsidR="00A56E08">
        <w:rPr>
          <w:lang w:eastAsia="en-US"/>
        </w:rPr>
        <w:t>к</w:t>
      </w:r>
      <w:r w:rsidR="0071360A">
        <w:rPr>
          <w:lang w:eastAsia="en-US"/>
        </w:rPr>
        <w:t>в</w:t>
      </w:r>
      <w:r w:rsidR="00A56E08">
        <w:rPr>
          <w:lang w:eastAsia="en-US"/>
        </w:rPr>
        <w:t>али</w:t>
      </w:r>
      <w:r w:rsidR="0071360A">
        <w:rPr>
          <w:lang w:eastAsia="en-US"/>
        </w:rPr>
        <w:t>т</w:t>
      </w:r>
      <w:r w:rsidR="00EE6AA2">
        <w:rPr>
          <w:lang w:eastAsia="en-US"/>
        </w:rPr>
        <w:t>е</w:t>
      </w:r>
      <w:r w:rsidR="0071360A">
        <w:rPr>
          <w:lang w:eastAsia="en-US"/>
        </w:rPr>
        <w:t>т</w:t>
      </w:r>
      <w:r w:rsidR="00A56E08">
        <w:rPr>
          <w:lang w:eastAsia="en-US"/>
        </w:rPr>
        <w:t>но</w:t>
      </w:r>
      <w:r w:rsidR="006B5098" w:rsidRPr="00F6340E">
        <w:rPr>
          <w:lang w:eastAsia="en-US"/>
        </w:rPr>
        <w:t xml:space="preserve"> </w:t>
      </w:r>
      <w:r w:rsidR="00A56E08">
        <w:rPr>
          <w:lang w:eastAsia="en-US"/>
        </w:rPr>
        <w:t>об</w:t>
      </w:r>
      <w:r w:rsidR="0071360A">
        <w:rPr>
          <w:lang w:eastAsia="en-US"/>
        </w:rPr>
        <w:t>р</w:t>
      </w:r>
      <w:r w:rsidR="00A56E08">
        <w:rPr>
          <w:lang w:eastAsia="en-US"/>
        </w:rPr>
        <w:t>а</w:t>
      </w:r>
      <w:r w:rsidR="00171F00">
        <w:rPr>
          <w:lang w:eastAsia="en-US"/>
        </w:rPr>
        <w:t>з</w:t>
      </w:r>
      <w:r w:rsidR="00A56E08">
        <w:rPr>
          <w:lang w:eastAsia="en-US"/>
        </w:rPr>
        <w:t>о</w:t>
      </w:r>
      <w:r w:rsidR="0071360A">
        <w:rPr>
          <w:lang w:eastAsia="en-US"/>
        </w:rPr>
        <w:t>в</w:t>
      </w:r>
      <w:r w:rsidR="00A56E08">
        <w:rPr>
          <w:lang w:eastAsia="en-US"/>
        </w:rPr>
        <w:t>ањ</w:t>
      </w:r>
      <w:r w:rsidR="00EE6AA2">
        <w:rPr>
          <w:lang w:eastAsia="en-US"/>
        </w:rPr>
        <w:t>е</w:t>
      </w:r>
      <w:r w:rsidR="006B5098" w:rsidRPr="00F6340E">
        <w:rPr>
          <w:lang w:eastAsia="en-US"/>
        </w:rPr>
        <w:t>;</w:t>
      </w:r>
      <w:r w:rsidR="00872771" w:rsidRPr="00F6340E">
        <w:rPr>
          <w:lang w:eastAsia="en-US"/>
        </w:rPr>
        <w:t xml:space="preserve"> </w:t>
      </w:r>
      <w:r w:rsidR="00A56E08">
        <w:rPr>
          <w:lang w:eastAsia="en-US"/>
        </w:rPr>
        <w:t>ј</w:t>
      </w:r>
      <w:r w:rsidR="00EE6AA2">
        <w:rPr>
          <w:lang w:eastAsia="en-US"/>
        </w:rPr>
        <w:t>е</w:t>
      </w:r>
      <w:r w:rsidR="0071360A">
        <w:rPr>
          <w:lang w:eastAsia="en-US"/>
        </w:rPr>
        <w:t>су</w:t>
      </w:r>
      <w:r w:rsidR="00872771" w:rsidRPr="00F6340E">
        <w:rPr>
          <w:lang w:eastAsia="en-US"/>
        </w:rPr>
        <w:t xml:space="preserve"> </w:t>
      </w:r>
      <w:r w:rsidR="00A56E08">
        <w:rPr>
          <w:lang w:eastAsia="en-US"/>
        </w:rPr>
        <w:t>ли</w:t>
      </w:r>
      <w:r w:rsidR="001A3922" w:rsidRPr="00F6340E">
        <w:rPr>
          <w:lang w:eastAsia="en-US"/>
        </w:rPr>
        <w:t xml:space="preserve"> </w:t>
      </w:r>
      <w:r w:rsidR="0071360A">
        <w:rPr>
          <w:lang w:eastAsia="en-US"/>
        </w:rPr>
        <w:t>ус</w:t>
      </w:r>
      <w:r w:rsidR="00A56E08">
        <w:rPr>
          <w:lang w:eastAsia="en-US"/>
        </w:rPr>
        <w:t>ло</w:t>
      </w:r>
      <w:r w:rsidR="0071360A">
        <w:rPr>
          <w:lang w:eastAsia="en-US"/>
        </w:rPr>
        <w:t>в</w:t>
      </w:r>
      <w:r w:rsidR="00A56E08">
        <w:rPr>
          <w:lang w:eastAsia="en-US"/>
        </w:rPr>
        <w:t>и</w:t>
      </w:r>
      <w:r w:rsidR="00872771" w:rsidRPr="00F6340E">
        <w:rPr>
          <w:lang w:eastAsia="en-US"/>
        </w:rPr>
        <w:t xml:space="preserve"> </w:t>
      </w:r>
      <w:r w:rsidR="00A56E08">
        <w:rPr>
          <w:lang w:eastAsia="en-US"/>
        </w:rPr>
        <w:t>об</w:t>
      </w:r>
      <w:r w:rsidR="0071360A">
        <w:rPr>
          <w:lang w:eastAsia="en-US"/>
        </w:rPr>
        <w:t>р</w:t>
      </w:r>
      <w:r w:rsidR="00A56E08">
        <w:rPr>
          <w:lang w:eastAsia="en-US"/>
        </w:rPr>
        <w:t>а</w:t>
      </w:r>
      <w:r w:rsidR="00171F00">
        <w:rPr>
          <w:lang w:eastAsia="en-US"/>
        </w:rPr>
        <w:t>з</w:t>
      </w:r>
      <w:r w:rsidR="00A56E08">
        <w:rPr>
          <w:lang w:eastAsia="en-US"/>
        </w:rPr>
        <w:t>о</w:t>
      </w:r>
      <w:r w:rsidR="0071360A">
        <w:rPr>
          <w:lang w:eastAsia="en-US"/>
        </w:rPr>
        <w:t>в</w:t>
      </w:r>
      <w:r w:rsidR="00A56E08">
        <w:rPr>
          <w:lang w:eastAsia="en-US"/>
        </w:rPr>
        <w:t>ања</w:t>
      </w:r>
      <w:r w:rsidR="00872771" w:rsidRPr="00F6340E">
        <w:rPr>
          <w:lang w:eastAsia="en-US"/>
        </w:rPr>
        <w:t xml:space="preserve"> </w:t>
      </w:r>
      <w:r w:rsidR="0071360A">
        <w:rPr>
          <w:lang w:eastAsia="en-US"/>
        </w:rPr>
        <w:t>пр</w:t>
      </w:r>
      <w:r w:rsidR="00A56E08">
        <w:rPr>
          <w:lang w:eastAsia="en-US"/>
        </w:rPr>
        <w:t>их</w:t>
      </w:r>
      <w:r w:rsidR="0071360A">
        <w:rPr>
          <w:lang w:eastAsia="en-US"/>
        </w:rPr>
        <w:t>в</w:t>
      </w:r>
      <w:r w:rsidR="00A56E08">
        <w:rPr>
          <w:lang w:eastAsia="en-US"/>
        </w:rPr>
        <w:t>а</w:t>
      </w:r>
      <w:r w:rsidR="0071360A">
        <w:rPr>
          <w:lang w:eastAsia="en-US"/>
        </w:rPr>
        <w:t>т</w:t>
      </w:r>
      <w:r w:rsidR="00A56E08">
        <w:rPr>
          <w:lang w:eastAsia="en-US"/>
        </w:rPr>
        <w:t>љи</w:t>
      </w:r>
      <w:r w:rsidR="0071360A">
        <w:rPr>
          <w:lang w:eastAsia="en-US"/>
        </w:rPr>
        <w:t>в</w:t>
      </w:r>
      <w:r w:rsidR="00A56E08">
        <w:rPr>
          <w:lang w:eastAsia="en-US"/>
        </w:rPr>
        <w:t>и</w:t>
      </w:r>
      <w:r w:rsidR="00872771" w:rsidRPr="00F6340E">
        <w:rPr>
          <w:lang w:eastAsia="en-US"/>
        </w:rPr>
        <w:t xml:space="preserve"> </w:t>
      </w:r>
      <w:r w:rsidR="00A56E08">
        <w:rPr>
          <w:lang w:eastAsia="en-US"/>
        </w:rPr>
        <w:t>и</w:t>
      </w:r>
      <w:r w:rsidR="00872771" w:rsidRPr="00F6340E">
        <w:rPr>
          <w:lang w:eastAsia="en-US"/>
        </w:rPr>
        <w:t xml:space="preserve"> </w:t>
      </w:r>
      <w:r w:rsidR="0071360A">
        <w:rPr>
          <w:lang w:eastAsia="en-US"/>
        </w:rPr>
        <w:t>ус</w:t>
      </w:r>
      <w:r w:rsidR="00A56E08">
        <w:rPr>
          <w:lang w:eastAsia="en-US"/>
        </w:rPr>
        <w:t>клађ</w:t>
      </w:r>
      <w:r w:rsidR="00EE6AA2">
        <w:rPr>
          <w:lang w:eastAsia="en-US"/>
        </w:rPr>
        <w:t>е</w:t>
      </w:r>
      <w:r w:rsidR="00A56E08">
        <w:rPr>
          <w:lang w:eastAsia="en-US"/>
        </w:rPr>
        <w:t>ни</w:t>
      </w:r>
      <w:r w:rsidR="00B04FA8">
        <w:rPr>
          <w:lang w:eastAsia="en-US"/>
        </w:rPr>
        <w:t xml:space="preserve"> са </w:t>
      </w:r>
      <w:r w:rsidR="00A56E08">
        <w:rPr>
          <w:lang w:eastAsia="en-US"/>
        </w:rPr>
        <w:t>минималним</w:t>
      </w:r>
      <w:r w:rsidR="00872771" w:rsidRPr="00F6340E">
        <w:rPr>
          <w:lang w:eastAsia="en-US"/>
        </w:rPr>
        <w:t xml:space="preserve"> </w:t>
      </w:r>
      <w:r w:rsidR="00A56E08">
        <w:rPr>
          <w:lang w:eastAsia="en-US"/>
        </w:rPr>
        <w:t>ин</w:t>
      </w:r>
      <w:r w:rsidR="0071360A">
        <w:rPr>
          <w:lang w:eastAsia="en-US"/>
        </w:rPr>
        <w:t>т</w:t>
      </w:r>
      <w:r w:rsidR="00EE6AA2">
        <w:rPr>
          <w:lang w:eastAsia="en-US"/>
        </w:rPr>
        <w:t>е</w:t>
      </w:r>
      <w:r w:rsidR="0071360A">
        <w:rPr>
          <w:lang w:eastAsia="en-US"/>
        </w:rPr>
        <w:t>р</w:t>
      </w:r>
      <w:r w:rsidR="00A56E08">
        <w:rPr>
          <w:lang w:eastAsia="en-US"/>
        </w:rPr>
        <w:t>националним</w:t>
      </w:r>
      <w:r w:rsidR="00872771" w:rsidRPr="00F6340E">
        <w:rPr>
          <w:lang w:eastAsia="en-US"/>
        </w:rPr>
        <w:t xml:space="preserve"> </w:t>
      </w:r>
      <w:r w:rsidR="0071360A">
        <w:rPr>
          <w:lang w:eastAsia="en-US"/>
        </w:rPr>
        <w:t>ст</w:t>
      </w:r>
      <w:r w:rsidR="00A56E08">
        <w:rPr>
          <w:lang w:eastAsia="en-US"/>
        </w:rPr>
        <w:t>анда</w:t>
      </w:r>
      <w:r w:rsidR="0071360A">
        <w:rPr>
          <w:lang w:eastAsia="en-US"/>
        </w:rPr>
        <w:t>р</w:t>
      </w:r>
      <w:r w:rsidR="00A56E08">
        <w:rPr>
          <w:lang w:eastAsia="en-US"/>
        </w:rPr>
        <w:t>дима</w:t>
      </w:r>
      <w:r w:rsidR="00872771" w:rsidRPr="00F6340E">
        <w:rPr>
          <w:lang w:eastAsia="en-US"/>
        </w:rPr>
        <w:t>?</w:t>
      </w:r>
    </w:p>
    <w:p w14:paraId="5E1501DF" w14:textId="27920F9B" w:rsidR="00872771" w:rsidRPr="00F6340E" w:rsidRDefault="000010C5" w:rsidP="00210EE1">
      <w:pPr>
        <w:pStyle w:val="Bulletlist"/>
        <w:rPr>
          <w:lang w:eastAsia="en-US"/>
        </w:rPr>
      </w:pPr>
      <w:r>
        <w:rPr>
          <w:b/>
          <w:lang w:val="hr-BA" w:eastAsia="en-US"/>
        </w:rPr>
        <w:t>Adaptability</w:t>
      </w:r>
      <w:r w:rsidR="00872771" w:rsidRPr="00F6340E">
        <w:rPr>
          <w:b/>
          <w:lang w:eastAsia="en-US"/>
        </w:rPr>
        <w:t>/</w:t>
      </w:r>
      <w:r w:rsidR="0071360A">
        <w:rPr>
          <w:b/>
          <w:lang w:eastAsia="en-US"/>
        </w:rPr>
        <w:t>пр</w:t>
      </w:r>
      <w:r w:rsidR="00A56E08">
        <w:rPr>
          <w:b/>
          <w:lang w:eastAsia="en-US"/>
        </w:rPr>
        <w:t>илагодљи</w:t>
      </w:r>
      <w:r w:rsidR="0071360A">
        <w:rPr>
          <w:b/>
          <w:lang w:eastAsia="en-US"/>
        </w:rPr>
        <w:t>в</w:t>
      </w:r>
      <w:r w:rsidR="00A56E08">
        <w:rPr>
          <w:b/>
          <w:lang w:eastAsia="en-US"/>
        </w:rPr>
        <w:t>о</w:t>
      </w:r>
      <w:r w:rsidR="0071360A">
        <w:rPr>
          <w:b/>
          <w:lang w:eastAsia="en-US"/>
        </w:rPr>
        <w:t>ст</w:t>
      </w:r>
      <w:r w:rsidR="00872771" w:rsidRPr="00F6340E">
        <w:rPr>
          <w:b/>
          <w:lang w:eastAsia="en-US"/>
        </w:rPr>
        <w:t>:</w:t>
      </w:r>
      <w:r w:rsidR="00872771" w:rsidRPr="00F6340E">
        <w:rPr>
          <w:lang w:eastAsia="en-US"/>
        </w:rPr>
        <w:t xml:space="preserve"> </w:t>
      </w:r>
      <w:r w:rsidR="00A56E08">
        <w:rPr>
          <w:lang w:eastAsia="en-US"/>
        </w:rPr>
        <w:t>ј</w:t>
      </w:r>
      <w:r w:rsidR="00EE6AA2">
        <w:rPr>
          <w:lang w:eastAsia="en-US"/>
        </w:rPr>
        <w:t>е</w:t>
      </w:r>
      <w:r w:rsidR="00872771" w:rsidRPr="00F6340E">
        <w:rPr>
          <w:lang w:eastAsia="en-US"/>
        </w:rPr>
        <w:t xml:space="preserve"> </w:t>
      </w:r>
      <w:r w:rsidR="00A56E08">
        <w:rPr>
          <w:lang w:eastAsia="en-US"/>
        </w:rPr>
        <w:t>ли</w:t>
      </w:r>
      <w:r w:rsidR="00872771" w:rsidRPr="00F6340E">
        <w:rPr>
          <w:lang w:eastAsia="en-US"/>
        </w:rPr>
        <w:t xml:space="preserve"> </w:t>
      </w:r>
      <w:r w:rsidR="0071360A">
        <w:rPr>
          <w:lang w:eastAsia="en-US"/>
        </w:rPr>
        <w:t>с</w:t>
      </w:r>
      <w:r w:rsidR="00A56E08">
        <w:rPr>
          <w:lang w:eastAsia="en-US"/>
        </w:rPr>
        <w:t>и</w:t>
      </w:r>
      <w:r w:rsidR="0071360A">
        <w:rPr>
          <w:lang w:eastAsia="en-US"/>
        </w:rPr>
        <w:t>ст</w:t>
      </w:r>
      <w:r w:rsidR="00EE6AA2">
        <w:rPr>
          <w:lang w:eastAsia="en-US"/>
        </w:rPr>
        <w:t>е</w:t>
      </w:r>
      <w:r w:rsidR="00A56E08">
        <w:rPr>
          <w:lang w:eastAsia="en-US"/>
        </w:rPr>
        <w:t>м</w:t>
      </w:r>
      <w:r w:rsidR="00872771" w:rsidRPr="00F6340E">
        <w:rPr>
          <w:lang w:eastAsia="en-US"/>
        </w:rPr>
        <w:t xml:space="preserve"> </w:t>
      </w:r>
      <w:r w:rsidR="00A56E08">
        <w:rPr>
          <w:lang w:eastAsia="en-US"/>
        </w:rPr>
        <w:t>фл</w:t>
      </w:r>
      <w:r w:rsidR="00EE6AA2">
        <w:rPr>
          <w:lang w:eastAsia="en-US"/>
        </w:rPr>
        <w:t>е</w:t>
      </w:r>
      <w:r w:rsidR="00A56E08">
        <w:rPr>
          <w:lang w:eastAsia="en-US"/>
        </w:rPr>
        <w:t>к</w:t>
      </w:r>
      <w:r w:rsidR="0071360A">
        <w:rPr>
          <w:lang w:eastAsia="en-US"/>
        </w:rPr>
        <w:t>с</w:t>
      </w:r>
      <w:r w:rsidR="00A56E08">
        <w:rPr>
          <w:lang w:eastAsia="en-US"/>
        </w:rPr>
        <w:t>ибилан</w:t>
      </w:r>
      <w:r w:rsidR="00872771" w:rsidRPr="00F6340E">
        <w:rPr>
          <w:lang w:eastAsia="en-US"/>
        </w:rPr>
        <w:t xml:space="preserve">, </w:t>
      </w:r>
      <w:r w:rsidR="00A56E08">
        <w:rPr>
          <w:lang w:eastAsia="en-US"/>
        </w:rPr>
        <w:t>одго</w:t>
      </w:r>
      <w:r w:rsidR="0071360A">
        <w:rPr>
          <w:lang w:eastAsia="en-US"/>
        </w:rPr>
        <w:t>в</w:t>
      </w:r>
      <w:r w:rsidR="00A56E08">
        <w:rPr>
          <w:lang w:eastAsia="en-US"/>
        </w:rPr>
        <w:t>а</w:t>
      </w:r>
      <w:r w:rsidR="0071360A">
        <w:rPr>
          <w:lang w:eastAsia="en-US"/>
        </w:rPr>
        <w:t>р</w:t>
      </w:r>
      <w:r w:rsidR="00A56E08">
        <w:rPr>
          <w:lang w:eastAsia="en-US"/>
        </w:rPr>
        <w:t>а</w:t>
      </w:r>
      <w:r w:rsidR="00872771" w:rsidRPr="00F6340E">
        <w:rPr>
          <w:lang w:eastAsia="en-US"/>
        </w:rPr>
        <w:t xml:space="preserve"> </w:t>
      </w:r>
      <w:r w:rsidR="00A56E08">
        <w:rPr>
          <w:lang w:eastAsia="en-US"/>
        </w:rPr>
        <w:t>ли</w:t>
      </w:r>
      <w:r w:rsidR="00872771" w:rsidRPr="00F6340E">
        <w:rPr>
          <w:lang w:eastAsia="en-US"/>
        </w:rPr>
        <w:t xml:space="preserve"> </w:t>
      </w:r>
      <w:r w:rsidR="00A56E08">
        <w:rPr>
          <w:lang w:eastAsia="en-US"/>
        </w:rPr>
        <w:t>ин</w:t>
      </w:r>
      <w:r w:rsidR="0071360A">
        <w:rPr>
          <w:lang w:eastAsia="en-US"/>
        </w:rPr>
        <w:t>т</w:t>
      </w:r>
      <w:r w:rsidR="00EE6AA2">
        <w:rPr>
          <w:lang w:eastAsia="en-US"/>
        </w:rPr>
        <w:t>е</w:t>
      </w:r>
      <w:r w:rsidR="0071360A">
        <w:rPr>
          <w:lang w:eastAsia="en-US"/>
        </w:rPr>
        <w:t>р</w:t>
      </w:r>
      <w:r w:rsidR="00EE6AA2">
        <w:rPr>
          <w:lang w:eastAsia="en-US"/>
        </w:rPr>
        <w:t>е</w:t>
      </w:r>
      <w:r w:rsidR="0071360A">
        <w:rPr>
          <w:lang w:eastAsia="en-US"/>
        </w:rPr>
        <w:t>с</w:t>
      </w:r>
      <w:r w:rsidR="00A56E08">
        <w:rPr>
          <w:lang w:eastAsia="en-US"/>
        </w:rPr>
        <w:t>има</w:t>
      </w:r>
      <w:r w:rsidR="00872771" w:rsidRPr="00F6340E">
        <w:rPr>
          <w:lang w:eastAsia="en-US"/>
        </w:rPr>
        <w:t xml:space="preserve"> </w:t>
      </w:r>
      <w:r w:rsidR="0071360A">
        <w:rPr>
          <w:lang w:eastAsia="en-US"/>
        </w:rPr>
        <w:t>у</w:t>
      </w:r>
      <w:r w:rsidR="00A56E08">
        <w:rPr>
          <w:lang w:eastAsia="en-US"/>
        </w:rPr>
        <w:t>ч</w:t>
      </w:r>
      <w:r w:rsidR="00EE6AA2">
        <w:rPr>
          <w:lang w:eastAsia="en-US"/>
        </w:rPr>
        <w:t>е</w:t>
      </w:r>
      <w:r w:rsidR="00A56E08">
        <w:rPr>
          <w:lang w:eastAsia="en-US"/>
        </w:rPr>
        <w:t>ника</w:t>
      </w:r>
      <w:r w:rsidR="00872771" w:rsidRPr="00F6340E">
        <w:rPr>
          <w:lang w:eastAsia="en-US"/>
        </w:rPr>
        <w:t>/</w:t>
      </w:r>
      <w:r w:rsidR="0071360A">
        <w:rPr>
          <w:lang w:eastAsia="en-US"/>
        </w:rPr>
        <w:t>сту</w:t>
      </w:r>
      <w:r w:rsidR="00A56E08">
        <w:rPr>
          <w:lang w:eastAsia="en-US"/>
        </w:rPr>
        <w:t>д</w:t>
      </w:r>
      <w:r w:rsidR="00EE6AA2">
        <w:rPr>
          <w:lang w:eastAsia="en-US"/>
        </w:rPr>
        <w:t>е</w:t>
      </w:r>
      <w:r w:rsidR="00A56E08">
        <w:rPr>
          <w:lang w:eastAsia="en-US"/>
        </w:rPr>
        <w:t>на</w:t>
      </w:r>
      <w:r w:rsidR="0071360A">
        <w:rPr>
          <w:lang w:eastAsia="en-US"/>
        </w:rPr>
        <w:t>т</w:t>
      </w:r>
      <w:r w:rsidR="00A56E08">
        <w:rPr>
          <w:lang w:eastAsia="en-US"/>
        </w:rPr>
        <w:t>а</w:t>
      </w:r>
      <w:r w:rsidR="00872771" w:rsidRPr="00F6340E">
        <w:rPr>
          <w:lang w:eastAsia="en-US"/>
        </w:rPr>
        <w:t xml:space="preserve">, </w:t>
      </w:r>
      <w:r w:rsidR="0071360A">
        <w:rPr>
          <w:lang w:eastAsia="en-US"/>
        </w:rPr>
        <w:t>р</w:t>
      </w:r>
      <w:r w:rsidR="00A56E08">
        <w:rPr>
          <w:lang w:eastAsia="en-US"/>
        </w:rPr>
        <w:t>оди</w:t>
      </w:r>
      <w:r w:rsidR="0071360A">
        <w:rPr>
          <w:lang w:eastAsia="en-US"/>
        </w:rPr>
        <w:t>т</w:t>
      </w:r>
      <w:r w:rsidR="00EE6AA2">
        <w:rPr>
          <w:lang w:eastAsia="en-US"/>
        </w:rPr>
        <w:t>е</w:t>
      </w:r>
      <w:r w:rsidR="00A56E08">
        <w:rPr>
          <w:lang w:eastAsia="en-US"/>
        </w:rPr>
        <w:t>ља</w:t>
      </w:r>
      <w:r w:rsidR="00872771" w:rsidRPr="00F6340E">
        <w:rPr>
          <w:lang w:eastAsia="en-US"/>
        </w:rPr>
        <w:t xml:space="preserve">, </w:t>
      </w:r>
      <w:r w:rsidR="00A56E08">
        <w:rPr>
          <w:lang w:eastAsia="en-US"/>
        </w:rPr>
        <w:t>мањина</w:t>
      </w:r>
      <w:r w:rsidR="00872771" w:rsidRPr="00F6340E">
        <w:rPr>
          <w:lang w:eastAsia="en-US"/>
        </w:rPr>
        <w:t xml:space="preserve">, </w:t>
      </w:r>
      <w:r w:rsidR="0071360A">
        <w:rPr>
          <w:lang w:eastAsia="en-US"/>
        </w:rPr>
        <w:t>ш</w:t>
      </w:r>
      <w:r w:rsidR="00A56E08">
        <w:rPr>
          <w:lang w:eastAsia="en-US"/>
        </w:rPr>
        <w:t>и</w:t>
      </w:r>
      <w:r w:rsidR="0071360A">
        <w:rPr>
          <w:lang w:eastAsia="en-US"/>
        </w:rPr>
        <w:t>р</w:t>
      </w:r>
      <w:r w:rsidR="00EE6AA2">
        <w:rPr>
          <w:lang w:eastAsia="en-US"/>
        </w:rPr>
        <w:t>е</w:t>
      </w:r>
      <w:r w:rsidR="00872771" w:rsidRPr="00F6340E">
        <w:rPr>
          <w:lang w:eastAsia="en-US"/>
        </w:rPr>
        <w:t xml:space="preserve"> </w:t>
      </w:r>
      <w:r w:rsidR="00A56E08">
        <w:rPr>
          <w:lang w:eastAsia="en-US"/>
        </w:rPr>
        <w:t>д</w:t>
      </w:r>
      <w:r w:rsidR="0071360A">
        <w:rPr>
          <w:lang w:eastAsia="en-US"/>
        </w:rPr>
        <w:t>руштв</w:t>
      </w:r>
      <w:r w:rsidR="00EE6AA2">
        <w:rPr>
          <w:lang w:eastAsia="en-US"/>
        </w:rPr>
        <w:t>е</w:t>
      </w:r>
      <w:r w:rsidR="00A56E08">
        <w:rPr>
          <w:lang w:eastAsia="en-US"/>
        </w:rPr>
        <w:t>н</w:t>
      </w:r>
      <w:r w:rsidR="00EE6AA2">
        <w:rPr>
          <w:lang w:eastAsia="en-US"/>
        </w:rPr>
        <w:t>е</w:t>
      </w:r>
      <w:r w:rsidR="00872771" w:rsidRPr="00F6340E">
        <w:rPr>
          <w:lang w:eastAsia="en-US"/>
        </w:rPr>
        <w:t xml:space="preserve"> </w:t>
      </w:r>
      <w:r w:rsidR="00171F00">
        <w:rPr>
          <w:lang w:eastAsia="en-US"/>
        </w:rPr>
        <w:t>з</w:t>
      </w:r>
      <w:r w:rsidR="00A56E08">
        <w:rPr>
          <w:lang w:eastAsia="en-US"/>
        </w:rPr>
        <w:t>ај</w:t>
      </w:r>
      <w:r w:rsidR="00EE6AA2">
        <w:rPr>
          <w:lang w:eastAsia="en-US"/>
        </w:rPr>
        <w:t>е</w:t>
      </w:r>
      <w:r w:rsidR="00A56E08">
        <w:rPr>
          <w:lang w:eastAsia="en-US"/>
        </w:rPr>
        <w:t>дниц</w:t>
      </w:r>
      <w:r w:rsidR="00EE6AA2">
        <w:rPr>
          <w:lang w:eastAsia="en-US"/>
        </w:rPr>
        <w:t>е</w:t>
      </w:r>
      <w:r w:rsidR="00872771" w:rsidRPr="00F6340E">
        <w:rPr>
          <w:lang w:eastAsia="en-US"/>
        </w:rPr>
        <w:t xml:space="preserve"> </w:t>
      </w:r>
      <w:r w:rsidR="00A56E08">
        <w:rPr>
          <w:lang w:eastAsia="en-US"/>
        </w:rPr>
        <w:t>и</w:t>
      </w:r>
      <w:r w:rsidR="00872771" w:rsidRPr="00F6340E">
        <w:rPr>
          <w:lang w:eastAsia="en-US"/>
        </w:rPr>
        <w:t xml:space="preserve"> </w:t>
      </w:r>
      <w:r w:rsidR="0071360A">
        <w:rPr>
          <w:lang w:eastAsia="en-US"/>
        </w:rPr>
        <w:t>тр</w:t>
      </w:r>
      <w:r w:rsidR="00171F00">
        <w:rPr>
          <w:lang w:eastAsia="en-US"/>
        </w:rPr>
        <w:t>ж</w:t>
      </w:r>
      <w:r w:rsidR="00A56E08">
        <w:rPr>
          <w:lang w:eastAsia="en-US"/>
        </w:rPr>
        <w:t>и</w:t>
      </w:r>
      <w:r w:rsidR="0071360A">
        <w:rPr>
          <w:lang w:eastAsia="en-US"/>
        </w:rPr>
        <w:t>шт</w:t>
      </w:r>
      <w:r w:rsidR="00A56E08">
        <w:rPr>
          <w:lang w:eastAsia="en-US"/>
        </w:rPr>
        <w:t>а</w:t>
      </w:r>
      <w:r w:rsidR="00872771" w:rsidRPr="00F6340E">
        <w:rPr>
          <w:lang w:eastAsia="en-US"/>
        </w:rPr>
        <w:t xml:space="preserve"> </w:t>
      </w:r>
      <w:r w:rsidR="0071360A">
        <w:rPr>
          <w:lang w:eastAsia="en-US"/>
        </w:rPr>
        <w:t>р</w:t>
      </w:r>
      <w:r w:rsidR="00A56E08">
        <w:rPr>
          <w:lang w:eastAsia="en-US"/>
        </w:rPr>
        <w:t>ада</w:t>
      </w:r>
      <w:r w:rsidR="00872771" w:rsidRPr="00F6340E">
        <w:rPr>
          <w:lang w:eastAsia="en-US"/>
        </w:rPr>
        <w:t xml:space="preserve">; </w:t>
      </w:r>
      <w:r w:rsidR="00A56E08">
        <w:rPr>
          <w:lang w:eastAsia="en-US"/>
        </w:rPr>
        <w:t>да</w:t>
      </w:r>
      <w:r w:rsidR="00872771" w:rsidRPr="00F6340E">
        <w:rPr>
          <w:lang w:eastAsia="en-US"/>
        </w:rPr>
        <w:t xml:space="preserve"> </w:t>
      </w:r>
      <w:r w:rsidR="00A56E08">
        <w:rPr>
          <w:lang w:eastAsia="en-US"/>
        </w:rPr>
        <w:t>ли</w:t>
      </w:r>
      <w:r w:rsidR="00872771" w:rsidRPr="00F6340E">
        <w:rPr>
          <w:lang w:eastAsia="en-US"/>
        </w:rPr>
        <w:t xml:space="preserve"> </w:t>
      </w:r>
      <w:r w:rsidR="0071360A">
        <w:rPr>
          <w:lang w:eastAsia="en-US"/>
        </w:rPr>
        <w:t>с</w:t>
      </w:r>
      <w:r w:rsidR="00EE6AA2">
        <w:rPr>
          <w:lang w:eastAsia="en-US"/>
        </w:rPr>
        <w:t>е</w:t>
      </w:r>
      <w:r w:rsidR="00872771" w:rsidRPr="00F6340E">
        <w:rPr>
          <w:lang w:eastAsia="en-US"/>
        </w:rPr>
        <w:t xml:space="preserve"> </w:t>
      </w:r>
      <w:r w:rsidR="0071360A">
        <w:rPr>
          <w:lang w:eastAsia="en-US"/>
        </w:rPr>
        <w:t>с</w:t>
      </w:r>
      <w:r w:rsidR="00A56E08">
        <w:rPr>
          <w:lang w:eastAsia="en-US"/>
        </w:rPr>
        <w:t>и</w:t>
      </w:r>
      <w:r w:rsidR="0071360A">
        <w:rPr>
          <w:lang w:eastAsia="en-US"/>
        </w:rPr>
        <w:t>ст</w:t>
      </w:r>
      <w:r w:rsidR="00EE6AA2">
        <w:rPr>
          <w:lang w:eastAsia="en-US"/>
        </w:rPr>
        <w:t>е</w:t>
      </w:r>
      <w:r w:rsidR="00A56E08">
        <w:rPr>
          <w:lang w:eastAsia="en-US"/>
        </w:rPr>
        <w:t>м</w:t>
      </w:r>
      <w:r w:rsidR="00872771" w:rsidRPr="00F6340E">
        <w:rPr>
          <w:lang w:eastAsia="en-US"/>
        </w:rPr>
        <w:t xml:space="preserve"> </w:t>
      </w:r>
      <w:r w:rsidR="00A56E08">
        <w:rPr>
          <w:lang w:eastAsia="en-US"/>
        </w:rPr>
        <w:t>ад</w:t>
      </w:r>
      <w:r w:rsidR="00EE6AA2">
        <w:rPr>
          <w:lang w:eastAsia="en-US"/>
        </w:rPr>
        <w:t>е</w:t>
      </w:r>
      <w:r w:rsidR="00A56E08">
        <w:rPr>
          <w:lang w:eastAsia="en-US"/>
        </w:rPr>
        <w:t>к</w:t>
      </w:r>
      <w:r w:rsidR="0071360A">
        <w:rPr>
          <w:lang w:eastAsia="en-US"/>
        </w:rPr>
        <w:t>в</w:t>
      </w:r>
      <w:r w:rsidR="00A56E08">
        <w:rPr>
          <w:lang w:eastAsia="en-US"/>
        </w:rPr>
        <w:t>а</w:t>
      </w:r>
      <w:r w:rsidR="0071360A">
        <w:rPr>
          <w:lang w:eastAsia="en-US"/>
        </w:rPr>
        <w:t>т</w:t>
      </w:r>
      <w:r w:rsidR="00A56E08">
        <w:rPr>
          <w:lang w:eastAsia="en-US"/>
        </w:rPr>
        <w:t>но</w:t>
      </w:r>
      <w:r w:rsidR="00872771" w:rsidRPr="00F6340E">
        <w:rPr>
          <w:lang w:eastAsia="en-US"/>
        </w:rPr>
        <w:t xml:space="preserve"> </w:t>
      </w:r>
      <w:r w:rsidR="0071360A">
        <w:rPr>
          <w:lang w:eastAsia="en-US"/>
        </w:rPr>
        <w:t>пр</w:t>
      </w:r>
      <w:r w:rsidR="00A56E08">
        <w:rPr>
          <w:lang w:eastAsia="en-US"/>
        </w:rPr>
        <w:t>илагођа</w:t>
      </w:r>
      <w:r w:rsidR="0071360A">
        <w:rPr>
          <w:lang w:eastAsia="en-US"/>
        </w:rPr>
        <w:t>в</w:t>
      </w:r>
      <w:r w:rsidR="00A56E08">
        <w:rPr>
          <w:lang w:eastAsia="en-US"/>
        </w:rPr>
        <w:t>а</w:t>
      </w:r>
      <w:r w:rsidR="00872771" w:rsidRPr="00F6340E">
        <w:rPr>
          <w:lang w:eastAsia="en-US"/>
        </w:rPr>
        <w:t xml:space="preserve"> </w:t>
      </w:r>
      <w:r w:rsidR="00A56E08">
        <w:rPr>
          <w:lang w:eastAsia="en-US"/>
        </w:rPr>
        <w:t>о</w:t>
      </w:r>
      <w:r w:rsidR="0071360A">
        <w:rPr>
          <w:lang w:eastAsia="en-US"/>
        </w:rPr>
        <w:t>с</w:t>
      </w:r>
      <w:r w:rsidR="00A56E08">
        <w:rPr>
          <w:lang w:eastAsia="en-US"/>
        </w:rPr>
        <w:t>обама</w:t>
      </w:r>
      <w:r w:rsidR="00B04FA8">
        <w:rPr>
          <w:lang w:eastAsia="en-US"/>
        </w:rPr>
        <w:t xml:space="preserve"> са </w:t>
      </w:r>
      <w:r w:rsidR="00A56E08">
        <w:rPr>
          <w:lang w:eastAsia="en-US"/>
        </w:rPr>
        <w:t>ин</w:t>
      </w:r>
      <w:r w:rsidR="0071360A">
        <w:rPr>
          <w:lang w:eastAsia="en-US"/>
        </w:rPr>
        <w:t>в</w:t>
      </w:r>
      <w:r w:rsidR="00A56E08">
        <w:rPr>
          <w:lang w:eastAsia="en-US"/>
        </w:rPr>
        <w:t>алиди</w:t>
      </w:r>
      <w:r w:rsidR="0071360A">
        <w:rPr>
          <w:lang w:eastAsia="en-US"/>
        </w:rPr>
        <w:t>т</w:t>
      </w:r>
      <w:r w:rsidR="00EE6AA2">
        <w:rPr>
          <w:lang w:eastAsia="en-US"/>
        </w:rPr>
        <w:t>е</w:t>
      </w:r>
      <w:r w:rsidR="0071360A">
        <w:rPr>
          <w:lang w:eastAsia="en-US"/>
        </w:rPr>
        <w:t>т</w:t>
      </w:r>
      <w:r w:rsidR="00A56E08">
        <w:rPr>
          <w:lang w:eastAsia="en-US"/>
        </w:rPr>
        <w:t>ом</w:t>
      </w:r>
      <w:r w:rsidR="00872771" w:rsidRPr="00F6340E">
        <w:rPr>
          <w:lang w:eastAsia="en-US"/>
        </w:rPr>
        <w:t xml:space="preserve">, </w:t>
      </w:r>
      <w:r w:rsidR="00A56E08">
        <w:rPr>
          <w:lang w:eastAsia="en-US"/>
        </w:rPr>
        <w:t>мањинама</w:t>
      </w:r>
      <w:r w:rsidR="00872771" w:rsidRPr="00F6340E">
        <w:rPr>
          <w:lang w:eastAsia="en-US"/>
        </w:rPr>
        <w:t xml:space="preserve"> </w:t>
      </w:r>
      <w:r w:rsidR="00A56E08">
        <w:rPr>
          <w:lang w:eastAsia="en-US"/>
        </w:rPr>
        <w:t>и</w:t>
      </w:r>
      <w:r w:rsidR="00872771" w:rsidRPr="00F6340E">
        <w:rPr>
          <w:lang w:eastAsia="en-US"/>
        </w:rPr>
        <w:t xml:space="preserve"> </w:t>
      </w:r>
      <w:r w:rsidR="00A56E08">
        <w:rPr>
          <w:lang w:eastAsia="en-US"/>
        </w:rPr>
        <w:t>д</w:t>
      </w:r>
      <w:r w:rsidR="0071360A">
        <w:rPr>
          <w:lang w:eastAsia="en-US"/>
        </w:rPr>
        <w:t>ру</w:t>
      </w:r>
      <w:r w:rsidR="00A56E08">
        <w:rPr>
          <w:lang w:eastAsia="en-US"/>
        </w:rPr>
        <w:t>гим</w:t>
      </w:r>
      <w:r w:rsidR="00872771" w:rsidRPr="00F6340E">
        <w:rPr>
          <w:lang w:eastAsia="en-US"/>
        </w:rPr>
        <w:t xml:space="preserve"> </w:t>
      </w:r>
      <w:r w:rsidR="00A56E08">
        <w:rPr>
          <w:lang w:eastAsia="en-US"/>
        </w:rPr>
        <w:t>ма</w:t>
      </w:r>
      <w:r w:rsidR="0071360A">
        <w:rPr>
          <w:lang w:eastAsia="en-US"/>
        </w:rPr>
        <w:t>р</w:t>
      </w:r>
      <w:r w:rsidR="00A56E08">
        <w:rPr>
          <w:lang w:eastAsia="en-US"/>
        </w:rPr>
        <w:t>гинали</w:t>
      </w:r>
      <w:r w:rsidR="00171F00">
        <w:rPr>
          <w:lang w:eastAsia="en-US"/>
        </w:rPr>
        <w:t>з</w:t>
      </w:r>
      <w:r w:rsidR="00A56E08">
        <w:rPr>
          <w:lang w:eastAsia="en-US"/>
        </w:rPr>
        <w:t>о</w:t>
      </w:r>
      <w:r w:rsidR="0071360A">
        <w:rPr>
          <w:lang w:eastAsia="en-US"/>
        </w:rPr>
        <w:t>в</w:t>
      </w:r>
      <w:r w:rsidR="00A56E08">
        <w:rPr>
          <w:lang w:eastAsia="en-US"/>
        </w:rPr>
        <w:t>аним</w:t>
      </w:r>
      <w:r w:rsidR="00872771" w:rsidRPr="00F6340E">
        <w:rPr>
          <w:lang w:eastAsia="en-US"/>
        </w:rPr>
        <w:t xml:space="preserve"> </w:t>
      </w:r>
      <w:r w:rsidR="00A56E08">
        <w:rPr>
          <w:lang w:eastAsia="en-US"/>
        </w:rPr>
        <w:t>г</w:t>
      </w:r>
      <w:r w:rsidR="0071360A">
        <w:rPr>
          <w:lang w:eastAsia="en-US"/>
        </w:rPr>
        <w:t>руп</w:t>
      </w:r>
      <w:r w:rsidR="00A56E08">
        <w:rPr>
          <w:lang w:eastAsia="en-US"/>
        </w:rPr>
        <w:t>ама</w:t>
      </w:r>
      <w:r w:rsidR="00872771" w:rsidRPr="00F6340E">
        <w:rPr>
          <w:lang w:eastAsia="en-US"/>
        </w:rPr>
        <w:t>?</w:t>
      </w:r>
    </w:p>
    <w:p w14:paraId="66F5BC26" w14:textId="5426A6CF" w:rsidR="00872771" w:rsidRPr="00F6340E" w:rsidRDefault="00A56E08" w:rsidP="00210EE1">
      <w:pPr>
        <w:pStyle w:val="Body"/>
      </w:pPr>
      <w:r>
        <w:t>На</w:t>
      </w:r>
      <w:r w:rsidR="0071360A">
        <w:t>в</w:t>
      </w:r>
      <w:r w:rsidR="00EE6AA2">
        <w:t>е</w:t>
      </w:r>
      <w:r>
        <w:t>д</w:t>
      </w:r>
      <w:r w:rsidR="00EE6AA2">
        <w:t>е</w:t>
      </w:r>
      <w:r>
        <w:t>н</w:t>
      </w:r>
      <w:r w:rsidR="00EE6AA2">
        <w:t>е</w:t>
      </w:r>
      <w:r w:rsidR="00872771" w:rsidRPr="00F6340E">
        <w:t xml:space="preserve"> </w:t>
      </w:r>
      <w:r>
        <w:t>дим</w:t>
      </w:r>
      <w:r w:rsidR="00EE6AA2">
        <w:t>е</w:t>
      </w:r>
      <w:r>
        <w:t>н</w:t>
      </w:r>
      <w:r w:rsidR="00171F00">
        <w:t>з</w:t>
      </w:r>
      <w:r>
        <w:t>иј</w:t>
      </w:r>
      <w:r w:rsidR="00EE6AA2">
        <w:t>е</w:t>
      </w:r>
      <w:r w:rsidR="00872771" w:rsidRPr="00F6340E">
        <w:t xml:space="preserve"> </w:t>
      </w:r>
      <w:r w:rsidR="0071360A">
        <w:t>пр</w:t>
      </w:r>
      <w:r>
        <w:t>а</w:t>
      </w:r>
      <w:r w:rsidR="0071360A">
        <w:t>в</w:t>
      </w:r>
      <w:r>
        <w:t>а</w:t>
      </w:r>
      <w:r w:rsidR="00872771" w:rsidRPr="00F6340E">
        <w:t xml:space="preserve"> </w:t>
      </w:r>
      <w:r>
        <w:t>на</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rsidR="0071360A">
        <w:t>су</w:t>
      </w:r>
      <w:r w:rsidR="00872771" w:rsidRPr="00F6340E">
        <w:t xml:space="preserve"> </w:t>
      </w:r>
      <w:r w:rsidR="0071360A">
        <w:t>вр</w:t>
      </w:r>
      <w:r>
        <w:t>ло</w:t>
      </w:r>
      <w:r w:rsidR="00872771" w:rsidRPr="00F6340E">
        <w:t xml:space="preserve"> </w:t>
      </w:r>
      <w:r w:rsidR="0071360A">
        <w:t>ус</w:t>
      </w:r>
      <w:r>
        <w:t>ко</w:t>
      </w:r>
      <w:r w:rsidR="00872771" w:rsidRPr="00F6340E">
        <w:t xml:space="preserve"> </w:t>
      </w:r>
      <w:r w:rsidR="0071360A">
        <w:t>п</w:t>
      </w:r>
      <w:r>
        <w:t>о</w:t>
      </w:r>
      <w:r w:rsidR="0071360A">
        <w:t>в</w:t>
      </w:r>
      <w:r w:rsidR="00EE6AA2">
        <w:t>е</w:t>
      </w:r>
      <w:r w:rsidR="00171F00">
        <w:t>з</w:t>
      </w:r>
      <w:r>
        <w:t>ан</w:t>
      </w:r>
      <w:r w:rsidR="00EE6AA2">
        <w:t>е</w:t>
      </w:r>
      <w:r w:rsidR="00B04FA8">
        <w:t xml:space="preserve"> са </w:t>
      </w:r>
      <w:r w:rsidR="0071360A">
        <w:rPr>
          <w:i/>
        </w:rPr>
        <w:t>пр</w:t>
      </w:r>
      <w:r>
        <w:rPr>
          <w:i/>
        </w:rPr>
        <w:t>а</w:t>
      </w:r>
      <w:r w:rsidR="0071360A">
        <w:rPr>
          <w:i/>
        </w:rPr>
        <w:t>в</w:t>
      </w:r>
      <w:r>
        <w:rPr>
          <w:i/>
        </w:rPr>
        <w:t>ом</w:t>
      </w:r>
      <w:r w:rsidR="00872771" w:rsidRPr="00F6340E">
        <w:rPr>
          <w:i/>
        </w:rPr>
        <w:t xml:space="preserve"> </w:t>
      </w:r>
      <w:r w:rsidR="0071360A">
        <w:rPr>
          <w:i/>
        </w:rPr>
        <w:t>у</w:t>
      </w:r>
      <w:r w:rsidR="00872771" w:rsidRPr="00F6340E">
        <w:rPr>
          <w:i/>
        </w:rPr>
        <w:t xml:space="preserve"> </w:t>
      </w:r>
      <w:r>
        <w:rPr>
          <w:i/>
        </w:rPr>
        <w:t>об</w:t>
      </w:r>
      <w:r w:rsidR="0071360A">
        <w:rPr>
          <w:i/>
        </w:rPr>
        <w:t>р</w:t>
      </w:r>
      <w:r>
        <w:rPr>
          <w:i/>
        </w:rPr>
        <w:t>а</w:t>
      </w:r>
      <w:r w:rsidR="00171F00">
        <w:rPr>
          <w:i/>
        </w:rPr>
        <w:t>з</w:t>
      </w:r>
      <w:r>
        <w:rPr>
          <w:i/>
        </w:rPr>
        <w:t>о</w:t>
      </w:r>
      <w:r w:rsidR="0071360A">
        <w:rPr>
          <w:i/>
        </w:rPr>
        <w:t>в</w:t>
      </w:r>
      <w:r>
        <w:rPr>
          <w:i/>
        </w:rPr>
        <w:t>ањ</w:t>
      </w:r>
      <w:r w:rsidR="0071360A">
        <w:rPr>
          <w:i/>
        </w:rPr>
        <w:t>у</w:t>
      </w:r>
      <w:r w:rsidR="00872771" w:rsidRPr="00F6340E">
        <w:t xml:space="preserve"> </w:t>
      </w:r>
      <w:r>
        <w:t>којим</w:t>
      </w:r>
      <w:r w:rsidR="00872771" w:rsidRPr="00F6340E">
        <w:t xml:space="preserve"> </w:t>
      </w:r>
      <w:r w:rsidR="0071360A">
        <w:t>с</w:t>
      </w:r>
      <w:r w:rsidR="00EE6AA2">
        <w:t>е</w:t>
      </w:r>
      <w:r w:rsidR="00872771" w:rsidRPr="00F6340E">
        <w:t xml:space="preserve"> </w:t>
      </w:r>
      <w:r>
        <w:t>о</w:t>
      </w:r>
      <w:r w:rsidR="0071360A">
        <w:t>с</w:t>
      </w:r>
      <w:r>
        <w:t>иг</w:t>
      </w:r>
      <w:r w:rsidR="0071360A">
        <w:t>ур</w:t>
      </w:r>
      <w:r>
        <w:t>а</w:t>
      </w:r>
      <w:r w:rsidR="0071360A">
        <w:t>в</w:t>
      </w:r>
      <w:r>
        <w:t>а</w:t>
      </w:r>
      <w:r w:rsidR="00872771" w:rsidRPr="00F6340E">
        <w:t xml:space="preserve"> </w:t>
      </w:r>
      <w:r w:rsidR="0071360A">
        <w:rPr>
          <w:i/>
        </w:rPr>
        <w:t>у</w:t>
      </w:r>
      <w:r>
        <w:rPr>
          <w:i/>
        </w:rPr>
        <w:t>ч</w:t>
      </w:r>
      <w:r w:rsidR="00EE6AA2">
        <w:rPr>
          <w:i/>
        </w:rPr>
        <w:t>е</w:t>
      </w:r>
      <w:r w:rsidR="0071360A">
        <w:rPr>
          <w:i/>
        </w:rPr>
        <w:t>ств</w:t>
      </w:r>
      <w:r>
        <w:rPr>
          <w:i/>
        </w:rPr>
        <w:t>о</w:t>
      </w:r>
      <w:r w:rsidR="0071360A">
        <w:rPr>
          <w:i/>
        </w:rPr>
        <w:t>в</w:t>
      </w:r>
      <w:r>
        <w:rPr>
          <w:i/>
        </w:rPr>
        <w:t>ањ</w:t>
      </w:r>
      <w:r w:rsidR="00EE6AA2">
        <w:rPr>
          <w:i/>
        </w:rPr>
        <w:t>е</w:t>
      </w:r>
      <w:r w:rsidR="00872771" w:rsidRPr="00F6340E">
        <w:rPr>
          <w:i/>
        </w:rPr>
        <w:t xml:space="preserve"> </w:t>
      </w:r>
      <w:r w:rsidR="0071360A">
        <w:t>св</w:t>
      </w:r>
      <w:r>
        <w:t>их</w:t>
      </w:r>
      <w:r w:rsidR="00872771" w:rsidRPr="00F6340E">
        <w:t xml:space="preserve">. </w:t>
      </w:r>
      <w:r>
        <w:t>О</w:t>
      </w:r>
      <w:r w:rsidR="0071360A">
        <w:t>в</w:t>
      </w:r>
      <w:r>
        <w:t>о</w:t>
      </w:r>
      <w:r w:rsidR="00197620" w:rsidRPr="00F6340E">
        <w:t xml:space="preserve"> </w:t>
      </w:r>
      <w:r w:rsidR="0071360A">
        <w:t>с</w:t>
      </w:r>
      <w:r w:rsidR="00EE6AA2">
        <w:t>е</w:t>
      </w:r>
      <w:r w:rsidR="00197620" w:rsidRPr="00F6340E">
        <w:t xml:space="preserve"> </w:t>
      </w:r>
      <w:r>
        <w:t>одно</w:t>
      </w:r>
      <w:r w:rsidR="0071360A">
        <w:t>с</w:t>
      </w:r>
      <w:r>
        <w:t>и</w:t>
      </w:r>
      <w:r w:rsidR="00872771" w:rsidRPr="00F6340E">
        <w:t xml:space="preserve"> </w:t>
      </w:r>
      <w:r w:rsidR="0071360A">
        <w:t>с</w:t>
      </w:r>
      <w:r w:rsidR="00EE6AA2">
        <w:t>е</w:t>
      </w:r>
      <w:r w:rsidR="00872771" w:rsidRPr="00F6340E">
        <w:t xml:space="preserve"> </w:t>
      </w:r>
      <w:r>
        <w:t>на</w:t>
      </w:r>
      <w:r w:rsidR="00872771" w:rsidRPr="00F6340E">
        <w:t xml:space="preserve"> </w:t>
      </w:r>
      <w:r w:rsidR="0071360A">
        <w:t>пр</w:t>
      </w:r>
      <w:r>
        <w:t>оц</w:t>
      </w:r>
      <w:r w:rsidR="00EE6AA2">
        <w:t>е</w:t>
      </w:r>
      <w:r w:rsidR="0071360A">
        <w:t>с</w:t>
      </w:r>
      <w:r>
        <w:t>н</w:t>
      </w:r>
      <w:r w:rsidR="00EE6AA2">
        <w:t>е</w:t>
      </w:r>
      <w:r w:rsidR="00872771" w:rsidRPr="00F6340E">
        <w:t xml:space="preserve"> </w:t>
      </w:r>
      <w:r>
        <w:t>фак</w:t>
      </w:r>
      <w:r w:rsidR="0071360A">
        <w:t>т</w:t>
      </w:r>
      <w:r>
        <w:t>о</w:t>
      </w:r>
      <w:r w:rsidR="0071360A">
        <w:t>р</w:t>
      </w:r>
      <w:r w:rsidR="00EE6AA2">
        <w:t>е</w:t>
      </w:r>
      <w:r w:rsidR="00872771" w:rsidRPr="00F6340E">
        <w:t xml:space="preserve">, </w:t>
      </w:r>
      <w:r>
        <w:t>који</w:t>
      </w:r>
      <w:r w:rsidR="00872771" w:rsidRPr="00F6340E">
        <w:t xml:space="preserve"> </w:t>
      </w:r>
      <w:r>
        <w:t>омог</w:t>
      </w:r>
      <w:r w:rsidR="0071360A">
        <w:t>у</w:t>
      </w:r>
      <w:r>
        <w:t>ћа</w:t>
      </w:r>
      <w:r w:rsidR="0071360A">
        <w:t>в</w:t>
      </w:r>
      <w:r>
        <w:t>ај</w:t>
      </w:r>
      <w:r w:rsidR="0071360A">
        <w:t>у</w:t>
      </w:r>
      <w:r w:rsidR="00872771" w:rsidRPr="00F6340E">
        <w:t xml:space="preserve"> </w:t>
      </w:r>
      <w:r>
        <w:t>или</w:t>
      </w:r>
      <w:r w:rsidR="00872771" w:rsidRPr="00F6340E">
        <w:t xml:space="preserve"> </w:t>
      </w:r>
      <w:r w:rsidR="0071360A">
        <w:t>у</w:t>
      </w:r>
      <w:r>
        <w:t>г</w:t>
      </w:r>
      <w:r w:rsidR="0071360A">
        <w:t>р</w:t>
      </w:r>
      <w:r>
        <w:t>о</w:t>
      </w:r>
      <w:r w:rsidR="00171F00">
        <w:t>ж</w:t>
      </w:r>
      <w:r>
        <w:t>а</w:t>
      </w:r>
      <w:r w:rsidR="0071360A">
        <w:t>в</w:t>
      </w:r>
      <w:r>
        <w:t>ај</w:t>
      </w:r>
      <w:r w:rsidR="0071360A">
        <w:t>у</w:t>
      </w:r>
      <w:r w:rsidR="00872771" w:rsidRPr="00F6340E">
        <w:t xml:space="preserve"> </w:t>
      </w:r>
      <w:r>
        <w:t>о</w:t>
      </w:r>
      <w:r w:rsidR="0071360A">
        <w:t>с</w:t>
      </w:r>
      <w:r>
        <w:t>ј</w:t>
      </w:r>
      <w:r w:rsidR="00EE6AA2">
        <w:t>е</w:t>
      </w:r>
      <w:r>
        <w:t>ћај</w:t>
      </w:r>
      <w:r w:rsidR="00872771" w:rsidRPr="00F6340E">
        <w:t xml:space="preserve"> </w:t>
      </w:r>
      <w:r w:rsidR="0071360A">
        <w:t>пр</w:t>
      </w:r>
      <w:r>
        <w:t>и</w:t>
      </w:r>
      <w:r w:rsidR="0071360A">
        <w:t>п</w:t>
      </w:r>
      <w:r>
        <w:t>адно</w:t>
      </w:r>
      <w:r w:rsidR="0071360A">
        <w:t>ст</w:t>
      </w:r>
      <w:r>
        <w:t>и</w:t>
      </w:r>
      <w:r w:rsidR="00872771" w:rsidRPr="00F6340E">
        <w:t xml:space="preserve">, </w:t>
      </w:r>
      <w:r>
        <w:t>о</w:t>
      </w:r>
      <w:r w:rsidR="0071360A">
        <w:t>с</w:t>
      </w:r>
      <w:r>
        <w:t>ј</w:t>
      </w:r>
      <w:r w:rsidR="00EE6AA2">
        <w:t>е</w:t>
      </w:r>
      <w:r>
        <w:t>ћај</w:t>
      </w:r>
      <w:r w:rsidR="00872771" w:rsidRPr="00F6340E">
        <w:t xml:space="preserve"> </w:t>
      </w:r>
      <w:r>
        <w:t>ком</w:t>
      </w:r>
      <w:r w:rsidR="0071360A">
        <w:t>п</w:t>
      </w:r>
      <w:r w:rsidR="00EE6AA2">
        <w:t>е</w:t>
      </w:r>
      <w:r w:rsidR="0071360A">
        <w:t>т</w:t>
      </w:r>
      <w:r w:rsidR="00EE6AA2">
        <w:t>е</w:t>
      </w:r>
      <w:r>
        <w:t>н</w:t>
      </w:r>
      <w:r w:rsidR="0071360A">
        <w:t>т</w:t>
      </w:r>
      <w:r>
        <w:t>но</w:t>
      </w:r>
      <w:r w:rsidR="0071360A">
        <w:t>ст</w:t>
      </w:r>
      <w:r>
        <w:t>и</w:t>
      </w:r>
      <w:r w:rsidR="00872771" w:rsidRPr="00F6340E">
        <w:t xml:space="preserve"> </w:t>
      </w:r>
      <w:r>
        <w:t>и</w:t>
      </w:r>
      <w:r w:rsidR="00872771" w:rsidRPr="00F6340E">
        <w:t xml:space="preserve"> </w:t>
      </w:r>
      <w:r>
        <w:t>о</w:t>
      </w:r>
      <w:r w:rsidR="0071360A">
        <w:t>с</w:t>
      </w:r>
      <w:r>
        <w:t>ј</w:t>
      </w:r>
      <w:r w:rsidR="00EE6AA2">
        <w:t>е</w:t>
      </w:r>
      <w:r>
        <w:t>ћај</w:t>
      </w:r>
      <w:r w:rsidR="00872771" w:rsidRPr="00F6340E">
        <w:t xml:space="preserve"> </w:t>
      </w:r>
      <w:r w:rsidR="0071360A">
        <w:t>с</w:t>
      </w:r>
      <w:r>
        <w:t>амо</w:t>
      </w:r>
      <w:r w:rsidR="0071360A">
        <w:t>ст</w:t>
      </w:r>
      <w:r>
        <w:t>ално</w:t>
      </w:r>
      <w:r w:rsidR="0071360A">
        <w:t>ст</w:t>
      </w:r>
      <w:r>
        <w:t>и</w:t>
      </w:r>
      <w:r w:rsidR="00872771" w:rsidRPr="00F6340E">
        <w:t xml:space="preserve"> </w:t>
      </w:r>
      <w:r>
        <w:t>код</w:t>
      </w:r>
      <w:r w:rsidR="00872771" w:rsidRPr="00F6340E">
        <w:t xml:space="preserve"> </w:t>
      </w:r>
      <w:r w:rsidR="0071360A">
        <w:t>у</w:t>
      </w:r>
      <w:r>
        <w:t>ч</w:t>
      </w:r>
      <w:r w:rsidR="00EE6AA2">
        <w:t>е</w:t>
      </w:r>
      <w:r>
        <w:t>ника</w:t>
      </w:r>
      <w:r w:rsidR="00872771" w:rsidRPr="00F6340E">
        <w:t xml:space="preserve">. </w:t>
      </w:r>
      <w:r w:rsidR="0071360A">
        <w:t>У</w:t>
      </w:r>
      <w:r>
        <w:t>ч</w:t>
      </w:r>
      <w:r w:rsidR="00EE6AA2">
        <w:t>е</w:t>
      </w:r>
      <w:r w:rsidR="0071360A">
        <w:t>ств</w:t>
      </w:r>
      <w:r>
        <w:t>о</w:t>
      </w:r>
      <w:r w:rsidR="0071360A">
        <w:t>в</w:t>
      </w:r>
      <w:r>
        <w:t>ањ</w:t>
      </w:r>
      <w:r w:rsidR="00EE6AA2">
        <w:t>е</w:t>
      </w:r>
      <w:r w:rsidR="00872771" w:rsidRPr="00F6340E">
        <w:t xml:space="preserve"> </w:t>
      </w:r>
      <w:r>
        <w:t>ј</w:t>
      </w:r>
      <w:r w:rsidR="00EE6AA2">
        <w:t>е</w:t>
      </w:r>
      <w:r w:rsidR="00872771" w:rsidRPr="00F6340E">
        <w:t xml:space="preserve"> </w:t>
      </w:r>
      <w:r w:rsidR="0071360A">
        <w:t>с</w:t>
      </w:r>
      <w:r>
        <w:t>ми</w:t>
      </w:r>
      <w:r w:rsidR="0071360A">
        <w:t>с</w:t>
      </w:r>
      <w:r>
        <w:t>л</w:t>
      </w:r>
      <w:r w:rsidR="00EE6AA2">
        <w:t>е</w:t>
      </w:r>
      <w:r>
        <w:t>но</w:t>
      </w:r>
      <w:r w:rsidR="00872771" w:rsidRPr="00F6340E">
        <w:t xml:space="preserve">, </w:t>
      </w:r>
      <w:r w:rsidR="0071360A">
        <w:t>сврс</w:t>
      </w:r>
      <w:r>
        <w:t>и</w:t>
      </w:r>
      <w:r w:rsidR="0071360A">
        <w:t>с</w:t>
      </w:r>
      <w:r>
        <w:t>ходно</w:t>
      </w:r>
      <w:r w:rsidR="00872771" w:rsidRPr="00F6340E">
        <w:t xml:space="preserve"> </w:t>
      </w:r>
      <w:r>
        <w:t>и</w:t>
      </w:r>
      <w:r w:rsidR="00872771" w:rsidRPr="00F6340E">
        <w:t xml:space="preserve"> </w:t>
      </w:r>
      <w:r>
        <w:t>диј</w:t>
      </w:r>
      <w:r w:rsidR="00EE6AA2">
        <w:t>е</w:t>
      </w:r>
      <w:r>
        <w:t>ли</w:t>
      </w:r>
      <w:r w:rsidR="00872771" w:rsidRPr="00F6340E">
        <w:t xml:space="preserve"> </w:t>
      </w:r>
      <w:r w:rsidR="0071360A">
        <w:t>с</w:t>
      </w:r>
      <w:r w:rsidR="00EE6AA2">
        <w:t>е</w:t>
      </w:r>
      <w:r w:rsidR="00B04FA8">
        <w:t xml:space="preserve"> са </w:t>
      </w:r>
      <w:r w:rsidR="0071360A">
        <w:t>врш</w:t>
      </w:r>
      <w:r>
        <w:t>њацима</w:t>
      </w:r>
      <w:r w:rsidR="00872771" w:rsidRPr="00F6340E">
        <w:t xml:space="preserve"> </w:t>
      </w:r>
      <w:r>
        <w:t>и</w:t>
      </w:r>
      <w:r w:rsidR="0071360A">
        <w:t>ст</w:t>
      </w:r>
      <w:r w:rsidR="00EE6AA2">
        <w:t>е</w:t>
      </w:r>
      <w:r w:rsidR="00872771" w:rsidRPr="00F6340E">
        <w:t xml:space="preserve"> </w:t>
      </w:r>
      <w:r w:rsidR="0071360A">
        <w:t>ст</w:t>
      </w:r>
      <w:r>
        <w:t>а</w:t>
      </w:r>
      <w:r w:rsidR="0071360A">
        <w:t>р</w:t>
      </w:r>
      <w:r>
        <w:t>о</w:t>
      </w:r>
      <w:r w:rsidR="0071360A">
        <w:t>с</w:t>
      </w:r>
      <w:r>
        <w:t>н</w:t>
      </w:r>
      <w:r w:rsidR="00EE6AA2">
        <w:t>е</w:t>
      </w:r>
      <w:r w:rsidR="00872771" w:rsidRPr="00F6340E">
        <w:t xml:space="preserve"> </w:t>
      </w:r>
      <w:r>
        <w:t>г</w:t>
      </w:r>
      <w:r w:rsidR="0071360A">
        <w:t>руп</w:t>
      </w:r>
      <w:r w:rsidR="00EE6AA2">
        <w:t>е</w:t>
      </w:r>
      <w:r w:rsidR="00872771" w:rsidRPr="00F6340E">
        <w:t xml:space="preserve"> </w:t>
      </w:r>
      <w:r>
        <w:t>и</w:t>
      </w:r>
      <w:r w:rsidR="00872771" w:rsidRPr="00F6340E">
        <w:t xml:space="preserve"> </w:t>
      </w:r>
      <w:r>
        <w:t>о</w:t>
      </w:r>
      <w:r w:rsidR="0071360A">
        <w:t>р</w:t>
      </w:r>
      <w:r>
        <w:t>иј</w:t>
      </w:r>
      <w:r w:rsidR="00EE6AA2">
        <w:t>е</w:t>
      </w:r>
      <w:r>
        <w:t>н</w:t>
      </w:r>
      <w:r w:rsidR="0071360A">
        <w:t>т</w:t>
      </w:r>
      <w:r>
        <w:t>и</w:t>
      </w:r>
      <w:r w:rsidR="0071360A">
        <w:t>с</w:t>
      </w:r>
      <w:r>
        <w:t>ано</w:t>
      </w:r>
      <w:r w:rsidR="00872771" w:rsidRPr="00F6340E">
        <w:t xml:space="preserve"> </w:t>
      </w:r>
      <w:r>
        <w:t>ј</w:t>
      </w:r>
      <w:r w:rsidR="00EE6AA2">
        <w:t>е</w:t>
      </w:r>
      <w:r w:rsidR="00872771" w:rsidRPr="00F6340E">
        <w:t xml:space="preserve"> </w:t>
      </w:r>
      <w:r>
        <w:t>ка</w:t>
      </w:r>
      <w:r w:rsidR="00872771" w:rsidRPr="00F6340E">
        <w:t xml:space="preserve"> </w:t>
      </w:r>
      <w:r>
        <w:t>циљ</w:t>
      </w:r>
      <w:r w:rsidR="00EE6AA2">
        <w:t>е</w:t>
      </w:r>
      <w:r w:rsidR="0071360A">
        <w:t>в</w:t>
      </w:r>
      <w:r>
        <w:t>има</w:t>
      </w:r>
      <w:r w:rsidR="00872771" w:rsidRPr="00F6340E">
        <w:t xml:space="preserve"> </w:t>
      </w:r>
      <w:r>
        <w:t>би</w:t>
      </w:r>
      <w:r w:rsidR="0071360A">
        <w:t>т</w:t>
      </w:r>
      <w:r>
        <w:t>ним</w:t>
      </w:r>
      <w:r w:rsidR="00872771" w:rsidRPr="00F6340E">
        <w:t xml:space="preserve"> </w:t>
      </w:r>
      <w:r w:rsidR="00171F00">
        <w:t>з</w:t>
      </w:r>
      <w:r>
        <w:t>а</w:t>
      </w:r>
      <w:r w:rsidR="00872771" w:rsidRPr="00F6340E">
        <w:t xml:space="preserve"> </w:t>
      </w:r>
      <w:r w:rsidR="0071360A">
        <w:t>п</w:t>
      </w:r>
      <w:r>
        <w:t>ој</w:t>
      </w:r>
      <w:r w:rsidR="00EE6AA2">
        <w:t>е</w:t>
      </w:r>
      <w:r>
        <w:t>динца</w:t>
      </w:r>
      <w:r w:rsidR="00872771" w:rsidRPr="00F6340E">
        <w:t xml:space="preserve"> </w:t>
      </w:r>
      <w:r>
        <w:t>и</w:t>
      </w:r>
      <w:r w:rsidR="00872771" w:rsidRPr="00F6340E">
        <w:t xml:space="preserve"> </w:t>
      </w:r>
      <w:r>
        <w:t>д</w:t>
      </w:r>
      <w:r w:rsidR="0071360A">
        <w:t>руштв</w:t>
      </w:r>
      <w:r>
        <w:t>о</w:t>
      </w:r>
      <w:r w:rsidR="00872771" w:rsidRPr="00F6340E">
        <w:t xml:space="preserve"> (</w:t>
      </w:r>
      <w:r>
        <w:t>О</w:t>
      </w:r>
      <w:r w:rsidR="0071360A">
        <w:t>с</w:t>
      </w:r>
      <w:r>
        <w:t>мић</w:t>
      </w:r>
      <w:r w:rsidR="00872771" w:rsidRPr="00F6340E">
        <w:t xml:space="preserve">, 2020). </w:t>
      </w:r>
    </w:p>
    <w:p w14:paraId="7C3FEC78" w14:textId="1810456F" w:rsidR="00872771" w:rsidRPr="00F6340E" w:rsidRDefault="0071360A" w:rsidP="00210EE1">
      <w:pPr>
        <w:pStyle w:val="Body"/>
      </w:pPr>
      <w:r>
        <w:t>У</w:t>
      </w:r>
      <w:r w:rsidR="00A56E08">
        <w:t>ч</w:t>
      </w:r>
      <w:r w:rsidR="00EE6AA2">
        <w:t>е</w:t>
      </w:r>
      <w:r>
        <w:t>ств</w:t>
      </w:r>
      <w:r w:rsidR="00A56E08">
        <w:t>о</w:t>
      </w:r>
      <w:r>
        <w:t>в</w:t>
      </w:r>
      <w:r w:rsidR="00A56E08">
        <w:t>ањ</w:t>
      </w:r>
      <w:r w:rsidR="00EE6AA2">
        <w:t>е</w:t>
      </w:r>
      <w:r w:rsidR="00A56E08">
        <w:t>м</w:t>
      </w:r>
      <w:r w:rsidR="00872771" w:rsidRPr="00F6340E">
        <w:t xml:space="preserve"> </w:t>
      </w:r>
      <w:r w:rsidR="00A56E08">
        <w:t>и</w:t>
      </w:r>
      <w:r w:rsidR="00872771" w:rsidRPr="00F6340E">
        <w:t xml:space="preserve"> </w:t>
      </w:r>
      <w:r w:rsidR="00A56E08">
        <w:t>о</w:t>
      </w:r>
      <w:r>
        <w:t>ств</w:t>
      </w:r>
      <w:r w:rsidR="00A56E08">
        <w:t>а</w:t>
      </w:r>
      <w:r>
        <w:t>р</w:t>
      </w:r>
      <w:r w:rsidR="00A56E08">
        <w:t>и</w:t>
      </w:r>
      <w:r>
        <w:t>в</w:t>
      </w:r>
      <w:r w:rsidR="00A56E08">
        <w:t>ањ</w:t>
      </w:r>
      <w:r w:rsidR="00EE6AA2">
        <w:t>е</w:t>
      </w:r>
      <w:r w:rsidR="00A56E08">
        <w:t>м</w:t>
      </w:r>
      <w:r w:rsidR="00872771" w:rsidRPr="00F6340E">
        <w:t xml:space="preserve"> </w:t>
      </w:r>
      <w:r>
        <w:rPr>
          <w:i/>
        </w:rPr>
        <w:t>пр</w:t>
      </w:r>
      <w:r w:rsidR="00A56E08">
        <w:rPr>
          <w:i/>
        </w:rPr>
        <w:t>а</w:t>
      </w:r>
      <w:r>
        <w:rPr>
          <w:i/>
        </w:rPr>
        <w:t>в</w:t>
      </w:r>
      <w:r w:rsidR="00A56E08">
        <w:rPr>
          <w:i/>
        </w:rPr>
        <w:t>а</w:t>
      </w:r>
      <w:r w:rsidR="00872771" w:rsidRPr="00F6340E">
        <w:rPr>
          <w:i/>
        </w:rPr>
        <w:t xml:space="preserve"> </w:t>
      </w:r>
      <w:r w:rsidR="00A56E08">
        <w:rPr>
          <w:i/>
        </w:rPr>
        <w:t>к</w:t>
      </w:r>
      <w:r>
        <w:rPr>
          <w:i/>
        </w:rPr>
        <w:t>р</w:t>
      </w:r>
      <w:r w:rsidR="00A56E08">
        <w:rPr>
          <w:i/>
        </w:rPr>
        <w:t>о</w:t>
      </w:r>
      <w:r w:rsidR="00171F00">
        <w:rPr>
          <w:i/>
        </w:rPr>
        <w:t>з</w:t>
      </w:r>
      <w:r w:rsidR="00872771" w:rsidRPr="00F6340E">
        <w:rPr>
          <w:i/>
        </w:rPr>
        <w:t xml:space="preserve"> </w:t>
      </w:r>
      <w:r w:rsidR="00A56E08">
        <w:rPr>
          <w:i/>
        </w:rPr>
        <w:t>об</w:t>
      </w:r>
      <w:r>
        <w:rPr>
          <w:i/>
        </w:rPr>
        <w:t>р</w:t>
      </w:r>
      <w:r w:rsidR="00A56E08">
        <w:rPr>
          <w:i/>
        </w:rPr>
        <w:t>а</w:t>
      </w:r>
      <w:r w:rsidR="00171F00">
        <w:rPr>
          <w:i/>
        </w:rPr>
        <w:t>з</w:t>
      </w:r>
      <w:r w:rsidR="00A56E08">
        <w:rPr>
          <w:i/>
        </w:rPr>
        <w:t>о</w:t>
      </w:r>
      <w:r>
        <w:rPr>
          <w:i/>
        </w:rPr>
        <w:t>в</w:t>
      </w:r>
      <w:r w:rsidR="00A56E08">
        <w:rPr>
          <w:i/>
        </w:rPr>
        <w:t>ањ</w:t>
      </w:r>
      <w:r w:rsidR="00EE6AA2">
        <w:rPr>
          <w:i/>
        </w:rPr>
        <w:t>е</w:t>
      </w:r>
      <w:r w:rsidR="00872771" w:rsidRPr="00F6340E">
        <w:t xml:space="preserve"> </w:t>
      </w:r>
      <w:r>
        <w:t>с</w:t>
      </w:r>
      <w:r w:rsidR="00EE6AA2">
        <w:t>е</w:t>
      </w:r>
      <w:r w:rsidR="00872771" w:rsidRPr="00F6340E">
        <w:t xml:space="preserve"> </w:t>
      </w:r>
      <w:r w:rsidR="00A56E08">
        <w:t>о</w:t>
      </w:r>
      <w:r>
        <w:t>с</w:t>
      </w:r>
      <w:r w:rsidR="00A56E08">
        <w:t>иг</w:t>
      </w:r>
      <w:r>
        <w:t>ур</w:t>
      </w:r>
      <w:r w:rsidR="00A56E08">
        <w:t>а</w:t>
      </w:r>
      <w:r>
        <w:t>в</w:t>
      </w:r>
      <w:r w:rsidR="00A56E08">
        <w:t>а</w:t>
      </w:r>
      <w:r w:rsidR="00872771" w:rsidRPr="00F6340E">
        <w:t xml:space="preserve"> </w:t>
      </w:r>
      <w:r w:rsidR="00A56E08">
        <w:t>и</w:t>
      </w:r>
      <w:r w:rsidR="00872771" w:rsidRPr="00F6340E">
        <w:t xml:space="preserve"> </w:t>
      </w:r>
      <w:r w:rsidR="00A56E08">
        <w:t>од</w:t>
      </w:r>
      <w:r>
        <w:t>р</w:t>
      </w:r>
      <w:r w:rsidR="00EE6AA2">
        <w:t>е</w:t>
      </w:r>
      <w:r w:rsidR="00A56E08">
        <w:t>ђ</w:t>
      </w:r>
      <w:r w:rsidR="00EE6AA2">
        <w:t>е</w:t>
      </w:r>
      <w:r w:rsidR="00A56E08">
        <w:t>но</w:t>
      </w:r>
      <w:r w:rsidR="00872771" w:rsidRPr="00F6340E">
        <w:t xml:space="preserve"> </w:t>
      </w:r>
      <w:r>
        <w:rPr>
          <w:i/>
        </w:rPr>
        <w:t>п</w:t>
      </w:r>
      <w:r w:rsidR="00A56E08">
        <w:rPr>
          <w:i/>
        </w:rPr>
        <w:t>о</w:t>
      </w:r>
      <w:r>
        <w:rPr>
          <w:i/>
        </w:rPr>
        <w:t>ст</w:t>
      </w:r>
      <w:r w:rsidR="00A56E08">
        <w:rPr>
          <w:i/>
        </w:rPr>
        <w:t>игн</w:t>
      </w:r>
      <w:r>
        <w:rPr>
          <w:i/>
        </w:rPr>
        <w:t>у</w:t>
      </w:r>
      <w:r w:rsidR="00A56E08">
        <w:rPr>
          <w:i/>
        </w:rPr>
        <w:t>ћ</w:t>
      </w:r>
      <w:r w:rsidR="00EE6AA2">
        <w:rPr>
          <w:i/>
        </w:rPr>
        <w:t>е</w:t>
      </w:r>
      <w:r w:rsidR="00872771" w:rsidRPr="00F6340E">
        <w:t xml:space="preserve"> </w:t>
      </w:r>
      <w:r w:rsidR="00A56E08">
        <w:t>о</w:t>
      </w:r>
      <w:r>
        <w:t>п</w:t>
      </w:r>
      <w:r w:rsidR="00EE6AA2">
        <w:t>е</w:t>
      </w:r>
      <w:r>
        <w:t>р</w:t>
      </w:r>
      <w:r w:rsidR="00A56E08">
        <w:t>ационали</w:t>
      </w:r>
      <w:r w:rsidR="00171F00">
        <w:t>з</w:t>
      </w:r>
      <w:r w:rsidR="00A56E08">
        <w:t>о</w:t>
      </w:r>
      <w:r>
        <w:t>в</w:t>
      </w:r>
      <w:r w:rsidR="00A56E08">
        <w:t>ано</w:t>
      </w:r>
      <w:r w:rsidR="00872771" w:rsidRPr="00F6340E">
        <w:t xml:space="preserve"> </w:t>
      </w:r>
      <w:r w:rsidR="00A56E08">
        <w:t>к</w:t>
      </w:r>
      <w:r>
        <w:t>р</w:t>
      </w:r>
      <w:r w:rsidR="00A56E08">
        <w:t>о</w:t>
      </w:r>
      <w:r w:rsidR="00171F00">
        <w:t>з</w:t>
      </w:r>
      <w:r w:rsidR="00872771" w:rsidRPr="00F6340E">
        <w:t xml:space="preserve"> </w:t>
      </w:r>
      <w:r w:rsidR="00A56E08">
        <w:t>и</w:t>
      </w:r>
      <w:r>
        <w:t>с</w:t>
      </w:r>
      <w:r w:rsidR="00A56E08">
        <w:t>ход</w:t>
      </w:r>
      <w:r w:rsidR="00EE6AA2">
        <w:t>е</w:t>
      </w:r>
      <w:r w:rsidR="00872771" w:rsidRPr="00F6340E">
        <w:t xml:space="preserve"> </w:t>
      </w:r>
      <w:r>
        <w:t>у</w:t>
      </w:r>
      <w:r w:rsidR="00A56E08">
        <w:t>ч</w:t>
      </w:r>
      <w:r w:rsidR="00EE6AA2">
        <w:t>е</w:t>
      </w:r>
      <w:r w:rsidR="00A56E08">
        <w:t>ња</w:t>
      </w:r>
      <w:r w:rsidR="00872771" w:rsidRPr="00F6340E">
        <w:t xml:space="preserve"> </w:t>
      </w:r>
      <w:r w:rsidR="00A56E08">
        <w:t>и</w:t>
      </w:r>
      <w:r w:rsidR="00872771" w:rsidRPr="00F6340E">
        <w:t xml:space="preserve"> </w:t>
      </w:r>
      <w:r>
        <w:t>п</w:t>
      </w:r>
      <w:r w:rsidR="00A56E08">
        <w:t>о</w:t>
      </w:r>
      <w:r>
        <w:t>у</w:t>
      </w:r>
      <w:r w:rsidR="00A56E08">
        <w:t>ча</w:t>
      </w:r>
      <w:r>
        <w:t>в</w:t>
      </w:r>
      <w:r w:rsidR="00A56E08">
        <w:t>ања</w:t>
      </w:r>
      <w:r w:rsidR="00872771" w:rsidRPr="00F6340E">
        <w:t xml:space="preserve">. </w:t>
      </w:r>
      <w:r w:rsidR="00A56E08">
        <w:t>Циљ</w:t>
      </w:r>
      <w:r w:rsidR="00872771" w:rsidRPr="00F6340E">
        <w:t xml:space="preserve"> </w:t>
      </w:r>
      <w:r w:rsidR="00A56E08">
        <w:t>к</w:t>
      </w:r>
      <w:r>
        <w:t>в</w:t>
      </w:r>
      <w:r w:rsidR="00A56E08">
        <w:t>али</w:t>
      </w:r>
      <w:r>
        <w:t>т</w:t>
      </w:r>
      <w:r w:rsidR="00EE6AA2">
        <w:t>е</w:t>
      </w:r>
      <w:r>
        <w:t>т</w:t>
      </w:r>
      <w:r w:rsidR="00A56E08">
        <w:t>ног</w:t>
      </w:r>
      <w:r w:rsidR="00872771" w:rsidRPr="00F6340E">
        <w:t xml:space="preserve"> </w:t>
      </w:r>
      <w:r w:rsidR="00A56E08">
        <w:t>инкл</w:t>
      </w:r>
      <w:r>
        <w:t>у</w:t>
      </w:r>
      <w:r w:rsidR="00171F00">
        <w:t>з</w:t>
      </w:r>
      <w:r w:rsidR="00A56E08">
        <w:t>и</w:t>
      </w:r>
      <w:r>
        <w:t>в</w:t>
      </w:r>
      <w:r w:rsidR="00A56E08">
        <w:t>ног</w:t>
      </w:r>
      <w:r w:rsidR="00872771" w:rsidRPr="00F6340E">
        <w:t xml:space="preserve"> </w:t>
      </w:r>
      <w:r w:rsidR="00A56E08">
        <w:t>об</w:t>
      </w:r>
      <w:r>
        <w:t>р</w:t>
      </w:r>
      <w:r w:rsidR="00A56E08">
        <w:t>а</w:t>
      </w:r>
      <w:r w:rsidR="00171F00">
        <w:t>з</w:t>
      </w:r>
      <w:r w:rsidR="00A56E08">
        <w:t>о</w:t>
      </w:r>
      <w:r>
        <w:t>в</w:t>
      </w:r>
      <w:r w:rsidR="00A56E08">
        <w:t>ања</w:t>
      </w:r>
      <w:r w:rsidR="00872771" w:rsidRPr="00F6340E">
        <w:t xml:space="preserve"> </w:t>
      </w:r>
      <w:r w:rsidR="00A56E08">
        <w:t>ј</w:t>
      </w:r>
      <w:r w:rsidR="00EE6AA2">
        <w:t>е</w:t>
      </w:r>
      <w:r w:rsidR="00872771" w:rsidRPr="00F6340E">
        <w:t xml:space="preserve"> </w:t>
      </w:r>
      <w:r w:rsidR="00A56E08">
        <w:t>да</w:t>
      </w:r>
      <w:r w:rsidR="00872771" w:rsidRPr="00F6340E">
        <w:t xml:space="preserve"> </w:t>
      </w:r>
      <w:r>
        <w:t>св</w:t>
      </w:r>
      <w:r w:rsidR="00A56E08">
        <w:t>и</w:t>
      </w:r>
      <w:r w:rsidR="00872771" w:rsidRPr="00F6340E">
        <w:t xml:space="preserve"> </w:t>
      </w:r>
      <w:r w:rsidR="00A56E08">
        <w:t>б</w:t>
      </w:r>
      <w:r>
        <w:t>у</w:t>
      </w:r>
      <w:r w:rsidR="00A56E08">
        <w:t>д</w:t>
      </w:r>
      <w:r>
        <w:t>у</w:t>
      </w:r>
      <w:r w:rsidR="00872771" w:rsidRPr="00F6340E">
        <w:t xml:space="preserve"> </w:t>
      </w:r>
      <w:r>
        <w:t>усп</w:t>
      </w:r>
      <w:r w:rsidR="00A56E08">
        <w:t>ј</w:t>
      </w:r>
      <w:r w:rsidR="00EE6AA2">
        <w:t>е</w:t>
      </w:r>
      <w:r>
        <w:t>ш</w:t>
      </w:r>
      <w:r w:rsidR="00A56E08">
        <w:t>ни</w:t>
      </w:r>
      <w:r w:rsidR="00872771" w:rsidRPr="00F6340E">
        <w:t xml:space="preserve"> </w:t>
      </w:r>
      <w:r w:rsidR="00A56E08">
        <w:t>и</w:t>
      </w:r>
      <w:r w:rsidR="00872771" w:rsidRPr="00F6340E">
        <w:t xml:space="preserve">, </w:t>
      </w:r>
      <w:r>
        <w:t>п</w:t>
      </w:r>
      <w:r w:rsidR="00A56E08">
        <w:t>о</w:t>
      </w:r>
      <w:r w:rsidR="00872771" w:rsidRPr="00F6340E">
        <w:t xml:space="preserve"> </w:t>
      </w:r>
      <w:r w:rsidR="00171F00">
        <w:t>з</w:t>
      </w:r>
      <w:r w:rsidR="00A56E08">
        <w:t>а</w:t>
      </w:r>
      <w:r>
        <w:t>врш</w:t>
      </w:r>
      <w:r w:rsidR="00EE6AA2">
        <w:t>е</w:t>
      </w:r>
      <w:r>
        <w:t>т</w:t>
      </w:r>
      <w:r w:rsidR="00A56E08">
        <w:t>к</w:t>
      </w:r>
      <w:r>
        <w:t>у</w:t>
      </w:r>
      <w:r w:rsidR="00872771" w:rsidRPr="00F6340E">
        <w:t xml:space="preserve"> </w:t>
      </w:r>
      <w:r w:rsidR="00A56E08">
        <w:t>фо</w:t>
      </w:r>
      <w:r>
        <w:t>р</w:t>
      </w:r>
      <w:r w:rsidR="00A56E08">
        <w:t>малног</w:t>
      </w:r>
      <w:r w:rsidR="00872771" w:rsidRPr="00F6340E">
        <w:t xml:space="preserve"> </w:t>
      </w:r>
      <w:r w:rsidR="00A56E08">
        <w:t>об</w:t>
      </w:r>
      <w:r>
        <w:t>р</w:t>
      </w:r>
      <w:r w:rsidR="00A56E08">
        <w:t>а</w:t>
      </w:r>
      <w:r w:rsidR="00171F00">
        <w:t>з</w:t>
      </w:r>
      <w:r w:rsidR="00A56E08">
        <w:t>о</w:t>
      </w:r>
      <w:r>
        <w:t>в</w:t>
      </w:r>
      <w:r w:rsidR="00A56E08">
        <w:t>ања</w:t>
      </w:r>
      <w:r w:rsidR="00872771" w:rsidRPr="00F6340E">
        <w:t xml:space="preserve">, </w:t>
      </w:r>
      <w:r w:rsidR="00A56E08">
        <w:t>конк</w:t>
      </w:r>
      <w:r>
        <w:t>ур</w:t>
      </w:r>
      <w:r w:rsidR="00EE6AA2">
        <w:t>е</w:t>
      </w:r>
      <w:r w:rsidR="00A56E08">
        <w:t>н</w:t>
      </w:r>
      <w:r>
        <w:t>т</w:t>
      </w:r>
      <w:r w:rsidR="00A56E08">
        <w:t>ни</w:t>
      </w:r>
      <w:r w:rsidR="00872771" w:rsidRPr="00F6340E">
        <w:t xml:space="preserve"> </w:t>
      </w:r>
      <w:r w:rsidR="00A56E08">
        <w:t>на</w:t>
      </w:r>
      <w:r w:rsidR="00872771" w:rsidRPr="00F6340E">
        <w:t xml:space="preserve"> </w:t>
      </w:r>
      <w:r>
        <w:t>тр</w:t>
      </w:r>
      <w:r w:rsidR="00171F00">
        <w:t>ж</w:t>
      </w:r>
      <w:r w:rsidR="00A56E08">
        <w:t>и</w:t>
      </w:r>
      <w:r>
        <w:t>шту</w:t>
      </w:r>
      <w:r w:rsidR="00872771" w:rsidRPr="00F6340E">
        <w:t xml:space="preserve"> </w:t>
      </w:r>
      <w:r>
        <w:t>р</w:t>
      </w:r>
      <w:r w:rsidR="00A56E08">
        <w:t>ада</w:t>
      </w:r>
      <w:r w:rsidR="00872771" w:rsidRPr="00F6340E">
        <w:t xml:space="preserve"> </w:t>
      </w:r>
      <w:r w:rsidR="00A56E08">
        <w:t>и</w:t>
      </w:r>
      <w:r w:rsidR="00872771" w:rsidRPr="00F6340E">
        <w:t xml:space="preserve"> </w:t>
      </w:r>
      <w:r>
        <w:t>спр</w:t>
      </w:r>
      <w:r w:rsidR="00EE6AA2">
        <w:t>е</w:t>
      </w:r>
      <w:r w:rsidR="00A56E08">
        <w:t>мни</w:t>
      </w:r>
      <w:r w:rsidR="00872771" w:rsidRPr="00F6340E">
        <w:t xml:space="preserve"> </w:t>
      </w:r>
      <w:r w:rsidR="00171F00">
        <w:t>з</w:t>
      </w:r>
      <w:r w:rsidR="00A56E08">
        <w:t>а</w:t>
      </w:r>
      <w:r w:rsidR="00872771" w:rsidRPr="00F6340E">
        <w:t xml:space="preserve"> </w:t>
      </w:r>
      <w:r w:rsidR="00A56E08">
        <w:t>ак</w:t>
      </w:r>
      <w:r>
        <w:t>т</w:t>
      </w:r>
      <w:r w:rsidR="00A56E08">
        <w:t>и</w:t>
      </w:r>
      <w:r>
        <w:t>в</w:t>
      </w:r>
      <w:r w:rsidR="00A56E08">
        <w:t>но</w:t>
      </w:r>
      <w:r w:rsidR="00872771" w:rsidRPr="00F6340E">
        <w:t xml:space="preserve"> </w:t>
      </w:r>
      <w:r>
        <w:t>с</w:t>
      </w:r>
      <w:r w:rsidR="00A56E08">
        <w:t>оцијално</w:t>
      </w:r>
      <w:r w:rsidR="00872771" w:rsidRPr="00F6340E">
        <w:t xml:space="preserve"> </w:t>
      </w:r>
      <w:r>
        <w:t>у</w:t>
      </w:r>
      <w:r w:rsidR="00A56E08">
        <w:t>ч</w:t>
      </w:r>
      <w:r w:rsidR="00EE6AA2">
        <w:t>е</w:t>
      </w:r>
      <w:r>
        <w:t>ств</w:t>
      </w:r>
      <w:r w:rsidR="00A56E08">
        <w:t>о</w:t>
      </w:r>
      <w:r>
        <w:t>в</w:t>
      </w:r>
      <w:r w:rsidR="00A56E08">
        <w:t>ањ</w:t>
      </w:r>
      <w:r w:rsidR="00EE6AA2">
        <w:t>е</w:t>
      </w:r>
      <w:r w:rsidR="00872771" w:rsidRPr="00F6340E">
        <w:t xml:space="preserve">. </w:t>
      </w:r>
    </w:p>
    <w:p w14:paraId="3B5FC2A9" w14:textId="70805B81" w:rsidR="00872771" w:rsidRPr="00F6340E" w:rsidRDefault="00A56E08" w:rsidP="00210EE1">
      <w:pPr>
        <w:pStyle w:val="Body"/>
        <w:rPr>
          <w:rFonts w:eastAsia="Times New Roman"/>
        </w:rPr>
      </w:pPr>
      <w:r>
        <w:t>К</w:t>
      </w:r>
      <w:r w:rsidR="0071360A">
        <w:t>в</w:t>
      </w:r>
      <w:r>
        <w:t>али</w:t>
      </w:r>
      <w:r w:rsidR="0071360A">
        <w:t>т</w:t>
      </w:r>
      <w:r w:rsidR="00EE6AA2">
        <w:t>е</w:t>
      </w:r>
      <w:r w:rsidR="0071360A">
        <w:t>т</w:t>
      </w:r>
      <w:r>
        <w:t>но</w:t>
      </w:r>
      <w:r w:rsidR="00872771" w:rsidRPr="00F6340E">
        <w:t xml:space="preserve"> </w:t>
      </w:r>
      <w:r>
        <w:t>и</w:t>
      </w:r>
      <w:r w:rsidR="00872771" w:rsidRPr="00F6340E">
        <w:t xml:space="preserve"> </w:t>
      </w:r>
      <w:r>
        <w:t>инкл</w:t>
      </w:r>
      <w:r w:rsidR="0071360A">
        <w:t>у</w:t>
      </w:r>
      <w:r w:rsidR="00171F00">
        <w:t>з</w:t>
      </w:r>
      <w:r>
        <w:t>и</w:t>
      </w:r>
      <w:r w:rsidR="0071360A">
        <w:t>в</w:t>
      </w:r>
      <w:r>
        <w:t>но</w:t>
      </w:r>
      <w:r w:rsidR="00872771" w:rsidRPr="00F6340E">
        <w:t xml:space="preserve"> </w:t>
      </w:r>
      <w:r>
        <w:t>об</w:t>
      </w:r>
      <w:r w:rsidR="0071360A">
        <w:t>р</w:t>
      </w:r>
      <w:r>
        <w:t>а</w:t>
      </w:r>
      <w:r w:rsidR="00171F00">
        <w:t>з</w:t>
      </w:r>
      <w:r>
        <w:t>о</w:t>
      </w:r>
      <w:r w:rsidR="0071360A">
        <w:t>в</w:t>
      </w:r>
      <w:r>
        <w:t>ањ</w:t>
      </w:r>
      <w:r w:rsidR="00EE6AA2">
        <w:t>е</w:t>
      </w:r>
      <w:r w:rsidR="00872771" w:rsidRPr="00F6340E">
        <w:t xml:space="preserve"> </w:t>
      </w:r>
      <w:r>
        <w:t>ј</w:t>
      </w:r>
      <w:r w:rsidR="00EE6AA2">
        <w:t>е</w:t>
      </w:r>
      <w:r w:rsidR="00872771" w:rsidRPr="00F6340E">
        <w:t xml:space="preserve"> </w:t>
      </w:r>
      <w:r>
        <w:t>д</w:t>
      </w:r>
      <w:r w:rsidR="00EE6AA2">
        <w:t>е</w:t>
      </w:r>
      <w:r>
        <w:t>фини</w:t>
      </w:r>
      <w:r w:rsidR="0071360A">
        <w:t>с</w:t>
      </w:r>
      <w:r>
        <w:t>ано</w:t>
      </w:r>
      <w:r w:rsidR="00872771" w:rsidRPr="00F6340E">
        <w:t xml:space="preserve"> </w:t>
      </w:r>
      <w:r>
        <w:t>и</w:t>
      </w:r>
      <w:r w:rsidR="00872771" w:rsidRPr="00F6340E">
        <w:t xml:space="preserve"> </w:t>
      </w:r>
      <w:r>
        <w:t>Од</w:t>
      </w:r>
      <w:r w:rsidR="0071360A">
        <w:t>р</w:t>
      </w:r>
      <w:r w:rsidR="00171F00">
        <w:t>ж</w:t>
      </w:r>
      <w:r>
        <w:t>и</w:t>
      </w:r>
      <w:r w:rsidR="0071360A">
        <w:t>в</w:t>
      </w:r>
      <w:r>
        <w:t>им</w:t>
      </w:r>
      <w:r w:rsidR="009D234E" w:rsidRPr="00F6340E">
        <w:t xml:space="preserve"> </w:t>
      </w:r>
      <w:r w:rsidR="0071360A">
        <w:t>р</w:t>
      </w:r>
      <w:r>
        <w:t>а</w:t>
      </w:r>
      <w:r w:rsidR="00171F00">
        <w:t>з</w:t>
      </w:r>
      <w:r w:rsidR="0071360A">
        <w:t>в</w:t>
      </w:r>
      <w:r>
        <w:t>ојним</w:t>
      </w:r>
      <w:r w:rsidR="009D234E" w:rsidRPr="00F6340E">
        <w:t xml:space="preserve"> </w:t>
      </w:r>
      <w:r>
        <w:t>Циљ</w:t>
      </w:r>
      <w:r w:rsidR="00EE6AA2">
        <w:t>е</w:t>
      </w:r>
      <w:r>
        <w:t>м</w:t>
      </w:r>
      <w:r w:rsidR="00872771" w:rsidRPr="00F6340E">
        <w:t xml:space="preserve"> 4</w:t>
      </w:r>
      <w:r w:rsidR="00E1600C" w:rsidRPr="00F6340E">
        <w:t xml:space="preserve"> </w:t>
      </w:r>
      <w:r>
        <w:t>Аг</w:t>
      </w:r>
      <w:r w:rsidR="00EE6AA2">
        <w:t>е</w:t>
      </w:r>
      <w:r>
        <w:t>нд</w:t>
      </w:r>
      <w:r w:rsidR="00EE6AA2">
        <w:t>е</w:t>
      </w:r>
      <w:r w:rsidR="00E1600C" w:rsidRPr="00F6340E">
        <w:t xml:space="preserve"> 2030</w:t>
      </w:r>
      <w:r w:rsidR="00872771" w:rsidRPr="00F6340E">
        <w:rPr>
          <w:rStyle w:val="FootnoteReference"/>
          <w:rFonts w:cs="Arial"/>
          <w:color w:val="000000" w:themeColor="text1"/>
          <w:szCs w:val="24"/>
        </w:rPr>
        <w:footnoteReference w:id="6"/>
      </w:r>
      <w:r w:rsidR="00872771" w:rsidRPr="00F6340E">
        <w:t xml:space="preserve">. </w:t>
      </w:r>
      <w:r>
        <w:rPr>
          <w:bCs/>
        </w:rPr>
        <w:t>О</w:t>
      </w:r>
      <w:r w:rsidR="0071360A">
        <w:rPr>
          <w:bCs/>
        </w:rPr>
        <w:t>в</w:t>
      </w:r>
      <w:r>
        <w:rPr>
          <w:bCs/>
        </w:rPr>
        <w:t>о</w:t>
      </w:r>
      <w:r w:rsidR="00197620" w:rsidRPr="00F6340E">
        <w:rPr>
          <w:bCs/>
        </w:rPr>
        <w:t xml:space="preserve"> </w:t>
      </w:r>
      <w:r w:rsidR="0071360A">
        <w:rPr>
          <w:bCs/>
        </w:rPr>
        <w:t>с</w:t>
      </w:r>
      <w:r w:rsidR="00EE6AA2">
        <w:rPr>
          <w:bCs/>
        </w:rPr>
        <w:t>е</w:t>
      </w:r>
      <w:r w:rsidR="00197620" w:rsidRPr="00F6340E">
        <w:rPr>
          <w:bCs/>
        </w:rPr>
        <w:t xml:space="preserve"> </w:t>
      </w:r>
      <w:r>
        <w:rPr>
          <w:bCs/>
        </w:rPr>
        <w:t>одно</w:t>
      </w:r>
      <w:r w:rsidR="0071360A">
        <w:rPr>
          <w:bCs/>
        </w:rPr>
        <w:t>с</w:t>
      </w:r>
      <w:r>
        <w:rPr>
          <w:bCs/>
        </w:rPr>
        <w:t>и</w:t>
      </w:r>
      <w:r w:rsidR="00872771" w:rsidRPr="00F6340E">
        <w:rPr>
          <w:bCs/>
        </w:rPr>
        <w:t xml:space="preserve"> </w:t>
      </w:r>
      <w:r w:rsidR="0071360A">
        <w:rPr>
          <w:bCs/>
        </w:rPr>
        <w:t>с</w:t>
      </w:r>
      <w:r w:rsidR="00EE6AA2">
        <w:rPr>
          <w:bCs/>
        </w:rPr>
        <w:t>е</w:t>
      </w:r>
      <w:r w:rsidR="00872771" w:rsidRPr="00F6340E">
        <w:rPr>
          <w:bCs/>
        </w:rPr>
        <w:t xml:space="preserve"> </w:t>
      </w:r>
      <w:r>
        <w:rPr>
          <w:bCs/>
        </w:rPr>
        <w:t>на</w:t>
      </w:r>
      <w:r w:rsidR="00872771" w:rsidRPr="00F6340E">
        <w:rPr>
          <w:bCs/>
        </w:rPr>
        <w:t xml:space="preserve"> </w:t>
      </w:r>
      <w:r w:rsidR="0071360A">
        <w:rPr>
          <w:bCs/>
        </w:rPr>
        <w:t>у</w:t>
      </w:r>
      <w:r>
        <w:rPr>
          <w:bCs/>
        </w:rPr>
        <w:t>на</w:t>
      </w:r>
      <w:r w:rsidR="0071360A">
        <w:rPr>
          <w:bCs/>
        </w:rPr>
        <w:t>пр</w:t>
      </w:r>
      <w:r>
        <w:rPr>
          <w:bCs/>
        </w:rPr>
        <w:t>ј</w:t>
      </w:r>
      <w:r w:rsidR="00EE6AA2">
        <w:rPr>
          <w:bCs/>
        </w:rPr>
        <w:t>е</w:t>
      </w:r>
      <w:r>
        <w:rPr>
          <w:bCs/>
        </w:rPr>
        <w:t>ђ</w:t>
      </w:r>
      <w:r w:rsidR="00EE6AA2">
        <w:rPr>
          <w:bCs/>
        </w:rPr>
        <w:t>е</w:t>
      </w:r>
      <w:r>
        <w:rPr>
          <w:bCs/>
        </w:rPr>
        <w:t>њ</w:t>
      </w:r>
      <w:r w:rsidR="00EE6AA2">
        <w:rPr>
          <w:bCs/>
        </w:rPr>
        <w:t>е</w:t>
      </w:r>
      <w:r w:rsidR="00872771" w:rsidRPr="00F6340E">
        <w:rPr>
          <w:bCs/>
        </w:rPr>
        <w:t xml:space="preserve"> </w:t>
      </w:r>
      <w:r w:rsidR="0071360A">
        <w:rPr>
          <w:bCs/>
        </w:rPr>
        <w:t>у</w:t>
      </w:r>
      <w:r w:rsidR="00872771" w:rsidRPr="00F6340E">
        <w:rPr>
          <w:bCs/>
        </w:rPr>
        <w:t xml:space="preserve"> </w:t>
      </w:r>
      <w:r w:rsidR="0071360A">
        <w:rPr>
          <w:bCs/>
        </w:rPr>
        <w:t>п</w:t>
      </w:r>
      <w:r>
        <w:rPr>
          <w:bCs/>
        </w:rPr>
        <w:t>од</w:t>
      </w:r>
      <w:r w:rsidR="0071360A">
        <w:rPr>
          <w:bCs/>
        </w:rPr>
        <w:t>ру</w:t>
      </w:r>
      <w:r>
        <w:rPr>
          <w:bCs/>
        </w:rPr>
        <w:t>чј</w:t>
      </w:r>
      <w:r w:rsidR="0071360A">
        <w:rPr>
          <w:bCs/>
        </w:rPr>
        <w:t>у</w:t>
      </w:r>
      <w:r w:rsidR="00872771" w:rsidRPr="00F6340E">
        <w:rPr>
          <w:bCs/>
        </w:rPr>
        <w:t xml:space="preserve"> </w:t>
      </w:r>
      <w:r w:rsidR="0071360A">
        <w:rPr>
          <w:bCs/>
        </w:rPr>
        <w:t>у</w:t>
      </w:r>
      <w:r>
        <w:rPr>
          <w:bCs/>
        </w:rPr>
        <w:t>ни</w:t>
      </w:r>
      <w:r w:rsidR="0071360A">
        <w:rPr>
          <w:bCs/>
        </w:rPr>
        <w:t>в</w:t>
      </w:r>
      <w:r w:rsidR="00EE6AA2">
        <w:rPr>
          <w:bCs/>
        </w:rPr>
        <w:t>е</w:t>
      </w:r>
      <w:r w:rsidR="0071360A">
        <w:rPr>
          <w:bCs/>
        </w:rPr>
        <w:t>р</w:t>
      </w:r>
      <w:r w:rsidR="00171F00">
        <w:rPr>
          <w:bCs/>
        </w:rPr>
        <w:t>з</w:t>
      </w:r>
      <w:r>
        <w:rPr>
          <w:bCs/>
        </w:rPr>
        <w:t>алног</w:t>
      </w:r>
      <w:r w:rsidR="00872771" w:rsidRPr="00F6340E">
        <w:rPr>
          <w:bCs/>
        </w:rPr>
        <w:t xml:space="preserve"> </w:t>
      </w:r>
      <w:r>
        <w:rPr>
          <w:bCs/>
        </w:rPr>
        <w:t>о</w:t>
      </w:r>
      <w:r w:rsidR="0071360A">
        <w:rPr>
          <w:bCs/>
        </w:rPr>
        <w:t>с</w:t>
      </w:r>
      <w:r>
        <w:rPr>
          <w:bCs/>
        </w:rPr>
        <w:t>но</w:t>
      </w:r>
      <w:r w:rsidR="0071360A">
        <w:rPr>
          <w:bCs/>
        </w:rPr>
        <w:t>в</w:t>
      </w:r>
      <w:r>
        <w:rPr>
          <w:bCs/>
        </w:rPr>
        <w:t>ног</w:t>
      </w:r>
      <w:r w:rsidR="00872771" w:rsidRPr="00F6340E">
        <w:rPr>
          <w:bCs/>
        </w:rPr>
        <w:t xml:space="preserve"> </w:t>
      </w:r>
      <w:r>
        <w:rPr>
          <w:bCs/>
        </w:rPr>
        <w:lastRenderedPageBreak/>
        <w:t>об</w:t>
      </w:r>
      <w:r w:rsidR="0071360A">
        <w:rPr>
          <w:bCs/>
        </w:rPr>
        <w:t>р</w:t>
      </w:r>
      <w:r>
        <w:rPr>
          <w:bCs/>
        </w:rPr>
        <w:t>а</w:t>
      </w:r>
      <w:r w:rsidR="00171F00">
        <w:rPr>
          <w:bCs/>
        </w:rPr>
        <w:t>з</w:t>
      </w:r>
      <w:r>
        <w:rPr>
          <w:bCs/>
        </w:rPr>
        <w:t>о</w:t>
      </w:r>
      <w:r w:rsidR="0071360A">
        <w:rPr>
          <w:bCs/>
        </w:rPr>
        <w:t>в</w:t>
      </w:r>
      <w:r>
        <w:rPr>
          <w:bCs/>
        </w:rPr>
        <w:t>ања</w:t>
      </w:r>
      <w:r w:rsidR="00872771" w:rsidRPr="00F6340E">
        <w:rPr>
          <w:bCs/>
        </w:rPr>
        <w:t xml:space="preserve">, </w:t>
      </w:r>
      <w:r w:rsidR="0071360A">
        <w:rPr>
          <w:bCs/>
        </w:rPr>
        <w:t>с</w:t>
      </w:r>
      <w:r>
        <w:rPr>
          <w:bCs/>
        </w:rPr>
        <w:t>мањ</w:t>
      </w:r>
      <w:r w:rsidR="00EE6AA2">
        <w:rPr>
          <w:bCs/>
        </w:rPr>
        <w:t>е</w:t>
      </w:r>
      <w:r>
        <w:rPr>
          <w:bCs/>
        </w:rPr>
        <w:t>њ</w:t>
      </w:r>
      <w:r w:rsidR="00EE6AA2">
        <w:rPr>
          <w:bCs/>
        </w:rPr>
        <w:t>е</w:t>
      </w:r>
      <w:r w:rsidR="00872771" w:rsidRPr="00F6340E">
        <w:rPr>
          <w:bCs/>
        </w:rPr>
        <w:t xml:space="preserve"> </w:t>
      </w:r>
      <w:r w:rsidR="0071360A">
        <w:rPr>
          <w:bCs/>
        </w:rPr>
        <w:t>ст</w:t>
      </w:r>
      <w:r>
        <w:rPr>
          <w:bCs/>
        </w:rPr>
        <w:t>о</w:t>
      </w:r>
      <w:r w:rsidR="0071360A">
        <w:rPr>
          <w:bCs/>
        </w:rPr>
        <w:t>п</w:t>
      </w:r>
      <w:r w:rsidR="00EE6AA2">
        <w:rPr>
          <w:bCs/>
        </w:rPr>
        <w:t>е</w:t>
      </w:r>
      <w:r w:rsidR="00872771" w:rsidRPr="00F6340E">
        <w:rPr>
          <w:bCs/>
        </w:rPr>
        <w:t xml:space="preserve"> </w:t>
      </w:r>
      <w:r w:rsidR="0071360A">
        <w:rPr>
          <w:bCs/>
        </w:rPr>
        <w:t>р</w:t>
      </w:r>
      <w:r>
        <w:rPr>
          <w:bCs/>
        </w:rPr>
        <w:t>аног</w:t>
      </w:r>
      <w:r w:rsidR="00872771" w:rsidRPr="00F6340E">
        <w:rPr>
          <w:bCs/>
        </w:rPr>
        <w:t xml:space="preserve"> </w:t>
      </w:r>
      <w:r>
        <w:rPr>
          <w:bCs/>
        </w:rPr>
        <w:t>на</w:t>
      </w:r>
      <w:r w:rsidR="0071360A">
        <w:rPr>
          <w:bCs/>
        </w:rPr>
        <w:t>пушт</w:t>
      </w:r>
      <w:r>
        <w:rPr>
          <w:bCs/>
        </w:rPr>
        <w:t>ања</w:t>
      </w:r>
      <w:r w:rsidR="00872771" w:rsidRPr="00F6340E">
        <w:rPr>
          <w:bCs/>
        </w:rPr>
        <w:t xml:space="preserve"> </w:t>
      </w:r>
      <w:r w:rsidR="0071360A">
        <w:rPr>
          <w:bCs/>
        </w:rPr>
        <w:t>ш</w:t>
      </w:r>
      <w:r>
        <w:rPr>
          <w:bCs/>
        </w:rPr>
        <w:t>коло</w:t>
      </w:r>
      <w:r w:rsidR="0071360A">
        <w:rPr>
          <w:bCs/>
        </w:rPr>
        <w:t>в</w:t>
      </w:r>
      <w:r>
        <w:rPr>
          <w:bCs/>
        </w:rPr>
        <w:t>ања</w:t>
      </w:r>
      <w:r w:rsidR="00872771" w:rsidRPr="00F6340E">
        <w:rPr>
          <w:bCs/>
        </w:rPr>
        <w:t xml:space="preserve">, </w:t>
      </w:r>
      <w:r w:rsidR="0071360A">
        <w:rPr>
          <w:bCs/>
        </w:rPr>
        <w:t>п</w:t>
      </w:r>
      <w:r>
        <w:rPr>
          <w:bCs/>
        </w:rPr>
        <w:t>о</w:t>
      </w:r>
      <w:r w:rsidR="0071360A">
        <w:rPr>
          <w:bCs/>
        </w:rPr>
        <w:t>в</w:t>
      </w:r>
      <w:r w:rsidR="00EE6AA2">
        <w:rPr>
          <w:bCs/>
        </w:rPr>
        <w:t>е</w:t>
      </w:r>
      <w:r>
        <w:rPr>
          <w:bCs/>
        </w:rPr>
        <w:t>ћањ</w:t>
      </w:r>
      <w:r w:rsidR="00EE6AA2">
        <w:rPr>
          <w:bCs/>
        </w:rPr>
        <w:t>е</w:t>
      </w:r>
      <w:r w:rsidR="00872771" w:rsidRPr="00F6340E">
        <w:rPr>
          <w:bCs/>
        </w:rPr>
        <w:t xml:space="preserve"> </w:t>
      </w:r>
      <w:r w:rsidR="0071360A">
        <w:rPr>
          <w:bCs/>
        </w:rPr>
        <w:t>п</w:t>
      </w:r>
      <w:r>
        <w:rPr>
          <w:bCs/>
        </w:rPr>
        <w:t>и</w:t>
      </w:r>
      <w:r w:rsidR="0071360A">
        <w:rPr>
          <w:bCs/>
        </w:rPr>
        <w:t>с</w:t>
      </w:r>
      <w:r>
        <w:rPr>
          <w:bCs/>
        </w:rPr>
        <w:t>м</w:t>
      </w:r>
      <w:r w:rsidR="00EE6AA2">
        <w:rPr>
          <w:bCs/>
        </w:rPr>
        <w:t>е</w:t>
      </w:r>
      <w:r>
        <w:rPr>
          <w:bCs/>
        </w:rPr>
        <w:t>но</w:t>
      </w:r>
      <w:r w:rsidR="0071360A">
        <w:rPr>
          <w:bCs/>
        </w:rPr>
        <w:t>ст</w:t>
      </w:r>
      <w:r>
        <w:rPr>
          <w:bCs/>
        </w:rPr>
        <w:t>и</w:t>
      </w:r>
      <w:r w:rsidR="00872771" w:rsidRPr="00F6340E">
        <w:rPr>
          <w:bCs/>
        </w:rPr>
        <w:t xml:space="preserve"> </w:t>
      </w:r>
      <w:r>
        <w:rPr>
          <w:bCs/>
        </w:rPr>
        <w:t>чим</w:t>
      </w:r>
      <w:r w:rsidR="00EE6AA2">
        <w:rPr>
          <w:bCs/>
        </w:rPr>
        <w:t>е</w:t>
      </w:r>
      <w:r w:rsidR="00872771" w:rsidRPr="00F6340E">
        <w:rPr>
          <w:bCs/>
        </w:rPr>
        <w:t xml:space="preserve"> </w:t>
      </w:r>
      <w:r w:rsidR="0071360A">
        <w:rPr>
          <w:bCs/>
        </w:rPr>
        <w:t>с</w:t>
      </w:r>
      <w:r w:rsidR="00EE6AA2">
        <w:rPr>
          <w:bCs/>
        </w:rPr>
        <w:t>е</w:t>
      </w:r>
      <w:r w:rsidR="00872771" w:rsidRPr="00F6340E">
        <w:rPr>
          <w:bCs/>
        </w:rPr>
        <w:t xml:space="preserve"> </w:t>
      </w:r>
      <w:r w:rsidR="0071360A">
        <w:rPr>
          <w:bCs/>
        </w:rPr>
        <w:t>пр</w:t>
      </w:r>
      <w:r>
        <w:rPr>
          <w:bCs/>
        </w:rPr>
        <w:t>омо</w:t>
      </w:r>
      <w:r w:rsidR="0071360A">
        <w:rPr>
          <w:bCs/>
        </w:rPr>
        <w:t>в</w:t>
      </w:r>
      <w:r>
        <w:rPr>
          <w:bCs/>
        </w:rPr>
        <w:t>и</w:t>
      </w:r>
      <w:r w:rsidR="0071360A">
        <w:rPr>
          <w:bCs/>
        </w:rPr>
        <w:t>ш</w:t>
      </w:r>
      <w:r w:rsidR="00EE6AA2">
        <w:rPr>
          <w:bCs/>
        </w:rPr>
        <w:t>е</w:t>
      </w:r>
      <w:r w:rsidR="00743C0E" w:rsidRPr="00F6340E">
        <w:rPr>
          <w:bCs/>
        </w:rPr>
        <w:t xml:space="preserve"> </w:t>
      </w:r>
      <w:r>
        <w:rPr>
          <w:bCs/>
        </w:rPr>
        <w:t>и</w:t>
      </w:r>
      <w:r w:rsidR="00872771" w:rsidRPr="00F6340E">
        <w:rPr>
          <w:bCs/>
        </w:rPr>
        <w:t xml:space="preserve"> </w:t>
      </w:r>
      <w:r>
        <w:rPr>
          <w:bCs/>
        </w:rPr>
        <w:t>мог</w:t>
      </w:r>
      <w:r w:rsidR="0071360A">
        <w:rPr>
          <w:bCs/>
        </w:rPr>
        <w:t>у</w:t>
      </w:r>
      <w:r>
        <w:rPr>
          <w:bCs/>
        </w:rPr>
        <w:t>ћно</w:t>
      </w:r>
      <w:r w:rsidR="0071360A">
        <w:rPr>
          <w:bCs/>
        </w:rPr>
        <w:t>ст</w:t>
      </w:r>
      <w:r w:rsidR="00872771" w:rsidRPr="00F6340E">
        <w:rPr>
          <w:bCs/>
        </w:rPr>
        <w:t xml:space="preserve"> </w:t>
      </w:r>
      <w:r>
        <w:rPr>
          <w:bCs/>
        </w:rPr>
        <w:t>цј</w:t>
      </w:r>
      <w:r w:rsidR="00EE6AA2">
        <w:rPr>
          <w:bCs/>
        </w:rPr>
        <w:t>е</w:t>
      </w:r>
      <w:r>
        <w:rPr>
          <w:bCs/>
        </w:rPr>
        <w:t>ло</w:t>
      </w:r>
      <w:r w:rsidR="00171F00">
        <w:rPr>
          <w:bCs/>
        </w:rPr>
        <w:t>ж</w:t>
      </w:r>
      <w:r>
        <w:rPr>
          <w:bCs/>
        </w:rPr>
        <w:t>и</w:t>
      </w:r>
      <w:r w:rsidR="0071360A">
        <w:rPr>
          <w:bCs/>
        </w:rPr>
        <w:t>в</w:t>
      </w:r>
      <w:r>
        <w:rPr>
          <w:bCs/>
        </w:rPr>
        <w:t>о</w:t>
      </w:r>
      <w:r w:rsidR="0071360A">
        <w:rPr>
          <w:bCs/>
        </w:rPr>
        <w:t>т</w:t>
      </w:r>
      <w:r>
        <w:rPr>
          <w:bCs/>
        </w:rPr>
        <w:t>ног</w:t>
      </w:r>
      <w:r w:rsidR="00872771" w:rsidRPr="00F6340E">
        <w:rPr>
          <w:bCs/>
        </w:rPr>
        <w:t xml:space="preserve"> </w:t>
      </w:r>
      <w:r w:rsidR="0071360A">
        <w:rPr>
          <w:bCs/>
        </w:rPr>
        <w:t>у</w:t>
      </w:r>
      <w:r>
        <w:rPr>
          <w:bCs/>
        </w:rPr>
        <w:t>ч</w:t>
      </w:r>
      <w:r w:rsidR="00EE6AA2">
        <w:rPr>
          <w:bCs/>
        </w:rPr>
        <w:t>е</w:t>
      </w:r>
      <w:r>
        <w:rPr>
          <w:bCs/>
        </w:rPr>
        <w:t>ња</w:t>
      </w:r>
      <w:r w:rsidR="00872771" w:rsidRPr="00F6340E">
        <w:rPr>
          <w:bCs/>
        </w:rPr>
        <w:t xml:space="preserve">. </w:t>
      </w:r>
      <w:r w:rsidR="0071360A">
        <w:rPr>
          <w:rFonts w:eastAsia="Times New Roman"/>
          <w:spacing w:val="4"/>
          <w:shd w:val="clear" w:color="auto" w:fill="FEFEFE"/>
        </w:rPr>
        <w:t>Пр</w:t>
      </w:r>
      <w:r w:rsidR="00EE6AA2">
        <w:rPr>
          <w:rFonts w:eastAsia="Times New Roman"/>
          <w:spacing w:val="4"/>
          <w:shd w:val="clear" w:color="auto" w:fill="FEFEFE"/>
        </w:rPr>
        <w:t>е</w:t>
      </w:r>
      <w:r>
        <w:rPr>
          <w:rFonts w:eastAsia="Times New Roman"/>
          <w:spacing w:val="4"/>
          <w:shd w:val="clear" w:color="auto" w:fill="FEFEFE"/>
        </w:rPr>
        <w:t>ма</w:t>
      </w:r>
      <w:r w:rsidR="00872771" w:rsidRPr="00F6340E">
        <w:rPr>
          <w:rFonts w:eastAsia="Times New Roman"/>
          <w:spacing w:val="4"/>
          <w:shd w:val="clear" w:color="auto" w:fill="FEFEFE"/>
        </w:rPr>
        <w:t xml:space="preserve"> </w:t>
      </w:r>
      <w:r>
        <w:rPr>
          <w:rFonts w:eastAsia="Times New Roman"/>
          <w:spacing w:val="4"/>
          <w:shd w:val="clear" w:color="auto" w:fill="FEFEFE"/>
        </w:rPr>
        <w:t>о</w:t>
      </w:r>
      <w:r w:rsidR="0071360A">
        <w:rPr>
          <w:rFonts w:eastAsia="Times New Roman"/>
          <w:spacing w:val="4"/>
          <w:shd w:val="clear" w:color="auto" w:fill="FEFEFE"/>
        </w:rPr>
        <w:t>в</w:t>
      </w:r>
      <w:r>
        <w:rPr>
          <w:rFonts w:eastAsia="Times New Roman"/>
          <w:spacing w:val="4"/>
          <w:shd w:val="clear" w:color="auto" w:fill="FEFEFE"/>
        </w:rPr>
        <w:t>ом</w:t>
      </w:r>
      <w:r w:rsidR="00872771" w:rsidRPr="00F6340E">
        <w:rPr>
          <w:rFonts w:eastAsia="Times New Roman"/>
          <w:spacing w:val="4"/>
          <w:shd w:val="clear" w:color="auto" w:fill="FEFEFE"/>
        </w:rPr>
        <w:t xml:space="preserve"> </w:t>
      </w:r>
      <w:r>
        <w:rPr>
          <w:rFonts w:eastAsia="Times New Roman"/>
          <w:spacing w:val="4"/>
          <w:shd w:val="clear" w:color="auto" w:fill="FEFEFE"/>
        </w:rPr>
        <w:t>циљ</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св</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дј</w:t>
      </w:r>
      <w:r w:rsidR="00EE6AA2">
        <w:rPr>
          <w:rFonts w:eastAsia="Times New Roman"/>
          <w:spacing w:val="4"/>
          <w:shd w:val="clear" w:color="auto" w:fill="FEFEFE"/>
        </w:rPr>
        <w:t>е</w:t>
      </w:r>
      <w:r w:rsidR="0071360A">
        <w:rPr>
          <w:rFonts w:eastAsia="Times New Roman"/>
          <w:spacing w:val="4"/>
          <w:shd w:val="clear" w:color="auto" w:fill="FEFEFE"/>
        </w:rPr>
        <w:t>в</w:t>
      </w:r>
      <w:r>
        <w:rPr>
          <w:rFonts w:eastAsia="Times New Roman"/>
          <w:spacing w:val="4"/>
          <w:shd w:val="clear" w:color="auto" w:fill="FEFEFE"/>
        </w:rPr>
        <w:t>ојчиц</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дј</w:t>
      </w:r>
      <w:r w:rsidR="00EE6AA2">
        <w:rPr>
          <w:rFonts w:eastAsia="Times New Roman"/>
          <w:spacing w:val="4"/>
          <w:shd w:val="clear" w:color="auto" w:fill="FEFEFE"/>
        </w:rPr>
        <w:t>е</w:t>
      </w:r>
      <w:r>
        <w:rPr>
          <w:rFonts w:eastAsia="Times New Roman"/>
          <w:spacing w:val="4"/>
          <w:shd w:val="clear" w:color="auto" w:fill="FEFEFE"/>
        </w:rPr>
        <w:t>чаци</w:t>
      </w:r>
      <w:r w:rsidR="00872771" w:rsidRPr="00F6340E">
        <w:rPr>
          <w:rFonts w:eastAsia="Times New Roman"/>
          <w:spacing w:val="4"/>
          <w:shd w:val="clear" w:color="auto" w:fill="FEFEFE"/>
        </w:rPr>
        <w:t xml:space="preserve"> </w:t>
      </w:r>
      <w:r w:rsidR="00171F00">
        <w:rPr>
          <w:rFonts w:eastAsia="Times New Roman"/>
          <w:spacing w:val="4"/>
          <w:shd w:val="clear" w:color="auto" w:fill="FEFEFE"/>
        </w:rPr>
        <w:t>з</w:t>
      </w:r>
      <w:r>
        <w:rPr>
          <w:rFonts w:eastAsia="Times New Roman"/>
          <w:spacing w:val="4"/>
          <w:shd w:val="clear" w:color="auto" w:fill="FEFEFE"/>
        </w:rPr>
        <w:t>а</w:t>
      </w:r>
      <w:r w:rsidR="0071360A">
        <w:rPr>
          <w:rFonts w:eastAsia="Times New Roman"/>
          <w:spacing w:val="4"/>
          <w:shd w:val="clear" w:color="auto" w:fill="FEFEFE"/>
        </w:rPr>
        <w:t>врш</w:t>
      </w:r>
      <w:r>
        <w:rPr>
          <w:rFonts w:eastAsia="Times New Roman"/>
          <w:spacing w:val="4"/>
          <w:shd w:val="clear" w:color="auto" w:fill="FEFEFE"/>
        </w:rPr>
        <w:t>ић</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б</w:t>
      </w:r>
      <w:r w:rsidR="00EE6AA2">
        <w:rPr>
          <w:rFonts w:eastAsia="Times New Roman"/>
          <w:spacing w:val="4"/>
          <w:shd w:val="clear" w:color="auto" w:fill="FEFEFE"/>
        </w:rPr>
        <w:t>е</w:t>
      </w:r>
      <w:r w:rsidR="0071360A">
        <w:rPr>
          <w:rFonts w:eastAsia="Times New Roman"/>
          <w:spacing w:val="4"/>
          <w:shd w:val="clear" w:color="auto" w:fill="FEFEFE"/>
        </w:rPr>
        <w:t>сп</w:t>
      </w:r>
      <w:r>
        <w:rPr>
          <w:rFonts w:eastAsia="Times New Roman"/>
          <w:spacing w:val="4"/>
          <w:shd w:val="clear" w:color="auto" w:fill="FEFEFE"/>
        </w:rPr>
        <w:t>ла</w:t>
      </w:r>
      <w:r w:rsidR="0071360A">
        <w:rPr>
          <w:rFonts w:eastAsia="Times New Roman"/>
          <w:spacing w:val="4"/>
          <w:shd w:val="clear" w:color="auto" w:fill="FEFEFE"/>
        </w:rPr>
        <w:t>т</w:t>
      </w:r>
      <w:r>
        <w:rPr>
          <w:rFonts w:eastAsia="Times New Roman"/>
          <w:spacing w:val="4"/>
          <w:shd w:val="clear" w:color="auto" w:fill="FEFEFE"/>
        </w:rPr>
        <w:t>н</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Pr>
          <w:rFonts w:eastAsia="Times New Roman"/>
          <w:spacing w:val="4"/>
          <w:shd w:val="clear" w:color="auto" w:fill="FEFEFE"/>
        </w:rPr>
        <w:t>о</w:t>
      </w:r>
      <w:r w:rsidR="0071360A">
        <w:rPr>
          <w:rFonts w:eastAsia="Times New Roman"/>
          <w:spacing w:val="4"/>
          <w:shd w:val="clear" w:color="auto" w:fill="FEFEFE"/>
        </w:rPr>
        <w:t>с</w:t>
      </w:r>
      <w:r>
        <w:rPr>
          <w:rFonts w:eastAsia="Times New Roman"/>
          <w:spacing w:val="4"/>
          <w:shd w:val="clear" w:color="auto" w:fill="FEFEFE"/>
        </w:rPr>
        <w:t>но</w:t>
      </w:r>
      <w:r w:rsidR="0071360A">
        <w:rPr>
          <w:rFonts w:eastAsia="Times New Roman"/>
          <w:spacing w:val="4"/>
          <w:shd w:val="clear" w:color="auto" w:fill="FEFEFE"/>
        </w:rPr>
        <w:t>в</w:t>
      </w:r>
      <w:r>
        <w:rPr>
          <w:rFonts w:eastAsia="Times New Roman"/>
          <w:spacing w:val="4"/>
          <w:shd w:val="clear" w:color="auto" w:fill="FEFEFE"/>
        </w:rPr>
        <w:t>н</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ср</w:t>
      </w:r>
      <w:r w:rsidR="00EE6AA2">
        <w:rPr>
          <w:rFonts w:eastAsia="Times New Roman"/>
          <w:spacing w:val="4"/>
          <w:shd w:val="clear" w:color="auto" w:fill="FEFEFE"/>
        </w:rPr>
        <w:t>е</w:t>
      </w:r>
      <w:r>
        <w:rPr>
          <w:rFonts w:eastAsia="Times New Roman"/>
          <w:spacing w:val="4"/>
          <w:shd w:val="clear" w:color="auto" w:fill="FEFEFE"/>
        </w:rPr>
        <w:t>дњ</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ш</w:t>
      </w:r>
      <w:r>
        <w:rPr>
          <w:rFonts w:eastAsia="Times New Roman"/>
          <w:spacing w:val="4"/>
          <w:shd w:val="clear" w:color="auto" w:fill="FEFEFE"/>
        </w:rPr>
        <w:t>кол</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Pr>
          <w:rFonts w:eastAsia="Times New Roman"/>
          <w:spacing w:val="4"/>
          <w:shd w:val="clear" w:color="auto" w:fill="FEFEFE"/>
        </w:rPr>
        <w:t>до</w:t>
      </w:r>
      <w:r w:rsidR="00872771" w:rsidRPr="00F6340E">
        <w:rPr>
          <w:rFonts w:eastAsia="Times New Roman"/>
          <w:spacing w:val="4"/>
          <w:shd w:val="clear" w:color="auto" w:fill="FEFEFE"/>
        </w:rPr>
        <w:t xml:space="preserve"> 2030. </w:t>
      </w:r>
      <w:r>
        <w:rPr>
          <w:rFonts w:eastAsia="Times New Roman"/>
          <w:spacing w:val="4"/>
          <w:shd w:val="clear" w:color="auto" w:fill="FEFEFE"/>
        </w:rPr>
        <w:t>годин</w:t>
      </w:r>
      <w:r w:rsidR="00EE6AA2">
        <w:rPr>
          <w:rFonts w:eastAsia="Times New Roman"/>
          <w:spacing w:val="4"/>
          <w:shd w:val="clear" w:color="auto" w:fill="FEFEFE"/>
        </w:rPr>
        <w:t>е</w:t>
      </w:r>
      <w:r w:rsidR="00197620" w:rsidRPr="00F6340E">
        <w:rPr>
          <w:rFonts w:eastAsia="Times New Roman"/>
          <w:spacing w:val="4"/>
          <w:shd w:val="clear" w:color="auto" w:fill="FEFEFE"/>
        </w:rPr>
        <w:t>,</w:t>
      </w:r>
      <w:r w:rsidR="00872771" w:rsidRPr="00F6340E">
        <w:rPr>
          <w:rFonts w:eastAsia="Times New Roman"/>
          <w:spacing w:val="4"/>
          <w:shd w:val="clear" w:color="auto" w:fill="FEFEFE"/>
        </w:rPr>
        <w:t xml:space="preserve"> </w:t>
      </w:r>
      <w:r>
        <w:rPr>
          <w:rFonts w:eastAsia="Times New Roman"/>
          <w:spacing w:val="4"/>
          <w:shd w:val="clear" w:color="auto" w:fill="FEFEFE"/>
        </w:rPr>
        <w:t>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т</w:t>
      </w:r>
      <w:r>
        <w:rPr>
          <w:rFonts w:eastAsia="Times New Roman"/>
          <w:spacing w:val="4"/>
          <w:shd w:val="clear" w:color="auto" w:fill="FEFEFE"/>
        </w:rPr>
        <w:t>о</w:t>
      </w:r>
      <w:r w:rsidR="00872771" w:rsidRPr="00F6340E">
        <w:rPr>
          <w:rFonts w:eastAsia="Times New Roman"/>
          <w:spacing w:val="4"/>
          <w:shd w:val="clear" w:color="auto" w:fill="FEFEFE"/>
        </w:rPr>
        <w:t xml:space="preserve"> </w:t>
      </w:r>
      <w:r>
        <w:rPr>
          <w:rFonts w:eastAsia="Times New Roman"/>
          <w:spacing w:val="4"/>
          <w:shd w:val="clear" w:color="auto" w:fill="FEFEFE"/>
        </w:rPr>
        <w:t>ј</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мог</w:t>
      </w:r>
      <w:r w:rsidR="0071360A">
        <w:rPr>
          <w:rFonts w:eastAsia="Times New Roman"/>
          <w:spacing w:val="4"/>
          <w:shd w:val="clear" w:color="auto" w:fill="FEFEFE"/>
        </w:rPr>
        <w:t>у</w:t>
      </w:r>
      <w:r>
        <w:rPr>
          <w:rFonts w:eastAsia="Times New Roman"/>
          <w:spacing w:val="4"/>
          <w:shd w:val="clear" w:color="auto" w:fill="FEFEFE"/>
        </w:rPr>
        <w:t>ћ</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у</w:t>
      </w:r>
      <w:r>
        <w:rPr>
          <w:rFonts w:eastAsia="Times New Roman"/>
          <w:spacing w:val="4"/>
          <w:shd w:val="clear" w:color="auto" w:fill="FEFEFE"/>
        </w:rPr>
        <w:t>колико</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ств</w:t>
      </w:r>
      <w:r>
        <w:rPr>
          <w:rFonts w:eastAsia="Times New Roman"/>
          <w:spacing w:val="4"/>
          <w:shd w:val="clear" w:color="auto" w:fill="FEFEFE"/>
        </w:rPr>
        <w:t>о</w:t>
      </w:r>
      <w:r w:rsidR="0071360A">
        <w:rPr>
          <w:rFonts w:eastAsia="Times New Roman"/>
          <w:spacing w:val="4"/>
          <w:shd w:val="clear" w:color="auto" w:fill="FEFEFE"/>
        </w:rPr>
        <w:t>р</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пр</w:t>
      </w:r>
      <w:r w:rsidR="00EE6AA2">
        <w:rPr>
          <w:rFonts w:eastAsia="Times New Roman"/>
          <w:spacing w:val="4"/>
          <w:shd w:val="clear" w:color="auto" w:fill="FEFEFE"/>
        </w:rPr>
        <w:t>е</w:t>
      </w:r>
      <w:r>
        <w:rPr>
          <w:rFonts w:eastAsia="Times New Roman"/>
          <w:spacing w:val="4"/>
          <w:shd w:val="clear" w:color="auto" w:fill="FEFEFE"/>
        </w:rPr>
        <w:t>д</w:t>
      </w:r>
      <w:r w:rsidR="0071360A">
        <w:rPr>
          <w:rFonts w:eastAsia="Times New Roman"/>
          <w:spacing w:val="4"/>
          <w:shd w:val="clear" w:color="auto" w:fill="FEFEFE"/>
        </w:rPr>
        <w:t>ус</w:t>
      </w:r>
      <w:r>
        <w:rPr>
          <w:rFonts w:eastAsia="Times New Roman"/>
          <w:spacing w:val="4"/>
          <w:shd w:val="clear" w:color="auto" w:fill="FEFEFE"/>
        </w:rPr>
        <w:t>ло</w:t>
      </w:r>
      <w:r w:rsidR="0071360A">
        <w:rPr>
          <w:rFonts w:eastAsia="Times New Roman"/>
          <w:spacing w:val="4"/>
          <w:shd w:val="clear" w:color="auto" w:fill="FEFEFE"/>
        </w:rPr>
        <w:t>в</w:t>
      </w:r>
      <w:r>
        <w:rPr>
          <w:rFonts w:eastAsia="Times New Roman"/>
          <w:spacing w:val="4"/>
          <w:shd w:val="clear" w:color="auto" w:fill="FEFEFE"/>
        </w:rPr>
        <w:t>и</w:t>
      </w:r>
      <w:r w:rsidR="00872771" w:rsidRPr="00F6340E">
        <w:rPr>
          <w:rFonts w:eastAsia="Times New Roman"/>
          <w:spacing w:val="4"/>
          <w:shd w:val="clear" w:color="auto" w:fill="FEFEFE"/>
        </w:rPr>
        <w:t xml:space="preserve"> </w:t>
      </w:r>
      <w:r w:rsidR="00171F00">
        <w:rPr>
          <w:rFonts w:eastAsia="Times New Roman"/>
          <w:spacing w:val="4"/>
          <w:shd w:val="clear" w:color="auto" w:fill="FEFEFE"/>
        </w:rPr>
        <w:t>з</w:t>
      </w:r>
      <w:r>
        <w:rPr>
          <w:rFonts w:eastAsia="Times New Roman"/>
          <w:spacing w:val="4"/>
          <w:shd w:val="clear" w:color="auto" w:fill="FEFEFE"/>
        </w:rPr>
        <w:t>а</w:t>
      </w:r>
      <w:r w:rsidR="00872771" w:rsidRPr="00F6340E">
        <w:rPr>
          <w:rFonts w:eastAsia="Times New Roman"/>
          <w:spacing w:val="4"/>
          <w:shd w:val="clear" w:color="auto" w:fill="FEFEFE"/>
        </w:rPr>
        <w:t xml:space="preserve"> </w:t>
      </w:r>
      <w:r>
        <w:rPr>
          <w:rFonts w:eastAsia="Times New Roman"/>
          <w:spacing w:val="4"/>
          <w:shd w:val="clear" w:color="auto" w:fill="FEFEFE"/>
        </w:rPr>
        <w:t>об</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о</w:t>
      </w:r>
      <w:r w:rsidR="0071360A">
        <w:rPr>
          <w:rFonts w:eastAsia="Times New Roman"/>
          <w:spacing w:val="4"/>
          <w:shd w:val="clear" w:color="auto" w:fill="FEFEFE"/>
        </w:rPr>
        <w:t>в</w:t>
      </w:r>
      <w:r>
        <w:rPr>
          <w:rFonts w:eastAsia="Times New Roman"/>
          <w:spacing w:val="4"/>
          <w:shd w:val="clear" w:color="auto" w:fill="FEFEFE"/>
        </w:rPr>
        <w:t>ањ</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пр</w:t>
      </w:r>
      <w:r>
        <w:rPr>
          <w:rFonts w:eastAsia="Times New Roman"/>
          <w:spacing w:val="4"/>
          <w:shd w:val="clear" w:color="auto" w:fill="FEFEFE"/>
        </w:rPr>
        <w:t>и</w:t>
      </w:r>
      <w:r w:rsidR="0071360A">
        <w:rPr>
          <w:rFonts w:eastAsia="Times New Roman"/>
          <w:spacing w:val="4"/>
          <w:shd w:val="clear" w:color="auto" w:fill="FEFEFE"/>
        </w:rPr>
        <w:t>ступ</w:t>
      </w:r>
      <w:r>
        <w:rPr>
          <w:rFonts w:eastAsia="Times New Roman"/>
          <w:spacing w:val="4"/>
          <w:shd w:val="clear" w:color="auto" w:fill="FEFEFE"/>
        </w:rPr>
        <w:t>ачно</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до</w:t>
      </w:r>
      <w:r w:rsidR="0071360A">
        <w:rPr>
          <w:rFonts w:eastAsia="Times New Roman"/>
          <w:spacing w:val="4"/>
          <w:shd w:val="clear" w:color="auto" w:fill="FEFEFE"/>
        </w:rPr>
        <w:t>ступ</w:t>
      </w:r>
      <w:r>
        <w:rPr>
          <w:rFonts w:eastAsia="Times New Roman"/>
          <w:spacing w:val="4"/>
          <w:shd w:val="clear" w:color="auto" w:fill="FEFEFE"/>
        </w:rPr>
        <w:t>но</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св</w:t>
      </w:r>
      <w:r>
        <w:rPr>
          <w:rFonts w:eastAsia="Times New Roman"/>
          <w:spacing w:val="4"/>
          <w:shd w:val="clear" w:color="auto" w:fill="FEFEFE"/>
        </w:rPr>
        <w:t>има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у</w:t>
      </w:r>
      <w:r>
        <w:rPr>
          <w:rFonts w:eastAsia="Times New Roman"/>
          <w:spacing w:val="4"/>
          <w:shd w:val="clear" w:color="auto" w:fill="FEFEFE"/>
        </w:rPr>
        <w:t>кљ</w:t>
      </w:r>
      <w:r w:rsidR="0071360A">
        <w:rPr>
          <w:rFonts w:eastAsia="Times New Roman"/>
          <w:spacing w:val="4"/>
          <w:shd w:val="clear" w:color="auto" w:fill="FEFEFE"/>
        </w:rPr>
        <w:t>у</w:t>
      </w:r>
      <w:r>
        <w:rPr>
          <w:rFonts w:eastAsia="Times New Roman"/>
          <w:spacing w:val="4"/>
          <w:shd w:val="clear" w:color="auto" w:fill="FEFEFE"/>
        </w:rPr>
        <w:t>ч</w:t>
      </w:r>
      <w:r w:rsidR="0071360A">
        <w:rPr>
          <w:rFonts w:eastAsia="Times New Roman"/>
          <w:spacing w:val="4"/>
          <w:shd w:val="clear" w:color="auto" w:fill="FEFEFE"/>
        </w:rPr>
        <w:t>у</w:t>
      </w:r>
      <w:r>
        <w:rPr>
          <w:rFonts w:eastAsia="Times New Roman"/>
          <w:spacing w:val="4"/>
          <w:shd w:val="clear" w:color="auto" w:fill="FEFEFE"/>
        </w:rPr>
        <w:t>ј</w:t>
      </w:r>
      <w:r w:rsidR="0071360A">
        <w:rPr>
          <w:rFonts w:eastAsia="Times New Roman"/>
          <w:spacing w:val="4"/>
          <w:shd w:val="clear" w:color="auto" w:fill="FEFEFE"/>
        </w:rPr>
        <w:t>у</w:t>
      </w:r>
      <w:r>
        <w:rPr>
          <w:rFonts w:eastAsia="Times New Roman"/>
          <w:spacing w:val="4"/>
          <w:shd w:val="clear" w:color="auto" w:fill="FEFEFE"/>
        </w:rPr>
        <w:t>ћи</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р</w:t>
      </w:r>
      <w:r>
        <w:rPr>
          <w:rFonts w:eastAsia="Times New Roman"/>
          <w:spacing w:val="4"/>
          <w:shd w:val="clear" w:color="auto" w:fill="FEFEFE"/>
        </w:rPr>
        <w:t>ањи</w:t>
      </w:r>
      <w:r w:rsidR="0071360A">
        <w:rPr>
          <w:rFonts w:eastAsia="Times New Roman"/>
          <w:spacing w:val="4"/>
          <w:shd w:val="clear" w:color="auto" w:fill="FEFEFE"/>
        </w:rPr>
        <w:t>в</w:t>
      </w:r>
      <w:r w:rsidR="00EE6AA2">
        <w:rPr>
          <w:rFonts w:eastAsia="Times New Roman"/>
          <w:spacing w:val="4"/>
          <w:shd w:val="clear" w:color="auto" w:fill="FEFEFE"/>
        </w:rPr>
        <w:t>е</w:t>
      </w:r>
      <w:r w:rsidR="00F80805" w:rsidRPr="00F6340E">
        <w:rPr>
          <w:rFonts w:eastAsia="Times New Roman"/>
          <w:spacing w:val="4"/>
          <w:shd w:val="clear" w:color="auto" w:fill="FEFEFE"/>
        </w:rPr>
        <w:t xml:space="preserve"> </w:t>
      </w:r>
      <w:r>
        <w:rPr>
          <w:rFonts w:eastAsia="Times New Roman"/>
          <w:spacing w:val="4"/>
          <w:shd w:val="clear" w:color="auto" w:fill="FEFEFE"/>
        </w:rPr>
        <w:t>г</w:t>
      </w:r>
      <w:r w:rsidR="0071360A">
        <w:rPr>
          <w:rFonts w:eastAsia="Times New Roman"/>
          <w:spacing w:val="4"/>
          <w:shd w:val="clear" w:color="auto" w:fill="FEFEFE"/>
        </w:rPr>
        <w:t>руп</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w:t>
      </w:r>
      <w:r>
        <w:rPr>
          <w:rFonts w:eastAsia="Times New Roman"/>
          <w:spacing w:val="4"/>
          <w:shd w:val="clear" w:color="auto" w:fill="FEFEFE"/>
        </w:rPr>
        <w:t>о</w:t>
      </w:r>
      <w:r w:rsidR="0071360A">
        <w:rPr>
          <w:rFonts w:eastAsia="Times New Roman"/>
          <w:spacing w:val="4"/>
          <w:shd w:val="clear" w:color="auto" w:fill="FEFEFE"/>
        </w:rPr>
        <w:t>с</w:t>
      </w:r>
      <w:r w:rsidR="00EE6AA2">
        <w:rPr>
          <w:rFonts w:eastAsia="Times New Roman"/>
          <w:spacing w:val="4"/>
          <w:shd w:val="clear" w:color="auto" w:fill="FEFEFE"/>
        </w:rPr>
        <w:t>е</w:t>
      </w:r>
      <w:r>
        <w:rPr>
          <w:rFonts w:eastAsia="Times New Roman"/>
          <w:spacing w:val="4"/>
          <w:shd w:val="clear" w:color="auto" w:fill="FEFEFE"/>
        </w:rPr>
        <w:t>бно</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нагла</w:t>
      </w:r>
      <w:r w:rsidR="0071360A">
        <w:rPr>
          <w:rFonts w:eastAsia="Times New Roman"/>
          <w:spacing w:val="4"/>
          <w:shd w:val="clear" w:color="auto" w:fill="FEFEFE"/>
        </w:rPr>
        <w:t>ш</w:t>
      </w:r>
      <w:r>
        <w:rPr>
          <w:rFonts w:eastAsia="Times New Roman"/>
          <w:spacing w:val="4"/>
          <w:shd w:val="clear" w:color="auto" w:fill="FEFEFE"/>
        </w:rPr>
        <w:t>а</w:t>
      </w:r>
      <w:r w:rsidR="0071360A">
        <w:rPr>
          <w:rFonts w:eastAsia="Times New Roman"/>
          <w:spacing w:val="4"/>
          <w:shd w:val="clear" w:color="auto" w:fill="FEFEFE"/>
        </w:rPr>
        <w:t>в</w:t>
      </w:r>
      <w:r>
        <w:rPr>
          <w:rFonts w:eastAsia="Times New Roman"/>
          <w:spacing w:val="4"/>
          <w:shd w:val="clear" w:color="auto" w:fill="FEFEFE"/>
        </w:rPr>
        <w:t>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в</w:t>
      </w:r>
      <w:r>
        <w:rPr>
          <w:rFonts w:eastAsia="Times New Roman"/>
          <w:spacing w:val="4"/>
          <w:shd w:val="clear" w:color="auto" w:fill="FEFEFE"/>
        </w:rPr>
        <w:t>а</w:t>
      </w:r>
      <w:r w:rsidR="00171F00">
        <w:rPr>
          <w:rFonts w:eastAsia="Times New Roman"/>
          <w:spacing w:val="4"/>
          <w:shd w:val="clear" w:color="auto" w:fill="FEFEFE"/>
        </w:rPr>
        <w:t>ж</w:t>
      </w:r>
      <w:r>
        <w:rPr>
          <w:rFonts w:eastAsia="Times New Roman"/>
          <w:spacing w:val="4"/>
          <w:shd w:val="clear" w:color="auto" w:fill="FEFEFE"/>
        </w:rPr>
        <w:t>но</w:t>
      </w:r>
      <w:r w:rsidR="0071360A">
        <w:rPr>
          <w:rFonts w:eastAsia="Times New Roman"/>
          <w:spacing w:val="4"/>
          <w:shd w:val="clear" w:color="auto" w:fill="FEFEFE"/>
        </w:rPr>
        <w:t>ст</w:t>
      </w:r>
      <w:r w:rsidR="00872771" w:rsidRPr="00F6340E">
        <w:rPr>
          <w:rFonts w:eastAsia="Times New Roman"/>
          <w:spacing w:val="4"/>
          <w:shd w:val="clear" w:color="auto" w:fill="FEFEFE"/>
        </w:rPr>
        <w:t xml:space="preserve"> </w:t>
      </w:r>
      <w:r>
        <w:rPr>
          <w:rFonts w:eastAsia="Times New Roman"/>
          <w:spacing w:val="4"/>
          <w:shd w:val="clear" w:color="auto" w:fill="FEFEFE"/>
        </w:rPr>
        <w:t>ј</w:t>
      </w:r>
      <w:r w:rsidR="00EE6AA2">
        <w:rPr>
          <w:rFonts w:eastAsia="Times New Roman"/>
          <w:spacing w:val="4"/>
          <w:shd w:val="clear" w:color="auto" w:fill="FEFEFE"/>
        </w:rPr>
        <w:t>е</w:t>
      </w:r>
      <w:r>
        <w:rPr>
          <w:rFonts w:eastAsia="Times New Roman"/>
          <w:spacing w:val="4"/>
          <w:shd w:val="clear" w:color="auto" w:fill="FEFEFE"/>
        </w:rPr>
        <w:t>днаких</w:t>
      </w:r>
      <w:r w:rsidR="00872771" w:rsidRPr="00F6340E">
        <w:rPr>
          <w:rFonts w:eastAsia="Times New Roman"/>
          <w:spacing w:val="4"/>
          <w:shd w:val="clear" w:color="auto" w:fill="FEFEFE"/>
        </w:rPr>
        <w:t xml:space="preserve"> </w:t>
      </w:r>
      <w:r>
        <w:rPr>
          <w:rFonts w:eastAsia="Times New Roman"/>
          <w:spacing w:val="4"/>
          <w:shd w:val="clear" w:color="auto" w:fill="FEFEFE"/>
        </w:rPr>
        <w:t>мог</w:t>
      </w:r>
      <w:r w:rsidR="0071360A">
        <w:rPr>
          <w:rFonts w:eastAsia="Times New Roman"/>
          <w:spacing w:val="4"/>
          <w:shd w:val="clear" w:color="auto" w:fill="FEFEFE"/>
        </w:rPr>
        <w:t>у</w:t>
      </w:r>
      <w:r>
        <w:rPr>
          <w:rFonts w:eastAsia="Times New Roman"/>
          <w:spacing w:val="4"/>
          <w:shd w:val="clear" w:color="auto" w:fill="FEFEFE"/>
        </w:rPr>
        <w:t>ћно</w:t>
      </w:r>
      <w:r w:rsidR="0071360A">
        <w:rPr>
          <w:rFonts w:eastAsia="Times New Roman"/>
          <w:spacing w:val="4"/>
          <w:shd w:val="clear" w:color="auto" w:fill="FEFEFE"/>
        </w:rPr>
        <w:t>ст</w:t>
      </w:r>
      <w:r>
        <w:rPr>
          <w:rFonts w:eastAsia="Times New Roman"/>
          <w:spacing w:val="4"/>
          <w:shd w:val="clear" w:color="auto" w:fill="FEFEFE"/>
        </w:rPr>
        <w:t>и</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w:t>
      </w:r>
      <w:r>
        <w:rPr>
          <w:rFonts w:eastAsia="Times New Roman"/>
          <w:spacing w:val="4"/>
          <w:shd w:val="clear" w:color="auto" w:fill="FEFEFE"/>
        </w:rPr>
        <w:t>огл</w:t>
      </w:r>
      <w:r w:rsidR="00EE6AA2">
        <w:rPr>
          <w:rFonts w:eastAsia="Times New Roman"/>
          <w:spacing w:val="4"/>
          <w:shd w:val="clear" w:color="auto" w:fill="FEFEFE"/>
        </w:rPr>
        <w:t>е</w:t>
      </w:r>
      <w:r>
        <w:rPr>
          <w:rFonts w:eastAsia="Times New Roman"/>
          <w:spacing w:val="4"/>
          <w:shd w:val="clear" w:color="auto" w:fill="FEFEFE"/>
        </w:rPr>
        <w:t>д</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пр</w:t>
      </w:r>
      <w:r>
        <w:rPr>
          <w:rFonts w:eastAsia="Times New Roman"/>
          <w:spacing w:val="4"/>
          <w:shd w:val="clear" w:color="auto" w:fill="FEFEFE"/>
        </w:rPr>
        <w:t>и</w:t>
      </w:r>
      <w:r w:rsidR="0071360A">
        <w:rPr>
          <w:rFonts w:eastAsia="Times New Roman"/>
          <w:spacing w:val="4"/>
          <w:shd w:val="clear" w:color="auto" w:fill="FEFEFE"/>
        </w:rPr>
        <w:t>ступ</w:t>
      </w:r>
      <w:r>
        <w:rPr>
          <w:rFonts w:eastAsia="Times New Roman"/>
          <w:spacing w:val="4"/>
          <w:shd w:val="clear" w:color="auto" w:fill="FEFEFE"/>
        </w:rPr>
        <w:t>ачног</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стру</w:t>
      </w:r>
      <w:r>
        <w:rPr>
          <w:rFonts w:eastAsia="Times New Roman"/>
          <w:spacing w:val="4"/>
          <w:shd w:val="clear" w:color="auto" w:fill="FEFEFE"/>
        </w:rPr>
        <w:t>чног</w:t>
      </w:r>
      <w:r w:rsidR="00872771" w:rsidRPr="00F6340E">
        <w:rPr>
          <w:rFonts w:eastAsia="Times New Roman"/>
          <w:spacing w:val="4"/>
          <w:shd w:val="clear" w:color="auto" w:fill="FEFEFE"/>
        </w:rPr>
        <w:t xml:space="preserve"> </w:t>
      </w:r>
      <w:r>
        <w:rPr>
          <w:rFonts w:eastAsia="Times New Roman"/>
          <w:spacing w:val="4"/>
          <w:shd w:val="clear" w:color="auto" w:fill="FEFEFE"/>
        </w:rPr>
        <w:t>об</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о</w:t>
      </w:r>
      <w:r w:rsidR="0071360A">
        <w:rPr>
          <w:rFonts w:eastAsia="Times New Roman"/>
          <w:spacing w:val="4"/>
          <w:shd w:val="clear" w:color="auto" w:fill="FEFEFE"/>
        </w:rPr>
        <w:t>в</w:t>
      </w:r>
      <w:r>
        <w:rPr>
          <w:rFonts w:eastAsia="Times New Roman"/>
          <w:spacing w:val="4"/>
          <w:shd w:val="clear" w:color="auto" w:fill="FEFEFE"/>
        </w:rPr>
        <w:t>ања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т</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пр</w:t>
      </w:r>
      <w:r w:rsidR="00EE6AA2">
        <w:rPr>
          <w:rFonts w:eastAsia="Times New Roman"/>
          <w:spacing w:val="4"/>
          <w:shd w:val="clear" w:color="auto" w:fill="FEFEFE"/>
        </w:rPr>
        <w:t>е</w:t>
      </w:r>
      <w:r w:rsidR="0071360A">
        <w:rPr>
          <w:rFonts w:eastAsia="Times New Roman"/>
          <w:spacing w:val="4"/>
          <w:shd w:val="clear" w:color="auto" w:fill="FEFEFE"/>
        </w:rPr>
        <w:t>в</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ила</w:t>
      </w:r>
      <w:r w:rsidR="00171F00">
        <w:rPr>
          <w:rFonts w:eastAsia="Times New Roman"/>
          <w:spacing w:val="4"/>
          <w:shd w:val="clear" w:color="auto" w:fill="FEFEFE"/>
        </w:rPr>
        <w:t>ж</w:t>
      </w:r>
      <w:r w:rsidR="00EE6AA2">
        <w:rPr>
          <w:rFonts w:eastAsia="Times New Roman"/>
          <w:spacing w:val="4"/>
          <w:shd w:val="clear" w:color="auto" w:fill="FEFEFE"/>
        </w:rPr>
        <w:t>е</w:t>
      </w:r>
      <w:r>
        <w:rPr>
          <w:rFonts w:eastAsia="Times New Roman"/>
          <w:spacing w:val="4"/>
          <w:shd w:val="clear" w:color="auto" w:fill="FEFEFE"/>
        </w:rPr>
        <w:t>њ</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лика</w:t>
      </w:r>
      <w:r w:rsidR="00197620" w:rsidRPr="00F6340E">
        <w:rPr>
          <w:rFonts w:eastAsia="Times New Roman"/>
          <w:spacing w:val="4"/>
          <w:shd w:val="clear" w:color="auto" w:fill="FEFEFE"/>
        </w:rPr>
        <w:t xml:space="preserve"> </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w:t>
      </w:r>
      <w:r>
        <w:rPr>
          <w:rFonts w:eastAsia="Times New Roman"/>
          <w:spacing w:val="4"/>
          <w:shd w:val="clear" w:color="auto" w:fill="FEFEFE"/>
        </w:rPr>
        <w:t>огл</w:t>
      </w:r>
      <w:r w:rsidR="00EE6AA2">
        <w:rPr>
          <w:rFonts w:eastAsia="Times New Roman"/>
          <w:spacing w:val="4"/>
          <w:shd w:val="clear" w:color="auto" w:fill="FEFEFE"/>
        </w:rPr>
        <w:t>е</w:t>
      </w:r>
      <w:r>
        <w:rPr>
          <w:rFonts w:eastAsia="Times New Roman"/>
          <w:spacing w:val="4"/>
          <w:shd w:val="clear" w:color="auto" w:fill="FEFEFE"/>
        </w:rPr>
        <w:t>д</w:t>
      </w:r>
      <w:r w:rsidR="0071360A">
        <w:rPr>
          <w:rFonts w:eastAsia="Times New Roman"/>
          <w:spacing w:val="4"/>
          <w:shd w:val="clear" w:color="auto" w:fill="FEFEFE"/>
        </w:rPr>
        <w:t>у</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сп</w:t>
      </w:r>
      <w:r>
        <w:rPr>
          <w:rFonts w:eastAsia="Times New Roman"/>
          <w:spacing w:val="4"/>
          <w:shd w:val="clear" w:color="auto" w:fill="FEFEFE"/>
        </w:rPr>
        <w:t>ола</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бога</w:t>
      </w:r>
      <w:r w:rsidR="0071360A">
        <w:rPr>
          <w:rFonts w:eastAsia="Times New Roman"/>
          <w:spacing w:val="4"/>
          <w:shd w:val="clear" w:color="auto" w:fill="FEFEFE"/>
        </w:rPr>
        <w:t>тств</w:t>
      </w:r>
      <w:r>
        <w:rPr>
          <w:rFonts w:eastAsia="Times New Roman"/>
          <w:spacing w:val="4"/>
          <w:shd w:val="clear" w:color="auto" w:fill="FEFEFE"/>
        </w:rPr>
        <w:t>а</w:t>
      </w:r>
      <w:r w:rsidR="00B04FA8">
        <w:rPr>
          <w:rFonts w:eastAsia="Times New Roman"/>
          <w:spacing w:val="4"/>
          <w:shd w:val="clear" w:color="auto" w:fill="FEFEFE"/>
        </w:rPr>
        <w:t xml:space="preserve"> са </w:t>
      </w:r>
      <w:r>
        <w:rPr>
          <w:rFonts w:eastAsia="Times New Roman"/>
          <w:spacing w:val="4"/>
          <w:shd w:val="clear" w:color="auto" w:fill="FEFEFE"/>
        </w:rPr>
        <w:t>циљ</w:t>
      </w:r>
      <w:r w:rsidR="00EE6AA2">
        <w:rPr>
          <w:rFonts w:eastAsia="Times New Roman"/>
          <w:spacing w:val="4"/>
          <w:shd w:val="clear" w:color="auto" w:fill="FEFEFE"/>
        </w:rPr>
        <w:t>е</w:t>
      </w:r>
      <w:r>
        <w:rPr>
          <w:rFonts w:eastAsia="Times New Roman"/>
          <w:spacing w:val="4"/>
          <w:shd w:val="clear" w:color="auto" w:fill="FEFEFE"/>
        </w:rPr>
        <w:t>м</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w:t>
      </w:r>
      <w:r>
        <w:rPr>
          <w:rFonts w:eastAsia="Times New Roman"/>
          <w:spacing w:val="4"/>
          <w:shd w:val="clear" w:color="auto" w:fill="FEFEFE"/>
        </w:rPr>
        <w:t>о</w:t>
      </w:r>
      <w:r w:rsidR="0071360A">
        <w:rPr>
          <w:rFonts w:eastAsia="Times New Roman"/>
          <w:spacing w:val="4"/>
          <w:shd w:val="clear" w:color="auto" w:fill="FEFEFE"/>
        </w:rPr>
        <w:t>ст</w:t>
      </w:r>
      <w:r>
        <w:rPr>
          <w:rFonts w:eastAsia="Times New Roman"/>
          <w:spacing w:val="4"/>
          <w:shd w:val="clear" w:color="auto" w:fill="FEFEFE"/>
        </w:rPr>
        <w:t>и</w:t>
      </w:r>
      <w:r w:rsidR="00171F00">
        <w:rPr>
          <w:rFonts w:eastAsia="Times New Roman"/>
          <w:spacing w:val="4"/>
          <w:shd w:val="clear" w:color="auto" w:fill="FEFEFE"/>
        </w:rPr>
        <w:t>з</w:t>
      </w:r>
      <w:r>
        <w:rPr>
          <w:rFonts w:eastAsia="Times New Roman"/>
          <w:spacing w:val="4"/>
          <w:shd w:val="clear" w:color="auto" w:fill="FEFEFE"/>
        </w:rPr>
        <w:t>ања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у</w:t>
      </w:r>
      <w:r>
        <w:rPr>
          <w:rFonts w:eastAsia="Times New Roman"/>
          <w:spacing w:val="4"/>
          <w:shd w:val="clear" w:color="auto" w:fill="FEFEFE"/>
        </w:rPr>
        <w:t>ни</w:t>
      </w:r>
      <w:r w:rsidR="0071360A">
        <w:rPr>
          <w:rFonts w:eastAsia="Times New Roman"/>
          <w:spacing w:val="4"/>
          <w:shd w:val="clear" w:color="auto" w:fill="FEFEFE"/>
        </w:rPr>
        <w:t>в</w:t>
      </w:r>
      <w:r w:rsidR="00EE6AA2">
        <w:rPr>
          <w:rFonts w:eastAsia="Times New Roman"/>
          <w:spacing w:val="4"/>
          <w:shd w:val="clear" w:color="auto" w:fill="FEFEFE"/>
        </w:rPr>
        <w:t>е</w:t>
      </w:r>
      <w:r w:rsidR="0071360A">
        <w:rPr>
          <w:rFonts w:eastAsia="Times New Roman"/>
          <w:spacing w:val="4"/>
          <w:shd w:val="clear" w:color="auto" w:fill="FEFEFE"/>
        </w:rPr>
        <w:t>р</w:t>
      </w:r>
      <w:r w:rsidR="00171F00">
        <w:rPr>
          <w:rFonts w:eastAsia="Times New Roman"/>
          <w:spacing w:val="4"/>
          <w:shd w:val="clear" w:color="auto" w:fill="FEFEFE"/>
        </w:rPr>
        <w:t>з</w:t>
      </w:r>
      <w:r>
        <w:rPr>
          <w:rFonts w:eastAsia="Times New Roman"/>
          <w:spacing w:val="4"/>
          <w:shd w:val="clear" w:color="auto" w:fill="FEFEFE"/>
        </w:rPr>
        <w:t>алн</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до</w:t>
      </w:r>
      <w:r w:rsidR="0071360A">
        <w:rPr>
          <w:rFonts w:eastAsia="Times New Roman"/>
          <w:spacing w:val="4"/>
          <w:shd w:val="clear" w:color="auto" w:fill="FEFEFE"/>
        </w:rPr>
        <w:t>ступ</w:t>
      </w:r>
      <w:r>
        <w:rPr>
          <w:rFonts w:eastAsia="Times New Roman"/>
          <w:spacing w:val="4"/>
          <w:shd w:val="clear" w:color="auto" w:fill="FEFEFE"/>
        </w:rPr>
        <w:t>но</w:t>
      </w:r>
      <w:r w:rsidR="0071360A">
        <w:rPr>
          <w:rFonts w:eastAsia="Times New Roman"/>
          <w:spacing w:val="4"/>
          <w:shd w:val="clear" w:color="auto" w:fill="FEFEFE"/>
        </w:rPr>
        <w:t>ст</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к</w:t>
      </w:r>
      <w:r w:rsidR="0071360A">
        <w:rPr>
          <w:rFonts w:eastAsia="Times New Roman"/>
          <w:spacing w:val="4"/>
          <w:shd w:val="clear" w:color="auto" w:fill="FEFEFE"/>
        </w:rPr>
        <w:t>в</w:t>
      </w:r>
      <w:r>
        <w:rPr>
          <w:rFonts w:eastAsia="Times New Roman"/>
          <w:spacing w:val="4"/>
          <w:shd w:val="clear" w:color="auto" w:fill="FEFEFE"/>
        </w:rPr>
        <w:t>али</w:t>
      </w:r>
      <w:r w:rsidR="0071360A">
        <w:rPr>
          <w:rFonts w:eastAsia="Times New Roman"/>
          <w:spacing w:val="4"/>
          <w:shd w:val="clear" w:color="auto" w:fill="FEFEFE"/>
        </w:rPr>
        <w:t>т</w:t>
      </w:r>
      <w:r w:rsidR="00EE6AA2">
        <w:rPr>
          <w:rFonts w:eastAsia="Times New Roman"/>
          <w:spacing w:val="4"/>
          <w:shd w:val="clear" w:color="auto" w:fill="FEFEFE"/>
        </w:rPr>
        <w:t>е</w:t>
      </w:r>
      <w:r w:rsidR="0071360A">
        <w:rPr>
          <w:rFonts w:eastAsia="Times New Roman"/>
          <w:spacing w:val="4"/>
          <w:shd w:val="clear" w:color="auto" w:fill="FEFEFE"/>
        </w:rPr>
        <w:t>т</w:t>
      </w:r>
      <w:r>
        <w:rPr>
          <w:rFonts w:eastAsia="Times New Roman"/>
          <w:spacing w:val="4"/>
          <w:shd w:val="clear" w:color="auto" w:fill="FEFEFE"/>
        </w:rPr>
        <w:t>ног</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в</w:t>
      </w:r>
      <w:r>
        <w:rPr>
          <w:rFonts w:eastAsia="Times New Roman"/>
          <w:spacing w:val="4"/>
          <w:shd w:val="clear" w:color="auto" w:fill="FEFEFE"/>
        </w:rPr>
        <w:t>и</w:t>
      </w:r>
      <w:r w:rsidR="0071360A">
        <w:rPr>
          <w:rFonts w:eastAsia="Times New Roman"/>
          <w:spacing w:val="4"/>
          <w:shd w:val="clear" w:color="auto" w:fill="FEFEFE"/>
        </w:rPr>
        <w:t>ш</w:t>
      </w:r>
      <w:r w:rsidR="00EE6AA2">
        <w:rPr>
          <w:rFonts w:eastAsia="Times New Roman"/>
          <w:spacing w:val="4"/>
          <w:shd w:val="clear" w:color="auto" w:fill="FEFEFE"/>
        </w:rPr>
        <w:t>е</w:t>
      </w:r>
      <w:r>
        <w:rPr>
          <w:rFonts w:eastAsia="Times New Roman"/>
          <w:spacing w:val="4"/>
          <w:shd w:val="clear" w:color="auto" w:fill="FEFEFE"/>
        </w:rPr>
        <w:t>г</w:t>
      </w:r>
      <w:r w:rsidR="00872771" w:rsidRPr="00F6340E">
        <w:rPr>
          <w:rFonts w:eastAsia="Times New Roman"/>
          <w:spacing w:val="4"/>
          <w:shd w:val="clear" w:color="auto" w:fill="FEFEFE"/>
        </w:rPr>
        <w:t xml:space="preserve"> </w:t>
      </w:r>
      <w:r>
        <w:rPr>
          <w:rFonts w:eastAsia="Times New Roman"/>
          <w:spacing w:val="4"/>
          <w:shd w:val="clear" w:color="auto" w:fill="FEFEFE"/>
        </w:rPr>
        <w:t>об</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о</w:t>
      </w:r>
      <w:r w:rsidR="0071360A">
        <w:rPr>
          <w:rFonts w:eastAsia="Times New Roman"/>
          <w:spacing w:val="4"/>
          <w:shd w:val="clear" w:color="auto" w:fill="FEFEFE"/>
        </w:rPr>
        <w:t>в</w:t>
      </w:r>
      <w:r>
        <w:rPr>
          <w:rFonts w:eastAsia="Times New Roman"/>
          <w:spacing w:val="4"/>
          <w:shd w:val="clear" w:color="auto" w:fill="FEFEFE"/>
        </w:rPr>
        <w:t>ања</w:t>
      </w:r>
      <w:r w:rsidR="00872771" w:rsidRPr="00F6340E">
        <w:rPr>
          <w:rFonts w:eastAsia="Times New Roman"/>
          <w:spacing w:val="4"/>
          <w:shd w:val="clear" w:color="auto" w:fill="FEFEFE"/>
        </w:rPr>
        <w:t>.</w:t>
      </w:r>
      <w:r w:rsidR="00872771" w:rsidRPr="00F6340E">
        <w:rPr>
          <w:rFonts w:eastAsia="Times New Roman"/>
        </w:rPr>
        <w:t xml:space="preserve"> </w:t>
      </w:r>
      <w:r w:rsidR="0071360A">
        <w:rPr>
          <w:rFonts w:eastAsia="Times New Roman"/>
          <w:spacing w:val="4"/>
          <w:shd w:val="clear" w:color="auto" w:fill="FEFEFE"/>
        </w:rPr>
        <w:t>П</w:t>
      </w:r>
      <w:r>
        <w:rPr>
          <w:rFonts w:eastAsia="Times New Roman"/>
          <w:spacing w:val="4"/>
          <w:shd w:val="clear" w:color="auto" w:fill="FEFEFE"/>
        </w:rPr>
        <w:t>о</w:t>
      </w:r>
      <w:r w:rsidR="0071360A">
        <w:rPr>
          <w:rFonts w:eastAsia="Times New Roman"/>
          <w:spacing w:val="4"/>
          <w:shd w:val="clear" w:color="auto" w:fill="FEFEFE"/>
        </w:rPr>
        <w:t>ст</w:t>
      </w:r>
      <w:r>
        <w:rPr>
          <w:rFonts w:eastAsia="Times New Roman"/>
          <w:spacing w:val="4"/>
          <w:shd w:val="clear" w:color="auto" w:fill="FEFEFE"/>
        </w:rPr>
        <w:t>и</w:t>
      </w:r>
      <w:r w:rsidR="00171F00">
        <w:rPr>
          <w:rFonts w:eastAsia="Times New Roman"/>
          <w:spacing w:val="4"/>
          <w:shd w:val="clear" w:color="auto" w:fill="FEFEFE"/>
        </w:rPr>
        <w:t>з</w:t>
      </w:r>
      <w:r>
        <w:rPr>
          <w:rFonts w:eastAsia="Times New Roman"/>
          <w:spacing w:val="4"/>
          <w:shd w:val="clear" w:color="auto" w:fill="FEFEFE"/>
        </w:rPr>
        <w:t>ањ</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инкл</w:t>
      </w:r>
      <w:r w:rsidR="0071360A">
        <w:rPr>
          <w:rFonts w:eastAsia="Times New Roman"/>
          <w:spacing w:val="4"/>
          <w:shd w:val="clear" w:color="auto" w:fill="FEFEFE"/>
        </w:rPr>
        <w:t>у</w:t>
      </w:r>
      <w:r w:rsidR="00171F00">
        <w:rPr>
          <w:rFonts w:eastAsia="Times New Roman"/>
          <w:spacing w:val="4"/>
          <w:shd w:val="clear" w:color="auto" w:fill="FEFEFE"/>
        </w:rPr>
        <w:t>з</w:t>
      </w:r>
      <w:r>
        <w:rPr>
          <w:rFonts w:eastAsia="Times New Roman"/>
          <w:spacing w:val="4"/>
          <w:shd w:val="clear" w:color="auto" w:fill="FEFEFE"/>
        </w:rPr>
        <w:t>и</w:t>
      </w:r>
      <w:r w:rsidR="0071360A">
        <w:rPr>
          <w:rFonts w:eastAsia="Times New Roman"/>
          <w:spacing w:val="4"/>
          <w:shd w:val="clear" w:color="auto" w:fill="FEFEFE"/>
        </w:rPr>
        <w:t>в</w:t>
      </w:r>
      <w:r>
        <w:rPr>
          <w:rFonts w:eastAsia="Times New Roman"/>
          <w:spacing w:val="4"/>
          <w:shd w:val="clear" w:color="auto" w:fill="FEFEFE"/>
        </w:rPr>
        <w:t>ног</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к</w:t>
      </w:r>
      <w:r w:rsidR="0071360A">
        <w:rPr>
          <w:rFonts w:eastAsia="Times New Roman"/>
          <w:spacing w:val="4"/>
          <w:shd w:val="clear" w:color="auto" w:fill="FEFEFE"/>
        </w:rPr>
        <w:t>в</w:t>
      </w:r>
      <w:r>
        <w:rPr>
          <w:rFonts w:eastAsia="Times New Roman"/>
          <w:spacing w:val="4"/>
          <w:shd w:val="clear" w:color="auto" w:fill="FEFEFE"/>
        </w:rPr>
        <w:t>али</w:t>
      </w:r>
      <w:r w:rsidR="0071360A">
        <w:rPr>
          <w:rFonts w:eastAsia="Times New Roman"/>
          <w:spacing w:val="4"/>
          <w:shd w:val="clear" w:color="auto" w:fill="FEFEFE"/>
        </w:rPr>
        <w:t>т</w:t>
      </w:r>
      <w:r w:rsidR="00EE6AA2">
        <w:rPr>
          <w:rFonts w:eastAsia="Times New Roman"/>
          <w:spacing w:val="4"/>
          <w:shd w:val="clear" w:color="auto" w:fill="FEFEFE"/>
        </w:rPr>
        <w:t>е</w:t>
      </w:r>
      <w:r w:rsidR="0071360A">
        <w:rPr>
          <w:rFonts w:eastAsia="Times New Roman"/>
          <w:spacing w:val="4"/>
          <w:shd w:val="clear" w:color="auto" w:fill="FEFEFE"/>
        </w:rPr>
        <w:t>т</w:t>
      </w:r>
      <w:r>
        <w:rPr>
          <w:rFonts w:eastAsia="Times New Roman"/>
          <w:spacing w:val="4"/>
          <w:shd w:val="clear" w:color="auto" w:fill="FEFEFE"/>
        </w:rPr>
        <w:t>ног</w:t>
      </w:r>
      <w:r w:rsidR="00872771" w:rsidRPr="00F6340E">
        <w:rPr>
          <w:rFonts w:eastAsia="Times New Roman"/>
          <w:spacing w:val="4"/>
          <w:shd w:val="clear" w:color="auto" w:fill="FEFEFE"/>
        </w:rPr>
        <w:t xml:space="preserve"> </w:t>
      </w:r>
      <w:r>
        <w:rPr>
          <w:rFonts w:eastAsia="Times New Roman"/>
          <w:spacing w:val="4"/>
          <w:shd w:val="clear" w:color="auto" w:fill="FEFEFE"/>
        </w:rPr>
        <w:t>об</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Pr>
          <w:rFonts w:eastAsia="Times New Roman"/>
          <w:spacing w:val="4"/>
          <w:shd w:val="clear" w:color="auto" w:fill="FEFEFE"/>
        </w:rPr>
        <w:t>о</w:t>
      </w:r>
      <w:r w:rsidR="0071360A">
        <w:rPr>
          <w:rFonts w:eastAsia="Times New Roman"/>
          <w:spacing w:val="4"/>
          <w:shd w:val="clear" w:color="auto" w:fill="FEFEFE"/>
        </w:rPr>
        <w:t>в</w:t>
      </w:r>
      <w:r>
        <w:rPr>
          <w:rFonts w:eastAsia="Times New Roman"/>
          <w:spacing w:val="4"/>
          <w:shd w:val="clear" w:color="auto" w:fill="FEFEFE"/>
        </w:rPr>
        <w:t>ања</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св</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дј</w:t>
      </w:r>
      <w:r w:rsidR="00EE6AA2">
        <w:rPr>
          <w:rFonts w:eastAsia="Times New Roman"/>
          <w:spacing w:val="4"/>
          <w:shd w:val="clear" w:color="auto" w:fill="FEFEFE"/>
        </w:rPr>
        <w:t>е</w:t>
      </w:r>
      <w:r>
        <w:rPr>
          <w:rFonts w:eastAsia="Times New Roman"/>
          <w:spacing w:val="4"/>
          <w:shd w:val="clear" w:color="auto" w:fill="FEFEFE"/>
        </w:rPr>
        <w:t>ц</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п</w:t>
      </w:r>
      <w:r>
        <w:rPr>
          <w:rFonts w:eastAsia="Times New Roman"/>
          <w:spacing w:val="4"/>
          <w:shd w:val="clear" w:color="auto" w:fill="FEFEFE"/>
        </w:rPr>
        <w:t>о</w:t>
      </w:r>
      <w:r w:rsidR="0071360A">
        <w:rPr>
          <w:rFonts w:eastAsia="Times New Roman"/>
          <w:spacing w:val="4"/>
          <w:shd w:val="clear" w:color="auto" w:fill="FEFEFE"/>
        </w:rPr>
        <w:t>твр</w:t>
      </w:r>
      <w:r>
        <w:rPr>
          <w:rFonts w:eastAsia="Times New Roman"/>
          <w:spacing w:val="4"/>
          <w:shd w:val="clear" w:color="auto" w:fill="FEFEFE"/>
        </w:rPr>
        <w:t>ђ</w:t>
      </w:r>
      <w:r w:rsidR="0071360A">
        <w:rPr>
          <w:rFonts w:eastAsia="Times New Roman"/>
          <w:spacing w:val="4"/>
          <w:shd w:val="clear" w:color="auto" w:fill="FEFEFE"/>
        </w:rPr>
        <w:t>у</w:t>
      </w:r>
      <w:r>
        <w:rPr>
          <w:rFonts w:eastAsia="Times New Roman"/>
          <w:spacing w:val="4"/>
          <w:shd w:val="clear" w:color="auto" w:fill="FEFEFE"/>
        </w:rPr>
        <w:t>ј</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ув</w:t>
      </w:r>
      <w:r>
        <w:rPr>
          <w:rFonts w:eastAsia="Times New Roman"/>
          <w:spacing w:val="4"/>
          <w:shd w:val="clear" w:color="auto" w:fill="FEFEFE"/>
        </w:rPr>
        <w:t>ј</w:t>
      </w:r>
      <w:r w:rsidR="00EE6AA2">
        <w:rPr>
          <w:rFonts w:eastAsia="Times New Roman"/>
          <w:spacing w:val="4"/>
          <w:shd w:val="clear" w:color="auto" w:fill="FEFEFE"/>
        </w:rPr>
        <w:t>е</w:t>
      </w:r>
      <w:r w:rsidR="0071360A">
        <w:rPr>
          <w:rFonts w:eastAsia="Times New Roman"/>
          <w:spacing w:val="4"/>
          <w:shd w:val="clear" w:color="auto" w:fill="FEFEFE"/>
        </w:rPr>
        <w:t>р</w:t>
      </w:r>
      <w:r w:rsidR="00EE6AA2">
        <w:rPr>
          <w:rFonts w:eastAsia="Times New Roman"/>
          <w:spacing w:val="4"/>
          <w:shd w:val="clear" w:color="auto" w:fill="FEFEFE"/>
        </w:rPr>
        <w:t>е</w:t>
      </w:r>
      <w:r>
        <w:rPr>
          <w:rFonts w:eastAsia="Times New Roman"/>
          <w:spacing w:val="4"/>
          <w:shd w:val="clear" w:color="auto" w:fill="FEFEFE"/>
        </w:rPr>
        <w:t>њ</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да</w:t>
      </w:r>
      <w:r w:rsidR="00872771" w:rsidRPr="00F6340E">
        <w:rPr>
          <w:rFonts w:eastAsia="Times New Roman"/>
          <w:spacing w:val="4"/>
          <w:shd w:val="clear" w:color="auto" w:fill="FEFEFE"/>
        </w:rPr>
        <w:t xml:space="preserve"> </w:t>
      </w:r>
      <w:r>
        <w:rPr>
          <w:rFonts w:eastAsia="Times New Roman"/>
          <w:spacing w:val="4"/>
          <w:shd w:val="clear" w:color="auto" w:fill="FEFEFE"/>
        </w:rPr>
        <w:t>ј</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ш</w:t>
      </w:r>
      <w:r>
        <w:rPr>
          <w:rFonts w:eastAsia="Times New Roman"/>
          <w:spacing w:val="4"/>
          <w:shd w:val="clear" w:color="auto" w:fill="FEFEFE"/>
        </w:rPr>
        <w:t>коло</w:t>
      </w:r>
      <w:r w:rsidR="0071360A">
        <w:rPr>
          <w:rFonts w:eastAsia="Times New Roman"/>
          <w:spacing w:val="4"/>
          <w:shd w:val="clear" w:color="auto" w:fill="FEFEFE"/>
        </w:rPr>
        <w:t>в</w:t>
      </w:r>
      <w:r>
        <w:rPr>
          <w:rFonts w:eastAsia="Times New Roman"/>
          <w:spacing w:val="4"/>
          <w:shd w:val="clear" w:color="auto" w:fill="FEFEFE"/>
        </w:rPr>
        <w:t>ањ</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најмоћниј</w:t>
      </w:r>
      <w:r w:rsidR="00EE6AA2">
        <w:rPr>
          <w:rFonts w:eastAsia="Times New Roman"/>
          <w:spacing w:val="4"/>
          <w:shd w:val="clear" w:color="auto" w:fill="FEFEFE"/>
        </w:rPr>
        <w:t>е</w:t>
      </w:r>
      <w:r w:rsidR="00872771" w:rsidRPr="00F6340E">
        <w:rPr>
          <w:rFonts w:eastAsia="Times New Roman"/>
          <w:spacing w:val="4"/>
          <w:shd w:val="clear" w:color="auto" w:fill="FEFEFE"/>
        </w:rPr>
        <w:t xml:space="preserve"> </w:t>
      </w:r>
      <w:r>
        <w:rPr>
          <w:rFonts w:eastAsia="Times New Roman"/>
          <w:spacing w:val="4"/>
          <w:shd w:val="clear" w:color="auto" w:fill="FEFEFE"/>
        </w:rPr>
        <w:t>и</w:t>
      </w:r>
      <w:r w:rsidR="00872771" w:rsidRPr="00F6340E">
        <w:rPr>
          <w:rFonts w:eastAsia="Times New Roman"/>
          <w:spacing w:val="4"/>
          <w:shd w:val="clear" w:color="auto" w:fill="FEFEFE"/>
        </w:rPr>
        <w:t xml:space="preserve"> </w:t>
      </w:r>
      <w:r>
        <w:rPr>
          <w:rFonts w:eastAsia="Times New Roman"/>
          <w:spacing w:val="4"/>
          <w:shd w:val="clear" w:color="auto" w:fill="FEFEFE"/>
        </w:rPr>
        <w:t>дока</w:t>
      </w:r>
      <w:r w:rsidR="00171F00">
        <w:rPr>
          <w:rFonts w:eastAsia="Times New Roman"/>
          <w:spacing w:val="4"/>
          <w:shd w:val="clear" w:color="auto" w:fill="FEFEFE"/>
        </w:rPr>
        <w:t>з</w:t>
      </w:r>
      <w:r>
        <w:rPr>
          <w:rFonts w:eastAsia="Times New Roman"/>
          <w:spacing w:val="4"/>
          <w:shd w:val="clear" w:color="auto" w:fill="FEFEFE"/>
        </w:rPr>
        <w:t>ано</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ср</w:t>
      </w:r>
      <w:r w:rsidR="00EE6AA2">
        <w:rPr>
          <w:rFonts w:eastAsia="Times New Roman"/>
          <w:spacing w:val="4"/>
          <w:shd w:val="clear" w:color="auto" w:fill="FEFEFE"/>
        </w:rPr>
        <w:t>е</w:t>
      </w:r>
      <w:r>
        <w:rPr>
          <w:rFonts w:eastAsia="Times New Roman"/>
          <w:spacing w:val="4"/>
          <w:shd w:val="clear" w:color="auto" w:fill="FEFEFE"/>
        </w:rPr>
        <w:t>д</w:t>
      </w:r>
      <w:r w:rsidR="0071360A">
        <w:rPr>
          <w:rFonts w:eastAsia="Times New Roman"/>
          <w:spacing w:val="4"/>
          <w:shd w:val="clear" w:color="auto" w:fill="FEFEFE"/>
        </w:rPr>
        <w:t>ств</w:t>
      </w:r>
      <w:r>
        <w:rPr>
          <w:rFonts w:eastAsia="Times New Roman"/>
          <w:spacing w:val="4"/>
          <w:shd w:val="clear" w:color="auto" w:fill="FEFEFE"/>
        </w:rPr>
        <w:t>о</w:t>
      </w:r>
      <w:r w:rsidR="00872771" w:rsidRPr="00F6340E">
        <w:rPr>
          <w:rFonts w:eastAsia="Times New Roman"/>
          <w:spacing w:val="4"/>
          <w:shd w:val="clear" w:color="auto" w:fill="FEFEFE"/>
        </w:rPr>
        <w:t xml:space="preserve"> </w:t>
      </w:r>
      <w:r>
        <w:rPr>
          <w:rFonts w:eastAsia="Times New Roman"/>
          <w:spacing w:val="4"/>
          <w:shd w:val="clear" w:color="auto" w:fill="FEFEFE"/>
        </w:rPr>
        <w:t>од</w:t>
      </w:r>
      <w:r w:rsidR="0071360A">
        <w:rPr>
          <w:rFonts w:eastAsia="Times New Roman"/>
          <w:spacing w:val="4"/>
          <w:shd w:val="clear" w:color="auto" w:fill="FEFEFE"/>
        </w:rPr>
        <w:t>р</w:t>
      </w:r>
      <w:r w:rsidR="00171F00">
        <w:rPr>
          <w:rFonts w:eastAsia="Times New Roman"/>
          <w:spacing w:val="4"/>
          <w:shd w:val="clear" w:color="auto" w:fill="FEFEFE"/>
        </w:rPr>
        <w:t>ж</w:t>
      </w:r>
      <w:r>
        <w:rPr>
          <w:rFonts w:eastAsia="Times New Roman"/>
          <w:spacing w:val="4"/>
          <w:shd w:val="clear" w:color="auto" w:fill="FEFEFE"/>
        </w:rPr>
        <w:t>и</w:t>
      </w:r>
      <w:r w:rsidR="0071360A">
        <w:rPr>
          <w:rFonts w:eastAsia="Times New Roman"/>
          <w:spacing w:val="4"/>
          <w:shd w:val="clear" w:color="auto" w:fill="FEFEFE"/>
        </w:rPr>
        <w:t>в</w:t>
      </w:r>
      <w:r>
        <w:rPr>
          <w:rFonts w:eastAsia="Times New Roman"/>
          <w:spacing w:val="4"/>
          <w:shd w:val="clear" w:color="auto" w:fill="FEFEFE"/>
        </w:rPr>
        <w:t>ог</w:t>
      </w:r>
      <w:r w:rsidR="00872771" w:rsidRPr="00F6340E">
        <w:rPr>
          <w:rFonts w:eastAsia="Times New Roman"/>
          <w:spacing w:val="4"/>
          <w:shd w:val="clear" w:color="auto" w:fill="FEFEFE"/>
        </w:rPr>
        <w:t xml:space="preserve"> </w:t>
      </w:r>
      <w:r w:rsidR="0071360A">
        <w:rPr>
          <w:rFonts w:eastAsia="Times New Roman"/>
          <w:spacing w:val="4"/>
          <w:shd w:val="clear" w:color="auto" w:fill="FEFEFE"/>
        </w:rPr>
        <w:t>р</w:t>
      </w:r>
      <w:r>
        <w:rPr>
          <w:rFonts w:eastAsia="Times New Roman"/>
          <w:spacing w:val="4"/>
          <w:shd w:val="clear" w:color="auto" w:fill="FEFEFE"/>
        </w:rPr>
        <w:t>а</w:t>
      </w:r>
      <w:r w:rsidR="00171F00">
        <w:rPr>
          <w:rFonts w:eastAsia="Times New Roman"/>
          <w:spacing w:val="4"/>
          <w:shd w:val="clear" w:color="auto" w:fill="FEFEFE"/>
        </w:rPr>
        <w:t>з</w:t>
      </w:r>
      <w:r w:rsidR="0071360A">
        <w:rPr>
          <w:rFonts w:eastAsia="Times New Roman"/>
          <w:spacing w:val="4"/>
          <w:shd w:val="clear" w:color="auto" w:fill="FEFEFE"/>
        </w:rPr>
        <w:t>в</w:t>
      </w:r>
      <w:r>
        <w:rPr>
          <w:rFonts w:eastAsia="Times New Roman"/>
          <w:spacing w:val="4"/>
          <w:shd w:val="clear" w:color="auto" w:fill="FEFEFE"/>
        </w:rPr>
        <w:t>оја</w:t>
      </w:r>
      <w:r w:rsidR="00872771" w:rsidRPr="00F6340E">
        <w:rPr>
          <w:rFonts w:eastAsia="Times New Roman"/>
          <w:spacing w:val="4"/>
          <w:shd w:val="clear" w:color="auto" w:fill="FEFEFE"/>
        </w:rPr>
        <w:t xml:space="preserve">. </w:t>
      </w:r>
    </w:p>
    <w:p w14:paraId="63BBAC07" w14:textId="1F163CB5" w:rsidR="00872771" w:rsidRPr="00F6340E" w:rsidRDefault="0071360A" w:rsidP="00210EE1">
      <w:pPr>
        <w:pStyle w:val="Body"/>
      </w:pPr>
      <w:r>
        <w:t>У</w:t>
      </w:r>
      <w:r w:rsidR="00872771" w:rsidRPr="00F6340E">
        <w:t xml:space="preserve"> </w:t>
      </w:r>
      <w:r>
        <w:t>п</w:t>
      </w:r>
      <w:r w:rsidR="00A56E08">
        <w:t>о</w:t>
      </w:r>
      <w:r>
        <w:t>ст</w:t>
      </w:r>
      <w:r w:rsidR="00A56E08">
        <w:t>и</w:t>
      </w:r>
      <w:r w:rsidR="00171F00">
        <w:t>з</w:t>
      </w:r>
      <w:r w:rsidR="00A56E08">
        <w:t>ањ</w:t>
      </w:r>
      <w:r>
        <w:t>у</w:t>
      </w:r>
      <w:r w:rsidR="00872771" w:rsidRPr="00F6340E">
        <w:t xml:space="preserve"> </w:t>
      </w:r>
      <w:r w:rsidR="00A56E08">
        <w:t>Од</w:t>
      </w:r>
      <w:r>
        <w:t>р</w:t>
      </w:r>
      <w:r w:rsidR="00171F00">
        <w:t>ж</w:t>
      </w:r>
      <w:r w:rsidR="00A56E08">
        <w:t>и</w:t>
      </w:r>
      <w:r>
        <w:t>в</w:t>
      </w:r>
      <w:r w:rsidR="00A56E08">
        <w:t>ог</w:t>
      </w:r>
      <w:r w:rsidR="00872771" w:rsidRPr="00F6340E">
        <w:t xml:space="preserve"> </w:t>
      </w:r>
      <w:r>
        <w:t>р</w:t>
      </w:r>
      <w:r w:rsidR="00A56E08">
        <w:t>а</w:t>
      </w:r>
      <w:r w:rsidR="00171F00">
        <w:t>з</w:t>
      </w:r>
      <w:r>
        <w:t>в</w:t>
      </w:r>
      <w:r w:rsidR="00A56E08">
        <w:t>ојног</w:t>
      </w:r>
      <w:r w:rsidR="00872771" w:rsidRPr="00F6340E">
        <w:t xml:space="preserve"> </w:t>
      </w:r>
      <w:r w:rsidR="00A56E08">
        <w:t>циља</w:t>
      </w:r>
      <w:r w:rsidR="00872771" w:rsidRPr="00F6340E">
        <w:t xml:space="preserve"> 4 </w:t>
      </w:r>
      <w:r>
        <w:t>в</w:t>
      </w:r>
      <w:r w:rsidR="00A56E08">
        <w:t>а</w:t>
      </w:r>
      <w:r w:rsidR="00171F00">
        <w:t>ж</w:t>
      </w:r>
      <w:r w:rsidR="00A56E08">
        <w:t>н</w:t>
      </w:r>
      <w:r>
        <w:t>у</w:t>
      </w:r>
      <w:r w:rsidR="00872771" w:rsidRPr="00F6340E">
        <w:t xml:space="preserve"> </w:t>
      </w:r>
      <w:r>
        <w:t>у</w:t>
      </w:r>
      <w:r w:rsidR="00A56E08">
        <w:t>лог</w:t>
      </w:r>
      <w:r>
        <w:t>у</w:t>
      </w:r>
      <w:r w:rsidR="00872771" w:rsidRPr="00F6340E">
        <w:t xml:space="preserve"> </w:t>
      </w:r>
      <w:r w:rsidR="00A56E08">
        <w:t>има</w:t>
      </w:r>
      <w:r w:rsidR="00872771" w:rsidRPr="00F6340E">
        <w:t xml:space="preserve"> </w:t>
      </w:r>
      <w:hyperlink r:id="rId12" w:history="1">
        <w:r w:rsidR="00A56E08">
          <w:rPr>
            <w:rStyle w:val="Hyperlink"/>
            <w:rFonts w:cs="Arial"/>
          </w:rPr>
          <w:t>Кон</w:t>
        </w:r>
        <w:r>
          <w:rPr>
            <w:rStyle w:val="Hyperlink"/>
            <w:rFonts w:cs="Arial"/>
          </w:rPr>
          <w:t>в</w:t>
        </w:r>
        <w:r w:rsidR="00EE6AA2">
          <w:rPr>
            <w:rStyle w:val="Hyperlink"/>
            <w:rFonts w:cs="Arial"/>
          </w:rPr>
          <w:t>е</w:t>
        </w:r>
        <w:r w:rsidR="00A56E08">
          <w:rPr>
            <w:rStyle w:val="Hyperlink"/>
            <w:rFonts w:cs="Arial"/>
          </w:rPr>
          <w:t>нција</w:t>
        </w:r>
        <w:r w:rsidR="00872771" w:rsidRPr="00F6340E">
          <w:rPr>
            <w:rStyle w:val="Hyperlink"/>
            <w:rFonts w:cs="Arial"/>
          </w:rPr>
          <w:t xml:space="preserve"> </w:t>
        </w:r>
        <w:r w:rsidR="00A56E08">
          <w:rPr>
            <w:rStyle w:val="Hyperlink"/>
            <w:rFonts w:cs="Arial"/>
          </w:rPr>
          <w:t>о</w:t>
        </w:r>
        <w:r w:rsidR="00872771" w:rsidRPr="00F6340E">
          <w:rPr>
            <w:rStyle w:val="Hyperlink"/>
            <w:rFonts w:cs="Arial"/>
          </w:rPr>
          <w:t xml:space="preserve"> </w:t>
        </w:r>
        <w:r>
          <w:rPr>
            <w:rStyle w:val="Hyperlink"/>
            <w:rFonts w:cs="Arial"/>
          </w:rPr>
          <w:t>пр</w:t>
        </w:r>
        <w:r w:rsidR="00A56E08">
          <w:rPr>
            <w:rStyle w:val="Hyperlink"/>
            <w:rFonts w:cs="Arial"/>
          </w:rPr>
          <w:t>а</w:t>
        </w:r>
        <w:r>
          <w:rPr>
            <w:rStyle w:val="Hyperlink"/>
            <w:rFonts w:cs="Arial"/>
          </w:rPr>
          <w:t>в</w:t>
        </w:r>
        <w:r w:rsidR="00A56E08">
          <w:rPr>
            <w:rStyle w:val="Hyperlink"/>
            <w:rFonts w:cs="Arial"/>
          </w:rPr>
          <w:t>има</w:t>
        </w:r>
        <w:r w:rsidR="00872771" w:rsidRPr="00F6340E">
          <w:rPr>
            <w:rStyle w:val="Hyperlink"/>
            <w:rFonts w:cs="Arial"/>
          </w:rPr>
          <w:t xml:space="preserve"> </w:t>
        </w:r>
        <w:r w:rsidR="00A56E08">
          <w:rPr>
            <w:rStyle w:val="Hyperlink"/>
            <w:rFonts w:cs="Arial"/>
          </w:rPr>
          <w:t>о</w:t>
        </w:r>
        <w:r>
          <w:rPr>
            <w:rStyle w:val="Hyperlink"/>
            <w:rFonts w:cs="Arial"/>
          </w:rPr>
          <w:t>с</w:t>
        </w:r>
        <w:r w:rsidR="00A56E08">
          <w:rPr>
            <w:rStyle w:val="Hyperlink"/>
            <w:rFonts w:cs="Arial"/>
          </w:rPr>
          <w:t>оба</w:t>
        </w:r>
        <w:r w:rsidR="00B04FA8">
          <w:rPr>
            <w:rStyle w:val="Hyperlink"/>
            <w:rFonts w:cs="Arial"/>
          </w:rPr>
          <w:t xml:space="preserve"> са </w:t>
        </w:r>
        <w:r w:rsidR="00A56E08">
          <w:rPr>
            <w:rStyle w:val="Hyperlink"/>
            <w:rFonts w:cs="Arial"/>
          </w:rPr>
          <w:t>ин</w:t>
        </w:r>
        <w:r>
          <w:rPr>
            <w:rStyle w:val="Hyperlink"/>
            <w:rFonts w:cs="Arial"/>
          </w:rPr>
          <w:t>в</w:t>
        </w:r>
        <w:r w:rsidR="00A56E08">
          <w:rPr>
            <w:rStyle w:val="Hyperlink"/>
            <w:rFonts w:cs="Arial"/>
          </w:rPr>
          <w:t>алиди</w:t>
        </w:r>
        <w:r>
          <w:rPr>
            <w:rStyle w:val="Hyperlink"/>
            <w:rFonts w:cs="Arial"/>
          </w:rPr>
          <w:t>т</w:t>
        </w:r>
        <w:r w:rsidR="00EE6AA2">
          <w:rPr>
            <w:rStyle w:val="Hyperlink"/>
            <w:rFonts w:cs="Arial"/>
          </w:rPr>
          <w:t>е</w:t>
        </w:r>
        <w:r>
          <w:rPr>
            <w:rStyle w:val="Hyperlink"/>
            <w:rFonts w:cs="Arial"/>
          </w:rPr>
          <w:t>т</w:t>
        </w:r>
        <w:r w:rsidR="00A56E08">
          <w:rPr>
            <w:rStyle w:val="Hyperlink"/>
            <w:rFonts w:cs="Arial"/>
          </w:rPr>
          <w:t>ом</w:t>
        </w:r>
        <w:r w:rsidR="00872771" w:rsidRPr="00F6340E">
          <w:rPr>
            <w:rStyle w:val="Hyperlink"/>
            <w:rFonts w:cs="Arial"/>
          </w:rPr>
          <w:t xml:space="preserve"> (2008)</w:t>
        </w:r>
      </w:hyperlink>
      <w:r w:rsidR="00872771" w:rsidRPr="00F6340E">
        <w:t xml:space="preserve">, </w:t>
      </w:r>
      <w:r w:rsidR="00A56E08">
        <w:t>која</w:t>
      </w:r>
      <w:r w:rsidR="00872771" w:rsidRPr="00F6340E">
        <w:t xml:space="preserve"> </w:t>
      </w:r>
      <w:r w:rsidR="00A56E08">
        <w:t>оба</w:t>
      </w:r>
      <w:r>
        <w:t>в</w:t>
      </w:r>
      <w:r w:rsidR="00EE6AA2">
        <w:t>е</w:t>
      </w:r>
      <w:r w:rsidR="00171F00">
        <w:t>з</w:t>
      </w:r>
      <w:r>
        <w:t>у</w:t>
      </w:r>
      <w:r w:rsidR="00A56E08">
        <w:t>ј</w:t>
      </w:r>
      <w:r w:rsidR="00EE6AA2">
        <w:t>е</w:t>
      </w:r>
      <w:r w:rsidR="00872771" w:rsidRPr="00F6340E">
        <w:t xml:space="preserve"> </w:t>
      </w:r>
      <w:r w:rsidR="00A56E08">
        <w:t>д</w:t>
      </w:r>
      <w:r>
        <w:t>р</w:t>
      </w:r>
      <w:r w:rsidR="00171F00">
        <w:t>ж</w:t>
      </w:r>
      <w:r w:rsidR="00A56E08">
        <w:t>а</w:t>
      </w:r>
      <w:r>
        <w:t>в</w:t>
      </w:r>
      <w:r w:rsidR="00EE6AA2">
        <w:t>е</w:t>
      </w:r>
      <w:r w:rsidR="00872771" w:rsidRPr="00F6340E">
        <w:t xml:space="preserve"> </w:t>
      </w:r>
      <w:r>
        <w:t>п</w:t>
      </w:r>
      <w:r w:rsidR="00A56E08">
        <w:t>о</w:t>
      </w:r>
      <w:r>
        <w:t>тп</w:t>
      </w:r>
      <w:r w:rsidR="00A56E08">
        <w:t>и</w:t>
      </w:r>
      <w:r>
        <w:t>с</w:t>
      </w:r>
      <w:r w:rsidR="00A56E08">
        <w:t>ниц</w:t>
      </w:r>
      <w:r w:rsidR="00EE6AA2">
        <w:t>е</w:t>
      </w:r>
      <w:r w:rsidR="00872771" w:rsidRPr="00F6340E">
        <w:t xml:space="preserve">, </w:t>
      </w:r>
      <w:r w:rsidR="00A56E08">
        <w:t>м</w:t>
      </w:r>
      <w:r w:rsidR="00EE6AA2">
        <w:t>е</w:t>
      </w:r>
      <w:r w:rsidR="00A56E08">
        <w:t>ђ</w:t>
      </w:r>
      <w:r>
        <w:t>у</w:t>
      </w:r>
      <w:r w:rsidR="00872771" w:rsidRPr="00F6340E">
        <w:t xml:space="preserve"> </w:t>
      </w:r>
      <w:r w:rsidR="00A56E08">
        <w:t>којима</w:t>
      </w:r>
      <w:r w:rsidR="00872771" w:rsidRPr="00F6340E">
        <w:t xml:space="preserve"> </w:t>
      </w:r>
      <w:r w:rsidR="00A56E08">
        <w:t>ј</w:t>
      </w:r>
      <w:r w:rsidR="00EE6AA2">
        <w:t>е</w:t>
      </w:r>
      <w:r w:rsidR="00872771" w:rsidRPr="00F6340E">
        <w:t xml:space="preserve"> </w:t>
      </w:r>
      <w:r w:rsidR="00A56E08">
        <w:t>и</w:t>
      </w:r>
      <w:r w:rsidR="00872771" w:rsidRPr="00F6340E">
        <w:t xml:space="preserve"> </w:t>
      </w:r>
      <w:r w:rsidR="00A56E08">
        <w:t>Бо</w:t>
      </w:r>
      <w:r>
        <w:t>с</w:t>
      </w:r>
      <w:r w:rsidR="00A56E08">
        <w:t>на</w:t>
      </w:r>
      <w:r w:rsidR="00872771" w:rsidRPr="00F6340E">
        <w:t xml:space="preserve"> </w:t>
      </w:r>
      <w:r w:rsidR="00A56E08">
        <w:t>и</w:t>
      </w:r>
      <w:r w:rsidR="00872771" w:rsidRPr="00F6340E">
        <w:t xml:space="preserve"> </w:t>
      </w:r>
      <w:r w:rsidR="00A56E08">
        <w:t>Х</w:t>
      </w:r>
      <w:r w:rsidR="00EE6AA2">
        <w:t>е</w:t>
      </w:r>
      <w:r>
        <w:t>р</w:t>
      </w:r>
      <w:r w:rsidR="00A56E08">
        <w:t>ц</w:t>
      </w:r>
      <w:r w:rsidR="00EE6AA2">
        <w:t>е</w:t>
      </w:r>
      <w:r w:rsidR="00A56E08">
        <w:t>го</w:t>
      </w:r>
      <w:r>
        <w:t>в</w:t>
      </w:r>
      <w:r w:rsidR="00A56E08">
        <w:t>ина</w:t>
      </w:r>
      <w:r w:rsidR="00872771" w:rsidRPr="00F6340E">
        <w:t xml:space="preserve">, </w:t>
      </w:r>
      <w:r w:rsidR="00A56E08">
        <w:t>на</w:t>
      </w:r>
      <w:r w:rsidR="00872771" w:rsidRPr="00F6340E">
        <w:t xml:space="preserve"> </w:t>
      </w:r>
      <w:r w:rsidR="00A56E08">
        <w:t>њ</w:t>
      </w:r>
      <w:r w:rsidR="00EE6AA2">
        <w:t>е</w:t>
      </w:r>
      <w:r w:rsidR="00A56E08">
        <w:t>н</w:t>
      </w:r>
      <w:r>
        <w:t>у</w:t>
      </w:r>
      <w:r w:rsidR="00872771" w:rsidRPr="00F6340E">
        <w:t xml:space="preserve"> </w:t>
      </w:r>
      <w:r>
        <w:t>пр</w:t>
      </w:r>
      <w:r w:rsidR="00A56E08">
        <w:t>имј</w:t>
      </w:r>
      <w:r w:rsidR="00EE6AA2">
        <w:t>е</w:t>
      </w:r>
      <w:r w:rsidR="00A56E08">
        <w:t>н</w:t>
      </w:r>
      <w:r>
        <w:t>у</w:t>
      </w:r>
      <w:r w:rsidR="00872771" w:rsidRPr="00F6340E">
        <w:t xml:space="preserve">. </w:t>
      </w:r>
      <w:r>
        <w:t>Пр</w:t>
      </w:r>
      <w:r w:rsidR="00EE6AA2">
        <w:t>е</w:t>
      </w:r>
      <w:r w:rsidR="00A56E08">
        <w:t>ма</w:t>
      </w:r>
      <w:r w:rsidR="00872771" w:rsidRPr="00F6340E">
        <w:t xml:space="preserve"> </w:t>
      </w:r>
      <w:r w:rsidR="00A56E08">
        <w:t>О</w:t>
      </w:r>
      <w:r>
        <w:t>пшт</w:t>
      </w:r>
      <w:r w:rsidR="00EE6AA2">
        <w:t>е</w:t>
      </w:r>
      <w:r w:rsidR="00A56E08">
        <w:t>м</w:t>
      </w:r>
      <w:r w:rsidR="00872771" w:rsidRPr="00F6340E">
        <w:t xml:space="preserve"> </w:t>
      </w:r>
      <w:r w:rsidR="00A56E08">
        <w:t>ком</w:t>
      </w:r>
      <w:r w:rsidR="00EE6AA2">
        <w:t>е</w:t>
      </w:r>
      <w:r w:rsidR="00A56E08">
        <w:t>н</w:t>
      </w:r>
      <w:r>
        <w:t>т</w:t>
      </w:r>
      <w:r w:rsidR="00A56E08">
        <w:t>а</w:t>
      </w:r>
      <w:r>
        <w:t>ру</w:t>
      </w:r>
      <w:r w:rsidR="00872771" w:rsidRPr="00F6340E">
        <w:t xml:space="preserve"> </w:t>
      </w:r>
      <w:r w:rsidR="00A56E08">
        <w:t>на</w:t>
      </w:r>
      <w:r w:rsidR="00872771" w:rsidRPr="00F6340E">
        <w:t xml:space="preserve"> </w:t>
      </w:r>
      <w:r w:rsidR="00A56E08">
        <w:t>члан</w:t>
      </w:r>
      <w:r w:rsidR="00872771" w:rsidRPr="00F6340E">
        <w:t xml:space="preserve"> 24, </w:t>
      </w:r>
      <w:r w:rsidR="00A56E08">
        <w:t>инкл</w:t>
      </w:r>
      <w:r>
        <w:t>у</w:t>
      </w:r>
      <w:r w:rsidR="00171F00">
        <w:t>з</w:t>
      </w:r>
      <w:r w:rsidR="00A56E08">
        <w:t>и</w:t>
      </w:r>
      <w:r>
        <w:t>в</w:t>
      </w:r>
      <w:r w:rsidR="00A56E08">
        <w:t>но</w:t>
      </w:r>
      <w:r w:rsidR="00872771" w:rsidRPr="00F6340E">
        <w:t xml:space="preserve"> </w:t>
      </w:r>
      <w:r w:rsidR="00A56E08">
        <w:t>об</w:t>
      </w:r>
      <w:r>
        <w:t>р</w:t>
      </w:r>
      <w:r w:rsidR="00A56E08">
        <w:t>а</w:t>
      </w:r>
      <w:r w:rsidR="00171F00">
        <w:t>з</w:t>
      </w:r>
      <w:r w:rsidR="00A56E08">
        <w:t>о</w:t>
      </w:r>
      <w:r>
        <w:t>в</w:t>
      </w:r>
      <w:r w:rsidR="00A56E08">
        <w:t>ањ</w:t>
      </w:r>
      <w:r w:rsidR="00EE6AA2">
        <w:t>е</w:t>
      </w:r>
      <w:r w:rsidR="00872771"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872771" w:rsidRPr="00F6340E">
        <w:t xml:space="preserve"> </w:t>
      </w:r>
      <w:r>
        <w:t>тр</w:t>
      </w:r>
      <w:r w:rsidR="00A56E08">
        <w:t>ан</w:t>
      </w:r>
      <w:r>
        <w:t>с</w:t>
      </w:r>
      <w:r w:rsidR="00A56E08">
        <w:t>фо</w:t>
      </w:r>
      <w:r>
        <w:t>р</w:t>
      </w:r>
      <w:r w:rsidR="00A56E08">
        <w:t>мациј</w:t>
      </w:r>
      <w:r>
        <w:t>у</w:t>
      </w:r>
      <w:r w:rsidR="00872771" w:rsidRPr="00F6340E">
        <w:t xml:space="preserve"> </w:t>
      </w:r>
      <w:r>
        <w:t>у</w:t>
      </w:r>
      <w:r w:rsidR="00872771" w:rsidRPr="00F6340E">
        <w:t xml:space="preserve"> </w:t>
      </w:r>
      <w:r w:rsidR="00A56E08">
        <w:t>к</w:t>
      </w:r>
      <w:r>
        <w:t>у</w:t>
      </w:r>
      <w:r w:rsidR="00A56E08">
        <w:t>л</w:t>
      </w:r>
      <w:r>
        <w:t>тур</w:t>
      </w:r>
      <w:r w:rsidR="00A56E08">
        <w:t>и</w:t>
      </w:r>
      <w:r w:rsidR="00872771" w:rsidRPr="00F6340E">
        <w:t xml:space="preserve">, </w:t>
      </w:r>
      <w:r>
        <w:t>п</w:t>
      </w:r>
      <w:r w:rsidR="00A56E08">
        <w:t>оли</w:t>
      </w:r>
      <w:r>
        <w:t>т</w:t>
      </w:r>
      <w:r w:rsidR="00A56E08">
        <w:t>ици</w:t>
      </w:r>
      <w:r w:rsidR="00872771" w:rsidRPr="00F6340E">
        <w:t xml:space="preserve"> </w:t>
      </w:r>
      <w:r w:rsidR="00A56E08">
        <w:t>и</w:t>
      </w:r>
      <w:r w:rsidR="00872771" w:rsidRPr="00F6340E">
        <w:t xml:space="preserve"> </w:t>
      </w:r>
      <w:r>
        <w:t>пр</w:t>
      </w:r>
      <w:r w:rsidR="00A56E08">
        <w:t>ак</w:t>
      </w:r>
      <w:r>
        <w:t>с</w:t>
      </w:r>
      <w:r w:rsidR="00A56E08">
        <w:t>и</w:t>
      </w:r>
      <w:r w:rsidR="00872771" w:rsidRPr="00F6340E">
        <w:t xml:space="preserve">, </w:t>
      </w:r>
      <w:r>
        <w:t>пр</w:t>
      </w:r>
      <w:r w:rsidR="00EE6AA2">
        <w:t>е</w:t>
      </w:r>
      <w:r w:rsidR="00A56E08">
        <w:t>дано</w:t>
      </w:r>
      <w:r>
        <w:t>ст</w:t>
      </w:r>
      <w:r w:rsidR="00872771" w:rsidRPr="00F6340E">
        <w:t xml:space="preserve"> </w:t>
      </w:r>
      <w:r>
        <w:t>у</w:t>
      </w:r>
      <w:r w:rsidR="00A56E08">
        <w:t>клањањ</w:t>
      </w:r>
      <w:r>
        <w:t>у</w:t>
      </w:r>
      <w:r w:rsidR="00872771" w:rsidRPr="00F6340E">
        <w:t xml:space="preserve"> </w:t>
      </w:r>
      <w:r>
        <w:t>пр</w:t>
      </w:r>
      <w:r w:rsidR="00EE6AA2">
        <w:t>е</w:t>
      </w:r>
      <w:r>
        <w:t>пр</w:t>
      </w:r>
      <w:r w:rsidR="00EE6AA2">
        <w:t>е</w:t>
      </w:r>
      <w:r w:rsidR="00A56E08">
        <w:t>ка</w:t>
      </w:r>
      <w:r w:rsidR="00872771" w:rsidRPr="00F6340E">
        <w:t xml:space="preserve"> </w:t>
      </w:r>
      <w:r w:rsidR="00A56E08">
        <w:t>и</w:t>
      </w:r>
      <w:r w:rsidR="00872771" w:rsidRPr="00F6340E">
        <w:t xml:space="preserve"> </w:t>
      </w:r>
      <w:r w:rsidR="00A56E08">
        <w:t>јачањ</w:t>
      </w:r>
      <w:r w:rsidR="00EE6AA2">
        <w:t>е</w:t>
      </w:r>
      <w:r w:rsidR="00872771" w:rsidRPr="00F6340E">
        <w:t xml:space="preserve"> </w:t>
      </w:r>
      <w:r w:rsidR="00A56E08">
        <w:t>ка</w:t>
      </w:r>
      <w:r>
        <w:t>п</w:t>
      </w:r>
      <w:r w:rsidR="00A56E08">
        <w:t>аци</w:t>
      </w:r>
      <w:r>
        <w:t>т</w:t>
      </w:r>
      <w:r w:rsidR="00EE6AA2">
        <w:t>е</w:t>
      </w:r>
      <w:r>
        <w:t>т</w:t>
      </w:r>
      <w:r w:rsidR="00A56E08">
        <w:t>а</w:t>
      </w:r>
      <w:r w:rsidR="00872771" w:rsidRPr="00F6340E">
        <w:t xml:space="preserve"> </w:t>
      </w:r>
      <w:r w:rsidR="00A56E08">
        <w:t>об</w:t>
      </w:r>
      <w:r>
        <w:t>р</w:t>
      </w:r>
      <w:r w:rsidR="00A56E08">
        <w:t>а</w:t>
      </w:r>
      <w:r w:rsidR="00171F00">
        <w:t>з</w:t>
      </w:r>
      <w:r w:rsidR="00A56E08">
        <w:t>о</w:t>
      </w:r>
      <w:r>
        <w:t>в</w:t>
      </w:r>
      <w:r w:rsidR="00A56E08">
        <w:t>ног</w:t>
      </w:r>
      <w:r w:rsidR="00872771" w:rsidRPr="00F6340E">
        <w:t xml:space="preserve"> </w:t>
      </w:r>
      <w:r>
        <w:t>с</w:t>
      </w:r>
      <w:r w:rsidR="00A56E08">
        <w:t>и</w:t>
      </w:r>
      <w:r>
        <w:t>ст</w:t>
      </w:r>
      <w:r w:rsidR="00EE6AA2">
        <w:t>е</w:t>
      </w:r>
      <w:r w:rsidR="00A56E08">
        <w:t>ма</w:t>
      </w:r>
      <w:r w:rsidR="00872771" w:rsidRPr="00F6340E">
        <w:t xml:space="preserve"> </w:t>
      </w:r>
      <w:r w:rsidR="00A56E08">
        <w:t>како</w:t>
      </w:r>
      <w:r w:rsidR="00872771" w:rsidRPr="00F6340E">
        <w:t xml:space="preserve"> </w:t>
      </w:r>
      <w:r w:rsidR="00A56E08">
        <w:t>би</w:t>
      </w:r>
      <w:r w:rsidR="00872771" w:rsidRPr="00F6340E">
        <w:t xml:space="preserve"> </w:t>
      </w:r>
      <w:r>
        <w:t>с</w:t>
      </w:r>
      <w:r w:rsidR="00EE6AA2">
        <w:t>е</w:t>
      </w:r>
      <w:r w:rsidR="00872771" w:rsidRPr="00F6340E">
        <w:t xml:space="preserve"> </w:t>
      </w:r>
      <w:r w:rsidR="00A56E08">
        <w:t>могло</w:t>
      </w:r>
      <w:r w:rsidR="00872771" w:rsidRPr="00F6340E">
        <w:t xml:space="preserve"> </w:t>
      </w:r>
      <w:r w:rsidR="00A56E08">
        <w:t>о</w:t>
      </w:r>
      <w:r>
        <w:t>ств</w:t>
      </w:r>
      <w:r w:rsidR="00A56E08">
        <w:t>а</w:t>
      </w:r>
      <w:r>
        <w:t>р</w:t>
      </w:r>
      <w:r w:rsidR="00A56E08">
        <w:t>и</w:t>
      </w:r>
      <w:r>
        <w:t>т</w:t>
      </w:r>
      <w:r w:rsidR="00A56E08">
        <w:t>и</w:t>
      </w:r>
      <w:r w:rsidR="00872771" w:rsidRPr="00F6340E">
        <w:t xml:space="preserve"> </w:t>
      </w:r>
      <w:r>
        <w:t>пу</w:t>
      </w:r>
      <w:r w:rsidR="00A56E08">
        <w:t>но</w:t>
      </w:r>
      <w:r w:rsidR="00872771" w:rsidRPr="00F6340E">
        <w:t xml:space="preserve"> </w:t>
      </w:r>
      <w:r w:rsidR="00A56E08">
        <w:t>и</w:t>
      </w:r>
      <w:r w:rsidR="00872771" w:rsidRPr="00F6340E">
        <w:t xml:space="preserve"> </w:t>
      </w:r>
      <w:r w:rsidR="00EE6AA2">
        <w:t>е</w:t>
      </w:r>
      <w:r w:rsidR="00A56E08">
        <w:t>ф</w:t>
      </w:r>
      <w:r w:rsidR="00EE6AA2">
        <w:t>е</w:t>
      </w:r>
      <w:r w:rsidR="00A56E08">
        <w:t>к</w:t>
      </w:r>
      <w:r>
        <w:t>т</w:t>
      </w:r>
      <w:r w:rsidR="00A56E08">
        <w:t>и</w:t>
      </w:r>
      <w:r>
        <w:t>в</w:t>
      </w:r>
      <w:r w:rsidR="00A56E08">
        <w:t>но</w:t>
      </w:r>
      <w:r w:rsidR="00872771" w:rsidRPr="00F6340E">
        <w:t xml:space="preserve"> </w:t>
      </w:r>
      <w:r>
        <w:t>у</w:t>
      </w:r>
      <w:r w:rsidR="00A56E08">
        <w:t>ч</w:t>
      </w:r>
      <w:r w:rsidR="00EE6AA2">
        <w:t>е</w:t>
      </w:r>
      <w:r>
        <w:t>ств</w:t>
      </w:r>
      <w:r w:rsidR="00A56E08">
        <w:t>о</w:t>
      </w:r>
      <w:r>
        <w:t>в</w:t>
      </w:r>
      <w:r w:rsidR="00A56E08">
        <w:t>ањ</w:t>
      </w:r>
      <w:r w:rsidR="00EE6AA2">
        <w:t>е</w:t>
      </w:r>
      <w:r w:rsidR="00872771" w:rsidRPr="00F6340E">
        <w:t xml:space="preserve">, </w:t>
      </w:r>
      <w:r>
        <w:t>пр</w:t>
      </w:r>
      <w:r w:rsidR="00A56E08">
        <w:t>и</w:t>
      </w:r>
      <w:r>
        <w:t>ступ</w:t>
      </w:r>
      <w:r w:rsidR="00A56E08">
        <w:t>ачно</w:t>
      </w:r>
      <w:r>
        <w:t>ст</w:t>
      </w:r>
      <w:r w:rsidR="00872771" w:rsidRPr="00F6340E">
        <w:t xml:space="preserve">, </w:t>
      </w:r>
      <w:r>
        <w:t>п</w:t>
      </w:r>
      <w:r w:rsidR="00A56E08">
        <w:t>охађањ</w:t>
      </w:r>
      <w:r w:rsidR="00EE6AA2">
        <w:t>е</w:t>
      </w:r>
      <w:r w:rsidR="00872771" w:rsidRPr="00F6340E">
        <w:t xml:space="preserve"> </w:t>
      </w:r>
      <w:r w:rsidR="00A56E08">
        <w:t>и</w:t>
      </w:r>
      <w:r w:rsidR="00872771" w:rsidRPr="00F6340E">
        <w:t xml:space="preserve"> </w:t>
      </w:r>
      <w:r>
        <w:t>п</w:t>
      </w:r>
      <w:r w:rsidR="00A56E08">
        <w:t>о</w:t>
      </w:r>
      <w:r>
        <w:t>ст</w:t>
      </w:r>
      <w:r w:rsidR="00A56E08">
        <w:t>игн</w:t>
      </w:r>
      <w:r>
        <w:t>у</w:t>
      </w:r>
      <w:r w:rsidR="00A56E08">
        <w:t>ћа</w:t>
      </w:r>
      <w:r w:rsidR="00872771" w:rsidRPr="00F6340E">
        <w:t xml:space="preserve"> </w:t>
      </w:r>
      <w:r>
        <w:t>св</w:t>
      </w:r>
      <w:r w:rsidR="00A56E08">
        <w:t>их</w:t>
      </w:r>
      <w:r w:rsidR="00872771" w:rsidRPr="00F6340E">
        <w:t xml:space="preserve"> </w:t>
      </w:r>
      <w:r>
        <w:t>у</w:t>
      </w:r>
      <w:r w:rsidR="00A56E08">
        <w:t>ч</w:t>
      </w:r>
      <w:r w:rsidR="00EE6AA2">
        <w:t>е</w:t>
      </w:r>
      <w:r w:rsidR="00A56E08">
        <w:t>ника</w:t>
      </w:r>
      <w:r w:rsidR="00197620" w:rsidRPr="00F6340E">
        <w:t xml:space="preserve"> </w:t>
      </w:r>
      <w:r w:rsidR="00A56E08">
        <w:t>б</w:t>
      </w:r>
      <w:r w:rsidR="00EE6AA2">
        <w:t>е</w:t>
      </w:r>
      <w:r w:rsidR="00171F00">
        <w:t>з</w:t>
      </w:r>
      <w:r w:rsidR="00872771" w:rsidRPr="00F6340E">
        <w:t xml:space="preserve"> </w:t>
      </w:r>
      <w:r w:rsidR="00A56E08">
        <w:t>ди</w:t>
      </w:r>
      <w:r>
        <w:t>с</w:t>
      </w:r>
      <w:r w:rsidR="00A56E08">
        <w:t>к</w:t>
      </w:r>
      <w:r>
        <w:t>р</w:t>
      </w:r>
      <w:r w:rsidR="00A56E08">
        <w:t>иминациј</w:t>
      </w:r>
      <w:r w:rsidR="00EE6AA2">
        <w:t>е</w:t>
      </w:r>
      <w:r w:rsidR="00872771" w:rsidRPr="00F6340E">
        <w:t xml:space="preserve"> </w:t>
      </w:r>
      <w:r>
        <w:t>п</w:t>
      </w:r>
      <w:r w:rsidR="00A56E08">
        <w:t>о</w:t>
      </w:r>
      <w:r w:rsidR="00872771" w:rsidRPr="00F6340E">
        <w:t xml:space="preserve"> </w:t>
      </w:r>
      <w:r w:rsidR="00A56E08">
        <w:t>било</w:t>
      </w:r>
      <w:r w:rsidR="00872771" w:rsidRPr="00F6340E">
        <w:t xml:space="preserve"> </w:t>
      </w:r>
      <w:r w:rsidR="00A56E08">
        <w:t>кој</w:t>
      </w:r>
      <w:r w:rsidR="00EE6AA2">
        <w:t>е</w:t>
      </w:r>
      <w:r w:rsidR="00A56E08">
        <w:t>м</w:t>
      </w:r>
      <w:r w:rsidR="00EE6127" w:rsidRPr="00F6340E">
        <w:t xml:space="preserve"> </w:t>
      </w:r>
      <w:r w:rsidR="00A56E08">
        <w:t>о</w:t>
      </w:r>
      <w:r>
        <w:t>с</w:t>
      </w:r>
      <w:r w:rsidR="00A56E08">
        <w:t>но</w:t>
      </w:r>
      <w:r>
        <w:t>ву</w:t>
      </w:r>
      <w:r w:rsidR="00872771" w:rsidRPr="00F6340E">
        <w:t xml:space="preserve"> (</w:t>
      </w:r>
      <w:r w:rsidR="00A56E08">
        <w:t>О</w:t>
      </w:r>
      <w:r>
        <w:t>пшт</w:t>
      </w:r>
      <w:r w:rsidR="00A56E08">
        <w:t>и</w:t>
      </w:r>
      <w:r w:rsidR="00872771" w:rsidRPr="00F6340E">
        <w:t xml:space="preserve"> </w:t>
      </w:r>
      <w:r w:rsidR="00A56E08">
        <w:t>ком</w:t>
      </w:r>
      <w:r w:rsidR="00EE6AA2">
        <w:t>е</w:t>
      </w:r>
      <w:r w:rsidR="00A56E08">
        <w:t>н</w:t>
      </w:r>
      <w:r>
        <w:t>т</w:t>
      </w:r>
      <w:r w:rsidR="00A56E08">
        <w:t>а</w:t>
      </w:r>
      <w:r>
        <w:t>р</w:t>
      </w:r>
      <w:r w:rsidR="00872771" w:rsidRPr="00F6340E">
        <w:t xml:space="preserve"> </w:t>
      </w:r>
      <w:r w:rsidR="00A56E08">
        <w:t>на</w:t>
      </w:r>
      <w:r w:rsidR="00872771" w:rsidRPr="00F6340E">
        <w:t xml:space="preserve"> </w:t>
      </w:r>
      <w:r w:rsidR="00A56E08">
        <w:t>Члан</w:t>
      </w:r>
      <w:r w:rsidR="00872771" w:rsidRPr="00F6340E">
        <w:t xml:space="preserve"> 24 </w:t>
      </w:r>
      <w:r w:rsidR="00A56E08">
        <w:t>Кон</w:t>
      </w:r>
      <w:r>
        <w:t>в</w:t>
      </w:r>
      <w:r w:rsidR="00EE6AA2">
        <w:t>е</w:t>
      </w:r>
      <w:r w:rsidR="00A56E08">
        <w:t>нциј</w:t>
      </w:r>
      <w:r w:rsidR="00EE6AA2">
        <w:t>е</w:t>
      </w:r>
      <w:r w:rsidR="00872771" w:rsidRPr="00F6340E">
        <w:t xml:space="preserve"> </w:t>
      </w:r>
      <w:r w:rsidR="00A56E08">
        <w:t>о</w:t>
      </w:r>
      <w:r w:rsidR="00872771" w:rsidRPr="00F6340E">
        <w:t xml:space="preserve"> </w:t>
      </w:r>
      <w:r>
        <w:t>пр</w:t>
      </w:r>
      <w:r w:rsidR="00A56E08">
        <w:t>а</w:t>
      </w:r>
      <w:r>
        <w:t>в</w:t>
      </w:r>
      <w:r w:rsidR="00A56E08">
        <w:t>има</w:t>
      </w:r>
      <w:r w:rsidR="00872771" w:rsidRPr="00F6340E">
        <w:t xml:space="preserve"> </w:t>
      </w:r>
      <w:r w:rsidR="00A56E08">
        <w:t>о</w:t>
      </w:r>
      <w:r>
        <w:t>с</w:t>
      </w:r>
      <w:r w:rsidR="00A56E08">
        <w:t>оба</w:t>
      </w:r>
      <w:r w:rsidR="00B04FA8">
        <w:t xml:space="preserve"> са </w:t>
      </w:r>
      <w:r w:rsidR="00A56E08">
        <w:t>ин</w:t>
      </w:r>
      <w:r>
        <w:t>в</w:t>
      </w:r>
      <w:r w:rsidR="00A56E08">
        <w:t>алиди</w:t>
      </w:r>
      <w:r>
        <w:t>т</w:t>
      </w:r>
      <w:r w:rsidR="00EE6AA2">
        <w:t>е</w:t>
      </w:r>
      <w:r>
        <w:t>т</w:t>
      </w:r>
      <w:r w:rsidR="00A56E08">
        <w:t>ом</w:t>
      </w:r>
      <w:r w:rsidR="00872771" w:rsidRPr="00F6340E">
        <w:t xml:space="preserve">: </w:t>
      </w:r>
      <w:r>
        <w:t>пр</w:t>
      </w:r>
      <w:r w:rsidR="00A56E08">
        <w:t>а</w:t>
      </w:r>
      <w:r>
        <w:t>в</w:t>
      </w:r>
      <w:r w:rsidR="00A56E08">
        <w:t>о</w:t>
      </w:r>
      <w:r w:rsidR="00872771" w:rsidRPr="00F6340E">
        <w:t xml:space="preserve"> </w:t>
      </w:r>
      <w:r w:rsidR="00A56E08">
        <w:t>на</w:t>
      </w:r>
      <w:r w:rsidR="00872771" w:rsidRPr="00F6340E">
        <w:t xml:space="preserve"> </w:t>
      </w:r>
      <w:r w:rsidR="00A56E08">
        <w:t>инкл</w:t>
      </w:r>
      <w:r>
        <w:t>у</w:t>
      </w:r>
      <w:r w:rsidR="00171F00">
        <w:t>з</w:t>
      </w:r>
      <w:r w:rsidR="00A56E08">
        <w:t>и</w:t>
      </w:r>
      <w:r>
        <w:t>в</w:t>
      </w:r>
      <w:r w:rsidR="00A56E08">
        <w:t>но</w:t>
      </w:r>
      <w:r w:rsidR="00872771" w:rsidRPr="00F6340E">
        <w:t xml:space="preserve"> </w:t>
      </w:r>
      <w:r w:rsidR="00A56E08">
        <w:t>об</w:t>
      </w:r>
      <w:r>
        <w:t>р</w:t>
      </w:r>
      <w:r w:rsidR="00A56E08">
        <w:t>а</w:t>
      </w:r>
      <w:r w:rsidR="00171F00">
        <w:t>з</w:t>
      </w:r>
      <w:r w:rsidR="00A56E08">
        <w:t>о</w:t>
      </w:r>
      <w:r>
        <w:t>в</w:t>
      </w:r>
      <w:r w:rsidR="00A56E08">
        <w:t>ањ</w:t>
      </w:r>
      <w:r w:rsidR="00EE6AA2">
        <w:t>е</w:t>
      </w:r>
      <w:r w:rsidR="00872771" w:rsidRPr="00F6340E">
        <w:t xml:space="preserve">). </w:t>
      </w:r>
      <w:r w:rsidR="00A56E08">
        <w:t>Ја</w:t>
      </w:r>
      <w:r>
        <w:t>с</w:t>
      </w:r>
      <w:r w:rsidR="00A56E08">
        <w:t>но</w:t>
      </w:r>
      <w:r w:rsidR="00872771" w:rsidRPr="00F6340E">
        <w:t xml:space="preserve"> </w:t>
      </w:r>
      <w:r w:rsidR="00A56E08">
        <w:t>ј</w:t>
      </w:r>
      <w:r w:rsidR="00EE6AA2">
        <w:t>е</w:t>
      </w:r>
      <w:r w:rsidR="00872771" w:rsidRPr="00F6340E">
        <w:t xml:space="preserve"> </w:t>
      </w:r>
      <w:r w:rsidR="00A56E08">
        <w:t>да</w:t>
      </w:r>
      <w:r w:rsidR="00872771" w:rsidRPr="00F6340E">
        <w:t xml:space="preserve"> </w:t>
      </w:r>
      <w:r>
        <w:t>с</w:t>
      </w:r>
      <w:r w:rsidR="00EE6AA2">
        <w:t>е</w:t>
      </w:r>
      <w:r w:rsidR="00872771" w:rsidRPr="00F6340E">
        <w:t xml:space="preserve"> </w:t>
      </w:r>
      <w:r>
        <w:t>р</w:t>
      </w:r>
      <w:r w:rsidR="00A56E08">
        <w:t>ади</w:t>
      </w:r>
      <w:r w:rsidR="00872771" w:rsidRPr="00F6340E">
        <w:t xml:space="preserve"> </w:t>
      </w:r>
      <w:r w:rsidR="00A56E08">
        <w:t>о</w:t>
      </w:r>
      <w:r w:rsidR="00872771" w:rsidRPr="00F6340E">
        <w:t xml:space="preserve"> </w:t>
      </w:r>
      <w:r w:rsidR="00171F00">
        <w:t>з</w:t>
      </w:r>
      <w:r w:rsidR="00A56E08">
        <w:t>ах</w:t>
      </w:r>
      <w:r>
        <w:t>т</w:t>
      </w:r>
      <w:r w:rsidR="00A56E08">
        <w:t>иј</w:t>
      </w:r>
      <w:r w:rsidR="00EE6AA2">
        <w:t>е</w:t>
      </w:r>
      <w:r>
        <w:t>в</w:t>
      </w:r>
      <w:r w:rsidR="00A56E08">
        <w:t>ном</w:t>
      </w:r>
      <w:r w:rsidR="00872771" w:rsidRPr="00F6340E">
        <w:t xml:space="preserve"> </w:t>
      </w:r>
      <w:r w:rsidR="00A56E08">
        <w:t>и</w:t>
      </w:r>
      <w:r w:rsidR="00872771" w:rsidRPr="00F6340E">
        <w:t xml:space="preserve"> </w:t>
      </w:r>
      <w:r w:rsidR="00A56E08">
        <w:t>ком</w:t>
      </w:r>
      <w:r>
        <w:t>п</w:t>
      </w:r>
      <w:r w:rsidR="00A56E08">
        <w:t>л</w:t>
      </w:r>
      <w:r w:rsidR="00EE6AA2">
        <w:t>е</w:t>
      </w:r>
      <w:r w:rsidR="00A56E08">
        <w:t>к</w:t>
      </w:r>
      <w:r>
        <w:t>с</w:t>
      </w:r>
      <w:r w:rsidR="00A56E08">
        <w:t>ном</w:t>
      </w:r>
      <w:r w:rsidR="00872771" w:rsidRPr="00F6340E">
        <w:t xml:space="preserve"> </w:t>
      </w:r>
      <w:r>
        <w:t>пр</w:t>
      </w:r>
      <w:r w:rsidR="00A56E08">
        <w:t>оц</w:t>
      </w:r>
      <w:r w:rsidR="00EE6AA2">
        <w:t>е</w:t>
      </w:r>
      <w:r>
        <w:t>су</w:t>
      </w:r>
      <w:r w:rsidR="00872771" w:rsidRPr="00F6340E">
        <w:t xml:space="preserve"> </w:t>
      </w:r>
      <w:r>
        <w:t>с</w:t>
      </w:r>
      <w:r w:rsidR="00A56E08">
        <w:t>и</w:t>
      </w:r>
      <w:r>
        <w:t>ст</w:t>
      </w:r>
      <w:r w:rsidR="00EE6AA2">
        <w:t>е</w:t>
      </w:r>
      <w:r w:rsidR="00A56E08">
        <w:t>м</w:t>
      </w:r>
      <w:r>
        <w:t>с</w:t>
      </w:r>
      <w:r w:rsidR="00A56E08">
        <w:t>к</w:t>
      </w:r>
      <w:r w:rsidR="00EE6AA2">
        <w:t>е</w:t>
      </w:r>
      <w:r w:rsidR="00872771" w:rsidRPr="00F6340E">
        <w:t xml:space="preserve"> </w:t>
      </w:r>
      <w:r>
        <w:t>р</w:t>
      </w:r>
      <w:r w:rsidR="00EE6AA2">
        <w:t>е</w:t>
      </w:r>
      <w:r w:rsidR="00A56E08">
        <w:t>фо</w:t>
      </w:r>
      <w:r>
        <w:t>р</w:t>
      </w:r>
      <w:r w:rsidR="00A56E08">
        <w:t>м</w:t>
      </w:r>
      <w:r w:rsidR="00EE6AA2">
        <w:t>е</w:t>
      </w:r>
      <w:r w:rsidR="00872771" w:rsidRPr="00F6340E">
        <w:t xml:space="preserve"> </w:t>
      </w:r>
      <w:r w:rsidR="00A56E08">
        <w:t>која</w:t>
      </w:r>
      <w:r w:rsidR="00872771" w:rsidRPr="00F6340E">
        <w:t xml:space="preserve"> </w:t>
      </w:r>
      <w:r w:rsidR="00A56E08">
        <w:t>об</w:t>
      </w:r>
      <w:r>
        <w:t>у</w:t>
      </w:r>
      <w:r w:rsidR="00A56E08">
        <w:t>х</w:t>
      </w:r>
      <w:r>
        <w:t>в</w:t>
      </w:r>
      <w:r w:rsidR="00A56E08">
        <w:t>а</w:t>
      </w:r>
      <w:r>
        <w:t>т</w:t>
      </w:r>
      <w:r w:rsidR="00A56E08">
        <w:t>а</w:t>
      </w:r>
      <w:r w:rsidR="00872771" w:rsidRPr="00F6340E">
        <w:t xml:space="preserve"> </w:t>
      </w:r>
      <w:r>
        <w:t>пр</w:t>
      </w:r>
      <w:r w:rsidR="00A56E08">
        <w:t>омј</w:t>
      </w:r>
      <w:r w:rsidR="00EE6AA2">
        <w:t>е</w:t>
      </w:r>
      <w:r w:rsidR="00A56E08">
        <w:t>н</w:t>
      </w:r>
      <w:r w:rsidR="00EE6AA2">
        <w:t>е</w:t>
      </w:r>
      <w:r w:rsidR="00872771" w:rsidRPr="00F6340E">
        <w:t xml:space="preserve"> </w:t>
      </w:r>
      <w:r w:rsidR="00A56E08">
        <w:t>и</w:t>
      </w:r>
      <w:r w:rsidR="00872771" w:rsidRPr="00F6340E">
        <w:t xml:space="preserve"> </w:t>
      </w:r>
      <w:r w:rsidR="00A56E08">
        <w:t>ада</w:t>
      </w:r>
      <w:r>
        <w:t>пт</w:t>
      </w:r>
      <w:r w:rsidR="00A56E08">
        <w:t>ациј</w:t>
      </w:r>
      <w:r>
        <w:t>у</w:t>
      </w:r>
      <w:r w:rsidR="00872771" w:rsidRPr="00F6340E">
        <w:t xml:space="preserve"> </w:t>
      </w:r>
      <w:r>
        <w:t>с</w:t>
      </w:r>
      <w:r w:rsidR="00A56E08">
        <w:t>ад</w:t>
      </w:r>
      <w:r>
        <w:t>р</w:t>
      </w:r>
      <w:r w:rsidR="00171F00">
        <w:t>ж</w:t>
      </w:r>
      <w:r w:rsidR="00A56E08">
        <w:t>аја</w:t>
      </w:r>
      <w:r w:rsidR="00872771" w:rsidRPr="00F6340E">
        <w:t xml:space="preserve">, </w:t>
      </w:r>
      <w:r w:rsidR="00A56E08">
        <w:t>на</w:t>
      </w:r>
      <w:r>
        <w:t>ст</w:t>
      </w:r>
      <w:r w:rsidR="00A56E08">
        <w:t>а</w:t>
      </w:r>
      <w:r>
        <w:t>в</w:t>
      </w:r>
      <w:r w:rsidR="00A56E08">
        <w:t>них</w:t>
      </w:r>
      <w:r w:rsidR="00872771" w:rsidRPr="00F6340E">
        <w:t xml:space="preserve"> </w:t>
      </w:r>
      <w:r w:rsidR="00A56E08">
        <w:t>м</w:t>
      </w:r>
      <w:r w:rsidR="00EE6AA2">
        <w:t>е</w:t>
      </w:r>
      <w:r>
        <w:t>т</w:t>
      </w:r>
      <w:r w:rsidR="00A56E08">
        <w:t>ода</w:t>
      </w:r>
      <w:r w:rsidR="00872771" w:rsidRPr="00F6340E">
        <w:t xml:space="preserve">, </w:t>
      </w:r>
      <w:r>
        <w:t>пр</w:t>
      </w:r>
      <w:r w:rsidR="00A56E08">
        <w:t>и</w:t>
      </w:r>
      <w:r>
        <w:t>ступ</w:t>
      </w:r>
      <w:r w:rsidR="00A56E08">
        <w:t>а</w:t>
      </w:r>
      <w:r w:rsidR="00872771" w:rsidRPr="00F6340E">
        <w:t xml:space="preserve">, </w:t>
      </w:r>
      <w:r>
        <w:t>стру</w:t>
      </w:r>
      <w:r w:rsidR="00A56E08">
        <w:t>к</w:t>
      </w:r>
      <w:r>
        <w:t>тур</w:t>
      </w:r>
      <w:r w:rsidR="00A56E08">
        <w:t>а</w:t>
      </w:r>
      <w:r w:rsidR="00872771" w:rsidRPr="00F6340E">
        <w:t xml:space="preserve"> </w:t>
      </w:r>
      <w:r w:rsidR="00A56E08">
        <w:t>и</w:t>
      </w:r>
      <w:r w:rsidR="00872771" w:rsidRPr="00F6340E">
        <w:t xml:space="preserve"> </w:t>
      </w:r>
      <w:r>
        <w:t>стр</w:t>
      </w:r>
      <w:r w:rsidR="00A56E08">
        <w:t>а</w:t>
      </w:r>
      <w:r>
        <w:t>т</w:t>
      </w:r>
      <w:r w:rsidR="00EE6AA2">
        <w:t>е</w:t>
      </w:r>
      <w:r w:rsidR="00A56E08">
        <w:t>гија</w:t>
      </w:r>
      <w:r w:rsidR="00872771" w:rsidRPr="00F6340E">
        <w:t>.</w:t>
      </w:r>
    </w:p>
    <w:p w14:paraId="3622902E" w14:textId="7BEF322F" w:rsidR="00872771" w:rsidRPr="00F6340E" w:rsidRDefault="0071360A" w:rsidP="000962EB">
      <w:pPr>
        <w:pStyle w:val="Heading2"/>
        <w:numPr>
          <w:ilvl w:val="1"/>
          <w:numId w:val="69"/>
        </w:numPr>
        <w:rPr>
          <w:lang w:val="sr-Cyrl-BA"/>
        </w:rPr>
      </w:pPr>
      <w:bookmarkStart w:id="21" w:name="_Toc119050303"/>
      <w:r>
        <w:rPr>
          <w:lang w:val="sr-Cyrl-BA"/>
        </w:rPr>
        <w:t>У</w:t>
      </w:r>
      <w:r w:rsidR="00A56E08">
        <w:rPr>
          <w:lang w:val="sr-Cyrl-BA"/>
        </w:rPr>
        <w:t>ни</w:t>
      </w:r>
      <w:r>
        <w:rPr>
          <w:lang w:val="sr-Cyrl-BA"/>
        </w:rPr>
        <w:t>в</w:t>
      </w:r>
      <w:r w:rsidR="00EE6AA2">
        <w:rPr>
          <w:lang w:val="sr-Cyrl-BA"/>
        </w:rPr>
        <w:t>е</w:t>
      </w:r>
      <w:r>
        <w:rPr>
          <w:lang w:val="sr-Cyrl-BA"/>
        </w:rPr>
        <w:t>р</w:t>
      </w:r>
      <w:r w:rsidR="00171F00">
        <w:rPr>
          <w:lang w:val="sr-Cyrl-BA"/>
        </w:rPr>
        <w:t>з</w:t>
      </w:r>
      <w:r w:rsidR="00A56E08">
        <w:rPr>
          <w:lang w:val="sr-Cyrl-BA"/>
        </w:rPr>
        <w:t>ални</w:t>
      </w:r>
      <w:r w:rsidR="00872771" w:rsidRPr="00F6340E">
        <w:rPr>
          <w:lang w:val="sr-Cyrl-BA"/>
        </w:rPr>
        <w:t xml:space="preserve"> </w:t>
      </w:r>
      <w:r w:rsidR="00A56E08">
        <w:rPr>
          <w:lang w:val="sr-Cyrl-BA"/>
        </w:rPr>
        <w:t>ди</w:t>
      </w:r>
      <w:r w:rsidR="00171F00">
        <w:rPr>
          <w:lang w:val="sr-Cyrl-BA"/>
        </w:rPr>
        <w:t>з</w:t>
      </w:r>
      <w:r w:rsidR="00A56E08">
        <w:rPr>
          <w:lang w:val="sr-Cyrl-BA"/>
        </w:rPr>
        <w:t>ајн</w:t>
      </w:r>
      <w:r w:rsidR="00872771" w:rsidRPr="00F6340E">
        <w:rPr>
          <w:lang w:val="sr-Cyrl-BA"/>
        </w:rPr>
        <w:t xml:space="preserve"> </w:t>
      </w:r>
      <w:r w:rsidR="00171F00">
        <w:rPr>
          <w:lang w:val="sr-Cyrl-BA"/>
        </w:rPr>
        <w:t>з</w:t>
      </w:r>
      <w:r w:rsidR="00A56E08">
        <w:rPr>
          <w:lang w:val="sr-Cyrl-BA"/>
        </w:rPr>
        <w:t>а</w:t>
      </w:r>
      <w:r w:rsidR="00872771" w:rsidRPr="00F6340E">
        <w:rPr>
          <w:lang w:val="sr-Cyrl-BA"/>
        </w:rPr>
        <w:t xml:space="preserve"> </w:t>
      </w:r>
      <w:r>
        <w:rPr>
          <w:lang w:val="sr-Cyrl-BA"/>
        </w:rPr>
        <w:t>у</w:t>
      </w:r>
      <w:r w:rsidR="00A56E08">
        <w:rPr>
          <w:lang w:val="sr-Cyrl-BA"/>
        </w:rPr>
        <w:t>ч</w:t>
      </w:r>
      <w:r w:rsidR="00EE6AA2">
        <w:rPr>
          <w:lang w:val="sr-Cyrl-BA"/>
        </w:rPr>
        <w:t>е</w:t>
      </w:r>
      <w:r w:rsidR="00A56E08">
        <w:rPr>
          <w:lang w:val="sr-Cyrl-BA"/>
        </w:rPr>
        <w:t>њ</w:t>
      </w:r>
      <w:r w:rsidR="00EE6AA2">
        <w:rPr>
          <w:lang w:val="sr-Cyrl-BA"/>
        </w:rPr>
        <w:t>е</w:t>
      </w:r>
      <w:r w:rsidR="00872771" w:rsidRPr="00F6340E">
        <w:rPr>
          <w:lang w:val="sr-Cyrl-BA"/>
        </w:rPr>
        <w:t xml:space="preserve"> – </w:t>
      </w:r>
      <w:r>
        <w:rPr>
          <w:lang w:val="sr-Cyrl-BA"/>
        </w:rPr>
        <w:t>У</w:t>
      </w:r>
      <w:r w:rsidR="00A56E08">
        <w:rPr>
          <w:lang w:val="sr-Cyrl-BA"/>
        </w:rPr>
        <w:t>Д</w:t>
      </w:r>
      <w:r>
        <w:rPr>
          <w:lang w:val="sr-Cyrl-BA"/>
        </w:rPr>
        <w:t>У</w:t>
      </w:r>
      <w:bookmarkEnd w:id="21"/>
    </w:p>
    <w:p w14:paraId="524BC78B" w14:textId="7C99FE52" w:rsidR="00872771" w:rsidRPr="00F6340E" w:rsidRDefault="0071360A" w:rsidP="00210EE1">
      <w:pPr>
        <w:pStyle w:val="Body"/>
      </w:pPr>
      <w:r>
        <w:t>У</w:t>
      </w:r>
      <w:r w:rsidR="00A56E08">
        <w:t>ни</w:t>
      </w:r>
      <w:r>
        <w:t>в</w:t>
      </w:r>
      <w:r w:rsidR="00EE6AA2">
        <w:t>е</w:t>
      </w:r>
      <w:r>
        <w:t>р</w:t>
      </w:r>
      <w:r w:rsidR="00171F00">
        <w:t>з</w:t>
      </w:r>
      <w:r w:rsidR="00A56E08">
        <w:t>ални</w:t>
      </w:r>
      <w:r w:rsidR="00872771" w:rsidRPr="00F6340E">
        <w:t xml:space="preserve"> </w:t>
      </w:r>
      <w:r w:rsidR="00A56E08">
        <w:t>ди</w:t>
      </w:r>
      <w:r w:rsidR="00171F00">
        <w:t>з</w:t>
      </w:r>
      <w:r w:rsidR="00A56E08">
        <w:t>ајн</w:t>
      </w:r>
      <w:r w:rsidR="00872771" w:rsidRPr="00F6340E">
        <w:t xml:space="preserve"> </w:t>
      </w:r>
      <w:r w:rsidR="00171F00">
        <w:t>з</w:t>
      </w:r>
      <w:r w:rsidR="00A56E08">
        <w:t>а</w:t>
      </w:r>
      <w:r w:rsidR="00872771" w:rsidRPr="00F6340E">
        <w:t xml:space="preserve"> </w:t>
      </w:r>
      <w:r>
        <w:t>у</w:t>
      </w:r>
      <w:r w:rsidR="00A56E08">
        <w:t>ч</w:t>
      </w:r>
      <w:r w:rsidR="00EE6AA2">
        <w:t>е</w:t>
      </w:r>
      <w:r w:rsidR="00A56E08">
        <w:t>њ</w:t>
      </w:r>
      <w:r w:rsidR="00EE6AA2">
        <w:t>е</w:t>
      </w:r>
      <w:r w:rsidR="00872771" w:rsidRPr="00F6340E">
        <w:t xml:space="preserve"> (</w:t>
      </w:r>
      <w:r w:rsidR="00EE6AA2">
        <w:t>е</w:t>
      </w:r>
      <w:r w:rsidR="00A56E08">
        <w:t>нгл</w:t>
      </w:r>
      <w:r w:rsidR="00872771" w:rsidRPr="00F6340E">
        <w:t xml:space="preserve">. </w:t>
      </w:r>
      <w:r w:rsidR="000010C5">
        <w:rPr>
          <w:lang w:val="hr-BA"/>
        </w:rPr>
        <w:t>Universal design for learning</w:t>
      </w:r>
      <w:r w:rsidR="00872771" w:rsidRPr="00F6340E">
        <w:t xml:space="preserve"> – </w:t>
      </w:r>
      <w:r>
        <w:t>У</w:t>
      </w:r>
      <w:r w:rsidR="00A56E08">
        <w:t>ДЛ</w:t>
      </w:r>
      <w:r w:rsidR="00872771" w:rsidRPr="00F6340E">
        <w:t xml:space="preserve">) </w:t>
      </w:r>
      <w:r w:rsidR="00A56E08">
        <w:t>ј</w:t>
      </w:r>
      <w:r w:rsidR="00EE6AA2">
        <w:t>е</w:t>
      </w:r>
      <w:r w:rsidR="00872771" w:rsidRPr="00F6340E">
        <w:t xml:space="preserve"> </w:t>
      </w:r>
      <w:r w:rsidR="00A56E08">
        <w:t>конц</w:t>
      </w:r>
      <w:r w:rsidR="00EE6AA2">
        <w:t>е</w:t>
      </w:r>
      <w:r>
        <w:t>пт</w:t>
      </w:r>
      <w:r w:rsidR="00872771" w:rsidRPr="00F6340E">
        <w:t xml:space="preserve"> </w:t>
      </w:r>
      <w:r w:rsidR="00A56E08">
        <w:t>који</w:t>
      </w:r>
      <w:r w:rsidR="00872771" w:rsidRPr="00F6340E">
        <w:t xml:space="preserve"> </w:t>
      </w:r>
      <w:r>
        <w:t>св</w:t>
      </w:r>
      <w:r w:rsidR="00A56E08">
        <w:t>ој</w:t>
      </w:r>
      <w:r w:rsidR="00EE6AA2">
        <w:t>е</w:t>
      </w:r>
      <w:r w:rsidR="00872771" w:rsidRPr="00F6340E">
        <w:t xml:space="preserve"> </w:t>
      </w:r>
      <w:r w:rsidR="00A56E08">
        <w:t>ко</w:t>
      </w:r>
      <w:r>
        <w:t>р</w:t>
      </w:r>
      <w:r w:rsidR="00A56E08">
        <w:t>иј</w:t>
      </w:r>
      <w:r w:rsidR="00EE6AA2">
        <w:t>е</w:t>
      </w:r>
      <w:r w:rsidR="00A56E08">
        <w:t>н</w:t>
      </w:r>
      <w:r w:rsidR="00EE6AA2">
        <w:t>е</w:t>
      </w:r>
      <w:r w:rsidR="00872771" w:rsidRPr="00F6340E">
        <w:t xml:space="preserve"> </w:t>
      </w:r>
      <w:r w:rsidR="00A56E08">
        <w:t>има</w:t>
      </w:r>
      <w:r w:rsidR="00872771" w:rsidRPr="00F6340E">
        <w:t xml:space="preserve"> </w:t>
      </w:r>
      <w:r>
        <w:t>у</w:t>
      </w:r>
      <w:r w:rsidR="00872771" w:rsidRPr="00F6340E">
        <w:t xml:space="preserve"> </w:t>
      </w:r>
      <w:r>
        <w:t>у</w:t>
      </w:r>
      <w:r w:rsidR="00A56E08">
        <w:t>ни</w:t>
      </w:r>
      <w:r>
        <w:t>в</w:t>
      </w:r>
      <w:r w:rsidR="00EE6AA2">
        <w:t>е</w:t>
      </w:r>
      <w:r>
        <w:t>р</w:t>
      </w:r>
      <w:r w:rsidR="00171F00">
        <w:t>з</w:t>
      </w:r>
      <w:r w:rsidR="00A56E08">
        <w:t>алном</w:t>
      </w:r>
      <w:r w:rsidR="00872771" w:rsidRPr="00F6340E">
        <w:t xml:space="preserve"> </w:t>
      </w:r>
      <w:r w:rsidR="00A56E08">
        <w:t>ди</w:t>
      </w:r>
      <w:r w:rsidR="00171F00">
        <w:t>з</w:t>
      </w:r>
      <w:r w:rsidR="00A56E08">
        <w:t>ајн</w:t>
      </w:r>
      <w:r>
        <w:t>у</w:t>
      </w:r>
      <w:r w:rsidR="00872771" w:rsidRPr="00F6340E">
        <w:t xml:space="preserve"> </w:t>
      </w:r>
      <w:r>
        <w:t>прв</w:t>
      </w:r>
      <w:r w:rsidR="00A56E08">
        <w:t>оби</w:t>
      </w:r>
      <w:r>
        <w:t>т</w:t>
      </w:r>
      <w:r w:rsidR="00A56E08">
        <w:t>но</w:t>
      </w:r>
      <w:r w:rsidR="00872771" w:rsidRPr="00F6340E">
        <w:t xml:space="preserve"> </w:t>
      </w:r>
      <w:r w:rsidR="00A56E08">
        <w:t>на</w:t>
      </w:r>
      <w:r>
        <w:t>ст</w:t>
      </w:r>
      <w:r w:rsidR="00A56E08">
        <w:t>алом</w:t>
      </w:r>
      <w:r w:rsidR="00872771" w:rsidRPr="00F6340E">
        <w:t xml:space="preserve"> </w:t>
      </w:r>
      <w:r>
        <w:t>у</w:t>
      </w:r>
      <w:r w:rsidR="00872771" w:rsidRPr="00F6340E">
        <w:t xml:space="preserve"> </w:t>
      </w:r>
      <w:r w:rsidR="00A56E08">
        <w:t>Ам</w:t>
      </w:r>
      <w:r w:rsidR="00EE6AA2">
        <w:t>е</w:t>
      </w:r>
      <w:r>
        <w:t>р</w:t>
      </w:r>
      <w:r w:rsidR="00A56E08">
        <w:t>ици</w:t>
      </w:r>
      <w:r w:rsidR="00872771" w:rsidRPr="00F6340E">
        <w:t xml:space="preserve"> 1970-</w:t>
      </w:r>
      <w:r>
        <w:t>т</w:t>
      </w:r>
      <w:r w:rsidR="00A56E08">
        <w:t>их</w:t>
      </w:r>
      <w:r w:rsidR="00872771" w:rsidRPr="00F6340E">
        <w:t xml:space="preserve"> </w:t>
      </w:r>
      <w:r w:rsidR="00A56E08">
        <w:t>година</w:t>
      </w:r>
      <w:r w:rsidR="00872771" w:rsidRPr="00F6340E">
        <w:t xml:space="preserve"> </w:t>
      </w:r>
      <w:r>
        <w:t>с</w:t>
      </w:r>
      <w:r w:rsidR="00A56E08">
        <w:t>а</w:t>
      </w:r>
      <w:r w:rsidR="00872771" w:rsidRPr="00F6340E">
        <w:t xml:space="preserve"> </w:t>
      </w:r>
      <w:r w:rsidR="00A56E08">
        <w:t>циљ</w:t>
      </w:r>
      <w:r w:rsidR="00EE6AA2">
        <w:t>е</w:t>
      </w:r>
      <w:r w:rsidR="00A56E08">
        <w:t>м</w:t>
      </w:r>
      <w:r w:rsidR="00872771" w:rsidRPr="00F6340E">
        <w:t xml:space="preserve"> </w:t>
      </w:r>
      <w:r>
        <w:t>у</w:t>
      </w:r>
      <w:r w:rsidR="00A56E08">
        <w:t>клањања</w:t>
      </w:r>
      <w:r w:rsidR="00872771" w:rsidRPr="00F6340E">
        <w:t xml:space="preserve"> </w:t>
      </w:r>
      <w:r w:rsidR="000010C5">
        <w:t>архитектурних</w:t>
      </w:r>
      <w:r w:rsidR="00D02159" w:rsidRPr="00F6340E">
        <w:t xml:space="preserve"> </w:t>
      </w:r>
      <w:r>
        <w:t>пр</w:t>
      </w:r>
      <w:r w:rsidR="00EE6AA2">
        <w:t>е</w:t>
      </w:r>
      <w:r>
        <w:t>пр</w:t>
      </w:r>
      <w:r w:rsidR="00EE6AA2">
        <w:t>е</w:t>
      </w:r>
      <w:r w:rsidR="00A56E08">
        <w:t>ка</w:t>
      </w:r>
      <w:r w:rsidR="00872771" w:rsidRPr="00F6340E">
        <w:t xml:space="preserve"> </w:t>
      </w:r>
      <w:r w:rsidR="00A56E08">
        <w:t>и</w:t>
      </w:r>
      <w:r w:rsidR="00872771" w:rsidRPr="00F6340E">
        <w:t xml:space="preserve"> </w:t>
      </w:r>
      <w:r>
        <w:t>пр</w:t>
      </w:r>
      <w:r w:rsidR="00A56E08">
        <w:t>илагођа</w:t>
      </w:r>
      <w:r>
        <w:t>в</w:t>
      </w:r>
      <w:r w:rsidR="00A56E08">
        <w:t>ања</w:t>
      </w:r>
      <w:r w:rsidR="00872771" w:rsidRPr="00F6340E">
        <w:t xml:space="preserve"> </w:t>
      </w:r>
      <w:r w:rsidR="00A56E08">
        <w:t>фи</w:t>
      </w:r>
      <w:r w:rsidR="00171F00">
        <w:t>з</w:t>
      </w:r>
      <w:r w:rsidR="00A56E08">
        <w:t>ичког</w:t>
      </w:r>
      <w:r w:rsidR="00872771" w:rsidRPr="00F6340E">
        <w:t xml:space="preserve"> </w:t>
      </w:r>
      <w:r w:rsidR="00A56E08">
        <w:t>ок</w:t>
      </w:r>
      <w:r>
        <w:t>ру</w:t>
      </w:r>
      <w:r w:rsidR="00171F00">
        <w:t>ж</w:t>
      </w:r>
      <w:r w:rsidR="00EE6AA2">
        <w:t>е</w:t>
      </w:r>
      <w:r w:rsidR="00A56E08">
        <w:t>ња</w:t>
      </w:r>
      <w:r w:rsidR="00872771" w:rsidRPr="00F6340E">
        <w:t xml:space="preserve"> </w:t>
      </w:r>
      <w:r>
        <w:t>св</w:t>
      </w:r>
      <w:r w:rsidR="00A56E08">
        <w:t>им</w:t>
      </w:r>
      <w:r w:rsidR="00872771" w:rsidRPr="00F6340E">
        <w:t xml:space="preserve"> </w:t>
      </w:r>
      <w:r w:rsidR="00A56E08">
        <w:t>љ</w:t>
      </w:r>
      <w:r>
        <w:t>у</w:t>
      </w:r>
      <w:r w:rsidR="00A56E08">
        <w:t>дима</w:t>
      </w:r>
      <w:r w:rsidR="00872771" w:rsidRPr="00F6340E">
        <w:t xml:space="preserve"> </w:t>
      </w:r>
      <w:r>
        <w:t>у</w:t>
      </w:r>
      <w:r w:rsidR="00E864CA" w:rsidRPr="00F6340E">
        <w:t xml:space="preserve"> </w:t>
      </w:r>
      <w:r>
        <w:t>с</w:t>
      </w:r>
      <w:r w:rsidR="00A56E08">
        <w:t>клад</w:t>
      </w:r>
      <w:r>
        <w:t>у</w:t>
      </w:r>
      <w:r w:rsidR="00872771" w:rsidRPr="00F6340E">
        <w:t xml:space="preserve"> </w:t>
      </w:r>
      <w:r>
        <w:t>с</w:t>
      </w:r>
      <w:r w:rsidR="00A56E08">
        <w:t>а</w:t>
      </w:r>
      <w:r w:rsidR="00872771" w:rsidRPr="00F6340E">
        <w:t xml:space="preserve"> </w:t>
      </w:r>
      <w:r w:rsidR="00A56E08">
        <w:t>њихо</w:t>
      </w:r>
      <w:r>
        <w:t>в</w:t>
      </w:r>
      <w:r w:rsidR="00A56E08">
        <w:t>им</w:t>
      </w:r>
      <w:r w:rsidR="00872771" w:rsidRPr="00F6340E">
        <w:t xml:space="preserve"> </w:t>
      </w:r>
      <w:r>
        <w:t>сп</w:t>
      </w:r>
      <w:r w:rsidR="00EE6AA2">
        <w:t>е</w:t>
      </w:r>
      <w:r w:rsidR="00A56E08">
        <w:t>цифичним</w:t>
      </w:r>
      <w:r w:rsidR="00872771" w:rsidRPr="00F6340E">
        <w:t xml:space="preserve"> </w:t>
      </w:r>
      <w:r>
        <w:t>п</w:t>
      </w:r>
      <w:r w:rsidR="00A56E08">
        <w:t>о</w:t>
      </w:r>
      <w:r>
        <w:t>тр</w:t>
      </w:r>
      <w:r w:rsidR="00EE6AA2">
        <w:t>е</w:t>
      </w:r>
      <w:r w:rsidR="00A56E08">
        <w:t>бама</w:t>
      </w:r>
      <w:r w:rsidR="00872771" w:rsidRPr="00F6340E">
        <w:t xml:space="preserve">. </w:t>
      </w:r>
      <w:r>
        <w:t>Т</w:t>
      </w:r>
      <w:r w:rsidR="00A56E08">
        <w:t>ако</w:t>
      </w:r>
      <w:r w:rsidR="00D02159" w:rsidRPr="00F6340E">
        <w:t xml:space="preserve"> </w:t>
      </w:r>
      <w:r>
        <w:t>с</w:t>
      </w:r>
      <w:r w:rsidR="00EE6AA2">
        <w:t>е</w:t>
      </w:r>
      <w:r w:rsidR="00872771" w:rsidRPr="00F6340E">
        <w:t xml:space="preserve"> </w:t>
      </w:r>
      <w:r>
        <w:t>р</w:t>
      </w:r>
      <w:r w:rsidR="00A56E08">
        <w:t>ади</w:t>
      </w:r>
      <w:r w:rsidR="00872771" w:rsidRPr="00F6340E">
        <w:t xml:space="preserve"> </w:t>
      </w:r>
      <w:r w:rsidR="00A56E08">
        <w:t>о</w:t>
      </w:r>
      <w:r w:rsidR="00197620" w:rsidRPr="00F6340E">
        <w:t xml:space="preserve"> </w:t>
      </w:r>
      <w:r>
        <w:t>у</w:t>
      </w:r>
      <w:r w:rsidR="00A56E08">
        <w:t>клањањ</w:t>
      </w:r>
      <w:r>
        <w:t>у</w:t>
      </w:r>
      <w:r w:rsidR="00872771" w:rsidRPr="00F6340E">
        <w:t xml:space="preserve"> </w:t>
      </w:r>
      <w:r>
        <w:t>пр</w:t>
      </w:r>
      <w:r w:rsidR="00EE6AA2">
        <w:t>е</w:t>
      </w:r>
      <w:r>
        <w:t>пр</w:t>
      </w:r>
      <w:r w:rsidR="00EE6AA2">
        <w:t>е</w:t>
      </w:r>
      <w:r w:rsidR="00A56E08">
        <w:t>ка</w:t>
      </w:r>
      <w:r w:rsidR="00872771" w:rsidRPr="00F6340E">
        <w:t xml:space="preserve">, </w:t>
      </w:r>
      <w:r>
        <w:t>пр</w:t>
      </w:r>
      <w:r w:rsidR="00A56E08">
        <w:t>илагођа</w:t>
      </w:r>
      <w:r>
        <w:t>в</w:t>
      </w:r>
      <w:r w:rsidR="00A56E08">
        <w:t>ањ</w:t>
      </w:r>
      <w:r>
        <w:t>у</w:t>
      </w:r>
      <w:r w:rsidR="00872771" w:rsidRPr="00F6340E">
        <w:t xml:space="preserve"> </w:t>
      </w:r>
      <w:r w:rsidR="00A56E08">
        <w:t>и</w:t>
      </w:r>
      <w:r w:rsidR="00872771" w:rsidRPr="00F6340E">
        <w:t xml:space="preserve"> </w:t>
      </w:r>
      <w:r w:rsidR="00A56E08">
        <w:t>омог</w:t>
      </w:r>
      <w:r>
        <w:t>у</w:t>
      </w:r>
      <w:r w:rsidR="00A56E08">
        <w:t>ћа</w:t>
      </w:r>
      <w:r>
        <w:t>в</w:t>
      </w:r>
      <w:r w:rsidR="00A56E08">
        <w:t>ањ</w:t>
      </w:r>
      <w:r>
        <w:t>у</w:t>
      </w:r>
      <w:r w:rsidR="00872771" w:rsidRPr="00F6340E">
        <w:t xml:space="preserve"> </w:t>
      </w:r>
      <w:r>
        <w:t>пр</w:t>
      </w:r>
      <w:r w:rsidR="00A56E08">
        <w:t>и</w:t>
      </w:r>
      <w:r>
        <w:t>ступ</w:t>
      </w:r>
      <w:r w:rsidR="00A56E08">
        <w:t>а</w:t>
      </w:r>
      <w:r w:rsidR="00872771" w:rsidRPr="00F6340E">
        <w:t xml:space="preserve"> </w:t>
      </w:r>
      <w:r>
        <w:t>св</w:t>
      </w:r>
      <w:r w:rsidR="00A56E08">
        <w:t>има</w:t>
      </w:r>
      <w:r w:rsidR="00872771" w:rsidRPr="00F6340E">
        <w:t xml:space="preserve"> </w:t>
      </w:r>
      <w:r>
        <w:t>шт</w:t>
      </w:r>
      <w:r w:rsidR="00A56E08">
        <w:t>о</w:t>
      </w:r>
      <w:r w:rsidR="00872771" w:rsidRPr="00F6340E">
        <w:t xml:space="preserve"> </w:t>
      </w:r>
      <w:r w:rsidR="00A56E08">
        <w:t>ј</w:t>
      </w:r>
      <w:r w:rsidR="00EE6AA2">
        <w:t>е</w:t>
      </w:r>
      <w:r w:rsidR="00872771" w:rsidRPr="00F6340E">
        <w:t xml:space="preserve"> </w:t>
      </w:r>
      <w:r>
        <w:t>пр</w:t>
      </w:r>
      <w:r w:rsidR="00EE6AA2">
        <w:t>е</w:t>
      </w:r>
      <w:r>
        <w:t>п</w:t>
      </w:r>
      <w:r w:rsidR="00A56E08">
        <w:t>о</w:t>
      </w:r>
      <w:r w:rsidR="00171F00">
        <w:t>з</w:t>
      </w:r>
      <w:r w:rsidR="00A56E08">
        <w:t>на</w:t>
      </w:r>
      <w:r>
        <w:t>т</w:t>
      </w:r>
      <w:r w:rsidR="00A56E08">
        <w:t>о</w:t>
      </w:r>
      <w:r w:rsidR="00872771" w:rsidRPr="00F6340E">
        <w:t xml:space="preserve"> </w:t>
      </w:r>
      <w:r w:rsidR="00A56E08">
        <w:t>као</w:t>
      </w:r>
      <w:r w:rsidR="00872771" w:rsidRPr="00F6340E">
        <w:t xml:space="preserve"> </w:t>
      </w:r>
      <w:r w:rsidR="00A56E08">
        <w:t>конц</w:t>
      </w:r>
      <w:r w:rsidR="00EE6AA2">
        <w:t>е</w:t>
      </w:r>
      <w:r>
        <w:t>пт</w:t>
      </w:r>
      <w:r w:rsidR="00872771" w:rsidRPr="00F6340E">
        <w:t xml:space="preserve"> </w:t>
      </w:r>
      <w:r w:rsidR="00A56E08">
        <w:t>који</w:t>
      </w:r>
      <w:r w:rsidR="00872771" w:rsidRPr="00F6340E">
        <w:t xml:space="preserve"> </w:t>
      </w:r>
      <w:r>
        <w:t>с</w:t>
      </w:r>
      <w:r w:rsidR="00EE6AA2">
        <w:t>е</w:t>
      </w:r>
      <w:r w:rsidR="00872771" w:rsidRPr="00F6340E">
        <w:t xml:space="preserve"> </w:t>
      </w:r>
      <w:r>
        <w:t>св</w:t>
      </w:r>
      <w:r w:rsidR="00A56E08">
        <w:t>ојим</w:t>
      </w:r>
      <w:r w:rsidR="00872771" w:rsidRPr="00F6340E">
        <w:t xml:space="preserve"> </w:t>
      </w:r>
      <w:r w:rsidR="00A56E08">
        <w:lastRenderedPageBreak/>
        <w:t>О</w:t>
      </w:r>
      <w:r>
        <w:t>с</w:t>
      </w:r>
      <w:r w:rsidR="00A56E08">
        <w:t>но</w:t>
      </w:r>
      <w:r>
        <w:t>в</w:t>
      </w:r>
      <w:r w:rsidR="00A56E08">
        <w:t>ним</w:t>
      </w:r>
      <w:r w:rsidR="00872771" w:rsidRPr="00F6340E">
        <w:t xml:space="preserve"> </w:t>
      </w:r>
      <w:r>
        <w:t>пр</w:t>
      </w:r>
      <w:r w:rsidR="00A56E08">
        <w:t>инци</w:t>
      </w:r>
      <w:r>
        <w:t>п</w:t>
      </w:r>
      <w:r w:rsidR="00A56E08">
        <w:t>има</w:t>
      </w:r>
      <w:r w:rsidR="00872771" w:rsidRPr="00F6340E">
        <w:t xml:space="preserve"> </w:t>
      </w:r>
      <w:r w:rsidR="00A56E08">
        <w:t>мо</w:t>
      </w:r>
      <w:r w:rsidR="00171F00">
        <w:t>ж</w:t>
      </w:r>
      <w:r w:rsidR="00EE6AA2">
        <w:t>е</w:t>
      </w:r>
      <w:r w:rsidR="00872771" w:rsidRPr="00F6340E">
        <w:t xml:space="preserve"> </w:t>
      </w:r>
      <w:r w:rsidR="00A56E08">
        <w:t>ин</w:t>
      </w:r>
      <w:r>
        <w:t>т</w:t>
      </w:r>
      <w:r w:rsidR="00EE6AA2">
        <w:t>е</w:t>
      </w:r>
      <w:r w:rsidR="00A56E08">
        <w:t>г</w:t>
      </w:r>
      <w:r>
        <w:t>р</w:t>
      </w:r>
      <w:r w:rsidR="00A56E08">
        <w:t>и</w:t>
      </w:r>
      <w:r>
        <w:t>с</w:t>
      </w:r>
      <w:r w:rsidR="00A56E08">
        <w:t>а</w:t>
      </w:r>
      <w:r>
        <w:t>т</w:t>
      </w:r>
      <w:r w:rsidR="00A56E08">
        <w:t>и</w:t>
      </w:r>
      <w:r w:rsidR="00872771" w:rsidRPr="00F6340E">
        <w:t xml:space="preserve"> </w:t>
      </w:r>
      <w:r>
        <w:t>у</w:t>
      </w:r>
      <w:r w:rsidR="00872771" w:rsidRPr="00F6340E">
        <w:t xml:space="preserve"> </w:t>
      </w:r>
      <w:r w:rsidR="00A56E08">
        <w:t>об</w:t>
      </w:r>
      <w:r>
        <w:t>р</w:t>
      </w:r>
      <w:r w:rsidR="00A56E08">
        <w:t>а</w:t>
      </w:r>
      <w:r w:rsidR="00171F00">
        <w:t>з</w:t>
      </w:r>
      <w:r w:rsidR="00A56E08">
        <w:t>о</w:t>
      </w:r>
      <w:r>
        <w:t>в</w:t>
      </w:r>
      <w:r w:rsidR="00A56E08">
        <w:t>ањ</w:t>
      </w:r>
      <w:r w:rsidR="00EE6AA2">
        <w:t>е</w:t>
      </w:r>
      <w:r w:rsidR="00872771" w:rsidRPr="00F6340E">
        <w:t xml:space="preserve"> </w:t>
      </w:r>
      <w:r w:rsidR="00A56E08">
        <w:t>одно</w:t>
      </w:r>
      <w:r>
        <w:t>с</w:t>
      </w:r>
      <w:r w:rsidR="00A56E08">
        <w:t>но</w:t>
      </w:r>
      <w:r w:rsidR="00872771" w:rsidRPr="00F6340E">
        <w:t xml:space="preserve"> </w:t>
      </w:r>
      <w:r>
        <w:t>пр</w:t>
      </w:r>
      <w:r w:rsidR="00A56E08">
        <w:t>оц</w:t>
      </w:r>
      <w:r w:rsidR="00EE6AA2">
        <w:t>е</w:t>
      </w:r>
      <w:r>
        <w:t>с</w:t>
      </w:r>
      <w:r w:rsidR="00872771" w:rsidRPr="00F6340E">
        <w:t xml:space="preserve"> </w:t>
      </w:r>
      <w:r>
        <w:t>у</w:t>
      </w:r>
      <w:r w:rsidR="00A56E08">
        <w:t>ч</w:t>
      </w:r>
      <w:r w:rsidR="00EE6AA2">
        <w:t>е</w:t>
      </w:r>
      <w:r w:rsidR="00A56E08">
        <w:t>ња</w:t>
      </w:r>
      <w:r w:rsidR="00872771" w:rsidRPr="00F6340E">
        <w:t xml:space="preserve"> </w:t>
      </w:r>
      <w:r w:rsidR="00A56E08">
        <w:t>и</w:t>
      </w:r>
      <w:r w:rsidR="00872771" w:rsidRPr="00F6340E">
        <w:t xml:space="preserve"> </w:t>
      </w:r>
      <w:r>
        <w:t>п</w:t>
      </w:r>
      <w:r w:rsidR="00A56E08">
        <w:t>од</w:t>
      </w:r>
      <w:r>
        <w:t>у</w:t>
      </w:r>
      <w:r w:rsidR="00A56E08">
        <w:t>ча</w:t>
      </w:r>
      <w:r>
        <w:t>в</w:t>
      </w:r>
      <w:r w:rsidR="00A56E08">
        <w:t>ања</w:t>
      </w:r>
      <w:r w:rsidR="00872771" w:rsidRPr="00F6340E">
        <w:t xml:space="preserve">. </w:t>
      </w:r>
      <w:r>
        <w:t>Пр</w:t>
      </w:r>
      <w:r w:rsidR="00EE6AA2">
        <w:t>е</w:t>
      </w:r>
      <w:r w:rsidR="00A56E08">
        <w:t>ма</w:t>
      </w:r>
      <w:r w:rsidR="00872771" w:rsidRPr="00F6340E">
        <w:t xml:space="preserve"> </w:t>
      </w:r>
      <w:r w:rsidR="00A56E08">
        <w:t>д</w:t>
      </w:r>
      <w:r w:rsidR="00EE6AA2">
        <w:t>е</w:t>
      </w:r>
      <w:r w:rsidR="00A56E08">
        <w:t>финицији</w:t>
      </w:r>
      <w:r w:rsidR="00872771" w:rsidRPr="00F6340E">
        <w:t xml:space="preserve"> </w:t>
      </w:r>
      <w:r w:rsidR="00A56E08">
        <w:t>Ц</w:t>
      </w:r>
      <w:r w:rsidR="00EE6AA2">
        <w:t>е</w:t>
      </w:r>
      <w:r w:rsidR="00A56E08">
        <w:t>н</w:t>
      </w:r>
      <w:r>
        <w:t>тр</w:t>
      </w:r>
      <w:r w:rsidR="00A56E08">
        <w:t>а</w:t>
      </w:r>
      <w:r w:rsidR="00872771" w:rsidRPr="00F6340E">
        <w:t xml:space="preserve"> </w:t>
      </w:r>
      <w:r w:rsidR="00171F00">
        <w:t>з</w:t>
      </w:r>
      <w:r w:rsidR="00A56E08">
        <w:t>а</w:t>
      </w:r>
      <w:r w:rsidR="00872771" w:rsidRPr="00F6340E">
        <w:t xml:space="preserve"> </w:t>
      </w:r>
      <w:r>
        <w:t>пр</w:t>
      </w:r>
      <w:r w:rsidR="00A56E08">
        <w:t>имиј</w:t>
      </w:r>
      <w:r w:rsidR="00EE6AA2">
        <w:t>е</w:t>
      </w:r>
      <w:r w:rsidR="00A56E08">
        <w:t>њ</w:t>
      </w:r>
      <w:r w:rsidR="00EE6AA2">
        <w:t>е</w:t>
      </w:r>
      <w:r w:rsidR="00A56E08">
        <w:t>н</w:t>
      </w:r>
      <w:r w:rsidR="00EE6AA2">
        <w:t>е</w:t>
      </w:r>
      <w:r w:rsidR="00872771" w:rsidRPr="00F6340E">
        <w:t xml:space="preserve"> </w:t>
      </w:r>
      <w:r>
        <w:t>сп</w:t>
      </w:r>
      <w:r w:rsidR="00EE6AA2">
        <w:t>е</w:t>
      </w:r>
      <w:r w:rsidR="00A56E08">
        <w:t>цијалн</w:t>
      </w:r>
      <w:r w:rsidR="00EE6AA2">
        <w:t>е</w:t>
      </w:r>
      <w:r w:rsidR="00872771" w:rsidRPr="00F6340E">
        <w:t xml:space="preserve"> </w:t>
      </w:r>
      <w:r>
        <w:t>т</w:t>
      </w:r>
      <w:r w:rsidR="00EE6AA2">
        <w:t>е</w:t>
      </w:r>
      <w:r w:rsidR="00A56E08">
        <w:t>хнологиј</w:t>
      </w:r>
      <w:r w:rsidR="00EE6AA2">
        <w:t>е</w:t>
      </w:r>
      <w:r w:rsidR="00872771" w:rsidRPr="00F6340E">
        <w:t xml:space="preserve"> (</w:t>
      </w:r>
      <w:r w:rsidR="000010C5">
        <w:rPr>
          <w:bCs/>
          <w:lang w:val="hr-BA"/>
        </w:rPr>
        <w:t>Center for applied special technologies</w:t>
      </w:r>
      <w:r w:rsidR="00872771" w:rsidRPr="00F6340E">
        <w:rPr>
          <w:bCs/>
        </w:rPr>
        <w:t xml:space="preserve"> - </w:t>
      </w:r>
      <w:r w:rsidR="00A56E08">
        <w:t>ЦА</w:t>
      </w:r>
      <w:r>
        <w:t>СТ</w:t>
      </w:r>
      <w:r w:rsidR="00872771" w:rsidRPr="00F6340E">
        <w:t xml:space="preserve">), </w:t>
      </w:r>
      <w:r>
        <w:t>у</w:t>
      </w:r>
      <w:r w:rsidR="00A56E08">
        <w:t>ни</w:t>
      </w:r>
      <w:r>
        <w:t>в</w:t>
      </w:r>
      <w:r w:rsidR="00EE6AA2">
        <w:t>е</w:t>
      </w:r>
      <w:r>
        <w:t>р</w:t>
      </w:r>
      <w:r w:rsidR="00171F00">
        <w:t>з</w:t>
      </w:r>
      <w:r w:rsidR="00A56E08">
        <w:t>ални</w:t>
      </w:r>
      <w:r w:rsidR="00872771" w:rsidRPr="00F6340E">
        <w:t xml:space="preserve"> </w:t>
      </w:r>
      <w:r w:rsidR="00A56E08">
        <w:t>ди</w:t>
      </w:r>
      <w:r w:rsidR="00171F00">
        <w:t>з</w:t>
      </w:r>
      <w:r w:rsidR="00A56E08">
        <w:t>ајн</w:t>
      </w:r>
      <w:r w:rsidR="00872771" w:rsidRPr="00F6340E">
        <w:t xml:space="preserve"> </w:t>
      </w:r>
      <w:r w:rsidR="00171F00">
        <w:t>з</w:t>
      </w:r>
      <w:r w:rsidR="00A56E08">
        <w:t>а</w:t>
      </w:r>
      <w:r w:rsidR="00872771" w:rsidRPr="00F6340E">
        <w:t xml:space="preserve"> </w:t>
      </w:r>
      <w:r>
        <w:t>у</w:t>
      </w:r>
      <w:r w:rsidR="00A56E08">
        <w:t>ч</w:t>
      </w:r>
      <w:r w:rsidR="00EE6AA2">
        <w:t>е</w:t>
      </w:r>
      <w:r w:rsidR="00A56E08">
        <w:t>њ</w:t>
      </w:r>
      <w:r w:rsidR="00EE6AA2">
        <w:t>е</w:t>
      </w:r>
      <w:r w:rsidR="00872771" w:rsidRPr="00F6340E">
        <w:t xml:space="preserve"> </w:t>
      </w:r>
      <w:r w:rsidR="00A56E08">
        <w:t>ј</w:t>
      </w:r>
      <w:r w:rsidR="00EE6AA2">
        <w:t>е</w:t>
      </w:r>
      <w:r w:rsidR="00872771" w:rsidRPr="00F6340E">
        <w:t xml:space="preserve"> „</w:t>
      </w:r>
      <w:r>
        <w:t>с</w:t>
      </w:r>
      <w:r w:rsidR="00A56E08">
        <w:t>к</w:t>
      </w:r>
      <w:r>
        <w:t>уп</w:t>
      </w:r>
      <w:r w:rsidR="00872771" w:rsidRPr="00F6340E">
        <w:t xml:space="preserve"> </w:t>
      </w:r>
      <w:r>
        <w:t>пр</w:t>
      </w:r>
      <w:r w:rsidR="00A56E08">
        <w:t>инци</w:t>
      </w:r>
      <w:r>
        <w:t>п</w:t>
      </w:r>
      <w:r w:rsidR="00A56E08">
        <w:t>а</w:t>
      </w:r>
      <w:r w:rsidR="00872771" w:rsidRPr="00F6340E">
        <w:t xml:space="preserve"> </w:t>
      </w:r>
      <w:r w:rsidR="00171F00">
        <w:t>з</w:t>
      </w:r>
      <w:r w:rsidR="00A56E08">
        <w:t>а</w:t>
      </w:r>
      <w:r w:rsidR="00872771" w:rsidRPr="00F6340E">
        <w:t xml:space="preserve"> </w:t>
      </w:r>
      <w:r w:rsidR="00A56E08">
        <w:t>и</w:t>
      </w:r>
      <w:r w:rsidR="00171F00">
        <w:t>з</w:t>
      </w:r>
      <w:r>
        <w:t>р</w:t>
      </w:r>
      <w:r w:rsidR="00A56E08">
        <w:t>ад</w:t>
      </w:r>
      <w:r>
        <w:t>у</w:t>
      </w:r>
      <w:r w:rsidR="00872771" w:rsidRPr="00F6340E">
        <w:t xml:space="preserve"> </w:t>
      </w:r>
      <w:r w:rsidR="00A56E08">
        <w:t>на</w:t>
      </w:r>
      <w:r>
        <w:t>ст</w:t>
      </w:r>
      <w:r w:rsidR="00A56E08">
        <w:t>а</w:t>
      </w:r>
      <w:r>
        <w:t>в</w:t>
      </w:r>
      <w:r w:rsidR="00A56E08">
        <w:t>ног</w:t>
      </w:r>
      <w:r w:rsidR="00872771" w:rsidRPr="00F6340E">
        <w:t xml:space="preserve"> </w:t>
      </w:r>
      <w:r>
        <w:t>п</w:t>
      </w:r>
      <w:r w:rsidR="00A56E08">
        <w:t>лана</w:t>
      </w:r>
      <w:r w:rsidR="00872771" w:rsidRPr="00F6340E">
        <w:t xml:space="preserve"> </w:t>
      </w:r>
      <w:r w:rsidR="00A56E08">
        <w:t>и</w:t>
      </w:r>
      <w:r w:rsidR="00872771" w:rsidRPr="00F6340E">
        <w:t xml:space="preserve"> </w:t>
      </w:r>
      <w:r>
        <w:t>пр</w:t>
      </w:r>
      <w:r w:rsidR="00A56E08">
        <w:t>ог</w:t>
      </w:r>
      <w:r>
        <w:t>р</w:t>
      </w:r>
      <w:r w:rsidR="00A56E08">
        <w:t>ама</w:t>
      </w:r>
      <w:r w:rsidR="00872771" w:rsidRPr="00F6340E">
        <w:t xml:space="preserve"> </w:t>
      </w:r>
      <w:r w:rsidR="00A56E08">
        <w:t>који</w:t>
      </w:r>
      <w:r w:rsidR="00872771" w:rsidRPr="00F6340E">
        <w:t xml:space="preserve"> </w:t>
      </w:r>
      <w:r>
        <w:t>св</w:t>
      </w:r>
      <w:r w:rsidR="00A56E08">
        <w:t>им</w:t>
      </w:r>
      <w:r w:rsidR="00872771" w:rsidRPr="00F6340E">
        <w:t xml:space="preserve"> </w:t>
      </w:r>
      <w:r>
        <w:t>п</w:t>
      </w:r>
      <w:r w:rsidR="00A56E08">
        <w:t>ој</w:t>
      </w:r>
      <w:r w:rsidR="00EE6AA2">
        <w:t>е</w:t>
      </w:r>
      <w:r w:rsidR="00A56E08">
        <w:t>динцима</w:t>
      </w:r>
      <w:r w:rsidR="00872771" w:rsidRPr="00F6340E">
        <w:t xml:space="preserve"> </w:t>
      </w:r>
      <w:r>
        <w:t>пру</w:t>
      </w:r>
      <w:r w:rsidR="00CB5414">
        <w:t>ж</w:t>
      </w:r>
      <w:r w:rsidR="00A56E08">
        <w:t>а</w:t>
      </w:r>
      <w:r w:rsidR="00872771" w:rsidRPr="00F6340E">
        <w:t xml:space="preserve"> </w:t>
      </w:r>
      <w:r w:rsidR="00A56E08">
        <w:t>ј</w:t>
      </w:r>
      <w:r w:rsidR="00EE6AA2">
        <w:t>е</w:t>
      </w:r>
      <w:r w:rsidR="00A56E08">
        <w:t>днак</w:t>
      </w:r>
      <w:r w:rsidR="00EE6AA2">
        <w:t>е</w:t>
      </w:r>
      <w:r w:rsidR="00872771" w:rsidRPr="00F6340E">
        <w:t xml:space="preserve"> </w:t>
      </w:r>
      <w:r w:rsidR="00A56E08">
        <w:t>мог</w:t>
      </w:r>
      <w:r>
        <w:t>у</w:t>
      </w:r>
      <w:r w:rsidR="000010C5">
        <w:t>ћ</w:t>
      </w:r>
      <w:r w:rsidR="00A56E08">
        <w:t>но</w:t>
      </w:r>
      <w:r>
        <w:t>ст</w:t>
      </w:r>
      <w:r w:rsidR="00A56E08">
        <w:t>и</w:t>
      </w:r>
      <w:r w:rsidR="00872771" w:rsidRPr="00F6340E">
        <w:t xml:space="preserve"> </w:t>
      </w:r>
      <w:r w:rsidR="00A56E08">
        <w:t>да</w:t>
      </w:r>
      <w:r w:rsidR="00872771" w:rsidRPr="00F6340E">
        <w:t xml:space="preserve"> </w:t>
      </w:r>
      <w:r>
        <w:t>у</w:t>
      </w:r>
      <w:r w:rsidR="00CB5414">
        <w:t>ч</w:t>
      </w:r>
      <w:r w:rsidR="00EE6AA2">
        <w:t>е</w:t>
      </w:r>
      <w:r w:rsidR="00872771" w:rsidRPr="00F6340E">
        <w:t>“.</w:t>
      </w:r>
      <w:r w:rsidR="00872771" w:rsidRPr="00F6340E">
        <w:rPr>
          <w:rStyle w:val="FootnoteReference"/>
          <w:rFonts w:cs="Arial"/>
          <w:color w:val="000000" w:themeColor="text1"/>
        </w:rPr>
        <w:footnoteReference w:id="7"/>
      </w:r>
      <w:r w:rsidR="00872771" w:rsidRPr="00F6340E">
        <w:t xml:space="preserve"> </w:t>
      </w:r>
      <w:r>
        <w:t>Пр</w:t>
      </w:r>
      <w:r w:rsidR="00EE6AA2">
        <w:t>е</w:t>
      </w:r>
      <w:r w:rsidR="00A56E08">
        <w:t>ма</w:t>
      </w:r>
      <w:r w:rsidR="00872771" w:rsidRPr="00F6340E">
        <w:t xml:space="preserve"> </w:t>
      </w:r>
      <w:hyperlink r:id="rId13" w:history="1">
        <w:r w:rsidR="00A56E08">
          <w:rPr>
            <w:rStyle w:val="Hyperlink"/>
            <w:rFonts w:cs="Arial"/>
            <w:iCs/>
          </w:rPr>
          <w:t>Кон</w:t>
        </w:r>
        <w:r>
          <w:rPr>
            <w:rStyle w:val="Hyperlink"/>
            <w:rFonts w:cs="Arial"/>
            <w:iCs/>
          </w:rPr>
          <w:t>в</w:t>
        </w:r>
        <w:r w:rsidR="00EE6AA2">
          <w:rPr>
            <w:rStyle w:val="Hyperlink"/>
            <w:rFonts w:cs="Arial"/>
            <w:iCs/>
          </w:rPr>
          <w:t>е</w:t>
        </w:r>
        <w:r w:rsidR="00A56E08">
          <w:rPr>
            <w:rStyle w:val="Hyperlink"/>
            <w:rFonts w:cs="Arial"/>
            <w:iCs/>
          </w:rPr>
          <w:t>нцији</w:t>
        </w:r>
        <w:r w:rsidR="00872771" w:rsidRPr="00F6340E">
          <w:rPr>
            <w:rStyle w:val="Hyperlink"/>
            <w:rFonts w:cs="Arial"/>
            <w:iCs/>
          </w:rPr>
          <w:t xml:space="preserve"> </w:t>
        </w:r>
        <w:r w:rsidR="00A56E08">
          <w:rPr>
            <w:rStyle w:val="Hyperlink"/>
            <w:rFonts w:cs="Arial"/>
            <w:iCs/>
          </w:rPr>
          <w:t>о</w:t>
        </w:r>
        <w:r w:rsidR="00872771" w:rsidRPr="00F6340E">
          <w:rPr>
            <w:rStyle w:val="Hyperlink"/>
            <w:rFonts w:cs="Arial"/>
            <w:iCs/>
          </w:rPr>
          <w:t xml:space="preserve"> </w:t>
        </w:r>
        <w:r>
          <w:rPr>
            <w:rStyle w:val="Hyperlink"/>
            <w:rFonts w:cs="Arial"/>
            <w:iCs/>
          </w:rPr>
          <w:t>пр</w:t>
        </w:r>
        <w:r w:rsidR="00A56E08">
          <w:rPr>
            <w:rStyle w:val="Hyperlink"/>
            <w:rFonts w:cs="Arial"/>
            <w:iCs/>
          </w:rPr>
          <w:t>а</w:t>
        </w:r>
        <w:r>
          <w:rPr>
            <w:rStyle w:val="Hyperlink"/>
            <w:rFonts w:cs="Arial"/>
            <w:iCs/>
          </w:rPr>
          <w:t>в</w:t>
        </w:r>
        <w:r w:rsidR="00A56E08">
          <w:rPr>
            <w:rStyle w:val="Hyperlink"/>
            <w:rFonts w:cs="Arial"/>
            <w:iCs/>
          </w:rPr>
          <w:t>има</w:t>
        </w:r>
        <w:r w:rsidR="00872771" w:rsidRPr="00F6340E">
          <w:rPr>
            <w:rStyle w:val="Hyperlink"/>
            <w:rFonts w:cs="Arial"/>
            <w:iCs/>
          </w:rPr>
          <w:t xml:space="preserve"> </w:t>
        </w:r>
        <w:r w:rsidR="00A56E08">
          <w:rPr>
            <w:rStyle w:val="Hyperlink"/>
            <w:rFonts w:cs="Arial"/>
            <w:iCs/>
          </w:rPr>
          <w:t>о</w:t>
        </w:r>
        <w:r>
          <w:rPr>
            <w:rStyle w:val="Hyperlink"/>
            <w:rFonts w:cs="Arial"/>
            <w:iCs/>
          </w:rPr>
          <w:t>с</w:t>
        </w:r>
        <w:r w:rsidR="00A56E08">
          <w:rPr>
            <w:rStyle w:val="Hyperlink"/>
            <w:rFonts w:cs="Arial"/>
            <w:iCs/>
          </w:rPr>
          <w:t>оба</w:t>
        </w:r>
        <w:r w:rsidR="00B04FA8">
          <w:rPr>
            <w:rStyle w:val="Hyperlink"/>
            <w:rFonts w:cs="Arial"/>
            <w:iCs/>
          </w:rPr>
          <w:t xml:space="preserve"> са </w:t>
        </w:r>
        <w:r w:rsidR="00A56E08">
          <w:rPr>
            <w:rStyle w:val="Hyperlink"/>
            <w:rFonts w:cs="Arial"/>
            <w:iCs/>
          </w:rPr>
          <w:t>ин</w:t>
        </w:r>
        <w:r>
          <w:rPr>
            <w:rStyle w:val="Hyperlink"/>
            <w:rFonts w:cs="Arial"/>
            <w:iCs/>
          </w:rPr>
          <w:t>в</w:t>
        </w:r>
        <w:r w:rsidR="00A56E08">
          <w:rPr>
            <w:rStyle w:val="Hyperlink"/>
            <w:rFonts w:cs="Arial"/>
            <w:iCs/>
          </w:rPr>
          <w:t>алиди</w:t>
        </w:r>
        <w:r>
          <w:rPr>
            <w:rStyle w:val="Hyperlink"/>
            <w:rFonts w:cs="Arial"/>
            <w:iCs/>
          </w:rPr>
          <w:t>т</w:t>
        </w:r>
        <w:r w:rsidR="00EE6AA2">
          <w:rPr>
            <w:rStyle w:val="Hyperlink"/>
            <w:rFonts w:cs="Arial"/>
            <w:iCs/>
          </w:rPr>
          <w:t>е</w:t>
        </w:r>
        <w:r>
          <w:rPr>
            <w:rStyle w:val="Hyperlink"/>
            <w:rFonts w:cs="Arial"/>
            <w:iCs/>
          </w:rPr>
          <w:t>т</w:t>
        </w:r>
        <w:r w:rsidR="00A56E08">
          <w:rPr>
            <w:rStyle w:val="Hyperlink"/>
            <w:rFonts w:cs="Arial"/>
            <w:iCs/>
          </w:rPr>
          <w:t>ом</w:t>
        </w:r>
      </w:hyperlink>
      <w:r w:rsidR="00872771" w:rsidRPr="00F6340E">
        <w:t xml:space="preserve"> </w:t>
      </w:r>
      <w:r>
        <w:t>у</w:t>
      </w:r>
      <w:r w:rsidR="00A56E08">
        <w:t>ни</w:t>
      </w:r>
      <w:r>
        <w:t>в</w:t>
      </w:r>
      <w:r w:rsidR="00EE6AA2">
        <w:t>е</w:t>
      </w:r>
      <w:r>
        <w:t>р</w:t>
      </w:r>
      <w:r w:rsidR="00171F00">
        <w:t>з</w:t>
      </w:r>
      <w:r w:rsidR="00A56E08">
        <w:t>ални</w:t>
      </w:r>
      <w:r w:rsidR="00872771" w:rsidRPr="00F6340E">
        <w:t xml:space="preserve"> </w:t>
      </w:r>
      <w:r w:rsidR="00A56E08">
        <w:t>ди</w:t>
      </w:r>
      <w:r w:rsidR="00171F00">
        <w:t>з</w:t>
      </w:r>
      <w:r w:rsidR="00A56E08">
        <w:t>ајн</w:t>
      </w:r>
      <w:r w:rsidR="00872771" w:rsidRPr="00F6340E">
        <w:t xml:space="preserve"> </w:t>
      </w:r>
      <w:r w:rsidR="00A56E08">
        <w:t>о</w:t>
      </w:r>
      <w:r w:rsidR="00171F00">
        <w:t>з</w:t>
      </w:r>
      <w:r w:rsidR="00A56E08">
        <w:t>нача</w:t>
      </w:r>
      <w:r>
        <w:t>в</w:t>
      </w:r>
      <w:r w:rsidR="00A56E08">
        <w:t>а</w:t>
      </w:r>
      <w:r w:rsidR="00872771" w:rsidRPr="00F6340E">
        <w:t xml:space="preserve"> </w:t>
      </w:r>
      <w:r w:rsidR="00A56E08">
        <w:t>облико</w:t>
      </w:r>
      <w:r>
        <w:t>в</w:t>
      </w:r>
      <w:r w:rsidR="00A56E08">
        <w:t>ањ</w:t>
      </w:r>
      <w:r w:rsidR="00EE6AA2">
        <w:t>е</w:t>
      </w:r>
      <w:r w:rsidR="00872771" w:rsidRPr="00F6340E">
        <w:t xml:space="preserve"> </w:t>
      </w:r>
      <w:r>
        <w:t>пр</w:t>
      </w:r>
      <w:r w:rsidR="00A56E08">
        <w:t>ои</w:t>
      </w:r>
      <w:r w:rsidR="00171F00">
        <w:t>з</w:t>
      </w:r>
      <w:r>
        <w:t>в</w:t>
      </w:r>
      <w:r w:rsidR="00A56E08">
        <w:t>ода</w:t>
      </w:r>
      <w:r w:rsidR="00872771" w:rsidRPr="00F6340E">
        <w:t xml:space="preserve">, </w:t>
      </w:r>
      <w:r w:rsidR="00A56E08">
        <w:t>ок</w:t>
      </w:r>
      <w:r>
        <w:t>ру</w:t>
      </w:r>
      <w:r w:rsidR="00171F00">
        <w:t>ж</w:t>
      </w:r>
      <w:r w:rsidR="00EE6AA2">
        <w:t>е</w:t>
      </w:r>
      <w:r w:rsidR="00A56E08">
        <w:t>ња</w:t>
      </w:r>
      <w:r w:rsidR="00872771" w:rsidRPr="00F6340E">
        <w:t xml:space="preserve">, </w:t>
      </w:r>
      <w:r>
        <w:t>пр</w:t>
      </w:r>
      <w:r w:rsidR="00A56E08">
        <w:t>ог</w:t>
      </w:r>
      <w:r>
        <w:t>р</w:t>
      </w:r>
      <w:r w:rsidR="00A56E08">
        <w:t>ама</w:t>
      </w:r>
      <w:r w:rsidR="00872771" w:rsidRPr="00F6340E">
        <w:t xml:space="preserve"> </w:t>
      </w:r>
      <w:r w:rsidR="00A56E08">
        <w:t>и</w:t>
      </w:r>
      <w:r w:rsidR="00872771" w:rsidRPr="00F6340E">
        <w:t xml:space="preserve"> </w:t>
      </w:r>
      <w:r>
        <w:t>ус</w:t>
      </w:r>
      <w:r w:rsidR="00A56E08">
        <w:t>л</w:t>
      </w:r>
      <w:r>
        <w:t>у</w:t>
      </w:r>
      <w:r w:rsidR="00A56E08">
        <w:t>га</w:t>
      </w:r>
      <w:r w:rsidR="00872771" w:rsidRPr="00F6340E">
        <w:t xml:space="preserve"> </w:t>
      </w:r>
      <w:r w:rsidR="00A56E08">
        <w:t>на</w:t>
      </w:r>
      <w:r w:rsidR="00872771" w:rsidRPr="00F6340E">
        <w:t xml:space="preserve"> </w:t>
      </w:r>
      <w:r w:rsidR="00A56E08">
        <w:t>начин</w:t>
      </w:r>
      <w:r w:rsidR="00872771" w:rsidRPr="00F6340E">
        <w:t xml:space="preserve"> </w:t>
      </w:r>
      <w:r w:rsidR="00A56E08">
        <w:t>да</w:t>
      </w:r>
      <w:r w:rsidR="00872771" w:rsidRPr="00F6340E">
        <w:t xml:space="preserve"> </w:t>
      </w:r>
      <w:r w:rsidR="00A56E08">
        <w:t>их</w:t>
      </w:r>
      <w:r w:rsidR="00872771" w:rsidRPr="00F6340E">
        <w:t xml:space="preserve"> </w:t>
      </w:r>
      <w:r w:rsidR="00A56E08">
        <w:t>мог</w:t>
      </w:r>
      <w:r>
        <w:t>у</w:t>
      </w:r>
      <w:r w:rsidR="00872771" w:rsidRPr="00F6340E">
        <w:t xml:space="preserve"> </w:t>
      </w:r>
      <w:r>
        <w:t>уп</w:t>
      </w:r>
      <w:r w:rsidR="00A56E08">
        <w:t>о</w:t>
      </w:r>
      <w:r>
        <w:t>тр</w:t>
      </w:r>
      <w:r w:rsidR="00A56E08">
        <w:t>иј</w:t>
      </w:r>
      <w:r w:rsidR="00EE6AA2">
        <w:t>е</w:t>
      </w:r>
      <w:r w:rsidR="00A56E08">
        <w:t>би</w:t>
      </w:r>
      <w:r>
        <w:t>т</w:t>
      </w:r>
      <w:r w:rsidR="00A56E08">
        <w:t>и</w:t>
      </w:r>
      <w:r w:rsidR="00D02159" w:rsidRPr="00F6340E">
        <w:t xml:space="preserve"> </w:t>
      </w:r>
      <w:r>
        <w:t>св</w:t>
      </w:r>
      <w:r w:rsidR="00A56E08">
        <w:t>и</w:t>
      </w:r>
      <w:r w:rsidR="00872771" w:rsidRPr="00F6340E">
        <w:t xml:space="preserve"> </w:t>
      </w:r>
      <w:r w:rsidR="00A56E08">
        <w:t>љ</w:t>
      </w:r>
      <w:r>
        <w:t>у</w:t>
      </w:r>
      <w:r w:rsidR="00A56E08">
        <w:t>ди</w:t>
      </w:r>
      <w:r w:rsidR="00872771" w:rsidRPr="00F6340E">
        <w:t xml:space="preserve"> </w:t>
      </w:r>
      <w:r>
        <w:t>у</w:t>
      </w:r>
      <w:r w:rsidR="00872771" w:rsidRPr="00F6340E">
        <w:t xml:space="preserve"> </w:t>
      </w:r>
      <w:r w:rsidR="00A56E08">
        <w:t>нај</w:t>
      </w:r>
      <w:r>
        <w:t>в</w:t>
      </w:r>
      <w:r w:rsidR="00EE6AA2">
        <w:t>е</w:t>
      </w:r>
      <w:r w:rsidR="00A56E08">
        <w:t>ћој</w:t>
      </w:r>
      <w:r w:rsidR="00872771" w:rsidRPr="00F6340E">
        <w:t xml:space="preserve"> </w:t>
      </w:r>
      <w:r w:rsidR="00A56E08">
        <w:t>мог</w:t>
      </w:r>
      <w:r>
        <w:t>у</w:t>
      </w:r>
      <w:r w:rsidR="00A56E08">
        <w:t>ћој</w:t>
      </w:r>
      <w:r w:rsidR="00872771" w:rsidRPr="00F6340E">
        <w:t xml:space="preserve"> </w:t>
      </w:r>
      <w:r w:rsidR="00A56E08">
        <w:t>мј</w:t>
      </w:r>
      <w:r w:rsidR="00EE6AA2">
        <w:t>е</w:t>
      </w:r>
      <w:r>
        <w:t>р</w:t>
      </w:r>
      <w:r w:rsidR="00A56E08">
        <w:t>и</w:t>
      </w:r>
      <w:r w:rsidR="00872771" w:rsidRPr="00F6340E">
        <w:t xml:space="preserve"> </w:t>
      </w:r>
      <w:r w:rsidR="00A56E08">
        <w:t>б</w:t>
      </w:r>
      <w:r w:rsidR="00EE6AA2">
        <w:t>е</w:t>
      </w:r>
      <w:r w:rsidR="00171F00">
        <w:t>з</w:t>
      </w:r>
      <w:r w:rsidR="00872771" w:rsidRPr="00F6340E">
        <w:t xml:space="preserve"> </w:t>
      </w:r>
      <w:r>
        <w:t>п</w:t>
      </w:r>
      <w:r w:rsidR="00A56E08">
        <w:t>о</w:t>
      </w:r>
      <w:r>
        <w:t>тр</w:t>
      </w:r>
      <w:r w:rsidR="00EE6AA2">
        <w:t>е</w:t>
      </w:r>
      <w:r w:rsidR="00A56E08">
        <w:t>б</w:t>
      </w:r>
      <w:r w:rsidR="00EE6AA2">
        <w:t>е</w:t>
      </w:r>
      <w:r w:rsidR="00872771" w:rsidRPr="00F6340E">
        <w:t xml:space="preserve"> </w:t>
      </w:r>
      <w:r>
        <w:t>пр</w:t>
      </w:r>
      <w:r w:rsidR="00A56E08">
        <w:t>илагођа</w:t>
      </w:r>
      <w:r>
        <w:t>в</w:t>
      </w:r>
      <w:r w:rsidR="00A56E08">
        <w:t>ања</w:t>
      </w:r>
      <w:r w:rsidR="00872771" w:rsidRPr="00F6340E">
        <w:t xml:space="preserve"> </w:t>
      </w:r>
      <w:r w:rsidR="00A56E08">
        <w:t>или</w:t>
      </w:r>
      <w:r w:rsidR="00872771" w:rsidRPr="00F6340E">
        <w:t xml:space="preserve"> </w:t>
      </w:r>
      <w:r>
        <w:t>п</w:t>
      </w:r>
      <w:r w:rsidR="00A56E08">
        <w:t>о</w:t>
      </w:r>
      <w:r>
        <w:t>с</w:t>
      </w:r>
      <w:r w:rsidR="00EE6AA2">
        <w:t>е</w:t>
      </w:r>
      <w:r w:rsidR="00A56E08">
        <w:t>бног</w:t>
      </w:r>
      <w:r w:rsidR="00872771" w:rsidRPr="00F6340E">
        <w:t xml:space="preserve"> </w:t>
      </w:r>
      <w:r w:rsidR="00A56E08">
        <w:t>облико</w:t>
      </w:r>
      <w:r>
        <w:t>в</w:t>
      </w:r>
      <w:r w:rsidR="00A56E08">
        <w:t>ања</w:t>
      </w:r>
      <w:r w:rsidR="00872771" w:rsidRPr="00F6340E">
        <w:t xml:space="preserve">.   </w:t>
      </w:r>
    </w:p>
    <w:p w14:paraId="40330A7E" w14:textId="31BDD72B" w:rsidR="00872771" w:rsidRPr="00F6340E" w:rsidRDefault="0071360A" w:rsidP="00210EE1">
      <w:pPr>
        <w:pStyle w:val="Body"/>
      </w:pPr>
      <w:r>
        <w:t>С</w:t>
      </w:r>
      <w:r w:rsidR="00A56E08">
        <w:t>а</w:t>
      </w:r>
      <w:r w:rsidR="00AA1289" w:rsidRPr="00F6340E">
        <w:t xml:space="preserve"> </w:t>
      </w:r>
      <w:r>
        <w:t>т</w:t>
      </w:r>
      <w:r w:rsidR="00A56E08">
        <w:t>ак</w:t>
      </w:r>
      <w:r>
        <w:t>в</w:t>
      </w:r>
      <w:r w:rsidR="00A56E08">
        <w:t>им</w:t>
      </w:r>
      <w:r w:rsidR="00872771" w:rsidRPr="00F6340E">
        <w:t xml:space="preserve"> </w:t>
      </w:r>
      <w:r w:rsidR="00A56E08">
        <w:t>конц</w:t>
      </w:r>
      <w:r w:rsidR="00EE6AA2">
        <w:t>е</w:t>
      </w:r>
      <w:r>
        <w:t>пт</w:t>
      </w:r>
      <w:r w:rsidR="00A56E08">
        <w:t>ом</w:t>
      </w:r>
      <w:r w:rsidR="00872771" w:rsidRPr="00F6340E">
        <w:t xml:space="preserve"> </w:t>
      </w:r>
      <w:r>
        <w:t>У</w:t>
      </w:r>
      <w:r w:rsidR="00A56E08">
        <w:t>Д</w:t>
      </w:r>
      <w:r>
        <w:t>У</w:t>
      </w:r>
      <w:r w:rsidR="00872771" w:rsidRPr="00F6340E">
        <w:t xml:space="preserve"> </w:t>
      </w:r>
      <w:r w:rsidR="00A56E08">
        <w:t>ј</w:t>
      </w:r>
      <w:r w:rsidR="00EE6AA2">
        <w:t>е</w:t>
      </w:r>
      <w:r w:rsidR="00872771" w:rsidRPr="00F6340E">
        <w:t xml:space="preserve"> </w:t>
      </w:r>
      <w:r w:rsidR="00171F00">
        <w:t>з</w:t>
      </w:r>
      <w:r w:rsidR="00A56E08">
        <w:t>а</w:t>
      </w:r>
      <w:r>
        <w:t>с</w:t>
      </w:r>
      <w:r w:rsidR="00A56E08">
        <w:t>но</w:t>
      </w:r>
      <w:r>
        <w:t>в</w:t>
      </w:r>
      <w:r w:rsidR="00A56E08">
        <w:t>ан</w:t>
      </w:r>
      <w:r w:rsidR="00872771" w:rsidRPr="00F6340E">
        <w:t xml:space="preserve"> </w:t>
      </w:r>
      <w:r w:rsidR="00A56E08">
        <w:t>на</w:t>
      </w:r>
      <w:r w:rsidR="00872771" w:rsidRPr="00F6340E">
        <w:t xml:space="preserve"> </w:t>
      </w:r>
      <w:r w:rsidR="00A56E08">
        <w:t>фило</w:t>
      </w:r>
      <w:r w:rsidR="00171F00">
        <w:t>з</w:t>
      </w:r>
      <w:r w:rsidR="00A56E08">
        <w:t>офији</w:t>
      </w:r>
      <w:r w:rsidR="00872771" w:rsidRPr="00F6340E">
        <w:t xml:space="preserve"> </w:t>
      </w:r>
      <w:r w:rsidR="00A56E08">
        <w:t>об</w:t>
      </w:r>
      <w:r>
        <w:t>р</w:t>
      </w:r>
      <w:r w:rsidR="00A56E08">
        <w:t>а</w:t>
      </w:r>
      <w:r w:rsidR="00171F00">
        <w:t>з</w:t>
      </w:r>
      <w:r w:rsidR="00A56E08">
        <w:t>о</w:t>
      </w:r>
      <w:r>
        <w:t>в</w:t>
      </w:r>
      <w:r w:rsidR="00A56E08">
        <w:t>ања</w:t>
      </w:r>
      <w:r w:rsidR="00872771" w:rsidRPr="00F6340E">
        <w:t xml:space="preserve"> </w:t>
      </w:r>
      <w:r>
        <w:t>ус</w:t>
      </w:r>
      <w:r w:rsidR="00A56E08">
        <w:t>мј</w:t>
      </w:r>
      <w:r w:rsidR="00EE6AA2">
        <w:t>е</w:t>
      </w:r>
      <w:r>
        <w:t>р</w:t>
      </w:r>
      <w:r w:rsidR="00EE6AA2">
        <w:t>е</w:t>
      </w:r>
      <w:r w:rsidR="00A56E08">
        <w:t>ној</w:t>
      </w:r>
      <w:r w:rsidR="00872771" w:rsidRPr="00F6340E">
        <w:t xml:space="preserve"> </w:t>
      </w:r>
      <w:r w:rsidR="00A56E08">
        <w:t>ка</w:t>
      </w:r>
      <w:r w:rsidR="00872771" w:rsidRPr="00F6340E">
        <w:t xml:space="preserve"> </w:t>
      </w:r>
      <w:r w:rsidR="00A56E08">
        <w:t>о</w:t>
      </w:r>
      <w:r>
        <w:t>ств</w:t>
      </w:r>
      <w:r w:rsidR="00A56E08">
        <w:t>а</w:t>
      </w:r>
      <w:r>
        <w:t>р</w:t>
      </w:r>
      <w:r w:rsidR="00A56E08">
        <w:t>и</w:t>
      </w:r>
      <w:r>
        <w:t>в</w:t>
      </w:r>
      <w:r w:rsidR="00A56E08">
        <w:t>ањ</w:t>
      </w:r>
      <w:r>
        <w:t>у</w:t>
      </w:r>
      <w:r w:rsidR="00872771" w:rsidRPr="00F6340E">
        <w:t xml:space="preserve"> </w:t>
      </w:r>
      <w:r w:rsidR="00A56E08">
        <w:t>О</w:t>
      </w:r>
      <w:r>
        <w:t>с</w:t>
      </w:r>
      <w:r w:rsidR="00A56E08">
        <w:t>но</w:t>
      </w:r>
      <w:r>
        <w:t>в</w:t>
      </w:r>
      <w:r w:rsidR="00A56E08">
        <w:t>них</w:t>
      </w:r>
      <w:r w:rsidR="00872771" w:rsidRPr="00F6340E">
        <w:t xml:space="preserve"> </w:t>
      </w:r>
      <w:r w:rsidR="00A56E08">
        <w:t>љ</w:t>
      </w:r>
      <w:r>
        <w:t>у</w:t>
      </w:r>
      <w:r w:rsidR="00A56E08">
        <w:t>д</w:t>
      </w:r>
      <w:r>
        <w:t>с</w:t>
      </w:r>
      <w:r w:rsidR="00A56E08">
        <w:t>ких</w:t>
      </w:r>
      <w:r w:rsidR="00872771" w:rsidRPr="00F6340E">
        <w:t xml:space="preserve"> </w:t>
      </w:r>
      <w:r>
        <w:t>пр</w:t>
      </w:r>
      <w:r w:rsidR="00A56E08">
        <w:t>а</w:t>
      </w:r>
      <w:r>
        <w:t>в</w:t>
      </w:r>
      <w:r w:rsidR="00A56E08">
        <w:t>а</w:t>
      </w:r>
      <w:r w:rsidR="00872771" w:rsidRPr="00F6340E">
        <w:t xml:space="preserve"> </w:t>
      </w:r>
      <w:r w:rsidR="00A56E08">
        <w:t>о</w:t>
      </w:r>
      <w:r>
        <w:t>с</w:t>
      </w:r>
      <w:r w:rsidR="00A56E08">
        <w:t>иг</w:t>
      </w:r>
      <w:r>
        <w:t>ур</w:t>
      </w:r>
      <w:r w:rsidR="00A56E08">
        <w:t>а</w:t>
      </w:r>
      <w:r>
        <w:t>в</w:t>
      </w:r>
      <w:r w:rsidR="00A56E08">
        <w:t>ај</w:t>
      </w:r>
      <w:r>
        <w:t>у</w:t>
      </w:r>
      <w:r w:rsidR="00A56E08">
        <w:t>ћи</w:t>
      </w:r>
      <w:r w:rsidR="00872771" w:rsidRPr="00F6340E">
        <w:t xml:space="preserve"> </w:t>
      </w:r>
      <w:r>
        <w:t>у</w:t>
      </w:r>
      <w:r w:rsidR="00A56E08">
        <w:t>ч</w:t>
      </w:r>
      <w:r w:rsidR="00EE6AA2">
        <w:t>е</w:t>
      </w:r>
      <w:r>
        <w:t>ств</w:t>
      </w:r>
      <w:r w:rsidR="00A56E08">
        <w:t>о</w:t>
      </w:r>
      <w:r>
        <w:t>в</w:t>
      </w:r>
      <w:r w:rsidR="00A56E08">
        <w:t>ањ</w:t>
      </w:r>
      <w:r w:rsidR="00EE6AA2">
        <w:t>е</w:t>
      </w:r>
      <w:r w:rsidR="00872771" w:rsidRPr="00F6340E">
        <w:t xml:space="preserve"> </w:t>
      </w:r>
      <w:r>
        <w:t>св</w:t>
      </w:r>
      <w:r w:rsidR="00A56E08">
        <w:t>их</w:t>
      </w:r>
      <w:r w:rsidR="00872771" w:rsidRPr="00F6340E">
        <w:t xml:space="preserve"> </w:t>
      </w:r>
      <w:r>
        <w:t>у</w:t>
      </w:r>
      <w:r w:rsidR="00A56E08">
        <w:t>ч</w:t>
      </w:r>
      <w:r w:rsidR="00EE6AA2">
        <w:t>е</w:t>
      </w:r>
      <w:r w:rsidR="00A56E08">
        <w:t>ника</w:t>
      </w:r>
      <w:r w:rsidR="007A66CE" w:rsidRPr="00F6340E">
        <w:t>/</w:t>
      </w:r>
      <w:r>
        <w:t>сту</w:t>
      </w:r>
      <w:r w:rsidR="00A56E08">
        <w:t>д</w:t>
      </w:r>
      <w:r w:rsidR="00EE6AA2">
        <w:t>е</w:t>
      </w:r>
      <w:r w:rsidR="00A56E08">
        <w:t>на</w:t>
      </w:r>
      <w:r>
        <w:t>т</w:t>
      </w:r>
      <w:r w:rsidR="00A56E08">
        <w:t>а</w:t>
      </w:r>
      <w:r w:rsidR="00872771" w:rsidRPr="00F6340E">
        <w:t xml:space="preserve">. </w:t>
      </w:r>
      <w:r w:rsidR="00A56E08">
        <w:t>Њ</w:t>
      </w:r>
      <w:r w:rsidR="00EE6AA2">
        <w:t>е</w:t>
      </w:r>
      <w:r w:rsidR="00A56E08">
        <w:t>го</w:t>
      </w:r>
      <w:r>
        <w:t>в</w:t>
      </w:r>
      <w:r w:rsidR="00A56E08">
        <w:t>ом</w:t>
      </w:r>
      <w:r w:rsidR="00872771" w:rsidRPr="00F6340E">
        <w:t xml:space="preserve"> </w:t>
      </w:r>
      <w:r>
        <w:t>пр</w:t>
      </w:r>
      <w:r w:rsidR="00A56E08">
        <w:t>имј</w:t>
      </w:r>
      <w:r w:rsidR="00EE6AA2">
        <w:t>е</w:t>
      </w:r>
      <w:r w:rsidR="00A56E08">
        <w:t>ном</w:t>
      </w:r>
      <w:r w:rsidR="00872771" w:rsidRPr="00F6340E">
        <w:t xml:space="preserve"> </w:t>
      </w:r>
      <w:r w:rsidR="00A56E08">
        <w:t>мог</w:t>
      </w:r>
      <w:r>
        <w:t>у</w:t>
      </w:r>
      <w:r w:rsidR="00A56E08">
        <w:t>ћ</w:t>
      </w:r>
      <w:r w:rsidR="00EE6AA2">
        <w:t>е</w:t>
      </w:r>
      <w:r w:rsidR="00872771" w:rsidRPr="00F6340E">
        <w:t xml:space="preserve"> </w:t>
      </w:r>
      <w:r w:rsidR="00A56E08">
        <w:t>ј</w:t>
      </w:r>
      <w:r w:rsidR="00EE6AA2">
        <w:t>е</w:t>
      </w:r>
      <w:r w:rsidR="00872771" w:rsidRPr="00F6340E">
        <w:t xml:space="preserve"> </w:t>
      </w:r>
      <w:r w:rsidR="00A56E08">
        <w:t>к</w:t>
      </w:r>
      <w:r>
        <w:t>р</w:t>
      </w:r>
      <w:r w:rsidR="00EE6AA2">
        <w:t>е</w:t>
      </w:r>
      <w:r w:rsidR="00A56E08">
        <w:t>и</w:t>
      </w:r>
      <w:r>
        <w:t>р</w:t>
      </w:r>
      <w:r w:rsidR="00A56E08">
        <w:t>а</w:t>
      </w:r>
      <w:r>
        <w:t>т</w:t>
      </w:r>
      <w:r w:rsidR="00A56E08">
        <w:t>и</w:t>
      </w:r>
      <w:r w:rsidR="00872771" w:rsidRPr="00F6340E">
        <w:t xml:space="preserve"> </w:t>
      </w:r>
      <w:r>
        <w:t>п</w:t>
      </w:r>
      <w:r w:rsidR="00A56E08">
        <w:t>о</w:t>
      </w:r>
      <w:r>
        <w:t>т</w:t>
      </w:r>
      <w:r w:rsidR="00A56E08">
        <w:t>ицајно</w:t>
      </w:r>
      <w:r w:rsidR="00872771" w:rsidRPr="00F6340E">
        <w:t xml:space="preserve"> </w:t>
      </w:r>
      <w:r w:rsidR="00A56E08">
        <w:t>об</w:t>
      </w:r>
      <w:r>
        <w:t>р</w:t>
      </w:r>
      <w:r w:rsidR="00A56E08">
        <w:t>а</w:t>
      </w:r>
      <w:r w:rsidR="00171F00">
        <w:t>з</w:t>
      </w:r>
      <w:r w:rsidR="00A56E08">
        <w:t>о</w:t>
      </w:r>
      <w:r>
        <w:t>в</w:t>
      </w:r>
      <w:r w:rsidR="00A56E08">
        <w:t>но</w:t>
      </w:r>
      <w:r w:rsidR="00872771" w:rsidRPr="00F6340E">
        <w:t xml:space="preserve"> </w:t>
      </w:r>
      <w:r w:rsidR="00A56E08">
        <w:t>ок</w:t>
      </w:r>
      <w:r>
        <w:t>ру</w:t>
      </w:r>
      <w:r w:rsidR="00171F00">
        <w:t>ж</w:t>
      </w:r>
      <w:r w:rsidR="00EE6AA2">
        <w:t>е</w:t>
      </w:r>
      <w:r w:rsidR="00A56E08">
        <w:t>њ</w:t>
      </w:r>
      <w:r w:rsidR="00EE6AA2">
        <w:t>е</w:t>
      </w:r>
      <w:r w:rsidR="00872771" w:rsidRPr="00F6340E">
        <w:t xml:space="preserve"> </w:t>
      </w:r>
      <w:r w:rsidR="00A56E08">
        <w:t>кој</w:t>
      </w:r>
      <w:r w:rsidR="00EE6AA2">
        <w:t>е</w:t>
      </w:r>
      <w:r w:rsidR="00872771" w:rsidRPr="00F6340E">
        <w:t xml:space="preserve"> </w:t>
      </w:r>
      <w:r w:rsidR="00A56E08">
        <w:t>до</w:t>
      </w:r>
      <w:r>
        <w:t>пр</w:t>
      </w:r>
      <w:r w:rsidR="00A56E08">
        <w:t>ино</w:t>
      </w:r>
      <w:r>
        <w:t>с</w:t>
      </w:r>
      <w:r w:rsidR="00A56E08">
        <w:t>и</w:t>
      </w:r>
      <w:r w:rsidR="00872771" w:rsidRPr="00F6340E">
        <w:t xml:space="preserve"> </w:t>
      </w:r>
      <w:r w:rsidR="00A56E08">
        <w:t>к</w:t>
      </w:r>
      <w:r>
        <w:t>в</w:t>
      </w:r>
      <w:r w:rsidR="00A56E08">
        <w:t>али</w:t>
      </w:r>
      <w:r>
        <w:t>т</w:t>
      </w:r>
      <w:r w:rsidR="00EE6AA2">
        <w:t>е</w:t>
      </w:r>
      <w:r>
        <w:t>т</w:t>
      </w:r>
      <w:r w:rsidR="00A56E08">
        <w:t>и</w:t>
      </w:r>
      <w:r w:rsidR="00872771" w:rsidRPr="00F6340E">
        <w:t xml:space="preserve"> </w:t>
      </w:r>
      <w:r>
        <w:t>у</w:t>
      </w:r>
      <w:r w:rsidR="00872771" w:rsidRPr="00F6340E">
        <w:t xml:space="preserve"> </w:t>
      </w:r>
      <w:r w:rsidR="00A56E08">
        <w:t>об</w:t>
      </w:r>
      <w:r>
        <w:t>р</w:t>
      </w:r>
      <w:r w:rsidR="00A56E08">
        <w:t>а</w:t>
      </w:r>
      <w:r w:rsidR="00171F00">
        <w:t>з</w:t>
      </w:r>
      <w:r w:rsidR="00A56E08">
        <w:t>о</w:t>
      </w:r>
      <w:r>
        <w:t>в</w:t>
      </w:r>
      <w:r w:rsidR="00A56E08">
        <w:t>ањ</w:t>
      </w:r>
      <w:r>
        <w:t>у</w:t>
      </w:r>
      <w:r w:rsidR="00872771" w:rsidRPr="00F6340E">
        <w:t xml:space="preserve"> </w:t>
      </w:r>
      <w:r>
        <w:t>у</w:t>
      </w:r>
      <w:r w:rsidR="00872771" w:rsidRPr="00F6340E">
        <w:t xml:space="preserve"> </w:t>
      </w:r>
      <w:r>
        <w:t>св</w:t>
      </w:r>
      <w:r w:rsidR="00A56E08">
        <w:t>их</w:t>
      </w:r>
      <w:r w:rsidR="00872771" w:rsidRPr="00F6340E">
        <w:t xml:space="preserve"> </w:t>
      </w:r>
      <w:r>
        <w:t>п</w:t>
      </w:r>
      <w:r w:rsidR="00EE6AA2">
        <w:t>е</w:t>
      </w:r>
      <w:r>
        <w:t>т</w:t>
      </w:r>
      <w:r w:rsidR="00872771" w:rsidRPr="00F6340E">
        <w:t xml:space="preserve"> </w:t>
      </w:r>
      <w:r w:rsidR="00A56E08">
        <w:t>дим</w:t>
      </w:r>
      <w:r w:rsidR="00EE6AA2">
        <w:t>е</w:t>
      </w:r>
      <w:r w:rsidR="00A56E08">
        <w:t>н</w:t>
      </w:r>
      <w:r w:rsidR="00171F00">
        <w:t>з</w:t>
      </w:r>
      <w:r w:rsidR="00A56E08">
        <w:t>ија</w:t>
      </w:r>
      <w:r w:rsidR="00872771" w:rsidRPr="00F6340E">
        <w:t xml:space="preserve">, </w:t>
      </w:r>
      <w:r w:rsidR="00A56E08">
        <w:t>кој</w:t>
      </w:r>
      <w:r w:rsidR="00EE6AA2">
        <w:t>е</w:t>
      </w:r>
      <w:r w:rsidR="00872771" w:rsidRPr="00F6340E">
        <w:t xml:space="preserve"> </w:t>
      </w:r>
      <w:r>
        <w:t>у</w:t>
      </w:r>
      <w:r w:rsidR="00A56E08">
        <w:t>ј</w:t>
      </w:r>
      <w:r w:rsidR="00EE6AA2">
        <w:t>е</w:t>
      </w:r>
      <w:r w:rsidR="00A56E08">
        <w:t>дно</w:t>
      </w:r>
      <w:r w:rsidR="00872771" w:rsidRPr="00F6340E">
        <w:t xml:space="preserve"> </w:t>
      </w:r>
      <w:r>
        <w:t>пр</w:t>
      </w:r>
      <w:r w:rsidR="00EE6AA2">
        <w:t>е</w:t>
      </w:r>
      <w:r w:rsidR="00A56E08">
        <w:t>д</w:t>
      </w:r>
      <w:r>
        <w:t>ст</w:t>
      </w:r>
      <w:r w:rsidR="00A56E08">
        <w:t>а</w:t>
      </w:r>
      <w:r>
        <w:t>в</w:t>
      </w:r>
      <w:r w:rsidR="00A56E08">
        <w:t>љај</w:t>
      </w:r>
      <w:r>
        <w:t>у</w:t>
      </w:r>
      <w:r w:rsidR="00872771" w:rsidRPr="00F6340E">
        <w:t xml:space="preserve"> </w:t>
      </w:r>
      <w:r w:rsidR="00A56E08">
        <w:t>индика</w:t>
      </w:r>
      <w:r>
        <w:t>т</w:t>
      </w:r>
      <w:r w:rsidR="00A56E08">
        <w:t>о</w:t>
      </w:r>
      <w:r>
        <w:t>р</w:t>
      </w:r>
      <w:r w:rsidR="00EE6AA2">
        <w:t>е</w:t>
      </w:r>
      <w:r w:rsidR="00872771" w:rsidRPr="00F6340E">
        <w:t xml:space="preserve"> </w:t>
      </w:r>
      <w:r w:rsidR="00A56E08">
        <w:t>и</w:t>
      </w:r>
      <w:r w:rsidR="00872771" w:rsidRPr="00F6340E">
        <w:t>/</w:t>
      </w:r>
      <w:r w:rsidR="00A56E08">
        <w:t>или</w:t>
      </w:r>
      <w:r w:rsidR="00872771" w:rsidRPr="00F6340E">
        <w:t xml:space="preserve"> </w:t>
      </w:r>
      <w:r>
        <w:t>пр</w:t>
      </w:r>
      <w:r w:rsidR="00EE6AA2">
        <w:t>е</w:t>
      </w:r>
      <w:r w:rsidR="00A56E08">
        <w:t>дик</w:t>
      </w:r>
      <w:r>
        <w:t>т</w:t>
      </w:r>
      <w:r w:rsidR="00A56E08">
        <w:t>о</w:t>
      </w:r>
      <w:r>
        <w:t>р</w:t>
      </w:r>
      <w:r w:rsidR="00EE6AA2">
        <w:t>е</w:t>
      </w:r>
      <w:r w:rsidR="00872771" w:rsidRPr="00F6340E">
        <w:t xml:space="preserve"> </w:t>
      </w:r>
      <w:r w:rsidR="00A56E08">
        <w:t>к</w:t>
      </w:r>
      <w:r>
        <w:t>в</w:t>
      </w:r>
      <w:r w:rsidR="00A56E08">
        <w:t>али</w:t>
      </w:r>
      <w:r>
        <w:t>т</w:t>
      </w:r>
      <w:r w:rsidR="00EE6AA2">
        <w:t>е</w:t>
      </w:r>
      <w:r>
        <w:t>т</w:t>
      </w:r>
      <w:r w:rsidR="00A56E08">
        <w:t>ног</w:t>
      </w:r>
      <w:r w:rsidR="00872771" w:rsidRPr="00F6340E">
        <w:t xml:space="preserve"> </w:t>
      </w:r>
      <w:r w:rsidR="00A56E08">
        <w:t>об</w:t>
      </w:r>
      <w:r>
        <w:t>р</w:t>
      </w:r>
      <w:r w:rsidR="00A56E08">
        <w:t>а</w:t>
      </w:r>
      <w:r w:rsidR="00171F00">
        <w:t>з</w:t>
      </w:r>
      <w:r w:rsidR="00A56E08">
        <w:t>о</w:t>
      </w:r>
      <w:r>
        <w:t>в</w:t>
      </w:r>
      <w:r w:rsidR="00A56E08">
        <w:t>ног</w:t>
      </w:r>
      <w:r w:rsidR="00872771" w:rsidRPr="00F6340E">
        <w:t xml:space="preserve"> </w:t>
      </w:r>
      <w:r>
        <w:t>с</w:t>
      </w:r>
      <w:r w:rsidR="00A56E08">
        <w:t>и</w:t>
      </w:r>
      <w:r>
        <w:t>ст</w:t>
      </w:r>
      <w:r w:rsidR="00EE6AA2">
        <w:t>е</w:t>
      </w:r>
      <w:r w:rsidR="00A56E08">
        <w:t>ма</w:t>
      </w:r>
      <w:r w:rsidR="00872771" w:rsidRPr="00F6340E">
        <w:t xml:space="preserve"> </w:t>
      </w:r>
      <w:r w:rsidR="00A56E08">
        <w:t>а</w:t>
      </w:r>
      <w:r w:rsidR="00872771" w:rsidRPr="00F6340E">
        <w:t xml:space="preserve"> </w:t>
      </w:r>
      <w:r w:rsidR="00A56E08">
        <w:t>који</w:t>
      </w:r>
      <w:r w:rsidR="00872771" w:rsidRPr="00F6340E">
        <w:t xml:space="preserve"> </w:t>
      </w:r>
      <w:r>
        <w:t>с</w:t>
      </w:r>
      <w:r w:rsidR="00EE6AA2">
        <w:t>е</w:t>
      </w:r>
      <w:r w:rsidR="00872771" w:rsidRPr="00F6340E">
        <w:t xml:space="preserve"> </w:t>
      </w:r>
      <w:r w:rsidR="00A56E08">
        <w:t>одно</w:t>
      </w:r>
      <w:r>
        <w:t>с</w:t>
      </w:r>
      <w:r w:rsidR="00EE6AA2">
        <w:t>е</w:t>
      </w:r>
      <w:r w:rsidR="00872771" w:rsidRPr="00F6340E">
        <w:t xml:space="preserve"> </w:t>
      </w:r>
      <w:r w:rsidR="00A56E08">
        <w:t>на</w:t>
      </w:r>
      <w:r w:rsidR="00872771" w:rsidRPr="00F6340E">
        <w:t xml:space="preserve"> </w:t>
      </w:r>
      <w:r>
        <w:t>у</w:t>
      </w:r>
      <w:r w:rsidR="00A56E08">
        <w:t>ч</w:t>
      </w:r>
      <w:r w:rsidR="00EE6AA2">
        <w:t>е</w:t>
      </w:r>
      <w:r w:rsidR="00A56E08">
        <w:t>ник</w:t>
      </w:r>
      <w:r w:rsidR="00EE6AA2">
        <w:t>е</w:t>
      </w:r>
      <w:r w:rsidR="007A66CE" w:rsidRPr="00F6340E">
        <w:t>/</w:t>
      </w:r>
      <w:r>
        <w:t>сту</w:t>
      </w:r>
      <w:r w:rsidR="00A56E08">
        <w:t>д</w:t>
      </w:r>
      <w:r w:rsidR="00EE6AA2">
        <w:t>е</w:t>
      </w:r>
      <w:r w:rsidR="00A56E08">
        <w:t>н</w:t>
      </w:r>
      <w:r>
        <w:t>т</w:t>
      </w:r>
      <w:r w:rsidR="00EE6AA2">
        <w:t>е</w:t>
      </w:r>
      <w:r w:rsidR="00872771" w:rsidRPr="00F6340E">
        <w:t xml:space="preserve">, </w:t>
      </w:r>
      <w:r w:rsidR="00A56E08">
        <w:t>ок</w:t>
      </w:r>
      <w:r>
        <w:t>ру</w:t>
      </w:r>
      <w:r w:rsidR="00171F00">
        <w:t>ж</w:t>
      </w:r>
      <w:r w:rsidR="00EE6AA2">
        <w:t>е</w:t>
      </w:r>
      <w:r w:rsidR="00A56E08">
        <w:t>њ</w:t>
      </w:r>
      <w:r w:rsidR="00EE6AA2">
        <w:t>е</w:t>
      </w:r>
      <w:r w:rsidR="00872771" w:rsidRPr="00F6340E">
        <w:t xml:space="preserve">, </w:t>
      </w:r>
      <w:r>
        <w:t>с</w:t>
      </w:r>
      <w:r w:rsidR="00A56E08">
        <w:t>ад</w:t>
      </w:r>
      <w:r>
        <w:t>р</w:t>
      </w:r>
      <w:r w:rsidR="00171F00">
        <w:t>ж</w:t>
      </w:r>
      <w:r w:rsidR="00A56E08">
        <w:t>ај</w:t>
      </w:r>
      <w:r w:rsidR="00872771" w:rsidRPr="00F6340E">
        <w:t xml:space="preserve">, </w:t>
      </w:r>
      <w:r>
        <w:t>п</w:t>
      </w:r>
      <w:r w:rsidR="00A56E08">
        <w:t>о</w:t>
      </w:r>
      <w:r>
        <w:t>ступ</w:t>
      </w:r>
      <w:r w:rsidR="00A56E08">
        <w:t>к</w:t>
      </w:r>
      <w:r w:rsidR="00EE6AA2">
        <w:t>е</w:t>
      </w:r>
      <w:r w:rsidR="00872771" w:rsidRPr="00F6340E">
        <w:t xml:space="preserve"> </w:t>
      </w:r>
      <w:r w:rsidR="00A56E08">
        <w:t>и</w:t>
      </w:r>
      <w:r w:rsidR="00872771" w:rsidRPr="00F6340E">
        <w:t xml:space="preserve"> </w:t>
      </w:r>
      <w:r w:rsidR="00A56E08">
        <w:t>и</w:t>
      </w:r>
      <w:r>
        <w:t>с</w:t>
      </w:r>
      <w:r w:rsidR="00A56E08">
        <w:t>ход</w:t>
      </w:r>
      <w:r w:rsidR="00EE6AA2">
        <w:t>е</w:t>
      </w:r>
      <w:r w:rsidR="00872771" w:rsidRPr="00F6340E">
        <w:t xml:space="preserve"> (</w:t>
      </w:r>
      <w:r>
        <w:t>У</w:t>
      </w:r>
      <w:r w:rsidR="00A56E08">
        <w:t>НИЦ</w:t>
      </w:r>
      <w:r w:rsidR="00EE6AA2">
        <w:t>Е</w:t>
      </w:r>
      <w:r w:rsidR="00A56E08">
        <w:t>Ф</w:t>
      </w:r>
      <w:r w:rsidR="00872771" w:rsidRPr="00F6340E">
        <w:t xml:space="preserve">, 2000). </w:t>
      </w:r>
    </w:p>
    <w:p w14:paraId="01266C4D" w14:textId="3B6D579B" w:rsidR="00872771" w:rsidRPr="00F6340E" w:rsidRDefault="0071360A" w:rsidP="00210EE1">
      <w:pPr>
        <w:pStyle w:val="Body"/>
      </w:pPr>
      <w:r>
        <w:t>Пр</w:t>
      </w:r>
      <w:r w:rsidR="00A56E08">
        <w:t>а</w:t>
      </w:r>
      <w:r>
        <w:t>в</w:t>
      </w:r>
      <w:r w:rsidR="00A56E08">
        <w:t>илно</w:t>
      </w:r>
      <w:r w:rsidR="00872771" w:rsidRPr="00F6340E">
        <w:t xml:space="preserve"> </w:t>
      </w:r>
      <w:r>
        <w:t>п</w:t>
      </w:r>
      <w:r w:rsidR="00A56E08">
        <w:t>лани</w:t>
      </w:r>
      <w:r>
        <w:t>р</w:t>
      </w:r>
      <w:r w:rsidR="00A56E08">
        <w:t>ан</w:t>
      </w:r>
      <w:r w:rsidR="00872771" w:rsidRPr="00F6340E">
        <w:t xml:space="preserve"> </w:t>
      </w:r>
      <w:r w:rsidR="00A56E08">
        <w:t>и</w:t>
      </w:r>
      <w:r w:rsidR="00872771" w:rsidRPr="00F6340E">
        <w:t xml:space="preserve"> </w:t>
      </w:r>
      <w:r>
        <w:t>пр</w:t>
      </w:r>
      <w:r w:rsidR="00A56E08">
        <w:t>имиј</w:t>
      </w:r>
      <w:r w:rsidR="00EE6AA2">
        <w:t>е</w:t>
      </w:r>
      <w:r w:rsidR="00A56E08">
        <w:t>њ</w:t>
      </w:r>
      <w:r w:rsidR="00EE6AA2">
        <w:t>е</w:t>
      </w:r>
      <w:r w:rsidR="00A56E08">
        <w:t>н</w:t>
      </w:r>
      <w:r w:rsidR="00872771" w:rsidRPr="00F6340E">
        <w:t xml:space="preserve"> </w:t>
      </w:r>
      <w:r>
        <w:t>У</w:t>
      </w:r>
      <w:r w:rsidR="00A56E08">
        <w:t>Д</w:t>
      </w:r>
      <w:r>
        <w:t>У</w:t>
      </w:r>
      <w:r w:rsidR="00872771" w:rsidRPr="00F6340E">
        <w:t xml:space="preserve"> </w:t>
      </w:r>
      <w:r>
        <w:t>св</w:t>
      </w:r>
      <w:r w:rsidR="00A56E08">
        <w:t>оди</w:t>
      </w:r>
      <w:r w:rsidR="00872771" w:rsidRPr="00F6340E">
        <w:t xml:space="preserve"> </w:t>
      </w:r>
      <w:r>
        <w:t>пр</w:t>
      </w:r>
      <w:r w:rsidR="00EE6AA2">
        <w:t>е</w:t>
      </w:r>
      <w:r>
        <w:t>пр</w:t>
      </w:r>
      <w:r w:rsidR="00EE6AA2">
        <w:t>е</w:t>
      </w:r>
      <w:r w:rsidR="00A56E08">
        <w:t>к</w:t>
      </w:r>
      <w:r w:rsidR="00EE6AA2">
        <w:t>е</w:t>
      </w:r>
      <w:r w:rsidR="00872771" w:rsidRPr="00F6340E">
        <w:t xml:space="preserve"> </w:t>
      </w:r>
      <w:r>
        <w:t>у</w:t>
      </w:r>
      <w:r w:rsidR="00872771" w:rsidRPr="00F6340E">
        <w:t xml:space="preserve"> </w:t>
      </w:r>
      <w:r>
        <w:t>у</w:t>
      </w:r>
      <w:r w:rsidR="00A56E08">
        <w:t>ч</w:t>
      </w:r>
      <w:r w:rsidR="00EE6AA2">
        <w:t>е</w:t>
      </w:r>
      <w:r w:rsidR="00A56E08">
        <w:t>њ</w:t>
      </w:r>
      <w:r>
        <w:t>у</w:t>
      </w:r>
      <w:r w:rsidR="00872771" w:rsidRPr="00F6340E">
        <w:t xml:space="preserve"> </w:t>
      </w:r>
      <w:r w:rsidR="00A56E08">
        <w:t>на</w:t>
      </w:r>
      <w:r w:rsidR="00872771" w:rsidRPr="00F6340E">
        <w:t xml:space="preserve"> </w:t>
      </w:r>
      <w:r w:rsidR="00A56E08">
        <w:t>најмањ</w:t>
      </w:r>
      <w:r>
        <w:t>у</w:t>
      </w:r>
      <w:r w:rsidR="00872771" w:rsidRPr="00F6340E">
        <w:t xml:space="preserve"> </w:t>
      </w:r>
      <w:r w:rsidR="00A56E08">
        <w:t>мј</w:t>
      </w:r>
      <w:r w:rsidR="00EE6AA2">
        <w:t>е</w:t>
      </w:r>
      <w:r>
        <w:t>ру</w:t>
      </w:r>
      <w:r w:rsidR="00872771" w:rsidRPr="00F6340E">
        <w:t xml:space="preserve"> </w:t>
      </w:r>
      <w:r w:rsidR="00A56E08">
        <w:t>имај</w:t>
      </w:r>
      <w:r>
        <w:t>у</w:t>
      </w:r>
      <w:r w:rsidR="00A56E08">
        <w:t>ћи</w:t>
      </w:r>
      <w:r w:rsidR="00872771" w:rsidRPr="00F6340E">
        <w:t xml:space="preserve"> </w:t>
      </w:r>
      <w:r>
        <w:t>у</w:t>
      </w:r>
      <w:r w:rsidR="00872771" w:rsidRPr="00F6340E">
        <w:t xml:space="preserve"> </w:t>
      </w:r>
      <w:r>
        <w:t>в</w:t>
      </w:r>
      <w:r w:rsidR="00A56E08">
        <w:t>ид</w:t>
      </w:r>
      <w:r>
        <w:t>у</w:t>
      </w:r>
      <w:r w:rsidR="00872771" w:rsidRPr="00F6340E">
        <w:t xml:space="preserve"> </w:t>
      </w:r>
      <w:r>
        <w:t>п</w:t>
      </w:r>
      <w:r w:rsidR="00A56E08">
        <w:t>о</w:t>
      </w:r>
      <w:r>
        <w:t>тр</w:t>
      </w:r>
      <w:r w:rsidR="00EE6AA2">
        <w:t>е</w:t>
      </w:r>
      <w:r w:rsidR="00A56E08">
        <w:t>б</w:t>
      </w:r>
      <w:r w:rsidR="00EE6AA2">
        <w:t>е</w:t>
      </w:r>
      <w:r w:rsidR="00872771" w:rsidRPr="00F6340E">
        <w:t xml:space="preserve"> </w:t>
      </w:r>
      <w:r>
        <w:t>св</w:t>
      </w:r>
      <w:r w:rsidR="00A56E08">
        <w:t>их</w:t>
      </w:r>
      <w:r w:rsidR="00872771" w:rsidRPr="00F6340E">
        <w:t xml:space="preserve"> </w:t>
      </w:r>
      <w:r>
        <w:t>у</w:t>
      </w:r>
      <w:r w:rsidR="00A56E08">
        <w:t>ч</w:t>
      </w:r>
      <w:r w:rsidR="00EE6AA2">
        <w:t>е</w:t>
      </w:r>
      <w:r w:rsidR="00A56E08">
        <w:t>ника</w:t>
      </w:r>
      <w:r w:rsidR="007A66CE" w:rsidRPr="00F6340E">
        <w:t>/</w:t>
      </w:r>
      <w:r>
        <w:t>сту</w:t>
      </w:r>
      <w:r w:rsidR="00A56E08">
        <w:t>д</w:t>
      </w:r>
      <w:r w:rsidR="00EE6AA2">
        <w:t>е</w:t>
      </w:r>
      <w:r w:rsidR="00A56E08">
        <w:t>на</w:t>
      </w:r>
      <w:r>
        <w:t>т</w:t>
      </w:r>
      <w:r w:rsidR="00A56E08">
        <w:t>а</w:t>
      </w:r>
      <w:r w:rsidR="00872771" w:rsidRPr="00F6340E">
        <w:t xml:space="preserve"> </w:t>
      </w:r>
      <w:r w:rsidR="00A56E08">
        <w:t>и</w:t>
      </w:r>
      <w:r w:rsidR="00872771" w:rsidRPr="00F6340E">
        <w:t xml:space="preserve"> </w:t>
      </w:r>
      <w:r>
        <w:t>п</w:t>
      </w:r>
      <w:r w:rsidR="00A56E08">
        <w:t>о</w:t>
      </w:r>
      <w:r>
        <w:t>т</w:t>
      </w:r>
      <w:r w:rsidR="00EE6AA2">
        <w:t>е</w:t>
      </w:r>
      <w:r w:rsidR="00A56E08">
        <w:t>нцијалн</w:t>
      </w:r>
      <w:r w:rsidR="00EE6AA2">
        <w:t>е</w:t>
      </w:r>
      <w:r w:rsidR="00872771" w:rsidRPr="00F6340E">
        <w:t xml:space="preserve"> </w:t>
      </w:r>
      <w:r>
        <w:t>пр</w:t>
      </w:r>
      <w:r w:rsidR="00EE6AA2">
        <w:t>е</w:t>
      </w:r>
      <w:r>
        <w:t>пр</w:t>
      </w:r>
      <w:r w:rsidR="00EE6AA2">
        <w:t>е</w:t>
      </w:r>
      <w:r w:rsidR="00A56E08">
        <w:t>к</w:t>
      </w:r>
      <w:r w:rsidR="00EE6AA2">
        <w:t>е</w:t>
      </w:r>
      <w:r w:rsidR="00872771" w:rsidRPr="00F6340E">
        <w:t xml:space="preserve"> </w:t>
      </w:r>
      <w:r w:rsidR="00A56E08">
        <w:t>кој</w:t>
      </w:r>
      <w:r w:rsidR="00EE6AA2">
        <w:t>е</w:t>
      </w:r>
      <w:r w:rsidR="00872771" w:rsidRPr="00F6340E">
        <w:t xml:space="preserve"> </w:t>
      </w:r>
      <w:r>
        <w:t>с</w:t>
      </w:r>
      <w:r w:rsidR="00EE6AA2">
        <w:t>е</w:t>
      </w:r>
      <w:r w:rsidR="00872771" w:rsidRPr="00F6340E">
        <w:t xml:space="preserve"> </w:t>
      </w:r>
      <w:r w:rsidR="00A56E08">
        <w:t>мог</w:t>
      </w:r>
      <w:r>
        <w:t>у</w:t>
      </w:r>
      <w:r w:rsidR="00872771" w:rsidRPr="00F6340E">
        <w:t xml:space="preserve"> </w:t>
      </w:r>
      <w:r w:rsidR="00A56E08">
        <w:t>ја</w:t>
      </w:r>
      <w:r>
        <w:t>в</w:t>
      </w:r>
      <w:r w:rsidR="00A56E08">
        <w:t>и</w:t>
      </w:r>
      <w:r>
        <w:t>т</w:t>
      </w:r>
      <w:r w:rsidR="00A56E08">
        <w:t>и</w:t>
      </w:r>
      <w:r w:rsidR="00872771" w:rsidRPr="00F6340E">
        <w:t xml:space="preserve"> </w:t>
      </w:r>
      <w:r w:rsidR="00A56E08">
        <w:t>к</w:t>
      </w:r>
      <w:r>
        <w:t>р</w:t>
      </w:r>
      <w:r w:rsidR="00A56E08">
        <w:t>о</w:t>
      </w:r>
      <w:r w:rsidR="00171F00">
        <w:t>з</w:t>
      </w:r>
      <w:r w:rsidR="00872771" w:rsidRPr="00F6340E">
        <w:t xml:space="preserve"> </w:t>
      </w:r>
      <w:r>
        <w:t>р</w:t>
      </w:r>
      <w:r w:rsidR="00A56E08">
        <w:t>а</w:t>
      </w:r>
      <w:r w:rsidR="00171F00">
        <w:t>з</w:t>
      </w:r>
      <w:r w:rsidR="00A56E08">
        <w:t>личи</w:t>
      </w:r>
      <w:r>
        <w:t>т</w:t>
      </w:r>
      <w:r w:rsidR="00A56E08">
        <w:t>о</w:t>
      </w:r>
      <w:r>
        <w:t>ст</w:t>
      </w:r>
      <w:r w:rsidR="00A56E08">
        <w:t>и</w:t>
      </w:r>
      <w:r w:rsidR="00B04FA8">
        <w:t xml:space="preserve"> са </w:t>
      </w:r>
      <w:r w:rsidR="00A56E08">
        <w:t>а</w:t>
      </w:r>
      <w:r>
        <w:t>сп</w:t>
      </w:r>
      <w:r w:rsidR="00EE6AA2">
        <w:t>е</w:t>
      </w:r>
      <w:r w:rsidR="00A56E08">
        <w:t>к</w:t>
      </w:r>
      <w:r>
        <w:t>т</w:t>
      </w:r>
      <w:r w:rsidR="00A56E08">
        <w:t>а</w:t>
      </w:r>
      <w:r w:rsidR="00872771" w:rsidRPr="00F6340E">
        <w:t xml:space="preserve"> </w:t>
      </w:r>
      <w:r>
        <w:t>ст</w:t>
      </w:r>
      <w:r w:rsidR="00A56E08">
        <w:t>ило</w:t>
      </w:r>
      <w:r>
        <w:t>в</w:t>
      </w:r>
      <w:r w:rsidR="00A56E08">
        <w:t>а</w:t>
      </w:r>
      <w:r w:rsidR="00872771" w:rsidRPr="00F6340E">
        <w:t xml:space="preserve"> </w:t>
      </w:r>
      <w:r>
        <w:t>у</w:t>
      </w:r>
      <w:r w:rsidR="00A56E08">
        <w:t>ч</w:t>
      </w:r>
      <w:r w:rsidR="00EE6AA2">
        <w:t>е</w:t>
      </w:r>
      <w:r w:rsidR="00A56E08">
        <w:t>ња</w:t>
      </w:r>
      <w:r w:rsidR="00872771" w:rsidRPr="00F6340E">
        <w:t xml:space="preserve">, </w:t>
      </w:r>
      <w:r>
        <w:t>ст</w:t>
      </w:r>
      <w:r w:rsidR="00A56E08">
        <w:t>ило</w:t>
      </w:r>
      <w:r>
        <w:t>в</w:t>
      </w:r>
      <w:r w:rsidR="00A56E08">
        <w:t>а</w:t>
      </w:r>
      <w:r w:rsidR="00872771" w:rsidRPr="00F6340E">
        <w:t xml:space="preserve"> </w:t>
      </w:r>
      <w:r w:rsidR="00A56E08">
        <w:t>ми</w:t>
      </w:r>
      <w:r>
        <w:t>ш</w:t>
      </w:r>
      <w:r w:rsidR="00A56E08">
        <w:t>љ</w:t>
      </w:r>
      <w:r w:rsidR="00EE6AA2">
        <w:t>е</w:t>
      </w:r>
      <w:r w:rsidR="00A56E08">
        <w:t>ња</w:t>
      </w:r>
      <w:r w:rsidR="00872771" w:rsidRPr="00F6340E">
        <w:t xml:space="preserve">, </w:t>
      </w:r>
      <w:r w:rsidR="00A56E08">
        <w:t>ј</w:t>
      </w:r>
      <w:r w:rsidR="00EE6AA2">
        <w:t>е</w:t>
      </w:r>
      <w:r w:rsidR="00171F00">
        <w:t>з</w:t>
      </w:r>
      <w:r w:rsidR="00A56E08">
        <w:t>ика</w:t>
      </w:r>
      <w:r w:rsidR="00872771" w:rsidRPr="00F6340E">
        <w:t xml:space="preserve">, </w:t>
      </w:r>
      <w:r>
        <w:t>с</w:t>
      </w:r>
      <w:r w:rsidR="00EE6AA2">
        <w:t>е</w:t>
      </w:r>
      <w:r w:rsidR="00A56E08">
        <w:t>н</w:t>
      </w:r>
      <w:r w:rsidR="00171F00">
        <w:t>з</w:t>
      </w:r>
      <w:r w:rsidR="00A56E08">
        <w:t>о</w:t>
      </w:r>
      <w:r>
        <w:t>р</w:t>
      </w:r>
      <w:r w:rsidR="00A56E08">
        <w:t>них</w:t>
      </w:r>
      <w:r w:rsidR="00872771" w:rsidRPr="00F6340E">
        <w:t xml:space="preserve"> </w:t>
      </w:r>
      <w:r w:rsidR="00A56E08">
        <w:t>инфо</w:t>
      </w:r>
      <w:r>
        <w:t>р</w:t>
      </w:r>
      <w:r w:rsidR="00A56E08">
        <w:t>мација</w:t>
      </w:r>
      <w:r w:rsidR="00872771" w:rsidRPr="00F6340E">
        <w:t xml:space="preserve">, </w:t>
      </w:r>
      <w:r>
        <w:t>п</w:t>
      </w:r>
      <w:r w:rsidR="00EE6AA2">
        <w:t>е</w:t>
      </w:r>
      <w:r>
        <w:t>р</w:t>
      </w:r>
      <w:r w:rsidR="00A56E08">
        <w:t>ц</w:t>
      </w:r>
      <w:r w:rsidR="00EE6AA2">
        <w:t>е</w:t>
      </w:r>
      <w:r>
        <w:t>п</w:t>
      </w:r>
      <w:r w:rsidR="00A56E08">
        <w:t>циј</w:t>
      </w:r>
      <w:r w:rsidR="00EE6AA2">
        <w:t>е</w:t>
      </w:r>
      <w:r w:rsidR="00872771" w:rsidRPr="00F6340E">
        <w:t xml:space="preserve">, </w:t>
      </w:r>
      <w:r w:rsidR="00A56E08">
        <w:t>к</w:t>
      </w:r>
      <w:r>
        <w:t>у</w:t>
      </w:r>
      <w:r w:rsidR="00A56E08">
        <w:t>л</w:t>
      </w:r>
      <w:r>
        <w:t>тур</w:t>
      </w:r>
      <w:r w:rsidR="00EE6AA2">
        <w:t>е</w:t>
      </w:r>
      <w:r w:rsidR="00872771" w:rsidRPr="00F6340E">
        <w:t xml:space="preserve">, </w:t>
      </w:r>
      <w:r w:rsidR="00A56E08">
        <w:t>ни</w:t>
      </w:r>
      <w:r>
        <w:t>в</w:t>
      </w:r>
      <w:r w:rsidR="00A56E08">
        <w:t>оа</w:t>
      </w:r>
      <w:r w:rsidR="00872771" w:rsidRPr="00F6340E">
        <w:t xml:space="preserve"> </w:t>
      </w:r>
      <w:r>
        <w:t>пр</w:t>
      </w:r>
      <w:r w:rsidR="00EE6AA2">
        <w:t>е</w:t>
      </w:r>
      <w:r w:rsidR="00A56E08">
        <w:t>д</w:t>
      </w:r>
      <w:r w:rsidR="00171F00">
        <w:t>з</w:t>
      </w:r>
      <w:r w:rsidR="00A56E08">
        <w:t>нања</w:t>
      </w:r>
      <w:r w:rsidR="00872771" w:rsidRPr="00F6340E">
        <w:t xml:space="preserve">, </w:t>
      </w:r>
      <w:r>
        <w:t>с</w:t>
      </w:r>
      <w:r w:rsidR="00A56E08">
        <w:t>амо</w:t>
      </w:r>
      <w:r>
        <w:t>п</w:t>
      </w:r>
      <w:r w:rsidR="00A56E08">
        <w:t>о</w:t>
      </w:r>
      <w:r>
        <w:t>у</w:t>
      </w:r>
      <w:r w:rsidR="00171F00">
        <w:t>з</w:t>
      </w:r>
      <w:r w:rsidR="00A56E08">
        <w:t>дања</w:t>
      </w:r>
      <w:r w:rsidR="00872771" w:rsidRPr="00F6340E">
        <w:t xml:space="preserve">. </w:t>
      </w:r>
      <w:r w:rsidR="00A56E08">
        <w:t>О</w:t>
      </w:r>
      <w:r>
        <w:t>в</w:t>
      </w:r>
      <w:r w:rsidR="00A56E08">
        <w:t>ака</w:t>
      </w:r>
      <w:r>
        <w:t>в</w:t>
      </w:r>
      <w:r w:rsidR="00872771" w:rsidRPr="00F6340E">
        <w:t xml:space="preserve"> </w:t>
      </w:r>
      <w:r>
        <w:t>пр</w:t>
      </w:r>
      <w:r w:rsidR="00A56E08">
        <w:t>и</w:t>
      </w:r>
      <w:r>
        <w:t>ступ</w:t>
      </w:r>
      <w:r w:rsidR="00872771" w:rsidRPr="00F6340E">
        <w:t xml:space="preserve"> </w:t>
      </w:r>
      <w:r w:rsidR="00A56E08">
        <w:t>о</w:t>
      </w:r>
      <w:r w:rsidR="00171F00">
        <w:t>з</w:t>
      </w:r>
      <w:r w:rsidR="00A56E08">
        <w:t>нача</w:t>
      </w:r>
      <w:r>
        <w:t>в</w:t>
      </w:r>
      <w:r w:rsidR="00A56E08">
        <w:t>а</w:t>
      </w:r>
      <w:r w:rsidR="00872771" w:rsidRPr="00F6340E">
        <w:t xml:space="preserve"> </w:t>
      </w:r>
      <w:r>
        <w:t>пр</w:t>
      </w:r>
      <w:r w:rsidR="00A56E08">
        <w:t>оак</w:t>
      </w:r>
      <w:r>
        <w:t>т</w:t>
      </w:r>
      <w:r w:rsidR="00A56E08">
        <w:t>и</w:t>
      </w:r>
      <w:r>
        <w:t>в</w:t>
      </w:r>
      <w:r w:rsidR="00A56E08">
        <w:t>но</w:t>
      </w:r>
      <w:r w:rsidR="00872771" w:rsidRPr="00F6340E">
        <w:t xml:space="preserve"> </w:t>
      </w:r>
      <w:r w:rsidR="00A56E08">
        <w:t>дј</w:t>
      </w:r>
      <w:r w:rsidR="00EE6AA2">
        <w:t>е</w:t>
      </w:r>
      <w:r w:rsidR="00A56E08">
        <w:t>ло</w:t>
      </w:r>
      <w:r>
        <w:t>в</w:t>
      </w:r>
      <w:r w:rsidR="00A56E08">
        <w:t>ањ</w:t>
      </w:r>
      <w:r w:rsidR="00EE6AA2">
        <w:t>е</w:t>
      </w:r>
      <w:r w:rsidR="00872771" w:rsidRPr="00F6340E">
        <w:t xml:space="preserve"> </w:t>
      </w:r>
      <w:r w:rsidR="00A56E08">
        <w:t>на</w:t>
      </w:r>
      <w:r>
        <w:t>ст</w:t>
      </w:r>
      <w:r w:rsidR="00A56E08">
        <w:t>а</w:t>
      </w:r>
      <w:r>
        <w:t>в</w:t>
      </w:r>
      <w:r w:rsidR="00A56E08">
        <w:t>ника</w:t>
      </w:r>
      <w:r w:rsidR="00872771" w:rsidRPr="00F6340E">
        <w:t xml:space="preserve"> </w:t>
      </w:r>
      <w:r w:rsidR="00A56E08">
        <w:t>ј</w:t>
      </w:r>
      <w:r w:rsidR="00EE6AA2">
        <w:t>е</w:t>
      </w:r>
      <w:r>
        <w:t>р</w:t>
      </w:r>
      <w:r w:rsidR="00872771" w:rsidRPr="00F6340E">
        <w:t xml:space="preserve"> </w:t>
      </w:r>
      <w:r w:rsidR="00A56E08">
        <w:t>омог</w:t>
      </w:r>
      <w:r>
        <w:t>у</w:t>
      </w:r>
      <w:r w:rsidR="00A56E08">
        <w:t>ћа</w:t>
      </w:r>
      <w:r>
        <w:t>в</w:t>
      </w:r>
      <w:r w:rsidR="00A56E08">
        <w:t>а</w:t>
      </w:r>
      <w:r w:rsidR="00872771" w:rsidRPr="00F6340E">
        <w:t xml:space="preserve"> </w:t>
      </w:r>
      <w:r w:rsidR="00A56E08">
        <w:t>да</w:t>
      </w:r>
      <w:r w:rsidR="00872771" w:rsidRPr="00F6340E">
        <w:t xml:space="preserve"> </w:t>
      </w:r>
      <w:r>
        <w:t>с</w:t>
      </w:r>
      <w:r w:rsidR="00EE6AA2">
        <w:t>е</w:t>
      </w:r>
      <w:r w:rsidR="00872771" w:rsidRPr="00F6340E">
        <w:t xml:space="preserve"> </w:t>
      </w:r>
      <w:r>
        <w:t>у</w:t>
      </w:r>
      <w:r w:rsidR="00CB5414">
        <w:t>ч</w:t>
      </w:r>
      <w:r w:rsidR="00EE6AA2">
        <w:t>е</w:t>
      </w:r>
      <w:r w:rsidR="00A56E08">
        <w:t>њ</w:t>
      </w:r>
      <w:r w:rsidR="00EE6AA2">
        <w:t>е</w:t>
      </w:r>
      <w:r w:rsidR="00872771" w:rsidRPr="00F6340E">
        <w:t xml:space="preserve"> </w:t>
      </w:r>
      <w:r w:rsidR="00A56E08">
        <w:t>од</w:t>
      </w:r>
      <w:r>
        <w:t>в</w:t>
      </w:r>
      <w:r w:rsidR="00A56E08">
        <w:t>ија</w:t>
      </w:r>
      <w:r w:rsidR="00872771" w:rsidRPr="00F6340E">
        <w:t xml:space="preserve"> </w:t>
      </w:r>
      <w:r w:rsidR="00A56E08">
        <w:t>на</w:t>
      </w:r>
      <w:r w:rsidR="00872771" w:rsidRPr="00F6340E">
        <w:t xml:space="preserve"> </w:t>
      </w:r>
      <w:r>
        <w:t>р</w:t>
      </w:r>
      <w:r w:rsidR="00A56E08">
        <w:t>а</w:t>
      </w:r>
      <w:r w:rsidR="00171F00">
        <w:t>з</w:t>
      </w:r>
      <w:r w:rsidR="00A56E08">
        <w:t>ли</w:t>
      </w:r>
      <w:r w:rsidR="00CB5414">
        <w:t>ч</w:t>
      </w:r>
      <w:r w:rsidR="00A56E08">
        <w:t>и</w:t>
      </w:r>
      <w:r>
        <w:t>т</w:t>
      </w:r>
      <w:r w:rsidR="00EE6AA2">
        <w:t>е</w:t>
      </w:r>
      <w:r w:rsidR="00872771" w:rsidRPr="00F6340E">
        <w:t xml:space="preserve"> </w:t>
      </w:r>
      <w:r w:rsidR="00A56E08">
        <w:t>на</w:t>
      </w:r>
      <w:r w:rsidR="00CB5414">
        <w:t>ч</w:t>
      </w:r>
      <w:r w:rsidR="00A56E08">
        <w:t>ин</w:t>
      </w:r>
      <w:r w:rsidR="00EE6AA2">
        <w:t>е</w:t>
      </w:r>
      <w:r w:rsidR="00872771" w:rsidRPr="00F6340E">
        <w:t xml:space="preserve"> </w:t>
      </w:r>
      <w:r>
        <w:t>т</w:t>
      </w:r>
      <w:r w:rsidR="00EE6AA2">
        <w:t>е</w:t>
      </w:r>
      <w:r w:rsidR="00872771" w:rsidRPr="00F6340E">
        <w:t xml:space="preserve"> </w:t>
      </w:r>
      <w:r w:rsidR="00A56E08">
        <w:t>на</w:t>
      </w:r>
      <w:r>
        <w:t>ст</w:t>
      </w:r>
      <w:r w:rsidR="00A56E08">
        <w:t>а</w:t>
      </w:r>
      <w:r>
        <w:t>в</w:t>
      </w:r>
      <w:r w:rsidR="00A56E08">
        <w:t>ници</w:t>
      </w:r>
      <w:r w:rsidR="00872771" w:rsidRPr="00F6340E">
        <w:t xml:space="preserve"> </w:t>
      </w:r>
      <w:r w:rsidR="00A56E08">
        <w:t>имај</w:t>
      </w:r>
      <w:r>
        <w:t>у</w:t>
      </w:r>
      <w:r w:rsidR="00872771" w:rsidRPr="00F6340E">
        <w:t xml:space="preserve"> </w:t>
      </w:r>
      <w:r w:rsidR="00A56E08">
        <w:t>дал</w:t>
      </w:r>
      <w:r w:rsidR="00EE6AA2">
        <w:t>е</w:t>
      </w:r>
      <w:r w:rsidR="00A56E08">
        <w:t>ко</w:t>
      </w:r>
      <w:r w:rsidR="00872771" w:rsidRPr="00F6340E">
        <w:t xml:space="preserve"> </w:t>
      </w:r>
      <w:r>
        <w:t>в</w:t>
      </w:r>
      <w:r w:rsidR="00A56E08">
        <w:t>и</w:t>
      </w:r>
      <w:r w:rsidR="00CB5414">
        <w:t>ш</w:t>
      </w:r>
      <w:r w:rsidR="00EE6AA2">
        <w:t>е</w:t>
      </w:r>
      <w:r w:rsidR="00872771" w:rsidRPr="00F6340E">
        <w:t xml:space="preserve"> </w:t>
      </w:r>
      <w:r w:rsidR="00CB5414">
        <w:t>ш</w:t>
      </w:r>
      <w:r w:rsidR="00A56E08">
        <w:t>ан</w:t>
      </w:r>
      <w:r>
        <w:t>с</w:t>
      </w:r>
      <w:r w:rsidR="00A56E08">
        <w:t>и</w:t>
      </w:r>
      <w:r w:rsidR="00872771" w:rsidRPr="00F6340E">
        <w:t xml:space="preserve"> </w:t>
      </w:r>
      <w:r w:rsidR="00A56E08">
        <w:t>да</w:t>
      </w:r>
      <w:r w:rsidR="00872771" w:rsidRPr="00F6340E">
        <w:t xml:space="preserve"> </w:t>
      </w:r>
      <w:r w:rsidR="00A56E08">
        <w:t>омог</w:t>
      </w:r>
      <w:r>
        <w:t>у</w:t>
      </w:r>
      <w:r w:rsidR="000010C5">
        <w:t>ћ</w:t>
      </w:r>
      <w:r w:rsidR="00EE6AA2">
        <w:t>е</w:t>
      </w:r>
      <w:r w:rsidR="00872771" w:rsidRPr="00F6340E">
        <w:t xml:space="preserve"> </w:t>
      </w:r>
      <w:r>
        <w:t>пр</w:t>
      </w:r>
      <w:r w:rsidR="00A56E08">
        <w:t>и</w:t>
      </w:r>
      <w:r>
        <w:t>ступ</w:t>
      </w:r>
      <w:r w:rsidR="00872771" w:rsidRPr="00F6340E">
        <w:t xml:space="preserve"> </w:t>
      </w:r>
      <w:r>
        <w:t>у</w:t>
      </w:r>
      <w:r w:rsidR="00CB5414">
        <w:t>ч</w:t>
      </w:r>
      <w:r w:rsidR="00EE6AA2">
        <w:t>е</w:t>
      </w:r>
      <w:r w:rsidR="00A56E08">
        <w:t>њ</w:t>
      </w:r>
      <w:r>
        <w:t>у</w:t>
      </w:r>
      <w:r w:rsidR="00872771" w:rsidRPr="00F6340E">
        <w:t xml:space="preserve"> </w:t>
      </w:r>
      <w:r>
        <w:t>шт</w:t>
      </w:r>
      <w:r w:rsidR="00A56E08">
        <w:t>о</w:t>
      </w:r>
      <w:r w:rsidR="00872771" w:rsidRPr="00F6340E">
        <w:t xml:space="preserve"> </w:t>
      </w:r>
      <w:r w:rsidR="00A56E08">
        <w:t>доно</w:t>
      </w:r>
      <w:r>
        <w:t>с</w:t>
      </w:r>
      <w:r w:rsidR="00A56E08">
        <w:t>и</w:t>
      </w:r>
      <w:r w:rsidR="00872771" w:rsidRPr="00F6340E">
        <w:t xml:space="preserve"> </w:t>
      </w:r>
      <w:r>
        <w:t>усп</w:t>
      </w:r>
      <w:r w:rsidR="00A56E08">
        <w:t>ј</w:t>
      </w:r>
      <w:r w:rsidR="00EE6AA2">
        <w:t>е</w:t>
      </w:r>
      <w:r w:rsidR="00A56E08">
        <w:t>х</w:t>
      </w:r>
      <w:r w:rsidR="00872771" w:rsidRPr="00F6340E">
        <w:t xml:space="preserve"> </w:t>
      </w:r>
      <w:r>
        <w:t>у</w:t>
      </w:r>
      <w:r w:rsidR="00872771" w:rsidRPr="00F6340E">
        <w:t xml:space="preserve"> </w:t>
      </w:r>
      <w:r>
        <w:t>у</w:t>
      </w:r>
      <w:r w:rsidR="00CB5414">
        <w:t>ч</w:t>
      </w:r>
      <w:r w:rsidR="00EE6AA2">
        <w:t>е</w:t>
      </w:r>
      <w:r w:rsidR="00A56E08">
        <w:t>њ</w:t>
      </w:r>
      <w:r>
        <w:t>у</w:t>
      </w:r>
      <w:r w:rsidR="00872771" w:rsidRPr="00F6340E">
        <w:t xml:space="preserve"> </w:t>
      </w:r>
      <w:r w:rsidR="00A56E08">
        <w:t>и</w:t>
      </w:r>
      <w:r w:rsidR="00872771" w:rsidRPr="00F6340E">
        <w:t xml:space="preserve"> </w:t>
      </w:r>
      <w:r>
        <w:t>ст</w:t>
      </w:r>
      <w:r w:rsidR="00A56E08">
        <w:t>ицањ</w:t>
      </w:r>
      <w:r>
        <w:t>у</w:t>
      </w:r>
      <w:r w:rsidR="00872771" w:rsidRPr="00F6340E">
        <w:t xml:space="preserve"> </w:t>
      </w:r>
      <w:r w:rsidR="00171F00">
        <w:t>з</w:t>
      </w:r>
      <w:r w:rsidR="00A56E08">
        <w:t>нања</w:t>
      </w:r>
      <w:r w:rsidR="00872771" w:rsidRPr="00F6340E">
        <w:t xml:space="preserve"> (</w:t>
      </w:r>
      <w:r>
        <w:t>У</w:t>
      </w:r>
      <w:r w:rsidR="00A56E08">
        <w:t>НИЦ</w:t>
      </w:r>
      <w:r w:rsidR="00EE6AA2">
        <w:t>Е</w:t>
      </w:r>
      <w:r w:rsidR="00A56E08">
        <w:t>Ф</w:t>
      </w:r>
      <w:r w:rsidR="00872771" w:rsidRPr="00F6340E">
        <w:t xml:space="preserve">, 2014). </w:t>
      </w:r>
    </w:p>
    <w:p w14:paraId="3A15885C" w14:textId="539E3404" w:rsidR="00872771" w:rsidRPr="00F6340E" w:rsidRDefault="00A56E08" w:rsidP="00210EE1">
      <w:pPr>
        <w:pStyle w:val="Body"/>
      </w:pPr>
      <w:r>
        <w:t>Како</w:t>
      </w:r>
      <w:r w:rsidR="00872771" w:rsidRPr="00F6340E">
        <w:t xml:space="preserve"> </w:t>
      </w:r>
      <w:r>
        <w:t>би</w:t>
      </w:r>
      <w:r w:rsidR="00872771" w:rsidRPr="00F6340E">
        <w:t xml:space="preserve"> </w:t>
      </w:r>
      <w:r w:rsidR="0071360A">
        <w:t>п</w:t>
      </w:r>
      <w:r>
        <w:t>лани</w:t>
      </w:r>
      <w:r w:rsidR="0071360A">
        <w:t>р</w:t>
      </w:r>
      <w:r>
        <w:t>али</w:t>
      </w:r>
      <w:r w:rsidR="00872771" w:rsidRPr="00F6340E">
        <w:t xml:space="preserve"> </w:t>
      </w:r>
      <w:r>
        <w:t>на</w:t>
      </w:r>
      <w:r w:rsidR="0071360A">
        <w:t>ст</w:t>
      </w:r>
      <w:r>
        <w:t>а</w:t>
      </w:r>
      <w:r w:rsidR="0071360A">
        <w:t>в</w:t>
      </w:r>
      <w:r>
        <w:t>ни</w:t>
      </w:r>
      <w:r w:rsidR="00872771" w:rsidRPr="00F6340E">
        <w:t xml:space="preserve"> </w:t>
      </w:r>
      <w:r>
        <w:t>ча</w:t>
      </w:r>
      <w:r w:rsidR="0071360A">
        <w:t>с</w:t>
      </w:r>
      <w:r w:rsidR="00872771" w:rsidRPr="00F6340E">
        <w:t xml:space="preserve"> </w:t>
      </w:r>
      <w:r>
        <w:t>на</w:t>
      </w:r>
      <w:r w:rsidR="00872771" w:rsidRPr="00F6340E">
        <w:t xml:space="preserve"> </w:t>
      </w:r>
      <w:r>
        <w:t>ба</w:t>
      </w:r>
      <w:r w:rsidR="00171F00">
        <w:t>з</w:t>
      </w:r>
      <w:r>
        <w:t>и</w:t>
      </w:r>
      <w:r w:rsidR="00872771" w:rsidRPr="00F6340E">
        <w:t xml:space="preserve"> </w:t>
      </w:r>
      <w:r w:rsidR="0071360A">
        <w:t>у</w:t>
      </w:r>
      <w:r>
        <w:t>ни</w:t>
      </w:r>
      <w:r w:rsidR="0071360A">
        <w:t>в</w:t>
      </w:r>
      <w:r w:rsidR="00EE6AA2">
        <w:t>е</w:t>
      </w:r>
      <w:r w:rsidR="0071360A">
        <w:t>р</w:t>
      </w:r>
      <w:r w:rsidR="00171F00">
        <w:t>з</w:t>
      </w:r>
      <w:r>
        <w:t>алног</w:t>
      </w:r>
      <w:r w:rsidR="00872771" w:rsidRPr="00F6340E">
        <w:t xml:space="preserve"> </w:t>
      </w:r>
      <w:r>
        <w:t>ди</w:t>
      </w:r>
      <w:r w:rsidR="00171F00">
        <w:t>з</w:t>
      </w:r>
      <w:r>
        <w:t>ајна</w:t>
      </w:r>
      <w:r w:rsidR="00872771" w:rsidRPr="00F6340E">
        <w:t xml:space="preserve"> </w:t>
      </w:r>
      <w:r w:rsidR="00171F00">
        <w:t>з</w:t>
      </w:r>
      <w:r>
        <w:t>а</w:t>
      </w:r>
      <w:r w:rsidR="00872771" w:rsidRPr="00F6340E">
        <w:t xml:space="preserve"> </w:t>
      </w:r>
      <w:r w:rsidR="0071360A">
        <w:t>у</w:t>
      </w:r>
      <w:r>
        <w:t>ч</w:t>
      </w:r>
      <w:r w:rsidR="00EE6AA2">
        <w:t>е</w:t>
      </w:r>
      <w:r>
        <w:t>њ</w:t>
      </w:r>
      <w:r w:rsidR="00EE6AA2">
        <w:t>е</w:t>
      </w:r>
      <w:r w:rsidR="00872771" w:rsidRPr="00F6340E">
        <w:t xml:space="preserve">, </w:t>
      </w:r>
      <w:r>
        <w:t>на</w:t>
      </w:r>
      <w:r w:rsidR="0071360A">
        <w:t>ст</w:t>
      </w:r>
      <w:r>
        <w:t>а</w:t>
      </w:r>
      <w:r w:rsidR="0071360A">
        <w:t>в</w:t>
      </w:r>
      <w:r>
        <w:t>ници</w:t>
      </w:r>
      <w:r w:rsidR="00872771" w:rsidRPr="00F6340E">
        <w:t xml:space="preserve"> </w:t>
      </w:r>
      <w:r>
        <w:t>мо</w:t>
      </w:r>
      <w:r w:rsidR="0071360A">
        <w:t>р</w:t>
      </w:r>
      <w:r>
        <w:t>ај</w:t>
      </w:r>
      <w:r w:rsidR="0071360A">
        <w:t>у</w:t>
      </w:r>
      <w:r w:rsidR="00872771" w:rsidRPr="00F6340E">
        <w:t xml:space="preserve"> </w:t>
      </w:r>
      <w:r>
        <w:t>има</w:t>
      </w:r>
      <w:r w:rsidR="0071360A">
        <w:t>т</w:t>
      </w:r>
      <w:r>
        <w:t>и</w:t>
      </w:r>
      <w:r w:rsidR="00872771" w:rsidRPr="00F6340E">
        <w:t xml:space="preserve"> </w:t>
      </w:r>
      <w:r w:rsidR="0071360A">
        <w:t>у</w:t>
      </w:r>
      <w:r w:rsidR="00872771" w:rsidRPr="00F6340E">
        <w:t xml:space="preserve"> </w:t>
      </w:r>
      <w:r w:rsidR="0071360A">
        <w:t>в</w:t>
      </w:r>
      <w:r>
        <w:t>ид</w:t>
      </w:r>
      <w:r w:rsidR="0071360A">
        <w:t>у</w:t>
      </w:r>
      <w:r w:rsidR="00872771" w:rsidRPr="00F6340E">
        <w:t xml:space="preserve"> </w:t>
      </w:r>
      <w:r>
        <w:t>да</w:t>
      </w:r>
      <w:r w:rsidR="00872771" w:rsidRPr="00F6340E">
        <w:t xml:space="preserve"> </w:t>
      </w:r>
      <w:r w:rsidR="0071360A">
        <w:t>с</w:t>
      </w:r>
      <w:r w:rsidR="00EE6AA2">
        <w:t>е</w:t>
      </w:r>
      <w:r w:rsidR="00872771" w:rsidRPr="00F6340E">
        <w:t xml:space="preserve"> </w:t>
      </w:r>
      <w:r w:rsidR="0071360A">
        <w:t>р</w:t>
      </w:r>
      <w:r>
        <w:t>ади</w:t>
      </w:r>
      <w:r w:rsidR="00872771" w:rsidRPr="00F6340E">
        <w:t xml:space="preserve"> </w:t>
      </w:r>
      <w:r>
        <w:t>о</w:t>
      </w:r>
      <w:r w:rsidR="00872771" w:rsidRPr="00F6340E">
        <w:t xml:space="preserve"> </w:t>
      </w:r>
      <w:r>
        <w:t>к</w:t>
      </w:r>
      <w:r w:rsidR="0071360A">
        <w:t>ру</w:t>
      </w:r>
      <w:r w:rsidR="00171F00">
        <w:t>ж</w:t>
      </w:r>
      <w:r>
        <w:t>ном</w:t>
      </w:r>
      <w:r w:rsidR="00872771" w:rsidRPr="00F6340E">
        <w:t xml:space="preserve"> </w:t>
      </w:r>
      <w:r w:rsidR="0071360A">
        <w:t>пр</w:t>
      </w:r>
      <w:r>
        <w:t>оц</w:t>
      </w:r>
      <w:r w:rsidR="00EE6AA2">
        <w:t>е</w:t>
      </w:r>
      <w:r w:rsidR="0071360A">
        <w:t>су</w:t>
      </w:r>
      <w:r w:rsidR="00872771" w:rsidRPr="00F6340E">
        <w:t xml:space="preserve">, </w:t>
      </w:r>
      <w:r>
        <w:t>који</w:t>
      </w:r>
      <w:r w:rsidR="00872771" w:rsidRPr="00F6340E">
        <w:t xml:space="preserve"> </w:t>
      </w:r>
      <w:r w:rsidR="0071360A">
        <w:t>п</w:t>
      </w:r>
      <w:r>
        <w:t>ола</w:t>
      </w:r>
      <w:r w:rsidR="00171F00">
        <w:t>з</w:t>
      </w:r>
      <w:r>
        <w:t>и</w:t>
      </w:r>
      <w:r w:rsidR="00872771" w:rsidRPr="00F6340E">
        <w:t xml:space="preserve"> </w:t>
      </w:r>
      <w:r>
        <w:t>од</w:t>
      </w:r>
      <w:r w:rsidR="00872771" w:rsidRPr="00F6340E">
        <w:t xml:space="preserve"> </w:t>
      </w:r>
      <w:r w:rsidR="0071360A">
        <w:t>с</w:t>
      </w:r>
      <w:r>
        <w:t>љ</w:t>
      </w:r>
      <w:r w:rsidR="00EE6AA2">
        <w:t>е</w:t>
      </w:r>
      <w:r>
        <w:t>д</w:t>
      </w:r>
      <w:r w:rsidR="00EE6AA2">
        <w:t>е</w:t>
      </w:r>
      <w:r>
        <w:t>ћих</w:t>
      </w:r>
      <w:r w:rsidR="00872771" w:rsidRPr="00F6340E">
        <w:t xml:space="preserve"> </w:t>
      </w:r>
      <w:r w:rsidR="00EE6AA2">
        <w:t>е</w:t>
      </w:r>
      <w:r>
        <w:t>л</w:t>
      </w:r>
      <w:r w:rsidR="00EE6AA2">
        <w:t>е</w:t>
      </w:r>
      <w:r>
        <w:t>м</w:t>
      </w:r>
      <w:r w:rsidR="00EE6AA2">
        <w:t>е</w:t>
      </w:r>
      <w:r>
        <w:t>на</w:t>
      </w:r>
      <w:r w:rsidR="0071360A">
        <w:t>т</w:t>
      </w:r>
      <w:r>
        <w:t>а</w:t>
      </w:r>
      <w:r w:rsidR="00872771" w:rsidRPr="00F6340E">
        <w:t xml:space="preserve"> (</w:t>
      </w:r>
      <w:r w:rsidR="0071360A">
        <w:t>У</w:t>
      </w:r>
      <w:r>
        <w:t>НИЦ</w:t>
      </w:r>
      <w:r w:rsidR="00EE6AA2">
        <w:t>Е</w:t>
      </w:r>
      <w:r>
        <w:t>Ф</w:t>
      </w:r>
      <w:r w:rsidR="00872771" w:rsidRPr="00F6340E">
        <w:t xml:space="preserve">, 2014): </w:t>
      </w:r>
    </w:p>
    <w:p w14:paraId="671D08B6" w14:textId="39666B1C" w:rsidR="00872771" w:rsidRPr="00F6340E" w:rsidRDefault="0071360A" w:rsidP="00210EE1">
      <w:pPr>
        <w:pStyle w:val="Numberedlist"/>
      </w:pPr>
      <w:r>
        <w:t>С</w:t>
      </w:r>
      <w:r w:rsidR="00A56E08">
        <w:t>ад</w:t>
      </w:r>
      <w:r>
        <w:t>р</w:t>
      </w:r>
      <w:r w:rsidR="00171F00">
        <w:t>ж</w:t>
      </w:r>
      <w:r w:rsidR="00A56E08">
        <w:t>ај</w:t>
      </w:r>
      <w:r w:rsidR="00872771" w:rsidRPr="00F6340E">
        <w:t xml:space="preserve">: </w:t>
      </w:r>
      <w:r w:rsidR="00A56E08">
        <w:t>и</w:t>
      </w:r>
      <w:r w:rsidR="00171F00">
        <w:t>з</w:t>
      </w:r>
      <w:r w:rsidR="00A56E08">
        <w:t>бо</w:t>
      </w:r>
      <w:r>
        <w:t>р</w:t>
      </w:r>
      <w:r w:rsidR="00872771" w:rsidRPr="00F6340E">
        <w:t xml:space="preserve"> </w:t>
      </w:r>
      <w:r>
        <w:t>с</w:t>
      </w:r>
      <w:r w:rsidR="00A56E08">
        <w:t>ад</w:t>
      </w:r>
      <w:r>
        <w:t>р</w:t>
      </w:r>
      <w:r w:rsidR="00171F00">
        <w:t>ж</w:t>
      </w:r>
      <w:r w:rsidR="00A56E08">
        <w:t>аја</w:t>
      </w:r>
      <w:r w:rsidR="00872771" w:rsidRPr="00F6340E">
        <w:t xml:space="preserve"> </w:t>
      </w:r>
      <w:r w:rsidR="00A56E08">
        <w:t>који</w:t>
      </w:r>
      <w:r w:rsidR="00872771" w:rsidRPr="00F6340E">
        <w:t xml:space="preserve"> </w:t>
      </w:r>
      <w:r w:rsidR="00A56E08">
        <w:t>ћ</w:t>
      </w:r>
      <w:r w:rsidR="00EE6AA2">
        <w:t>е</w:t>
      </w:r>
      <w:r w:rsidR="00872771" w:rsidRPr="00F6340E">
        <w:t xml:space="preserve"> </w:t>
      </w:r>
      <w:r>
        <w:t>с</w:t>
      </w:r>
      <w:r w:rsidR="00EE6AA2">
        <w:t>е</w:t>
      </w:r>
      <w:r w:rsidR="00872771" w:rsidRPr="00F6340E">
        <w:t xml:space="preserve"> </w:t>
      </w:r>
      <w:r>
        <w:t>пр</w:t>
      </w:r>
      <w:r w:rsidR="00EE6AA2">
        <w:t>е</w:t>
      </w:r>
      <w:r w:rsidR="00A56E08">
        <w:t>да</w:t>
      </w:r>
      <w:r>
        <w:t>в</w:t>
      </w:r>
      <w:r w:rsidR="00A56E08">
        <w:t>а</w:t>
      </w:r>
      <w:r>
        <w:t>т</w:t>
      </w:r>
      <w:r w:rsidR="00A56E08">
        <w:t>и</w:t>
      </w:r>
      <w:r w:rsidR="00872771" w:rsidRPr="00F6340E">
        <w:t>?</w:t>
      </w:r>
    </w:p>
    <w:p w14:paraId="5FE42ADF" w14:textId="39F73011" w:rsidR="00872771" w:rsidRPr="00F6340E" w:rsidRDefault="00A56E08" w:rsidP="00210EE1">
      <w:pPr>
        <w:pStyle w:val="Numberedlist"/>
      </w:pPr>
      <w:r>
        <w:lastRenderedPageBreak/>
        <w:t>И</w:t>
      </w:r>
      <w:r w:rsidR="00171F00">
        <w:t>з</w:t>
      </w:r>
      <w:r>
        <w:t>лагањ</w:t>
      </w:r>
      <w:r w:rsidR="00EE6AA2">
        <w:t>е</w:t>
      </w:r>
      <w:r w:rsidR="00872771" w:rsidRPr="00F6340E">
        <w:t xml:space="preserve">: </w:t>
      </w:r>
      <w:r>
        <w:t>има</w:t>
      </w:r>
      <w:r w:rsidR="00872771" w:rsidRPr="00F6340E">
        <w:t xml:space="preserve"> </w:t>
      </w:r>
      <w:r>
        <w:t>ли</w:t>
      </w:r>
      <w:r w:rsidR="00872771" w:rsidRPr="00F6340E">
        <w:t xml:space="preserve"> </w:t>
      </w:r>
      <w:r w:rsidR="0071360A">
        <w:t>у</w:t>
      </w:r>
      <w:r>
        <w:t>ч</w:t>
      </w:r>
      <w:r w:rsidR="00EE6AA2">
        <w:t>е</w:t>
      </w:r>
      <w:r>
        <w:t>ника</w:t>
      </w:r>
      <w:r w:rsidR="00872771" w:rsidRPr="00F6340E">
        <w:t xml:space="preserve"> </w:t>
      </w:r>
      <w:r>
        <w:t>који</w:t>
      </w:r>
      <w:r w:rsidR="00872771" w:rsidRPr="00F6340E">
        <w:t xml:space="preserve"> </w:t>
      </w:r>
      <w:r w:rsidR="00171F00">
        <w:t>з</w:t>
      </w:r>
      <w:r>
        <w:t>ах</w:t>
      </w:r>
      <w:r w:rsidR="0071360A">
        <w:t>т</w:t>
      </w:r>
      <w:r>
        <w:t>иј</w:t>
      </w:r>
      <w:r w:rsidR="00EE6AA2">
        <w:t>е</w:t>
      </w:r>
      <w:r w:rsidR="0071360A">
        <w:t>в</w:t>
      </w:r>
      <w:r>
        <w:t>ај</w:t>
      </w:r>
      <w:r w:rsidR="0071360A">
        <w:t>у</w:t>
      </w:r>
      <w:r w:rsidR="00872771" w:rsidRPr="00F6340E">
        <w:t xml:space="preserve"> </w:t>
      </w:r>
      <w:r>
        <w:t>д</w:t>
      </w:r>
      <w:r w:rsidR="0071360A">
        <w:t>ру</w:t>
      </w:r>
      <w:r>
        <w:t>гачији</w:t>
      </w:r>
      <w:r w:rsidR="00872771" w:rsidRPr="00F6340E">
        <w:t xml:space="preserve"> </w:t>
      </w:r>
      <w:r w:rsidR="0071360A">
        <w:t>пр</w:t>
      </w:r>
      <w:r>
        <w:t>и</w:t>
      </w:r>
      <w:r w:rsidR="0071360A">
        <w:t>ступ</w:t>
      </w:r>
      <w:r w:rsidR="00872771" w:rsidRPr="00F6340E">
        <w:t>?</w:t>
      </w:r>
    </w:p>
    <w:p w14:paraId="4F4D9769" w14:textId="78C8371C" w:rsidR="00872771" w:rsidRPr="00F6340E" w:rsidRDefault="0071360A" w:rsidP="00210EE1">
      <w:pPr>
        <w:pStyle w:val="Numberedlist"/>
      </w:pPr>
      <w:r>
        <w:t>Р</w:t>
      </w:r>
      <w:r w:rsidR="00EE6AA2">
        <w:t>е</w:t>
      </w:r>
      <w:r w:rsidR="00A56E08">
        <w:t>акција</w:t>
      </w:r>
      <w:r w:rsidR="00872771" w:rsidRPr="00F6340E">
        <w:t xml:space="preserve">: </w:t>
      </w:r>
      <w:r>
        <w:t>п</w:t>
      </w:r>
      <w:r w:rsidR="00A56E08">
        <w:t>о</w:t>
      </w:r>
      <w:r>
        <w:t>ст</w:t>
      </w:r>
      <w:r w:rsidR="00A56E08">
        <w:t>оји</w:t>
      </w:r>
      <w:r w:rsidR="00872771" w:rsidRPr="00F6340E">
        <w:t xml:space="preserve"> </w:t>
      </w:r>
      <w:r w:rsidR="00A56E08">
        <w:t>ли</w:t>
      </w:r>
      <w:r w:rsidR="00872771" w:rsidRPr="00F6340E">
        <w:t xml:space="preserve"> </w:t>
      </w:r>
      <w:r w:rsidR="00A56E08">
        <w:t>фл</w:t>
      </w:r>
      <w:r w:rsidR="00EE6AA2">
        <w:t>е</w:t>
      </w:r>
      <w:r w:rsidR="00A56E08">
        <w:t>к</w:t>
      </w:r>
      <w:r>
        <w:t>с</w:t>
      </w:r>
      <w:r w:rsidR="00A56E08">
        <w:t>ибилно</w:t>
      </w:r>
      <w:r>
        <w:t>ст</w:t>
      </w:r>
      <w:r w:rsidR="00872771" w:rsidRPr="00F6340E">
        <w:t xml:space="preserve"> </w:t>
      </w:r>
      <w:r>
        <w:t>у</w:t>
      </w:r>
      <w:r w:rsidR="00872771" w:rsidRPr="00F6340E">
        <w:t xml:space="preserve"> </w:t>
      </w:r>
      <w:r w:rsidR="00A56E08">
        <w:t>начин</w:t>
      </w:r>
      <w:r>
        <w:t>у</w:t>
      </w:r>
      <w:r w:rsidR="00872771" w:rsidRPr="00F6340E">
        <w:t xml:space="preserve"> </w:t>
      </w:r>
      <w:r w:rsidR="00A56E08">
        <w:t>на</w:t>
      </w:r>
      <w:r w:rsidR="00872771" w:rsidRPr="00F6340E">
        <w:t xml:space="preserve"> </w:t>
      </w:r>
      <w:r w:rsidR="00A56E08">
        <w:t>који</w:t>
      </w:r>
      <w:r w:rsidR="00872771" w:rsidRPr="00F6340E">
        <w:t xml:space="preserve"> </w:t>
      </w:r>
      <w:r>
        <w:t>у</w:t>
      </w:r>
      <w:r w:rsidR="00A56E08">
        <w:t>ч</w:t>
      </w:r>
      <w:r w:rsidR="00EE6AA2">
        <w:t>е</w:t>
      </w:r>
      <w:r w:rsidR="00A56E08">
        <w:t>ници</w:t>
      </w:r>
      <w:r w:rsidR="007A66CE" w:rsidRPr="00F6340E">
        <w:t>/</w:t>
      </w:r>
      <w:r>
        <w:t>сту</w:t>
      </w:r>
      <w:r w:rsidR="00A56E08">
        <w:t>д</w:t>
      </w:r>
      <w:r w:rsidR="00EE6AA2">
        <w:t>е</w:t>
      </w:r>
      <w:r w:rsidR="00A56E08">
        <w:t>н</w:t>
      </w:r>
      <w:r>
        <w:t>т</w:t>
      </w:r>
      <w:r w:rsidR="00A56E08">
        <w:t>и</w:t>
      </w:r>
      <w:r w:rsidR="00872771" w:rsidRPr="00F6340E">
        <w:t xml:space="preserve"> </w:t>
      </w:r>
      <w:r w:rsidR="00A56E08">
        <w:t>мог</w:t>
      </w:r>
      <w:r>
        <w:t>у</w:t>
      </w:r>
      <w:r w:rsidR="00872771" w:rsidRPr="00F6340E">
        <w:t xml:space="preserve"> </w:t>
      </w:r>
      <w:r>
        <w:t>п</w:t>
      </w:r>
      <w:r w:rsidR="00A56E08">
        <w:t>ока</w:t>
      </w:r>
      <w:r w:rsidR="00171F00">
        <w:t>з</w:t>
      </w:r>
      <w:r w:rsidR="00A56E08">
        <w:t>а</w:t>
      </w:r>
      <w:r>
        <w:t>т</w:t>
      </w:r>
      <w:r w:rsidR="00A56E08">
        <w:t>и</w:t>
      </w:r>
      <w:r w:rsidR="00872771" w:rsidRPr="00F6340E">
        <w:t xml:space="preserve"> </w:t>
      </w:r>
      <w:r>
        <w:t>шт</w:t>
      </w:r>
      <w:r w:rsidR="00A56E08">
        <w:t>о</w:t>
      </w:r>
      <w:r w:rsidR="001D6917" w:rsidRPr="00F6340E">
        <w:t xml:space="preserve"> </w:t>
      </w:r>
      <w:r w:rsidR="00171F00">
        <w:t>з</w:t>
      </w:r>
      <w:r w:rsidR="00A56E08">
        <w:t>нај</w:t>
      </w:r>
      <w:r>
        <w:t>у</w:t>
      </w:r>
      <w:r w:rsidR="00872771" w:rsidRPr="00F6340E">
        <w:t>?</w:t>
      </w:r>
    </w:p>
    <w:p w14:paraId="6EB66E49" w14:textId="788D322B" w:rsidR="00872771" w:rsidRPr="00F6340E" w:rsidRDefault="00171F00" w:rsidP="00210EE1">
      <w:pPr>
        <w:pStyle w:val="Numberedlist"/>
      </w:pPr>
      <w:r>
        <w:t>З</w:t>
      </w:r>
      <w:r w:rsidR="00A56E08">
        <w:t>аин</w:t>
      </w:r>
      <w:r w:rsidR="0071360A">
        <w:t>т</w:t>
      </w:r>
      <w:r w:rsidR="00EE6AA2">
        <w:t>е</w:t>
      </w:r>
      <w:r w:rsidR="0071360A">
        <w:t>р</w:t>
      </w:r>
      <w:r w:rsidR="00EE6AA2">
        <w:t>е</w:t>
      </w:r>
      <w:r w:rsidR="0071360A">
        <w:t>с</w:t>
      </w:r>
      <w:r w:rsidR="00A56E08">
        <w:t>о</w:t>
      </w:r>
      <w:r w:rsidR="0071360A">
        <w:t>в</w:t>
      </w:r>
      <w:r w:rsidR="00A56E08">
        <w:t>ано</w:t>
      </w:r>
      <w:r w:rsidR="0071360A">
        <w:t>ст</w:t>
      </w:r>
      <w:r w:rsidR="00872771" w:rsidRPr="00F6340E">
        <w:t xml:space="preserve">: </w:t>
      </w:r>
      <w:r w:rsidR="00A56E08">
        <w:t>како</w:t>
      </w:r>
      <w:r w:rsidR="00872771" w:rsidRPr="00F6340E">
        <w:t xml:space="preserve"> </w:t>
      </w:r>
      <w:r>
        <w:t>з</w:t>
      </w:r>
      <w:r w:rsidR="00A56E08">
        <w:t>аин</w:t>
      </w:r>
      <w:r w:rsidR="0071360A">
        <w:t>т</w:t>
      </w:r>
      <w:r w:rsidR="00EE6AA2">
        <w:t>е</w:t>
      </w:r>
      <w:r w:rsidR="0071360A">
        <w:t>р</w:t>
      </w:r>
      <w:r w:rsidR="00EE6AA2">
        <w:t>е</w:t>
      </w:r>
      <w:r w:rsidR="0071360A">
        <w:t>с</w:t>
      </w:r>
      <w:r w:rsidR="00A56E08">
        <w:t>и</w:t>
      </w:r>
      <w:r w:rsidR="0071360A">
        <w:t>р</w:t>
      </w:r>
      <w:r w:rsidR="00A56E08">
        <w:t>а</w:t>
      </w:r>
      <w:r w:rsidR="0071360A">
        <w:t>т</w:t>
      </w:r>
      <w:r w:rsidR="00A56E08">
        <w:t>и</w:t>
      </w:r>
      <w:r w:rsidR="00872771" w:rsidRPr="00F6340E">
        <w:t xml:space="preserve"> </w:t>
      </w:r>
      <w:r w:rsidR="0071360A">
        <w:t>у</w:t>
      </w:r>
      <w:r w:rsidR="00A56E08">
        <w:t>ч</w:t>
      </w:r>
      <w:r w:rsidR="00EE6AA2">
        <w:t>е</w:t>
      </w:r>
      <w:r w:rsidR="00A56E08">
        <w:t>ник</w:t>
      </w:r>
      <w:r w:rsidR="00EE6AA2">
        <w:t>е</w:t>
      </w:r>
      <w:r w:rsidR="007A66CE" w:rsidRPr="00F6340E">
        <w:t>/</w:t>
      </w:r>
      <w:r w:rsidR="0071360A">
        <w:t>сту</w:t>
      </w:r>
      <w:r w:rsidR="00A56E08">
        <w:t>д</w:t>
      </w:r>
      <w:r w:rsidR="00EE6AA2">
        <w:t>е</w:t>
      </w:r>
      <w:r w:rsidR="00A56E08">
        <w:t>н</w:t>
      </w:r>
      <w:r w:rsidR="0071360A">
        <w:t>т</w:t>
      </w:r>
      <w:r w:rsidR="00EE6AA2">
        <w:t>е</w:t>
      </w:r>
      <w:r w:rsidR="00872771" w:rsidRPr="00F6340E">
        <w:t xml:space="preserve"> </w:t>
      </w:r>
      <w:r w:rsidR="00A56E08">
        <w:t>и</w:t>
      </w:r>
      <w:r w:rsidR="00872771" w:rsidRPr="00F6340E">
        <w:t xml:space="preserve"> </w:t>
      </w:r>
      <w:r w:rsidR="0071360A">
        <w:t>п</w:t>
      </w:r>
      <w:r w:rsidR="00A56E08">
        <w:t>о</w:t>
      </w:r>
      <w:r w:rsidR="0071360A">
        <w:t>т</w:t>
      </w:r>
      <w:r w:rsidR="00A56E08">
        <w:t>аћи</w:t>
      </w:r>
      <w:r w:rsidR="00872771" w:rsidRPr="00F6340E">
        <w:t xml:space="preserve"> </w:t>
      </w:r>
      <w:r w:rsidR="00A56E08">
        <w:t>на</w:t>
      </w:r>
      <w:r w:rsidR="00872771" w:rsidRPr="00F6340E">
        <w:t xml:space="preserve"> </w:t>
      </w:r>
      <w:r w:rsidR="0071360A">
        <w:t>у</w:t>
      </w:r>
      <w:r w:rsidR="00A56E08">
        <w:t>ч</w:t>
      </w:r>
      <w:r w:rsidR="00EE6AA2">
        <w:t>е</w:t>
      </w:r>
      <w:r w:rsidR="00A56E08">
        <w:t>њ</w:t>
      </w:r>
      <w:r w:rsidR="00EE6AA2">
        <w:t>е</w:t>
      </w:r>
      <w:r w:rsidR="00872771" w:rsidRPr="00F6340E">
        <w:t>?</w:t>
      </w:r>
    </w:p>
    <w:p w14:paraId="67B1C9DF" w14:textId="33A3A916" w:rsidR="00872771" w:rsidRPr="00F6340E" w:rsidRDefault="00A56E08" w:rsidP="00210EE1">
      <w:pPr>
        <w:pStyle w:val="Numberedlist"/>
      </w:pPr>
      <w:r>
        <w:t>Оцј</w:t>
      </w:r>
      <w:r w:rsidR="00EE6AA2">
        <w:t>е</w:t>
      </w:r>
      <w:r>
        <w:t>њи</w:t>
      </w:r>
      <w:r w:rsidR="0071360A">
        <w:t>в</w:t>
      </w:r>
      <w:r>
        <w:t>ањ</w:t>
      </w:r>
      <w:r w:rsidR="00EE6AA2">
        <w:t>е</w:t>
      </w:r>
      <w:r w:rsidR="00872771" w:rsidRPr="00F6340E">
        <w:t xml:space="preserve">: </w:t>
      </w:r>
      <w:r>
        <w:t>како</w:t>
      </w:r>
      <w:r w:rsidR="00872771" w:rsidRPr="00F6340E">
        <w:t xml:space="preserve"> </w:t>
      </w:r>
      <w:r>
        <w:t>оцј</w:t>
      </w:r>
      <w:r w:rsidR="00EE6AA2">
        <w:t>е</w:t>
      </w:r>
      <w:r>
        <w:t>њи</w:t>
      </w:r>
      <w:r w:rsidR="0071360A">
        <w:t>в</w:t>
      </w:r>
      <w:r>
        <w:t>ањ</w:t>
      </w:r>
      <w:r w:rsidR="00EE6AA2">
        <w:t>е</w:t>
      </w:r>
      <w:r w:rsidR="00872771" w:rsidRPr="00F6340E">
        <w:t xml:space="preserve"> </w:t>
      </w:r>
      <w:r>
        <w:t>мо</w:t>
      </w:r>
      <w:r w:rsidR="00171F00">
        <w:t>ж</w:t>
      </w:r>
      <w:r w:rsidR="00EE6AA2">
        <w:t>е</w:t>
      </w:r>
      <w:r w:rsidR="00872771" w:rsidRPr="00F6340E">
        <w:t xml:space="preserve"> </w:t>
      </w:r>
      <w:r>
        <w:t>да</w:t>
      </w:r>
      <w:r w:rsidR="00872771" w:rsidRPr="00F6340E">
        <w:t xml:space="preserve"> </w:t>
      </w:r>
      <w:r w:rsidR="0071360A">
        <w:t>св</w:t>
      </w:r>
      <w:r w:rsidR="00EE6AA2">
        <w:t>е</w:t>
      </w:r>
      <w:r>
        <w:t>д</w:t>
      </w:r>
      <w:r w:rsidR="00EE6AA2">
        <w:t>е</w:t>
      </w:r>
      <w:r w:rsidR="00872771" w:rsidRPr="00F6340E">
        <w:t xml:space="preserve"> </w:t>
      </w:r>
      <w:r>
        <w:t>на</w:t>
      </w:r>
      <w:r w:rsidR="00872771" w:rsidRPr="00F6340E">
        <w:t xml:space="preserve"> </w:t>
      </w:r>
      <w:r>
        <w:t>најмањ</w:t>
      </w:r>
      <w:r w:rsidR="0071360A">
        <w:t>у</w:t>
      </w:r>
      <w:r w:rsidR="00872771" w:rsidRPr="00F6340E">
        <w:t xml:space="preserve"> </w:t>
      </w:r>
      <w:r>
        <w:t>мј</w:t>
      </w:r>
      <w:r w:rsidR="00EE6AA2">
        <w:t>е</w:t>
      </w:r>
      <w:r w:rsidR="0071360A">
        <w:t>ру</w:t>
      </w:r>
      <w:r w:rsidR="00872771" w:rsidRPr="00F6340E">
        <w:t xml:space="preserve"> </w:t>
      </w:r>
      <w:r w:rsidR="0071360A">
        <w:t>ут</w:t>
      </w:r>
      <w:r>
        <w:t>ицај</w:t>
      </w:r>
      <w:r w:rsidR="00872771" w:rsidRPr="00F6340E">
        <w:t xml:space="preserve"> </w:t>
      </w:r>
      <w:r>
        <w:t>од</w:t>
      </w:r>
      <w:r w:rsidR="0071360A">
        <w:t>р</w:t>
      </w:r>
      <w:r w:rsidR="00EE6AA2">
        <w:t>е</w:t>
      </w:r>
      <w:r>
        <w:t>ђ</w:t>
      </w:r>
      <w:r w:rsidR="00EE6AA2">
        <w:t>е</w:t>
      </w:r>
      <w:r>
        <w:t>них</w:t>
      </w:r>
      <w:r w:rsidR="00872771" w:rsidRPr="00F6340E">
        <w:t xml:space="preserve"> </w:t>
      </w:r>
      <w:r w:rsidR="0071360A">
        <w:t>с</w:t>
      </w:r>
      <w:r>
        <w:t>м</w:t>
      </w:r>
      <w:r w:rsidR="00EE6AA2">
        <w:t>е</w:t>
      </w:r>
      <w:r w:rsidR="0071360A">
        <w:t>т</w:t>
      </w:r>
      <w:r>
        <w:t>њи</w:t>
      </w:r>
      <w:r w:rsidR="00872771" w:rsidRPr="00F6340E">
        <w:t>.</w:t>
      </w:r>
    </w:p>
    <w:p w14:paraId="0100C8F8" w14:textId="28F580B7" w:rsidR="00872771" w:rsidRPr="00F6340E" w:rsidRDefault="00A56E08" w:rsidP="00210EE1">
      <w:pPr>
        <w:pStyle w:val="Body"/>
      </w:pPr>
      <w:r>
        <w:t>И</w:t>
      </w:r>
      <w:r w:rsidR="00171F00">
        <w:t>з</w:t>
      </w:r>
      <w:r w:rsidR="00872771" w:rsidRPr="00F6340E">
        <w:t xml:space="preserve"> </w:t>
      </w:r>
      <w:r>
        <w:t>на</w:t>
      </w:r>
      <w:r w:rsidR="0071360A">
        <w:t>в</w:t>
      </w:r>
      <w:r w:rsidR="00EE6AA2">
        <w:t>е</w:t>
      </w:r>
      <w:r>
        <w:t>д</w:t>
      </w:r>
      <w:r w:rsidR="00EE6AA2">
        <w:t>е</w:t>
      </w:r>
      <w:r>
        <w:t>ног</w:t>
      </w:r>
      <w:r w:rsidR="00872771" w:rsidRPr="00F6340E">
        <w:t xml:space="preserve"> </w:t>
      </w:r>
      <w:r w:rsidR="0071360A">
        <w:t>у</w:t>
      </w:r>
      <w:r>
        <w:t>оча</w:t>
      </w:r>
      <w:r w:rsidR="0071360A">
        <w:t>в</w:t>
      </w:r>
      <w:r>
        <w:t>амо</w:t>
      </w:r>
      <w:r w:rsidR="00872771" w:rsidRPr="00F6340E">
        <w:t xml:space="preserve"> </w:t>
      </w:r>
      <w:r>
        <w:t>кљ</w:t>
      </w:r>
      <w:r w:rsidR="0071360A">
        <w:t>у</w:t>
      </w:r>
      <w:r>
        <w:t>чн</w:t>
      </w:r>
      <w:r w:rsidR="00EE6AA2">
        <w:t>е</w:t>
      </w:r>
      <w:r w:rsidR="00872771" w:rsidRPr="00F6340E">
        <w:t xml:space="preserve"> </w:t>
      </w:r>
      <w:r w:rsidR="0071360A">
        <w:t>с</w:t>
      </w:r>
      <w:r>
        <w:t>а</w:t>
      </w:r>
      <w:r w:rsidR="0071360A">
        <w:t>ст</w:t>
      </w:r>
      <w:r>
        <w:t>а</w:t>
      </w:r>
      <w:r w:rsidR="0071360A">
        <w:t>в</w:t>
      </w:r>
      <w:r>
        <w:t>н</w:t>
      </w:r>
      <w:r w:rsidR="00EE6AA2">
        <w:t>е</w:t>
      </w:r>
      <w:r w:rsidR="00D02159" w:rsidRPr="00F6340E">
        <w:t xml:space="preserve"> </w:t>
      </w:r>
      <w:r>
        <w:t>диј</w:t>
      </w:r>
      <w:r w:rsidR="00EE6AA2">
        <w:t>е</w:t>
      </w:r>
      <w:r>
        <w:t>ло</w:t>
      </w:r>
      <w:r w:rsidR="0071360A">
        <w:t>в</w:t>
      </w:r>
      <w:r w:rsidR="00EE6AA2">
        <w:t>е</w:t>
      </w:r>
      <w:r w:rsidR="00872771" w:rsidRPr="00F6340E">
        <w:t xml:space="preserve"> </w:t>
      </w:r>
      <w:r w:rsidR="0071360A">
        <w:t>у</w:t>
      </w:r>
      <w:r>
        <w:t>ни</w:t>
      </w:r>
      <w:r w:rsidR="0071360A">
        <w:t>в</w:t>
      </w:r>
      <w:r w:rsidR="00EE6AA2">
        <w:t>е</w:t>
      </w:r>
      <w:r w:rsidR="0071360A">
        <w:t>р</w:t>
      </w:r>
      <w:r w:rsidR="00171F00">
        <w:t>з</w:t>
      </w:r>
      <w:r>
        <w:t>алног</w:t>
      </w:r>
      <w:r w:rsidR="00872771" w:rsidRPr="00F6340E">
        <w:t xml:space="preserve"> </w:t>
      </w:r>
      <w:r>
        <w:t>ди</w:t>
      </w:r>
      <w:r w:rsidR="00171F00">
        <w:t>з</w:t>
      </w:r>
      <w:r>
        <w:t>ајна</w:t>
      </w:r>
      <w:r w:rsidR="00872771" w:rsidRPr="00F6340E">
        <w:t xml:space="preserve"> </w:t>
      </w:r>
      <w:r w:rsidR="00171F00">
        <w:t>з</w:t>
      </w:r>
      <w:r>
        <w:t>а</w:t>
      </w:r>
      <w:r w:rsidR="00872771" w:rsidRPr="00F6340E">
        <w:t xml:space="preserve"> </w:t>
      </w:r>
      <w:r w:rsidR="0071360A">
        <w:t>у</w:t>
      </w:r>
      <w:r>
        <w:t>ч</w:t>
      </w:r>
      <w:r w:rsidR="00EE6AA2">
        <w:t>е</w:t>
      </w:r>
      <w:r>
        <w:t>њ</w:t>
      </w:r>
      <w:r w:rsidR="00EE6AA2">
        <w:t>е</w:t>
      </w:r>
      <w:r w:rsidR="00872771" w:rsidRPr="00F6340E">
        <w:t xml:space="preserve"> </w:t>
      </w:r>
      <w:r>
        <w:t>који</w:t>
      </w:r>
      <w:r w:rsidR="00872771" w:rsidRPr="00F6340E">
        <w:t xml:space="preserve"> </w:t>
      </w:r>
      <w:r>
        <w:t>одго</w:t>
      </w:r>
      <w:r w:rsidR="0071360A">
        <w:t>в</w:t>
      </w:r>
      <w:r>
        <w:t>а</w:t>
      </w:r>
      <w:r w:rsidR="0071360A">
        <w:t>р</w:t>
      </w:r>
      <w:r>
        <w:t>ај</w:t>
      </w:r>
      <w:r w:rsidR="0071360A">
        <w:t>у</w:t>
      </w:r>
      <w:r w:rsidR="00872771" w:rsidRPr="00F6340E">
        <w:t xml:space="preserve"> </w:t>
      </w:r>
      <w:r>
        <w:t>на</w:t>
      </w:r>
      <w:r w:rsidR="00872771" w:rsidRPr="00F6340E">
        <w:t xml:space="preserve"> </w:t>
      </w:r>
      <w:r w:rsidR="0071360A">
        <w:t>п</w:t>
      </w:r>
      <w:r>
        <w:t>и</w:t>
      </w:r>
      <w:r w:rsidR="0071360A">
        <w:t>т</w:t>
      </w:r>
      <w:r>
        <w:t>ања</w:t>
      </w:r>
      <w:r w:rsidR="00872771" w:rsidRPr="00F6340E">
        <w:t xml:space="preserve"> </w:t>
      </w:r>
      <w:r w:rsidR="0071360A">
        <w:t>шт</w:t>
      </w:r>
      <w:r>
        <w:t>а</w:t>
      </w:r>
      <w:r w:rsidR="00872771" w:rsidRPr="00F6340E">
        <w:t xml:space="preserve">, </w:t>
      </w:r>
      <w:r>
        <w:t>како</w:t>
      </w:r>
      <w:r w:rsidR="00872771" w:rsidRPr="00F6340E">
        <w:t xml:space="preserve"> </w:t>
      </w:r>
      <w:r>
        <w:t>и</w:t>
      </w:r>
      <w:r w:rsidR="00872771" w:rsidRPr="00F6340E">
        <w:t xml:space="preserve"> </w:t>
      </w:r>
      <w:r w:rsidR="00171F00">
        <w:t>з</w:t>
      </w:r>
      <w:r>
        <w:t>а</w:t>
      </w:r>
      <w:r w:rsidR="0071360A">
        <w:t>шт</w:t>
      </w:r>
      <w:r>
        <w:t>о</w:t>
      </w:r>
      <w:r w:rsidR="00872771" w:rsidRPr="00F6340E">
        <w:t xml:space="preserve"> </w:t>
      </w:r>
      <w:r w:rsidR="0071360A">
        <w:t>с</w:t>
      </w:r>
      <w:r w:rsidR="00EE6AA2">
        <w:t>е</w:t>
      </w:r>
      <w:r w:rsidR="00872771" w:rsidRPr="00F6340E">
        <w:t xml:space="preserve"> </w:t>
      </w:r>
      <w:r w:rsidR="0071360A">
        <w:t>у</w:t>
      </w:r>
      <w:r>
        <w:t>чи</w:t>
      </w:r>
      <w:r w:rsidR="00872771" w:rsidRPr="00F6340E">
        <w:t xml:space="preserve">, </w:t>
      </w:r>
      <w:r>
        <w:t>а</w:t>
      </w:r>
      <w:r w:rsidR="00872771" w:rsidRPr="00F6340E">
        <w:t xml:space="preserve"> </w:t>
      </w:r>
      <w:r>
        <w:t>кој</w:t>
      </w:r>
      <w:r w:rsidR="00EE6AA2">
        <w:t>е</w:t>
      </w:r>
      <w:r w:rsidR="00872771" w:rsidRPr="00F6340E">
        <w:t xml:space="preserve"> </w:t>
      </w:r>
      <w:r>
        <w:t>нала</w:t>
      </w:r>
      <w:r w:rsidR="00171F00">
        <w:t>ж</w:t>
      </w:r>
      <w:r w:rsidR="0071360A">
        <w:t>у</w:t>
      </w:r>
      <w:r w:rsidR="00872771" w:rsidRPr="00F6340E">
        <w:t xml:space="preserve"> </w:t>
      </w:r>
      <w:r>
        <w:t>на</w:t>
      </w:r>
      <w:r w:rsidR="0071360A">
        <w:t>ст</w:t>
      </w:r>
      <w:r>
        <w:t>а</w:t>
      </w:r>
      <w:r w:rsidR="0071360A">
        <w:t>в</w:t>
      </w:r>
      <w:r>
        <w:t>ницима</w:t>
      </w:r>
      <w:r w:rsidR="00872771" w:rsidRPr="00F6340E">
        <w:t xml:space="preserve"> </w:t>
      </w:r>
      <w:r w:rsidR="0071360A">
        <w:t>пр</w:t>
      </w:r>
      <w:r>
        <w:t>имј</w:t>
      </w:r>
      <w:r w:rsidR="00EE6AA2">
        <w:t>е</w:t>
      </w:r>
      <w:r>
        <w:t>н</w:t>
      </w:r>
      <w:r w:rsidR="0071360A">
        <w:t>у</w:t>
      </w:r>
      <w:r w:rsidR="00872771" w:rsidRPr="00F6340E">
        <w:t xml:space="preserve"> </w:t>
      </w:r>
      <w:r w:rsidR="0071360A">
        <w:t>с</w:t>
      </w:r>
      <w:r>
        <w:t>љ</w:t>
      </w:r>
      <w:r w:rsidR="00EE6AA2">
        <w:t>е</w:t>
      </w:r>
      <w:r>
        <w:t>д</w:t>
      </w:r>
      <w:r w:rsidR="00EE6AA2">
        <w:t>е</w:t>
      </w:r>
      <w:r>
        <w:t>ћих</w:t>
      </w:r>
      <w:r w:rsidR="00872771" w:rsidRPr="00F6340E">
        <w:t xml:space="preserve"> </w:t>
      </w:r>
      <w:r w:rsidR="0071360A">
        <w:t>пр</w:t>
      </w:r>
      <w:r>
        <w:t>инци</w:t>
      </w:r>
      <w:r w:rsidR="0071360A">
        <w:t>п</w:t>
      </w:r>
      <w:r>
        <w:t>а</w:t>
      </w:r>
      <w:r w:rsidR="00872771" w:rsidRPr="00F6340E">
        <w:t xml:space="preserve"> </w:t>
      </w:r>
      <w:r w:rsidR="0071360A">
        <w:t>у</w:t>
      </w:r>
      <w:r w:rsidR="00872771" w:rsidRPr="00F6340E">
        <w:t xml:space="preserve"> </w:t>
      </w:r>
      <w:r w:rsidR="0071360A">
        <w:t>пр</w:t>
      </w:r>
      <w:r>
        <w:t>оц</w:t>
      </w:r>
      <w:r w:rsidR="00EE6AA2">
        <w:t>е</w:t>
      </w:r>
      <w:r w:rsidR="0071360A">
        <w:t>су</w:t>
      </w:r>
      <w:r w:rsidR="00872771" w:rsidRPr="00F6340E">
        <w:t xml:space="preserve"> </w:t>
      </w:r>
      <w:r w:rsidR="0071360A">
        <w:t>у</w:t>
      </w:r>
      <w:r>
        <w:t>ч</w:t>
      </w:r>
      <w:r w:rsidR="00EE6AA2">
        <w:t>е</w:t>
      </w:r>
      <w:r>
        <w:t>ња</w:t>
      </w:r>
      <w:r w:rsidR="00872771" w:rsidRPr="00F6340E">
        <w:t xml:space="preserve"> </w:t>
      </w:r>
      <w:r>
        <w:t>и</w:t>
      </w:r>
      <w:r w:rsidR="00872771" w:rsidRPr="00F6340E">
        <w:t xml:space="preserve"> </w:t>
      </w:r>
      <w:r w:rsidR="0071360A">
        <w:t>п</w:t>
      </w:r>
      <w:r>
        <w:t>од</w:t>
      </w:r>
      <w:r w:rsidR="0071360A">
        <w:t>у</w:t>
      </w:r>
      <w:r>
        <w:t>ча</w:t>
      </w:r>
      <w:r w:rsidR="0071360A">
        <w:t>в</w:t>
      </w:r>
      <w:r>
        <w:t>ања</w:t>
      </w:r>
      <w:r w:rsidR="00872771" w:rsidRPr="00F6340E">
        <w:t xml:space="preserve">: </w:t>
      </w:r>
      <w:r>
        <w:t>о</w:t>
      </w:r>
      <w:r w:rsidR="0071360A">
        <w:t>с</w:t>
      </w:r>
      <w:r>
        <w:t>иг</w:t>
      </w:r>
      <w:r w:rsidR="0071360A">
        <w:t>ур</w:t>
      </w:r>
      <w:r>
        <w:t>а</w:t>
      </w:r>
      <w:r w:rsidR="0071360A">
        <w:t>т</w:t>
      </w:r>
      <w:r>
        <w:t>и</w:t>
      </w:r>
      <w:r w:rsidR="00872771" w:rsidRPr="00F6340E">
        <w:t xml:space="preserve"> </w:t>
      </w:r>
      <w:r w:rsidR="0071360A">
        <w:t>р</w:t>
      </w:r>
      <w:r>
        <w:t>а</w:t>
      </w:r>
      <w:r w:rsidR="00171F00">
        <w:t>з</w:t>
      </w:r>
      <w:r>
        <w:t>личи</w:t>
      </w:r>
      <w:r w:rsidR="0071360A">
        <w:t>т</w:t>
      </w:r>
      <w:r w:rsidR="00EE6AA2">
        <w:t>е</w:t>
      </w:r>
      <w:r w:rsidR="00872771" w:rsidRPr="00F6340E">
        <w:t xml:space="preserve"> </w:t>
      </w:r>
      <w:r>
        <w:t>начин</w:t>
      </w:r>
      <w:r w:rsidR="00EE6AA2">
        <w:t>е</w:t>
      </w:r>
      <w:r w:rsidR="00872771" w:rsidRPr="00F6340E">
        <w:t xml:space="preserve"> </w:t>
      </w:r>
      <w:r>
        <w:t>и</w:t>
      </w:r>
      <w:r w:rsidR="00171F00">
        <w:t>з</w:t>
      </w:r>
      <w:r>
        <w:t>лагања</w:t>
      </w:r>
      <w:r w:rsidR="00872771" w:rsidRPr="00F6340E">
        <w:t xml:space="preserve"> </w:t>
      </w:r>
      <w:r w:rsidR="0071360A">
        <w:t>с</w:t>
      </w:r>
      <w:r>
        <w:t>ад</w:t>
      </w:r>
      <w:r w:rsidR="0071360A">
        <w:t>р</w:t>
      </w:r>
      <w:r w:rsidR="00171F00">
        <w:t>ж</w:t>
      </w:r>
      <w:r>
        <w:t>аја</w:t>
      </w:r>
      <w:r w:rsidR="00872771" w:rsidRPr="00F6340E">
        <w:t xml:space="preserve">, </w:t>
      </w:r>
      <w:r>
        <w:t>о</w:t>
      </w:r>
      <w:r w:rsidR="0071360A">
        <w:t>с</w:t>
      </w:r>
      <w:r>
        <w:t>иг</w:t>
      </w:r>
      <w:r w:rsidR="0071360A">
        <w:t>ур</w:t>
      </w:r>
      <w:r>
        <w:t>а</w:t>
      </w:r>
      <w:r w:rsidR="0071360A">
        <w:t>т</w:t>
      </w:r>
      <w:r>
        <w:t>и</w:t>
      </w:r>
      <w:r w:rsidR="00872771" w:rsidRPr="00F6340E">
        <w:t xml:space="preserve"> </w:t>
      </w:r>
      <w:r>
        <w:t>мог</w:t>
      </w:r>
      <w:r w:rsidR="0071360A">
        <w:t>у</w:t>
      </w:r>
      <w:r>
        <w:t>ћно</w:t>
      </w:r>
      <w:r w:rsidR="0071360A">
        <w:t>ст</w:t>
      </w:r>
      <w:r w:rsidR="00872771" w:rsidRPr="00F6340E">
        <w:t xml:space="preserve"> </w:t>
      </w:r>
      <w:r w:rsidR="0071360A">
        <w:t>р</w:t>
      </w:r>
      <w:r>
        <w:t>а</w:t>
      </w:r>
      <w:r w:rsidR="00171F00">
        <w:t>з</w:t>
      </w:r>
      <w:r>
        <w:t>личи</w:t>
      </w:r>
      <w:r w:rsidR="0071360A">
        <w:t>т</w:t>
      </w:r>
      <w:r>
        <w:t>ог</w:t>
      </w:r>
      <w:r w:rsidR="00872771" w:rsidRPr="00F6340E">
        <w:t xml:space="preserve"> </w:t>
      </w:r>
      <w:r>
        <w:t>и</w:t>
      </w:r>
      <w:r w:rsidR="00171F00">
        <w:t>з</w:t>
      </w:r>
      <w:r w:rsidR="0071360A">
        <w:t>р</w:t>
      </w:r>
      <w:r>
        <w:t>а</w:t>
      </w:r>
      <w:r w:rsidR="00171F00">
        <w:t>ж</w:t>
      </w:r>
      <w:r>
        <w:t>аја</w:t>
      </w:r>
      <w:r w:rsidR="001D6917" w:rsidRPr="00F6340E">
        <w:t xml:space="preserve"> </w:t>
      </w:r>
      <w:r w:rsidR="0071360A">
        <w:t>у</w:t>
      </w:r>
      <w:r>
        <w:t>ч</w:t>
      </w:r>
      <w:r w:rsidR="00EE6AA2">
        <w:t>е</w:t>
      </w:r>
      <w:r>
        <w:t>ника</w:t>
      </w:r>
      <w:r w:rsidR="00872771" w:rsidRPr="00F6340E">
        <w:t xml:space="preserve"> </w:t>
      </w:r>
      <w:r>
        <w:t>и</w:t>
      </w:r>
      <w:r w:rsidR="00872771" w:rsidRPr="00F6340E">
        <w:t xml:space="preserve"> </w:t>
      </w:r>
      <w:r>
        <w:t>о</w:t>
      </w:r>
      <w:r w:rsidR="0071360A">
        <w:t>с</w:t>
      </w:r>
      <w:r>
        <w:t>иг</w:t>
      </w:r>
      <w:r w:rsidR="0071360A">
        <w:t>ур</w:t>
      </w:r>
      <w:r>
        <w:t>а</w:t>
      </w:r>
      <w:r w:rsidR="0071360A">
        <w:t>т</w:t>
      </w:r>
      <w:r>
        <w:t>и</w:t>
      </w:r>
      <w:r w:rsidR="00872771" w:rsidRPr="00F6340E">
        <w:t xml:space="preserve"> </w:t>
      </w:r>
      <w:r w:rsidR="0071360A">
        <w:t>у</w:t>
      </w:r>
      <w:r>
        <w:t>ч</w:t>
      </w:r>
      <w:r w:rsidR="00EE6AA2">
        <w:t>е</w:t>
      </w:r>
      <w:r w:rsidR="0071360A">
        <w:t>ств</w:t>
      </w:r>
      <w:r>
        <w:t>о</w:t>
      </w:r>
      <w:r w:rsidR="0071360A">
        <w:t>в</w:t>
      </w:r>
      <w:r>
        <w:t>ањ</w:t>
      </w:r>
      <w:r w:rsidR="00EE6AA2">
        <w:t>е</w:t>
      </w:r>
      <w:r w:rsidR="00872771" w:rsidRPr="00F6340E">
        <w:t xml:space="preserve"> </w:t>
      </w:r>
      <w:r>
        <w:t>и</w:t>
      </w:r>
      <w:r w:rsidR="00872771" w:rsidRPr="00F6340E">
        <w:t xml:space="preserve"> </w:t>
      </w:r>
      <w:r>
        <w:t>мо</w:t>
      </w:r>
      <w:r w:rsidR="0071360A">
        <w:t>т</w:t>
      </w:r>
      <w:r>
        <w:t>и</w:t>
      </w:r>
      <w:r w:rsidR="0071360A">
        <w:t>в</w:t>
      </w:r>
      <w:r>
        <w:t>ациј</w:t>
      </w:r>
      <w:r w:rsidR="0071360A">
        <w:t>у</w:t>
      </w:r>
      <w:r w:rsidR="00872771" w:rsidRPr="00F6340E">
        <w:t xml:space="preserve"> </w:t>
      </w:r>
      <w:r w:rsidR="0071360A">
        <w:t>у</w:t>
      </w:r>
      <w:r w:rsidR="00872771" w:rsidRPr="00F6340E">
        <w:t xml:space="preserve"> </w:t>
      </w:r>
      <w:r w:rsidR="0071360A">
        <w:t>у</w:t>
      </w:r>
      <w:r>
        <w:t>ч</w:t>
      </w:r>
      <w:r w:rsidR="00EE6AA2">
        <w:t>е</w:t>
      </w:r>
      <w:r>
        <w:t>њ</w:t>
      </w:r>
      <w:r w:rsidR="0071360A">
        <w:t>у</w:t>
      </w:r>
      <w:r w:rsidR="00872771" w:rsidRPr="00F6340E">
        <w:t xml:space="preserve">. </w:t>
      </w:r>
    </w:p>
    <w:p w14:paraId="4515564E" w14:textId="51C229C1" w:rsidR="00872771" w:rsidRPr="00210EE1" w:rsidRDefault="0071360A" w:rsidP="00210EE1">
      <w:pPr>
        <w:pStyle w:val="Body"/>
        <w:rPr>
          <w:bCs/>
          <w:lang w:val="en-US"/>
        </w:rPr>
      </w:pPr>
      <w:r>
        <w:t>У</w:t>
      </w:r>
      <w:r w:rsidR="00A56E08">
        <w:t>ни</w:t>
      </w:r>
      <w:r>
        <w:t>в</w:t>
      </w:r>
      <w:r w:rsidR="00EE6AA2">
        <w:t>е</w:t>
      </w:r>
      <w:r>
        <w:t>р</w:t>
      </w:r>
      <w:r w:rsidR="00171F00">
        <w:t>з</w:t>
      </w:r>
      <w:r w:rsidR="00A56E08">
        <w:t>ални</w:t>
      </w:r>
      <w:r w:rsidR="00872771" w:rsidRPr="00F6340E">
        <w:t xml:space="preserve"> </w:t>
      </w:r>
      <w:r w:rsidR="00A56E08">
        <w:t>ди</w:t>
      </w:r>
      <w:r w:rsidR="00171F00">
        <w:t>з</w:t>
      </w:r>
      <w:r w:rsidR="00A56E08">
        <w:t>ајн</w:t>
      </w:r>
      <w:r w:rsidR="00872771" w:rsidRPr="00F6340E">
        <w:t xml:space="preserve"> </w:t>
      </w:r>
      <w:r w:rsidR="00171F00">
        <w:t>з</w:t>
      </w:r>
      <w:r w:rsidR="00A56E08">
        <w:t>а</w:t>
      </w:r>
      <w:r w:rsidR="00872771" w:rsidRPr="00F6340E">
        <w:t xml:space="preserve"> </w:t>
      </w:r>
      <w:r>
        <w:t>у</w:t>
      </w:r>
      <w:r w:rsidR="00A56E08">
        <w:t>ч</w:t>
      </w:r>
      <w:r w:rsidR="00EE6AA2">
        <w:t>е</w:t>
      </w:r>
      <w:r w:rsidR="00A56E08">
        <w:t>њ</w:t>
      </w:r>
      <w:r w:rsidR="00EE6AA2">
        <w:t>е</w:t>
      </w:r>
      <w:r w:rsidR="00872771" w:rsidRPr="00F6340E">
        <w:t xml:space="preserve"> </w:t>
      </w:r>
      <w:r>
        <w:t>пр</w:t>
      </w:r>
      <w:r w:rsidR="00EE6AA2">
        <w:t>е</w:t>
      </w:r>
      <w:r w:rsidR="00A56E08">
        <w:t>д</w:t>
      </w:r>
      <w:r>
        <w:t>ст</w:t>
      </w:r>
      <w:r w:rsidR="00A56E08">
        <w:t>а</w:t>
      </w:r>
      <w:r>
        <w:t>в</w:t>
      </w:r>
      <w:r w:rsidR="00A56E08">
        <w:t>ља</w:t>
      </w:r>
      <w:r w:rsidR="00872771" w:rsidRPr="00F6340E">
        <w:t xml:space="preserve"> </w:t>
      </w:r>
      <w:r w:rsidR="00A56E08">
        <w:t>ок</w:t>
      </w:r>
      <w:r>
        <w:t>в</w:t>
      </w:r>
      <w:r w:rsidR="00A56E08">
        <w:t>и</w:t>
      </w:r>
      <w:r>
        <w:t>р</w:t>
      </w:r>
      <w:r w:rsidR="00872771" w:rsidRPr="00F6340E">
        <w:t xml:space="preserve"> </w:t>
      </w:r>
      <w:r w:rsidR="00171F00">
        <w:t>з</w:t>
      </w:r>
      <w:r w:rsidR="00A56E08">
        <w:t>а</w:t>
      </w:r>
      <w:r w:rsidR="00872771" w:rsidRPr="00F6340E">
        <w:t xml:space="preserve"> </w:t>
      </w:r>
      <w:r w:rsidR="00A56E08">
        <w:t>к</w:t>
      </w:r>
      <w:r>
        <w:t>в</w:t>
      </w:r>
      <w:r w:rsidR="00A56E08">
        <w:t>али</w:t>
      </w:r>
      <w:r>
        <w:t>т</w:t>
      </w:r>
      <w:r w:rsidR="00EE6AA2">
        <w:t>е</w:t>
      </w:r>
      <w:r>
        <w:t>т</w:t>
      </w:r>
      <w:r w:rsidR="00A56E08">
        <w:t>но</w:t>
      </w:r>
      <w:r w:rsidR="00872771" w:rsidRPr="00F6340E">
        <w:t xml:space="preserve"> </w:t>
      </w:r>
      <w:r w:rsidR="00A56E08">
        <w:t>об</w:t>
      </w:r>
      <w:r>
        <w:t>р</w:t>
      </w:r>
      <w:r w:rsidR="00A56E08">
        <w:t>а</w:t>
      </w:r>
      <w:r w:rsidR="00171F00">
        <w:t>з</w:t>
      </w:r>
      <w:r w:rsidR="00A56E08">
        <w:t>о</w:t>
      </w:r>
      <w:r>
        <w:t>в</w:t>
      </w:r>
      <w:r w:rsidR="00A56E08">
        <w:t>ањ</w:t>
      </w:r>
      <w:r w:rsidR="00EE6AA2">
        <w:t>е</w:t>
      </w:r>
      <w:r w:rsidR="00872771" w:rsidRPr="00F6340E">
        <w:t xml:space="preserve"> </w:t>
      </w:r>
      <w:r w:rsidR="00A56E08">
        <w:t>и</w:t>
      </w:r>
      <w:r w:rsidR="00872771" w:rsidRPr="00F6340E">
        <w:t xml:space="preserve"> </w:t>
      </w:r>
      <w:r>
        <w:t>пут</w:t>
      </w:r>
      <w:r w:rsidR="00A56E08">
        <w:t>ока</w:t>
      </w:r>
      <w:r w:rsidR="00171F00">
        <w:t>з</w:t>
      </w:r>
      <w:r w:rsidR="00872771" w:rsidRPr="00F6340E">
        <w:t xml:space="preserve"> </w:t>
      </w:r>
      <w:r w:rsidR="00171F00">
        <w:t>з</w:t>
      </w:r>
      <w:r w:rsidR="00A56E08">
        <w:t>а</w:t>
      </w:r>
      <w:r w:rsidR="00872771" w:rsidRPr="00F6340E">
        <w:t xml:space="preserve"> </w:t>
      </w:r>
      <w:r>
        <w:t>р</w:t>
      </w:r>
      <w:r w:rsidR="00A56E08">
        <w:t>а</w:t>
      </w:r>
      <w:r w:rsidR="00171F00">
        <w:t>з</w:t>
      </w:r>
      <w:r>
        <w:t>в</w:t>
      </w:r>
      <w:r w:rsidR="00A56E08">
        <w:t>ој</w:t>
      </w:r>
      <w:r w:rsidR="00872771" w:rsidRPr="00F6340E">
        <w:t xml:space="preserve"> </w:t>
      </w:r>
      <w:r w:rsidR="00A56E08">
        <w:t>фл</w:t>
      </w:r>
      <w:r w:rsidR="00EE6AA2">
        <w:t>е</w:t>
      </w:r>
      <w:r w:rsidR="00A56E08">
        <w:t>к</w:t>
      </w:r>
      <w:r>
        <w:t>с</w:t>
      </w:r>
      <w:r w:rsidR="00A56E08">
        <w:t>ибилног</w:t>
      </w:r>
      <w:r w:rsidR="00872771" w:rsidRPr="00F6340E">
        <w:t xml:space="preserve"> </w:t>
      </w:r>
      <w:r w:rsidR="00A56E08">
        <w:t>ок</w:t>
      </w:r>
      <w:r>
        <w:t>ру</w:t>
      </w:r>
      <w:r w:rsidR="00CB5414">
        <w:t>ж</w:t>
      </w:r>
      <w:r w:rsidR="00EE6AA2">
        <w:t>е</w:t>
      </w:r>
      <w:r w:rsidR="00A56E08">
        <w:t>ња</w:t>
      </w:r>
      <w:r w:rsidR="00872771" w:rsidRPr="00F6340E">
        <w:t xml:space="preserve"> </w:t>
      </w:r>
      <w:r w:rsidR="00171F00">
        <w:t>з</w:t>
      </w:r>
      <w:r w:rsidR="00A56E08">
        <w:t>а</w:t>
      </w:r>
      <w:r w:rsidR="00872771" w:rsidRPr="00F6340E">
        <w:t xml:space="preserve"> </w:t>
      </w:r>
      <w:r>
        <w:t>у</w:t>
      </w:r>
      <w:r w:rsidR="00CB5414">
        <w:t>ч</w:t>
      </w:r>
      <w:r w:rsidR="00EE6AA2">
        <w:t>е</w:t>
      </w:r>
      <w:r w:rsidR="00A56E08">
        <w:t>њ</w:t>
      </w:r>
      <w:r w:rsidR="00EE6AA2">
        <w:t>е</w:t>
      </w:r>
      <w:r w:rsidR="00872771" w:rsidRPr="00F6340E">
        <w:t xml:space="preserve"> </w:t>
      </w:r>
      <w:r w:rsidR="00A56E08">
        <w:t>кој</w:t>
      </w:r>
      <w:r w:rsidR="00EE6AA2">
        <w:t>е</w:t>
      </w:r>
      <w:r w:rsidR="00872771" w:rsidRPr="00F6340E">
        <w:t xml:space="preserve"> </w:t>
      </w:r>
      <w:r w:rsidR="00A56E08">
        <w:t>мо</w:t>
      </w:r>
      <w:r w:rsidR="00CB5414">
        <w:t>ж</w:t>
      </w:r>
      <w:r w:rsidR="00EE6AA2">
        <w:t>е</w:t>
      </w:r>
      <w:r w:rsidR="00872771" w:rsidRPr="00F6340E">
        <w:t xml:space="preserve"> </w:t>
      </w:r>
      <w:r w:rsidR="00A56E08">
        <w:t>би</w:t>
      </w:r>
      <w:r>
        <w:t>т</w:t>
      </w:r>
      <w:r w:rsidR="00A56E08">
        <w:t>и</w:t>
      </w:r>
      <w:r w:rsidR="00872771" w:rsidRPr="00F6340E">
        <w:t xml:space="preserve"> </w:t>
      </w:r>
      <w:r>
        <w:t>пр</w:t>
      </w:r>
      <w:r w:rsidR="00A56E08">
        <w:t>илагођ</w:t>
      </w:r>
      <w:r w:rsidR="00EE6AA2">
        <w:t>е</w:t>
      </w:r>
      <w:r w:rsidR="00A56E08">
        <w:t>но</w:t>
      </w:r>
      <w:r w:rsidR="00872771" w:rsidRPr="00F6340E">
        <w:t xml:space="preserve"> </w:t>
      </w:r>
      <w:r w:rsidR="00A56E08">
        <w:t>личним</w:t>
      </w:r>
      <w:r w:rsidR="00872771" w:rsidRPr="00F6340E">
        <w:t xml:space="preserve"> </w:t>
      </w:r>
      <w:r>
        <w:t>р</w:t>
      </w:r>
      <w:r w:rsidR="00A56E08">
        <w:t>а</w:t>
      </w:r>
      <w:r w:rsidR="00171F00">
        <w:t>з</w:t>
      </w:r>
      <w:r w:rsidR="00A56E08">
        <w:t>ликама</w:t>
      </w:r>
      <w:r w:rsidR="00872771" w:rsidRPr="00F6340E">
        <w:t xml:space="preserve"> </w:t>
      </w:r>
      <w:r>
        <w:t>у</w:t>
      </w:r>
      <w:r w:rsidR="00872771" w:rsidRPr="00F6340E">
        <w:t xml:space="preserve"> </w:t>
      </w:r>
      <w:r>
        <w:t>у</w:t>
      </w:r>
      <w:r w:rsidR="00CB5414">
        <w:t>ч</w:t>
      </w:r>
      <w:r w:rsidR="00EE6AA2">
        <w:t>е</w:t>
      </w:r>
      <w:r w:rsidR="00A56E08">
        <w:t>њ</w:t>
      </w:r>
      <w:r>
        <w:t>у</w:t>
      </w:r>
      <w:r w:rsidR="00872771" w:rsidRPr="00F6340E">
        <w:t xml:space="preserve"> </w:t>
      </w:r>
      <w:r w:rsidR="00872771" w:rsidRPr="00F6340E">
        <w:rPr>
          <w:bCs/>
        </w:rPr>
        <w:t>(</w:t>
      </w:r>
      <w:r w:rsidR="00A56E08">
        <w:rPr>
          <w:bCs/>
        </w:rPr>
        <w:t>Бј</w:t>
      </w:r>
      <w:r w:rsidR="00EE6AA2">
        <w:rPr>
          <w:bCs/>
        </w:rPr>
        <w:t>е</w:t>
      </w:r>
      <w:r w:rsidR="00A56E08">
        <w:rPr>
          <w:bCs/>
        </w:rPr>
        <w:t>лан</w:t>
      </w:r>
      <w:r w:rsidR="00872771" w:rsidRPr="00F6340E">
        <w:rPr>
          <w:bCs/>
        </w:rPr>
        <w:t xml:space="preserve"> – </w:t>
      </w:r>
      <w:r w:rsidR="00A56E08">
        <w:rPr>
          <w:bCs/>
        </w:rPr>
        <w:t>Г</w:t>
      </w:r>
      <w:r>
        <w:rPr>
          <w:bCs/>
        </w:rPr>
        <w:t>ус</w:t>
      </w:r>
      <w:r w:rsidR="00A56E08">
        <w:rPr>
          <w:bCs/>
        </w:rPr>
        <w:t>ка</w:t>
      </w:r>
      <w:r w:rsidR="00872771" w:rsidRPr="00F6340E">
        <w:rPr>
          <w:bCs/>
        </w:rPr>
        <w:t xml:space="preserve"> </w:t>
      </w:r>
      <w:r w:rsidR="00A56E08">
        <w:rPr>
          <w:bCs/>
        </w:rPr>
        <w:t>и</w:t>
      </w:r>
      <w:r w:rsidR="00872771" w:rsidRPr="00F6340E">
        <w:rPr>
          <w:bCs/>
        </w:rPr>
        <w:t xml:space="preserve"> </w:t>
      </w:r>
      <w:r w:rsidR="00A56E08">
        <w:rPr>
          <w:bCs/>
        </w:rPr>
        <w:t>Манко</w:t>
      </w:r>
      <w:r w:rsidR="00872771" w:rsidRPr="00F6340E">
        <w:rPr>
          <w:bCs/>
        </w:rPr>
        <w:t xml:space="preserve">, 2020: 31), </w:t>
      </w:r>
      <w:r w:rsidR="00A56E08">
        <w:rPr>
          <w:bCs/>
        </w:rPr>
        <w:t>али</w:t>
      </w:r>
      <w:r w:rsidR="00872771" w:rsidRPr="00F6340E">
        <w:rPr>
          <w:bCs/>
        </w:rPr>
        <w:t xml:space="preserve"> </w:t>
      </w:r>
      <w:r w:rsidR="00A56E08">
        <w:rPr>
          <w:bCs/>
        </w:rPr>
        <w:t>он</w:t>
      </w:r>
      <w:r w:rsidR="00872771" w:rsidRPr="00F6340E">
        <w:rPr>
          <w:bCs/>
        </w:rPr>
        <w:t xml:space="preserve"> </w:t>
      </w:r>
      <w:r w:rsidR="00A56E08">
        <w:rPr>
          <w:bCs/>
        </w:rPr>
        <w:t>н</w:t>
      </w:r>
      <w:r w:rsidR="00EE6AA2">
        <w:rPr>
          <w:bCs/>
        </w:rPr>
        <w:t>е</w:t>
      </w:r>
      <w:r w:rsidR="00872771" w:rsidRPr="00F6340E">
        <w:rPr>
          <w:bCs/>
        </w:rPr>
        <w:t xml:space="preserve"> </w:t>
      </w:r>
      <w:r w:rsidR="00A56E08">
        <w:rPr>
          <w:bCs/>
        </w:rPr>
        <w:t>и</w:t>
      </w:r>
      <w:r>
        <w:rPr>
          <w:bCs/>
        </w:rPr>
        <w:t>с</w:t>
      </w:r>
      <w:r w:rsidR="00A56E08">
        <w:rPr>
          <w:bCs/>
        </w:rPr>
        <w:t>кљ</w:t>
      </w:r>
      <w:r>
        <w:rPr>
          <w:bCs/>
        </w:rPr>
        <w:t>у</w:t>
      </w:r>
      <w:r w:rsidR="00A56E08">
        <w:rPr>
          <w:bCs/>
        </w:rPr>
        <w:t>ч</w:t>
      </w:r>
      <w:r>
        <w:rPr>
          <w:bCs/>
        </w:rPr>
        <w:t>у</w:t>
      </w:r>
      <w:r w:rsidR="00A56E08">
        <w:rPr>
          <w:bCs/>
        </w:rPr>
        <w:t>ј</w:t>
      </w:r>
      <w:r w:rsidR="00EE6AA2">
        <w:rPr>
          <w:bCs/>
        </w:rPr>
        <w:t>е</w:t>
      </w:r>
      <w:r w:rsidR="00872771" w:rsidRPr="00F6340E">
        <w:rPr>
          <w:bCs/>
        </w:rPr>
        <w:t xml:space="preserve"> </w:t>
      </w:r>
      <w:r>
        <w:rPr>
          <w:bCs/>
        </w:rPr>
        <w:t>в</w:t>
      </w:r>
      <w:r w:rsidR="00A56E08">
        <w:rPr>
          <w:bCs/>
        </w:rPr>
        <w:t>а</w:t>
      </w:r>
      <w:r w:rsidR="00171F00">
        <w:rPr>
          <w:bCs/>
        </w:rPr>
        <w:t>ж</w:t>
      </w:r>
      <w:r w:rsidR="00A56E08">
        <w:rPr>
          <w:bCs/>
        </w:rPr>
        <w:t>но</w:t>
      </w:r>
      <w:r>
        <w:rPr>
          <w:bCs/>
        </w:rPr>
        <w:t>ст</w:t>
      </w:r>
      <w:r w:rsidR="00872771" w:rsidRPr="00F6340E">
        <w:rPr>
          <w:bCs/>
        </w:rPr>
        <w:t xml:space="preserve"> </w:t>
      </w:r>
      <w:r w:rsidR="00A56E08">
        <w:rPr>
          <w:bCs/>
        </w:rPr>
        <w:t>личног</w:t>
      </w:r>
      <w:r w:rsidR="00872771" w:rsidRPr="00F6340E">
        <w:rPr>
          <w:bCs/>
        </w:rPr>
        <w:t xml:space="preserve"> </w:t>
      </w:r>
      <w:r>
        <w:rPr>
          <w:bCs/>
        </w:rPr>
        <w:t>п</w:t>
      </w:r>
      <w:r w:rsidR="00A56E08">
        <w:rPr>
          <w:bCs/>
        </w:rPr>
        <w:t>лана</w:t>
      </w:r>
      <w:r w:rsidR="00872771" w:rsidRPr="00F6340E">
        <w:rPr>
          <w:bCs/>
        </w:rPr>
        <w:t xml:space="preserve"> </w:t>
      </w:r>
      <w:r w:rsidR="00A56E08">
        <w:rPr>
          <w:bCs/>
        </w:rPr>
        <w:t>и</w:t>
      </w:r>
      <w:r w:rsidR="00872771" w:rsidRPr="00F6340E">
        <w:rPr>
          <w:bCs/>
        </w:rPr>
        <w:t xml:space="preserve"> </w:t>
      </w:r>
      <w:r>
        <w:rPr>
          <w:bCs/>
        </w:rPr>
        <w:t>пр</w:t>
      </w:r>
      <w:r w:rsidR="00A56E08">
        <w:rPr>
          <w:bCs/>
        </w:rPr>
        <w:t>ог</w:t>
      </w:r>
      <w:r>
        <w:rPr>
          <w:bCs/>
        </w:rPr>
        <w:t>р</w:t>
      </w:r>
      <w:r w:rsidR="00A56E08">
        <w:rPr>
          <w:bCs/>
        </w:rPr>
        <w:t>ама</w:t>
      </w:r>
      <w:r w:rsidR="00872771" w:rsidRPr="00F6340E">
        <w:rPr>
          <w:bCs/>
        </w:rPr>
        <w:t xml:space="preserve"> (</w:t>
      </w:r>
      <w:r w:rsidR="00A56E08">
        <w:rPr>
          <w:bCs/>
        </w:rPr>
        <w:t>И</w:t>
      </w:r>
      <w:r>
        <w:rPr>
          <w:bCs/>
        </w:rPr>
        <w:t>ПП</w:t>
      </w:r>
      <w:r w:rsidR="00872771" w:rsidRPr="00F6340E">
        <w:rPr>
          <w:bCs/>
        </w:rPr>
        <w:t xml:space="preserve">), </w:t>
      </w:r>
      <w:r>
        <w:rPr>
          <w:bCs/>
        </w:rPr>
        <w:t>т</w:t>
      </w:r>
      <w:r w:rsidR="00A56E08">
        <w:rPr>
          <w:bCs/>
        </w:rPr>
        <w:t>амо</w:t>
      </w:r>
      <w:r w:rsidR="00872771" w:rsidRPr="00F6340E">
        <w:rPr>
          <w:bCs/>
        </w:rPr>
        <w:t xml:space="preserve"> </w:t>
      </w:r>
      <w:r w:rsidR="00A56E08">
        <w:rPr>
          <w:bCs/>
        </w:rPr>
        <w:t>гдј</w:t>
      </w:r>
      <w:r w:rsidR="00EE6AA2">
        <w:rPr>
          <w:bCs/>
        </w:rPr>
        <w:t>е</w:t>
      </w:r>
      <w:r w:rsidR="00872771" w:rsidRPr="00F6340E">
        <w:rPr>
          <w:bCs/>
        </w:rPr>
        <w:t xml:space="preserve"> </w:t>
      </w:r>
      <w:r w:rsidR="00A56E08">
        <w:rPr>
          <w:bCs/>
        </w:rPr>
        <w:t>ј</w:t>
      </w:r>
      <w:r w:rsidR="00EE6AA2">
        <w:rPr>
          <w:bCs/>
        </w:rPr>
        <w:t>е</w:t>
      </w:r>
      <w:r w:rsidR="00872771" w:rsidRPr="00F6340E">
        <w:rPr>
          <w:bCs/>
        </w:rPr>
        <w:t xml:space="preserve"> </w:t>
      </w:r>
      <w:r>
        <w:rPr>
          <w:bCs/>
        </w:rPr>
        <w:t>п</w:t>
      </w:r>
      <w:r w:rsidR="00A56E08">
        <w:rPr>
          <w:bCs/>
        </w:rPr>
        <w:t>о</w:t>
      </w:r>
      <w:r>
        <w:rPr>
          <w:bCs/>
        </w:rPr>
        <w:t>тр</w:t>
      </w:r>
      <w:r w:rsidR="00EE6AA2">
        <w:rPr>
          <w:bCs/>
        </w:rPr>
        <w:t>е</w:t>
      </w:r>
      <w:r w:rsidR="00A56E08">
        <w:rPr>
          <w:bCs/>
        </w:rPr>
        <w:t>бан</w:t>
      </w:r>
      <w:r w:rsidR="00872771" w:rsidRPr="00F6340E">
        <w:rPr>
          <w:bCs/>
        </w:rPr>
        <w:t xml:space="preserve">, </w:t>
      </w:r>
      <w:r w:rsidR="00A56E08">
        <w:rPr>
          <w:bCs/>
        </w:rPr>
        <w:t>ни</w:t>
      </w:r>
      <w:r>
        <w:rPr>
          <w:bCs/>
        </w:rPr>
        <w:t>т</w:t>
      </w:r>
      <w:r w:rsidR="00A56E08">
        <w:rPr>
          <w:bCs/>
        </w:rPr>
        <w:t>и</w:t>
      </w:r>
      <w:r w:rsidR="00872771" w:rsidRPr="00F6340E">
        <w:rPr>
          <w:bCs/>
        </w:rPr>
        <w:t xml:space="preserve"> </w:t>
      </w:r>
      <w:r w:rsidR="00A56E08">
        <w:rPr>
          <w:bCs/>
        </w:rPr>
        <w:t>мог</w:t>
      </w:r>
      <w:r>
        <w:rPr>
          <w:bCs/>
        </w:rPr>
        <w:t>у</w:t>
      </w:r>
      <w:r w:rsidR="00A56E08">
        <w:rPr>
          <w:bCs/>
        </w:rPr>
        <w:t>ћно</w:t>
      </w:r>
      <w:r>
        <w:rPr>
          <w:bCs/>
        </w:rPr>
        <w:t>ст</w:t>
      </w:r>
      <w:r w:rsidR="00872771" w:rsidRPr="00F6340E">
        <w:rPr>
          <w:bCs/>
        </w:rPr>
        <w:t xml:space="preserve"> </w:t>
      </w:r>
      <w:r w:rsidR="00A56E08">
        <w:rPr>
          <w:bCs/>
        </w:rPr>
        <w:t>и</w:t>
      </w:r>
      <w:r w:rsidR="00872771" w:rsidRPr="00F6340E">
        <w:rPr>
          <w:bCs/>
        </w:rPr>
        <w:t xml:space="preserve"> </w:t>
      </w:r>
      <w:r>
        <w:rPr>
          <w:bCs/>
        </w:rPr>
        <w:t>п</w:t>
      </w:r>
      <w:r w:rsidR="00A56E08">
        <w:rPr>
          <w:bCs/>
        </w:rPr>
        <w:t>о</w:t>
      </w:r>
      <w:r>
        <w:rPr>
          <w:bCs/>
        </w:rPr>
        <w:t>тр</w:t>
      </w:r>
      <w:r w:rsidR="00EE6AA2">
        <w:rPr>
          <w:bCs/>
        </w:rPr>
        <w:t>е</w:t>
      </w:r>
      <w:r w:rsidR="00A56E08">
        <w:rPr>
          <w:bCs/>
        </w:rPr>
        <w:t>б</w:t>
      </w:r>
      <w:r>
        <w:rPr>
          <w:bCs/>
        </w:rPr>
        <w:t>у</w:t>
      </w:r>
      <w:r w:rsidR="00872771" w:rsidRPr="00F6340E">
        <w:rPr>
          <w:bCs/>
        </w:rPr>
        <w:t xml:space="preserve"> </w:t>
      </w:r>
      <w:r w:rsidR="00171F00">
        <w:rPr>
          <w:bCs/>
        </w:rPr>
        <w:t>з</w:t>
      </w:r>
      <w:r w:rsidR="00A56E08">
        <w:rPr>
          <w:bCs/>
        </w:rPr>
        <w:t>а</w:t>
      </w:r>
      <w:r w:rsidR="00872771" w:rsidRPr="00F6340E">
        <w:rPr>
          <w:bCs/>
        </w:rPr>
        <w:t xml:space="preserve"> </w:t>
      </w:r>
      <w:r>
        <w:rPr>
          <w:bCs/>
        </w:rPr>
        <w:t>р</w:t>
      </w:r>
      <w:r w:rsidR="00A56E08">
        <w:rPr>
          <w:bCs/>
        </w:rPr>
        <w:t>а</w:t>
      </w:r>
      <w:r w:rsidR="00171F00">
        <w:rPr>
          <w:bCs/>
        </w:rPr>
        <w:t>з</w:t>
      </w:r>
      <w:r>
        <w:rPr>
          <w:bCs/>
        </w:rPr>
        <w:t>у</w:t>
      </w:r>
      <w:r w:rsidR="00A56E08">
        <w:rPr>
          <w:bCs/>
        </w:rPr>
        <w:t>мн</w:t>
      </w:r>
      <w:r>
        <w:rPr>
          <w:bCs/>
        </w:rPr>
        <w:t>у</w:t>
      </w:r>
      <w:r w:rsidR="00872771" w:rsidRPr="00F6340E">
        <w:rPr>
          <w:bCs/>
        </w:rPr>
        <w:t xml:space="preserve"> </w:t>
      </w:r>
      <w:r w:rsidR="00A56E08">
        <w:rPr>
          <w:bCs/>
        </w:rPr>
        <w:t>ада</w:t>
      </w:r>
      <w:r>
        <w:rPr>
          <w:bCs/>
        </w:rPr>
        <w:t>пт</w:t>
      </w:r>
      <w:r w:rsidR="00A56E08">
        <w:rPr>
          <w:bCs/>
        </w:rPr>
        <w:t>ациј</w:t>
      </w:r>
      <w:r>
        <w:rPr>
          <w:bCs/>
        </w:rPr>
        <w:t>у</w:t>
      </w:r>
      <w:r w:rsidR="00872771" w:rsidRPr="00F6340E">
        <w:rPr>
          <w:bCs/>
        </w:rPr>
        <w:t>.</w:t>
      </w:r>
      <w:r w:rsidR="00E55EA5" w:rsidRPr="00F6340E">
        <w:rPr>
          <w:rStyle w:val="FootnoteReference"/>
          <w:rFonts w:cs="Arial"/>
          <w:bCs/>
          <w:color w:val="000000" w:themeColor="text1"/>
        </w:rPr>
        <w:footnoteReference w:id="8"/>
      </w:r>
      <w:r w:rsidR="00872771" w:rsidRPr="00F6340E">
        <w:rPr>
          <w:bCs/>
        </w:rPr>
        <w:t xml:space="preserve"> </w:t>
      </w:r>
    </w:p>
    <w:p w14:paraId="7789F6CA" w14:textId="678F3612" w:rsidR="00872771" w:rsidRPr="00F6340E" w:rsidRDefault="0071360A" w:rsidP="000962EB">
      <w:pPr>
        <w:pStyle w:val="Heading2"/>
        <w:numPr>
          <w:ilvl w:val="1"/>
          <w:numId w:val="69"/>
        </w:numPr>
        <w:rPr>
          <w:lang w:val="sr-Cyrl-BA"/>
        </w:rPr>
      </w:pPr>
      <w:bookmarkStart w:id="22" w:name="_Toc119050304"/>
      <w:r>
        <w:rPr>
          <w:lang w:val="sr-Cyrl-BA"/>
        </w:rPr>
        <w:t>П</w:t>
      </w:r>
      <w:r w:rsidR="00A56E08">
        <w:rPr>
          <w:lang w:val="sr-Cyrl-BA"/>
        </w:rPr>
        <w:t>од</w:t>
      </w:r>
      <w:r>
        <w:rPr>
          <w:lang w:val="sr-Cyrl-BA"/>
        </w:rPr>
        <w:t>рш</w:t>
      </w:r>
      <w:r w:rsidR="00A56E08">
        <w:rPr>
          <w:lang w:val="sr-Cyrl-BA"/>
        </w:rPr>
        <w:t>ка</w:t>
      </w:r>
      <w:r w:rsidR="00872771" w:rsidRPr="00F6340E">
        <w:rPr>
          <w:lang w:val="sr-Cyrl-BA"/>
        </w:rPr>
        <w:t xml:space="preserve"> </w:t>
      </w:r>
      <w:r>
        <w:rPr>
          <w:lang w:val="sr-Cyrl-BA"/>
        </w:rPr>
        <w:t>у</w:t>
      </w:r>
      <w:r w:rsidR="00A56E08">
        <w:rPr>
          <w:lang w:val="sr-Cyrl-BA"/>
        </w:rPr>
        <w:t>ч</w:t>
      </w:r>
      <w:r w:rsidR="00EE6AA2">
        <w:rPr>
          <w:lang w:val="sr-Cyrl-BA"/>
        </w:rPr>
        <w:t>е</w:t>
      </w:r>
      <w:r w:rsidR="00A56E08">
        <w:rPr>
          <w:lang w:val="sr-Cyrl-BA"/>
        </w:rPr>
        <w:t>њ</w:t>
      </w:r>
      <w:r>
        <w:rPr>
          <w:lang w:val="sr-Cyrl-BA"/>
        </w:rPr>
        <w:t>у</w:t>
      </w:r>
      <w:r w:rsidR="00872771" w:rsidRPr="00F6340E">
        <w:rPr>
          <w:lang w:val="sr-Cyrl-BA"/>
        </w:rPr>
        <w:t xml:space="preserve"> </w:t>
      </w:r>
      <w:r w:rsidR="00A56E08">
        <w:rPr>
          <w:lang w:val="sr-Cyrl-BA"/>
        </w:rPr>
        <w:t>и</w:t>
      </w:r>
      <w:r w:rsidR="00872771" w:rsidRPr="00F6340E">
        <w:rPr>
          <w:lang w:val="sr-Cyrl-BA"/>
        </w:rPr>
        <w:t xml:space="preserve"> </w:t>
      </w:r>
      <w:r>
        <w:rPr>
          <w:lang w:val="sr-Cyrl-BA"/>
        </w:rPr>
        <w:t>п</w:t>
      </w:r>
      <w:r w:rsidR="00A56E08">
        <w:rPr>
          <w:lang w:val="sr-Cyrl-BA"/>
        </w:rPr>
        <w:t>од</w:t>
      </w:r>
      <w:r>
        <w:rPr>
          <w:lang w:val="sr-Cyrl-BA"/>
        </w:rPr>
        <w:t>у</w:t>
      </w:r>
      <w:r w:rsidR="00A56E08">
        <w:rPr>
          <w:lang w:val="sr-Cyrl-BA"/>
        </w:rPr>
        <w:t>ча</w:t>
      </w:r>
      <w:r>
        <w:rPr>
          <w:lang w:val="sr-Cyrl-BA"/>
        </w:rPr>
        <w:t>в</w:t>
      </w:r>
      <w:r w:rsidR="00A56E08">
        <w:rPr>
          <w:lang w:val="sr-Cyrl-BA"/>
        </w:rPr>
        <w:t>ањ</w:t>
      </w:r>
      <w:r>
        <w:rPr>
          <w:lang w:val="sr-Cyrl-BA"/>
        </w:rPr>
        <w:t>у</w:t>
      </w:r>
      <w:r w:rsidR="005A7BC2" w:rsidRPr="00F6340E">
        <w:rPr>
          <w:lang w:val="sr-Cyrl-BA"/>
        </w:rPr>
        <w:t xml:space="preserve"> </w:t>
      </w:r>
      <w:r>
        <w:rPr>
          <w:lang w:val="sr-Cyrl-BA"/>
        </w:rPr>
        <w:t>у</w:t>
      </w:r>
      <w:r w:rsidR="005A7BC2"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и</w:t>
      </w:r>
      <w:r w:rsidR="001D6917" w:rsidRPr="00F6340E">
        <w:rPr>
          <w:lang w:val="sr-Cyrl-BA"/>
        </w:rPr>
        <w:t xml:space="preserve"> </w:t>
      </w:r>
      <w:r>
        <w:rPr>
          <w:lang w:val="sr-Cyrl-BA"/>
        </w:rPr>
        <w:t>пут</w:t>
      </w:r>
      <w:r w:rsidR="00EE6AA2">
        <w:rPr>
          <w:lang w:val="sr-Cyrl-BA"/>
        </w:rPr>
        <w:t>е</w:t>
      </w:r>
      <w:r w:rsidR="00A56E08">
        <w:rPr>
          <w:lang w:val="sr-Cyrl-BA"/>
        </w:rPr>
        <w:t>м</w:t>
      </w:r>
      <w:r w:rsidR="001D6917" w:rsidRPr="00F6340E">
        <w:rPr>
          <w:lang w:val="sr-Cyrl-BA"/>
        </w:rPr>
        <w:t xml:space="preserve"> </w:t>
      </w:r>
      <w:r w:rsidR="00A56E08">
        <w:rPr>
          <w:lang w:val="sr-Cyrl-BA"/>
        </w:rPr>
        <w:t>ин</w:t>
      </w:r>
      <w:r>
        <w:rPr>
          <w:lang w:val="sr-Cyrl-BA"/>
        </w:rPr>
        <w:t>т</w:t>
      </w:r>
      <w:r w:rsidR="00EE6AA2">
        <w:rPr>
          <w:lang w:val="sr-Cyrl-BA"/>
        </w:rPr>
        <w:t>е</w:t>
      </w:r>
      <w:r>
        <w:rPr>
          <w:lang w:val="sr-Cyrl-BA"/>
        </w:rPr>
        <w:t>р</w:t>
      </w:r>
      <w:r w:rsidR="00A56E08">
        <w:rPr>
          <w:lang w:val="sr-Cyrl-BA"/>
        </w:rPr>
        <w:t>н</w:t>
      </w:r>
      <w:r w:rsidR="00EE6AA2">
        <w:rPr>
          <w:lang w:val="sr-Cyrl-BA"/>
        </w:rPr>
        <w:t>е</w:t>
      </w:r>
      <w:r>
        <w:rPr>
          <w:lang w:val="sr-Cyrl-BA"/>
        </w:rPr>
        <w:t>т</w:t>
      </w:r>
      <w:r w:rsidR="00A56E08">
        <w:rPr>
          <w:lang w:val="sr-Cyrl-BA"/>
        </w:rPr>
        <w:t>а</w:t>
      </w:r>
      <w:r w:rsidR="005A7BC2" w:rsidRPr="00F6340E">
        <w:rPr>
          <w:lang w:val="sr-Cyrl-BA"/>
        </w:rPr>
        <w:t xml:space="preserve"> </w:t>
      </w:r>
      <w:r w:rsidR="00A56E08">
        <w:rPr>
          <w:lang w:val="sr-Cyrl-BA"/>
        </w:rPr>
        <w:t>и</w:t>
      </w:r>
      <w:r w:rsidR="005A7BC2" w:rsidRPr="00F6340E">
        <w:rPr>
          <w:lang w:val="sr-Cyrl-BA"/>
        </w:rPr>
        <w:t xml:space="preserve"> </w:t>
      </w:r>
      <w:r w:rsidR="00A56E08">
        <w:rPr>
          <w:lang w:val="sr-Cyrl-BA"/>
        </w:rPr>
        <w:t>комбино</w:t>
      </w:r>
      <w:r>
        <w:rPr>
          <w:lang w:val="sr-Cyrl-BA"/>
        </w:rPr>
        <w:t>в</w:t>
      </w:r>
      <w:r w:rsidR="00A56E08">
        <w:rPr>
          <w:lang w:val="sr-Cyrl-BA"/>
        </w:rPr>
        <w:t>аној</w:t>
      </w:r>
      <w:r w:rsidR="005A7BC2"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и</w:t>
      </w:r>
      <w:bookmarkEnd w:id="22"/>
      <w:r w:rsidR="005A7BC2" w:rsidRPr="00F6340E">
        <w:rPr>
          <w:lang w:val="sr-Cyrl-BA"/>
        </w:rPr>
        <w:t xml:space="preserve"> </w:t>
      </w:r>
    </w:p>
    <w:p w14:paraId="6E568993" w14:textId="5D56E32F" w:rsidR="00A043AF" w:rsidRPr="00F6340E" w:rsidRDefault="0071360A" w:rsidP="00210EE1">
      <w:pPr>
        <w:pStyle w:val="Body"/>
        <w:rPr>
          <w:rStyle w:val="markedcontent"/>
          <w:rFonts w:eastAsia="Calibri Light" w:cs="Arial"/>
          <w:color w:val="000000" w:themeColor="text1"/>
        </w:rPr>
      </w:pPr>
      <w:r>
        <w:rPr>
          <w:rStyle w:val="markedcontent"/>
          <w:rFonts w:eastAsia="Calibri Light" w:cs="Arial"/>
          <w:color w:val="000000" w:themeColor="text1"/>
        </w:rPr>
        <w:t>Усп</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Pr>
          <w:rStyle w:val="markedcontent"/>
          <w:rFonts w:eastAsia="Calibri Light" w:cs="Arial"/>
          <w:color w:val="000000" w:themeColor="text1"/>
        </w:rPr>
        <w:t>ш</w:t>
      </w:r>
      <w:r w:rsidR="00A56E08">
        <w:rPr>
          <w:rStyle w:val="markedcontent"/>
          <w:rFonts w:eastAsia="Calibri Light" w:cs="Arial"/>
          <w:color w:val="000000" w:themeColor="text1"/>
        </w:rPr>
        <w:t>но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у</w:t>
      </w:r>
      <w:r w:rsidR="00A56E08">
        <w:rPr>
          <w:rStyle w:val="markedcontent"/>
          <w:rFonts w:eastAsia="Calibri Light" w:cs="Arial"/>
          <w:color w:val="000000" w:themeColor="text1"/>
        </w:rPr>
        <w:t>ча</w:t>
      </w:r>
      <w:r>
        <w:rPr>
          <w:rStyle w:val="markedcontent"/>
          <w:rFonts w:eastAsia="Calibri Light" w:cs="Arial"/>
          <w:color w:val="000000" w:themeColor="text1"/>
        </w:rPr>
        <w:t>в</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и</w:t>
      </w:r>
      <w:r w:rsidR="001D6917" w:rsidRPr="00F6340E">
        <w:rPr>
          <w:rStyle w:val="markedcontent"/>
          <w:rFonts w:eastAsia="Calibri Light" w:cs="Arial"/>
          <w:color w:val="000000" w:themeColor="text1"/>
        </w:rPr>
        <w:t xml:space="preserve"> </w:t>
      </w:r>
      <w:r>
        <w:rPr>
          <w:rStyle w:val="markedcontent"/>
          <w:rFonts w:eastAsia="Calibri Light" w:cs="Arial"/>
          <w:color w:val="000000" w:themeColor="text1"/>
        </w:rPr>
        <w:t>пут</w:t>
      </w:r>
      <w:r w:rsidR="00EE6AA2">
        <w:rPr>
          <w:rStyle w:val="markedcontent"/>
          <w:rFonts w:eastAsia="Calibri Light" w:cs="Arial"/>
          <w:color w:val="000000" w:themeColor="text1"/>
        </w:rPr>
        <w:t>е</w:t>
      </w:r>
      <w:r w:rsidR="00A56E08">
        <w:rPr>
          <w:rStyle w:val="markedcontent"/>
          <w:rFonts w:eastAsia="Calibri Light" w:cs="Arial"/>
          <w:color w:val="000000" w:themeColor="text1"/>
        </w:rPr>
        <w:t>м</w:t>
      </w:r>
      <w:r w:rsidR="001D6917"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ин</w:t>
      </w:r>
      <w:r>
        <w:rPr>
          <w:rStyle w:val="markedcontent"/>
          <w:rFonts w:eastAsia="Calibri Light" w:cs="Arial"/>
          <w:color w:val="000000" w:themeColor="text1"/>
        </w:rPr>
        <w:t>т</w:t>
      </w:r>
      <w:r w:rsidR="00EE6AA2">
        <w:rPr>
          <w:rStyle w:val="markedcontent"/>
          <w:rFonts w:eastAsia="Calibri Light" w:cs="Arial"/>
          <w:color w:val="000000" w:themeColor="text1"/>
        </w:rPr>
        <w:t>е</w:t>
      </w:r>
      <w:r>
        <w:rPr>
          <w:rStyle w:val="markedcontent"/>
          <w:rFonts w:eastAsia="Calibri Light" w:cs="Arial"/>
          <w:color w:val="000000" w:themeColor="text1"/>
        </w:rPr>
        <w:t>р</w:t>
      </w:r>
      <w:r w:rsidR="00A56E08">
        <w:rPr>
          <w:rStyle w:val="markedcontent"/>
          <w:rFonts w:eastAsia="Calibri Light" w:cs="Arial"/>
          <w:color w:val="000000" w:themeColor="text1"/>
        </w:rPr>
        <w:t>н</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A56E08">
        <w:rPr>
          <w:rStyle w:val="markedcontent"/>
          <w:rFonts w:eastAsia="Calibri Light" w:cs="Arial"/>
          <w:color w:val="000000" w:themeColor="text1"/>
        </w:rPr>
        <w:t>а</w:t>
      </w:r>
      <w:r w:rsidR="001D6917"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комбино</w:t>
      </w:r>
      <w:r>
        <w:rPr>
          <w:rStyle w:val="markedcontent"/>
          <w:rFonts w:eastAsia="Calibri Light" w:cs="Arial"/>
          <w:color w:val="000000" w:themeColor="text1"/>
        </w:rPr>
        <w:t>в</w:t>
      </w:r>
      <w:r w:rsidR="00A56E08">
        <w:rPr>
          <w:rStyle w:val="markedcontent"/>
          <w:rFonts w:eastAsia="Calibri Light" w:cs="Arial"/>
          <w:color w:val="000000" w:themeColor="text1"/>
        </w:rPr>
        <w:t>аној</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од</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ника</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ах</w:t>
      </w:r>
      <w:r>
        <w:rPr>
          <w:rStyle w:val="markedcontent"/>
          <w:rFonts w:eastAsia="Calibri Light" w:cs="Arial"/>
          <w:color w:val="000000" w:themeColor="text1"/>
        </w:rPr>
        <w:t>т</w:t>
      </w:r>
      <w:r w:rsidR="00A56E08">
        <w:rPr>
          <w:rStyle w:val="markedcontent"/>
          <w:rFonts w:eastAsia="Calibri Light" w:cs="Arial"/>
          <w:color w:val="000000" w:themeColor="text1"/>
        </w:rPr>
        <w:t>иј</w:t>
      </w:r>
      <w:r w:rsidR="00EE6AA2">
        <w:rPr>
          <w:rStyle w:val="markedcontent"/>
          <w:rFonts w:eastAsia="Calibri Light" w:cs="Arial"/>
          <w:color w:val="000000" w:themeColor="text1"/>
        </w:rPr>
        <w:t>е</w:t>
      </w:r>
      <w:r>
        <w:rPr>
          <w:rStyle w:val="markedcontent"/>
          <w:rFonts w:eastAsia="Calibri Light" w:cs="Arial"/>
          <w:color w:val="000000" w:themeColor="text1"/>
        </w:rPr>
        <w:t>в</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а</w:t>
      </w:r>
      <w:r w:rsidR="00171F00">
        <w:rPr>
          <w:rStyle w:val="markedcontent"/>
          <w:rFonts w:eastAsia="Calibri Light" w:cs="Arial"/>
          <w:color w:val="000000" w:themeColor="text1"/>
        </w:rPr>
        <w:t>з</w:t>
      </w:r>
      <w:r>
        <w:rPr>
          <w:rStyle w:val="markedcontent"/>
          <w:rFonts w:eastAsia="Calibri Light" w:cs="Arial"/>
          <w:color w:val="000000" w:themeColor="text1"/>
        </w:rPr>
        <w:t>в</w:t>
      </w:r>
      <w:r w:rsidR="00A56E08">
        <w:rPr>
          <w:rStyle w:val="markedcontent"/>
          <w:rFonts w:eastAsia="Calibri Light" w:cs="Arial"/>
          <w:color w:val="000000" w:themeColor="text1"/>
        </w:rPr>
        <w:t>ој</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на</w:t>
      </w:r>
      <w:r>
        <w:rPr>
          <w:rStyle w:val="markedcontent"/>
          <w:rFonts w:eastAsia="Calibri Light" w:cs="Arial"/>
          <w:color w:val="000000" w:themeColor="text1"/>
        </w:rPr>
        <w:t>пр</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sidR="00A56E08">
        <w:rPr>
          <w:rStyle w:val="markedcontent"/>
          <w:rFonts w:eastAsia="Calibri Light" w:cs="Arial"/>
          <w:color w:val="000000" w:themeColor="text1"/>
        </w:rPr>
        <w:t>ђ</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нција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а</w:t>
      </w:r>
      <w:r w:rsidR="00171F00">
        <w:rPr>
          <w:rStyle w:val="markedcontent"/>
          <w:rFonts w:eastAsia="Calibri Light" w:cs="Arial"/>
          <w:color w:val="000000" w:themeColor="text1"/>
        </w:rPr>
        <w:t>з</w:t>
      </w:r>
      <w:r w:rsidR="00A56E08">
        <w:rPr>
          <w:rStyle w:val="markedcontent"/>
          <w:rFonts w:eastAsia="Calibri Light" w:cs="Arial"/>
          <w:color w:val="000000" w:themeColor="text1"/>
        </w:rPr>
        <w:t>личи</w:t>
      </w:r>
      <w:r>
        <w:rPr>
          <w:rStyle w:val="markedcontent"/>
          <w:rFonts w:eastAsia="Calibri Light" w:cs="Arial"/>
          <w:color w:val="000000" w:themeColor="text1"/>
        </w:rPr>
        <w:t>т</w:t>
      </w:r>
      <w:r w:rsidR="00A56E08">
        <w:rPr>
          <w:rStyle w:val="markedcontent"/>
          <w:rFonts w:eastAsia="Calibri Light" w:cs="Arial"/>
          <w:color w:val="000000" w:themeColor="text1"/>
        </w:rPr>
        <w:t>им</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ру</w:t>
      </w:r>
      <w:r w:rsidR="00A56E08">
        <w:rPr>
          <w:rStyle w:val="markedcontent"/>
          <w:rFonts w:eastAsia="Calibri Light" w:cs="Arial"/>
          <w:color w:val="000000" w:themeColor="text1"/>
        </w:rPr>
        <w:t>чјима</w:t>
      </w:r>
      <w:r w:rsidR="00A043AF" w:rsidRPr="00F6340E">
        <w:rPr>
          <w:rStyle w:val="markedcontent"/>
          <w:rFonts w:eastAsia="Calibri Light" w:cs="Arial"/>
          <w:color w:val="000000" w:themeColor="text1"/>
        </w:rPr>
        <w:t xml:space="preserve">. </w:t>
      </w:r>
      <w:r w:rsidR="00EE6AA2">
        <w:rPr>
          <w:rStyle w:val="markedcontent"/>
          <w:rFonts w:eastAsia="Calibri Light" w:cs="Arial"/>
          <w:color w:val="000000" w:themeColor="text1"/>
        </w:rPr>
        <w:t>Е</w:t>
      </w:r>
      <w:r>
        <w:rPr>
          <w:rStyle w:val="markedcontent"/>
          <w:rFonts w:eastAsia="Calibri Light" w:cs="Arial"/>
          <w:color w:val="000000" w:themeColor="text1"/>
        </w:rPr>
        <w:t>вр</w:t>
      </w:r>
      <w:r w:rsidR="00A56E08">
        <w:rPr>
          <w:rStyle w:val="markedcontent"/>
          <w:rFonts w:eastAsia="Calibri Light" w:cs="Arial"/>
          <w:color w:val="000000" w:themeColor="text1"/>
        </w:rPr>
        <w:t>о</w:t>
      </w:r>
      <w:r>
        <w:rPr>
          <w:rStyle w:val="markedcontent"/>
          <w:rFonts w:eastAsia="Calibri Light" w:cs="Arial"/>
          <w:color w:val="000000" w:themeColor="text1"/>
        </w:rPr>
        <w:t>пс</w:t>
      </w:r>
      <w:r w:rsidR="00A56E08">
        <w:rPr>
          <w:rStyle w:val="markedcontent"/>
          <w:rFonts w:eastAsia="Calibri Light" w:cs="Arial"/>
          <w:color w:val="000000" w:themeColor="text1"/>
        </w:rPr>
        <w:t>ки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ок</w:t>
      </w:r>
      <w:r>
        <w:rPr>
          <w:rStyle w:val="markedcontent"/>
          <w:rFonts w:eastAsia="Calibri Light" w:cs="Arial"/>
          <w:color w:val="000000" w:themeColor="text1"/>
        </w:rPr>
        <w:t>в</w:t>
      </w:r>
      <w:r w:rsidR="00A56E08">
        <w:rPr>
          <w:rStyle w:val="markedcontent"/>
          <w:rFonts w:eastAsia="Calibri Light" w:cs="Arial"/>
          <w:color w:val="000000" w:themeColor="text1"/>
        </w:rPr>
        <w:t>и</w:t>
      </w:r>
      <w:r>
        <w:rPr>
          <w:rStyle w:val="markedcontent"/>
          <w:rFonts w:eastAsia="Calibri Light" w:cs="Arial"/>
          <w:color w:val="000000" w:themeColor="text1"/>
        </w:rPr>
        <w:t>р</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ника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ДигЦом</w:t>
      </w:r>
      <w:r>
        <w:rPr>
          <w:rStyle w:val="markedcontent"/>
          <w:rFonts w:eastAsia="Calibri Light" w:cs="Arial"/>
          <w:color w:val="000000" w:themeColor="text1"/>
        </w:rPr>
        <w:t>п</w:t>
      </w:r>
      <w:r w:rsidR="00EE6AA2">
        <w:rPr>
          <w:rStyle w:val="markedcontent"/>
          <w:rFonts w:eastAsia="Calibri Light" w:cs="Arial"/>
          <w:color w:val="000000" w:themeColor="text1"/>
        </w:rPr>
        <w:t>Е</w:t>
      </w:r>
      <w:r w:rsidR="00A56E08">
        <w:rPr>
          <w:rStyle w:val="markedcontent"/>
          <w:rFonts w:eastAsia="Calibri Light" w:cs="Arial"/>
          <w:color w:val="000000" w:themeColor="text1"/>
        </w:rPr>
        <w:t>д</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ру</w:t>
      </w:r>
      <w:r w:rsidR="00A56E08">
        <w:rPr>
          <w:rStyle w:val="markedcontent"/>
          <w:rFonts w:eastAsia="Calibri Light" w:cs="Arial"/>
          <w:color w:val="000000" w:themeColor="text1"/>
        </w:rPr>
        <w:t>чј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EE6AA2">
        <w:rPr>
          <w:rStyle w:val="markedcontent"/>
          <w:rFonts w:eastAsia="Calibri Light" w:cs="Arial"/>
          <w:color w:val="000000" w:themeColor="text1"/>
        </w:rPr>
        <w:t>е</w:t>
      </w:r>
      <w:r w:rsidR="00A56E08">
        <w:rPr>
          <w:rStyle w:val="markedcontent"/>
          <w:rFonts w:eastAsia="Calibri Light" w:cs="Arial"/>
          <w:color w:val="000000" w:themeColor="text1"/>
        </w:rPr>
        <w:t>даго</w:t>
      </w:r>
      <w:r>
        <w:rPr>
          <w:rStyle w:val="markedcontent"/>
          <w:rFonts w:eastAsia="Calibri Light" w:cs="Arial"/>
          <w:color w:val="000000" w:themeColor="text1"/>
        </w:rPr>
        <w:t>ш</w:t>
      </w:r>
      <w:r w:rsidR="00A56E08">
        <w:rPr>
          <w:rStyle w:val="markedcontent"/>
          <w:rFonts w:eastAsia="Calibri Light" w:cs="Arial"/>
          <w:color w:val="000000" w:themeColor="text1"/>
        </w:rPr>
        <w:t>ких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нција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lastRenderedPageBreak/>
        <w:t>кон</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к</w:t>
      </w:r>
      <w:r>
        <w:rPr>
          <w:rStyle w:val="markedcontent"/>
          <w:rFonts w:eastAsia="Calibri Light" w:cs="Arial"/>
          <w:color w:val="000000" w:themeColor="text1"/>
        </w:rPr>
        <w:t>сту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имј</w:t>
      </w:r>
      <w:r w:rsidR="00EE6AA2">
        <w:rPr>
          <w:rStyle w:val="markedcontent"/>
          <w:rFonts w:eastAsia="Calibri Light" w:cs="Arial"/>
          <w:color w:val="000000" w:themeColor="text1"/>
        </w:rPr>
        <w:t>е</w:t>
      </w:r>
      <w:r w:rsidR="00A56E08">
        <w:rPr>
          <w:rStyle w:val="markedcontent"/>
          <w:rFonts w:eastAsia="Calibri Light" w:cs="Arial"/>
          <w:color w:val="000000" w:themeColor="text1"/>
        </w:rPr>
        <w:t>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ала</w:t>
      </w:r>
      <w:r>
        <w:rPr>
          <w:rStyle w:val="markedcontent"/>
          <w:rFonts w:eastAsia="Calibri Light" w:cs="Arial"/>
          <w:color w:val="000000" w:themeColor="text1"/>
        </w:rPr>
        <w:t>т</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EE6AA2">
        <w:rPr>
          <w:rStyle w:val="markedcontent"/>
          <w:rFonts w:eastAsia="Calibri Light" w:cs="Arial"/>
          <w:color w:val="000000" w:themeColor="text1"/>
        </w:rPr>
        <w:t>е</w:t>
      </w:r>
      <w:r>
        <w:rPr>
          <w:rStyle w:val="markedcontent"/>
          <w:rFonts w:eastAsia="Calibri Light" w:cs="Arial"/>
          <w:color w:val="000000" w:themeColor="text1"/>
        </w:rPr>
        <w:t>п</w:t>
      </w:r>
      <w:r w:rsidR="00A56E08">
        <w:rPr>
          <w:rStyle w:val="markedcontent"/>
          <w:rFonts w:eastAsia="Calibri Light" w:cs="Arial"/>
          <w:color w:val="000000" w:themeColor="text1"/>
        </w:rPr>
        <w:t>о</w:t>
      </w:r>
      <w:r w:rsidR="00171F00">
        <w:rPr>
          <w:rStyle w:val="markedcontent"/>
          <w:rFonts w:eastAsia="Calibri Light" w:cs="Arial"/>
          <w:color w:val="000000" w:themeColor="text1"/>
        </w:rPr>
        <w:t>з</w:t>
      </w:r>
      <w:r w:rsidR="00A56E08">
        <w:rPr>
          <w:rStyle w:val="markedcontent"/>
          <w:rFonts w:eastAsia="Calibri Light" w:cs="Arial"/>
          <w:color w:val="000000" w:themeColor="text1"/>
        </w:rPr>
        <w:t>нај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у</w:t>
      </w:r>
      <w:r w:rsidR="00A56E08">
        <w:rPr>
          <w:rStyle w:val="markedcontent"/>
          <w:rFonts w:eastAsia="Calibri Light" w:cs="Arial"/>
          <w:color w:val="000000" w:themeColor="text1"/>
        </w:rPr>
        <w:t>ча</w:t>
      </w:r>
      <w:r>
        <w:rPr>
          <w:rStyle w:val="markedcontent"/>
          <w:rFonts w:eastAsia="Calibri Light" w:cs="Arial"/>
          <w:color w:val="000000" w:themeColor="text1"/>
        </w:rPr>
        <w:t>в</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као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в</w:t>
      </w:r>
      <w:r w:rsidR="00A56E08">
        <w:rPr>
          <w:rStyle w:val="markedcontent"/>
          <w:rFonts w:eastAsia="Calibri Light" w:cs="Arial"/>
          <w:color w:val="000000" w:themeColor="text1"/>
        </w:rPr>
        <w:t>а</w:t>
      </w:r>
      <w:r w:rsidR="00171F00">
        <w:rPr>
          <w:rStyle w:val="markedcontent"/>
          <w:rFonts w:eastAsia="Calibri Light" w:cs="Arial"/>
          <w:color w:val="000000" w:themeColor="text1"/>
        </w:rPr>
        <w:t>ж</w:t>
      </w:r>
      <w:r w:rsidR="00A56E08">
        <w:rPr>
          <w:rStyle w:val="markedcontent"/>
          <w:rFonts w:eastAsia="Calibri Light" w:cs="Arial"/>
          <w:color w:val="000000" w:themeColor="text1"/>
        </w:rPr>
        <w:t>но</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нционо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ру</w:t>
      </w:r>
      <w:r w:rsidR="00A56E08">
        <w:rPr>
          <w:rStyle w:val="markedcontent"/>
          <w:rFonts w:eastAsia="Calibri Light" w:cs="Arial"/>
          <w:color w:val="000000" w:themeColor="text1"/>
        </w:rPr>
        <w:t>чј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га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р</w:t>
      </w:r>
      <w:r w:rsidR="00A56E08">
        <w:rPr>
          <w:rStyle w:val="markedcontent"/>
          <w:rFonts w:eastAsia="Calibri Light" w:cs="Arial"/>
          <w:color w:val="000000" w:themeColor="text1"/>
        </w:rPr>
        <w:t>ационали</w:t>
      </w:r>
      <w:r w:rsidR="00171F00">
        <w:rPr>
          <w:rStyle w:val="markedcontent"/>
          <w:rFonts w:eastAsia="Calibri Light" w:cs="Arial"/>
          <w:color w:val="000000" w:themeColor="text1"/>
        </w:rPr>
        <w:t>з</w:t>
      </w:r>
      <w:r>
        <w:rPr>
          <w:rStyle w:val="markedcontent"/>
          <w:rFonts w:eastAsia="Calibri Light" w:cs="Arial"/>
          <w:color w:val="000000" w:themeColor="text1"/>
        </w:rPr>
        <w:t>у</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sidR="00AA1289"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w:t>
      </w:r>
      <w:r>
        <w:rPr>
          <w:rStyle w:val="markedcontent"/>
          <w:rFonts w:eastAsia="Calibri Light" w:cs="Arial"/>
          <w:color w:val="000000" w:themeColor="text1"/>
        </w:rPr>
        <w:t>р</w:t>
      </w:r>
      <w:r w:rsidR="00A56E08">
        <w:rPr>
          <w:rStyle w:val="markedcontent"/>
          <w:rFonts w:eastAsia="Calibri Light" w:cs="Arial"/>
          <w:color w:val="000000" w:themeColor="text1"/>
        </w:rPr>
        <w:t>о</w:t>
      </w:r>
      <w:r w:rsidR="00171F00">
        <w:rPr>
          <w:rStyle w:val="markedcontent"/>
          <w:rFonts w:eastAsia="Calibri Light" w:cs="Arial"/>
          <w:color w:val="000000" w:themeColor="text1"/>
        </w:rPr>
        <w:t>з</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у</w:t>
      </w:r>
      <w:r w:rsidR="00A56E08">
        <w:rPr>
          <w:rStyle w:val="markedcontent"/>
          <w:rFonts w:eastAsia="Calibri Light" w:cs="Arial"/>
          <w:color w:val="000000" w:themeColor="text1"/>
        </w:rPr>
        <w:t>ча</w:t>
      </w:r>
      <w:r>
        <w:rPr>
          <w:rStyle w:val="markedcontent"/>
          <w:rFonts w:eastAsia="Calibri Light" w:cs="Arial"/>
          <w:color w:val="000000" w:themeColor="text1"/>
        </w:rPr>
        <w:t>в</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w:t>
      </w:r>
      <w:r w:rsidR="00A043AF" w:rsidRPr="00F6340E">
        <w:rPr>
          <w:rStyle w:val="markedcontent"/>
          <w:rFonts w:eastAsia="Calibri Light" w:cs="Arial"/>
          <w:b/>
          <w:color w:val="000000" w:themeColor="text1"/>
        </w:rPr>
        <w:t xml:space="preserve"> </w:t>
      </w:r>
      <w:r>
        <w:rPr>
          <w:rStyle w:val="markedcontent"/>
          <w:rFonts w:eastAsia="Calibri Light" w:cs="Arial"/>
          <w:color w:val="000000" w:themeColor="text1"/>
        </w:rPr>
        <w:t>ус</w:t>
      </w:r>
      <w:r w:rsidR="00A56E08">
        <w:rPr>
          <w:rStyle w:val="markedcontent"/>
          <w:rFonts w:eastAsia="Calibri Light" w:cs="Arial"/>
          <w:color w:val="000000" w:themeColor="text1"/>
        </w:rPr>
        <w:t>мј</w:t>
      </w:r>
      <w:r w:rsidR="00EE6AA2">
        <w:rPr>
          <w:rStyle w:val="markedcontent"/>
          <w:rFonts w:eastAsia="Calibri Light" w:cs="Arial"/>
          <w:color w:val="000000" w:themeColor="text1"/>
        </w:rPr>
        <w:t>е</w:t>
      </w:r>
      <w:r>
        <w:rPr>
          <w:rStyle w:val="markedcontent"/>
          <w:rFonts w:eastAsia="Calibri Light" w:cs="Arial"/>
          <w:color w:val="000000" w:themeColor="text1"/>
        </w:rPr>
        <w:t>р</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A56E08">
        <w:rPr>
          <w:rStyle w:val="markedcontent"/>
          <w:rFonts w:eastAsia="Calibri Light" w:cs="Arial"/>
          <w:color w:val="000000" w:themeColor="text1"/>
        </w:rPr>
        <w:t>а</w:t>
      </w:r>
      <w:r>
        <w:rPr>
          <w:rStyle w:val="markedcontent"/>
          <w:rFonts w:eastAsia="Calibri Light" w:cs="Arial"/>
          <w:color w:val="000000" w:themeColor="text1"/>
        </w:rPr>
        <w:t>р</w:t>
      </w:r>
      <w:r w:rsidR="00A56E08">
        <w:rPr>
          <w:rStyle w:val="markedcontent"/>
          <w:rFonts w:eastAsia="Calibri Light" w:cs="Arial"/>
          <w:color w:val="000000" w:themeColor="text1"/>
        </w:rPr>
        <w:t>адничко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A56E08">
        <w:rPr>
          <w:rStyle w:val="markedcontent"/>
          <w:rFonts w:eastAsia="Calibri Light" w:cs="Arial"/>
          <w:color w:val="000000" w:themeColor="text1"/>
        </w:rPr>
        <w:t>амо</w:t>
      </w:r>
      <w:r w:rsidR="00A043AF" w:rsidRPr="00F6340E">
        <w:rPr>
          <w:rStyle w:val="markedcontent"/>
          <w:rFonts w:eastAsia="Calibri Light" w:cs="Arial"/>
          <w:color w:val="000000" w:themeColor="text1"/>
        </w:rPr>
        <w:t>-</w:t>
      </w:r>
      <w:r>
        <w:rPr>
          <w:rStyle w:val="markedcontent"/>
          <w:rFonts w:eastAsia="Calibri Light" w:cs="Arial"/>
          <w:color w:val="000000" w:themeColor="text1"/>
        </w:rPr>
        <w:t>р</w:t>
      </w:r>
      <w:r w:rsidR="00EE6AA2">
        <w:rPr>
          <w:rStyle w:val="markedcontent"/>
          <w:rFonts w:eastAsia="Calibri Light" w:cs="Arial"/>
          <w:color w:val="000000" w:themeColor="text1"/>
        </w:rPr>
        <w:t>е</w:t>
      </w:r>
      <w:r w:rsidR="00A56E08">
        <w:rPr>
          <w:rStyle w:val="markedcontent"/>
          <w:rFonts w:eastAsia="Calibri Light" w:cs="Arial"/>
          <w:color w:val="000000" w:themeColor="text1"/>
        </w:rPr>
        <w:t>г</w:t>
      </w:r>
      <w:r>
        <w:rPr>
          <w:rStyle w:val="markedcontent"/>
          <w:rFonts w:eastAsia="Calibri Light" w:cs="Arial"/>
          <w:color w:val="000000" w:themeColor="text1"/>
        </w:rPr>
        <w:t>у</w:t>
      </w:r>
      <w:r w:rsidR="00A56E08">
        <w:rPr>
          <w:rStyle w:val="markedcontent"/>
          <w:rFonts w:eastAsia="Calibri Light" w:cs="Arial"/>
          <w:color w:val="000000" w:themeColor="text1"/>
        </w:rPr>
        <w:t>ли</w:t>
      </w:r>
      <w:r>
        <w:rPr>
          <w:rStyle w:val="markedcontent"/>
          <w:rFonts w:eastAsia="Calibri Light" w:cs="Arial"/>
          <w:color w:val="000000" w:themeColor="text1"/>
        </w:rPr>
        <w:t>с</w:t>
      </w:r>
      <w:r w:rsidR="00A56E08">
        <w:rPr>
          <w:rStyle w:val="markedcontent"/>
          <w:rFonts w:eastAsia="Calibri Light" w:cs="Arial"/>
          <w:color w:val="000000" w:themeColor="text1"/>
        </w:rPr>
        <w:t>ано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ДигЦом</w:t>
      </w:r>
      <w:r>
        <w:rPr>
          <w:rStyle w:val="markedcontent"/>
          <w:rFonts w:eastAsia="Calibri Light" w:cs="Arial"/>
          <w:color w:val="000000" w:themeColor="text1"/>
        </w:rPr>
        <w:t>п</w:t>
      </w:r>
      <w:r w:rsidR="00EE6AA2">
        <w:rPr>
          <w:rStyle w:val="markedcontent"/>
          <w:rFonts w:eastAsia="Calibri Light" w:cs="Arial"/>
          <w:color w:val="000000" w:themeColor="text1"/>
        </w:rPr>
        <w:t>Е</w:t>
      </w:r>
      <w:r w:rsidR="00A56E08">
        <w:rPr>
          <w:rStyle w:val="markedcontent"/>
          <w:rFonts w:eastAsia="Calibri Light" w:cs="Arial"/>
          <w:color w:val="000000" w:themeColor="text1"/>
        </w:rPr>
        <w:t>д</w:t>
      </w:r>
      <w:r>
        <w:rPr>
          <w:rStyle w:val="markedcontent"/>
          <w:rFonts w:eastAsia="Calibri Light" w:cs="Arial"/>
          <w:color w:val="000000" w:themeColor="text1"/>
        </w:rPr>
        <w:t>у</w:t>
      </w:r>
      <w:r w:rsidR="00A043AF" w:rsidRPr="00F6340E">
        <w:rPr>
          <w:rStyle w:val="markedcontent"/>
          <w:rFonts w:eastAsia="Calibri Light" w:cs="Arial"/>
          <w:color w:val="000000" w:themeColor="text1"/>
        </w:rPr>
        <w:t>).</w:t>
      </w:r>
      <w:r w:rsidR="00EC4ED0" w:rsidRPr="00F6340E">
        <w:rPr>
          <w:rStyle w:val="FootnoteReference"/>
          <w:rFonts w:eastAsia="Calibri Light" w:cs="Arial"/>
          <w:color w:val="000000" w:themeColor="text1"/>
        </w:rPr>
        <w:footnoteReference w:id="9"/>
      </w:r>
      <w:r w:rsidR="00A043AF" w:rsidRPr="00F6340E">
        <w:rPr>
          <w:rStyle w:val="markedcontent"/>
          <w:rFonts w:eastAsia="Calibri Light" w:cs="Arial"/>
          <w:color w:val="000000" w:themeColor="text1"/>
        </w:rPr>
        <w:t xml:space="preserve"> </w:t>
      </w:r>
    </w:p>
    <w:p w14:paraId="08E8D094" w14:textId="6716B2FC" w:rsidR="00A043AF" w:rsidRPr="00F6340E" w:rsidRDefault="0071360A" w:rsidP="00210EE1">
      <w:pPr>
        <w:pStyle w:val="Body"/>
        <w:rPr>
          <w:rStyle w:val="markedcontent"/>
          <w:rFonts w:eastAsia="Calibri Light" w:cs="Arial"/>
          <w:color w:val="000000" w:themeColor="text1"/>
        </w:rPr>
      </w:pP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ру</w:t>
      </w:r>
      <w:r w:rsidR="00A56E08">
        <w:rPr>
          <w:rStyle w:val="markedcontent"/>
          <w:rFonts w:eastAsia="Calibri Light" w:cs="Arial"/>
          <w:color w:val="000000" w:themeColor="text1"/>
        </w:rPr>
        <w:t>чј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у</w:t>
      </w:r>
      <w:r w:rsidR="00A56E08">
        <w:rPr>
          <w:rStyle w:val="markedcontent"/>
          <w:rFonts w:eastAsia="Calibri Light" w:cs="Arial"/>
          <w:color w:val="000000" w:themeColor="text1"/>
        </w:rPr>
        <w:t>ча</w:t>
      </w:r>
      <w:r>
        <w:rPr>
          <w:rStyle w:val="markedcontent"/>
          <w:rFonts w:eastAsia="Calibri Light" w:cs="Arial"/>
          <w:color w:val="000000" w:themeColor="text1"/>
        </w:rPr>
        <w:t>в</w:t>
      </w:r>
      <w:r w:rsidR="00A56E08">
        <w:rPr>
          <w:rStyle w:val="markedcontent"/>
          <w:rFonts w:eastAsia="Calibri Light" w:cs="Arial"/>
          <w:color w:val="000000" w:themeColor="text1"/>
        </w:rPr>
        <w:t>ања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w:t>
      </w:r>
      <w:r w:rsidR="00EE6AA2">
        <w:rPr>
          <w:rStyle w:val="markedcontent"/>
          <w:rFonts w:eastAsia="Calibri Light" w:cs="Arial"/>
          <w:color w:val="000000" w:themeColor="text1"/>
        </w:rPr>
        <w:t>е</w:t>
      </w:r>
      <w:r w:rsidR="00A56E08">
        <w:rPr>
          <w:rStyle w:val="markedcontent"/>
          <w:rFonts w:eastAsia="Calibri Light" w:cs="Arial"/>
          <w:color w:val="000000" w:themeColor="text1"/>
        </w:rPr>
        <w:t>о</w:t>
      </w:r>
      <w:r>
        <w:rPr>
          <w:rStyle w:val="markedcontent"/>
          <w:rFonts w:eastAsia="Calibri Light" w:cs="Arial"/>
          <w:color w:val="000000" w:themeColor="text1"/>
        </w:rPr>
        <w:t>п</w:t>
      </w:r>
      <w:r w:rsidR="00A56E08">
        <w:rPr>
          <w:rStyle w:val="markedcontent"/>
          <w:rFonts w:eastAsia="Calibri Light" w:cs="Arial"/>
          <w:color w:val="000000" w:themeColor="text1"/>
        </w:rPr>
        <w:t>ходн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п</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лани</w:t>
      </w:r>
      <w:r>
        <w:rPr>
          <w:rStyle w:val="markedcontent"/>
          <w:rFonts w:eastAsia="Calibri Light" w:cs="Arial"/>
          <w:color w:val="000000" w:themeColor="text1"/>
        </w:rPr>
        <w:t>р</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имј</w:t>
      </w:r>
      <w:r w:rsidR="00EE6AA2">
        <w:rPr>
          <w:rStyle w:val="markedcontent"/>
          <w:rFonts w:eastAsia="Calibri Light" w:cs="Arial"/>
          <w:color w:val="000000" w:themeColor="text1"/>
        </w:rPr>
        <w:t>е</w:t>
      </w:r>
      <w:r w:rsidR="00A56E08">
        <w:rPr>
          <w:rStyle w:val="markedcontent"/>
          <w:rFonts w:eastAsia="Calibri Light" w:cs="Arial"/>
          <w:color w:val="000000" w:themeColor="text1"/>
        </w:rPr>
        <w:t>н</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ала</w:t>
      </w:r>
      <w:r>
        <w:rPr>
          <w:rStyle w:val="markedcontent"/>
          <w:rFonts w:eastAsia="Calibri Light" w:cs="Arial"/>
          <w:color w:val="000000" w:themeColor="text1"/>
        </w:rPr>
        <w:t>т</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ном</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оц</w:t>
      </w:r>
      <w:r w:rsidR="00EE6AA2">
        <w:rPr>
          <w:rStyle w:val="markedcontent"/>
          <w:rFonts w:eastAsia="Calibri Light" w:cs="Arial"/>
          <w:color w:val="000000" w:themeColor="text1"/>
        </w:rPr>
        <w:t>е</w:t>
      </w:r>
      <w:r>
        <w:rPr>
          <w:rStyle w:val="markedcontent"/>
          <w:rFonts w:eastAsia="Calibri Light" w:cs="Arial"/>
          <w:color w:val="000000" w:themeColor="text1"/>
        </w:rPr>
        <w:t>су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како</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би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обољ</w:t>
      </w:r>
      <w:r>
        <w:rPr>
          <w:rStyle w:val="markedcontent"/>
          <w:rFonts w:eastAsia="Calibri Light" w:cs="Arial"/>
          <w:color w:val="000000" w:themeColor="text1"/>
        </w:rPr>
        <w:t>ш</w:t>
      </w:r>
      <w:r w:rsidR="00A56E08">
        <w:rPr>
          <w:rStyle w:val="markedcontent"/>
          <w:rFonts w:eastAsia="Calibri Light" w:cs="Arial"/>
          <w:color w:val="000000" w:themeColor="text1"/>
        </w:rPr>
        <w:t>ала</w:t>
      </w:r>
      <w:r w:rsidR="00A043AF" w:rsidRPr="00F6340E">
        <w:rPr>
          <w:rStyle w:val="markedcontent"/>
          <w:rFonts w:eastAsia="Calibri Light" w:cs="Arial"/>
          <w:color w:val="000000" w:themeColor="text1"/>
        </w:rPr>
        <w:t xml:space="preserve"> </w:t>
      </w:r>
      <w:r w:rsidR="00EE6AA2">
        <w:rPr>
          <w:rStyle w:val="markedcontent"/>
          <w:rFonts w:eastAsia="Calibri Light" w:cs="Arial"/>
          <w:color w:val="000000" w:themeColor="text1"/>
        </w:rPr>
        <w:t>е</w:t>
      </w:r>
      <w:r w:rsidR="00A56E08">
        <w:rPr>
          <w:rStyle w:val="markedcontent"/>
          <w:rFonts w:eastAsia="Calibri Light" w:cs="Arial"/>
          <w:color w:val="000000" w:themeColor="text1"/>
        </w:rPr>
        <w:t>фика</w:t>
      </w:r>
      <w:r>
        <w:rPr>
          <w:rStyle w:val="markedcontent"/>
          <w:rFonts w:eastAsia="Calibri Light" w:cs="Arial"/>
          <w:color w:val="000000" w:themeColor="text1"/>
        </w:rPr>
        <w:t>с</w:t>
      </w:r>
      <w:r w:rsidR="00A56E08">
        <w:rPr>
          <w:rStyle w:val="markedcontent"/>
          <w:rFonts w:eastAsia="Calibri Light" w:cs="Arial"/>
          <w:color w:val="000000" w:themeColor="text1"/>
        </w:rPr>
        <w:t>но</w:t>
      </w:r>
      <w:r>
        <w:rPr>
          <w:rStyle w:val="markedcontent"/>
          <w:rFonts w:eastAsia="Calibri Light" w:cs="Arial"/>
          <w:color w:val="000000" w:themeColor="text1"/>
        </w:rPr>
        <w:t>ст</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них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ин</w:t>
      </w:r>
      <w:r>
        <w:rPr>
          <w:rStyle w:val="markedcontent"/>
          <w:rFonts w:eastAsia="Calibri Light" w:cs="Arial"/>
          <w:color w:val="000000" w:themeColor="text1"/>
        </w:rPr>
        <w:t>т</w:t>
      </w:r>
      <w:r w:rsidR="00EE6AA2">
        <w:rPr>
          <w:rStyle w:val="markedcontent"/>
          <w:rFonts w:eastAsia="Calibri Light" w:cs="Arial"/>
          <w:color w:val="000000" w:themeColor="text1"/>
        </w:rPr>
        <w:t>е</w:t>
      </w:r>
      <w:r>
        <w:rPr>
          <w:rStyle w:val="markedcontent"/>
          <w:rFonts w:eastAsia="Calibri Light" w:cs="Arial"/>
          <w:color w:val="000000" w:themeColor="text1"/>
        </w:rPr>
        <w:t>рв</w:t>
      </w:r>
      <w:r w:rsidR="00EE6AA2">
        <w:rPr>
          <w:rStyle w:val="markedcontent"/>
          <w:rFonts w:eastAsia="Calibri Light" w:cs="Arial"/>
          <w:color w:val="000000" w:themeColor="text1"/>
        </w:rPr>
        <w:t>е</w:t>
      </w:r>
      <w:r w:rsidR="00A56E08">
        <w:rPr>
          <w:rStyle w:val="markedcontent"/>
          <w:rFonts w:eastAsia="Calibri Light" w:cs="Arial"/>
          <w:color w:val="000000" w:themeColor="text1"/>
        </w:rPr>
        <w:t>нција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имј</w:t>
      </w:r>
      <w:r w:rsidR="00EE6AA2">
        <w:rPr>
          <w:rStyle w:val="markedcontent"/>
          <w:rFonts w:eastAsia="Calibri Light" w:cs="Arial"/>
          <w:color w:val="000000" w:themeColor="text1"/>
        </w:rPr>
        <w:t>е</w:t>
      </w:r>
      <w:r w:rsidR="00A56E08">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а</w:t>
      </w:r>
      <w:r w:rsidR="00171F00">
        <w:rPr>
          <w:rStyle w:val="markedcontent"/>
          <w:rFonts w:eastAsia="Calibri Light" w:cs="Arial"/>
          <w:color w:val="000000" w:themeColor="text1"/>
        </w:rPr>
        <w:t>з</w:t>
      </w:r>
      <w:r w:rsidR="00A56E08">
        <w:rPr>
          <w:rStyle w:val="markedcontent"/>
          <w:rFonts w:eastAsia="Calibri Light" w:cs="Arial"/>
          <w:color w:val="000000" w:themeColor="text1"/>
        </w:rPr>
        <w:t>личи</w:t>
      </w:r>
      <w:r>
        <w:rPr>
          <w:rStyle w:val="markedcontent"/>
          <w:rFonts w:eastAsia="Calibri Light" w:cs="Arial"/>
          <w:color w:val="000000" w:themeColor="text1"/>
        </w:rPr>
        <w:t>т</w:t>
      </w:r>
      <w:r w:rsidR="00A56E08">
        <w:rPr>
          <w:rStyle w:val="markedcontent"/>
          <w:rFonts w:eastAsia="Calibri Light" w:cs="Arial"/>
          <w:color w:val="000000" w:themeColor="text1"/>
        </w:rPr>
        <w:t>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ст</w:t>
      </w:r>
      <w:r w:rsidR="00A56E08">
        <w:rPr>
          <w:rStyle w:val="markedcontent"/>
          <w:rFonts w:eastAsia="Calibri Light" w:cs="Arial"/>
          <w:color w:val="000000" w:themeColor="text1"/>
        </w:rPr>
        <w:t>а</w:t>
      </w:r>
      <w:r>
        <w:rPr>
          <w:rStyle w:val="markedcontent"/>
          <w:rFonts w:eastAsia="Calibri Light" w:cs="Arial"/>
          <w:color w:val="000000" w:themeColor="text1"/>
        </w:rPr>
        <w:t>в</w:t>
      </w:r>
      <w:r w:rsidR="00A56E08">
        <w:rPr>
          <w:rStyle w:val="markedcontent"/>
          <w:rFonts w:eastAsia="Calibri Light" w:cs="Arial"/>
          <w:color w:val="000000" w:themeColor="text1"/>
        </w:rPr>
        <w:t>них</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стр</w:t>
      </w:r>
      <w:r w:rsidR="00A56E08">
        <w:rPr>
          <w:rStyle w:val="markedcontent"/>
          <w:rFonts w:eastAsia="Calibri Light" w:cs="Arial"/>
          <w:color w:val="000000" w:themeColor="text1"/>
        </w:rPr>
        <w:t>а</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гија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EE6AA2">
        <w:rPr>
          <w:rStyle w:val="markedcontent"/>
          <w:rFonts w:eastAsia="Calibri Light" w:cs="Arial"/>
          <w:color w:val="000000" w:themeColor="text1"/>
        </w:rPr>
        <w:t>е</w:t>
      </w:r>
      <w:r w:rsidR="00A56E08">
        <w:rPr>
          <w:rStyle w:val="markedcontent"/>
          <w:rFonts w:eastAsia="Calibri Light" w:cs="Arial"/>
          <w:color w:val="000000" w:themeColor="text1"/>
        </w:rPr>
        <w:t>к</w:t>
      </w:r>
      <w:r>
        <w:rPr>
          <w:rStyle w:val="markedcontent"/>
          <w:rFonts w:eastAsia="Calibri Light" w:cs="Arial"/>
          <w:color w:val="000000" w:themeColor="text1"/>
        </w:rPr>
        <w:t>сп</w:t>
      </w:r>
      <w:r w:rsidR="00EE6AA2">
        <w:rPr>
          <w:rStyle w:val="markedcontent"/>
          <w:rFonts w:eastAsia="Calibri Light" w:cs="Arial"/>
          <w:color w:val="000000" w:themeColor="text1"/>
        </w:rPr>
        <w:t>е</w:t>
      </w:r>
      <w:r>
        <w:rPr>
          <w:rStyle w:val="markedcontent"/>
          <w:rFonts w:eastAsia="Calibri Light" w:cs="Arial"/>
          <w:color w:val="000000" w:themeColor="text1"/>
        </w:rPr>
        <w:t>р</w:t>
      </w:r>
      <w:r w:rsidR="00A56E08">
        <w:rPr>
          <w:rStyle w:val="markedcontent"/>
          <w:rFonts w:eastAsia="Calibri Light" w:cs="Arial"/>
          <w:color w:val="000000" w:themeColor="text1"/>
        </w:rPr>
        <w:t>им</w:t>
      </w:r>
      <w:r w:rsidR="00EE6AA2">
        <w:rPr>
          <w:rStyle w:val="markedcontent"/>
          <w:rFonts w:eastAsia="Calibri Light" w:cs="Arial"/>
          <w:color w:val="000000" w:themeColor="text1"/>
        </w:rPr>
        <w:t>е</w:t>
      </w:r>
      <w:r w:rsidR="00A56E08">
        <w:rPr>
          <w:rStyle w:val="markedcontent"/>
          <w:rFonts w:eastAsia="Calibri Light" w:cs="Arial"/>
          <w:color w:val="000000" w:themeColor="text1"/>
        </w:rPr>
        <w:t>н</w:t>
      </w:r>
      <w:r>
        <w:rPr>
          <w:rStyle w:val="markedcontent"/>
          <w:rFonts w:eastAsia="Calibri Light" w:cs="Arial"/>
          <w:color w:val="000000" w:themeColor="text1"/>
        </w:rPr>
        <w:t>т</w:t>
      </w:r>
      <w:r w:rsidR="00A56E08">
        <w:rPr>
          <w:rStyle w:val="markedcontent"/>
          <w:rFonts w:eastAsia="Calibri Light" w:cs="Arial"/>
          <w:color w:val="000000" w:themeColor="text1"/>
        </w:rPr>
        <w:t>и</w:t>
      </w:r>
      <w:r>
        <w:rPr>
          <w:rStyle w:val="markedcontent"/>
          <w:rFonts w:eastAsia="Calibri Light" w:cs="Arial"/>
          <w:color w:val="000000" w:themeColor="text1"/>
        </w:rPr>
        <w:t>с</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а</w:t>
      </w:r>
      <w:r w:rsidR="00171F00">
        <w:rPr>
          <w:rStyle w:val="markedcontent"/>
          <w:rFonts w:eastAsia="Calibri Light" w:cs="Arial"/>
          <w:color w:val="000000" w:themeColor="text1"/>
        </w:rPr>
        <w:t>з</w:t>
      </w:r>
      <w:r>
        <w:rPr>
          <w:rStyle w:val="markedcontent"/>
          <w:rFonts w:eastAsia="Calibri Light" w:cs="Arial"/>
          <w:color w:val="000000" w:themeColor="text1"/>
        </w:rPr>
        <w:t>в</w:t>
      </w:r>
      <w:r w:rsidR="00A56E08">
        <w:rPr>
          <w:rStyle w:val="markedcontent"/>
          <w:rFonts w:eastAsia="Calibri Light" w:cs="Arial"/>
          <w:color w:val="000000" w:themeColor="text1"/>
        </w:rPr>
        <w:t>ој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имј</w:t>
      </w:r>
      <w:r w:rsidR="00EE6AA2">
        <w:rPr>
          <w:rStyle w:val="markedcontent"/>
          <w:rFonts w:eastAsia="Calibri Light" w:cs="Arial"/>
          <w:color w:val="000000" w:themeColor="text1"/>
        </w:rPr>
        <w:t>е</w:t>
      </w:r>
      <w:r w:rsidR="00A56E08">
        <w:rPr>
          <w:rStyle w:val="markedcontent"/>
          <w:rFonts w:eastAsia="Calibri Light" w:cs="Arial"/>
          <w:color w:val="000000" w:themeColor="text1"/>
        </w:rPr>
        <w:t>ни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но</w:t>
      </w:r>
      <w:r>
        <w:rPr>
          <w:rStyle w:val="markedcontent"/>
          <w:rFonts w:eastAsia="Calibri Light" w:cs="Arial"/>
          <w:color w:val="000000" w:themeColor="text1"/>
        </w:rPr>
        <w:t>в</w:t>
      </w:r>
      <w:r w:rsidR="00A56E08">
        <w:rPr>
          <w:rStyle w:val="markedcontent"/>
          <w:rFonts w:eastAsia="Calibri Light" w:cs="Arial"/>
          <w:color w:val="000000" w:themeColor="text1"/>
        </w:rPr>
        <w:t>их</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м</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A56E08">
        <w:rPr>
          <w:rStyle w:val="markedcontent"/>
          <w:rFonts w:eastAsia="Calibri Light" w:cs="Arial"/>
          <w:color w:val="000000" w:themeColor="text1"/>
        </w:rPr>
        <w:t>ода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w:t>
      </w:r>
      <w:r w:rsidR="00A56E08">
        <w:rPr>
          <w:rStyle w:val="markedcontent"/>
          <w:rFonts w:eastAsia="Calibri Light" w:cs="Arial"/>
          <w:color w:val="000000" w:themeColor="text1"/>
        </w:rPr>
        <w:t>или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мод</w:t>
      </w:r>
      <w:r w:rsidR="00EE6AA2">
        <w:rPr>
          <w:rStyle w:val="markedcontent"/>
          <w:rFonts w:eastAsia="Calibri Light" w:cs="Arial"/>
          <w:color w:val="000000" w:themeColor="text1"/>
        </w:rPr>
        <w:t>е</w:t>
      </w:r>
      <w:r w:rsidR="00A56E08">
        <w:rPr>
          <w:rStyle w:val="markedcontent"/>
          <w:rFonts w:eastAsia="Calibri Light" w:cs="Arial"/>
          <w:color w:val="000000" w:themeColor="text1"/>
        </w:rPr>
        <w:t>ла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од</w:t>
      </w:r>
      <w:r>
        <w:rPr>
          <w:rStyle w:val="markedcontent"/>
          <w:rFonts w:eastAsia="Calibri Light" w:cs="Arial"/>
          <w:color w:val="000000" w:themeColor="text1"/>
        </w:rPr>
        <w:t>у</w:t>
      </w:r>
      <w:r w:rsidR="00A56E08">
        <w:rPr>
          <w:rStyle w:val="markedcontent"/>
          <w:rFonts w:eastAsia="Calibri Light" w:cs="Arial"/>
          <w:color w:val="000000" w:themeColor="text1"/>
        </w:rPr>
        <w:t>ча</w:t>
      </w:r>
      <w:r>
        <w:rPr>
          <w:rStyle w:val="markedcontent"/>
          <w:rFonts w:eastAsia="Calibri Light" w:cs="Arial"/>
          <w:color w:val="000000" w:themeColor="text1"/>
        </w:rPr>
        <w:t>в</w:t>
      </w:r>
      <w:r w:rsidR="00A56E08">
        <w:rPr>
          <w:rStyle w:val="markedcontent"/>
          <w:rFonts w:eastAsia="Calibri Light" w:cs="Arial"/>
          <w:color w:val="000000" w:themeColor="text1"/>
        </w:rPr>
        <w:t>ања</w:t>
      </w:r>
      <w:r w:rsidR="00A043AF" w:rsidRPr="00F6340E">
        <w:rPr>
          <w:rStyle w:val="markedcontent"/>
          <w:rFonts w:eastAsia="Calibri Light" w:cs="Arial"/>
          <w:color w:val="000000" w:themeColor="text1"/>
        </w:rPr>
        <w:t xml:space="preserve">.  </w:t>
      </w:r>
    </w:p>
    <w:p w14:paraId="66968120" w14:textId="1F0EA166" w:rsidR="00A043AF" w:rsidRPr="00F6340E" w:rsidRDefault="00A56E08" w:rsidP="00210EE1">
      <w:pPr>
        <w:pStyle w:val="Body"/>
        <w:rPr>
          <w:rStyle w:val="markedcontent"/>
          <w:rFonts w:eastAsia="Calibri Light" w:cs="Arial"/>
          <w:color w:val="000000" w:themeColor="text1"/>
        </w:rPr>
      </w:pPr>
      <w:r>
        <w:rPr>
          <w:rStyle w:val="markedcontent"/>
          <w:rFonts w:eastAsia="Calibri Light" w:cs="Arial"/>
          <w:color w:val="000000" w:themeColor="text1"/>
        </w:rPr>
        <w:t>Ком</w:t>
      </w:r>
      <w:r w:rsidR="0071360A">
        <w:rPr>
          <w:rStyle w:val="markedcontent"/>
          <w:rFonts w:eastAsia="Calibri Light" w:cs="Arial"/>
          <w:color w:val="000000" w:themeColor="text1"/>
        </w:rPr>
        <w:t>п</w:t>
      </w:r>
      <w:r w:rsidR="00EE6AA2">
        <w:rPr>
          <w:rStyle w:val="markedcontent"/>
          <w:rFonts w:eastAsia="Calibri Light" w:cs="Arial"/>
          <w:color w:val="000000" w:themeColor="text1"/>
        </w:rPr>
        <w:t>е</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Pr>
          <w:rStyle w:val="markedcontent"/>
          <w:rFonts w:eastAsia="Calibri Light" w:cs="Arial"/>
          <w:color w:val="000000" w:themeColor="text1"/>
        </w:rPr>
        <w:t>нција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ру</w:t>
      </w:r>
      <w:r>
        <w:rPr>
          <w:rStyle w:val="markedcontent"/>
          <w:rFonts w:eastAsia="Calibri Light" w:cs="Arial"/>
          <w:color w:val="000000" w:themeColor="text1"/>
        </w:rPr>
        <w:t>чј</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ус</w:t>
      </w:r>
      <w:r>
        <w:rPr>
          <w:rStyle w:val="markedcontent"/>
          <w:rFonts w:eastAsia="Calibri Light" w:cs="Arial"/>
          <w:color w:val="000000" w:themeColor="text1"/>
        </w:rPr>
        <w:t>мј</w:t>
      </w:r>
      <w:r w:rsidR="00EE6AA2">
        <w:rPr>
          <w:rStyle w:val="markedcontent"/>
          <w:rFonts w:eastAsia="Calibri Light" w:cs="Arial"/>
          <w:color w:val="000000" w:themeColor="text1"/>
        </w:rPr>
        <w:t>е</w:t>
      </w:r>
      <w:r w:rsidR="0071360A">
        <w:rPr>
          <w:rStyle w:val="markedcontent"/>
          <w:rFonts w:eastAsia="Calibri Light" w:cs="Arial"/>
          <w:color w:val="000000" w:themeColor="text1"/>
        </w:rPr>
        <w:t>р</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ања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w:t>
      </w:r>
      <w:r>
        <w:rPr>
          <w:rStyle w:val="markedcontent"/>
          <w:rFonts w:eastAsia="Calibri Light" w:cs="Arial"/>
          <w:color w:val="000000" w:themeColor="text1"/>
        </w:rPr>
        <w:t>а</w:t>
      </w:r>
      <w:r w:rsidR="00171F00">
        <w:rPr>
          <w:rStyle w:val="markedcontent"/>
          <w:rFonts w:eastAsia="Calibri Light" w:cs="Arial"/>
          <w:color w:val="000000" w:themeColor="text1"/>
        </w:rPr>
        <w:t>з</w:t>
      </w:r>
      <w:r w:rsidR="0071360A">
        <w:rPr>
          <w:rStyle w:val="markedcontent"/>
          <w:rFonts w:eastAsia="Calibri Light" w:cs="Arial"/>
          <w:color w:val="000000" w:themeColor="text1"/>
        </w:rPr>
        <w:t>у</w:t>
      </w:r>
      <w:r>
        <w:rPr>
          <w:rStyle w:val="markedcontent"/>
          <w:rFonts w:eastAsia="Calibri Light" w:cs="Arial"/>
          <w:color w:val="000000" w:themeColor="text1"/>
        </w:rPr>
        <w:t>миј</w:t>
      </w:r>
      <w:r w:rsidR="00EE6AA2">
        <w:rPr>
          <w:rStyle w:val="markedcontent"/>
          <w:rFonts w:eastAsia="Calibri Light" w:cs="Arial"/>
          <w:color w:val="000000" w:themeColor="text1"/>
        </w:rPr>
        <w:t>е</w:t>
      </w:r>
      <w:r w:rsidR="0071360A">
        <w:rPr>
          <w:rStyle w:val="markedcontent"/>
          <w:rFonts w:eastAsia="Calibri Light" w:cs="Arial"/>
          <w:color w:val="000000" w:themeColor="text1"/>
        </w:rPr>
        <w:t>в</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уп</w:t>
      </w:r>
      <w:r>
        <w:rPr>
          <w:rStyle w:val="markedcontent"/>
          <w:rFonts w:eastAsia="Calibri Light" w:cs="Arial"/>
          <w:color w:val="000000" w:themeColor="text1"/>
        </w:rPr>
        <w:t>о</w:t>
      </w:r>
      <w:r w:rsidR="0071360A">
        <w:rPr>
          <w:rStyle w:val="markedcontent"/>
          <w:rFonts w:eastAsia="Calibri Light" w:cs="Arial"/>
          <w:color w:val="000000" w:themeColor="text1"/>
        </w:rPr>
        <w:t>тр</w:t>
      </w:r>
      <w:r w:rsidR="00EE6AA2">
        <w:rPr>
          <w:rStyle w:val="markedcontent"/>
          <w:rFonts w:eastAsia="Calibri Light" w:cs="Arial"/>
          <w:color w:val="000000" w:themeColor="text1"/>
        </w:rPr>
        <w:t>е</w:t>
      </w:r>
      <w:r>
        <w:rPr>
          <w:rStyle w:val="markedcontent"/>
          <w:rFonts w:eastAsia="Calibri Light" w:cs="Arial"/>
          <w:color w:val="000000" w:themeColor="text1"/>
        </w:rPr>
        <w:t>б</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диги</w:t>
      </w:r>
      <w:r w:rsidR="0071360A">
        <w:rPr>
          <w:rStyle w:val="markedcontent"/>
          <w:rFonts w:eastAsia="Calibri Light" w:cs="Arial"/>
          <w:color w:val="000000" w:themeColor="text1"/>
        </w:rPr>
        <w:t>т</w:t>
      </w:r>
      <w:r>
        <w:rPr>
          <w:rStyle w:val="markedcontent"/>
          <w:rFonts w:eastAsia="Calibri Light" w:cs="Arial"/>
          <w:color w:val="000000" w:themeColor="text1"/>
        </w:rPr>
        <w:t>алн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Pr>
          <w:rStyle w:val="markedcontent"/>
          <w:rFonts w:eastAsia="Calibri Light" w:cs="Arial"/>
          <w:color w:val="000000" w:themeColor="text1"/>
        </w:rPr>
        <w:t>хнологиј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ус</w:t>
      </w:r>
      <w:r>
        <w:rPr>
          <w:rStyle w:val="markedcontent"/>
          <w:rFonts w:eastAsia="Calibri Light" w:cs="Arial"/>
          <w:color w:val="000000" w:themeColor="text1"/>
        </w:rPr>
        <w:t>л</w:t>
      </w:r>
      <w:r w:rsidR="0071360A">
        <w:rPr>
          <w:rStyle w:val="markedcontent"/>
          <w:rFonts w:eastAsia="Calibri Light" w:cs="Arial"/>
          <w:color w:val="000000" w:themeColor="text1"/>
        </w:rPr>
        <w:t>у</w:t>
      </w:r>
      <w:r>
        <w:rPr>
          <w:rStyle w:val="markedcontent"/>
          <w:rFonts w:eastAsia="Calibri Light" w:cs="Arial"/>
          <w:color w:val="000000" w:themeColor="text1"/>
        </w:rPr>
        <w:t>га</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Pr>
          <w:rStyle w:val="markedcontent"/>
          <w:rFonts w:eastAsia="Calibri Light" w:cs="Arial"/>
          <w:color w:val="000000" w:themeColor="text1"/>
        </w:rPr>
        <w:t>на</w:t>
      </w:r>
      <w:r w:rsidR="0071360A">
        <w:rPr>
          <w:rStyle w:val="markedcontent"/>
          <w:rFonts w:eastAsia="Calibri Light" w:cs="Arial"/>
          <w:color w:val="000000" w:themeColor="text1"/>
        </w:rPr>
        <w:t>пр</w:t>
      </w:r>
      <w:r>
        <w:rPr>
          <w:rStyle w:val="markedcontent"/>
          <w:rFonts w:eastAsia="Calibri Light" w:cs="Arial"/>
          <w:color w:val="000000" w:themeColor="text1"/>
        </w:rPr>
        <w:t>ј</w:t>
      </w:r>
      <w:r w:rsidR="00EE6AA2">
        <w:rPr>
          <w:rStyle w:val="markedcontent"/>
          <w:rFonts w:eastAsia="Calibri Light" w:cs="Arial"/>
          <w:color w:val="000000" w:themeColor="text1"/>
        </w:rPr>
        <w:t>е</w:t>
      </w:r>
      <w:r>
        <w:rPr>
          <w:rStyle w:val="markedcontent"/>
          <w:rFonts w:eastAsia="Calibri Light" w:cs="Arial"/>
          <w:color w:val="000000" w:themeColor="text1"/>
        </w:rPr>
        <w:t>ђ</w:t>
      </w:r>
      <w:r w:rsidR="00EE6AA2">
        <w:rPr>
          <w:rStyle w:val="markedcontent"/>
          <w:rFonts w:eastAsia="Calibri Light" w:cs="Arial"/>
          <w:color w:val="000000" w:themeColor="text1"/>
        </w:rPr>
        <w:t>е</w:t>
      </w:r>
      <w:r>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ин</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sidR="0071360A">
        <w:rPr>
          <w:rStyle w:val="markedcontent"/>
          <w:rFonts w:eastAsia="Calibri Light" w:cs="Arial"/>
          <w:color w:val="000000" w:themeColor="text1"/>
        </w:rPr>
        <w:t>р</w:t>
      </w:r>
      <w:r>
        <w:rPr>
          <w:rStyle w:val="markedcontent"/>
          <w:rFonts w:eastAsia="Calibri Light" w:cs="Arial"/>
          <w:color w:val="000000" w:themeColor="text1"/>
        </w:rPr>
        <w:t>акција</w:t>
      </w:r>
      <w:r w:rsidR="00B04FA8">
        <w:rPr>
          <w:rStyle w:val="markedcontent"/>
          <w:rFonts w:eastAsia="Calibri Light" w:cs="Arial"/>
          <w:color w:val="000000" w:themeColor="text1"/>
        </w:rPr>
        <w:t xml:space="preserve"> са </w:t>
      </w:r>
      <w:r w:rsidR="0071360A">
        <w:rPr>
          <w:rStyle w:val="markedcontent"/>
          <w:rFonts w:eastAsia="Calibri Light" w:cs="Arial"/>
          <w:color w:val="000000" w:themeColor="text1"/>
        </w:rPr>
        <w:t>у</w:t>
      </w:r>
      <w:r>
        <w:rPr>
          <w:rStyle w:val="markedcontent"/>
          <w:rFonts w:eastAsia="Calibri Light" w:cs="Arial"/>
          <w:color w:val="000000" w:themeColor="text1"/>
        </w:rPr>
        <w:t>ч</w:t>
      </w:r>
      <w:r w:rsidR="00EE6AA2">
        <w:rPr>
          <w:rStyle w:val="markedcontent"/>
          <w:rFonts w:eastAsia="Calibri Light" w:cs="Arial"/>
          <w:color w:val="000000" w:themeColor="text1"/>
        </w:rPr>
        <w:t>е</w:t>
      </w:r>
      <w:r>
        <w:rPr>
          <w:rStyle w:val="markedcontent"/>
          <w:rFonts w:eastAsia="Calibri Light" w:cs="Arial"/>
          <w:color w:val="000000" w:themeColor="text1"/>
        </w:rPr>
        <w:t>ницима</w:t>
      </w:r>
      <w:r w:rsidR="00A043AF" w:rsidRPr="00F6340E">
        <w:rPr>
          <w:rStyle w:val="markedcontent"/>
          <w:rFonts w:eastAsia="Calibri Light" w:cs="Arial"/>
          <w:color w:val="000000" w:themeColor="text1"/>
        </w:rPr>
        <w:t>/</w:t>
      </w:r>
      <w:r w:rsidR="0071360A">
        <w:rPr>
          <w:rStyle w:val="markedcontent"/>
          <w:rFonts w:eastAsia="Calibri Light" w:cs="Arial"/>
          <w:color w:val="000000" w:themeColor="text1"/>
        </w:rPr>
        <w:t>сту</w:t>
      </w:r>
      <w:r>
        <w:rPr>
          <w:rStyle w:val="markedcontent"/>
          <w:rFonts w:eastAsia="Calibri Light" w:cs="Arial"/>
          <w:color w:val="000000" w:themeColor="text1"/>
        </w:rPr>
        <w:t>д</w:t>
      </w:r>
      <w:r w:rsidR="00EE6AA2">
        <w:rPr>
          <w:rStyle w:val="markedcontent"/>
          <w:rFonts w:eastAsia="Calibri Light" w:cs="Arial"/>
          <w:color w:val="000000" w:themeColor="text1"/>
        </w:rPr>
        <w:t>е</w:t>
      </w:r>
      <w:r>
        <w:rPr>
          <w:rStyle w:val="markedcontent"/>
          <w:rFonts w:eastAsia="Calibri Light" w:cs="Arial"/>
          <w:color w:val="000000" w:themeColor="text1"/>
        </w:rPr>
        <w:t>н</w:t>
      </w:r>
      <w:r w:rsidR="0071360A">
        <w:rPr>
          <w:rStyle w:val="markedcontent"/>
          <w:rFonts w:eastAsia="Calibri Light" w:cs="Arial"/>
          <w:color w:val="000000" w:themeColor="text1"/>
        </w:rPr>
        <w:t>т</w:t>
      </w:r>
      <w:r>
        <w:rPr>
          <w:rStyle w:val="markedcontent"/>
          <w:rFonts w:eastAsia="Calibri Light" w:cs="Arial"/>
          <w:color w:val="000000" w:themeColor="text1"/>
        </w:rPr>
        <w:t>има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ој</w:t>
      </w:r>
      <w:r w:rsidR="00EE6AA2">
        <w:rPr>
          <w:rStyle w:val="markedcontent"/>
          <w:rFonts w:eastAsia="Calibri Light" w:cs="Arial"/>
          <w:color w:val="000000" w:themeColor="text1"/>
        </w:rPr>
        <w:t>е</w:t>
      </w:r>
      <w:r>
        <w:rPr>
          <w:rStyle w:val="markedcontent"/>
          <w:rFonts w:eastAsia="Calibri Light" w:cs="Arial"/>
          <w:color w:val="000000" w:themeColor="text1"/>
        </w:rPr>
        <w:t>диначно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ни</w:t>
      </w:r>
      <w:r w:rsidR="0071360A">
        <w:rPr>
          <w:rStyle w:val="markedcontent"/>
          <w:rFonts w:eastAsia="Calibri Light" w:cs="Arial"/>
          <w:color w:val="000000" w:themeColor="text1"/>
        </w:rPr>
        <w:t>в</w:t>
      </w:r>
      <w:r>
        <w:rPr>
          <w:rStyle w:val="markedcontent"/>
          <w:rFonts w:eastAsia="Calibri Light" w:cs="Arial"/>
          <w:color w:val="000000" w:themeColor="text1"/>
        </w:rPr>
        <w:t>о</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г</w:t>
      </w:r>
      <w:r w:rsidR="0071360A">
        <w:rPr>
          <w:rStyle w:val="markedcontent"/>
          <w:rFonts w:eastAsia="Calibri Light" w:cs="Arial"/>
          <w:color w:val="000000" w:themeColor="text1"/>
        </w:rPr>
        <w:t>руп</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171F00">
        <w:rPr>
          <w:rStyle w:val="markedcontent"/>
          <w:rFonts w:eastAsia="Calibri Light" w:cs="Arial"/>
          <w:color w:val="000000" w:themeColor="text1"/>
        </w:rPr>
        <w:t>з</w:t>
      </w:r>
      <w:r w:rsidR="0071360A">
        <w:rPr>
          <w:rStyle w:val="markedcontent"/>
          <w:rFonts w:eastAsia="Calibri Light" w:cs="Arial"/>
          <w:color w:val="000000" w:themeColor="text1"/>
        </w:rPr>
        <w:t>в</w:t>
      </w:r>
      <w:r>
        <w:rPr>
          <w:rStyle w:val="markedcontent"/>
          <w:rFonts w:eastAsia="Calibri Light" w:cs="Arial"/>
          <w:color w:val="000000" w:themeColor="text1"/>
        </w:rPr>
        <w:t>ан</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71360A">
        <w:rPr>
          <w:rStyle w:val="markedcontent"/>
          <w:rFonts w:eastAsia="Calibri Light" w:cs="Arial"/>
          <w:color w:val="000000" w:themeColor="text1"/>
        </w:rPr>
        <w:t>ст</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ног</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пр</w:t>
      </w:r>
      <w:r>
        <w:rPr>
          <w:rStyle w:val="markedcontent"/>
          <w:rFonts w:eastAsia="Calibri Light" w:cs="Arial"/>
          <w:color w:val="000000" w:themeColor="text1"/>
        </w:rPr>
        <w:t>оц</w:t>
      </w:r>
      <w:r w:rsidR="00EE6AA2">
        <w:rPr>
          <w:rStyle w:val="markedcontent"/>
          <w:rFonts w:eastAsia="Calibri Light" w:cs="Arial"/>
          <w:color w:val="000000" w:themeColor="text1"/>
        </w:rPr>
        <w:t>е</w:t>
      </w:r>
      <w:r w:rsidR="0071360A">
        <w:rPr>
          <w:rStyle w:val="markedcontent"/>
          <w:rFonts w:eastAsia="Calibri Light" w:cs="Arial"/>
          <w:color w:val="000000" w:themeColor="text1"/>
        </w:rPr>
        <w:t>с</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али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пр</w:t>
      </w:r>
      <w:r>
        <w:rPr>
          <w:rStyle w:val="markedcontent"/>
          <w:rFonts w:eastAsia="Calibri Light" w:cs="Arial"/>
          <w:color w:val="000000" w:themeColor="text1"/>
        </w:rPr>
        <w:t>имј</w:t>
      </w:r>
      <w:r w:rsidR="00EE6AA2">
        <w:rPr>
          <w:rStyle w:val="markedcontent"/>
          <w:rFonts w:eastAsia="Calibri Light" w:cs="Arial"/>
          <w:color w:val="000000" w:themeColor="text1"/>
        </w:rPr>
        <w:t>е</w:t>
      </w:r>
      <w:r>
        <w:rPr>
          <w:rStyle w:val="markedcontent"/>
          <w:rFonts w:eastAsia="Calibri Light" w:cs="Arial"/>
          <w:color w:val="000000" w:themeColor="text1"/>
        </w:rPr>
        <w:t>н</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диги</w:t>
      </w:r>
      <w:r w:rsidR="0071360A">
        <w:rPr>
          <w:rStyle w:val="markedcontent"/>
          <w:rFonts w:eastAsia="Calibri Light" w:cs="Arial"/>
          <w:color w:val="000000" w:themeColor="text1"/>
        </w:rPr>
        <w:t>т</w:t>
      </w:r>
      <w:r>
        <w:rPr>
          <w:rStyle w:val="markedcontent"/>
          <w:rFonts w:eastAsia="Calibri Light" w:cs="Arial"/>
          <w:color w:val="000000" w:themeColor="text1"/>
        </w:rPr>
        <w:t>алних</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ала</w:t>
      </w:r>
      <w:r w:rsidR="0071360A">
        <w:rPr>
          <w:rStyle w:val="markedcontent"/>
          <w:rFonts w:eastAsia="Calibri Light" w:cs="Arial"/>
          <w:color w:val="000000" w:themeColor="text1"/>
        </w:rPr>
        <w:t>т</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пр</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о</w:t>
      </w:r>
      <w:r w:rsidR="0071360A">
        <w:rPr>
          <w:rStyle w:val="markedcontent"/>
          <w:rFonts w:eastAsia="Calibri Light" w:cs="Arial"/>
          <w:color w:val="000000" w:themeColor="text1"/>
        </w:rPr>
        <w:t>вр</w:t>
      </w:r>
      <w:r w:rsidR="00EE6AA2">
        <w:rPr>
          <w:rStyle w:val="markedcontent"/>
          <w:rFonts w:eastAsia="Calibri Light" w:cs="Arial"/>
          <w:color w:val="000000" w:themeColor="text1"/>
        </w:rPr>
        <w:t>е</w:t>
      </w:r>
      <w:r>
        <w:rPr>
          <w:rStyle w:val="markedcontent"/>
          <w:rFonts w:eastAsia="Calibri Light" w:cs="Arial"/>
          <w:color w:val="000000" w:themeColor="text1"/>
        </w:rPr>
        <w:t>м</w:t>
      </w:r>
      <w:r w:rsidR="00EE6AA2">
        <w:rPr>
          <w:rStyle w:val="markedcontent"/>
          <w:rFonts w:eastAsia="Calibri Light" w:cs="Arial"/>
          <w:color w:val="000000" w:themeColor="text1"/>
        </w:rPr>
        <w:t>е</w:t>
      </w:r>
      <w:r>
        <w:rPr>
          <w:rStyle w:val="markedcontent"/>
          <w:rFonts w:eastAsia="Calibri Light" w:cs="Arial"/>
          <w:color w:val="000000" w:themeColor="text1"/>
        </w:rPr>
        <w:t>н</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сврс</w:t>
      </w:r>
      <w:r>
        <w:rPr>
          <w:rStyle w:val="markedcontent"/>
          <w:rFonts w:eastAsia="Calibri Light" w:cs="Arial"/>
          <w:color w:val="000000" w:themeColor="text1"/>
        </w:rPr>
        <w:t>и</w:t>
      </w:r>
      <w:r w:rsidR="0071360A">
        <w:rPr>
          <w:rStyle w:val="markedcontent"/>
          <w:rFonts w:eastAsia="Calibri Light" w:cs="Arial"/>
          <w:color w:val="000000" w:themeColor="text1"/>
        </w:rPr>
        <w:t>с</w:t>
      </w:r>
      <w:r>
        <w:rPr>
          <w:rStyle w:val="markedcontent"/>
          <w:rFonts w:eastAsia="Calibri Light" w:cs="Arial"/>
          <w:color w:val="000000" w:themeColor="text1"/>
        </w:rPr>
        <w:t>ходн</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рш</w:t>
      </w:r>
      <w:r>
        <w:rPr>
          <w:rStyle w:val="markedcontent"/>
          <w:rFonts w:eastAsia="Calibri Light" w:cs="Arial"/>
          <w:color w:val="000000" w:themeColor="text1"/>
        </w:rPr>
        <w:t>к</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к</w:t>
      </w:r>
      <w:r w:rsidR="0071360A">
        <w:rPr>
          <w:rStyle w:val="markedcontent"/>
          <w:rFonts w:eastAsia="Calibri Light" w:cs="Arial"/>
          <w:color w:val="000000" w:themeColor="text1"/>
        </w:rPr>
        <w:t>р</w:t>
      </w:r>
      <w:r w:rsidR="00EE6AA2">
        <w:rPr>
          <w:rStyle w:val="markedcontent"/>
          <w:rFonts w:eastAsia="Calibri Light" w:cs="Arial"/>
          <w:color w:val="000000" w:themeColor="text1"/>
        </w:rPr>
        <w:t>е</w:t>
      </w:r>
      <w:r>
        <w:rPr>
          <w:rStyle w:val="markedcontent"/>
          <w:rFonts w:eastAsia="Calibri Light" w:cs="Arial"/>
          <w:color w:val="000000" w:themeColor="text1"/>
        </w:rPr>
        <w:t>и</w:t>
      </w:r>
      <w:r w:rsidR="0071360A">
        <w:rPr>
          <w:rStyle w:val="markedcontent"/>
          <w:rFonts w:eastAsia="Calibri Light" w:cs="Arial"/>
          <w:color w:val="000000" w:themeColor="text1"/>
        </w:rPr>
        <w:t>р</w:t>
      </w:r>
      <w:r>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но</w:t>
      </w:r>
      <w:r w:rsidR="0071360A">
        <w:rPr>
          <w:rStyle w:val="markedcontent"/>
          <w:rFonts w:eastAsia="Calibri Light" w:cs="Arial"/>
          <w:color w:val="000000" w:themeColor="text1"/>
        </w:rPr>
        <w:t>в</w:t>
      </w:r>
      <w:r>
        <w:rPr>
          <w:rStyle w:val="markedcontent"/>
          <w:rFonts w:eastAsia="Calibri Light" w:cs="Arial"/>
          <w:color w:val="000000" w:themeColor="text1"/>
        </w:rPr>
        <w:t>их</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с</w:t>
      </w:r>
      <w:r>
        <w:rPr>
          <w:rStyle w:val="markedcontent"/>
          <w:rFonts w:eastAsia="Calibri Light" w:cs="Arial"/>
          <w:color w:val="000000" w:themeColor="text1"/>
        </w:rPr>
        <w:t>мј</w:t>
      </w:r>
      <w:r w:rsidR="00EE6AA2">
        <w:rPr>
          <w:rStyle w:val="markedcontent"/>
          <w:rFonts w:eastAsia="Calibri Light" w:cs="Arial"/>
          <w:color w:val="000000" w:themeColor="text1"/>
        </w:rPr>
        <w:t>е</w:t>
      </w:r>
      <w:r w:rsidR="0071360A">
        <w:rPr>
          <w:rStyle w:val="markedcontent"/>
          <w:rFonts w:eastAsia="Calibri Light" w:cs="Arial"/>
          <w:color w:val="000000" w:themeColor="text1"/>
        </w:rPr>
        <w:t>р</w:t>
      </w:r>
      <w:r>
        <w:rPr>
          <w:rStyle w:val="markedcontent"/>
          <w:rFonts w:eastAsia="Calibri Light" w:cs="Arial"/>
          <w:color w:val="000000" w:themeColor="text1"/>
        </w:rPr>
        <w:t>ница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облика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рш</w:t>
      </w:r>
      <w:r>
        <w:rPr>
          <w:rStyle w:val="markedcontent"/>
          <w:rFonts w:eastAsia="Calibri Light" w:cs="Arial"/>
          <w:color w:val="000000" w:themeColor="text1"/>
        </w:rPr>
        <w:t>к</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w:t>
      </w:r>
    </w:p>
    <w:p w14:paraId="36E48DC7" w14:textId="66B46E53" w:rsidR="00A043AF" w:rsidRPr="00F6340E" w:rsidRDefault="0071360A" w:rsidP="00210EE1">
      <w:pPr>
        <w:pStyle w:val="Body"/>
        <w:rPr>
          <w:rStyle w:val="markedcontent"/>
          <w:rFonts w:eastAsia="Calibri Light" w:cs="Arial"/>
          <w:color w:val="000000" w:themeColor="text1"/>
        </w:rPr>
      </w:pPr>
      <w:r>
        <w:rPr>
          <w:rStyle w:val="markedcontent"/>
          <w:rFonts w:eastAsia="Calibri Light" w:cs="Arial"/>
          <w:color w:val="000000" w:themeColor="text1"/>
        </w:rPr>
        <w:t>Пр</w:t>
      </w:r>
      <w:r w:rsidR="00A56E08">
        <w:rPr>
          <w:rStyle w:val="markedcontent"/>
          <w:rFonts w:eastAsia="Calibri Light" w:cs="Arial"/>
          <w:color w:val="000000" w:themeColor="text1"/>
        </w:rPr>
        <w:t>имј</w:t>
      </w:r>
      <w:r w:rsidR="00EE6AA2">
        <w:rPr>
          <w:rStyle w:val="markedcontent"/>
          <w:rFonts w:eastAsia="Calibri Light" w:cs="Arial"/>
          <w:color w:val="000000" w:themeColor="text1"/>
        </w:rPr>
        <w:t>е</w:t>
      </w:r>
      <w:r w:rsidR="00A56E08">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хнологиј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мог</w:t>
      </w:r>
      <w:r>
        <w:rPr>
          <w:rStyle w:val="markedcontent"/>
          <w:rFonts w:eastAsia="Calibri Light" w:cs="Arial"/>
          <w:color w:val="000000" w:themeColor="text1"/>
        </w:rPr>
        <w:t>у</w:t>
      </w:r>
      <w:r w:rsidR="00A56E08">
        <w:rPr>
          <w:rStyle w:val="markedcontent"/>
          <w:rFonts w:eastAsia="Calibri Light" w:cs="Arial"/>
          <w:color w:val="000000" w:themeColor="text1"/>
        </w:rPr>
        <w:t>ћа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w:t>
      </w:r>
      <w:r>
        <w:rPr>
          <w:rStyle w:val="markedcontent"/>
          <w:rFonts w:eastAsia="Calibri Light" w:cs="Arial"/>
          <w:color w:val="000000" w:themeColor="text1"/>
        </w:rPr>
        <w:t>т</w:t>
      </w:r>
      <w:r w:rsidR="00A56E08">
        <w:rPr>
          <w:rStyle w:val="markedcontent"/>
          <w:rFonts w:eastAsia="Calibri Light" w:cs="Arial"/>
          <w:color w:val="000000" w:themeColor="text1"/>
        </w:rPr>
        <w:t>ицањ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на</w:t>
      </w:r>
      <w:r>
        <w:rPr>
          <w:rStyle w:val="markedcontent"/>
          <w:rFonts w:eastAsia="Calibri Light" w:cs="Arial"/>
          <w:color w:val="000000" w:themeColor="text1"/>
        </w:rPr>
        <w:t>пр</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sidR="00A56E08">
        <w:rPr>
          <w:rStyle w:val="markedcontent"/>
          <w:rFonts w:eastAsia="Calibri Light" w:cs="Arial"/>
          <w:color w:val="000000" w:themeColor="text1"/>
        </w:rPr>
        <w:t>ђ</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A56E08">
        <w:rPr>
          <w:rStyle w:val="markedcontent"/>
          <w:rFonts w:eastAsia="Calibri Light" w:cs="Arial"/>
          <w:color w:val="000000" w:themeColor="text1"/>
        </w:rPr>
        <w:t>а</w:t>
      </w:r>
      <w:r>
        <w:rPr>
          <w:rStyle w:val="markedcontent"/>
          <w:rFonts w:eastAsia="Calibri Light" w:cs="Arial"/>
          <w:color w:val="000000" w:themeColor="text1"/>
        </w:rPr>
        <w:t>р</w:t>
      </w:r>
      <w:r w:rsidR="00A56E08">
        <w:rPr>
          <w:rStyle w:val="markedcontent"/>
          <w:rFonts w:eastAsia="Calibri Light" w:cs="Arial"/>
          <w:color w:val="000000" w:themeColor="text1"/>
        </w:rPr>
        <w:t>адничког</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м</w:t>
      </w:r>
      <w:r w:rsidR="00EE6AA2">
        <w:rPr>
          <w:rStyle w:val="markedcontent"/>
          <w:rFonts w:eastAsia="Calibri Light" w:cs="Arial"/>
          <w:color w:val="000000" w:themeColor="text1"/>
        </w:rPr>
        <w:t>е</w:t>
      </w:r>
      <w:r w:rsidR="00A56E08">
        <w:rPr>
          <w:rStyle w:val="markedcontent"/>
          <w:rFonts w:eastAsia="Calibri Light" w:cs="Arial"/>
          <w:color w:val="000000" w:themeColor="text1"/>
        </w:rPr>
        <w:t>ђ</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ницима</w:t>
      </w:r>
      <w:r w:rsidR="00A043AF" w:rsidRPr="00F6340E">
        <w:rPr>
          <w:rStyle w:val="markedcontent"/>
          <w:rFonts w:eastAsia="Calibri Light" w:cs="Arial"/>
          <w:color w:val="000000" w:themeColor="text1"/>
        </w:rPr>
        <w:t>/</w:t>
      </w:r>
      <w:r>
        <w:rPr>
          <w:rStyle w:val="markedcontent"/>
          <w:rFonts w:eastAsia="Calibri Light" w:cs="Arial"/>
          <w:color w:val="000000" w:themeColor="text1"/>
        </w:rPr>
        <w:t>сту</w:t>
      </w:r>
      <w:r w:rsidR="00A56E08">
        <w:rPr>
          <w:rStyle w:val="markedcontent"/>
          <w:rFonts w:eastAsia="Calibri Light" w:cs="Arial"/>
          <w:color w:val="000000" w:themeColor="text1"/>
        </w:rPr>
        <w:t>д</w:t>
      </w:r>
      <w:r w:rsidR="00EE6AA2">
        <w:rPr>
          <w:rStyle w:val="markedcontent"/>
          <w:rFonts w:eastAsia="Calibri Light" w:cs="Arial"/>
          <w:color w:val="000000" w:themeColor="text1"/>
        </w:rPr>
        <w:t>е</w:t>
      </w:r>
      <w:r w:rsidR="00A56E08">
        <w:rPr>
          <w:rStyle w:val="markedcontent"/>
          <w:rFonts w:eastAsia="Calibri Light" w:cs="Arial"/>
          <w:color w:val="000000" w:themeColor="text1"/>
        </w:rPr>
        <w:t>н</w:t>
      </w:r>
      <w:r>
        <w:rPr>
          <w:rStyle w:val="markedcontent"/>
          <w:rFonts w:eastAsia="Calibri Light" w:cs="Arial"/>
          <w:color w:val="000000" w:themeColor="text1"/>
        </w:rPr>
        <w:t>т</w:t>
      </w:r>
      <w:r w:rsidR="00A56E08">
        <w:rPr>
          <w:rStyle w:val="markedcontent"/>
          <w:rFonts w:eastAsia="Calibri Light" w:cs="Arial"/>
          <w:color w:val="000000" w:themeColor="text1"/>
        </w:rPr>
        <w:t>има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м</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ала</w:t>
      </w:r>
      <w:r>
        <w:rPr>
          <w:rStyle w:val="markedcontent"/>
          <w:rFonts w:eastAsia="Calibri Light" w:cs="Arial"/>
          <w:color w:val="000000" w:themeColor="text1"/>
        </w:rPr>
        <w:t>т</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w:t>
      </w:r>
      <w:r>
        <w:rPr>
          <w:rStyle w:val="markedcontent"/>
          <w:rFonts w:eastAsia="Calibri Light" w:cs="Arial"/>
          <w:color w:val="000000" w:themeColor="text1"/>
        </w:rPr>
        <w:t>р</w:t>
      </w:r>
      <w:r w:rsidR="00A56E08">
        <w:rPr>
          <w:rStyle w:val="markedcontent"/>
          <w:rFonts w:eastAsia="Calibri Light" w:cs="Arial"/>
          <w:color w:val="000000" w:themeColor="text1"/>
        </w:rPr>
        <w:t>и</w:t>
      </w:r>
      <w:r>
        <w:rPr>
          <w:rStyle w:val="markedcontent"/>
          <w:rFonts w:eastAsia="Calibri Light" w:cs="Arial"/>
          <w:color w:val="000000" w:themeColor="text1"/>
        </w:rPr>
        <w:t>ст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као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ср</w:t>
      </w:r>
      <w:r w:rsidR="00EE6AA2">
        <w:rPr>
          <w:rStyle w:val="markedcontent"/>
          <w:rFonts w:eastAsia="Calibri Light" w:cs="Arial"/>
          <w:color w:val="000000" w:themeColor="text1"/>
        </w:rPr>
        <w:t>е</w:t>
      </w:r>
      <w:r w:rsidR="00A56E08">
        <w:rPr>
          <w:rStyle w:val="markedcontent"/>
          <w:rFonts w:eastAsia="Calibri Light" w:cs="Arial"/>
          <w:color w:val="000000" w:themeColor="text1"/>
        </w:rPr>
        <w:t>д</w:t>
      </w:r>
      <w:r>
        <w:rPr>
          <w:rStyle w:val="markedcontent"/>
          <w:rFonts w:eastAsia="Calibri Light" w:cs="Arial"/>
          <w:color w:val="000000" w:themeColor="text1"/>
        </w:rPr>
        <w:t>ств</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обољ</w:t>
      </w:r>
      <w:r>
        <w:rPr>
          <w:rStyle w:val="markedcontent"/>
          <w:rFonts w:eastAsia="Calibri Light" w:cs="Arial"/>
          <w:color w:val="000000" w:themeColor="text1"/>
        </w:rPr>
        <w:t>ш</w:t>
      </w:r>
      <w:r w:rsidR="00A56E08">
        <w:rPr>
          <w:rStyle w:val="markedcontent"/>
          <w:rFonts w:eastAsia="Calibri Light" w:cs="Arial"/>
          <w:color w:val="000000" w:themeColor="text1"/>
        </w:rPr>
        <w:t>ањ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ком</w:t>
      </w:r>
      <w:r>
        <w:rPr>
          <w:rStyle w:val="markedcontent"/>
          <w:rFonts w:eastAsia="Calibri Light" w:cs="Arial"/>
          <w:color w:val="000000" w:themeColor="text1"/>
        </w:rPr>
        <w:t>у</w:t>
      </w:r>
      <w:r w:rsidR="00A56E08">
        <w:rPr>
          <w:rStyle w:val="markedcontent"/>
          <w:rFonts w:eastAsia="Calibri Light" w:cs="Arial"/>
          <w:color w:val="000000" w:themeColor="text1"/>
        </w:rPr>
        <w:t>никациј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w:t>
      </w:r>
      <w:r w:rsidR="00A56E08">
        <w:rPr>
          <w:rStyle w:val="markedcontent"/>
          <w:rFonts w:eastAsia="Calibri Light" w:cs="Arial"/>
          <w:color w:val="000000" w:themeColor="text1"/>
        </w:rPr>
        <w:t>а</w:t>
      </w:r>
      <w:r>
        <w:rPr>
          <w:rStyle w:val="markedcontent"/>
          <w:rFonts w:eastAsia="Calibri Light" w:cs="Arial"/>
          <w:color w:val="000000" w:themeColor="text1"/>
        </w:rPr>
        <w:t>р</w:t>
      </w:r>
      <w:r w:rsidR="00A56E08">
        <w:rPr>
          <w:rStyle w:val="markedcontent"/>
          <w:rFonts w:eastAsia="Calibri Light" w:cs="Arial"/>
          <w:color w:val="000000" w:themeColor="text1"/>
        </w:rPr>
        <w:t>адњ</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колабо</w:t>
      </w:r>
      <w:r>
        <w:rPr>
          <w:rStyle w:val="markedcontent"/>
          <w:rFonts w:eastAsia="Calibri Light" w:cs="Arial"/>
          <w:color w:val="000000" w:themeColor="text1"/>
        </w:rPr>
        <w:t>р</w:t>
      </w:r>
      <w:r w:rsidR="00A56E08">
        <w:rPr>
          <w:rStyle w:val="markedcontent"/>
          <w:rFonts w:eastAsia="Calibri Light" w:cs="Arial"/>
          <w:color w:val="000000" w:themeColor="text1"/>
        </w:rPr>
        <w:t>а</w:t>
      </w:r>
      <w:r>
        <w:rPr>
          <w:rStyle w:val="markedcontent"/>
          <w:rFonts w:eastAsia="Calibri Light" w:cs="Arial"/>
          <w:color w:val="000000" w:themeColor="text1"/>
        </w:rPr>
        <w:t>т</w:t>
      </w:r>
      <w:r w:rsidR="00A56E08">
        <w:rPr>
          <w:rStyle w:val="markedcontent"/>
          <w:rFonts w:eastAsia="Calibri Light" w:cs="Arial"/>
          <w:color w:val="000000" w:themeColor="text1"/>
        </w:rPr>
        <w:t>и</w:t>
      </w:r>
      <w:r>
        <w:rPr>
          <w:rStyle w:val="markedcontent"/>
          <w:rFonts w:eastAsia="Calibri Light" w:cs="Arial"/>
          <w:color w:val="000000" w:themeColor="text1"/>
        </w:rPr>
        <w:t>в</w:t>
      </w:r>
      <w:r w:rsidR="00A56E08">
        <w:rPr>
          <w:rStyle w:val="markedcontent"/>
          <w:rFonts w:eastAsia="Calibri Light" w:cs="Arial"/>
          <w:color w:val="000000" w:themeColor="text1"/>
        </w:rPr>
        <w:t>ног</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ств</w:t>
      </w:r>
      <w:r w:rsidR="00A56E08">
        <w:rPr>
          <w:rStyle w:val="markedcontent"/>
          <w:rFonts w:eastAsia="Calibri Light" w:cs="Arial"/>
          <w:color w:val="000000" w:themeColor="text1"/>
        </w:rPr>
        <w:t>а</w:t>
      </w:r>
      <w:r>
        <w:rPr>
          <w:rStyle w:val="markedcontent"/>
          <w:rFonts w:eastAsia="Calibri Light" w:cs="Arial"/>
          <w:color w:val="000000" w:themeColor="text1"/>
        </w:rPr>
        <w:t>р</w:t>
      </w:r>
      <w:r w:rsidR="00A56E08">
        <w:rPr>
          <w:rStyle w:val="markedcontent"/>
          <w:rFonts w:eastAsia="Calibri Light" w:cs="Arial"/>
          <w:color w:val="000000" w:themeColor="text1"/>
        </w:rPr>
        <w:t>ања</w:t>
      </w:r>
      <w:r w:rsidR="00A043AF" w:rsidRPr="00F6340E">
        <w:rPr>
          <w:rStyle w:val="markedcontent"/>
          <w:rFonts w:eastAsia="Calibri Light" w:cs="Arial"/>
          <w:color w:val="000000" w:themeColor="text1"/>
        </w:rPr>
        <w:t xml:space="preserve"> </w:t>
      </w:r>
      <w:r w:rsidR="00171F00">
        <w:rPr>
          <w:rStyle w:val="markedcontent"/>
          <w:rFonts w:eastAsia="Calibri Light" w:cs="Arial"/>
          <w:color w:val="000000" w:themeColor="text1"/>
        </w:rPr>
        <w:t>з</w:t>
      </w:r>
      <w:r w:rsidR="00A56E08">
        <w:rPr>
          <w:rStyle w:val="markedcontent"/>
          <w:rFonts w:eastAsia="Calibri Light" w:cs="Arial"/>
          <w:color w:val="000000" w:themeColor="text1"/>
        </w:rPr>
        <w:t>нања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Диги</w:t>
      </w:r>
      <w:r>
        <w:rPr>
          <w:rStyle w:val="markedcontent"/>
          <w:rFonts w:eastAsia="Calibri Light" w:cs="Arial"/>
          <w:color w:val="000000" w:themeColor="text1"/>
        </w:rPr>
        <w:t>т</w:t>
      </w:r>
      <w:r w:rsidR="00A56E08">
        <w:rPr>
          <w:rStyle w:val="markedcontent"/>
          <w:rFonts w:eastAsia="Calibri Light" w:cs="Arial"/>
          <w:color w:val="000000" w:themeColor="text1"/>
        </w:rPr>
        <w:t>ална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56E08">
        <w:rPr>
          <w:rStyle w:val="markedcontent"/>
          <w:rFonts w:eastAsia="Calibri Light" w:cs="Arial"/>
          <w:color w:val="000000" w:themeColor="text1"/>
        </w:rPr>
        <w:t>хнологија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омог</w:t>
      </w:r>
      <w:r>
        <w:rPr>
          <w:rStyle w:val="markedcontent"/>
          <w:rFonts w:eastAsia="Calibri Light" w:cs="Arial"/>
          <w:color w:val="000000" w:themeColor="text1"/>
        </w:rPr>
        <w:t>у</w:t>
      </w:r>
      <w:r w:rsidR="00A56E08">
        <w:rPr>
          <w:rStyle w:val="markedcontent"/>
          <w:rFonts w:eastAsia="Calibri Light" w:cs="Arial"/>
          <w:color w:val="000000" w:themeColor="text1"/>
        </w:rPr>
        <w:t>ћа</w:t>
      </w:r>
      <w:r>
        <w:rPr>
          <w:rStyle w:val="markedcontent"/>
          <w:rFonts w:eastAsia="Calibri Light" w:cs="Arial"/>
          <w:color w:val="000000" w:themeColor="text1"/>
        </w:rPr>
        <w:t>в</w:t>
      </w:r>
      <w:r w:rsidR="00A56E08">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ницима</w:t>
      </w:r>
      <w:r w:rsidR="00A043AF" w:rsidRPr="00F6340E">
        <w:rPr>
          <w:rStyle w:val="markedcontent"/>
          <w:rFonts w:eastAsia="Calibri Light" w:cs="Arial"/>
          <w:color w:val="000000" w:themeColor="text1"/>
        </w:rPr>
        <w:t>/</w:t>
      </w:r>
      <w:r>
        <w:rPr>
          <w:rStyle w:val="markedcontent"/>
          <w:rFonts w:eastAsia="Calibri Light" w:cs="Arial"/>
          <w:color w:val="000000" w:themeColor="text1"/>
        </w:rPr>
        <w:t>сту</w:t>
      </w:r>
      <w:r w:rsidR="00A56E08">
        <w:rPr>
          <w:rStyle w:val="markedcontent"/>
          <w:rFonts w:eastAsia="Calibri Light" w:cs="Arial"/>
          <w:color w:val="000000" w:themeColor="text1"/>
        </w:rPr>
        <w:t>д</w:t>
      </w:r>
      <w:r w:rsidR="00EE6AA2">
        <w:rPr>
          <w:rStyle w:val="markedcontent"/>
          <w:rFonts w:eastAsia="Calibri Light" w:cs="Arial"/>
          <w:color w:val="000000" w:themeColor="text1"/>
        </w:rPr>
        <w:t>е</w:t>
      </w:r>
      <w:r w:rsidR="00A56E08">
        <w:rPr>
          <w:rStyle w:val="markedcontent"/>
          <w:rFonts w:eastAsia="Calibri Light" w:cs="Arial"/>
          <w:color w:val="000000" w:themeColor="text1"/>
        </w:rPr>
        <w:t>н</w:t>
      </w:r>
      <w:r>
        <w:rPr>
          <w:rStyle w:val="markedcontent"/>
          <w:rFonts w:eastAsia="Calibri Light" w:cs="Arial"/>
          <w:color w:val="000000" w:themeColor="text1"/>
        </w:rPr>
        <w:t>т</w:t>
      </w:r>
      <w:r w:rsidR="00A56E08">
        <w:rPr>
          <w:rStyle w:val="markedcontent"/>
          <w:rFonts w:eastAsia="Calibri Light" w:cs="Arial"/>
          <w:color w:val="000000" w:themeColor="text1"/>
        </w:rPr>
        <w:t>има</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да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лани</w:t>
      </w:r>
      <w:r>
        <w:rPr>
          <w:rStyle w:val="markedcontent"/>
          <w:rFonts w:eastAsia="Calibri Light" w:cs="Arial"/>
          <w:color w:val="000000" w:themeColor="text1"/>
        </w:rPr>
        <w:t>р</w:t>
      </w:r>
      <w:r w:rsidR="00A56E08">
        <w:rPr>
          <w:rStyle w:val="markedcontent"/>
          <w:rFonts w:eastAsia="Calibri Light" w:cs="Arial"/>
          <w:color w:val="000000" w:themeColor="text1"/>
        </w:rPr>
        <w:t>ај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w:t>
      </w:r>
      <w:r w:rsidR="00A56E08">
        <w:rPr>
          <w:rStyle w:val="markedcontent"/>
          <w:rFonts w:eastAsia="Calibri Light" w:cs="Arial"/>
          <w:color w:val="000000" w:themeColor="text1"/>
        </w:rPr>
        <w:t>а</w:t>
      </w:r>
      <w:r>
        <w:rPr>
          <w:rStyle w:val="markedcontent"/>
          <w:rFonts w:eastAsia="Calibri Light" w:cs="Arial"/>
          <w:color w:val="000000" w:themeColor="text1"/>
        </w:rPr>
        <w:t>т</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а</w:t>
      </w:r>
      <w:r w:rsidR="00171F00">
        <w:rPr>
          <w:rStyle w:val="markedcontent"/>
          <w:rFonts w:eastAsia="Calibri Light" w:cs="Arial"/>
          <w:color w:val="000000" w:themeColor="text1"/>
        </w:rPr>
        <w:t>з</w:t>
      </w:r>
      <w:r w:rsidR="00A56E08">
        <w:rPr>
          <w:rStyle w:val="markedcontent"/>
          <w:rFonts w:eastAsia="Calibri Light" w:cs="Arial"/>
          <w:color w:val="000000" w:themeColor="text1"/>
        </w:rPr>
        <w:t>ми</w:t>
      </w:r>
      <w:r>
        <w:rPr>
          <w:rStyle w:val="markedcontent"/>
          <w:rFonts w:eastAsia="Calibri Light" w:cs="Arial"/>
          <w:color w:val="000000" w:themeColor="text1"/>
        </w:rPr>
        <w:t>ш</w:t>
      </w:r>
      <w:r w:rsidR="00A56E08">
        <w:rPr>
          <w:rStyle w:val="markedcontent"/>
          <w:rFonts w:eastAsia="Calibri Light" w:cs="Arial"/>
          <w:color w:val="000000" w:themeColor="text1"/>
        </w:rPr>
        <w:t>љај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в</w:t>
      </w:r>
      <w:r w:rsidR="00A56E08">
        <w:rPr>
          <w:rStyle w:val="markedcontent"/>
          <w:rFonts w:eastAsia="Calibri Light" w:cs="Arial"/>
          <w:color w:val="000000" w:themeColor="text1"/>
        </w:rPr>
        <w:t>ла</w:t>
      </w:r>
      <w:r>
        <w:rPr>
          <w:rStyle w:val="markedcontent"/>
          <w:rFonts w:eastAsia="Calibri Light" w:cs="Arial"/>
          <w:color w:val="000000" w:themeColor="text1"/>
        </w:rPr>
        <w:t>ст</w:t>
      </w:r>
      <w:r w:rsidR="00A56E08">
        <w:rPr>
          <w:rStyle w:val="markedcontent"/>
          <w:rFonts w:eastAsia="Calibri Light" w:cs="Arial"/>
          <w:color w:val="000000" w:themeColor="text1"/>
        </w:rPr>
        <w:t>и</w:t>
      </w:r>
      <w:r>
        <w:rPr>
          <w:rStyle w:val="markedcontent"/>
          <w:rFonts w:eastAsia="Calibri Light" w:cs="Arial"/>
          <w:color w:val="000000" w:themeColor="text1"/>
        </w:rPr>
        <w:t>т</w:t>
      </w:r>
      <w:r w:rsidR="00A56E08">
        <w:rPr>
          <w:rStyle w:val="markedcontent"/>
          <w:rFonts w:eastAsia="Calibri Light" w:cs="Arial"/>
          <w:color w:val="000000" w:themeColor="text1"/>
        </w:rPr>
        <w:t>ом</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у</w:t>
      </w:r>
      <w:r w:rsidR="00A56E08">
        <w:rPr>
          <w:rStyle w:val="markedcontent"/>
          <w:rFonts w:eastAsia="Calibri Light" w:cs="Arial"/>
          <w:color w:val="000000" w:themeColor="text1"/>
        </w:rPr>
        <w:t>ч</w:t>
      </w:r>
      <w:r w:rsidR="00EE6AA2">
        <w:rPr>
          <w:rStyle w:val="markedcontent"/>
          <w:rFonts w:eastAsia="Calibri Light" w:cs="Arial"/>
          <w:color w:val="000000" w:themeColor="text1"/>
        </w:rPr>
        <w:t>е</w:t>
      </w:r>
      <w:r w:rsidR="00A56E08">
        <w:rPr>
          <w:rStyle w:val="markedcontent"/>
          <w:rFonts w:eastAsia="Calibri Light" w:cs="Arial"/>
          <w:color w:val="000000" w:themeColor="text1"/>
        </w:rPr>
        <w:t>њ</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пру</w:t>
      </w:r>
      <w:r w:rsidR="00171F00">
        <w:rPr>
          <w:rStyle w:val="markedcontent"/>
          <w:rFonts w:eastAsia="Calibri Light" w:cs="Arial"/>
          <w:color w:val="000000" w:themeColor="text1"/>
        </w:rPr>
        <w:t>ж</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п</w:t>
      </w:r>
      <w:r w:rsidR="00A56E08">
        <w:rPr>
          <w:rStyle w:val="markedcontent"/>
          <w:rFonts w:eastAsia="Calibri Light" w:cs="Arial"/>
          <w:color w:val="000000" w:themeColor="text1"/>
        </w:rPr>
        <w:t>о</w:t>
      </w:r>
      <w:r>
        <w:rPr>
          <w:rStyle w:val="markedcontent"/>
          <w:rFonts w:eastAsia="Calibri Light" w:cs="Arial"/>
          <w:color w:val="000000" w:themeColor="text1"/>
        </w:rPr>
        <w:t>вр</w:t>
      </w:r>
      <w:r w:rsidR="00A56E08">
        <w:rPr>
          <w:rStyle w:val="markedcontent"/>
          <w:rFonts w:eastAsia="Calibri Light" w:cs="Arial"/>
          <w:color w:val="000000" w:themeColor="text1"/>
        </w:rPr>
        <w:t>а</w:t>
      </w:r>
      <w:r>
        <w:rPr>
          <w:rStyle w:val="markedcontent"/>
          <w:rFonts w:eastAsia="Calibri Light" w:cs="Arial"/>
          <w:color w:val="000000" w:themeColor="text1"/>
        </w:rPr>
        <w:t>т</w:t>
      </w:r>
      <w:r w:rsidR="00A56E08">
        <w:rPr>
          <w:rStyle w:val="markedcontent"/>
          <w:rFonts w:eastAsia="Calibri Light" w:cs="Arial"/>
          <w:color w:val="000000" w:themeColor="text1"/>
        </w:rPr>
        <w:t>н</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инфо</w:t>
      </w:r>
      <w:r>
        <w:rPr>
          <w:rStyle w:val="markedcontent"/>
          <w:rFonts w:eastAsia="Calibri Light" w:cs="Arial"/>
          <w:color w:val="000000" w:themeColor="text1"/>
        </w:rPr>
        <w:t>р</w:t>
      </w:r>
      <w:r w:rsidR="00A56E08">
        <w:rPr>
          <w:rStyle w:val="markedcontent"/>
          <w:rFonts w:eastAsia="Calibri Light" w:cs="Arial"/>
          <w:color w:val="000000" w:themeColor="text1"/>
        </w:rPr>
        <w:t>мациј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о</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на</w:t>
      </w:r>
      <w:r>
        <w:rPr>
          <w:rStyle w:val="markedcontent"/>
          <w:rFonts w:eastAsia="Calibri Light" w:cs="Arial"/>
          <w:color w:val="000000" w:themeColor="text1"/>
        </w:rPr>
        <w:t>пр</w:t>
      </w:r>
      <w:r w:rsidR="00EE6AA2">
        <w:rPr>
          <w:rStyle w:val="markedcontent"/>
          <w:rFonts w:eastAsia="Calibri Light" w:cs="Arial"/>
          <w:color w:val="000000" w:themeColor="text1"/>
        </w:rPr>
        <w:t>е</w:t>
      </w:r>
      <w:r>
        <w:rPr>
          <w:rStyle w:val="markedcontent"/>
          <w:rFonts w:eastAsia="Calibri Light" w:cs="Arial"/>
          <w:color w:val="000000" w:themeColor="text1"/>
        </w:rPr>
        <w:t>т</w:t>
      </w:r>
      <w:r w:rsidR="00A56E08">
        <w:rPr>
          <w:rStyle w:val="markedcontent"/>
          <w:rFonts w:eastAsia="Calibri Light" w:cs="Arial"/>
          <w:color w:val="000000" w:themeColor="text1"/>
        </w:rPr>
        <w:t>к</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ств</w:t>
      </w:r>
      <w:r w:rsidR="00A56E08">
        <w:rPr>
          <w:rStyle w:val="markedcontent"/>
          <w:rFonts w:eastAsia="Calibri Light" w:cs="Arial"/>
          <w:color w:val="000000" w:themeColor="text1"/>
        </w:rPr>
        <w:t>а</w:t>
      </w:r>
      <w:r>
        <w:rPr>
          <w:rStyle w:val="markedcontent"/>
          <w:rFonts w:eastAsia="Calibri Light" w:cs="Arial"/>
          <w:color w:val="000000" w:themeColor="text1"/>
        </w:rPr>
        <w:t>р</w:t>
      </w:r>
      <w:r w:rsidR="00A56E08">
        <w:rPr>
          <w:rStyle w:val="markedcontent"/>
          <w:rFonts w:eastAsia="Calibri Light" w:cs="Arial"/>
          <w:color w:val="000000" w:themeColor="text1"/>
        </w:rPr>
        <w:t>ај</w:t>
      </w:r>
      <w:r>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A56E08">
        <w:rPr>
          <w:rStyle w:val="markedcontent"/>
          <w:rFonts w:eastAsia="Calibri Light" w:cs="Arial"/>
          <w:color w:val="000000" w:themeColor="text1"/>
        </w:rPr>
        <w:t>к</w:t>
      </w:r>
      <w:r>
        <w:rPr>
          <w:rStyle w:val="markedcontent"/>
          <w:rFonts w:eastAsia="Calibri Light" w:cs="Arial"/>
          <w:color w:val="000000" w:themeColor="text1"/>
        </w:rPr>
        <w:t>р</w:t>
      </w:r>
      <w:r w:rsidR="00EE6AA2">
        <w:rPr>
          <w:rStyle w:val="markedcontent"/>
          <w:rFonts w:eastAsia="Calibri Light" w:cs="Arial"/>
          <w:color w:val="000000" w:themeColor="text1"/>
        </w:rPr>
        <w:t>е</w:t>
      </w:r>
      <w:r w:rsidR="00A56E08">
        <w:rPr>
          <w:rStyle w:val="markedcontent"/>
          <w:rFonts w:eastAsia="Calibri Light" w:cs="Arial"/>
          <w:color w:val="000000" w:themeColor="text1"/>
        </w:rPr>
        <w:t>а</w:t>
      </w:r>
      <w:r>
        <w:rPr>
          <w:rStyle w:val="markedcontent"/>
          <w:rFonts w:eastAsia="Calibri Light" w:cs="Arial"/>
          <w:color w:val="000000" w:themeColor="text1"/>
        </w:rPr>
        <w:t>т</w:t>
      </w:r>
      <w:r w:rsidR="00A56E08">
        <w:rPr>
          <w:rStyle w:val="markedcontent"/>
          <w:rFonts w:eastAsia="Calibri Light" w:cs="Arial"/>
          <w:color w:val="000000" w:themeColor="text1"/>
        </w:rPr>
        <w:t>и</w:t>
      </w:r>
      <w:r>
        <w:rPr>
          <w:rStyle w:val="markedcontent"/>
          <w:rFonts w:eastAsia="Calibri Light" w:cs="Arial"/>
          <w:color w:val="000000" w:themeColor="text1"/>
        </w:rPr>
        <w:t>в</w:t>
      </w:r>
      <w:r w:rsidR="00A56E08">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р</w:t>
      </w:r>
      <w:r w:rsidR="00A56E08">
        <w:rPr>
          <w:rStyle w:val="markedcontent"/>
          <w:rFonts w:eastAsia="Calibri Light" w:cs="Arial"/>
          <w:color w:val="000000" w:themeColor="text1"/>
        </w:rPr>
        <w:t>ј</w:t>
      </w:r>
      <w:r w:rsidR="00EE6AA2">
        <w:rPr>
          <w:rStyle w:val="markedcontent"/>
          <w:rFonts w:eastAsia="Calibri Light" w:cs="Arial"/>
          <w:color w:val="000000" w:themeColor="text1"/>
        </w:rPr>
        <w:t>е</w:t>
      </w:r>
      <w:r>
        <w:rPr>
          <w:rStyle w:val="markedcontent"/>
          <w:rFonts w:eastAsia="Calibri Light" w:cs="Arial"/>
          <w:color w:val="000000" w:themeColor="text1"/>
        </w:rPr>
        <w:t>ш</w:t>
      </w:r>
      <w:r w:rsidR="00EE6AA2">
        <w:rPr>
          <w:rStyle w:val="markedcontent"/>
          <w:rFonts w:eastAsia="Calibri Light" w:cs="Arial"/>
          <w:color w:val="000000" w:themeColor="text1"/>
        </w:rPr>
        <w:t>е</w:t>
      </w:r>
      <w:r w:rsidR="00A56E08">
        <w:rPr>
          <w:rStyle w:val="markedcontent"/>
          <w:rFonts w:eastAsia="Calibri Light" w:cs="Arial"/>
          <w:color w:val="000000" w:themeColor="text1"/>
        </w:rPr>
        <w:t>ња</w:t>
      </w:r>
      <w:r w:rsidR="00A043AF" w:rsidRPr="00F6340E">
        <w:rPr>
          <w:rStyle w:val="markedcontent"/>
          <w:rFonts w:eastAsia="Calibri Light" w:cs="Arial"/>
          <w:color w:val="000000" w:themeColor="text1"/>
        </w:rPr>
        <w:t xml:space="preserve">. </w:t>
      </w:r>
    </w:p>
    <w:p w14:paraId="51915125" w14:textId="5014BC16" w:rsidR="00A043AF" w:rsidRPr="00F6340E" w:rsidRDefault="00A56E08" w:rsidP="00210EE1">
      <w:pPr>
        <w:pStyle w:val="Body"/>
      </w:pPr>
      <w:r>
        <w:rPr>
          <w:rStyle w:val="markedcontent"/>
          <w:rFonts w:eastAsia="Calibri Light" w:cs="Arial"/>
          <w:color w:val="000000" w:themeColor="text1"/>
        </w:rPr>
        <w:t>Имај</w:t>
      </w:r>
      <w:r w:rsidR="0071360A">
        <w:rPr>
          <w:rStyle w:val="markedcontent"/>
          <w:rFonts w:eastAsia="Calibri Light" w:cs="Arial"/>
          <w:color w:val="000000" w:themeColor="text1"/>
        </w:rPr>
        <w:t>у</w:t>
      </w:r>
      <w:r>
        <w:rPr>
          <w:rStyle w:val="markedcontent"/>
          <w:rFonts w:eastAsia="Calibri Light" w:cs="Arial"/>
          <w:color w:val="000000" w:themeColor="text1"/>
        </w:rPr>
        <w:t>ћи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в</w:t>
      </w:r>
      <w:r>
        <w:rPr>
          <w:rStyle w:val="markedcontent"/>
          <w:rFonts w:eastAsia="Calibri Light" w:cs="Arial"/>
          <w:color w:val="000000" w:themeColor="text1"/>
        </w:rPr>
        <w:t>ид</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ком</w:t>
      </w:r>
      <w:r w:rsidR="0071360A">
        <w:rPr>
          <w:rStyle w:val="markedcontent"/>
          <w:rFonts w:eastAsia="Calibri Light" w:cs="Arial"/>
          <w:color w:val="000000" w:themeColor="text1"/>
        </w:rPr>
        <w:t>п</w:t>
      </w:r>
      <w:r w:rsidR="00EE6AA2">
        <w:rPr>
          <w:rStyle w:val="markedcontent"/>
          <w:rFonts w:eastAsia="Calibri Light" w:cs="Arial"/>
          <w:color w:val="000000" w:themeColor="text1"/>
        </w:rPr>
        <w:t>е</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Pr>
          <w:rStyle w:val="markedcontent"/>
          <w:rFonts w:eastAsia="Calibri Light" w:cs="Arial"/>
          <w:color w:val="000000" w:themeColor="text1"/>
        </w:rPr>
        <w:t>нциј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71360A">
        <w:rPr>
          <w:rStyle w:val="markedcontent"/>
          <w:rFonts w:eastAsia="Calibri Light" w:cs="Arial"/>
          <w:color w:val="000000" w:themeColor="text1"/>
        </w:rPr>
        <w:t>в</w:t>
      </w:r>
      <w:r w:rsidR="00EE6AA2">
        <w:rPr>
          <w:rStyle w:val="markedcontent"/>
          <w:rFonts w:eastAsia="Calibri Light" w:cs="Arial"/>
          <w:color w:val="000000" w:themeColor="text1"/>
        </w:rPr>
        <w:t>е</w:t>
      </w:r>
      <w:r>
        <w:rPr>
          <w:rStyle w:val="markedcontent"/>
          <w:rFonts w:eastAsia="Calibri Light" w:cs="Arial"/>
          <w:color w:val="000000" w:themeColor="text1"/>
        </w:rPr>
        <w:t>д</w:t>
      </w:r>
      <w:r w:rsidR="00EE6AA2">
        <w:rPr>
          <w:rStyle w:val="markedcontent"/>
          <w:rFonts w:eastAsia="Calibri Light" w:cs="Arial"/>
          <w:color w:val="000000" w:themeColor="text1"/>
        </w:rPr>
        <w:t>е</w:t>
      </w:r>
      <w:r>
        <w:rPr>
          <w:rStyle w:val="markedcontent"/>
          <w:rFonts w:eastAsia="Calibri Light" w:cs="Arial"/>
          <w:color w:val="000000" w:themeColor="text1"/>
        </w:rPr>
        <w:t>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ру</w:t>
      </w:r>
      <w:r>
        <w:rPr>
          <w:rStyle w:val="markedcontent"/>
          <w:rFonts w:eastAsia="Calibri Light" w:cs="Arial"/>
          <w:color w:val="000000" w:themeColor="text1"/>
        </w:rPr>
        <w:t>чј</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Pr>
          <w:rStyle w:val="markedcontent"/>
          <w:rFonts w:eastAsia="Calibri Light" w:cs="Arial"/>
          <w:color w:val="000000" w:themeColor="text1"/>
        </w:rPr>
        <w:t>ч</w:t>
      </w:r>
      <w:r w:rsidR="00EE6AA2">
        <w:rPr>
          <w:rStyle w:val="markedcontent"/>
          <w:rFonts w:eastAsia="Calibri Light" w:cs="Arial"/>
          <w:color w:val="000000" w:themeColor="text1"/>
        </w:rPr>
        <w:t>е</w:t>
      </w:r>
      <w:r>
        <w:rPr>
          <w:rStyle w:val="markedcontent"/>
          <w:rFonts w:eastAsia="Calibri Light" w:cs="Arial"/>
          <w:color w:val="000000" w:themeColor="text1"/>
        </w:rPr>
        <w:t>ња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у</w:t>
      </w:r>
      <w:r>
        <w:rPr>
          <w:rStyle w:val="markedcontent"/>
          <w:rFonts w:eastAsia="Calibri Light" w:cs="Arial"/>
          <w:color w:val="000000" w:themeColor="text1"/>
        </w:rPr>
        <w:t>ча</w:t>
      </w:r>
      <w:r w:rsidR="0071360A">
        <w:rPr>
          <w:rStyle w:val="markedcontent"/>
          <w:rFonts w:eastAsia="Calibri Light" w:cs="Arial"/>
          <w:color w:val="000000" w:themeColor="text1"/>
        </w:rPr>
        <w:t>в</w:t>
      </w:r>
      <w:r>
        <w:rPr>
          <w:rStyle w:val="markedcontent"/>
          <w:rFonts w:eastAsia="Calibri Light" w:cs="Arial"/>
          <w:color w:val="000000" w:themeColor="text1"/>
        </w:rPr>
        <w:t>ања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очигл</w:t>
      </w:r>
      <w:r w:rsidR="00EE6AA2">
        <w:rPr>
          <w:rStyle w:val="markedcontent"/>
          <w:rFonts w:eastAsia="Calibri Light" w:cs="Arial"/>
          <w:color w:val="000000" w:themeColor="text1"/>
        </w:rPr>
        <w:t>е</w:t>
      </w:r>
      <w:r>
        <w:rPr>
          <w:rStyle w:val="markedcontent"/>
          <w:rFonts w:eastAsia="Calibri Light" w:cs="Arial"/>
          <w:color w:val="000000" w:themeColor="text1"/>
        </w:rPr>
        <w:t>дно</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ј</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да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71360A">
        <w:rPr>
          <w:rStyle w:val="markedcontent"/>
          <w:rFonts w:eastAsia="Calibri Light" w:cs="Arial"/>
          <w:color w:val="000000" w:themeColor="text1"/>
        </w:rPr>
        <w:t>ст</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а</w:t>
      </w:r>
      <w:r w:rsidR="00EE6127"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пут</w:t>
      </w:r>
      <w:r w:rsidR="00EE6AA2">
        <w:rPr>
          <w:rStyle w:val="markedcontent"/>
          <w:rFonts w:eastAsia="Calibri Light" w:cs="Arial"/>
          <w:color w:val="000000" w:themeColor="text1"/>
        </w:rPr>
        <w:t>е</w:t>
      </w:r>
      <w:r>
        <w:rPr>
          <w:rStyle w:val="markedcontent"/>
          <w:rFonts w:eastAsia="Calibri Light" w:cs="Arial"/>
          <w:color w:val="000000" w:themeColor="text1"/>
        </w:rPr>
        <w:t>м</w:t>
      </w:r>
      <w:r w:rsidR="00EE6127" w:rsidRPr="00F6340E">
        <w:rPr>
          <w:rStyle w:val="markedcontent"/>
          <w:rFonts w:eastAsia="Calibri Light" w:cs="Arial"/>
          <w:color w:val="000000" w:themeColor="text1"/>
        </w:rPr>
        <w:t xml:space="preserve"> </w:t>
      </w:r>
      <w:r>
        <w:rPr>
          <w:rStyle w:val="markedcontent"/>
          <w:rFonts w:eastAsia="Calibri Light" w:cs="Arial"/>
          <w:color w:val="000000" w:themeColor="text1"/>
        </w:rPr>
        <w:t>ин</w:t>
      </w:r>
      <w:r w:rsidR="0071360A">
        <w:rPr>
          <w:rStyle w:val="markedcontent"/>
          <w:rFonts w:eastAsia="Calibri Light" w:cs="Arial"/>
          <w:color w:val="000000" w:themeColor="text1"/>
        </w:rPr>
        <w:t>т</w:t>
      </w:r>
      <w:r w:rsidR="00EE6AA2">
        <w:rPr>
          <w:rStyle w:val="markedcontent"/>
          <w:rFonts w:eastAsia="Calibri Light" w:cs="Arial"/>
          <w:color w:val="000000" w:themeColor="text1"/>
        </w:rPr>
        <w:t>е</w:t>
      </w:r>
      <w:r w:rsidR="0071360A">
        <w:rPr>
          <w:rStyle w:val="markedcontent"/>
          <w:rFonts w:eastAsia="Calibri Light" w:cs="Arial"/>
          <w:color w:val="000000" w:themeColor="text1"/>
        </w:rPr>
        <w:t>р</w:t>
      </w:r>
      <w:r>
        <w:rPr>
          <w:rStyle w:val="markedcontent"/>
          <w:rFonts w:eastAsia="Calibri Light" w:cs="Arial"/>
          <w:color w:val="000000" w:themeColor="text1"/>
        </w:rPr>
        <w:t>н</w:t>
      </w:r>
      <w:r w:rsidR="00EE6AA2">
        <w:rPr>
          <w:rStyle w:val="markedcontent"/>
          <w:rFonts w:eastAsia="Calibri Light" w:cs="Arial"/>
          <w:color w:val="000000" w:themeColor="text1"/>
        </w:rPr>
        <w:t>е</w:t>
      </w:r>
      <w:r w:rsidR="0071360A">
        <w:rPr>
          <w:rStyle w:val="markedcontent"/>
          <w:rFonts w:eastAsia="Calibri Light" w:cs="Arial"/>
          <w:color w:val="000000" w:themeColor="text1"/>
        </w:rPr>
        <w:t>т</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која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од</w:t>
      </w:r>
      <w:r w:rsidR="0071360A">
        <w:rPr>
          <w:rStyle w:val="markedcontent"/>
          <w:rFonts w:eastAsia="Calibri Light" w:cs="Arial"/>
          <w:color w:val="000000" w:themeColor="text1"/>
        </w:rPr>
        <w:t>р</w:t>
      </w:r>
      <w:r>
        <w:rPr>
          <w:rStyle w:val="markedcontent"/>
          <w:rFonts w:eastAsia="Calibri Light" w:cs="Arial"/>
          <w:color w:val="000000" w:themeColor="text1"/>
        </w:rPr>
        <w:t>а</w:t>
      </w:r>
      <w:r w:rsidR="00171F00">
        <w:rPr>
          <w:rStyle w:val="markedcontent"/>
          <w:rFonts w:eastAsia="Calibri Light" w:cs="Arial"/>
          <w:color w:val="000000" w:themeColor="text1"/>
        </w:rPr>
        <w:t>з</w:t>
      </w:r>
      <w:r w:rsidR="0071360A">
        <w:rPr>
          <w:rStyle w:val="markedcontent"/>
          <w:rFonts w:eastAsia="Calibri Light" w:cs="Arial"/>
          <w:color w:val="000000" w:themeColor="text1"/>
        </w:rPr>
        <w:t>у</w:t>
      </w:r>
      <w:r>
        <w:rPr>
          <w:rStyle w:val="markedcontent"/>
          <w:rFonts w:eastAsia="Calibri Light" w:cs="Arial"/>
          <w:color w:val="000000" w:themeColor="text1"/>
        </w:rPr>
        <w:t>миј</w:t>
      </w:r>
      <w:r w:rsidR="00EE6AA2">
        <w:rPr>
          <w:rStyle w:val="markedcontent"/>
          <w:rFonts w:eastAsia="Calibri Light" w:cs="Arial"/>
          <w:color w:val="000000" w:themeColor="text1"/>
        </w:rPr>
        <w:t>е</w:t>
      </w:r>
      <w:r w:rsidR="0071360A">
        <w:rPr>
          <w:rStyle w:val="markedcontent"/>
          <w:rFonts w:eastAsia="Calibri Light" w:cs="Arial"/>
          <w:color w:val="000000" w:themeColor="text1"/>
        </w:rPr>
        <w:t>в</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уп</w:t>
      </w:r>
      <w:r>
        <w:rPr>
          <w:rStyle w:val="markedcontent"/>
          <w:rFonts w:eastAsia="Calibri Light" w:cs="Arial"/>
          <w:color w:val="000000" w:themeColor="text1"/>
        </w:rPr>
        <w:t>о</w:t>
      </w:r>
      <w:r w:rsidR="0071360A">
        <w:rPr>
          <w:rStyle w:val="markedcontent"/>
          <w:rFonts w:eastAsia="Calibri Light" w:cs="Arial"/>
          <w:color w:val="000000" w:themeColor="text1"/>
        </w:rPr>
        <w:t>тр</w:t>
      </w:r>
      <w:r w:rsidR="00EE6AA2">
        <w:rPr>
          <w:rStyle w:val="markedcontent"/>
          <w:rFonts w:eastAsia="Calibri Light" w:cs="Arial"/>
          <w:color w:val="000000" w:themeColor="text1"/>
        </w:rPr>
        <w:t>е</w:t>
      </w:r>
      <w:r>
        <w:rPr>
          <w:rStyle w:val="markedcontent"/>
          <w:rFonts w:eastAsia="Calibri Light" w:cs="Arial"/>
          <w:color w:val="000000" w:themeColor="text1"/>
        </w:rPr>
        <w:t>б</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диги</w:t>
      </w:r>
      <w:r w:rsidR="0071360A">
        <w:rPr>
          <w:rStyle w:val="markedcontent"/>
          <w:rFonts w:eastAsia="Calibri Light" w:cs="Arial"/>
          <w:color w:val="000000" w:themeColor="text1"/>
        </w:rPr>
        <w:t>т</w:t>
      </w:r>
      <w:r>
        <w:rPr>
          <w:rStyle w:val="markedcontent"/>
          <w:rFonts w:eastAsia="Calibri Light" w:cs="Arial"/>
          <w:color w:val="000000" w:themeColor="text1"/>
        </w:rPr>
        <w:t>алних</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ала</w:t>
      </w:r>
      <w:r w:rsidR="0071360A">
        <w:rPr>
          <w:rStyle w:val="markedcontent"/>
          <w:rFonts w:eastAsia="Calibri Light" w:cs="Arial"/>
          <w:color w:val="000000" w:themeColor="text1"/>
        </w:rPr>
        <w:t>т</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миј</w:t>
      </w:r>
      <w:r w:rsidR="00EE6AA2">
        <w:rPr>
          <w:rStyle w:val="markedcontent"/>
          <w:rFonts w:eastAsia="Calibri Light" w:cs="Arial"/>
          <w:color w:val="000000" w:themeColor="text1"/>
        </w:rPr>
        <w:t>е</w:t>
      </w:r>
      <w:r>
        <w:rPr>
          <w:rStyle w:val="markedcontent"/>
          <w:rFonts w:eastAsia="Calibri Light" w:cs="Arial"/>
          <w:color w:val="000000" w:themeColor="text1"/>
        </w:rPr>
        <w:t>ња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а</w:t>
      </w:r>
      <w:r w:rsidR="0071360A">
        <w:rPr>
          <w:rStyle w:val="markedcontent"/>
          <w:rFonts w:eastAsia="Calibri Light" w:cs="Arial"/>
          <w:color w:val="000000" w:themeColor="text1"/>
        </w:rPr>
        <w:t>р</w:t>
      </w:r>
      <w:r>
        <w:rPr>
          <w:rStyle w:val="markedcontent"/>
          <w:rFonts w:eastAsia="Calibri Light" w:cs="Arial"/>
          <w:color w:val="000000" w:themeColor="text1"/>
        </w:rPr>
        <w:t>адигм</w:t>
      </w:r>
      <w:r w:rsidR="0071360A">
        <w:rPr>
          <w:rStyle w:val="markedcontent"/>
          <w:rFonts w:eastAsia="Calibri Light" w:cs="Arial"/>
          <w:color w:val="000000" w:themeColor="text1"/>
        </w:rPr>
        <w:t>у</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тр</w:t>
      </w:r>
      <w:r>
        <w:rPr>
          <w:rStyle w:val="markedcontent"/>
          <w:rFonts w:eastAsia="Calibri Light" w:cs="Arial"/>
          <w:color w:val="000000" w:themeColor="text1"/>
        </w:rPr>
        <w:t>адиционалн</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ш</w:t>
      </w:r>
      <w:r>
        <w:rPr>
          <w:rStyle w:val="markedcontent"/>
          <w:rFonts w:eastAsia="Calibri Light" w:cs="Arial"/>
          <w:color w:val="000000" w:themeColor="text1"/>
        </w:rPr>
        <w:t>кол</w:t>
      </w:r>
      <w:r w:rsidR="00EE6AA2">
        <w:rPr>
          <w:rStyle w:val="markedcontent"/>
          <w:rFonts w:eastAsia="Calibri Light" w:cs="Arial"/>
          <w:color w:val="000000" w:themeColor="text1"/>
        </w:rPr>
        <w:t>е</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и</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w:t>
      </w:r>
      <w:r>
        <w:rPr>
          <w:rStyle w:val="markedcontent"/>
          <w:rFonts w:eastAsia="Calibri Light" w:cs="Arial"/>
          <w:color w:val="000000" w:themeColor="text1"/>
        </w:rPr>
        <w:t>омј</w:t>
      </w:r>
      <w:r w:rsidR="00EE6AA2">
        <w:rPr>
          <w:rStyle w:val="markedcontent"/>
          <w:rFonts w:eastAsia="Calibri Light" w:cs="Arial"/>
          <w:color w:val="000000" w:themeColor="text1"/>
        </w:rPr>
        <w:t>е</w:t>
      </w:r>
      <w:r w:rsidR="0071360A">
        <w:rPr>
          <w:rStyle w:val="markedcontent"/>
          <w:rFonts w:eastAsia="Calibri Light" w:cs="Arial"/>
          <w:color w:val="000000" w:themeColor="text1"/>
        </w:rPr>
        <w:t>р</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фок</w:t>
      </w:r>
      <w:r w:rsidR="0071360A">
        <w:rPr>
          <w:rStyle w:val="markedcontent"/>
          <w:rFonts w:eastAsia="Calibri Light" w:cs="Arial"/>
          <w:color w:val="000000" w:themeColor="text1"/>
        </w:rPr>
        <w:t>ус</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с</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71360A">
        <w:rPr>
          <w:rStyle w:val="markedcontent"/>
          <w:rFonts w:eastAsia="Calibri Light" w:cs="Arial"/>
          <w:color w:val="000000" w:themeColor="text1"/>
        </w:rPr>
        <w:t>ст</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ног</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пр</w:t>
      </w:r>
      <w:r>
        <w:rPr>
          <w:rStyle w:val="markedcontent"/>
          <w:rFonts w:eastAsia="Calibri Light" w:cs="Arial"/>
          <w:color w:val="000000" w:themeColor="text1"/>
        </w:rPr>
        <w:t>оц</w:t>
      </w:r>
      <w:r w:rsidR="00EE6AA2">
        <w:rPr>
          <w:rStyle w:val="markedcontent"/>
          <w:rFonts w:eastAsia="Calibri Light" w:cs="Arial"/>
          <w:color w:val="000000" w:themeColor="text1"/>
        </w:rPr>
        <w:t>е</w:t>
      </w:r>
      <w:r w:rsidR="0071360A">
        <w:rPr>
          <w:rStyle w:val="markedcontent"/>
          <w:rFonts w:eastAsia="Calibri Light" w:cs="Arial"/>
          <w:color w:val="000000" w:themeColor="text1"/>
        </w:rPr>
        <w:t>с</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кој</w:t>
      </w:r>
      <w:r w:rsidR="00EE6AA2">
        <w:rPr>
          <w:rStyle w:val="markedcontent"/>
          <w:rFonts w:eastAsia="Calibri Light" w:cs="Arial"/>
          <w:color w:val="000000" w:themeColor="text1"/>
        </w:rPr>
        <w:t>е</w:t>
      </w:r>
      <w:r>
        <w:rPr>
          <w:rStyle w:val="markedcontent"/>
          <w:rFonts w:eastAsia="Calibri Light" w:cs="Arial"/>
          <w:color w:val="000000" w:themeColor="text1"/>
        </w:rPr>
        <w:t>г</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в</w:t>
      </w:r>
      <w:r>
        <w:rPr>
          <w:rStyle w:val="markedcontent"/>
          <w:rFonts w:eastAsia="Calibri Light" w:cs="Arial"/>
          <w:color w:val="000000" w:themeColor="text1"/>
        </w:rPr>
        <w:t>оди</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71360A">
        <w:rPr>
          <w:rStyle w:val="markedcontent"/>
          <w:rFonts w:eastAsia="Calibri Light" w:cs="Arial"/>
          <w:color w:val="000000" w:themeColor="text1"/>
        </w:rPr>
        <w:t>ст</w:t>
      </w:r>
      <w:r>
        <w:rPr>
          <w:rStyle w:val="markedcontent"/>
          <w:rFonts w:eastAsia="Calibri Light" w:cs="Arial"/>
          <w:color w:val="000000" w:themeColor="text1"/>
        </w:rPr>
        <w:t>а</w:t>
      </w:r>
      <w:r w:rsidR="0071360A">
        <w:rPr>
          <w:rStyle w:val="markedcontent"/>
          <w:rFonts w:eastAsia="Calibri Light" w:cs="Arial"/>
          <w:color w:val="000000" w:themeColor="text1"/>
        </w:rPr>
        <w:t>в</w:t>
      </w:r>
      <w:r>
        <w:rPr>
          <w:rStyle w:val="markedcontent"/>
          <w:rFonts w:eastAsia="Calibri Light" w:cs="Arial"/>
          <w:color w:val="000000" w:themeColor="text1"/>
        </w:rPr>
        <w:t>ник</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пр</w:t>
      </w:r>
      <w:r>
        <w:rPr>
          <w:rStyle w:val="markedcontent"/>
          <w:rFonts w:eastAsia="Calibri Light" w:cs="Arial"/>
          <w:color w:val="000000" w:themeColor="text1"/>
        </w:rPr>
        <w:t>оц</w:t>
      </w:r>
      <w:r w:rsidR="00EE6AA2">
        <w:rPr>
          <w:rStyle w:val="markedcontent"/>
          <w:rFonts w:eastAsia="Calibri Light" w:cs="Arial"/>
          <w:color w:val="000000" w:themeColor="text1"/>
        </w:rPr>
        <w:t>е</w:t>
      </w:r>
      <w:r w:rsidR="0071360A">
        <w:rPr>
          <w:rStyle w:val="markedcontent"/>
          <w:rFonts w:eastAsia="Calibri Light" w:cs="Arial"/>
          <w:color w:val="000000" w:themeColor="text1"/>
        </w:rPr>
        <w:t>с</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фок</w:t>
      </w:r>
      <w:r w:rsidR="0071360A">
        <w:rPr>
          <w:rStyle w:val="markedcontent"/>
          <w:rFonts w:eastAsia="Calibri Light" w:cs="Arial"/>
          <w:color w:val="000000" w:themeColor="text1"/>
        </w:rPr>
        <w:t>ус</w:t>
      </w:r>
      <w:r>
        <w:rPr>
          <w:rStyle w:val="markedcontent"/>
          <w:rFonts w:eastAsia="Calibri Light" w:cs="Arial"/>
          <w:color w:val="000000" w:themeColor="text1"/>
        </w:rPr>
        <w:t>и</w:t>
      </w:r>
      <w:r w:rsidR="0071360A">
        <w:rPr>
          <w:rStyle w:val="markedcontent"/>
          <w:rFonts w:eastAsia="Calibri Light" w:cs="Arial"/>
          <w:color w:val="000000" w:themeColor="text1"/>
        </w:rPr>
        <w:t>р</w:t>
      </w:r>
      <w:r>
        <w:rPr>
          <w:rStyle w:val="markedcontent"/>
          <w:rFonts w:eastAsia="Calibri Light" w:cs="Arial"/>
          <w:color w:val="000000" w:themeColor="text1"/>
        </w:rPr>
        <w:t>ан</w:t>
      </w:r>
      <w:r w:rsidR="00A043AF" w:rsidRPr="00F6340E">
        <w:rPr>
          <w:rStyle w:val="markedcontent"/>
          <w:rFonts w:eastAsia="Calibri Light" w:cs="Arial"/>
          <w:color w:val="000000" w:themeColor="text1"/>
        </w:rPr>
        <w:t xml:space="preserve"> </w:t>
      </w:r>
      <w:r>
        <w:rPr>
          <w:rStyle w:val="markedcontent"/>
          <w:rFonts w:eastAsia="Calibri Light" w:cs="Arial"/>
          <w:color w:val="000000" w:themeColor="text1"/>
        </w:rPr>
        <w:t>на</w:t>
      </w:r>
      <w:r w:rsidR="00A043AF" w:rsidRPr="00F6340E">
        <w:rPr>
          <w:rStyle w:val="markedcontent"/>
          <w:rFonts w:eastAsia="Calibri Light" w:cs="Arial"/>
          <w:color w:val="000000" w:themeColor="text1"/>
        </w:rPr>
        <w:t xml:space="preserve"> </w:t>
      </w:r>
      <w:r w:rsidR="0071360A">
        <w:rPr>
          <w:rStyle w:val="markedcontent"/>
          <w:rFonts w:eastAsia="Calibri Light" w:cs="Arial"/>
          <w:color w:val="000000" w:themeColor="text1"/>
        </w:rPr>
        <w:t>у</w:t>
      </w:r>
      <w:r>
        <w:rPr>
          <w:rStyle w:val="markedcontent"/>
          <w:rFonts w:eastAsia="Calibri Light" w:cs="Arial"/>
          <w:color w:val="000000" w:themeColor="text1"/>
        </w:rPr>
        <w:t>ч</w:t>
      </w:r>
      <w:r w:rsidR="00EE6AA2">
        <w:rPr>
          <w:rStyle w:val="markedcontent"/>
          <w:rFonts w:eastAsia="Calibri Light" w:cs="Arial"/>
          <w:color w:val="000000" w:themeColor="text1"/>
        </w:rPr>
        <w:t>е</w:t>
      </w:r>
      <w:r>
        <w:rPr>
          <w:rStyle w:val="markedcontent"/>
          <w:rFonts w:eastAsia="Calibri Light" w:cs="Arial"/>
          <w:color w:val="000000" w:themeColor="text1"/>
        </w:rPr>
        <w:t>ника</w:t>
      </w:r>
      <w:r w:rsidR="00A043AF" w:rsidRPr="00F6340E">
        <w:rPr>
          <w:rStyle w:val="markedcontent"/>
          <w:rFonts w:eastAsia="Calibri Light" w:cs="Arial"/>
          <w:color w:val="000000" w:themeColor="text1"/>
        </w:rPr>
        <w:t>/</w:t>
      </w:r>
      <w:r w:rsidR="0071360A">
        <w:rPr>
          <w:rStyle w:val="markedcontent"/>
          <w:rFonts w:eastAsia="Calibri Light" w:cs="Arial"/>
          <w:color w:val="000000" w:themeColor="text1"/>
        </w:rPr>
        <w:t>сту</w:t>
      </w:r>
      <w:r>
        <w:rPr>
          <w:rStyle w:val="markedcontent"/>
          <w:rFonts w:eastAsia="Calibri Light" w:cs="Arial"/>
          <w:color w:val="000000" w:themeColor="text1"/>
        </w:rPr>
        <w:t>д</w:t>
      </w:r>
      <w:r w:rsidR="00EE6AA2">
        <w:rPr>
          <w:rStyle w:val="markedcontent"/>
          <w:rFonts w:eastAsia="Calibri Light" w:cs="Arial"/>
          <w:color w:val="000000" w:themeColor="text1"/>
        </w:rPr>
        <w:t>е</w:t>
      </w:r>
      <w:r>
        <w:rPr>
          <w:rStyle w:val="markedcontent"/>
          <w:rFonts w:eastAsia="Calibri Light" w:cs="Arial"/>
          <w:color w:val="000000" w:themeColor="text1"/>
        </w:rPr>
        <w:t>н</w:t>
      </w:r>
      <w:r w:rsidR="0071360A">
        <w:rPr>
          <w:rStyle w:val="markedcontent"/>
          <w:rFonts w:eastAsia="Calibri Light" w:cs="Arial"/>
          <w:color w:val="000000" w:themeColor="text1"/>
        </w:rPr>
        <w:t>т</w:t>
      </w:r>
      <w:r>
        <w:rPr>
          <w:rStyle w:val="markedcontent"/>
          <w:rFonts w:eastAsia="Calibri Light" w:cs="Arial"/>
          <w:color w:val="000000" w:themeColor="text1"/>
        </w:rPr>
        <w:t>а</w:t>
      </w:r>
      <w:r w:rsidR="00A043AF" w:rsidRPr="00F6340E">
        <w:rPr>
          <w:rStyle w:val="markedcontent"/>
          <w:rFonts w:eastAsia="Calibri Light" w:cs="Arial"/>
          <w:color w:val="000000" w:themeColor="text1"/>
        </w:rPr>
        <w:t xml:space="preserve">. </w:t>
      </w:r>
      <w:r w:rsidR="00171F00">
        <w:rPr>
          <w:rStyle w:val="y2iqfc"/>
          <w:rFonts w:cs="Arial"/>
          <w:color w:val="000000" w:themeColor="text1"/>
        </w:rPr>
        <w:t>З</w:t>
      </w:r>
      <w:r>
        <w:rPr>
          <w:rStyle w:val="y2iqfc"/>
          <w:rFonts w:cs="Arial"/>
          <w:color w:val="000000" w:themeColor="text1"/>
        </w:rPr>
        <w:t>а</w:t>
      </w:r>
      <w:r w:rsidR="0071360A">
        <w:rPr>
          <w:rStyle w:val="y2iqfc"/>
          <w:rFonts w:cs="Arial"/>
          <w:color w:val="000000" w:themeColor="text1"/>
        </w:rPr>
        <w:t>т</w:t>
      </w:r>
      <w:r>
        <w:rPr>
          <w:rStyle w:val="y2iqfc"/>
          <w:rFonts w:cs="Arial"/>
          <w:color w:val="000000" w:themeColor="text1"/>
        </w:rPr>
        <w:t>о</w:t>
      </w:r>
      <w:r w:rsidR="00A043AF" w:rsidRPr="00F6340E">
        <w:rPr>
          <w:rStyle w:val="y2iqfc"/>
          <w:rFonts w:cs="Arial"/>
          <w:color w:val="000000" w:themeColor="text1"/>
        </w:rPr>
        <w:t xml:space="preserve"> </w:t>
      </w:r>
      <w:r>
        <w:rPr>
          <w:rStyle w:val="y2iqfc"/>
          <w:rFonts w:cs="Arial"/>
          <w:color w:val="000000" w:themeColor="text1"/>
        </w:rPr>
        <w:t>ј</w:t>
      </w:r>
      <w:r w:rsidR="00EE6AA2">
        <w:rPr>
          <w:rStyle w:val="y2iqfc"/>
          <w:rFonts w:cs="Arial"/>
          <w:color w:val="000000" w:themeColor="text1"/>
        </w:rPr>
        <w:t>е</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лога</w:t>
      </w:r>
      <w:r w:rsidR="00A043AF" w:rsidRPr="00F6340E">
        <w:rPr>
          <w:rStyle w:val="y2iqfc"/>
          <w:rFonts w:cs="Arial"/>
          <w:color w:val="000000" w:themeColor="text1"/>
        </w:rPr>
        <w:t xml:space="preserve"> </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ално</w:t>
      </w:r>
      <w:r w:rsidR="00A043AF" w:rsidRPr="00F6340E">
        <w:rPr>
          <w:rStyle w:val="y2iqfc"/>
          <w:rFonts w:cs="Arial"/>
          <w:color w:val="000000" w:themeColor="text1"/>
        </w:rPr>
        <w:t xml:space="preserve"> </w:t>
      </w:r>
      <w:r>
        <w:rPr>
          <w:rStyle w:val="y2iqfc"/>
          <w:rFonts w:cs="Arial"/>
          <w:color w:val="000000" w:themeColor="text1"/>
        </w:rPr>
        <w:t>ком</w:t>
      </w:r>
      <w:r w:rsidR="0071360A">
        <w:rPr>
          <w:rStyle w:val="y2iqfc"/>
          <w:rFonts w:cs="Arial"/>
          <w:color w:val="000000" w:themeColor="text1"/>
        </w:rPr>
        <w:t>п</w:t>
      </w:r>
      <w:r w:rsidR="00EE6AA2">
        <w:rPr>
          <w:rStyle w:val="y2iqfc"/>
          <w:rFonts w:cs="Arial"/>
          <w:color w:val="000000" w:themeColor="text1"/>
        </w:rPr>
        <w:t>е</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ног</w:t>
      </w:r>
      <w:r w:rsidR="00A043AF"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ника</w:t>
      </w:r>
      <w:r w:rsidR="00A043AF" w:rsidRPr="00F6340E">
        <w:rPr>
          <w:rStyle w:val="y2iqfc"/>
          <w:rFonts w:cs="Arial"/>
          <w:color w:val="000000" w:themeColor="text1"/>
        </w:rPr>
        <w:t xml:space="preserve"> </w:t>
      </w:r>
      <w:r>
        <w:rPr>
          <w:rStyle w:val="y2iqfc"/>
          <w:rFonts w:cs="Arial"/>
          <w:color w:val="000000" w:themeColor="text1"/>
        </w:rPr>
        <w:t>да</w:t>
      </w:r>
      <w:r w:rsidR="00A043AF" w:rsidRPr="00F6340E">
        <w:rPr>
          <w:rStyle w:val="y2iqfc"/>
          <w:rFonts w:cs="Arial"/>
          <w:color w:val="000000" w:themeColor="text1"/>
        </w:rPr>
        <w:t xml:space="preserve"> </w:t>
      </w:r>
      <w:r>
        <w:rPr>
          <w:rStyle w:val="y2iqfc"/>
          <w:rFonts w:cs="Arial"/>
          <w:color w:val="000000" w:themeColor="text1"/>
        </w:rPr>
        <w:t>б</w:t>
      </w:r>
      <w:r w:rsidR="0071360A">
        <w:rPr>
          <w:rStyle w:val="y2iqfc"/>
          <w:rFonts w:cs="Arial"/>
          <w:color w:val="000000" w:themeColor="text1"/>
        </w:rPr>
        <w:t>у</w:t>
      </w:r>
      <w:r>
        <w:rPr>
          <w:rStyle w:val="y2iqfc"/>
          <w:rFonts w:cs="Arial"/>
          <w:color w:val="000000" w:themeColor="text1"/>
        </w:rPr>
        <w:t>д</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м</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о</w:t>
      </w:r>
      <w:r w:rsidR="0071360A">
        <w:rPr>
          <w:rStyle w:val="y2iqfc"/>
          <w:rFonts w:cs="Arial"/>
          <w:color w:val="000000" w:themeColor="text1"/>
        </w:rPr>
        <w:t>р</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в</w:t>
      </w:r>
      <w:r>
        <w:rPr>
          <w:rStyle w:val="y2iqfc"/>
          <w:rFonts w:cs="Arial"/>
          <w:color w:val="000000" w:themeColor="text1"/>
        </w:rPr>
        <w:t>одич</w:t>
      </w:r>
      <w:r w:rsidR="00A043AF" w:rsidRPr="00F6340E">
        <w:rPr>
          <w:rStyle w:val="y2iqfc"/>
          <w:rFonts w:cs="Arial"/>
          <w:color w:val="000000" w:themeColor="text1"/>
        </w:rPr>
        <w:t xml:space="preserve"> </w:t>
      </w:r>
      <w:r w:rsidR="00171F00">
        <w:rPr>
          <w:rStyle w:val="y2iqfc"/>
          <w:rFonts w:cs="Arial"/>
          <w:color w:val="000000" w:themeColor="text1"/>
        </w:rPr>
        <w:t>з</w:t>
      </w:r>
      <w:r>
        <w:rPr>
          <w:rStyle w:val="y2iqfc"/>
          <w:rFonts w:cs="Arial"/>
          <w:color w:val="000000" w:themeColor="text1"/>
        </w:rPr>
        <w:t>а</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а</w:t>
      </w:r>
      <w:r w:rsidR="00B8450A"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w:t>
      </w:r>
      <w:r w:rsidR="0071360A">
        <w:rPr>
          <w:rStyle w:val="y2iqfc"/>
          <w:rFonts w:cs="Arial"/>
          <w:color w:val="000000" w:themeColor="text1"/>
        </w:rPr>
        <w:t>с</w:t>
      </w:r>
      <w:r w:rsidR="00EE6AA2">
        <w:rPr>
          <w:rStyle w:val="y2iqfc"/>
          <w:rFonts w:cs="Arial"/>
          <w:color w:val="000000" w:themeColor="text1"/>
        </w:rPr>
        <w:t>е</w:t>
      </w:r>
      <w:r>
        <w:rPr>
          <w:rStyle w:val="y2iqfc"/>
          <w:rFonts w:cs="Arial"/>
          <w:color w:val="000000" w:themeColor="text1"/>
        </w:rPr>
        <w:t>бно</w:t>
      </w:r>
      <w:r w:rsidR="00A043AF" w:rsidRPr="00F6340E">
        <w:rPr>
          <w:rStyle w:val="y2iqfc"/>
          <w:rFonts w:cs="Arial"/>
          <w:color w:val="000000" w:themeColor="text1"/>
        </w:rPr>
        <w:t xml:space="preserve"> </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sidR="00EE6AA2">
        <w:rPr>
          <w:rStyle w:val="y2iqfc"/>
          <w:rFonts w:cs="Arial"/>
          <w:color w:val="000000" w:themeColor="text1"/>
        </w:rPr>
        <w:t>е</w:t>
      </w:r>
      <w:r w:rsidR="00A043AF" w:rsidRPr="00F6340E">
        <w:rPr>
          <w:rStyle w:val="y2iqfc"/>
          <w:rFonts w:cs="Arial"/>
          <w:color w:val="000000" w:themeColor="text1"/>
        </w:rPr>
        <w:t xml:space="preserve">, </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њихо</w:t>
      </w:r>
      <w:r w:rsidR="0071360A">
        <w:rPr>
          <w:rStyle w:val="y2iqfc"/>
          <w:rFonts w:cs="Arial"/>
          <w:color w:val="000000" w:themeColor="text1"/>
        </w:rPr>
        <w:t>в</w:t>
      </w:r>
      <w:r>
        <w:rPr>
          <w:rStyle w:val="y2iqfc"/>
          <w:rFonts w:cs="Arial"/>
          <w:color w:val="000000" w:themeColor="text1"/>
        </w:rPr>
        <w:t>ом</w:t>
      </w:r>
      <w:r w:rsidR="00A043AF" w:rsidRPr="00F6340E">
        <w:rPr>
          <w:rStyle w:val="y2iqfc"/>
          <w:rFonts w:cs="Arial"/>
          <w:color w:val="000000" w:themeColor="text1"/>
        </w:rPr>
        <w:t xml:space="preserve"> </w:t>
      </w:r>
      <w:r>
        <w:rPr>
          <w:rStyle w:val="y2iqfc"/>
          <w:rFonts w:cs="Arial"/>
          <w:color w:val="000000" w:themeColor="text1"/>
        </w:rPr>
        <w:t>о</w:t>
      </w:r>
      <w:r w:rsidR="0071360A">
        <w:rPr>
          <w:rStyle w:val="y2iqfc"/>
          <w:rFonts w:cs="Arial"/>
          <w:color w:val="000000" w:themeColor="text1"/>
        </w:rPr>
        <w:t>с</w:t>
      </w:r>
      <w:r>
        <w:rPr>
          <w:rStyle w:val="y2iqfc"/>
          <w:rFonts w:cs="Arial"/>
          <w:color w:val="000000" w:themeColor="text1"/>
        </w:rPr>
        <w:t>амо</w:t>
      </w:r>
      <w:r w:rsidR="0071360A">
        <w:rPr>
          <w:rStyle w:val="y2iqfc"/>
          <w:rFonts w:cs="Arial"/>
          <w:color w:val="000000" w:themeColor="text1"/>
        </w:rPr>
        <w:t>ст</w:t>
      </w:r>
      <w:r>
        <w:rPr>
          <w:rStyle w:val="y2iqfc"/>
          <w:rFonts w:cs="Arial"/>
          <w:color w:val="000000" w:themeColor="text1"/>
        </w:rPr>
        <w:t>аљи</w:t>
      </w:r>
      <w:r w:rsidR="0071360A">
        <w:rPr>
          <w:rStyle w:val="y2iqfc"/>
          <w:rFonts w:cs="Arial"/>
          <w:color w:val="000000" w:themeColor="text1"/>
        </w:rPr>
        <w:t>в</w:t>
      </w:r>
      <w:r>
        <w:rPr>
          <w:rStyle w:val="y2iqfc"/>
          <w:rFonts w:cs="Arial"/>
          <w:color w:val="000000" w:themeColor="text1"/>
        </w:rPr>
        <w:t>ањ</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пр</w:t>
      </w:r>
      <w:r>
        <w:rPr>
          <w:rStyle w:val="y2iqfc"/>
          <w:rFonts w:cs="Arial"/>
          <w:color w:val="000000" w:themeColor="text1"/>
        </w:rPr>
        <w:t>оц</w:t>
      </w:r>
      <w:r w:rsidR="00EE6AA2">
        <w:rPr>
          <w:rStyle w:val="y2iqfc"/>
          <w:rFonts w:cs="Arial"/>
          <w:color w:val="000000" w:themeColor="text1"/>
        </w:rPr>
        <w:t>е</w:t>
      </w:r>
      <w:r w:rsidR="0071360A">
        <w:rPr>
          <w:rStyle w:val="y2iqfc"/>
          <w:rFonts w:cs="Arial"/>
          <w:color w:val="000000" w:themeColor="text1"/>
        </w:rPr>
        <w:t>су</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ња</w:t>
      </w:r>
      <w:r w:rsidR="00A043AF" w:rsidRPr="00F6340E">
        <w:rPr>
          <w:rStyle w:val="y2iqfc"/>
          <w:rFonts w:cs="Arial"/>
          <w:color w:val="000000" w:themeColor="text1"/>
        </w:rPr>
        <w:t xml:space="preserve">. </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т</w:t>
      </w:r>
      <w:r>
        <w:rPr>
          <w:rStyle w:val="y2iqfc"/>
          <w:rFonts w:cs="Arial"/>
          <w:color w:val="000000" w:themeColor="text1"/>
        </w:rPr>
        <w:t>ом</w:t>
      </w:r>
      <w:r w:rsidR="00A043AF"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ми</w:t>
      </w:r>
      <w:r w:rsidR="0071360A">
        <w:rPr>
          <w:rStyle w:val="y2iqfc"/>
          <w:rFonts w:cs="Arial"/>
          <w:color w:val="000000" w:themeColor="text1"/>
        </w:rPr>
        <w:t>с</w:t>
      </w:r>
      <w:r>
        <w:rPr>
          <w:rStyle w:val="y2iqfc"/>
          <w:rFonts w:cs="Arial"/>
          <w:color w:val="000000" w:themeColor="text1"/>
        </w:rPr>
        <w:t>л</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ално</w:t>
      </w:r>
      <w:r w:rsidR="00A043AF" w:rsidRPr="00F6340E">
        <w:rPr>
          <w:rStyle w:val="y2iqfc"/>
          <w:rFonts w:cs="Arial"/>
          <w:color w:val="000000" w:themeColor="text1"/>
        </w:rPr>
        <w:t xml:space="preserve"> </w:t>
      </w:r>
      <w:r>
        <w:rPr>
          <w:rStyle w:val="y2iqfc"/>
          <w:rFonts w:cs="Arial"/>
          <w:color w:val="000000" w:themeColor="text1"/>
        </w:rPr>
        <w:t>ком</w:t>
      </w:r>
      <w:r w:rsidR="0071360A">
        <w:rPr>
          <w:rStyle w:val="y2iqfc"/>
          <w:rFonts w:cs="Arial"/>
          <w:color w:val="000000" w:themeColor="text1"/>
        </w:rPr>
        <w:t>п</w:t>
      </w:r>
      <w:r w:rsidR="00EE6AA2">
        <w:rPr>
          <w:rStyle w:val="y2iqfc"/>
          <w:rFonts w:cs="Arial"/>
          <w:color w:val="000000" w:themeColor="text1"/>
        </w:rPr>
        <w:t>е</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ни</w:t>
      </w:r>
      <w:r w:rsidR="00A043AF"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ници</w:t>
      </w:r>
      <w:r w:rsidR="00A043AF" w:rsidRPr="00F6340E">
        <w:rPr>
          <w:rStyle w:val="y2iqfc"/>
          <w:rFonts w:cs="Arial"/>
          <w:color w:val="000000" w:themeColor="text1"/>
        </w:rPr>
        <w:t xml:space="preserve"> </w:t>
      </w:r>
      <w:r>
        <w:rPr>
          <w:rStyle w:val="y2iqfc"/>
          <w:rFonts w:cs="Arial"/>
          <w:color w:val="000000" w:themeColor="text1"/>
        </w:rPr>
        <w:t>мо</w:t>
      </w:r>
      <w:r w:rsidR="0071360A">
        <w:rPr>
          <w:rStyle w:val="y2iqfc"/>
          <w:rFonts w:cs="Arial"/>
          <w:color w:val="000000" w:themeColor="text1"/>
        </w:rPr>
        <w:t>р</w:t>
      </w:r>
      <w:r>
        <w:rPr>
          <w:rStyle w:val="y2iqfc"/>
          <w:rFonts w:cs="Arial"/>
          <w:color w:val="000000" w:themeColor="text1"/>
        </w:rPr>
        <w:t>ај</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би</w:t>
      </w:r>
      <w:r w:rsidR="0071360A">
        <w:rPr>
          <w:rStyle w:val="y2iqfc"/>
          <w:rFonts w:cs="Arial"/>
          <w:color w:val="000000" w:themeColor="text1"/>
        </w:rPr>
        <w:t>т</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мог</w:t>
      </w:r>
      <w:r w:rsidR="0071360A">
        <w:rPr>
          <w:rStyle w:val="y2iqfc"/>
          <w:rFonts w:cs="Arial"/>
          <w:color w:val="000000" w:themeColor="text1"/>
        </w:rPr>
        <w:t>у</w:t>
      </w:r>
      <w:r>
        <w:rPr>
          <w:rStyle w:val="y2iqfc"/>
          <w:rFonts w:cs="Arial"/>
          <w:color w:val="000000" w:themeColor="text1"/>
        </w:rPr>
        <w:t>ћно</w:t>
      </w:r>
      <w:r w:rsidR="0071360A">
        <w:rPr>
          <w:rStyle w:val="y2iqfc"/>
          <w:rFonts w:cs="Arial"/>
          <w:color w:val="000000" w:themeColor="text1"/>
        </w:rPr>
        <w:t>ст</w:t>
      </w:r>
      <w:r>
        <w:rPr>
          <w:rStyle w:val="y2iqfc"/>
          <w:rFonts w:cs="Arial"/>
          <w:color w:val="000000" w:themeColor="text1"/>
        </w:rPr>
        <w:t>и</w:t>
      </w:r>
      <w:r w:rsidR="00A043AF" w:rsidRPr="00F6340E">
        <w:rPr>
          <w:rStyle w:val="y2iqfc"/>
          <w:rFonts w:cs="Arial"/>
          <w:color w:val="000000" w:themeColor="text1"/>
        </w:rPr>
        <w:t xml:space="preserve"> </w:t>
      </w:r>
      <w:r>
        <w:rPr>
          <w:rStyle w:val="y2iqfc"/>
          <w:rFonts w:cs="Arial"/>
          <w:color w:val="000000" w:themeColor="text1"/>
        </w:rPr>
        <w:t>да</w:t>
      </w:r>
      <w:r w:rsidR="00A043AF" w:rsidRPr="00F6340E">
        <w:rPr>
          <w:rStyle w:val="y2iqfc"/>
          <w:rFonts w:cs="Arial"/>
          <w:color w:val="000000" w:themeColor="text1"/>
        </w:rPr>
        <w:t xml:space="preserve"> </w:t>
      </w:r>
      <w:r>
        <w:rPr>
          <w:rStyle w:val="y2iqfc"/>
          <w:rFonts w:cs="Arial"/>
          <w:color w:val="000000" w:themeColor="text1"/>
        </w:rPr>
        <w:t>о</w:t>
      </w:r>
      <w:r w:rsidR="0071360A">
        <w:rPr>
          <w:rStyle w:val="y2iqfc"/>
          <w:rFonts w:cs="Arial"/>
          <w:color w:val="000000" w:themeColor="text1"/>
        </w:rPr>
        <w:t>с</w:t>
      </w:r>
      <w:r>
        <w:rPr>
          <w:rStyle w:val="y2iqfc"/>
          <w:rFonts w:cs="Arial"/>
          <w:color w:val="000000" w:themeColor="text1"/>
        </w:rPr>
        <w:t>ми</w:t>
      </w:r>
      <w:r w:rsidR="0071360A">
        <w:rPr>
          <w:rStyle w:val="y2iqfc"/>
          <w:rFonts w:cs="Arial"/>
          <w:color w:val="000000" w:themeColor="text1"/>
        </w:rPr>
        <w:t>с</w:t>
      </w:r>
      <w:r>
        <w:rPr>
          <w:rStyle w:val="y2iqfc"/>
          <w:rFonts w:cs="Arial"/>
          <w:color w:val="000000" w:themeColor="text1"/>
        </w:rPr>
        <w:t>л</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но</w:t>
      </w:r>
      <w:r w:rsidR="0071360A">
        <w:rPr>
          <w:rStyle w:val="y2iqfc"/>
          <w:rFonts w:cs="Arial"/>
          <w:color w:val="000000" w:themeColor="text1"/>
        </w:rPr>
        <w:t>в</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начин</w:t>
      </w:r>
      <w:r w:rsidR="00EE6AA2">
        <w:rPr>
          <w:rStyle w:val="y2iqfc"/>
          <w:rFonts w:cs="Arial"/>
          <w:color w:val="000000" w:themeColor="text1"/>
        </w:rPr>
        <w:t>е</w:t>
      </w:r>
      <w:r w:rsidR="00A043AF"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од</w:t>
      </w:r>
      <w:r w:rsidR="0071360A">
        <w:rPr>
          <w:rStyle w:val="y2iqfc"/>
          <w:rFonts w:cs="Arial"/>
          <w:color w:val="000000" w:themeColor="text1"/>
        </w:rPr>
        <w:t>р</w:t>
      </w:r>
      <w:r w:rsidR="00171F00">
        <w:rPr>
          <w:rStyle w:val="y2iqfc"/>
          <w:rFonts w:cs="Arial"/>
          <w:color w:val="000000" w:themeColor="text1"/>
        </w:rPr>
        <w:t>ж</w:t>
      </w:r>
      <w:r>
        <w:rPr>
          <w:rStyle w:val="y2iqfc"/>
          <w:rFonts w:cs="Arial"/>
          <w:color w:val="000000" w:themeColor="text1"/>
        </w:rPr>
        <w:t>ан</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алним</w:t>
      </w:r>
      <w:r w:rsidR="00A043AF" w:rsidRPr="00F6340E">
        <w:rPr>
          <w:rStyle w:val="y2iqfc"/>
          <w:rFonts w:cs="Arial"/>
          <w:color w:val="000000" w:themeColor="text1"/>
        </w:rPr>
        <w:t xml:space="preserve"> </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хнологијама</w:t>
      </w:r>
      <w:r w:rsidR="00A043AF" w:rsidRPr="00F6340E">
        <w:rPr>
          <w:rStyle w:val="y2iqfc"/>
          <w:rFonts w:cs="Arial"/>
          <w:color w:val="000000" w:themeColor="text1"/>
        </w:rPr>
        <w:t xml:space="preserve">, </w:t>
      </w:r>
      <w:r>
        <w:rPr>
          <w:rStyle w:val="y2iqfc"/>
          <w:rFonts w:cs="Arial"/>
          <w:color w:val="000000" w:themeColor="text1"/>
        </w:rPr>
        <w:t>да</w:t>
      </w:r>
      <w:r w:rsidR="00A043AF" w:rsidRPr="00F6340E">
        <w:rPr>
          <w:rStyle w:val="y2iqfc"/>
          <w:rFonts w:cs="Arial"/>
          <w:color w:val="000000" w:themeColor="text1"/>
        </w:rPr>
        <w:t xml:space="preserve"> </w:t>
      </w:r>
      <w:r w:rsidR="0071360A">
        <w:rPr>
          <w:rStyle w:val="y2iqfc"/>
          <w:rFonts w:cs="Arial"/>
          <w:color w:val="000000" w:themeColor="text1"/>
        </w:rPr>
        <w:t>пру</w:t>
      </w:r>
      <w:r w:rsidR="00171F00">
        <w:rPr>
          <w:rStyle w:val="y2iqfc"/>
          <w:rFonts w:cs="Arial"/>
          <w:color w:val="000000" w:themeColor="text1"/>
        </w:rPr>
        <w:t>ж</w:t>
      </w:r>
      <w:r w:rsidR="00EE6AA2">
        <w:rPr>
          <w:rStyle w:val="y2iqfc"/>
          <w:rFonts w:cs="Arial"/>
          <w:color w:val="000000" w:themeColor="text1"/>
        </w:rPr>
        <w:t>е</w:t>
      </w:r>
      <w:r w:rsidR="00A043AF"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мј</w:t>
      </w:r>
      <w:r w:rsidR="00EE6AA2">
        <w:rPr>
          <w:rStyle w:val="y2iqfc"/>
          <w:rFonts w:cs="Arial"/>
          <w:color w:val="000000" w:themeColor="text1"/>
        </w:rPr>
        <w:t>е</w:t>
      </w:r>
      <w:r w:rsidR="0071360A">
        <w:rPr>
          <w:rStyle w:val="y2iqfc"/>
          <w:rFonts w:cs="Arial"/>
          <w:color w:val="000000" w:themeColor="text1"/>
        </w:rPr>
        <w:t>р</w:t>
      </w:r>
      <w:r>
        <w:rPr>
          <w:rStyle w:val="y2iqfc"/>
          <w:rFonts w:cs="Arial"/>
          <w:color w:val="000000" w:themeColor="text1"/>
        </w:rPr>
        <w:t>ниц</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од</w:t>
      </w:r>
      <w:r w:rsidR="0071360A">
        <w:rPr>
          <w:rStyle w:val="y2iqfc"/>
          <w:rFonts w:cs="Arial"/>
          <w:color w:val="000000" w:themeColor="text1"/>
        </w:rPr>
        <w:t>рш</w:t>
      </w:r>
      <w:r>
        <w:rPr>
          <w:rStyle w:val="y2iqfc"/>
          <w:rFonts w:cs="Arial"/>
          <w:color w:val="000000" w:themeColor="text1"/>
        </w:rPr>
        <w:t>к</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ницима</w:t>
      </w:r>
      <w:r w:rsidR="00A043AF"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има</w:t>
      </w:r>
      <w:r w:rsidR="00A043AF"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ој</w:t>
      </w:r>
      <w:r w:rsidR="00EE6AA2">
        <w:rPr>
          <w:rStyle w:val="y2iqfc"/>
          <w:rFonts w:cs="Arial"/>
          <w:color w:val="000000" w:themeColor="text1"/>
        </w:rPr>
        <w:t>е</w:t>
      </w:r>
      <w:r>
        <w:rPr>
          <w:rStyle w:val="y2iqfc"/>
          <w:rFonts w:cs="Arial"/>
          <w:color w:val="000000" w:themeColor="text1"/>
        </w:rPr>
        <w:t>диначно</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Pr>
          <w:rStyle w:val="y2iqfc"/>
          <w:rFonts w:cs="Arial"/>
          <w:color w:val="000000" w:themeColor="text1"/>
        </w:rPr>
        <w:t>кол</w:t>
      </w:r>
      <w:r w:rsidR="00EE6AA2">
        <w:rPr>
          <w:rStyle w:val="y2iqfc"/>
          <w:rFonts w:cs="Arial"/>
          <w:color w:val="000000" w:themeColor="text1"/>
        </w:rPr>
        <w:t>е</w:t>
      </w:r>
      <w:r>
        <w:rPr>
          <w:rStyle w:val="y2iqfc"/>
          <w:rFonts w:cs="Arial"/>
          <w:color w:val="000000" w:themeColor="text1"/>
        </w:rPr>
        <w:t>к</w:t>
      </w:r>
      <w:r w:rsidR="0071360A">
        <w:rPr>
          <w:rStyle w:val="y2iqfc"/>
          <w:rFonts w:cs="Arial"/>
          <w:color w:val="000000" w:themeColor="text1"/>
        </w:rPr>
        <w:t>т</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но</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Pr>
          <w:rStyle w:val="y2iqfc"/>
          <w:rFonts w:cs="Arial"/>
          <w:color w:val="000000" w:themeColor="text1"/>
        </w:rPr>
        <w:t>да</w:t>
      </w:r>
      <w:r w:rsidR="00A043AF" w:rsidRPr="00F6340E">
        <w:rPr>
          <w:rStyle w:val="y2iqfc"/>
          <w:rFonts w:cs="Arial"/>
          <w:color w:val="000000" w:themeColor="text1"/>
        </w:rPr>
        <w:t xml:space="preserve"> </w:t>
      </w:r>
      <w:r>
        <w:rPr>
          <w:rStyle w:val="y2iqfc"/>
          <w:rFonts w:cs="Arial"/>
          <w:color w:val="000000" w:themeColor="text1"/>
        </w:rPr>
        <w:t>иници</w:t>
      </w:r>
      <w:r w:rsidR="0071360A">
        <w:rPr>
          <w:rStyle w:val="y2iqfc"/>
          <w:rFonts w:cs="Arial"/>
          <w:color w:val="000000" w:themeColor="text1"/>
        </w:rPr>
        <w:t>р</w:t>
      </w:r>
      <w:r>
        <w:rPr>
          <w:rStyle w:val="y2iqfc"/>
          <w:rFonts w:cs="Arial"/>
          <w:color w:val="000000" w:themeColor="text1"/>
        </w:rPr>
        <w:t>ај</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од</w:t>
      </w:r>
      <w:r w:rsidR="0071360A">
        <w:rPr>
          <w:rStyle w:val="y2iqfc"/>
          <w:rFonts w:cs="Arial"/>
          <w:color w:val="000000" w:themeColor="text1"/>
        </w:rPr>
        <w:t>р</w:t>
      </w:r>
      <w:r w:rsidR="00171F00">
        <w:rPr>
          <w:rStyle w:val="y2iqfc"/>
          <w:rFonts w:cs="Arial"/>
          <w:color w:val="000000" w:themeColor="text1"/>
        </w:rPr>
        <w:t>ж</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ај</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пр</w:t>
      </w:r>
      <w:r>
        <w:rPr>
          <w:rStyle w:val="y2iqfc"/>
          <w:rFonts w:cs="Arial"/>
          <w:color w:val="000000" w:themeColor="text1"/>
        </w:rPr>
        <w:t>а</w:t>
      </w:r>
      <w:r w:rsidR="0071360A">
        <w:rPr>
          <w:rStyle w:val="y2iqfc"/>
          <w:rFonts w:cs="Arial"/>
          <w:color w:val="000000" w:themeColor="text1"/>
        </w:rPr>
        <w:t>т</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а</w:t>
      </w:r>
      <w:r w:rsidR="0071360A">
        <w:rPr>
          <w:rStyle w:val="y2iqfc"/>
          <w:rFonts w:cs="Arial"/>
          <w:color w:val="000000" w:themeColor="text1"/>
        </w:rPr>
        <w:t>р</w:t>
      </w:r>
      <w:r>
        <w:rPr>
          <w:rStyle w:val="y2iqfc"/>
          <w:rFonts w:cs="Arial"/>
          <w:color w:val="000000" w:themeColor="text1"/>
        </w:rPr>
        <w:t>адничко</w:t>
      </w:r>
      <w:r w:rsidR="00A043AF" w:rsidRPr="00F6340E">
        <w:rPr>
          <w:rStyle w:val="y2iqfc"/>
          <w:rFonts w:cs="Arial"/>
          <w:color w:val="000000" w:themeColor="text1"/>
        </w:rPr>
        <w:t xml:space="preserve"> </w:t>
      </w:r>
      <w:r>
        <w:rPr>
          <w:rStyle w:val="y2iqfc"/>
          <w:rFonts w:cs="Arial"/>
          <w:color w:val="000000" w:themeColor="text1"/>
        </w:rPr>
        <w:lastRenderedPageBreak/>
        <w:t>и</w:t>
      </w:r>
      <w:r w:rsidR="00A043AF" w:rsidRPr="00F6340E">
        <w:rPr>
          <w:rStyle w:val="y2iqfc"/>
          <w:rFonts w:cs="Arial"/>
          <w:color w:val="000000" w:themeColor="text1"/>
        </w:rPr>
        <w:t xml:space="preserve"> </w:t>
      </w:r>
      <w:r w:rsidR="0071360A">
        <w:rPr>
          <w:rStyle w:val="y2iqfc"/>
          <w:rFonts w:cs="Arial"/>
          <w:color w:val="000000" w:themeColor="text1"/>
        </w:rPr>
        <w:t>с</w:t>
      </w:r>
      <w:r>
        <w:rPr>
          <w:rStyle w:val="y2iqfc"/>
          <w:rFonts w:cs="Arial"/>
          <w:color w:val="000000" w:themeColor="text1"/>
        </w:rPr>
        <w:t>амо</w:t>
      </w:r>
      <w:r w:rsidR="0071360A">
        <w:rPr>
          <w:rStyle w:val="y2iqfc"/>
          <w:rFonts w:cs="Arial"/>
          <w:color w:val="000000" w:themeColor="text1"/>
        </w:rPr>
        <w:t>р</w:t>
      </w:r>
      <w:r w:rsidR="00EE6AA2">
        <w:rPr>
          <w:rStyle w:val="y2iqfc"/>
          <w:rFonts w:cs="Arial"/>
          <w:color w:val="000000" w:themeColor="text1"/>
        </w:rPr>
        <w:t>е</w:t>
      </w:r>
      <w:r>
        <w:rPr>
          <w:rStyle w:val="y2iqfc"/>
          <w:rFonts w:cs="Arial"/>
          <w:color w:val="000000" w:themeColor="text1"/>
        </w:rPr>
        <w:t>г</w:t>
      </w:r>
      <w:r w:rsidR="0071360A">
        <w:rPr>
          <w:rStyle w:val="y2iqfc"/>
          <w:rFonts w:cs="Arial"/>
          <w:color w:val="000000" w:themeColor="text1"/>
        </w:rPr>
        <w:t>у</w:t>
      </w:r>
      <w:r>
        <w:rPr>
          <w:rStyle w:val="y2iqfc"/>
          <w:rFonts w:cs="Arial"/>
          <w:color w:val="000000" w:themeColor="text1"/>
        </w:rPr>
        <w:t>ли</w:t>
      </w:r>
      <w:r w:rsidR="0071360A">
        <w:rPr>
          <w:rStyle w:val="y2iqfc"/>
          <w:rFonts w:cs="Arial"/>
          <w:color w:val="000000" w:themeColor="text1"/>
        </w:rPr>
        <w:t>с</w:t>
      </w:r>
      <w:r>
        <w:rPr>
          <w:rStyle w:val="y2iqfc"/>
          <w:rFonts w:cs="Arial"/>
          <w:color w:val="000000" w:themeColor="text1"/>
        </w:rPr>
        <w:t>ано</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њ</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О</w:t>
      </w:r>
      <w:r w:rsidR="0071360A">
        <w:rPr>
          <w:rStyle w:val="y2iqfc"/>
          <w:rFonts w:cs="Arial"/>
          <w:color w:val="000000" w:themeColor="text1"/>
        </w:rPr>
        <w:t>в</w:t>
      </w:r>
      <w:r>
        <w:rPr>
          <w:rStyle w:val="y2iqfc"/>
          <w:rFonts w:cs="Arial"/>
          <w:color w:val="000000" w:themeColor="text1"/>
        </w:rPr>
        <w:t>ака</w:t>
      </w:r>
      <w:r w:rsidR="0071360A">
        <w:rPr>
          <w:rStyle w:val="y2iqfc"/>
          <w:rFonts w:cs="Arial"/>
          <w:color w:val="000000" w:themeColor="text1"/>
        </w:rPr>
        <w:t>в</w:t>
      </w:r>
      <w:r w:rsidR="00AA1289" w:rsidRPr="00F6340E">
        <w:rPr>
          <w:rStyle w:val="y2iqfc"/>
          <w:rFonts w:cs="Arial"/>
          <w:color w:val="000000" w:themeColor="text1"/>
        </w:rPr>
        <w:t xml:space="preserve"> </w:t>
      </w:r>
      <w:r>
        <w:rPr>
          <w:rStyle w:val="y2iqfc"/>
          <w:rFonts w:cs="Arial"/>
          <w:color w:val="000000" w:themeColor="text1"/>
        </w:rPr>
        <w:t>конц</w:t>
      </w:r>
      <w:r w:rsidR="00EE6AA2">
        <w:rPr>
          <w:rStyle w:val="y2iqfc"/>
          <w:rFonts w:cs="Arial"/>
          <w:color w:val="000000" w:themeColor="text1"/>
        </w:rPr>
        <w:t>е</w:t>
      </w:r>
      <w:r w:rsidR="0071360A">
        <w:rPr>
          <w:rStyle w:val="y2iqfc"/>
          <w:rFonts w:cs="Arial"/>
          <w:color w:val="000000" w:themeColor="text1"/>
        </w:rPr>
        <w:t>пт</w:t>
      </w:r>
      <w:r w:rsidR="00AA1289"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sidR="00EE6AA2">
        <w:rPr>
          <w:rStyle w:val="y2iqfc"/>
          <w:rFonts w:cs="Arial"/>
          <w:color w:val="000000" w:themeColor="text1"/>
        </w:rPr>
        <w:t>е</w:t>
      </w:r>
      <w:r w:rsidR="00EE6127" w:rsidRPr="00F6340E">
        <w:rPr>
          <w:rStyle w:val="y2iqfc"/>
          <w:rFonts w:cs="Arial"/>
          <w:color w:val="000000" w:themeColor="text1"/>
        </w:rPr>
        <w:t xml:space="preserve"> </w:t>
      </w:r>
      <w:r w:rsidR="0071360A">
        <w:rPr>
          <w:rStyle w:val="y2iqfc"/>
          <w:rFonts w:cs="Arial"/>
          <w:color w:val="000000" w:themeColor="text1"/>
        </w:rPr>
        <w:t>пут</w:t>
      </w:r>
      <w:r w:rsidR="00EE6AA2">
        <w:rPr>
          <w:rStyle w:val="y2iqfc"/>
          <w:rFonts w:cs="Arial"/>
          <w:color w:val="000000" w:themeColor="text1"/>
        </w:rPr>
        <w:t>е</w:t>
      </w:r>
      <w:r>
        <w:rPr>
          <w:rStyle w:val="y2iqfc"/>
          <w:rFonts w:cs="Arial"/>
          <w:color w:val="000000" w:themeColor="text1"/>
        </w:rPr>
        <w:t>м</w:t>
      </w:r>
      <w:r w:rsidR="00EE6127" w:rsidRPr="00F6340E">
        <w:rPr>
          <w:rStyle w:val="y2iqfc"/>
          <w:rFonts w:cs="Arial"/>
          <w:color w:val="000000" w:themeColor="text1"/>
        </w:rPr>
        <w:t xml:space="preserve"> </w:t>
      </w:r>
      <w:r>
        <w:rPr>
          <w:rStyle w:val="y2iqfc"/>
          <w:rFonts w:cs="Arial"/>
          <w:color w:val="000000" w:themeColor="text1"/>
        </w:rPr>
        <w:t>ин</w:t>
      </w:r>
      <w:r w:rsidR="0071360A">
        <w:rPr>
          <w:rStyle w:val="y2iqfc"/>
          <w:rFonts w:cs="Arial"/>
          <w:color w:val="000000" w:themeColor="text1"/>
        </w:rPr>
        <w:t>т</w:t>
      </w:r>
      <w:r w:rsidR="00EE6AA2">
        <w:rPr>
          <w:rStyle w:val="y2iqfc"/>
          <w:rFonts w:cs="Arial"/>
          <w:color w:val="000000" w:themeColor="text1"/>
        </w:rPr>
        <w:t>е</w:t>
      </w:r>
      <w:r w:rsidR="0071360A">
        <w:rPr>
          <w:rStyle w:val="y2iqfc"/>
          <w:rFonts w:cs="Arial"/>
          <w:color w:val="000000" w:themeColor="text1"/>
        </w:rPr>
        <w:t>р</w:t>
      </w:r>
      <w:r>
        <w:rPr>
          <w:rStyle w:val="y2iqfc"/>
          <w:rFonts w:cs="Arial"/>
          <w:color w:val="000000" w:themeColor="text1"/>
        </w:rPr>
        <w:t>н</w:t>
      </w:r>
      <w:r w:rsidR="00EE6AA2">
        <w:rPr>
          <w:rStyle w:val="y2iqfc"/>
          <w:rFonts w:cs="Arial"/>
          <w:color w:val="000000" w:themeColor="text1"/>
        </w:rPr>
        <w:t>е</w:t>
      </w:r>
      <w:r w:rsidR="0071360A">
        <w:rPr>
          <w:rStyle w:val="y2iqfc"/>
          <w:rFonts w:cs="Arial"/>
          <w:color w:val="000000" w:themeColor="text1"/>
        </w:rPr>
        <w:t>т</w:t>
      </w:r>
      <w:r>
        <w:rPr>
          <w:rStyle w:val="y2iqfc"/>
          <w:rFonts w:cs="Arial"/>
          <w:color w:val="000000" w:themeColor="text1"/>
        </w:rPr>
        <w:t>а</w:t>
      </w:r>
      <w:r w:rsidR="00A043AF" w:rsidRPr="00F6340E">
        <w:rPr>
          <w:rStyle w:val="y2iqfc"/>
          <w:rFonts w:cs="Arial"/>
          <w:color w:val="000000" w:themeColor="text1"/>
        </w:rPr>
        <w:t xml:space="preserve"> </w:t>
      </w:r>
      <w:r w:rsidR="0071360A">
        <w:rPr>
          <w:rStyle w:val="y2iqfc"/>
          <w:rFonts w:cs="Arial"/>
          <w:color w:val="000000" w:themeColor="text1"/>
        </w:rPr>
        <w:t>у</w:t>
      </w:r>
      <w:r w:rsidR="00171F00">
        <w:rPr>
          <w:rStyle w:val="y2iqfc"/>
          <w:rFonts w:cs="Arial"/>
          <w:color w:val="000000" w:themeColor="text1"/>
        </w:rPr>
        <w:t>з</w:t>
      </w:r>
      <w:r w:rsidR="00A043AF" w:rsidRPr="00F6340E">
        <w:rPr>
          <w:rStyle w:val="y2iqfc"/>
          <w:rFonts w:cs="Arial"/>
          <w:color w:val="000000" w:themeColor="text1"/>
        </w:rPr>
        <w:t xml:space="preserve"> </w:t>
      </w:r>
      <w:r>
        <w:rPr>
          <w:rStyle w:val="y2iqfc"/>
          <w:rFonts w:cs="Arial"/>
          <w:color w:val="000000" w:themeColor="text1"/>
        </w:rPr>
        <w:t>ад</w:t>
      </w:r>
      <w:r w:rsidR="00EE6AA2">
        <w:rPr>
          <w:rStyle w:val="y2iqfc"/>
          <w:rFonts w:cs="Arial"/>
          <w:color w:val="000000" w:themeColor="text1"/>
        </w:rPr>
        <w:t>е</w:t>
      </w:r>
      <w:r>
        <w:rPr>
          <w:rStyle w:val="y2iqfc"/>
          <w:rFonts w:cs="Arial"/>
          <w:color w:val="000000" w:themeColor="text1"/>
        </w:rPr>
        <w:t>к</w:t>
      </w:r>
      <w:r w:rsidR="0071360A">
        <w:rPr>
          <w:rStyle w:val="y2iqfc"/>
          <w:rFonts w:cs="Arial"/>
          <w:color w:val="000000" w:themeColor="text1"/>
        </w:rPr>
        <w:t>в</w:t>
      </w:r>
      <w:r>
        <w:rPr>
          <w:rStyle w:val="y2iqfc"/>
          <w:rFonts w:cs="Arial"/>
          <w:color w:val="000000" w:themeColor="text1"/>
        </w:rPr>
        <w:t>а</w:t>
      </w:r>
      <w:r w:rsidR="0071360A">
        <w:rPr>
          <w:rStyle w:val="y2iqfc"/>
          <w:rFonts w:cs="Arial"/>
          <w:color w:val="000000" w:themeColor="text1"/>
        </w:rPr>
        <w:t>т</w:t>
      </w:r>
      <w:r>
        <w:rPr>
          <w:rStyle w:val="y2iqfc"/>
          <w:rFonts w:cs="Arial"/>
          <w:color w:val="000000" w:themeColor="text1"/>
        </w:rPr>
        <w:t>н</w:t>
      </w:r>
      <w:r w:rsidR="0071360A">
        <w:rPr>
          <w:rStyle w:val="y2iqfc"/>
          <w:rFonts w:cs="Arial"/>
          <w:color w:val="000000" w:themeColor="text1"/>
        </w:rPr>
        <w:t>у</w:t>
      </w:r>
      <w:r w:rsidR="00A043AF" w:rsidRPr="00F6340E">
        <w:rPr>
          <w:rStyle w:val="y2iqfc"/>
          <w:rFonts w:cs="Arial"/>
          <w:color w:val="000000" w:themeColor="text1"/>
        </w:rPr>
        <w:t xml:space="preserve"> </w:t>
      </w:r>
      <w:r w:rsidR="0071360A">
        <w:rPr>
          <w:rStyle w:val="y2iqfc"/>
          <w:rFonts w:cs="Arial"/>
          <w:color w:val="000000" w:themeColor="text1"/>
        </w:rPr>
        <w:t>пр</w:t>
      </w:r>
      <w:r>
        <w:rPr>
          <w:rStyle w:val="y2iqfc"/>
          <w:rFonts w:cs="Arial"/>
          <w:color w:val="000000" w:themeColor="text1"/>
        </w:rPr>
        <w:t>имј</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алних</w:t>
      </w:r>
      <w:r w:rsidR="00A043AF" w:rsidRPr="00F6340E">
        <w:rPr>
          <w:rStyle w:val="y2iqfc"/>
          <w:rFonts w:cs="Arial"/>
          <w:color w:val="000000" w:themeColor="text1"/>
        </w:rPr>
        <w:t xml:space="preserve"> </w:t>
      </w:r>
      <w:r>
        <w:rPr>
          <w:rStyle w:val="y2iqfc"/>
          <w:rFonts w:cs="Arial"/>
          <w:color w:val="000000" w:themeColor="text1"/>
        </w:rPr>
        <w:t>ала</w:t>
      </w:r>
      <w:r w:rsidR="0071360A">
        <w:rPr>
          <w:rStyle w:val="y2iqfc"/>
          <w:rFonts w:cs="Arial"/>
          <w:color w:val="000000" w:themeColor="text1"/>
        </w:rPr>
        <w:t>т</w:t>
      </w:r>
      <w:r>
        <w:rPr>
          <w:rStyle w:val="y2iqfc"/>
          <w:rFonts w:cs="Arial"/>
          <w:color w:val="000000" w:themeColor="text1"/>
        </w:rPr>
        <w:t>а</w:t>
      </w:r>
      <w:r w:rsidR="00A043AF" w:rsidRPr="00F6340E">
        <w:rPr>
          <w:rStyle w:val="y2iqfc"/>
          <w:rFonts w:cs="Arial"/>
          <w:color w:val="000000" w:themeColor="text1"/>
        </w:rPr>
        <w:t xml:space="preserve"> </w:t>
      </w:r>
      <w:r>
        <w:rPr>
          <w:rStyle w:val="y2iqfc"/>
          <w:rFonts w:cs="Arial"/>
          <w:color w:val="000000" w:themeColor="text1"/>
        </w:rPr>
        <w:t>и</w:t>
      </w:r>
      <w:r w:rsidR="00A043AF" w:rsidRPr="00F6340E">
        <w:rPr>
          <w:rStyle w:val="y2iqfc"/>
          <w:rFonts w:cs="Arial"/>
          <w:color w:val="000000" w:themeColor="text1"/>
        </w:rPr>
        <w:t xml:space="preserve"> </w:t>
      </w:r>
      <w:r w:rsidR="0071360A">
        <w:rPr>
          <w:rStyle w:val="y2iqfc"/>
          <w:rFonts w:cs="Arial"/>
          <w:color w:val="000000" w:themeColor="text1"/>
        </w:rPr>
        <w:t>п</w:t>
      </w:r>
      <w:r w:rsidR="00EE6AA2">
        <w:rPr>
          <w:rStyle w:val="y2iqfc"/>
          <w:rFonts w:cs="Arial"/>
          <w:color w:val="000000" w:themeColor="text1"/>
        </w:rPr>
        <w:t>е</w:t>
      </w:r>
      <w:r>
        <w:rPr>
          <w:rStyle w:val="y2iqfc"/>
          <w:rFonts w:cs="Arial"/>
          <w:color w:val="000000" w:themeColor="text1"/>
        </w:rPr>
        <w:t>даго</w:t>
      </w:r>
      <w:r w:rsidR="0071360A">
        <w:rPr>
          <w:rStyle w:val="y2iqfc"/>
          <w:rFonts w:cs="Arial"/>
          <w:color w:val="000000" w:themeColor="text1"/>
        </w:rPr>
        <w:t>ш</w:t>
      </w:r>
      <w:r>
        <w:rPr>
          <w:rStyle w:val="y2iqfc"/>
          <w:rFonts w:cs="Arial"/>
          <w:color w:val="000000" w:themeColor="text1"/>
        </w:rPr>
        <w:t>к</w:t>
      </w:r>
      <w:r w:rsidR="00EE6AA2">
        <w:rPr>
          <w:rStyle w:val="y2iqfc"/>
          <w:rFonts w:cs="Arial"/>
          <w:color w:val="000000" w:themeColor="text1"/>
        </w:rPr>
        <w:t>е</w:t>
      </w:r>
      <w:r w:rsidR="00A043AF" w:rsidRPr="00F6340E">
        <w:rPr>
          <w:rStyle w:val="y2iqfc"/>
          <w:rFonts w:cs="Arial"/>
          <w:color w:val="000000" w:themeColor="text1"/>
        </w:rPr>
        <w:t>/</w:t>
      </w:r>
      <w:r>
        <w:rPr>
          <w:rStyle w:val="y2iqfc"/>
          <w:rFonts w:cs="Arial"/>
          <w:color w:val="000000" w:themeColor="text1"/>
        </w:rPr>
        <w:t>диги</w:t>
      </w:r>
      <w:r w:rsidR="0071360A">
        <w:rPr>
          <w:rStyle w:val="y2iqfc"/>
          <w:rFonts w:cs="Arial"/>
          <w:color w:val="000000" w:themeColor="text1"/>
        </w:rPr>
        <w:t>т</w:t>
      </w:r>
      <w:r>
        <w:rPr>
          <w:rStyle w:val="y2iqfc"/>
          <w:rFonts w:cs="Arial"/>
          <w:color w:val="000000" w:themeColor="text1"/>
        </w:rPr>
        <w:t>алн</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ком</w:t>
      </w:r>
      <w:r w:rsidR="0071360A">
        <w:rPr>
          <w:rStyle w:val="y2iqfc"/>
          <w:rFonts w:cs="Arial"/>
          <w:color w:val="000000" w:themeColor="text1"/>
        </w:rPr>
        <w:t>п</w:t>
      </w:r>
      <w:r w:rsidR="00EE6AA2">
        <w:rPr>
          <w:rStyle w:val="y2iqfc"/>
          <w:rFonts w:cs="Arial"/>
          <w:color w:val="000000" w:themeColor="text1"/>
        </w:rPr>
        <w:t>е</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нциј</w:t>
      </w:r>
      <w:r w:rsidR="00EE6AA2">
        <w:rPr>
          <w:rStyle w:val="y2iqfc"/>
          <w:rFonts w:cs="Arial"/>
          <w:color w:val="000000" w:themeColor="text1"/>
        </w:rPr>
        <w:t>е</w:t>
      </w:r>
      <w:r w:rsidR="00A043AF" w:rsidRPr="00F6340E">
        <w:rPr>
          <w:rStyle w:val="y2iqfc"/>
          <w:rFonts w:cs="Arial"/>
          <w:color w:val="000000" w:themeColor="text1"/>
        </w:rPr>
        <w:t xml:space="preserve"> </w:t>
      </w:r>
      <w:r>
        <w:rPr>
          <w:rStyle w:val="y2iqfc"/>
          <w:rFonts w:cs="Arial"/>
          <w:color w:val="000000" w:themeColor="text1"/>
        </w:rPr>
        <w:t>на</w:t>
      </w:r>
      <w:r w:rsidR="0071360A">
        <w:rPr>
          <w:rStyle w:val="y2iqfc"/>
          <w:rFonts w:cs="Arial"/>
          <w:color w:val="000000" w:themeColor="text1"/>
        </w:rPr>
        <w:t>ст</w:t>
      </w:r>
      <w:r>
        <w:rPr>
          <w:rStyle w:val="y2iqfc"/>
          <w:rFonts w:cs="Arial"/>
          <w:color w:val="000000" w:themeColor="text1"/>
        </w:rPr>
        <w:t>а</w:t>
      </w:r>
      <w:r w:rsidR="0071360A">
        <w:rPr>
          <w:rStyle w:val="y2iqfc"/>
          <w:rFonts w:cs="Arial"/>
          <w:color w:val="000000" w:themeColor="text1"/>
        </w:rPr>
        <w:t>в</w:t>
      </w:r>
      <w:r>
        <w:rPr>
          <w:rStyle w:val="y2iqfc"/>
          <w:rFonts w:cs="Arial"/>
          <w:color w:val="000000" w:themeColor="text1"/>
        </w:rPr>
        <w:t>ника</w:t>
      </w:r>
      <w:r w:rsidR="00A043AF" w:rsidRPr="00F6340E">
        <w:rPr>
          <w:rStyle w:val="y2iqfc"/>
          <w:rFonts w:cs="Arial"/>
          <w:color w:val="000000" w:themeColor="text1"/>
        </w:rPr>
        <w:t xml:space="preserve"> </w:t>
      </w:r>
      <w:r>
        <w:rPr>
          <w:rStyle w:val="y2iqfc"/>
          <w:rFonts w:cs="Arial"/>
          <w:color w:val="000000" w:themeColor="text1"/>
        </w:rPr>
        <w:t>до</w:t>
      </w:r>
      <w:r w:rsidR="0071360A">
        <w:rPr>
          <w:rStyle w:val="y2iqfc"/>
          <w:rFonts w:cs="Arial"/>
          <w:color w:val="000000" w:themeColor="text1"/>
        </w:rPr>
        <w:t>пр</w:t>
      </w:r>
      <w:r>
        <w:rPr>
          <w:rStyle w:val="y2iqfc"/>
          <w:rFonts w:cs="Arial"/>
          <w:color w:val="000000" w:themeColor="text1"/>
        </w:rPr>
        <w:t>ино</w:t>
      </w:r>
      <w:r w:rsidR="0071360A">
        <w:rPr>
          <w:rStyle w:val="y2iqfc"/>
          <w:rFonts w:cs="Arial"/>
          <w:color w:val="000000" w:themeColor="text1"/>
        </w:rPr>
        <w:t>с</w:t>
      </w:r>
      <w:r>
        <w:rPr>
          <w:rStyle w:val="y2iqfc"/>
          <w:rFonts w:cs="Arial"/>
          <w:color w:val="000000" w:themeColor="text1"/>
        </w:rPr>
        <w:t>и</w:t>
      </w:r>
      <w:r w:rsidR="00A043AF" w:rsidRPr="00F6340E">
        <w:rPr>
          <w:rStyle w:val="y2iqfc"/>
          <w:rFonts w:cs="Arial"/>
          <w:color w:val="000000" w:themeColor="text1"/>
        </w:rPr>
        <w:t xml:space="preserve"> </w:t>
      </w:r>
      <w:r>
        <w:rPr>
          <w:rStyle w:val="y2iqfc"/>
          <w:rFonts w:cs="Arial"/>
          <w:color w:val="000000" w:themeColor="text1"/>
        </w:rPr>
        <w:t>к</w:t>
      </w:r>
      <w:r w:rsidR="0071360A">
        <w:rPr>
          <w:rStyle w:val="y2iqfc"/>
          <w:rFonts w:cs="Arial"/>
          <w:color w:val="000000" w:themeColor="text1"/>
        </w:rPr>
        <w:t>р</w:t>
      </w:r>
      <w:r w:rsidR="00EE6AA2">
        <w:rPr>
          <w:rStyle w:val="y2iqfc"/>
          <w:rFonts w:cs="Arial"/>
          <w:color w:val="000000" w:themeColor="text1"/>
        </w:rPr>
        <w:t>е</w:t>
      </w:r>
      <w:r>
        <w:rPr>
          <w:rStyle w:val="y2iqfc"/>
          <w:rFonts w:cs="Arial"/>
          <w:color w:val="000000" w:themeColor="text1"/>
        </w:rPr>
        <w:t>и</w:t>
      </w:r>
      <w:r w:rsidR="0071360A">
        <w:rPr>
          <w:rStyle w:val="y2iqfc"/>
          <w:rFonts w:cs="Arial"/>
          <w:color w:val="000000" w:themeColor="text1"/>
        </w:rPr>
        <w:t>р</w:t>
      </w:r>
      <w:r>
        <w:rPr>
          <w:rStyle w:val="y2iqfc"/>
          <w:rFonts w:cs="Arial"/>
          <w:color w:val="000000" w:themeColor="text1"/>
        </w:rPr>
        <w:t>ањ</w:t>
      </w:r>
      <w:r w:rsidR="0071360A">
        <w:rPr>
          <w:rStyle w:val="y2iqfc"/>
          <w:rFonts w:cs="Arial"/>
          <w:color w:val="000000" w:themeColor="text1"/>
        </w:rPr>
        <w:t>у</w:t>
      </w:r>
      <w:r w:rsidR="00A043AF" w:rsidRPr="00F6340E">
        <w:rPr>
          <w:rStyle w:val="y2iqfc"/>
          <w:rFonts w:cs="Arial"/>
          <w:color w:val="000000" w:themeColor="text1"/>
        </w:rPr>
        <w:t xml:space="preserve"> </w:t>
      </w:r>
      <w:r>
        <w:rPr>
          <w:rStyle w:val="y2iqfc"/>
          <w:rFonts w:cs="Arial"/>
          <w:color w:val="000000" w:themeColor="text1"/>
        </w:rPr>
        <w:t>инкл</w:t>
      </w:r>
      <w:r w:rsidR="0071360A">
        <w:rPr>
          <w:rStyle w:val="y2iqfc"/>
          <w:rFonts w:cs="Arial"/>
          <w:color w:val="000000" w:themeColor="text1"/>
        </w:rPr>
        <w:t>у</w:t>
      </w:r>
      <w:r w:rsidR="00171F00">
        <w:rPr>
          <w:rStyle w:val="y2iqfc"/>
          <w:rFonts w:cs="Arial"/>
          <w:color w:val="000000" w:themeColor="text1"/>
        </w:rPr>
        <w:t>з</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ног</w:t>
      </w:r>
      <w:r w:rsidR="00A043AF" w:rsidRPr="00F6340E">
        <w:rPr>
          <w:rStyle w:val="y2iqfc"/>
          <w:rFonts w:cs="Arial"/>
          <w:color w:val="000000" w:themeColor="text1"/>
        </w:rPr>
        <w:t xml:space="preserve"> </w:t>
      </w:r>
      <w:r>
        <w:rPr>
          <w:rStyle w:val="y2iqfc"/>
          <w:rFonts w:cs="Arial"/>
          <w:color w:val="000000" w:themeColor="text1"/>
        </w:rPr>
        <w:t>ок</w:t>
      </w:r>
      <w:r w:rsidR="0071360A">
        <w:rPr>
          <w:rStyle w:val="y2iqfc"/>
          <w:rFonts w:cs="Arial"/>
          <w:color w:val="000000" w:themeColor="text1"/>
        </w:rPr>
        <w:t>ру</w:t>
      </w:r>
      <w:r w:rsidR="00171F00">
        <w:rPr>
          <w:rStyle w:val="y2iqfc"/>
          <w:rFonts w:cs="Arial"/>
          <w:color w:val="000000" w:themeColor="text1"/>
        </w:rPr>
        <w:t>ж</w:t>
      </w:r>
      <w:r w:rsidR="00EE6AA2">
        <w:rPr>
          <w:rStyle w:val="y2iqfc"/>
          <w:rFonts w:cs="Arial"/>
          <w:color w:val="000000" w:themeColor="text1"/>
        </w:rPr>
        <w:t>е</w:t>
      </w:r>
      <w:r>
        <w:rPr>
          <w:rStyle w:val="y2iqfc"/>
          <w:rFonts w:cs="Arial"/>
          <w:color w:val="000000" w:themeColor="text1"/>
        </w:rPr>
        <w:t>ња</w:t>
      </w:r>
      <w:r w:rsidR="00A043AF" w:rsidRPr="00F6340E">
        <w:rPr>
          <w:rStyle w:val="y2iqfc"/>
          <w:rFonts w:cs="Arial"/>
          <w:color w:val="000000" w:themeColor="text1"/>
        </w:rPr>
        <w:t xml:space="preserve"> </w:t>
      </w:r>
      <w:r w:rsidR="00171F00">
        <w:rPr>
          <w:rStyle w:val="y2iqfc"/>
          <w:rFonts w:cs="Arial"/>
          <w:color w:val="000000" w:themeColor="text1"/>
        </w:rPr>
        <w:t>з</w:t>
      </w:r>
      <w:r>
        <w:rPr>
          <w:rStyle w:val="y2iqfc"/>
          <w:rFonts w:cs="Arial"/>
          <w:color w:val="000000" w:themeColor="text1"/>
        </w:rPr>
        <w:t>а</w:t>
      </w:r>
      <w:r w:rsidR="00A043AF" w:rsidRPr="00F6340E">
        <w:rPr>
          <w:rStyle w:val="y2iqfc"/>
          <w:rFonts w:cs="Arial"/>
          <w:color w:val="000000" w:themeColor="text1"/>
        </w:rPr>
        <w:t xml:space="preserve"> </w:t>
      </w:r>
      <w:r>
        <w:rPr>
          <w:rStyle w:val="y2iqfc"/>
          <w:rFonts w:cs="Arial"/>
          <w:color w:val="000000" w:themeColor="text1"/>
        </w:rPr>
        <w:t>о</w:t>
      </w:r>
      <w:r w:rsidR="0071360A">
        <w:rPr>
          <w:rStyle w:val="y2iqfc"/>
          <w:rFonts w:cs="Arial"/>
          <w:color w:val="000000" w:themeColor="text1"/>
        </w:rPr>
        <w:t>ств</w:t>
      </w:r>
      <w:r>
        <w:rPr>
          <w:rStyle w:val="y2iqfc"/>
          <w:rFonts w:cs="Arial"/>
          <w:color w:val="000000" w:themeColor="text1"/>
        </w:rPr>
        <w:t>а</w:t>
      </w:r>
      <w:r w:rsidR="0071360A">
        <w:rPr>
          <w:rStyle w:val="y2iqfc"/>
          <w:rFonts w:cs="Arial"/>
          <w:color w:val="000000" w:themeColor="text1"/>
        </w:rPr>
        <w:t>р</w:t>
      </w:r>
      <w:r>
        <w:rPr>
          <w:rStyle w:val="y2iqfc"/>
          <w:rFonts w:cs="Arial"/>
          <w:color w:val="000000" w:themeColor="text1"/>
        </w:rPr>
        <w:t>и</w:t>
      </w:r>
      <w:r w:rsidR="0071360A">
        <w:rPr>
          <w:rStyle w:val="y2iqfc"/>
          <w:rFonts w:cs="Arial"/>
          <w:color w:val="000000" w:themeColor="text1"/>
        </w:rPr>
        <w:t>в</w:t>
      </w:r>
      <w:r>
        <w:rPr>
          <w:rStyle w:val="y2iqfc"/>
          <w:rFonts w:cs="Arial"/>
          <w:color w:val="000000" w:themeColor="text1"/>
        </w:rPr>
        <w:t>ањ</w:t>
      </w:r>
      <w:r w:rsidR="00EE6AA2">
        <w:rPr>
          <w:rStyle w:val="y2iqfc"/>
          <w:rFonts w:cs="Arial"/>
          <w:color w:val="000000" w:themeColor="text1"/>
        </w:rPr>
        <w:t>е</w:t>
      </w:r>
      <w:r w:rsidR="00A043AF" w:rsidRPr="00F6340E">
        <w:rPr>
          <w:rStyle w:val="y2iqfc"/>
          <w:rFonts w:cs="Arial"/>
          <w:color w:val="000000" w:themeColor="text1"/>
        </w:rPr>
        <w:t xml:space="preserve"> </w:t>
      </w:r>
      <w:r w:rsidR="0071360A">
        <w:rPr>
          <w:rStyle w:val="y2iqfc"/>
          <w:rFonts w:cs="Arial"/>
          <w:color w:val="000000" w:themeColor="text1"/>
        </w:rPr>
        <w:t>п</w:t>
      </w:r>
      <w:r>
        <w:rPr>
          <w:rStyle w:val="y2iqfc"/>
          <w:rFonts w:cs="Arial"/>
          <w:color w:val="000000" w:themeColor="text1"/>
        </w:rPr>
        <w:t>о</w:t>
      </w:r>
      <w:r w:rsidR="0071360A">
        <w:rPr>
          <w:rStyle w:val="y2iqfc"/>
          <w:rFonts w:cs="Arial"/>
          <w:color w:val="000000" w:themeColor="text1"/>
        </w:rPr>
        <w:t>т</w:t>
      </w:r>
      <w:r w:rsidR="00EE6AA2">
        <w:rPr>
          <w:rStyle w:val="y2iqfc"/>
          <w:rFonts w:cs="Arial"/>
          <w:color w:val="000000" w:themeColor="text1"/>
        </w:rPr>
        <w:t>е</w:t>
      </w:r>
      <w:r>
        <w:rPr>
          <w:rStyle w:val="y2iqfc"/>
          <w:rFonts w:cs="Arial"/>
          <w:color w:val="000000" w:themeColor="text1"/>
        </w:rPr>
        <w:t>нцијала</w:t>
      </w:r>
      <w:r w:rsidR="00A043AF" w:rsidRPr="00F6340E">
        <w:rPr>
          <w:rStyle w:val="y2iqfc"/>
          <w:rFonts w:cs="Arial"/>
          <w:color w:val="000000" w:themeColor="text1"/>
        </w:rPr>
        <w:t xml:space="preserve"> </w:t>
      </w:r>
      <w:r w:rsidR="0071360A">
        <w:rPr>
          <w:rStyle w:val="y2iqfc"/>
          <w:rFonts w:cs="Arial"/>
          <w:color w:val="000000" w:themeColor="text1"/>
        </w:rPr>
        <w:t>св</w:t>
      </w:r>
      <w:r>
        <w:rPr>
          <w:rStyle w:val="y2iqfc"/>
          <w:rFonts w:cs="Arial"/>
          <w:color w:val="000000" w:themeColor="text1"/>
        </w:rPr>
        <w:t>аког</w:t>
      </w:r>
      <w:r w:rsidR="00A043AF" w:rsidRPr="00F6340E">
        <w:rPr>
          <w:rStyle w:val="y2iqfc"/>
          <w:rFonts w:cs="Arial"/>
          <w:color w:val="000000" w:themeColor="text1"/>
        </w:rPr>
        <w:t xml:space="preserve"> </w:t>
      </w:r>
      <w:r w:rsidR="0071360A">
        <w:rPr>
          <w:rStyle w:val="y2iqfc"/>
          <w:rFonts w:cs="Arial"/>
          <w:color w:val="000000" w:themeColor="text1"/>
        </w:rPr>
        <w:t>у</w:t>
      </w:r>
      <w:r>
        <w:rPr>
          <w:rStyle w:val="y2iqfc"/>
          <w:rFonts w:cs="Arial"/>
          <w:color w:val="000000" w:themeColor="text1"/>
        </w:rPr>
        <w:t>ч</w:t>
      </w:r>
      <w:r w:rsidR="00EE6AA2">
        <w:rPr>
          <w:rStyle w:val="y2iqfc"/>
          <w:rFonts w:cs="Arial"/>
          <w:color w:val="000000" w:themeColor="text1"/>
        </w:rPr>
        <w:t>е</w:t>
      </w:r>
      <w:r>
        <w:rPr>
          <w:rStyle w:val="y2iqfc"/>
          <w:rFonts w:cs="Arial"/>
          <w:color w:val="000000" w:themeColor="text1"/>
        </w:rPr>
        <w:t>ника</w:t>
      </w:r>
      <w:r w:rsidR="00A043AF" w:rsidRPr="00F6340E">
        <w:rPr>
          <w:rStyle w:val="y2iqfc"/>
          <w:rFonts w:cs="Arial"/>
          <w:color w:val="000000" w:themeColor="text1"/>
        </w:rPr>
        <w:t>/</w:t>
      </w:r>
      <w:r w:rsidR="0071360A">
        <w:rPr>
          <w:rStyle w:val="y2iqfc"/>
          <w:rFonts w:cs="Arial"/>
          <w:color w:val="000000" w:themeColor="text1"/>
        </w:rPr>
        <w:t>сту</w:t>
      </w:r>
      <w:r>
        <w:rPr>
          <w:rStyle w:val="y2iqfc"/>
          <w:rFonts w:cs="Arial"/>
          <w:color w:val="000000" w:themeColor="text1"/>
        </w:rPr>
        <w:t>д</w:t>
      </w:r>
      <w:r w:rsidR="00EE6AA2">
        <w:rPr>
          <w:rStyle w:val="y2iqfc"/>
          <w:rFonts w:cs="Arial"/>
          <w:color w:val="000000" w:themeColor="text1"/>
        </w:rPr>
        <w:t>е</w:t>
      </w:r>
      <w:r>
        <w:rPr>
          <w:rStyle w:val="y2iqfc"/>
          <w:rFonts w:cs="Arial"/>
          <w:color w:val="000000" w:themeColor="text1"/>
        </w:rPr>
        <w:t>н</w:t>
      </w:r>
      <w:r w:rsidR="0071360A">
        <w:rPr>
          <w:rStyle w:val="y2iqfc"/>
          <w:rFonts w:cs="Arial"/>
          <w:color w:val="000000" w:themeColor="text1"/>
        </w:rPr>
        <w:t>т</w:t>
      </w:r>
      <w:r>
        <w:rPr>
          <w:rStyle w:val="y2iqfc"/>
          <w:rFonts w:cs="Arial"/>
          <w:color w:val="000000" w:themeColor="text1"/>
        </w:rPr>
        <w:t>а</w:t>
      </w:r>
      <w:r w:rsidR="00A043AF" w:rsidRPr="00F6340E">
        <w:rPr>
          <w:rStyle w:val="y2iqfc"/>
          <w:rFonts w:cs="Arial"/>
          <w:color w:val="000000" w:themeColor="text1"/>
        </w:rPr>
        <w:t xml:space="preserve">. </w:t>
      </w:r>
    </w:p>
    <w:p w14:paraId="3D04CC7A" w14:textId="6A134607" w:rsidR="00872771" w:rsidRPr="00F6340E" w:rsidRDefault="0071360A" w:rsidP="00210EE1">
      <w:pPr>
        <w:pStyle w:val="Body"/>
      </w:pPr>
      <w:r>
        <w:t>С</w:t>
      </w:r>
      <w:r w:rsidR="00A56E08">
        <w:t>а</w:t>
      </w:r>
      <w:r>
        <w:t>вр</w:t>
      </w:r>
      <w:r w:rsidR="00EE6AA2">
        <w:t>е</w:t>
      </w:r>
      <w:r w:rsidR="00A56E08">
        <w:t>м</w:t>
      </w:r>
      <w:r w:rsidR="00EE6AA2">
        <w:t>е</w:t>
      </w:r>
      <w:r w:rsidR="00A56E08">
        <w:t>ни</w:t>
      </w:r>
      <w:r w:rsidR="00872771" w:rsidRPr="00F6340E">
        <w:t xml:space="preserve"> </w:t>
      </w:r>
      <w:r w:rsidR="00A56E08">
        <w:t>мод</w:t>
      </w:r>
      <w:r w:rsidR="00EE6AA2">
        <w:t>е</w:t>
      </w:r>
      <w:r w:rsidR="00A56E08">
        <w:t>ли</w:t>
      </w:r>
      <w:r w:rsidR="00872771" w:rsidRPr="00F6340E">
        <w:t xml:space="preserve"> </w:t>
      </w:r>
      <w:r>
        <w:t>п</w:t>
      </w:r>
      <w:r w:rsidR="00A56E08">
        <w:t>од</w:t>
      </w:r>
      <w:r>
        <w:t>у</w:t>
      </w:r>
      <w:r w:rsidR="00A56E08">
        <w:t>ча</w:t>
      </w:r>
      <w:r>
        <w:t>в</w:t>
      </w:r>
      <w:r w:rsidR="00A56E08">
        <w:t>ања</w:t>
      </w:r>
      <w:r w:rsidR="00872771" w:rsidRPr="00F6340E">
        <w:t xml:space="preserve">, </w:t>
      </w:r>
      <w:r w:rsidR="00171F00">
        <w:t>з</w:t>
      </w:r>
      <w:r w:rsidR="00A56E08">
        <w:t>а</w:t>
      </w:r>
      <w:r w:rsidR="00872771" w:rsidRPr="00F6340E">
        <w:t xml:space="preserve"> </w:t>
      </w:r>
      <w:r>
        <w:t>р</w:t>
      </w:r>
      <w:r w:rsidR="00A56E08">
        <w:t>а</w:t>
      </w:r>
      <w:r w:rsidR="00171F00">
        <w:t>з</w:t>
      </w:r>
      <w:r w:rsidR="00A56E08">
        <w:t>лик</w:t>
      </w:r>
      <w:r>
        <w:t>у</w:t>
      </w:r>
      <w:r w:rsidR="00872771" w:rsidRPr="00F6340E">
        <w:t xml:space="preserve"> </w:t>
      </w:r>
      <w:r w:rsidR="00A56E08">
        <w:t>од</w:t>
      </w:r>
      <w:r w:rsidR="00872771" w:rsidRPr="00F6340E">
        <w:t xml:space="preserve"> </w:t>
      </w:r>
      <w:r>
        <w:t>тр</w:t>
      </w:r>
      <w:r w:rsidR="00A56E08">
        <w:t>адиционалних</w:t>
      </w:r>
      <w:r w:rsidR="00872771" w:rsidRPr="00F6340E">
        <w:t xml:space="preserve">, </w:t>
      </w:r>
      <w:r w:rsidR="00A56E08">
        <w:t>фок</w:t>
      </w:r>
      <w:r>
        <w:t>ус</w:t>
      </w:r>
      <w:r w:rsidR="00A56E08">
        <w:t>и</w:t>
      </w:r>
      <w:r>
        <w:t>р</w:t>
      </w:r>
      <w:r w:rsidR="00A56E08">
        <w:t>ани</w:t>
      </w:r>
      <w:r w:rsidR="00872771" w:rsidRPr="00F6340E">
        <w:t xml:space="preserve"> </w:t>
      </w:r>
      <w:r>
        <w:t>су</w:t>
      </w:r>
      <w:r w:rsidR="00872771" w:rsidRPr="00F6340E">
        <w:t xml:space="preserve"> </w:t>
      </w:r>
      <w:r w:rsidR="00A56E08">
        <w:t>на</w:t>
      </w:r>
      <w:r w:rsidR="00872771" w:rsidRPr="00F6340E">
        <w:t xml:space="preserve"> </w:t>
      </w:r>
      <w:r>
        <w:t>р</w:t>
      </w:r>
      <w:r w:rsidR="00A56E08">
        <w:t>а</w:t>
      </w:r>
      <w:r w:rsidR="00171F00">
        <w:t>з</w:t>
      </w:r>
      <w:r w:rsidR="00A56E08">
        <w:t>но</w:t>
      </w:r>
      <w:r>
        <w:t>врс</w:t>
      </w:r>
      <w:r w:rsidR="00A56E08">
        <w:t>но</w:t>
      </w:r>
      <w:r>
        <w:t>ст</w:t>
      </w:r>
      <w:r w:rsidR="00872771" w:rsidRPr="00F6340E">
        <w:t xml:space="preserve"> </w:t>
      </w:r>
      <w:r w:rsidR="00A56E08">
        <w:t>и</w:t>
      </w:r>
      <w:r w:rsidR="00872771" w:rsidRPr="00F6340E">
        <w:t xml:space="preserve"> </w:t>
      </w:r>
      <w:r w:rsidR="00A56E08">
        <w:t>х</w:t>
      </w:r>
      <w:r w:rsidR="00EE6AA2">
        <w:t>е</w:t>
      </w:r>
      <w:r>
        <w:t>т</w:t>
      </w:r>
      <w:r w:rsidR="00EE6AA2">
        <w:t>е</w:t>
      </w:r>
      <w:r>
        <w:t>р</w:t>
      </w:r>
      <w:r w:rsidR="00A56E08">
        <w:t>ог</w:t>
      </w:r>
      <w:r w:rsidR="00EE6AA2">
        <w:t>е</w:t>
      </w:r>
      <w:r w:rsidR="00A56E08">
        <w:t>н</w:t>
      </w:r>
      <w:r w:rsidR="00EE6AA2">
        <w:t>е</w:t>
      </w:r>
      <w:r w:rsidR="00872771" w:rsidRPr="00F6340E">
        <w:t xml:space="preserve"> </w:t>
      </w:r>
      <w:r w:rsidR="00A56E08">
        <w:t>г</w:t>
      </w:r>
      <w:r>
        <w:t>руп</w:t>
      </w:r>
      <w:r w:rsidR="00EE6AA2">
        <w:t>е</w:t>
      </w:r>
      <w:r w:rsidR="00872771" w:rsidRPr="00F6340E">
        <w:t xml:space="preserve"> </w:t>
      </w:r>
      <w:r>
        <w:t>у</w:t>
      </w:r>
      <w:r w:rsidR="00A56E08">
        <w:t>ч</w:t>
      </w:r>
      <w:r w:rsidR="00EE6AA2">
        <w:t>е</w:t>
      </w:r>
      <w:r w:rsidR="00A56E08">
        <w:t>ника</w:t>
      </w:r>
      <w:r w:rsidR="004E3DDF" w:rsidRPr="00F6340E">
        <w:t>/</w:t>
      </w:r>
      <w:r>
        <w:t>сту</w:t>
      </w:r>
      <w:r w:rsidR="00A56E08">
        <w:t>д</w:t>
      </w:r>
      <w:r w:rsidR="00EE6AA2">
        <w:t>е</w:t>
      </w:r>
      <w:r w:rsidR="00A56E08">
        <w:t>на</w:t>
      </w:r>
      <w:r>
        <w:t>т</w:t>
      </w:r>
      <w:r w:rsidR="00A56E08">
        <w:t>а</w:t>
      </w:r>
      <w:r w:rsidR="00B04FA8">
        <w:t xml:space="preserve"> </w:t>
      </w:r>
      <w:r w:rsidR="001F2F40">
        <w:t>с обзиром</w:t>
      </w:r>
      <w:r w:rsidR="00872771" w:rsidRPr="00F6340E">
        <w:t xml:space="preserve"> </w:t>
      </w:r>
      <w:r w:rsidR="00A56E08">
        <w:t>на</w:t>
      </w:r>
      <w:r w:rsidR="00872771" w:rsidRPr="00F6340E">
        <w:t xml:space="preserve"> </w:t>
      </w:r>
      <w:r w:rsidR="00A56E08">
        <w:t>њихо</w:t>
      </w:r>
      <w:r>
        <w:t>в</w:t>
      </w:r>
      <w:r w:rsidR="00EE6AA2">
        <w:t>е</w:t>
      </w:r>
      <w:r w:rsidR="00872771" w:rsidRPr="00F6340E">
        <w:t xml:space="preserve"> </w:t>
      </w:r>
      <w:r>
        <w:t>р</w:t>
      </w:r>
      <w:r w:rsidR="00A56E08">
        <w:t>а</w:t>
      </w:r>
      <w:r w:rsidR="00171F00">
        <w:t>з</w:t>
      </w:r>
      <w:r w:rsidR="00A56E08">
        <w:t>личи</w:t>
      </w:r>
      <w:r>
        <w:t>т</w:t>
      </w:r>
      <w:r w:rsidR="00EE6AA2">
        <w:t>е</w:t>
      </w:r>
      <w:r w:rsidR="00872771" w:rsidRPr="00F6340E">
        <w:t xml:space="preserve"> </w:t>
      </w:r>
      <w:r>
        <w:t>сп</w:t>
      </w:r>
      <w:r w:rsidR="00A56E08">
        <w:t>о</w:t>
      </w:r>
      <w:r>
        <w:t>с</w:t>
      </w:r>
      <w:r w:rsidR="00A56E08">
        <w:t>обно</w:t>
      </w:r>
      <w:r>
        <w:t>ст</w:t>
      </w:r>
      <w:r w:rsidR="00A56E08">
        <w:t>и</w:t>
      </w:r>
      <w:r w:rsidR="00872771" w:rsidRPr="00F6340E">
        <w:t xml:space="preserve"> </w:t>
      </w:r>
      <w:r w:rsidR="00A56E08">
        <w:t>и</w:t>
      </w:r>
      <w:r w:rsidR="00872771" w:rsidRPr="00F6340E">
        <w:t xml:space="preserve"> </w:t>
      </w:r>
      <w:r>
        <w:t>п</w:t>
      </w:r>
      <w:r w:rsidR="00A56E08">
        <w:t>о</w:t>
      </w:r>
      <w:r>
        <w:t>т</w:t>
      </w:r>
      <w:r w:rsidR="00EE6AA2">
        <w:t>е</w:t>
      </w:r>
      <w:r w:rsidR="00A56E08">
        <w:t>нцијал</w:t>
      </w:r>
      <w:r w:rsidR="00EE6AA2">
        <w:t>е</w:t>
      </w:r>
      <w:r w:rsidR="00872771" w:rsidRPr="00F6340E">
        <w:t xml:space="preserve">, </w:t>
      </w:r>
      <w:r>
        <w:t>пр</w:t>
      </w:r>
      <w:r w:rsidR="00EE6AA2">
        <w:t>е</w:t>
      </w:r>
      <w:r>
        <w:t>т</w:t>
      </w:r>
      <w:r w:rsidR="00A56E08">
        <w:t>ходна</w:t>
      </w:r>
      <w:r w:rsidR="00872771" w:rsidRPr="00F6340E">
        <w:t xml:space="preserve"> </w:t>
      </w:r>
      <w:r>
        <w:t>с</w:t>
      </w:r>
      <w:r w:rsidR="00A56E08">
        <w:t>а</w:t>
      </w:r>
      <w:r w:rsidR="00171F00">
        <w:t>з</w:t>
      </w:r>
      <w:r w:rsidR="00A56E08">
        <w:t>нања</w:t>
      </w:r>
      <w:r w:rsidR="00872771" w:rsidRPr="00F6340E">
        <w:t xml:space="preserve"> </w:t>
      </w:r>
      <w:r w:rsidR="00A56E08">
        <w:t>и</w:t>
      </w:r>
      <w:r w:rsidR="00872771" w:rsidRPr="00F6340E">
        <w:t xml:space="preserve"> </w:t>
      </w:r>
      <w:r w:rsidR="00A56E08">
        <w:t>и</w:t>
      </w:r>
      <w:r>
        <w:t>с</w:t>
      </w:r>
      <w:r w:rsidR="00A56E08">
        <w:t>к</w:t>
      </w:r>
      <w:r>
        <w:t>уств</w:t>
      </w:r>
      <w:r w:rsidR="00A56E08">
        <w:t>а</w:t>
      </w:r>
      <w:r w:rsidR="00872771" w:rsidRPr="00F6340E">
        <w:t xml:space="preserve">, </w:t>
      </w:r>
      <w:r>
        <w:t>п</w:t>
      </w:r>
      <w:r w:rsidR="00A56E08">
        <w:t>о</w:t>
      </w:r>
      <w:r>
        <w:t>р</w:t>
      </w:r>
      <w:r w:rsidR="00A56E08">
        <w:t>иј</w:t>
      </w:r>
      <w:r w:rsidR="00EE6AA2">
        <w:t>е</w:t>
      </w:r>
      <w:r w:rsidR="00A56E08">
        <w:t>кло</w:t>
      </w:r>
      <w:r w:rsidR="00872771" w:rsidRPr="00F6340E">
        <w:t xml:space="preserve">, </w:t>
      </w:r>
      <w:r w:rsidR="00A56E08">
        <w:t>националн</w:t>
      </w:r>
      <w:r>
        <w:t>у</w:t>
      </w:r>
      <w:r w:rsidR="00872771" w:rsidRPr="00F6340E">
        <w:t xml:space="preserve"> </w:t>
      </w:r>
      <w:r>
        <w:t>пр</w:t>
      </w:r>
      <w:r w:rsidR="00A56E08">
        <w:t>и</w:t>
      </w:r>
      <w:r>
        <w:t>п</w:t>
      </w:r>
      <w:r w:rsidR="00A56E08">
        <w:t>адно</w:t>
      </w:r>
      <w:r>
        <w:t>ст</w:t>
      </w:r>
      <w:r w:rsidR="00872771" w:rsidRPr="00F6340E">
        <w:t xml:space="preserve"> </w:t>
      </w:r>
      <w:r w:rsidR="00A56E08">
        <w:t>и</w:t>
      </w:r>
      <w:r w:rsidR="00872771" w:rsidRPr="00F6340E">
        <w:t xml:space="preserve"> </w:t>
      </w:r>
      <w:r w:rsidR="00A56E08">
        <w:t>д</w:t>
      </w:r>
      <w:r>
        <w:t>ру</w:t>
      </w:r>
      <w:r w:rsidR="00A56E08">
        <w:t>г</w:t>
      </w:r>
      <w:r w:rsidR="00EE6AA2">
        <w:t>е</w:t>
      </w:r>
      <w:r w:rsidR="00872771" w:rsidRPr="00F6340E">
        <w:t xml:space="preserve"> </w:t>
      </w:r>
      <w:r w:rsidR="00A56E08">
        <w:t>ка</w:t>
      </w:r>
      <w:r>
        <w:t>р</w:t>
      </w:r>
      <w:r w:rsidR="00A56E08">
        <w:t>ак</w:t>
      </w:r>
      <w:r>
        <w:t>т</w:t>
      </w:r>
      <w:r w:rsidR="00EE6AA2">
        <w:t>е</w:t>
      </w:r>
      <w:r>
        <w:t>р</w:t>
      </w:r>
      <w:r w:rsidR="00A56E08">
        <w:t>и</w:t>
      </w:r>
      <w:r>
        <w:t>ст</w:t>
      </w:r>
      <w:r w:rsidR="00A56E08">
        <w:t>ик</w:t>
      </w:r>
      <w:r w:rsidR="00EE6AA2">
        <w:t>е</w:t>
      </w:r>
      <w:r w:rsidR="00872771" w:rsidRPr="00F6340E">
        <w:t xml:space="preserve">. </w:t>
      </w:r>
      <w:r w:rsidR="00A56E08">
        <w:t>Нај</w:t>
      </w:r>
      <w:r>
        <w:t>пр</w:t>
      </w:r>
      <w:r w:rsidR="00A56E08">
        <w:t>и</w:t>
      </w:r>
      <w:r>
        <w:t>сут</w:t>
      </w:r>
      <w:r w:rsidR="00A56E08">
        <w:t>нији</w:t>
      </w:r>
      <w:r w:rsidR="00872771" w:rsidRPr="00F6340E">
        <w:t xml:space="preserve"> </w:t>
      </w:r>
      <w:r>
        <w:t>с</w:t>
      </w:r>
      <w:r w:rsidR="00A56E08">
        <w:t>а</w:t>
      </w:r>
      <w:r>
        <w:t>вр</w:t>
      </w:r>
      <w:r w:rsidR="00EE6AA2">
        <w:t>е</w:t>
      </w:r>
      <w:r w:rsidR="00A56E08">
        <w:t>м</w:t>
      </w:r>
      <w:r w:rsidR="00EE6AA2">
        <w:t>е</w:t>
      </w:r>
      <w:r w:rsidR="00A56E08">
        <w:t>ни</w:t>
      </w:r>
      <w:r w:rsidR="00872771" w:rsidRPr="00F6340E">
        <w:t xml:space="preserve"> </w:t>
      </w:r>
      <w:r w:rsidR="00A56E08">
        <w:t>мод</w:t>
      </w:r>
      <w:r w:rsidR="00EE6AA2">
        <w:t>е</w:t>
      </w:r>
      <w:r w:rsidR="00A56E08">
        <w:t>ли</w:t>
      </w:r>
      <w:r w:rsidR="00872771" w:rsidRPr="00F6340E">
        <w:t xml:space="preserve"> </w:t>
      </w:r>
      <w:r>
        <w:t>п</w:t>
      </w:r>
      <w:r w:rsidR="00A56E08">
        <w:t>од</w:t>
      </w:r>
      <w:r>
        <w:t>у</w:t>
      </w:r>
      <w:r w:rsidR="00A56E08">
        <w:t>ча</w:t>
      </w:r>
      <w:r>
        <w:t>в</w:t>
      </w:r>
      <w:r w:rsidR="00A56E08">
        <w:t>ања</w:t>
      </w:r>
      <w:r w:rsidR="00872771" w:rsidRPr="00F6340E">
        <w:t xml:space="preserve"> </w:t>
      </w:r>
      <w:r>
        <w:t>су</w:t>
      </w:r>
      <w:r w:rsidR="00872771" w:rsidRPr="00F6340E">
        <w:t xml:space="preserve"> </w:t>
      </w:r>
      <w:r w:rsidR="00A56E08">
        <w:t>диф</w:t>
      </w:r>
      <w:r w:rsidR="00EE6AA2">
        <w:t>е</w:t>
      </w:r>
      <w:r>
        <w:t>р</w:t>
      </w:r>
      <w:r w:rsidR="00EE6AA2">
        <w:t>е</w:t>
      </w:r>
      <w:r w:rsidR="00A56E08">
        <w:t>нцијација</w:t>
      </w:r>
      <w:r w:rsidR="00872771" w:rsidRPr="00F6340E">
        <w:t xml:space="preserve">, </w:t>
      </w:r>
      <w:r w:rsidR="00A56E08">
        <w:t>инди</w:t>
      </w:r>
      <w:r>
        <w:t>в</w:t>
      </w:r>
      <w:r w:rsidR="00A56E08">
        <w:t>ид</w:t>
      </w:r>
      <w:r>
        <w:t>у</w:t>
      </w:r>
      <w:r w:rsidR="00A56E08">
        <w:t>али</w:t>
      </w:r>
      <w:r w:rsidR="00171F00">
        <w:t>з</w:t>
      </w:r>
      <w:r w:rsidR="00A56E08">
        <w:t>ација</w:t>
      </w:r>
      <w:r w:rsidR="00872771" w:rsidRPr="00F6340E">
        <w:t xml:space="preserve"> </w:t>
      </w:r>
      <w:r w:rsidR="00A56E08">
        <w:t>и</w:t>
      </w:r>
      <w:r w:rsidR="00872771" w:rsidRPr="00F6340E">
        <w:t xml:space="preserve"> </w:t>
      </w:r>
      <w:r>
        <w:t>п</w:t>
      </w:r>
      <w:r w:rsidR="00EE6AA2">
        <w:t>е</w:t>
      </w:r>
      <w:r>
        <w:t>рс</w:t>
      </w:r>
      <w:r w:rsidR="00A56E08">
        <w:t>онали</w:t>
      </w:r>
      <w:r w:rsidR="00171F00">
        <w:t>з</w:t>
      </w:r>
      <w:r w:rsidR="00A56E08">
        <w:t>ација</w:t>
      </w:r>
      <w:r w:rsidR="00872771" w:rsidRPr="00F6340E">
        <w:t xml:space="preserve">. </w:t>
      </w:r>
    </w:p>
    <w:p w14:paraId="3B2AA3F0" w14:textId="4AE6BA53" w:rsidR="00872771" w:rsidRDefault="00A56E08" w:rsidP="00735975">
      <w:pPr>
        <w:pStyle w:val="Heading3"/>
        <w:numPr>
          <w:ilvl w:val="2"/>
          <w:numId w:val="69"/>
        </w:numPr>
        <w:rPr>
          <w:lang w:val="sr-Cyrl-BA"/>
        </w:rPr>
      </w:pPr>
      <w:bookmarkStart w:id="23" w:name="_Toc119050305"/>
      <w:r>
        <w:rPr>
          <w:lang w:val="sr-Cyrl-BA"/>
        </w:rPr>
        <w:t>Диф</w:t>
      </w:r>
      <w:r w:rsidR="00EE6AA2">
        <w:rPr>
          <w:lang w:val="sr-Cyrl-BA"/>
        </w:rPr>
        <w:t>е</w:t>
      </w:r>
      <w:r w:rsidR="0071360A">
        <w:rPr>
          <w:lang w:val="sr-Cyrl-BA"/>
        </w:rPr>
        <w:t>р</w:t>
      </w:r>
      <w:r w:rsidR="00EE6AA2">
        <w:rPr>
          <w:lang w:val="sr-Cyrl-BA"/>
        </w:rPr>
        <w:t>е</w:t>
      </w:r>
      <w:r>
        <w:rPr>
          <w:lang w:val="sr-Cyrl-BA"/>
        </w:rPr>
        <w:t>нцијација</w:t>
      </w:r>
      <w:r w:rsidR="00872771" w:rsidRPr="00F6340E">
        <w:rPr>
          <w:lang w:val="sr-Cyrl-BA"/>
        </w:rPr>
        <w:t xml:space="preserve">, </w:t>
      </w:r>
      <w:r>
        <w:rPr>
          <w:lang w:val="sr-Cyrl-BA"/>
        </w:rPr>
        <w:t>инди</w:t>
      </w:r>
      <w:r w:rsidR="0071360A">
        <w:rPr>
          <w:lang w:val="sr-Cyrl-BA"/>
        </w:rPr>
        <w:t>в</w:t>
      </w:r>
      <w:r>
        <w:rPr>
          <w:lang w:val="sr-Cyrl-BA"/>
        </w:rPr>
        <w:t>ид</w:t>
      </w:r>
      <w:r w:rsidR="0071360A">
        <w:rPr>
          <w:lang w:val="sr-Cyrl-BA"/>
        </w:rPr>
        <w:t>у</w:t>
      </w:r>
      <w:r>
        <w:rPr>
          <w:lang w:val="sr-Cyrl-BA"/>
        </w:rPr>
        <w:t>али</w:t>
      </w:r>
      <w:r w:rsidR="00171F00">
        <w:rPr>
          <w:lang w:val="sr-Cyrl-BA"/>
        </w:rPr>
        <w:t>з</w:t>
      </w:r>
      <w:r>
        <w:rPr>
          <w:lang w:val="sr-Cyrl-BA"/>
        </w:rPr>
        <w:t>ација</w:t>
      </w:r>
      <w:r w:rsidR="00872771" w:rsidRPr="00F6340E">
        <w:rPr>
          <w:lang w:val="sr-Cyrl-BA"/>
        </w:rPr>
        <w:t xml:space="preserve">, </w:t>
      </w:r>
      <w:r w:rsidR="0071360A">
        <w:rPr>
          <w:lang w:val="sr-Cyrl-BA"/>
        </w:rPr>
        <w:t>п</w:t>
      </w:r>
      <w:r w:rsidR="00EE6AA2">
        <w:rPr>
          <w:lang w:val="sr-Cyrl-BA"/>
        </w:rPr>
        <w:t>е</w:t>
      </w:r>
      <w:r w:rsidR="0071360A">
        <w:rPr>
          <w:lang w:val="sr-Cyrl-BA"/>
        </w:rPr>
        <w:t>рс</w:t>
      </w:r>
      <w:r>
        <w:rPr>
          <w:lang w:val="sr-Cyrl-BA"/>
        </w:rPr>
        <w:t>онали</w:t>
      </w:r>
      <w:r w:rsidR="00171F00">
        <w:rPr>
          <w:lang w:val="sr-Cyrl-BA"/>
        </w:rPr>
        <w:t>з</w:t>
      </w:r>
      <w:r>
        <w:rPr>
          <w:lang w:val="sr-Cyrl-BA"/>
        </w:rPr>
        <w:t>ација</w:t>
      </w:r>
      <w:bookmarkEnd w:id="23"/>
      <w:r w:rsidR="00872771" w:rsidRPr="00F6340E">
        <w:rPr>
          <w:lang w:val="sr-Cyrl-BA"/>
        </w:rPr>
        <w:t xml:space="preserve"> </w:t>
      </w:r>
    </w:p>
    <w:p w14:paraId="6DE00C5F" w14:textId="4828ED36" w:rsidR="00872771" w:rsidRPr="00F6340E" w:rsidRDefault="00A56E08" w:rsidP="00210EE1">
      <w:pPr>
        <w:pStyle w:val="Body"/>
      </w:pPr>
      <w:r>
        <w:rPr>
          <w:i/>
        </w:rPr>
        <w:t>Диф</w:t>
      </w:r>
      <w:r w:rsidR="00EE6AA2">
        <w:rPr>
          <w:i/>
        </w:rPr>
        <w:t>е</w:t>
      </w:r>
      <w:r w:rsidR="0071360A">
        <w:rPr>
          <w:i/>
        </w:rPr>
        <w:t>р</w:t>
      </w:r>
      <w:r w:rsidR="00EE6AA2">
        <w:rPr>
          <w:i/>
        </w:rPr>
        <w:t>е</w:t>
      </w:r>
      <w:r>
        <w:rPr>
          <w:i/>
        </w:rPr>
        <w:t>нцијација</w:t>
      </w:r>
      <w:r w:rsidR="00872771" w:rsidRPr="00F6340E">
        <w:t xml:space="preserve"> </w:t>
      </w:r>
      <w:r w:rsidR="0071360A">
        <w:t>у</w:t>
      </w:r>
      <w:r w:rsidR="00872771" w:rsidRPr="00F6340E">
        <w:t xml:space="preserve"> </w:t>
      </w:r>
      <w:r>
        <w:t>на</w:t>
      </w:r>
      <w:r w:rsidR="0071360A">
        <w:t>ст</w:t>
      </w:r>
      <w:r>
        <w:t>а</w:t>
      </w:r>
      <w:r w:rsidR="0071360A">
        <w:t>в</w:t>
      </w:r>
      <w:r>
        <w:t>и</w:t>
      </w:r>
      <w:r w:rsidR="00872771"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4E3DDF" w:rsidRPr="00F6340E">
        <w:t xml:space="preserve"> </w:t>
      </w:r>
      <w:r w:rsidR="0071360A">
        <w:t>п</w:t>
      </w:r>
      <w:r>
        <w:t>одј</w:t>
      </w:r>
      <w:r w:rsidR="00EE6AA2">
        <w:t>е</w:t>
      </w:r>
      <w:r>
        <w:t>л</w:t>
      </w:r>
      <w:r w:rsidR="0071360A">
        <w:t>у</w:t>
      </w:r>
      <w:r w:rsidR="004E3DDF" w:rsidRPr="00F6340E">
        <w:t xml:space="preserve"> </w:t>
      </w:r>
      <w:r>
        <w:t>х</w:t>
      </w:r>
      <w:r w:rsidR="00EE6AA2">
        <w:t>е</w:t>
      </w:r>
      <w:r w:rsidR="0071360A">
        <w:t>т</w:t>
      </w:r>
      <w:r w:rsidR="00EE6AA2">
        <w:t>е</w:t>
      </w:r>
      <w:r w:rsidR="0071360A">
        <w:t>р</w:t>
      </w:r>
      <w:r>
        <w:t>ог</w:t>
      </w:r>
      <w:r w:rsidR="00EE6AA2">
        <w:t>е</w:t>
      </w:r>
      <w:r>
        <w:t>н</w:t>
      </w:r>
      <w:r w:rsidR="00EE6AA2">
        <w:t>е</w:t>
      </w:r>
      <w:r w:rsidR="004E3DDF" w:rsidRPr="00F6340E">
        <w:t xml:space="preserve"> </w:t>
      </w:r>
      <w:r>
        <w:t>г</w:t>
      </w:r>
      <w:r w:rsidR="0071360A">
        <w:t>руп</w:t>
      </w:r>
      <w:r w:rsidR="00EE6AA2">
        <w:t>е</w:t>
      </w:r>
      <w:r w:rsidR="004E3DDF" w:rsidRPr="00F6340E">
        <w:t xml:space="preserve"> </w:t>
      </w:r>
      <w:r>
        <w:t>на</w:t>
      </w:r>
      <w:r w:rsidR="00872771" w:rsidRPr="00F6340E">
        <w:t xml:space="preserve"> </w:t>
      </w:r>
      <w:r>
        <w:t>мањ</w:t>
      </w:r>
      <w:r w:rsidR="00EE6AA2">
        <w:t>е</w:t>
      </w:r>
      <w:r w:rsidR="00872771" w:rsidRPr="00F6340E">
        <w:t xml:space="preserve"> </w:t>
      </w:r>
      <w:r>
        <w:t>хомог</w:t>
      </w:r>
      <w:r w:rsidR="00EE6AA2">
        <w:t>е</w:t>
      </w:r>
      <w:r>
        <w:t>н</w:t>
      </w:r>
      <w:r w:rsidR="00EE6AA2">
        <w:t>е</w:t>
      </w:r>
      <w:r w:rsidR="00872771" w:rsidRPr="00F6340E">
        <w:t xml:space="preserve"> </w:t>
      </w:r>
      <w:r>
        <w:t>г</w:t>
      </w:r>
      <w:r w:rsidR="0071360A">
        <w:t>руп</w:t>
      </w:r>
      <w:r w:rsidR="00EE6AA2">
        <w:t>е</w:t>
      </w:r>
      <w:r w:rsidR="00872771" w:rsidRPr="00F6340E">
        <w:t xml:space="preserve"> </w:t>
      </w:r>
      <w:r w:rsidR="0071360A">
        <w:t>у</w:t>
      </w:r>
      <w:r>
        <w:t>ч</w:t>
      </w:r>
      <w:r w:rsidR="00EE6AA2">
        <w:t>е</w:t>
      </w:r>
      <w:r>
        <w:t>ника</w:t>
      </w:r>
      <w:r w:rsidR="004E3DDF" w:rsidRPr="00F6340E">
        <w:t>/</w:t>
      </w:r>
      <w:r w:rsidR="0071360A">
        <w:t>сту</w:t>
      </w:r>
      <w:r>
        <w:t>д</w:t>
      </w:r>
      <w:r w:rsidR="00EE6AA2">
        <w:t>е</w:t>
      </w:r>
      <w:r>
        <w:t>на</w:t>
      </w:r>
      <w:r w:rsidR="0071360A">
        <w:t>т</w:t>
      </w:r>
      <w:r>
        <w:t>а</w:t>
      </w:r>
      <w:r w:rsidR="00872771" w:rsidRPr="00F6340E">
        <w:t xml:space="preserve"> </w:t>
      </w:r>
      <w:r w:rsidR="0071360A">
        <w:t>с</w:t>
      </w:r>
      <w:r>
        <w:t>личних</w:t>
      </w:r>
      <w:r w:rsidR="00872771" w:rsidRPr="00F6340E">
        <w:t xml:space="preserve"> </w:t>
      </w:r>
      <w:r>
        <w:t>ка</w:t>
      </w:r>
      <w:r w:rsidR="0071360A">
        <w:t>р</w:t>
      </w:r>
      <w:r>
        <w:t>ак</w:t>
      </w:r>
      <w:r w:rsidR="0071360A">
        <w:t>т</w:t>
      </w:r>
      <w:r w:rsidR="00EE6AA2">
        <w:t>е</w:t>
      </w:r>
      <w:r w:rsidR="0071360A">
        <w:t>р</w:t>
      </w:r>
      <w:r>
        <w:t>и</w:t>
      </w:r>
      <w:r w:rsidR="0071360A">
        <w:t>ст</w:t>
      </w:r>
      <w:r>
        <w:t>ика</w:t>
      </w:r>
      <w:r w:rsidR="00872771" w:rsidRPr="00F6340E">
        <w:t xml:space="preserve"> (</w:t>
      </w:r>
      <w:r>
        <w:t>н</w:t>
      </w:r>
      <w:r w:rsidR="0071360A">
        <w:t>пр</w:t>
      </w:r>
      <w:r w:rsidR="00872771" w:rsidRPr="00F6340E">
        <w:t xml:space="preserve">. </w:t>
      </w:r>
      <w:r w:rsidR="0071360A">
        <w:t>пр</w:t>
      </w:r>
      <w:r w:rsidR="00EE6AA2">
        <w:t>е</w:t>
      </w:r>
      <w:r>
        <w:t>ма</w:t>
      </w:r>
      <w:r w:rsidR="00872771" w:rsidRPr="00F6340E">
        <w:t xml:space="preserve"> </w:t>
      </w:r>
      <w:r>
        <w:t>ка</w:t>
      </w:r>
      <w:r w:rsidR="0071360A">
        <w:t>т</w:t>
      </w:r>
      <w:r w:rsidR="00EE6AA2">
        <w:t>е</w:t>
      </w:r>
      <w:r>
        <w:t>го</w:t>
      </w:r>
      <w:r w:rsidR="0071360A">
        <w:t>р</w:t>
      </w:r>
      <w:r>
        <w:t>ији</w:t>
      </w:r>
      <w:r w:rsidR="00872771" w:rsidRPr="00F6340E">
        <w:t xml:space="preserve"> </w:t>
      </w:r>
      <w:r w:rsidR="0071360A">
        <w:t>усп</w:t>
      </w:r>
      <w:r>
        <w:t>ј</w:t>
      </w:r>
      <w:r w:rsidR="00EE6AA2">
        <w:t>е</w:t>
      </w:r>
      <w:r>
        <w:t>ха</w:t>
      </w:r>
      <w:r w:rsidR="00872771" w:rsidRPr="00F6340E">
        <w:t xml:space="preserve"> </w:t>
      </w:r>
      <w:r>
        <w:t>на</w:t>
      </w:r>
      <w:r w:rsidR="00872771" w:rsidRPr="00F6340E">
        <w:t xml:space="preserve"> </w:t>
      </w:r>
      <w:r>
        <w:t>и</w:t>
      </w:r>
      <w:r w:rsidR="00171F00">
        <w:t>з</w:t>
      </w:r>
      <w:r>
        <w:t>над</w:t>
      </w:r>
      <w:r w:rsidR="0071360A">
        <w:t>пр</w:t>
      </w:r>
      <w:r>
        <w:t>о</w:t>
      </w:r>
      <w:r w:rsidR="0071360A">
        <w:t>с</w:t>
      </w:r>
      <w:r>
        <w:t>ј</w:t>
      </w:r>
      <w:r w:rsidR="00EE6AA2">
        <w:t>е</w:t>
      </w:r>
      <w:r>
        <w:t>чн</w:t>
      </w:r>
      <w:r w:rsidR="00EE6AA2">
        <w:t>е</w:t>
      </w:r>
      <w:r w:rsidR="00872771" w:rsidRPr="00F6340E">
        <w:t xml:space="preserve">, </w:t>
      </w:r>
      <w:r w:rsidR="0071360A">
        <w:t>пр</w:t>
      </w:r>
      <w:r>
        <w:t>о</w:t>
      </w:r>
      <w:r w:rsidR="0071360A">
        <w:t>с</w:t>
      </w:r>
      <w:r>
        <w:t>ј</w:t>
      </w:r>
      <w:r w:rsidR="00EE6AA2">
        <w:t>е</w:t>
      </w:r>
      <w:r>
        <w:t>чн</w:t>
      </w:r>
      <w:r w:rsidR="00EE6AA2">
        <w:t>е</w:t>
      </w:r>
      <w:r w:rsidR="00872771" w:rsidRPr="00F6340E">
        <w:t xml:space="preserve">, </w:t>
      </w:r>
      <w:r>
        <w:t>и</w:t>
      </w:r>
      <w:r w:rsidR="0071360A">
        <w:t>сп</w:t>
      </w:r>
      <w:r>
        <w:t>од</w:t>
      </w:r>
      <w:r w:rsidR="0071360A">
        <w:t>пр</w:t>
      </w:r>
      <w:r>
        <w:t>о</w:t>
      </w:r>
      <w:r w:rsidR="0071360A">
        <w:t>с</w:t>
      </w:r>
      <w:r>
        <w:t>ј</w:t>
      </w:r>
      <w:r w:rsidR="00EE6AA2">
        <w:t>е</w:t>
      </w:r>
      <w:r>
        <w:t>чн</w:t>
      </w:r>
      <w:r w:rsidR="00EE6AA2">
        <w:t>е</w:t>
      </w:r>
      <w:r w:rsidR="00872771" w:rsidRPr="00F6340E">
        <w:t xml:space="preserve">) </w:t>
      </w:r>
      <w:r>
        <w:t>како</w:t>
      </w:r>
      <w:r w:rsidR="00872771" w:rsidRPr="00F6340E">
        <w:t xml:space="preserve"> </w:t>
      </w:r>
      <w:r>
        <w:t>би</w:t>
      </w:r>
      <w:r w:rsidR="001D6917" w:rsidRPr="00F6340E">
        <w:t xml:space="preserve"> </w:t>
      </w:r>
      <w:r w:rsidR="0071360A">
        <w:t>с</w:t>
      </w:r>
      <w:r w:rsidR="00EE6AA2">
        <w:t>е</w:t>
      </w:r>
      <w:r w:rsidR="00872771" w:rsidRPr="00F6340E">
        <w:t xml:space="preserve"> </w:t>
      </w:r>
      <w:r w:rsidR="0071360A">
        <w:t>у</w:t>
      </w:r>
      <w:r w:rsidR="00E864CA" w:rsidRPr="00F6340E">
        <w:t xml:space="preserve"> </w:t>
      </w:r>
      <w:r w:rsidR="0071360A">
        <w:t>с</w:t>
      </w:r>
      <w:r>
        <w:t>клад</w:t>
      </w:r>
      <w:r w:rsidR="0071360A">
        <w:t>у</w:t>
      </w:r>
      <w:r w:rsidR="00B04FA8">
        <w:t xml:space="preserve"> са </w:t>
      </w:r>
      <w:r w:rsidR="0071360A">
        <w:t>п</w:t>
      </w:r>
      <w:r>
        <w:t>о</w:t>
      </w:r>
      <w:r w:rsidR="0071360A">
        <w:t>тр</w:t>
      </w:r>
      <w:r w:rsidR="00EE6AA2">
        <w:t>е</w:t>
      </w:r>
      <w:r>
        <w:t>бама</w:t>
      </w:r>
      <w:r w:rsidR="00872771" w:rsidRPr="00F6340E">
        <w:t xml:space="preserve">, </w:t>
      </w:r>
      <w:r>
        <w:t>мог</w:t>
      </w:r>
      <w:r w:rsidR="0071360A">
        <w:t>у</w:t>
      </w:r>
      <w:r>
        <w:t>ћно</w:t>
      </w:r>
      <w:r w:rsidR="0071360A">
        <w:t>ст</w:t>
      </w:r>
      <w:r>
        <w:t>има</w:t>
      </w:r>
      <w:r w:rsidR="00872771" w:rsidRPr="00F6340E">
        <w:t xml:space="preserve"> </w:t>
      </w:r>
      <w:r>
        <w:t>и</w:t>
      </w:r>
      <w:r w:rsidR="00872771" w:rsidRPr="00F6340E">
        <w:t xml:space="preserve"> </w:t>
      </w:r>
      <w:r w:rsidR="0071360A">
        <w:t>сп</w:t>
      </w:r>
      <w:r>
        <w:t>о</w:t>
      </w:r>
      <w:r w:rsidR="0071360A">
        <w:t>с</w:t>
      </w:r>
      <w:r>
        <w:t>обно</w:t>
      </w:r>
      <w:r w:rsidR="0071360A">
        <w:t>ст</w:t>
      </w:r>
      <w:r>
        <w:t>има</w:t>
      </w:r>
      <w:r w:rsidR="00872771" w:rsidRPr="00F6340E">
        <w:t xml:space="preserve"> </w:t>
      </w:r>
      <w:r>
        <w:t>г</w:t>
      </w:r>
      <w:r w:rsidR="0071360A">
        <w:t>руп</w:t>
      </w:r>
      <w:r w:rsidR="00EE6AA2">
        <w:t>е</w:t>
      </w:r>
      <w:r w:rsidR="00872771" w:rsidRPr="00F6340E">
        <w:t xml:space="preserve"> </w:t>
      </w:r>
      <w:r>
        <w:t>о</w:t>
      </w:r>
      <w:r w:rsidR="0071360A">
        <w:t>с</w:t>
      </w:r>
      <w:r>
        <w:t>иг</w:t>
      </w:r>
      <w:r w:rsidR="0071360A">
        <w:t>ур</w:t>
      </w:r>
      <w:r>
        <w:t>али</w:t>
      </w:r>
      <w:r w:rsidR="00872771" w:rsidRPr="00F6340E">
        <w:t xml:space="preserve"> </w:t>
      </w:r>
      <w:r>
        <w:t>ад</w:t>
      </w:r>
      <w:r w:rsidR="00EE6AA2">
        <w:t>е</w:t>
      </w:r>
      <w:r>
        <w:t>к</w:t>
      </w:r>
      <w:r w:rsidR="0071360A">
        <w:t>в</w:t>
      </w:r>
      <w:r>
        <w:t>а</w:t>
      </w:r>
      <w:r w:rsidR="0071360A">
        <w:t>т</w:t>
      </w:r>
      <w:r>
        <w:t>ни</w:t>
      </w:r>
      <w:r w:rsidR="00872771" w:rsidRPr="00F6340E">
        <w:t xml:space="preserve"> </w:t>
      </w:r>
      <w:r>
        <w:t>ма</w:t>
      </w:r>
      <w:r w:rsidR="0071360A">
        <w:t>т</w:t>
      </w:r>
      <w:r w:rsidR="00EE6AA2">
        <w:t>е</w:t>
      </w:r>
      <w:r w:rsidR="0071360A">
        <w:t>р</w:t>
      </w:r>
      <w:r>
        <w:t>ијали</w:t>
      </w:r>
      <w:r w:rsidR="00872771" w:rsidRPr="00F6340E">
        <w:t xml:space="preserve">. </w:t>
      </w:r>
      <w:r>
        <w:t>Наим</w:t>
      </w:r>
      <w:r w:rsidR="00EE6AA2">
        <w:t>е</w:t>
      </w:r>
      <w:r w:rsidR="00693BFB" w:rsidRPr="00F6340E">
        <w:t xml:space="preserve">, </w:t>
      </w:r>
      <w:r w:rsidR="0071360A">
        <w:t>р</w:t>
      </w:r>
      <w:r>
        <w:t>ади</w:t>
      </w:r>
      <w:r w:rsidR="00693BFB" w:rsidRPr="00F6340E">
        <w:t xml:space="preserve"> </w:t>
      </w:r>
      <w:r w:rsidR="0071360A">
        <w:t>с</w:t>
      </w:r>
      <w:r w:rsidR="00EE6AA2">
        <w:t>е</w:t>
      </w:r>
      <w:r w:rsidR="00693BFB" w:rsidRPr="00F6340E">
        <w:t xml:space="preserve"> </w:t>
      </w:r>
      <w:r>
        <w:t>о</w:t>
      </w:r>
      <w:r w:rsidR="00872771" w:rsidRPr="00F6340E">
        <w:t xml:space="preserve"> </w:t>
      </w:r>
      <w:r>
        <w:t>диф</w:t>
      </w:r>
      <w:r w:rsidR="00EE6AA2">
        <w:t>е</w:t>
      </w:r>
      <w:r w:rsidR="0071360A">
        <w:t>р</w:t>
      </w:r>
      <w:r w:rsidR="00EE6AA2">
        <w:t>е</w:t>
      </w:r>
      <w:r>
        <w:t>нцијацији</w:t>
      </w:r>
      <w:r w:rsidR="00872771" w:rsidRPr="00F6340E">
        <w:t xml:space="preserve"> </w:t>
      </w:r>
      <w:r>
        <w:t>циљ</w:t>
      </w:r>
      <w:r w:rsidR="00EE6AA2">
        <w:t>е</w:t>
      </w:r>
      <w:r w:rsidR="0071360A">
        <w:t>в</w:t>
      </w:r>
      <w:r>
        <w:t>а</w:t>
      </w:r>
      <w:r w:rsidR="00872771" w:rsidRPr="00F6340E">
        <w:t xml:space="preserve">, </w:t>
      </w:r>
      <w:r w:rsidR="0071360A">
        <w:t>с</w:t>
      </w:r>
      <w:r>
        <w:t>ад</w:t>
      </w:r>
      <w:r w:rsidR="0071360A">
        <w:t>р</w:t>
      </w:r>
      <w:r w:rsidR="00171F00">
        <w:t>ж</w:t>
      </w:r>
      <w:r>
        <w:t>аја</w:t>
      </w:r>
      <w:r w:rsidR="00872771" w:rsidRPr="00F6340E">
        <w:t xml:space="preserve">, </w:t>
      </w:r>
      <w:r>
        <w:t>м</w:t>
      </w:r>
      <w:r w:rsidR="00EE6AA2">
        <w:t>е</w:t>
      </w:r>
      <w:r w:rsidR="0071360A">
        <w:t>т</w:t>
      </w:r>
      <w:r>
        <w:t>ода</w:t>
      </w:r>
      <w:r w:rsidR="00872771" w:rsidRPr="00F6340E">
        <w:t xml:space="preserve"> </w:t>
      </w:r>
      <w:r>
        <w:t>и</w:t>
      </w:r>
      <w:r w:rsidR="00872771" w:rsidRPr="00F6340E">
        <w:t xml:space="preserve"> </w:t>
      </w:r>
      <w:r w:rsidR="0071360A">
        <w:t>т</w:t>
      </w:r>
      <w:r w:rsidR="00EE6AA2">
        <w:t>е</w:t>
      </w:r>
      <w:r>
        <w:t>м</w:t>
      </w:r>
      <w:r w:rsidR="0071360A">
        <w:t>п</w:t>
      </w:r>
      <w:r>
        <w:t>а</w:t>
      </w:r>
      <w:r w:rsidR="00872771" w:rsidRPr="00F6340E">
        <w:t xml:space="preserve"> </w:t>
      </w:r>
      <w:r w:rsidR="0071360A">
        <w:t>р</w:t>
      </w:r>
      <w:r>
        <w:t>ада</w:t>
      </w:r>
      <w:r w:rsidR="00872771" w:rsidRPr="00F6340E">
        <w:t xml:space="preserve"> </w:t>
      </w:r>
      <w:r w:rsidR="00171F00">
        <w:t>з</w:t>
      </w:r>
      <w:r>
        <w:t>а</w:t>
      </w:r>
      <w:r w:rsidR="00872771" w:rsidRPr="00F6340E">
        <w:t xml:space="preserve"> </w:t>
      </w:r>
      <w:r w:rsidR="0071360A">
        <w:t>п</w:t>
      </w:r>
      <w:r>
        <w:t>ој</w:t>
      </w:r>
      <w:r w:rsidR="00EE6AA2">
        <w:t>е</w:t>
      </w:r>
      <w:r>
        <w:t>дин</w:t>
      </w:r>
      <w:r w:rsidR="0071360A">
        <w:t>у</w:t>
      </w:r>
      <w:r w:rsidR="00872771" w:rsidRPr="00F6340E">
        <w:t xml:space="preserve"> </w:t>
      </w:r>
      <w:r>
        <w:t>г</w:t>
      </w:r>
      <w:r w:rsidR="0071360A">
        <w:t>рупу</w:t>
      </w:r>
      <w:r w:rsidR="00872771" w:rsidRPr="00F6340E">
        <w:t xml:space="preserve"> (</w:t>
      </w:r>
      <w:r w:rsidR="0071360A">
        <w:t>Стр</w:t>
      </w:r>
      <w:r>
        <w:t>о</w:t>
      </w:r>
      <w:r w:rsidR="0071360A">
        <w:t>п</w:t>
      </w:r>
      <w:r>
        <w:t>ник</w:t>
      </w:r>
      <w:r w:rsidR="00872771" w:rsidRPr="00F6340E">
        <w:t xml:space="preserve"> </w:t>
      </w:r>
      <w:r>
        <w:t>К</w:t>
      </w:r>
      <w:r w:rsidR="0071360A">
        <w:t>у</w:t>
      </w:r>
      <w:r>
        <w:t>ни</w:t>
      </w:r>
      <w:r w:rsidR="00CB5414">
        <w:t>ч</w:t>
      </w:r>
      <w:r w:rsidR="00872771" w:rsidRPr="00F6340E">
        <w:t xml:space="preserve">, 2012 </w:t>
      </w:r>
      <w:r w:rsidR="0071360A">
        <w:t>пр</w:t>
      </w:r>
      <w:r w:rsidR="00EE6AA2">
        <w:t>е</w:t>
      </w:r>
      <w:r>
        <w:t>ма</w:t>
      </w:r>
      <w:r w:rsidR="00872771" w:rsidRPr="00F6340E">
        <w:t xml:space="preserve"> </w:t>
      </w:r>
      <w:r>
        <w:t>Малина</w:t>
      </w:r>
      <w:r w:rsidR="00872771" w:rsidRPr="00F6340E">
        <w:t xml:space="preserve">, 2008). </w:t>
      </w:r>
      <w:r>
        <w:t>Циљ</w:t>
      </w:r>
      <w:r w:rsidR="00EE6AA2">
        <w:t>е</w:t>
      </w:r>
      <w:r w:rsidR="0071360A">
        <w:t>в</w:t>
      </w:r>
      <w:r>
        <w:t>и</w:t>
      </w:r>
      <w:r w:rsidR="00872771" w:rsidRPr="00F6340E">
        <w:t xml:space="preserve"> </w:t>
      </w:r>
      <w:r w:rsidR="0071360A">
        <w:t>п</w:t>
      </w:r>
      <w:r>
        <w:t>од</w:t>
      </w:r>
      <w:r w:rsidR="0071360A">
        <w:t>у</w:t>
      </w:r>
      <w:r>
        <w:t>ча</w:t>
      </w:r>
      <w:r w:rsidR="0071360A">
        <w:t>в</w:t>
      </w:r>
      <w:r>
        <w:t>ања</w:t>
      </w:r>
      <w:r w:rsidR="00872771" w:rsidRPr="00F6340E">
        <w:t xml:space="preserve"> </w:t>
      </w:r>
      <w:r w:rsidR="0071360A">
        <w:t>ус</w:t>
      </w:r>
      <w:r>
        <w:t>клађ</w:t>
      </w:r>
      <w:r w:rsidR="00EE6AA2">
        <w:t>е</w:t>
      </w:r>
      <w:r>
        <w:t>ни</w:t>
      </w:r>
      <w:r w:rsidR="00872771" w:rsidRPr="00F6340E">
        <w:t xml:space="preserve"> </w:t>
      </w:r>
      <w:r w:rsidR="0071360A">
        <w:t>су</w:t>
      </w:r>
      <w:r w:rsidR="00872771" w:rsidRPr="00F6340E">
        <w:t xml:space="preserve"> </w:t>
      </w:r>
      <w:r w:rsidR="0071360A">
        <w:t>с</w:t>
      </w:r>
      <w:r>
        <w:t>а</w:t>
      </w:r>
      <w:r w:rsidR="00872771" w:rsidRPr="00F6340E">
        <w:t xml:space="preserve"> </w:t>
      </w:r>
      <w:r>
        <w:t>минималним</w:t>
      </w:r>
      <w:r w:rsidR="00872771" w:rsidRPr="00F6340E">
        <w:t xml:space="preserve"> </w:t>
      </w:r>
      <w:r w:rsidR="0071360A">
        <w:t>ст</w:t>
      </w:r>
      <w:r>
        <w:t>анда</w:t>
      </w:r>
      <w:r w:rsidR="0071360A">
        <w:t>р</w:t>
      </w:r>
      <w:r>
        <w:t>дом</w:t>
      </w:r>
      <w:r w:rsidR="00872771" w:rsidRPr="00F6340E">
        <w:t>/</w:t>
      </w:r>
      <w:r>
        <w:t>но</w:t>
      </w:r>
      <w:r w:rsidR="0071360A">
        <w:t>р</w:t>
      </w:r>
      <w:r>
        <w:t>мом</w:t>
      </w:r>
      <w:r w:rsidR="00872771" w:rsidRPr="00F6340E">
        <w:t xml:space="preserve"> </w:t>
      </w:r>
      <w:r>
        <w:t>кој</w:t>
      </w:r>
      <w:r w:rsidR="0071360A">
        <w:t>у</w:t>
      </w:r>
      <w:r w:rsidR="00872771" w:rsidRPr="00F6340E">
        <w:t xml:space="preserve"> </w:t>
      </w:r>
      <w:r w:rsidR="0071360A">
        <w:t>св</w:t>
      </w:r>
      <w:r>
        <w:t>аки</w:t>
      </w:r>
      <w:r w:rsidR="00872771" w:rsidRPr="00F6340E">
        <w:t xml:space="preserve"> </w:t>
      </w:r>
      <w:r w:rsidR="0071360A">
        <w:t>у</w:t>
      </w:r>
      <w:r>
        <w:t>ч</w:t>
      </w:r>
      <w:r w:rsidR="00EE6AA2">
        <w:t>е</w:t>
      </w:r>
      <w:r>
        <w:t>ник</w:t>
      </w:r>
      <w:r w:rsidR="00872771" w:rsidRPr="00F6340E">
        <w:t xml:space="preserve"> </w:t>
      </w:r>
      <w:r w:rsidR="0071360A">
        <w:t>тр</w:t>
      </w:r>
      <w:r w:rsidR="00EE6AA2">
        <w:t>е</w:t>
      </w:r>
      <w:r>
        <w:t>ба</w:t>
      </w:r>
      <w:r w:rsidR="00872771" w:rsidRPr="00F6340E">
        <w:t xml:space="preserve"> </w:t>
      </w:r>
      <w:r w:rsidR="0071360A">
        <w:t>п</w:t>
      </w:r>
      <w:r>
        <w:t>о</w:t>
      </w:r>
      <w:r w:rsidR="0071360A">
        <w:t>ст</w:t>
      </w:r>
      <w:r>
        <w:t>ићи</w:t>
      </w:r>
      <w:r w:rsidR="001D6917" w:rsidRPr="00F6340E">
        <w:t>,</w:t>
      </w:r>
      <w:r w:rsidR="00872771" w:rsidRPr="00F6340E">
        <w:t xml:space="preserve"> </w:t>
      </w:r>
      <w:r>
        <w:t>а</w:t>
      </w:r>
      <w:r w:rsidR="00872771" w:rsidRPr="00F6340E">
        <w:t xml:space="preserve"> </w:t>
      </w:r>
      <w:r w:rsidR="0071360A">
        <w:t>с</w:t>
      </w:r>
      <w:r>
        <w:t>ад</w:t>
      </w:r>
      <w:r w:rsidR="0071360A">
        <w:t>р</w:t>
      </w:r>
      <w:r w:rsidR="00171F00">
        <w:t>ж</w:t>
      </w:r>
      <w:r>
        <w:t>ај</w:t>
      </w:r>
      <w:r w:rsidR="00872771" w:rsidRPr="00F6340E">
        <w:t xml:space="preserve"> </w:t>
      </w:r>
      <w:r>
        <w:t>и</w:t>
      </w:r>
      <w:r w:rsidR="00872771" w:rsidRPr="00F6340E">
        <w:t xml:space="preserve"> </w:t>
      </w:r>
      <w:r>
        <w:t>ма</w:t>
      </w:r>
      <w:r w:rsidR="0071360A">
        <w:t>т</w:t>
      </w:r>
      <w:r w:rsidR="00EE6AA2">
        <w:t>е</w:t>
      </w:r>
      <w:r w:rsidR="0071360A">
        <w:t>р</w:t>
      </w:r>
      <w:r>
        <w:t>ијали</w:t>
      </w:r>
      <w:r w:rsidR="00872771" w:rsidRPr="00F6340E">
        <w:t xml:space="preserve"> </w:t>
      </w:r>
      <w:r>
        <w:t>који</w:t>
      </w:r>
      <w:r w:rsidR="00872771" w:rsidRPr="00F6340E">
        <w:t xml:space="preserve"> </w:t>
      </w:r>
      <w:r w:rsidR="0071360A">
        <w:t>с</w:t>
      </w:r>
      <w:r w:rsidR="00EE6AA2">
        <w:t>е</w:t>
      </w:r>
      <w:r w:rsidR="00872771" w:rsidRPr="00F6340E">
        <w:t xml:space="preserve"> </w:t>
      </w:r>
      <w:r>
        <w:t>ди</w:t>
      </w:r>
      <w:r w:rsidR="0071360A">
        <w:t>стр</w:t>
      </w:r>
      <w:r>
        <w:t>иб</w:t>
      </w:r>
      <w:r w:rsidR="0071360A">
        <w:t>у</w:t>
      </w:r>
      <w:r>
        <w:t>и</w:t>
      </w:r>
      <w:r w:rsidR="0071360A">
        <w:t>шу</w:t>
      </w:r>
      <w:r w:rsidR="00872771" w:rsidRPr="00F6340E">
        <w:t xml:space="preserve"> </w:t>
      </w:r>
      <w:r w:rsidR="0071360A">
        <w:t>у</w:t>
      </w:r>
      <w:r>
        <w:t>ч</w:t>
      </w:r>
      <w:r w:rsidR="00EE6AA2">
        <w:t>е</w:t>
      </w:r>
      <w:r>
        <w:t>ницима</w:t>
      </w:r>
      <w:r w:rsidR="004E3DDF" w:rsidRPr="00F6340E">
        <w:t>/</w:t>
      </w:r>
      <w:r w:rsidR="0071360A">
        <w:t>сту</w:t>
      </w:r>
      <w:r>
        <w:t>д</w:t>
      </w:r>
      <w:r w:rsidR="00EE6AA2">
        <w:t>е</w:t>
      </w:r>
      <w:r>
        <w:t>н</w:t>
      </w:r>
      <w:r w:rsidR="0071360A">
        <w:t>т</w:t>
      </w:r>
      <w:r>
        <w:t>има</w:t>
      </w:r>
      <w:r w:rsidR="00872771" w:rsidRPr="00F6340E">
        <w:t xml:space="preserve"> </w:t>
      </w:r>
      <w:r w:rsidR="0071360A">
        <w:t>су</w:t>
      </w:r>
      <w:r w:rsidR="00872771" w:rsidRPr="00F6340E">
        <w:t xml:space="preserve"> </w:t>
      </w:r>
      <w:r w:rsidR="0071360A">
        <w:t>р</w:t>
      </w:r>
      <w:r>
        <w:t>а</w:t>
      </w:r>
      <w:r w:rsidR="00171F00">
        <w:t>з</w:t>
      </w:r>
      <w:r>
        <w:t>но</w:t>
      </w:r>
      <w:r w:rsidR="0071360A">
        <w:t>врс</w:t>
      </w:r>
      <w:r>
        <w:t>ни</w:t>
      </w:r>
      <w:r w:rsidR="00872771" w:rsidRPr="00F6340E">
        <w:t xml:space="preserve"> </w:t>
      </w:r>
      <w:r>
        <w:t>и</w:t>
      </w:r>
      <w:r w:rsidR="00872771" w:rsidRPr="00F6340E">
        <w:t xml:space="preserve"> </w:t>
      </w:r>
      <w:r>
        <w:t>одго</w:t>
      </w:r>
      <w:r w:rsidR="0071360A">
        <w:t>в</w:t>
      </w:r>
      <w:r>
        <w:t>а</w:t>
      </w:r>
      <w:r w:rsidR="0071360A">
        <w:t>р</w:t>
      </w:r>
      <w:r>
        <w:t>ај</w:t>
      </w:r>
      <w:r w:rsidR="0071360A">
        <w:t>у</w:t>
      </w:r>
      <w:r w:rsidR="00872771" w:rsidRPr="00F6340E">
        <w:t xml:space="preserve"> </w:t>
      </w:r>
      <w:r w:rsidR="0071360A">
        <w:t>сп</w:t>
      </w:r>
      <w:r w:rsidR="00EE6AA2">
        <w:t>е</w:t>
      </w:r>
      <w:r>
        <w:t>цифично</w:t>
      </w:r>
      <w:r w:rsidR="0071360A">
        <w:t>ст</w:t>
      </w:r>
      <w:r>
        <w:t>и</w:t>
      </w:r>
      <w:r w:rsidR="00872771" w:rsidRPr="00F6340E">
        <w:t xml:space="preserve"> </w:t>
      </w:r>
      <w:r>
        <w:t>г</w:t>
      </w:r>
      <w:r w:rsidR="0071360A">
        <w:t>руп</w:t>
      </w:r>
      <w:r w:rsidR="00EE6AA2">
        <w:t>е</w:t>
      </w:r>
      <w:r w:rsidR="00872771" w:rsidRPr="00F6340E">
        <w:t xml:space="preserve">. </w:t>
      </w:r>
      <w:r>
        <w:t>И</w:t>
      </w:r>
      <w:r w:rsidR="0071360A">
        <w:t>п</w:t>
      </w:r>
      <w:r>
        <w:t>ак</w:t>
      </w:r>
      <w:r w:rsidR="00872771" w:rsidRPr="00F6340E">
        <w:t xml:space="preserve">, </w:t>
      </w:r>
      <w:r w:rsidR="0071360A">
        <w:t>у</w:t>
      </w:r>
      <w:r>
        <w:t>оч</w:t>
      </w:r>
      <w:r w:rsidR="00EE6AA2">
        <w:t>е</w:t>
      </w:r>
      <w:r>
        <w:t>ни</w:t>
      </w:r>
      <w:r w:rsidR="00872771" w:rsidRPr="00F6340E">
        <w:t xml:space="preserve"> </w:t>
      </w:r>
      <w:r>
        <w:t>н</w:t>
      </w:r>
      <w:r w:rsidR="00EE6AA2">
        <w:t>е</w:t>
      </w:r>
      <w:r>
        <w:t>до</w:t>
      </w:r>
      <w:r w:rsidR="0071360A">
        <w:t>ст</w:t>
      </w:r>
      <w:r>
        <w:t>а</w:t>
      </w:r>
      <w:r w:rsidR="0071360A">
        <w:t>т</w:t>
      </w:r>
      <w:r>
        <w:t>ак</w:t>
      </w:r>
      <w:r w:rsidR="00872771" w:rsidRPr="00F6340E">
        <w:t xml:space="preserve"> </w:t>
      </w:r>
      <w:r>
        <w:t>о</w:t>
      </w:r>
      <w:r w:rsidR="0071360A">
        <w:t>в</w:t>
      </w:r>
      <w:r>
        <w:t>ог</w:t>
      </w:r>
      <w:r w:rsidR="00872771" w:rsidRPr="00F6340E">
        <w:t xml:space="preserve"> </w:t>
      </w:r>
      <w:r>
        <w:t>мод</w:t>
      </w:r>
      <w:r w:rsidR="00EE6AA2">
        <w:t>е</w:t>
      </w:r>
      <w:r>
        <w:t>ла</w:t>
      </w:r>
      <w:r w:rsidR="00872771" w:rsidRPr="00F6340E">
        <w:t xml:space="preserve"> </w:t>
      </w:r>
      <w:r>
        <w:t>ј</w:t>
      </w:r>
      <w:r w:rsidR="00EE6AA2">
        <w:t>е</w:t>
      </w:r>
      <w:r w:rsidR="00872771" w:rsidRPr="00F6340E">
        <w:t xml:space="preserve"> </w:t>
      </w:r>
      <w:r>
        <w:t>да</w:t>
      </w:r>
      <w:r w:rsidR="00872771" w:rsidRPr="00F6340E">
        <w:t xml:space="preserve">, </w:t>
      </w:r>
      <w:r w:rsidR="00171F00">
        <w:t>з</w:t>
      </w:r>
      <w:r>
        <w:t>бог</w:t>
      </w:r>
      <w:r w:rsidR="00872771" w:rsidRPr="00F6340E">
        <w:t xml:space="preserve"> </w:t>
      </w:r>
      <w:r>
        <w:t>и</w:t>
      </w:r>
      <w:r w:rsidR="00171F00">
        <w:t>з</w:t>
      </w:r>
      <w:r>
        <w:t>о</w:t>
      </w:r>
      <w:r w:rsidR="0071360A">
        <w:t>ст</w:t>
      </w:r>
      <w:r>
        <w:t>анка</w:t>
      </w:r>
      <w:r w:rsidR="00872771" w:rsidRPr="00F6340E">
        <w:t xml:space="preserve"> </w:t>
      </w:r>
      <w:r>
        <w:t>инди</w:t>
      </w:r>
      <w:r w:rsidR="0071360A">
        <w:t>в</w:t>
      </w:r>
      <w:r>
        <w:t>ид</w:t>
      </w:r>
      <w:r w:rsidR="0071360A">
        <w:t>у</w:t>
      </w:r>
      <w:r>
        <w:t>али</w:t>
      </w:r>
      <w:r w:rsidR="00171F00">
        <w:t>з</w:t>
      </w:r>
      <w:r>
        <w:t>о</w:t>
      </w:r>
      <w:r w:rsidR="0071360A">
        <w:t>в</w:t>
      </w:r>
      <w:r>
        <w:t>аног</w:t>
      </w:r>
      <w:r w:rsidR="00872771" w:rsidRPr="00F6340E">
        <w:t xml:space="preserve"> </w:t>
      </w:r>
      <w:r w:rsidR="0071360A">
        <w:t>пр</w:t>
      </w:r>
      <w:r>
        <w:t>и</w:t>
      </w:r>
      <w:r w:rsidR="0071360A">
        <w:t>ступ</w:t>
      </w:r>
      <w:r>
        <w:t>а</w:t>
      </w:r>
      <w:r w:rsidR="00872771" w:rsidRPr="00F6340E">
        <w:t xml:space="preserve">, </w:t>
      </w:r>
      <w:r w:rsidR="0071360A">
        <w:t>п</w:t>
      </w:r>
      <w:r>
        <w:t>ој</w:t>
      </w:r>
      <w:r w:rsidR="00EE6AA2">
        <w:t>е</w:t>
      </w:r>
      <w:r>
        <w:t>дини</w:t>
      </w:r>
      <w:r w:rsidR="00872771" w:rsidRPr="00F6340E">
        <w:t xml:space="preserve"> </w:t>
      </w:r>
      <w:r w:rsidR="0071360A">
        <w:t>у</w:t>
      </w:r>
      <w:r>
        <w:t>ч</w:t>
      </w:r>
      <w:r w:rsidR="00EE6AA2">
        <w:t>е</w:t>
      </w:r>
      <w:r>
        <w:t>ници</w:t>
      </w:r>
      <w:r w:rsidR="004E3DDF" w:rsidRPr="00F6340E">
        <w:t>/</w:t>
      </w:r>
      <w:r w:rsidR="0071360A">
        <w:t>сту</w:t>
      </w:r>
      <w:r>
        <w:t>д</w:t>
      </w:r>
      <w:r w:rsidR="00EE6AA2">
        <w:t>е</w:t>
      </w:r>
      <w:r>
        <w:t>н</w:t>
      </w:r>
      <w:r w:rsidR="0071360A">
        <w:t>т</w:t>
      </w:r>
      <w:r>
        <w:t>и</w:t>
      </w:r>
      <w:r w:rsidR="00872771" w:rsidRPr="00F6340E">
        <w:t xml:space="preserve"> </w:t>
      </w:r>
      <w:r>
        <w:t>н</w:t>
      </w:r>
      <w:r w:rsidR="00EE6AA2">
        <w:t>е</w:t>
      </w:r>
      <w:r w:rsidR="00872771" w:rsidRPr="00F6340E">
        <w:t xml:space="preserve"> </w:t>
      </w:r>
      <w:r>
        <w:t>о</w:t>
      </w:r>
      <w:r w:rsidR="0071360A">
        <w:t>ств</w:t>
      </w:r>
      <w:r>
        <w:t>а</w:t>
      </w:r>
      <w:r w:rsidR="0071360A">
        <w:t>ру</w:t>
      </w:r>
      <w:r>
        <w:t>ј</w:t>
      </w:r>
      <w:r w:rsidR="0071360A">
        <w:t>у</w:t>
      </w:r>
      <w:r w:rsidR="00872771" w:rsidRPr="00F6340E">
        <w:t xml:space="preserve"> </w:t>
      </w:r>
      <w:r w:rsidR="0071360A">
        <w:t>св</w:t>
      </w:r>
      <w:r>
        <w:t>ој</w:t>
      </w:r>
      <w:r w:rsidR="00EE6AA2">
        <w:t>е</w:t>
      </w:r>
      <w:r w:rsidR="00872771" w:rsidRPr="00F6340E">
        <w:t xml:space="preserve"> </w:t>
      </w:r>
      <w:r w:rsidR="0071360A">
        <w:t>пу</w:t>
      </w:r>
      <w:r>
        <w:t>н</w:t>
      </w:r>
      <w:r w:rsidR="00EE6AA2">
        <w:t>е</w:t>
      </w:r>
      <w:r w:rsidR="00872771" w:rsidRPr="00F6340E">
        <w:t xml:space="preserve"> </w:t>
      </w:r>
      <w:r w:rsidR="0071360A">
        <w:t>п</w:t>
      </w:r>
      <w:r>
        <w:t>о</w:t>
      </w:r>
      <w:r w:rsidR="0071360A">
        <w:t>т</w:t>
      </w:r>
      <w:r w:rsidR="00EE6AA2">
        <w:t>е</w:t>
      </w:r>
      <w:r>
        <w:t>нцијал</w:t>
      </w:r>
      <w:r w:rsidR="00EE6AA2">
        <w:t>е</w:t>
      </w:r>
      <w:r w:rsidR="00872771" w:rsidRPr="00F6340E">
        <w:t xml:space="preserve">. </w:t>
      </w:r>
      <w:r w:rsidR="00171F00">
        <w:t>З</w:t>
      </w:r>
      <w:r>
        <w:t>а</w:t>
      </w:r>
      <w:r w:rsidR="0071360A">
        <w:t>т</w:t>
      </w:r>
      <w:r>
        <w:t>о</w:t>
      </w:r>
      <w:r w:rsidR="00872771" w:rsidRPr="00F6340E">
        <w:t xml:space="preserve"> </w:t>
      </w:r>
      <w:r>
        <w:t>ј</w:t>
      </w:r>
      <w:r w:rsidR="00EE6AA2">
        <w:t>е</w:t>
      </w:r>
      <w:r w:rsidR="00872771" w:rsidRPr="00F6340E">
        <w:t xml:space="preserve"> </w:t>
      </w:r>
      <w:r w:rsidR="0071360A">
        <w:t>в</w:t>
      </w:r>
      <w:r>
        <w:t>а</w:t>
      </w:r>
      <w:r w:rsidR="00171F00">
        <w:t>ж</w:t>
      </w:r>
      <w:r>
        <w:t>на</w:t>
      </w:r>
      <w:r w:rsidR="00872771" w:rsidRPr="00F6340E">
        <w:t xml:space="preserve"> </w:t>
      </w:r>
      <w:r>
        <w:t>до</w:t>
      </w:r>
      <w:r w:rsidR="0071360A">
        <w:t>пу</w:t>
      </w:r>
      <w:r>
        <w:t>на</w:t>
      </w:r>
      <w:r w:rsidR="00872771" w:rsidRPr="00F6340E">
        <w:t xml:space="preserve"> </w:t>
      </w:r>
      <w:r>
        <w:t>мод</w:t>
      </w:r>
      <w:r w:rsidR="00EE6AA2">
        <w:t>е</w:t>
      </w:r>
      <w:r>
        <w:t>лом</w:t>
      </w:r>
      <w:r w:rsidR="00872771" w:rsidRPr="00F6340E">
        <w:t xml:space="preserve"> </w:t>
      </w:r>
      <w:r>
        <w:t>инди</w:t>
      </w:r>
      <w:r w:rsidR="0071360A">
        <w:t>в</w:t>
      </w:r>
      <w:r>
        <w:t>ид</w:t>
      </w:r>
      <w:r w:rsidR="0071360A">
        <w:t>у</w:t>
      </w:r>
      <w:r>
        <w:t>али</w:t>
      </w:r>
      <w:r w:rsidR="00171F00">
        <w:t>з</w:t>
      </w:r>
      <w:r>
        <w:t>ациј</w:t>
      </w:r>
      <w:r w:rsidR="00EE6AA2">
        <w:t>е</w:t>
      </w:r>
      <w:r w:rsidR="00872771" w:rsidRPr="00F6340E">
        <w:t xml:space="preserve">. </w:t>
      </w:r>
    </w:p>
    <w:p w14:paraId="47477EB7" w14:textId="40F10CC9" w:rsidR="00872771" w:rsidRPr="00F6340E" w:rsidRDefault="00A56E08" w:rsidP="00210EE1">
      <w:pPr>
        <w:pStyle w:val="Body"/>
      </w:pPr>
      <w:r>
        <w:rPr>
          <w:i/>
        </w:rPr>
        <w:t>Инди</w:t>
      </w:r>
      <w:r w:rsidR="0071360A">
        <w:rPr>
          <w:i/>
        </w:rPr>
        <w:t>в</w:t>
      </w:r>
      <w:r>
        <w:rPr>
          <w:i/>
        </w:rPr>
        <w:t>ид</w:t>
      </w:r>
      <w:r w:rsidR="0071360A">
        <w:rPr>
          <w:i/>
        </w:rPr>
        <w:t>у</w:t>
      </w:r>
      <w:r>
        <w:rPr>
          <w:i/>
        </w:rPr>
        <w:t>али</w:t>
      </w:r>
      <w:r w:rsidR="00171F00">
        <w:rPr>
          <w:i/>
        </w:rPr>
        <w:t>з</w:t>
      </w:r>
      <w:r>
        <w:rPr>
          <w:i/>
        </w:rPr>
        <w:t>ација</w:t>
      </w:r>
      <w:r w:rsidR="00872771" w:rsidRPr="00F6340E">
        <w:t xml:space="preserve"> </w:t>
      </w:r>
      <w:r>
        <w:t>као</w:t>
      </w:r>
      <w:r w:rsidR="00872771" w:rsidRPr="00F6340E">
        <w:t xml:space="preserve"> </w:t>
      </w:r>
      <w:r>
        <w:t>мод</w:t>
      </w:r>
      <w:r w:rsidR="00EE6AA2">
        <w:t>е</w:t>
      </w:r>
      <w:r>
        <w:t>л</w:t>
      </w:r>
      <w:r w:rsidR="00872771" w:rsidRPr="00F6340E">
        <w:t xml:space="preserve"> </w:t>
      </w:r>
      <w:r w:rsidR="0071360A">
        <w:t>п</w:t>
      </w:r>
      <w:r>
        <w:t>од</w:t>
      </w:r>
      <w:r w:rsidR="0071360A">
        <w:t>у</w:t>
      </w:r>
      <w:r>
        <w:t>ча</w:t>
      </w:r>
      <w:r w:rsidR="0071360A">
        <w:t>в</w:t>
      </w:r>
      <w:r>
        <w:t>ања</w:t>
      </w:r>
      <w:r w:rsidR="00872771" w:rsidRPr="00F6340E">
        <w:t xml:space="preserve"> </w:t>
      </w:r>
      <w:r w:rsidR="0071360A">
        <w:t>п</w:t>
      </w:r>
      <w:r>
        <w:t>о</w:t>
      </w:r>
      <w:r w:rsidR="0071360A">
        <w:t>т</w:t>
      </w:r>
      <w:r>
        <w:t>ич</w:t>
      </w:r>
      <w:r w:rsidR="00EE6AA2">
        <w:t>е</w:t>
      </w:r>
      <w:r w:rsidR="00872771" w:rsidRPr="00F6340E">
        <w:t xml:space="preserve"> </w:t>
      </w:r>
      <w:r>
        <w:t>на</w:t>
      </w:r>
      <w:r w:rsidR="0071360A">
        <w:t>ст</w:t>
      </w:r>
      <w:r>
        <w:t>а</w:t>
      </w:r>
      <w:r w:rsidR="0071360A">
        <w:t>в</w:t>
      </w:r>
      <w:r>
        <w:t>ника</w:t>
      </w:r>
      <w:r w:rsidR="00872771" w:rsidRPr="00F6340E">
        <w:t xml:space="preserve"> </w:t>
      </w:r>
      <w:r>
        <w:t>да</w:t>
      </w:r>
      <w:r w:rsidR="00872771" w:rsidRPr="00F6340E">
        <w:t xml:space="preserve"> </w:t>
      </w:r>
      <w:r w:rsidR="0071360A">
        <w:t>у</w:t>
      </w:r>
      <w:r>
        <w:t>оча</w:t>
      </w:r>
      <w:r w:rsidR="0071360A">
        <w:t>в</w:t>
      </w:r>
      <w:r>
        <w:t>а</w:t>
      </w:r>
      <w:r w:rsidR="00872771" w:rsidRPr="00F6340E">
        <w:t xml:space="preserve"> </w:t>
      </w:r>
      <w:r>
        <w:t>и</w:t>
      </w:r>
      <w:r w:rsidR="00872771" w:rsidRPr="00F6340E">
        <w:t xml:space="preserve"> </w:t>
      </w:r>
      <w:r w:rsidR="0071360A">
        <w:t>ув</w:t>
      </w:r>
      <w:r>
        <w:t>а</w:t>
      </w:r>
      <w:r w:rsidR="00171F00">
        <w:t>ж</w:t>
      </w:r>
      <w:r>
        <w:t>а</w:t>
      </w:r>
      <w:r w:rsidR="0071360A">
        <w:t>в</w:t>
      </w:r>
      <w:r>
        <w:t>а</w:t>
      </w:r>
      <w:r w:rsidR="00872771" w:rsidRPr="00F6340E">
        <w:t xml:space="preserve"> </w:t>
      </w:r>
      <w:r>
        <w:t>личн</w:t>
      </w:r>
      <w:r w:rsidR="00EE6AA2">
        <w:t>е</w:t>
      </w:r>
      <w:r w:rsidR="00872771" w:rsidRPr="00F6340E">
        <w:t xml:space="preserve"> </w:t>
      </w:r>
      <w:r w:rsidR="0071360A">
        <w:t>п</w:t>
      </w:r>
      <w:r>
        <w:t>о</w:t>
      </w:r>
      <w:r w:rsidR="0071360A">
        <w:t>т</w:t>
      </w:r>
      <w:r w:rsidR="00EE6AA2">
        <w:t>е</w:t>
      </w:r>
      <w:r>
        <w:t>нцијал</w:t>
      </w:r>
      <w:r w:rsidR="00EE6AA2">
        <w:t>е</w:t>
      </w:r>
      <w:r w:rsidR="00872771" w:rsidRPr="00F6340E">
        <w:t xml:space="preserve"> </w:t>
      </w:r>
      <w:r w:rsidR="0071360A">
        <w:t>у</w:t>
      </w:r>
      <w:r>
        <w:t>ч</w:t>
      </w:r>
      <w:r w:rsidR="00EE6AA2">
        <w:t>е</w:t>
      </w:r>
      <w:r>
        <w:t>ника</w:t>
      </w:r>
      <w:r w:rsidR="004E3DDF" w:rsidRPr="00F6340E">
        <w:t>/</w:t>
      </w:r>
      <w:r w:rsidR="0071360A">
        <w:t>сту</w:t>
      </w:r>
      <w:r>
        <w:t>д</w:t>
      </w:r>
      <w:r w:rsidR="00EE6AA2">
        <w:t>е</w:t>
      </w:r>
      <w:r>
        <w:t>н</w:t>
      </w:r>
      <w:r w:rsidR="0071360A">
        <w:t>т</w:t>
      </w:r>
      <w:r>
        <w:t>а</w:t>
      </w:r>
      <w:r w:rsidR="00872771" w:rsidRPr="00F6340E">
        <w:t xml:space="preserve">, </w:t>
      </w:r>
      <w:r>
        <w:t>и</w:t>
      </w:r>
      <w:r w:rsidR="00171F00">
        <w:t>з</w:t>
      </w:r>
      <w:r>
        <w:t>бо</w:t>
      </w:r>
      <w:r w:rsidR="0071360A">
        <w:t>р</w:t>
      </w:r>
      <w:r w:rsidR="00EE6AA2">
        <w:t>е</w:t>
      </w:r>
      <w:r w:rsidR="00872771" w:rsidRPr="00F6340E">
        <w:t xml:space="preserve"> </w:t>
      </w:r>
      <w:r w:rsidR="00171F00">
        <w:t>з</w:t>
      </w:r>
      <w:r>
        <w:t>ада</w:t>
      </w:r>
      <w:r w:rsidR="0071360A">
        <w:t>т</w:t>
      </w:r>
      <w:r>
        <w:t>к</w:t>
      </w:r>
      <w:r w:rsidR="00EE6AA2">
        <w:t>е</w:t>
      </w:r>
      <w:r w:rsidR="00872771" w:rsidRPr="00F6340E">
        <w:t xml:space="preserve"> </w:t>
      </w:r>
      <w:r w:rsidR="0071360A">
        <w:t>пр</w:t>
      </w:r>
      <w:r w:rsidR="00EE6AA2">
        <w:t>е</w:t>
      </w:r>
      <w:r>
        <w:t>ма</w:t>
      </w:r>
      <w:r w:rsidR="00872771" w:rsidRPr="00F6340E">
        <w:t xml:space="preserve"> </w:t>
      </w:r>
      <w:r>
        <w:t>когни</w:t>
      </w:r>
      <w:r w:rsidR="0071360A">
        <w:t>т</w:t>
      </w:r>
      <w:r>
        <w:t>и</w:t>
      </w:r>
      <w:r w:rsidR="0071360A">
        <w:t>в</w:t>
      </w:r>
      <w:r>
        <w:t>ној</w:t>
      </w:r>
      <w:r w:rsidR="00872771" w:rsidRPr="00F6340E">
        <w:t xml:space="preserve"> </w:t>
      </w:r>
      <w:r w:rsidR="0071360A">
        <w:t>пр</w:t>
      </w:r>
      <w:r>
        <w:t>оцј</w:t>
      </w:r>
      <w:r w:rsidR="00EE6AA2">
        <w:t>е</w:t>
      </w:r>
      <w:r>
        <w:t>ни</w:t>
      </w:r>
      <w:r w:rsidR="00872771" w:rsidRPr="00F6340E">
        <w:t xml:space="preserve"> </w:t>
      </w:r>
      <w:r>
        <w:t>и</w:t>
      </w:r>
      <w:r w:rsidR="00872771" w:rsidRPr="00F6340E">
        <w:t xml:space="preserve"> </w:t>
      </w:r>
      <w:r w:rsidR="0071360A">
        <w:t>сп</w:t>
      </w:r>
      <w:r>
        <w:t>о</w:t>
      </w:r>
      <w:r w:rsidR="0071360A">
        <w:t>с</w:t>
      </w:r>
      <w:r>
        <w:t>обно</w:t>
      </w:r>
      <w:r w:rsidR="0071360A">
        <w:t>ст</w:t>
      </w:r>
      <w:r>
        <w:t>има</w:t>
      </w:r>
      <w:r w:rsidR="00872771" w:rsidRPr="00F6340E">
        <w:t xml:space="preserve"> </w:t>
      </w:r>
      <w:r w:rsidR="0071360A">
        <w:t>у</w:t>
      </w:r>
      <w:r w:rsidR="00CB5414">
        <w:t>ч</w:t>
      </w:r>
      <w:r w:rsidR="00EE6AA2">
        <w:t>е</w:t>
      </w:r>
      <w:r>
        <w:t>ника</w:t>
      </w:r>
      <w:r w:rsidR="004E3DDF" w:rsidRPr="00F6340E">
        <w:t>/</w:t>
      </w:r>
      <w:r w:rsidR="0071360A">
        <w:t>сту</w:t>
      </w:r>
      <w:r>
        <w:t>д</w:t>
      </w:r>
      <w:r w:rsidR="00EE6AA2">
        <w:t>е</w:t>
      </w:r>
      <w:r>
        <w:t>н</w:t>
      </w:r>
      <w:r w:rsidR="0071360A">
        <w:t>т</w:t>
      </w:r>
      <w:r>
        <w:t>а</w:t>
      </w:r>
      <w:r w:rsidR="00872771" w:rsidRPr="00F6340E">
        <w:t xml:space="preserve">, </w:t>
      </w:r>
      <w:r>
        <w:t>и</w:t>
      </w:r>
      <w:r w:rsidR="00171F00">
        <w:t>з</w:t>
      </w:r>
      <w:r>
        <w:t>аби</w:t>
      </w:r>
      <w:r w:rsidR="0071360A">
        <w:t>р</w:t>
      </w:r>
      <w:r w:rsidR="00EE6AA2">
        <w:t>е</w:t>
      </w:r>
      <w:r w:rsidR="00872771" w:rsidRPr="00F6340E">
        <w:t xml:space="preserve"> </w:t>
      </w:r>
      <w:r w:rsidR="0071360A">
        <w:t>с</w:t>
      </w:r>
      <w:r>
        <w:t>ад</w:t>
      </w:r>
      <w:r w:rsidR="0071360A">
        <w:t>р</w:t>
      </w:r>
      <w:r w:rsidR="00171F00">
        <w:t>ж</w:t>
      </w:r>
      <w:r>
        <w:t>ај</w:t>
      </w:r>
      <w:r w:rsidR="00EE6AA2">
        <w:t>е</w:t>
      </w:r>
      <w:r w:rsidR="00872771" w:rsidRPr="00F6340E">
        <w:t xml:space="preserve"> </w:t>
      </w:r>
      <w:r>
        <w:t>који</w:t>
      </w:r>
      <w:r w:rsidR="00872771" w:rsidRPr="00F6340E">
        <w:t xml:space="preserve"> </w:t>
      </w:r>
      <w:r w:rsidR="0071360A">
        <w:t>су</w:t>
      </w:r>
      <w:r w:rsidR="00872771" w:rsidRPr="00F6340E">
        <w:t xml:space="preserve"> </w:t>
      </w:r>
      <w:r w:rsidR="0071360A">
        <w:t>ср</w:t>
      </w:r>
      <w:r w:rsidR="00EE6AA2">
        <w:t>е</w:t>
      </w:r>
      <w:r>
        <w:t>д</w:t>
      </w:r>
      <w:r w:rsidR="0071360A">
        <w:t>ств</w:t>
      </w:r>
      <w:r>
        <w:t>о</w:t>
      </w:r>
      <w:r w:rsidR="00872771" w:rsidRPr="00F6340E">
        <w:t xml:space="preserve"> </w:t>
      </w:r>
      <w:r w:rsidR="00171F00">
        <w:t>з</w:t>
      </w:r>
      <w:r>
        <w:t>а</w:t>
      </w:r>
      <w:r w:rsidR="00872771" w:rsidRPr="00F6340E">
        <w:t xml:space="preserve"> </w:t>
      </w:r>
      <w:r w:rsidR="0071360A">
        <w:t>усп</w:t>
      </w:r>
      <w:r>
        <w:t>ј</w:t>
      </w:r>
      <w:r w:rsidR="00EE6AA2">
        <w:t>е</w:t>
      </w:r>
      <w:r w:rsidR="0071360A">
        <w:t>ш</w:t>
      </w:r>
      <w:r>
        <w:t>но</w:t>
      </w:r>
      <w:r w:rsidR="00872771" w:rsidRPr="00F6340E">
        <w:t xml:space="preserve"> </w:t>
      </w:r>
      <w:r w:rsidR="0071360A">
        <w:t>п</w:t>
      </w:r>
      <w:r>
        <w:t>о</w:t>
      </w:r>
      <w:r w:rsidR="0071360A">
        <w:t>ст</w:t>
      </w:r>
      <w:r>
        <w:t>и</w:t>
      </w:r>
      <w:r w:rsidR="00171F00">
        <w:t>з</w:t>
      </w:r>
      <w:r>
        <w:t>ањ</w:t>
      </w:r>
      <w:r w:rsidR="00EE6AA2">
        <w:t>е</w:t>
      </w:r>
      <w:r w:rsidR="00872771" w:rsidRPr="00F6340E">
        <w:t xml:space="preserve"> </w:t>
      </w:r>
      <w:r>
        <w:t>об</w:t>
      </w:r>
      <w:r w:rsidR="0071360A">
        <w:t>р</w:t>
      </w:r>
      <w:r>
        <w:t>а</w:t>
      </w:r>
      <w:r w:rsidR="00171F00">
        <w:t>з</w:t>
      </w:r>
      <w:r>
        <w:t>о</w:t>
      </w:r>
      <w:r w:rsidR="0071360A">
        <w:t>в</w:t>
      </w:r>
      <w:r>
        <w:t>них</w:t>
      </w:r>
      <w:r w:rsidR="00872771" w:rsidRPr="00F6340E">
        <w:t xml:space="preserve"> </w:t>
      </w:r>
      <w:r>
        <w:t>и</w:t>
      </w:r>
      <w:r w:rsidR="0071360A">
        <w:t>с</w:t>
      </w:r>
      <w:r>
        <w:t>хода</w:t>
      </w:r>
      <w:r w:rsidR="00872771" w:rsidRPr="00F6340E">
        <w:t xml:space="preserve">, </w:t>
      </w:r>
      <w:r w:rsidR="0071360A">
        <w:t>п</w:t>
      </w:r>
      <w:r>
        <w:t>о</w:t>
      </w:r>
      <w:r w:rsidR="00171F00">
        <w:t>з</w:t>
      </w:r>
      <w:r>
        <w:t>и</w:t>
      </w:r>
      <w:r w:rsidR="0071360A">
        <w:t>т</w:t>
      </w:r>
      <w:r>
        <w:t>и</w:t>
      </w:r>
      <w:r w:rsidR="0071360A">
        <w:t>в</w:t>
      </w:r>
      <w:r>
        <w:t>но</w:t>
      </w:r>
      <w:r w:rsidR="00872771" w:rsidRPr="00F6340E">
        <w:t xml:space="preserve"> </w:t>
      </w:r>
      <w:r w:rsidR="0071360A">
        <w:t>ус</w:t>
      </w:r>
      <w:r>
        <w:t>мј</w:t>
      </w:r>
      <w:r w:rsidR="00EE6AA2">
        <w:t>е</w:t>
      </w:r>
      <w:r w:rsidR="0071360A">
        <w:t>р</w:t>
      </w:r>
      <w:r>
        <w:t>а</w:t>
      </w:r>
      <w:r w:rsidR="0071360A">
        <w:t>в</w:t>
      </w:r>
      <w:r>
        <w:t>а</w:t>
      </w:r>
      <w:r w:rsidR="00872771" w:rsidRPr="00F6340E">
        <w:t xml:space="preserve"> </w:t>
      </w:r>
      <w:r>
        <w:t>о</w:t>
      </w:r>
      <w:r w:rsidR="00CB5414">
        <w:t>ч</w:t>
      </w:r>
      <w:r w:rsidR="00EE6AA2">
        <w:t>е</w:t>
      </w:r>
      <w:r>
        <w:t>ки</w:t>
      </w:r>
      <w:r w:rsidR="0071360A">
        <w:t>в</w:t>
      </w:r>
      <w:r>
        <w:t>ања</w:t>
      </w:r>
      <w:r w:rsidR="00872771" w:rsidRPr="00F6340E">
        <w:t xml:space="preserve">, </w:t>
      </w:r>
      <w:r>
        <w:t>ч</w:t>
      </w:r>
      <w:r w:rsidR="00EE6AA2">
        <w:t>е</w:t>
      </w:r>
      <w:r w:rsidR="0071360A">
        <w:t>ш</w:t>
      </w:r>
      <w:r>
        <w:t>ћ</w:t>
      </w:r>
      <w:r w:rsidR="00EE6AA2">
        <w:t>е</w:t>
      </w:r>
      <w:r w:rsidR="00872771" w:rsidRPr="00F6340E">
        <w:t xml:space="preserve"> </w:t>
      </w:r>
      <w:r w:rsidR="0071360A">
        <w:t>пр</w:t>
      </w:r>
      <w:r>
        <w:t>а</w:t>
      </w:r>
      <w:r w:rsidR="0071360A">
        <w:t>т</w:t>
      </w:r>
      <w:r>
        <w:t>и</w:t>
      </w:r>
      <w:r w:rsidR="00872771" w:rsidRPr="00F6340E">
        <w:t xml:space="preserve"> </w:t>
      </w:r>
      <w:r>
        <w:t>и</w:t>
      </w:r>
      <w:r w:rsidR="00872771" w:rsidRPr="00F6340E">
        <w:t xml:space="preserve"> </w:t>
      </w:r>
      <w:r w:rsidR="0071360A">
        <w:t>пр</w:t>
      </w:r>
      <w:r>
        <w:t>оцј</w:t>
      </w:r>
      <w:r w:rsidR="00EE6AA2">
        <w:t>е</w:t>
      </w:r>
      <w:r>
        <w:t>њ</w:t>
      </w:r>
      <w:r w:rsidR="0071360A">
        <w:t>у</w:t>
      </w:r>
      <w:r>
        <w:t>ј</w:t>
      </w:r>
      <w:r w:rsidR="00EE6AA2">
        <w:t>е</w:t>
      </w:r>
      <w:r w:rsidR="00872771" w:rsidRPr="00F6340E">
        <w:t xml:space="preserve"> </w:t>
      </w:r>
      <w:r w:rsidR="0071360A">
        <w:t>усп</w:t>
      </w:r>
      <w:r>
        <w:t>ј</w:t>
      </w:r>
      <w:r w:rsidR="00EE6AA2">
        <w:t>е</w:t>
      </w:r>
      <w:r w:rsidR="0071360A">
        <w:t>ш</w:t>
      </w:r>
      <w:r>
        <w:t>но</w:t>
      </w:r>
      <w:r w:rsidR="0071360A">
        <w:t>ст</w:t>
      </w:r>
      <w:r w:rsidR="00872771" w:rsidRPr="00F6340E">
        <w:t xml:space="preserve"> </w:t>
      </w:r>
      <w:r w:rsidR="0071360A">
        <w:t>т</w:t>
      </w:r>
      <w:r w:rsidR="00EE6AA2">
        <w:t>е</w:t>
      </w:r>
      <w:r w:rsidR="00872771" w:rsidRPr="00F6340E">
        <w:t xml:space="preserve"> </w:t>
      </w:r>
      <w:r w:rsidR="0071360A">
        <w:t>п</w:t>
      </w:r>
      <w:r>
        <w:t>о</w:t>
      </w:r>
      <w:r w:rsidR="0071360A">
        <w:t>в</w:t>
      </w:r>
      <w:r w:rsidR="00EE6AA2">
        <w:t>е</w:t>
      </w:r>
      <w:r w:rsidR="00171F00">
        <w:t>з</w:t>
      </w:r>
      <w:r w:rsidR="0071360A">
        <w:t>у</w:t>
      </w:r>
      <w:r>
        <w:t>ј</w:t>
      </w:r>
      <w:r w:rsidR="00EE6AA2">
        <w:t>е</w:t>
      </w:r>
      <w:r w:rsidR="00872771" w:rsidRPr="00F6340E">
        <w:t xml:space="preserve"> </w:t>
      </w:r>
      <w:r>
        <w:t>г</w:t>
      </w:r>
      <w:r w:rsidR="0071360A">
        <w:t>р</w:t>
      </w:r>
      <w:r>
        <w:t>ади</w:t>
      </w:r>
      <w:r w:rsidR="0071360A">
        <w:t>в</w:t>
      </w:r>
      <w:r>
        <w:t>о</w:t>
      </w:r>
      <w:r w:rsidR="00B04FA8">
        <w:t xml:space="preserve"> са </w:t>
      </w:r>
      <w:r>
        <w:lastRenderedPageBreak/>
        <w:t>и</w:t>
      </w:r>
      <w:r w:rsidR="0071360A">
        <w:t>с</w:t>
      </w:r>
      <w:r>
        <w:t>к</w:t>
      </w:r>
      <w:r w:rsidR="0071360A">
        <w:t>уств</w:t>
      </w:r>
      <w:r>
        <w:t>ом</w:t>
      </w:r>
      <w:r w:rsidR="00872771" w:rsidRPr="00F6340E">
        <w:t xml:space="preserve"> </w:t>
      </w:r>
      <w:r>
        <w:t>и</w:t>
      </w:r>
      <w:r w:rsidR="00171F00">
        <w:t>з</w:t>
      </w:r>
      <w:r w:rsidR="00872771" w:rsidRPr="00F6340E">
        <w:t xml:space="preserve"> </w:t>
      </w:r>
      <w:r w:rsidR="0071360A">
        <w:t>св</w:t>
      </w:r>
      <w:r>
        <w:t>акодн</w:t>
      </w:r>
      <w:r w:rsidR="00EE6AA2">
        <w:t>е</w:t>
      </w:r>
      <w:r w:rsidR="0071360A">
        <w:t>в</w:t>
      </w:r>
      <w:r>
        <w:t>ног</w:t>
      </w:r>
      <w:r w:rsidR="00872771" w:rsidRPr="00F6340E">
        <w:t xml:space="preserve"> </w:t>
      </w:r>
      <w:r w:rsidR="00171F00">
        <w:t>ж</w:t>
      </w:r>
      <w:r>
        <w:t>и</w:t>
      </w:r>
      <w:r w:rsidR="0071360A">
        <w:t>в</w:t>
      </w:r>
      <w:r>
        <w:t>о</w:t>
      </w:r>
      <w:r w:rsidR="0071360A">
        <w:t>т</w:t>
      </w:r>
      <w:r>
        <w:t>а</w:t>
      </w:r>
      <w:r w:rsidR="00872771" w:rsidRPr="00F6340E">
        <w:t xml:space="preserve"> (</w:t>
      </w:r>
      <w:r>
        <w:rPr>
          <w:bCs/>
          <w:shd w:val="clear" w:color="auto" w:fill="FFFFFF"/>
        </w:rPr>
        <w:t>Б</w:t>
      </w:r>
      <w:r w:rsidR="0071360A">
        <w:rPr>
          <w:bCs/>
          <w:shd w:val="clear" w:color="auto" w:fill="FFFFFF"/>
        </w:rPr>
        <w:t>р</w:t>
      </w:r>
      <w:r>
        <w:rPr>
          <w:bCs/>
          <w:shd w:val="clear" w:color="auto" w:fill="FFFFFF"/>
        </w:rPr>
        <w:t>а</w:t>
      </w:r>
      <w:r w:rsidR="00872771" w:rsidRPr="00F6340E">
        <w:rPr>
          <w:bCs/>
          <w:shd w:val="clear" w:color="auto" w:fill="FFFFFF"/>
        </w:rPr>
        <w:t xml:space="preserve">y </w:t>
      </w:r>
      <w:r>
        <w:rPr>
          <w:bCs/>
          <w:shd w:val="clear" w:color="auto" w:fill="FFFFFF"/>
        </w:rPr>
        <w:t>и</w:t>
      </w:r>
      <w:r w:rsidR="00872771" w:rsidRPr="00F6340E">
        <w:rPr>
          <w:bCs/>
          <w:shd w:val="clear" w:color="auto" w:fill="FFFFFF"/>
        </w:rPr>
        <w:t xml:space="preserve"> </w:t>
      </w:r>
      <w:r>
        <w:rPr>
          <w:iCs/>
          <w:shd w:val="clear" w:color="auto" w:fill="FFFFFF"/>
        </w:rPr>
        <w:t>МцЦла</w:t>
      </w:r>
      <w:r w:rsidR="0071360A">
        <w:rPr>
          <w:iCs/>
          <w:shd w:val="clear" w:color="auto" w:fill="FFFFFF"/>
        </w:rPr>
        <w:t>с</w:t>
      </w:r>
      <w:r>
        <w:rPr>
          <w:iCs/>
          <w:shd w:val="clear" w:color="auto" w:fill="FFFFFF"/>
        </w:rPr>
        <w:t>к</w:t>
      </w:r>
      <w:r w:rsidR="00EE6AA2">
        <w:rPr>
          <w:iCs/>
          <w:shd w:val="clear" w:color="auto" w:fill="FFFFFF"/>
        </w:rPr>
        <w:t>е</w:t>
      </w:r>
      <w:r w:rsidR="00872771" w:rsidRPr="00F6340E">
        <w:rPr>
          <w:iCs/>
          <w:shd w:val="clear" w:color="auto" w:fill="FFFFFF"/>
        </w:rPr>
        <w:t>y</w:t>
      </w:r>
      <w:r w:rsidR="00872771" w:rsidRPr="00F6340E">
        <w:t xml:space="preserve">). </w:t>
      </w:r>
      <w:r w:rsidR="0071360A">
        <w:t>Св</w:t>
      </w:r>
      <w:r>
        <w:t>и</w:t>
      </w:r>
      <w:r w:rsidR="00872771" w:rsidRPr="00F6340E">
        <w:t xml:space="preserve"> </w:t>
      </w:r>
      <w:r w:rsidR="0071360A">
        <w:t>у</w:t>
      </w:r>
      <w:r>
        <w:t>ч</w:t>
      </w:r>
      <w:r w:rsidR="00EE6AA2">
        <w:t>е</w:t>
      </w:r>
      <w:r>
        <w:t>ници</w:t>
      </w:r>
      <w:r w:rsidR="004E3DDF" w:rsidRPr="00F6340E">
        <w:t>/</w:t>
      </w:r>
      <w:r w:rsidR="0071360A">
        <w:t>сту</w:t>
      </w:r>
      <w:r>
        <w:t>д</w:t>
      </w:r>
      <w:r w:rsidR="00EE6AA2">
        <w:t>е</w:t>
      </w:r>
      <w:r>
        <w:t>н</w:t>
      </w:r>
      <w:r w:rsidR="0071360A">
        <w:t>т</w:t>
      </w:r>
      <w:r>
        <w:t>и</w:t>
      </w:r>
      <w:r w:rsidR="00872771" w:rsidRPr="00F6340E">
        <w:t xml:space="preserve"> </w:t>
      </w:r>
      <w:r w:rsidR="0071360A">
        <w:t>су</w:t>
      </w:r>
      <w:r w:rsidR="00872771" w:rsidRPr="00F6340E">
        <w:t xml:space="preserve"> </w:t>
      </w:r>
      <w:r w:rsidR="0071360A">
        <w:t>ст</w:t>
      </w:r>
      <w:r>
        <w:t>а</w:t>
      </w:r>
      <w:r w:rsidR="0071360A">
        <w:t>в</w:t>
      </w:r>
      <w:r>
        <w:t>љ</w:t>
      </w:r>
      <w:r w:rsidR="00EE6AA2">
        <w:t>е</w:t>
      </w:r>
      <w:r>
        <w:t>ни</w:t>
      </w:r>
      <w:r w:rsidR="00872771" w:rsidRPr="00F6340E">
        <w:t xml:space="preserve"> </w:t>
      </w:r>
      <w:r w:rsidR="0071360A">
        <w:t>пр</w:t>
      </w:r>
      <w:r w:rsidR="00EE6AA2">
        <w:t>е</w:t>
      </w:r>
      <w:r>
        <w:t>д</w:t>
      </w:r>
      <w:r w:rsidR="00872771" w:rsidRPr="00F6340E">
        <w:t xml:space="preserve"> </w:t>
      </w:r>
      <w:r>
        <w:t>и</w:t>
      </w:r>
      <w:r w:rsidR="00171F00">
        <w:t>з</w:t>
      </w:r>
      <w:r>
        <w:t>а</w:t>
      </w:r>
      <w:r w:rsidR="00171F00">
        <w:t>з</w:t>
      </w:r>
      <w:r>
        <w:t>о</w:t>
      </w:r>
      <w:r w:rsidR="0071360A">
        <w:t>в</w:t>
      </w:r>
      <w:r w:rsidR="00EE6AA2">
        <w:t>е</w:t>
      </w:r>
      <w:r w:rsidR="00872771" w:rsidRPr="00F6340E">
        <w:t xml:space="preserve"> </w:t>
      </w:r>
      <w:r>
        <w:t>и</w:t>
      </w:r>
      <w:r w:rsidR="00872771" w:rsidRPr="00F6340E">
        <w:t xml:space="preserve"> </w:t>
      </w:r>
      <w:r>
        <w:t>ј</w:t>
      </w:r>
      <w:r w:rsidR="00EE6AA2">
        <w:t>е</w:t>
      </w:r>
      <w:r>
        <w:t>днак</w:t>
      </w:r>
      <w:r w:rsidR="00EE6AA2">
        <w:t>е</w:t>
      </w:r>
      <w:r w:rsidR="00872771" w:rsidRPr="00F6340E">
        <w:t xml:space="preserve"> </w:t>
      </w:r>
      <w:r>
        <w:t>мог</w:t>
      </w:r>
      <w:r w:rsidR="0071360A">
        <w:t>у</w:t>
      </w:r>
      <w:r>
        <w:t>ћно</w:t>
      </w:r>
      <w:r w:rsidR="0071360A">
        <w:t>ст</w:t>
      </w:r>
      <w:r>
        <w:t>и</w:t>
      </w:r>
      <w:r w:rsidR="00872771" w:rsidRPr="00F6340E">
        <w:t xml:space="preserve"> </w:t>
      </w:r>
      <w:r w:rsidR="00171F00">
        <w:t>з</w:t>
      </w:r>
      <w:r>
        <w:t>а</w:t>
      </w:r>
      <w:r w:rsidR="00872771" w:rsidRPr="00F6340E">
        <w:t xml:space="preserve"> </w:t>
      </w:r>
      <w:r w:rsidR="0071360A">
        <w:t>п</w:t>
      </w:r>
      <w:r>
        <w:t>о</w:t>
      </w:r>
      <w:r w:rsidR="0071360A">
        <w:t>ст</w:t>
      </w:r>
      <w:r>
        <w:t>и</w:t>
      </w:r>
      <w:r w:rsidR="00171F00">
        <w:t>з</w:t>
      </w:r>
      <w:r>
        <w:t>ањ</w:t>
      </w:r>
      <w:r w:rsidR="00EE6AA2">
        <w:t>е</w:t>
      </w:r>
      <w:r w:rsidR="00872771" w:rsidRPr="00F6340E">
        <w:t xml:space="preserve"> </w:t>
      </w:r>
      <w:r>
        <w:t>од</w:t>
      </w:r>
      <w:r w:rsidR="0071360A">
        <w:t>р</w:t>
      </w:r>
      <w:r w:rsidR="00EE6AA2">
        <w:t>е</w:t>
      </w:r>
      <w:r>
        <w:t>ђ</w:t>
      </w:r>
      <w:r w:rsidR="00EE6AA2">
        <w:t>е</w:t>
      </w:r>
      <w:r>
        <w:t>них</w:t>
      </w:r>
      <w:r w:rsidR="00872771" w:rsidRPr="00F6340E">
        <w:t xml:space="preserve"> </w:t>
      </w:r>
      <w:r w:rsidR="0071360A">
        <w:t>р</w:t>
      </w:r>
      <w:r w:rsidR="00EE6AA2">
        <w:t>е</w:t>
      </w:r>
      <w:r w:rsidR="00171F00">
        <w:t>з</w:t>
      </w:r>
      <w:r w:rsidR="0071360A">
        <w:t>у</w:t>
      </w:r>
      <w:r>
        <w:t>л</w:t>
      </w:r>
      <w:r w:rsidR="0071360A">
        <w:t>т</w:t>
      </w:r>
      <w:r>
        <w:t>а</w:t>
      </w:r>
      <w:r w:rsidR="0071360A">
        <w:t>т</w:t>
      </w:r>
      <w:r>
        <w:t>а</w:t>
      </w:r>
      <w:r w:rsidR="00872771" w:rsidRPr="00F6340E">
        <w:t xml:space="preserve">. </w:t>
      </w:r>
      <w:r>
        <w:t>М</w:t>
      </w:r>
      <w:r w:rsidR="00EE6AA2">
        <w:t>е</w:t>
      </w:r>
      <w:r>
        <w:t>ђ</w:t>
      </w:r>
      <w:r w:rsidR="0071360A">
        <w:t>ут</w:t>
      </w:r>
      <w:r>
        <w:t>им</w:t>
      </w:r>
      <w:r w:rsidR="00872771" w:rsidRPr="00F6340E">
        <w:t xml:space="preserve">, </w:t>
      </w:r>
      <w:r>
        <w:t>о</w:t>
      </w:r>
      <w:r w:rsidR="0071360A">
        <w:t>п</w:t>
      </w:r>
      <w:r>
        <w:t>а</w:t>
      </w:r>
      <w:r w:rsidR="0071360A">
        <w:t>с</w:t>
      </w:r>
      <w:r>
        <w:t>но</w:t>
      </w:r>
      <w:r w:rsidR="0071360A">
        <w:t>ст</w:t>
      </w:r>
      <w:r w:rsidR="00872771" w:rsidRPr="00F6340E">
        <w:t xml:space="preserve"> </w:t>
      </w:r>
      <w:r>
        <w:t>и</w:t>
      </w:r>
      <w:r w:rsidR="00872771" w:rsidRPr="00F6340E">
        <w:t xml:space="preserve"> </w:t>
      </w:r>
      <w:r>
        <w:t>н</w:t>
      </w:r>
      <w:r w:rsidR="00EE6AA2">
        <w:t>е</w:t>
      </w:r>
      <w:r>
        <w:t>до</w:t>
      </w:r>
      <w:r w:rsidR="0071360A">
        <w:t>ст</w:t>
      </w:r>
      <w:r>
        <w:t>а</w:t>
      </w:r>
      <w:r w:rsidR="0071360A">
        <w:t>т</w:t>
      </w:r>
      <w:r>
        <w:t>ак</w:t>
      </w:r>
      <w:r w:rsidR="00872771" w:rsidRPr="00F6340E">
        <w:t xml:space="preserve"> </w:t>
      </w:r>
      <w:r w:rsidR="0071360A">
        <w:t>у</w:t>
      </w:r>
      <w:r w:rsidR="00872771" w:rsidRPr="00F6340E">
        <w:t xml:space="preserve"> </w:t>
      </w:r>
      <w:r w:rsidR="0071360A">
        <w:t>пр</w:t>
      </w:r>
      <w:r>
        <w:t>имј</w:t>
      </w:r>
      <w:r w:rsidR="00EE6AA2">
        <w:t>е</w:t>
      </w:r>
      <w:r>
        <w:t>ни</w:t>
      </w:r>
      <w:r w:rsidR="00872771" w:rsidRPr="00F6340E">
        <w:t xml:space="preserve"> </w:t>
      </w:r>
      <w:r>
        <w:t>о</w:t>
      </w:r>
      <w:r w:rsidR="0071360A">
        <w:t>в</w:t>
      </w:r>
      <w:r>
        <w:t>ог</w:t>
      </w:r>
      <w:r w:rsidR="00872771" w:rsidRPr="00F6340E">
        <w:t xml:space="preserve"> </w:t>
      </w:r>
      <w:r>
        <w:t>мод</w:t>
      </w:r>
      <w:r w:rsidR="00EE6AA2">
        <w:t>е</w:t>
      </w:r>
      <w:r>
        <w:t>ла</w:t>
      </w:r>
      <w:r w:rsidR="00872771" w:rsidRPr="00F6340E">
        <w:t xml:space="preserve"> </w:t>
      </w:r>
      <w:r w:rsidR="0071360A">
        <w:t>с</w:t>
      </w:r>
      <w:r w:rsidR="00EE6AA2">
        <w:t>е</w:t>
      </w:r>
      <w:r w:rsidR="00872771" w:rsidRPr="00F6340E">
        <w:t xml:space="preserve"> </w:t>
      </w:r>
      <w:r>
        <w:t>мо</w:t>
      </w:r>
      <w:r w:rsidR="00171F00">
        <w:t>ж</w:t>
      </w:r>
      <w:r w:rsidR="00EE6AA2">
        <w:t>е</w:t>
      </w:r>
      <w:r w:rsidR="00872771" w:rsidRPr="00F6340E">
        <w:t xml:space="preserve"> </w:t>
      </w:r>
      <w:r>
        <w:t>ја</w:t>
      </w:r>
      <w:r w:rsidR="0071360A">
        <w:t>в</w:t>
      </w:r>
      <w:r>
        <w:t>и</w:t>
      </w:r>
      <w:r w:rsidR="0071360A">
        <w:t>т</w:t>
      </w:r>
      <w:r>
        <w:t>и</w:t>
      </w:r>
      <w:r w:rsidR="00872771" w:rsidRPr="00F6340E">
        <w:t xml:space="preserve"> </w:t>
      </w:r>
      <w:r w:rsidR="0071360A">
        <w:t>у</w:t>
      </w:r>
      <w:r w:rsidR="00872771" w:rsidRPr="00F6340E">
        <w:t xml:space="preserve"> </w:t>
      </w:r>
      <w:r w:rsidR="0071360A">
        <w:t>с</w:t>
      </w:r>
      <w:r>
        <w:t>л</w:t>
      </w:r>
      <w:r w:rsidR="0071360A">
        <w:t>у</w:t>
      </w:r>
      <w:r>
        <w:t>чај</w:t>
      </w:r>
      <w:r w:rsidR="0071360A">
        <w:t>у</w:t>
      </w:r>
      <w:r w:rsidR="00872771" w:rsidRPr="00F6340E">
        <w:t xml:space="preserve"> </w:t>
      </w:r>
      <w:r w:rsidR="0071360A">
        <w:t>п</w:t>
      </w:r>
      <w:r>
        <w:t>ог</w:t>
      </w:r>
      <w:r w:rsidR="0071360A">
        <w:t>р</w:t>
      </w:r>
      <w:r w:rsidR="00EE6AA2">
        <w:t>е</w:t>
      </w:r>
      <w:r w:rsidR="0071360A">
        <w:t>ш</w:t>
      </w:r>
      <w:r>
        <w:t>н</w:t>
      </w:r>
      <w:r w:rsidR="00EE6AA2">
        <w:t>е</w:t>
      </w:r>
      <w:r w:rsidR="00872771" w:rsidRPr="00F6340E">
        <w:t xml:space="preserve"> </w:t>
      </w:r>
      <w:r w:rsidR="0071360A">
        <w:t>пр</w:t>
      </w:r>
      <w:r>
        <w:t>оцј</w:t>
      </w:r>
      <w:r w:rsidR="00EE6AA2">
        <w:t>е</w:t>
      </w:r>
      <w:r>
        <w:t>н</w:t>
      </w:r>
      <w:r w:rsidR="00EE6AA2">
        <w:t>е</w:t>
      </w:r>
      <w:r w:rsidR="00872771" w:rsidRPr="00F6340E">
        <w:t xml:space="preserve"> </w:t>
      </w:r>
      <w:r w:rsidR="0071360A">
        <w:t>сп</w:t>
      </w:r>
      <w:r>
        <w:t>о</w:t>
      </w:r>
      <w:r w:rsidR="0071360A">
        <w:t>с</w:t>
      </w:r>
      <w:r>
        <w:t>обно</w:t>
      </w:r>
      <w:r w:rsidR="0071360A">
        <w:t>ст</w:t>
      </w:r>
      <w:r>
        <w:t>и</w:t>
      </w:r>
      <w:r w:rsidR="00872771" w:rsidRPr="00F6340E">
        <w:t xml:space="preserve"> </w:t>
      </w:r>
      <w:r>
        <w:t>и</w:t>
      </w:r>
      <w:r w:rsidR="00872771" w:rsidRPr="00F6340E">
        <w:t xml:space="preserve"> </w:t>
      </w:r>
      <w:r>
        <w:t>мог</w:t>
      </w:r>
      <w:r w:rsidR="0071360A">
        <w:t>у</w:t>
      </w:r>
      <w:r>
        <w:t>ћно</w:t>
      </w:r>
      <w:r w:rsidR="0071360A">
        <w:t>ст</w:t>
      </w:r>
      <w:r>
        <w:t>и</w:t>
      </w:r>
      <w:r w:rsidR="00872771" w:rsidRPr="00F6340E">
        <w:t xml:space="preserve"> </w:t>
      </w:r>
      <w:r w:rsidR="0071360A">
        <w:t>у</w:t>
      </w:r>
      <w:r>
        <w:t>ч</w:t>
      </w:r>
      <w:r w:rsidR="00EE6AA2">
        <w:t>е</w:t>
      </w:r>
      <w:r>
        <w:t>ника</w:t>
      </w:r>
      <w:r w:rsidR="004E3DDF" w:rsidRPr="00F6340E">
        <w:t>/</w:t>
      </w:r>
      <w:r w:rsidR="0071360A">
        <w:t>сту</w:t>
      </w:r>
      <w:r>
        <w:t>д</w:t>
      </w:r>
      <w:r w:rsidR="00EE6AA2">
        <w:t>е</w:t>
      </w:r>
      <w:r>
        <w:t>н</w:t>
      </w:r>
      <w:r w:rsidR="0071360A">
        <w:t>т</w:t>
      </w:r>
      <w:r>
        <w:t>а</w:t>
      </w:r>
      <w:r w:rsidR="00872771" w:rsidRPr="00F6340E">
        <w:t xml:space="preserve"> </w:t>
      </w:r>
      <w:r>
        <w:t>од</w:t>
      </w:r>
      <w:r w:rsidR="00872771" w:rsidRPr="00F6340E">
        <w:t xml:space="preserve"> </w:t>
      </w:r>
      <w:r w:rsidR="0071360A">
        <w:t>стр</w:t>
      </w:r>
      <w:r>
        <w:t>ан</w:t>
      </w:r>
      <w:r w:rsidR="00EE6AA2">
        <w:t>е</w:t>
      </w:r>
      <w:r w:rsidR="00872771" w:rsidRPr="00F6340E">
        <w:t xml:space="preserve"> </w:t>
      </w:r>
      <w:r>
        <w:t>на</w:t>
      </w:r>
      <w:r w:rsidR="0071360A">
        <w:t>ст</w:t>
      </w:r>
      <w:r>
        <w:t>а</w:t>
      </w:r>
      <w:r w:rsidR="0071360A">
        <w:t>в</w:t>
      </w:r>
      <w:r>
        <w:t>ника</w:t>
      </w:r>
      <w:r w:rsidR="00872771" w:rsidRPr="00F6340E">
        <w:t xml:space="preserve"> </w:t>
      </w:r>
      <w:r>
        <w:t>и</w:t>
      </w:r>
      <w:r w:rsidR="00872771" w:rsidRPr="00F6340E">
        <w:t>/</w:t>
      </w:r>
      <w:r>
        <w:t>или</w:t>
      </w:r>
      <w:r w:rsidR="00872771" w:rsidRPr="00F6340E">
        <w:t xml:space="preserve"> </w:t>
      </w:r>
      <w:r w:rsidR="0071360A">
        <w:t>р</w:t>
      </w:r>
      <w:r>
        <w:t>оди</w:t>
      </w:r>
      <w:r w:rsidR="0071360A">
        <w:t>т</w:t>
      </w:r>
      <w:r w:rsidR="00EE6AA2">
        <w:t>е</w:t>
      </w:r>
      <w:r>
        <w:t>ља</w:t>
      </w:r>
      <w:r w:rsidR="00872771" w:rsidRPr="00F6340E">
        <w:t xml:space="preserve"> </w:t>
      </w:r>
      <w:r w:rsidR="0071360A">
        <w:t>шт</w:t>
      </w:r>
      <w:r>
        <w:t>о</w:t>
      </w:r>
      <w:r w:rsidR="00872771" w:rsidRPr="00F6340E">
        <w:t xml:space="preserve"> </w:t>
      </w:r>
      <w:r w:rsidR="0071360A">
        <w:t>с</w:t>
      </w:r>
      <w:r w:rsidR="00EE6AA2">
        <w:t>е</w:t>
      </w:r>
      <w:r w:rsidR="00872771" w:rsidRPr="00F6340E">
        <w:t xml:space="preserve">, </w:t>
      </w:r>
      <w:r>
        <w:t>даљ</w:t>
      </w:r>
      <w:r w:rsidR="00EE6AA2">
        <w:t>е</w:t>
      </w:r>
      <w:r w:rsidR="00872771" w:rsidRPr="00F6340E">
        <w:t xml:space="preserve">, </w:t>
      </w:r>
      <w:r w:rsidR="0071360A">
        <w:t>пр</w:t>
      </w:r>
      <w:r w:rsidR="00EE6AA2">
        <w:t>е</w:t>
      </w:r>
      <w:r w:rsidR="0071360A">
        <w:t>в</w:t>
      </w:r>
      <w:r>
        <w:t>лада</w:t>
      </w:r>
      <w:r w:rsidR="0071360A">
        <w:t>в</w:t>
      </w:r>
      <w:r>
        <w:t>а</w:t>
      </w:r>
      <w:r w:rsidR="00872771" w:rsidRPr="00F6340E">
        <w:t xml:space="preserve"> </w:t>
      </w:r>
      <w:r>
        <w:t>мод</w:t>
      </w:r>
      <w:r w:rsidR="00EE6AA2">
        <w:t>е</w:t>
      </w:r>
      <w:r>
        <w:t>лом</w:t>
      </w:r>
      <w:r w:rsidR="00872771" w:rsidRPr="00F6340E">
        <w:t xml:space="preserve"> </w:t>
      </w:r>
      <w:r w:rsidR="0071360A">
        <w:t>п</w:t>
      </w:r>
      <w:r w:rsidR="00EE6AA2">
        <w:t>е</w:t>
      </w:r>
      <w:r w:rsidR="0071360A">
        <w:t>рс</w:t>
      </w:r>
      <w:r>
        <w:t>онали</w:t>
      </w:r>
      <w:r w:rsidR="00171F00">
        <w:t>з</w:t>
      </w:r>
      <w:r>
        <w:t>ациј</w:t>
      </w:r>
      <w:r w:rsidR="00EE6AA2">
        <w:t>е</w:t>
      </w:r>
      <w:r w:rsidR="00872771" w:rsidRPr="00F6340E">
        <w:t xml:space="preserve">. </w:t>
      </w:r>
    </w:p>
    <w:p w14:paraId="1CD50308" w14:textId="34B0E20A" w:rsidR="00872771" w:rsidRPr="00F6340E" w:rsidRDefault="0071360A" w:rsidP="00210EE1">
      <w:pPr>
        <w:pStyle w:val="Body"/>
      </w:pPr>
      <w:r>
        <w:rPr>
          <w:i/>
        </w:rPr>
        <w:t>П</w:t>
      </w:r>
      <w:r w:rsidR="00EE6AA2">
        <w:rPr>
          <w:i/>
        </w:rPr>
        <w:t>е</w:t>
      </w:r>
      <w:r>
        <w:rPr>
          <w:i/>
        </w:rPr>
        <w:t>рс</w:t>
      </w:r>
      <w:r w:rsidR="00A56E08">
        <w:rPr>
          <w:i/>
        </w:rPr>
        <w:t>онали</w:t>
      </w:r>
      <w:r w:rsidR="00171F00">
        <w:rPr>
          <w:i/>
        </w:rPr>
        <w:t>з</w:t>
      </w:r>
      <w:r w:rsidR="00A56E08">
        <w:rPr>
          <w:i/>
        </w:rPr>
        <w:t>о</w:t>
      </w:r>
      <w:r>
        <w:rPr>
          <w:i/>
        </w:rPr>
        <w:t>в</w:t>
      </w:r>
      <w:r w:rsidR="00A56E08">
        <w:rPr>
          <w:i/>
        </w:rPr>
        <w:t>ани</w:t>
      </w:r>
      <w:r w:rsidR="00872771" w:rsidRPr="00F6340E">
        <w:rPr>
          <w:i/>
        </w:rPr>
        <w:t xml:space="preserve"> </w:t>
      </w:r>
      <w:r w:rsidR="00A56E08">
        <w:rPr>
          <w:i/>
        </w:rPr>
        <w:t>мод</w:t>
      </w:r>
      <w:r w:rsidR="00EE6AA2">
        <w:rPr>
          <w:i/>
        </w:rPr>
        <w:t>е</w:t>
      </w:r>
      <w:r w:rsidR="00A56E08">
        <w:rPr>
          <w:i/>
        </w:rPr>
        <w:t>л</w:t>
      </w:r>
      <w:r w:rsidR="00872771"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872771" w:rsidRPr="00F6340E">
        <w:t xml:space="preserve"> </w:t>
      </w:r>
      <w:r w:rsidR="00A56E08">
        <w:t>ак</w:t>
      </w:r>
      <w:r>
        <w:t>т</w:t>
      </w:r>
      <w:r w:rsidR="00A56E08">
        <w:t>и</w:t>
      </w:r>
      <w:r>
        <w:t>в</w:t>
      </w:r>
      <w:r w:rsidR="00A56E08">
        <w:t>но</w:t>
      </w:r>
      <w:r w:rsidR="00872771" w:rsidRPr="00F6340E">
        <w:t xml:space="preserve"> </w:t>
      </w:r>
      <w:r>
        <w:t>у</w:t>
      </w:r>
      <w:r w:rsidR="00A56E08">
        <w:t>ч</w:t>
      </w:r>
      <w:r w:rsidR="00EE6AA2">
        <w:t>е</w:t>
      </w:r>
      <w:r>
        <w:t>ств</w:t>
      </w:r>
      <w:r w:rsidR="00A56E08">
        <w:t>о</w:t>
      </w:r>
      <w:r>
        <w:t>в</w:t>
      </w:r>
      <w:r w:rsidR="00A56E08">
        <w:t>ањ</w:t>
      </w:r>
      <w:r w:rsidR="00EE6AA2">
        <w:t>е</w:t>
      </w:r>
      <w:r w:rsidR="00872771" w:rsidRPr="00F6340E">
        <w:t xml:space="preserve"> </w:t>
      </w:r>
      <w:r>
        <w:t>у</w:t>
      </w:r>
      <w:r w:rsidR="00A56E08">
        <w:t>ч</w:t>
      </w:r>
      <w:r w:rsidR="00EE6AA2">
        <w:t>е</w:t>
      </w:r>
      <w:r w:rsidR="00A56E08">
        <w:t>ника</w:t>
      </w:r>
      <w:r w:rsidR="004E3DDF" w:rsidRPr="00F6340E">
        <w:t>/</w:t>
      </w:r>
      <w:r>
        <w:t>сту</w:t>
      </w:r>
      <w:r w:rsidR="00A56E08">
        <w:t>д</w:t>
      </w:r>
      <w:r w:rsidR="00EE6AA2">
        <w:t>е</w:t>
      </w:r>
      <w:r w:rsidR="00A56E08">
        <w:t>н</w:t>
      </w:r>
      <w:r>
        <w:t>т</w:t>
      </w:r>
      <w:r w:rsidR="00A56E08">
        <w:t>а</w:t>
      </w:r>
      <w:r w:rsidR="00872771" w:rsidRPr="00F6340E">
        <w:t xml:space="preserve"> </w:t>
      </w:r>
      <w:r>
        <w:t>у</w:t>
      </w:r>
      <w:r w:rsidR="00872771" w:rsidRPr="00F6340E">
        <w:t xml:space="preserve"> </w:t>
      </w:r>
      <w:r w:rsidR="00A56E08">
        <w:t>об</w:t>
      </w:r>
      <w:r>
        <w:t>р</w:t>
      </w:r>
      <w:r w:rsidR="00A56E08">
        <w:t>а</w:t>
      </w:r>
      <w:r w:rsidR="00171F00">
        <w:t>з</w:t>
      </w:r>
      <w:r w:rsidR="00A56E08">
        <w:t>о</w:t>
      </w:r>
      <w:r>
        <w:t>в</w:t>
      </w:r>
      <w:r w:rsidR="00A56E08">
        <w:t>ном</w:t>
      </w:r>
      <w:r w:rsidR="00872771" w:rsidRPr="00F6340E">
        <w:t xml:space="preserve"> </w:t>
      </w:r>
      <w:r>
        <w:t>пр</w:t>
      </w:r>
      <w:r w:rsidR="00A56E08">
        <w:t>оц</w:t>
      </w:r>
      <w:r w:rsidR="00EE6AA2">
        <w:t>е</w:t>
      </w:r>
      <w:r>
        <w:t>су</w:t>
      </w:r>
      <w:r w:rsidR="00872771" w:rsidRPr="00F6340E">
        <w:t xml:space="preserve">. </w:t>
      </w:r>
      <w:r w:rsidR="00A56E08">
        <w:t>Одно</w:t>
      </w:r>
      <w:r>
        <w:t>с</w:t>
      </w:r>
      <w:r w:rsidR="00A56E08">
        <w:t>но</w:t>
      </w:r>
      <w:r w:rsidR="00872771" w:rsidRPr="00F6340E">
        <w:t xml:space="preserve"> </w:t>
      </w:r>
      <w:r>
        <w:t>у</w:t>
      </w:r>
      <w:r w:rsidR="00A56E08">
        <w:t>ч</w:t>
      </w:r>
      <w:r w:rsidR="00EE6AA2">
        <w:t>е</w:t>
      </w:r>
      <w:r w:rsidR="00A56E08">
        <w:t>ници</w:t>
      </w:r>
      <w:r w:rsidR="004E3DDF" w:rsidRPr="00F6340E">
        <w:t>/</w:t>
      </w:r>
      <w:r>
        <w:t>сту</w:t>
      </w:r>
      <w:r w:rsidR="00A56E08">
        <w:t>д</w:t>
      </w:r>
      <w:r w:rsidR="00EE6AA2">
        <w:t>е</w:t>
      </w:r>
      <w:r w:rsidR="00A56E08">
        <w:t>н</w:t>
      </w:r>
      <w:r>
        <w:t>т</w:t>
      </w:r>
      <w:r w:rsidR="00A56E08">
        <w:t>и</w:t>
      </w:r>
      <w:r w:rsidR="00872771" w:rsidRPr="00F6340E">
        <w:t xml:space="preserve"> </w:t>
      </w:r>
      <w:r>
        <w:t>су</w:t>
      </w:r>
      <w:r w:rsidR="00872771" w:rsidRPr="00F6340E">
        <w:t xml:space="preserve"> </w:t>
      </w:r>
      <w:r>
        <w:t>у</w:t>
      </w:r>
      <w:r w:rsidR="00A56E08">
        <w:t>ч</w:t>
      </w:r>
      <w:r w:rsidR="00EE6AA2">
        <w:t>е</w:t>
      </w:r>
      <w:r>
        <w:t>с</w:t>
      </w:r>
      <w:r w:rsidR="00A56E08">
        <w:t>ници</w:t>
      </w:r>
      <w:r w:rsidR="00872771" w:rsidRPr="00F6340E">
        <w:t xml:space="preserve"> </w:t>
      </w:r>
      <w:r>
        <w:t>у</w:t>
      </w:r>
      <w:r w:rsidR="00872771" w:rsidRPr="00F6340E">
        <w:t xml:space="preserve"> </w:t>
      </w:r>
      <w:r w:rsidR="00A56E08">
        <w:t>њ</w:t>
      </w:r>
      <w:r w:rsidR="00EE6AA2">
        <w:t>е</w:t>
      </w:r>
      <w:r w:rsidR="00A56E08">
        <w:t>го</w:t>
      </w:r>
      <w:r>
        <w:t>в</w:t>
      </w:r>
      <w:r w:rsidR="00A56E08">
        <w:t>ом</w:t>
      </w:r>
      <w:r w:rsidR="00872771" w:rsidRPr="00F6340E">
        <w:t xml:space="preserve"> </w:t>
      </w:r>
      <w:r>
        <w:t>ств</w:t>
      </w:r>
      <w:r w:rsidR="00A56E08">
        <w:t>а</w:t>
      </w:r>
      <w:r>
        <w:t>р</w:t>
      </w:r>
      <w:r w:rsidR="00A56E08">
        <w:t>ањ</w:t>
      </w:r>
      <w:r>
        <w:t>у</w:t>
      </w:r>
      <w:r w:rsidR="00872771" w:rsidRPr="00F6340E">
        <w:t xml:space="preserve">, </w:t>
      </w:r>
      <w:r>
        <w:t>ур</w:t>
      </w:r>
      <w:r w:rsidR="00EE6AA2">
        <w:t>е</w:t>
      </w:r>
      <w:r w:rsidR="00A56E08">
        <w:t>ђи</w:t>
      </w:r>
      <w:r>
        <w:t>в</w:t>
      </w:r>
      <w:r w:rsidR="00A56E08">
        <w:t>ањ</w:t>
      </w:r>
      <w:r>
        <w:t>у</w:t>
      </w:r>
      <w:r w:rsidR="00872771" w:rsidRPr="00F6340E">
        <w:t xml:space="preserve">, </w:t>
      </w:r>
      <w:r>
        <w:t>р</w:t>
      </w:r>
      <w:r w:rsidR="00EE6AA2">
        <w:t>е</w:t>
      </w:r>
      <w:r w:rsidR="00A56E08">
        <w:t>али</w:t>
      </w:r>
      <w:r w:rsidR="00171F00">
        <w:t>з</w:t>
      </w:r>
      <w:r w:rsidR="00A56E08">
        <w:t>о</w:t>
      </w:r>
      <w:r>
        <w:t>в</w:t>
      </w:r>
      <w:r w:rsidR="00A56E08">
        <w:t>ањ</w:t>
      </w:r>
      <w:r>
        <w:t>у</w:t>
      </w:r>
      <w:r w:rsidR="00872771" w:rsidRPr="00F6340E">
        <w:t xml:space="preserve"> </w:t>
      </w:r>
      <w:r w:rsidR="00A56E08">
        <w:t>и</w:t>
      </w:r>
      <w:r w:rsidR="00872771" w:rsidRPr="00F6340E">
        <w:t xml:space="preserve"> </w:t>
      </w:r>
      <w:r w:rsidR="00A56E08">
        <w:t>модифико</w:t>
      </w:r>
      <w:r>
        <w:t>в</w:t>
      </w:r>
      <w:r w:rsidR="00A56E08">
        <w:t>ањ</w:t>
      </w:r>
      <w:r>
        <w:t>у</w:t>
      </w:r>
      <w:r w:rsidR="00872771" w:rsidRPr="00F6340E">
        <w:t xml:space="preserve"> </w:t>
      </w:r>
      <w:r>
        <w:t>шт</w:t>
      </w:r>
      <w:r w:rsidR="00A56E08">
        <w:t>о</w:t>
      </w:r>
      <w:r w:rsidR="00872771" w:rsidRPr="00F6340E">
        <w:t xml:space="preserve"> </w:t>
      </w:r>
      <w:r>
        <w:t>у</w:t>
      </w:r>
      <w:r w:rsidR="00A56E08">
        <w:t>кљ</w:t>
      </w:r>
      <w:r>
        <w:t>у</w:t>
      </w:r>
      <w:r w:rsidR="00A56E08">
        <w:t>ч</w:t>
      </w:r>
      <w:r>
        <w:t>у</w:t>
      </w:r>
      <w:r w:rsidR="00A56E08">
        <w:t>ј</w:t>
      </w:r>
      <w:r w:rsidR="00EE6AA2">
        <w:t>е</w:t>
      </w:r>
      <w:r w:rsidR="00872771" w:rsidRPr="00F6340E">
        <w:t xml:space="preserve"> </w:t>
      </w:r>
      <w:r w:rsidR="00A56E08">
        <w:t>и</w:t>
      </w:r>
      <w:r w:rsidR="00872771" w:rsidRPr="00F6340E">
        <w:t xml:space="preserve"> </w:t>
      </w:r>
      <w:r w:rsidR="00A56E08">
        <w:t>ад</w:t>
      </w:r>
      <w:r w:rsidR="00EE6AA2">
        <w:t>е</w:t>
      </w:r>
      <w:r w:rsidR="00A56E08">
        <w:t>к</w:t>
      </w:r>
      <w:r>
        <w:t>в</w:t>
      </w:r>
      <w:r w:rsidR="00A56E08">
        <w:t>а</w:t>
      </w:r>
      <w:r>
        <w:t>т</w:t>
      </w:r>
      <w:r w:rsidR="00A56E08">
        <w:t>н</w:t>
      </w:r>
      <w:r w:rsidR="00EE6AA2">
        <w:t>е</w:t>
      </w:r>
      <w:r w:rsidR="00872771" w:rsidRPr="00F6340E">
        <w:t xml:space="preserve"> </w:t>
      </w:r>
      <w:r w:rsidR="00A56E08">
        <w:t>и</w:t>
      </w:r>
      <w:r w:rsidR="00872771" w:rsidRPr="00F6340E">
        <w:t xml:space="preserve"> </w:t>
      </w:r>
      <w:r>
        <w:t>пр</w:t>
      </w:r>
      <w:r w:rsidR="00A56E08">
        <w:t>илагођ</w:t>
      </w:r>
      <w:r w:rsidR="00EE6AA2">
        <w:t>е</w:t>
      </w:r>
      <w:r w:rsidR="00A56E08">
        <w:t>н</w:t>
      </w:r>
      <w:r w:rsidR="00EE6AA2">
        <w:t>е</w:t>
      </w:r>
      <w:r w:rsidR="00872771" w:rsidRPr="00F6340E">
        <w:t xml:space="preserve"> </w:t>
      </w:r>
      <w:r w:rsidR="00A56E08">
        <w:t>м</w:t>
      </w:r>
      <w:r w:rsidR="00EE6AA2">
        <w:t>е</w:t>
      </w:r>
      <w:r>
        <w:t>т</w:t>
      </w:r>
      <w:r w:rsidR="00A56E08">
        <w:t>од</w:t>
      </w:r>
      <w:r w:rsidR="00EE6AA2">
        <w:t>е</w:t>
      </w:r>
      <w:r w:rsidR="00872771" w:rsidRPr="00F6340E">
        <w:t xml:space="preserve">, </w:t>
      </w:r>
      <w:r>
        <w:t>т</w:t>
      </w:r>
      <w:r w:rsidR="00EE6AA2">
        <w:t>е</w:t>
      </w:r>
      <w:r w:rsidR="00A56E08">
        <w:t>м</w:t>
      </w:r>
      <w:r>
        <w:t>п</w:t>
      </w:r>
      <w:r w:rsidR="00A56E08">
        <w:t>о</w:t>
      </w:r>
      <w:r w:rsidR="00872771" w:rsidRPr="00F6340E">
        <w:t xml:space="preserve"> </w:t>
      </w:r>
      <w:r>
        <w:t>р</w:t>
      </w:r>
      <w:r w:rsidR="00A56E08">
        <w:t>ада</w:t>
      </w:r>
      <w:r w:rsidR="00872771" w:rsidRPr="00F6340E">
        <w:t xml:space="preserve"> </w:t>
      </w:r>
      <w:r w:rsidR="00A56E08">
        <w:t>али</w:t>
      </w:r>
      <w:r w:rsidR="00872771" w:rsidRPr="00F6340E">
        <w:t xml:space="preserve"> </w:t>
      </w:r>
      <w:r w:rsidR="00A56E08">
        <w:t>и</w:t>
      </w:r>
      <w:r w:rsidR="00872771" w:rsidRPr="00F6340E">
        <w:t xml:space="preserve"> </w:t>
      </w:r>
      <w:r w:rsidR="00A56E08">
        <w:t>циљ</w:t>
      </w:r>
      <w:r w:rsidR="00EE6AA2">
        <w:t>е</w:t>
      </w:r>
      <w:r>
        <w:t>в</w:t>
      </w:r>
      <w:r w:rsidR="00EE6AA2">
        <w:t>е</w:t>
      </w:r>
      <w:r w:rsidR="00872771" w:rsidRPr="00F6340E">
        <w:t xml:space="preserve"> </w:t>
      </w:r>
      <w:r>
        <w:t>св</w:t>
      </w:r>
      <w:r w:rsidR="00A56E08">
        <w:t>аког</w:t>
      </w:r>
      <w:r w:rsidR="00872771" w:rsidRPr="00F6340E">
        <w:t xml:space="preserve"> </w:t>
      </w:r>
      <w:r>
        <w:t>у</w:t>
      </w:r>
      <w:r w:rsidR="00A56E08">
        <w:t>ч</w:t>
      </w:r>
      <w:r w:rsidR="00EE6AA2">
        <w:t>е</w:t>
      </w:r>
      <w:r w:rsidR="00A56E08">
        <w:t>ника</w:t>
      </w:r>
      <w:r w:rsidR="004E3DDF" w:rsidRPr="00F6340E">
        <w:t>/</w:t>
      </w:r>
      <w:r>
        <w:t>сту</w:t>
      </w:r>
      <w:r w:rsidR="00A56E08">
        <w:t>д</w:t>
      </w:r>
      <w:r w:rsidR="00EE6AA2">
        <w:t>е</w:t>
      </w:r>
      <w:r w:rsidR="00A56E08">
        <w:t>н</w:t>
      </w:r>
      <w:r>
        <w:t>т</w:t>
      </w:r>
      <w:r w:rsidR="00A56E08">
        <w:t>а</w:t>
      </w:r>
      <w:r w:rsidR="00872771" w:rsidRPr="00F6340E">
        <w:t xml:space="preserve"> </w:t>
      </w:r>
      <w:r>
        <w:t>п</w:t>
      </w:r>
      <w:r w:rsidR="00A56E08">
        <w:t>ој</w:t>
      </w:r>
      <w:r w:rsidR="00EE6AA2">
        <w:t>е</w:t>
      </w:r>
      <w:r w:rsidR="00A56E08">
        <w:t>диначно</w:t>
      </w:r>
      <w:r w:rsidR="00872771" w:rsidRPr="00F6340E">
        <w:t xml:space="preserve"> (</w:t>
      </w:r>
      <w:r w:rsidR="00A56E08">
        <w:t>Б</w:t>
      </w:r>
      <w:r>
        <w:t>р</w:t>
      </w:r>
      <w:r w:rsidR="00A56E08">
        <w:t>а</w:t>
      </w:r>
      <w:r w:rsidR="00872771" w:rsidRPr="00F6340E">
        <w:t>y</w:t>
      </w:r>
      <w:r w:rsidR="00872771" w:rsidRPr="00F6340E">
        <w:rPr>
          <w:bCs/>
          <w:shd w:val="clear" w:color="auto" w:fill="FFFFFF"/>
        </w:rPr>
        <w:t xml:space="preserve"> </w:t>
      </w:r>
      <w:r w:rsidR="00A56E08">
        <w:rPr>
          <w:bCs/>
          <w:shd w:val="clear" w:color="auto" w:fill="FFFFFF"/>
        </w:rPr>
        <w:t>и</w:t>
      </w:r>
      <w:r w:rsidR="00872771" w:rsidRPr="00F6340E">
        <w:rPr>
          <w:bCs/>
          <w:shd w:val="clear" w:color="auto" w:fill="FFFFFF"/>
        </w:rPr>
        <w:t xml:space="preserve"> </w:t>
      </w:r>
      <w:r w:rsidR="00A56E08">
        <w:rPr>
          <w:iCs/>
          <w:shd w:val="clear" w:color="auto" w:fill="FFFFFF"/>
        </w:rPr>
        <w:t>МцЦла</w:t>
      </w:r>
      <w:r>
        <w:rPr>
          <w:iCs/>
          <w:shd w:val="clear" w:color="auto" w:fill="FFFFFF"/>
        </w:rPr>
        <w:t>с</w:t>
      </w:r>
      <w:r w:rsidR="00A56E08">
        <w:rPr>
          <w:iCs/>
          <w:shd w:val="clear" w:color="auto" w:fill="FFFFFF"/>
        </w:rPr>
        <w:t>к</w:t>
      </w:r>
      <w:r w:rsidR="00EE6AA2">
        <w:rPr>
          <w:iCs/>
          <w:shd w:val="clear" w:color="auto" w:fill="FFFFFF"/>
        </w:rPr>
        <w:t>е</w:t>
      </w:r>
      <w:r w:rsidR="00872771" w:rsidRPr="00F6340E">
        <w:rPr>
          <w:iCs/>
          <w:shd w:val="clear" w:color="auto" w:fill="FFFFFF"/>
        </w:rPr>
        <w:t>y</w:t>
      </w:r>
      <w:r w:rsidR="00872771" w:rsidRPr="00F6340E">
        <w:t xml:space="preserve">). </w:t>
      </w:r>
      <w:r>
        <w:t>П</w:t>
      </w:r>
      <w:r w:rsidR="00EE6AA2">
        <w:t>е</w:t>
      </w:r>
      <w:r>
        <w:t>рс</w:t>
      </w:r>
      <w:r w:rsidR="00A56E08">
        <w:t>онали</w:t>
      </w:r>
      <w:r w:rsidR="00171F00">
        <w:t>з</w:t>
      </w:r>
      <w:r w:rsidR="00A56E08">
        <w:t>ација</w:t>
      </w:r>
      <w:r w:rsidR="00872771" w:rsidRPr="00F6340E">
        <w:t xml:space="preserve"> </w:t>
      </w:r>
      <w:r w:rsidR="00A56E08">
        <w:t>ј</w:t>
      </w:r>
      <w:r w:rsidR="00EE6AA2">
        <w:t>е</w:t>
      </w:r>
      <w:r w:rsidR="00872771" w:rsidRPr="00F6340E">
        <w:t xml:space="preserve">, </w:t>
      </w:r>
      <w:r w:rsidR="00171F00">
        <w:t>з</w:t>
      </w:r>
      <w:r w:rsidR="00A56E08">
        <w:t>а</w:t>
      </w:r>
      <w:r>
        <w:t>т</w:t>
      </w:r>
      <w:r w:rsidR="00A56E08">
        <w:t>о</w:t>
      </w:r>
      <w:r w:rsidR="00872771" w:rsidRPr="00F6340E">
        <w:t xml:space="preserve">, </w:t>
      </w:r>
      <w:r>
        <w:t>пр</w:t>
      </w:r>
      <w:r w:rsidR="00A56E08">
        <w:t>илагођа</w:t>
      </w:r>
      <w:r>
        <w:t>в</w:t>
      </w:r>
      <w:r w:rsidR="00A56E08">
        <w:t>ањ</w:t>
      </w:r>
      <w:r w:rsidR="00EE6AA2">
        <w:t>е</w:t>
      </w:r>
      <w:r w:rsidR="00872771" w:rsidRPr="00F6340E">
        <w:t xml:space="preserve"> </w:t>
      </w:r>
      <w:r w:rsidR="00A56E08">
        <w:t>ин</w:t>
      </w:r>
      <w:r>
        <w:t>стру</w:t>
      </w:r>
      <w:r w:rsidR="00A56E08">
        <w:t>кција</w:t>
      </w:r>
      <w:r w:rsidR="00872771" w:rsidRPr="00F6340E">
        <w:t xml:space="preserve"> </w:t>
      </w:r>
      <w:r>
        <w:t>пр</w:t>
      </w:r>
      <w:r w:rsidR="00EE6AA2">
        <w:t>е</w:t>
      </w:r>
      <w:r w:rsidR="00A56E08">
        <w:t>ф</w:t>
      </w:r>
      <w:r w:rsidR="00EE6AA2">
        <w:t>е</w:t>
      </w:r>
      <w:r>
        <w:t>р</w:t>
      </w:r>
      <w:r w:rsidR="00EE6AA2">
        <w:t>е</w:t>
      </w:r>
      <w:r w:rsidR="00A56E08">
        <w:t>нцијама</w:t>
      </w:r>
      <w:r w:rsidR="00872771" w:rsidRPr="00F6340E">
        <w:t xml:space="preserve">, </w:t>
      </w:r>
      <w:r>
        <w:t>п</w:t>
      </w:r>
      <w:r w:rsidR="00A56E08">
        <w:t>о</w:t>
      </w:r>
      <w:r>
        <w:t>тр</w:t>
      </w:r>
      <w:r w:rsidR="00EE6AA2">
        <w:t>е</w:t>
      </w:r>
      <w:r w:rsidR="00A56E08">
        <w:t>бама</w:t>
      </w:r>
      <w:r w:rsidR="00872771" w:rsidRPr="00F6340E">
        <w:t xml:space="preserve">, </w:t>
      </w:r>
      <w:r w:rsidR="00A56E08">
        <w:t>али</w:t>
      </w:r>
      <w:r w:rsidR="00872771" w:rsidRPr="00F6340E">
        <w:t xml:space="preserve"> </w:t>
      </w:r>
      <w:r w:rsidR="00A56E08">
        <w:t>и</w:t>
      </w:r>
      <w:r w:rsidR="00872771" w:rsidRPr="00F6340E">
        <w:t xml:space="preserve"> </w:t>
      </w:r>
      <w:r w:rsidR="00A56E08">
        <w:t>ин</w:t>
      </w:r>
      <w:r>
        <w:t>т</w:t>
      </w:r>
      <w:r w:rsidR="00EE6AA2">
        <w:t>е</w:t>
      </w:r>
      <w:r>
        <w:t>р</w:t>
      </w:r>
      <w:r w:rsidR="00EE6AA2">
        <w:t>е</w:t>
      </w:r>
      <w:r>
        <w:t>с</w:t>
      </w:r>
      <w:r w:rsidR="00A56E08">
        <w:t>има</w:t>
      </w:r>
      <w:r w:rsidR="00872771" w:rsidRPr="00F6340E">
        <w:t xml:space="preserve"> </w:t>
      </w:r>
      <w:r>
        <w:t>п</w:t>
      </w:r>
      <w:r w:rsidR="00A56E08">
        <w:t>ој</w:t>
      </w:r>
      <w:r w:rsidR="00EE6AA2">
        <w:t>е</w:t>
      </w:r>
      <w:r w:rsidR="00A56E08">
        <w:t>диног</w:t>
      </w:r>
      <w:r w:rsidR="00872771" w:rsidRPr="00F6340E">
        <w:t xml:space="preserve"> </w:t>
      </w:r>
      <w:r>
        <w:t>у</w:t>
      </w:r>
      <w:r w:rsidR="00CB5414">
        <w:t>ч</w:t>
      </w:r>
      <w:r w:rsidR="00EE6AA2">
        <w:t>е</w:t>
      </w:r>
      <w:r w:rsidR="00A56E08">
        <w:t>ника</w:t>
      </w:r>
      <w:r w:rsidR="004E3DDF" w:rsidRPr="00F6340E">
        <w:t>/</w:t>
      </w:r>
      <w:r>
        <w:t>сту</w:t>
      </w:r>
      <w:r w:rsidR="00A56E08">
        <w:t>д</w:t>
      </w:r>
      <w:r w:rsidR="00EE6AA2">
        <w:t>е</w:t>
      </w:r>
      <w:r w:rsidR="00A56E08">
        <w:t>н</w:t>
      </w:r>
      <w:r>
        <w:t>т</w:t>
      </w:r>
      <w:r w:rsidR="00A56E08">
        <w:t>а</w:t>
      </w:r>
      <w:r w:rsidR="001D6917" w:rsidRPr="00F6340E">
        <w:t>,</w:t>
      </w:r>
      <w:r w:rsidR="00872771" w:rsidRPr="00F6340E">
        <w:t xml:space="preserve"> </w:t>
      </w:r>
      <w:r>
        <w:t>т</w:t>
      </w:r>
      <w:r w:rsidR="00EE6AA2">
        <w:t>е</w:t>
      </w:r>
      <w:r w:rsidR="00693BFB" w:rsidRPr="00F6340E">
        <w:t xml:space="preserve"> </w:t>
      </w:r>
      <w:r w:rsidR="00A56E08">
        <w:t>и</w:t>
      </w:r>
      <w:r>
        <w:t>ст</w:t>
      </w:r>
      <w:r w:rsidR="00A56E08">
        <w:t>о</w:t>
      </w:r>
      <w:r>
        <w:t>вр</w:t>
      </w:r>
      <w:r w:rsidR="00EE6AA2">
        <w:t>е</w:t>
      </w:r>
      <w:r w:rsidR="00A56E08">
        <w:t>м</w:t>
      </w:r>
      <w:r w:rsidR="00EE6AA2">
        <w:t>е</w:t>
      </w:r>
      <w:r w:rsidR="00A56E08">
        <w:t>но</w:t>
      </w:r>
      <w:r w:rsidR="00872771" w:rsidRPr="00F6340E">
        <w:t xml:space="preserve"> </w:t>
      </w:r>
      <w:r>
        <w:t>ув</w:t>
      </w:r>
      <w:r w:rsidR="00A56E08">
        <w:t>а</w:t>
      </w:r>
      <w:r w:rsidR="00171F00">
        <w:t>ж</w:t>
      </w:r>
      <w:r w:rsidR="00A56E08">
        <w:t>а</w:t>
      </w:r>
      <w:r>
        <w:t>в</w:t>
      </w:r>
      <w:r w:rsidR="00A56E08">
        <w:t>ањ</w:t>
      </w:r>
      <w:r w:rsidR="00EE6AA2">
        <w:t>е</w:t>
      </w:r>
      <w:r w:rsidR="00872771" w:rsidRPr="00F6340E">
        <w:t xml:space="preserve"> </w:t>
      </w:r>
      <w:r w:rsidR="00A56E08">
        <w:t>и</w:t>
      </w:r>
      <w:r w:rsidR="00872771" w:rsidRPr="00F6340E">
        <w:t xml:space="preserve"> </w:t>
      </w:r>
      <w:r>
        <w:t>п</w:t>
      </w:r>
      <w:r w:rsidR="00A56E08">
        <w:t>о</w:t>
      </w:r>
      <w:r>
        <w:t>шт</w:t>
      </w:r>
      <w:r w:rsidR="00A56E08">
        <w:t>о</w:t>
      </w:r>
      <w:r>
        <w:t>в</w:t>
      </w:r>
      <w:r w:rsidR="00A56E08">
        <w:t>ањ</w:t>
      </w:r>
      <w:r w:rsidR="00EE6AA2">
        <w:t>е</w:t>
      </w:r>
      <w:r w:rsidR="00872771" w:rsidRPr="00F6340E">
        <w:t xml:space="preserve"> </w:t>
      </w:r>
      <w:r>
        <w:t>у</w:t>
      </w:r>
      <w:r w:rsidR="00A56E08">
        <w:t>ч</w:t>
      </w:r>
      <w:r w:rsidR="00EE6AA2">
        <w:t>е</w:t>
      </w:r>
      <w:r w:rsidR="00A56E08">
        <w:t>ника</w:t>
      </w:r>
      <w:r w:rsidR="004E3DDF" w:rsidRPr="00F6340E">
        <w:t>/</w:t>
      </w:r>
      <w:r>
        <w:t>сту</w:t>
      </w:r>
      <w:r w:rsidR="00A56E08">
        <w:t>д</w:t>
      </w:r>
      <w:r w:rsidR="00EE6AA2">
        <w:t>е</w:t>
      </w:r>
      <w:r w:rsidR="00A56E08">
        <w:t>н</w:t>
      </w:r>
      <w:r>
        <w:t>т</w:t>
      </w:r>
      <w:r w:rsidR="00A56E08">
        <w:t>а</w:t>
      </w:r>
      <w:r w:rsidR="00872771" w:rsidRPr="00F6340E">
        <w:t xml:space="preserve"> </w:t>
      </w:r>
      <w:r w:rsidR="00A56E08">
        <w:t>од</w:t>
      </w:r>
      <w:r w:rsidR="00872771" w:rsidRPr="00F6340E">
        <w:t xml:space="preserve"> </w:t>
      </w:r>
      <w:r>
        <w:t>стр</w:t>
      </w:r>
      <w:r w:rsidR="00A56E08">
        <w:t>ан</w:t>
      </w:r>
      <w:r w:rsidR="00EE6AA2">
        <w:t>е</w:t>
      </w:r>
      <w:r w:rsidR="00872771" w:rsidRPr="00F6340E">
        <w:t xml:space="preserve"> </w:t>
      </w:r>
      <w:r w:rsidR="00A56E08">
        <w:t>на</w:t>
      </w:r>
      <w:r>
        <w:t>ст</w:t>
      </w:r>
      <w:r w:rsidR="00A56E08">
        <w:t>а</w:t>
      </w:r>
      <w:r>
        <w:t>в</w:t>
      </w:r>
      <w:r w:rsidR="00A56E08">
        <w:t>ника</w:t>
      </w:r>
      <w:r w:rsidR="00693BFB" w:rsidRPr="00F6340E">
        <w:t>.</w:t>
      </w:r>
      <w:r w:rsidR="00872771" w:rsidRPr="00F6340E">
        <w:t xml:space="preserve"> </w:t>
      </w:r>
      <w:r w:rsidR="00A56E08">
        <w:t>О</w:t>
      </w:r>
      <w:r>
        <w:t>в</w:t>
      </w:r>
      <w:r w:rsidR="00A56E08">
        <w:t>ај</w:t>
      </w:r>
      <w:r w:rsidR="00872771" w:rsidRPr="00F6340E">
        <w:t xml:space="preserve"> </w:t>
      </w:r>
      <w:r>
        <w:t>пр</w:t>
      </w:r>
      <w:r w:rsidR="00A56E08">
        <w:t>и</w:t>
      </w:r>
      <w:r>
        <w:t>ступ</w:t>
      </w:r>
      <w:r w:rsidR="00872771"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872771" w:rsidRPr="00F6340E">
        <w:t xml:space="preserve"> </w:t>
      </w:r>
      <w:r w:rsidR="00A56E08">
        <w:t>н</w:t>
      </w:r>
      <w:r w:rsidR="00EE6AA2">
        <w:t>е</w:t>
      </w:r>
      <w:r w:rsidR="00872771" w:rsidRPr="00F6340E">
        <w:t xml:space="preserve"> </w:t>
      </w:r>
      <w:r>
        <w:t>с</w:t>
      </w:r>
      <w:r w:rsidR="00A56E08">
        <w:t>амо</w:t>
      </w:r>
      <w:r w:rsidR="00872771" w:rsidRPr="00F6340E">
        <w:t xml:space="preserve"> </w:t>
      </w:r>
      <w:r>
        <w:t>пр</w:t>
      </w:r>
      <w:r w:rsidR="00A56E08">
        <w:t>а</w:t>
      </w:r>
      <w:r>
        <w:t>в</w:t>
      </w:r>
      <w:r w:rsidR="00A56E08">
        <w:t>о</w:t>
      </w:r>
      <w:r w:rsidR="00872771" w:rsidRPr="00F6340E">
        <w:t xml:space="preserve"> </w:t>
      </w:r>
      <w:r w:rsidR="00A56E08">
        <w:t>на</w:t>
      </w:r>
      <w:r w:rsidR="00872771" w:rsidRPr="00F6340E">
        <w:t xml:space="preserve">, </w:t>
      </w:r>
      <w:r>
        <w:t>у</w:t>
      </w:r>
      <w:r w:rsidR="00872771" w:rsidRPr="00F6340E">
        <w:t xml:space="preserve"> </w:t>
      </w:r>
      <w:r w:rsidR="00A56E08">
        <w:t>и</w:t>
      </w:r>
      <w:r w:rsidR="00872771" w:rsidRPr="00F6340E">
        <w:t xml:space="preserve"> </w:t>
      </w:r>
      <w:r w:rsidR="00A56E08">
        <w:t>к</w:t>
      </w:r>
      <w:r>
        <w:t>р</w:t>
      </w:r>
      <w:r w:rsidR="00A56E08">
        <w:t>о</w:t>
      </w:r>
      <w:r w:rsidR="00171F00">
        <w:t>з</w:t>
      </w:r>
      <w:r w:rsidR="00872771" w:rsidRPr="00F6340E">
        <w:t xml:space="preserve"> </w:t>
      </w:r>
      <w:r w:rsidR="00A56E08">
        <w:t>об</w:t>
      </w:r>
      <w:r>
        <w:t>р</w:t>
      </w:r>
      <w:r w:rsidR="00A56E08">
        <w:t>а</w:t>
      </w:r>
      <w:r w:rsidR="00171F00">
        <w:t>з</w:t>
      </w:r>
      <w:r w:rsidR="00A56E08">
        <w:t>о</w:t>
      </w:r>
      <w:r>
        <w:t>в</w:t>
      </w:r>
      <w:r w:rsidR="00A56E08">
        <w:t>ањ</w:t>
      </w:r>
      <w:r w:rsidR="00EE6AA2">
        <w:t>е</w:t>
      </w:r>
      <w:r w:rsidR="00872771" w:rsidRPr="00F6340E">
        <w:t xml:space="preserve"> </w:t>
      </w:r>
      <w:r>
        <w:t>в</w:t>
      </w:r>
      <w:r w:rsidR="00EE6AA2">
        <w:t>е</w:t>
      </w:r>
      <w:r w:rsidR="00A56E08">
        <w:t>ћ</w:t>
      </w:r>
      <w:r w:rsidR="00872771" w:rsidRPr="00F6340E">
        <w:t xml:space="preserve"> </w:t>
      </w:r>
      <w:r w:rsidR="00A56E08">
        <w:t>и</w:t>
      </w:r>
      <w:r w:rsidR="00872771" w:rsidRPr="00F6340E">
        <w:t xml:space="preserve"> </w:t>
      </w:r>
      <w:r>
        <w:t>пр</w:t>
      </w:r>
      <w:r w:rsidR="00A56E08">
        <w:t>и</w:t>
      </w:r>
      <w:r>
        <w:t>п</w:t>
      </w:r>
      <w:r w:rsidR="00A56E08">
        <w:t>адај</w:t>
      </w:r>
      <w:r>
        <w:t>у</w:t>
      </w:r>
      <w:r w:rsidR="00A56E08">
        <w:t>ћ</w:t>
      </w:r>
      <w:r w:rsidR="00EE6AA2">
        <w:t>е</w:t>
      </w:r>
      <w:r w:rsidR="00872771" w:rsidRPr="00F6340E">
        <w:t xml:space="preserve"> </w:t>
      </w:r>
      <w:r w:rsidR="00A56E08">
        <w:t>одго</w:t>
      </w:r>
      <w:r>
        <w:t>в</w:t>
      </w:r>
      <w:r w:rsidR="00A56E08">
        <w:t>о</w:t>
      </w:r>
      <w:r>
        <w:t>р</w:t>
      </w:r>
      <w:r w:rsidR="00A56E08">
        <w:t>но</w:t>
      </w:r>
      <w:r>
        <w:t>ст</w:t>
      </w:r>
      <w:r w:rsidR="00A56E08">
        <w:t>и</w:t>
      </w:r>
      <w:r w:rsidR="00872771" w:rsidRPr="00F6340E">
        <w:t xml:space="preserve"> </w:t>
      </w:r>
      <w:r w:rsidR="00A56E08">
        <w:t>кој</w:t>
      </w:r>
      <w:r w:rsidR="00EE6AA2">
        <w:t>е</w:t>
      </w:r>
      <w:r w:rsidR="00872771" w:rsidRPr="00F6340E">
        <w:t xml:space="preserve"> </w:t>
      </w:r>
      <w:r>
        <w:t>пр</w:t>
      </w:r>
      <w:r w:rsidR="00A56E08">
        <w:t>ои</w:t>
      </w:r>
      <w:r w:rsidR="00171F00">
        <w:t>з</w:t>
      </w:r>
      <w:r w:rsidR="00A56E08">
        <w:t>ла</w:t>
      </w:r>
      <w:r w:rsidR="00171F00">
        <w:t>з</w:t>
      </w:r>
      <w:r w:rsidR="00EE6AA2">
        <w:t>е</w:t>
      </w:r>
      <w:r w:rsidR="00872771" w:rsidRPr="00F6340E">
        <w:t xml:space="preserve"> </w:t>
      </w:r>
      <w:r w:rsidR="00A56E08">
        <w:t>и</w:t>
      </w:r>
      <w:r w:rsidR="00171F00">
        <w:t>з</w:t>
      </w:r>
      <w:r w:rsidR="00872771" w:rsidRPr="00F6340E">
        <w:t xml:space="preserve"> </w:t>
      </w:r>
      <w:r>
        <w:t>т</w:t>
      </w:r>
      <w:r w:rsidR="00A56E08">
        <w:t>их</w:t>
      </w:r>
      <w:r w:rsidR="00872771" w:rsidRPr="00F6340E">
        <w:t xml:space="preserve"> </w:t>
      </w:r>
      <w:r>
        <w:t>пр</w:t>
      </w:r>
      <w:r w:rsidR="00A56E08">
        <w:t>а</w:t>
      </w:r>
      <w:r>
        <w:t>в</w:t>
      </w:r>
      <w:r w:rsidR="00A56E08">
        <w:t>а</w:t>
      </w:r>
      <w:r w:rsidR="00872771" w:rsidRPr="00F6340E">
        <w:t xml:space="preserve">. </w:t>
      </w:r>
    </w:p>
    <w:p w14:paraId="605F30BC" w14:textId="3F74D5B5" w:rsidR="001716AB" w:rsidRPr="00F6340E" w:rsidRDefault="0071360A" w:rsidP="00210EE1">
      <w:pPr>
        <w:pStyle w:val="Body"/>
      </w:pPr>
      <w:r>
        <w:t>Пр</w:t>
      </w:r>
      <w:r w:rsidR="00A56E08">
        <w:t>имј</w:t>
      </w:r>
      <w:r w:rsidR="00EE6AA2">
        <w:t>е</w:t>
      </w:r>
      <w:r w:rsidR="00A56E08">
        <w:t>на</w:t>
      </w:r>
      <w:r w:rsidR="001716AB" w:rsidRPr="00F6340E">
        <w:t xml:space="preserve"> </w:t>
      </w:r>
      <w:r w:rsidR="00A56E08">
        <w:rPr>
          <w:rStyle w:val="y2iqfc"/>
          <w:rFonts w:cs="Arial"/>
          <w:color w:val="000000" w:themeColor="text1"/>
          <w:szCs w:val="24"/>
        </w:rPr>
        <w:t>ИК</w:t>
      </w:r>
      <w:r>
        <w:rPr>
          <w:rStyle w:val="y2iqfc"/>
          <w:rFonts w:cs="Arial"/>
          <w:color w:val="000000" w:themeColor="text1"/>
          <w:szCs w:val="24"/>
        </w:rPr>
        <w:t>Т</w:t>
      </w:r>
      <w:r w:rsidR="001D6917" w:rsidRPr="00F6340E">
        <w:rPr>
          <w:rStyle w:val="y2iqfc"/>
          <w:rFonts w:cs="Arial"/>
          <w:color w:val="000000" w:themeColor="text1"/>
          <w:szCs w:val="24"/>
        </w:rPr>
        <w:t>-</w:t>
      </w:r>
      <w:r w:rsidR="00A56E08">
        <w:rPr>
          <w:rStyle w:val="y2iqfc"/>
          <w:rFonts w:cs="Arial"/>
          <w:color w:val="000000" w:themeColor="text1"/>
          <w:szCs w:val="24"/>
        </w:rPr>
        <w:t>а</w:t>
      </w:r>
      <w:r w:rsidR="000059CE" w:rsidRPr="00F6340E">
        <w:rPr>
          <w:rStyle w:val="y2iqfc"/>
          <w:rFonts w:cs="Arial"/>
          <w:color w:val="000000" w:themeColor="text1"/>
          <w:szCs w:val="24"/>
        </w:rPr>
        <w:t xml:space="preserve"> </w:t>
      </w:r>
      <w:r>
        <w:rPr>
          <w:rStyle w:val="y2iqfc"/>
          <w:rFonts w:cs="Arial"/>
          <w:color w:val="000000" w:themeColor="text1"/>
          <w:szCs w:val="24"/>
        </w:rPr>
        <w:t>у</w:t>
      </w:r>
      <w:r w:rsidR="000059CE"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оц</w:t>
      </w:r>
      <w:r w:rsidR="00EE6AA2">
        <w:rPr>
          <w:rStyle w:val="y2iqfc"/>
          <w:rFonts w:cs="Arial"/>
          <w:color w:val="000000" w:themeColor="text1"/>
          <w:szCs w:val="24"/>
        </w:rPr>
        <w:t>е</w:t>
      </w:r>
      <w:r>
        <w:rPr>
          <w:rStyle w:val="y2iqfc"/>
          <w:rFonts w:cs="Arial"/>
          <w:color w:val="000000" w:themeColor="text1"/>
          <w:szCs w:val="24"/>
        </w:rPr>
        <w:t>су</w:t>
      </w:r>
      <w:r w:rsidR="000059CE"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ња</w:t>
      </w:r>
      <w:r w:rsidR="000059CE" w:rsidRPr="00F6340E">
        <w:rPr>
          <w:rStyle w:val="y2iqfc"/>
          <w:rFonts w:cs="Arial"/>
          <w:color w:val="000000" w:themeColor="text1"/>
          <w:szCs w:val="24"/>
        </w:rPr>
        <w:t xml:space="preserve"> </w:t>
      </w:r>
      <w:r w:rsidR="00A56E08">
        <w:rPr>
          <w:rStyle w:val="y2iqfc"/>
          <w:rFonts w:cs="Arial"/>
          <w:color w:val="000000" w:themeColor="text1"/>
          <w:szCs w:val="24"/>
        </w:rPr>
        <w:t>и</w:t>
      </w:r>
      <w:r w:rsidR="000059CE"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од</w:t>
      </w:r>
      <w:r>
        <w:rPr>
          <w:rStyle w:val="y2iqfc"/>
          <w:rFonts w:cs="Arial"/>
          <w:color w:val="000000" w:themeColor="text1"/>
          <w:szCs w:val="24"/>
        </w:rPr>
        <w:t>у</w:t>
      </w:r>
      <w:r w:rsidR="00A56E08">
        <w:rPr>
          <w:rStyle w:val="y2iqfc"/>
          <w:rFonts w:cs="Arial"/>
          <w:color w:val="000000" w:themeColor="text1"/>
          <w:szCs w:val="24"/>
        </w:rPr>
        <w:t>ча</w:t>
      </w:r>
      <w:r>
        <w:rPr>
          <w:rStyle w:val="y2iqfc"/>
          <w:rFonts w:cs="Arial"/>
          <w:color w:val="000000" w:themeColor="text1"/>
          <w:szCs w:val="24"/>
        </w:rPr>
        <w:t>в</w:t>
      </w:r>
      <w:r w:rsidR="00A56E08">
        <w:rPr>
          <w:rStyle w:val="y2iqfc"/>
          <w:rFonts w:cs="Arial"/>
          <w:color w:val="000000" w:themeColor="text1"/>
          <w:szCs w:val="24"/>
        </w:rPr>
        <w:t>ања</w:t>
      </w:r>
      <w:r w:rsidR="000059CE" w:rsidRPr="00F6340E">
        <w:rPr>
          <w:rStyle w:val="y2iqfc"/>
          <w:rFonts w:cs="Arial"/>
          <w:color w:val="000000" w:themeColor="text1"/>
          <w:szCs w:val="24"/>
        </w:rPr>
        <w:t xml:space="preserve"> </w:t>
      </w:r>
      <w:r w:rsidR="00A56E08">
        <w:rPr>
          <w:rStyle w:val="y2iqfc"/>
          <w:rFonts w:cs="Arial"/>
          <w:color w:val="000000" w:themeColor="text1"/>
          <w:szCs w:val="24"/>
        </w:rPr>
        <w:t>к</w:t>
      </w:r>
      <w:r>
        <w:rPr>
          <w:rStyle w:val="y2iqfc"/>
          <w:rFonts w:cs="Arial"/>
          <w:color w:val="000000" w:themeColor="text1"/>
          <w:szCs w:val="24"/>
        </w:rPr>
        <w:t>р</w:t>
      </w:r>
      <w:r w:rsidR="00A56E08">
        <w:rPr>
          <w:rStyle w:val="y2iqfc"/>
          <w:rFonts w:cs="Arial"/>
          <w:color w:val="000000" w:themeColor="text1"/>
          <w:szCs w:val="24"/>
        </w:rPr>
        <w:t>о</w:t>
      </w:r>
      <w:r w:rsidR="00171F00">
        <w:rPr>
          <w:rStyle w:val="y2iqfc"/>
          <w:rFonts w:cs="Arial"/>
          <w:color w:val="000000" w:themeColor="text1"/>
          <w:szCs w:val="24"/>
        </w:rPr>
        <w:t>з</w:t>
      </w:r>
      <w:r w:rsidR="000059CE" w:rsidRPr="00F6340E">
        <w:rPr>
          <w:rStyle w:val="y2iqfc"/>
          <w:rFonts w:cs="Arial"/>
          <w:color w:val="000000" w:themeColor="text1"/>
          <w:szCs w:val="24"/>
        </w:rPr>
        <w:t xml:space="preserve"> </w:t>
      </w:r>
      <w:r w:rsidR="00A56E08">
        <w:rPr>
          <w:rStyle w:val="y2iqfc"/>
          <w:rFonts w:cs="Arial"/>
          <w:color w:val="000000" w:themeColor="text1"/>
          <w:szCs w:val="24"/>
        </w:rPr>
        <w:t>мод</w:t>
      </w:r>
      <w:r w:rsidR="00EE6AA2">
        <w:rPr>
          <w:rStyle w:val="y2iqfc"/>
          <w:rFonts w:cs="Arial"/>
          <w:color w:val="000000" w:themeColor="text1"/>
          <w:szCs w:val="24"/>
        </w:rPr>
        <w:t>е</w:t>
      </w:r>
      <w:r w:rsidR="00A56E08">
        <w:rPr>
          <w:rStyle w:val="y2iqfc"/>
          <w:rFonts w:cs="Arial"/>
          <w:color w:val="000000" w:themeColor="text1"/>
          <w:szCs w:val="24"/>
        </w:rPr>
        <w:t>л</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на</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EE6AA2">
        <w:rPr>
          <w:rStyle w:val="y2iqfc"/>
          <w:rFonts w:cs="Arial"/>
          <w:color w:val="000000" w:themeColor="text1"/>
          <w:szCs w:val="24"/>
        </w:rPr>
        <w:t>е</w:t>
      </w:r>
      <w:r w:rsidR="001D6917" w:rsidRPr="00F6340E">
        <w:rPr>
          <w:rStyle w:val="y2iqfc"/>
          <w:rFonts w:cs="Arial"/>
          <w:color w:val="000000" w:themeColor="text1"/>
          <w:szCs w:val="24"/>
        </w:rPr>
        <w:t xml:space="preserve"> </w:t>
      </w:r>
      <w:r>
        <w:rPr>
          <w:rStyle w:val="y2iqfc"/>
          <w:rFonts w:cs="Arial"/>
          <w:color w:val="000000" w:themeColor="text1"/>
          <w:szCs w:val="24"/>
        </w:rPr>
        <w:t>пут</w:t>
      </w:r>
      <w:r w:rsidR="00EE6AA2">
        <w:rPr>
          <w:rStyle w:val="y2iqfc"/>
          <w:rFonts w:cs="Arial"/>
          <w:color w:val="000000" w:themeColor="text1"/>
          <w:szCs w:val="24"/>
        </w:rPr>
        <w:t>е</w:t>
      </w:r>
      <w:r w:rsidR="00A56E08">
        <w:rPr>
          <w:rStyle w:val="y2iqfc"/>
          <w:rFonts w:cs="Arial"/>
          <w:color w:val="000000" w:themeColor="text1"/>
          <w:szCs w:val="24"/>
        </w:rPr>
        <w:t>м</w:t>
      </w:r>
      <w:r w:rsidR="001D6917" w:rsidRPr="00F6340E">
        <w:rPr>
          <w:rStyle w:val="y2iqfc"/>
          <w:rFonts w:cs="Arial"/>
          <w:color w:val="000000" w:themeColor="text1"/>
          <w:szCs w:val="24"/>
        </w:rPr>
        <w:t xml:space="preserve"> </w:t>
      </w:r>
      <w:r w:rsidR="00A56E08">
        <w:rPr>
          <w:rStyle w:val="y2iqfc"/>
          <w:rFonts w:cs="Arial"/>
          <w:color w:val="000000" w:themeColor="text1"/>
          <w:szCs w:val="24"/>
        </w:rPr>
        <w:t>ин</w:t>
      </w:r>
      <w:r>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р</w:t>
      </w:r>
      <w:r w:rsidR="00A56E08">
        <w:rPr>
          <w:rStyle w:val="y2iqfc"/>
          <w:rFonts w:cs="Arial"/>
          <w:color w:val="000000" w:themeColor="text1"/>
          <w:szCs w:val="24"/>
        </w:rPr>
        <w:t>н</w:t>
      </w:r>
      <w:r w:rsidR="00EE6AA2">
        <w:rPr>
          <w:rStyle w:val="y2iqfc"/>
          <w:rFonts w:cs="Arial"/>
          <w:color w:val="000000" w:themeColor="text1"/>
          <w:szCs w:val="24"/>
        </w:rPr>
        <w:t>е</w:t>
      </w:r>
      <w:r>
        <w:rPr>
          <w:rStyle w:val="y2iqfc"/>
          <w:rFonts w:cs="Arial"/>
          <w:color w:val="000000" w:themeColor="text1"/>
          <w:szCs w:val="24"/>
        </w:rPr>
        <w:t>т</w:t>
      </w:r>
      <w:r w:rsidR="00A56E08">
        <w:rPr>
          <w:rStyle w:val="y2iqfc"/>
          <w:rFonts w:cs="Arial"/>
          <w:color w:val="000000" w:themeColor="text1"/>
          <w:szCs w:val="24"/>
        </w:rPr>
        <w:t>а</w:t>
      </w:r>
      <w:r w:rsidR="001716AB" w:rsidRPr="00F6340E">
        <w:rPr>
          <w:rStyle w:val="y2iqfc"/>
          <w:rFonts w:cs="Arial"/>
          <w:color w:val="000000" w:themeColor="text1"/>
          <w:szCs w:val="24"/>
        </w:rPr>
        <w:t xml:space="preserve"> </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sidR="00A56E08">
        <w:rPr>
          <w:rStyle w:val="y2iqfc"/>
          <w:rFonts w:cs="Arial"/>
          <w:color w:val="000000" w:themeColor="text1"/>
          <w:szCs w:val="24"/>
        </w:rPr>
        <w:t>комбино</w:t>
      </w:r>
      <w:r>
        <w:rPr>
          <w:rStyle w:val="y2iqfc"/>
          <w:rFonts w:cs="Arial"/>
          <w:color w:val="000000" w:themeColor="text1"/>
          <w:szCs w:val="24"/>
        </w:rPr>
        <w:t>в</w:t>
      </w:r>
      <w:r w:rsidR="00A56E08">
        <w:rPr>
          <w:rStyle w:val="y2iqfc"/>
          <w:rFonts w:cs="Arial"/>
          <w:color w:val="000000" w:themeColor="text1"/>
          <w:szCs w:val="24"/>
        </w:rPr>
        <w:t>ан</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на</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Pr>
          <w:rStyle w:val="y2iqfc"/>
          <w:rFonts w:cs="Arial"/>
          <w:color w:val="000000" w:themeColor="text1"/>
          <w:szCs w:val="24"/>
        </w:rPr>
        <w:t>пру</w:t>
      </w:r>
      <w:r w:rsidR="00171F00">
        <w:rPr>
          <w:rStyle w:val="y2iqfc"/>
          <w:rFonts w:cs="Arial"/>
          <w:color w:val="000000" w:themeColor="text1"/>
          <w:szCs w:val="24"/>
        </w:rPr>
        <w:t>ж</w:t>
      </w:r>
      <w:r w:rsidR="00A56E08">
        <w:rPr>
          <w:rStyle w:val="y2iqfc"/>
          <w:rFonts w:cs="Arial"/>
          <w:color w:val="000000" w:themeColor="text1"/>
          <w:szCs w:val="24"/>
        </w:rPr>
        <w:t>а</w:t>
      </w:r>
      <w:r w:rsidR="001716AB" w:rsidRPr="00F6340E">
        <w:rPr>
          <w:rStyle w:val="y2iqfc"/>
          <w:rFonts w:cs="Arial"/>
          <w:color w:val="000000" w:themeColor="text1"/>
          <w:szCs w:val="24"/>
        </w:rPr>
        <w:t xml:space="preserve"> </w:t>
      </w:r>
      <w:r w:rsidR="00A56E08">
        <w:rPr>
          <w:rStyle w:val="y2iqfc"/>
          <w:rFonts w:cs="Arial"/>
          <w:color w:val="000000" w:themeColor="text1"/>
          <w:szCs w:val="24"/>
        </w:rPr>
        <w:t>но</w:t>
      </w:r>
      <w:r>
        <w:rPr>
          <w:rStyle w:val="y2iqfc"/>
          <w:rFonts w:cs="Arial"/>
          <w:color w:val="000000" w:themeColor="text1"/>
          <w:szCs w:val="24"/>
        </w:rPr>
        <w:t>в</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фл</w:t>
      </w:r>
      <w:r w:rsidR="00EE6AA2">
        <w:rPr>
          <w:rStyle w:val="y2iqfc"/>
          <w:rFonts w:cs="Arial"/>
          <w:color w:val="000000" w:themeColor="text1"/>
          <w:szCs w:val="24"/>
        </w:rPr>
        <w:t>е</w:t>
      </w:r>
      <w:r w:rsidR="00A56E08">
        <w:rPr>
          <w:rStyle w:val="y2iqfc"/>
          <w:rFonts w:cs="Arial"/>
          <w:color w:val="000000" w:themeColor="text1"/>
          <w:szCs w:val="24"/>
        </w:rPr>
        <w:t>к</w:t>
      </w:r>
      <w:r>
        <w:rPr>
          <w:rStyle w:val="y2iqfc"/>
          <w:rFonts w:cs="Arial"/>
          <w:color w:val="000000" w:themeColor="text1"/>
          <w:szCs w:val="24"/>
        </w:rPr>
        <w:t>с</w:t>
      </w:r>
      <w:r w:rsidR="00A56E08">
        <w:rPr>
          <w:rStyle w:val="y2iqfc"/>
          <w:rFonts w:cs="Arial"/>
          <w:color w:val="000000" w:themeColor="text1"/>
          <w:szCs w:val="24"/>
        </w:rPr>
        <w:t>ибилниј</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и</w:t>
      </w:r>
      <w:r>
        <w:rPr>
          <w:rStyle w:val="y2iqfc"/>
          <w:rFonts w:cs="Arial"/>
          <w:color w:val="000000" w:themeColor="text1"/>
          <w:szCs w:val="24"/>
        </w:rPr>
        <w:t>ступ</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к</w:t>
      </w:r>
      <w:r>
        <w:rPr>
          <w:rStyle w:val="y2iqfc"/>
          <w:rFonts w:cs="Arial"/>
          <w:color w:val="000000" w:themeColor="text1"/>
          <w:szCs w:val="24"/>
        </w:rPr>
        <w:t>в</w:t>
      </w:r>
      <w:r w:rsidR="00A56E08">
        <w:rPr>
          <w:rStyle w:val="y2iqfc"/>
          <w:rFonts w:cs="Arial"/>
          <w:color w:val="000000" w:themeColor="text1"/>
          <w:szCs w:val="24"/>
        </w:rPr>
        <w:t>али</w:t>
      </w:r>
      <w:r>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т</w:t>
      </w:r>
      <w:r w:rsidR="00A56E08">
        <w:rPr>
          <w:rStyle w:val="y2iqfc"/>
          <w:rFonts w:cs="Arial"/>
          <w:color w:val="000000" w:themeColor="text1"/>
          <w:szCs w:val="24"/>
        </w:rPr>
        <w:t>ној</w:t>
      </w:r>
      <w:r w:rsidR="001716AB" w:rsidRPr="00F6340E">
        <w:rPr>
          <w:rStyle w:val="y2iqfc"/>
          <w:rFonts w:cs="Arial"/>
          <w:color w:val="000000" w:themeColor="text1"/>
          <w:szCs w:val="24"/>
        </w:rPr>
        <w:t xml:space="preserve"> </w:t>
      </w:r>
      <w:r w:rsidR="00A56E08">
        <w:rPr>
          <w:rStyle w:val="y2iqfc"/>
          <w:rFonts w:cs="Arial"/>
          <w:color w:val="000000" w:themeColor="text1"/>
          <w:szCs w:val="24"/>
        </w:rPr>
        <w:t>на</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Pr>
          <w:rStyle w:val="y2iqfc"/>
          <w:rFonts w:cs="Arial"/>
          <w:color w:val="000000" w:themeColor="text1"/>
          <w:szCs w:val="24"/>
        </w:rPr>
        <w:t>с</w:t>
      </w:r>
      <w:r w:rsidR="00A56E08">
        <w:rPr>
          <w:rStyle w:val="y2iqfc"/>
          <w:rFonts w:cs="Arial"/>
          <w:color w:val="000000" w:themeColor="text1"/>
          <w:szCs w:val="24"/>
        </w:rPr>
        <w:t>ад</w:t>
      </w:r>
      <w:r>
        <w:rPr>
          <w:rStyle w:val="y2iqfc"/>
          <w:rFonts w:cs="Arial"/>
          <w:color w:val="000000" w:themeColor="text1"/>
          <w:szCs w:val="24"/>
        </w:rPr>
        <w:t>р</w:t>
      </w:r>
      <w:r w:rsidR="00171F00">
        <w:rPr>
          <w:rStyle w:val="y2iqfc"/>
          <w:rFonts w:cs="Arial"/>
          <w:color w:val="000000" w:themeColor="text1"/>
          <w:szCs w:val="24"/>
        </w:rPr>
        <w:t>ж</w:t>
      </w:r>
      <w:r w:rsidR="00A56E08">
        <w:rPr>
          <w:rStyle w:val="y2iqfc"/>
          <w:rFonts w:cs="Arial"/>
          <w:color w:val="000000" w:themeColor="text1"/>
          <w:szCs w:val="24"/>
        </w:rPr>
        <w:t>ајима</w:t>
      </w:r>
      <w:r w:rsidR="001716AB"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1716AB"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њ</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sidR="00A56E08">
        <w:rPr>
          <w:rStyle w:val="y2iqfc"/>
          <w:rFonts w:cs="Arial"/>
          <w:color w:val="000000" w:themeColor="text1"/>
          <w:szCs w:val="24"/>
        </w:rPr>
        <w:t>д</w:t>
      </w:r>
      <w:r>
        <w:rPr>
          <w:rStyle w:val="y2iqfc"/>
          <w:rFonts w:cs="Arial"/>
          <w:color w:val="000000" w:themeColor="text1"/>
          <w:szCs w:val="24"/>
        </w:rPr>
        <w:t>ру</w:t>
      </w:r>
      <w:r w:rsidR="00A56E08">
        <w:rPr>
          <w:rStyle w:val="y2iqfc"/>
          <w:rFonts w:cs="Arial"/>
          <w:color w:val="000000" w:themeColor="text1"/>
          <w:szCs w:val="24"/>
        </w:rPr>
        <w:t>гим</w:t>
      </w:r>
      <w:r w:rsidR="001716AB"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ним</w:t>
      </w:r>
      <w:r w:rsidR="001716AB" w:rsidRPr="00F6340E">
        <w:rPr>
          <w:rStyle w:val="y2iqfc"/>
          <w:rFonts w:cs="Arial"/>
          <w:color w:val="000000" w:themeColor="text1"/>
          <w:szCs w:val="24"/>
        </w:rPr>
        <w:t xml:space="preserve"> </w:t>
      </w:r>
      <w:r>
        <w:rPr>
          <w:rStyle w:val="y2iqfc"/>
          <w:rFonts w:cs="Arial"/>
          <w:color w:val="000000" w:themeColor="text1"/>
          <w:szCs w:val="24"/>
        </w:rPr>
        <w:t>р</w:t>
      </w:r>
      <w:r w:rsidR="00EE6AA2">
        <w:rPr>
          <w:rStyle w:val="y2iqfc"/>
          <w:rFonts w:cs="Arial"/>
          <w:color w:val="000000" w:themeColor="text1"/>
          <w:szCs w:val="24"/>
        </w:rPr>
        <w:t>е</w:t>
      </w:r>
      <w:r>
        <w:rPr>
          <w:rStyle w:val="y2iqfc"/>
          <w:rFonts w:cs="Arial"/>
          <w:color w:val="000000" w:themeColor="text1"/>
          <w:szCs w:val="24"/>
        </w:rPr>
        <w:t>сурс</w:t>
      </w:r>
      <w:r w:rsidR="00A56E08">
        <w:rPr>
          <w:rStyle w:val="y2iqfc"/>
          <w:rFonts w:cs="Arial"/>
          <w:color w:val="000000" w:themeColor="text1"/>
          <w:szCs w:val="24"/>
        </w:rPr>
        <w:t>има</w:t>
      </w:r>
      <w:r w:rsidR="000059CE" w:rsidRPr="00F6340E">
        <w:rPr>
          <w:rStyle w:val="y2iqfc"/>
          <w:rFonts w:cs="Arial"/>
          <w:color w:val="000000" w:themeColor="text1"/>
          <w:szCs w:val="24"/>
        </w:rPr>
        <w:t xml:space="preserve">. </w:t>
      </w:r>
      <w:r w:rsidR="00A56E08">
        <w:rPr>
          <w:rStyle w:val="y2iqfc"/>
          <w:rFonts w:cs="Arial"/>
          <w:color w:val="000000" w:themeColor="text1"/>
          <w:szCs w:val="24"/>
        </w:rPr>
        <w:t>Омог</w:t>
      </w:r>
      <w:r>
        <w:rPr>
          <w:rStyle w:val="y2iqfc"/>
          <w:rFonts w:cs="Arial"/>
          <w:color w:val="000000" w:themeColor="text1"/>
          <w:szCs w:val="24"/>
        </w:rPr>
        <w:t>у</w:t>
      </w:r>
      <w:r w:rsidR="00A56E08">
        <w:rPr>
          <w:rStyle w:val="y2iqfc"/>
          <w:rFonts w:cs="Arial"/>
          <w:color w:val="000000" w:themeColor="text1"/>
          <w:szCs w:val="24"/>
        </w:rPr>
        <w:t>ћа</w:t>
      </w:r>
      <w:r>
        <w:rPr>
          <w:rStyle w:val="y2iqfc"/>
          <w:rFonts w:cs="Arial"/>
          <w:color w:val="000000" w:themeColor="text1"/>
          <w:szCs w:val="24"/>
        </w:rPr>
        <w:t>в</w:t>
      </w:r>
      <w:r w:rsidR="00A56E08">
        <w:rPr>
          <w:rStyle w:val="y2iqfc"/>
          <w:rFonts w:cs="Arial"/>
          <w:color w:val="000000" w:themeColor="text1"/>
          <w:szCs w:val="24"/>
        </w:rPr>
        <w:t>а</w:t>
      </w:r>
      <w:r w:rsidR="000059CE"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њ</w:t>
      </w:r>
      <w:r w:rsidR="00EE6AA2">
        <w:rPr>
          <w:rStyle w:val="y2iqfc"/>
          <w:rFonts w:cs="Arial"/>
          <w:color w:val="000000" w:themeColor="text1"/>
          <w:szCs w:val="24"/>
        </w:rPr>
        <w:t>е</w:t>
      </w:r>
      <w:r w:rsidR="000059CE" w:rsidRPr="00F6340E">
        <w:rPr>
          <w:rStyle w:val="y2iqfc"/>
          <w:rFonts w:cs="Arial"/>
          <w:color w:val="000000" w:themeColor="text1"/>
          <w:szCs w:val="24"/>
        </w:rPr>
        <w:t xml:space="preserve"> </w:t>
      </w:r>
      <w:r w:rsidR="00A56E08">
        <w:rPr>
          <w:rStyle w:val="y2iqfc"/>
          <w:rFonts w:cs="Arial"/>
          <w:color w:val="000000" w:themeColor="text1"/>
          <w:szCs w:val="24"/>
        </w:rPr>
        <w:t>и</w:t>
      </w:r>
      <w:r w:rsidR="000059CE"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од</w:t>
      </w:r>
      <w:r>
        <w:rPr>
          <w:rStyle w:val="y2iqfc"/>
          <w:rFonts w:cs="Arial"/>
          <w:color w:val="000000" w:themeColor="text1"/>
          <w:szCs w:val="24"/>
        </w:rPr>
        <w:t>у</w:t>
      </w:r>
      <w:r w:rsidR="00A56E08">
        <w:rPr>
          <w:rStyle w:val="y2iqfc"/>
          <w:rFonts w:cs="Arial"/>
          <w:color w:val="000000" w:themeColor="text1"/>
          <w:szCs w:val="24"/>
        </w:rPr>
        <w:t>ча</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0059CE"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Pr>
          <w:rStyle w:val="y2iqfc"/>
          <w:rFonts w:cs="Arial"/>
          <w:color w:val="000000" w:themeColor="text1"/>
          <w:szCs w:val="24"/>
        </w:rPr>
        <w:t>с</w:t>
      </w:r>
      <w:r w:rsidR="00A56E08">
        <w:rPr>
          <w:rStyle w:val="y2iqfc"/>
          <w:rFonts w:cs="Arial"/>
          <w:color w:val="000000" w:themeColor="text1"/>
          <w:szCs w:val="24"/>
        </w:rPr>
        <w:t>но</w:t>
      </w:r>
      <w:r>
        <w:rPr>
          <w:rStyle w:val="y2iqfc"/>
          <w:rFonts w:cs="Arial"/>
          <w:color w:val="000000" w:themeColor="text1"/>
          <w:szCs w:val="24"/>
        </w:rPr>
        <w:t>в</w:t>
      </w:r>
      <w:r w:rsidR="00A56E08">
        <w:rPr>
          <w:rStyle w:val="y2iqfc"/>
          <w:rFonts w:cs="Arial"/>
          <w:color w:val="000000" w:themeColor="text1"/>
          <w:szCs w:val="24"/>
        </w:rPr>
        <w:t>ано</w:t>
      </w:r>
      <w:r w:rsidR="000059CE" w:rsidRPr="00F6340E">
        <w:rPr>
          <w:rStyle w:val="y2iqfc"/>
          <w:rFonts w:cs="Arial"/>
          <w:color w:val="000000" w:themeColor="text1"/>
          <w:szCs w:val="24"/>
        </w:rPr>
        <w:t xml:space="preserve"> </w:t>
      </w:r>
      <w:r w:rsidR="00A56E08">
        <w:rPr>
          <w:rStyle w:val="y2iqfc"/>
          <w:rFonts w:cs="Arial"/>
          <w:color w:val="000000" w:themeColor="text1"/>
          <w:szCs w:val="24"/>
        </w:rPr>
        <w:t>на</w:t>
      </w:r>
      <w:r w:rsidR="000059CE"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инци</w:t>
      </w:r>
      <w:r>
        <w:rPr>
          <w:rStyle w:val="y2iqfc"/>
          <w:rFonts w:cs="Arial"/>
          <w:color w:val="000000" w:themeColor="text1"/>
          <w:szCs w:val="24"/>
        </w:rPr>
        <w:t>п</w:t>
      </w:r>
      <w:r w:rsidR="00A56E08">
        <w:rPr>
          <w:rStyle w:val="y2iqfc"/>
          <w:rFonts w:cs="Arial"/>
          <w:color w:val="000000" w:themeColor="text1"/>
          <w:szCs w:val="24"/>
        </w:rPr>
        <w:t>има</w:t>
      </w:r>
      <w:r w:rsidR="000059CE"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Д</w:t>
      </w:r>
      <w:r>
        <w:rPr>
          <w:rStyle w:val="y2iqfc"/>
          <w:rFonts w:cs="Arial"/>
          <w:color w:val="000000" w:themeColor="text1"/>
          <w:szCs w:val="24"/>
        </w:rPr>
        <w:t>У</w:t>
      </w:r>
      <w:r w:rsidR="000059CE" w:rsidRPr="00F6340E">
        <w:rPr>
          <w:rStyle w:val="y2iqfc"/>
          <w:rFonts w:cs="Arial"/>
          <w:color w:val="000000" w:themeColor="text1"/>
          <w:szCs w:val="24"/>
        </w:rPr>
        <w:t>-</w:t>
      </w:r>
      <w:r w:rsidR="00A56E08">
        <w:rPr>
          <w:rStyle w:val="y2iqfc"/>
          <w:rFonts w:cs="Arial"/>
          <w:color w:val="000000" w:themeColor="text1"/>
          <w:szCs w:val="24"/>
        </w:rPr>
        <w:t>а</w:t>
      </w:r>
      <w:r w:rsidR="000059CE" w:rsidRPr="00F6340E">
        <w:rPr>
          <w:rStyle w:val="y2iqfc"/>
          <w:rFonts w:cs="Arial"/>
          <w:color w:val="000000" w:themeColor="text1"/>
          <w:szCs w:val="24"/>
        </w:rPr>
        <w:t xml:space="preserve"> (</w:t>
      </w:r>
      <w:r>
        <w:t>р</w:t>
      </w:r>
      <w:r w:rsidR="00A56E08">
        <w:t>а</w:t>
      </w:r>
      <w:r w:rsidR="00171F00">
        <w:t>з</w:t>
      </w:r>
      <w:r w:rsidR="00A56E08">
        <w:t>личи</w:t>
      </w:r>
      <w:r>
        <w:t>т</w:t>
      </w:r>
      <w:r w:rsidR="00A56E08">
        <w:t>и</w:t>
      </w:r>
      <w:r w:rsidR="000059CE" w:rsidRPr="00F6340E">
        <w:t xml:space="preserve"> </w:t>
      </w:r>
      <w:r w:rsidR="00A56E08">
        <w:t>начини</w:t>
      </w:r>
      <w:r w:rsidR="000059CE" w:rsidRPr="00F6340E">
        <w:t xml:space="preserve"> </w:t>
      </w:r>
      <w:r w:rsidR="00A56E08">
        <w:t>и</w:t>
      </w:r>
      <w:r w:rsidR="00171F00">
        <w:t>з</w:t>
      </w:r>
      <w:r w:rsidR="00A56E08">
        <w:t>лагања</w:t>
      </w:r>
      <w:r w:rsidR="000059CE" w:rsidRPr="00F6340E">
        <w:t xml:space="preserve"> </w:t>
      </w:r>
      <w:r>
        <w:t>с</w:t>
      </w:r>
      <w:r w:rsidR="00A56E08">
        <w:t>ад</w:t>
      </w:r>
      <w:r>
        <w:t>р</w:t>
      </w:r>
      <w:r w:rsidR="00171F00">
        <w:t>ж</w:t>
      </w:r>
      <w:r w:rsidR="00A56E08">
        <w:t>аја</w:t>
      </w:r>
      <w:r w:rsidR="000059CE" w:rsidRPr="00F6340E">
        <w:t xml:space="preserve">, </w:t>
      </w:r>
      <w:r w:rsidR="00A56E08">
        <w:t>мог</w:t>
      </w:r>
      <w:r>
        <w:t>у</w:t>
      </w:r>
      <w:r w:rsidR="00A56E08">
        <w:t>ћно</w:t>
      </w:r>
      <w:r>
        <w:t>ст</w:t>
      </w:r>
      <w:r w:rsidR="00A56E08">
        <w:t>и</w:t>
      </w:r>
      <w:r w:rsidR="000059CE" w:rsidRPr="00F6340E">
        <w:t xml:space="preserve"> </w:t>
      </w:r>
      <w:r>
        <w:t>р</w:t>
      </w:r>
      <w:r w:rsidR="00A56E08">
        <w:t>а</w:t>
      </w:r>
      <w:r w:rsidR="00171F00">
        <w:t>з</w:t>
      </w:r>
      <w:r w:rsidR="00A56E08">
        <w:t>личи</w:t>
      </w:r>
      <w:r>
        <w:t>т</w:t>
      </w:r>
      <w:r w:rsidR="00A56E08">
        <w:t>ог</w:t>
      </w:r>
      <w:r w:rsidR="000059CE" w:rsidRPr="00F6340E">
        <w:t xml:space="preserve"> </w:t>
      </w:r>
      <w:r w:rsidR="00A56E08">
        <w:t>и</w:t>
      </w:r>
      <w:r w:rsidR="00171F00">
        <w:t>з</w:t>
      </w:r>
      <w:r>
        <w:t>р</w:t>
      </w:r>
      <w:r w:rsidR="00A56E08">
        <w:t>а</w:t>
      </w:r>
      <w:r w:rsidR="00171F00">
        <w:t>ж</w:t>
      </w:r>
      <w:r w:rsidR="00A56E08">
        <w:t>а</w:t>
      </w:r>
      <w:r>
        <w:t>в</w:t>
      </w:r>
      <w:r w:rsidR="00A56E08">
        <w:t>ања</w:t>
      </w:r>
      <w:r w:rsidR="000059CE" w:rsidRPr="00F6340E">
        <w:t xml:space="preserve"> </w:t>
      </w:r>
      <w:r>
        <w:t>у</w:t>
      </w:r>
      <w:r w:rsidR="00A56E08">
        <w:t>ч</w:t>
      </w:r>
      <w:r w:rsidR="00EE6AA2">
        <w:t>е</w:t>
      </w:r>
      <w:r w:rsidR="00A56E08">
        <w:t>ника</w:t>
      </w:r>
      <w:r w:rsidR="00FB7F55" w:rsidRPr="00F6340E">
        <w:t>/</w:t>
      </w:r>
      <w:r>
        <w:t>сту</w:t>
      </w:r>
      <w:r w:rsidR="00A56E08">
        <w:t>д</w:t>
      </w:r>
      <w:r w:rsidR="00EE6AA2">
        <w:t>е</w:t>
      </w:r>
      <w:r w:rsidR="00A56E08">
        <w:t>на</w:t>
      </w:r>
      <w:r>
        <w:t>т</w:t>
      </w:r>
      <w:r w:rsidR="00A56E08">
        <w:t>а</w:t>
      </w:r>
      <w:r w:rsidR="000059CE" w:rsidRPr="00F6340E">
        <w:t xml:space="preserve"> </w:t>
      </w:r>
      <w:r>
        <w:t>т</w:t>
      </w:r>
      <w:r w:rsidR="00EE6AA2">
        <w:t>е</w:t>
      </w:r>
      <w:r w:rsidR="000059CE" w:rsidRPr="00F6340E">
        <w:t xml:space="preserve"> </w:t>
      </w:r>
      <w:r>
        <w:t>у</w:t>
      </w:r>
      <w:r w:rsidR="00A56E08">
        <w:t>ч</w:t>
      </w:r>
      <w:r w:rsidR="00EE6AA2">
        <w:t>е</w:t>
      </w:r>
      <w:r>
        <w:t>ств</w:t>
      </w:r>
      <w:r w:rsidR="00A56E08">
        <w:t>о</w:t>
      </w:r>
      <w:r>
        <w:t>в</w:t>
      </w:r>
      <w:r w:rsidR="00A56E08">
        <w:t>ањ</w:t>
      </w:r>
      <w:r w:rsidR="00EE6AA2">
        <w:t>е</w:t>
      </w:r>
      <w:r w:rsidR="000059CE" w:rsidRPr="00F6340E">
        <w:t xml:space="preserve"> </w:t>
      </w:r>
      <w:r w:rsidR="00A56E08">
        <w:t>и</w:t>
      </w:r>
      <w:r w:rsidR="000059CE" w:rsidRPr="00F6340E">
        <w:t xml:space="preserve"> </w:t>
      </w:r>
      <w:r w:rsidR="00A56E08">
        <w:t>мо</w:t>
      </w:r>
      <w:r>
        <w:t>т</w:t>
      </w:r>
      <w:r w:rsidR="00A56E08">
        <w:t>и</w:t>
      </w:r>
      <w:r>
        <w:t>в</w:t>
      </w:r>
      <w:r w:rsidR="00A56E08">
        <w:t>ациј</w:t>
      </w:r>
      <w:r>
        <w:t>у</w:t>
      </w:r>
      <w:r w:rsidR="000059CE" w:rsidRPr="00F6340E">
        <w:t xml:space="preserve"> </w:t>
      </w:r>
      <w:r>
        <w:t>у</w:t>
      </w:r>
      <w:r w:rsidR="000059CE" w:rsidRPr="00F6340E">
        <w:t xml:space="preserve"> </w:t>
      </w:r>
      <w:r>
        <w:t>у</w:t>
      </w:r>
      <w:r w:rsidR="00A56E08">
        <w:t>ч</w:t>
      </w:r>
      <w:r w:rsidR="00EE6AA2">
        <w:t>е</w:t>
      </w:r>
      <w:r w:rsidR="00A56E08">
        <w:t>њ</w:t>
      </w:r>
      <w:r>
        <w:t>у</w:t>
      </w:r>
      <w:r w:rsidR="000059CE" w:rsidRPr="00F6340E">
        <w:t xml:space="preserve">) </w:t>
      </w:r>
      <w:r w:rsidR="00A56E08">
        <w:t>као</w:t>
      </w:r>
      <w:r w:rsidR="000059CE" w:rsidRPr="00F6340E">
        <w:t xml:space="preserve"> </w:t>
      </w:r>
      <w:r w:rsidR="00A56E08">
        <w:t>и</w:t>
      </w:r>
      <w:r w:rsidR="000059CE" w:rsidRPr="00F6340E">
        <w:t xml:space="preserve"> </w:t>
      </w:r>
      <w:r w:rsidR="00A56E08">
        <w:t>им</w:t>
      </w:r>
      <w:r>
        <w:t>п</w:t>
      </w:r>
      <w:r w:rsidR="00A56E08">
        <w:t>л</w:t>
      </w:r>
      <w:r w:rsidR="00EE6AA2">
        <w:t>е</w:t>
      </w:r>
      <w:r w:rsidR="00A56E08">
        <w:t>м</w:t>
      </w:r>
      <w:r w:rsidR="00EE6AA2">
        <w:t>е</w:t>
      </w:r>
      <w:r w:rsidR="00A56E08">
        <w:t>н</w:t>
      </w:r>
      <w:r>
        <w:t>т</w:t>
      </w:r>
      <w:r w:rsidR="00A56E08">
        <w:t>ациј</w:t>
      </w:r>
      <w:r>
        <w:t>у</w:t>
      </w:r>
      <w:r w:rsidR="000059CE" w:rsidRPr="00F6340E">
        <w:t xml:space="preserve"> </w:t>
      </w:r>
      <w:r>
        <w:t>с</w:t>
      </w:r>
      <w:r w:rsidR="00A56E08">
        <w:t>а</w:t>
      </w:r>
      <w:r>
        <w:t>вр</w:t>
      </w:r>
      <w:r w:rsidR="00EE6AA2">
        <w:t>е</w:t>
      </w:r>
      <w:r w:rsidR="00A56E08">
        <w:t>м</w:t>
      </w:r>
      <w:r w:rsidR="00EE6AA2">
        <w:t>е</w:t>
      </w:r>
      <w:r w:rsidR="00A56E08">
        <w:t>них</w:t>
      </w:r>
      <w:r w:rsidR="000059CE" w:rsidRPr="00F6340E">
        <w:t xml:space="preserve"> </w:t>
      </w:r>
      <w:r w:rsidR="00A56E08">
        <w:t>мод</w:t>
      </w:r>
      <w:r w:rsidR="00EE6AA2">
        <w:t>е</w:t>
      </w:r>
      <w:r w:rsidR="00A56E08">
        <w:t>ла</w:t>
      </w:r>
      <w:r w:rsidR="000059CE" w:rsidRPr="00F6340E">
        <w:t xml:space="preserve"> </w:t>
      </w:r>
      <w:r>
        <w:t>п</w:t>
      </w:r>
      <w:r w:rsidR="00A56E08">
        <w:t>од</w:t>
      </w:r>
      <w:r>
        <w:t>у</w:t>
      </w:r>
      <w:r w:rsidR="00A56E08">
        <w:t>ча</w:t>
      </w:r>
      <w:r>
        <w:t>в</w:t>
      </w:r>
      <w:r w:rsidR="00A56E08">
        <w:t>ања</w:t>
      </w:r>
      <w:r w:rsidR="00712F0B" w:rsidRPr="00F6340E">
        <w:t xml:space="preserve">. </w:t>
      </w:r>
      <w:r w:rsidR="00A56E08">
        <w:t>На</w:t>
      </w:r>
      <w:r>
        <w:t>ст</w:t>
      </w:r>
      <w:r w:rsidR="00A56E08">
        <w:t>а</w:t>
      </w:r>
      <w:r>
        <w:t>в</w:t>
      </w:r>
      <w:r w:rsidR="00A56E08">
        <w:t>а</w:t>
      </w:r>
      <w:r w:rsidR="001D6917" w:rsidRPr="00F6340E">
        <w:t xml:space="preserve"> </w:t>
      </w:r>
      <w:r>
        <w:t>пут</w:t>
      </w:r>
      <w:r w:rsidR="00EE6AA2">
        <w:t>е</w:t>
      </w:r>
      <w:r w:rsidR="00A56E08">
        <w:t>м</w:t>
      </w:r>
      <w:r w:rsidR="001D6917" w:rsidRPr="00F6340E">
        <w:t xml:space="preserve"> </w:t>
      </w:r>
      <w:r w:rsidR="00A56E08">
        <w:t>ин</w:t>
      </w:r>
      <w:r>
        <w:t>т</w:t>
      </w:r>
      <w:r w:rsidR="00EE6AA2">
        <w:t>е</w:t>
      </w:r>
      <w:r>
        <w:t>р</w:t>
      </w:r>
      <w:r w:rsidR="00A56E08">
        <w:t>н</w:t>
      </w:r>
      <w:r w:rsidR="00EE6AA2">
        <w:t>е</w:t>
      </w:r>
      <w:r>
        <w:t>т</w:t>
      </w:r>
      <w:r w:rsidR="00A56E08">
        <w:t>а</w:t>
      </w:r>
      <w:r w:rsidR="000059CE" w:rsidRPr="00F6340E">
        <w:t xml:space="preserve"> </w:t>
      </w:r>
      <w:r w:rsidR="00A56E08">
        <w:t>и</w:t>
      </w:r>
      <w:r w:rsidR="000059CE" w:rsidRPr="00F6340E">
        <w:t xml:space="preserve"> </w:t>
      </w:r>
      <w:r w:rsidR="00A56E08">
        <w:t>комбино</w:t>
      </w:r>
      <w:r>
        <w:t>в</w:t>
      </w:r>
      <w:r w:rsidR="00A56E08">
        <w:t>ана</w:t>
      </w:r>
      <w:r w:rsidR="000059CE" w:rsidRPr="00F6340E">
        <w:t xml:space="preserve"> </w:t>
      </w:r>
      <w:r w:rsidR="00A56E08">
        <w:t>на</w:t>
      </w:r>
      <w:r>
        <w:t>ст</w:t>
      </w:r>
      <w:r w:rsidR="00A56E08">
        <w:t>а</w:t>
      </w:r>
      <w:r>
        <w:t>в</w:t>
      </w:r>
      <w:r w:rsidR="00A56E08">
        <w:t>а</w:t>
      </w:r>
      <w:r w:rsidR="000059CE" w:rsidRPr="00F6340E">
        <w:t xml:space="preserve"> </w:t>
      </w:r>
      <w:r>
        <w:t>п</w:t>
      </w:r>
      <w:r w:rsidR="00A56E08">
        <w:t>од</w:t>
      </w:r>
      <w:r>
        <w:t>р</w:t>
      </w:r>
      <w:r w:rsidR="00A56E08">
        <w:t>а</w:t>
      </w:r>
      <w:r w:rsidR="00171F00">
        <w:t>з</w:t>
      </w:r>
      <w:r>
        <w:t>у</w:t>
      </w:r>
      <w:r w:rsidR="00A56E08">
        <w:t>миј</w:t>
      </w:r>
      <w:r w:rsidR="00EE6AA2">
        <w:t>е</w:t>
      </w:r>
      <w:r>
        <w:t>в</w:t>
      </w:r>
      <w:r w:rsidR="00A56E08">
        <w:t>ај</w:t>
      </w:r>
      <w:r>
        <w:t>у</w:t>
      </w:r>
      <w:r w:rsidR="000059CE" w:rsidRPr="00F6340E">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њ</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од</w:t>
      </w:r>
      <w:r>
        <w:rPr>
          <w:rStyle w:val="y2iqfc"/>
          <w:rFonts w:cs="Arial"/>
          <w:color w:val="000000" w:themeColor="text1"/>
          <w:szCs w:val="24"/>
        </w:rPr>
        <w:t>у</w:t>
      </w:r>
      <w:r w:rsidR="00A56E08">
        <w:rPr>
          <w:rStyle w:val="y2iqfc"/>
          <w:rFonts w:cs="Arial"/>
          <w:color w:val="000000" w:themeColor="text1"/>
          <w:szCs w:val="24"/>
        </w:rPr>
        <w:t>ча</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кој</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мањ</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и</w:t>
      </w:r>
      <w:r>
        <w:rPr>
          <w:rStyle w:val="y2iqfc"/>
          <w:rFonts w:cs="Arial"/>
          <w:color w:val="000000" w:themeColor="text1"/>
          <w:szCs w:val="24"/>
        </w:rPr>
        <w:t>с</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sidR="00A56E08">
        <w:rPr>
          <w:rStyle w:val="y2iqfc"/>
          <w:rFonts w:cs="Arial"/>
          <w:color w:val="000000" w:themeColor="text1"/>
          <w:szCs w:val="24"/>
        </w:rPr>
        <w:t>о</w:t>
      </w:r>
      <w:r w:rsidR="001716AB" w:rsidRPr="00F6340E">
        <w:rPr>
          <w:rStyle w:val="y2iqfc"/>
          <w:rFonts w:cs="Arial"/>
          <w:color w:val="000000" w:themeColor="text1"/>
          <w:szCs w:val="24"/>
        </w:rPr>
        <w:t xml:space="preserve"> </w:t>
      </w:r>
      <w:r>
        <w:rPr>
          <w:rStyle w:val="y2iqfc"/>
          <w:rFonts w:cs="Arial"/>
          <w:color w:val="000000" w:themeColor="text1"/>
          <w:szCs w:val="24"/>
        </w:rPr>
        <w:t>с</w:t>
      </w:r>
      <w:r w:rsidR="00A56E08">
        <w:rPr>
          <w:rStyle w:val="y2iqfc"/>
          <w:rFonts w:cs="Arial"/>
          <w:color w:val="000000" w:themeColor="text1"/>
          <w:szCs w:val="24"/>
        </w:rPr>
        <w:t>инх</w:t>
      </w:r>
      <w:r>
        <w:rPr>
          <w:rStyle w:val="y2iqfc"/>
          <w:rFonts w:cs="Arial"/>
          <w:color w:val="000000" w:themeColor="text1"/>
          <w:szCs w:val="24"/>
        </w:rPr>
        <w:t>р</w:t>
      </w:r>
      <w:r w:rsidR="00A56E08">
        <w:rPr>
          <w:rStyle w:val="y2iqfc"/>
          <w:rFonts w:cs="Arial"/>
          <w:color w:val="000000" w:themeColor="text1"/>
          <w:szCs w:val="24"/>
        </w:rPr>
        <w:t>они</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ано</w:t>
      </w:r>
      <w:r>
        <w:rPr>
          <w:rStyle w:val="y2iqfc"/>
          <w:rFonts w:cs="Arial"/>
          <w:color w:val="000000" w:themeColor="text1"/>
          <w:szCs w:val="24"/>
        </w:rPr>
        <w:t>ст</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sidR="00A56E08">
        <w:rPr>
          <w:rStyle w:val="y2iqfc"/>
          <w:rFonts w:cs="Arial"/>
          <w:color w:val="000000" w:themeColor="text1"/>
          <w:szCs w:val="24"/>
        </w:rPr>
        <w:t>на</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ника</w:t>
      </w:r>
      <w:r w:rsidR="001716AB" w:rsidRPr="00F6340E">
        <w:rPr>
          <w:rStyle w:val="y2iqfc"/>
          <w:rFonts w:cs="Arial"/>
          <w:color w:val="000000" w:themeColor="text1"/>
          <w:szCs w:val="24"/>
        </w:rPr>
        <w:t xml:space="preserve"> </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ника</w:t>
      </w:r>
      <w:r w:rsidR="001716AB" w:rsidRPr="00F6340E">
        <w:rPr>
          <w:rStyle w:val="y2iqfc"/>
          <w:rFonts w:cs="Arial"/>
          <w:color w:val="000000" w:themeColor="text1"/>
          <w:szCs w:val="24"/>
        </w:rPr>
        <w:t>/</w:t>
      </w:r>
      <w:r>
        <w:rPr>
          <w:rStyle w:val="y2iqfc"/>
          <w:rFonts w:cs="Arial"/>
          <w:color w:val="000000" w:themeColor="text1"/>
          <w:szCs w:val="24"/>
        </w:rPr>
        <w:t>сту</w:t>
      </w:r>
      <w:r w:rsidR="00A56E08">
        <w:rPr>
          <w:rStyle w:val="y2iqfc"/>
          <w:rFonts w:cs="Arial"/>
          <w:color w:val="000000" w:themeColor="text1"/>
          <w:szCs w:val="24"/>
        </w:rPr>
        <w:t>д</w:t>
      </w:r>
      <w:r w:rsidR="00EE6AA2">
        <w:rPr>
          <w:rStyle w:val="y2iqfc"/>
          <w:rFonts w:cs="Arial"/>
          <w:color w:val="000000" w:themeColor="text1"/>
          <w:szCs w:val="24"/>
        </w:rPr>
        <w:t>е</w:t>
      </w:r>
      <w:r w:rsidR="00A56E08">
        <w:rPr>
          <w:rStyle w:val="y2iqfc"/>
          <w:rFonts w:cs="Arial"/>
          <w:color w:val="000000" w:themeColor="text1"/>
          <w:szCs w:val="24"/>
        </w:rPr>
        <w:t>на</w:t>
      </w:r>
      <w:r>
        <w:rPr>
          <w:rStyle w:val="y2iqfc"/>
          <w:rFonts w:cs="Arial"/>
          <w:color w:val="000000" w:themeColor="text1"/>
          <w:szCs w:val="24"/>
        </w:rPr>
        <w:t>т</w:t>
      </w:r>
      <w:r w:rsidR="00A56E08">
        <w:rPr>
          <w:rStyle w:val="y2iqfc"/>
          <w:rFonts w:cs="Arial"/>
          <w:color w:val="000000" w:themeColor="text1"/>
          <w:szCs w:val="24"/>
        </w:rPr>
        <w:t>а</w:t>
      </w:r>
      <w:r w:rsidR="00B04FA8">
        <w:rPr>
          <w:rStyle w:val="y2iqfc"/>
          <w:rFonts w:cs="Arial"/>
          <w:color w:val="000000" w:themeColor="text1"/>
          <w:szCs w:val="24"/>
        </w:rPr>
        <w:t xml:space="preserve"> </w:t>
      </w:r>
      <w:r w:rsidR="001F2F40">
        <w:rPr>
          <w:rStyle w:val="y2iqfc"/>
          <w:rFonts w:cs="Arial"/>
          <w:color w:val="000000" w:themeColor="text1"/>
          <w:szCs w:val="24"/>
        </w:rPr>
        <w:t>с обзиром</w:t>
      </w:r>
      <w:r w:rsidR="001716AB" w:rsidRPr="00F6340E">
        <w:rPr>
          <w:rStyle w:val="y2iqfc"/>
          <w:rFonts w:cs="Arial"/>
          <w:color w:val="000000" w:themeColor="text1"/>
          <w:szCs w:val="24"/>
        </w:rPr>
        <w:t xml:space="preserve"> </w:t>
      </w:r>
      <w:r w:rsidR="00A56E08">
        <w:rPr>
          <w:rStyle w:val="y2iqfc"/>
          <w:rFonts w:cs="Arial"/>
          <w:color w:val="000000" w:themeColor="text1"/>
          <w:szCs w:val="24"/>
        </w:rPr>
        <w:t>на</w:t>
      </w:r>
      <w:r w:rsidR="001716AB" w:rsidRPr="00F6340E">
        <w:rPr>
          <w:rStyle w:val="y2iqfc"/>
          <w:rFonts w:cs="Arial"/>
          <w:color w:val="000000" w:themeColor="text1"/>
          <w:szCs w:val="24"/>
        </w:rPr>
        <w:t xml:space="preserve"> </w:t>
      </w:r>
      <w:r>
        <w:rPr>
          <w:rStyle w:val="y2iqfc"/>
          <w:rFonts w:cs="Arial"/>
          <w:color w:val="000000" w:themeColor="text1"/>
          <w:szCs w:val="24"/>
        </w:rPr>
        <w:t>вр</w:t>
      </w:r>
      <w:r w:rsidR="00A56E08">
        <w:rPr>
          <w:rStyle w:val="y2iqfc"/>
          <w:rFonts w:cs="Arial"/>
          <w:color w:val="000000" w:themeColor="text1"/>
          <w:szCs w:val="24"/>
        </w:rPr>
        <w:t>иј</w:t>
      </w:r>
      <w:r w:rsidR="00EE6AA2">
        <w:rPr>
          <w:rStyle w:val="y2iqfc"/>
          <w:rFonts w:cs="Arial"/>
          <w:color w:val="000000" w:themeColor="text1"/>
          <w:szCs w:val="24"/>
        </w:rPr>
        <w:t>е</w:t>
      </w:r>
      <w:r w:rsidR="00A56E08">
        <w:rPr>
          <w:rStyle w:val="y2iqfc"/>
          <w:rFonts w:cs="Arial"/>
          <w:color w:val="000000" w:themeColor="text1"/>
          <w:szCs w:val="24"/>
        </w:rPr>
        <w:t>м</w:t>
      </w:r>
      <w:r w:rsidR="00EE6AA2">
        <w:rPr>
          <w:rStyle w:val="y2iqfc"/>
          <w:rFonts w:cs="Arial"/>
          <w:color w:val="000000" w:themeColor="text1"/>
          <w:szCs w:val="24"/>
        </w:rPr>
        <w:t>е</w:t>
      </w:r>
      <w:r w:rsidR="001716AB" w:rsidRPr="00F6340E">
        <w:rPr>
          <w:rStyle w:val="y2iqfc"/>
          <w:rFonts w:cs="Arial"/>
          <w:color w:val="000000" w:themeColor="text1"/>
          <w:szCs w:val="24"/>
        </w:rPr>
        <w:t xml:space="preserve"> </w:t>
      </w:r>
      <w:r w:rsidR="00A56E08">
        <w:rPr>
          <w:rStyle w:val="y2iqfc"/>
          <w:rFonts w:cs="Arial"/>
          <w:color w:val="000000" w:themeColor="text1"/>
          <w:szCs w:val="24"/>
        </w:rPr>
        <w:t>и</w:t>
      </w:r>
      <w:r w:rsidR="001716AB" w:rsidRPr="00F6340E">
        <w:rPr>
          <w:rStyle w:val="y2iqfc"/>
          <w:rFonts w:cs="Arial"/>
          <w:color w:val="000000" w:themeColor="text1"/>
          <w:szCs w:val="24"/>
        </w:rPr>
        <w:t xml:space="preserve"> </w:t>
      </w:r>
      <w:r w:rsidR="00A56E08">
        <w:rPr>
          <w:rStyle w:val="y2iqfc"/>
          <w:rFonts w:cs="Arial"/>
          <w:color w:val="000000" w:themeColor="text1"/>
          <w:szCs w:val="24"/>
        </w:rPr>
        <w:t>мј</w:t>
      </w:r>
      <w:r w:rsidR="00EE6AA2">
        <w:rPr>
          <w:rStyle w:val="y2iqfc"/>
          <w:rFonts w:cs="Arial"/>
          <w:color w:val="000000" w:themeColor="text1"/>
          <w:szCs w:val="24"/>
        </w:rPr>
        <w:t>е</w:t>
      </w:r>
      <w:r>
        <w:rPr>
          <w:rStyle w:val="y2iqfc"/>
          <w:rFonts w:cs="Arial"/>
          <w:color w:val="000000" w:themeColor="text1"/>
          <w:szCs w:val="24"/>
        </w:rPr>
        <w:t>ст</w:t>
      </w:r>
      <w:r w:rsidR="00A56E08">
        <w:rPr>
          <w:rStyle w:val="y2iqfc"/>
          <w:rFonts w:cs="Arial"/>
          <w:color w:val="000000" w:themeColor="text1"/>
          <w:szCs w:val="24"/>
        </w:rPr>
        <w:t>о</w:t>
      </w:r>
      <w:r w:rsidR="00712F0B" w:rsidRPr="00F6340E">
        <w:rPr>
          <w:rStyle w:val="y2iqfc"/>
          <w:rFonts w:cs="Arial"/>
          <w:color w:val="000000" w:themeColor="text1"/>
          <w:szCs w:val="24"/>
        </w:rPr>
        <w:t xml:space="preserve">, </w:t>
      </w:r>
      <w:r w:rsidR="00A56E08">
        <w:rPr>
          <w:rStyle w:val="y2iqfc"/>
          <w:rFonts w:cs="Arial"/>
          <w:color w:val="000000" w:themeColor="text1"/>
          <w:szCs w:val="24"/>
        </w:rPr>
        <w:t>али</w:t>
      </w:r>
      <w:r w:rsidR="00712F0B" w:rsidRPr="00F6340E">
        <w:rPr>
          <w:rStyle w:val="y2iqfc"/>
          <w:rFonts w:cs="Arial"/>
          <w:color w:val="000000" w:themeColor="text1"/>
          <w:szCs w:val="24"/>
        </w:rPr>
        <w:t xml:space="preserve"> </w:t>
      </w:r>
      <w:r w:rsidR="00A56E08">
        <w:rPr>
          <w:rStyle w:val="y2iqfc"/>
          <w:rFonts w:cs="Arial"/>
          <w:color w:val="000000" w:themeColor="text1"/>
          <w:szCs w:val="24"/>
        </w:rPr>
        <w:t>и</w:t>
      </w:r>
      <w:r w:rsidR="00712F0B" w:rsidRPr="00F6340E">
        <w:rPr>
          <w:rStyle w:val="y2iqfc"/>
          <w:rFonts w:cs="Arial"/>
          <w:color w:val="000000" w:themeColor="text1"/>
          <w:szCs w:val="24"/>
        </w:rPr>
        <w:t xml:space="preserve"> </w:t>
      </w:r>
      <w:r>
        <w:rPr>
          <w:rStyle w:val="y2iqfc"/>
          <w:rFonts w:cs="Arial"/>
          <w:color w:val="000000" w:themeColor="text1"/>
          <w:szCs w:val="24"/>
        </w:rPr>
        <w:t>уп</w:t>
      </w:r>
      <w:r w:rsidR="00A56E08">
        <w:rPr>
          <w:rStyle w:val="y2iqfc"/>
          <w:rFonts w:cs="Arial"/>
          <w:color w:val="000000" w:themeColor="text1"/>
          <w:szCs w:val="24"/>
        </w:rPr>
        <w:t>о</w:t>
      </w:r>
      <w:r>
        <w:rPr>
          <w:rStyle w:val="y2iqfc"/>
          <w:rFonts w:cs="Arial"/>
          <w:color w:val="000000" w:themeColor="text1"/>
          <w:szCs w:val="24"/>
        </w:rPr>
        <w:t>тр</w:t>
      </w:r>
      <w:r w:rsidR="00EE6AA2">
        <w:rPr>
          <w:rStyle w:val="y2iqfc"/>
          <w:rFonts w:cs="Arial"/>
          <w:color w:val="000000" w:themeColor="text1"/>
          <w:szCs w:val="24"/>
        </w:rPr>
        <w:t>е</w:t>
      </w:r>
      <w:r w:rsidR="00A56E08">
        <w:rPr>
          <w:rStyle w:val="y2iqfc"/>
          <w:rFonts w:cs="Arial"/>
          <w:color w:val="000000" w:themeColor="text1"/>
          <w:szCs w:val="24"/>
        </w:rPr>
        <w:t>б</w:t>
      </w:r>
      <w:r>
        <w:rPr>
          <w:rStyle w:val="y2iqfc"/>
          <w:rFonts w:cs="Arial"/>
          <w:color w:val="000000" w:themeColor="text1"/>
          <w:szCs w:val="24"/>
        </w:rPr>
        <w:t>у</w:t>
      </w:r>
      <w:r w:rsidR="00712F0B" w:rsidRPr="00F6340E">
        <w:rPr>
          <w:rStyle w:val="y2iqfc"/>
          <w:rFonts w:cs="Arial"/>
          <w:color w:val="000000" w:themeColor="text1"/>
          <w:szCs w:val="24"/>
        </w:rPr>
        <w:t xml:space="preserve"> </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личи</w:t>
      </w:r>
      <w:r>
        <w:rPr>
          <w:rStyle w:val="y2iqfc"/>
          <w:rFonts w:cs="Arial"/>
          <w:color w:val="000000" w:themeColor="text1"/>
          <w:szCs w:val="24"/>
        </w:rPr>
        <w:t>т</w:t>
      </w:r>
      <w:r w:rsidR="00A56E08">
        <w:rPr>
          <w:rStyle w:val="y2iqfc"/>
          <w:rFonts w:cs="Arial"/>
          <w:color w:val="000000" w:themeColor="text1"/>
          <w:szCs w:val="24"/>
        </w:rPr>
        <w:t>их</w:t>
      </w:r>
      <w:r w:rsidR="00712F0B"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алних</w:t>
      </w:r>
      <w:r w:rsidR="00712F0B" w:rsidRPr="00F6340E">
        <w:rPr>
          <w:rStyle w:val="y2iqfc"/>
          <w:rFonts w:cs="Arial"/>
          <w:color w:val="000000" w:themeColor="text1"/>
          <w:szCs w:val="24"/>
        </w:rPr>
        <w:t xml:space="preserve"> </w:t>
      </w:r>
      <w:r w:rsidR="00A56E08">
        <w:rPr>
          <w:rStyle w:val="y2iqfc"/>
          <w:rFonts w:cs="Arial"/>
          <w:color w:val="000000" w:themeColor="text1"/>
          <w:szCs w:val="24"/>
        </w:rPr>
        <w:t>ала</w:t>
      </w:r>
      <w:r>
        <w:rPr>
          <w:rStyle w:val="y2iqfc"/>
          <w:rFonts w:cs="Arial"/>
          <w:color w:val="000000" w:themeColor="text1"/>
          <w:szCs w:val="24"/>
        </w:rPr>
        <w:t>т</w:t>
      </w:r>
      <w:r w:rsidR="00A56E08">
        <w:rPr>
          <w:rStyle w:val="y2iqfc"/>
          <w:rFonts w:cs="Arial"/>
          <w:color w:val="000000" w:themeColor="text1"/>
          <w:szCs w:val="24"/>
        </w:rPr>
        <w:t>а</w:t>
      </w:r>
      <w:r w:rsidR="001716AB" w:rsidRPr="00F6340E">
        <w:rPr>
          <w:rStyle w:val="y2iqfc"/>
          <w:rFonts w:cs="Arial"/>
          <w:color w:val="000000" w:themeColor="text1"/>
          <w:szCs w:val="24"/>
        </w:rPr>
        <w:t>.</w:t>
      </w:r>
      <w:r w:rsidR="00FB7F55" w:rsidRPr="00F6340E">
        <w:rPr>
          <w:rStyle w:val="y2iqfc"/>
          <w:rFonts w:cs="Arial"/>
          <w:color w:val="000000" w:themeColor="text1"/>
          <w:szCs w:val="24"/>
        </w:rPr>
        <w:t xml:space="preserve"> </w:t>
      </w:r>
      <w:r w:rsidR="00EE6AA2">
        <w:rPr>
          <w:rStyle w:val="y2iqfc"/>
          <w:rFonts w:cs="Arial"/>
          <w:color w:val="000000" w:themeColor="text1"/>
          <w:szCs w:val="24"/>
        </w:rPr>
        <w:t>Е</w:t>
      </w:r>
      <w:r w:rsidR="00A56E08">
        <w:rPr>
          <w:rStyle w:val="y2iqfc"/>
          <w:rFonts w:cs="Arial"/>
          <w:color w:val="000000" w:themeColor="text1"/>
          <w:szCs w:val="24"/>
        </w:rPr>
        <w:t>ф</w:t>
      </w:r>
      <w:r w:rsidR="00EE6AA2">
        <w:rPr>
          <w:rStyle w:val="y2iqfc"/>
          <w:rFonts w:cs="Arial"/>
          <w:color w:val="000000" w:themeColor="text1"/>
          <w:szCs w:val="24"/>
        </w:rPr>
        <w:t>е</w:t>
      </w:r>
      <w:r w:rsidR="00A56E08">
        <w:rPr>
          <w:rStyle w:val="y2iqfc"/>
          <w:rFonts w:cs="Arial"/>
          <w:color w:val="000000" w:themeColor="text1"/>
          <w:szCs w:val="24"/>
        </w:rPr>
        <w:t>к</w:t>
      </w:r>
      <w:r>
        <w:rPr>
          <w:rStyle w:val="y2iqfc"/>
          <w:rFonts w:cs="Arial"/>
          <w:color w:val="000000" w:themeColor="text1"/>
          <w:szCs w:val="24"/>
        </w:rPr>
        <w:t>т</w:t>
      </w:r>
      <w:r w:rsidR="00A56E08">
        <w:rPr>
          <w:rStyle w:val="y2iqfc"/>
          <w:rFonts w:cs="Arial"/>
          <w:color w:val="000000" w:themeColor="text1"/>
          <w:szCs w:val="24"/>
        </w:rPr>
        <w:t>и</w:t>
      </w:r>
      <w:r>
        <w:rPr>
          <w:rStyle w:val="y2iqfc"/>
          <w:rFonts w:cs="Arial"/>
          <w:color w:val="000000" w:themeColor="text1"/>
          <w:szCs w:val="24"/>
        </w:rPr>
        <w:t>в</w:t>
      </w:r>
      <w:r w:rsidR="00A56E08">
        <w:rPr>
          <w:rStyle w:val="y2iqfc"/>
          <w:rFonts w:cs="Arial"/>
          <w:color w:val="000000" w:themeColor="text1"/>
          <w:szCs w:val="24"/>
        </w:rPr>
        <w:t>но</w:t>
      </w:r>
      <w:r>
        <w:rPr>
          <w:rStyle w:val="y2iqfc"/>
          <w:rFonts w:cs="Arial"/>
          <w:color w:val="000000" w:themeColor="text1"/>
          <w:szCs w:val="24"/>
        </w:rPr>
        <w:t>ст</w:t>
      </w:r>
      <w:r w:rsidR="00FB7F55"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оц</w:t>
      </w:r>
      <w:r w:rsidR="00EE6AA2">
        <w:rPr>
          <w:rStyle w:val="y2iqfc"/>
          <w:rFonts w:cs="Arial"/>
          <w:color w:val="000000" w:themeColor="text1"/>
          <w:szCs w:val="24"/>
        </w:rPr>
        <w:t>е</w:t>
      </w:r>
      <w:r>
        <w:rPr>
          <w:rStyle w:val="y2iqfc"/>
          <w:rFonts w:cs="Arial"/>
          <w:color w:val="000000" w:themeColor="text1"/>
          <w:szCs w:val="24"/>
        </w:rPr>
        <w:t>с</w:t>
      </w:r>
      <w:r w:rsidR="00A56E08">
        <w:rPr>
          <w:rStyle w:val="y2iqfc"/>
          <w:rFonts w:cs="Arial"/>
          <w:color w:val="000000" w:themeColor="text1"/>
          <w:szCs w:val="24"/>
        </w:rPr>
        <w:t>а</w:t>
      </w:r>
      <w:r w:rsidR="00FB7F55"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ња</w:t>
      </w:r>
      <w:r w:rsidR="00FB7F55" w:rsidRPr="00F6340E">
        <w:rPr>
          <w:rStyle w:val="y2iqfc"/>
          <w:rFonts w:cs="Arial"/>
          <w:color w:val="000000" w:themeColor="text1"/>
          <w:szCs w:val="24"/>
        </w:rPr>
        <w:t xml:space="preserve"> </w:t>
      </w:r>
      <w:r w:rsidR="00A56E08">
        <w:rPr>
          <w:rStyle w:val="y2iqfc"/>
          <w:rFonts w:cs="Arial"/>
          <w:color w:val="000000" w:themeColor="text1"/>
          <w:szCs w:val="24"/>
        </w:rPr>
        <w:t>и</w:t>
      </w:r>
      <w:r w:rsidR="00FB7F55"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од</w:t>
      </w:r>
      <w:r>
        <w:rPr>
          <w:rStyle w:val="y2iqfc"/>
          <w:rFonts w:cs="Arial"/>
          <w:color w:val="000000" w:themeColor="text1"/>
          <w:szCs w:val="24"/>
        </w:rPr>
        <w:t>у</w:t>
      </w:r>
      <w:r w:rsidR="00A56E08">
        <w:rPr>
          <w:rStyle w:val="y2iqfc"/>
          <w:rFonts w:cs="Arial"/>
          <w:color w:val="000000" w:themeColor="text1"/>
          <w:szCs w:val="24"/>
        </w:rPr>
        <w:t>ча</w:t>
      </w:r>
      <w:r>
        <w:rPr>
          <w:rStyle w:val="y2iqfc"/>
          <w:rFonts w:cs="Arial"/>
          <w:color w:val="000000" w:themeColor="text1"/>
          <w:szCs w:val="24"/>
        </w:rPr>
        <w:t>в</w:t>
      </w:r>
      <w:r w:rsidR="00A56E08">
        <w:rPr>
          <w:rStyle w:val="y2iqfc"/>
          <w:rFonts w:cs="Arial"/>
          <w:color w:val="000000" w:themeColor="text1"/>
          <w:szCs w:val="24"/>
        </w:rPr>
        <w:t>ања</w:t>
      </w:r>
      <w:r w:rsidR="00FB7F55" w:rsidRPr="00F6340E">
        <w:rPr>
          <w:rStyle w:val="y2iqfc"/>
          <w:rFonts w:cs="Arial"/>
          <w:color w:val="000000" w:themeColor="text1"/>
          <w:szCs w:val="24"/>
        </w:rPr>
        <w:t xml:space="preserve"> </w:t>
      </w:r>
      <w:r>
        <w:rPr>
          <w:rStyle w:val="y2iqfc"/>
          <w:rFonts w:cs="Arial"/>
          <w:color w:val="000000" w:themeColor="text1"/>
          <w:szCs w:val="24"/>
        </w:rPr>
        <w:t>в</w:t>
      </w:r>
      <w:r w:rsidR="00EE6AA2">
        <w:rPr>
          <w:rStyle w:val="y2iqfc"/>
          <w:rFonts w:cs="Arial"/>
          <w:color w:val="000000" w:themeColor="text1"/>
          <w:szCs w:val="24"/>
        </w:rPr>
        <w:t>е</w:t>
      </w:r>
      <w:r w:rsidR="00171F00">
        <w:rPr>
          <w:rStyle w:val="y2iqfc"/>
          <w:rFonts w:cs="Arial"/>
          <w:color w:val="000000" w:themeColor="text1"/>
          <w:szCs w:val="24"/>
        </w:rPr>
        <w:t>ж</w:t>
      </w:r>
      <w:r w:rsidR="00EE6AA2">
        <w:rPr>
          <w:rStyle w:val="y2iqfc"/>
          <w:rFonts w:cs="Arial"/>
          <w:color w:val="000000" w:themeColor="text1"/>
          <w:szCs w:val="24"/>
        </w:rPr>
        <w:t>е</w:t>
      </w:r>
      <w:r w:rsidR="00FB7F55" w:rsidRPr="00F6340E">
        <w:rPr>
          <w:rStyle w:val="y2iqfc"/>
          <w:rFonts w:cs="Arial"/>
          <w:color w:val="000000" w:themeColor="text1"/>
          <w:szCs w:val="24"/>
        </w:rPr>
        <w:t xml:space="preserve"> </w:t>
      </w:r>
      <w:r>
        <w:rPr>
          <w:rStyle w:val="y2iqfc"/>
          <w:rFonts w:cs="Arial"/>
          <w:color w:val="000000" w:themeColor="text1"/>
          <w:szCs w:val="24"/>
        </w:rPr>
        <w:t>с</w:t>
      </w:r>
      <w:r w:rsidR="00EE6AA2">
        <w:rPr>
          <w:rStyle w:val="y2iqfc"/>
          <w:rFonts w:cs="Arial"/>
          <w:color w:val="000000" w:themeColor="text1"/>
          <w:szCs w:val="24"/>
        </w:rPr>
        <w:t>е</w:t>
      </w:r>
      <w:r w:rsidR="00FB7F55"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FB7F55" w:rsidRPr="00F6340E">
        <w:rPr>
          <w:rStyle w:val="y2iqfc"/>
          <w:rFonts w:cs="Arial"/>
          <w:color w:val="000000" w:themeColor="text1"/>
          <w:szCs w:val="24"/>
        </w:rPr>
        <w:t xml:space="preserve"> </w:t>
      </w:r>
      <w:r w:rsidR="00A56E08">
        <w:rPr>
          <w:rStyle w:val="y2iqfc"/>
          <w:rFonts w:cs="Arial"/>
          <w:color w:val="000000" w:themeColor="text1"/>
          <w:szCs w:val="24"/>
        </w:rPr>
        <w:t>и</w:t>
      </w:r>
      <w:r>
        <w:rPr>
          <w:rStyle w:val="y2iqfc"/>
          <w:rFonts w:cs="Arial"/>
          <w:color w:val="000000" w:themeColor="text1"/>
          <w:szCs w:val="24"/>
        </w:rPr>
        <w:t>с</w:t>
      </w:r>
      <w:r w:rsidR="00A56E08">
        <w:rPr>
          <w:rStyle w:val="y2iqfc"/>
          <w:rFonts w:cs="Arial"/>
          <w:color w:val="000000" w:themeColor="text1"/>
          <w:szCs w:val="24"/>
        </w:rPr>
        <w:t>ход</w:t>
      </w:r>
      <w:r w:rsidR="00EE6AA2">
        <w:rPr>
          <w:rStyle w:val="y2iqfc"/>
          <w:rFonts w:cs="Arial"/>
          <w:color w:val="000000" w:themeColor="text1"/>
          <w:szCs w:val="24"/>
        </w:rPr>
        <w:t>е</w:t>
      </w:r>
      <w:r w:rsidR="00FB7F55" w:rsidRPr="00F6340E">
        <w:rPr>
          <w:rStyle w:val="y2iqfc"/>
          <w:rFonts w:cs="Arial"/>
          <w:color w:val="000000" w:themeColor="text1"/>
          <w:szCs w:val="24"/>
        </w:rPr>
        <w:t xml:space="preserve"> </w:t>
      </w:r>
      <w:r w:rsidR="00A56E08">
        <w:rPr>
          <w:rStyle w:val="y2iqfc"/>
          <w:rFonts w:cs="Arial"/>
          <w:color w:val="000000" w:themeColor="text1"/>
          <w:szCs w:val="24"/>
        </w:rPr>
        <w:t>одно</w:t>
      </w:r>
      <w:r>
        <w:rPr>
          <w:rStyle w:val="y2iqfc"/>
          <w:rFonts w:cs="Arial"/>
          <w:color w:val="000000" w:themeColor="text1"/>
          <w:szCs w:val="24"/>
        </w:rPr>
        <w:t>с</w:t>
      </w:r>
      <w:r w:rsidR="00A56E08">
        <w:rPr>
          <w:rStyle w:val="y2iqfc"/>
          <w:rFonts w:cs="Arial"/>
          <w:color w:val="000000" w:themeColor="text1"/>
          <w:szCs w:val="24"/>
        </w:rPr>
        <w:t>но</w:t>
      </w:r>
      <w:r w:rsidR="00FB7F55"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на</w:t>
      </w:r>
      <w:r w:rsidR="00FB7F55"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w:t>
      </w:r>
      <w:r>
        <w:rPr>
          <w:rStyle w:val="y2iqfc"/>
          <w:rFonts w:cs="Arial"/>
          <w:color w:val="000000" w:themeColor="text1"/>
          <w:szCs w:val="24"/>
        </w:rPr>
        <w:t>ст</w:t>
      </w:r>
      <w:r w:rsidR="00A56E08">
        <w:rPr>
          <w:rStyle w:val="y2iqfc"/>
          <w:rFonts w:cs="Arial"/>
          <w:color w:val="000000" w:themeColor="text1"/>
          <w:szCs w:val="24"/>
        </w:rPr>
        <w:t>игн</w:t>
      </w:r>
      <w:r>
        <w:rPr>
          <w:rStyle w:val="y2iqfc"/>
          <w:rFonts w:cs="Arial"/>
          <w:color w:val="000000" w:themeColor="text1"/>
          <w:szCs w:val="24"/>
        </w:rPr>
        <w:t>у</w:t>
      </w:r>
      <w:r w:rsidR="00A56E08">
        <w:rPr>
          <w:rStyle w:val="y2iqfc"/>
          <w:rFonts w:cs="Arial"/>
          <w:color w:val="000000" w:themeColor="text1"/>
          <w:szCs w:val="24"/>
        </w:rPr>
        <w:t>ћа</w:t>
      </w:r>
      <w:r w:rsidR="00FB7F55"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ч</w:t>
      </w:r>
      <w:r w:rsidR="00EE6AA2">
        <w:rPr>
          <w:rStyle w:val="y2iqfc"/>
          <w:rFonts w:cs="Arial"/>
          <w:color w:val="000000" w:themeColor="text1"/>
          <w:szCs w:val="24"/>
        </w:rPr>
        <w:t>е</w:t>
      </w:r>
      <w:r w:rsidR="00A56E08">
        <w:rPr>
          <w:rStyle w:val="y2iqfc"/>
          <w:rFonts w:cs="Arial"/>
          <w:color w:val="000000" w:themeColor="text1"/>
          <w:szCs w:val="24"/>
        </w:rPr>
        <w:t>ника</w:t>
      </w:r>
      <w:r w:rsidR="00FB7F55" w:rsidRPr="00F6340E">
        <w:rPr>
          <w:rStyle w:val="y2iqfc"/>
          <w:rFonts w:cs="Arial"/>
          <w:color w:val="000000" w:themeColor="text1"/>
          <w:szCs w:val="24"/>
        </w:rPr>
        <w:t xml:space="preserve"> </w:t>
      </w:r>
      <w:r w:rsidR="00A56E08">
        <w:rPr>
          <w:rStyle w:val="y2iqfc"/>
          <w:rFonts w:cs="Arial"/>
          <w:color w:val="000000" w:themeColor="text1"/>
          <w:szCs w:val="24"/>
        </w:rPr>
        <w:t>к</w:t>
      </w:r>
      <w:r>
        <w:rPr>
          <w:rStyle w:val="y2iqfc"/>
          <w:rFonts w:cs="Arial"/>
          <w:color w:val="000000" w:themeColor="text1"/>
          <w:szCs w:val="24"/>
        </w:rPr>
        <w:t>р</w:t>
      </w:r>
      <w:r w:rsidR="00A56E08">
        <w:rPr>
          <w:rStyle w:val="y2iqfc"/>
          <w:rFonts w:cs="Arial"/>
          <w:color w:val="000000" w:themeColor="text1"/>
          <w:szCs w:val="24"/>
        </w:rPr>
        <w:t>о</w:t>
      </w:r>
      <w:r w:rsidR="00171F00">
        <w:rPr>
          <w:rStyle w:val="y2iqfc"/>
          <w:rFonts w:cs="Arial"/>
          <w:color w:val="000000" w:themeColor="text1"/>
          <w:szCs w:val="24"/>
        </w:rPr>
        <w:t>з</w:t>
      </w:r>
      <w:r w:rsidR="00FB7F55"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w:t>
      </w:r>
      <w:r>
        <w:rPr>
          <w:rStyle w:val="y2iqfc"/>
          <w:rFonts w:cs="Arial"/>
          <w:color w:val="000000" w:themeColor="text1"/>
          <w:szCs w:val="24"/>
        </w:rPr>
        <w:t>ступ</w:t>
      </w:r>
      <w:r w:rsidR="00A56E08">
        <w:rPr>
          <w:rStyle w:val="y2iqfc"/>
          <w:rFonts w:cs="Arial"/>
          <w:color w:val="000000" w:themeColor="text1"/>
          <w:szCs w:val="24"/>
        </w:rPr>
        <w:t>к</w:t>
      </w:r>
      <w:r w:rsidR="00EE6AA2">
        <w:rPr>
          <w:rStyle w:val="y2iqfc"/>
          <w:rFonts w:cs="Arial"/>
          <w:color w:val="000000" w:themeColor="text1"/>
          <w:szCs w:val="24"/>
        </w:rPr>
        <w:t>е</w:t>
      </w:r>
      <w:r w:rsidR="00FB7F55"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аћ</w:t>
      </w:r>
      <w:r w:rsidR="00EE6AA2">
        <w:rPr>
          <w:rStyle w:val="y2iqfc"/>
          <w:rFonts w:cs="Arial"/>
          <w:color w:val="000000" w:themeColor="text1"/>
          <w:szCs w:val="24"/>
        </w:rPr>
        <w:t>е</w:t>
      </w:r>
      <w:r w:rsidR="00A56E08">
        <w:rPr>
          <w:rStyle w:val="y2iqfc"/>
          <w:rFonts w:cs="Arial"/>
          <w:color w:val="000000" w:themeColor="text1"/>
          <w:szCs w:val="24"/>
        </w:rPr>
        <w:t>ња</w:t>
      </w:r>
      <w:r w:rsidR="00FB7F55" w:rsidRPr="00F6340E">
        <w:rPr>
          <w:rStyle w:val="y2iqfc"/>
          <w:rFonts w:cs="Arial"/>
          <w:color w:val="000000" w:themeColor="text1"/>
          <w:szCs w:val="24"/>
        </w:rPr>
        <w:t xml:space="preserve">, </w:t>
      </w:r>
      <w:r>
        <w:rPr>
          <w:rStyle w:val="y2iqfc"/>
          <w:rFonts w:cs="Arial"/>
          <w:color w:val="000000" w:themeColor="text1"/>
          <w:szCs w:val="24"/>
        </w:rPr>
        <w:t>вр</w:t>
      </w:r>
      <w:r w:rsidR="00EE6AA2">
        <w:rPr>
          <w:rStyle w:val="y2iqfc"/>
          <w:rFonts w:cs="Arial"/>
          <w:color w:val="000000" w:themeColor="text1"/>
          <w:szCs w:val="24"/>
        </w:rPr>
        <w:t>е</w:t>
      </w:r>
      <w:r w:rsidR="00A56E08">
        <w:rPr>
          <w:rStyle w:val="y2iqfc"/>
          <w:rFonts w:cs="Arial"/>
          <w:color w:val="000000" w:themeColor="text1"/>
          <w:szCs w:val="24"/>
        </w:rPr>
        <w:t>дно</w:t>
      </w:r>
      <w:r>
        <w:rPr>
          <w:rStyle w:val="y2iqfc"/>
          <w:rFonts w:cs="Arial"/>
          <w:color w:val="000000" w:themeColor="text1"/>
          <w:szCs w:val="24"/>
        </w:rPr>
        <w:t>в</w:t>
      </w:r>
      <w:r w:rsidR="00A56E08">
        <w:rPr>
          <w:rStyle w:val="y2iqfc"/>
          <w:rFonts w:cs="Arial"/>
          <w:color w:val="000000" w:themeColor="text1"/>
          <w:szCs w:val="24"/>
        </w:rPr>
        <w:t>ања</w:t>
      </w:r>
      <w:r w:rsidR="00FB7F55" w:rsidRPr="00F6340E">
        <w:rPr>
          <w:rStyle w:val="y2iqfc"/>
          <w:rFonts w:cs="Arial"/>
          <w:color w:val="000000" w:themeColor="text1"/>
          <w:szCs w:val="24"/>
        </w:rPr>
        <w:t xml:space="preserve"> </w:t>
      </w:r>
      <w:r w:rsidR="00A56E08">
        <w:rPr>
          <w:rStyle w:val="y2iqfc"/>
          <w:rFonts w:cs="Arial"/>
          <w:color w:val="000000" w:themeColor="text1"/>
          <w:szCs w:val="24"/>
        </w:rPr>
        <w:t>и</w:t>
      </w:r>
      <w:r w:rsidR="00FB7F55" w:rsidRPr="00F6340E">
        <w:rPr>
          <w:rStyle w:val="y2iqfc"/>
          <w:rFonts w:cs="Arial"/>
          <w:color w:val="000000" w:themeColor="text1"/>
          <w:szCs w:val="24"/>
        </w:rPr>
        <w:t xml:space="preserve"> </w:t>
      </w:r>
      <w:r w:rsidR="00A56E08">
        <w:rPr>
          <w:rStyle w:val="y2iqfc"/>
          <w:rFonts w:cs="Arial"/>
          <w:color w:val="000000" w:themeColor="text1"/>
          <w:szCs w:val="24"/>
        </w:rPr>
        <w:t>оцј</w:t>
      </w:r>
      <w:r w:rsidR="00EE6AA2">
        <w:rPr>
          <w:rStyle w:val="y2iqfc"/>
          <w:rFonts w:cs="Arial"/>
          <w:color w:val="000000" w:themeColor="text1"/>
          <w:szCs w:val="24"/>
        </w:rPr>
        <w:t>е</w:t>
      </w:r>
      <w:r w:rsidR="00A56E08">
        <w:rPr>
          <w:rStyle w:val="y2iqfc"/>
          <w:rFonts w:cs="Arial"/>
          <w:color w:val="000000" w:themeColor="text1"/>
          <w:szCs w:val="24"/>
        </w:rPr>
        <w:t>њи</w:t>
      </w:r>
      <w:r>
        <w:rPr>
          <w:rStyle w:val="y2iqfc"/>
          <w:rFonts w:cs="Arial"/>
          <w:color w:val="000000" w:themeColor="text1"/>
          <w:szCs w:val="24"/>
        </w:rPr>
        <w:t>в</w:t>
      </w:r>
      <w:r w:rsidR="00A56E08">
        <w:rPr>
          <w:rStyle w:val="y2iqfc"/>
          <w:rFonts w:cs="Arial"/>
          <w:color w:val="000000" w:themeColor="text1"/>
          <w:szCs w:val="24"/>
        </w:rPr>
        <w:t>ања</w:t>
      </w:r>
      <w:r w:rsidR="00FB7F55" w:rsidRPr="00F6340E">
        <w:rPr>
          <w:rStyle w:val="y2iqfc"/>
          <w:rFonts w:cs="Arial"/>
          <w:color w:val="000000" w:themeColor="text1"/>
          <w:szCs w:val="24"/>
        </w:rPr>
        <w:t xml:space="preserve">. </w:t>
      </w:r>
    </w:p>
    <w:p w14:paraId="67AFC998" w14:textId="622F44CD" w:rsidR="00872771" w:rsidRPr="00F6340E" w:rsidRDefault="0071360A" w:rsidP="000962EB">
      <w:pPr>
        <w:pStyle w:val="Heading2"/>
        <w:numPr>
          <w:ilvl w:val="1"/>
          <w:numId w:val="69"/>
        </w:numPr>
        <w:rPr>
          <w:lang w:val="sr-Cyrl-BA"/>
        </w:rPr>
      </w:pPr>
      <w:bookmarkStart w:id="24" w:name="_Toc119050306"/>
      <w:r>
        <w:rPr>
          <w:lang w:val="sr-Cyrl-BA"/>
        </w:rPr>
        <w:lastRenderedPageBreak/>
        <w:t>Пр</w:t>
      </w:r>
      <w:r w:rsidR="00A56E08">
        <w:rPr>
          <w:lang w:val="sr-Cyrl-BA"/>
        </w:rPr>
        <w:t>аћ</w:t>
      </w:r>
      <w:r w:rsidR="00EE6AA2">
        <w:rPr>
          <w:lang w:val="sr-Cyrl-BA"/>
        </w:rPr>
        <w:t>е</w:t>
      </w:r>
      <w:r w:rsidR="00A56E08">
        <w:rPr>
          <w:lang w:val="sr-Cyrl-BA"/>
        </w:rPr>
        <w:t>њ</w:t>
      </w:r>
      <w:r w:rsidR="00EE6AA2">
        <w:rPr>
          <w:lang w:val="sr-Cyrl-BA"/>
        </w:rPr>
        <w:t>е</w:t>
      </w:r>
      <w:r w:rsidR="00872771" w:rsidRPr="00F6340E">
        <w:rPr>
          <w:lang w:val="sr-Cyrl-BA"/>
        </w:rPr>
        <w:t xml:space="preserve">, </w:t>
      </w:r>
      <w:r>
        <w:rPr>
          <w:lang w:val="sr-Cyrl-BA"/>
        </w:rPr>
        <w:t>вр</w:t>
      </w:r>
      <w:r w:rsidR="00EE6AA2">
        <w:rPr>
          <w:lang w:val="sr-Cyrl-BA"/>
        </w:rPr>
        <w:t>е</w:t>
      </w:r>
      <w:r w:rsidR="00A56E08">
        <w:rPr>
          <w:lang w:val="sr-Cyrl-BA"/>
        </w:rPr>
        <w:t>дно</w:t>
      </w:r>
      <w:r>
        <w:rPr>
          <w:lang w:val="sr-Cyrl-BA"/>
        </w:rPr>
        <w:t>в</w:t>
      </w:r>
      <w:r w:rsidR="00A56E08">
        <w:rPr>
          <w:lang w:val="sr-Cyrl-BA"/>
        </w:rPr>
        <w:t>ањ</w:t>
      </w:r>
      <w:r w:rsidR="00EE6AA2">
        <w:rPr>
          <w:lang w:val="sr-Cyrl-BA"/>
        </w:rPr>
        <w:t>е</w:t>
      </w:r>
      <w:r w:rsidR="00872771" w:rsidRPr="00F6340E">
        <w:rPr>
          <w:lang w:val="sr-Cyrl-BA"/>
        </w:rPr>
        <w:t xml:space="preserve"> </w:t>
      </w:r>
      <w:r w:rsidR="00A56E08">
        <w:rPr>
          <w:lang w:val="sr-Cyrl-BA"/>
        </w:rPr>
        <w:t>и</w:t>
      </w:r>
      <w:r w:rsidR="00872771" w:rsidRPr="00F6340E">
        <w:rPr>
          <w:lang w:val="sr-Cyrl-BA"/>
        </w:rPr>
        <w:t xml:space="preserve"> </w:t>
      </w:r>
      <w:r w:rsidR="00A56E08">
        <w:rPr>
          <w:lang w:val="sr-Cyrl-BA"/>
        </w:rPr>
        <w:t>оцј</w:t>
      </w:r>
      <w:r w:rsidR="00EE6AA2">
        <w:rPr>
          <w:lang w:val="sr-Cyrl-BA"/>
        </w:rPr>
        <w:t>е</w:t>
      </w:r>
      <w:r w:rsidR="00A56E08">
        <w:rPr>
          <w:lang w:val="sr-Cyrl-BA"/>
        </w:rPr>
        <w:t>њи</w:t>
      </w:r>
      <w:r>
        <w:rPr>
          <w:lang w:val="sr-Cyrl-BA"/>
        </w:rPr>
        <w:t>в</w:t>
      </w:r>
      <w:r w:rsidR="00A56E08">
        <w:rPr>
          <w:lang w:val="sr-Cyrl-BA"/>
        </w:rPr>
        <w:t>ањ</w:t>
      </w:r>
      <w:r w:rsidR="00EE6AA2">
        <w:rPr>
          <w:lang w:val="sr-Cyrl-BA"/>
        </w:rPr>
        <w:t>е</w:t>
      </w:r>
      <w:r w:rsidR="00C46704" w:rsidRPr="00F6340E">
        <w:rPr>
          <w:lang w:val="sr-Cyrl-BA"/>
        </w:rPr>
        <w:t xml:space="preserve"> </w:t>
      </w:r>
      <w:r>
        <w:rPr>
          <w:lang w:val="sr-Cyrl-BA"/>
        </w:rPr>
        <w:t>п</w:t>
      </w:r>
      <w:r w:rsidR="00A56E08">
        <w:rPr>
          <w:lang w:val="sr-Cyrl-BA"/>
        </w:rPr>
        <w:t>о</w:t>
      </w:r>
      <w:r>
        <w:rPr>
          <w:lang w:val="sr-Cyrl-BA"/>
        </w:rPr>
        <w:t>ст</w:t>
      </w:r>
      <w:r w:rsidR="00A56E08">
        <w:rPr>
          <w:lang w:val="sr-Cyrl-BA"/>
        </w:rPr>
        <w:t>игн</w:t>
      </w:r>
      <w:r>
        <w:rPr>
          <w:lang w:val="sr-Cyrl-BA"/>
        </w:rPr>
        <w:t>у</w:t>
      </w:r>
      <w:r w:rsidR="00A56E08">
        <w:rPr>
          <w:lang w:val="sr-Cyrl-BA"/>
        </w:rPr>
        <w:t>ћа</w:t>
      </w:r>
      <w:r w:rsidR="00C46704" w:rsidRPr="00F6340E">
        <w:rPr>
          <w:lang w:val="sr-Cyrl-BA"/>
        </w:rPr>
        <w:t xml:space="preserve"> </w:t>
      </w:r>
      <w:r>
        <w:rPr>
          <w:lang w:val="sr-Cyrl-BA"/>
        </w:rPr>
        <w:t>у</w:t>
      </w:r>
      <w:r w:rsidR="00A56E08">
        <w:rPr>
          <w:lang w:val="sr-Cyrl-BA"/>
        </w:rPr>
        <w:t>ч</w:t>
      </w:r>
      <w:r w:rsidR="00EE6AA2">
        <w:rPr>
          <w:lang w:val="sr-Cyrl-BA"/>
        </w:rPr>
        <w:t>е</w:t>
      </w:r>
      <w:r w:rsidR="00A56E08">
        <w:rPr>
          <w:lang w:val="sr-Cyrl-BA"/>
        </w:rPr>
        <w:t>ника</w:t>
      </w:r>
      <w:r w:rsidR="00DF65DB" w:rsidRPr="00F6340E">
        <w:rPr>
          <w:lang w:val="sr-Cyrl-BA"/>
        </w:rPr>
        <w:t>/</w:t>
      </w:r>
      <w:r>
        <w:rPr>
          <w:lang w:val="sr-Cyrl-BA"/>
        </w:rPr>
        <w:t>сту</w:t>
      </w:r>
      <w:r w:rsidR="00A56E08">
        <w:rPr>
          <w:lang w:val="sr-Cyrl-BA"/>
        </w:rPr>
        <w:t>д</w:t>
      </w:r>
      <w:r w:rsidR="00EE6AA2">
        <w:rPr>
          <w:lang w:val="sr-Cyrl-BA"/>
        </w:rPr>
        <w:t>е</w:t>
      </w:r>
      <w:r w:rsidR="00A56E08">
        <w:rPr>
          <w:lang w:val="sr-Cyrl-BA"/>
        </w:rPr>
        <w:t>на</w:t>
      </w:r>
      <w:r>
        <w:rPr>
          <w:lang w:val="sr-Cyrl-BA"/>
        </w:rPr>
        <w:t>т</w:t>
      </w:r>
      <w:r w:rsidR="00A56E08">
        <w:rPr>
          <w:lang w:val="sr-Cyrl-BA"/>
        </w:rPr>
        <w:t>а</w:t>
      </w:r>
      <w:r w:rsidR="00DF65DB" w:rsidRPr="00F6340E">
        <w:rPr>
          <w:lang w:val="sr-Cyrl-BA"/>
        </w:rPr>
        <w:t xml:space="preserve"> </w:t>
      </w:r>
      <w:r>
        <w:rPr>
          <w:lang w:val="sr-Cyrl-BA"/>
        </w:rPr>
        <w:t>у</w:t>
      </w:r>
      <w:r w:rsidR="00947928"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и</w:t>
      </w:r>
      <w:r w:rsidR="00947928" w:rsidRPr="00F6340E">
        <w:rPr>
          <w:lang w:val="sr-Cyrl-BA"/>
        </w:rPr>
        <w:t xml:space="preserve"> </w:t>
      </w:r>
      <w:r>
        <w:rPr>
          <w:lang w:val="sr-Cyrl-BA"/>
        </w:rPr>
        <w:t>пут</w:t>
      </w:r>
      <w:r w:rsidR="00EE6AA2">
        <w:rPr>
          <w:lang w:val="sr-Cyrl-BA"/>
        </w:rPr>
        <w:t>е</w:t>
      </w:r>
      <w:r w:rsidR="00A56E08">
        <w:rPr>
          <w:lang w:val="sr-Cyrl-BA"/>
        </w:rPr>
        <w:t>м</w:t>
      </w:r>
      <w:r w:rsidR="00947928" w:rsidRPr="00F6340E">
        <w:rPr>
          <w:lang w:val="sr-Cyrl-BA"/>
        </w:rPr>
        <w:t xml:space="preserve"> </w:t>
      </w:r>
      <w:r w:rsidR="00A56E08">
        <w:rPr>
          <w:lang w:val="sr-Cyrl-BA"/>
        </w:rPr>
        <w:t>ин</w:t>
      </w:r>
      <w:r>
        <w:rPr>
          <w:lang w:val="sr-Cyrl-BA"/>
        </w:rPr>
        <w:t>т</w:t>
      </w:r>
      <w:r w:rsidR="00EE6AA2">
        <w:rPr>
          <w:lang w:val="sr-Cyrl-BA"/>
        </w:rPr>
        <w:t>е</w:t>
      </w:r>
      <w:r>
        <w:rPr>
          <w:lang w:val="sr-Cyrl-BA"/>
        </w:rPr>
        <w:t>р</w:t>
      </w:r>
      <w:r w:rsidR="00A56E08">
        <w:rPr>
          <w:lang w:val="sr-Cyrl-BA"/>
        </w:rPr>
        <w:t>н</w:t>
      </w:r>
      <w:r w:rsidR="00EE6AA2">
        <w:rPr>
          <w:lang w:val="sr-Cyrl-BA"/>
        </w:rPr>
        <w:t>е</w:t>
      </w:r>
      <w:r>
        <w:rPr>
          <w:lang w:val="sr-Cyrl-BA"/>
        </w:rPr>
        <w:t>т</w:t>
      </w:r>
      <w:r w:rsidR="00A56E08">
        <w:rPr>
          <w:lang w:val="sr-Cyrl-BA"/>
        </w:rPr>
        <w:t>а</w:t>
      </w:r>
      <w:r w:rsidR="00947928" w:rsidRPr="00F6340E">
        <w:rPr>
          <w:lang w:val="sr-Cyrl-BA"/>
        </w:rPr>
        <w:t xml:space="preserve"> </w:t>
      </w:r>
      <w:r w:rsidR="00A56E08">
        <w:rPr>
          <w:lang w:val="sr-Cyrl-BA"/>
        </w:rPr>
        <w:t>и</w:t>
      </w:r>
      <w:r w:rsidR="00DF65DB" w:rsidRPr="00F6340E">
        <w:rPr>
          <w:lang w:val="sr-Cyrl-BA"/>
        </w:rPr>
        <w:t xml:space="preserve"> </w:t>
      </w:r>
      <w:r w:rsidR="00A56E08">
        <w:rPr>
          <w:lang w:val="sr-Cyrl-BA"/>
        </w:rPr>
        <w:t>комбино</w:t>
      </w:r>
      <w:r>
        <w:rPr>
          <w:lang w:val="sr-Cyrl-BA"/>
        </w:rPr>
        <w:t>в</w:t>
      </w:r>
      <w:r w:rsidR="00A56E08">
        <w:rPr>
          <w:lang w:val="sr-Cyrl-BA"/>
        </w:rPr>
        <w:t>аној</w:t>
      </w:r>
      <w:r w:rsidR="00DF65DB"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и</w:t>
      </w:r>
      <w:bookmarkEnd w:id="24"/>
    </w:p>
    <w:p w14:paraId="288FC8EC" w14:textId="78CF3748" w:rsidR="00AA11C2" w:rsidRPr="00F6340E" w:rsidRDefault="0071360A" w:rsidP="00210EE1">
      <w:pPr>
        <w:pStyle w:val="Body"/>
      </w:pPr>
      <w:r>
        <w:t>Пр</w:t>
      </w:r>
      <w:r w:rsidR="00A56E08">
        <w:t>аћ</w:t>
      </w:r>
      <w:r w:rsidR="00EE6AA2">
        <w:t>е</w:t>
      </w:r>
      <w:r w:rsidR="00A56E08">
        <w:t>њ</w:t>
      </w:r>
      <w:r w:rsidR="00EE6AA2">
        <w:t>е</w:t>
      </w:r>
      <w:r w:rsidR="00CA63F8" w:rsidRPr="00F6340E">
        <w:t xml:space="preserve">, </w:t>
      </w:r>
      <w:r>
        <w:t>вр</w:t>
      </w:r>
      <w:r w:rsidR="00EE6AA2">
        <w:t>е</w:t>
      </w:r>
      <w:r w:rsidR="00A56E08">
        <w:t>дно</w:t>
      </w:r>
      <w:r>
        <w:t>в</w:t>
      </w:r>
      <w:r w:rsidR="00A56E08">
        <w:t>ањ</w:t>
      </w:r>
      <w:r w:rsidR="00EE6AA2">
        <w:t>е</w:t>
      </w:r>
      <w:r w:rsidR="00CA63F8" w:rsidRPr="00F6340E">
        <w:t xml:space="preserve"> </w:t>
      </w:r>
      <w:r w:rsidR="00A56E08">
        <w:t>и</w:t>
      </w:r>
      <w:r w:rsidR="00CA63F8" w:rsidRPr="00F6340E">
        <w:t xml:space="preserve"> </w:t>
      </w:r>
      <w:r w:rsidR="00A56E08">
        <w:t>оцј</w:t>
      </w:r>
      <w:r w:rsidR="00EE6AA2">
        <w:t>е</w:t>
      </w:r>
      <w:r w:rsidR="00A56E08">
        <w:t>њи</w:t>
      </w:r>
      <w:r>
        <w:t>в</w:t>
      </w:r>
      <w:r w:rsidR="00A56E08">
        <w:t>ањ</w:t>
      </w:r>
      <w:r w:rsidR="00EE6AA2">
        <w:t>е</w:t>
      </w:r>
      <w:r w:rsidR="00CA63F8" w:rsidRPr="00F6340E">
        <w:t xml:space="preserve"> </w:t>
      </w:r>
      <w:r>
        <w:t>у</w:t>
      </w:r>
      <w:r w:rsidR="00A56E08">
        <w:t>ч</w:t>
      </w:r>
      <w:r w:rsidR="00EE6AA2">
        <w:t>е</w:t>
      </w:r>
      <w:r w:rsidR="00A56E08">
        <w:t>ника</w:t>
      </w:r>
      <w:r w:rsidR="00CA63F8" w:rsidRPr="00F6340E">
        <w:t xml:space="preserve"> </w:t>
      </w:r>
      <w:r w:rsidR="00A56E08">
        <w:t>о</w:t>
      </w:r>
      <w:r>
        <w:t>с</w:t>
      </w:r>
      <w:r w:rsidR="00A56E08">
        <w:t>но</w:t>
      </w:r>
      <w:r>
        <w:t>в</w:t>
      </w:r>
      <w:r w:rsidR="00A56E08">
        <w:t>них</w:t>
      </w:r>
      <w:r w:rsidR="00CA63F8" w:rsidRPr="00F6340E">
        <w:t xml:space="preserve"> </w:t>
      </w:r>
      <w:r w:rsidR="00A56E08">
        <w:t>и</w:t>
      </w:r>
      <w:r w:rsidR="00CA63F8" w:rsidRPr="00F6340E">
        <w:t xml:space="preserve"> </w:t>
      </w:r>
      <w:r>
        <w:t>ср</w:t>
      </w:r>
      <w:r w:rsidR="00EE6AA2">
        <w:t>е</w:t>
      </w:r>
      <w:r w:rsidR="00A56E08">
        <w:t>дњих</w:t>
      </w:r>
      <w:r w:rsidR="00CA63F8" w:rsidRPr="00F6340E">
        <w:t xml:space="preserve"> </w:t>
      </w:r>
      <w:r>
        <w:t>ш</w:t>
      </w:r>
      <w:r w:rsidR="00A56E08">
        <w:t>кола</w:t>
      </w:r>
      <w:r w:rsidR="00CA63F8" w:rsidRPr="00F6340E">
        <w:t xml:space="preserve"> </w:t>
      </w:r>
      <w:r>
        <w:t>р</w:t>
      </w:r>
      <w:r w:rsidR="00EE6AA2">
        <w:t>е</w:t>
      </w:r>
      <w:r w:rsidR="00A56E08">
        <w:t>г</w:t>
      </w:r>
      <w:r>
        <w:t>у</w:t>
      </w:r>
      <w:r w:rsidR="00A56E08">
        <w:t>ли</w:t>
      </w:r>
      <w:r>
        <w:t>с</w:t>
      </w:r>
      <w:r w:rsidR="00A56E08">
        <w:t>ано</w:t>
      </w:r>
      <w:r w:rsidR="00CA63F8" w:rsidRPr="00F6340E">
        <w:t xml:space="preserve"> </w:t>
      </w:r>
      <w:r w:rsidR="00A56E08">
        <w:t>ј</w:t>
      </w:r>
      <w:r w:rsidR="00EE6AA2">
        <w:t>е</w:t>
      </w:r>
      <w:r w:rsidR="00CA63F8" w:rsidRPr="00F6340E">
        <w:t xml:space="preserve"> </w:t>
      </w:r>
      <w:r>
        <w:t>пр</w:t>
      </w:r>
      <w:r w:rsidR="00A56E08">
        <w:t>а</w:t>
      </w:r>
      <w:r>
        <w:t>в</w:t>
      </w:r>
      <w:r w:rsidR="00A56E08">
        <w:t>илницима</w:t>
      </w:r>
      <w:r w:rsidR="00CA63F8" w:rsidRPr="00F6340E">
        <w:t xml:space="preserve"> </w:t>
      </w:r>
      <w:r w:rsidR="00A56E08">
        <w:t>надл</w:t>
      </w:r>
      <w:r w:rsidR="00EE6AA2">
        <w:t>е</w:t>
      </w:r>
      <w:r w:rsidR="00171F00">
        <w:t>ж</w:t>
      </w:r>
      <w:r w:rsidR="00A56E08">
        <w:t>них</w:t>
      </w:r>
      <w:r w:rsidR="00CA63F8" w:rsidRPr="00F6340E">
        <w:t xml:space="preserve"> </w:t>
      </w:r>
      <w:r w:rsidR="00A56E08">
        <w:t>об</w:t>
      </w:r>
      <w:r>
        <w:t>р</w:t>
      </w:r>
      <w:r w:rsidR="00A56E08">
        <w:t>а</w:t>
      </w:r>
      <w:r w:rsidR="00171F00">
        <w:t>з</w:t>
      </w:r>
      <w:r w:rsidR="00A56E08">
        <w:t>о</w:t>
      </w:r>
      <w:r>
        <w:t>в</w:t>
      </w:r>
      <w:r w:rsidR="00A56E08">
        <w:t>них</w:t>
      </w:r>
      <w:r w:rsidR="00CA63F8" w:rsidRPr="00F6340E">
        <w:t xml:space="preserve"> </w:t>
      </w:r>
      <w:r>
        <w:t>в</w:t>
      </w:r>
      <w:r w:rsidR="00A56E08">
        <w:t>ла</w:t>
      </w:r>
      <w:r>
        <w:t>ст</w:t>
      </w:r>
      <w:r w:rsidR="00A56E08">
        <w:t>и</w:t>
      </w:r>
      <w:r w:rsidR="00CA63F8" w:rsidRPr="00F6340E">
        <w:t xml:space="preserve"> </w:t>
      </w:r>
      <w:r>
        <w:t>у</w:t>
      </w:r>
      <w:r w:rsidR="00CA63F8" w:rsidRPr="00F6340E">
        <w:t xml:space="preserve"> </w:t>
      </w:r>
      <w:r w:rsidR="00A56E08">
        <w:t>админи</w:t>
      </w:r>
      <w:r>
        <w:t>стр</w:t>
      </w:r>
      <w:r w:rsidR="00A56E08">
        <w:t>а</w:t>
      </w:r>
      <w:r>
        <w:t>т</w:t>
      </w:r>
      <w:r w:rsidR="00A56E08">
        <w:t>и</w:t>
      </w:r>
      <w:r>
        <w:t>в</w:t>
      </w:r>
      <w:r w:rsidR="00A56E08">
        <w:t>ним</w:t>
      </w:r>
      <w:r w:rsidR="00CA63F8" w:rsidRPr="00F6340E">
        <w:t xml:space="preserve"> </w:t>
      </w:r>
      <w:r w:rsidR="00A56E08">
        <w:t>ј</w:t>
      </w:r>
      <w:r w:rsidR="00EE6AA2">
        <w:t>е</w:t>
      </w:r>
      <w:r w:rsidR="00A56E08">
        <w:t>диницама</w:t>
      </w:r>
      <w:r w:rsidR="00CA63F8" w:rsidRPr="00F6340E">
        <w:t xml:space="preserve">. </w:t>
      </w:r>
      <w:r w:rsidR="00A56E08">
        <w:t>Они</w:t>
      </w:r>
      <w:r w:rsidR="00CA63F8" w:rsidRPr="00F6340E">
        <w:t xml:space="preserve"> </w:t>
      </w:r>
      <w:r>
        <w:t>у</w:t>
      </w:r>
      <w:r w:rsidR="00CA63F8" w:rsidRPr="00F6340E">
        <w:t xml:space="preserve"> </w:t>
      </w:r>
      <w:r w:rsidR="00A56E08">
        <w:t>о</w:t>
      </w:r>
      <w:r>
        <w:t>пшт</w:t>
      </w:r>
      <w:r w:rsidR="00A56E08">
        <w:t>им</w:t>
      </w:r>
      <w:r w:rsidR="00CA63F8" w:rsidRPr="00F6340E">
        <w:t xml:space="preserve"> </w:t>
      </w:r>
      <w:r w:rsidR="00A56E08">
        <w:t>ц</w:t>
      </w:r>
      <w:r>
        <w:t>рт</w:t>
      </w:r>
      <w:r w:rsidR="00A56E08">
        <w:t>ама</w:t>
      </w:r>
      <w:r w:rsidR="00CA63F8" w:rsidRPr="00F6340E">
        <w:t xml:space="preserve"> </w:t>
      </w:r>
      <w:r>
        <w:t>пр</w:t>
      </w:r>
      <w:r w:rsidR="00EE6AA2">
        <w:t>е</w:t>
      </w:r>
      <w:r w:rsidR="00A56E08">
        <w:t>д</w:t>
      </w:r>
      <w:r>
        <w:t>в</w:t>
      </w:r>
      <w:r w:rsidR="00A56E08">
        <w:t>иђај</w:t>
      </w:r>
      <w:r>
        <w:t>у</w:t>
      </w:r>
      <w:r w:rsidR="00CA63F8" w:rsidRPr="00F6340E">
        <w:t xml:space="preserve"> </w:t>
      </w:r>
      <w:r>
        <w:t>р</w:t>
      </w:r>
      <w:r w:rsidR="00A56E08">
        <w:t>а</w:t>
      </w:r>
      <w:r w:rsidR="00171F00">
        <w:t>з</w:t>
      </w:r>
      <w:r w:rsidR="00A56E08">
        <w:t>личи</w:t>
      </w:r>
      <w:r>
        <w:t>т</w:t>
      </w:r>
      <w:r w:rsidR="00EE6AA2">
        <w:t>е</w:t>
      </w:r>
      <w:r w:rsidR="00CA63F8" w:rsidRPr="00F6340E">
        <w:t xml:space="preserve"> </w:t>
      </w:r>
      <w:r w:rsidR="00A56E08">
        <w:t>начин</w:t>
      </w:r>
      <w:r w:rsidR="00EE6AA2">
        <w:t>е</w:t>
      </w:r>
      <w:r w:rsidR="00CA63F8" w:rsidRPr="00F6340E">
        <w:t xml:space="preserve"> </w:t>
      </w:r>
      <w:r w:rsidR="00A56E08">
        <w:t>мј</w:t>
      </w:r>
      <w:r w:rsidR="00EE6AA2">
        <w:t>е</w:t>
      </w:r>
      <w:r>
        <w:t>р</w:t>
      </w:r>
      <w:r w:rsidR="00EE6AA2">
        <w:t>е</w:t>
      </w:r>
      <w:r w:rsidR="00A56E08">
        <w:t>ња</w:t>
      </w:r>
      <w:r w:rsidR="00CA63F8" w:rsidRPr="00F6340E">
        <w:t xml:space="preserve"> </w:t>
      </w:r>
      <w:r>
        <w:t>у</w:t>
      </w:r>
      <w:r w:rsidR="00A56E08">
        <w:t>ч</w:t>
      </w:r>
      <w:r w:rsidR="00EE6AA2">
        <w:t>е</w:t>
      </w:r>
      <w:r w:rsidR="00A56E08">
        <w:t>ња</w:t>
      </w:r>
      <w:r w:rsidR="00CA63F8" w:rsidRPr="00F6340E">
        <w:t xml:space="preserve"> </w:t>
      </w:r>
      <w:r>
        <w:t>у</w:t>
      </w:r>
      <w:r w:rsidR="00A56E08">
        <w:t>ч</w:t>
      </w:r>
      <w:r w:rsidR="00EE6AA2">
        <w:t>е</w:t>
      </w:r>
      <w:r w:rsidR="00A56E08">
        <w:t>ника</w:t>
      </w:r>
      <w:r w:rsidR="00CA63F8" w:rsidRPr="00F6340E">
        <w:t xml:space="preserve">, </w:t>
      </w:r>
      <w:r>
        <w:t>у</w:t>
      </w:r>
      <w:r w:rsidR="00A56E08">
        <w:t>гла</w:t>
      </w:r>
      <w:r>
        <w:t>в</w:t>
      </w:r>
      <w:r w:rsidR="00A56E08">
        <w:t>ном</w:t>
      </w:r>
      <w:r w:rsidR="00CA63F8" w:rsidRPr="00F6340E">
        <w:t xml:space="preserve"> </w:t>
      </w:r>
      <w:r>
        <w:t>у</w:t>
      </w:r>
      <w:r w:rsidR="00CA63F8" w:rsidRPr="00F6340E">
        <w:t xml:space="preserve"> </w:t>
      </w:r>
      <w:r>
        <w:t>у</w:t>
      </w:r>
      <w:r w:rsidR="00A56E08">
        <w:t>чионици</w:t>
      </w:r>
      <w:r w:rsidR="00CA63F8" w:rsidRPr="00F6340E">
        <w:t xml:space="preserve"> (</w:t>
      </w:r>
      <w:r w:rsidR="00A56E08">
        <w:t>н</w:t>
      </w:r>
      <w:r>
        <w:t>пр</w:t>
      </w:r>
      <w:r w:rsidR="00CA63F8" w:rsidRPr="00F6340E">
        <w:t xml:space="preserve">. </w:t>
      </w:r>
      <w:r>
        <w:t>ус</w:t>
      </w:r>
      <w:r w:rsidR="00A56E08">
        <w:t>м</w:t>
      </w:r>
      <w:r w:rsidR="00EE6AA2">
        <w:t>е</w:t>
      </w:r>
      <w:r w:rsidR="00A56E08">
        <w:t>но</w:t>
      </w:r>
      <w:r w:rsidR="00CA63F8" w:rsidRPr="00F6340E">
        <w:t xml:space="preserve">, </w:t>
      </w:r>
      <w:r>
        <w:t>п</w:t>
      </w:r>
      <w:r w:rsidR="00A56E08">
        <w:t>и</w:t>
      </w:r>
      <w:r>
        <w:t>с</w:t>
      </w:r>
      <w:r w:rsidR="00A56E08">
        <w:t>м</w:t>
      </w:r>
      <w:r w:rsidR="00EE6AA2">
        <w:t>е</w:t>
      </w:r>
      <w:r w:rsidR="00A56E08">
        <w:t>но</w:t>
      </w:r>
      <w:r w:rsidR="00CA63F8" w:rsidRPr="00F6340E">
        <w:t xml:space="preserve"> </w:t>
      </w:r>
      <w:r w:rsidR="00A56E08">
        <w:t>и</w:t>
      </w:r>
      <w:r w:rsidR="00CA63F8" w:rsidRPr="00F6340E">
        <w:t xml:space="preserve"> </w:t>
      </w:r>
      <w:r>
        <w:t>пр</w:t>
      </w:r>
      <w:r w:rsidR="00A56E08">
        <w:t>ак</w:t>
      </w:r>
      <w:r>
        <w:t>т</w:t>
      </w:r>
      <w:r w:rsidR="00A56E08">
        <w:t>ично</w:t>
      </w:r>
      <w:r w:rsidR="00CA63F8" w:rsidRPr="00F6340E">
        <w:t xml:space="preserve"> </w:t>
      </w:r>
      <w:r>
        <w:t>вр</w:t>
      </w:r>
      <w:r w:rsidR="00EE6AA2">
        <w:t>е</w:t>
      </w:r>
      <w:r w:rsidR="00A56E08">
        <w:t>дно</w:t>
      </w:r>
      <w:r>
        <w:t>в</w:t>
      </w:r>
      <w:r w:rsidR="00A56E08">
        <w:t>ањ</w:t>
      </w:r>
      <w:r w:rsidR="00EE6AA2">
        <w:t>е</w:t>
      </w:r>
      <w:r w:rsidR="00CA63F8" w:rsidRPr="00F6340E">
        <w:t xml:space="preserve">), </w:t>
      </w:r>
      <w:r w:rsidR="00A56E08">
        <w:t>ф</w:t>
      </w:r>
      <w:r>
        <w:t>р</w:t>
      </w:r>
      <w:r w:rsidR="00EE6AA2">
        <w:t>е</w:t>
      </w:r>
      <w:r w:rsidR="00A56E08">
        <w:t>к</w:t>
      </w:r>
      <w:r>
        <w:t>в</w:t>
      </w:r>
      <w:r w:rsidR="00EE6AA2">
        <w:t>е</w:t>
      </w:r>
      <w:r w:rsidR="00A56E08">
        <w:t>нција</w:t>
      </w:r>
      <w:r w:rsidR="00CA63F8" w:rsidRPr="00F6340E">
        <w:t xml:space="preserve"> </w:t>
      </w:r>
      <w:r w:rsidR="00A56E08">
        <w:t>и</w:t>
      </w:r>
      <w:r w:rsidR="00CA63F8" w:rsidRPr="00F6340E">
        <w:t xml:space="preserve"> </w:t>
      </w:r>
      <w:r>
        <w:t>вр</w:t>
      </w:r>
      <w:r w:rsidR="00A56E08">
        <w:t>иј</w:t>
      </w:r>
      <w:r w:rsidR="00EE6AA2">
        <w:t>е</w:t>
      </w:r>
      <w:r w:rsidR="00A56E08">
        <w:t>м</w:t>
      </w:r>
      <w:r w:rsidR="00EE6AA2">
        <w:t>е</w:t>
      </w:r>
      <w:r w:rsidR="00CA63F8" w:rsidRPr="00F6340E">
        <w:t xml:space="preserve"> </w:t>
      </w:r>
      <w:r>
        <w:t>пр</w:t>
      </w:r>
      <w:r w:rsidR="00A56E08">
        <w:t>о</w:t>
      </w:r>
      <w:r>
        <w:t>в</w:t>
      </w:r>
      <w:r w:rsidR="00A56E08">
        <w:t>ођ</w:t>
      </w:r>
      <w:r w:rsidR="00EE6AA2">
        <w:t>е</w:t>
      </w:r>
      <w:r w:rsidR="00A56E08">
        <w:t>ња</w:t>
      </w:r>
      <w:r w:rsidR="00CA63F8" w:rsidRPr="00F6340E">
        <w:t xml:space="preserve"> </w:t>
      </w:r>
      <w:r>
        <w:t>вр</w:t>
      </w:r>
      <w:r w:rsidR="00EE6AA2">
        <w:t>е</w:t>
      </w:r>
      <w:r w:rsidR="00A56E08">
        <w:t>дно</w:t>
      </w:r>
      <w:r>
        <w:t>в</w:t>
      </w:r>
      <w:r w:rsidR="00A56E08">
        <w:t>ања</w:t>
      </w:r>
      <w:r w:rsidR="00CA63F8" w:rsidRPr="00F6340E">
        <w:t xml:space="preserve"> </w:t>
      </w:r>
      <w:r>
        <w:t>т</w:t>
      </w:r>
      <w:r w:rsidR="00EE6AA2">
        <w:t>е</w:t>
      </w:r>
      <w:r w:rsidR="00CA63F8" w:rsidRPr="00F6340E">
        <w:t xml:space="preserve"> </w:t>
      </w:r>
      <w:r>
        <w:t>пр</w:t>
      </w:r>
      <w:r w:rsidR="00A56E08">
        <w:t>оц</w:t>
      </w:r>
      <w:r w:rsidR="00EE6AA2">
        <w:t>е</w:t>
      </w:r>
      <w:r w:rsidR="00A56E08">
        <w:t>д</w:t>
      </w:r>
      <w:r>
        <w:t>ур</w:t>
      </w:r>
      <w:r w:rsidR="00EE6AA2">
        <w:t>е</w:t>
      </w:r>
      <w:r w:rsidR="00CA63F8" w:rsidRPr="00F6340E">
        <w:t xml:space="preserve"> </w:t>
      </w:r>
      <w:r w:rsidR="00A56E08">
        <w:t>оцј</w:t>
      </w:r>
      <w:r w:rsidR="00EE6AA2">
        <w:t>е</w:t>
      </w:r>
      <w:r w:rsidR="00A56E08">
        <w:t>њи</w:t>
      </w:r>
      <w:r>
        <w:t>в</w:t>
      </w:r>
      <w:r w:rsidR="00A56E08">
        <w:t>ања</w:t>
      </w:r>
      <w:r w:rsidR="00CA63F8" w:rsidRPr="00F6340E">
        <w:t xml:space="preserve"> </w:t>
      </w:r>
      <w:r w:rsidR="00A56E08">
        <w:t>и</w:t>
      </w:r>
      <w:r w:rsidR="00CA63F8" w:rsidRPr="00F6340E">
        <w:t xml:space="preserve"> </w:t>
      </w:r>
      <w:r w:rsidR="00A56E08">
        <w:t>да</w:t>
      </w:r>
      <w:r>
        <w:t>в</w:t>
      </w:r>
      <w:r w:rsidR="00A56E08">
        <w:t>ања</w:t>
      </w:r>
      <w:r w:rsidR="00CA63F8" w:rsidRPr="00F6340E">
        <w:t xml:space="preserve"> </w:t>
      </w:r>
      <w:r>
        <w:t>п</w:t>
      </w:r>
      <w:r w:rsidR="00A56E08">
        <w:t>о</w:t>
      </w:r>
      <w:r>
        <w:t>вр</w:t>
      </w:r>
      <w:r w:rsidR="00A56E08">
        <w:t>а</w:t>
      </w:r>
      <w:r>
        <w:t>т</w:t>
      </w:r>
      <w:r w:rsidR="00A56E08">
        <w:t>них</w:t>
      </w:r>
      <w:r w:rsidR="00CA63F8" w:rsidRPr="00F6340E">
        <w:t xml:space="preserve"> </w:t>
      </w:r>
      <w:r w:rsidR="00A56E08">
        <w:t>инфо</w:t>
      </w:r>
      <w:r>
        <w:t>р</w:t>
      </w:r>
      <w:r w:rsidR="00A56E08">
        <w:t>мација</w:t>
      </w:r>
      <w:r w:rsidR="00CA63F8" w:rsidRPr="00F6340E">
        <w:t xml:space="preserve"> </w:t>
      </w:r>
      <w:r>
        <w:t>у</w:t>
      </w:r>
      <w:r w:rsidR="00A56E08">
        <w:t>ч</w:t>
      </w:r>
      <w:r w:rsidR="00EE6AA2">
        <w:t>е</w:t>
      </w:r>
      <w:r w:rsidR="00A56E08">
        <w:t>ницима</w:t>
      </w:r>
      <w:r w:rsidR="00CA63F8" w:rsidRPr="00F6340E">
        <w:t xml:space="preserve"> </w:t>
      </w:r>
      <w:r w:rsidR="00A56E08">
        <w:t>и</w:t>
      </w:r>
      <w:r w:rsidR="00CA63F8" w:rsidRPr="00F6340E">
        <w:t xml:space="preserve"> </w:t>
      </w:r>
      <w:r w:rsidR="00A56E08">
        <w:t>њихо</w:t>
      </w:r>
      <w:r>
        <w:t>в</w:t>
      </w:r>
      <w:r w:rsidR="00A56E08">
        <w:t>им</w:t>
      </w:r>
      <w:r w:rsidR="00CA63F8" w:rsidRPr="00F6340E">
        <w:t xml:space="preserve"> </w:t>
      </w:r>
      <w:r>
        <w:t>р</w:t>
      </w:r>
      <w:r w:rsidR="00A56E08">
        <w:t>оди</w:t>
      </w:r>
      <w:r>
        <w:t>т</w:t>
      </w:r>
      <w:r w:rsidR="00EE6AA2">
        <w:t>е</w:t>
      </w:r>
      <w:r w:rsidR="00A56E08">
        <w:t>љима</w:t>
      </w:r>
      <w:r w:rsidR="004B785C" w:rsidRPr="00F6340E">
        <w:t xml:space="preserve">. </w:t>
      </w:r>
      <w:r>
        <w:t>П</w:t>
      </w:r>
      <w:r w:rsidR="00A56E08">
        <w:t>о</w:t>
      </w:r>
      <w:r w:rsidR="00171F00">
        <w:t>з</w:t>
      </w:r>
      <w:r w:rsidR="00A56E08">
        <w:t>и</w:t>
      </w:r>
      <w:r>
        <w:t>т</w:t>
      </w:r>
      <w:r w:rsidR="00A56E08">
        <w:t>и</w:t>
      </w:r>
      <w:r>
        <w:t>в</w:t>
      </w:r>
      <w:r w:rsidR="00A56E08">
        <w:t>но</w:t>
      </w:r>
      <w:r w:rsidR="00CA63F8" w:rsidRPr="00F6340E">
        <w:t xml:space="preserve"> </w:t>
      </w:r>
      <w:r w:rsidR="00A56E08">
        <w:t>ј</w:t>
      </w:r>
      <w:r w:rsidR="00EE6AA2">
        <w:t>е</w:t>
      </w:r>
      <w:r w:rsidR="00CA63F8" w:rsidRPr="00F6340E">
        <w:t xml:space="preserve"> </w:t>
      </w:r>
      <w:r>
        <w:t>т</w:t>
      </w:r>
      <w:r w:rsidR="00A56E08">
        <w:t>о</w:t>
      </w:r>
      <w:r w:rsidR="00CA63F8" w:rsidRPr="00F6340E">
        <w:t xml:space="preserve"> </w:t>
      </w:r>
      <w:r>
        <w:t>шт</w:t>
      </w:r>
      <w:r w:rsidR="00A56E08">
        <w:t>о</w:t>
      </w:r>
      <w:r w:rsidR="00CA63F8" w:rsidRPr="00F6340E">
        <w:t xml:space="preserve"> </w:t>
      </w:r>
      <w:r>
        <w:t>с</w:t>
      </w:r>
      <w:r w:rsidR="00EE6AA2">
        <w:t>е</w:t>
      </w:r>
      <w:r w:rsidR="00CA63F8" w:rsidRPr="00F6340E">
        <w:t xml:space="preserve"> </w:t>
      </w:r>
      <w:r w:rsidR="00A56E08">
        <w:t>многи</w:t>
      </w:r>
      <w:r w:rsidR="00CA63F8" w:rsidRPr="00F6340E">
        <w:t xml:space="preserve"> </w:t>
      </w:r>
      <w:r>
        <w:t>пр</w:t>
      </w:r>
      <w:r w:rsidR="00A56E08">
        <w:t>а</w:t>
      </w:r>
      <w:r>
        <w:t>в</w:t>
      </w:r>
      <w:r w:rsidR="00A56E08">
        <w:t>илници</w:t>
      </w:r>
      <w:r w:rsidR="00CA63F8" w:rsidRPr="00F6340E">
        <w:t xml:space="preserve"> </w:t>
      </w:r>
      <w:r>
        <w:t>п</w:t>
      </w:r>
      <w:r w:rsidR="00A56E08">
        <w:t>о</w:t>
      </w:r>
      <w:r w:rsidR="00171F00">
        <w:t>з</w:t>
      </w:r>
      <w:r w:rsidR="00A56E08">
        <w:t>и</w:t>
      </w:r>
      <w:r>
        <w:t>в</w:t>
      </w:r>
      <w:r w:rsidR="00A56E08">
        <w:t>ај</w:t>
      </w:r>
      <w:r>
        <w:t>у</w:t>
      </w:r>
      <w:r w:rsidR="00CA63F8" w:rsidRPr="00F6340E">
        <w:t xml:space="preserve"> </w:t>
      </w:r>
      <w:r w:rsidR="00A56E08">
        <w:t>на</w:t>
      </w:r>
      <w:r w:rsidR="00CA63F8" w:rsidRPr="00F6340E">
        <w:t xml:space="preserve"> </w:t>
      </w:r>
      <w:r w:rsidR="00A56E08">
        <w:t>кљ</w:t>
      </w:r>
      <w:r>
        <w:t>у</w:t>
      </w:r>
      <w:r w:rsidR="00A56E08">
        <w:t>чн</w:t>
      </w:r>
      <w:r w:rsidR="00EE6AA2">
        <w:t>е</w:t>
      </w:r>
      <w:r w:rsidR="00947928" w:rsidRPr="00F6340E">
        <w:t xml:space="preserve"> </w:t>
      </w:r>
      <w:r>
        <w:t>пр</w:t>
      </w:r>
      <w:r w:rsidR="00A56E08">
        <w:t>инци</w:t>
      </w:r>
      <w:r>
        <w:t>п</w:t>
      </w:r>
      <w:r w:rsidR="00EE6AA2">
        <w:t>е</w:t>
      </w:r>
      <w:r w:rsidR="00CA63F8" w:rsidRPr="00F6340E">
        <w:t xml:space="preserve"> </w:t>
      </w:r>
      <w:r>
        <w:t>вр</w:t>
      </w:r>
      <w:r w:rsidR="00EE6AA2">
        <w:t>е</w:t>
      </w:r>
      <w:r w:rsidR="00A56E08">
        <w:t>дно</w:t>
      </w:r>
      <w:r>
        <w:t>в</w:t>
      </w:r>
      <w:r w:rsidR="00A56E08">
        <w:t>ања</w:t>
      </w:r>
      <w:r w:rsidR="00CA63F8" w:rsidRPr="00F6340E">
        <w:t xml:space="preserve">, </w:t>
      </w:r>
      <w:r w:rsidR="00A56E08">
        <w:t>као</w:t>
      </w:r>
      <w:r w:rsidR="00CA63F8" w:rsidRPr="00F6340E">
        <w:t xml:space="preserve"> </w:t>
      </w:r>
      <w:r>
        <w:t>шт</w:t>
      </w:r>
      <w:r w:rsidR="00A56E08">
        <w:t>о</w:t>
      </w:r>
      <w:r w:rsidR="00CA63F8" w:rsidRPr="00F6340E">
        <w:t xml:space="preserve"> </w:t>
      </w:r>
      <w:r w:rsidR="00A56E08">
        <w:t>ј</w:t>
      </w:r>
      <w:r w:rsidR="00EE6AA2">
        <w:t>е</w:t>
      </w:r>
      <w:r w:rsidR="00CA63F8" w:rsidRPr="00F6340E">
        <w:t xml:space="preserve"> </w:t>
      </w:r>
      <w:r>
        <w:t>в</w:t>
      </w:r>
      <w:r w:rsidR="00A56E08">
        <w:t>а</w:t>
      </w:r>
      <w:r w:rsidR="00171F00">
        <w:t>ж</w:t>
      </w:r>
      <w:r w:rsidR="00A56E08">
        <w:t>но</w:t>
      </w:r>
      <w:r>
        <w:t>ст</w:t>
      </w:r>
      <w:r w:rsidR="00CA63F8" w:rsidRPr="00F6340E">
        <w:t xml:space="preserve"> </w:t>
      </w:r>
      <w:r>
        <w:t>уп</w:t>
      </w:r>
      <w:r w:rsidR="00A56E08">
        <w:t>о</w:t>
      </w:r>
      <w:r>
        <w:t>тр</w:t>
      </w:r>
      <w:r w:rsidR="00EE6AA2">
        <w:t>е</w:t>
      </w:r>
      <w:r w:rsidR="00A56E08">
        <w:t>б</w:t>
      </w:r>
      <w:r w:rsidR="00EE6AA2">
        <w:t>е</w:t>
      </w:r>
      <w:r w:rsidR="00CA63F8" w:rsidRPr="00F6340E">
        <w:t xml:space="preserve"> </w:t>
      </w:r>
      <w:r w:rsidR="00A56E08">
        <w:t>како</w:t>
      </w:r>
      <w:r w:rsidR="00CA63F8" w:rsidRPr="00F6340E">
        <w:t xml:space="preserve"> </w:t>
      </w:r>
      <w:r w:rsidR="00A56E08">
        <w:t>н</w:t>
      </w:r>
      <w:r>
        <w:t>у</w:t>
      </w:r>
      <w:r w:rsidR="00A56E08">
        <w:t>м</w:t>
      </w:r>
      <w:r w:rsidR="00EE6AA2">
        <w:t>е</w:t>
      </w:r>
      <w:r>
        <w:t>р</w:t>
      </w:r>
      <w:r w:rsidR="00A56E08">
        <w:t>ичких</w:t>
      </w:r>
      <w:r w:rsidR="00CA63F8" w:rsidRPr="00F6340E">
        <w:t xml:space="preserve"> </w:t>
      </w:r>
      <w:r>
        <w:t>т</w:t>
      </w:r>
      <w:r w:rsidR="00A56E08">
        <w:t>ако</w:t>
      </w:r>
      <w:r w:rsidR="00CA63F8" w:rsidRPr="00F6340E">
        <w:t xml:space="preserve"> </w:t>
      </w:r>
      <w:r w:rsidR="00A56E08">
        <w:t>и</w:t>
      </w:r>
      <w:r w:rsidR="00CA63F8" w:rsidRPr="00F6340E">
        <w:t xml:space="preserve"> </w:t>
      </w:r>
      <w:r w:rsidR="00A56E08">
        <w:t>о</w:t>
      </w:r>
      <w:r>
        <w:t>п</w:t>
      </w:r>
      <w:r w:rsidR="00A56E08">
        <w:t>и</w:t>
      </w:r>
      <w:r>
        <w:t>с</w:t>
      </w:r>
      <w:r w:rsidR="00A56E08">
        <w:t>них</w:t>
      </w:r>
      <w:r w:rsidR="00CA63F8" w:rsidRPr="00F6340E">
        <w:t xml:space="preserve"> </w:t>
      </w:r>
      <w:r w:rsidR="00A56E08">
        <w:t>оцј</w:t>
      </w:r>
      <w:r w:rsidR="00EE6AA2">
        <w:t>е</w:t>
      </w:r>
      <w:r w:rsidR="00A56E08">
        <w:t>на</w:t>
      </w:r>
      <w:r w:rsidR="00CA63F8" w:rsidRPr="00F6340E">
        <w:t xml:space="preserve"> </w:t>
      </w:r>
      <w:r>
        <w:t>т</w:t>
      </w:r>
      <w:r w:rsidR="00EE6AA2">
        <w:t>е</w:t>
      </w:r>
      <w:r w:rsidR="00CA63F8" w:rsidRPr="00F6340E">
        <w:t xml:space="preserve"> </w:t>
      </w:r>
      <w:r>
        <w:t>пр</w:t>
      </w:r>
      <w:r w:rsidR="00A56E08">
        <w:t>о</w:t>
      </w:r>
      <w:r>
        <w:t>в</w:t>
      </w:r>
      <w:r w:rsidR="00A56E08">
        <w:t>ођ</w:t>
      </w:r>
      <w:r w:rsidR="00EE6AA2">
        <w:t>е</w:t>
      </w:r>
      <w:r w:rsidR="00A56E08">
        <w:t>њ</w:t>
      </w:r>
      <w:r w:rsidR="00EE6AA2">
        <w:t>е</w:t>
      </w:r>
      <w:r w:rsidR="00CA63F8" w:rsidRPr="00F6340E">
        <w:t xml:space="preserve"> „</w:t>
      </w:r>
      <w:r>
        <w:t>п</w:t>
      </w:r>
      <w:r w:rsidR="00A56E08">
        <w:t>оч</w:t>
      </w:r>
      <w:r w:rsidR="00EE6AA2">
        <w:t>е</w:t>
      </w:r>
      <w:r>
        <w:t>т</w:t>
      </w:r>
      <w:r w:rsidR="00A56E08">
        <w:t>них</w:t>
      </w:r>
      <w:r w:rsidR="00CA63F8" w:rsidRPr="00F6340E">
        <w:t xml:space="preserve"> </w:t>
      </w:r>
      <w:r>
        <w:t>пр</w:t>
      </w:r>
      <w:r w:rsidR="00A56E08">
        <w:t>о</w:t>
      </w:r>
      <w:r>
        <w:t>в</w:t>
      </w:r>
      <w:r w:rsidR="00A56E08">
        <w:t>ј</w:t>
      </w:r>
      <w:r w:rsidR="00EE6AA2">
        <w:t>е</w:t>
      </w:r>
      <w:r>
        <w:t>р</w:t>
      </w:r>
      <w:r w:rsidR="00A56E08">
        <w:t>а</w:t>
      </w:r>
      <w:r w:rsidR="00CA63F8" w:rsidRPr="00F6340E">
        <w:t xml:space="preserve">“ </w:t>
      </w:r>
      <w:r w:rsidR="00A56E08">
        <w:t>или</w:t>
      </w:r>
      <w:r w:rsidR="00CA63F8" w:rsidRPr="00F6340E">
        <w:t xml:space="preserve"> </w:t>
      </w:r>
      <w:r w:rsidR="00A56E08">
        <w:t>дијагно</w:t>
      </w:r>
      <w:r>
        <w:t>ст</w:t>
      </w:r>
      <w:r w:rsidR="00A56E08">
        <w:t>ичких</w:t>
      </w:r>
      <w:r w:rsidR="00CA63F8" w:rsidRPr="00F6340E">
        <w:t xml:space="preserve"> </w:t>
      </w:r>
      <w:r>
        <w:t>т</w:t>
      </w:r>
      <w:r w:rsidR="00EE6AA2">
        <w:t>е</w:t>
      </w:r>
      <w:r>
        <w:t>ст</w:t>
      </w:r>
      <w:r w:rsidR="00A56E08">
        <w:t>и</w:t>
      </w:r>
      <w:r>
        <w:t>р</w:t>
      </w:r>
      <w:r w:rsidR="00A56E08">
        <w:t>ања</w:t>
      </w:r>
      <w:r w:rsidR="00B1062B" w:rsidRPr="00F6340E">
        <w:t xml:space="preserve"> </w:t>
      </w:r>
      <w:r w:rsidR="00A56E08">
        <w:t>на</w:t>
      </w:r>
      <w:r w:rsidR="00B1062B" w:rsidRPr="00F6340E">
        <w:t xml:space="preserve"> </w:t>
      </w:r>
      <w:r>
        <w:t>п</w:t>
      </w:r>
      <w:r w:rsidR="00A56E08">
        <w:t>оч</w:t>
      </w:r>
      <w:r w:rsidR="00EE6AA2">
        <w:t>е</w:t>
      </w:r>
      <w:r>
        <w:t>т</w:t>
      </w:r>
      <w:r w:rsidR="00A56E08">
        <w:t>к</w:t>
      </w:r>
      <w:r>
        <w:t>у</w:t>
      </w:r>
      <w:r w:rsidR="00B1062B" w:rsidRPr="00F6340E">
        <w:t xml:space="preserve"> </w:t>
      </w:r>
      <w:r>
        <w:t>ш</w:t>
      </w:r>
      <w:r w:rsidR="00A56E08">
        <w:t>кол</w:t>
      </w:r>
      <w:r>
        <w:t>с</w:t>
      </w:r>
      <w:r w:rsidR="00A56E08">
        <w:t>к</w:t>
      </w:r>
      <w:r w:rsidR="00EE6AA2">
        <w:t>е</w:t>
      </w:r>
      <w:r w:rsidR="00B1062B" w:rsidRPr="00F6340E">
        <w:t xml:space="preserve"> </w:t>
      </w:r>
      <w:r w:rsidR="00A56E08">
        <w:t>годин</w:t>
      </w:r>
      <w:r w:rsidR="00EE6AA2">
        <w:t>е</w:t>
      </w:r>
      <w:r w:rsidR="00B1062B" w:rsidRPr="00F6340E">
        <w:t xml:space="preserve">. </w:t>
      </w:r>
      <w:r w:rsidR="00A56E08">
        <w:t>М</w:t>
      </w:r>
      <w:r w:rsidR="00EE6AA2">
        <w:t>е</w:t>
      </w:r>
      <w:r w:rsidR="00A56E08">
        <w:t>ђ</w:t>
      </w:r>
      <w:r>
        <w:t>ут</w:t>
      </w:r>
      <w:r w:rsidR="00A56E08">
        <w:t>им</w:t>
      </w:r>
      <w:r w:rsidR="005E1D2B" w:rsidRPr="00F6340E">
        <w:t xml:space="preserve">, </w:t>
      </w:r>
      <w:r w:rsidR="00A56E08">
        <w:t>фо</w:t>
      </w:r>
      <w:r>
        <w:t>р</w:t>
      </w:r>
      <w:r w:rsidR="00A56E08">
        <w:t>ма</w:t>
      </w:r>
      <w:r>
        <w:t>т</w:t>
      </w:r>
      <w:r w:rsidR="00A56E08">
        <w:t>и</w:t>
      </w:r>
      <w:r>
        <w:t>в</w:t>
      </w:r>
      <w:r w:rsidR="00A56E08">
        <w:t>но</w:t>
      </w:r>
      <w:r w:rsidR="005E1D2B" w:rsidRPr="00F6340E">
        <w:t xml:space="preserve"> </w:t>
      </w:r>
      <w:r>
        <w:t>вр</w:t>
      </w:r>
      <w:r w:rsidR="00EE6AA2">
        <w:t>е</w:t>
      </w:r>
      <w:r w:rsidR="00A56E08">
        <w:t>дно</w:t>
      </w:r>
      <w:r>
        <w:t>в</w:t>
      </w:r>
      <w:r w:rsidR="00A56E08">
        <w:t>ањ</w:t>
      </w:r>
      <w:r w:rsidR="00EE6AA2">
        <w:t>е</w:t>
      </w:r>
      <w:r w:rsidR="005E1D2B" w:rsidRPr="00F6340E">
        <w:t xml:space="preserve"> </w:t>
      </w:r>
      <w:r>
        <w:t>у</w:t>
      </w:r>
      <w:r w:rsidR="00A56E08">
        <w:t>гла</w:t>
      </w:r>
      <w:r>
        <w:t>в</w:t>
      </w:r>
      <w:r w:rsidR="00A56E08">
        <w:t>ном</w:t>
      </w:r>
      <w:r w:rsidR="009250C9" w:rsidRPr="00F6340E">
        <w:t xml:space="preserve"> </w:t>
      </w:r>
      <w:r w:rsidR="00A56E08">
        <w:t>ниј</w:t>
      </w:r>
      <w:r w:rsidR="00EE6AA2">
        <w:t>е</w:t>
      </w:r>
      <w:r w:rsidR="009250C9" w:rsidRPr="00F6340E">
        <w:t xml:space="preserve"> </w:t>
      </w:r>
      <w:r>
        <w:t>с</w:t>
      </w:r>
      <w:r w:rsidR="00A56E08">
        <w:t>а</w:t>
      </w:r>
      <w:r>
        <w:t>ст</w:t>
      </w:r>
      <w:r w:rsidR="00A56E08">
        <w:t>а</w:t>
      </w:r>
      <w:r>
        <w:t>в</w:t>
      </w:r>
      <w:r w:rsidR="00A56E08">
        <w:t>ни</w:t>
      </w:r>
      <w:r w:rsidR="00B8450A" w:rsidRPr="00F6340E">
        <w:t xml:space="preserve"> </w:t>
      </w:r>
      <w:r w:rsidR="00A56E08">
        <w:t>дио</w:t>
      </w:r>
      <w:r w:rsidR="00B8450A" w:rsidRPr="00F6340E">
        <w:t xml:space="preserve"> </w:t>
      </w:r>
      <w:r>
        <w:t>пр</w:t>
      </w:r>
      <w:r w:rsidR="00A56E08">
        <w:t>а</w:t>
      </w:r>
      <w:r>
        <w:t>в</w:t>
      </w:r>
      <w:r w:rsidR="00A56E08">
        <w:t>илника</w:t>
      </w:r>
      <w:r w:rsidR="009250C9" w:rsidRPr="00F6340E">
        <w:t xml:space="preserve"> </w:t>
      </w:r>
      <w:r w:rsidR="00A56E08">
        <w:t>о</w:t>
      </w:r>
      <w:r w:rsidR="009250C9" w:rsidRPr="00F6340E">
        <w:t xml:space="preserve"> </w:t>
      </w:r>
      <w:r>
        <w:t>вр</w:t>
      </w:r>
      <w:r w:rsidR="00EE6AA2">
        <w:t>е</w:t>
      </w:r>
      <w:r w:rsidR="00A56E08">
        <w:t>дно</w:t>
      </w:r>
      <w:r>
        <w:t>в</w:t>
      </w:r>
      <w:r w:rsidR="00A56E08">
        <w:t>ањ</w:t>
      </w:r>
      <w:r>
        <w:t>у</w:t>
      </w:r>
      <w:r w:rsidR="009250C9" w:rsidRPr="00F6340E">
        <w:t xml:space="preserve"> </w:t>
      </w:r>
      <w:r w:rsidR="00A56E08">
        <w:t>ни</w:t>
      </w:r>
      <w:r>
        <w:t>т</w:t>
      </w:r>
      <w:r w:rsidR="00A56E08">
        <w:t>и</w:t>
      </w:r>
      <w:r w:rsidR="009250C9" w:rsidRPr="00F6340E">
        <w:t xml:space="preserve"> </w:t>
      </w:r>
      <w:r>
        <w:t>с</w:t>
      </w:r>
      <w:r w:rsidR="00EE6AA2">
        <w:t>е</w:t>
      </w:r>
      <w:r w:rsidR="009250C9" w:rsidRPr="00F6340E">
        <w:t xml:space="preserve"> </w:t>
      </w:r>
      <w:r>
        <w:t>с</w:t>
      </w:r>
      <w:r w:rsidR="00A56E08">
        <w:t>ам</w:t>
      </w:r>
      <w:r w:rsidR="009250C9" w:rsidRPr="00F6340E">
        <w:t xml:space="preserve"> </w:t>
      </w:r>
      <w:r>
        <w:t>пр</w:t>
      </w:r>
      <w:r w:rsidR="00A56E08">
        <w:t>оц</w:t>
      </w:r>
      <w:r w:rsidR="00EE6AA2">
        <w:t>е</w:t>
      </w:r>
      <w:r>
        <w:t>с</w:t>
      </w:r>
      <w:r w:rsidR="009250C9" w:rsidRPr="00F6340E">
        <w:t xml:space="preserve"> </w:t>
      </w:r>
      <w:r>
        <w:t>вр</w:t>
      </w:r>
      <w:r w:rsidR="00EE6AA2">
        <w:t>е</w:t>
      </w:r>
      <w:r w:rsidR="00A56E08">
        <w:t>дно</w:t>
      </w:r>
      <w:r>
        <w:t>в</w:t>
      </w:r>
      <w:r w:rsidR="00A56E08">
        <w:t>ања</w:t>
      </w:r>
      <w:r w:rsidR="009250C9" w:rsidRPr="00F6340E">
        <w:t xml:space="preserve"> </w:t>
      </w:r>
      <w:r w:rsidR="00A56E08">
        <w:t>до</w:t>
      </w:r>
      <w:r>
        <w:t>в</w:t>
      </w:r>
      <w:r w:rsidR="00A56E08">
        <w:t>оди</w:t>
      </w:r>
      <w:r w:rsidR="009250C9" w:rsidRPr="00F6340E">
        <w:t xml:space="preserve"> </w:t>
      </w:r>
      <w:r>
        <w:t>у</w:t>
      </w:r>
      <w:r w:rsidR="009250C9" w:rsidRPr="00F6340E">
        <w:t xml:space="preserve"> </w:t>
      </w:r>
      <w:r>
        <w:t>в</w:t>
      </w:r>
      <w:r w:rsidR="00EE6AA2">
        <w:t>е</w:t>
      </w:r>
      <w:r w:rsidR="00171F00">
        <w:t>з</w:t>
      </w:r>
      <w:r>
        <w:t>у</w:t>
      </w:r>
      <w:r w:rsidR="00B04FA8">
        <w:t xml:space="preserve"> са </w:t>
      </w:r>
      <w:r>
        <w:t>у</w:t>
      </w:r>
      <w:r w:rsidR="00A56E08">
        <w:t>на</w:t>
      </w:r>
      <w:r>
        <w:t>пр</w:t>
      </w:r>
      <w:r w:rsidR="00A56E08">
        <w:t>ј</w:t>
      </w:r>
      <w:r w:rsidR="00EE6AA2">
        <w:t>е</w:t>
      </w:r>
      <w:r w:rsidR="00A56E08">
        <w:t>ђ</w:t>
      </w:r>
      <w:r w:rsidR="00EE6AA2">
        <w:t>е</w:t>
      </w:r>
      <w:r w:rsidR="00A56E08">
        <w:t>њ</w:t>
      </w:r>
      <w:r w:rsidR="00EE6AA2">
        <w:t>е</w:t>
      </w:r>
      <w:r w:rsidR="00A56E08">
        <w:t>м</w:t>
      </w:r>
      <w:r w:rsidR="00B8371D" w:rsidRPr="00F6340E">
        <w:t xml:space="preserve"> </w:t>
      </w:r>
      <w:r w:rsidR="00A56E08">
        <w:t>на</w:t>
      </w:r>
      <w:r>
        <w:t>ст</w:t>
      </w:r>
      <w:r w:rsidR="00A56E08">
        <w:t>а</w:t>
      </w:r>
      <w:r>
        <w:t>в</w:t>
      </w:r>
      <w:r w:rsidR="00A56E08">
        <w:t>них</w:t>
      </w:r>
      <w:r w:rsidR="00B8371D" w:rsidRPr="00F6340E">
        <w:t xml:space="preserve"> </w:t>
      </w:r>
      <w:r>
        <w:t>п</w:t>
      </w:r>
      <w:r w:rsidR="00A56E08">
        <w:t>лано</w:t>
      </w:r>
      <w:r>
        <w:t>в</w:t>
      </w:r>
      <w:r w:rsidR="00A56E08">
        <w:t>а</w:t>
      </w:r>
      <w:r w:rsidR="00B8371D" w:rsidRPr="00F6340E">
        <w:t xml:space="preserve"> </w:t>
      </w:r>
      <w:r w:rsidR="00A56E08">
        <w:t>и</w:t>
      </w:r>
      <w:r w:rsidR="00B8371D" w:rsidRPr="00F6340E">
        <w:t xml:space="preserve"> </w:t>
      </w:r>
      <w:r>
        <w:t>пр</w:t>
      </w:r>
      <w:r w:rsidR="00A56E08">
        <w:t>ог</w:t>
      </w:r>
      <w:r>
        <w:t>р</w:t>
      </w:r>
      <w:r w:rsidR="00A56E08">
        <w:t>ама</w:t>
      </w:r>
      <w:r w:rsidR="00B8371D" w:rsidRPr="00F6340E">
        <w:t xml:space="preserve"> </w:t>
      </w:r>
      <w:r w:rsidR="00A56E08">
        <w:t>као</w:t>
      </w:r>
      <w:r w:rsidR="00B8371D" w:rsidRPr="00F6340E">
        <w:t xml:space="preserve"> </w:t>
      </w:r>
      <w:r w:rsidR="00A56E08">
        <w:t>ни</w:t>
      </w:r>
      <w:r w:rsidR="00B8371D" w:rsidRPr="00F6340E">
        <w:t xml:space="preserve"> </w:t>
      </w:r>
      <w:r>
        <w:t>ст</w:t>
      </w:r>
      <w:r w:rsidR="00A56E08">
        <w:t>анда</w:t>
      </w:r>
      <w:r>
        <w:t>р</w:t>
      </w:r>
      <w:r w:rsidR="00A56E08">
        <w:t>дима</w:t>
      </w:r>
      <w:r w:rsidR="00B8371D" w:rsidRPr="00F6340E">
        <w:t xml:space="preserve"> </w:t>
      </w:r>
      <w:r>
        <w:t>п</w:t>
      </w:r>
      <w:r w:rsidR="00A56E08">
        <w:t>о</w:t>
      </w:r>
      <w:r>
        <w:t>ст</w:t>
      </w:r>
      <w:r w:rsidR="00A56E08">
        <w:t>игн</w:t>
      </w:r>
      <w:r>
        <w:t>у</w:t>
      </w:r>
      <w:r w:rsidR="00A56E08">
        <w:t>ћа</w:t>
      </w:r>
      <w:r w:rsidR="00B8371D" w:rsidRPr="00F6340E">
        <w:t xml:space="preserve"> </w:t>
      </w:r>
      <w:r>
        <w:t>у</w:t>
      </w:r>
      <w:r w:rsidR="00A56E08">
        <w:t>ч</w:t>
      </w:r>
      <w:r w:rsidR="00EE6AA2">
        <w:t>е</w:t>
      </w:r>
      <w:r w:rsidR="00A56E08">
        <w:t>ника</w:t>
      </w:r>
      <w:r w:rsidR="00B8371D" w:rsidRPr="00F6340E">
        <w:t>.</w:t>
      </w:r>
      <w:r w:rsidR="006B5F71" w:rsidRPr="00F6340E">
        <w:rPr>
          <w:rStyle w:val="FootnoteReference"/>
          <w:rFonts w:eastAsia="Times New Roman" w:cs="Arial"/>
          <w:szCs w:val="24"/>
        </w:rPr>
        <w:footnoteReference w:id="10"/>
      </w:r>
      <w:r w:rsidR="00B8371D" w:rsidRPr="00F6340E">
        <w:t xml:space="preserve"> </w:t>
      </w:r>
      <w:r>
        <w:t>Т</w:t>
      </w:r>
      <w:r w:rsidR="00A56E08">
        <w:t>ако</w:t>
      </w:r>
      <w:r w:rsidR="00635C89" w:rsidRPr="00F6340E">
        <w:t xml:space="preserve"> </w:t>
      </w:r>
      <w:r>
        <w:t>у</w:t>
      </w:r>
      <w:r w:rsidR="00635C89" w:rsidRPr="00F6340E">
        <w:t xml:space="preserve"> </w:t>
      </w:r>
      <w:r w:rsidR="00A56E08">
        <w:t>Бо</w:t>
      </w:r>
      <w:r>
        <w:t>с</w:t>
      </w:r>
      <w:r w:rsidR="00A56E08">
        <w:t>ни</w:t>
      </w:r>
      <w:r w:rsidR="00635C89" w:rsidRPr="00F6340E">
        <w:t xml:space="preserve"> </w:t>
      </w:r>
      <w:r w:rsidR="00A56E08">
        <w:t>и</w:t>
      </w:r>
      <w:r w:rsidR="00635C89" w:rsidRPr="00F6340E">
        <w:t xml:space="preserve"> </w:t>
      </w:r>
      <w:r w:rsidR="00A56E08">
        <w:t>Х</w:t>
      </w:r>
      <w:r w:rsidR="00EE6AA2">
        <w:t>е</w:t>
      </w:r>
      <w:r>
        <w:t>р</w:t>
      </w:r>
      <w:r w:rsidR="00A56E08">
        <w:t>ц</w:t>
      </w:r>
      <w:r w:rsidR="00EE6AA2">
        <w:t>е</w:t>
      </w:r>
      <w:r w:rsidR="00A56E08">
        <w:t>го</w:t>
      </w:r>
      <w:r>
        <w:t>в</w:t>
      </w:r>
      <w:r w:rsidR="00A56E08">
        <w:t>ини</w:t>
      </w:r>
      <w:r w:rsidR="00635C89" w:rsidRPr="00F6340E">
        <w:t xml:space="preserve"> </w:t>
      </w:r>
      <w:r w:rsidR="00A56E08">
        <w:t>н</w:t>
      </w:r>
      <w:r w:rsidR="00EE6AA2">
        <w:t>е</w:t>
      </w:r>
      <w:r w:rsidR="00635C89" w:rsidRPr="00F6340E">
        <w:t xml:space="preserve"> </w:t>
      </w:r>
      <w:r>
        <w:t>п</w:t>
      </w:r>
      <w:r w:rsidR="00A56E08">
        <w:t>о</w:t>
      </w:r>
      <w:r>
        <w:t>ст</w:t>
      </w:r>
      <w:r w:rsidR="00A56E08">
        <w:t>оји</w:t>
      </w:r>
      <w:r w:rsidR="00AA11C2" w:rsidRPr="00F6340E">
        <w:t xml:space="preserve"> </w:t>
      </w:r>
      <w:r w:rsidR="00A56E08">
        <w:t>фо</w:t>
      </w:r>
      <w:r>
        <w:t>р</w:t>
      </w:r>
      <w:r w:rsidR="00A56E08">
        <w:t>ма</w:t>
      </w:r>
      <w:r>
        <w:t>т</w:t>
      </w:r>
      <w:r w:rsidR="00A56E08">
        <w:t>и</w:t>
      </w:r>
      <w:r>
        <w:t>в</w:t>
      </w:r>
      <w:r w:rsidR="00A56E08">
        <w:t>но</w:t>
      </w:r>
      <w:r w:rsidR="00635C89" w:rsidRPr="00F6340E">
        <w:t xml:space="preserve"> </w:t>
      </w:r>
      <w:r>
        <w:t>вр</w:t>
      </w:r>
      <w:r w:rsidR="00EE6AA2">
        <w:t>е</w:t>
      </w:r>
      <w:r w:rsidR="00A56E08">
        <w:t>дно</w:t>
      </w:r>
      <w:r>
        <w:t>в</w:t>
      </w:r>
      <w:r w:rsidR="00A56E08">
        <w:t>ањ</w:t>
      </w:r>
      <w:r w:rsidR="00EE6AA2">
        <w:t>е</w:t>
      </w:r>
      <w:r w:rsidR="00635C89" w:rsidRPr="00F6340E">
        <w:t xml:space="preserve"> </w:t>
      </w:r>
      <w:r w:rsidR="00A56E08">
        <w:t>кој</w:t>
      </w:r>
      <w:r w:rsidR="00EE6AA2">
        <w:t>е</w:t>
      </w:r>
      <w:r w:rsidR="00635C89" w:rsidRPr="00F6340E">
        <w:t xml:space="preserve"> </w:t>
      </w:r>
      <w:r w:rsidR="00A56E08">
        <w:t>обја</w:t>
      </w:r>
      <w:r>
        <w:t>ш</w:t>
      </w:r>
      <w:r w:rsidR="00A56E08">
        <w:t>ња</w:t>
      </w:r>
      <w:r>
        <w:t>в</w:t>
      </w:r>
      <w:r w:rsidR="00A56E08">
        <w:t>а</w:t>
      </w:r>
      <w:r w:rsidR="00635C89" w:rsidRPr="00F6340E">
        <w:t xml:space="preserve"> </w:t>
      </w:r>
      <w:r w:rsidR="00A56E08">
        <w:t>како</w:t>
      </w:r>
      <w:r w:rsidR="00635C89" w:rsidRPr="00F6340E">
        <w:t xml:space="preserve"> </w:t>
      </w:r>
      <w:r w:rsidR="00A56E08">
        <w:t>дијагно</w:t>
      </w:r>
      <w:r>
        <w:t>ст</w:t>
      </w:r>
      <w:r w:rsidR="00A56E08">
        <w:t>ици</w:t>
      </w:r>
      <w:r>
        <w:t>р</w:t>
      </w:r>
      <w:r w:rsidR="00A56E08">
        <w:t>а</w:t>
      </w:r>
      <w:r>
        <w:t>т</w:t>
      </w:r>
      <w:r w:rsidR="00A56E08">
        <w:t>и</w:t>
      </w:r>
      <w:r w:rsidR="00635C89" w:rsidRPr="00F6340E">
        <w:t xml:space="preserve"> </w:t>
      </w:r>
      <w:r>
        <w:t>у</w:t>
      </w:r>
      <w:r w:rsidR="00A56E08">
        <w:t>ч</w:t>
      </w:r>
      <w:r w:rsidR="00EE6AA2">
        <w:t>е</w:t>
      </w:r>
      <w:r w:rsidR="00A56E08">
        <w:t>ничко</w:t>
      </w:r>
      <w:r w:rsidR="00635C89" w:rsidRPr="00F6340E">
        <w:t xml:space="preserve"> </w:t>
      </w:r>
      <w:r>
        <w:t>п</w:t>
      </w:r>
      <w:r w:rsidR="00A56E08">
        <w:t>о</w:t>
      </w:r>
      <w:r>
        <w:t>ст</w:t>
      </w:r>
      <w:r w:rsidR="00A56E08">
        <w:t>игн</w:t>
      </w:r>
      <w:r>
        <w:t>у</w:t>
      </w:r>
      <w:r w:rsidR="00A56E08">
        <w:t>ћ</w:t>
      </w:r>
      <w:r w:rsidR="00EE6AA2">
        <w:t>е</w:t>
      </w:r>
      <w:r w:rsidR="00635C89" w:rsidRPr="00F6340E">
        <w:t xml:space="preserve"> </w:t>
      </w:r>
      <w:r>
        <w:t>у</w:t>
      </w:r>
      <w:r w:rsidR="00635C89" w:rsidRPr="00F6340E">
        <w:t xml:space="preserve"> </w:t>
      </w:r>
      <w:r w:rsidR="00A56E08">
        <w:t>одно</w:t>
      </w:r>
      <w:r>
        <w:t>су</w:t>
      </w:r>
      <w:r w:rsidR="00635C89" w:rsidRPr="00F6340E">
        <w:t xml:space="preserve"> </w:t>
      </w:r>
      <w:r w:rsidR="00A56E08">
        <w:t>на</w:t>
      </w:r>
      <w:r w:rsidR="00635C89" w:rsidRPr="00F6340E">
        <w:t xml:space="preserve"> </w:t>
      </w:r>
      <w:r w:rsidR="00A56E08">
        <w:t>оч</w:t>
      </w:r>
      <w:r w:rsidR="00EE6AA2">
        <w:t>е</w:t>
      </w:r>
      <w:r w:rsidR="00A56E08">
        <w:t>ки</w:t>
      </w:r>
      <w:r>
        <w:t>в</w:t>
      </w:r>
      <w:r w:rsidR="00A56E08">
        <w:t>ан</w:t>
      </w:r>
      <w:r w:rsidR="00EE6AA2">
        <w:t>е</w:t>
      </w:r>
      <w:r w:rsidR="00635C89" w:rsidRPr="00F6340E">
        <w:t xml:space="preserve"> </w:t>
      </w:r>
      <w:r w:rsidR="00A56E08">
        <w:t>и</w:t>
      </w:r>
      <w:r>
        <w:t>с</w:t>
      </w:r>
      <w:r w:rsidR="00A56E08">
        <w:t>ход</w:t>
      </w:r>
      <w:r w:rsidR="00EE6AA2">
        <w:t>е</w:t>
      </w:r>
      <w:r w:rsidR="00635C89" w:rsidRPr="00F6340E">
        <w:t xml:space="preserve"> </w:t>
      </w:r>
      <w:r>
        <w:t>у</w:t>
      </w:r>
      <w:r w:rsidR="00A56E08">
        <w:t>ч</w:t>
      </w:r>
      <w:r w:rsidR="00EE6AA2">
        <w:t>е</w:t>
      </w:r>
      <w:r w:rsidR="00A56E08">
        <w:t>ња</w:t>
      </w:r>
      <w:r w:rsidR="00635C89" w:rsidRPr="00F6340E">
        <w:t xml:space="preserve"> </w:t>
      </w:r>
      <w:r w:rsidR="00A56E08">
        <w:t>и</w:t>
      </w:r>
      <w:r w:rsidR="00635C89" w:rsidRPr="00F6340E">
        <w:t xml:space="preserve"> </w:t>
      </w:r>
      <w:r w:rsidR="00A56E08">
        <w:t>како</w:t>
      </w:r>
      <w:r w:rsidR="00635C89" w:rsidRPr="00F6340E">
        <w:t xml:space="preserve"> </w:t>
      </w:r>
      <w:r>
        <w:t>т</w:t>
      </w:r>
      <w:r w:rsidR="00EE6AA2">
        <w:t>е</w:t>
      </w:r>
      <w:r w:rsidR="00635C89" w:rsidRPr="00F6340E">
        <w:t xml:space="preserve"> </w:t>
      </w:r>
      <w:r w:rsidR="00A56E08">
        <w:t>инфо</w:t>
      </w:r>
      <w:r>
        <w:t>р</w:t>
      </w:r>
      <w:r w:rsidR="00A56E08">
        <w:t>мациј</w:t>
      </w:r>
      <w:r w:rsidR="00EE6AA2">
        <w:t>е</w:t>
      </w:r>
      <w:r w:rsidR="00635C89" w:rsidRPr="00F6340E">
        <w:t xml:space="preserve"> </w:t>
      </w:r>
      <w:r>
        <w:t>уп</w:t>
      </w:r>
      <w:r w:rsidR="00A56E08">
        <w:t>о</w:t>
      </w:r>
      <w:r>
        <w:t>тр</w:t>
      </w:r>
      <w:r w:rsidR="00A56E08">
        <w:t>иј</w:t>
      </w:r>
      <w:r w:rsidR="00EE6AA2">
        <w:t>е</w:t>
      </w:r>
      <w:r w:rsidR="00A56E08">
        <w:t>би</w:t>
      </w:r>
      <w:r>
        <w:t>т</w:t>
      </w:r>
      <w:r w:rsidR="00A56E08">
        <w:t>и</w:t>
      </w:r>
      <w:r w:rsidR="00B8450A" w:rsidRPr="00F6340E">
        <w:t xml:space="preserve"> </w:t>
      </w:r>
      <w:r w:rsidR="00171F00">
        <w:t>з</w:t>
      </w:r>
      <w:r w:rsidR="00A56E08">
        <w:t>а</w:t>
      </w:r>
      <w:r w:rsidR="00635C89" w:rsidRPr="00F6340E">
        <w:t xml:space="preserve"> </w:t>
      </w:r>
      <w:r w:rsidR="00A56E08">
        <w:t>диф</w:t>
      </w:r>
      <w:r w:rsidR="00EE6AA2">
        <w:t>е</w:t>
      </w:r>
      <w:r>
        <w:t>р</w:t>
      </w:r>
      <w:r w:rsidR="00EE6AA2">
        <w:t>е</w:t>
      </w:r>
      <w:r w:rsidR="00A56E08">
        <w:t>нци</w:t>
      </w:r>
      <w:r>
        <w:t>р</w:t>
      </w:r>
      <w:r w:rsidR="00A56E08">
        <w:t>ањ</w:t>
      </w:r>
      <w:r w:rsidR="00EE6AA2">
        <w:t>е</w:t>
      </w:r>
      <w:r w:rsidR="00635C89" w:rsidRPr="00F6340E">
        <w:t xml:space="preserve"> </w:t>
      </w:r>
      <w:r w:rsidR="00A56E08">
        <w:t>и</w:t>
      </w:r>
      <w:r w:rsidR="00635C89" w:rsidRPr="00F6340E">
        <w:t xml:space="preserve"> </w:t>
      </w:r>
      <w:r>
        <w:t>пр</w:t>
      </w:r>
      <w:r w:rsidR="00A56E08">
        <w:t>илагођа</w:t>
      </w:r>
      <w:r>
        <w:t>в</w:t>
      </w:r>
      <w:r w:rsidR="00A56E08">
        <w:t>ањ</w:t>
      </w:r>
      <w:r w:rsidR="00EE6AA2">
        <w:t>е</w:t>
      </w:r>
      <w:r w:rsidR="00635C89" w:rsidRPr="00F6340E">
        <w:t xml:space="preserve"> </w:t>
      </w:r>
      <w:r>
        <w:t>п</w:t>
      </w:r>
      <w:r w:rsidR="00A56E08">
        <w:t>од</w:t>
      </w:r>
      <w:r>
        <w:t>у</w:t>
      </w:r>
      <w:r w:rsidR="00A56E08">
        <w:t>ча</w:t>
      </w:r>
      <w:r>
        <w:t>в</w:t>
      </w:r>
      <w:r w:rsidR="00A56E08">
        <w:t>ања</w:t>
      </w:r>
      <w:r w:rsidR="00635C89" w:rsidRPr="00F6340E">
        <w:t xml:space="preserve"> </w:t>
      </w:r>
      <w:r>
        <w:t>п</w:t>
      </w:r>
      <w:r w:rsidR="00A56E08">
        <w:t>о</w:t>
      </w:r>
      <w:r>
        <w:t>тр</w:t>
      </w:r>
      <w:r w:rsidR="00EE6AA2">
        <w:t>е</w:t>
      </w:r>
      <w:r w:rsidR="00A56E08">
        <w:t>бама</w:t>
      </w:r>
      <w:r w:rsidR="00635C89" w:rsidRPr="00F6340E">
        <w:t xml:space="preserve"> </w:t>
      </w:r>
      <w:r>
        <w:t>п</w:t>
      </w:r>
      <w:r w:rsidR="00A56E08">
        <w:t>ој</w:t>
      </w:r>
      <w:r w:rsidR="00EE6AA2">
        <w:t>е</w:t>
      </w:r>
      <w:r w:rsidR="00A56E08">
        <w:t>диначних</w:t>
      </w:r>
      <w:r w:rsidR="00635C89" w:rsidRPr="00F6340E">
        <w:t xml:space="preserve"> </w:t>
      </w:r>
      <w:r>
        <w:t>у</w:t>
      </w:r>
      <w:r w:rsidR="00A56E08">
        <w:t>ч</w:t>
      </w:r>
      <w:r w:rsidR="00EE6AA2">
        <w:t>е</w:t>
      </w:r>
      <w:r w:rsidR="00A56E08">
        <w:t>ника</w:t>
      </w:r>
      <w:r w:rsidR="00635C89" w:rsidRPr="00F6340E">
        <w:t xml:space="preserve">. </w:t>
      </w:r>
      <w:r>
        <w:t>Пр</w:t>
      </w:r>
      <w:r w:rsidR="00A56E08">
        <w:t>имј</w:t>
      </w:r>
      <w:r w:rsidR="00EE6AA2">
        <w:t>е</w:t>
      </w:r>
      <w:r>
        <w:t>т</w:t>
      </w:r>
      <w:r w:rsidR="00A56E08">
        <w:t>но</w:t>
      </w:r>
      <w:r w:rsidR="001713A1" w:rsidRPr="00F6340E">
        <w:t xml:space="preserve"> </w:t>
      </w:r>
      <w:r w:rsidR="00A56E08">
        <w:t>ј</w:t>
      </w:r>
      <w:r w:rsidR="00EE6AA2">
        <w:t>е</w:t>
      </w:r>
      <w:r w:rsidR="001713A1" w:rsidRPr="00F6340E">
        <w:t xml:space="preserve"> </w:t>
      </w:r>
      <w:r w:rsidR="00A56E08">
        <w:t>да</w:t>
      </w:r>
      <w:r w:rsidR="001713A1" w:rsidRPr="00F6340E">
        <w:t xml:space="preserve"> </w:t>
      </w:r>
      <w:r>
        <w:t>у</w:t>
      </w:r>
      <w:r w:rsidR="001713A1" w:rsidRPr="00F6340E">
        <w:t xml:space="preserve"> </w:t>
      </w:r>
      <w:r>
        <w:t>пр</w:t>
      </w:r>
      <w:r w:rsidR="00A56E08">
        <w:t>ак</w:t>
      </w:r>
      <w:r>
        <w:t>с</w:t>
      </w:r>
      <w:r w:rsidR="00A56E08">
        <w:t>и</w:t>
      </w:r>
      <w:r w:rsidR="001713A1" w:rsidRPr="00F6340E">
        <w:t xml:space="preserve"> </w:t>
      </w:r>
      <w:r>
        <w:t>п</w:t>
      </w:r>
      <w:r w:rsidR="00A56E08">
        <w:t>о</w:t>
      </w:r>
      <w:r>
        <w:t>ст</w:t>
      </w:r>
      <w:r w:rsidR="00A56E08">
        <w:t>оји</w:t>
      </w:r>
      <w:r w:rsidR="001713A1" w:rsidRPr="00F6340E">
        <w:t xml:space="preserve"> </w:t>
      </w:r>
      <w:r>
        <w:t>р</w:t>
      </w:r>
      <w:r w:rsidR="00A56E08">
        <w:t>а</w:t>
      </w:r>
      <w:r w:rsidR="00171F00">
        <w:t>з</w:t>
      </w:r>
      <w:r w:rsidR="00A56E08">
        <w:t>лика</w:t>
      </w:r>
      <w:r w:rsidR="001713A1" w:rsidRPr="00F6340E">
        <w:t xml:space="preserve"> </w:t>
      </w:r>
      <w:r w:rsidR="00A56E08">
        <w:t>и</w:t>
      </w:r>
      <w:r w:rsidR="00171F00">
        <w:t>з</w:t>
      </w:r>
      <w:r w:rsidR="00A56E08">
        <w:t>м</w:t>
      </w:r>
      <w:r w:rsidR="00EE6AA2">
        <w:t>е</w:t>
      </w:r>
      <w:r w:rsidR="00A56E08">
        <w:t>ђ</w:t>
      </w:r>
      <w:r>
        <w:t>у</w:t>
      </w:r>
      <w:r w:rsidR="001713A1" w:rsidRPr="00F6340E">
        <w:t xml:space="preserve"> </w:t>
      </w:r>
      <w:r w:rsidR="00A56E08">
        <w:t>онога</w:t>
      </w:r>
      <w:r w:rsidR="00E46F2E" w:rsidRPr="00F6340E">
        <w:t xml:space="preserve"> </w:t>
      </w:r>
      <w:r>
        <w:t>шт</w:t>
      </w:r>
      <w:r w:rsidR="00A56E08">
        <w:t>о</w:t>
      </w:r>
      <w:r w:rsidR="00E46F2E" w:rsidRPr="00F6340E">
        <w:t>,</w:t>
      </w:r>
      <w:r w:rsidR="00B04FA8">
        <w:t xml:space="preserve"> са </w:t>
      </w:r>
      <w:r w:rsidR="00A56E08">
        <w:t>ј</w:t>
      </w:r>
      <w:r w:rsidR="00EE6AA2">
        <w:t>е</w:t>
      </w:r>
      <w:r w:rsidR="00A56E08">
        <w:t>дн</w:t>
      </w:r>
      <w:r w:rsidR="00EE6AA2">
        <w:t>е</w:t>
      </w:r>
      <w:r w:rsidR="00E46F2E" w:rsidRPr="00F6340E">
        <w:t xml:space="preserve"> </w:t>
      </w:r>
      <w:r>
        <w:t>стр</w:t>
      </w:r>
      <w:r w:rsidR="00A56E08">
        <w:t>ан</w:t>
      </w:r>
      <w:r w:rsidR="00EE6AA2">
        <w:t>е</w:t>
      </w:r>
      <w:r w:rsidR="00E46F2E" w:rsidRPr="00F6340E">
        <w:t xml:space="preserve">, </w:t>
      </w:r>
      <w:r w:rsidR="00A56E08">
        <w:t>чини</w:t>
      </w:r>
      <w:r w:rsidR="00E46F2E" w:rsidRPr="00F6340E">
        <w:t xml:space="preserve"> </w:t>
      </w:r>
      <w:r w:rsidR="00A56E08">
        <w:t>ок</w:t>
      </w:r>
      <w:r>
        <w:t>в</w:t>
      </w:r>
      <w:r w:rsidR="00A56E08">
        <w:t>и</w:t>
      </w:r>
      <w:r>
        <w:t>р</w:t>
      </w:r>
      <w:r w:rsidR="00E46F2E" w:rsidRPr="00F6340E">
        <w:t xml:space="preserve"> </w:t>
      </w:r>
      <w:r w:rsidR="00A56E08">
        <w:t>на</w:t>
      </w:r>
      <w:r>
        <w:t>ст</w:t>
      </w:r>
      <w:r w:rsidR="00A56E08">
        <w:t>а</w:t>
      </w:r>
      <w:r>
        <w:t>в</w:t>
      </w:r>
      <w:r w:rsidR="00A56E08">
        <w:t>них</w:t>
      </w:r>
      <w:r w:rsidR="00E46F2E" w:rsidRPr="00F6340E">
        <w:t xml:space="preserve"> </w:t>
      </w:r>
      <w:r>
        <w:t>п</w:t>
      </w:r>
      <w:r w:rsidR="00A56E08">
        <w:t>лано</w:t>
      </w:r>
      <w:r>
        <w:t>в</w:t>
      </w:r>
      <w:r w:rsidR="00A56E08">
        <w:t>а</w:t>
      </w:r>
      <w:r w:rsidR="00E46F2E" w:rsidRPr="00F6340E">
        <w:t xml:space="preserve"> </w:t>
      </w:r>
      <w:r w:rsidR="00A56E08">
        <w:t>и</w:t>
      </w:r>
      <w:r w:rsidR="00E46F2E" w:rsidRPr="00F6340E">
        <w:t xml:space="preserve"> </w:t>
      </w:r>
      <w:r>
        <w:t>пр</w:t>
      </w:r>
      <w:r w:rsidR="00A56E08">
        <w:t>ог</w:t>
      </w:r>
      <w:r>
        <w:t>р</w:t>
      </w:r>
      <w:r w:rsidR="00A56E08">
        <w:t>ама</w:t>
      </w:r>
      <w:r w:rsidR="00E46F2E" w:rsidRPr="00F6340E">
        <w:t xml:space="preserve"> </w:t>
      </w:r>
      <w:r w:rsidR="00171F00">
        <w:t>з</w:t>
      </w:r>
      <w:r w:rsidR="00A56E08">
        <w:t>а</w:t>
      </w:r>
      <w:r>
        <w:t>с</w:t>
      </w:r>
      <w:r w:rsidR="00A56E08">
        <w:t>но</w:t>
      </w:r>
      <w:r>
        <w:t>в</w:t>
      </w:r>
      <w:r w:rsidR="00A56E08">
        <w:t>аних</w:t>
      </w:r>
      <w:r w:rsidR="00E46F2E" w:rsidRPr="00F6340E">
        <w:t xml:space="preserve"> </w:t>
      </w:r>
      <w:r w:rsidR="00A56E08">
        <w:t>на</w:t>
      </w:r>
      <w:r w:rsidR="00E46F2E" w:rsidRPr="00F6340E">
        <w:t xml:space="preserve"> </w:t>
      </w:r>
      <w:r w:rsidR="00A56E08">
        <w:t>ком</w:t>
      </w:r>
      <w:r>
        <w:t>п</w:t>
      </w:r>
      <w:r w:rsidR="00EE6AA2">
        <w:t>е</w:t>
      </w:r>
      <w:r>
        <w:t>т</w:t>
      </w:r>
      <w:r w:rsidR="00EE6AA2">
        <w:t>е</w:t>
      </w:r>
      <w:r w:rsidR="00A56E08">
        <w:t>нцијама</w:t>
      </w:r>
      <w:r w:rsidR="00E46F2E" w:rsidRPr="00F6340E">
        <w:t xml:space="preserve"> </w:t>
      </w:r>
      <w:r w:rsidR="00A56E08">
        <w:t>и</w:t>
      </w:r>
      <w:r w:rsidR="00E46F2E" w:rsidRPr="00F6340E">
        <w:t xml:space="preserve"> </w:t>
      </w:r>
      <w:r>
        <w:t>вр</w:t>
      </w:r>
      <w:r w:rsidR="00EE6AA2">
        <w:t>е</w:t>
      </w:r>
      <w:r w:rsidR="00A56E08">
        <w:t>дно</w:t>
      </w:r>
      <w:r>
        <w:t>в</w:t>
      </w:r>
      <w:r w:rsidR="00A56E08">
        <w:t>ања</w:t>
      </w:r>
      <w:r w:rsidR="00E46F2E" w:rsidRPr="00F6340E">
        <w:t xml:space="preserve"> </w:t>
      </w:r>
      <w:r>
        <w:t>п</w:t>
      </w:r>
      <w:r w:rsidR="00A56E08">
        <w:t>о</w:t>
      </w:r>
      <w:r>
        <w:t>ст</w:t>
      </w:r>
      <w:r w:rsidR="00A56E08">
        <w:t>игн</w:t>
      </w:r>
      <w:r>
        <w:t>у</w:t>
      </w:r>
      <w:r w:rsidR="00A56E08">
        <w:t>ћа</w:t>
      </w:r>
      <w:r w:rsidR="00E46F2E" w:rsidRPr="00F6340E">
        <w:t>,</w:t>
      </w:r>
      <w:r w:rsidR="00B04FA8">
        <w:t xml:space="preserve"> са </w:t>
      </w:r>
      <w:r w:rsidR="00A56E08">
        <w:t>д</w:t>
      </w:r>
      <w:r>
        <w:t>ру</w:t>
      </w:r>
      <w:r w:rsidR="00A56E08">
        <w:t>г</w:t>
      </w:r>
      <w:r w:rsidR="00EE6AA2">
        <w:t>е</w:t>
      </w:r>
      <w:r w:rsidR="00E46F2E" w:rsidRPr="00F6340E">
        <w:t xml:space="preserve"> </w:t>
      </w:r>
      <w:r>
        <w:t>стр</w:t>
      </w:r>
      <w:r w:rsidR="00A56E08">
        <w:t>ан</w:t>
      </w:r>
      <w:r w:rsidR="00EE6AA2">
        <w:t>е</w:t>
      </w:r>
      <w:r w:rsidR="00E46F2E" w:rsidRPr="00F6340E">
        <w:t xml:space="preserve">, </w:t>
      </w:r>
      <w:r w:rsidR="00A56E08">
        <w:t>ј</w:t>
      </w:r>
      <w:r w:rsidR="00EE6AA2">
        <w:t>е</w:t>
      </w:r>
      <w:r>
        <w:t>р</w:t>
      </w:r>
      <w:r w:rsidR="00E46F2E" w:rsidRPr="00F6340E">
        <w:t xml:space="preserve"> </w:t>
      </w:r>
      <w:r w:rsidR="00A56E08">
        <w:t>н</w:t>
      </w:r>
      <w:r w:rsidR="00EE6AA2">
        <w:t>е</w:t>
      </w:r>
      <w:r w:rsidR="00E46F2E" w:rsidRPr="00F6340E">
        <w:t xml:space="preserve"> </w:t>
      </w:r>
      <w:r>
        <w:t>п</w:t>
      </w:r>
      <w:r w:rsidR="00A56E08">
        <w:t>о</w:t>
      </w:r>
      <w:r>
        <w:t>ст</w:t>
      </w:r>
      <w:r w:rsidR="00A56E08">
        <w:t>ој</w:t>
      </w:r>
      <w:r w:rsidR="00EE6AA2">
        <w:t>е</w:t>
      </w:r>
      <w:r w:rsidR="00E46F2E" w:rsidRPr="00F6340E">
        <w:t xml:space="preserve"> </w:t>
      </w:r>
      <w:r w:rsidR="00A56E08">
        <w:t>ја</w:t>
      </w:r>
      <w:r>
        <w:t>с</w:t>
      </w:r>
      <w:r w:rsidR="00A56E08">
        <w:t>ни</w:t>
      </w:r>
      <w:r w:rsidR="00E46F2E" w:rsidRPr="00F6340E">
        <w:t xml:space="preserve"> </w:t>
      </w:r>
      <w:r w:rsidR="00A56E08">
        <w:t>и</w:t>
      </w:r>
      <w:r w:rsidR="00E46F2E" w:rsidRPr="00F6340E">
        <w:t xml:space="preserve"> </w:t>
      </w:r>
      <w:r>
        <w:t>ур</w:t>
      </w:r>
      <w:r w:rsidR="00A56E08">
        <w:t>а</w:t>
      </w:r>
      <w:r>
        <w:t>в</w:t>
      </w:r>
      <w:r w:rsidR="00A56E08">
        <w:t>но</w:t>
      </w:r>
      <w:r>
        <w:t>т</w:t>
      </w:r>
      <w:r w:rsidR="00EE6AA2">
        <w:t>е</w:t>
      </w:r>
      <w:r w:rsidR="00171F00">
        <w:t>ж</w:t>
      </w:r>
      <w:r w:rsidR="00EE6AA2">
        <w:t>е</w:t>
      </w:r>
      <w:r w:rsidR="00A56E08">
        <w:t>ни</w:t>
      </w:r>
      <w:r w:rsidR="00E46F2E" w:rsidRPr="00F6340E">
        <w:t xml:space="preserve"> </w:t>
      </w:r>
      <w:r w:rsidR="00A56E08">
        <w:t>ин</w:t>
      </w:r>
      <w:r>
        <w:t>стру</w:t>
      </w:r>
      <w:r w:rsidR="00A56E08">
        <w:t>м</w:t>
      </w:r>
      <w:r w:rsidR="00EE6AA2">
        <w:t>е</w:t>
      </w:r>
      <w:r w:rsidR="00A56E08">
        <w:t>н</w:t>
      </w:r>
      <w:r>
        <w:t>т</w:t>
      </w:r>
      <w:r w:rsidR="00A56E08">
        <w:t>и</w:t>
      </w:r>
      <w:r w:rsidR="00E46F2E" w:rsidRPr="00F6340E">
        <w:t xml:space="preserve"> </w:t>
      </w:r>
      <w:r>
        <w:t>вр</w:t>
      </w:r>
      <w:r w:rsidR="00EE6AA2">
        <w:t>е</w:t>
      </w:r>
      <w:r w:rsidR="00A56E08">
        <w:t>дно</w:t>
      </w:r>
      <w:r>
        <w:t>в</w:t>
      </w:r>
      <w:r w:rsidR="00A56E08">
        <w:t>ања</w:t>
      </w:r>
      <w:r w:rsidR="00E46F2E" w:rsidRPr="00F6340E">
        <w:t xml:space="preserve"> </w:t>
      </w:r>
      <w:r w:rsidR="00A56E08">
        <w:t>фок</w:t>
      </w:r>
      <w:r>
        <w:t>ус</w:t>
      </w:r>
      <w:r w:rsidR="00A56E08">
        <w:t>и</w:t>
      </w:r>
      <w:r>
        <w:t>р</w:t>
      </w:r>
      <w:r w:rsidR="00A56E08">
        <w:t>ани</w:t>
      </w:r>
      <w:r w:rsidR="00E46F2E" w:rsidRPr="00F6340E">
        <w:t xml:space="preserve"> </w:t>
      </w:r>
      <w:r w:rsidR="00A56E08">
        <w:t>на</w:t>
      </w:r>
      <w:r w:rsidR="00E46F2E" w:rsidRPr="00F6340E">
        <w:t xml:space="preserve"> </w:t>
      </w:r>
      <w:r w:rsidR="00A56E08">
        <w:t>и</w:t>
      </w:r>
      <w:r>
        <w:t>с</w:t>
      </w:r>
      <w:r w:rsidR="00A56E08">
        <w:t>ход</w:t>
      </w:r>
      <w:r w:rsidR="00EE6AA2">
        <w:t>е</w:t>
      </w:r>
      <w:r w:rsidR="00E46F2E" w:rsidRPr="00F6340E">
        <w:t xml:space="preserve"> </w:t>
      </w:r>
      <w:r w:rsidR="00A56E08">
        <w:t>одно</w:t>
      </w:r>
      <w:r>
        <w:t>с</w:t>
      </w:r>
      <w:r w:rsidR="00A56E08">
        <w:t>но</w:t>
      </w:r>
      <w:r w:rsidR="00E46F2E" w:rsidRPr="00F6340E">
        <w:t xml:space="preserve"> </w:t>
      </w:r>
      <w:r w:rsidR="00A56E08">
        <w:t>ком</w:t>
      </w:r>
      <w:r>
        <w:t>п</w:t>
      </w:r>
      <w:r w:rsidR="00EE6AA2">
        <w:t>е</w:t>
      </w:r>
      <w:r>
        <w:t>т</w:t>
      </w:r>
      <w:r w:rsidR="00EE6AA2">
        <w:t>е</w:t>
      </w:r>
      <w:r w:rsidR="00A56E08">
        <w:t>нциј</w:t>
      </w:r>
      <w:r w:rsidR="00EE6AA2">
        <w:t>е</w:t>
      </w:r>
      <w:r w:rsidR="00B1062B" w:rsidRPr="00F6340E">
        <w:t>.</w:t>
      </w:r>
    </w:p>
    <w:p w14:paraId="6690BFF7" w14:textId="66A02AB3" w:rsidR="00E519B0" w:rsidRPr="00F6340E" w:rsidRDefault="0071360A" w:rsidP="00210EE1">
      <w:pPr>
        <w:pStyle w:val="Body"/>
        <w:rPr>
          <w:rStyle w:val="Emphasis"/>
          <w:rFonts w:cs="Arial"/>
          <w:i w:val="0"/>
          <w:iCs w:val="0"/>
          <w:color w:val="000000" w:themeColor="text1"/>
        </w:rPr>
      </w:pPr>
      <w:r>
        <w:lastRenderedPageBreak/>
        <w:t>У</w:t>
      </w:r>
      <w:r w:rsidR="00872771" w:rsidRPr="00F6340E">
        <w:t xml:space="preserve"> </w:t>
      </w:r>
      <w:r w:rsidR="00A56E08">
        <w:t>кон</w:t>
      </w:r>
      <w:r>
        <w:t>т</w:t>
      </w:r>
      <w:r w:rsidR="00EE6AA2">
        <w:t>е</w:t>
      </w:r>
      <w:r w:rsidR="00A56E08">
        <w:t>к</w:t>
      </w:r>
      <w:r>
        <w:t>сту</w:t>
      </w:r>
      <w:r w:rsidR="00E46F2E" w:rsidRPr="00F6340E">
        <w:t xml:space="preserve"> </w:t>
      </w:r>
      <w:r w:rsidR="00A56E08">
        <w:t>на</w:t>
      </w:r>
      <w:r>
        <w:t>ст</w:t>
      </w:r>
      <w:r w:rsidR="00A56E08">
        <w:t>а</w:t>
      </w:r>
      <w:r>
        <w:t>в</w:t>
      </w:r>
      <w:r w:rsidR="00EE6AA2">
        <w:t>е</w:t>
      </w:r>
      <w:r w:rsidR="00947928" w:rsidRPr="00F6340E">
        <w:t xml:space="preserve"> </w:t>
      </w:r>
      <w:r>
        <w:t>пут</w:t>
      </w:r>
      <w:r w:rsidR="00EE6AA2">
        <w:t>е</w:t>
      </w:r>
      <w:r w:rsidR="00A56E08">
        <w:t>м</w:t>
      </w:r>
      <w:r w:rsidR="00947928" w:rsidRPr="00F6340E">
        <w:t xml:space="preserve"> </w:t>
      </w:r>
      <w:r w:rsidR="00A56E08">
        <w:t>ин</w:t>
      </w:r>
      <w:r>
        <w:t>т</w:t>
      </w:r>
      <w:r w:rsidR="00EE6AA2">
        <w:t>е</w:t>
      </w:r>
      <w:r>
        <w:t>р</w:t>
      </w:r>
      <w:r w:rsidR="00A56E08">
        <w:t>н</w:t>
      </w:r>
      <w:r w:rsidR="00EE6AA2">
        <w:t>е</w:t>
      </w:r>
      <w:r>
        <w:t>т</w:t>
      </w:r>
      <w:r w:rsidR="00A56E08">
        <w:t>а</w:t>
      </w:r>
      <w:r w:rsidR="00872771" w:rsidRPr="00F6340E">
        <w:t xml:space="preserve"> </w:t>
      </w:r>
      <w:r w:rsidR="00A56E08">
        <w:t>и</w:t>
      </w:r>
      <w:r w:rsidR="00872771" w:rsidRPr="00F6340E">
        <w:t xml:space="preserve"> </w:t>
      </w:r>
      <w:r w:rsidR="00A56E08">
        <w:t>комбино</w:t>
      </w:r>
      <w:r>
        <w:t>в</w:t>
      </w:r>
      <w:r w:rsidR="00A56E08">
        <w:t>ан</w:t>
      </w:r>
      <w:r w:rsidR="00EE6AA2">
        <w:t>е</w:t>
      </w:r>
      <w:r w:rsidR="00872771" w:rsidRPr="00F6340E">
        <w:t xml:space="preserve"> </w:t>
      </w:r>
      <w:r w:rsidR="00A56E08">
        <w:t>на</w:t>
      </w:r>
      <w:r>
        <w:t>ст</w:t>
      </w:r>
      <w:r w:rsidR="00A56E08">
        <w:t>а</w:t>
      </w:r>
      <w:r>
        <w:t>в</w:t>
      </w:r>
      <w:r w:rsidR="00EE6AA2">
        <w:t>е</w:t>
      </w:r>
      <w:r w:rsidR="00872771" w:rsidRPr="00F6340E">
        <w:t xml:space="preserve"> </w:t>
      </w:r>
      <w:r>
        <w:t>т</w:t>
      </w:r>
      <w:r w:rsidR="00A56E08">
        <w:t>оком</w:t>
      </w:r>
      <w:r w:rsidR="00872771" w:rsidRPr="00F6340E">
        <w:t xml:space="preserve"> </w:t>
      </w:r>
      <w:r>
        <w:t>п</w:t>
      </w:r>
      <w:r w:rsidR="00A56E08">
        <w:t>анд</w:t>
      </w:r>
      <w:r w:rsidR="00EE6AA2">
        <w:t>е</w:t>
      </w:r>
      <w:r w:rsidR="00A56E08">
        <w:t>миј</w:t>
      </w:r>
      <w:r w:rsidR="00EE6AA2">
        <w:t>е</w:t>
      </w:r>
      <w:r w:rsidR="00872771" w:rsidRPr="00F6340E">
        <w:t xml:space="preserve"> </w:t>
      </w:r>
      <w:r w:rsidR="00A56E08">
        <w:t>Цо</w:t>
      </w:r>
      <w:r>
        <w:t>в</w:t>
      </w:r>
      <w:r w:rsidR="00A56E08">
        <w:t>ид</w:t>
      </w:r>
      <w:r w:rsidR="00872771" w:rsidRPr="00F6340E">
        <w:t xml:space="preserve"> -19, </w:t>
      </w:r>
      <w:r w:rsidR="00A56E08">
        <w:t>на</w:t>
      </w:r>
      <w:r>
        <w:t>в</w:t>
      </w:r>
      <w:r w:rsidR="00EE6AA2">
        <w:t>е</w:t>
      </w:r>
      <w:r w:rsidR="00A56E08">
        <w:t>д</w:t>
      </w:r>
      <w:r w:rsidR="00EE6AA2">
        <w:t>е</w:t>
      </w:r>
      <w:r w:rsidR="00A56E08">
        <w:t>ни</w:t>
      </w:r>
      <w:r w:rsidR="00E46F2E" w:rsidRPr="00F6340E">
        <w:t xml:space="preserve"> </w:t>
      </w:r>
      <w:r w:rsidR="00A56E08">
        <w:t>н</w:t>
      </w:r>
      <w:r w:rsidR="00EE6AA2">
        <w:t>е</w:t>
      </w:r>
      <w:r w:rsidR="00A56E08">
        <w:t>до</w:t>
      </w:r>
      <w:r>
        <w:t>ст</w:t>
      </w:r>
      <w:r w:rsidR="00A56E08">
        <w:t>аци</w:t>
      </w:r>
      <w:r w:rsidR="00E46F2E" w:rsidRPr="00F6340E">
        <w:t xml:space="preserve"> </w:t>
      </w:r>
      <w:r w:rsidR="00A56E08">
        <w:t>били</w:t>
      </w:r>
      <w:r w:rsidR="00E46F2E" w:rsidRPr="00F6340E">
        <w:t xml:space="preserve"> </w:t>
      </w:r>
      <w:r>
        <w:t>су</w:t>
      </w:r>
      <w:r w:rsidR="00947928" w:rsidRPr="00F6340E">
        <w:t xml:space="preserve"> </w:t>
      </w:r>
      <w:r>
        <w:t>п</w:t>
      </w:r>
      <w:r w:rsidR="00A56E08">
        <w:t>ојачани</w:t>
      </w:r>
      <w:r w:rsidR="00E46F2E" w:rsidRPr="00F6340E">
        <w:t xml:space="preserve">, </w:t>
      </w:r>
      <w:r>
        <w:t>т</w:t>
      </w:r>
      <w:r w:rsidR="00EE6AA2">
        <w:t>е</w:t>
      </w:r>
      <w:r w:rsidR="00F40CE1" w:rsidRPr="00F6340E">
        <w:t xml:space="preserve"> </w:t>
      </w:r>
      <w:r w:rsidR="00A56E08">
        <w:t>ј</w:t>
      </w:r>
      <w:r w:rsidR="00EE6AA2">
        <w:t>е</w:t>
      </w:r>
      <w:r w:rsidR="00F40CE1" w:rsidRPr="00F6340E">
        <w:t xml:space="preserve"> </w:t>
      </w:r>
      <w:r w:rsidR="00A56E08">
        <w:t>фок</w:t>
      </w:r>
      <w:r>
        <w:t>ус</w:t>
      </w:r>
      <w:r w:rsidR="00F40CE1" w:rsidRPr="00F6340E">
        <w:t xml:space="preserve"> </w:t>
      </w:r>
      <w:r>
        <w:t>вр</w:t>
      </w:r>
      <w:r w:rsidR="00EE6AA2">
        <w:t>е</w:t>
      </w:r>
      <w:r w:rsidR="00A56E08">
        <w:t>дно</w:t>
      </w:r>
      <w:r>
        <w:t>в</w:t>
      </w:r>
      <w:r w:rsidR="00A56E08">
        <w:t>ања</w:t>
      </w:r>
      <w:r w:rsidR="00F40CE1" w:rsidRPr="00F6340E">
        <w:t xml:space="preserve"> </w:t>
      </w:r>
      <w:r w:rsidR="00A56E08">
        <w:t>и</w:t>
      </w:r>
      <w:r w:rsidR="00F40CE1" w:rsidRPr="00F6340E">
        <w:t xml:space="preserve"> </w:t>
      </w:r>
      <w:r w:rsidR="00A56E08">
        <w:t>даљ</w:t>
      </w:r>
      <w:r w:rsidR="00EE6AA2">
        <w:t>е</w:t>
      </w:r>
      <w:r w:rsidR="00F40CE1" w:rsidRPr="00F6340E">
        <w:t xml:space="preserve"> </w:t>
      </w:r>
      <w:r w:rsidR="00A56E08">
        <w:t>био</w:t>
      </w:r>
      <w:r w:rsidR="00F40CE1" w:rsidRPr="00F6340E">
        <w:t xml:space="preserve"> </w:t>
      </w:r>
      <w:r w:rsidR="00A56E08">
        <w:t>на</w:t>
      </w:r>
      <w:r w:rsidR="00F40CE1" w:rsidRPr="00F6340E">
        <w:t xml:space="preserve"> </w:t>
      </w:r>
      <w:r>
        <w:t>с</w:t>
      </w:r>
      <w:r w:rsidR="00A56E08">
        <w:t>ад</w:t>
      </w:r>
      <w:r>
        <w:t>р</w:t>
      </w:r>
      <w:r w:rsidR="00171F00">
        <w:t>ж</w:t>
      </w:r>
      <w:r w:rsidR="00A56E08">
        <w:t>ај</w:t>
      </w:r>
      <w:r>
        <w:t>у</w:t>
      </w:r>
      <w:r w:rsidR="00F40CE1" w:rsidRPr="00F6340E">
        <w:t xml:space="preserve"> </w:t>
      </w:r>
      <w:r w:rsidR="00A56E08">
        <w:t>и</w:t>
      </w:r>
      <w:r w:rsidR="00F40CE1" w:rsidRPr="00F6340E">
        <w:t xml:space="preserve"> </w:t>
      </w:r>
      <w:r w:rsidR="00171F00">
        <w:t>з</w:t>
      </w:r>
      <w:r w:rsidR="00A56E08">
        <w:t>нањ</w:t>
      </w:r>
      <w:r>
        <w:t>у</w:t>
      </w:r>
      <w:r w:rsidR="00F40CE1" w:rsidRPr="00F6340E">
        <w:t xml:space="preserve"> </w:t>
      </w:r>
      <w:r>
        <w:t>у</w:t>
      </w:r>
      <w:r w:rsidR="00A56E08">
        <w:t>ч</w:t>
      </w:r>
      <w:r w:rsidR="00EE6AA2">
        <w:t>е</w:t>
      </w:r>
      <w:r w:rsidR="00A56E08">
        <w:t>ника</w:t>
      </w:r>
      <w:r w:rsidR="00F40CE1" w:rsidRPr="00F6340E">
        <w:t>/</w:t>
      </w:r>
      <w:r>
        <w:t>сту</w:t>
      </w:r>
      <w:r w:rsidR="00A56E08">
        <w:t>д</w:t>
      </w:r>
      <w:r w:rsidR="00EE6AA2">
        <w:t>е</w:t>
      </w:r>
      <w:r w:rsidR="00A56E08">
        <w:t>на</w:t>
      </w:r>
      <w:r>
        <w:t>т</w:t>
      </w:r>
      <w:r w:rsidR="00A56E08">
        <w:t>а</w:t>
      </w:r>
      <w:r w:rsidR="00F40CE1" w:rsidRPr="00F6340E">
        <w:t xml:space="preserve"> </w:t>
      </w:r>
      <w:r w:rsidR="00A56E08">
        <w:t>одно</w:t>
      </w:r>
      <w:r>
        <w:t>с</w:t>
      </w:r>
      <w:r w:rsidR="00A56E08">
        <w:t>но</w:t>
      </w:r>
      <w:r w:rsidR="00F40CE1" w:rsidRPr="00F6340E">
        <w:t xml:space="preserve"> </w:t>
      </w:r>
      <w:r>
        <w:t>су</w:t>
      </w:r>
      <w:r w:rsidR="00A56E08">
        <w:t>ма</w:t>
      </w:r>
      <w:r>
        <w:t>р</w:t>
      </w:r>
      <w:r w:rsidR="00A56E08">
        <w:t>ном</w:t>
      </w:r>
      <w:r w:rsidR="00F40CE1" w:rsidRPr="00F6340E">
        <w:t xml:space="preserve"> </w:t>
      </w:r>
      <w:r>
        <w:t>вр</w:t>
      </w:r>
      <w:r w:rsidR="00EE6AA2">
        <w:t>е</w:t>
      </w:r>
      <w:r w:rsidR="00A56E08">
        <w:t>дно</w:t>
      </w:r>
      <w:r>
        <w:t>в</w:t>
      </w:r>
      <w:r w:rsidR="00A56E08">
        <w:t>ањ</w:t>
      </w:r>
      <w:r>
        <w:t>у</w:t>
      </w:r>
      <w:r w:rsidR="00947928" w:rsidRPr="00F6340E">
        <w:t>,</w:t>
      </w:r>
      <w:r w:rsidR="00F40CE1" w:rsidRPr="00F6340E">
        <w:t xml:space="preserve"> </w:t>
      </w:r>
      <w:r w:rsidR="00A56E08">
        <w:t>а</w:t>
      </w:r>
      <w:r w:rsidR="00F40CE1" w:rsidRPr="00F6340E">
        <w:t xml:space="preserve"> </w:t>
      </w:r>
      <w:r w:rsidR="00A56E08">
        <w:t>н</w:t>
      </w:r>
      <w:r w:rsidR="00EE6AA2">
        <w:t>е</w:t>
      </w:r>
      <w:r w:rsidR="00F40CE1" w:rsidRPr="00F6340E">
        <w:t xml:space="preserve"> </w:t>
      </w:r>
      <w:r w:rsidR="00A56E08">
        <w:t>на</w:t>
      </w:r>
      <w:r w:rsidR="00F40CE1" w:rsidRPr="00F6340E">
        <w:t xml:space="preserve"> </w:t>
      </w:r>
      <w:r>
        <w:t>пр</w:t>
      </w:r>
      <w:r w:rsidR="00A56E08">
        <w:t>оц</w:t>
      </w:r>
      <w:r w:rsidR="00EE6AA2">
        <w:t>е</w:t>
      </w:r>
      <w:r>
        <w:t>су</w:t>
      </w:r>
      <w:r w:rsidR="00F40CE1" w:rsidRPr="00F6340E">
        <w:t xml:space="preserve"> </w:t>
      </w:r>
      <w:r>
        <w:t>у</w:t>
      </w:r>
      <w:r w:rsidR="00A56E08">
        <w:t>ч</w:t>
      </w:r>
      <w:r w:rsidR="00EE6AA2">
        <w:t>е</w:t>
      </w:r>
      <w:r w:rsidR="00A56E08">
        <w:t>ња</w:t>
      </w:r>
      <w:r w:rsidR="00F40CE1" w:rsidRPr="00F6340E">
        <w:t xml:space="preserve"> </w:t>
      </w:r>
      <w:r w:rsidR="00A56E08">
        <w:t>и</w:t>
      </w:r>
      <w:r w:rsidR="00F40CE1" w:rsidRPr="00F6340E">
        <w:t xml:space="preserve"> </w:t>
      </w:r>
      <w:r>
        <w:t>п</w:t>
      </w:r>
      <w:r w:rsidR="00A56E08">
        <w:t>о</w:t>
      </w:r>
      <w:r>
        <w:t>вр</w:t>
      </w:r>
      <w:r w:rsidR="00A56E08">
        <w:t>а</w:t>
      </w:r>
      <w:r>
        <w:t>т</w:t>
      </w:r>
      <w:r w:rsidR="00A56E08">
        <w:t>ним</w:t>
      </w:r>
      <w:r w:rsidR="00F40CE1" w:rsidRPr="00F6340E">
        <w:t xml:space="preserve"> </w:t>
      </w:r>
      <w:r w:rsidR="00A56E08">
        <w:t>инфо</w:t>
      </w:r>
      <w:r>
        <w:t>р</w:t>
      </w:r>
      <w:r w:rsidR="00A56E08">
        <w:t>мацијама</w:t>
      </w:r>
      <w:r w:rsidR="00F40CE1" w:rsidRPr="00F6340E">
        <w:t xml:space="preserve"> </w:t>
      </w:r>
      <w:r w:rsidR="00A56E08">
        <w:t>кој</w:t>
      </w:r>
      <w:r w:rsidR="00EE6AA2">
        <w:t>е</w:t>
      </w:r>
      <w:r w:rsidR="00F40CE1" w:rsidRPr="00F6340E">
        <w:t xml:space="preserve"> </w:t>
      </w:r>
      <w:r w:rsidR="00A56E08">
        <w:t>мог</w:t>
      </w:r>
      <w:r>
        <w:t>у</w:t>
      </w:r>
      <w:r w:rsidR="00F40CE1" w:rsidRPr="00F6340E">
        <w:t xml:space="preserve"> </w:t>
      </w:r>
      <w:r w:rsidR="00A56E08">
        <w:t>би</w:t>
      </w:r>
      <w:r>
        <w:t>т</w:t>
      </w:r>
      <w:r w:rsidR="00A56E08">
        <w:t>и</w:t>
      </w:r>
      <w:r w:rsidR="00F40CE1" w:rsidRPr="00F6340E">
        <w:t xml:space="preserve"> </w:t>
      </w:r>
      <w:r>
        <w:t>пр</w:t>
      </w:r>
      <w:r w:rsidR="00EE6AA2">
        <w:t>е</w:t>
      </w:r>
      <w:r>
        <w:t>тп</w:t>
      </w:r>
      <w:r w:rsidR="00A56E08">
        <w:t>о</w:t>
      </w:r>
      <w:r>
        <w:t>ст</w:t>
      </w:r>
      <w:r w:rsidR="00A56E08">
        <w:t>а</w:t>
      </w:r>
      <w:r>
        <w:t>в</w:t>
      </w:r>
      <w:r w:rsidR="00A56E08">
        <w:t>ка</w:t>
      </w:r>
      <w:r w:rsidR="00F40CE1" w:rsidRPr="00F6340E">
        <w:t xml:space="preserve"> </w:t>
      </w:r>
      <w:r w:rsidR="00171F00">
        <w:t>з</w:t>
      </w:r>
      <w:r w:rsidR="00A56E08">
        <w:t>а</w:t>
      </w:r>
      <w:r w:rsidR="00F40CE1"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F40CE1" w:rsidRPr="00F6340E">
        <w:t xml:space="preserve"> </w:t>
      </w:r>
      <w:r w:rsidR="00A56E08">
        <w:t>на</w:t>
      </w:r>
      <w:r>
        <w:t>ст</w:t>
      </w:r>
      <w:r w:rsidR="00A56E08">
        <w:t>а</w:t>
      </w:r>
      <w:r>
        <w:t>в</w:t>
      </w:r>
      <w:r w:rsidR="00A56E08">
        <w:t>н</w:t>
      </w:r>
      <w:r w:rsidR="00EE6AA2">
        <w:t>е</w:t>
      </w:r>
      <w:r w:rsidR="00F40CE1" w:rsidRPr="00F6340E">
        <w:t xml:space="preserve"> </w:t>
      </w:r>
      <w:r>
        <w:t>пр</w:t>
      </w:r>
      <w:r w:rsidR="00A56E08">
        <w:t>ак</w:t>
      </w:r>
      <w:r>
        <w:t>с</w:t>
      </w:r>
      <w:r w:rsidR="00EE6AA2">
        <w:t>е</w:t>
      </w:r>
      <w:r w:rsidR="00F40CE1" w:rsidRPr="00F6340E">
        <w:t xml:space="preserve"> </w:t>
      </w:r>
      <w:r w:rsidR="00A56E08">
        <w:t>и</w:t>
      </w:r>
      <w:r w:rsidR="00F40CE1" w:rsidRPr="00F6340E">
        <w:t xml:space="preserve"> </w:t>
      </w:r>
      <w:r>
        <w:t>п</w:t>
      </w:r>
      <w:r w:rsidR="00A56E08">
        <w:t>о</w:t>
      </w:r>
      <w:r>
        <w:t>ст</w:t>
      </w:r>
      <w:r w:rsidR="00A56E08">
        <w:t>и</w:t>
      </w:r>
      <w:r w:rsidR="00171F00">
        <w:t>з</w:t>
      </w:r>
      <w:r w:rsidR="00A56E08">
        <w:t>ањ</w:t>
      </w:r>
      <w:r w:rsidR="00EE6AA2">
        <w:t>е</w:t>
      </w:r>
      <w:r w:rsidR="00F40CE1" w:rsidRPr="00F6340E">
        <w:t xml:space="preserve"> </w:t>
      </w:r>
      <w:r w:rsidR="00A56E08">
        <w:t>бољих</w:t>
      </w:r>
      <w:r w:rsidR="00F40CE1" w:rsidRPr="00F6340E">
        <w:t xml:space="preserve"> </w:t>
      </w:r>
      <w:r>
        <w:t>р</w:t>
      </w:r>
      <w:r w:rsidR="00EE6AA2">
        <w:t>е</w:t>
      </w:r>
      <w:r w:rsidR="00171F00">
        <w:t>з</w:t>
      </w:r>
      <w:r>
        <w:t>у</w:t>
      </w:r>
      <w:r w:rsidR="00A56E08">
        <w:t>л</w:t>
      </w:r>
      <w:r>
        <w:t>т</w:t>
      </w:r>
      <w:r w:rsidR="00A56E08">
        <w:t>а</w:t>
      </w:r>
      <w:r>
        <w:t>т</w:t>
      </w:r>
      <w:r w:rsidR="00A56E08">
        <w:t>а</w:t>
      </w:r>
      <w:r w:rsidR="00BF0C16" w:rsidRPr="00F6340E">
        <w:t xml:space="preserve"> </w:t>
      </w:r>
      <w:r>
        <w:t>у</w:t>
      </w:r>
      <w:r w:rsidR="00A56E08">
        <w:t>ч</w:t>
      </w:r>
      <w:r w:rsidR="00EE6AA2">
        <w:t>е</w:t>
      </w:r>
      <w:r w:rsidR="00A56E08">
        <w:t>ника</w:t>
      </w:r>
      <w:r w:rsidR="00BF0C16" w:rsidRPr="00F6340E">
        <w:t>/</w:t>
      </w:r>
      <w:r>
        <w:t>сту</w:t>
      </w:r>
      <w:r w:rsidR="00A56E08">
        <w:t>д</w:t>
      </w:r>
      <w:r w:rsidR="00EE6AA2">
        <w:t>е</w:t>
      </w:r>
      <w:r w:rsidR="00A56E08">
        <w:t>на</w:t>
      </w:r>
      <w:r>
        <w:t>т</w:t>
      </w:r>
      <w:r w:rsidR="00A56E08">
        <w:t>а</w:t>
      </w:r>
      <w:r w:rsidR="005E1D2B" w:rsidRPr="00F6340E">
        <w:t>.</w:t>
      </w:r>
      <w:r w:rsidR="00F40CE1" w:rsidRPr="00F6340E">
        <w:t xml:space="preserve"> </w:t>
      </w:r>
    </w:p>
    <w:p w14:paraId="34FD5136" w14:textId="07EF758A" w:rsidR="00E979CB" w:rsidRPr="00F6340E" w:rsidRDefault="0071360A" w:rsidP="00210EE1">
      <w:pPr>
        <w:pStyle w:val="Body"/>
        <w:rPr>
          <w:rStyle w:val="Strong"/>
          <w:rFonts w:eastAsia="Times New Roman" w:cs="Arial"/>
          <w:b w:val="0"/>
          <w:iCs/>
          <w:color w:val="000000" w:themeColor="text1"/>
          <w:szCs w:val="24"/>
        </w:rPr>
      </w:pPr>
      <w:r>
        <w:rPr>
          <w:rStyle w:val="Emphasis"/>
          <w:rFonts w:eastAsia="Times New Roman" w:cs="Arial"/>
          <w:bCs/>
          <w:i w:val="0"/>
          <w:color w:val="000000" w:themeColor="text1"/>
          <w:szCs w:val="24"/>
        </w:rPr>
        <w:t>У</w:t>
      </w:r>
      <w:r w:rsidR="0051794C"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в</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ћини</w:t>
      </w:r>
      <w:r w:rsidR="0051794C"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админи</w:t>
      </w:r>
      <w:r>
        <w:rPr>
          <w:rStyle w:val="Emphasis"/>
          <w:rFonts w:eastAsia="Times New Roman" w:cs="Arial"/>
          <w:bCs/>
          <w:i w:val="0"/>
          <w:color w:val="000000" w:themeColor="text1"/>
          <w:szCs w:val="24"/>
        </w:rPr>
        <w:t>стр</w:t>
      </w:r>
      <w:r w:rsidR="00A56E08">
        <w:rPr>
          <w:rStyle w:val="Emphasis"/>
          <w:rFonts w:eastAsia="Times New Roman" w:cs="Arial"/>
          <w:bCs/>
          <w:i w:val="0"/>
          <w:color w:val="000000" w:themeColor="text1"/>
          <w:szCs w:val="24"/>
        </w:rPr>
        <w:t>а</w:t>
      </w:r>
      <w:r>
        <w:rPr>
          <w:rStyle w:val="Emphasis"/>
          <w:rFonts w:eastAsia="Times New Roman" w:cs="Arial"/>
          <w:bCs/>
          <w:i w:val="0"/>
          <w:color w:val="000000" w:themeColor="text1"/>
          <w:szCs w:val="24"/>
        </w:rPr>
        <w:t>т</w:t>
      </w:r>
      <w:r w:rsidR="00A56E08">
        <w:rPr>
          <w:rStyle w:val="Emphasis"/>
          <w:rFonts w:eastAsia="Times New Roman" w:cs="Arial"/>
          <w:bCs/>
          <w:i w:val="0"/>
          <w:color w:val="000000" w:themeColor="text1"/>
          <w:szCs w:val="24"/>
        </w:rPr>
        <w:t>и</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них</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ј</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диница</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ниј</w:t>
      </w:r>
      <w:r w:rsidR="00EE6AA2">
        <w:rPr>
          <w:rStyle w:val="Emphasis"/>
          <w:rFonts w:eastAsia="Times New Roman" w:cs="Arial"/>
          <w:bCs/>
          <w:i w:val="0"/>
          <w:color w:val="000000" w:themeColor="text1"/>
          <w:szCs w:val="24"/>
        </w:rPr>
        <w:t>е</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било</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конк</w:t>
      </w:r>
      <w:r>
        <w:rPr>
          <w:rStyle w:val="Emphasis"/>
          <w:rFonts w:eastAsia="Times New Roman" w:cs="Arial"/>
          <w:bCs/>
          <w:i w:val="0"/>
          <w:color w:val="000000" w:themeColor="text1"/>
          <w:szCs w:val="24"/>
        </w:rPr>
        <w:t>р</w:t>
      </w:r>
      <w:r w:rsidR="00EE6AA2">
        <w:rPr>
          <w:rStyle w:val="Emphasis"/>
          <w:rFonts w:eastAsia="Times New Roman" w:cs="Arial"/>
          <w:bCs/>
          <w:i w:val="0"/>
          <w:color w:val="000000" w:themeColor="text1"/>
          <w:szCs w:val="24"/>
        </w:rPr>
        <w:t>е</w:t>
      </w:r>
      <w:r>
        <w:rPr>
          <w:rStyle w:val="Emphasis"/>
          <w:rFonts w:eastAsia="Times New Roman" w:cs="Arial"/>
          <w:bCs/>
          <w:i w:val="0"/>
          <w:color w:val="000000" w:themeColor="text1"/>
          <w:szCs w:val="24"/>
        </w:rPr>
        <w:t>т</w:t>
      </w:r>
      <w:r w:rsidR="00A56E08">
        <w:rPr>
          <w:rStyle w:val="Emphasis"/>
          <w:rFonts w:eastAsia="Times New Roman" w:cs="Arial"/>
          <w:bCs/>
          <w:i w:val="0"/>
          <w:color w:val="000000" w:themeColor="text1"/>
          <w:szCs w:val="24"/>
        </w:rPr>
        <w:t>них</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с</w:t>
      </w:r>
      <w:r w:rsidR="00A56E08">
        <w:rPr>
          <w:rStyle w:val="Emphasis"/>
          <w:rFonts w:eastAsia="Times New Roman" w:cs="Arial"/>
          <w:bCs/>
          <w:i w:val="0"/>
          <w:color w:val="000000" w:themeColor="text1"/>
          <w:szCs w:val="24"/>
        </w:rPr>
        <w:t>мј</w:t>
      </w:r>
      <w:r w:rsidR="00EE6AA2">
        <w:rPr>
          <w:rStyle w:val="Emphasis"/>
          <w:rFonts w:eastAsia="Times New Roman" w:cs="Arial"/>
          <w:bCs/>
          <w:i w:val="0"/>
          <w:color w:val="000000" w:themeColor="text1"/>
          <w:szCs w:val="24"/>
        </w:rPr>
        <w:t>е</w:t>
      </w:r>
      <w:r>
        <w:rPr>
          <w:rStyle w:val="Emphasis"/>
          <w:rFonts w:eastAsia="Times New Roman" w:cs="Arial"/>
          <w:bCs/>
          <w:i w:val="0"/>
          <w:color w:val="000000" w:themeColor="text1"/>
          <w:szCs w:val="24"/>
        </w:rPr>
        <w:t>р</w:t>
      </w:r>
      <w:r w:rsidR="00A56E08">
        <w:rPr>
          <w:rStyle w:val="Emphasis"/>
          <w:rFonts w:eastAsia="Times New Roman" w:cs="Arial"/>
          <w:bCs/>
          <w:i w:val="0"/>
          <w:color w:val="000000" w:themeColor="text1"/>
          <w:szCs w:val="24"/>
        </w:rPr>
        <w:t>ница</w:t>
      </w:r>
      <w:r w:rsidR="00E87D40" w:rsidRPr="00F6340E">
        <w:rPr>
          <w:rStyle w:val="Emphasis"/>
          <w:rFonts w:eastAsia="Times New Roman" w:cs="Arial"/>
          <w:bCs/>
          <w:i w:val="0"/>
          <w:color w:val="000000" w:themeColor="text1"/>
          <w:szCs w:val="24"/>
        </w:rPr>
        <w:t xml:space="preserve"> </w:t>
      </w:r>
      <w:r w:rsidR="00171F00">
        <w:rPr>
          <w:rStyle w:val="Emphasis"/>
          <w:rFonts w:eastAsia="Times New Roman" w:cs="Arial"/>
          <w:bCs/>
          <w:i w:val="0"/>
          <w:color w:val="000000" w:themeColor="text1"/>
          <w:szCs w:val="24"/>
        </w:rPr>
        <w:t>з</w:t>
      </w:r>
      <w:r w:rsidR="00A56E08">
        <w:rPr>
          <w:rStyle w:val="Emphasis"/>
          <w:rFonts w:eastAsia="Times New Roman" w:cs="Arial"/>
          <w:bCs/>
          <w:i w:val="0"/>
          <w:color w:val="000000" w:themeColor="text1"/>
          <w:szCs w:val="24"/>
        </w:rPr>
        <w:t>а</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пр</w:t>
      </w:r>
      <w:r w:rsidR="00A56E08">
        <w:rPr>
          <w:rStyle w:val="Emphasis"/>
          <w:rFonts w:eastAsia="Times New Roman" w:cs="Arial"/>
          <w:bCs/>
          <w:i w:val="0"/>
          <w:color w:val="000000" w:themeColor="text1"/>
          <w:szCs w:val="24"/>
        </w:rPr>
        <w:t>аћ</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њ</w:t>
      </w:r>
      <w:r w:rsidR="00EE6AA2">
        <w:rPr>
          <w:rStyle w:val="Emphasis"/>
          <w:rFonts w:eastAsia="Times New Roman" w:cs="Arial"/>
          <w:bCs/>
          <w:i w:val="0"/>
          <w:color w:val="000000" w:themeColor="text1"/>
          <w:szCs w:val="24"/>
        </w:rPr>
        <w:t>е</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вр</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дно</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ањ</w:t>
      </w:r>
      <w:r w:rsidR="00EE6AA2">
        <w:rPr>
          <w:rStyle w:val="Emphasis"/>
          <w:rFonts w:eastAsia="Times New Roman" w:cs="Arial"/>
          <w:bCs/>
          <w:i w:val="0"/>
          <w:color w:val="000000" w:themeColor="text1"/>
          <w:szCs w:val="24"/>
        </w:rPr>
        <w:t>е</w:t>
      </w:r>
      <w:r w:rsidR="00872771"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и</w:t>
      </w:r>
      <w:r w:rsidR="00872771"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оцј</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њи</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ањ</w:t>
      </w:r>
      <w:r w:rsidR="00EE6AA2">
        <w:rPr>
          <w:rStyle w:val="Emphasis"/>
          <w:rFonts w:eastAsia="Times New Roman" w:cs="Arial"/>
          <w:bCs/>
          <w:i w:val="0"/>
          <w:color w:val="000000" w:themeColor="text1"/>
          <w:szCs w:val="24"/>
        </w:rPr>
        <w:t>е</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у</w:t>
      </w:r>
      <w:r w:rsidR="00A56E08">
        <w:rPr>
          <w:rStyle w:val="Emphasis"/>
          <w:rFonts w:eastAsia="Times New Roman" w:cs="Arial"/>
          <w:bCs/>
          <w:i w:val="0"/>
          <w:color w:val="000000" w:themeColor="text1"/>
          <w:szCs w:val="24"/>
        </w:rPr>
        <w:t>ч</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ника</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у</w:t>
      </w:r>
      <w:r w:rsidR="00947928"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на</w:t>
      </w:r>
      <w:r>
        <w:rPr>
          <w:rStyle w:val="Emphasis"/>
          <w:rFonts w:eastAsia="Times New Roman" w:cs="Arial"/>
          <w:bCs/>
          <w:i w:val="0"/>
          <w:color w:val="000000" w:themeColor="text1"/>
          <w:szCs w:val="24"/>
        </w:rPr>
        <w:t>ст</w:t>
      </w:r>
      <w:r w:rsidR="00A56E08">
        <w:rPr>
          <w:rStyle w:val="Emphasis"/>
          <w:rFonts w:eastAsia="Times New Roman" w:cs="Arial"/>
          <w:bCs/>
          <w:i w:val="0"/>
          <w:color w:val="000000" w:themeColor="text1"/>
          <w:szCs w:val="24"/>
        </w:rPr>
        <w:t>а</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и</w:t>
      </w:r>
      <w:r w:rsidR="00947928"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пут</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м</w:t>
      </w:r>
      <w:r w:rsidR="00947928"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ин</w:t>
      </w:r>
      <w:r>
        <w:rPr>
          <w:rStyle w:val="Emphasis"/>
          <w:rFonts w:eastAsia="Times New Roman" w:cs="Arial"/>
          <w:bCs/>
          <w:i w:val="0"/>
          <w:color w:val="000000" w:themeColor="text1"/>
          <w:szCs w:val="24"/>
        </w:rPr>
        <w:t>т</w:t>
      </w:r>
      <w:r w:rsidR="00EE6AA2">
        <w:rPr>
          <w:rStyle w:val="Emphasis"/>
          <w:rFonts w:eastAsia="Times New Roman" w:cs="Arial"/>
          <w:bCs/>
          <w:i w:val="0"/>
          <w:color w:val="000000" w:themeColor="text1"/>
          <w:szCs w:val="24"/>
        </w:rPr>
        <w:t>е</w:t>
      </w:r>
      <w:r>
        <w:rPr>
          <w:rStyle w:val="Emphasis"/>
          <w:rFonts w:eastAsia="Times New Roman" w:cs="Arial"/>
          <w:bCs/>
          <w:i w:val="0"/>
          <w:color w:val="000000" w:themeColor="text1"/>
          <w:szCs w:val="24"/>
        </w:rPr>
        <w:t>р</w:t>
      </w:r>
      <w:r w:rsidR="00A56E08">
        <w:rPr>
          <w:rStyle w:val="Emphasis"/>
          <w:rFonts w:eastAsia="Times New Roman" w:cs="Arial"/>
          <w:bCs/>
          <w:i w:val="0"/>
          <w:color w:val="000000" w:themeColor="text1"/>
          <w:szCs w:val="24"/>
        </w:rPr>
        <w:t>н</w:t>
      </w:r>
      <w:r w:rsidR="00EE6AA2">
        <w:rPr>
          <w:rStyle w:val="Emphasis"/>
          <w:rFonts w:eastAsia="Times New Roman" w:cs="Arial"/>
          <w:bCs/>
          <w:i w:val="0"/>
          <w:color w:val="000000" w:themeColor="text1"/>
          <w:szCs w:val="24"/>
        </w:rPr>
        <w:t>е</w:t>
      </w:r>
      <w:r>
        <w:rPr>
          <w:rStyle w:val="Emphasis"/>
          <w:rFonts w:eastAsia="Times New Roman" w:cs="Arial"/>
          <w:bCs/>
          <w:i w:val="0"/>
          <w:color w:val="000000" w:themeColor="text1"/>
          <w:szCs w:val="24"/>
        </w:rPr>
        <w:t>т</w:t>
      </w:r>
      <w:r w:rsidR="00A56E08">
        <w:rPr>
          <w:rStyle w:val="Emphasis"/>
          <w:rFonts w:eastAsia="Times New Roman" w:cs="Arial"/>
          <w:bCs/>
          <w:i w:val="0"/>
          <w:color w:val="000000" w:themeColor="text1"/>
          <w:szCs w:val="24"/>
        </w:rPr>
        <w:t>а</w:t>
      </w:r>
      <w:r w:rsidR="00947928"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и</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комбино</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аној</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на</w:t>
      </w:r>
      <w:r>
        <w:rPr>
          <w:rStyle w:val="Emphasis"/>
          <w:rFonts w:eastAsia="Times New Roman" w:cs="Arial"/>
          <w:bCs/>
          <w:i w:val="0"/>
          <w:color w:val="000000" w:themeColor="text1"/>
          <w:szCs w:val="24"/>
        </w:rPr>
        <w:t>ст</w:t>
      </w:r>
      <w:r w:rsidR="00A56E08">
        <w:rPr>
          <w:rStyle w:val="Emphasis"/>
          <w:rFonts w:eastAsia="Times New Roman" w:cs="Arial"/>
          <w:bCs/>
          <w:i w:val="0"/>
          <w:color w:val="000000" w:themeColor="text1"/>
          <w:szCs w:val="24"/>
        </w:rPr>
        <w:t>а</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и</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т</w:t>
      </w:r>
      <w:r w:rsidR="00A56E08">
        <w:rPr>
          <w:rStyle w:val="Emphasis"/>
          <w:rFonts w:eastAsia="Times New Roman" w:cs="Arial"/>
          <w:bCs/>
          <w:i w:val="0"/>
          <w:color w:val="000000" w:themeColor="text1"/>
          <w:szCs w:val="24"/>
        </w:rPr>
        <w:t>оком</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п</w:t>
      </w:r>
      <w:r w:rsidR="00A56E08">
        <w:rPr>
          <w:rStyle w:val="Emphasis"/>
          <w:rFonts w:eastAsia="Times New Roman" w:cs="Arial"/>
          <w:bCs/>
          <w:i w:val="0"/>
          <w:color w:val="000000" w:themeColor="text1"/>
          <w:szCs w:val="24"/>
        </w:rPr>
        <w:t>анд</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миј</w:t>
      </w:r>
      <w:r w:rsidR="00EE6AA2">
        <w:rPr>
          <w:rStyle w:val="Emphasis"/>
          <w:rFonts w:eastAsia="Times New Roman" w:cs="Arial"/>
          <w:bCs/>
          <w:i w:val="0"/>
          <w:color w:val="000000" w:themeColor="text1"/>
          <w:szCs w:val="24"/>
        </w:rPr>
        <w:t>е</w:t>
      </w:r>
      <w:r w:rsidR="00872771"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Цо</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ид</w:t>
      </w:r>
      <w:r w:rsidR="00872771" w:rsidRPr="00F6340E">
        <w:rPr>
          <w:rStyle w:val="Emphasis"/>
          <w:rFonts w:eastAsia="Times New Roman" w:cs="Arial"/>
          <w:bCs/>
          <w:i w:val="0"/>
          <w:color w:val="000000" w:themeColor="text1"/>
          <w:szCs w:val="24"/>
        </w:rPr>
        <w:t xml:space="preserve"> – 19</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М</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ђ</w:t>
      </w:r>
      <w:r>
        <w:rPr>
          <w:rStyle w:val="Emphasis"/>
          <w:rFonts w:eastAsia="Times New Roman" w:cs="Arial"/>
          <w:bCs/>
          <w:i w:val="0"/>
          <w:color w:val="000000" w:themeColor="text1"/>
          <w:szCs w:val="24"/>
        </w:rPr>
        <w:t>ут</w:t>
      </w:r>
      <w:r w:rsidR="00A56E08">
        <w:rPr>
          <w:rStyle w:val="Emphasis"/>
          <w:rFonts w:eastAsia="Times New Roman" w:cs="Arial"/>
          <w:bCs/>
          <w:i w:val="0"/>
          <w:color w:val="000000" w:themeColor="text1"/>
          <w:szCs w:val="24"/>
        </w:rPr>
        <w:t>им</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и</w:t>
      </w:r>
      <w:r w:rsidR="00171F00">
        <w:rPr>
          <w:rStyle w:val="Emphasis"/>
          <w:rFonts w:eastAsia="Times New Roman" w:cs="Arial"/>
          <w:bCs/>
          <w:i w:val="0"/>
          <w:color w:val="000000" w:themeColor="text1"/>
          <w:szCs w:val="24"/>
        </w:rPr>
        <w:t>з</w:t>
      </w:r>
      <w:r w:rsidR="00A56E08">
        <w:rPr>
          <w:rStyle w:val="Emphasis"/>
          <w:rFonts w:eastAsia="Times New Roman" w:cs="Arial"/>
          <w:bCs/>
          <w:i w:val="0"/>
          <w:color w:val="000000" w:themeColor="text1"/>
          <w:szCs w:val="24"/>
        </w:rPr>
        <w:t>д</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ајај</w:t>
      </w:r>
      <w:r>
        <w:rPr>
          <w:rStyle w:val="Emphasis"/>
          <w:rFonts w:eastAsia="Times New Roman" w:cs="Arial"/>
          <w:bCs/>
          <w:i w:val="0"/>
          <w:color w:val="000000" w:themeColor="text1"/>
          <w:szCs w:val="24"/>
        </w:rPr>
        <w:t>у</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с</w:t>
      </w:r>
      <w:r w:rsidR="00EE6AA2">
        <w:rPr>
          <w:rStyle w:val="Emphasis"/>
          <w:rFonts w:eastAsia="Times New Roman" w:cs="Arial"/>
          <w:bCs/>
          <w:i w:val="0"/>
          <w:color w:val="000000" w:themeColor="text1"/>
          <w:szCs w:val="24"/>
        </w:rPr>
        <w:t>е</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Р</w:t>
      </w:r>
      <w:r w:rsidR="00EE6AA2">
        <w:rPr>
          <w:rStyle w:val="Emphasis"/>
          <w:rFonts w:eastAsia="Times New Roman" w:cs="Arial"/>
          <w:bCs/>
          <w:i w:val="0"/>
          <w:color w:val="000000" w:themeColor="text1"/>
          <w:szCs w:val="24"/>
        </w:rPr>
        <w:t>е</w:t>
      </w:r>
      <w:r>
        <w:rPr>
          <w:rStyle w:val="Emphasis"/>
          <w:rFonts w:eastAsia="Times New Roman" w:cs="Arial"/>
          <w:bCs/>
          <w:i w:val="0"/>
          <w:color w:val="000000" w:themeColor="text1"/>
          <w:szCs w:val="24"/>
        </w:rPr>
        <w:t>пу</w:t>
      </w:r>
      <w:r w:rsidR="00A56E08">
        <w:rPr>
          <w:rStyle w:val="Emphasis"/>
          <w:rFonts w:eastAsia="Times New Roman" w:cs="Arial"/>
          <w:bCs/>
          <w:i w:val="0"/>
          <w:color w:val="000000" w:themeColor="text1"/>
          <w:szCs w:val="24"/>
        </w:rPr>
        <w:t>блика</w:t>
      </w:r>
      <w:r w:rsidR="00E87D40"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Српс</w:t>
      </w:r>
      <w:r w:rsidR="00A56E08">
        <w:rPr>
          <w:rStyle w:val="Emphasis"/>
          <w:rFonts w:eastAsia="Times New Roman" w:cs="Arial"/>
          <w:bCs/>
          <w:i w:val="0"/>
          <w:color w:val="000000" w:themeColor="text1"/>
          <w:szCs w:val="24"/>
        </w:rPr>
        <w:t>ка</w:t>
      </w:r>
      <w:r w:rsidR="00DF65DB" w:rsidRPr="00F6340E">
        <w:rPr>
          <w:rStyle w:val="Emphasis"/>
          <w:rFonts w:eastAsia="Times New Roman" w:cs="Arial"/>
          <w:bCs/>
          <w:i w:val="0"/>
          <w:color w:val="000000" w:themeColor="text1"/>
          <w:szCs w:val="24"/>
        </w:rPr>
        <w:t>,</w:t>
      </w:r>
      <w:r w:rsidR="00E87D40" w:rsidRPr="00F6340E">
        <w:rPr>
          <w:rStyle w:val="Emphasis"/>
          <w:rFonts w:eastAsia="Times New Roman" w:cs="Arial"/>
          <w:bCs/>
          <w:i w:val="0"/>
          <w:color w:val="000000" w:themeColor="text1"/>
          <w:szCs w:val="24"/>
        </w:rPr>
        <w:t xml:space="preserve"> </w:t>
      </w:r>
      <w:r w:rsidR="00A56E08">
        <w:rPr>
          <w:rStyle w:val="Emphasis"/>
          <w:rFonts w:eastAsia="Times New Roman" w:cs="Arial"/>
          <w:bCs/>
          <w:i w:val="0"/>
          <w:color w:val="000000" w:themeColor="text1"/>
          <w:szCs w:val="24"/>
        </w:rPr>
        <w:t>гдј</w:t>
      </w:r>
      <w:r w:rsidR="00EE6AA2">
        <w:rPr>
          <w:rStyle w:val="Emphasis"/>
          <w:rFonts w:eastAsia="Times New Roman" w:cs="Arial"/>
          <w:bCs/>
          <w:i w:val="0"/>
          <w:color w:val="000000" w:themeColor="text1"/>
          <w:szCs w:val="24"/>
        </w:rPr>
        <w:t>е</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су</w:t>
      </w:r>
      <w:r w:rsidR="00872771" w:rsidRPr="00F6340E">
        <w:rPr>
          <w:rStyle w:val="Emphasis"/>
          <w:rFonts w:eastAsia="Times New Roman" w:cs="Arial"/>
          <w:bCs/>
          <w:i w:val="0"/>
          <w:color w:val="000000" w:themeColor="text1"/>
          <w:szCs w:val="24"/>
        </w:rPr>
        <w:t xml:space="preserve"> </w:t>
      </w:r>
      <w:r>
        <w:rPr>
          <w:rStyle w:val="Emphasis"/>
          <w:rFonts w:eastAsia="Times New Roman" w:cs="Arial"/>
          <w:bCs/>
          <w:i w:val="0"/>
          <w:color w:val="000000" w:themeColor="text1"/>
          <w:szCs w:val="24"/>
        </w:rPr>
        <w:t>р</w:t>
      </w:r>
      <w:r w:rsidR="00A56E08">
        <w:rPr>
          <w:rStyle w:val="Emphasis"/>
          <w:rFonts w:eastAsia="Times New Roman" w:cs="Arial"/>
          <w:bCs/>
          <w:i w:val="0"/>
          <w:color w:val="000000" w:themeColor="text1"/>
          <w:szCs w:val="24"/>
        </w:rPr>
        <w:t>а</w:t>
      </w:r>
      <w:r w:rsidR="00171F00">
        <w:rPr>
          <w:rStyle w:val="Emphasis"/>
          <w:rFonts w:eastAsia="Times New Roman" w:cs="Arial"/>
          <w:bCs/>
          <w:i w:val="0"/>
          <w:color w:val="000000" w:themeColor="text1"/>
          <w:szCs w:val="24"/>
        </w:rPr>
        <w:t>з</w:t>
      </w:r>
      <w:r>
        <w:rPr>
          <w:rStyle w:val="Emphasis"/>
          <w:rFonts w:eastAsia="Times New Roman" w:cs="Arial"/>
          <w:bCs/>
          <w:i w:val="0"/>
          <w:color w:val="000000" w:themeColor="text1"/>
          <w:szCs w:val="24"/>
        </w:rPr>
        <w:t>в</w:t>
      </w:r>
      <w:r w:rsidR="00A56E08">
        <w:rPr>
          <w:rStyle w:val="Emphasis"/>
          <w:rFonts w:eastAsia="Times New Roman" w:cs="Arial"/>
          <w:bCs/>
          <w:i w:val="0"/>
          <w:color w:val="000000" w:themeColor="text1"/>
          <w:szCs w:val="24"/>
        </w:rPr>
        <w:t>иј</w:t>
      </w:r>
      <w:r w:rsidR="00EE6AA2">
        <w:rPr>
          <w:rStyle w:val="Emphasis"/>
          <w:rFonts w:eastAsia="Times New Roman" w:cs="Arial"/>
          <w:bCs/>
          <w:i w:val="0"/>
          <w:color w:val="000000" w:themeColor="text1"/>
          <w:szCs w:val="24"/>
        </w:rPr>
        <w:t>е</w:t>
      </w:r>
      <w:r w:rsidR="00A56E08">
        <w:rPr>
          <w:rStyle w:val="Emphasis"/>
          <w:rFonts w:eastAsia="Times New Roman" w:cs="Arial"/>
          <w:bCs/>
          <w:i w:val="0"/>
          <w:color w:val="000000" w:themeColor="text1"/>
          <w:szCs w:val="24"/>
        </w:rPr>
        <w:t>на</w:t>
      </w:r>
      <w:r w:rsidR="00872771" w:rsidRPr="00F6340E">
        <w:rPr>
          <w:rStyle w:val="Emphasis"/>
          <w:rFonts w:eastAsia="Times New Roman" w:cs="Arial"/>
          <w:bCs/>
          <w:color w:val="000000" w:themeColor="text1"/>
          <w:szCs w:val="24"/>
        </w:rPr>
        <w:t xml:space="preserve"> </w:t>
      </w:r>
      <w:hyperlink r:id="rId14" w:history="1">
        <w:r>
          <w:rPr>
            <w:rStyle w:val="Hyperlink"/>
            <w:rFonts w:eastAsia="Times New Roman" w:cs="Arial"/>
            <w:bCs/>
            <w:szCs w:val="24"/>
          </w:rPr>
          <w:t>Упутств</w:t>
        </w:r>
        <w:r w:rsidR="00A56E08">
          <w:rPr>
            <w:rStyle w:val="Hyperlink"/>
            <w:rFonts w:eastAsia="Times New Roman" w:cs="Arial"/>
            <w:bCs/>
            <w:szCs w:val="24"/>
          </w:rPr>
          <w:t>а</w:t>
        </w:r>
        <w:r w:rsidR="00872771" w:rsidRPr="00F6340E">
          <w:rPr>
            <w:rStyle w:val="Hyperlink"/>
            <w:rFonts w:eastAsia="Times New Roman" w:cs="Arial"/>
            <w:bCs/>
            <w:szCs w:val="24"/>
          </w:rPr>
          <w:t xml:space="preserve"> </w:t>
        </w:r>
        <w:r w:rsidR="00A56E08">
          <w:rPr>
            <w:rStyle w:val="Hyperlink"/>
            <w:rFonts w:eastAsia="Times New Roman" w:cs="Arial"/>
            <w:bCs/>
            <w:szCs w:val="24"/>
          </w:rPr>
          <w:t>о</w:t>
        </w:r>
        <w:r w:rsidR="00872771" w:rsidRPr="00F6340E">
          <w:rPr>
            <w:rStyle w:val="Hyperlink"/>
            <w:rFonts w:eastAsia="Times New Roman" w:cs="Arial"/>
            <w:bCs/>
            <w:szCs w:val="24"/>
          </w:rPr>
          <w:t xml:space="preserve"> </w:t>
        </w:r>
        <w:r>
          <w:rPr>
            <w:rStyle w:val="Hyperlink"/>
            <w:rFonts w:eastAsia="Times New Roman" w:cs="Arial"/>
            <w:bCs/>
            <w:szCs w:val="24"/>
          </w:rPr>
          <w:t>пр</w:t>
        </w:r>
        <w:r w:rsidR="00A56E08">
          <w:rPr>
            <w:rStyle w:val="Hyperlink"/>
            <w:rFonts w:eastAsia="Times New Roman" w:cs="Arial"/>
            <w:bCs/>
            <w:szCs w:val="24"/>
          </w:rPr>
          <w:t>аћ</w:t>
        </w:r>
        <w:r w:rsidR="00EE6AA2">
          <w:rPr>
            <w:rStyle w:val="Hyperlink"/>
            <w:rFonts w:eastAsia="Times New Roman" w:cs="Arial"/>
            <w:bCs/>
            <w:szCs w:val="24"/>
          </w:rPr>
          <w:t>е</w:t>
        </w:r>
        <w:r w:rsidR="00A56E08">
          <w:rPr>
            <w:rStyle w:val="Hyperlink"/>
            <w:rFonts w:eastAsia="Times New Roman" w:cs="Arial"/>
            <w:bCs/>
            <w:szCs w:val="24"/>
          </w:rPr>
          <w:t>њ</w:t>
        </w:r>
        <w:r>
          <w:rPr>
            <w:rStyle w:val="Hyperlink"/>
            <w:rFonts w:eastAsia="Times New Roman" w:cs="Arial"/>
            <w:bCs/>
            <w:szCs w:val="24"/>
          </w:rPr>
          <w:t>у</w:t>
        </w:r>
        <w:r w:rsidR="00872771" w:rsidRPr="00F6340E">
          <w:rPr>
            <w:rStyle w:val="Hyperlink"/>
            <w:rFonts w:eastAsia="Times New Roman" w:cs="Arial"/>
            <w:bCs/>
            <w:szCs w:val="24"/>
          </w:rPr>
          <w:t xml:space="preserve">, </w:t>
        </w:r>
        <w:r>
          <w:rPr>
            <w:rStyle w:val="Hyperlink"/>
            <w:rFonts w:eastAsia="Times New Roman" w:cs="Arial"/>
            <w:bCs/>
            <w:szCs w:val="24"/>
          </w:rPr>
          <w:t>вр</w:t>
        </w:r>
        <w:r w:rsidR="00EE6AA2">
          <w:rPr>
            <w:rStyle w:val="Hyperlink"/>
            <w:rFonts w:eastAsia="Times New Roman" w:cs="Arial"/>
            <w:bCs/>
            <w:szCs w:val="24"/>
          </w:rPr>
          <w:t>е</w:t>
        </w:r>
        <w:r w:rsidR="00A56E08">
          <w:rPr>
            <w:rStyle w:val="Hyperlink"/>
            <w:rFonts w:eastAsia="Times New Roman" w:cs="Arial"/>
            <w:bCs/>
            <w:szCs w:val="24"/>
          </w:rPr>
          <w:t>дно</w:t>
        </w:r>
        <w:r>
          <w:rPr>
            <w:rStyle w:val="Hyperlink"/>
            <w:rFonts w:eastAsia="Times New Roman" w:cs="Arial"/>
            <w:bCs/>
            <w:szCs w:val="24"/>
          </w:rPr>
          <w:t>в</w:t>
        </w:r>
        <w:r w:rsidR="00A56E08">
          <w:rPr>
            <w:rStyle w:val="Hyperlink"/>
            <w:rFonts w:eastAsia="Times New Roman" w:cs="Arial"/>
            <w:bCs/>
            <w:szCs w:val="24"/>
          </w:rPr>
          <w:t>ањ</w:t>
        </w:r>
        <w:r>
          <w:rPr>
            <w:rStyle w:val="Hyperlink"/>
            <w:rFonts w:eastAsia="Times New Roman" w:cs="Arial"/>
            <w:bCs/>
            <w:szCs w:val="24"/>
          </w:rPr>
          <w:t>у</w:t>
        </w:r>
        <w:r w:rsidR="00872771" w:rsidRPr="00F6340E">
          <w:rPr>
            <w:rStyle w:val="Hyperlink"/>
            <w:rFonts w:eastAsia="Times New Roman" w:cs="Arial"/>
            <w:bCs/>
            <w:szCs w:val="24"/>
          </w:rPr>
          <w:t xml:space="preserve"> </w:t>
        </w:r>
        <w:r w:rsidR="00A56E08">
          <w:rPr>
            <w:rStyle w:val="Hyperlink"/>
            <w:rFonts w:eastAsia="Times New Roman" w:cs="Arial"/>
            <w:bCs/>
            <w:szCs w:val="24"/>
          </w:rPr>
          <w:t>и</w:t>
        </w:r>
        <w:r w:rsidR="00872771" w:rsidRPr="00F6340E">
          <w:rPr>
            <w:rStyle w:val="Hyperlink"/>
            <w:rFonts w:eastAsia="Times New Roman" w:cs="Arial"/>
            <w:bCs/>
            <w:szCs w:val="24"/>
          </w:rPr>
          <w:t xml:space="preserve"> </w:t>
        </w:r>
        <w:r w:rsidR="00A56E08">
          <w:rPr>
            <w:rStyle w:val="Hyperlink"/>
            <w:rFonts w:eastAsia="Times New Roman" w:cs="Arial"/>
            <w:bCs/>
            <w:szCs w:val="24"/>
          </w:rPr>
          <w:t>оцј</w:t>
        </w:r>
        <w:r w:rsidR="00EE6AA2">
          <w:rPr>
            <w:rStyle w:val="Hyperlink"/>
            <w:rFonts w:eastAsia="Times New Roman" w:cs="Arial"/>
            <w:bCs/>
            <w:szCs w:val="24"/>
          </w:rPr>
          <w:t>е</w:t>
        </w:r>
        <w:r w:rsidR="00A56E08">
          <w:rPr>
            <w:rStyle w:val="Hyperlink"/>
            <w:rFonts w:eastAsia="Times New Roman" w:cs="Arial"/>
            <w:bCs/>
            <w:szCs w:val="24"/>
          </w:rPr>
          <w:t>њи</w:t>
        </w:r>
        <w:r>
          <w:rPr>
            <w:rStyle w:val="Hyperlink"/>
            <w:rFonts w:eastAsia="Times New Roman" w:cs="Arial"/>
            <w:bCs/>
            <w:szCs w:val="24"/>
          </w:rPr>
          <w:t>в</w:t>
        </w:r>
        <w:r w:rsidR="00A56E08">
          <w:rPr>
            <w:rStyle w:val="Hyperlink"/>
            <w:rFonts w:eastAsia="Times New Roman" w:cs="Arial"/>
            <w:bCs/>
            <w:szCs w:val="24"/>
          </w:rPr>
          <w:t>ањ</w:t>
        </w:r>
        <w:r>
          <w:rPr>
            <w:rStyle w:val="Hyperlink"/>
            <w:rFonts w:eastAsia="Times New Roman" w:cs="Arial"/>
            <w:bCs/>
            <w:szCs w:val="24"/>
          </w:rPr>
          <w:t>у</w:t>
        </w:r>
        <w:r w:rsidR="00872771" w:rsidRPr="00F6340E">
          <w:rPr>
            <w:rStyle w:val="Hyperlink"/>
            <w:rFonts w:eastAsia="Times New Roman" w:cs="Arial"/>
            <w:bCs/>
            <w:szCs w:val="24"/>
          </w:rPr>
          <w:t xml:space="preserve"> </w:t>
        </w:r>
        <w:r>
          <w:rPr>
            <w:rStyle w:val="Hyperlink"/>
            <w:rFonts w:eastAsia="Times New Roman" w:cs="Arial"/>
            <w:bCs/>
            <w:szCs w:val="24"/>
          </w:rPr>
          <w:t>у</w:t>
        </w:r>
        <w:r w:rsidR="00A56E08">
          <w:rPr>
            <w:rStyle w:val="Hyperlink"/>
            <w:rFonts w:eastAsia="Times New Roman" w:cs="Arial"/>
            <w:bCs/>
            <w:szCs w:val="24"/>
          </w:rPr>
          <w:t>ч</w:t>
        </w:r>
        <w:r w:rsidR="00EE6AA2">
          <w:rPr>
            <w:rStyle w:val="Hyperlink"/>
            <w:rFonts w:eastAsia="Times New Roman" w:cs="Arial"/>
            <w:bCs/>
            <w:szCs w:val="24"/>
          </w:rPr>
          <w:t>е</w:t>
        </w:r>
        <w:r w:rsidR="00A56E08">
          <w:rPr>
            <w:rStyle w:val="Hyperlink"/>
            <w:rFonts w:eastAsia="Times New Roman" w:cs="Arial"/>
            <w:bCs/>
            <w:szCs w:val="24"/>
          </w:rPr>
          <w:t>ника</w:t>
        </w:r>
        <w:r w:rsidR="00872771" w:rsidRPr="00F6340E">
          <w:rPr>
            <w:rStyle w:val="Hyperlink"/>
            <w:rFonts w:eastAsia="Times New Roman" w:cs="Arial"/>
            <w:bCs/>
            <w:szCs w:val="24"/>
          </w:rPr>
          <w:t xml:space="preserve"> </w:t>
        </w:r>
        <w:r>
          <w:rPr>
            <w:rStyle w:val="Hyperlink"/>
            <w:rFonts w:eastAsia="Times New Roman" w:cs="Arial"/>
            <w:bCs/>
            <w:szCs w:val="24"/>
          </w:rPr>
          <w:t>пр</w:t>
        </w:r>
        <w:r w:rsidR="00A56E08">
          <w:rPr>
            <w:rStyle w:val="Hyperlink"/>
            <w:rFonts w:eastAsia="Times New Roman" w:cs="Arial"/>
            <w:bCs/>
            <w:szCs w:val="24"/>
          </w:rPr>
          <w:t>иликом</w:t>
        </w:r>
        <w:r w:rsidR="00872771" w:rsidRPr="00F6340E">
          <w:rPr>
            <w:rStyle w:val="Hyperlink"/>
            <w:rFonts w:eastAsia="Times New Roman" w:cs="Arial"/>
            <w:bCs/>
            <w:szCs w:val="24"/>
          </w:rPr>
          <w:t xml:space="preserve"> </w:t>
        </w:r>
        <w:r w:rsidR="00A56E08">
          <w:rPr>
            <w:rStyle w:val="Hyperlink"/>
            <w:rFonts w:eastAsia="Times New Roman" w:cs="Arial"/>
            <w:bCs/>
            <w:szCs w:val="24"/>
          </w:rPr>
          <w:t>и</w:t>
        </w:r>
        <w:r w:rsidR="00171F00">
          <w:rPr>
            <w:rStyle w:val="Hyperlink"/>
            <w:rFonts w:eastAsia="Times New Roman" w:cs="Arial"/>
            <w:bCs/>
            <w:szCs w:val="24"/>
          </w:rPr>
          <w:t>з</w:t>
        </w:r>
        <w:r>
          <w:rPr>
            <w:rStyle w:val="Hyperlink"/>
            <w:rFonts w:eastAsia="Times New Roman" w:cs="Arial"/>
            <w:bCs/>
            <w:szCs w:val="24"/>
          </w:rPr>
          <w:t>в</w:t>
        </w:r>
        <w:r w:rsidR="00A56E08">
          <w:rPr>
            <w:rStyle w:val="Hyperlink"/>
            <w:rFonts w:eastAsia="Times New Roman" w:cs="Arial"/>
            <w:bCs/>
            <w:szCs w:val="24"/>
          </w:rPr>
          <w:t>ођ</w:t>
        </w:r>
        <w:r w:rsidR="00EE6AA2">
          <w:rPr>
            <w:rStyle w:val="Hyperlink"/>
            <w:rFonts w:eastAsia="Times New Roman" w:cs="Arial"/>
            <w:bCs/>
            <w:szCs w:val="24"/>
          </w:rPr>
          <w:t>е</w:t>
        </w:r>
        <w:r w:rsidR="00A56E08">
          <w:rPr>
            <w:rStyle w:val="Hyperlink"/>
            <w:rFonts w:eastAsia="Times New Roman" w:cs="Arial"/>
            <w:bCs/>
            <w:szCs w:val="24"/>
          </w:rPr>
          <w:t>ња</w:t>
        </w:r>
        <w:r w:rsidR="00872771" w:rsidRPr="00F6340E">
          <w:rPr>
            <w:rStyle w:val="Hyperlink"/>
            <w:rFonts w:eastAsia="Times New Roman" w:cs="Arial"/>
            <w:bCs/>
            <w:szCs w:val="24"/>
          </w:rPr>
          <w:t xml:space="preserve"> </w:t>
        </w:r>
        <w:r w:rsidR="00A56E08">
          <w:rPr>
            <w:rStyle w:val="Hyperlink"/>
            <w:rFonts w:eastAsia="Times New Roman" w:cs="Arial"/>
            <w:bCs/>
            <w:szCs w:val="24"/>
          </w:rPr>
          <w:t>на</w:t>
        </w:r>
        <w:r>
          <w:rPr>
            <w:rStyle w:val="Hyperlink"/>
            <w:rFonts w:eastAsia="Times New Roman" w:cs="Arial"/>
            <w:bCs/>
            <w:szCs w:val="24"/>
          </w:rPr>
          <w:t>ст</w:t>
        </w:r>
        <w:r w:rsidR="00A56E08">
          <w:rPr>
            <w:rStyle w:val="Hyperlink"/>
            <w:rFonts w:eastAsia="Times New Roman" w:cs="Arial"/>
            <w:bCs/>
            <w:szCs w:val="24"/>
          </w:rPr>
          <w:t>а</w:t>
        </w:r>
        <w:r>
          <w:rPr>
            <w:rStyle w:val="Hyperlink"/>
            <w:rFonts w:eastAsia="Times New Roman" w:cs="Arial"/>
            <w:bCs/>
            <w:szCs w:val="24"/>
          </w:rPr>
          <w:t>в</w:t>
        </w:r>
        <w:r w:rsidR="00EE6AA2">
          <w:rPr>
            <w:rStyle w:val="Hyperlink"/>
            <w:rFonts w:eastAsia="Times New Roman" w:cs="Arial"/>
            <w:bCs/>
            <w:szCs w:val="24"/>
          </w:rPr>
          <w:t>е</w:t>
        </w:r>
        <w:r w:rsidR="00872771" w:rsidRPr="00F6340E">
          <w:rPr>
            <w:rStyle w:val="Hyperlink"/>
            <w:rFonts w:eastAsia="Times New Roman" w:cs="Arial"/>
            <w:bCs/>
            <w:szCs w:val="24"/>
          </w:rPr>
          <w:t xml:space="preserve"> </w:t>
        </w:r>
        <w:r w:rsidR="00A56E08">
          <w:rPr>
            <w:rStyle w:val="Hyperlink"/>
            <w:rFonts w:eastAsia="Times New Roman" w:cs="Arial"/>
            <w:bCs/>
            <w:szCs w:val="24"/>
          </w:rPr>
          <w:t>на</w:t>
        </w:r>
        <w:r w:rsidR="00872771" w:rsidRPr="00F6340E">
          <w:rPr>
            <w:rStyle w:val="Hyperlink"/>
            <w:rFonts w:eastAsia="Times New Roman" w:cs="Arial"/>
            <w:bCs/>
            <w:szCs w:val="24"/>
          </w:rPr>
          <w:t xml:space="preserve"> </w:t>
        </w:r>
        <w:r w:rsidR="00A56E08">
          <w:rPr>
            <w:rStyle w:val="Hyperlink"/>
            <w:rFonts w:eastAsia="Times New Roman" w:cs="Arial"/>
            <w:bCs/>
            <w:szCs w:val="24"/>
          </w:rPr>
          <w:t>даљин</w:t>
        </w:r>
        <w:r>
          <w:rPr>
            <w:rStyle w:val="Hyperlink"/>
            <w:rFonts w:eastAsia="Times New Roman" w:cs="Arial"/>
            <w:bCs/>
            <w:szCs w:val="24"/>
          </w:rPr>
          <w:t>у</w:t>
        </w:r>
        <w:r w:rsidR="00947928" w:rsidRPr="00F6340E">
          <w:rPr>
            <w:rStyle w:val="Hyperlink"/>
            <w:rFonts w:eastAsia="Times New Roman" w:cs="Arial"/>
            <w:bCs/>
            <w:szCs w:val="24"/>
          </w:rPr>
          <w:t xml:space="preserve"> </w:t>
        </w:r>
        <w:r w:rsidR="00872771" w:rsidRPr="00F6340E">
          <w:rPr>
            <w:rStyle w:val="Hyperlink"/>
            <w:rFonts w:eastAsia="Times New Roman" w:cs="Arial"/>
            <w:iCs/>
            <w:szCs w:val="24"/>
          </w:rPr>
          <w:t>("</w:t>
        </w:r>
        <w:r>
          <w:rPr>
            <w:rStyle w:val="Hyperlink"/>
            <w:rFonts w:eastAsia="Times New Roman" w:cs="Arial"/>
            <w:iCs/>
            <w:szCs w:val="24"/>
          </w:rPr>
          <w:t>С</w:t>
        </w:r>
        <w:r w:rsidR="00A56E08">
          <w:rPr>
            <w:rStyle w:val="Hyperlink"/>
            <w:rFonts w:eastAsia="Times New Roman" w:cs="Arial"/>
            <w:iCs/>
            <w:szCs w:val="24"/>
          </w:rPr>
          <w:t>л</w:t>
        </w:r>
        <w:r>
          <w:rPr>
            <w:rStyle w:val="Hyperlink"/>
            <w:rFonts w:eastAsia="Times New Roman" w:cs="Arial"/>
            <w:iCs/>
            <w:szCs w:val="24"/>
          </w:rPr>
          <w:t>у</w:t>
        </w:r>
        <w:r w:rsidR="00171F00">
          <w:rPr>
            <w:rStyle w:val="Hyperlink"/>
            <w:rFonts w:eastAsia="Times New Roman" w:cs="Arial"/>
            <w:iCs/>
            <w:szCs w:val="24"/>
          </w:rPr>
          <w:t>ж</w:t>
        </w:r>
        <w:r w:rsidR="00A56E08">
          <w:rPr>
            <w:rStyle w:val="Hyperlink"/>
            <w:rFonts w:eastAsia="Times New Roman" w:cs="Arial"/>
            <w:iCs/>
            <w:szCs w:val="24"/>
          </w:rPr>
          <w:t>б</w:t>
        </w:r>
        <w:r w:rsidR="00EE6AA2">
          <w:rPr>
            <w:rStyle w:val="Hyperlink"/>
            <w:rFonts w:eastAsia="Times New Roman" w:cs="Arial"/>
            <w:iCs/>
            <w:szCs w:val="24"/>
          </w:rPr>
          <w:t>е</w:t>
        </w:r>
        <w:r w:rsidR="00A56E08">
          <w:rPr>
            <w:rStyle w:val="Hyperlink"/>
            <w:rFonts w:eastAsia="Times New Roman" w:cs="Arial"/>
            <w:iCs/>
            <w:szCs w:val="24"/>
          </w:rPr>
          <w:t>ни</w:t>
        </w:r>
        <w:r w:rsidR="00872771" w:rsidRPr="00F6340E">
          <w:rPr>
            <w:rStyle w:val="Hyperlink"/>
            <w:rFonts w:eastAsia="Times New Roman" w:cs="Arial"/>
            <w:iCs/>
            <w:szCs w:val="24"/>
          </w:rPr>
          <w:t xml:space="preserve"> </w:t>
        </w:r>
        <w:r w:rsidR="00A56E08">
          <w:rPr>
            <w:rStyle w:val="Hyperlink"/>
            <w:rFonts w:eastAsia="Times New Roman" w:cs="Arial"/>
            <w:iCs/>
            <w:szCs w:val="24"/>
          </w:rPr>
          <w:t>гла</w:t>
        </w:r>
        <w:r>
          <w:rPr>
            <w:rStyle w:val="Hyperlink"/>
            <w:rFonts w:eastAsia="Times New Roman" w:cs="Arial"/>
            <w:iCs/>
            <w:szCs w:val="24"/>
          </w:rPr>
          <w:t>с</w:t>
        </w:r>
        <w:r w:rsidR="00A56E08">
          <w:rPr>
            <w:rStyle w:val="Hyperlink"/>
            <w:rFonts w:eastAsia="Times New Roman" w:cs="Arial"/>
            <w:iCs/>
            <w:szCs w:val="24"/>
          </w:rPr>
          <w:t>ник</w:t>
        </w:r>
        <w:r w:rsidR="00872771" w:rsidRPr="00F6340E">
          <w:rPr>
            <w:rStyle w:val="Hyperlink"/>
            <w:rFonts w:eastAsia="Times New Roman" w:cs="Arial"/>
            <w:iCs/>
            <w:szCs w:val="24"/>
          </w:rPr>
          <w:t xml:space="preserve"> </w:t>
        </w:r>
        <w:r>
          <w:rPr>
            <w:rStyle w:val="Hyperlink"/>
            <w:rFonts w:eastAsia="Times New Roman" w:cs="Arial"/>
            <w:iCs/>
            <w:szCs w:val="24"/>
          </w:rPr>
          <w:t>РС</w:t>
        </w:r>
        <w:r w:rsidR="00872771" w:rsidRPr="00F6340E">
          <w:rPr>
            <w:rStyle w:val="Hyperlink"/>
            <w:rFonts w:eastAsia="Times New Roman" w:cs="Arial"/>
            <w:iCs/>
            <w:szCs w:val="24"/>
          </w:rPr>
          <w:t xml:space="preserve">", </w:t>
        </w:r>
        <w:r w:rsidR="00A56E08">
          <w:rPr>
            <w:rStyle w:val="Hyperlink"/>
            <w:rFonts w:eastAsia="Times New Roman" w:cs="Arial"/>
            <w:iCs/>
            <w:szCs w:val="24"/>
          </w:rPr>
          <w:t>б</w:t>
        </w:r>
        <w:r>
          <w:rPr>
            <w:rStyle w:val="Hyperlink"/>
            <w:rFonts w:eastAsia="Times New Roman" w:cs="Arial"/>
            <w:iCs/>
            <w:szCs w:val="24"/>
          </w:rPr>
          <w:t>р</w:t>
        </w:r>
        <w:r w:rsidR="00872771" w:rsidRPr="00F6340E">
          <w:rPr>
            <w:rStyle w:val="Hyperlink"/>
            <w:rFonts w:eastAsia="Times New Roman" w:cs="Arial"/>
            <w:iCs/>
            <w:szCs w:val="24"/>
          </w:rPr>
          <w:t>. 39/2020)</w:t>
        </w:r>
      </w:hyperlink>
      <w:r w:rsidR="00DF65DB" w:rsidRPr="00F6340E">
        <w:rPr>
          <w:rStyle w:val="Strong"/>
          <w:rFonts w:eastAsia="Times New Roman" w:cs="Arial"/>
          <w:b w:val="0"/>
          <w:iCs/>
          <w:color w:val="000000" w:themeColor="text1"/>
          <w:szCs w:val="24"/>
        </w:rPr>
        <w:t>,</w:t>
      </w:r>
      <w:r w:rsidR="0087277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EE6AA2">
        <w:rPr>
          <w:rStyle w:val="Strong"/>
          <w:rFonts w:eastAsia="Times New Roman" w:cs="Arial"/>
          <w:b w:val="0"/>
          <w:iCs/>
          <w:color w:val="000000" w:themeColor="text1"/>
          <w:szCs w:val="24"/>
        </w:rPr>
        <w:t>е</w:t>
      </w:r>
      <w:r w:rsidR="00E87D40"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Кан</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он</w:t>
      </w:r>
      <w:r w:rsidR="00E87D4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ај</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о</w:t>
      </w:r>
      <w:r w:rsidR="00E87D4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w:t>
      </w:r>
      <w:r w:rsidR="00E87D40" w:rsidRPr="00F6340E">
        <w:rPr>
          <w:rStyle w:val="Strong"/>
          <w:rFonts w:eastAsia="Times New Roman" w:cs="Arial"/>
          <w:b w:val="0"/>
          <w:iCs/>
          <w:color w:val="000000" w:themeColor="text1"/>
          <w:szCs w:val="24"/>
        </w:rPr>
        <w:t xml:space="preserve"> </w:t>
      </w:r>
      <w:hyperlink r:id="rId15" w:history="1">
        <w:r w:rsidR="00A56E08">
          <w:rPr>
            <w:rStyle w:val="Hyperlink"/>
            <w:rFonts w:eastAsia="Times New Roman" w:cs="Arial"/>
            <w:iCs/>
            <w:szCs w:val="24"/>
          </w:rPr>
          <w:t>М</w:t>
        </w:r>
        <w:r w:rsidR="00EE6AA2">
          <w:rPr>
            <w:rStyle w:val="Hyperlink"/>
            <w:rFonts w:eastAsia="Times New Roman" w:cs="Arial"/>
            <w:iCs/>
            <w:szCs w:val="24"/>
          </w:rPr>
          <w:t>е</w:t>
        </w:r>
        <w:r>
          <w:rPr>
            <w:rStyle w:val="Hyperlink"/>
            <w:rFonts w:eastAsia="Times New Roman" w:cs="Arial"/>
            <w:iCs/>
            <w:szCs w:val="24"/>
          </w:rPr>
          <w:t>т</w:t>
        </w:r>
        <w:r w:rsidR="00A56E08">
          <w:rPr>
            <w:rStyle w:val="Hyperlink"/>
            <w:rFonts w:eastAsia="Times New Roman" w:cs="Arial"/>
            <w:iCs/>
            <w:szCs w:val="24"/>
          </w:rPr>
          <w:t>одологијом</w:t>
        </w:r>
        <w:r w:rsidR="00872771" w:rsidRPr="00F6340E">
          <w:rPr>
            <w:rStyle w:val="Hyperlink"/>
            <w:rFonts w:eastAsia="Times New Roman" w:cs="Arial"/>
            <w:iCs/>
            <w:szCs w:val="24"/>
          </w:rPr>
          <w:t xml:space="preserve"> </w:t>
        </w:r>
        <w:r>
          <w:rPr>
            <w:rStyle w:val="Hyperlink"/>
            <w:rFonts w:eastAsia="Times New Roman" w:cs="Arial"/>
            <w:iCs/>
            <w:szCs w:val="24"/>
          </w:rPr>
          <w:t>р</w:t>
        </w:r>
        <w:r w:rsidR="00EE6AA2">
          <w:rPr>
            <w:rStyle w:val="Hyperlink"/>
            <w:rFonts w:eastAsia="Times New Roman" w:cs="Arial"/>
            <w:iCs/>
            <w:szCs w:val="24"/>
          </w:rPr>
          <w:t>е</w:t>
        </w:r>
        <w:r w:rsidR="00A56E08">
          <w:rPr>
            <w:rStyle w:val="Hyperlink"/>
            <w:rFonts w:eastAsia="Times New Roman" w:cs="Arial"/>
            <w:iCs/>
            <w:szCs w:val="24"/>
          </w:rPr>
          <w:t>али</w:t>
        </w:r>
        <w:r w:rsidR="00171F00">
          <w:rPr>
            <w:rStyle w:val="Hyperlink"/>
            <w:rFonts w:eastAsia="Times New Roman" w:cs="Arial"/>
            <w:iCs/>
            <w:szCs w:val="24"/>
          </w:rPr>
          <w:t>з</w:t>
        </w:r>
        <w:r w:rsidR="00A56E08">
          <w:rPr>
            <w:rStyle w:val="Hyperlink"/>
            <w:rFonts w:eastAsia="Times New Roman" w:cs="Arial"/>
            <w:iCs/>
            <w:szCs w:val="24"/>
          </w:rPr>
          <w:t>ациј</w:t>
        </w:r>
        <w:r w:rsidR="00EE6AA2">
          <w:rPr>
            <w:rStyle w:val="Hyperlink"/>
            <w:rFonts w:eastAsia="Times New Roman" w:cs="Arial"/>
            <w:iCs/>
            <w:szCs w:val="24"/>
          </w:rPr>
          <w:t>е</w:t>
        </w:r>
        <w:r w:rsidR="00872771" w:rsidRPr="00F6340E">
          <w:rPr>
            <w:rStyle w:val="Hyperlink"/>
            <w:rFonts w:eastAsia="Times New Roman" w:cs="Arial"/>
            <w:iCs/>
            <w:szCs w:val="24"/>
          </w:rPr>
          <w:t xml:space="preserve"> </w:t>
        </w:r>
        <w:r w:rsidR="00A56E08">
          <w:rPr>
            <w:rStyle w:val="Hyperlink"/>
            <w:rFonts w:eastAsia="Times New Roman" w:cs="Arial"/>
            <w:iCs/>
            <w:szCs w:val="24"/>
          </w:rPr>
          <w:t>на</w:t>
        </w:r>
        <w:r>
          <w:rPr>
            <w:rStyle w:val="Hyperlink"/>
            <w:rFonts w:eastAsia="Times New Roman" w:cs="Arial"/>
            <w:iCs/>
            <w:szCs w:val="24"/>
          </w:rPr>
          <w:t>ст</w:t>
        </w:r>
        <w:r w:rsidR="00A56E08">
          <w:rPr>
            <w:rStyle w:val="Hyperlink"/>
            <w:rFonts w:eastAsia="Times New Roman" w:cs="Arial"/>
            <w:iCs/>
            <w:szCs w:val="24"/>
          </w:rPr>
          <w:t>а</w:t>
        </w:r>
        <w:r>
          <w:rPr>
            <w:rStyle w:val="Hyperlink"/>
            <w:rFonts w:eastAsia="Times New Roman" w:cs="Arial"/>
            <w:iCs/>
            <w:szCs w:val="24"/>
          </w:rPr>
          <w:t>в</w:t>
        </w:r>
        <w:r w:rsidR="00EE6AA2">
          <w:rPr>
            <w:rStyle w:val="Hyperlink"/>
            <w:rFonts w:eastAsia="Times New Roman" w:cs="Arial"/>
            <w:iCs/>
            <w:szCs w:val="24"/>
          </w:rPr>
          <w:t>е</w:t>
        </w:r>
        <w:r w:rsidR="00C47A01" w:rsidRPr="00F6340E">
          <w:rPr>
            <w:rStyle w:val="Hyperlink"/>
            <w:rFonts w:eastAsia="Times New Roman" w:cs="Arial"/>
            <w:iCs/>
            <w:szCs w:val="24"/>
          </w:rPr>
          <w:t xml:space="preserve"> </w:t>
        </w:r>
        <w:r>
          <w:rPr>
            <w:rStyle w:val="Hyperlink"/>
            <w:rFonts w:eastAsia="Times New Roman" w:cs="Arial"/>
            <w:iCs/>
            <w:szCs w:val="24"/>
          </w:rPr>
          <w:t>пут</w:t>
        </w:r>
        <w:r w:rsidR="00EE6AA2">
          <w:rPr>
            <w:rStyle w:val="Hyperlink"/>
            <w:rFonts w:eastAsia="Times New Roman" w:cs="Arial"/>
            <w:iCs/>
            <w:szCs w:val="24"/>
          </w:rPr>
          <w:t>е</w:t>
        </w:r>
        <w:r w:rsidR="00A56E08">
          <w:rPr>
            <w:rStyle w:val="Hyperlink"/>
            <w:rFonts w:eastAsia="Times New Roman" w:cs="Arial"/>
            <w:iCs/>
            <w:szCs w:val="24"/>
          </w:rPr>
          <w:t>м</w:t>
        </w:r>
        <w:r w:rsidR="00C47A01" w:rsidRPr="00F6340E">
          <w:rPr>
            <w:rStyle w:val="Hyperlink"/>
            <w:rFonts w:eastAsia="Times New Roman" w:cs="Arial"/>
            <w:iCs/>
            <w:szCs w:val="24"/>
          </w:rPr>
          <w:t xml:space="preserve"> </w:t>
        </w:r>
        <w:r w:rsidR="00A56E08">
          <w:rPr>
            <w:rStyle w:val="Hyperlink"/>
            <w:rFonts w:eastAsia="Times New Roman" w:cs="Arial"/>
            <w:iCs/>
            <w:szCs w:val="24"/>
          </w:rPr>
          <w:t>ин</w:t>
        </w:r>
        <w:r>
          <w:rPr>
            <w:rStyle w:val="Hyperlink"/>
            <w:rFonts w:eastAsia="Times New Roman" w:cs="Arial"/>
            <w:iCs/>
            <w:szCs w:val="24"/>
          </w:rPr>
          <w:t>т</w:t>
        </w:r>
        <w:r w:rsidR="00EE6AA2">
          <w:rPr>
            <w:rStyle w:val="Hyperlink"/>
            <w:rFonts w:eastAsia="Times New Roman" w:cs="Arial"/>
            <w:iCs/>
            <w:szCs w:val="24"/>
          </w:rPr>
          <w:t>е</w:t>
        </w:r>
        <w:r>
          <w:rPr>
            <w:rStyle w:val="Hyperlink"/>
            <w:rFonts w:eastAsia="Times New Roman" w:cs="Arial"/>
            <w:iCs/>
            <w:szCs w:val="24"/>
          </w:rPr>
          <w:t>р</w:t>
        </w:r>
        <w:r w:rsidR="00A56E08">
          <w:rPr>
            <w:rStyle w:val="Hyperlink"/>
            <w:rFonts w:eastAsia="Times New Roman" w:cs="Arial"/>
            <w:iCs/>
            <w:szCs w:val="24"/>
          </w:rPr>
          <w:t>н</w:t>
        </w:r>
        <w:r w:rsidR="00EE6AA2">
          <w:rPr>
            <w:rStyle w:val="Hyperlink"/>
            <w:rFonts w:eastAsia="Times New Roman" w:cs="Arial"/>
            <w:iCs/>
            <w:szCs w:val="24"/>
          </w:rPr>
          <w:t>е</w:t>
        </w:r>
        <w:r>
          <w:rPr>
            <w:rStyle w:val="Hyperlink"/>
            <w:rFonts w:eastAsia="Times New Roman" w:cs="Arial"/>
            <w:iCs/>
            <w:szCs w:val="24"/>
          </w:rPr>
          <w:t>т</w:t>
        </w:r>
        <w:r w:rsidR="00A56E08">
          <w:rPr>
            <w:rStyle w:val="Hyperlink"/>
            <w:rFonts w:eastAsia="Times New Roman" w:cs="Arial"/>
            <w:iCs/>
            <w:szCs w:val="24"/>
          </w:rPr>
          <w:t>а</w:t>
        </w:r>
        <w:r w:rsidR="00872771" w:rsidRPr="00F6340E">
          <w:rPr>
            <w:rStyle w:val="Hyperlink"/>
            <w:rFonts w:eastAsia="Times New Roman" w:cs="Arial"/>
            <w:iCs/>
            <w:szCs w:val="24"/>
          </w:rPr>
          <w:t xml:space="preserve"> </w:t>
        </w:r>
        <w:r>
          <w:rPr>
            <w:rStyle w:val="Hyperlink"/>
            <w:rFonts w:eastAsia="Times New Roman" w:cs="Arial"/>
            <w:iCs/>
            <w:szCs w:val="24"/>
          </w:rPr>
          <w:t>у</w:t>
        </w:r>
        <w:r w:rsidR="00872771" w:rsidRPr="00F6340E">
          <w:rPr>
            <w:rStyle w:val="Hyperlink"/>
            <w:rFonts w:eastAsia="Times New Roman" w:cs="Arial"/>
            <w:iCs/>
            <w:szCs w:val="24"/>
          </w:rPr>
          <w:t xml:space="preserve"> </w:t>
        </w:r>
        <w:r w:rsidR="00A56E08">
          <w:rPr>
            <w:rStyle w:val="Hyperlink"/>
            <w:rFonts w:eastAsia="Times New Roman" w:cs="Arial"/>
            <w:iCs/>
            <w:szCs w:val="24"/>
          </w:rPr>
          <w:t>Кан</w:t>
        </w:r>
        <w:r>
          <w:rPr>
            <w:rStyle w:val="Hyperlink"/>
            <w:rFonts w:eastAsia="Times New Roman" w:cs="Arial"/>
            <w:iCs/>
            <w:szCs w:val="24"/>
          </w:rPr>
          <w:t>т</w:t>
        </w:r>
        <w:r w:rsidR="00A56E08">
          <w:rPr>
            <w:rStyle w:val="Hyperlink"/>
            <w:rFonts w:eastAsia="Times New Roman" w:cs="Arial"/>
            <w:iCs/>
            <w:szCs w:val="24"/>
          </w:rPr>
          <w:t>он</w:t>
        </w:r>
        <w:r>
          <w:rPr>
            <w:rStyle w:val="Hyperlink"/>
            <w:rFonts w:eastAsia="Times New Roman" w:cs="Arial"/>
            <w:iCs/>
            <w:szCs w:val="24"/>
          </w:rPr>
          <w:t>у</w:t>
        </w:r>
        <w:r w:rsidR="00872771" w:rsidRPr="00F6340E">
          <w:rPr>
            <w:rStyle w:val="Hyperlink"/>
            <w:rFonts w:eastAsia="Times New Roman" w:cs="Arial"/>
            <w:iCs/>
            <w:szCs w:val="24"/>
          </w:rPr>
          <w:t xml:space="preserve"> </w:t>
        </w:r>
        <w:r>
          <w:rPr>
            <w:rStyle w:val="Hyperlink"/>
            <w:rFonts w:eastAsia="Times New Roman" w:cs="Arial"/>
            <w:iCs/>
            <w:szCs w:val="24"/>
          </w:rPr>
          <w:t>С</w:t>
        </w:r>
        <w:r w:rsidR="00A56E08">
          <w:rPr>
            <w:rStyle w:val="Hyperlink"/>
            <w:rFonts w:eastAsia="Times New Roman" w:cs="Arial"/>
            <w:iCs/>
            <w:szCs w:val="24"/>
          </w:rPr>
          <w:t>а</w:t>
        </w:r>
        <w:r>
          <w:rPr>
            <w:rStyle w:val="Hyperlink"/>
            <w:rFonts w:eastAsia="Times New Roman" w:cs="Arial"/>
            <w:iCs/>
            <w:szCs w:val="24"/>
          </w:rPr>
          <w:t>р</w:t>
        </w:r>
        <w:r w:rsidR="00A56E08">
          <w:rPr>
            <w:rStyle w:val="Hyperlink"/>
            <w:rFonts w:eastAsia="Times New Roman" w:cs="Arial"/>
            <w:iCs/>
            <w:szCs w:val="24"/>
          </w:rPr>
          <w:t>ај</w:t>
        </w:r>
        <w:r w:rsidR="00EE6AA2">
          <w:rPr>
            <w:rStyle w:val="Hyperlink"/>
            <w:rFonts w:eastAsia="Times New Roman" w:cs="Arial"/>
            <w:iCs/>
            <w:szCs w:val="24"/>
          </w:rPr>
          <w:t>е</w:t>
        </w:r>
        <w:r>
          <w:rPr>
            <w:rStyle w:val="Hyperlink"/>
            <w:rFonts w:eastAsia="Times New Roman" w:cs="Arial"/>
            <w:iCs/>
            <w:szCs w:val="24"/>
          </w:rPr>
          <w:t>в</w:t>
        </w:r>
        <w:r w:rsidR="00A56E08">
          <w:rPr>
            <w:rStyle w:val="Hyperlink"/>
            <w:rFonts w:eastAsia="Times New Roman" w:cs="Arial"/>
            <w:iCs/>
            <w:szCs w:val="24"/>
          </w:rPr>
          <w:t>о</w:t>
        </w:r>
        <w:r w:rsidR="00872771" w:rsidRPr="00F6340E">
          <w:rPr>
            <w:rStyle w:val="Hyperlink"/>
            <w:rFonts w:eastAsia="Times New Roman" w:cs="Arial"/>
            <w:iCs/>
            <w:szCs w:val="24"/>
          </w:rPr>
          <w:t xml:space="preserve"> </w:t>
        </w:r>
        <w:r>
          <w:rPr>
            <w:rStyle w:val="Hyperlink"/>
            <w:rFonts w:eastAsia="Times New Roman" w:cs="Arial"/>
            <w:iCs/>
            <w:szCs w:val="24"/>
          </w:rPr>
          <w:t>с</w:t>
        </w:r>
        <w:r w:rsidR="00A56E08">
          <w:rPr>
            <w:rStyle w:val="Hyperlink"/>
            <w:rFonts w:eastAsia="Times New Roman" w:cs="Arial"/>
            <w:iCs/>
            <w:szCs w:val="24"/>
          </w:rPr>
          <w:t>а</w:t>
        </w:r>
        <w:r w:rsidR="00872771" w:rsidRPr="00F6340E">
          <w:rPr>
            <w:rStyle w:val="Hyperlink"/>
            <w:rFonts w:eastAsia="Times New Roman" w:cs="Arial"/>
            <w:iCs/>
            <w:szCs w:val="24"/>
          </w:rPr>
          <w:t xml:space="preserve"> </w:t>
        </w:r>
        <w:r>
          <w:rPr>
            <w:rStyle w:val="Hyperlink"/>
            <w:rFonts w:eastAsia="Times New Roman" w:cs="Arial"/>
            <w:iCs/>
            <w:szCs w:val="24"/>
          </w:rPr>
          <w:t>с</w:t>
        </w:r>
        <w:r w:rsidR="00A56E08">
          <w:rPr>
            <w:rStyle w:val="Hyperlink"/>
            <w:rFonts w:eastAsia="Times New Roman" w:cs="Arial"/>
            <w:iCs/>
            <w:szCs w:val="24"/>
          </w:rPr>
          <w:t>мј</w:t>
        </w:r>
        <w:r w:rsidR="00EE6AA2">
          <w:rPr>
            <w:rStyle w:val="Hyperlink"/>
            <w:rFonts w:eastAsia="Times New Roman" w:cs="Arial"/>
            <w:iCs/>
            <w:szCs w:val="24"/>
          </w:rPr>
          <w:t>е</w:t>
        </w:r>
        <w:r>
          <w:rPr>
            <w:rStyle w:val="Hyperlink"/>
            <w:rFonts w:eastAsia="Times New Roman" w:cs="Arial"/>
            <w:iCs/>
            <w:szCs w:val="24"/>
          </w:rPr>
          <w:t>р</w:t>
        </w:r>
        <w:r w:rsidR="00A56E08">
          <w:rPr>
            <w:rStyle w:val="Hyperlink"/>
            <w:rFonts w:eastAsia="Times New Roman" w:cs="Arial"/>
            <w:iCs/>
            <w:szCs w:val="24"/>
          </w:rPr>
          <w:t>ницама</w:t>
        </w:r>
        <w:r w:rsidR="00872771" w:rsidRPr="00F6340E">
          <w:rPr>
            <w:rStyle w:val="Hyperlink"/>
            <w:rFonts w:eastAsia="Times New Roman" w:cs="Arial"/>
            <w:iCs/>
            <w:szCs w:val="24"/>
          </w:rPr>
          <w:t xml:space="preserve"> </w:t>
        </w:r>
        <w:r w:rsidR="00171F00">
          <w:rPr>
            <w:rStyle w:val="Hyperlink"/>
            <w:rFonts w:eastAsia="Times New Roman" w:cs="Arial"/>
            <w:iCs/>
            <w:szCs w:val="24"/>
          </w:rPr>
          <w:t>з</w:t>
        </w:r>
        <w:r w:rsidR="00A56E08">
          <w:rPr>
            <w:rStyle w:val="Hyperlink"/>
            <w:rFonts w:eastAsia="Times New Roman" w:cs="Arial"/>
            <w:iCs/>
            <w:szCs w:val="24"/>
          </w:rPr>
          <w:t>а</w:t>
        </w:r>
        <w:r w:rsidR="00872771" w:rsidRPr="00F6340E">
          <w:rPr>
            <w:rStyle w:val="Hyperlink"/>
            <w:rFonts w:eastAsia="Times New Roman" w:cs="Arial"/>
            <w:iCs/>
            <w:szCs w:val="24"/>
          </w:rPr>
          <w:t xml:space="preserve"> </w:t>
        </w:r>
        <w:r w:rsidR="00A56E08">
          <w:rPr>
            <w:rStyle w:val="Hyperlink"/>
            <w:rFonts w:eastAsia="Times New Roman" w:cs="Arial"/>
            <w:iCs/>
            <w:szCs w:val="24"/>
          </w:rPr>
          <w:t>и</w:t>
        </w:r>
        <w:r w:rsidR="00171F00">
          <w:rPr>
            <w:rStyle w:val="Hyperlink"/>
            <w:rFonts w:eastAsia="Times New Roman" w:cs="Arial"/>
            <w:iCs/>
            <w:szCs w:val="24"/>
          </w:rPr>
          <w:t>з</w:t>
        </w:r>
        <w:r>
          <w:rPr>
            <w:rStyle w:val="Hyperlink"/>
            <w:rFonts w:eastAsia="Times New Roman" w:cs="Arial"/>
            <w:iCs/>
            <w:szCs w:val="24"/>
          </w:rPr>
          <w:t>р</w:t>
        </w:r>
        <w:r w:rsidR="00A56E08">
          <w:rPr>
            <w:rStyle w:val="Hyperlink"/>
            <w:rFonts w:eastAsia="Times New Roman" w:cs="Arial"/>
            <w:iCs/>
            <w:szCs w:val="24"/>
          </w:rPr>
          <w:t>ад</w:t>
        </w:r>
        <w:r>
          <w:rPr>
            <w:rStyle w:val="Hyperlink"/>
            <w:rFonts w:eastAsia="Times New Roman" w:cs="Arial"/>
            <w:iCs/>
            <w:szCs w:val="24"/>
          </w:rPr>
          <w:t>у</w:t>
        </w:r>
        <w:r w:rsidR="00872771" w:rsidRPr="00F6340E">
          <w:rPr>
            <w:rStyle w:val="Hyperlink"/>
            <w:rFonts w:eastAsia="Times New Roman" w:cs="Arial"/>
            <w:iCs/>
            <w:szCs w:val="24"/>
          </w:rPr>
          <w:t xml:space="preserve"> </w:t>
        </w:r>
        <w:r w:rsidR="00A56E08">
          <w:rPr>
            <w:rStyle w:val="Hyperlink"/>
            <w:rFonts w:eastAsia="Times New Roman" w:cs="Arial"/>
            <w:iCs/>
            <w:szCs w:val="24"/>
          </w:rPr>
          <w:t>диги</w:t>
        </w:r>
        <w:r>
          <w:rPr>
            <w:rStyle w:val="Hyperlink"/>
            <w:rFonts w:eastAsia="Times New Roman" w:cs="Arial"/>
            <w:iCs/>
            <w:szCs w:val="24"/>
          </w:rPr>
          <w:t>т</w:t>
        </w:r>
        <w:r w:rsidR="00A56E08">
          <w:rPr>
            <w:rStyle w:val="Hyperlink"/>
            <w:rFonts w:eastAsia="Times New Roman" w:cs="Arial"/>
            <w:iCs/>
            <w:szCs w:val="24"/>
          </w:rPr>
          <w:t>алног</w:t>
        </w:r>
        <w:r w:rsidR="00872771" w:rsidRPr="00F6340E">
          <w:rPr>
            <w:rStyle w:val="Hyperlink"/>
            <w:rFonts w:eastAsia="Times New Roman" w:cs="Arial"/>
            <w:iCs/>
            <w:szCs w:val="24"/>
          </w:rPr>
          <w:t xml:space="preserve"> </w:t>
        </w:r>
        <w:r w:rsidR="00A56E08">
          <w:rPr>
            <w:rStyle w:val="Hyperlink"/>
            <w:rFonts w:eastAsia="Times New Roman" w:cs="Arial"/>
            <w:iCs/>
            <w:szCs w:val="24"/>
          </w:rPr>
          <w:t>об</w:t>
        </w:r>
        <w:r>
          <w:rPr>
            <w:rStyle w:val="Hyperlink"/>
            <w:rFonts w:eastAsia="Times New Roman" w:cs="Arial"/>
            <w:iCs/>
            <w:szCs w:val="24"/>
          </w:rPr>
          <w:t>р</w:t>
        </w:r>
        <w:r w:rsidR="00A56E08">
          <w:rPr>
            <w:rStyle w:val="Hyperlink"/>
            <w:rFonts w:eastAsia="Times New Roman" w:cs="Arial"/>
            <w:iCs/>
            <w:szCs w:val="24"/>
          </w:rPr>
          <w:t>а</w:t>
        </w:r>
        <w:r w:rsidR="00171F00">
          <w:rPr>
            <w:rStyle w:val="Hyperlink"/>
            <w:rFonts w:eastAsia="Times New Roman" w:cs="Arial"/>
            <w:iCs/>
            <w:szCs w:val="24"/>
          </w:rPr>
          <w:t>з</w:t>
        </w:r>
        <w:r w:rsidR="00A56E08">
          <w:rPr>
            <w:rStyle w:val="Hyperlink"/>
            <w:rFonts w:eastAsia="Times New Roman" w:cs="Arial"/>
            <w:iCs/>
            <w:szCs w:val="24"/>
          </w:rPr>
          <w:t>о</w:t>
        </w:r>
        <w:r>
          <w:rPr>
            <w:rStyle w:val="Hyperlink"/>
            <w:rFonts w:eastAsia="Times New Roman" w:cs="Arial"/>
            <w:iCs/>
            <w:szCs w:val="24"/>
          </w:rPr>
          <w:t>в</w:t>
        </w:r>
        <w:r w:rsidR="00A56E08">
          <w:rPr>
            <w:rStyle w:val="Hyperlink"/>
            <w:rFonts w:eastAsia="Times New Roman" w:cs="Arial"/>
            <w:iCs/>
            <w:szCs w:val="24"/>
          </w:rPr>
          <w:t>ног</w:t>
        </w:r>
        <w:r w:rsidR="00872771" w:rsidRPr="00F6340E">
          <w:rPr>
            <w:rStyle w:val="Hyperlink"/>
            <w:rFonts w:eastAsia="Times New Roman" w:cs="Arial"/>
            <w:iCs/>
            <w:szCs w:val="24"/>
          </w:rPr>
          <w:t xml:space="preserve"> </w:t>
        </w:r>
        <w:r>
          <w:rPr>
            <w:rStyle w:val="Hyperlink"/>
            <w:rFonts w:eastAsia="Times New Roman" w:cs="Arial"/>
            <w:iCs/>
            <w:szCs w:val="24"/>
          </w:rPr>
          <w:t>с</w:t>
        </w:r>
        <w:r w:rsidR="00A56E08">
          <w:rPr>
            <w:rStyle w:val="Hyperlink"/>
            <w:rFonts w:eastAsia="Times New Roman" w:cs="Arial"/>
            <w:iCs/>
            <w:szCs w:val="24"/>
          </w:rPr>
          <w:t>ад</w:t>
        </w:r>
        <w:r>
          <w:rPr>
            <w:rStyle w:val="Hyperlink"/>
            <w:rFonts w:eastAsia="Times New Roman" w:cs="Arial"/>
            <w:iCs/>
            <w:szCs w:val="24"/>
          </w:rPr>
          <w:t>р</w:t>
        </w:r>
        <w:r w:rsidR="00171F00">
          <w:rPr>
            <w:rStyle w:val="Hyperlink"/>
            <w:rFonts w:eastAsia="Times New Roman" w:cs="Arial"/>
            <w:iCs/>
            <w:szCs w:val="24"/>
          </w:rPr>
          <w:t>ж</w:t>
        </w:r>
        <w:r w:rsidR="00A56E08">
          <w:rPr>
            <w:rStyle w:val="Hyperlink"/>
            <w:rFonts w:eastAsia="Times New Roman" w:cs="Arial"/>
            <w:iCs/>
            <w:szCs w:val="24"/>
          </w:rPr>
          <w:t>аја</w:t>
        </w:r>
        <w:r w:rsidR="00872771" w:rsidRPr="00F6340E">
          <w:rPr>
            <w:rStyle w:val="Hyperlink"/>
            <w:rFonts w:eastAsia="Times New Roman" w:cs="Arial"/>
            <w:iCs/>
            <w:szCs w:val="24"/>
          </w:rPr>
          <w:t xml:space="preserve"> </w:t>
        </w:r>
        <w:r w:rsidR="00A56E08">
          <w:rPr>
            <w:rStyle w:val="Hyperlink"/>
            <w:rFonts w:eastAsia="Times New Roman" w:cs="Arial"/>
            <w:iCs/>
            <w:szCs w:val="24"/>
          </w:rPr>
          <w:t>и</w:t>
        </w:r>
        <w:r w:rsidR="00872771" w:rsidRPr="00F6340E">
          <w:rPr>
            <w:rStyle w:val="Hyperlink"/>
            <w:rFonts w:eastAsia="Times New Roman" w:cs="Arial"/>
            <w:iCs/>
            <w:szCs w:val="24"/>
          </w:rPr>
          <w:t xml:space="preserve"> </w:t>
        </w:r>
        <w:r>
          <w:rPr>
            <w:rStyle w:val="Hyperlink"/>
            <w:rFonts w:eastAsia="Times New Roman" w:cs="Arial"/>
            <w:iCs/>
            <w:szCs w:val="24"/>
          </w:rPr>
          <w:t>пр</w:t>
        </w:r>
        <w:r w:rsidR="00A56E08">
          <w:rPr>
            <w:rStyle w:val="Hyperlink"/>
            <w:rFonts w:eastAsia="Times New Roman" w:cs="Arial"/>
            <w:iCs/>
            <w:szCs w:val="24"/>
          </w:rPr>
          <w:t>аћ</w:t>
        </w:r>
        <w:r w:rsidR="00EE6AA2">
          <w:rPr>
            <w:rStyle w:val="Hyperlink"/>
            <w:rFonts w:eastAsia="Times New Roman" w:cs="Arial"/>
            <w:iCs/>
            <w:szCs w:val="24"/>
          </w:rPr>
          <w:t>е</w:t>
        </w:r>
        <w:r w:rsidR="00A56E08">
          <w:rPr>
            <w:rStyle w:val="Hyperlink"/>
            <w:rFonts w:eastAsia="Times New Roman" w:cs="Arial"/>
            <w:iCs/>
            <w:szCs w:val="24"/>
          </w:rPr>
          <w:t>њ</w:t>
        </w:r>
        <w:r w:rsidR="00EE6AA2">
          <w:rPr>
            <w:rStyle w:val="Hyperlink"/>
            <w:rFonts w:eastAsia="Times New Roman" w:cs="Arial"/>
            <w:iCs/>
            <w:szCs w:val="24"/>
          </w:rPr>
          <w:t>е</w:t>
        </w:r>
        <w:r w:rsidR="00872771" w:rsidRPr="00F6340E">
          <w:rPr>
            <w:rStyle w:val="Hyperlink"/>
            <w:rFonts w:eastAsia="Times New Roman" w:cs="Arial"/>
            <w:iCs/>
            <w:szCs w:val="24"/>
          </w:rPr>
          <w:t xml:space="preserve">, </w:t>
        </w:r>
        <w:r>
          <w:rPr>
            <w:rStyle w:val="Hyperlink"/>
            <w:rFonts w:eastAsia="Times New Roman" w:cs="Arial"/>
            <w:iCs/>
            <w:szCs w:val="24"/>
          </w:rPr>
          <w:t>вр</w:t>
        </w:r>
        <w:r w:rsidR="00EE6AA2">
          <w:rPr>
            <w:rStyle w:val="Hyperlink"/>
            <w:rFonts w:eastAsia="Times New Roman" w:cs="Arial"/>
            <w:iCs/>
            <w:szCs w:val="24"/>
          </w:rPr>
          <w:t>е</w:t>
        </w:r>
        <w:r w:rsidR="00A56E08">
          <w:rPr>
            <w:rStyle w:val="Hyperlink"/>
            <w:rFonts w:eastAsia="Times New Roman" w:cs="Arial"/>
            <w:iCs/>
            <w:szCs w:val="24"/>
          </w:rPr>
          <w:t>дно</w:t>
        </w:r>
        <w:r>
          <w:rPr>
            <w:rStyle w:val="Hyperlink"/>
            <w:rFonts w:eastAsia="Times New Roman" w:cs="Arial"/>
            <w:iCs/>
            <w:szCs w:val="24"/>
          </w:rPr>
          <w:t>в</w:t>
        </w:r>
        <w:r w:rsidR="00A56E08">
          <w:rPr>
            <w:rStyle w:val="Hyperlink"/>
            <w:rFonts w:eastAsia="Times New Roman" w:cs="Arial"/>
            <w:iCs/>
            <w:szCs w:val="24"/>
          </w:rPr>
          <w:t>ањ</w:t>
        </w:r>
        <w:r w:rsidR="00EE6AA2">
          <w:rPr>
            <w:rStyle w:val="Hyperlink"/>
            <w:rFonts w:eastAsia="Times New Roman" w:cs="Arial"/>
            <w:iCs/>
            <w:szCs w:val="24"/>
          </w:rPr>
          <w:t>е</w:t>
        </w:r>
        <w:r w:rsidR="00872771" w:rsidRPr="00F6340E">
          <w:rPr>
            <w:rStyle w:val="Hyperlink"/>
            <w:rFonts w:eastAsia="Times New Roman" w:cs="Arial"/>
            <w:iCs/>
            <w:szCs w:val="24"/>
          </w:rPr>
          <w:t xml:space="preserve"> </w:t>
        </w:r>
        <w:r w:rsidR="00A56E08">
          <w:rPr>
            <w:rStyle w:val="Hyperlink"/>
            <w:rFonts w:eastAsia="Times New Roman" w:cs="Arial"/>
            <w:iCs/>
            <w:szCs w:val="24"/>
          </w:rPr>
          <w:t>и</w:t>
        </w:r>
        <w:r w:rsidR="00872771" w:rsidRPr="00F6340E">
          <w:rPr>
            <w:rStyle w:val="Hyperlink"/>
            <w:rFonts w:eastAsia="Times New Roman" w:cs="Arial"/>
            <w:iCs/>
            <w:szCs w:val="24"/>
          </w:rPr>
          <w:t xml:space="preserve"> </w:t>
        </w:r>
        <w:r w:rsidR="00A56E08">
          <w:rPr>
            <w:rStyle w:val="Hyperlink"/>
            <w:rFonts w:eastAsia="Times New Roman" w:cs="Arial"/>
            <w:iCs/>
            <w:szCs w:val="24"/>
          </w:rPr>
          <w:t>оцј</w:t>
        </w:r>
        <w:r w:rsidR="00EE6AA2">
          <w:rPr>
            <w:rStyle w:val="Hyperlink"/>
            <w:rFonts w:eastAsia="Times New Roman" w:cs="Arial"/>
            <w:iCs/>
            <w:szCs w:val="24"/>
          </w:rPr>
          <w:t>е</w:t>
        </w:r>
        <w:r w:rsidR="00A56E08">
          <w:rPr>
            <w:rStyle w:val="Hyperlink"/>
            <w:rFonts w:eastAsia="Times New Roman" w:cs="Arial"/>
            <w:iCs/>
            <w:szCs w:val="24"/>
          </w:rPr>
          <w:t>њи</w:t>
        </w:r>
        <w:r>
          <w:rPr>
            <w:rStyle w:val="Hyperlink"/>
            <w:rFonts w:eastAsia="Times New Roman" w:cs="Arial"/>
            <w:iCs/>
            <w:szCs w:val="24"/>
          </w:rPr>
          <w:t>в</w:t>
        </w:r>
        <w:r w:rsidR="00A56E08">
          <w:rPr>
            <w:rStyle w:val="Hyperlink"/>
            <w:rFonts w:eastAsia="Times New Roman" w:cs="Arial"/>
            <w:iCs/>
            <w:szCs w:val="24"/>
          </w:rPr>
          <w:t>ања</w:t>
        </w:r>
        <w:r w:rsidR="00872771" w:rsidRPr="00F6340E">
          <w:rPr>
            <w:rStyle w:val="Hyperlink"/>
            <w:rFonts w:eastAsia="Times New Roman" w:cs="Arial"/>
            <w:iCs/>
            <w:szCs w:val="24"/>
          </w:rPr>
          <w:t xml:space="preserve"> </w:t>
        </w:r>
        <w:r>
          <w:rPr>
            <w:rStyle w:val="Hyperlink"/>
            <w:rFonts w:eastAsia="Times New Roman" w:cs="Arial"/>
            <w:iCs/>
            <w:szCs w:val="24"/>
          </w:rPr>
          <w:t>у</w:t>
        </w:r>
        <w:r w:rsidR="00A56E08">
          <w:rPr>
            <w:rStyle w:val="Hyperlink"/>
            <w:rFonts w:eastAsia="Times New Roman" w:cs="Arial"/>
            <w:iCs/>
            <w:szCs w:val="24"/>
          </w:rPr>
          <w:t>ч</w:t>
        </w:r>
        <w:r w:rsidR="00EE6AA2">
          <w:rPr>
            <w:rStyle w:val="Hyperlink"/>
            <w:rFonts w:eastAsia="Times New Roman" w:cs="Arial"/>
            <w:iCs/>
            <w:szCs w:val="24"/>
          </w:rPr>
          <w:t>е</w:t>
        </w:r>
        <w:r w:rsidR="00A56E08">
          <w:rPr>
            <w:rStyle w:val="Hyperlink"/>
            <w:rFonts w:eastAsia="Times New Roman" w:cs="Arial"/>
            <w:iCs/>
            <w:szCs w:val="24"/>
          </w:rPr>
          <w:t>ника</w:t>
        </w:r>
        <w:r w:rsidR="00872771" w:rsidRPr="00F6340E">
          <w:rPr>
            <w:rStyle w:val="Hyperlink"/>
            <w:rFonts w:eastAsia="Times New Roman" w:cs="Arial"/>
            <w:iCs/>
            <w:szCs w:val="24"/>
          </w:rPr>
          <w:t>/</w:t>
        </w:r>
        <w:r w:rsidR="00A56E08">
          <w:rPr>
            <w:rStyle w:val="Hyperlink"/>
            <w:rFonts w:eastAsia="Times New Roman" w:cs="Arial"/>
            <w:iCs/>
            <w:szCs w:val="24"/>
          </w:rPr>
          <w:t>ца</w:t>
        </w:r>
        <w:r w:rsidR="00872771" w:rsidRPr="00F6340E">
          <w:rPr>
            <w:rStyle w:val="Hyperlink"/>
            <w:rFonts w:eastAsia="Times New Roman" w:cs="Arial"/>
            <w:iCs/>
            <w:szCs w:val="24"/>
          </w:rPr>
          <w:t xml:space="preserve"> (2020)</w:t>
        </w:r>
      </w:hyperlink>
      <w:r w:rsidR="00E87D40" w:rsidRPr="00F6340E">
        <w:rPr>
          <w:rStyle w:val="Strong"/>
          <w:rFonts w:eastAsia="Times New Roman" w:cs="Arial"/>
          <w:b w:val="0"/>
          <w:iCs/>
          <w:color w:val="000000" w:themeColor="text1"/>
          <w:szCs w:val="24"/>
        </w:rPr>
        <w:t>.</w:t>
      </w:r>
    </w:p>
    <w:p w14:paraId="25CFCCA0" w14:textId="2C94970F" w:rsidR="00632234" w:rsidRPr="00210EE1" w:rsidRDefault="0071360A" w:rsidP="00210EE1">
      <w:pPr>
        <w:pStyle w:val="Body"/>
        <w:rPr>
          <w:rFonts w:cs="Arial"/>
          <w:szCs w:val="24"/>
        </w:rPr>
      </w:pP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ак</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w:t>
      </w:r>
      <w:r w:rsidR="00E979C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аћ</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ња</w:t>
      </w:r>
      <w:r w:rsidR="00E979C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вр</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дно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оцј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њи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E979C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игн</w:t>
      </w:r>
      <w:r>
        <w:rPr>
          <w:rStyle w:val="Strong"/>
          <w:rFonts w:eastAsia="Times New Roman" w:cs="Arial"/>
          <w:b w:val="0"/>
          <w:iCs/>
          <w:color w:val="000000" w:themeColor="text1"/>
          <w:szCs w:val="24"/>
        </w:rPr>
        <w:t>у</w:t>
      </w:r>
      <w:r w:rsidR="00A56E08">
        <w:rPr>
          <w:rStyle w:val="Strong"/>
          <w:rFonts w:eastAsia="Times New Roman" w:cs="Arial"/>
          <w:b w:val="0"/>
          <w:iCs/>
          <w:color w:val="000000" w:themeColor="text1"/>
          <w:szCs w:val="24"/>
        </w:rPr>
        <w:t>ћа</w:t>
      </w:r>
      <w:r w:rsidR="00E979C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сту</w:t>
      </w:r>
      <w:r w:rsidR="00A56E08">
        <w:rPr>
          <w:rStyle w:val="Strong"/>
          <w:rFonts w:eastAsia="Times New Roman" w:cs="Arial"/>
          <w:b w:val="0"/>
          <w:iCs/>
          <w:color w:val="000000" w:themeColor="text1"/>
          <w:szCs w:val="24"/>
        </w:rPr>
        <w:t>д</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а</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w:t>
      </w:r>
      <w:r w:rsidR="00E979C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око</w:t>
      </w:r>
      <w:r>
        <w:rPr>
          <w:rStyle w:val="Strong"/>
          <w:rFonts w:eastAsia="Times New Roman" w:cs="Arial"/>
          <w:b w:val="0"/>
          <w:iCs/>
          <w:color w:val="000000" w:themeColor="text1"/>
          <w:szCs w:val="24"/>
        </w:rPr>
        <w:t>ш</w:t>
      </w:r>
      <w:r w:rsidR="00A56E08">
        <w:rPr>
          <w:rStyle w:val="Strong"/>
          <w:rFonts w:eastAsia="Times New Roman" w:cs="Arial"/>
          <w:b w:val="0"/>
          <w:iCs/>
          <w:color w:val="000000" w:themeColor="text1"/>
          <w:szCs w:val="24"/>
        </w:rPr>
        <w:t>кол</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ким</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ин</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ту</w:t>
      </w:r>
      <w:r w:rsidR="00A56E08">
        <w:rPr>
          <w:rStyle w:val="Strong"/>
          <w:rFonts w:eastAsia="Times New Roman" w:cs="Arial"/>
          <w:b w:val="0"/>
          <w:iCs/>
          <w:color w:val="000000" w:themeColor="text1"/>
          <w:szCs w:val="24"/>
        </w:rPr>
        <w:t>цијама</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д</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фини</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ана</w:t>
      </w:r>
      <w:r w:rsidR="00E979C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ј</w:t>
      </w:r>
      <w:r w:rsidR="00EE6AA2">
        <w:rPr>
          <w:rStyle w:val="Strong"/>
          <w:rFonts w:eastAsia="Times New Roman" w:cs="Arial"/>
          <w:b w:val="0"/>
          <w:iCs/>
          <w:color w:val="000000" w:themeColor="text1"/>
          <w:szCs w:val="24"/>
        </w:rPr>
        <w:t>е</w:t>
      </w:r>
      <w:r w:rsidR="00E979CB" w:rsidRPr="00F6340E">
        <w:rPr>
          <w:rStyle w:val="Strong"/>
          <w:rFonts w:eastAsia="Times New Roman" w:cs="Arial"/>
          <w:b w:val="0"/>
          <w:iCs/>
          <w:color w:val="000000" w:themeColor="text1"/>
          <w:szCs w:val="24"/>
        </w:rPr>
        <w:t xml:space="preserve"> </w:t>
      </w:r>
      <w:r w:rsidR="00171F00">
        <w:rPr>
          <w:rStyle w:val="Strong"/>
          <w:rFonts w:eastAsia="Times New Roman" w:cs="Arial"/>
          <w:b w:val="0"/>
          <w:iCs/>
          <w:color w:val="000000" w:themeColor="text1"/>
          <w:szCs w:val="24"/>
        </w:rPr>
        <w:t>з</w:t>
      </w:r>
      <w:r w:rsidR="00A56E08">
        <w:rPr>
          <w:rStyle w:val="Strong"/>
          <w:rFonts w:eastAsia="Times New Roman" w:cs="Arial"/>
          <w:b w:val="0"/>
          <w:iCs/>
          <w:color w:val="000000" w:themeColor="text1"/>
          <w:szCs w:val="24"/>
        </w:rPr>
        <w:t>аконима</w:t>
      </w:r>
      <w:r w:rsidR="00647C3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w:t>
      </w:r>
      <w:r w:rsidR="00647C3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у</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админи</w:t>
      </w:r>
      <w:r>
        <w:rPr>
          <w:rStyle w:val="Strong"/>
          <w:rFonts w:eastAsia="Times New Roman" w:cs="Arial"/>
          <w:b w:val="0"/>
          <w:iCs/>
          <w:color w:val="000000" w:themeColor="text1"/>
          <w:szCs w:val="24"/>
        </w:rPr>
        <w:t>стр</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них</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диница</w:t>
      </w:r>
      <w:r w:rsidR="004E048C" w:rsidRPr="00F6340E">
        <w:rPr>
          <w:rStyle w:val="Strong"/>
          <w:rFonts w:eastAsia="Times New Roman" w:cs="Arial"/>
          <w:b w:val="0"/>
          <w:iCs/>
          <w:color w:val="000000" w:themeColor="text1"/>
          <w:szCs w:val="24"/>
        </w:rPr>
        <w:t>.</w:t>
      </w:r>
      <w:r w:rsidR="00B04FA8">
        <w:rPr>
          <w:rStyle w:val="Strong"/>
          <w:rFonts w:eastAsia="Times New Roman" w:cs="Arial"/>
          <w:b w:val="0"/>
          <w:iCs/>
          <w:color w:val="000000" w:themeColor="text1"/>
          <w:szCs w:val="24"/>
        </w:rPr>
        <w:t xml:space="preserve"> С </w:t>
      </w:r>
      <w:r w:rsidR="00A56E08">
        <w:rPr>
          <w:rStyle w:val="Strong"/>
          <w:rFonts w:eastAsia="Times New Roman" w:cs="Arial"/>
          <w:b w:val="0"/>
          <w:iCs/>
          <w:color w:val="000000" w:themeColor="text1"/>
          <w:szCs w:val="24"/>
        </w:rPr>
        <w:t>об</w:t>
      </w:r>
      <w:r w:rsidR="00171F00">
        <w:rPr>
          <w:rStyle w:val="Strong"/>
          <w:rFonts w:eastAsia="Times New Roman" w:cs="Arial"/>
          <w:b w:val="0"/>
          <w:iCs/>
          <w:color w:val="000000" w:themeColor="text1"/>
          <w:szCs w:val="24"/>
        </w:rPr>
        <w:t>з</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ом</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да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ј</w:t>
      </w:r>
      <w:r w:rsidR="00EE6AA2">
        <w:rPr>
          <w:rStyle w:val="Strong"/>
          <w:rFonts w:eastAsia="Times New Roman" w:cs="Arial"/>
          <w:b w:val="0"/>
          <w:iCs/>
          <w:color w:val="000000" w:themeColor="text1"/>
          <w:szCs w:val="24"/>
        </w:rPr>
        <w:t>е</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Бо</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на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Х</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ц</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го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ина</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тп</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ница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Болоњ</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ког</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оц</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као</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ак</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диј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лом</w:t>
      </w:r>
      <w:r w:rsidR="004E048C" w:rsidRPr="00F6340E">
        <w:rPr>
          <w:rStyle w:val="Strong"/>
          <w:rFonts w:eastAsia="Times New Roman" w:cs="Arial"/>
          <w:b w:val="0"/>
          <w:iCs/>
          <w:color w:val="000000" w:themeColor="text1"/>
          <w:szCs w:val="24"/>
        </w:rPr>
        <w:t xml:space="preserve"> </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вр</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пс</w:t>
      </w:r>
      <w:r w:rsidR="00A56E08">
        <w:rPr>
          <w:rStyle w:val="Strong"/>
          <w:rFonts w:eastAsia="Times New Roman" w:cs="Arial"/>
          <w:b w:val="0"/>
          <w:iCs/>
          <w:color w:val="000000" w:themeColor="text1"/>
          <w:szCs w:val="24"/>
        </w:rPr>
        <w:t>ког</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оког</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об</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а</w:t>
      </w:r>
      <w:r w:rsidR="00171F00">
        <w:rPr>
          <w:rStyle w:val="Strong"/>
          <w:rFonts w:eastAsia="Times New Roman" w:cs="Arial"/>
          <w:b w:val="0"/>
          <w:iCs/>
          <w:color w:val="000000" w:themeColor="text1"/>
          <w:szCs w:val="24"/>
        </w:rPr>
        <w:t>з</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ступ</w:t>
      </w:r>
      <w:r w:rsidR="00A56E08">
        <w:rPr>
          <w:rStyle w:val="Strong"/>
          <w:rFonts w:eastAsia="Times New Roman" w:cs="Arial"/>
          <w:b w:val="0"/>
          <w:iCs/>
          <w:color w:val="000000" w:themeColor="text1"/>
          <w:szCs w:val="24"/>
        </w:rPr>
        <w:t>ак</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ј</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р</w:t>
      </w:r>
      <w:r w:rsidR="00EE6AA2">
        <w:rPr>
          <w:rStyle w:val="Strong"/>
          <w:rFonts w:eastAsia="Times New Roman" w:cs="Arial"/>
          <w:b w:val="0"/>
          <w:iCs/>
          <w:color w:val="000000" w:themeColor="text1"/>
          <w:szCs w:val="24"/>
        </w:rPr>
        <w:t>е</w:t>
      </w:r>
      <w:r w:rsidR="004E048C" w:rsidRPr="00F6340E">
        <w:rPr>
          <w:rStyle w:val="Strong"/>
          <w:rFonts w:eastAsia="Times New Roman" w:cs="Arial"/>
          <w:b w:val="0"/>
          <w:iCs/>
          <w:color w:val="000000" w:themeColor="text1"/>
          <w:szCs w:val="24"/>
        </w:rPr>
        <w:t xml:space="preserve"> </w:t>
      </w:r>
      <w:r w:rsidR="00171F00">
        <w:rPr>
          <w:rStyle w:val="Strong"/>
          <w:rFonts w:eastAsia="Times New Roman" w:cs="Arial"/>
          <w:b w:val="0"/>
          <w:iCs/>
          <w:color w:val="000000" w:themeColor="text1"/>
          <w:szCs w:val="24"/>
        </w:rPr>
        <w:t>з</w:t>
      </w:r>
      <w:r w:rsidR="00A56E08">
        <w:rPr>
          <w:rStyle w:val="Strong"/>
          <w:rFonts w:eastAsia="Times New Roman" w:cs="Arial"/>
          <w:b w:val="0"/>
          <w:iCs/>
          <w:color w:val="000000" w:themeColor="text1"/>
          <w:szCs w:val="24"/>
        </w:rPr>
        <w:t>нања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оцј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њи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5E58A3"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у</w:t>
      </w:r>
      <w:r w:rsidR="008D56DB"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иј</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ком</w:t>
      </w:r>
      <w:r w:rsidR="00EE6127"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но</w:t>
      </w:r>
      <w:r>
        <w:rPr>
          <w:rStyle w:val="Strong"/>
          <w:rFonts w:eastAsia="Times New Roman" w:cs="Arial"/>
          <w:b w:val="0"/>
          <w:iCs/>
          <w:color w:val="000000" w:themeColor="text1"/>
          <w:szCs w:val="24"/>
        </w:rPr>
        <w:t>ву</w:t>
      </w:r>
      <w:r w:rsidR="008D56DB"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ј</w:t>
      </w:r>
      <w:r w:rsidR="00EE6AA2">
        <w:rPr>
          <w:rStyle w:val="Strong"/>
          <w:rFonts w:eastAsia="Times New Roman" w:cs="Arial"/>
          <w:b w:val="0"/>
          <w:iCs/>
          <w:color w:val="000000" w:themeColor="text1"/>
          <w:szCs w:val="24"/>
        </w:rPr>
        <w:t>е</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ус</w:t>
      </w:r>
      <w:r w:rsidR="00A56E08">
        <w:rPr>
          <w:rStyle w:val="Strong"/>
          <w:rFonts w:eastAsia="Times New Roman" w:cs="Arial"/>
          <w:b w:val="0"/>
          <w:iCs/>
          <w:color w:val="000000" w:themeColor="text1"/>
          <w:szCs w:val="24"/>
        </w:rPr>
        <w:t>агла</w:t>
      </w:r>
      <w:r>
        <w:rPr>
          <w:rStyle w:val="Strong"/>
          <w:rFonts w:eastAsia="Times New Roman" w:cs="Arial"/>
          <w:b w:val="0"/>
          <w:iCs/>
          <w:color w:val="000000" w:themeColor="text1"/>
          <w:szCs w:val="24"/>
        </w:rPr>
        <w:t>ш</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w:t>
      </w:r>
      <w:r w:rsidR="00947928"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болоњ</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ким</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инци</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има</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Наим</w:t>
      </w:r>
      <w:r w:rsidR="00EE6AA2">
        <w:rPr>
          <w:rStyle w:val="Strong"/>
          <w:rFonts w:eastAsia="Times New Roman" w:cs="Arial"/>
          <w:b w:val="0"/>
          <w:iCs/>
          <w:color w:val="000000" w:themeColor="text1"/>
          <w:szCs w:val="24"/>
        </w:rPr>
        <w:t>е</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ади</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EE6AA2">
        <w:rPr>
          <w:rStyle w:val="Strong"/>
          <w:rFonts w:eastAsia="Times New Roman" w:cs="Arial"/>
          <w:b w:val="0"/>
          <w:iCs/>
          <w:color w:val="000000" w:themeColor="text1"/>
          <w:szCs w:val="24"/>
        </w:rPr>
        <w:t>е</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кон</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ин</w:t>
      </w:r>
      <w:r>
        <w:rPr>
          <w:rStyle w:val="Strong"/>
          <w:rFonts w:eastAsia="Times New Roman" w:cs="Arial"/>
          <w:b w:val="0"/>
          <w:iCs/>
          <w:color w:val="000000" w:themeColor="text1"/>
          <w:szCs w:val="24"/>
        </w:rPr>
        <w:t>у</w:t>
      </w:r>
      <w:r w:rsidR="00A56E08">
        <w:rPr>
          <w:rStyle w:val="Strong"/>
          <w:rFonts w:eastAsia="Times New Roman" w:cs="Arial"/>
          <w:b w:val="0"/>
          <w:iCs/>
          <w:color w:val="000000" w:themeColor="text1"/>
          <w:szCs w:val="24"/>
        </w:rPr>
        <w:t>алном</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додј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љи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w:t>
      </w:r>
      <w:r>
        <w:rPr>
          <w:rStyle w:val="Strong"/>
          <w:rFonts w:eastAsia="Times New Roman" w:cs="Arial"/>
          <w:b w:val="0"/>
          <w:iCs/>
          <w:color w:val="000000" w:themeColor="text1"/>
          <w:szCs w:val="24"/>
        </w:rPr>
        <w:t>у</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бодо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sidR="00171F00">
        <w:rPr>
          <w:rStyle w:val="Strong"/>
          <w:rFonts w:eastAsia="Times New Roman" w:cs="Arial"/>
          <w:b w:val="0"/>
          <w:iCs/>
          <w:color w:val="000000" w:themeColor="text1"/>
          <w:szCs w:val="24"/>
        </w:rPr>
        <w:t>з</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св</w:t>
      </w:r>
      <w:r w:rsidR="00A56E08">
        <w:rPr>
          <w:rStyle w:val="Strong"/>
          <w:rFonts w:eastAsia="Times New Roman" w:cs="Arial"/>
          <w:b w:val="0"/>
          <w:iCs/>
          <w:color w:val="000000" w:themeColor="text1"/>
          <w:szCs w:val="24"/>
        </w:rPr>
        <w:t>аки</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облик</w:t>
      </w:r>
      <w:r w:rsidR="004E048C"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ак</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но</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и</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сту</w:t>
      </w:r>
      <w:r w:rsidR="00A56E08">
        <w:rPr>
          <w:rStyle w:val="Strong"/>
          <w:rFonts w:eastAsia="Times New Roman" w:cs="Arial"/>
          <w:b w:val="0"/>
          <w:iCs/>
          <w:color w:val="000000" w:themeColor="text1"/>
          <w:szCs w:val="24"/>
        </w:rPr>
        <w:t>д</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а</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оком</w:t>
      </w:r>
      <w:r w:rsidR="004E048C"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м</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стр</w:t>
      </w:r>
      <w:r w:rsidR="00A56E08">
        <w:rPr>
          <w:rStyle w:val="Strong"/>
          <w:rFonts w:eastAsia="Times New Roman" w:cs="Arial"/>
          <w:b w:val="0"/>
          <w:iCs/>
          <w:color w:val="000000" w:themeColor="text1"/>
          <w:szCs w:val="24"/>
        </w:rPr>
        <w:t>а</w:t>
      </w:r>
      <w:r w:rsidR="005E58A3"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шт</w:t>
      </w:r>
      <w:r w:rsidR="00A56E08">
        <w:rPr>
          <w:rStyle w:val="Strong"/>
          <w:rFonts w:eastAsia="Times New Roman" w:cs="Arial"/>
          <w:b w:val="0"/>
          <w:iCs/>
          <w:color w:val="000000" w:themeColor="text1"/>
          <w:szCs w:val="24"/>
        </w:rPr>
        <w:t>о</w:t>
      </w:r>
      <w:r w:rsidR="005E58A3"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св</w:t>
      </w:r>
      <w:r w:rsidR="00A56E08">
        <w:rPr>
          <w:rStyle w:val="Strong"/>
          <w:rFonts w:eastAsia="Times New Roman" w:cs="Arial"/>
          <w:b w:val="0"/>
          <w:iCs/>
          <w:color w:val="000000" w:themeColor="text1"/>
          <w:szCs w:val="24"/>
        </w:rPr>
        <w:t>акако</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тп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ља</w:t>
      </w:r>
      <w:r w:rsidR="002051A1" w:rsidRPr="00F6340E">
        <w:rPr>
          <w:rStyle w:val="Strong"/>
          <w:rFonts w:eastAsia="Times New Roman" w:cs="Arial"/>
          <w:b w:val="0"/>
          <w:iCs/>
          <w:color w:val="000000" w:themeColor="text1"/>
          <w:szCs w:val="24"/>
        </w:rPr>
        <w:t xml:space="preserve"> </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л</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м</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w:t>
      </w:r>
      <w:r>
        <w:rPr>
          <w:rStyle w:val="Strong"/>
          <w:rFonts w:eastAsia="Times New Roman" w:cs="Arial"/>
          <w:b w:val="0"/>
          <w:iCs/>
          <w:color w:val="000000" w:themeColor="text1"/>
          <w:szCs w:val="24"/>
        </w:rPr>
        <w:t>т</w:t>
      </w:r>
      <w:r w:rsidR="00EE6AA2">
        <w:rPr>
          <w:rStyle w:val="Strong"/>
          <w:rFonts w:eastAsia="Times New Roman" w:cs="Arial"/>
          <w:b w:val="0"/>
          <w:iCs/>
          <w:color w:val="000000" w:themeColor="text1"/>
          <w:szCs w:val="24"/>
        </w:rPr>
        <w:t>е</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фо</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ма</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ног</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вр</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дно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оком</w:t>
      </w:r>
      <w:r w:rsidR="00CD20C0"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в</w:t>
      </w:r>
      <w:r w:rsidR="00EE6AA2">
        <w:rPr>
          <w:rStyle w:val="Strong"/>
          <w:rFonts w:eastAsia="Times New Roman" w:cs="Arial"/>
          <w:b w:val="0"/>
          <w:iCs/>
          <w:color w:val="000000" w:themeColor="text1"/>
          <w:szCs w:val="24"/>
        </w:rPr>
        <w:t>е</w:t>
      </w:r>
      <w:r w:rsidR="00947928"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пут</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м</w:t>
      </w:r>
      <w:r w:rsidR="00947928"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ин</w:t>
      </w:r>
      <w:r>
        <w:rPr>
          <w:rStyle w:val="Strong"/>
          <w:rFonts w:eastAsia="Times New Roman" w:cs="Arial"/>
          <w:b w:val="0"/>
          <w:iCs/>
          <w:color w:val="000000" w:themeColor="text1"/>
          <w:szCs w:val="24"/>
        </w:rPr>
        <w:t>т</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н</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а</w:t>
      </w:r>
      <w:r w:rsidR="00CD20C0"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CD20C0"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комбино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ан</w:t>
      </w:r>
      <w:r w:rsidR="00EE6AA2">
        <w:rPr>
          <w:rStyle w:val="Strong"/>
          <w:rFonts w:eastAsia="Times New Roman" w:cs="Arial"/>
          <w:b w:val="0"/>
          <w:iCs/>
          <w:color w:val="000000" w:themeColor="text1"/>
          <w:szCs w:val="24"/>
        </w:rPr>
        <w:t>е</w:t>
      </w:r>
      <w:r w:rsidR="00CD20C0"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в</w:t>
      </w:r>
      <w:r w:rsidR="00EE6AA2">
        <w:rPr>
          <w:rStyle w:val="Strong"/>
          <w:rFonts w:eastAsia="Times New Roman" w:cs="Arial"/>
          <w:b w:val="0"/>
          <w:iCs/>
          <w:color w:val="000000" w:themeColor="text1"/>
          <w:szCs w:val="24"/>
        </w:rPr>
        <w:t>е</w:t>
      </w:r>
      <w:r w:rsidR="00CD20C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у</w:t>
      </w:r>
      <w:r w:rsidR="00CD20C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A56E08">
        <w:rPr>
          <w:rStyle w:val="Strong"/>
          <w:rFonts w:eastAsia="Times New Roman" w:cs="Arial"/>
          <w:b w:val="0"/>
          <w:iCs/>
          <w:color w:val="000000" w:themeColor="text1"/>
          <w:szCs w:val="24"/>
        </w:rPr>
        <w:t>и</w:t>
      </w:r>
      <w:r>
        <w:rPr>
          <w:rStyle w:val="Strong"/>
          <w:rFonts w:eastAsia="Times New Roman" w:cs="Arial"/>
          <w:b w:val="0"/>
          <w:iCs/>
          <w:color w:val="000000" w:themeColor="text1"/>
          <w:szCs w:val="24"/>
        </w:rPr>
        <w:t>ту</w:t>
      </w:r>
      <w:r w:rsidR="00A56E08">
        <w:rPr>
          <w:rStyle w:val="Strong"/>
          <w:rFonts w:eastAsia="Times New Roman" w:cs="Arial"/>
          <w:b w:val="0"/>
          <w:iCs/>
          <w:color w:val="000000" w:themeColor="text1"/>
          <w:szCs w:val="24"/>
        </w:rPr>
        <w:t>ацији</w:t>
      </w:r>
      <w:r w:rsidR="00CD20C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у</w:t>
      </w:r>
      <w:r w:rsidR="00171F00">
        <w:rPr>
          <w:rStyle w:val="Strong"/>
          <w:rFonts w:eastAsia="Times New Roman" w:cs="Arial"/>
          <w:b w:val="0"/>
          <w:iCs/>
          <w:color w:val="000000" w:themeColor="text1"/>
          <w:szCs w:val="24"/>
        </w:rPr>
        <w:t>з</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око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аној</w:t>
      </w:r>
      <w:r w:rsidR="00CD20C0"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анд</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мијом</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Цо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ид</w:t>
      </w:r>
      <w:r w:rsidR="002051A1" w:rsidRPr="00F6340E">
        <w:rPr>
          <w:rStyle w:val="Strong"/>
          <w:rFonts w:eastAsia="Times New Roman" w:cs="Arial"/>
          <w:b w:val="0"/>
          <w:iCs/>
          <w:color w:val="000000" w:themeColor="text1"/>
          <w:szCs w:val="24"/>
        </w:rPr>
        <w:t xml:space="preserve"> – 19, </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ници</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сту</w:t>
      </w:r>
      <w:r w:rsidR="00A56E08">
        <w:rPr>
          <w:rStyle w:val="Strong"/>
          <w:rFonts w:eastAsia="Times New Roman" w:cs="Arial"/>
          <w:b w:val="0"/>
          <w:iCs/>
          <w:color w:val="000000" w:themeColor="text1"/>
          <w:szCs w:val="24"/>
        </w:rPr>
        <w:t>д</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и</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су</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w:t>
      </w:r>
      <w:r w:rsidR="00EE6AA2">
        <w:rPr>
          <w:rStyle w:val="Strong"/>
          <w:rFonts w:eastAsia="Times New Roman" w:cs="Arial"/>
          <w:b w:val="0"/>
          <w:iCs/>
          <w:color w:val="000000" w:themeColor="text1"/>
          <w:szCs w:val="24"/>
        </w:rPr>
        <w:t>е</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су</w:t>
      </w:r>
      <w:r w:rsidR="00A56E08">
        <w:rPr>
          <w:rStyle w:val="Strong"/>
          <w:rFonts w:eastAsia="Times New Roman" w:cs="Arial"/>
          <w:b w:val="0"/>
          <w:iCs/>
          <w:color w:val="000000" w:themeColor="text1"/>
          <w:szCs w:val="24"/>
        </w:rPr>
        <w:t>оча</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али</w:t>
      </w:r>
      <w:r w:rsidR="00B04FA8">
        <w:rPr>
          <w:rStyle w:val="Strong"/>
          <w:rFonts w:eastAsia="Times New Roman" w:cs="Arial"/>
          <w:b w:val="0"/>
          <w:iCs/>
          <w:color w:val="000000" w:themeColor="text1"/>
          <w:szCs w:val="24"/>
        </w:rPr>
        <w:t xml:space="preserve"> са </w:t>
      </w:r>
      <w:r w:rsidR="00A56E08">
        <w:rPr>
          <w:rStyle w:val="Strong"/>
          <w:rFonts w:eastAsia="Times New Roman" w:cs="Arial"/>
          <w:b w:val="0"/>
          <w:iCs/>
          <w:color w:val="000000" w:themeColor="text1"/>
          <w:szCs w:val="24"/>
        </w:rPr>
        <w:t>б</w:t>
      </w:r>
      <w:r>
        <w:rPr>
          <w:rStyle w:val="Strong"/>
          <w:rFonts w:eastAsia="Times New Roman" w:cs="Arial"/>
          <w:b w:val="0"/>
          <w:iCs/>
          <w:color w:val="000000" w:themeColor="text1"/>
          <w:szCs w:val="24"/>
        </w:rPr>
        <w:t>р</w:t>
      </w:r>
      <w:r w:rsidR="00A56E08">
        <w:rPr>
          <w:rStyle w:val="Strong"/>
          <w:rFonts w:eastAsia="Times New Roman" w:cs="Arial"/>
          <w:b w:val="0"/>
          <w:iCs/>
          <w:color w:val="000000" w:themeColor="text1"/>
          <w:szCs w:val="24"/>
        </w:rPr>
        <w:t>ојним</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т</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ш</w:t>
      </w:r>
      <w:r w:rsidR="00A56E08">
        <w:rPr>
          <w:rStyle w:val="Strong"/>
          <w:rFonts w:eastAsia="Times New Roman" w:cs="Arial"/>
          <w:b w:val="0"/>
          <w:iCs/>
          <w:color w:val="000000" w:themeColor="text1"/>
          <w:szCs w:val="24"/>
        </w:rPr>
        <w:t>коћама</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и</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у</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оц</w:t>
      </w:r>
      <w:r w:rsidR="00EE6AA2">
        <w:rPr>
          <w:rStyle w:val="Strong"/>
          <w:rFonts w:eastAsia="Times New Roman" w:cs="Arial"/>
          <w:b w:val="0"/>
          <w:iCs/>
          <w:color w:val="000000" w:themeColor="text1"/>
          <w:szCs w:val="24"/>
        </w:rPr>
        <w:t>е</w:t>
      </w:r>
      <w:r>
        <w:rPr>
          <w:rStyle w:val="Strong"/>
          <w:rFonts w:eastAsia="Times New Roman" w:cs="Arial"/>
          <w:b w:val="0"/>
          <w:iCs/>
          <w:color w:val="000000" w:themeColor="text1"/>
          <w:szCs w:val="24"/>
        </w:rPr>
        <w:t>су</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вр</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дно</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ања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о</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игн</w:t>
      </w:r>
      <w:r>
        <w:rPr>
          <w:rStyle w:val="Strong"/>
          <w:rFonts w:eastAsia="Times New Roman" w:cs="Arial"/>
          <w:b w:val="0"/>
          <w:iCs/>
          <w:color w:val="000000" w:themeColor="text1"/>
          <w:szCs w:val="24"/>
        </w:rPr>
        <w:t>у</w:t>
      </w:r>
      <w:r w:rsidR="00A56E08">
        <w:rPr>
          <w:rStyle w:val="Strong"/>
          <w:rFonts w:eastAsia="Times New Roman" w:cs="Arial"/>
          <w:b w:val="0"/>
          <w:iCs/>
          <w:color w:val="000000" w:themeColor="text1"/>
          <w:szCs w:val="24"/>
        </w:rPr>
        <w:t>ћа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w:t>
      </w:r>
      <w:r w:rsidR="00A56E08">
        <w:rPr>
          <w:rStyle w:val="Strong"/>
          <w:rFonts w:eastAsia="Times New Roman" w:cs="Arial"/>
          <w:b w:val="0"/>
          <w:iCs/>
          <w:color w:val="000000" w:themeColor="text1"/>
          <w:szCs w:val="24"/>
        </w:rPr>
        <w:t>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су</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ма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т</w:t>
      </w:r>
      <w:r w:rsidR="00A56E08">
        <w:rPr>
          <w:rStyle w:val="Strong"/>
          <w:rFonts w:eastAsia="Times New Roman" w:cs="Arial"/>
          <w:b w:val="0"/>
          <w:iCs/>
          <w:color w:val="000000" w:themeColor="text1"/>
          <w:szCs w:val="24"/>
        </w:rPr>
        <w:t>ом</w:t>
      </w:r>
      <w:r w:rsidR="00EE6AA2">
        <w:rPr>
          <w:rStyle w:val="Strong"/>
          <w:rFonts w:eastAsia="Times New Roman" w:cs="Arial"/>
          <w:b w:val="0"/>
          <w:iCs/>
          <w:color w:val="000000" w:themeColor="text1"/>
          <w:szCs w:val="24"/>
        </w:rPr>
        <w:t>е</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на</w:t>
      </w:r>
      <w:r>
        <w:rPr>
          <w:rStyle w:val="Strong"/>
          <w:rFonts w:eastAsia="Times New Roman" w:cs="Arial"/>
          <w:b w:val="0"/>
          <w:iCs/>
          <w:color w:val="000000" w:themeColor="text1"/>
          <w:szCs w:val="24"/>
        </w:rPr>
        <w:t>ст</w:t>
      </w:r>
      <w:r w:rsidR="00A56E08">
        <w:rPr>
          <w:rStyle w:val="Strong"/>
          <w:rFonts w:eastAsia="Times New Roman" w:cs="Arial"/>
          <w:b w:val="0"/>
          <w:iCs/>
          <w:color w:val="000000" w:themeColor="text1"/>
          <w:szCs w:val="24"/>
        </w:rPr>
        <w:t>а</w:t>
      </w:r>
      <w:r>
        <w:rPr>
          <w:rStyle w:val="Strong"/>
          <w:rFonts w:eastAsia="Times New Roman" w:cs="Arial"/>
          <w:b w:val="0"/>
          <w:iCs/>
          <w:color w:val="000000" w:themeColor="text1"/>
          <w:szCs w:val="24"/>
        </w:rPr>
        <w:t>в</w:t>
      </w:r>
      <w:r w:rsidR="00A56E08">
        <w:rPr>
          <w:rStyle w:val="Strong"/>
          <w:rFonts w:eastAsia="Times New Roman" w:cs="Arial"/>
          <w:b w:val="0"/>
          <w:iCs/>
          <w:color w:val="000000" w:themeColor="text1"/>
          <w:szCs w:val="24"/>
        </w:rPr>
        <w:t>ници</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пр</w:t>
      </w:r>
      <w:r w:rsidR="00A56E08">
        <w:rPr>
          <w:rStyle w:val="Strong"/>
          <w:rFonts w:eastAsia="Times New Roman" w:cs="Arial"/>
          <w:b w:val="0"/>
          <w:iCs/>
          <w:color w:val="000000" w:themeColor="text1"/>
          <w:szCs w:val="24"/>
        </w:rPr>
        <w:t>оциј</w:t>
      </w:r>
      <w:r w:rsidR="00EE6AA2">
        <w:rPr>
          <w:rStyle w:val="Strong"/>
          <w:rFonts w:eastAsia="Times New Roman" w:cs="Arial"/>
          <w:b w:val="0"/>
          <w:iCs/>
          <w:color w:val="000000" w:themeColor="text1"/>
          <w:szCs w:val="24"/>
        </w:rPr>
        <w:t>е</w:t>
      </w:r>
      <w:r w:rsidR="00A56E08">
        <w:rPr>
          <w:rStyle w:val="Strong"/>
          <w:rFonts w:eastAsia="Times New Roman" w:cs="Arial"/>
          <w:b w:val="0"/>
          <w:iCs/>
          <w:color w:val="000000" w:themeColor="text1"/>
          <w:szCs w:val="24"/>
        </w:rPr>
        <w:t>нили</w:t>
      </w:r>
      <w:r w:rsidR="002051A1" w:rsidRPr="00F6340E">
        <w:rPr>
          <w:rStyle w:val="Strong"/>
          <w:rFonts w:eastAsia="Times New Roman" w:cs="Arial"/>
          <w:b w:val="0"/>
          <w:iCs/>
          <w:color w:val="000000" w:themeColor="text1"/>
          <w:szCs w:val="24"/>
        </w:rPr>
        <w:t xml:space="preserve"> </w:t>
      </w:r>
      <w:r w:rsidR="00A56E08">
        <w:rPr>
          <w:rStyle w:val="Strong"/>
          <w:rFonts w:eastAsia="Times New Roman" w:cs="Arial"/>
          <w:b w:val="0"/>
          <w:iCs/>
          <w:color w:val="000000" w:themeColor="text1"/>
          <w:szCs w:val="24"/>
        </w:rPr>
        <w:t>да</w:t>
      </w:r>
      <w:r w:rsidR="002051A1" w:rsidRPr="00F6340E">
        <w:rPr>
          <w:rStyle w:val="Strong"/>
          <w:rFonts w:eastAsia="Times New Roman" w:cs="Arial"/>
          <w:b w:val="0"/>
          <w:iCs/>
          <w:color w:val="000000" w:themeColor="text1"/>
          <w:szCs w:val="24"/>
        </w:rPr>
        <w:t xml:space="preserve"> </w:t>
      </w:r>
      <w:r>
        <w:rPr>
          <w:rStyle w:val="Strong"/>
          <w:rFonts w:eastAsia="Times New Roman" w:cs="Arial"/>
          <w:b w:val="0"/>
          <w:iCs/>
          <w:color w:val="000000" w:themeColor="text1"/>
          <w:szCs w:val="24"/>
        </w:rPr>
        <w:t>су</w:t>
      </w:r>
      <w:r w:rsidR="002051A1" w:rsidRPr="00F6340E">
        <w:rPr>
          <w:rStyle w:val="Strong"/>
          <w:rFonts w:eastAsia="Times New Roman" w:cs="Arial"/>
          <w:b w:val="0"/>
          <w:iCs/>
          <w:color w:val="000000" w:themeColor="text1"/>
          <w:szCs w:val="24"/>
        </w:rPr>
        <w:t xml:space="preserve"> </w:t>
      </w:r>
      <w:r>
        <w:rPr>
          <w:rFonts w:cs="Arial"/>
          <w:szCs w:val="24"/>
        </w:rPr>
        <w:t>п</w:t>
      </w:r>
      <w:r w:rsidR="00A56E08">
        <w:rPr>
          <w:rFonts w:cs="Arial"/>
          <w:szCs w:val="24"/>
        </w:rPr>
        <w:t>о</w:t>
      </w:r>
      <w:r>
        <w:rPr>
          <w:rFonts w:cs="Arial"/>
          <w:szCs w:val="24"/>
        </w:rPr>
        <w:t>ст</w:t>
      </w:r>
      <w:r w:rsidR="00A56E08">
        <w:rPr>
          <w:rFonts w:cs="Arial"/>
          <w:szCs w:val="24"/>
        </w:rPr>
        <w:t>игн</w:t>
      </w:r>
      <w:r>
        <w:rPr>
          <w:rFonts w:cs="Arial"/>
          <w:szCs w:val="24"/>
        </w:rPr>
        <w:t>у</w:t>
      </w:r>
      <w:r w:rsidR="00A56E08">
        <w:rPr>
          <w:rFonts w:cs="Arial"/>
          <w:szCs w:val="24"/>
        </w:rPr>
        <w:t>ћа</w:t>
      </w:r>
      <w:r w:rsidR="002051A1" w:rsidRPr="00F6340E">
        <w:rPr>
          <w:rFonts w:cs="Arial"/>
          <w:szCs w:val="24"/>
        </w:rPr>
        <w:t xml:space="preserve"> </w:t>
      </w:r>
      <w:r>
        <w:rPr>
          <w:rFonts w:cs="Arial"/>
          <w:szCs w:val="24"/>
        </w:rPr>
        <w:t>сту</w:t>
      </w:r>
      <w:r w:rsidR="00A56E08">
        <w:rPr>
          <w:rFonts w:cs="Arial"/>
          <w:szCs w:val="24"/>
        </w:rPr>
        <w:t>д</w:t>
      </w:r>
      <w:r w:rsidR="00EE6AA2">
        <w:rPr>
          <w:rFonts w:cs="Arial"/>
          <w:szCs w:val="24"/>
        </w:rPr>
        <w:t>е</w:t>
      </w:r>
      <w:r w:rsidR="00A56E08">
        <w:rPr>
          <w:rFonts w:cs="Arial"/>
          <w:szCs w:val="24"/>
        </w:rPr>
        <w:t>на</w:t>
      </w:r>
      <w:r>
        <w:rPr>
          <w:rFonts w:cs="Arial"/>
          <w:szCs w:val="24"/>
        </w:rPr>
        <w:t>т</w:t>
      </w:r>
      <w:r w:rsidR="00A56E08">
        <w:rPr>
          <w:rFonts w:cs="Arial"/>
          <w:szCs w:val="24"/>
        </w:rPr>
        <w:t>а</w:t>
      </w:r>
      <w:r w:rsidR="002051A1" w:rsidRPr="00F6340E">
        <w:rPr>
          <w:rFonts w:cs="Arial"/>
          <w:szCs w:val="24"/>
        </w:rPr>
        <w:t xml:space="preserve"> </w:t>
      </w:r>
      <w:r>
        <w:rPr>
          <w:rFonts w:cs="Arial"/>
          <w:szCs w:val="24"/>
        </w:rPr>
        <w:t>т</w:t>
      </w:r>
      <w:r w:rsidR="00A56E08">
        <w:rPr>
          <w:rFonts w:cs="Arial"/>
          <w:szCs w:val="24"/>
        </w:rPr>
        <w:t>оком</w:t>
      </w:r>
      <w:r w:rsidR="002051A1" w:rsidRPr="00F6340E">
        <w:rPr>
          <w:rFonts w:cs="Arial"/>
          <w:szCs w:val="24"/>
        </w:rPr>
        <w:t xml:space="preserve"> </w:t>
      </w:r>
      <w:r w:rsidR="00A56E08">
        <w:rPr>
          <w:rFonts w:cs="Arial"/>
          <w:szCs w:val="24"/>
        </w:rPr>
        <w:t>на</w:t>
      </w:r>
      <w:r>
        <w:rPr>
          <w:rFonts w:cs="Arial"/>
          <w:szCs w:val="24"/>
        </w:rPr>
        <w:t>ст</w:t>
      </w:r>
      <w:r w:rsidR="00A56E08">
        <w:rPr>
          <w:rFonts w:cs="Arial"/>
          <w:szCs w:val="24"/>
        </w:rPr>
        <w:t>а</w:t>
      </w:r>
      <w:r>
        <w:rPr>
          <w:rFonts w:cs="Arial"/>
          <w:szCs w:val="24"/>
        </w:rPr>
        <w:t>в</w:t>
      </w:r>
      <w:r w:rsidR="00EE6AA2">
        <w:rPr>
          <w:rFonts w:cs="Arial"/>
          <w:szCs w:val="24"/>
        </w:rPr>
        <w:t>е</w:t>
      </w:r>
      <w:r w:rsidR="00C47A01" w:rsidRPr="00F6340E">
        <w:rPr>
          <w:rFonts w:cs="Arial"/>
          <w:szCs w:val="24"/>
        </w:rPr>
        <w:t xml:space="preserve"> </w:t>
      </w:r>
      <w:r>
        <w:rPr>
          <w:rFonts w:cs="Arial"/>
          <w:szCs w:val="24"/>
        </w:rPr>
        <w:t>пут</w:t>
      </w:r>
      <w:r w:rsidR="00EE6AA2">
        <w:rPr>
          <w:rFonts w:cs="Arial"/>
          <w:szCs w:val="24"/>
        </w:rPr>
        <w:t>е</w:t>
      </w:r>
      <w:r w:rsidR="00A56E08">
        <w:rPr>
          <w:rFonts w:cs="Arial"/>
          <w:szCs w:val="24"/>
        </w:rPr>
        <w:t>м</w:t>
      </w:r>
      <w:r w:rsidR="00C47A01" w:rsidRPr="00F6340E">
        <w:rPr>
          <w:rFonts w:cs="Arial"/>
          <w:szCs w:val="24"/>
        </w:rPr>
        <w:t xml:space="preserve"> </w:t>
      </w:r>
      <w:r w:rsidR="00A56E08">
        <w:rPr>
          <w:rFonts w:cs="Arial"/>
          <w:szCs w:val="24"/>
        </w:rPr>
        <w:t>ин</w:t>
      </w:r>
      <w:r>
        <w:rPr>
          <w:rFonts w:cs="Arial"/>
          <w:szCs w:val="24"/>
        </w:rPr>
        <w:t>т</w:t>
      </w:r>
      <w:r w:rsidR="00EE6AA2">
        <w:rPr>
          <w:rFonts w:cs="Arial"/>
          <w:szCs w:val="24"/>
        </w:rPr>
        <w:t>е</w:t>
      </w:r>
      <w:r>
        <w:rPr>
          <w:rFonts w:cs="Arial"/>
          <w:szCs w:val="24"/>
        </w:rPr>
        <w:t>р</w:t>
      </w:r>
      <w:r w:rsidR="00A56E08">
        <w:rPr>
          <w:rFonts w:cs="Arial"/>
          <w:szCs w:val="24"/>
        </w:rPr>
        <w:t>н</w:t>
      </w:r>
      <w:r w:rsidR="00EE6AA2">
        <w:rPr>
          <w:rFonts w:cs="Arial"/>
          <w:szCs w:val="24"/>
        </w:rPr>
        <w:t>е</w:t>
      </w:r>
      <w:r>
        <w:rPr>
          <w:rFonts w:cs="Arial"/>
          <w:szCs w:val="24"/>
        </w:rPr>
        <w:t>т</w:t>
      </w:r>
      <w:r w:rsidR="00A56E08">
        <w:rPr>
          <w:rFonts w:cs="Arial"/>
          <w:szCs w:val="24"/>
        </w:rPr>
        <w:t>а</w:t>
      </w:r>
      <w:r w:rsidR="009A08A3" w:rsidRPr="00F6340E">
        <w:rPr>
          <w:rFonts w:cs="Arial"/>
          <w:szCs w:val="24"/>
        </w:rPr>
        <w:t xml:space="preserve"> </w:t>
      </w:r>
      <w:r w:rsidR="00171F00">
        <w:rPr>
          <w:rFonts w:cs="Arial"/>
          <w:szCs w:val="24"/>
        </w:rPr>
        <w:t>з</w:t>
      </w:r>
      <w:r w:rsidR="00A56E08">
        <w:rPr>
          <w:rFonts w:cs="Arial"/>
          <w:szCs w:val="24"/>
        </w:rPr>
        <w:t>а</w:t>
      </w:r>
      <w:r w:rsidR="009A08A3" w:rsidRPr="00F6340E">
        <w:rPr>
          <w:rFonts w:cs="Arial"/>
          <w:szCs w:val="24"/>
        </w:rPr>
        <w:t xml:space="preserve"> </w:t>
      </w:r>
      <w:r>
        <w:rPr>
          <w:rFonts w:cs="Arial"/>
          <w:szCs w:val="24"/>
        </w:rPr>
        <w:t>вр</w:t>
      </w:r>
      <w:r w:rsidR="00A56E08">
        <w:rPr>
          <w:rFonts w:cs="Arial"/>
          <w:szCs w:val="24"/>
        </w:rPr>
        <w:t>иј</w:t>
      </w:r>
      <w:r w:rsidR="00EE6AA2">
        <w:rPr>
          <w:rFonts w:cs="Arial"/>
          <w:szCs w:val="24"/>
        </w:rPr>
        <w:t>е</w:t>
      </w:r>
      <w:r w:rsidR="00A56E08">
        <w:rPr>
          <w:rFonts w:cs="Arial"/>
          <w:szCs w:val="24"/>
        </w:rPr>
        <w:t>м</w:t>
      </w:r>
      <w:r w:rsidR="00EE6AA2">
        <w:rPr>
          <w:rFonts w:cs="Arial"/>
          <w:szCs w:val="24"/>
        </w:rPr>
        <w:t>е</w:t>
      </w:r>
      <w:r w:rsidR="009A08A3" w:rsidRPr="00F6340E">
        <w:rPr>
          <w:rFonts w:cs="Arial"/>
          <w:szCs w:val="24"/>
        </w:rPr>
        <w:t xml:space="preserve"> </w:t>
      </w:r>
      <w:r>
        <w:rPr>
          <w:rFonts w:cs="Arial"/>
          <w:szCs w:val="24"/>
        </w:rPr>
        <w:t>п</w:t>
      </w:r>
      <w:r w:rsidR="00A56E08">
        <w:rPr>
          <w:rFonts w:cs="Arial"/>
          <w:szCs w:val="24"/>
        </w:rPr>
        <w:t>анд</w:t>
      </w:r>
      <w:r w:rsidR="00EE6AA2">
        <w:rPr>
          <w:rFonts w:cs="Arial"/>
          <w:szCs w:val="24"/>
        </w:rPr>
        <w:t>е</w:t>
      </w:r>
      <w:r w:rsidR="00A56E08">
        <w:rPr>
          <w:rFonts w:cs="Arial"/>
          <w:szCs w:val="24"/>
        </w:rPr>
        <w:t>миј</w:t>
      </w:r>
      <w:r w:rsidR="00EE6AA2">
        <w:rPr>
          <w:rFonts w:cs="Arial"/>
          <w:szCs w:val="24"/>
        </w:rPr>
        <w:t>е</w:t>
      </w:r>
      <w:r w:rsidR="009A08A3" w:rsidRPr="00F6340E">
        <w:rPr>
          <w:rFonts w:cs="Arial"/>
          <w:szCs w:val="24"/>
        </w:rPr>
        <w:t xml:space="preserve"> </w:t>
      </w:r>
      <w:r>
        <w:rPr>
          <w:rFonts w:cs="Arial"/>
          <w:szCs w:val="24"/>
        </w:rPr>
        <w:t>у</w:t>
      </w:r>
      <w:r w:rsidR="009A08A3" w:rsidRPr="00F6340E">
        <w:rPr>
          <w:rFonts w:cs="Arial"/>
          <w:szCs w:val="24"/>
        </w:rPr>
        <w:t xml:space="preserve"> </w:t>
      </w:r>
      <w:r>
        <w:rPr>
          <w:rFonts w:cs="Arial"/>
          <w:szCs w:val="24"/>
        </w:rPr>
        <w:t>п</w:t>
      </w:r>
      <w:r w:rsidR="00A56E08">
        <w:rPr>
          <w:rFonts w:cs="Arial"/>
          <w:szCs w:val="24"/>
        </w:rPr>
        <w:t>о</w:t>
      </w:r>
      <w:r>
        <w:rPr>
          <w:rFonts w:cs="Arial"/>
          <w:szCs w:val="24"/>
        </w:rPr>
        <w:t>р</w:t>
      </w:r>
      <w:r w:rsidR="00EE6AA2">
        <w:rPr>
          <w:rFonts w:cs="Arial"/>
          <w:szCs w:val="24"/>
        </w:rPr>
        <w:t>е</w:t>
      </w:r>
      <w:r w:rsidR="00A56E08">
        <w:rPr>
          <w:rFonts w:cs="Arial"/>
          <w:szCs w:val="24"/>
        </w:rPr>
        <w:t>ђ</w:t>
      </w:r>
      <w:r w:rsidR="00EE6AA2">
        <w:rPr>
          <w:rFonts w:cs="Arial"/>
          <w:szCs w:val="24"/>
        </w:rPr>
        <w:t>е</w:t>
      </w:r>
      <w:r w:rsidR="00A56E08">
        <w:rPr>
          <w:rFonts w:cs="Arial"/>
          <w:szCs w:val="24"/>
        </w:rPr>
        <w:t>њ</w:t>
      </w:r>
      <w:r>
        <w:rPr>
          <w:rFonts w:cs="Arial"/>
          <w:szCs w:val="24"/>
        </w:rPr>
        <w:t>у</w:t>
      </w:r>
      <w:r w:rsidR="009A08A3" w:rsidRPr="00F6340E">
        <w:rPr>
          <w:rFonts w:cs="Arial"/>
          <w:szCs w:val="24"/>
        </w:rPr>
        <w:t xml:space="preserve"> </w:t>
      </w:r>
      <w:r>
        <w:rPr>
          <w:rFonts w:cs="Arial"/>
          <w:szCs w:val="24"/>
        </w:rPr>
        <w:t>с</w:t>
      </w:r>
      <w:r w:rsidR="00A56E08">
        <w:rPr>
          <w:rFonts w:cs="Arial"/>
          <w:szCs w:val="24"/>
        </w:rPr>
        <w:t>а</w:t>
      </w:r>
      <w:r w:rsidR="009A08A3" w:rsidRPr="00F6340E">
        <w:rPr>
          <w:rFonts w:cs="Arial"/>
          <w:szCs w:val="24"/>
        </w:rPr>
        <w:t xml:space="preserve"> </w:t>
      </w:r>
      <w:r>
        <w:rPr>
          <w:rFonts w:cs="Arial"/>
          <w:szCs w:val="24"/>
        </w:rPr>
        <w:t>р</w:t>
      </w:r>
      <w:r w:rsidR="00A56E08">
        <w:rPr>
          <w:rFonts w:cs="Arial"/>
          <w:szCs w:val="24"/>
        </w:rPr>
        <w:t>анијим</w:t>
      </w:r>
      <w:r w:rsidR="009A08A3" w:rsidRPr="00F6340E">
        <w:rPr>
          <w:rFonts w:cs="Arial"/>
          <w:szCs w:val="24"/>
        </w:rPr>
        <w:t xml:space="preserve"> </w:t>
      </w:r>
      <w:r w:rsidR="00A56E08">
        <w:rPr>
          <w:rFonts w:cs="Arial"/>
          <w:szCs w:val="24"/>
        </w:rPr>
        <w:t>г</w:t>
      </w:r>
      <w:r w:rsidR="00EE6AA2">
        <w:rPr>
          <w:rFonts w:cs="Arial"/>
          <w:szCs w:val="24"/>
        </w:rPr>
        <w:t>е</w:t>
      </w:r>
      <w:r w:rsidR="00A56E08">
        <w:rPr>
          <w:rFonts w:cs="Arial"/>
          <w:szCs w:val="24"/>
        </w:rPr>
        <w:t>н</w:t>
      </w:r>
      <w:r w:rsidR="00EE6AA2">
        <w:rPr>
          <w:rFonts w:cs="Arial"/>
          <w:szCs w:val="24"/>
        </w:rPr>
        <w:t>е</w:t>
      </w:r>
      <w:r>
        <w:rPr>
          <w:rFonts w:cs="Arial"/>
          <w:szCs w:val="24"/>
        </w:rPr>
        <w:t>р</w:t>
      </w:r>
      <w:r w:rsidR="00A56E08">
        <w:rPr>
          <w:rFonts w:cs="Arial"/>
          <w:szCs w:val="24"/>
        </w:rPr>
        <w:t>ацијама</w:t>
      </w:r>
      <w:r w:rsidR="002051A1" w:rsidRPr="00F6340E">
        <w:rPr>
          <w:rFonts w:cs="Arial"/>
          <w:szCs w:val="24"/>
        </w:rPr>
        <w:t>,</w:t>
      </w:r>
      <w:r w:rsidR="009A08A3" w:rsidRPr="00F6340E">
        <w:rPr>
          <w:rFonts w:cs="Arial"/>
          <w:szCs w:val="24"/>
        </w:rPr>
        <w:t xml:space="preserve"> </w:t>
      </w:r>
      <w:r w:rsidR="00A56E08">
        <w:rPr>
          <w:rFonts w:cs="Arial"/>
          <w:szCs w:val="24"/>
        </w:rPr>
        <w:t>којима</w:t>
      </w:r>
      <w:r w:rsidR="009A08A3" w:rsidRPr="00F6340E">
        <w:rPr>
          <w:rFonts w:cs="Arial"/>
          <w:szCs w:val="24"/>
        </w:rPr>
        <w:t xml:space="preserve"> </w:t>
      </w:r>
      <w:r>
        <w:rPr>
          <w:rFonts w:cs="Arial"/>
          <w:szCs w:val="24"/>
        </w:rPr>
        <w:t>су</w:t>
      </w:r>
      <w:r w:rsidR="009A08A3" w:rsidRPr="00F6340E">
        <w:rPr>
          <w:rFonts w:cs="Arial"/>
          <w:szCs w:val="24"/>
        </w:rPr>
        <w:t xml:space="preserve"> </w:t>
      </w:r>
      <w:r w:rsidR="00A56E08">
        <w:rPr>
          <w:rFonts w:cs="Arial"/>
          <w:szCs w:val="24"/>
        </w:rPr>
        <w:t>на</w:t>
      </w:r>
      <w:r>
        <w:rPr>
          <w:rFonts w:cs="Arial"/>
          <w:szCs w:val="24"/>
        </w:rPr>
        <w:t>ст</w:t>
      </w:r>
      <w:r w:rsidR="00A56E08">
        <w:rPr>
          <w:rFonts w:cs="Arial"/>
          <w:szCs w:val="24"/>
        </w:rPr>
        <w:t>а</w:t>
      </w:r>
      <w:r>
        <w:rPr>
          <w:rFonts w:cs="Arial"/>
          <w:szCs w:val="24"/>
        </w:rPr>
        <w:t>ву</w:t>
      </w:r>
      <w:r w:rsidR="009A08A3" w:rsidRPr="00F6340E">
        <w:rPr>
          <w:rFonts w:cs="Arial"/>
          <w:szCs w:val="24"/>
        </w:rPr>
        <w:t xml:space="preserve"> </w:t>
      </w:r>
      <w:r w:rsidR="00A56E08">
        <w:rPr>
          <w:rFonts w:cs="Arial"/>
          <w:szCs w:val="24"/>
        </w:rPr>
        <w:t>д</w:t>
      </w:r>
      <w:r>
        <w:rPr>
          <w:rFonts w:cs="Arial"/>
          <w:szCs w:val="24"/>
        </w:rPr>
        <w:t>р</w:t>
      </w:r>
      <w:r w:rsidR="00171F00">
        <w:rPr>
          <w:rFonts w:cs="Arial"/>
          <w:szCs w:val="24"/>
        </w:rPr>
        <w:t>ж</w:t>
      </w:r>
      <w:r w:rsidR="00A56E08">
        <w:rPr>
          <w:rFonts w:cs="Arial"/>
          <w:szCs w:val="24"/>
        </w:rPr>
        <w:t>али</w:t>
      </w:r>
      <w:r w:rsidR="009A08A3" w:rsidRPr="00F6340E">
        <w:rPr>
          <w:rFonts w:cs="Arial"/>
          <w:szCs w:val="24"/>
        </w:rPr>
        <w:t xml:space="preserve"> </w:t>
      </w:r>
      <w:r w:rsidR="00A56E08">
        <w:rPr>
          <w:rFonts w:cs="Arial"/>
          <w:szCs w:val="24"/>
        </w:rPr>
        <w:t>на</w:t>
      </w:r>
      <w:r w:rsidR="009A08A3" w:rsidRPr="00F6340E">
        <w:rPr>
          <w:rFonts w:cs="Arial"/>
          <w:szCs w:val="24"/>
        </w:rPr>
        <w:t xml:space="preserve"> </w:t>
      </w:r>
      <w:r>
        <w:rPr>
          <w:rFonts w:cs="Arial"/>
          <w:szCs w:val="24"/>
        </w:rPr>
        <w:t>у</w:t>
      </w:r>
      <w:r w:rsidR="00A56E08">
        <w:rPr>
          <w:rFonts w:cs="Arial"/>
          <w:szCs w:val="24"/>
        </w:rPr>
        <w:t>обичај</w:t>
      </w:r>
      <w:r w:rsidR="00EE6AA2">
        <w:rPr>
          <w:rFonts w:cs="Arial"/>
          <w:szCs w:val="24"/>
        </w:rPr>
        <w:t>е</w:t>
      </w:r>
      <w:r w:rsidR="00A56E08">
        <w:rPr>
          <w:rFonts w:cs="Arial"/>
          <w:szCs w:val="24"/>
        </w:rPr>
        <w:t>н</w:t>
      </w:r>
      <w:r w:rsidR="009A08A3" w:rsidRPr="00F6340E">
        <w:rPr>
          <w:rFonts w:cs="Arial"/>
          <w:szCs w:val="24"/>
        </w:rPr>
        <w:t xml:space="preserve"> </w:t>
      </w:r>
      <w:r w:rsidR="00A56E08">
        <w:rPr>
          <w:rFonts w:cs="Arial"/>
          <w:szCs w:val="24"/>
        </w:rPr>
        <w:t>начин</w:t>
      </w:r>
      <w:r w:rsidR="002051A1" w:rsidRPr="00F6340E">
        <w:rPr>
          <w:rFonts w:cs="Arial"/>
          <w:szCs w:val="24"/>
        </w:rPr>
        <w:t>,</w:t>
      </w:r>
      <w:r w:rsidR="009A08A3" w:rsidRPr="00F6340E">
        <w:rPr>
          <w:rFonts w:cs="Arial"/>
          <w:szCs w:val="24"/>
        </w:rPr>
        <w:t xml:space="preserve"> </w:t>
      </w:r>
      <w:r>
        <w:rPr>
          <w:rFonts w:cs="Arial"/>
          <w:szCs w:val="24"/>
        </w:rPr>
        <w:t>с</w:t>
      </w:r>
      <w:r w:rsidR="00A56E08">
        <w:rPr>
          <w:rFonts w:cs="Arial"/>
          <w:szCs w:val="24"/>
        </w:rPr>
        <w:t>лабија</w:t>
      </w:r>
      <w:r w:rsidR="00947928" w:rsidRPr="00F6340E">
        <w:rPr>
          <w:rFonts w:cs="Arial"/>
          <w:szCs w:val="24"/>
        </w:rPr>
        <w:t>,</w:t>
      </w:r>
      <w:r w:rsidR="002051A1" w:rsidRPr="00F6340E">
        <w:rPr>
          <w:rFonts w:cs="Arial"/>
          <w:szCs w:val="24"/>
        </w:rPr>
        <w:t xml:space="preserve"> </w:t>
      </w:r>
      <w:r w:rsidR="00A56E08">
        <w:rPr>
          <w:rFonts w:cs="Arial"/>
          <w:szCs w:val="24"/>
        </w:rPr>
        <w:t>одно</w:t>
      </w:r>
      <w:r>
        <w:rPr>
          <w:rFonts w:cs="Arial"/>
          <w:szCs w:val="24"/>
        </w:rPr>
        <w:t>с</w:t>
      </w:r>
      <w:r w:rsidR="00A56E08">
        <w:rPr>
          <w:rFonts w:cs="Arial"/>
          <w:szCs w:val="24"/>
        </w:rPr>
        <w:t>но</w:t>
      </w:r>
      <w:r w:rsidR="002051A1" w:rsidRPr="00F6340E">
        <w:rPr>
          <w:rFonts w:cs="Arial"/>
          <w:szCs w:val="24"/>
        </w:rPr>
        <w:t xml:space="preserve"> </w:t>
      </w:r>
      <w:r>
        <w:rPr>
          <w:rFonts w:cs="Arial"/>
          <w:szCs w:val="24"/>
        </w:rPr>
        <w:t>пр</w:t>
      </w:r>
      <w:r w:rsidR="00A56E08">
        <w:rPr>
          <w:rFonts w:cs="Arial"/>
          <w:szCs w:val="24"/>
        </w:rPr>
        <w:t>ак</w:t>
      </w:r>
      <w:r>
        <w:rPr>
          <w:rFonts w:cs="Arial"/>
          <w:szCs w:val="24"/>
        </w:rPr>
        <w:t>т</w:t>
      </w:r>
      <w:r w:rsidR="00A56E08">
        <w:rPr>
          <w:rFonts w:cs="Arial"/>
          <w:szCs w:val="24"/>
        </w:rPr>
        <w:t>ично</w:t>
      </w:r>
      <w:r w:rsidR="009A08A3" w:rsidRPr="00F6340E">
        <w:rPr>
          <w:rFonts w:cs="Arial"/>
          <w:szCs w:val="24"/>
        </w:rPr>
        <w:t xml:space="preserve"> </w:t>
      </w:r>
      <w:r>
        <w:rPr>
          <w:rFonts w:cs="Arial"/>
          <w:bCs/>
          <w:szCs w:val="24"/>
        </w:rPr>
        <w:t>св</w:t>
      </w:r>
      <w:r w:rsidR="00A56E08">
        <w:rPr>
          <w:rFonts w:cs="Arial"/>
          <w:bCs/>
          <w:szCs w:val="24"/>
        </w:rPr>
        <w:t>аки</w:t>
      </w:r>
      <w:r w:rsidR="009A08A3" w:rsidRPr="00F6340E">
        <w:rPr>
          <w:rFonts w:cs="Arial"/>
          <w:bCs/>
          <w:szCs w:val="24"/>
        </w:rPr>
        <w:t xml:space="preserve"> </w:t>
      </w:r>
      <w:r w:rsidR="00A56E08">
        <w:rPr>
          <w:rFonts w:cs="Arial"/>
          <w:bCs/>
          <w:szCs w:val="24"/>
        </w:rPr>
        <w:t>д</w:t>
      </w:r>
      <w:r>
        <w:rPr>
          <w:rFonts w:cs="Arial"/>
          <w:bCs/>
          <w:szCs w:val="24"/>
        </w:rPr>
        <w:t>ру</w:t>
      </w:r>
      <w:r w:rsidR="00A56E08">
        <w:rPr>
          <w:rFonts w:cs="Arial"/>
          <w:bCs/>
          <w:szCs w:val="24"/>
        </w:rPr>
        <w:t>ги</w:t>
      </w:r>
      <w:r w:rsidR="009A08A3" w:rsidRPr="00F6340E">
        <w:rPr>
          <w:rFonts w:cs="Arial"/>
          <w:bCs/>
          <w:szCs w:val="24"/>
        </w:rPr>
        <w:t xml:space="preserve"> </w:t>
      </w:r>
      <w:r w:rsidR="00A56E08">
        <w:rPr>
          <w:rFonts w:cs="Arial"/>
          <w:bCs/>
          <w:szCs w:val="24"/>
        </w:rPr>
        <w:t>на</w:t>
      </w:r>
      <w:r>
        <w:rPr>
          <w:rFonts w:cs="Arial"/>
          <w:bCs/>
          <w:szCs w:val="24"/>
        </w:rPr>
        <w:t>ст</w:t>
      </w:r>
      <w:r w:rsidR="00A56E08">
        <w:rPr>
          <w:rFonts w:cs="Arial"/>
          <w:bCs/>
          <w:szCs w:val="24"/>
        </w:rPr>
        <w:t>а</w:t>
      </w:r>
      <w:r>
        <w:rPr>
          <w:rFonts w:cs="Arial"/>
          <w:bCs/>
          <w:szCs w:val="24"/>
        </w:rPr>
        <w:t>в</w:t>
      </w:r>
      <w:r w:rsidR="00A56E08">
        <w:rPr>
          <w:rFonts w:cs="Arial"/>
          <w:bCs/>
          <w:szCs w:val="24"/>
        </w:rPr>
        <w:t>ник</w:t>
      </w:r>
      <w:r w:rsidR="00EE0040" w:rsidRPr="00F6340E">
        <w:rPr>
          <w:rFonts w:cs="Arial"/>
          <w:bCs/>
          <w:szCs w:val="24"/>
        </w:rPr>
        <w:t xml:space="preserve"> (48,</w:t>
      </w:r>
      <w:r w:rsidR="009A08A3" w:rsidRPr="00F6340E">
        <w:rPr>
          <w:rFonts w:cs="Arial"/>
          <w:bCs/>
          <w:szCs w:val="24"/>
        </w:rPr>
        <w:t xml:space="preserve">5%) </w:t>
      </w:r>
      <w:r w:rsidR="00A56E08">
        <w:rPr>
          <w:rFonts w:cs="Arial"/>
          <w:bCs/>
          <w:szCs w:val="24"/>
        </w:rPr>
        <w:t>на</w:t>
      </w:r>
      <w:r>
        <w:rPr>
          <w:rFonts w:cs="Arial"/>
          <w:bCs/>
          <w:szCs w:val="24"/>
        </w:rPr>
        <w:t>в</w:t>
      </w:r>
      <w:r w:rsidR="00A56E08">
        <w:rPr>
          <w:rFonts w:cs="Arial"/>
          <w:bCs/>
          <w:szCs w:val="24"/>
        </w:rPr>
        <w:t>оди</w:t>
      </w:r>
      <w:r w:rsidR="009A08A3" w:rsidRPr="00F6340E">
        <w:rPr>
          <w:rFonts w:cs="Arial"/>
          <w:bCs/>
          <w:szCs w:val="24"/>
        </w:rPr>
        <w:t xml:space="preserve"> </w:t>
      </w:r>
      <w:r w:rsidR="00A56E08">
        <w:rPr>
          <w:rFonts w:cs="Arial"/>
          <w:bCs/>
          <w:szCs w:val="24"/>
        </w:rPr>
        <w:t>како</w:t>
      </w:r>
      <w:r w:rsidR="009A08A3" w:rsidRPr="00F6340E">
        <w:rPr>
          <w:rFonts w:cs="Arial"/>
          <w:bCs/>
          <w:szCs w:val="24"/>
        </w:rPr>
        <w:t xml:space="preserve"> </w:t>
      </w:r>
      <w:r w:rsidR="00A56E08">
        <w:rPr>
          <w:rFonts w:cs="Arial"/>
          <w:bCs/>
          <w:szCs w:val="24"/>
        </w:rPr>
        <w:t>ј</w:t>
      </w:r>
      <w:r w:rsidR="00EE6AA2">
        <w:rPr>
          <w:rFonts w:cs="Arial"/>
          <w:bCs/>
          <w:szCs w:val="24"/>
        </w:rPr>
        <w:t>е</w:t>
      </w:r>
      <w:r w:rsidR="009A08A3" w:rsidRPr="00F6340E">
        <w:rPr>
          <w:rFonts w:cs="Arial"/>
          <w:bCs/>
          <w:szCs w:val="24"/>
        </w:rPr>
        <w:t xml:space="preserve"> </w:t>
      </w:r>
      <w:r>
        <w:rPr>
          <w:rFonts w:cs="Arial"/>
          <w:bCs/>
          <w:szCs w:val="24"/>
        </w:rPr>
        <w:t>п</w:t>
      </w:r>
      <w:r w:rsidR="00A56E08">
        <w:rPr>
          <w:rFonts w:cs="Arial"/>
          <w:bCs/>
          <w:szCs w:val="24"/>
        </w:rPr>
        <w:t>о</w:t>
      </w:r>
      <w:r>
        <w:rPr>
          <w:rFonts w:cs="Arial"/>
          <w:bCs/>
          <w:szCs w:val="24"/>
        </w:rPr>
        <w:t>ст</w:t>
      </w:r>
      <w:r w:rsidR="00A56E08">
        <w:rPr>
          <w:rFonts w:cs="Arial"/>
          <w:bCs/>
          <w:szCs w:val="24"/>
        </w:rPr>
        <w:t>игн</w:t>
      </w:r>
      <w:r>
        <w:rPr>
          <w:rFonts w:cs="Arial"/>
          <w:bCs/>
          <w:szCs w:val="24"/>
        </w:rPr>
        <w:t>у</w:t>
      </w:r>
      <w:r w:rsidR="00A56E08">
        <w:rPr>
          <w:rFonts w:cs="Arial"/>
          <w:bCs/>
          <w:szCs w:val="24"/>
        </w:rPr>
        <w:t>ћ</w:t>
      </w:r>
      <w:r w:rsidR="00EE6AA2">
        <w:rPr>
          <w:rFonts w:cs="Arial"/>
          <w:bCs/>
          <w:szCs w:val="24"/>
        </w:rPr>
        <w:t>е</w:t>
      </w:r>
      <w:r w:rsidR="009A08A3" w:rsidRPr="00F6340E">
        <w:rPr>
          <w:rFonts w:cs="Arial"/>
          <w:bCs/>
          <w:szCs w:val="24"/>
        </w:rPr>
        <w:t xml:space="preserve"> </w:t>
      </w:r>
      <w:r w:rsidR="00A56E08">
        <w:rPr>
          <w:rFonts w:cs="Arial"/>
          <w:bCs/>
          <w:szCs w:val="24"/>
        </w:rPr>
        <w:t>било</w:t>
      </w:r>
      <w:r w:rsidR="009A08A3" w:rsidRPr="00F6340E">
        <w:rPr>
          <w:rFonts w:cs="Arial"/>
          <w:bCs/>
          <w:szCs w:val="24"/>
        </w:rPr>
        <w:t xml:space="preserve"> </w:t>
      </w:r>
      <w:r>
        <w:rPr>
          <w:rFonts w:cs="Arial"/>
          <w:bCs/>
          <w:szCs w:val="24"/>
        </w:rPr>
        <w:t>с</w:t>
      </w:r>
      <w:r w:rsidR="00A56E08">
        <w:rPr>
          <w:rFonts w:cs="Arial"/>
          <w:bCs/>
          <w:szCs w:val="24"/>
        </w:rPr>
        <w:t>лабиј</w:t>
      </w:r>
      <w:r w:rsidR="00EE6AA2">
        <w:rPr>
          <w:rFonts w:cs="Arial"/>
          <w:bCs/>
          <w:szCs w:val="24"/>
        </w:rPr>
        <w:t>е</w:t>
      </w:r>
      <w:r w:rsidR="009A08A3" w:rsidRPr="00F6340E">
        <w:rPr>
          <w:rFonts w:cs="Arial"/>
          <w:bCs/>
          <w:szCs w:val="24"/>
        </w:rPr>
        <w:t xml:space="preserve"> </w:t>
      </w:r>
      <w:r w:rsidR="002051A1" w:rsidRPr="00F6340E">
        <w:rPr>
          <w:rFonts w:cs="Arial"/>
          <w:bCs/>
          <w:szCs w:val="24"/>
        </w:rPr>
        <w:t>(</w:t>
      </w:r>
      <w:r>
        <w:rPr>
          <w:rFonts w:cs="Arial"/>
          <w:bCs/>
          <w:szCs w:val="24"/>
        </w:rPr>
        <w:t>У</w:t>
      </w:r>
      <w:r w:rsidR="00A56E08">
        <w:rPr>
          <w:rFonts w:cs="Arial"/>
          <w:bCs/>
          <w:szCs w:val="24"/>
        </w:rPr>
        <w:t>Н</w:t>
      </w:r>
      <w:r w:rsidR="00EE6AA2">
        <w:rPr>
          <w:rFonts w:cs="Arial"/>
          <w:bCs/>
          <w:szCs w:val="24"/>
        </w:rPr>
        <w:t>Е</w:t>
      </w:r>
      <w:r>
        <w:rPr>
          <w:rFonts w:cs="Arial"/>
          <w:bCs/>
          <w:szCs w:val="24"/>
        </w:rPr>
        <w:t>С</w:t>
      </w:r>
      <w:r w:rsidR="00A56E08">
        <w:rPr>
          <w:rFonts w:cs="Arial"/>
          <w:bCs/>
          <w:szCs w:val="24"/>
        </w:rPr>
        <w:t>ЦО</w:t>
      </w:r>
      <w:r w:rsidR="002051A1" w:rsidRPr="00F6340E">
        <w:rPr>
          <w:rFonts w:cs="Arial"/>
          <w:bCs/>
          <w:szCs w:val="24"/>
        </w:rPr>
        <w:t>, 2021)</w:t>
      </w:r>
      <w:r w:rsidR="009A08A3" w:rsidRPr="00F6340E">
        <w:rPr>
          <w:rFonts w:cs="Arial"/>
          <w:szCs w:val="24"/>
        </w:rPr>
        <w:t>.</w:t>
      </w:r>
      <w:r w:rsidR="002051A1" w:rsidRPr="00F6340E">
        <w:rPr>
          <w:rFonts w:cs="Arial"/>
          <w:szCs w:val="24"/>
        </w:rPr>
        <w:t xml:space="preserve"> </w:t>
      </w:r>
      <w:r w:rsidR="00A56E08">
        <w:rPr>
          <w:rFonts w:cs="Arial"/>
          <w:szCs w:val="24"/>
        </w:rPr>
        <w:t>О</w:t>
      </w:r>
      <w:r>
        <w:rPr>
          <w:rFonts w:cs="Arial"/>
          <w:szCs w:val="24"/>
        </w:rPr>
        <w:t>в</w:t>
      </w:r>
      <w:r w:rsidR="00A56E08">
        <w:rPr>
          <w:rFonts w:cs="Arial"/>
          <w:szCs w:val="24"/>
        </w:rPr>
        <w:t>ак</w:t>
      </w:r>
      <w:r>
        <w:rPr>
          <w:rFonts w:cs="Arial"/>
          <w:szCs w:val="24"/>
        </w:rPr>
        <w:t>в</w:t>
      </w:r>
      <w:r w:rsidR="00A56E08">
        <w:rPr>
          <w:rFonts w:cs="Arial"/>
          <w:szCs w:val="24"/>
        </w:rPr>
        <w:t>и</w:t>
      </w:r>
      <w:r w:rsidR="002051A1" w:rsidRPr="00F6340E">
        <w:rPr>
          <w:rFonts w:cs="Arial"/>
          <w:szCs w:val="24"/>
        </w:rPr>
        <w:t xml:space="preserve"> </w:t>
      </w:r>
      <w:r w:rsidR="00A56E08">
        <w:rPr>
          <w:rFonts w:cs="Arial"/>
          <w:szCs w:val="24"/>
        </w:rPr>
        <w:t>нала</w:t>
      </w:r>
      <w:r w:rsidR="00171F00">
        <w:rPr>
          <w:rFonts w:cs="Arial"/>
          <w:szCs w:val="24"/>
        </w:rPr>
        <w:t>з</w:t>
      </w:r>
      <w:r w:rsidR="00A56E08">
        <w:rPr>
          <w:rFonts w:cs="Arial"/>
          <w:szCs w:val="24"/>
        </w:rPr>
        <w:t>и</w:t>
      </w:r>
      <w:r w:rsidR="002051A1" w:rsidRPr="00F6340E">
        <w:rPr>
          <w:rFonts w:cs="Arial"/>
          <w:szCs w:val="24"/>
        </w:rPr>
        <w:t xml:space="preserve"> </w:t>
      </w:r>
      <w:r w:rsidR="00A56E08">
        <w:rPr>
          <w:rFonts w:cs="Arial"/>
          <w:szCs w:val="24"/>
        </w:rPr>
        <w:t>на</w:t>
      </w:r>
      <w:r>
        <w:rPr>
          <w:rFonts w:cs="Arial"/>
          <w:szCs w:val="24"/>
        </w:rPr>
        <w:t>в</w:t>
      </w:r>
      <w:r w:rsidR="00A56E08">
        <w:rPr>
          <w:rFonts w:cs="Arial"/>
          <w:szCs w:val="24"/>
        </w:rPr>
        <w:t>од</w:t>
      </w:r>
      <w:r w:rsidR="00EE6AA2">
        <w:rPr>
          <w:rFonts w:cs="Arial"/>
          <w:szCs w:val="24"/>
        </w:rPr>
        <w:t>е</w:t>
      </w:r>
      <w:r w:rsidR="002051A1" w:rsidRPr="00F6340E">
        <w:rPr>
          <w:rFonts w:cs="Arial"/>
          <w:szCs w:val="24"/>
        </w:rPr>
        <w:t xml:space="preserve"> </w:t>
      </w:r>
      <w:r w:rsidR="00A56E08">
        <w:rPr>
          <w:rFonts w:cs="Arial"/>
          <w:szCs w:val="24"/>
        </w:rPr>
        <w:t>на</w:t>
      </w:r>
      <w:r w:rsidR="002051A1" w:rsidRPr="00F6340E">
        <w:rPr>
          <w:rFonts w:cs="Arial"/>
          <w:szCs w:val="24"/>
        </w:rPr>
        <w:t xml:space="preserve"> </w:t>
      </w:r>
      <w:r>
        <w:rPr>
          <w:rFonts w:cs="Arial"/>
          <w:szCs w:val="24"/>
        </w:rPr>
        <w:t>в</w:t>
      </w:r>
      <w:r w:rsidR="00A56E08">
        <w:rPr>
          <w:rFonts w:cs="Arial"/>
          <w:szCs w:val="24"/>
        </w:rPr>
        <w:t>а</w:t>
      </w:r>
      <w:r w:rsidR="00171F00">
        <w:rPr>
          <w:rFonts w:cs="Arial"/>
          <w:szCs w:val="24"/>
        </w:rPr>
        <w:t>ж</w:t>
      </w:r>
      <w:r w:rsidR="00A56E08">
        <w:rPr>
          <w:rFonts w:cs="Arial"/>
          <w:szCs w:val="24"/>
        </w:rPr>
        <w:t>но</w:t>
      </w:r>
      <w:r>
        <w:rPr>
          <w:rFonts w:cs="Arial"/>
          <w:szCs w:val="24"/>
        </w:rPr>
        <w:t>ст</w:t>
      </w:r>
      <w:r w:rsidR="002051A1" w:rsidRPr="00F6340E">
        <w:rPr>
          <w:rFonts w:cs="Arial"/>
          <w:szCs w:val="24"/>
        </w:rPr>
        <w:t xml:space="preserve"> </w:t>
      </w:r>
      <w:r>
        <w:rPr>
          <w:rFonts w:cs="Arial"/>
          <w:szCs w:val="24"/>
        </w:rPr>
        <w:t>р</w:t>
      </w:r>
      <w:r w:rsidR="00A56E08">
        <w:rPr>
          <w:rFonts w:cs="Arial"/>
          <w:szCs w:val="24"/>
        </w:rPr>
        <w:t>а</w:t>
      </w:r>
      <w:r w:rsidR="00171F00">
        <w:rPr>
          <w:rFonts w:cs="Arial"/>
          <w:szCs w:val="24"/>
        </w:rPr>
        <w:t>з</w:t>
      </w:r>
      <w:r w:rsidR="00A56E08">
        <w:rPr>
          <w:rFonts w:cs="Arial"/>
          <w:szCs w:val="24"/>
        </w:rPr>
        <w:t>ми</w:t>
      </w:r>
      <w:r>
        <w:rPr>
          <w:rFonts w:cs="Arial"/>
          <w:szCs w:val="24"/>
        </w:rPr>
        <w:t>ш</w:t>
      </w:r>
      <w:r w:rsidR="00A56E08">
        <w:rPr>
          <w:rFonts w:cs="Arial"/>
          <w:szCs w:val="24"/>
        </w:rPr>
        <w:t>љања</w:t>
      </w:r>
      <w:r w:rsidR="002051A1" w:rsidRPr="00F6340E">
        <w:rPr>
          <w:rFonts w:cs="Arial"/>
          <w:szCs w:val="24"/>
        </w:rPr>
        <w:t xml:space="preserve"> </w:t>
      </w:r>
      <w:r w:rsidR="00A56E08">
        <w:rPr>
          <w:rFonts w:cs="Arial"/>
          <w:szCs w:val="24"/>
        </w:rPr>
        <w:t>и</w:t>
      </w:r>
      <w:r w:rsidR="00981831" w:rsidRPr="00F6340E">
        <w:rPr>
          <w:rFonts w:cs="Arial"/>
          <w:szCs w:val="24"/>
        </w:rPr>
        <w:t xml:space="preserve"> </w:t>
      </w:r>
      <w:r>
        <w:rPr>
          <w:rFonts w:cs="Arial"/>
          <w:szCs w:val="24"/>
        </w:rPr>
        <w:t>у</w:t>
      </w:r>
      <w:r w:rsidR="00A56E08">
        <w:rPr>
          <w:rFonts w:cs="Arial"/>
          <w:szCs w:val="24"/>
        </w:rPr>
        <w:t>на</w:t>
      </w:r>
      <w:r>
        <w:rPr>
          <w:rFonts w:cs="Arial"/>
          <w:szCs w:val="24"/>
        </w:rPr>
        <w:t>пр</w:t>
      </w:r>
      <w:r w:rsidR="00A56E08">
        <w:rPr>
          <w:rFonts w:cs="Arial"/>
          <w:szCs w:val="24"/>
        </w:rPr>
        <w:t>ј</w:t>
      </w:r>
      <w:r w:rsidR="00EE6AA2">
        <w:rPr>
          <w:rFonts w:cs="Arial"/>
          <w:szCs w:val="24"/>
        </w:rPr>
        <w:t>е</w:t>
      </w:r>
      <w:r w:rsidR="00A56E08">
        <w:rPr>
          <w:rFonts w:cs="Arial"/>
          <w:szCs w:val="24"/>
        </w:rPr>
        <w:t>ђ</w:t>
      </w:r>
      <w:r w:rsidR="00EE6AA2">
        <w:rPr>
          <w:rFonts w:cs="Arial"/>
          <w:szCs w:val="24"/>
        </w:rPr>
        <w:t>е</w:t>
      </w:r>
      <w:r w:rsidR="00A56E08">
        <w:rPr>
          <w:rFonts w:cs="Arial"/>
          <w:szCs w:val="24"/>
        </w:rPr>
        <w:t>ња</w:t>
      </w:r>
      <w:r w:rsidR="00981831" w:rsidRPr="00F6340E">
        <w:rPr>
          <w:rFonts w:cs="Arial"/>
          <w:szCs w:val="24"/>
        </w:rPr>
        <w:t xml:space="preserve"> </w:t>
      </w:r>
      <w:r>
        <w:rPr>
          <w:rFonts w:cs="Arial"/>
          <w:szCs w:val="24"/>
        </w:rPr>
        <w:t>пр</w:t>
      </w:r>
      <w:r w:rsidR="00A56E08">
        <w:rPr>
          <w:rFonts w:cs="Arial"/>
          <w:szCs w:val="24"/>
        </w:rPr>
        <w:t>ак</w:t>
      </w:r>
      <w:r>
        <w:rPr>
          <w:rFonts w:cs="Arial"/>
          <w:szCs w:val="24"/>
        </w:rPr>
        <w:t>с</w:t>
      </w:r>
      <w:r w:rsidR="00EE6AA2">
        <w:rPr>
          <w:rFonts w:cs="Arial"/>
          <w:szCs w:val="24"/>
        </w:rPr>
        <w:t>е</w:t>
      </w:r>
      <w:r w:rsidR="00981831" w:rsidRPr="00F6340E">
        <w:rPr>
          <w:rFonts w:cs="Arial"/>
          <w:szCs w:val="24"/>
        </w:rPr>
        <w:t xml:space="preserve"> </w:t>
      </w:r>
      <w:r w:rsidR="00A975F1" w:rsidRPr="00F6340E">
        <w:rPr>
          <w:rFonts w:cs="Arial"/>
          <w:szCs w:val="24"/>
        </w:rPr>
        <w:t>(</w:t>
      </w:r>
      <w:r>
        <w:rPr>
          <w:rFonts w:cs="Arial"/>
          <w:szCs w:val="24"/>
        </w:rPr>
        <w:t>п</w:t>
      </w:r>
      <w:r w:rsidR="00A56E08">
        <w:rPr>
          <w:rFonts w:cs="Arial"/>
          <w:szCs w:val="24"/>
        </w:rPr>
        <w:t>о</w:t>
      </w:r>
      <w:r>
        <w:rPr>
          <w:rFonts w:cs="Arial"/>
          <w:szCs w:val="24"/>
        </w:rPr>
        <w:t>с</w:t>
      </w:r>
      <w:r w:rsidR="00EE6AA2">
        <w:rPr>
          <w:rFonts w:cs="Arial"/>
          <w:szCs w:val="24"/>
        </w:rPr>
        <w:t>е</w:t>
      </w:r>
      <w:r w:rsidR="00A56E08">
        <w:rPr>
          <w:rFonts w:cs="Arial"/>
          <w:szCs w:val="24"/>
        </w:rPr>
        <w:t>бно</w:t>
      </w:r>
      <w:r w:rsidR="00A975F1" w:rsidRPr="00F6340E">
        <w:rPr>
          <w:rFonts w:cs="Arial"/>
          <w:szCs w:val="24"/>
        </w:rPr>
        <w:t xml:space="preserve"> </w:t>
      </w:r>
      <w:r w:rsidR="00A56E08">
        <w:rPr>
          <w:rFonts w:cs="Arial"/>
          <w:szCs w:val="24"/>
        </w:rPr>
        <w:t>фо</w:t>
      </w:r>
      <w:r>
        <w:rPr>
          <w:rFonts w:cs="Arial"/>
          <w:szCs w:val="24"/>
        </w:rPr>
        <w:t>р</w:t>
      </w:r>
      <w:r w:rsidR="00A56E08">
        <w:rPr>
          <w:rFonts w:cs="Arial"/>
          <w:szCs w:val="24"/>
        </w:rPr>
        <w:t>ма</w:t>
      </w:r>
      <w:r>
        <w:rPr>
          <w:rFonts w:cs="Arial"/>
          <w:szCs w:val="24"/>
        </w:rPr>
        <w:t>т</w:t>
      </w:r>
      <w:r w:rsidR="00A56E08">
        <w:rPr>
          <w:rFonts w:cs="Arial"/>
          <w:szCs w:val="24"/>
        </w:rPr>
        <w:t>и</w:t>
      </w:r>
      <w:r>
        <w:rPr>
          <w:rFonts w:cs="Arial"/>
          <w:szCs w:val="24"/>
        </w:rPr>
        <w:t>в</w:t>
      </w:r>
      <w:r w:rsidR="00A56E08">
        <w:rPr>
          <w:rFonts w:cs="Arial"/>
          <w:szCs w:val="24"/>
        </w:rPr>
        <w:t>ног</w:t>
      </w:r>
      <w:r w:rsidR="00A975F1" w:rsidRPr="00F6340E">
        <w:rPr>
          <w:rFonts w:cs="Arial"/>
          <w:szCs w:val="24"/>
        </w:rPr>
        <w:t xml:space="preserve">) </w:t>
      </w:r>
      <w:r>
        <w:rPr>
          <w:rFonts w:cs="Arial"/>
          <w:szCs w:val="24"/>
        </w:rPr>
        <w:t>вр</w:t>
      </w:r>
      <w:r w:rsidR="00EE6AA2">
        <w:rPr>
          <w:rFonts w:cs="Arial"/>
          <w:szCs w:val="24"/>
        </w:rPr>
        <w:t>е</w:t>
      </w:r>
      <w:r w:rsidR="00A56E08">
        <w:rPr>
          <w:rFonts w:cs="Arial"/>
          <w:szCs w:val="24"/>
        </w:rPr>
        <w:t>дно</w:t>
      </w:r>
      <w:r>
        <w:rPr>
          <w:rFonts w:cs="Arial"/>
          <w:szCs w:val="24"/>
        </w:rPr>
        <w:t>в</w:t>
      </w:r>
      <w:r w:rsidR="00A56E08">
        <w:rPr>
          <w:rFonts w:cs="Arial"/>
          <w:szCs w:val="24"/>
        </w:rPr>
        <w:t>ања</w:t>
      </w:r>
      <w:r w:rsidR="00981831" w:rsidRPr="00F6340E">
        <w:rPr>
          <w:rFonts w:cs="Arial"/>
          <w:szCs w:val="24"/>
        </w:rPr>
        <w:t xml:space="preserve"> </w:t>
      </w:r>
      <w:r w:rsidR="00A56E08">
        <w:rPr>
          <w:rFonts w:cs="Arial"/>
          <w:szCs w:val="24"/>
        </w:rPr>
        <w:t>и</w:t>
      </w:r>
      <w:r w:rsidR="00981831" w:rsidRPr="00F6340E">
        <w:rPr>
          <w:rFonts w:cs="Arial"/>
          <w:szCs w:val="24"/>
        </w:rPr>
        <w:t xml:space="preserve"> </w:t>
      </w:r>
      <w:r>
        <w:rPr>
          <w:rFonts w:cs="Arial"/>
          <w:szCs w:val="24"/>
        </w:rPr>
        <w:t>у</w:t>
      </w:r>
      <w:r w:rsidR="00981831" w:rsidRPr="00F6340E">
        <w:rPr>
          <w:rFonts w:cs="Arial"/>
          <w:szCs w:val="24"/>
        </w:rPr>
        <w:t xml:space="preserve"> </w:t>
      </w:r>
      <w:r>
        <w:rPr>
          <w:rFonts w:cs="Arial"/>
          <w:szCs w:val="24"/>
        </w:rPr>
        <w:t>в</w:t>
      </w:r>
      <w:r w:rsidR="00A56E08">
        <w:rPr>
          <w:rFonts w:cs="Arial"/>
          <w:szCs w:val="24"/>
        </w:rPr>
        <w:t>и</w:t>
      </w:r>
      <w:r>
        <w:rPr>
          <w:rFonts w:cs="Arial"/>
          <w:szCs w:val="24"/>
        </w:rPr>
        <w:t>с</w:t>
      </w:r>
      <w:r w:rsidR="00A56E08">
        <w:rPr>
          <w:rFonts w:cs="Arial"/>
          <w:szCs w:val="24"/>
        </w:rPr>
        <w:t>око</w:t>
      </w:r>
      <w:r>
        <w:rPr>
          <w:rFonts w:cs="Arial"/>
          <w:szCs w:val="24"/>
        </w:rPr>
        <w:t>ш</w:t>
      </w:r>
      <w:r w:rsidR="00A56E08">
        <w:rPr>
          <w:rFonts w:cs="Arial"/>
          <w:szCs w:val="24"/>
        </w:rPr>
        <w:t>кол</w:t>
      </w:r>
      <w:r>
        <w:rPr>
          <w:rFonts w:cs="Arial"/>
          <w:szCs w:val="24"/>
        </w:rPr>
        <w:t>с</w:t>
      </w:r>
      <w:r w:rsidR="00A56E08">
        <w:rPr>
          <w:rFonts w:cs="Arial"/>
          <w:szCs w:val="24"/>
        </w:rPr>
        <w:t>ком</w:t>
      </w:r>
      <w:r w:rsidR="00981831" w:rsidRPr="00F6340E">
        <w:rPr>
          <w:rFonts w:cs="Arial"/>
          <w:szCs w:val="24"/>
        </w:rPr>
        <w:t xml:space="preserve"> </w:t>
      </w:r>
      <w:r w:rsidR="00A56E08">
        <w:rPr>
          <w:rFonts w:cs="Arial"/>
          <w:szCs w:val="24"/>
        </w:rPr>
        <w:t>об</w:t>
      </w:r>
      <w:r>
        <w:rPr>
          <w:rFonts w:cs="Arial"/>
          <w:szCs w:val="24"/>
        </w:rPr>
        <w:t>р</w:t>
      </w:r>
      <w:r w:rsidR="00A56E08">
        <w:rPr>
          <w:rFonts w:cs="Arial"/>
          <w:szCs w:val="24"/>
        </w:rPr>
        <w:t>а</w:t>
      </w:r>
      <w:r w:rsidR="00171F00">
        <w:rPr>
          <w:rFonts w:cs="Arial"/>
          <w:szCs w:val="24"/>
        </w:rPr>
        <w:t>з</w:t>
      </w:r>
      <w:r w:rsidR="00A56E08">
        <w:rPr>
          <w:rFonts w:cs="Arial"/>
          <w:szCs w:val="24"/>
        </w:rPr>
        <w:t>о</w:t>
      </w:r>
      <w:r>
        <w:rPr>
          <w:rFonts w:cs="Arial"/>
          <w:szCs w:val="24"/>
        </w:rPr>
        <w:t>в</w:t>
      </w:r>
      <w:r w:rsidR="00A56E08">
        <w:rPr>
          <w:rFonts w:cs="Arial"/>
          <w:szCs w:val="24"/>
        </w:rPr>
        <w:t>ањ</w:t>
      </w:r>
      <w:r>
        <w:rPr>
          <w:rFonts w:cs="Arial"/>
          <w:szCs w:val="24"/>
        </w:rPr>
        <w:t>у</w:t>
      </w:r>
      <w:r w:rsidR="00B04FA8">
        <w:rPr>
          <w:rFonts w:cs="Arial"/>
          <w:szCs w:val="24"/>
        </w:rPr>
        <w:t xml:space="preserve"> </w:t>
      </w:r>
      <w:r w:rsidR="001F2F40">
        <w:rPr>
          <w:rFonts w:cs="Arial"/>
          <w:szCs w:val="24"/>
        </w:rPr>
        <w:t>с обзиром</w:t>
      </w:r>
      <w:r w:rsidR="00981831" w:rsidRPr="00F6340E">
        <w:rPr>
          <w:rFonts w:cs="Arial"/>
          <w:szCs w:val="24"/>
        </w:rPr>
        <w:t xml:space="preserve"> </w:t>
      </w:r>
      <w:r w:rsidR="00A56E08">
        <w:rPr>
          <w:rFonts w:cs="Arial"/>
          <w:szCs w:val="24"/>
        </w:rPr>
        <w:t>да</w:t>
      </w:r>
      <w:r w:rsidR="00981831" w:rsidRPr="00F6340E">
        <w:rPr>
          <w:rFonts w:cs="Arial"/>
          <w:szCs w:val="24"/>
        </w:rPr>
        <w:t xml:space="preserve"> </w:t>
      </w:r>
      <w:r w:rsidR="00A56E08">
        <w:rPr>
          <w:rFonts w:cs="Arial"/>
          <w:szCs w:val="24"/>
        </w:rPr>
        <w:t>ј</w:t>
      </w:r>
      <w:r w:rsidR="00EE6AA2">
        <w:rPr>
          <w:rFonts w:cs="Arial"/>
          <w:szCs w:val="24"/>
        </w:rPr>
        <w:t>е</w:t>
      </w:r>
      <w:r w:rsidR="00981831" w:rsidRPr="00F6340E">
        <w:rPr>
          <w:rFonts w:cs="Arial"/>
          <w:szCs w:val="24"/>
        </w:rPr>
        <w:t xml:space="preserve"> </w:t>
      </w:r>
      <w:r w:rsidR="00A56E08">
        <w:rPr>
          <w:rFonts w:cs="Arial"/>
          <w:szCs w:val="24"/>
        </w:rPr>
        <w:t>диги</w:t>
      </w:r>
      <w:r>
        <w:rPr>
          <w:rFonts w:cs="Arial"/>
          <w:szCs w:val="24"/>
        </w:rPr>
        <w:t>т</w:t>
      </w:r>
      <w:r w:rsidR="00A56E08">
        <w:rPr>
          <w:rFonts w:cs="Arial"/>
          <w:szCs w:val="24"/>
        </w:rPr>
        <w:t>ална</w:t>
      </w:r>
      <w:r w:rsidR="00981831" w:rsidRPr="00F6340E">
        <w:rPr>
          <w:rFonts w:cs="Arial"/>
          <w:szCs w:val="24"/>
        </w:rPr>
        <w:t xml:space="preserve"> </w:t>
      </w:r>
      <w:r>
        <w:rPr>
          <w:rFonts w:cs="Arial"/>
          <w:szCs w:val="24"/>
        </w:rPr>
        <w:t>тр</w:t>
      </w:r>
      <w:r w:rsidR="00A56E08">
        <w:rPr>
          <w:rFonts w:cs="Arial"/>
          <w:szCs w:val="24"/>
        </w:rPr>
        <w:t>ан</w:t>
      </w:r>
      <w:r>
        <w:rPr>
          <w:rFonts w:cs="Arial"/>
          <w:szCs w:val="24"/>
        </w:rPr>
        <w:t>с</w:t>
      </w:r>
      <w:r w:rsidR="00A56E08">
        <w:rPr>
          <w:rFonts w:cs="Arial"/>
          <w:szCs w:val="24"/>
        </w:rPr>
        <w:t>фо</w:t>
      </w:r>
      <w:r>
        <w:rPr>
          <w:rFonts w:cs="Arial"/>
          <w:szCs w:val="24"/>
        </w:rPr>
        <w:t>р</w:t>
      </w:r>
      <w:r w:rsidR="00A56E08">
        <w:rPr>
          <w:rFonts w:cs="Arial"/>
          <w:szCs w:val="24"/>
        </w:rPr>
        <w:t>мација</w:t>
      </w:r>
      <w:r w:rsidR="00981831" w:rsidRPr="00F6340E">
        <w:rPr>
          <w:rFonts w:cs="Arial"/>
          <w:szCs w:val="24"/>
        </w:rPr>
        <w:t xml:space="preserve"> </w:t>
      </w:r>
      <w:r w:rsidR="00A56E08">
        <w:rPr>
          <w:rFonts w:cs="Arial"/>
          <w:szCs w:val="24"/>
        </w:rPr>
        <w:t>об</w:t>
      </w:r>
      <w:r>
        <w:rPr>
          <w:rFonts w:cs="Arial"/>
          <w:szCs w:val="24"/>
        </w:rPr>
        <w:t>р</w:t>
      </w:r>
      <w:r w:rsidR="00A56E08">
        <w:rPr>
          <w:rFonts w:cs="Arial"/>
          <w:szCs w:val="24"/>
        </w:rPr>
        <w:t>а</w:t>
      </w:r>
      <w:r w:rsidR="00171F00">
        <w:rPr>
          <w:rFonts w:cs="Arial"/>
          <w:szCs w:val="24"/>
        </w:rPr>
        <w:t>з</w:t>
      </w:r>
      <w:r w:rsidR="00A56E08">
        <w:rPr>
          <w:rFonts w:cs="Arial"/>
          <w:szCs w:val="24"/>
        </w:rPr>
        <w:t>о</w:t>
      </w:r>
      <w:r>
        <w:rPr>
          <w:rFonts w:cs="Arial"/>
          <w:szCs w:val="24"/>
        </w:rPr>
        <w:t>в</w:t>
      </w:r>
      <w:r w:rsidR="00A56E08">
        <w:rPr>
          <w:rFonts w:cs="Arial"/>
          <w:szCs w:val="24"/>
        </w:rPr>
        <w:t>ања</w:t>
      </w:r>
      <w:r w:rsidR="00981831" w:rsidRPr="00F6340E">
        <w:rPr>
          <w:rFonts w:cs="Arial"/>
          <w:szCs w:val="24"/>
        </w:rPr>
        <w:t xml:space="preserve"> </w:t>
      </w:r>
      <w:r w:rsidR="00A56E08">
        <w:rPr>
          <w:rFonts w:cs="Arial"/>
          <w:szCs w:val="24"/>
        </w:rPr>
        <w:t>им</w:t>
      </w:r>
      <w:r>
        <w:rPr>
          <w:rFonts w:cs="Arial"/>
          <w:szCs w:val="24"/>
        </w:rPr>
        <w:t>п</w:t>
      </w:r>
      <w:r w:rsidR="00EE6AA2">
        <w:rPr>
          <w:rFonts w:cs="Arial"/>
          <w:szCs w:val="24"/>
        </w:rPr>
        <w:t>е</w:t>
      </w:r>
      <w:r>
        <w:rPr>
          <w:rFonts w:cs="Arial"/>
          <w:szCs w:val="24"/>
        </w:rPr>
        <w:t>р</w:t>
      </w:r>
      <w:r w:rsidR="00A56E08">
        <w:rPr>
          <w:rFonts w:cs="Arial"/>
          <w:szCs w:val="24"/>
        </w:rPr>
        <w:t>а</w:t>
      </w:r>
      <w:r>
        <w:rPr>
          <w:rFonts w:cs="Arial"/>
          <w:szCs w:val="24"/>
        </w:rPr>
        <w:t>т</w:t>
      </w:r>
      <w:r w:rsidR="00A56E08">
        <w:rPr>
          <w:rFonts w:cs="Arial"/>
          <w:szCs w:val="24"/>
        </w:rPr>
        <w:t>и</w:t>
      </w:r>
      <w:r>
        <w:rPr>
          <w:rFonts w:cs="Arial"/>
          <w:szCs w:val="24"/>
        </w:rPr>
        <w:t>в</w:t>
      </w:r>
      <w:r w:rsidR="00E13281" w:rsidRPr="00F6340E">
        <w:rPr>
          <w:rFonts w:cs="Arial"/>
          <w:szCs w:val="24"/>
        </w:rPr>
        <w:t xml:space="preserve"> </w:t>
      </w:r>
      <w:r>
        <w:rPr>
          <w:rFonts w:cs="Arial"/>
          <w:szCs w:val="24"/>
        </w:rPr>
        <w:lastRenderedPageBreak/>
        <w:t>р</w:t>
      </w:r>
      <w:r w:rsidR="00A56E08">
        <w:rPr>
          <w:rFonts w:cs="Arial"/>
          <w:szCs w:val="24"/>
        </w:rPr>
        <w:t>а</w:t>
      </w:r>
      <w:r w:rsidR="00171F00">
        <w:rPr>
          <w:rFonts w:cs="Arial"/>
          <w:szCs w:val="24"/>
        </w:rPr>
        <w:t>з</w:t>
      </w:r>
      <w:r>
        <w:rPr>
          <w:rFonts w:cs="Arial"/>
          <w:szCs w:val="24"/>
        </w:rPr>
        <w:t>в</w:t>
      </w:r>
      <w:r w:rsidR="00A56E08">
        <w:rPr>
          <w:rFonts w:cs="Arial"/>
          <w:szCs w:val="24"/>
        </w:rPr>
        <w:t>оја</w:t>
      </w:r>
      <w:r w:rsidR="00E13281" w:rsidRPr="00F6340E">
        <w:rPr>
          <w:rFonts w:cs="Arial"/>
          <w:szCs w:val="24"/>
        </w:rPr>
        <w:t xml:space="preserve"> </w:t>
      </w:r>
      <w:r w:rsidR="00A56E08">
        <w:rPr>
          <w:rFonts w:cs="Arial"/>
          <w:szCs w:val="24"/>
        </w:rPr>
        <w:t>д</w:t>
      </w:r>
      <w:r>
        <w:rPr>
          <w:rFonts w:cs="Arial"/>
          <w:szCs w:val="24"/>
        </w:rPr>
        <w:t>руштв</w:t>
      </w:r>
      <w:r w:rsidR="00A56E08">
        <w:rPr>
          <w:rFonts w:cs="Arial"/>
          <w:szCs w:val="24"/>
        </w:rPr>
        <w:t>а</w:t>
      </w:r>
      <w:r w:rsidR="00E13281" w:rsidRPr="00F6340E">
        <w:rPr>
          <w:rFonts w:cs="Arial"/>
          <w:szCs w:val="24"/>
        </w:rPr>
        <w:t xml:space="preserve"> </w:t>
      </w:r>
      <w:r w:rsidR="00A56E08">
        <w:rPr>
          <w:rFonts w:cs="Arial"/>
          <w:szCs w:val="24"/>
        </w:rPr>
        <w:t>н</w:t>
      </w:r>
      <w:r w:rsidR="00EE6AA2">
        <w:rPr>
          <w:rFonts w:cs="Arial"/>
          <w:szCs w:val="24"/>
        </w:rPr>
        <w:t>е</w:t>
      </w:r>
      <w:r w:rsidR="00171F00">
        <w:rPr>
          <w:rFonts w:cs="Arial"/>
          <w:szCs w:val="24"/>
        </w:rPr>
        <w:t>з</w:t>
      </w:r>
      <w:r w:rsidR="00A56E08">
        <w:rPr>
          <w:rFonts w:cs="Arial"/>
          <w:szCs w:val="24"/>
        </w:rPr>
        <w:t>а</w:t>
      </w:r>
      <w:r>
        <w:rPr>
          <w:rFonts w:cs="Arial"/>
          <w:szCs w:val="24"/>
        </w:rPr>
        <w:t>в</w:t>
      </w:r>
      <w:r w:rsidR="00A56E08">
        <w:rPr>
          <w:rFonts w:cs="Arial"/>
          <w:szCs w:val="24"/>
        </w:rPr>
        <w:t>и</w:t>
      </w:r>
      <w:r>
        <w:rPr>
          <w:rFonts w:cs="Arial"/>
          <w:szCs w:val="24"/>
        </w:rPr>
        <w:t>с</w:t>
      </w:r>
      <w:r w:rsidR="00A56E08">
        <w:rPr>
          <w:rFonts w:cs="Arial"/>
          <w:szCs w:val="24"/>
        </w:rPr>
        <w:t>но</w:t>
      </w:r>
      <w:r w:rsidR="00E13281" w:rsidRPr="00F6340E">
        <w:rPr>
          <w:rFonts w:cs="Arial"/>
          <w:szCs w:val="24"/>
        </w:rPr>
        <w:t xml:space="preserve"> </w:t>
      </w:r>
      <w:r w:rsidR="00A56E08">
        <w:rPr>
          <w:rFonts w:cs="Arial"/>
          <w:szCs w:val="24"/>
        </w:rPr>
        <w:t>о</w:t>
      </w:r>
      <w:r w:rsidR="00E13281" w:rsidRPr="00F6340E">
        <w:rPr>
          <w:rFonts w:cs="Arial"/>
          <w:szCs w:val="24"/>
        </w:rPr>
        <w:t xml:space="preserve"> </w:t>
      </w:r>
      <w:r>
        <w:rPr>
          <w:rFonts w:cs="Arial"/>
          <w:szCs w:val="24"/>
        </w:rPr>
        <w:t>в</w:t>
      </w:r>
      <w:r w:rsidR="00A56E08">
        <w:rPr>
          <w:rFonts w:cs="Arial"/>
          <w:szCs w:val="24"/>
        </w:rPr>
        <w:t>ан</w:t>
      </w:r>
      <w:r>
        <w:rPr>
          <w:rFonts w:cs="Arial"/>
          <w:szCs w:val="24"/>
        </w:rPr>
        <w:t>р</w:t>
      </w:r>
      <w:r w:rsidR="00EE6AA2">
        <w:rPr>
          <w:rFonts w:cs="Arial"/>
          <w:szCs w:val="24"/>
        </w:rPr>
        <w:t>е</w:t>
      </w:r>
      <w:r w:rsidR="00A56E08">
        <w:rPr>
          <w:rFonts w:cs="Arial"/>
          <w:szCs w:val="24"/>
        </w:rPr>
        <w:t>дним</w:t>
      </w:r>
      <w:r w:rsidR="00E13281" w:rsidRPr="00F6340E">
        <w:rPr>
          <w:rFonts w:cs="Arial"/>
          <w:szCs w:val="24"/>
        </w:rPr>
        <w:t xml:space="preserve"> </w:t>
      </w:r>
      <w:r>
        <w:rPr>
          <w:rFonts w:cs="Arial"/>
          <w:szCs w:val="24"/>
        </w:rPr>
        <w:t>с</w:t>
      </w:r>
      <w:r w:rsidR="00A56E08">
        <w:rPr>
          <w:rFonts w:cs="Arial"/>
          <w:szCs w:val="24"/>
        </w:rPr>
        <w:t>и</w:t>
      </w:r>
      <w:r>
        <w:rPr>
          <w:rFonts w:cs="Arial"/>
          <w:szCs w:val="24"/>
        </w:rPr>
        <w:t>ту</w:t>
      </w:r>
      <w:r w:rsidR="00A56E08">
        <w:rPr>
          <w:rFonts w:cs="Arial"/>
          <w:szCs w:val="24"/>
        </w:rPr>
        <w:t>ацијама</w:t>
      </w:r>
      <w:r w:rsidR="00E13281" w:rsidRPr="00F6340E">
        <w:rPr>
          <w:rFonts w:cs="Arial"/>
          <w:szCs w:val="24"/>
        </w:rPr>
        <w:t xml:space="preserve"> (</w:t>
      </w:r>
      <w:r>
        <w:rPr>
          <w:rFonts w:cs="Arial"/>
          <w:szCs w:val="24"/>
        </w:rPr>
        <w:t>п</w:t>
      </w:r>
      <w:r w:rsidR="00A56E08">
        <w:rPr>
          <w:rFonts w:cs="Arial"/>
          <w:szCs w:val="24"/>
        </w:rPr>
        <w:t>о</w:t>
      </w:r>
      <w:r>
        <w:rPr>
          <w:rFonts w:cs="Arial"/>
          <w:szCs w:val="24"/>
        </w:rPr>
        <w:t>пут</w:t>
      </w:r>
      <w:r w:rsidR="00E13281" w:rsidRPr="00F6340E">
        <w:rPr>
          <w:rFonts w:cs="Arial"/>
          <w:szCs w:val="24"/>
        </w:rPr>
        <w:t xml:space="preserve"> </w:t>
      </w:r>
      <w:r>
        <w:rPr>
          <w:rFonts w:cs="Arial"/>
          <w:szCs w:val="24"/>
        </w:rPr>
        <w:t>п</w:t>
      </w:r>
      <w:r w:rsidR="00A56E08">
        <w:rPr>
          <w:rFonts w:cs="Arial"/>
          <w:szCs w:val="24"/>
        </w:rPr>
        <w:t>анд</w:t>
      </w:r>
      <w:r w:rsidR="00EE6AA2">
        <w:rPr>
          <w:rFonts w:cs="Arial"/>
          <w:szCs w:val="24"/>
        </w:rPr>
        <w:t>е</w:t>
      </w:r>
      <w:r w:rsidR="00A56E08">
        <w:rPr>
          <w:rFonts w:cs="Arial"/>
          <w:szCs w:val="24"/>
        </w:rPr>
        <w:t>миј</w:t>
      </w:r>
      <w:r w:rsidR="00EE6AA2">
        <w:rPr>
          <w:rFonts w:cs="Arial"/>
          <w:szCs w:val="24"/>
        </w:rPr>
        <w:t>е</w:t>
      </w:r>
      <w:r w:rsidR="00E13281" w:rsidRPr="00F6340E">
        <w:rPr>
          <w:rFonts w:cs="Arial"/>
          <w:szCs w:val="24"/>
        </w:rPr>
        <w:t xml:space="preserve"> </w:t>
      </w:r>
      <w:r w:rsidR="00A56E08">
        <w:rPr>
          <w:rFonts w:cs="Arial"/>
          <w:szCs w:val="24"/>
        </w:rPr>
        <w:t>Цо</w:t>
      </w:r>
      <w:r>
        <w:rPr>
          <w:rFonts w:cs="Arial"/>
          <w:szCs w:val="24"/>
        </w:rPr>
        <w:t>в</w:t>
      </w:r>
      <w:r w:rsidR="00A56E08">
        <w:rPr>
          <w:rFonts w:cs="Arial"/>
          <w:szCs w:val="24"/>
        </w:rPr>
        <w:t>ид</w:t>
      </w:r>
      <w:r w:rsidR="00E13281" w:rsidRPr="00F6340E">
        <w:rPr>
          <w:rFonts w:cs="Arial"/>
          <w:szCs w:val="24"/>
        </w:rPr>
        <w:t xml:space="preserve">-19) </w:t>
      </w:r>
      <w:r w:rsidR="00171F00">
        <w:rPr>
          <w:rFonts w:cs="Arial"/>
          <w:szCs w:val="24"/>
        </w:rPr>
        <w:t>з</w:t>
      </w:r>
      <w:r w:rsidR="00A56E08">
        <w:rPr>
          <w:rFonts w:cs="Arial"/>
          <w:szCs w:val="24"/>
        </w:rPr>
        <w:t>бог</w:t>
      </w:r>
      <w:r w:rsidR="00E13281" w:rsidRPr="00F6340E">
        <w:rPr>
          <w:rFonts w:cs="Arial"/>
          <w:szCs w:val="24"/>
        </w:rPr>
        <w:t xml:space="preserve"> </w:t>
      </w:r>
      <w:r w:rsidR="00A56E08">
        <w:rPr>
          <w:rFonts w:cs="Arial"/>
          <w:szCs w:val="24"/>
        </w:rPr>
        <w:t>којих</w:t>
      </w:r>
      <w:r w:rsidR="00E13281" w:rsidRPr="00F6340E">
        <w:rPr>
          <w:rFonts w:cs="Arial"/>
          <w:szCs w:val="24"/>
        </w:rPr>
        <w:t xml:space="preserve"> </w:t>
      </w:r>
      <w:r>
        <w:rPr>
          <w:rFonts w:cs="Arial"/>
          <w:szCs w:val="24"/>
        </w:rPr>
        <w:t>су</w:t>
      </w:r>
      <w:r w:rsidR="00E13281" w:rsidRPr="00F6340E">
        <w:rPr>
          <w:rFonts w:cs="Arial"/>
          <w:szCs w:val="24"/>
        </w:rPr>
        <w:t xml:space="preserve"> </w:t>
      </w:r>
      <w:r w:rsidR="00A56E08">
        <w:rPr>
          <w:rFonts w:cs="Arial"/>
          <w:szCs w:val="24"/>
        </w:rPr>
        <w:t>н</w:t>
      </w:r>
      <w:r w:rsidR="00EE6AA2">
        <w:rPr>
          <w:rFonts w:cs="Arial"/>
          <w:szCs w:val="24"/>
        </w:rPr>
        <w:t>е</w:t>
      </w:r>
      <w:r w:rsidR="00A56E08">
        <w:rPr>
          <w:rFonts w:cs="Arial"/>
          <w:szCs w:val="24"/>
        </w:rPr>
        <w:t>до</w:t>
      </w:r>
      <w:r>
        <w:rPr>
          <w:rFonts w:cs="Arial"/>
          <w:szCs w:val="24"/>
        </w:rPr>
        <w:t>ст</w:t>
      </w:r>
      <w:r w:rsidR="00A56E08">
        <w:rPr>
          <w:rFonts w:cs="Arial"/>
          <w:szCs w:val="24"/>
        </w:rPr>
        <w:t>аци</w:t>
      </w:r>
      <w:r w:rsidR="00E13281" w:rsidRPr="00F6340E">
        <w:rPr>
          <w:rFonts w:cs="Arial"/>
          <w:szCs w:val="24"/>
        </w:rPr>
        <w:t xml:space="preserve"> </w:t>
      </w:r>
      <w:r>
        <w:rPr>
          <w:rFonts w:cs="Arial"/>
          <w:szCs w:val="24"/>
        </w:rPr>
        <w:t>п</w:t>
      </w:r>
      <w:r w:rsidR="00A56E08">
        <w:rPr>
          <w:rFonts w:cs="Arial"/>
          <w:szCs w:val="24"/>
        </w:rPr>
        <w:t>о</w:t>
      </w:r>
      <w:r>
        <w:rPr>
          <w:rFonts w:cs="Arial"/>
          <w:szCs w:val="24"/>
        </w:rPr>
        <w:t>ст</w:t>
      </w:r>
      <w:r w:rsidR="00A56E08">
        <w:rPr>
          <w:rFonts w:cs="Arial"/>
          <w:szCs w:val="24"/>
        </w:rPr>
        <w:t>ој</w:t>
      </w:r>
      <w:r w:rsidR="00EE6AA2">
        <w:rPr>
          <w:rFonts w:cs="Arial"/>
          <w:szCs w:val="24"/>
        </w:rPr>
        <w:t>е</w:t>
      </w:r>
      <w:r w:rsidR="00A56E08">
        <w:rPr>
          <w:rFonts w:cs="Arial"/>
          <w:szCs w:val="24"/>
        </w:rPr>
        <w:t>ћих</w:t>
      </w:r>
      <w:r w:rsidR="00E13281" w:rsidRPr="00F6340E">
        <w:rPr>
          <w:rFonts w:cs="Arial"/>
          <w:szCs w:val="24"/>
        </w:rPr>
        <w:t xml:space="preserve"> </w:t>
      </w:r>
      <w:r>
        <w:rPr>
          <w:rFonts w:cs="Arial"/>
          <w:szCs w:val="24"/>
        </w:rPr>
        <w:t>пр</w:t>
      </w:r>
      <w:r w:rsidR="00A56E08">
        <w:rPr>
          <w:rFonts w:cs="Arial"/>
          <w:szCs w:val="24"/>
        </w:rPr>
        <w:t>ак</w:t>
      </w:r>
      <w:r>
        <w:rPr>
          <w:rFonts w:cs="Arial"/>
          <w:szCs w:val="24"/>
        </w:rPr>
        <w:t>с</w:t>
      </w:r>
      <w:r w:rsidR="00A56E08">
        <w:rPr>
          <w:rFonts w:cs="Arial"/>
          <w:szCs w:val="24"/>
        </w:rPr>
        <w:t>и</w:t>
      </w:r>
      <w:r w:rsidR="00E13281" w:rsidRPr="00F6340E">
        <w:rPr>
          <w:rFonts w:cs="Arial"/>
          <w:szCs w:val="24"/>
        </w:rPr>
        <w:t xml:space="preserve"> </w:t>
      </w:r>
      <w:r>
        <w:rPr>
          <w:rFonts w:cs="Arial"/>
          <w:szCs w:val="24"/>
        </w:rPr>
        <w:t>п</w:t>
      </w:r>
      <w:r w:rsidR="00A56E08">
        <w:rPr>
          <w:rFonts w:cs="Arial"/>
          <w:szCs w:val="24"/>
        </w:rPr>
        <w:t>о</w:t>
      </w:r>
      <w:r>
        <w:rPr>
          <w:rFonts w:cs="Arial"/>
          <w:szCs w:val="24"/>
        </w:rPr>
        <w:t>ст</w:t>
      </w:r>
      <w:r w:rsidR="00A56E08">
        <w:rPr>
          <w:rFonts w:cs="Arial"/>
          <w:szCs w:val="24"/>
        </w:rPr>
        <w:t>али</w:t>
      </w:r>
      <w:r w:rsidR="00E13281" w:rsidRPr="00F6340E">
        <w:rPr>
          <w:rFonts w:cs="Arial"/>
          <w:szCs w:val="24"/>
        </w:rPr>
        <w:t xml:space="preserve"> </w:t>
      </w:r>
      <w:r>
        <w:rPr>
          <w:rFonts w:cs="Arial"/>
          <w:szCs w:val="24"/>
        </w:rPr>
        <w:t>в</w:t>
      </w:r>
      <w:r w:rsidR="00A56E08">
        <w:rPr>
          <w:rFonts w:cs="Arial"/>
          <w:szCs w:val="24"/>
        </w:rPr>
        <w:t>идљи</w:t>
      </w:r>
      <w:r>
        <w:rPr>
          <w:rFonts w:cs="Arial"/>
          <w:szCs w:val="24"/>
        </w:rPr>
        <w:t>в</w:t>
      </w:r>
      <w:r w:rsidR="00A56E08">
        <w:rPr>
          <w:rFonts w:cs="Arial"/>
          <w:szCs w:val="24"/>
        </w:rPr>
        <w:t>ији</w:t>
      </w:r>
      <w:r w:rsidR="00E13281" w:rsidRPr="00F6340E">
        <w:rPr>
          <w:rFonts w:cs="Arial"/>
          <w:szCs w:val="24"/>
        </w:rPr>
        <w:t xml:space="preserve">. </w:t>
      </w:r>
    </w:p>
    <w:p w14:paraId="16662A07" w14:textId="7702F696" w:rsidR="00E519B0" w:rsidRPr="00F6340E" w:rsidRDefault="00A56E08" w:rsidP="00210EE1">
      <w:pPr>
        <w:pStyle w:val="Body"/>
        <w:rPr>
          <w:rFonts w:cs="Arial"/>
          <w:color w:val="000000" w:themeColor="text1"/>
          <w:szCs w:val="24"/>
        </w:rPr>
      </w:pPr>
      <w:r>
        <w:rPr>
          <w:rFonts w:cs="Arial"/>
          <w:color w:val="000000" w:themeColor="text1"/>
          <w:szCs w:val="24"/>
        </w:rPr>
        <w:t>Гл</w:t>
      </w:r>
      <w:r w:rsidR="00EE6AA2">
        <w:rPr>
          <w:rFonts w:cs="Arial"/>
          <w:color w:val="000000" w:themeColor="text1"/>
          <w:szCs w:val="24"/>
        </w:rPr>
        <w:t>е</w:t>
      </w:r>
      <w:r>
        <w:rPr>
          <w:rFonts w:cs="Arial"/>
          <w:color w:val="000000" w:themeColor="text1"/>
          <w:szCs w:val="24"/>
        </w:rPr>
        <w:t>дано</w:t>
      </w:r>
      <w:r w:rsidR="005659BE" w:rsidRPr="00F6340E">
        <w:rPr>
          <w:rFonts w:cs="Arial"/>
          <w:color w:val="000000" w:themeColor="text1"/>
          <w:szCs w:val="24"/>
        </w:rPr>
        <w:t xml:space="preserve"> </w:t>
      </w:r>
      <w:r>
        <w:rPr>
          <w:rFonts w:cs="Arial"/>
          <w:color w:val="000000" w:themeColor="text1"/>
          <w:szCs w:val="24"/>
        </w:rPr>
        <w:t>к</w:t>
      </w:r>
      <w:r w:rsidR="0071360A">
        <w:rPr>
          <w:rFonts w:cs="Arial"/>
          <w:color w:val="000000" w:themeColor="text1"/>
          <w:szCs w:val="24"/>
        </w:rPr>
        <w:t>р</w:t>
      </w:r>
      <w:r>
        <w:rPr>
          <w:rFonts w:cs="Arial"/>
          <w:color w:val="000000" w:themeColor="text1"/>
          <w:szCs w:val="24"/>
        </w:rPr>
        <w:t>о</w:t>
      </w:r>
      <w:r w:rsidR="00171F00">
        <w:rPr>
          <w:rFonts w:cs="Arial"/>
          <w:color w:val="000000" w:themeColor="text1"/>
          <w:szCs w:val="24"/>
        </w:rPr>
        <w:t>з</w:t>
      </w:r>
      <w:r w:rsidR="005659BE"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и</w:t>
      </w:r>
      <w:r w:rsidR="00171F00">
        <w:rPr>
          <w:rFonts w:cs="Arial"/>
          <w:color w:val="000000" w:themeColor="text1"/>
          <w:szCs w:val="24"/>
        </w:rPr>
        <w:t>з</w:t>
      </w:r>
      <w:r>
        <w:rPr>
          <w:rFonts w:cs="Arial"/>
          <w:color w:val="000000" w:themeColor="text1"/>
          <w:szCs w:val="24"/>
        </w:rPr>
        <w:t>м</w:t>
      </w:r>
      <w:r w:rsidR="0071360A">
        <w:rPr>
          <w:rFonts w:cs="Arial"/>
          <w:color w:val="000000" w:themeColor="text1"/>
          <w:szCs w:val="24"/>
        </w:rPr>
        <w:t>у</w:t>
      </w:r>
      <w:r w:rsidR="005659BE" w:rsidRPr="00F6340E">
        <w:rPr>
          <w:rFonts w:cs="Arial"/>
          <w:color w:val="000000" w:themeColor="text1"/>
          <w:szCs w:val="24"/>
        </w:rPr>
        <w:t xml:space="preserve"> </w:t>
      </w:r>
      <w:r w:rsidR="0071360A">
        <w:rPr>
          <w:rFonts w:cs="Arial"/>
          <w:color w:val="000000" w:themeColor="text1"/>
          <w:szCs w:val="24"/>
        </w:rPr>
        <w:t>с</w:t>
      </w:r>
      <w:r>
        <w:rPr>
          <w:rFonts w:cs="Arial"/>
          <w:color w:val="000000" w:themeColor="text1"/>
          <w:szCs w:val="24"/>
        </w:rPr>
        <w:t>а</w:t>
      </w:r>
      <w:r w:rsidR="0071360A">
        <w:rPr>
          <w:rFonts w:cs="Arial"/>
          <w:color w:val="000000" w:themeColor="text1"/>
          <w:szCs w:val="24"/>
        </w:rPr>
        <w:t>вр</w:t>
      </w:r>
      <w:r w:rsidR="00EE6AA2">
        <w:rPr>
          <w:rFonts w:cs="Arial"/>
          <w:color w:val="000000" w:themeColor="text1"/>
          <w:szCs w:val="24"/>
        </w:rPr>
        <w:t>е</w:t>
      </w:r>
      <w:r>
        <w:rPr>
          <w:rFonts w:cs="Arial"/>
          <w:color w:val="000000" w:themeColor="text1"/>
          <w:szCs w:val="24"/>
        </w:rPr>
        <w:t>м</w:t>
      </w:r>
      <w:r w:rsidR="00EE6AA2">
        <w:rPr>
          <w:rFonts w:cs="Arial"/>
          <w:color w:val="000000" w:themeColor="text1"/>
          <w:szCs w:val="24"/>
        </w:rPr>
        <w:t>е</w:t>
      </w:r>
      <w:r>
        <w:rPr>
          <w:rFonts w:cs="Arial"/>
          <w:color w:val="000000" w:themeColor="text1"/>
          <w:szCs w:val="24"/>
        </w:rPr>
        <w:t>них</w:t>
      </w:r>
      <w:r w:rsidR="005659BE" w:rsidRPr="00F6340E">
        <w:rPr>
          <w:rFonts w:cs="Arial"/>
          <w:color w:val="000000" w:themeColor="text1"/>
          <w:szCs w:val="24"/>
        </w:rPr>
        <w:t xml:space="preserve"> </w:t>
      </w:r>
      <w:r w:rsidR="0071360A">
        <w:rPr>
          <w:rFonts w:cs="Arial"/>
          <w:color w:val="000000" w:themeColor="text1"/>
          <w:szCs w:val="24"/>
        </w:rPr>
        <w:t>т</w:t>
      </w:r>
      <w:r w:rsidR="00EE6AA2">
        <w:rPr>
          <w:rFonts w:cs="Arial"/>
          <w:color w:val="000000" w:themeColor="text1"/>
          <w:szCs w:val="24"/>
        </w:rPr>
        <w:t>е</w:t>
      </w:r>
      <w:r w:rsidR="00171F00">
        <w:rPr>
          <w:rFonts w:cs="Arial"/>
          <w:color w:val="000000" w:themeColor="text1"/>
          <w:szCs w:val="24"/>
        </w:rPr>
        <w:t>ж</w:t>
      </w:r>
      <w:r>
        <w:rPr>
          <w:rFonts w:cs="Arial"/>
          <w:color w:val="000000" w:themeColor="text1"/>
          <w:szCs w:val="24"/>
        </w:rPr>
        <w:t>њи</w:t>
      </w:r>
      <w:r w:rsidR="005659BE" w:rsidRPr="00F6340E">
        <w:rPr>
          <w:rFonts w:cs="Arial"/>
          <w:color w:val="000000" w:themeColor="text1"/>
          <w:szCs w:val="24"/>
        </w:rPr>
        <w:t xml:space="preserve"> </w:t>
      </w:r>
      <w:r>
        <w:rPr>
          <w:rFonts w:cs="Arial"/>
          <w:color w:val="000000" w:themeColor="text1"/>
          <w:szCs w:val="24"/>
        </w:rPr>
        <w:t>и</w:t>
      </w:r>
      <w:r w:rsidR="00CA003C" w:rsidRPr="00F6340E">
        <w:rPr>
          <w:rFonts w:cs="Arial"/>
          <w:color w:val="000000" w:themeColor="text1"/>
          <w:szCs w:val="24"/>
        </w:rPr>
        <w:t xml:space="preserve"> </w:t>
      </w:r>
      <w:r w:rsidR="0071360A">
        <w:rPr>
          <w:rFonts w:cs="Arial"/>
          <w:color w:val="000000" w:themeColor="text1"/>
          <w:szCs w:val="24"/>
        </w:rPr>
        <w:t>р</w:t>
      </w:r>
      <w:r>
        <w:rPr>
          <w:rFonts w:cs="Arial"/>
          <w:color w:val="000000" w:themeColor="text1"/>
          <w:szCs w:val="24"/>
        </w:rPr>
        <w:t>а</w:t>
      </w:r>
      <w:r w:rsidR="00171F00">
        <w:rPr>
          <w:rFonts w:cs="Arial"/>
          <w:color w:val="000000" w:themeColor="text1"/>
          <w:szCs w:val="24"/>
        </w:rPr>
        <w:t>з</w:t>
      </w:r>
      <w:r w:rsidR="0071360A">
        <w:rPr>
          <w:rFonts w:cs="Arial"/>
          <w:color w:val="000000" w:themeColor="text1"/>
          <w:szCs w:val="24"/>
        </w:rPr>
        <w:t>в</w:t>
      </w:r>
      <w:r>
        <w:rPr>
          <w:rFonts w:cs="Arial"/>
          <w:color w:val="000000" w:themeColor="text1"/>
          <w:szCs w:val="24"/>
        </w:rPr>
        <w:t>оја</w:t>
      </w:r>
      <w:r w:rsidR="00CA003C" w:rsidRPr="00F6340E">
        <w:rPr>
          <w:rFonts w:cs="Arial"/>
          <w:color w:val="000000" w:themeColor="text1"/>
          <w:szCs w:val="24"/>
        </w:rPr>
        <w:t xml:space="preserve"> </w:t>
      </w:r>
      <w:r w:rsidR="0071360A">
        <w:rPr>
          <w:rFonts w:cs="Arial"/>
          <w:color w:val="000000" w:themeColor="text1"/>
          <w:szCs w:val="24"/>
        </w:rPr>
        <w:t>в</w:t>
      </w:r>
      <w:r>
        <w:rPr>
          <w:rFonts w:cs="Arial"/>
          <w:color w:val="000000" w:themeColor="text1"/>
          <w:szCs w:val="24"/>
        </w:rPr>
        <w:t>ј</w:t>
      </w:r>
      <w:r w:rsidR="00EE6AA2">
        <w:rPr>
          <w:rFonts w:cs="Arial"/>
          <w:color w:val="000000" w:themeColor="text1"/>
          <w:szCs w:val="24"/>
        </w:rPr>
        <w:t>е</w:t>
      </w:r>
      <w:r w:rsidR="0071360A">
        <w:rPr>
          <w:rFonts w:cs="Arial"/>
          <w:color w:val="000000" w:themeColor="text1"/>
          <w:szCs w:val="24"/>
        </w:rPr>
        <w:t>шт</w:t>
      </w:r>
      <w:r>
        <w:rPr>
          <w:rFonts w:cs="Arial"/>
          <w:color w:val="000000" w:themeColor="text1"/>
          <w:szCs w:val="24"/>
        </w:rPr>
        <w:t>ина</w:t>
      </w:r>
      <w:r w:rsidR="00CA003C" w:rsidRPr="00F6340E">
        <w:rPr>
          <w:rFonts w:cs="Arial"/>
          <w:color w:val="000000" w:themeColor="text1"/>
          <w:szCs w:val="24"/>
        </w:rPr>
        <w:t xml:space="preserve"> 21. </w:t>
      </w:r>
      <w:r w:rsidR="0071360A">
        <w:rPr>
          <w:rFonts w:cs="Arial"/>
          <w:color w:val="000000" w:themeColor="text1"/>
          <w:szCs w:val="24"/>
        </w:rPr>
        <w:t>в</w:t>
      </w:r>
      <w:r>
        <w:rPr>
          <w:rFonts w:cs="Arial"/>
          <w:color w:val="000000" w:themeColor="text1"/>
          <w:szCs w:val="24"/>
        </w:rPr>
        <w:t>иј</w:t>
      </w:r>
      <w:r w:rsidR="00EE6AA2">
        <w:rPr>
          <w:rFonts w:cs="Arial"/>
          <w:color w:val="000000" w:themeColor="text1"/>
          <w:szCs w:val="24"/>
        </w:rPr>
        <w:t>е</w:t>
      </w:r>
      <w:r>
        <w:rPr>
          <w:rFonts w:cs="Arial"/>
          <w:color w:val="000000" w:themeColor="text1"/>
          <w:szCs w:val="24"/>
        </w:rPr>
        <w:t>ка</w:t>
      </w:r>
      <w:r w:rsidR="00CA003C" w:rsidRPr="00F6340E">
        <w:rPr>
          <w:rFonts w:cs="Arial"/>
          <w:color w:val="000000" w:themeColor="text1"/>
          <w:szCs w:val="24"/>
        </w:rPr>
        <w:t xml:space="preserve"> </w:t>
      </w:r>
      <w:r w:rsidR="00E642F0" w:rsidRPr="00F6340E">
        <w:rPr>
          <w:rFonts w:cs="Arial"/>
          <w:color w:val="000000" w:themeColor="text1"/>
          <w:szCs w:val="24"/>
        </w:rPr>
        <w:t>(</w:t>
      </w:r>
      <w:r>
        <w:rPr>
          <w:rFonts w:cs="Arial"/>
          <w:color w:val="000000" w:themeColor="text1"/>
          <w:szCs w:val="24"/>
        </w:rPr>
        <w:t>као</w:t>
      </w:r>
      <w:r w:rsidR="00E642F0" w:rsidRPr="00F6340E">
        <w:rPr>
          <w:rFonts w:cs="Arial"/>
          <w:color w:val="000000" w:themeColor="text1"/>
          <w:szCs w:val="24"/>
        </w:rPr>
        <w:t xml:space="preserve"> </w:t>
      </w:r>
      <w:r w:rsidR="0071360A">
        <w:rPr>
          <w:rFonts w:cs="Arial"/>
          <w:color w:val="000000" w:themeColor="text1"/>
          <w:szCs w:val="24"/>
        </w:rPr>
        <w:t>шт</w:t>
      </w:r>
      <w:r>
        <w:rPr>
          <w:rFonts w:cs="Arial"/>
          <w:color w:val="000000" w:themeColor="text1"/>
          <w:szCs w:val="24"/>
        </w:rPr>
        <w:t>о</w:t>
      </w:r>
      <w:r w:rsidR="00E642F0" w:rsidRPr="00F6340E">
        <w:rPr>
          <w:rFonts w:cs="Arial"/>
          <w:color w:val="000000" w:themeColor="text1"/>
          <w:szCs w:val="24"/>
        </w:rPr>
        <w:t xml:space="preserve"> </w:t>
      </w:r>
      <w:r w:rsidR="0071360A">
        <w:rPr>
          <w:rFonts w:cs="Arial"/>
          <w:color w:val="000000" w:themeColor="text1"/>
          <w:szCs w:val="24"/>
        </w:rPr>
        <w:t>су</w:t>
      </w:r>
      <w:r w:rsidR="00E642F0" w:rsidRPr="00F6340E">
        <w:rPr>
          <w:rFonts w:cs="Arial"/>
          <w:color w:val="000000" w:themeColor="text1"/>
          <w:szCs w:val="24"/>
        </w:rPr>
        <w:t xml:space="preserve"> </w:t>
      </w:r>
      <w:r>
        <w:rPr>
          <w:rFonts w:cs="Arial"/>
          <w:color w:val="000000" w:themeColor="text1"/>
          <w:szCs w:val="24"/>
        </w:rPr>
        <w:t>н</w:t>
      </w:r>
      <w:r w:rsidR="0071360A">
        <w:rPr>
          <w:rFonts w:cs="Arial"/>
          <w:color w:val="000000" w:themeColor="text1"/>
          <w:szCs w:val="24"/>
        </w:rPr>
        <w:t>пр</w:t>
      </w:r>
      <w:r w:rsidR="00E642F0" w:rsidRPr="00F6340E">
        <w:rPr>
          <w:rFonts w:cs="Arial"/>
          <w:color w:val="000000" w:themeColor="text1"/>
          <w:szCs w:val="24"/>
        </w:rPr>
        <w:t>. 4</w:t>
      </w:r>
      <w:r>
        <w:rPr>
          <w:rFonts w:cs="Arial"/>
          <w:color w:val="000000" w:themeColor="text1"/>
          <w:szCs w:val="24"/>
        </w:rPr>
        <w:t>К</w:t>
      </w:r>
      <w:r w:rsidR="00E642F0" w:rsidRPr="00F6340E">
        <w:rPr>
          <w:rFonts w:cs="Arial"/>
          <w:color w:val="000000" w:themeColor="text1"/>
          <w:szCs w:val="24"/>
        </w:rPr>
        <w:t xml:space="preserve"> </w:t>
      </w:r>
      <w:r w:rsidR="0071360A">
        <w:rPr>
          <w:rFonts w:cs="Arial"/>
          <w:color w:val="000000" w:themeColor="text1"/>
          <w:szCs w:val="24"/>
        </w:rPr>
        <w:t>в</w:t>
      </w:r>
      <w:r>
        <w:rPr>
          <w:rFonts w:cs="Arial"/>
          <w:color w:val="000000" w:themeColor="text1"/>
          <w:szCs w:val="24"/>
        </w:rPr>
        <w:t>ј</w:t>
      </w:r>
      <w:r w:rsidR="00EE6AA2">
        <w:rPr>
          <w:rFonts w:cs="Arial"/>
          <w:color w:val="000000" w:themeColor="text1"/>
          <w:szCs w:val="24"/>
        </w:rPr>
        <w:t>е</w:t>
      </w:r>
      <w:r w:rsidR="0071360A">
        <w:rPr>
          <w:rFonts w:cs="Arial"/>
          <w:color w:val="000000" w:themeColor="text1"/>
          <w:szCs w:val="24"/>
        </w:rPr>
        <w:t>шт</w:t>
      </w:r>
      <w:r>
        <w:rPr>
          <w:rFonts w:cs="Arial"/>
          <w:color w:val="000000" w:themeColor="text1"/>
          <w:szCs w:val="24"/>
        </w:rPr>
        <w:t>ин</w:t>
      </w:r>
      <w:r w:rsidR="00EE6AA2">
        <w:rPr>
          <w:rFonts w:cs="Arial"/>
          <w:color w:val="000000" w:themeColor="text1"/>
          <w:szCs w:val="24"/>
        </w:rPr>
        <w:t>е</w:t>
      </w:r>
      <w:r w:rsidR="00E642F0" w:rsidRPr="00F6340E">
        <w:rPr>
          <w:rFonts w:cs="Arial"/>
          <w:color w:val="000000" w:themeColor="text1"/>
          <w:szCs w:val="24"/>
        </w:rPr>
        <w:t xml:space="preserve">: </w:t>
      </w:r>
      <w:r>
        <w:rPr>
          <w:rFonts w:cs="Arial"/>
          <w:color w:val="000000" w:themeColor="text1"/>
          <w:szCs w:val="24"/>
        </w:rPr>
        <w:t>к</w:t>
      </w:r>
      <w:r w:rsidR="0071360A">
        <w:rPr>
          <w:rFonts w:cs="Arial"/>
          <w:color w:val="000000" w:themeColor="text1"/>
          <w:szCs w:val="24"/>
        </w:rPr>
        <w:t>р</w:t>
      </w:r>
      <w:r>
        <w:rPr>
          <w:rFonts w:cs="Arial"/>
          <w:color w:val="000000" w:themeColor="text1"/>
          <w:szCs w:val="24"/>
        </w:rPr>
        <w:t>и</w:t>
      </w:r>
      <w:r w:rsidR="0071360A">
        <w:rPr>
          <w:rFonts w:cs="Arial"/>
          <w:color w:val="000000" w:themeColor="text1"/>
          <w:szCs w:val="24"/>
        </w:rPr>
        <w:t>т</w:t>
      </w:r>
      <w:r>
        <w:rPr>
          <w:rFonts w:cs="Arial"/>
          <w:color w:val="000000" w:themeColor="text1"/>
          <w:szCs w:val="24"/>
        </w:rPr>
        <w:t>ично</w:t>
      </w:r>
      <w:r w:rsidR="00CA003C" w:rsidRPr="00F6340E">
        <w:rPr>
          <w:rFonts w:cs="Arial"/>
          <w:color w:val="000000" w:themeColor="text1"/>
          <w:szCs w:val="24"/>
        </w:rPr>
        <w:t xml:space="preserve"> </w:t>
      </w:r>
      <w:r w:rsidR="0071360A">
        <w:rPr>
          <w:rFonts w:cs="Arial"/>
          <w:color w:val="000000" w:themeColor="text1"/>
          <w:szCs w:val="24"/>
        </w:rPr>
        <w:t>р</w:t>
      </w:r>
      <w:r>
        <w:rPr>
          <w:rFonts w:cs="Arial"/>
          <w:color w:val="000000" w:themeColor="text1"/>
          <w:szCs w:val="24"/>
        </w:rPr>
        <w:t>а</w:t>
      </w:r>
      <w:r w:rsidR="00171F00">
        <w:rPr>
          <w:rFonts w:cs="Arial"/>
          <w:color w:val="000000" w:themeColor="text1"/>
          <w:szCs w:val="24"/>
        </w:rPr>
        <w:t>з</w:t>
      </w:r>
      <w:r>
        <w:rPr>
          <w:rFonts w:cs="Arial"/>
          <w:color w:val="000000" w:themeColor="text1"/>
          <w:szCs w:val="24"/>
        </w:rPr>
        <w:t>ми</w:t>
      </w:r>
      <w:r w:rsidR="0071360A">
        <w:rPr>
          <w:rFonts w:cs="Arial"/>
          <w:color w:val="000000" w:themeColor="text1"/>
          <w:szCs w:val="24"/>
        </w:rPr>
        <w:t>ш</w:t>
      </w:r>
      <w:r>
        <w:rPr>
          <w:rFonts w:cs="Arial"/>
          <w:color w:val="000000" w:themeColor="text1"/>
          <w:szCs w:val="24"/>
        </w:rPr>
        <w:t>љањ</w:t>
      </w:r>
      <w:r w:rsidR="00EE6AA2">
        <w:rPr>
          <w:rFonts w:cs="Arial"/>
          <w:color w:val="000000" w:themeColor="text1"/>
          <w:szCs w:val="24"/>
        </w:rPr>
        <w:t>е</w:t>
      </w:r>
      <w:r w:rsidR="00CA003C" w:rsidRPr="00F6340E">
        <w:rPr>
          <w:rFonts w:cs="Arial"/>
          <w:color w:val="000000" w:themeColor="text1"/>
          <w:szCs w:val="24"/>
        </w:rPr>
        <w:t xml:space="preserve">, </w:t>
      </w:r>
      <w:r>
        <w:rPr>
          <w:rFonts w:cs="Arial"/>
          <w:color w:val="000000" w:themeColor="text1"/>
          <w:szCs w:val="24"/>
        </w:rPr>
        <w:t>к</w:t>
      </w:r>
      <w:r w:rsidR="0071360A">
        <w:rPr>
          <w:rFonts w:cs="Arial"/>
          <w:color w:val="000000" w:themeColor="text1"/>
          <w:szCs w:val="24"/>
        </w:rPr>
        <w:t>р</w:t>
      </w:r>
      <w:r w:rsidR="00EE6AA2">
        <w:rPr>
          <w:rFonts w:cs="Arial"/>
          <w:color w:val="000000" w:themeColor="text1"/>
          <w:szCs w:val="24"/>
        </w:rPr>
        <w:t>е</w:t>
      </w:r>
      <w:r>
        <w:rPr>
          <w:rFonts w:cs="Arial"/>
          <w:color w:val="000000" w:themeColor="text1"/>
          <w:szCs w:val="24"/>
        </w:rPr>
        <w:t>а</w:t>
      </w:r>
      <w:r w:rsidR="0071360A">
        <w:rPr>
          <w:rFonts w:cs="Arial"/>
          <w:color w:val="000000" w:themeColor="text1"/>
          <w:szCs w:val="24"/>
        </w:rPr>
        <w:t>т</w:t>
      </w:r>
      <w:r>
        <w:rPr>
          <w:rFonts w:cs="Arial"/>
          <w:color w:val="000000" w:themeColor="text1"/>
          <w:szCs w:val="24"/>
        </w:rPr>
        <w:t>и</w:t>
      </w:r>
      <w:r w:rsidR="0071360A">
        <w:rPr>
          <w:rFonts w:cs="Arial"/>
          <w:color w:val="000000" w:themeColor="text1"/>
          <w:szCs w:val="24"/>
        </w:rPr>
        <w:t>в</w:t>
      </w:r>
      <w:r>
        <w:rPr>
          <w:rFonts w:cs="Arial"/>
          <w:color w:val="000000" w:themeColor="text1"/>
          <w:szCs w:val="24"/>
        </w:rPr>
        <w:t>но</w:t>
      </w:r>
      <w:r w:rsidR="0071360A">
        <w:rPr>
          <w:rFonts w:cs="Arial"/>
          <w:color w:val="000000" w:themeColor="text1"/>
          <w:szCs w:val="24"/>
        </w:rPr>
        <w:t>ст</w:t>
      </w:r>
      <w:r w:rsidR="00CA003C" w:rsidRPr="00F6340E">
        <w:rPr>
          <w:rFonts w:cs="Arial"/>
          <w:color w:val="000000" w:themeColor="text1"/>
          <w:szCs w:val="24"/>
        </w:rPr>
        <w:t xml:space="preserve">, </w:t>
      </w:r>
      <w:r>
        <w:rPr>
          <w:rFonts w:cs="Arial"/>
          <w:color w:val="000000" w:themeColor="text1"/>
          <w:szCs w:val="24"/>
        </w:rPr>
        <w:t>колабо</w:t>
      </w:r>
      <w:r w:rsidR="0071360A">
        <w:rPr>
          <w:rFonts w:cs="Arial"/>
          <w:color w:val="000000" w:themeColor="text1"/>
          <w:szCs w:val="24"/>
        </w:rPr>
        <w:t>р</w:t>
      </w:r>
      <w:r>
        <w:rPr>
          <w:rFonts w:cs="Arial"/>
          <w:color w:val="000000" w:themeColor="text1"/>
          <w:szCs w:val="24"/>
        </w:rPr>
        <w:t>ација</w:t>
      </w:r>
      <w:r w:rsidR="00CA003C" w:rsidRPr="00F6340E">
        <w:rPr>
          <w:rFonts w:cs="Arial"/>
          <w:color w:val="000000" w:themeColor="text1"/>
          <w:szCs w:val="24"/>
        </w:rPr>
        <w:t xml:space="preserve"> </w:t>
      </w:r>
      <w:r>
        <w:rPr>
          <w:rFonts w:cs="Arial"/>
          <w:color w:val="000000" w:themeColor="text1"/>
          <w:szCs w:val="24"/>
        </w:rPr>
        <w:t>и</w:t>
      </w:r>
      <w:r w:rsidR="00CA003C" w:rsidRPr="00F6340E">
        <w:rPr>
          <w:rFonts w:cs="Arial"/>
          <w:color w:val="000000" w:themeColor="text1"/>
          <w:szCs w:val="24"/>
        </w:rPr>
        <w:t xml:space="preserve"> </w:t>
      </w:r>
      <w:r>
        <w:rPr>
          <w:rFonts w:cs="Arial"/>
          <w:color w:val="000000" w:themeColor="text1"/>
          <w:szCs w:val="24"/>
        </w:rPr>
        <w:t>ком</w:t>
      </w:r>
      <w:r w:rsidR="0071360A">
        <w:rPr>
          <w:rFonts w:cs="Arial"/>
          <w:color w:val="000000" w:themeColor="text1"/>
          <w:szCs w:val="24"/>
        </w:rPr>
        <w:t>у</w:t>
      </w:r>
      <w:r>
        <w:rPr>
          <w:rFonts w:cs="Arial"/>
          <w:color w:val="000000" w:themeColor="text1"/>
          <w:szCs w:val="24"/>
        </w:rPr>
        <w:t>никација</w:t>
      </w:r>
      <w:r w:rsidR="00CA003C" w:rsidRPr="00F6340E">
        <w:rPr>
          <w:rFonts w:cs="Arial"/>
          <w:color w:val="000000" w:themeColor="text1"/>
          <w:szCs w:val="24"/>
        </w:rPr>
        <w:t xml:space="preserve">), </w:t>
      </w:r>
      <w:r>
        <w:rPr>
          <w:rFonts w:cs="Arial"/>
          <w:color w:val="000000" w:themeColor="text1"/>
          <w:szCs w:val="24"/>
        </w:rPr>
        <w:t>и</w:t>
      </w:r>
      <w:r w:rsidR="00CA003C"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оц</w:t>
      </w:r>
      <w:r w:rsidR="00EE6AA2">
        <w:rPr>
          <w:rFonts w:cs="Arial"/>
          <w:color w:val="000000" w:themeColor="text1"/>
          <w:szCs w:val="24"/>
        </w:rPr>
        <w:t>е</w:t>
      </w:r>
      <w:r w:rsidR="0071360A">
        <w:rPr>
          <w:rFonts w:cs="Arial"/>
          <w:color w:val="000000" w:themeColor="text1"/>
          <w:szCs w:val="24"/>
        </w:rPr>
        <w:t>с</w:t>
      </w:r>
      <w:r w:rsidR="00CA003C"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аћ</w:t>
      </w:r>
      <w:r w:rsidR="00EE6AA2">
        <w:rPr>
          <w:rFonts w:cs="Arial"/>
          <w:color w:val="000000" w:themeColor="text1"/>
          <w:szCs w:val="24"/>
        </w:rPr>
        <w:t>е</w:t>
      </w:r>
      <w:r>
        <w:rPr>
          <w:rFonts w:cs="Arial"/>
          <w:color w:val="000000" w:themeColor="text1"/>
          <w:szCs w:val="24"/>
        </w:rPr>
        <w:t>ња</w:t>
      </w:r>
      <w:r w:rsidR="00CA003C" w:rsidRPr="00F6340E">
        <w:rPr>
          <w:rFonts w:cs="Arial"/>
          <w:color w:val="000000" w:themeColor="text1"/>
          <w:szCs w:val="24"/>
        </w:rPr>
        <w:t xml:space="preserve">, </w:t>
      </w:r>
      <w:r w:rsidR="0071360A">
        <w:rPr>
          <w:rFonts w:cs="Arial"/>
          <w:color w:val="000000" w:themeColor="text1"/>
          <w:szCs w:val="24"/>
        </w:rPr>
        <w:t>вр</w:t>
      </w:r>
      <w:r w:rsidR="00EE6AA2">
        <w:rPr>
          <w:rFonts w:cs="Arial"/>
          <w:color w:val="000000" w:themeColor="text1"/>
          <w:szCs w:val="24"/>
        </w:rPr>
        <w:t>е</w:t>
      </w:r>
      <w:r>
        <w:rPr>
          <w:rFonts w:cs="Arial"/>
          <w:color w:val="000000" w:themeColor="text1"/>
          <w:szCs w:val="24"/>
        </w:rPr>
        <w:t>дно</w:t>
      </w:r>
      <w:r w:rsidR="0071360A">
        <w:rPr>
          <w:rFonts w:cs="Arial"/>
          <w:color w:val="000000" w:themeColor="text1"/>
          <w:szCs w:val="24"/>
        </w:rPr>
        <w:t>в</w:t>
      </w:r>
      <w:r>
        <w:rPr>
          <w:rFonts w:cs="Arial"/>
          <w:color w:val="000000" w:themeColor="text1"/>
          <w:szCs w:val="24"/>
        </w:rPr>
        <w:t>ања</w:t>
      </w:r>
      <w:r w:rsidR="00CA003C" w:rsidRPr="00F6340E">
        <w:rPr>
          <w:rFonts w:cs="Arial"/>
          <w:color w:val="000000" w:themeColor="text1"/>
          <w:szCs w:val="24"/>
        </w:rPr>
        <w:t xml:space="preserve"> </w:t>
      </w:r>
      <w:r>
        <w:rPr>
          <w:rFonts w:cs="Arial"/>
          <w:color w:val="000000" w:themeColor="text1"/>
          <w:szCs w:val="24"/>
        </w:rPr>
        <w:t>и</w:t>
      </w:r>
      <w:r w:rsidR="00CA003C" w:rsidRPr="00F6340E">
        <w:rPr>
          <w:rFonts w:cs="Arial"/>
          <w:color w:val="000000" w:themeColor="text1"/>
          <w:szCs w:val="24"/>
        </w:rPr>
        <w:t xml:space="preserve"> </w:t>
      </w:r>
      <w:r>
        <w:rPr>
          <w:rFonts w:cs="Arial"/>
          <w:color w:val="000000" w:themeColor="text1"/>
          <w:szCs w:val="24"/>
        </w:rPr>
        <w:t>оцј</w:t>
      </w:r>
      <w:r w:rsidR="00EE6AA2">
        <w:rPr>
          <w:rFonts w:cs="Arial"/>
          <w:color w:val="000000" w:themeColor="text1"/>
          <w:szCs w:val="24"/>
        </w:rPr>
        <w:t>е</w:t>
      </w:r>
      <w:r>
        <w:rPr>
          <w:rFonts w:cs="Arial"/>
          <w:color w:val="000000" w:themeColor="text1"/>
          <w:szCs w:val="24"/>
        </w:rPr>
        <w:t>њи</w:t>
      </w:r>
      <w:r w:rsidR="0071360A">
        <w:rPr>
          <w:rFonts w:cs="Arial"/>
          <w:color w:val="000000" w:themeColor="text1"/>
          <w:szCs w:val="24"/>
        </w:rPr>
        <w:t>в</w:t>
      </w:r>
      <w:r>
        <w:rPr>
          <w:rFonts w:cs="Arial"/>
          <w:color w:val="000000" w:themeColor="text1"/>
          <w:szCs w:val="24"/>
        </w:rPr>
        <w:t>ања</w:t>
      </w:r>
      <w:r w:rsidR="00CA003C" w:rsidRPr="00F6340E">
        <w:rPr>
          <w:rFonts w:cs="Arial"/>
          <w:color w:val="000000" w:themeColor="text1"/>
          <w:szCs w:val="24"/>
        </w:rPr>
        <w:t xml:space="preserve"> </w:t>
      </w:r>
      <w:r w:rsidR="0071360A">
        <w:rPr>
          <w:rFonts w:cs="Arial"/>
          <w:color w:val="000000" w:themeColor="text1"/>
          <w:szCs w:val="24"/>
        </w:rPr>
        <w:t>у</w:t>
      </w:r>
      <w:r>
        <w:rPr>
          <w:rFonts w:cs="Arial"/>
          <w:color w:val="000000" w:themeColor="text1"/>
          <w:szCs w:val="24"/>
        </w:rPr>
        <w:t>ч</w:t>
      </w:r>
      <w:r w:rsidR="00EE6AA2">
        <w:rPr>
          <w:rFonts w:cs="Arial"/>
          <w:color w:val="000000" w:themeColor="text1"/>
          <w:szCs w:val="24"/>
        </w:rPr>
        <w:t>е</w:t>
      </w:r>
      <w:r>
        <w:rPr>
          <w:rFonts w:cs="Arial"/>
          <w:color w:val="000000" w:themeColor="text1"/>
          <w:szCs w:val="24"/>
        </w:rPr>
        <w:t>ника</w:t>
      </w:r>
      <w:r w:rsidR="00CB1702" w:rsidRPr="00F6340E">
        <w:rPr>
          <w:rFonts w:cs="Arial"/>
          <w:color w:val="000000" w:themeColor="text1"/>
          <w:szCs w:val="24"/>
        </w:rPr>
        <w:t>/</w:t>
      </w:r>
      <w:r w:rsidR="0071360A">
        <w:rPr>
          <w:rFonts w:cs="Arial"/>
          <w:color w:val="000000" w:themeColor="text1"/>
          <w:szCs w:val="24"/>
        </w:rPr>
        <w:t>сту</w:t>
      </w:r>
      <w:r>
        <w:rPr>
          <w:rFonts w:cs="Arial"/>
          <w:color w:val="000000" w:themeColor="text1"/>
          <w:szCs w:val="24"/>
        </w:rPr>
        <w:t>д</w:t>
      </w:r>
      <w:r w:rsidR="00EE6AA2">
        <w:rPr>
          <w:rFonts w:cs="Arial"/>
          <w:color w:val="000000" w:themeColor="text1"/>
          <w:szCs w:val="24"/>
        </w:rPr>
        <w:t>е</w:t>
      </w:r>
      <w:r>
        <w:rPr>
          <w:rFonts w:cs="Arial"/>
          <w:color w:val="000000" w:themeColor="text1"/>
          <w:szCs w:val="24"/>
        </w:rPr>
        <w:t>на</w:t>
      </w:r>
      <w:r w:rsidR="0071360A">
        <w:rPr>
          <w:rFonts w:cs="Arial"/>
          <w:color w:val="000000" w:themeColor="text1"/>
          <w:szCs w:val="24"/>
        </w:rPr>
        <w:t>т</w:t>
      </w:r>
      <w:r>
        <w:rPr>
          <w:rFonts w:cs="Arial"/>
          <w:color w:val="000000" w:themeColor="text1"/>
          <w:szCs w:val="24"/>
        </w:rPr>
        <w:t>а</w:t>
      </w:r>
      <w:r w:rsidR="00CB1702" w:rsidRPr="00F6340E">
        <w:rPr>
          <w:rFonts w:cs="Arial"/>
          <w:color w:val="000000" w:themeColor="text1"/>
          <w:szCs w:val="24"/>
        </w:rPr>
        <w:t xml:space="preserve"> </w:t>
      </w:r>
      <w:r>
        <w:rPr>
          <w:rFonts w:cs="Arial"/>
          <w:color w:val="000000" w:themeColor="text1"/>
          <w:szCs w:val="24"/>
        </w:rPr>
        <w:t>мо</w:t>
      </w:r>
      <w:r w:rsidR="0071360A">
        <w:rPr>
          <w:rFonts w:cs="Arial"/>
          <w:color w:val="000000" w:themeColor="text1"/>
          <w:szCs w:val="24"/>
        </w:rPr>
        <w:t>р</w:t>
      </w:r>
      <w:r>
        <w:rPr>
          <w:rFonts w:cs="Arial"/>
          <w:color w:val="000000" w:themeColor="text1"/>
          <w:szCs w:val="24"/>
        </w:rPr>
        <w:t>а</w:t>
      </w:r>
      <w:r w:rsidR="00CA003C" w:rsidRPr="00F6340E">
        <w:rPr>
          <w:rFonts w:cs="Arial"/>
          <w:color w:val="000000" w:themeColor="text1"/>
          <w:szCs w:val="24"/>
        </w:rPr>
        <w:t xml:space="preserve"> </w:t>
      </w:r>
      <w:r>
        <w:rPr>
          <w:rFonts w:cs="Arial"/>
          <w:color w:val="000000" w:themeColor="text1"/>
          <w:szCs w:val="24"/>
        </w:rPr>
        <w:t>би</w:t>
      </w:r>
      <w:r w:rsidR="0071360A">
        <w:rPr>
          <w:rFonts w:cs="Arial"/>
          <w:color w:val="000000" w:themeColor="text1"/>
          <w:szCs w:val="24"/>
        </w:rPr>
        <w:t>т</w:t>
      </w:r>
      <w:r>
        <w:rPr>
          <w:rFonts w:cs="Arial"/>
          <w:color w:val="000000" w:themeColor="text1"/>
          <w:szCs w:val="24"/>
        </w:rPr>
        <w:t>и</w:t>
      </w:r>
      <w:r w:rsidR="00CA003C"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омј</w:t>
      </w:r>
      <w:r w:rsidR="00EE6AA2">
        <w:rPr>
          <w:rFonts w:cs="Arial"/>
          <w:color w:val="000000" w:themeColor="text1"/>
          <w:szCs w:val="24"/>
        </w:rPr>
        <w:t>е</w:t>
      </w:r>
      <w:r w:rsidR="0071360A">
        <w:rPr>
          <w:rFonts w:cs="Arial"/>
          <w:color w:val="000000" w:themeColor="text1"/>
          <w:szCs w:val="24"/>
        </w:rPr>
        <w:t>р</w:t>
      </w:r>
      <w:r w:rsidR="00EE6AA2">
        <w:rPr>
          <w:rFonts w:cs="Arial"/>
          <w:color w:val="000000" w:themeColor="text1"/>
          <w:szCs w:val="24"/>
        </w:rPr>
        <w:t>е</w:t>
      </w:r>
      <w:r>
        <w:rPr>
          <w:rFonts w:cs="Arial"/>
          <w:color w:val="000000" w:themeColor="text1"/>
          <w:szCs w:val="24"/>
        </w:rPr>
        <w:t>н</w:t>
      </w:r>
      <w:r w:rsidR="00CA003C" w:rsidRPr="00F6340E">
        <w:rPr>
          <w:rFonts w:cs="Arial"/>
          <w:color w:val="000000" w:themeColor="text1"/>
          <w:szCs w:val="24"/>
        </w:rPr>
        <w:t xml:space="preserve"> </w:t>
      </w:r>
      <w:r>
        <w:rPr>
          <w:rFonts w:cs="Arial"/>
          <w:color w:val="000000" w:themeColor="text1"/>
          <w:szCs w:val="24"/>
        </w:rPr>
        <w:t>на</w:t>
      </w:r>
      <w:r w:rsidR="00CA003C"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оц</w:t>
      </w:r>
      <w:r w:rsidR="00EE6AA2">
        <w:rPr>
          <w:rFonts w:cs="Arial"/>
          <w:color w:val="000000" w:themeColor="text1"/>
          <w:szCs w:val="24"/>
        </w:rPr>
        <w:t>е</w:t>
      </w:r>
      <w:r w:rsidR="0071360A">
        <w:rPr>
          <w:rFonts w:cs="Arial"/>
          <w:color w:val="000000" w:themeColor="text1"/>
          <w:szCs w:val="24"/>
        </w:rPr>
        <w:t>с</w:t>
      </w:r>
      <w:r w:rsidR="00CA003C" w:rsidRPr="00F6340E">
        <w:rPr>
          <w:rFonts w:cs="Arial"/>
          <w:color w:val="000000" w:themeColor="text1"/>
          <w:szCs w:val="24"/>
        </w:rPr>
        <w:t xml:space="preserve"> </w:t>
      </w:r>
      <w:r>
        <w:rPr>
          <w:rFonts w:cs="Arial"/>
          <w:color w:val="000000" w:themeColor="text1"/>
          <w:szCs w:val="24"/>
        </w:rPr>
        <w:t>и</w:t>
      </w:r>
      <w:r w:rsidR="00CA003C" w:rsidRPr="00F6340E">
        <w:rPr>
          <w:rFonts w:cs="Arial"/>
          <w:color w:val="000000" w:themeColor="text1"/>
          <w:szCs w:val="24"/>
        </w:rPr>
        <w:t xml:space="preserve"> </w:t>
      </w:r>
      <w:r>
        <w:rPr>
          <w:rFonts w:cs="Arial"/>
          <w:color w:val="000000" w:themeColor="text1"/>
          <w:szCs w:val="24"/>
        </w:rPr>
        <w:t>и</w:t>
      </w:r>
      <w:r w:rsidR="0071360A">
        <w:rPr>
          <w:rFonts w:cs="Arial"/>
          <w:color w:val="000000" w:themeColor="text1"/>
          <w:szCs w:val="24"/>
        </w:rPr>
        <w:t>с</w:t>
      </w:r>
      <w:r>
        <w:rPr>
          <w:rFonts w:cs="Arial"/>
          <w:color w:val="000000" w:themeColor="text1"/>
          <w:szCs w:val="24"/>
        </w:rPr>
        <w:t>ход</w:t>
      </w:r>
      <w:r w:rsidR="00CA003C" w:rsidRPr="00F6340E">
        <w:rPr>
          <w:rFonts w:cs="Arial"/>
          <w:color w:val="000000" w:themeColor="text1"/>
          <w:szCs w:val="24"/>
        </w:rPr>
        <w:t xml:space="preserve"> </w:t>
      </w:r>
      <w:r>
        <w:rPr>
          <w:rFonts w:cs="Arial"/>
          <w:color w:val="000000" w:themeColor="text1"/>
          <w:szCs w:val="24"/>
        </w:rPr>
        <w:t>који</w:t>
      </w:r>
      <w:r w:rsidR="00CA003C" w:rsidRPr="00F6340E">
        <w:rPr>
          <w:rFonts w:cs="Arial"/>
          <w:color w:val="000000" w:themeColor="text1"/>
          <w:szCs w:val="24"/>
        </w:rPr>
        <w:t xml:space="preserve"> </w:t>
      </w:r>
      <w:r w:rsidR="0071360A">
        <w:rPr>
          <w:rFonts w:cs="Arial"/>
          <w:color w:val="000000" w:themeColor="text1"/>
          <w:szCs w:val="24"/>
        </w:rPr>
        <w:t>с</w:t>
      </w:r>
      <w:r w:rsidR="00EE6AA2">
        <w:rPr>
          <w:rFonts w:cs="Arial"/>
          <w:color w:val="000000" w:themeColor="text1"/>
          <w:szCs w:val="24"/>
        </w:rPr>
        <w:t>е</w:t>
      </w:r>
      <w:r w:rsidR="00CA003C" w:rsidRPr="00F6340E">
        <w:rPr>
          <w:rFonts w:cs="Arial"/>
          <w:color w:val="000000" w:themeColor="text1"/>
          <w:szCs w:val="24"/>
        </w:rPr>
        <w:t xml:space="preserve"> </w:t>
      </w:r>
      <w:r>
        <w:rPr>
          <w:rFonts w:cs="Arial"/>
          <w:color w:val="000000" w:themeColor="text1"/>
          <w:szCs w:val="24"/>
        </w:rPr>
        <w:t>огл</w:t>
      </w:r>
      <w:r w:rsidR="00EE6AA2">
        <w:rPr>
          <w:rFonts w:cs="Arial"/>
          <w:color w:val="000000" w:themeColor="text1"/>
          <w:szCs w:val="24"/>
        </w:rPr>
        <w:t>е</w:t>
      </w:r>
      <w:r>
        <w:rPr>
          <w:rFonts w:cs="Arial"/>
          <w:color w:val="000000" w:themeColor="text1"/>
          <w:szCs w:val="24"/>
        </w:rPr>
        <w:t>да</w:t>
      </w:r>
      <w:r w:rsidR="00CA003C" w:rsidRPr="00F6340E">
        <w:rPr>
          <w:rFonts w:cs="Arial"/>
          <w:color w:val="000000" w:themeColor="text1"/>
          <w:szCs w:val="24"/>
        </w:rPr>
        <w:t xml:space="preserve"> </w:t>
      </w:r>
      <w:r w:rsidR="0071360A">
        <w:rPr>
          <w:rFonts w:cs="Arial"/>
          <w:color w:val="000000" w:themeColor="text1"/>
          <w:szCs w:val="24"/>
        </w:rPr>
        <w:t>у</w:t>
      </w:r>
      <w:r w:rsidR="00CA003C" w:rsidRPr="00F6340E">
        <w:rPr>
          <w:rFonts w:cs="Arial"/>
          <w:color w:val="000000" w:themeColor="text1"/>
          <w:szCs w:val="24"/>
        </w:rPr>
        <w:t xml:space="preserve"> </w:t>
      </w:r>
      <w:r w:rsidR="0071360A">
        <w:rPr>
          <w:rFonts w:cs="Arial"/>
          <w:color w:val="000000" w:themeColor="text1"/>
          <w:szCs w:val="24"/>
        </w:rPr>
        <w:t>ст</w:t>
      </w:r>
      <w:r w:rsidR="00EE6AA2">
        <w:rPr>
          <w:rFonts w:cs="Arial"/>
          <w:color w:val="000000" w:themeColor="text1"/>
          <w:szCs w:val="24"/>
        </w:rPr>
        <w:t>е</w:t>
      </w:r>
      <w:r>
        <w:rPr>
          <w:rFonts w:cs="Arial"/>
          <w:color w:val="000000" w:themeColor="text1"/>
          <w:szCs w:val="24"/>
        </w:rPr>
        <w:t>ч</w:t>
      </w:r>
      <w:r w:rsidR="00EE6AA2">
        <w:rPr>
          <w:rFonts w:cs="Arial"/>
          <w:color w:val="000000" w:themeColor="text1"/>
          <w:szCs w:val="24"/>
        </w:rPr>
        <w:t>е</w:t>
      </w:r>
      <w:r>
        <w:rPr>
          <w:rFonts w:cs="Arial"/>
          <w:color w:val="000000" w:themeColor="text1"/>
          <w:szCs w:val="24"/>
        </w:rPr>
        <w:t>ним</w:t>
      </w:r>
      <w:r w:rsidR="00CA003C" w:rsidRPr="00F6340E">
        <w:rPr>
          <w:rFonts w:cs="Arial"/>
          <w:color w:val="000000" w:themeColor="text1"/>
          <w:szCs w:val="24"/>
        </w:rPr>
        <w:t xml:space="preserve"> </w:t>
      </w:r>
      <w:r>
        <w:rPr>
          <w:rFonts w:cs="Arial"/>
          <w:color w:val="000000" w:themeColor="text1"/>
          <w:szCs w:val="24"/>
        </w:rPr>
        <w:t>ком</w:t>
      </w:r>
      <w:r w:rsidR="0071360A">
        <w:rPr>
          <w:rFonts w:cs="Arial"/>
          <w:color w:val="000000" w:themeColor="text1"/>
          <w:szCs w:val="24"/>
        </w:rPr>
        <w:t>п</w:t>
      </w:r>
      <w:r w:rsidR="00EE6AA2">
        <w:rPr>
          <w:rFonts w:cs="Arial"/>
          <w:color w:val="000000" w:themeColor="text1"/>
          <w:szCs w:val="24"/>
        </w:rPr>
        <w:t>е</w:t>
      </w:r>
      <w:r w:rsidR="0071360A">
        <w:rPr>
          <w:rFonts w:cs="Arial"/>
          <w:color w:val="000000" w:themeColor="text1"/>
          <w:szCs w:val="24"/>
        </w:rPr>
        <w:t>т</w:t>
      </w:r>
      <w:r w:rsidR="00EE6AA2">
        <w:rPr>
          <w:rFonts w:cs="Arial"/>
          <w:color w:val="000000" w:themeColor="text1"/>
          <w:szCs w:val="24"/>
        </w:rPr>
        <w:t>е</w:t>
      </w:r>
      <w:r>
        <w:rPr>
          <w:rFonts w:cs="Arial"/>
          <w:color w:val="000000" w:themeColor="text1"/>
          <w:szCs w:val="24"/>
        </w:rPr>
        <w:t>нцијама</w:t>
      </w:r>
      <w:r w:rsidR="00717FB2" w:rsidRPr="00F6340E">
        <w:rPr>
          <w:rFonts w:cs="Arial"/>
          <w:color w:val="000000" w:themeColor="text1"/>
          <w:szCs w:val="24"/>
        </w:rPr>
        <w:t xml:space="preserve"> </w:t>
      </w:r>
      <w:r>
        <w:rPr>
          <w:rFonts w:cs="Arial"/>
          <w:color w:val="000000" w:themeColor="text1"/>
          <w:szCs w:val="24"/>
        </w:rPr>
        <w:t>на</w:t>
      </w:r>
      <w:r w:rsidR="00717FB2" w:rsidRPr="00F6340E">
        <w:rPr>
          <w:rFonts w:cs="Arial"/>
          <w:color w:val="000000" w:themeColor="text1"/>
          <w:szCs w:val="24"/>
        </w:rPr>
        <w:t xml:space="preserve"> </w:t>
      </w:r>
      <w:r w:rsidR="0071360A">
        <w:rPr>
          <w:rFonts w:cs="Arial"/>
          <w:color w:val="000000" w:themeColor="text1"/>
          <w:szCs w:val="24"/>
        </w:rPr>
        <w:t>св</w:t>
      </w:r>
      <w:r>
        <w:rPr>
          <w:rFonts w:cs="Arial"/>
          <w:color w:val="000000" w:themeColor="text1"/>
          <w:szCs w:val="24"/>
        </w:rPr>
        <w:t>им</w:t>
      </w:r>
      <w:r w:rsidR="00717FB2" w:rsidRPr="00F6340E">
        <w:rPr>
          <w:rFonts w:cs="Arial"/>
          <w:color w:val="000000" w:themeColor="text1"/>
          <w:szCs w:val="24"/>
        </w:rPr>
        <w:t xml:space="preserve"> </w:t>
      </w:r>
      <w:r>
        <w:rPr>
          <w:rFonts w:cs="Arial"/>
          <w:color w:val="000000" w:themeColor="text1"/>
          <w:szCs w:val="24"/>
        </w:rPr>
        <w:t>ни</w:t>
      </w:r>
      <w:r w:rsidR="0071360A">
        <w:rPr>
          <w:rFonts w:cs="Arial"/>
          <w:color w:val="000000" w:themeColor="text1"/>
          <w:szCs w:val="24"/>
        </w:rPr>
        <w:t>в</w:t>
      </w:r>
      <w:r>
        <w:rPr>
          <w:rFonts w:cs="Arial"/>
          <w:color w:val="000000" w:themeColor="text1"/>
          <w:szCs w:val="24"/>
        </w:rPr>
        <w:t>оима</w:t>
      </w:r>
      <w:r w:rsidR="00717FB2" w:rsidRPr="00F6340E">
        <w:rPr>
          <w:rFonts w:cs="Arial"/>
          <w:color w:val="000000" w:themeColor="text1"/>
          <w:szCs w:val="24"/>
        </w:rPr>
        <w:t xml:space="preserve"> </w:t>
      </w:r>
      <w:r>
        <w:rPr>
          <w:rFonts w:cs="Arial"/>
          <w:color w:val="000000" w:themeColor="text1"/>
          <w:szCs w:val="24"/>
        </w:rPr>
        <w:t>об</w:t>
      </w:r>
      <w:r w:rsidR="0071360A">
        <w:rPr>
          <w:rFonts w:cs="Arial"/>
          <w:color w:val="000000" w:themeColor="text1"/>
          <w:szCs w:val="24"/>
        </w:rPr>
        <w:t>р</w:t>
      </w:r>
      <w:r>
        <w:rPr>
          <w:rFonts w:cs="Arial"/>
          <w:color w:val="000000" w:themeColor="text1"/>
          <w:szCs w:val="24"/>
        </w:rPr>
        <w:t>а</w:t>
      </w:r>
      <w:r w:rsidR="00171F00">
        <w:rPr>
          <w:rFonts w:cs="Arial"/>
          <w:color w:val="000000" w:themeColor="text1"/>
          <w:szCs w:val="24"/>
        </w:rPr>
        <w:t>з</w:t>
      </w:r>
      <w:r>
        <w:rPr>
          <w:rFonts w:cs="Arial"/>
          <w:color w:val="000000" w:themeColor="text1"/>
          <w:szCs w:val="24"/>
        </w:rPr>
        <w:t>о</w:t>
      </w:r>
      <w:r w:rsidR="0071360A">
        <w:rPr>
          <w:rFonts w:cs="Arial"/>
          <w:color w:val="000000" w:themeColor="text1"/>
          <w:szCs w:val="24"/>
        </w:rPr>
        <w:t>в</w:t>
      </w:r>
      <w:r>
        <w:rPr>
          <w:rFonts w:cs="Arial"/>
          <w:color w:val="000000" w:themeColor="text1"/>
          <w:szCs w:val="24"/>
        </w:rPr>
        <w:t>ања</w:t>
      </w:r>
      <w:r w:rsidR="00B40B39" w:rsidRPr="00F6340E">
        <w:rPr>
          <w:rFonts w:cs="Arial"/>
          <w:color w:val="000000" w:themeColor="text1"/>
          <w:szCs w:val="24"/>
        </w:rPr>
        <w:t>.</w:t>
      </w:r>
      <w:r w:rsidR="00CA003C" w:rsidRPr="00F6340E">
        <w:rPr>
          <w:rFonts w:cs="Arial"/>
          <w:color w:val="000000" w:themeColor="text1"/>
          <w:szCs w:val="24"/>
        </w:rPr>
        <w:t xml:space="preserve"> </w:t>
      </w:r>
      <w:r w:rsidR="0071360A">
        <w:rPr>
          <w:rFonts w:cs="Arial"/>
          <w:color w:val="000000" w:themeColor="text1"/>
          <w:szCs w:val="24"/>
        </w:rPr>
        <w:t>У</w:t>
      </w:r>
      <w:r w:rsidR="00CB1702" w:rsidRPr="00F6340E">
        <w:rPr>
          <w:rFonts w:cs="Arial"/>
          <w:color w:val="000000" w:themeColor="text1"/>
          <w:szCs w:val="24"/>
        </w:rPr>
        <w:t xml:space="preserve"> </w:t>
      </w:r>
      <w:r>
        <w:rPr>
          <w:rFonts w:cs="Arial"/>
          <w:color w:val="000000" w:themeColor="text1"/>
          <w:szCs w:val="24"/>
        </w:rPr>
        <w:t>кон</w:t>
      </w:r>
      <w:r w:rsidR="0071360A">
        <w:rPr>
          <w:rFonts w:cs="Arial"/>
          <w:color w:val="000000" w:themeColor="text1"/>
          <w:szCs w:val="24"/>
        </w:rPr>
        <w:t>т</w:t>
      </w:r>
      <w:r w:rsidR="00EE6AA2">
        <w:rPr>
          <w:rFonts w:cs="Arial"/>
          <w:color w:val="000000" w:themeColor="text1"/>
          <w:szCs w:val="24"/>
        </w:rPr>
        <w:t>е</w:t>
      </w:r>
      <w:r>
        <w:rPr>
          <w:rFonts w:cs="Arial"/>
          <w:color w:val="000000" w:themeColor="text1"/>
          <w:szCs w:val="24"/>
        </w:rPr>
        <w:t>к</w:t>
      </w:r>
      <w:r w:rsidR="0071360A">
        <w:rPr>
          <w:rFonts w:cs="Arial"/>
          <w:color w:val="000000" w:themeColor="text1"/>
          <w:szCs w:val="24"/>
        </w:rPr>
        <w:t>сту</w:t>
      </w:r>
      <w:r w:rsidR="00947928" w:rsidRPr="00F6340E">
        <w:rPr>
          <w:rFonts w:cs="Arial"/>
          <w:color w:val="000000" w:themeColor="text1"/>
          <w:szCs w:val="24"/>
        </w:rPr>
        <w:t xml:space="preserve"> </w:t>
      </w:r>
      <w:r>
        <w:rPr>
          <w:rFonts w:cs="Arial"/>
          <w:color w:val="000000" w:themeColor="text1"/>
          <w:szCs w:val="24"/>
        </w:rPr>
        <w:t>на</w:t>
      </w:r>
      <w:r w:rsidR="0071360A">
        <w:rPr>
          <w:rFonts w:cs="Arial"/>
          <w:color w:val="000000" w:themeColor="text1"/>
          <w:szCs w:val="24"/>
        </w:rPr>
        <w:t>ст</w:t>
      </w:r>
      <w:r>
        <w:rPr>
          <w:rFonts w:cs="Arial"/>
          <w:color w:val="000000" w:themeColor="text1"/>
          <w:szCs w:val="24"/>
        </w:rPr>
        <w:t>а</w:t>
      </w:r>
      <w:r w:rsidR="0071360A">
        <w:rPr>
          <w:rFonts w:cs="Arial"/>
          <w:color w:val="000000" w:themeColor="text1"/>
          <w:szCs w:val="24"/>
        </w:rPr>
        <w:t>в</w:t>
      </w:r>
      <w:r w:rsidR="00EE6AA2">
        <w:rPr>
          <w:rFonts w:cs="Arial"/>
          <w:color w:val="000000" w:themeColor="text1"/>
          <w:szCs w:val="24"/>
        </w:rPr>
        <w:t>е</w:t>
      </w:r>
      <w:r w:rsidR="00947928" w:rsidRPr="00F6340E">
        <w:rPr>
          <w:rFonts w:cs="Arial"/>
          <w:color w:val="000000" w:themeColor="text1"/>
          <w:szCs w:val="24"/>
        </w:rPr>
        <w:t xml:space="preserve"> </w:t>
      </w:r>
      <w:r w:rsidR="0071360A">
        <w:rPr>
          <w:rFonts w:cs="Arial"/>
          <w:color w:val="000000" w:themeColor="text1"/>
          <w:szCs w:val="24"/>
        </w:rPr>
        <w:t>пут</w:t>
      </w:r>
      <w:r w:rsidR="00EE6AA2">
        <w:rPr>
          <w:rFonts w:cs="Arial"/>
          <w:color w:val="000000" w:themeColor="text1"/>
          <w:szCs w:val="24"/>
        </w:rPr>
        <w:t>е</w:t>
      </w:r>
      <w:r>
        <w:rPr>
          <w:rFonts w:cs="Arial"/>
          <w:color w:val="000000" w:themeColor="text1"/>
          <w:szCs w:val="24"/>
        </w:rPr>
        <w:t>м</w:t>
      </w:r>
      <w:r w:rsidR="00947928" w:rsidRPr="00F6340E">
        <w:rPr>
          <w:rFonts w:cs="Arial"/>
          <w:color w:val="000000" w:themeColor="text1"/>
          <w:szCs w:val="24"/>
        </w:rPr>
        <w:t xml:space="preserve"> </w:t>
      </w:r>
      <w:r>
        <w:rPr>
          <w:rFonts w:cs="Arial"/>
          <w:color w:val="000000" w:themeColor="text1"/>
          <w:szCs w:val="24"/>
        </w:rPr>
        <w:t>ин</w:t>
      </w:r>
      <w:r w:rsidR="0071360A">
        <w:rPr>
          <w:rFonts w:cs="Arial"/>
          <w:color w:val="000000" w:themeColor="text1"/>
          <w:szCs w:val="24"/>
        </w:rPr>
        <w:t>т</w:t>
      </w:r>
      <w:r w:rsidR="00EE6AA2">
        <w:rPr>
          <w:rFonts w:cs="Arial"/>
          <w:color w:val="000000" w:themeColor="text1"/>
          <w:szCs w:val="24"/>
        </w:rPr>
        <w:t>е</w:t>
      </w:r>
      <w:r w:rsidR="0071360A">
        <w:rPr>
          <w:rFonts w:cs="Arial"/>
          <w:color w:val="000000" w:themeColor="text1"/>
          <w:szCs w:val="24"/>
        </w:rPr>
        <w:t>р</w:t>
      </w:r>
      <w:r>
        <w:rPr>
          <w:rFonts w:cs="Arial"/>
          <w:color w:val="000000" w:themeColor="text1"/>
          <w:szCs w:val="24"/>
        </w:rPr>
        <w:t>н</w:t>
      </w:r>
      <w:r w:rsidR="00EE6AA2">
        <w:rPr>
          <w:rFonts w:cs="Arial"/>
          <w:color w:val="000000" w:themeColor="text1"/>
          <w:szCs w:val="24"/>
        </w:rPr>
        <w:t>е</w:t>
      </w:r>
      <w:r w:rsidR="0071360A">
        <w:rPr>
          <w:rFonts w:cs="Arial"/>
          <w:color w:val="000000" w:themeColor="text1"/>
          <w:szCs w:val="24"/>
        </w:rPr>
        <w:t>т</w:t>
      </w:r>
      <w:r>
        <w:rPr>
          <w:rFonts w:cs="Arial"/>
          <w:color w:val="000000" w:themeColor="text1"/>
          <w:szCs w:val="24"/>
        </w:rPr>
        <w:t>а</w:t>
      </w:r>
      <w:r w:rsidR="00947928" w:rsidRPr="00F6340E">
        <w:rPr>
          <w:rFonts w:cs="Arial"/>
          <w:color w:val="000000" w:themeColor="text1"/>
          <w:szCs w:val="24"/>
        </w:rPr>
        <w:t xml:space="preserve"> </w:t>
      </w:r>
      <w:r>
        <w:rPr>
          <w:rFonts w:cs="Arial"/>
          <w:color w:val="000000" w:themeColor="text1"/>
          <w:szCs w:val="24"/>
        </w:rPr>
        <w:t>и</w:t>
      </w:r>
      <w:r w:rsidR="00CB1702" w:rsidRPr="00F6340E">
        <w:rPr>
          <w:rFonts w:cs="Arial"/>
          <w:color w:val="000000" w:themeColor="text1"/>
          <w:szCs w:val="24"/>
        </w:rPr>
        <w:t xml:space="preserve"> </w:t>
      </w:r>
      <w:r>
        <w:rPr>
          <w:rFonts w:cs="Arial"/>
          <w:color w:val="000000" w:themeColor="text1"/>
          <w:szCs w:val="24"/>
        </w:rPr>
        <w:t>комбино</w:t>
      </w:r>
      <w:r w:rsidR="0071360A">
        <w:rPr>
          <w:rFonts w:cs="Arial"/>
          <w:color w:val="000000" w:themeColor="text1"/>
          <w:szCs w:val="24"/>
        </w:rPr>
        <w:t>в</w:t>
      </w:r>
      <w:r>
        <w:rPr>
          <w:rFonts w:cs="Arial"/>
          <w:color w:val="000000" w:themeColor="text1"/>
          <w:szCs w:val="24"/>
        </w:rPr>
        <w:t>ан</w:t>
      </w:r>
      <w:r w:rsidR="00EE6AA2">
        <w:rPr>
          <w:rFonts w:cs="Arial"/>
          <w:color w:val="000000" w:themeColor="text1"/>
          <w:szCs w:val="24"/>
        </w:rPr>
        <w:t>е</w:t>
      </w:r>
      <w:r w:rsidR="00CB1702" w:rsidRPr="00F6340E">
        <w:rPr>
          <w:rFonts w:cs="Arial"/>
          <w:color w:val="000000" w:themeColor="text1"/>
          <w:szCs w:val="24"/>
        </w:rPr>
        <w:t xml:space="preserve"> </w:t>
      </w:r>
      <w:r>
        <w:rPr>
          <w:rFonts w:cs="Arial"/>
          <w:color w:val="000000" w:themeColor="text1"/>
          <w:szCs w:val="24"/>
        </w:rPr>
        <w:t>на</w:t>
      </w:r>
      <w:r w:rsidR="0071360A">
        <w:rPr>
          <w:rFonts w:cs="Arial"/>
          <w:color w:val="000000" w:themeColor="text1"/>
          <w:szCs w:val="24"/>
        </w:rPr>
        <w:t>ст</w:t>
      </w:r>
      <w:r>
        <w:rPr>
          <w:rFonts w:cs="Arial"/>
          <w:color w:val="000000" w:themeColor="text1"/>
          <w:szCs w:val="24"/>
        </w:rPr>
        <w:t>а</w:t>
      </w:r>
      <w:r w:rsidR="0071360A">
        <w:rPr>
          <w:rFonts w:cs="Arial"/>
          <w:color w:val="000000" w:themeColor="text1"/>
          <w:szCs w:val="24"/>
        </w:rPr>
        <w:t>в</w:t>
      </w:r>
      <w:r w:rsidR="00EE6AA2">
        <w:rPr>
          <w:rFonts w:cs="Arial"/>
          <w:color w:val="000000" w:themeColor="text1"/>
          <w:szCs w:val="24"/>
        </w:rPr>
        <w:t>е</w:t>
      </w:r>
      <w:r w:rsidR="00CB1702"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о</w:t>
      </w:r>
      <w:r w:rsidR="0071360A">
        <w:rPr>
          <w:rFonts w:cs="Arial"/>
          <w:color w:val="000000" w:themeColor="text1"/>
          <w:szCs w:val="24"/>
        </w:rPr>
        <w:t>ст</w:t>
      </w:r>
      <w:r>
        <w:rPr>
          <w:rFonts w:cs="Arial"/>
          <w:color w:val="000000" w:themeColor="text1"/>
          <w:szCs w:val="24"/>
        </w:rPr>
        <w:t>ој</w:t>
      </w:r>
      <w:r w:rsidR="00EE6AA2">
        <w:rPr>
          <w:rFonts w:cs="Arial"/>
          <w:color w:val="000000" w:themeColor="text1"/>
          <w:szCs w:val="24"/>
        </w:rPr>
        <w:t>е</w:t>
      </w:r>
      <w:r w:rsidR="00CB1702" w:rsidRPr="00F6340E">
        <w:rPr>
          <w:rFonts w:cs="Arial"/>
          <w:color w:val="000000" w:themeColor="text1"/>
          <w:szCs w:val="24"/>
        </w:rPr>
        <w:t xml:space="preserve"> </w:t>
      </w:r>
      <w:r>
        <w:rPr>
          <w:rFonts w:cs="Arial"/>
          <w:color w:val="000000" w:themeColor="text1"/>
          <w:szCs w:val="24"/>
        </w:rPr>
        <w:t>мог</w:t>
      </w:r>
      <w:r w:rsidR="0071360A">
        <w:rPr>
          <w:rFonts w:cs="Arial"/>
          <w:color w:val="000000" w:themeColor="text1"/>
          <w:szCs w:val="24"/>
        </w:rPr>
        <w:t>у</w:t>
      </w:r>
      <w:r>
        <w:rPr>
          <w:rFonts w:cs="Arial"/>
          <w:color w:val="000000" w:themeColor="text1"/>
          <w:szCs w:val="24"/>
        </w:rPr>
        <w:t>ћно</w:t>
      </w:r>
      <w:r w:rsidR="0071360A">
        <w:rPr>
          <w:rFonts w:cs="Arial"/>
          <w:color w:val="000000" w:themeColor="text1"/>
          <w:szCs w:val="24"/>
        </w:rPr>
        <w:t>ст</w:t>
      </w:r>
      <w:r>
        <w:rPr>
          <w:rFonts w:cs="Arial"/>
          <w:color w:val="000000" w:themeColor="text1"/>
          <w:szCs w:val="24"/>
        </w:rPr>
        <w:t>и</w:t>
      </w:r>
      <w:r w:rsidR="00CB1702" w:rsidRPr="00F6340E">
        <w:rPr>
          <w:rFonts w:cs="Arial"/>
          <w:color w:val="000000" w:themeColor="text1"/>
          <w:szCs w:val="24"/>
        </w:rPr>
        <w:t xml:space="preserve"> </w:t>
      </w:r>
      <w:r w:rsidR="00171F00">
        <w:rPr>
          <w:rFonts w:cs="Arial"/>
          <w:color w:val="000000" w:themeColor="text1"/>
          <w:szCs w:val="24"/>
        </w:rPr>
        <w:t>з</w:t>
      </w:r>
      <w:r>
        <w:rPr>
          <w:rFonts w:cs="Arial"/>
          <w:color w:val="000000" w:themeColor="text1"/>
          <w:szCs w:val="24"/>
        </w:rPr>
        <w:t>а</w:t>
      </w:r>
      <w:r w:rsidR="00CB1702"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имј</w:t>
      </w:r>
      <w:r w:rsidR="00EE6AA2">
        <w:rPr>
          <w:rFonts w:cs="Arial"/>
          <w:color w:val="000000" w:themeColor="text1"/>
          <w:szCs w:val="24"/>
        </w:rPr>
        <w:t>е</w:t>
      </w:r>
      <w:r>
        <w:rPr>
          <w:rFonts w:cs="Arial"/>
          <w:color w:val="000000" w:themeColor="text1"/>
          <w:szCs w:val="24"/>
        </w:rPr>
        <w:t>н</w:t>
      </w:r>
      <w:r w:rsidR="0071360A">
        <w:rPr>
          <w:rFonts w:cs="Arial"/>
          <w:color w:val="000000" w:themeColor="text1"/>
          <w:szCs w:val="24"/>
        </w:rPr>
        <w:t>у</w:t>
      </w:r>
      <w:r w:rsidR="00CB1702" w:rsidRPr="00F6340E">
        <w:rPr>
          <w:rFonts w:cs="Arial"/>
          <w:color w:val="000000" w:themeColor="text1"/>
          <w:szCs w:val="24"/>
        </w:rPr>
        <w:t xml:space="preserve"> </w:t>
      </w:r>
      <w:r w:rsidR="0071360A">
        <w:rPr>
          <w:rFonts w:cs="Arial"/>
          <w:color w:val="000000" w:themeColor="text1"/>
          <w:szCs w:val="24"/>
        </w:rPr>
        <w:t>р</w:t>
      </w:r>
      <w:r>
        <w:rPr>
          <w:rFonts w:cs="Arial"/>
          <w:color w:val="000000" w:themeColor="text1"/>
          <w:szCs w:val="24"/>
        </w:rPr>
        <w:t>а</w:t>
      </w:r>
      <w:r w:rsidR="00171F00">
        <w:rPr>
          <w:rFonts w:cs="Arial"/>
          <w:color w:val="000000" w:themeColor="text1"/>
          <w:szCs w:val="24"/>
        </w:rPr>
        <w:t>з</w:t>
      </w:r>
      <w:r>
        <w:rPr>
          <w:rFonts w:cs="Arial"/>
          <w:color w:val="000000" w:themeColor="text1"/>
          <w:szCs w:val="24"/>
        </w:rPr>
        <w:t>личи</w:t>
      </w:r>
      <w:r w:rsidR="0071360A">
        <w:rPr>
          <w:rFonts w:cs="Arial"/>
          <w:color w:val="000000" w:themeColor="text1"/>
          <w:szCs w:val="24"/>
        </w:rPr>
        <w:t>т</w:t>
      </w:r>
      <w:r>
        <w:rPr>
          <w:rFonts w:cs="Arial"/>
          <w:color w:val="000000" w:themeColor="text1"/>
          <w:szCs w:val="24"/>
        </w:rPr>
        <w:t>их</w:t>
      </w:r>
      <w:r w:rsidR="00CB1702" w:rsidRPr="00F6340E">
        <w:rPr>
          <w:rFonts w:cs="Arial"/>
          <w:color w:val="000000" w:themeColor="text1"/>
          <w:szCs w:val="24"/>
        </w:rPr>
        <w:t xml:space="preserve"> </w:t>
      </w:r>
      <w:r>
        <w:rPr>
          <w:rFonts w:cs="Arial"/>
          <w:color w:val="000000" w:themeColor="text1"/>
          <w:szCs w:val="24"/>
        </w:rPr>
        <w:t>диги</w:t>
      </w:r>
      <w:r w:rsidR="0071360A">
        <w:rPr>
          <w:rFonts w:cs="Arial"/>
          <w:color w:val="000000" w:themeColor="text1"/>
          <w:szCs w:val="24"/>
        </w:rPr>
        <w:t>т</w:t>
      </w:r>
      <w:r>
        <w:rPr>
          <w:rFonts w:cs="Arial"/>
          <w:color w:val="000000" w:themeColor="text1"/>
          <w:szCs w:val="24"/>
        </w:rPr>
        <w:t>алних</w:t>
      </w:r>
      <w:r w:rsidR="00CB1702" w:rsidRPr="00F6340E">
        <w:rPr>
          <w:rFonts w:cs="Arial"/>
          <w:color w:val="000000" w:themeColor="text1"/>
          <w:szCs w:val="24"/>
        </w:rPr>
        <w:t xml:space="preserve"> </w:t>
      </w:r>
      <w:r>
        <w:rPr>
          <w:rFonts w:cs="Arial"/>
          <w:color w:val="000000" w:themeColor="text1"/>
          <w:szCs w:val="24"/>
        </w:rPr>
        <w:t>ала</w:t>
      </w:r>
      <w:r w:rsidR="0071360A">
        <w:rPr>
          <w:rFonts w:cs="Arial"/>
          <w:color w:val="000000" w:themeColor="text1"/>
          <w:szCs w:val="24"/>
        </w:rPr>
        <w:t>т</w:t>
      </w:r>
      <w:r>
        <w:rPr>
          <w:rFonts w:cs="Arial"/>
          <w:color w:val="000000" w:themeColor="text1"/>
          <w:szCs w:val="24"/>
        </w:rPr>
        <w:t>а</w:t>
      </w:r>
      <w:r w:rsidR="00CB1702" w:rsidRPr="00F6340E">
        <w:rPr>
          <w:rFonts w:cs="Arial"/>
          <w:color w:val="000000" w:themeColor="text1"/>
          <w:szCs w:val="24"/>
        </w:rPr>
        <w:t xml:space="preserve"> </w:t>
      </w:r>
      <w:r w:rsidR="0071360A">
        <w:rPr>
          <w:rFonts w:cs="Arial"/>
          <w:color w:val="000000" w:themeColor="text1"/>
          <w:szCs w:val="24"/>
        </w:rPr>
        <w:t>у</w:t>
      </w:r>
      <w:r w:rsidR="00CB1702" w:rsidRPr="00F6340E">
        <w:rPr>
          <w:rFonts w:cs="Arial"/>
          <w:color w:val="000000" w:themeColor="text1"/>
          <w:szCs w:val="24"/>
        </w:rPr>
        <w:t xml:space="preserve"> </w:t>
      </w:r>
      <w:r w:rsidR="0071360A">
        <w:rPr>
          <w:rFonts w:cs="Arial"/>
          <w:color w:val="000000" w:themeColor="text1"/>
          <w:szCs w:val="24"/>
        </w:rPr>
        <w:t>свр</w:t>
      </w:r>
      <w:r>
        <w:rPr>
          <w:rFonts w:cs="Arial"/>
          <w:color w:val="000000" w:themeColor="text1"/>
          <w:szCs w:val="24"/>
        </w:rPr>
        <w:t>х</w:t>
      </w:r>
      <w:r w:rsidR="0071360A">
        <w:rPr>
          <w:rFonts w:cs="Arial"/>
          <w:color w:val="000000" w:themeColor="text1"/>
          <w:szCs w:val="24"/>
        </w:rPr>
        <w:t>у</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ик</w:t>
      </w:r>
      <w:r w:rsidR="0071360A">
        <w:rPr>
          <w:rFonts w:cs="Arial"/>
          <w:color w:val="000000" w:themeColor="text1"/>
          <w:szCs w:val="24"/>
        </w:rPr>
        <w:t>уп</w:t>
      </w:r>
      <w:r>
        <w:rPr>
          <w:rFonts w:cs="Arial"/>
          <w:color w:val="000000" w:themeColor="text1"/>
          <w:szCs w:val="24"/>
        </w:rPr>
        <w:t>љања</w:t>
      </w:r>
      <w:r w:rsidR="00E519B0" w:rsidRPr="00F6340E">
        <w:rPr>
          <w:rFonts w:cs="Arial"/>
          <w:color w:val="000000" w:themeColor="text1"/>
          <w:szCs w:val="24"/>
        </w:rPr>
        <w:t xml:space="preserve"> </w:t>
      </w:r>
      <w:r>
        <w:rPr>
          <w:rFonts w:cs="Arial"/>
          <w:color w:val="000000" w:themeColor="text1"/>
          <w:szCs w:val="24"/>
        </w:rPr>
        <w:t>и</w:t>
      </w:r>
      <w:r w:rsidR="00E519B0" w:rsidRPr="00F6340E">
        <w:rPr>
          <w:rFonts w:cs="Arial"/>
          <w:color w:val="000000" w:themeColor="text1"/>
          <w:szCs w:val="24"/>
        </w:rPr>
        <w:t xml:space="preserve"> </w:t>
      </w:r>
      <w:r>
        <w:rPr>
          <w:rFonts w:cs="Arial"/>
          <w:color w:val="000000" w:themeColor="text1"/>
          <w:szCs w:val="24"/>
        </w:rPr>
        <w:t>диги</w:t>
      </w:r>
      <w:r w:rsidR="0071360A">
        <w:rPr>
          <w:rFonts w:cs="Arial"/>
          <w:color w:val="000000" w:themeColor="text1"/>
          <w:szCs w:val="24"/>
        </w:rPr>
        <w:t>т</w:t>
      </w:r>
      <w:r>
        <w:rPr>
          <w:rFonts w:cs="Arial"/>
          <w:color w:val="000000" w:themeColor="text1"/>
          <w:szCs w:val="24"/>
        </w:rPr>
        <w:t>алнога</w:t>
      </w:r>
      <w:r w:rsidR="00E519B0" w:rsidRPr="00F6340E">
        <w:rPr>
          <w:rFonts w:cs="Arial"/>
          <w:color w:val="000000" w:themeColor="text1"/>
          <w:szCs w:val="24"/>
        </w:rPr>
        <w:t xml:space="preserve"> </w:t>
      </w:r>
      <w:r w:rsidR="00EE6AA2">
        <w:rPr>
          <w:rFonts w:cs="Arial"/>
          <w:color w:val="000000" w:themeColor="text1"/>
          <w:szCs w:val="24"/>
        </w:rPr>
        <w:t>е</w:t>
      </w:r>
      <w:r w:rsidR="0071360A">
        <w:rPr>
          <w:rFonts w:cs="Arial"/>
          <w:color w:val="000000" w:themeColor="text1"/>
          <w:szCs w:val="24"/>
        </w:rPr>
        <w:t>в</w:t>
      </w:r>
      <w:r>
        <w:rPr>
          <w:rFonts w:cs="Arial"/>
          <w:color w:val="000000" w:themeColor="text1"/>
          <w:szCs w:val="24"/>
        </w:rPr>
        <w:t>ид</w:t>
      </w:r>
      <w:r w:rsidR="00EE6AA2">
        <w:rPr>
          <w:rFonts w:cs="Arial"/>
          <w:color w:val="000000" w:themeColor="text1"/>
          <w:szCs w:val="24"/>
        </w:rPr>
        <w:t>е</w:t>
      </w:r>
      <w:r>
        <w:rPr>
          <w:rFonts w:cs="Arial"/>
          <w:color w:val="000000" w:themeColor="text1"/>
          <w:szCs w:val="24"/>
        </w:rPr>
        <w:t>н</w:t>
      </w:r>
      <w:r w:rsidR="0071360A">
        <w:rPr>
          <w:rFonts w:cs="Arial"/>
          <w:color w:val="000000" w:themeColor="text1"/>
          <w:szCs w:val="24"/>
        </w:rPr>
        <w:t>т</w:t>
      </w:r>
      <w:r>
        <w:rPr>
          <w:rFonts w:cs="Arial"/>
          <w:color w:val="000000" w:themeColor="text1"/>
          <w:szCs w:val="24"/>
        </w:rPr>
        <w:t>и</w:t>
      </w:r>
      <w:r w:rsidR="0071360A">
        <w:rPr>
          <w:rFonts w:cs="Arial"/>
          <w:color w:val="000000" w:themeColor="text1"/>
          <w:szCs w:val="24"/>
        </w:rPr>
        <w:t>р</w:t>
      </w:r>
      <w:r>
        <w:rPr>
          <w:rFonts w:cs="Arial"/>
          <w:color w:val="000000" w:themeColor="text1"/>
          <w:szCs w:val="24"/>
        </w:rPr>
        <w:t>ања</w:t>
      </w:r>
      <w:r w:rsidR="00947928"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ода</w:t>
      </w:r>
      <w:r w:rsidR="0071360A">
        <w:rPr>
          <w:rFonts w:cs="Arial"/>
          <w:color w:val="000000" w:themeColor="text1"/>
          <w:szCs w:val="24"/>
        </w:rPr>
        <w:t>т</w:t>
      </w:r>
      <w:r>
        <w:rPr>
          <w:rFonts w:cs="Arial"/>
          <w:color w:val="000000" w:themeColor="text1"/>
          <w:szCs w:val="24"/>
        </w:rPr>
        <w:t>ака</w:t>
      </w:r>
      <w:r w:rsidR="00E519B0" w:rsidRPr="00F6340E">
        <w:rPr>
          <w:rFonts w:cs="Arial"/>
          <w:color w:val="000000" w:themeColor="text1"/>
          <w:szCs w:val="24"/>
        </w:rPr>
        <w:t xml:space="preserve"> </w:t>
      </w:r>
      <w:r>
        <w:rPr>
          <w:rFonts w:cs="Arial"/>
          <w:color w:val="000000" w:themeColor="text1"/>
          <w:szCs w:val="24"/>
        </w:rPr>
        <w:t>о</w:t>
      </w:r>
      <w:r w:rsidR="00E519B0" w:rsidRPr="00F6340E">
        <w:rPr>
          <w:rFonts w:cs="Arial"/>
          <w:color w:val="000000" w:themeColor="text1"/>
          <w:szCs w:val="24"/>
        </w:rPr>
        <w:t xml:space="preserve"> </w:t>
      </w:r>
      <w:r>
        <w:rPr>
          <w:rFonts w:cs="Arial"/>
          <w:color w:val="000000" w:themeColor="text1"/>
          <w:szCs w:val="24"/>
        </w:rPr>
        <w:t>на</w:t>
      </w:r>
      <w:r w:rsidR="0071360A">
        <w:rPr>
          <w:rFonts w:cs="Arial"/>
          <w:color w:val="000000" w:themeColor="text1"/>
          <w:szCs w:val="24"/>
        </w:rPr>
        <w:t>пр</w:t>
      </w:r>
      <w:r w:rsidR="00EE6AA2">
        <w:rPr>
          <w:rFonts w:cs="Arial"/>
          <w:color w:val="000000" w:themeColor="text1"/>
          <w:szCs w:val="24"/>
        </w:rPr>
        <w:t>е</w:t>
      </w:r>
      <w:r w:rsidR="0071360A">
        <w:rPr>
          <w:rFonts w:cs="Arial"/>
          <w:color w:val="000000" w:themeColor="text1"/>
          <w:szCs w:val="24"/>
        </w:rPr>
        <w:t>т</w:t>
      </w:r>
      <w:r>
        <w:rPr>
          <w:rFonts w:cs="Arial"/>
          <w:color w:val="000000" w:themeColor="text1"/>
          <w:szCs w:val="24"/>
        </w:rPr>
        <w:t>к</w:t>
      </w:r>
      <w:r w:rsidR="0071360A">
        <w:rPr>
          <w:rFonts w:cs="Arial"/>
          <w:color w:val="000000" w:themeColor="text1"/>
          <w:szCs w:val="24"/>
        </w:rPr>
        <w:t>у</w:t>
      </w:r>
      <w:r w:rsidR="00E519B0" w:rsidRPr="00F6340E">
        <w:rPr>
          <w:rFonts w:cs="Arial"/>
          <w:color w:val="000000" w:themeColor="text1"/>
          <w:szCs w:val="24"/>
        </w:rPr>
        <w:t xml:space="preserve"> </w:t>
      </w:r>
      <w:r w:rsidR="0071360A">
        <w:rPr>
          <w:rFonts w:cs="Arial"/>
          <w:color w:val="000000" w:themeColor="text1"/>
          <w:szCs w:val="24"/>
        </w:rPr>
        <w:t>у</w:t>
      </w:r>
      <w:r>
        <w:rPr>
          <w:rFonts w:cs="Arial"/>
          <w:color w:val="000000" w:themeColor="text1"/>
          <w:szCs w:val="24"/>
        </w:rPr>
        <w:t>ч</w:t>
      </w:r>
      <w:r w:rsidR="00EE6AA2">
        <w:rPr>
          <w:rFonts w:cs="Arial"/>
          <w:color w:val="000000" w:themeColor="text1"/>
          <w:szCs w:val="24"/>
        </w:rPr>
        <w:t>е</w:t>
      </w:r>
      <w:r>
        <w:rPr>
          <w:rFonts w:cs="Arial"/>
          <w:color w:val="000000" w:themeColor="text1"/>
          <w:szCs w:val="24"/>
        </w:rPr>
        <w:t>ника</w:t>
      </w:r>
      <w:r w:rsidR="00CB1702" w:rsidRPr="00F6340E">
        <w:rPr>
          <w:rFonts w:cs="Arial"/>
          <w:color w:val="000000" w:themeColor="text1"/>
          <w:szCs w:val="24"/>
        </w:rPr>
        <w:t>/</w:t>
      </w:r>
      <w:r w:rsidR="0071360A">
        <w:rPr>
          <w:rFonts w:cs="Arial"/>
          <w:color w:val="000000" w:themeColor="text1"/>
          <w:szCs w:val="24"/>
        </w:rPr>
        <w:t>сту</w:t>
      </w:r>
      <w:r>
        <w:rPr>
          <w:rFonts w:cs="Arial"/>
          <w:color w:val="000000" w:themeColor="text1"/>
          <w:szCs w:val="24"/>
        </w:rPr>
        <w:t>д</w:t>
      </w:r>
      <w:r w:rsidR="00EE6AA2">
        <w:rPr>
          <w:rFonts w:cs="Arial"/>
          <w:color w:val="000000" w:themeColor="text1"/>
          <w:szCs w:val="24"/>
        </w:rPr>
        <w:t>е</w:t>
      </w:r>
      <w:r>
        <w:rPr>
          <w:rFonts w:cs="Arial"/>
          <w:color w:val="000000" w:themeColor="text1"/>
          <w:szCs w:val="24"/>
        </w:rPr>
        <w:t>на</w:t>
      </w:r>
      <w:r w:rsidR="0071360A">
        <w:rPr>
          <w:rFonts w:cs="Arial"/>
          <w:color w:val="000000" w:themeColor="text1"/>
          <w:szCs w:val="24"/>
        </w:rPr>
        <w:t>т</w:t>
      </w:r>
      <w:r>
        <w:rPr>
          <w:rFonts w:cs="Arial"/>
          <w:color w:val="000000" w:themeColor="text1"/>
          <w:szCs w:val="24"/>
        </w:rPr>
        <w:t>а</w:t>
      </w:r>
      <w:r w:rsidR="00615A7F" w:rsidRPr="00F6340E">
        <w:rPr>
          <w:rFonts w:cs="Arial"/>
          <w:color w:val="000000" w:themeColor="text1"/>
          <w:szCs w:val="24"/>
        </w:rPr>
        <w:t>,</w:t>
      </w:r>
      <w:r w:rsidR="00E519B0" w:rsidRPr="00F6340E">
        <w:rPr>
          <w:rFonts w:cs="Arial"/>
          <w:color w:val="000000" w:themeColor="text1"/>
          <w:szCs w:val="24"/>
        </w:rPr>
        <w:t xml:space="preserve"> </w:t>
      </w:r>
      <w:r>
        <w:rPr>
          <w:rFonts w:cs="Arial"/>
          <w:color w:val="000000" w:themeColor="text1"/>
          <w:szCs w:val="24"/>
        </w:rPr>
        <w:t>а</w:t>
      </w:r>
      <w:r w:rsidR="00CB1702" w:rsidRPr="00F6340E">
        <w:rPr>
          <w:rFonts w:cs="Arial"/>
          <w:color w:val="000000" w:themeColor="text1"/>
          <w:szCs w:val="24"/>
        </w:rPr>
        <w:t xml:space="preserve"> </w:t>
      </w:r>
      <w:r w:rsidR="0071360A">
        <w:rPr>
          <w:rFonts w:cs="Arial"/>
          <w:color w:val="000000" w:themeColor="text1"/>
          <w:szCs w:val="24"/>
        </w:rPr>
        <w:t>у</w:t>
      </w:r>
      <w:r>
        <w:rPr>
          <w:rFonts w:cs="Arial"/>
          <w:color w:val="000000" w:themeColor="text1"/>
          <w:szCs w:val="24"/>
        </w:rPr>
        <w:t>кљ</w:t>
      </w:r>
      <w:r w:rsidR="0071360A">
        <w:rPr>
          <w:rFonts w:cs="Arial"/>
          <w:color w:val="000000" w:themeColor="text1"/>
          <w:szCs w:val="24"/>
        </w:rPr>
        <w:t>у</w:t>
      </w:r>
      <w:r>
        <w:rPr>
          <w:rFonts w:cs="Arial"/>
          <w:color w:val="000000" w:themeColor="text1"/>
          <w:szCs w:val="24"/>
        </w:rPr>
        <w:t>ч</w:t>
      </w:r>
      <w:r w:rsidR="0071360A">
        <w:rPr>
          <w:rFonts w:cs="Arial"/>
          <w:color w:val="000000" w:themeColor="text1"/>
          <w:szCs w:val="24"/>
        </w:rPr>
        <w:t>у</w:t>
      </w:r>
      <w:r>
        <w:rPr>
          <w:rFonts w:cs="Arial"/>
          <w:color w:val="000000" w:themeColor="text1"/>
          <w:szCs w:val="24"/>
        </w:rPr>
        <w:t>ј</w:t>
      </w:r>
      <w:r w:rsidR="0071360A">
        <w:rPr>
          <w:rFonts w:cs="Arial"/>
          <w:color w:val="000000" w:themeColor="text1"/>
          <w:szCs w:val="24"/>
        </w:rPr>
        <w:t>у</w:t>
      </w:r>
      <w:r w:rsidR="00E519B0" w:rsidRPr="00F6340E">
        <w:rPr>
          <w:rFonts w:cs="Arial"/>
          <w:color w:val="000000" w:themeColor="text1"/>
          <w:szCs w:val="24"/>
        </w:rPr>
        <w:t>:</w:t>
      </w:r>
      <w:r w:rsidR="00E1600C" w:rsidRPr="00F6340E">
        <w:rPr>
          <w:rFonts w:cs="Arial"/>
          <w:color w:val="000000" w:themeColor="text1"/>
          <w:szCs w:val="24"/>
        </w:rPr>
        <w:t xml:space="preserve"> </w:t>
      </w:r>
      <w:r>
        <w:rPr>
          <w:rFonts w:cs="Arial"/>
          <w:color w:val="000000" w:themeColor="text1"/>
          <w:szCs w:val="24"/>
        </w:rPr>
        <w:t>динами</w:t>
      </w:r>
      <w:r w:rsidR="00CB5414">
        <w:rPr>
          <w:rFonts w:cs="Arial"/>
          <w:color w:val="000000" w:themeColor="text1"/>
          <w:szCs w:val="24"/>
        </w:rPr>
        <w:t>ч</w:t>
      </w:r>
      <w:r>
        <w:rPr>
          <w:rFonts w:cs="Arial"/>
          <w:color w:val="000000" w:themeColor="text1"/>
          <w:szCs w:val="24"/>
        </w:rPr>
        <w:t>к</w:t>
      </w:r>
      <w:r w:rsidR="0071360A">
        <w:rPr>
          <w:rFonts w:cs="Arial"/>
          <w:color w:val="000000" w:themeColor="text1"/>
          <w:szCs w:val="24"/>
        </w:rPr>
        <w:t>у</w:t>
      </w:r>
      <w:r w:rsidR="00E519B0" w:rsidRPr="00F6340E">
        <w:rPr>
          <w:rFonts w:cs="Arial"/>
          <w:color w:val="000000" w:themeColor="text1"/>
          <w:szCs w:val="24"/>
        </w:rPr>
        <w:t xml:space="preserve"> </w:t>
      </w:r>
      <w:r w:rsidR="0071360A">
        <w:rPr>
          <w:rFonts w:cs="Arial"/>
          <w:color w:val="000000" w:themeColor="text1"/>
          <w:szCs w:val="24"/>
        </w:rPr>
        <w:t>пр</w:t>
      </w:r>
      <w:r w:rsidR="00EE6AA2">
        <w:rPr>
          <w:rFonts w:cs="Arial"/>
          <w:color w:val="000000" w:themeColor="text1"/>
          <w:szCs w:val="24"/>
        </w:rPr>
        <w:t>е</w:t>
      </w:r>
      <w:r w:rsidR="00171F00">
        <w:rPr>
          <w:rFonts w:cs="Arial"/>
          <w:color w:val="000000" w:themeColor="text1"/>
          <w:szCs w:val="24"/>
        </w:rPr>
        <w:t>з</w:t>
      </w:r>
      <w:r w:rsidR="00EE6AA2">
        <w:rPr>
          <w:rFonts w:cs="Arial"/>
          <w:color w:val="000000" w:themeColor="text1"/>
          <w:szCs w:val="24"/>
        </w:rPr>
        <w:t>е</w:t>
      </w:r>
      <w:r>
        <w:rPr>
          <w:rFonts w:cs="Arial"/>
          <w:color w:val="000000" w:themeColor="text1"/>
          <w:szCs w:val="24"/>
        </w:rPr>
        <w:t>н</w:t>
      </w:r>
      <w:r w:rsidR="0071360A">
        <w:rPr>
          <w:rFonts w:cs="Arial"/>
          <w:color w:val="000000" w:themeColor="text1"/>
          <w:szCs w:val="24"/>
        </w:rPr>
        <w:t>т</w:t>
      </w:r>
      <w:r>
        <w:rPr>
          <w:rFonts w:cs="Arial"/>
          <w:color w:val="000000" w:themeColor="text1"/>
          <w:szCs w:val="24"/>
        </w:rPr>
        <w:t>ациј</w:t>
      </w:r>
      <w:r w:rsidR="0071360A">
        <w:rPr>
          <w:rFonts w:cs="Arial"/>
          <w:color w:val="000000" w:themeColor="text1"/>
          <w:szCs w:val="24"/>
        </w:rPr>
        <w:t>у</w:t>
      </w:r>
      <w:r w:rsidR="00E519B0" w:rsidRPr="00F6340E">
        <w:rPr>
          <w:rFonts w:cs="Arial"/>
          <w:color w:val="000000" w:themeColor="text1"/>
          <w:szCs w:val="24"/>
        </w:rPr>
        <w:t xml:space="preserve"> </w:t>
      </w:r>
      <w:r>
        <w:rPr>
          <w:rFonts w:cs="Arial"/>
          <w:color w:val="000000" w:themeColor="text1"/>
          <w:szCs w:val="24"/>
        </w:rPr>
        <w:t>м</w:t>
      </w:r>
      <w:r w:rsidR="0071360A">
        <w:rPr>
          <w:rFonts w:cs="Arial"/>
          <w:color w:val="000000" w:themeColor="text1"/>
          <w:szCs w:val="24"/>
        </w:rPr>
        <w:t>у</w:t>
      </w:r>
      <w:r>
        <w:rPr>
          <w:rFonts w:cs="Arial"/>
          <w:color w:val="000000" w:themeColor="text1"/>
          <w:szCs w:val="24"/>
        </w:rPr>
        <w:t>л</w:t>
      </w:r>
      <w:r w:rsidR="0071360A">
        <w:rPr>
          <w:rFonts w:cs="Arial"/>
          <w:color w:val="000000" w:themeColor="text1"/>
          <w:szCs w:val="24"/>
        </w:rPr>
        <w:t>т</w:t>
      </w:r>
      <w:r>
        <w:rPr>
          <w:rFonts w:cs="Arial"/>
          <w:color w:val="000000" w:themeColor="text1"/>
          <w:szCs w:val="24"/>
        </w:rPr>
        <w:t>им</w:t>
      </w:r>
      <w:r w:rsidR="00EE6AA2">
        <w:rPr>
          <w:rFonts w:cs="Arial"/>
          <w:color w:val="000000" w:themeColor="text1"/>
          <w:szCs w:val="24"/>
        </w:rPr>
        <w:t>е</w:t>
      </w:r>
      <w:r>
        <w:rPr>
          <w:rFonts w:cs="Arial"/>
          <w:color w:val="000000" w:themeColor="text1"/>
          <w:szCs w:val="24"/>
        </w:rPr>
        <w:t>дијалнога</w:t>
      </w:r>
      <w:r w:rsidR="00E519B0" w:rsidRPr="00F6340E">
        <w:rPr>
          <w:rFonts w:cs="Arial"/>
          <w:color w:val="000000" w:themeColor="text1"/>
          <w:szCs w:val="24"/>
        </w:rPr>
        <w:t xml:space="preserve"> </w:t>
      </w:r>
      <w:r w:rsidR="0071360A">
        <w:rPr>
          <w:rFonts w:cs="Arial"/>
          <w:color w:val="000000" w:themeColor="text1"/>
          <w:szCs w:val="24"/>
        </w:rPr>
        <w:t>с</w:t>
      </w:r>
      <w:r>
        <w:rPr>
          <w:rFonts w:cs="Arial"/>
          <w:color w:val="000000" w:themeColor="text1"/>
          <w:szCs w:val="24"/>
        </w:rPr>
        <w:t>ад</w:t>
      </w:r>
      <w:r w:rsidR="0071360A">
        <w:rPr>
          <w:rFonts w:cs="Arial"/>
          <w:color w:val="000000" w:themeColor="text1"/>
          <w:szCs w:val="24"/>
        </w:rPr>
        <w:t>р</w:t>
      </w:r>
      <w:r w:rsidR="00CB5414">
        <w:rPr>
          <w:rFonts w:cs="Arial"/>
          <w:color w:val="000000" w:themeColor="text1"/>
          <w:szCs w:val="24"/>
        </w:rPr>
        <w:t>ж</w:t>
      </w:r>
      <w:r>
        <w:rPr>
          <w:rFonts w:cs="Arial"/>
          <w:color w:val="000000" w:themeColor="text1"/>
          <w:szCs w:val="24"/>
        </w:rPr>
        <w:t>аја</w:t>
      </w:r>
      <w:r w:rsidR="00E519B0" w:rsidRPr="00F6340E">
        <w:rPr>
          <w:rFonts w:cs="Arial"/>
          <w:color w:val="000000" w:themeColor="text1"/>
          <w:szCs w:val="24"/>
        </w:rPr>
        <w:t xml:space="preserve"> </w:t>
      </w:r>
      <w:r>
        <w:rPr>
          <w:rFonts w:cs="Arial"/>
          <w:color w:val="000000" w:themeColor="text1"/>
          <w:szCs w:val="24"/>
        </w:rPr>
        <w:t>и</w:t>
      </w:r>
      <w:r w:rsidR="00E519B0" w:rsidRPr="00F6340E">
        <w:rPr>
          <w:rFonts w:cs="Arial"/>
          <w:color w:val="000000" w:themeColor="text1"/>
          <w:szCs w:val="24"/>
        </w:rPr>
        <w:t xml:space="preserve"> </w:t>
      </w:r>
      <w:r>
        <w:rPr>
          <w:rFonts w:cs="Arial"/>
          <w:color w:val="000000" w:themeColor="text1"/>
          <w:szCs w:val="24"/>
        </w:rPr>
        <w:t>ин</w:t>
      </w:r>
      <w:r w:rsidR="0071360A">
        <w:rPr>
          <w:rFonts w:cs="Arial"/>
          <w:color w:val="000000" w:themeColor="text1"/>
          <w:szCs w:val="24"/>
        </w:rPr>
        <w:t>т</w:t>
      </w:r>
      <w:r w:rsidR="00EE6AA2">
        <w:rPr>
          <w:rFonts w:cs="Arial"/>
          <w:color w:val="000000" w:themeColor="text1"/>
          <w:szCs w:val="24"/>
        </w:rPr>
        <w:t>е</w:t>
      </w:r>
      <w:r w:rsidR="0071360A">
        <w:rPr>
          <w:rFonts w:cs="Arial"/>
          <w:color w:val="000000" w:themeColor="text1"/>
          <w:szCs w:val="24"/>
        </w:rPr>
        <w:t>р</w:t>
      </w:r>
      <w:r>
        <w:rPr>
          <w:rFonts w:cs="Arial"/>
          <w:color w:val="000000" w:themeColor="text1"/>
          <w:szCs w:val="24"/>
        </w:rPr>
        <w:t>ак</w:t>
      </w:r>
      <w:r w:rsidR="0071360A">
        <w:rPr>
          <w:rFonts w:cs="Arial"/>
          <w:color w:val="000000" w:themeColor="text1"/>
          <w:szCs w:val="24"/>
        </w:rPr>
        <w:t>т</w:t>
      </w:r>
      <w:r>
        <w:rPr>
          <w:rFonts w:cs="Arial"/>
          <w:color w:val="000000" w:themeColor="text1"/>
          <w:szCs w:val="24"/>
        </w:rPr>
        <w:t>и</w:t>
      </w:r>
      <w:r w:rsidR="0071360A">
        <w:rPr>
          <w:rFonts w:cs="Arial"/>
          <w:color w:val="000000" w:themeColor="text1"/>
          <w:szCs w:val="24"/>
        </w:rPr>
        <w:t>в</w:t>
      </w:r>
      <w:r>
        <w:rPr>
          <w:rFonts w:cs="Arial"/>
          <w:color w:val="000000" w:themeColor="text1"/>
          <w:szCs w:val="24"/>
        </w:rPr>
        <w:t>них</w:t>
      </w:r>
      <w:r w:rsidR="00E519B0" w:rsidRPr="00F6340E">
        <w:rPr>
          <w:rFonts w:cs="Arial"/>
          <w:color w:val="000000" w:themeColor="text1"/>
          <w:szCs w:val="24"/>
        </w:rPr>
        <w:t xml:space="preserve"> </w:t>
      </w:r>
      <w:r w:rsidR="0071360A">
        <w:rPr>
          <w:rFonts w:cs="Arial"/>
          <w:color w:val="000000" w:themeColor="text1"/>
          <w:szCs w:val="24"/>
        </w:rPr>
        <w:t>с</w:t>
      </w:r>
      <w:r>
        <w:rPr>
          <w:rFonts w:cs="Arial"/>
          <w:color w:val="000000" w:themeColor="text1"/>
          <w:szCs w:val="24"/>
        </w:rPr>
        <w:t>им</w:t>
      </w:r>
      <w:r w:rsidR="0071360A">
        <w:rPr>
          <w:rFonts w:cs="Arial"/>
          <w:color w:val="000000" w:themeColor="text1"/>
          <w:szCs w:val="24"/>
        </w:rPr>
        <w:t>у</w:t>
      </w:r>
      <w:r>
        <w:rPr>
          <w:rFonts w:cs="Arial"/>
          <w:color w:val="000000" w:themeColor="text1"/>
          <w:szCs w:val="24"/>
        </w:rPr>
        <w:t>лација</w:t>
      </w:r>
      <w:r w:rsidR="00E519B0" w:rsidRPr="00F6340E">
        <w:rPr>
          <w:rFonts w:cs="Arial"/>
          <w:color w:val="000000" w:themeColor="text1"/>
          <w:szCs w:val="24"/>
        </w:rPr>
        <w:t xml:space="preserve">, </w:t>
      </w:r>
      <w:r>
        <w:rPr>
          <w:rFonts w:cs="Arial"/>
          <w:color w:val="000000" w:themeColor="text1"/>
          <w:szCs w:val="24"/>
        </w:rPr>
        <w:t>ада</w:t>
      </w:r>
      <w:r w:rsidR="0071360A">
        <w:rPr>
          <w:rFonts w:cs="Arial"/>
          <w:color w:val="000000" w:themeColor="text1"/>
          <w:szCs w:val="24"/>
        </w:rPr>
        <w:t>пт</w:t>
      </w:r>
      <w:r>
        <w:rPr>
          <w:rFonts w:cs="Arial"/>
          <w:color w:val="000000" w:themeColor="text1"/>
          <w:szCs w:val="24"/>
        </w:rPr>
        <w:t>и</w:t>
      </w:r>
      <w:r w:rsidR="0071360A">
        <w:rPr>
          <w:rFonts w:cs="Arial"/>
          <w:color w:val="000000" w:themeColor="text1"/>
          <w:szCs w:val="24"/>
        </w:rPr>
        <w:t>в</w:t>
      </w:r>
      <w:r>
        <w:rPr>
          <w:rFonts w:cs="Arial"/>
          <w:color w:val="000000" w:themeColor="text1"/>
          <w:szCs w:val="24"/>
        </w:rPr>
        <w:t>но</w:t>
      </w:r>
      <w:r w:rsidR="00E519B0" w:rsidRPr="00F6340E">
        <w:rPr>
          <w:rFonts w:cs="Arial"/>
          <w:color w:val="000000" w:themeColor="text1"/>
          <w:szCs w:val="24"/>
        </w:rPr>
        <w:t xml:space="preserve"> </w:t>
      </w:r>
      <w:r w:rsidR="0071360A">
        <w:rPr>
          <w:rFonts w:cs="Arial"/>
          <w:color w:val="000000" w:themeColor="text1"/>
          <w:szCs w:val="24"/>
        </w:rPr>
        <w:t>т</w:t>
      </w:r>
      <w:r w:rsidR="00EE6AA2">
        <w:rPr>
          <w:rFonts w:cs="Arial"/>
          <w:color w:val="000000" w:themeColor="text1"/>
          <w:szCs w:val="24"/>
        </w:rPr>
        <w:t>е</w:t>
      </w:r>
      <w:r w:rsidR="0071360A">
        <w:rPr>
          <w:rFonts w:cs="Arial"/>
          <w:color w:val="000000" w:themeColor="text1"/>
          <w:szCs w:val="24"/>
        </w:rPr>
        <w:t>ст</w:t>
      </w:r>
      <w:r>
        <w:rPr>
          <w:rFonts w:cs="Arial"/>
          <w:color w:val="000000" w:themeColor="text1"/>
          <w:szCs w:val="24"/>
        </w:rPr>
        <w:t>и</w:t>
      </w:r>
      <w:r w:rsidR="0071360A">
        <w:rPr>
          <w:rFonts w:cs="Arial"/>
          <w:color w:val="000000" w:themeColor="text1"/>
          <w:szCs w:val="24"/>
        </w:rPr>
        <w:t>р</w:t>
      </w:r>
      <w:r>
        <w:rPr>
          <w:rFonts w:cs="Arial"/>
          <w:color w:val="000000" w:themeColor="text1"/>
          <w:szCs w:val="24"/>
        </w:rPr>
        <w:t>ањ</w:t>
      </w:r>
      <w:r w:rsidR="00EE6AA2">
        <w:rPr>
          <w:rFonts w:cs="Arial"/>
          <w:color w:val="000000" w:themeColor="text1"/>
          <w:szCs w:val="24"/>
        </w:rPr>
        <w:t>е</w:t>
      </w:r>
      <w:r w:rsidR="00E519B0" w:rsidRPr="00F6340E">
        <w:rPr>
          <w:rFonts w:cs="Arial"/>
          <w:color w:val="000000" w:themeColor="text1"/>
          <w:szCs w:val="24"/>
        </w:rPr>
        <w:t xml:space="preserve">, </w:t>
      </w:r>
      <w:r w:rsidR="0071360A">
        <w:rPr>
          <w:rFonts w:cs="Arial"/>
          <w:color w:val="000000" w:themeColor="text1"/>
          <w:szCs w:val="24"/>
        </w:rPr>
        <w:t>у</w:t>
      </w:r>
      <w:r w:rsidR="00CB5414">
        <w:rPr>
          <w:rFonts w:cs="Arial"/>
          <w:color w:val="000000" w:themeColor="text1"/>
          <w:szCs w:val="24"/>
        </w:rPr>
        <w:t>ш</w:t>
      </w:r>
      <w:r w:rsidR="0071360A">
        <w:rPr>
          <w:rFonts w:cs="Arial"/>
          <w:color w:val="000000" w:themeColor="text1"/>
          <w:szCs w:val="24"/>
        </w:rPr>
        <w:t>т</w:t>
      </w:r>
      <w:r w:rsidR="00EE6AA2">
        <w:rPr>
          <w:rFonts w:cs="Arial"/>
          <w:color w:val="000000" w:themeColor="text1"/>
          <w:szCs w:val="24"/>
        </w:rPr>
        <w:t>е</w:t>
      </w:r>
      <w:r>
        <w:rPr>
          <w:rFonts w:cs="Arial"/>
          <w:color w:val="000000" w:themeColor="text1"/>
          <w:szCs w:val="24"/>
        </w:rPr>
        <w:t>д</w:t>
      </w:r>
      <w:r w:rsidR="00EE6AA2">
        <w:rPr>
          <w:rFonts w:cs="Arial"/>
          <w:color w:val="000000" w:themeColor="text1"/>
          <w:szCs w:val="24"/>
        </w:rPr>
        <w:t>е</w:t>
      </w:r>
      <w:r w:rsidR="00E519B0" w:rsidRPr="00F6340E">
        <w:rPr>
          <w:rFonts w:cs="Arial"/>
          <w:color w:val="000000" w:themeColor="text1"/>
          <w:szCs w:val="24"/>
        </w:rPr>
        <w:t xml:space="preserve"> </w:t>
      </w:r>
      <w:r>
        <w:rPr>
          <w:rFonts w:cs="Arial"/>
          <w:color w:val="000000" w:themeColor="text1"/>
          <w:szCs w:val="24"/>
        </w:rPr>
        <w:t>код</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и</w:t>
      </w:r>
      <w:r w:rsidR="0071360A">
        <w:rPr>
          <w:rFonts w:cs="Arial"/>
          <w:color w:val="000000" w:themeColor="text1"/>
          <w:szCs w:val="24"/>
        </w:rPr>
        <w:t>пр</w:t>
      </w:r>
      <w:r w:rsidR="00EE6AA2">
        <w:rPr>
          <w:rFonts w:cs="Arial"/>
          <w:color w:val="000000" w:themeColor="text1"/>
          <w:szCs w:val="24"/>
        </w:rPr>
        <w:t>е</w:t>
      </w:r>
      <w:r>
        <w:rPr>
          <w:rFonts w:cs="Arial"/>
          <w:color w:val="000000" w:themeColor="text1"/>
          <w:szCs w:val="24"/>
        </w:rPr>
        <w:t>м</w:t>
      </w:r>
      <w:r w:rsidR="00EE6AA2">
        <w:rPr>
          <w:rFonts w:cs="Arial"/>
          <w:color w:val="000000" w:themeColor="text1"/>
          <w:szCs w:val="24"/>
        </w:rPr>
        <w:t>е</w:t>
      </w:r>
      <w:r w:rsidR="00E519B0" w:rsidRPr="00F6340E">
        <w:rPr>
          <w:rFonts w:cs="Arial"/>
          <w:color w:val="000000" w:themeColor="text1"/>
          <w:szCs w:val="24"/>
        </w:rPr>
        <w:t xml:space="preserve"> </w:t>
      </w:r>
      <w:r>
        <w:rPr>
          <w:rFonts w:cs="Arial"/>
          <w:color w:val="000000" w:themeColor="text1"/>
          <w:szCs w:val="24"/>
        </w:rPr>
        <w:t>и</w:t>
      </w:r>
      <w:r w:rsidR="00E519B0" w:rsidRPr="00F6340E">
        <w:rPr>
          <w:rFonts w:cs="Arial"/>
          <w:color w:val="000000" w:themeColor="text1"/>
          <w:szCs w:val="24"/>
        </w:rPr>
        <w:t xml:space="preserve"> </w:t>
      </w:r>
      <w:r>
        <w:rPr>
          <w:rFonts w:cs="Arial"/>
          <w:color w:val="000000" w:themeColor="text1"/>
          <w:szCs w:val="24"/>
        </w:rPr>
        <w:t>ди</w:t>
      </w:r>
      <w:r w:rsidR="0071360A">
        <w:rPr>
          <w:rFonts w:cs="Arial"/>
          <w:color w:val="000000" w:themeColor="text1"/>
          <w:szCs w:val="24"/>
        </w:rPr>
        <w:t>стр</w:t>
      </w:r>
      <w:r>
        <w:rPr>
          <w:rFonts w:cs="Arial"/>
          <w:color w:val="000000" w:themeColor="text1"/>
          <w:szCs w:val="24"/>
        </w:rPr>
        <w:t>иб</w:t>
      </w:r>
      <w:r w:rsidR="0071360A">
        <w:rPr>
          <w:rFonts w:cs="Arial"/>
          <w:color w:val="000000" w:themeColor="text1"/>
          <w:szCs w:val="24"/>
        </w:rPr>
        <w:t>у</w:t>
      </w:r>
      <w:r>
        <w:rPr>
          <w:rFonts w:cs="Arial"/>
          <w:color w:val="000000" w:themeColor="text1"/>
          <w:szCs w:val="24"/>
        </w:rPr>
        <w:t>циј</w:t>
      </w:r>
      <w:r w:rsidR="00EE6AA2">
        <w:rPr>
          <w:rFonts w:cs="Arial"/>
          <w:color w:val="000000" w:themeColor="text1"/>
          <w:szCs w:val="24"/>
        </w:rPr>
        <w:t>е</w:t>
      </w:r>
      <w:r w:rsidR="00E519B0"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а</w:t>
      </w:r>
      <w:r w:rsidR="0071360A">
        <w:rPr>
          <w:rFonts w:cs="Arial"/>
          <w:color w:val="000000" w:themeColor="text1"/>
          <w:szCs w:val="24"/>
        </w:rPr>
        <w:t>п</w:t>
      </w:r>
      <w:r>
        <w:rPr>
          <w:rFonts w:cs="Arial"/>
          <w:color w:val="000000" w:themeColor="text1"/>
          <w:szCs w:val="24"/>
        </w:rPr>
        <w:t>и</w:t>
      </w:r>
      <w:r w:rsidR="0071360A">
        <w:rPr>
          <w:rFonts w:cs="Arial"/>
          <w:color w:val="000000" w:themeColor="text1"/>
          <w:szCs w:val="24"/>
        </w:rPr>
        <w:t>р</w:t>
      </w:r>
      <w:r>
        <w:rPr>
          <w:rFonts w:cs="Arial"/>
          <w:color w:val="000000" w:themeColor="text1"/>
          <w:szCs w:val="24"/>
        </w:rPr>
        <w:t>них</w:t>
      </w:r>
      <w:r w:rsidR="00E519B0" w:rsidRPr="00F6340E">
        <w:rPr>
          <w:rFonts w:cs="Arial"/>
          <w:color w:val="000000" w:themeColor="text1"/>
          <w:szCs w:val="24"/>
        </w:rPr>
        <w:t xml:space="preserve"> </w:t>
      </w:r>
      <w:r>
        <w:rPr>
          <w:rFonts w:cs="Arial"/>
          <w:color w:val="000000" w:themeColor="text1"/>
          <w:szCs w:val="24"/>
        </w:rPr>
        <w:t>ма</w:t>
      </w:r>
      <w:r w:rsidR="0071360A">
        <w:rPr>
          <w:rFonts w:cs="Arial"/>
          <w:color w:val="000000" w:themeColor="text1"/>
          <w:szCs w:val="24"/>
        </w:rPr>
        <w:t>т</w:t>
      </w:r>
      <w:r w:rsidR="00EE6AA2">
        <w:rPr>
          <w:rFonts w:cs="Arial"/>
          <w:color w:val="000000" w:themeColor="text1"/>
          <w:szCs w:val="24"/>
        </w:rPr>
        <w:t>е</w:t>
      </w:r>
      <w:r w:rsidR="0071360A">
        <w:rPr>
          <w:rFonts w:cs="Arial"/>
          <w:color w:val="000000" w:themeColor="text1"/>
          <w:szCs w:val="24"/>
        </w:rPr>
        <w:t>р</w:t>
      </w:r>
      <w:r>
        <w:rPr>
          <w:rFonts w:cs="Arial"/>
          <w:color w:val="000000" w:themeColor="text1"/>
          <w:szCs w:val="24"/>
        </w:rPr>
        <w:t>ијала</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а</w:t>
      </w:r>
      <w:r w:rsidR="000010C5">
        <w:rPr>
          <w:rFonts w:cs="Arial"/>
          <w:color w:val="000000" w:themeColor="text1"/>
          <w:szCs w:val="24"/>
        </w:rPr>
        <w:t>ћ</w:t>
      </w:r>
      <w:r w:rsidR="00EE6AA2">
        <w:rPr>
          <w:rFonts w:cs="Arial"/>
          <w:color w:val="000000" w:themeColor="text1"/>
          <w:szCs w:val="24"/>
        </w:rPr>
        <w:t>е</w:t>
      </w:r>
      <w:r>
        <w:rPr>
          <w:rFonts w:cs="Arial"/>
          <w:color w:val="000000" w:themeColor="text1"/>
          <w:szCs w:val="24"/>
        </w:rPr>
        <w:t>њ</w:t>
      </w:r>
      <w:r w:rsidR="00EE6AA2">
        <w:rPr>
          <w:rFonts w:cs="Arial"/>
          <w:color w:val="000000" w:themeColor="text1"/>
          <w:szCs w:val="24"/>
        </w:rPr>
        <w:t>е</w:t>
      </w:r>
      <w:r w:rsidR="00E519B0" w:rsidRPr="00F6340E">
        <w:rPr>
          <w:rFonts w:cs="Arial"/>
          <w:color w:val="000000" w:themeColor="text1"/>
          <w:szCs w:val="24"/>
        </w:rPr>
        <w:t xml:space="preserve"> </w:t>
      </w:r>
      <w:r>
        <w:rPr>
          <w:rFonts w:cs="Arial"/>
          <w:color w:val="000000" w:themeColor="text1"/>
          <w:szCs w:val="24"/>
        </w:rPr>
        <w:t>дода</w:t>
      </w:r>
      <w:r w:rsidR="0071360A">
        <w:rPr>
          <w:rFonts w:cs="Arial"/>
          <w:color w:val="000000" w:themeColor="text1"/>
          <w:szCs w:val="24"/>
        </w:rPr>
        <w:t>т</w:t>
      </w:r>
      <w:r>
        <w:rPr>
          <w:rFonts w:cs="Arial"/>
          <w:color w:val="000000" w:themeColor="text1"/>
          <w:szCs w:val="24"/>
        </w:rPr>
        <w:t>них</w:t>
      </w:r>
      <w:r w:rsidR="00E519B0"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а</w:t>
      </w:r>
      <w:r w:rsidR="0071360A">
        <w:rPr>
          <w:rFonts w:cs="Arial"/>
          <w:color w:val="000000" w:themeColor="text1"/>
          <w:szCs w:val="24"/>
        </w:rPr>
        <w:t>р</w:t>
      </w:r>
      <w:r>
        <w:rPr>
          <w:rFonts w:cs="Arial"/>
          <w:color w:val="000000" w:themeColor="text1"/>
          <w:szCs w:val="24"/>
        </w:rPr>
        <w:t>ам</w:t>
      </w:r>
      <w:r w:rsidR="00EE6AA2">
        <w:rPr>
          <w:rFonts w:cs="Arial"/>
          <w:color w:val="000000" w:themeColor="text1"/>
          <w:szCs w:val="24"/>
        </w:rPr>
        <w:t>е</w:t>
      </w:r>
      <w:r w:rsidR="0071360A">
        <w:rPr>
          <w:rFonts w:cs="Arial"/>
          <w:color w:val="000000" w:themeColor="text1"/>
          <w:szCs w:val="24"/>
        </w:rPr>
        <w:t>т</w:t>
      </w:r>
      <w:r>
        <w:rPr>
          <w:rFonts w:cs="Arial"/>
          <w:color w:val="000000" w:themeColor="text1"/>
          <w:szCs w:val="24"/>
        </w:rPr>
        <w:t>а</w:t>
      </w:r>
      <w:r w:rsidR="0071360A">
        <w:rPr>
          <w:rFonts w:cs="Arial"/>
          <w:color w:val="000000" w:themeColor="text1"/>
          <w:szCs w:val="24"/>
        </w:rPr>
        <w:t>р</w:t>
      </w:r>
      <w:r>
        <w:rPr>
          <w:rFonts w:cs="Arial"/>
          <w:color w:val="000000" w:themeColor="text1"/>
          <w:szCs w:val="24"/>
        </w:rPr>
        <w:t>а</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о</w:t>
      </w:r>
      <w:r w:rsidR="0071360A">
        <w:rPr>
          <w:rFonts w:cs="Arial"/>
          <w:color w:val="000000" w:themeColor="text1"/>
          <w:szCs w:val="24"/>
        </w:rPr>
        <w:t>в</w:t>
      </w:r>
      <w:r>
        <w:rPr>
          <w:rFonts w:cs="Arial"/>
          <w:color w:val="000000" w:themeColor="text1"/>
          <w:szCs w:val="24"/>
        </w:rPr>
        <w:t>ј</w:t>
      </w:r>
      <w:r w:rsidR="00EE6AA2">
        <w:rPr>
          <w:rFonts w:cs="Arial"/>
          <w:color w:val="000000" w:themeColor="text1"/>
          <w:szCs w:val="24"/>
        </w:rPr>
        <w:t>е</w:t>
      </w:r>
      <w:r w:rsidR="0071360A">
        <w:rPr>
          <w:rFonts w:cs="Arial"/>
          <w:color w:val="000000" w:themeColor="text1"/>
          <w:szCs w:val="24"/>
        </w:rPr>
        <w:t>р</w:t>
      </w:r>
      <w:r w:rsidR="00EE6AA2">
        <w:rPr>
          <w:rFonts w:cs="Arial"/>
          <w:color w:val="000000" w:themeColor="text1"/>
          <w:szCs w:val="24"/>
        </w:rPr>
        <w:t>е</w:t>
      </w:r>
      <w:r w:rsidR="00E519B0" w:rsidRPr="00F6340E">
        <w:rPr>
          <w:rFonts w:cs="Arial"/>
          <w:color w:val="000000" w:themeColor="text1"/>
          <w:szCs w:val="24"/>
        </w:rPr>
        <w:t xml:space="preserve">, </w:t>
      </w:r>
      <w:r>
        <w:rPr>
          <w:rFonts w:cs="Arial"/>
          <w:color w:val="000000" w:themeColor="text1"/>
          <w:szCs w:val="24"/>
        </w:rPr>
        <w:t>о</w:t>
      </w:r>
      <w:r w:rsidR="0071360A">
        <w:rPr>
          <w:rFonts w:cs="Arial"/>
          <w:color w:val="000000" w:themeColor="text1"/>
          <w:szCs w:val="24"/>
        </w:rPr>
        <w:t>с</w:t>
      </w:r>
      <w:r>
        <w:rPr>
          <w:rFonts w:cs="Arial"/>
          <w:color w:val="000000" w:themeColor="text1"/>
          <w:szCs w:val="24"/>
        </w:rPr>
        <w:t>им</w:t>
      </w:r>
      <w:r w:rsidR="00E519B0" w:rsidRPr="00F6340E">
        <w:rPr>
          <w:rFonts w:cs="Arial"/>
          <w:color w:val="000000" w:themeColor="text1"/>
          <w:szCs w:val="24"/>
        </w:rPr>
        <w:t xml:space="preserve"> </w:t>
      </w:r>
      <w:r>
        <w:rPr>
          <w:rFonts w:cs="Arial"/>
          <w:color w:val="000000" w:themeColor="text1"/>
          <w:szCs w:val="24"/>
        </w:rPr>
        <w:t>кона</w:t>
      </w:r>
      <w:r w:rsidR="00CB5414">
        <w:rPr>
          <w:rFonts w:cs="Arial"/>
          <w:color w:val="000000" w:themeColor="text1"/>
          <w:szCs w:val="24"/>
        </w:rPr>
        <w:t>ч</w:t>
      </w:r>
      <w:r>
        <w:rPr>
          <w:rFonts w:cs="Arial"/>
          <w:color w:val="000000" w:themeColor="text1"/>
          <w:szCs w:val="24"/>
        </w:rPr>
        <w:t>них</w:t>
      </w:r>
      <w:r w:rsidR="00E519B0" w:rsidRPr="00F6340E">
        <w:rPr>
          <w:rFonts w:cs="Arial"/>
          <w:color w:val="000000" w:themeColor="text1"/>
          <w:szCs w:val="24"/>
        </w:rPr>
        <w:t xml:space="preserve"> </w:t>
      </w:r>
      <w:r>
        <w:rPr>
          <w:rFonts w:cs="Arial"/>
          <w:color w:val="000000" w:themeColor="text1"/>
          <w:szCs w:val="24"/>
        </w:rPr>
        <w:t>одго</w:t>
      </w:r>
      <w:r w:rsidR="0071360A">
        <w:rPr>
          <w:rFonts w:cs="Arial"/>
          <w:color w:val="000000" w:themeColor="text1"/>
          <w:szCs w:val="24"/>
        </w:rPr>
        <w:t>в</w:t>
      </w:r>
      <w:r>
        <w:rPr>
          <w:rFonts w:cs="Arial"/>
          <w:color w:val="000000" w:themeColor="text1"/>
          <w:szCs w:val="24"/>
        </w:rPr>
        <w:t>о</w:t>
      </w:r>
      <w:r w:rsidR="0071360A">
        <w:rPr>
          <w:rFonts w:cs="Arial"/>
          <w:color w:val="000000" w:themeColor="text1"/>
          <w:szCs w:val="24"/>
        </w:rPr>
        <w:t>р</w:t>
      </w:r>
      <w:r>
        <w:rPr>
          <w:rFonts w:cs="Arial"/>
          <w:color w:val="000000" w:themeColor="text1"/>
          <w:szCs w:val="24"/>
        </w:rPr>
        <w:t>а</w:t>
      </w:r>
      <w:r w:rsidR="00E519B0" w:rsidRPr="00F6340E">
        <w:rPr>
          <w:rFonts w:cs="Arial"/>
          <w:color w:val="000000" w:themeColor="text1"/>
          <w:szCs w:val="24"/>
        </w:rPr>
        <w:t xml:space="preserve">, </w:t>
      </w:r>
      <w:r>
        <w:rPr>
          <w:rFonts w:cs="Arial"/>
          <w:color w:val="000000" w:themeColor="text1"/>
          <w:szCs w:val="24"/>
        </w:rPr>
        <w:t>а</w:t>
      </w:r>
      <w:r w:rsidR="0071360A">
        <w:rPr>
          <w:rFonts w:cs="Arial"/>
          <w:color w:val="000000" w:themeColor="text1"/>
          <w:szCs w:val="24"/>
        </w:rPr>
        <w:t>ут</w:t>
      </w:r>
      <w:r>
        <w:rPr>
          <w:rFonts w:cs="Arial"/>
          <w:color w:val="000000" w:themeColor="text1"/>
          <w:szCs w:val="24"/>
        </w:rPr>
        <w:t>ома</w:t>
      </w:r>
      <w:r w:rsidR="0071360A">
        <w:rPr>
          <w:rFonts w:cs="Arial"/>
          <w:color w:val="000000" w:themeColor="text1"/>
          <w:szCs w:val="24"/>
        </w:rPr>
        <w:t>т</w:t>
      </w:r>
      <w:r>
        <w:rPr>
          <w:rFonts w:cs="Arial"/>
          <w:color w:val="000000" w:themeColor="text1"/>
          <w:szCs w:val="24"/>
        </w:rPr>
        <w:t>и</w:t>
      </w:r>
      <w:r w:rsidR="00171F00">
        <w:rPr>
          <w:rFonts w:cs="Arial"/>
          <w:color w:val="000000" w:themeColor="text1"/>
          <w:szCs w:val="24"/>
        </w:rPr>
        <w:t>з</w:t>
      </w:r>
      <w:r>
        <w:rPr>
          <w:rFonts w:cs="Arial"/>
          <w:color w:val="000000" w:themeColor="text1"/>
          <w:szCs w:val="24"/>
        </w:rPr>
        <w:t>о</w:t>
      </w:r>
      <w:r w:rsidR="0071360A">
        <w:rPr>
          <w:rFonts w:cs="Arial"/>
          <w:color w:val="000000" w:themeColor="text1"/>
          <w:szCs w:val="24"/>
        </w:rPr>
        <w:t>в</w:t>
      </w:r>
      <w:r>
        <w:rPr>
          <w:rFonts w:cs="Arial"/>
          <w:color w:val="000000" w:themeColor="text1"/>
          <w:szCs w:val="24"/>
        </w:rPr>
        <w:t>ан</w:t>
      </w:r>
      <w:r w:rsidR="0071360A">
        <w:rPr>
          <w:rFonts w:cs="Arial"/>
          <w:color w:val="000000" w:themeColor="text1"/>
          <w:szCs w:val="24"/>
        </w:rPr>
        <w:t>у</w:t>
      </w:r>
      <w:r w:rsidR="00E519B0" w:rsidRPr="00F6340E">
        <w:rPr>
          <w:rFonts w:cs="Arial"/>
          <w:color w:val="000000" w:themeColor="text1"/>
          <w:szCs w:val="24"/>
        </w:rPr>
        <w:t xml:space="preserve"> </w:t>
      </w:r>
      <w:r>
        <w:rPr>
          <w:rFonts w:cs="Arial"/>
          <w:color w:val="000000" w:themeColor="text1"/>
          <w:szCs w:val="24"/>
        </w:rPr>
        <w:t>об</w:t>
      </w:r>
      <w:r w:rsidR="0071360A">
        <w:rPr>
          <w:rFonts w:cs="Arial"/>
          <w:color w:val="000000" w:themeColor="text1"/>
          <w:szCs w:val="24"/>
        </w:rPr>
        <w:t>р</w:t>
      </w:r>
      <w:r>
        <w:rPr>
          <w:rFonts w:cs="Arial"/>
          <w:color w:val="000000" w:themeColor="text1"/>
          <w:szCs w:val="24"/>
        </w:rPr>
        <w:t>ад</w:t>
      </w:r>
      <w:r w:rsidR="0071360A">
        <w:rPr>
          <w:rFonts w:cs="Arial"/>
          <w:color w:val="000000" w:themeColor="text1"/>
          <w:szCs w:val="24"/>
        </w:rPr>
        <w:t>у</w:t>
      </w:r>
      <w:r w:rsidR="00E519B0" w:rsidRPr="00F6340E">
        <w:rPr>
          <w:rFonts w:cs="Arial"/>
          <w:color w:val="000000" w:themeColor="text1"/>
          <w:szCs w:val="24"/>
        </w:rPr>
        <w:t xml:space="preserve"> </w:t>
      </w:r>
      <w:r w:rsidR="0071360A">
        <w:rPr>
          <w:rFonts w:cs="Arial"/>
          <w:color w:val="000000" w:themeColor="text1"/>
          <w:szCs w:val="24"/>
        </w:rPr>
        <w:t>р</w:t>
      </w:r>
      <w:r w:rsidR="00EE6AA2">
        <w:rPr>
          <w:rFonts w:cs="Arial"/>
          <w:color w:val="000000" w:themeColor="text1"/>
          <w:szCs w:val="24"/>
        </w:rPr>
        <w:t>е</w:t>
      </w:r>
      <w:r w:rsidR="00171F00">
        <w:rPr>
          <w:rFonts w:cs="Arial"/>
          <w:color w:val="000000" w:themeColor="text1"/>
          <w:szCs w:val="24"/>
        </w:rPr>
        <w:t>з</w:t>
      </w:r>
      <w:r w:rsidR="0071360A">
        <w:rPr>
          <w:rFonts w:cs="Arial"/>
          <w:color w:val="000000" w:themeColor="text1"/>
          <w:szCs w:val="24"/>
        </w:rPr>
        <w:t>у</w:t>
      </w:r>
      <w:r>
        <w:rPr>
          <w:rFonts w:cs="Arial"/>
          <w:color w:val="000000" w:themeColor="text1"/>
          <w:szCs w:val="24"/>
        </w:rPr>
        <w:t>л</w:t>
      </w:r>
      <w:r w:rsidR="0071360A">
        <w:rPr>
          <w:rFonts w:cs="Arial"/>
          <w:color w:val="000000" w:themeColor="text1"/>
          <w:szCs w:val="24"/>
        </w:rPr>
        <w:t>т</w:t>
      </w:r>
      <w:r>
        <w:rPr>
          <w:rFonts w:cs="Arial"/>
          <w:color w:val="000000" w:themeColor="text1"/>
          <w:szCs w:val="24"/>
        </w:rPr>
        <w:t>а</w:t>
      </w:r>
      <w:r w:rsidR="0071360A">
        <w:rPr>
          <w:rFonts w:cs="Arial"/>
          <w:color w:val="000000" w:themeColor="text1"/>
          <w:szCs w:val="24"/>
        </w:rPr>
        <w:t>т</w:t>
      </w:r>
      <w:r>
        <w:rPr>
          <w:rFonts w:cs="Arial"/>
          <w:color w:val="000000" w:themeColor="text1"/>
          <w:szCs w:val="24"/>
        </w:rPr>
        <w:t>а</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о</w:t>
      </w:r>
      <w:r w:rsidR="0071360A">
        <w:rPr>
          <w:rFonts w:cs="Arial"/>
          <w:color w:val="000000" w:themeColor="text1"/>
          <w:szCs w:val="24"/>
        </w:rPr>
        <w:t>в</w:t>
      </w:r>
      <w:r>
        <w:rPr>
          <w:rFonts w:cs="Arial"/>
          <w:color w:val="000000" w:themeColor="text1"/>
          <w:szCs w:val="24"/>
        </w:rPr>
        <w:t>ј</w:t>
      </w:r>
      <w:r w:rsidR="00EE6AA2">
        <w:rPr>
          <w:rFonts w:cs="Arial"/>
          <w:color w:val="000000" w:themeColor="text1"/>
          <w:szCs w:val="24"/>
        </w:rPr>
        <w:t>е</w:t>
      </w:r>
      <w:r w:rsidR="0071360A">
        <w:rPr>
          <w:rFonts w:cs="Arial"/>
          <w:color w:val="000000" w:themeColor="text1"/>
          <w:szCs w:val="24"/>
        </w:rPr>
        <w:t>р</w:t>
      </w:r>
      <w:r w:rsidR="00EE6AA2">
        <w:rPr>
          <w:rFonts w:cs="Arial"/>
          <w:color w:val="000000" w:themeColor="text1"/>
          <w:szCs w:val="24"/>
        </w:rPr>
        <w:t>е</w:t>
      </w:r>
      <w:r w:rsidR="00E519B0" w:rsidRPr="00F6340E">
        <w:rPr>
          <w:rFonts w:cs="Arial"/>
          <w:color w:val="000000" w:themeColor="text1"/>
          <w:szCs w:val="24"/>
        </w:rPr>
        <w:t xml:space="preserve">, </w:t>
      </w:r>
      <w:r w:rsidR="0071360A">
        <w:rPr>
          <w:rFonts w:cs="Arial"/>
          <w:color w:val="000000" w:themeColor="text1"/>
          <w:szCs w:val="24"/>
        </w:rPr>
        <w:t>пру</w:t>
      </w:r>
      <w:r w:rsidR="00CB5414">
        <w:rPr>
          <w:rFonts w:cs="Arial"/>
          <w:color w:val="000000" w:themeColor="text1"/>
          <w:szCs w:val="24"/>
        </w:rPr>
        <w:t>ж</w:t>
      </w:r>
      <w:r>
        <w:rPr>
          <w:rFonts w:cs="Arial"/>
          <w:color w:val="000000" w:themeColor="text1"/>
          <w:szCs w:val="24"/>
        </w:rPr>
        <w:t>ањ</w:t>
      </w:r>
      <w:r w:rsidR="00EE6AA2">
        <w:rPr>
          <w:rFonts w:cs="Arial"/>
          <w:color w:val="000000" w:themeColor="text1"/>
          <w:szCs w:val="24"/>
        </w:rPr>
        <w:t>е</w:t>
      </w:r>
      <w:r w:rsidR="00E519B0" w:rsidRPr="00F6340E">
        <w:rPr>
          <w:rFonts w:cs="Arial"/>
          <w:color w:val="000000" w:themeColor="text1"/>
          <w:szCs w:val="24"/>
        </w:rPr>
        <w:t xml:space="preserve"> </w:t>
      </w:r>
      <w:r w:rsidR="0071360A">
        <w:rPr>
          <w:rFonts w:cs="Arial"/>
          <w:color w:val="000000" w:themeColor="text1"/>
          <w:szCs w:val="24"/>
        </w:rPr>
        <w:t>п</w:t>
      </w:r>
      <w:r>
        <w:rPr>
          <w:rFonts w:cs="Arial"/>
          <w:color w:val="000000" w:themeColor="text1"/>
          <w:szCs w:val="24"/>
        </w:rPr>
        <w:t>о</w:t>
      </w:r>
      <w:r w:rsidR="0071360A">
        <w:rPr>
          <w:rFonts w:cs="Arial"/>
          <w:color w:val="000000" w:themeColor="text1"/>
          <w:szCs w:val="24"/>
        </w:rPr>
        <w:t>вр</w:t>
      </w:r>
      <w:r>
        <w:rPr>
          <w:rFonts w:cs="Arial"/>
          <w:color w:val="000000" w:themeColor="text1"/>
          <w:szCs w:val="24"/>
        </w:rPr>
        <w:t>а</w:t>
      </w:r>
      <w:r w:rsidR="0071360A">
        <w:rPr>
          <w:rFonts w:cs="Arial"/>
          <w:color w:val="000000" w:themeColor="text1"/>
          <w:szCs w:val="24"/>
        </w:rPr>
        <w:t>т</w:t>
      </w:r>
      <w:r>
        <w:rPr>
          <w:rFonts w:cs="Arial"/>
          <w:color w:val="000000" w:themeColor="text1"/>
          <w:szCs w:val="24"/>
        </w:rPr>
        <w:t>н</w:t>
      </w:r>
      <w:r w:rsidR="00EE6AA2">
        <w:rPr>
          <w:rFonts w:cs="Arial"/>
          <w:color w:val="000000" w:themeColor="text1"/>
          <w:szCs w:val="24"/>
        </w:rPr>
        <w:t>е</w:t>
      </w:r>
      <w:r w:rsidR="00E519B0" w:rsidRPr="00F6340E">
        <w:rPr>
          <w:rFonts w:cs="Arial"/>
          <w:color w:val="000000" w:themeColor="text1"/>
          <w:szCs w:val="24"/>
        </w:rPr>
        <w:t xml:space="preserve"> </w:t>
      </w:r>
      <w:r>
        <w:rPr>
          <w:rFonts w:cs="Arial"/>
          <w:color w:val="000000" w:themeColor="text1"/>
          <w:szCs w:val="24"/>
        </w:rPr>
        <w:t>инфо</w:t>
      </w:r>
      <w:r w:rsidR="0071360A">
        <w:rPr>
          <w:rFonts w:cs="Arial"/>
          <w:color w:val="000000" w:themeColor="text1"/>
          <w:szCs w:val="24"/>
        </w:rPr>
        <w:t>р</w:t>
      </w:r>
      <w:r>
        <w:rPr>
          <w:rFonts w:cs="Arial"/>
          <w:color w:val="000000" w:themeColor="text1"/>
          <w:szCs w:val="24"/>
        </w:rPr>
        <w:t>мациј</w:t>
      </w:r>
      <w:r w:rsidR="00EE6AA2">
        <w:rPr>
          <w:rFonts w:cs="Arial"/>
          <w:color w:val="000000" w:themeColor="text1"/>
          <w:szCs w:val="24"/>
        </w:rPr>
        <w:t>е</w:t>
      </w:r>
      <w:r w:rsidR="00E519B0" w:rsidRPr="00F6340E">
        <w:rPr>
          <w:rFonts w:cs="Arial"/>
          <w:color w:val="000000" w:themeColor="text1"/>
          <w:szCs w:val="24"/>
        </w:rPr>
        <w:t xml:space="preserve">, </w:t>
      </w:r>
      <w:r w:rsidR="0071360A">
        <w:rPr>
          <w:rFonts w:cs="Arial"/>
          <w:color w:val="000000" w:themeColor="text1"/>
          <w:szCs w:val="24"/>
        </w:rPr>
        <w:t>пр</w:t>
      </w:r>
      <w:r>
        <w:rPr>
          <w:rFonts w:cs="Arial"/>
          <w:color w:val="000000" w:themeColor="text1"/>
          <w:szCs w:val="24"/>
        </w:rPr>
        <w:t>и</w:t>
      </w:r>
      <w:r w:rsidR="0071360A">
        <w:rPr>
          <w:rFonts w:cs="Arial"/>
          <w:color w:val="000000" w:themeColor="text1"/>
          <w:szCs w:val="24"/>
        </w:rPr>
        <w:t>ступ</w:t>
      </w:r>
      <w:r>
        <w:rPr>
          <w:rFonts w:cs="Arial"/>
          <w:color w:val="000000" w:themeColor="text1"/>
          <w:szCs w:val="24"/>
        </w:rPr>
        <w:t>а</w:t>
      </w:r>
      <w:r w:rsidR="00CB5414">
        <w:rPr>
          <w:rFonts w:cs="Arial"/>
          <w:color w:val="000000" w:themeColor="text1"/>
          <w:szCs w:val="24"/>
        </w:rPr>
        <w:t>ч</w:t>
      </w:r>
      <w:r>
        <w:rPr>
          <w:rFonts w:cs="Arial"/>
          <w:color w:val="000000" w:themeColor="text1"/>
          <w:szCs w:val="24"/>
        </w:rPr>
        <w:t>но</w:t>
      </w:r>
      <w:r w:rsidR="0071360A">
        <w:rPr>
          <w:rFonts w:cs="Arial"/>
          <w:color w:val="000000" w:themeColor="text1"/>
          <w:szCs w:val="24"/>
        </w:rPr>
        <w:t>ст</w:t>
      </w:r>
      <w:r w:rsidR="00E519B0" w:rsidRPr="00F6340E">
        <w:rPr>
          <w:rFonts w:cs="Arial"/>
          <w:color w:val="000000" w:themeColor="text1"/>
          <w:szCs w:val="24"/>
        </w:rPr>
        <w:t xml:space="preserve"> </w:t>
      </w:r>
      <w:r>
        <w:rPr>
          <w:rFonts w:cs="Arial"/>
          <w:color w:val="000000" w:themeColor="text1"/>
          <w:szCs w:val="24"/>
        </w:rPr>
        <w:t>и</w:t>
      </w:r>
      <w:r w:rsidR="00E519B0" w:rsidRPr="00F6340E">
        <w:rPr>
          <w:rFonts w:cs="Arial"/>
          <w:color w:val="000000" w:themeColor="text1"/>
          <w:szCs w:val="24"/>
        </w:rPr>
        <w:t xml:space="preserve"> </w:t>
      </w:r>
      <w:r>
        <w:rPr>
          <w:rFonts w:cs="Arial"/>
          <w:color w:val="000000" w:themeColor="text1"/>
          <w:szCs w:val="24"/>
        </w:rPr>
        <w:t>мог</w:t>
      </w:r>
      <w:r w:rsidR="0071360A">
        <w:rPr>
          <w:rFonts w:cs="Arial"/>
          <w:color w:val="000000" w:themeColor="text1"/>
          <w:szCs w:val="24"/>
        </w:rPr>
        <w:t>у</w:t>
      </w:r>
      <w:r>
        <w:rPr>
          <w:rFonts w:cs="Arial"/>
          <w:color w:val="000000" w:themeColor="text1"/>
          <w:szCs w:val="24"/>
        </w:rPr>
        <w:t>ћно</w:t>
      </w:r>
      <w:r w:rsidR="0071360A">
        <w:rPr>
          <w:rFonts w:cs="Arial"/>
          <w:color w:val="000000" w:themeColor="text1"/>
          <w:szCs w:val="24"/>
        </w:rPr>
        <w:t>ст</w:t>
      </w:r>
      <w:r w:rsidR="00E519B0" w:rsidRPr="00F6340E">
        <w:rPr>
          <w:rFonts w:cs="Arial"/>
          <w:color w:val="000000" w:themeColor="text1"/>
          <w:szCs w:val="24"/>
        </w:rPr>
        <w:t xml:space="preserve"> </w:t>
      </w:r>
      <w:r w:rsidR="0071360A">
        <w:rPr>
          <w:rFonts w:cs="Arial"/>
          <w:color w:val="000000" w:themeColor="text1"/>
          <w:szCs w:val="24"/>
        </w:rPr>
        <w:t>р</w:t>
      </w:r>
      <w:r>
        <w:rPr>
          <w:rFonts w:cs="Arial"/>
          <w:color w:val="000000" w:themeColor="text1"/>
          <w:szCs w:val="24"/>
        </w:rPr>
        <w:t>анги</w:t>
      </w:r>
      <w:r w:rsidR="0071360A">
        <w:rPr>
          <w:rFonts w:cs="Arial"/>
          <w:color w:val="000000" w:themeColor="text1"/>
          <w:szCs w:val="24"/>
        </w:rPr>
        <w:t>р</w:t>
      </w:r>
      <w:r>
        <w:rPr>
          <w:rFonts w:cs="Arial"/>
          <w:color w:val="000000" w:themeColor="text1"/>
          <w:szCs w:val="24"/>
        </w:rPr>
        <w:t>ања</w:t>
      </w:r>
      <w:r w:rsidR="00E519B0" w:rsidRPr="00F6340E">
        <w:rPr>
          <w:rFonts w:cs="Arial"/>
          <w:color w:val="000000" w:themeColor="text1"/>
          <w:szCs w:val="24"/>
        </w:rPr>
        <w:t xml:space="preserve"> (</w:t>
      </w:r>
      <w:r w:rsidR="0071360A">
        <w:rPr>
          <w:rFonts w:cs="Arial"/>
          <w:color w:val="000000" w:themeColor="text1"/>
          <w:szCs w:val="24"/>
        </w:rPr>
        <w:t>П</w:t>
      </w:r>
      <w:r w:rsidR="00EE6AA2">
        <w:rPr>
          <w:rFonts w:cs="Arial"/>
          <w:color w:val="000000" w:themeColor="text1"/>
          <w:szCs w:val="24"/>
        </w:rPr>
        <w:t>е</w:t>
      </w:r>
      <w:r w:rsidR="0071360A">
        <w:rPr>
          <w:rFonts w:cs="Arial"/>
          <w:color w:val="000000" w:themeColor="text1"/>
          <w:szCs w:val="24"/>
        </w:rPr>
        <w:t>тр</w:t>
      </w:r>
      <w:r>
        <w:rPr>
          <w:rFonts w:cs="Arial"/>
          <w:color w:val="000000" w:themeColor="text1"/>
          <w:szCs w:val="24"/>
        </w:rPr>
        <w:t>о</w:t>
      </w:r>
      <w:r w:rsidR="0071360A">
        <w:rPr>
          <w:rFonts w:cs="Arial"/>
          <w:color w:val="000000" w:themeColor="text1"/>
          <w:szCs w:val="24"/>
        </w:rPr>
        <w:t>в</w:t>
      </w:r>
      <w:r>
        <w:rPr>
          <w:rFonts w:cs="Arial"/>
          <w:color w:val="000000" w:themeColor="text1"/>
          <w:szCs w:val="24"/>
        </w:rPr>
        <w:t>и</w:t>
      </w:r>
      <w:r w:rsidR="000010C5">
        <w:rPr>
          <w:rFonts w:cs="Arial"/>
          <w:color w:val="000000" w:themeColor="text1"/>
          <w:szCs w:val="24"/>
        </w:rPr>
        <w:t>ћ</w:t>
      </w:r>
      <w:r w:rsidR="00E519B0" w:rsidRPr="00F6340E">
        <w:rPr>
          <w:rFonts w:cs="Arial"/>
          <w:color w:val="000000" w:themeColor="text1"/>
          <w:szCs w:val="24"/>
        </w:rPr>
        <w:t xml:space="preserve">, 2017). </w:t>
      </w:r>
    </w:p>
    <w:p w14:paraId="10A7CCCB" w14:textId="4607BEE4" w:rsidR="00872771" w:rsidRPr="00F6340E" w:rsidRDefault="00171F00" w:rsidP="00210EE1">
      <w:pPr>
        <w:pStyle w:val="Body"/>
        <w:rPr>
          <w:rFonts w:cs="Arial"/>
          <w:color w:val="000000" w:themeColor="text1"/>
        </w:rPr>
      </w:pPr>
      <w:r>
        <w:rPr>
          <w:rFonts w:cs="Arial"/>
          <w:color w:val="000000" w:themeColor="text1"/>
          <w:szCs w:val="24"/>
        </w:rPr>
        <w:t>З</w:t>
      </w:r>
      <w:r w:rsidR="00A56E08">
        <w:rPr>
          <w:rFonts w:cs="Arial"/>
          <w:color w:val="000000" w:themeColor="text1"/>
          <w:szCs w:val="24"/>
        </w:rPr>
        <w:t>а</w:t>
      </w:r>
      <w:r w:rsidR="0071360A">
        <w:rPr>
          <w:rFonts w:cs="Arial"/>
          <w:color w:val="000000" w:themeColor="text1"/>
          <w:szCs w:val="24"/>
        </w:rPr>
        <w:t>т</w:t>
      </w:r>
      <w:r w:rsidR="00A56E08">
        <w:rPr>
          <w:rFonts w:cs="Arial"/>
          <w:color w:val="000000" w:themeColor="text1"/>
          <w:szCs w:val="24"/>
        </w:rPr>
        <w:t>о</w:t>
      </w:r>
      <w:r w:rsidR="00717FB2" w:rsidRPr="00F6340E">
        <w:rPr>
          <w:rFonts w:cs="Arial"/>
          <w:color w:val="000000" w:themeColor="text1"/>
          <w:szCs w:val="24"/>
        </w:rPr>
        <w:t xml:space="preserve"> </w:t>
      </w:r>
      <w:r w:rsidR="00A56E08">
        <w:rPr>
          <w:rFonts w:cs="Arial"/>
          <w:color w:val="000000" w:themeColor="text1"/>
          <w:szCs w:val="24"/>
        </w:rPr>
        <w:t>ј</w:t>
      </w:r>
      <w:r w:rsidR="00EE6AA2">
        <w:rPr>
          <w:rFonts w:cs="Arial"/>
          <w:color w:val="000000" w:themeColor="text1"/>
          <w:szCs w:val="24"/>
        </w:rPr>
        <w:t>е</w:t>
      </w:r>
      <w:r w:rsidR="00717FB2" w:rsidRPr="00F6340E">
        <w:rPr>
          <w:rFonts w:cs="Arial"/>
          <w:color w:val="000000" w:themeColor="text1"/>
          <w:szCs w:val="24"/>
        </w:rPr>
        <w:t xml:space="preserve"> </w:t>
      </w:r>
      <w:r w:rsidR="00A56E08">
        <w:rPr>
          <w:rFonts w:cs="Arial"/>
          <w:color w:val="000000" w:themeColor="text1"/>
          <w:szCs w:val="24"/>
        </w:rPr>
        <w:t>ј</w:t>
      </w:r>
      <w:r w:rsidR="00EE6AA2">
        <w:rPr>
          <w:rFonts w:cs="Arial"/>
          <w:color w:val="000000" w:themeColor="text1"/>
          <w:szCs w:val="24"/>
        </w:rPr>
        <w:t>е</w:t>
      </w:r>
      <w:r w:rsidR="00A56E08">
        <w:rPr>
          <w:rFonts w:cs="Arial"/>
          <w:color w:val="000000" w:themeColor="text1"/>
          <w:szCs w:val="24"/>
        </w:rPr>
        <w:t>дна</w:t>
      </w:r>
      <w:r w:rsidR="00CB1702" w:rsidRPr="00F6340E">
        <w:rPr>
          <w:rFonts w:cs="Arial"/>
          <w:color w:val="000000" w:themeColor="text1"/>
          <w:szCs w:val="24"/>
        </w:rPr>
        <w:t xml:space="preserve"> </w:t>
      </w:r>
      <w:r w:rsidR="00A56E08">
        <w:rPr>
          <w:rFonts w:cs="Arial"/>
          <w:color w:val="000000" w:themeColor="text1"/>
          <w:szCs w:val="24"/>
        </w:rPr>
        <w:t>од</w:t>
      </w:r>
      <w:r w:rsidR="00CB1702" w:rsidRPr="00F6340E">
        <w:rPr>
          <w:rFonts w:cs="Arial"/>
          <w:color w:val="000000" w:themeColor="text1"/>
          <w:szCs w:val="24"/>
        </w:rPr>
        <w:t xml:space="preserve"> </w:t>
      </w:r>
      <w:r w:rsidR="0071360A">
        <w:rPr>
          <w:rFonts w:cs="Arial"/>
          <w:color w:val="000000" w:themeColor="text1"/>
          <w:szCs w:val="24"/>
        </w:rPr>
        <w:t>пр</w:t>
      </w:r>
      <w:r w:rsidR="00EE6AA2">
        <w:rPr>
          <w:rFonts w:cs="Arial"/>
          <w:color w:val="000000" w:themeColor="text1"/>
          <w:szCs w:val="24"/>
        </w:rPr>
        <w:t>е</w:t>
      </w:r>
      <w:r w:rsidR="0071360A">
        <w:rPr>
          <w:rFonts w:cs="Arial"/>
          <w:color w:val="000000" w:themeColor="text1"/>
          <w:szCs w:val="24"/>
        </w:rPr>
        <w:t>тп</w:t>
      </w:r>
      <w:r w:rsidR="00A56E08">
        <w:rPr>
          <w:rFonts w:cs="Arial"/>
          <w:color w:val="000000" w:themeColor="text1"/>
          <w:szCs w:val="24"/>
        </w:rPr>
        <w:t>о</w:t>
      </w:r>
      <w:r w:rsidR="0071360A">
        <w:rPr>
          <w:rFonts w:cs="Arial"/>
          <w:color w:val="000000" w:themeColor="text1"/>
          <w:szCs w:val="24"/>
        </w:rPr>
        <w:t>ст</w:t>
      </w:r>
      <w:r w:rsidR="00A56E08">
        <w:rPr>
          <w:rFonts w:cs="Arial"/>
          <w:color w:val="000000" w:themeColor="text1"/>
          <w:szCs w:val="24"/>
        </w:rPr>
        <w:t>а</w:t>
      </w:r>
      <w:r w:rsidR="0071360A">
        <w:rPr>
          <w:rFonts w:cs="Arial"/>
          <w:color w:val="000000" w:themeColor="text1"/>
          <w:szCs w:val="24"/>
        </w:rPr>
        <w:t>в</w:t>
      </w:r>
      <w:r w:rsidR="00A56E08">
        <w:rPr>
          <w:rFonts w:cs="Arial"/>
          <w:color w:val="000000" w:themeColor="text1"/>
          <w:szCs w:val="24"/>
        </w:rPr>
        <w:t>ки</w:t>
      </w:r>
      <w:r w:rsidR="00CB1702" w:rsidRPr="00F6340E">
        <w:rPr>
          <w:rFonts w:cs="Arial"/>
          <w:color w:val="000000" w:themeColor="text1"/>
          <w:szCs w:val="24"/>
        </w:rPr>
        <w:t xml:space="preserve"> </w:t>
      </w:r>
      <w:r>
        <w:rPr>
          <w:rFonts w:cs="Arial"/>
          <w:color w:val="000000" w:themeColor="text1"/>
          <w:szCs w:val="24"/>
        </w:rPr>
        <w:t>з</w:t>
      </w:r>
      <w:r w:rsidR="00A56E08">
        <w:rPr>
          <w:rFonts w:cs="Arial"/>
          <w:color w:val="000000" w:themeColor="text1"/>
          <w:szCs w:val="24"/>
        </w:rPr>
        <w:t>а</w:t>
      </w:r>
      <w:r w:rsidR="00CB1702" w:rsidRPr="00F6340E">
        <w:rPr>
          <w:rFonts w:cs="Arial"/>
          <w:color w:val="000000" w:themeColor="text1"/>
          <w:szCs w:val="24"/>
        </w:rPr>
        <w:t xml:space="preserve"> </w:t>
      </w:r>
      <w:r w:rsidR="00A56E08">
        <w:rPr>
          <w:rFonts w:cs="Arial"/>
          <w:color w:val="000000" w:themeColor="text1"/>
          <w:szCs w:val="24"/>
        </w:rPr>
        <w:t>им</w:t>
      </w:r>
      <w:r w:rsidR="0071360A">
        <w:rPr>
          <w:rFonts w:cs="Arial"/>
          <w:color w:val="000000" w:themeColor="text1"/>
          <w:szCs w:val="24"/>
        </w:rPr>
        <w:t>п</w:t>
      </w:r>
      <w:r w:rsidR="00A56E08">
        <w:rPr>
          <w:rFonts w:cs="Arial"/>
          <w:color w:val="000000" w:themeColor="text1"/>
          <w:szCs w:val="24"/>
        </w:rPr>
        <w:t>л</w:t>
      </w:r>
      <w:r w:rsidR="00EE6AA2">
        <w:rPr>
          <w:rFonts w:cs="Arial"/>
          <w:color w:val="000000" w:themeColor="text1"/>
          <w:szCs w:val="24"/>
        </w:rPr>
        <w:t>е</w:t>
      </w:r>
      <w:r w:rsidR="00A56E08">
        <w:rPr>
          <w:rFonts w:cs="Arial"/>
          <w:color w:val="000000" w:themeColor="text1"/>
          <w:szCs w:val="24"/>
        </w:rPr>
        <w:t>м</w:t>
      </w:r>
      <w:r w:rsidR="00EE6AA2">
        <w:rPr>
          <w:rFonts w:cs="Arial"/>
          <w:color w:val="000000" w:themeColor="text1"/>
          <w:szCs w:val="24"/>
        </w:rPr>
        <w:t>е</w:t>
      </w:r>
      <w:r w:rsidR="00A56E08">
        <w:rPr>
          <w:rFonts w:cs="Arial"/>
          <w:color w:val="000000" w:themeColor="text1"/>
          <w:szCs w:val="24"/>
        </w:rPr>
        <w:t>н</w:t>
      </w:r>
      <w:r w:rsidR="0071360A">
        <w:rPr>
          <w:rFonts w:cs="Arial"/>
          <w:color w:val="000000" w:themeColor="text1"/>
          <w:szCs w:val="24"/>
        </w:rPr>
        <w:t>т</w:t>
      </w:r>
      <w:r w:rsidR="00A56E08">
        <w:rPr>
          <w:rFonts w:cs="Arial"/>
          <w:color w:val="000000" w:themeColor="text1"/>
          <w:szCs w:val="24"/>
        </w:rPr>
        <w:t>ациј</w:t>
      </w:r>
      <w:r w:rsidR="0071360A">
        <w:rPr>
          <w:rFonts w:cs="Arial"/>
          <w:color w:val="000000" w:themeColor="text1"/>
          <w:szCs w:val="24"/>
        </w:rPr>
        <w:t>у</w:t>
      </w:r>
      <w:r w:rsidR="00CB1702" w:rsidRPr="00F6340E">
        <w:rPr>
          <w:rFonts w:cs="Arial"/>
          <w:color w:val="000000" w:themeColor="text1"/>
          <w:szCs w:val="24"/>
        </w:rPr>
        <w:t xml:space="preserve"> </w:t>
      </w:r>
      <w:r w:rsidR="0071360A">
        <w:rPr>
          <w:rFonts w:cs="Arial"/>
          <w:color w:val="000000" w:themeColor="text1"/>
          <w:szCs w:val="24"/>
        </w:rPr>
        <w:t>пр</w:t>
      </w:r>
      <w:r w:rsidR="00A56E08">
        <w:rPr>
          <w:rFonts w:cs="Arial"/>
          <w:color w:val="000000" w:themeColor="text1"/>
          <w:szCs w:val="24"/>
        </w:rPr>
        <w:t>аћ</w:t>
      </w:r>
      <w:r w:rsidR="00EE6AA2">
        <w:rPr>
          <w:rFonts w:cs="Arial"/>
          <w:color w:val="000000" w:themeColor="text1"/>
          <w:szCs w:val="24"/>
        </w:rPr>
        <w:t>е</w:t>
      </w:r>
      <w:r w:rsidR="00A56E08">
        <w:rPr>
          <w:rFonts w:cs="Arial"/>
          <w:color w:val="000000" w:themeColor="text1"/>
          <w:szCs w:val="24"/>
        </w:rPr>
        <w:t>ња</w:t>
      </w:r>
      <w:r w:rsidR="00CB1702" w:rsidRPr="00F6340E">
        <w:rPr>
          <w:rFonts w:cs="Arial"/>
          <w:color w:val="000000" w:themeColor="text1"/>
          <w:szCs w:val="24"/>
        </w:rPr>
        <w:t xml:space="preserve">, </w:t>
      </w:r>
      <w:r w:rsidR="0071360A">
        <w:rPr>
          <w:rFonts w:cs="Arial"/>
          <w:color w:val="000000" w:themeColor="text1"/>
          <w:szCs w:val="24"/>
        </w:rPr>
        <w:t>вр</w:t>
      </w:r>
      <w:r w:rsidR="00EE6AA2">
        <w:rPr>
          <w:rFonts w:cs="Arial"/>
          <w:color w:val="000000" w:themeColor="text1"/>
          <w:szCs w:val="24"/>
        </w:rPr>
        <w:t>е</w:t>
      </w:r>
      <w:r w:rsidR="00A56E08">
        <w:rPr>
          <w:rFonts w:cs="Arial"/>
          <w:color w:val="000000" w:themeColor="text1"/>
          <w:szCs w:val="24"/>
        </w:rPr>
        <w:t>дно</w:t>
      </w:r>
      <w:r w:rsidR="0071360A">
        <w:rPr>
          <w:rFonts w:cs="Arial"/>
          <w:color w:val="000000" w:themeColor="text1"/>
          <w:szCs w:val="24"/>
        </w:rPr>
        <w:t>в</w:t>
      </w:r>
      <w:r w:rsidR="00A56E08">
        <w:rPr>
          <w:rFonts w:cs="Arial"/>
          <w:color w:val="000000" w:themeColor="text1"/>
          <w:szCs w:val="24"/>
        </w:rPr>
        <w:t>ања</w:t>
      </w:r>
      <w:r w:rsidR="00CB1702" w:rsidRPr="00F6340E">
        <w:rPr>
          <w:rFonts w:cs="Arial"/>
          <w:color w:val="000000" w:themeColor="text1"/>
          <w:szCs w:val="24"/>
        </w:rPr>
        <w:t xml:space="preserve"> </w:t>
      </w:r>
      <w:r w:rsidR="00A56E08">
        <w:rPr>
          <w:rFonts w:cs="Arial"/>
          <w:color w:val="000000" w:themeColor="text1"/>
          <w:szCs w:val="24"/>
        </w:rPr>
        <w:t>и</w:t>
      </w:r>
      <w:r w:rsidR="00CB1702" w:rsidRPr="00F6340E">
        <w:rPr>
          <w:rFonts w:cs="Arial"/>
          <w:color w:val="000000" w:themeColor="text1"/>
          <w:szCs w:val="24"/>
        </w:rPr>
        <w:t xml:space="preserve"> </w:t>
      </w:r>
      <w:r w:rsidR="00A56E08">
        <w:rPr>
          <w:rFonts w:cs="Arial"/>
          <w:color w:val="000000" w:themeColor="text1"/>
          <w:szCs w:val="24"/>
        </w:rPr>
        <w:t>оцј</w:t>
      </w:r>
      <w:r w:rsidR="00EE6AA2">
        <w:rPr>
          <w:rFonts w:cs="Arial"/>
          <w:color w:val="000000" w:themeColor="text1"/>
          <w:szCs w:val="24"/>
        </w:rPr>
        <w:t>е</w:t>
      </w:r>
      <w:r w:rsidR="00A56E08">
        <w:rPr>
          <w:rFonts w:cs="Arial"/>
          <w:color w:val="000000" w:themeColor="text1"/>
          <w:szCs w:val="24"/>
        </w:rPr>
        <w:t>њи</w:t>
      </w:r>
      <w:r w:rsidR="0071360A">
        <w:rPr>
          <w:rFonts w:cs="Arial"/>
          <w:color w:val="000000" w:themeColor="text1"/>
          <w:szCs w:val="24"/>
        </w:rPr>
        <w:t>в</w:t>
      </w:r>
      <w:r w:rsidR="00A56E08">
        <w:rPr>
          <w:rFonts w:cs="Arial"/>
          <w:color w:val="000000" w:themeColor="text1"/>
          <w:szCs w:val="24"/>
        </w:rPr>
        <w:t>ања</w:t>
      </w:r>
      <w:r w:rsidR="00CB1702" w:rsidRPr="00F6340E">
        <w:rPr>
          <w:rFonts w:cs="Arial"/>
          <w:color w:val="000000" w:themeColor="text1"/>
          <w:szCs w:val="24"/>
        </w:rPr>
        <w:t xml:space="preserve"> </w:t>
      </w:r>
      <w:r w:rsidR="0071360A">
        <w:rPr>
          <w:rFonts w:cs="Arial"/>
          <w:color w:val="000000" w:themeColor="text1"/>
          <w:szCs w:val="24"/>
        </w:rPr>
        <w:t>у</w:t>
      </w:r>
      <w:r w:rsidR="00CB1702" w:rsidRPr="00F6340E">
        <w:rPr>
          <w:rFonts w:cs="Arial"/>
          <w:color w:val="000000" w:themeColor="text1"/>
          <w:szCs w:val="24"/>
        </w:rPr>
        <w:t xml:space="preserve"> </w:t>
      </w:r>
      <w:r w:rsidR="00A56E08">
        <w:rPr>
          <w:rFonts w:cs="Arial"/>
          <w:color w:val="000000" w:themeColor="text1"/>
          <w:szCs w:val="24"/>
        </w:rPr>
        <w:t>кон</w:t>
      </w:r>
      <w:r w:rsidR="0071360A">
        <w:rPr>
          <w:rFonts w:cs="Arial"/>
          <w:color w:val="000000" w:themeColor="text1"/>
          <w:szCs w:val="24"/>
        </w:rPr>
        <w:t>т</w:t>
      </w:r>
      <w:r w:rsidR="00EE6AA2">
        <w:rPr>
          <w:rFonts w:cs="Arial"/>
          <w:color w:val="000000" w:themeColor="text1"/>
          <w:szCs w:val="24"/>
        </w:rPr>
        <w:t>е</w:t>
      </w:r>
      <w:r w:rsidR="00A56E08">
        <w:rPr>
          <w:rFonts w:cs="Arial"/>
          <w:color w:val="000000" w:themeColor="text1"/>
          <w:szCs w:val="24"/>
        </w:rPr>
        <w:t>к</w:t>
      </w:r>
      <w:r w:rsidR="0071360A">
        <w:rPr>
          <w:rFonts w:cs="Arial"/>
          <w:color w:val="000000" w:themeColor="text1"/>
          <w:szCs w:val="24"/>
        </w:rPr>
        <w:t>сту</w:t>
      </w:r>
      <w:r w:rsidR="00947928" w:rsidRPr="00F6340E">
        <w:rPr>
          <w:rFonts w:cs="Arial"/>
          <w:color w:val="000000" w:themeColor="text1"/>
          <w:szCs w:val="24"/>
        </w:rPr>
        <w:t xml:space="preserve"> </w:t>
      </w:r>
      <w:r w:rsidR="00A56E08">
        <w:rPr>
          <w:rFonts w:cs="Arial"/>
          <w:color w:val="000000" w:themeColor="text1"/>
          <w:szCs w:val="24"/>
        </w:rPr>
        <w:t>на</w:t>
      </w:r>
      <w:r w:rsidR="0071360A">
        <w:rPr>
          <w:rFonts w:cs="Arial"/>
          <w:color w:val="000000" w:themeColor="text1"/>
          <w:szCs w:val="24"/>
        </w:rPr>
        <w:t>ст</w:t>
      </w:r>
      <w:r w:rsidR="00A56E08">
        <w:rPr>
          <w:rFonts w:cs="Arial"/>
          <w:color w:val="000000" w:themeColor="text1"/>
          <w:szCs w:val="24"/>
        </w:rPr>
        <w:t>а</w:t>
      </w:r>
      <w:r w:rsidR="0071360A">
        <w:rPr>
          <w:rFonts w:cs="Arial"/>
          <w:color w:val="000000" w:themeColor="text1"/>
          <w:szCs w:val="24"/>
        </w:rPr>
        <w:t>в</w:t>
      </w:r>
      <w:r w:rsidR="00EE6AA2">
        <w:rPr>
          <w:rFonts w:cs="Arial"/>
          <w:color w:val="000000" w:themeColor="text1"/>
          <w:szCs w:val="24"/>
        </w:rPr>
        <w:t>е</w:t>
      </w:r>
      <w:r w:rsidR="00947928" w:rsidRPr="00F6340E">
        <w:rPr>
          <w:rFonts w:cs="Arial"/>
          <w:color w:val="000000" w:themeColor="text1"/>
          <w:szCs w:val="24"/>
        </w:rPr>
        <w:t xml:space="preserve"> </w:t>
      </w:r>
      <w:r w:rsidR="0071360A">
        <w:rPr>
          <w:rFonts w:cs="Arial"/>
          <w:color w:val="000000" w:themeColor="text1"/>
          <w:szCs w:val="24"/>
        </w:rPr>
        <w:t>пут</w:t>
      </w:r>
      <w:r w:rsidR="00EE6AA2">
        <w:rPr>
          <w:rFonts w:cs="Arial"/>
          <w:color w:val="000000" w:themeColor="text1"/>
          <w:szCs w:val="24"/>
        </w:rPr>
        <w:t>е</w:t>
      </w:r>
      <w:r w:rsidR="00A56E08">
        <w:rPr>
          <w:rFonts w:cs="Arial"/>
          <w:color w:val="000000" w:themeColor="text1"/>
          <w:szCs w:val="24"/>
        </w:rPr>
        <w:t>м</w:t>
      </w:r>
      <w:r w:rsidR="00947928" w:rsidRPr="00F6340E">
        <w:rPr>
          <w:rFonts w:cs="Arial"/>
          <w:color w:val="000000" w:themeColor="text1"/>
          <w:szCs w:val="24"/>
        </w:rPr>
        <w:t xml:space="preserve"> </w:t>
      </w:r>
      <w:r w:rsidR="00A56E08">
        <w:rPr>
          <w:rFonts w:cs="Arial"/>
          <w:color w:val="000000" w:themeColor="text1"/>
          <w:szCs w:val="24"/>
        </w:rPr>
        <w:t>ин</w:t>
      </w:r>
      <w:r w:rsidR="0071360A">
        <w:rPr>
          <w:rFonts w:cs="Arial"/>
          <w:color w:val="000000" w:themeColor="text1"/>
          <w:szCs w:val="24"/>
        </w:rPr>
        <w:t>т</w:t>
      </w:r>
      <w:r w:rsidR="00EE6AA2">
        <w:rPr>
          <w:rFonts w:cs="Arial"/>
          <w:color w:val="000000" w:themeColor="text1"/>
          <w:szCs w:val="24"/>
        </w:rPr>
        <w:t>е</w:t>
      </w:r>
      <w:r w:rsidR="0071360A">
        <w:rPr>
          <w:rFonts w:cs="Arial"/>
          <w:color w:val="000000" w:themeColor="text1"/>
          <w:szCs w:val="24"/>
        </w:rPr>
        <w:t>р</w:t>
      </w:r>
      <w:r w:rsidR="00A56E08">
        <w:rPr>
          <w:rFonts w:cs="Arial"/>
          <w:color w:val="000000" w:themeColor="text1"/>
          <w:szCs w:val="24"/>
        </w:rPr>
        <w:t>н</w:t>
      </w:r>
      <w:r w:rsidR="00EE6AA2">
        <w:rPr>
          <w:rFonts w:cs="Arial"/>
          <w:color w:val="000000" w:themeColor="text1"/>
          <w:szCs w:val="24"/>
        </w:rPr>
        <w:t>е</w:t>
      </w:r>
      <w:r w:rsidR="0071360A">
        <w:rPr>
          <w:rFonts w:cs="Arial"/>
          <w:color w:val="000000" w:themeColor="text1"/>
          <w:szCs w:val="24"/>
        </w:rPr>
        <w:t>т</w:t>
      </w:r>
      <w:r w:rsidR="00A56E08">
        <w:rPr>
          <w:rFonts w:cs="Arial"/>
          <w:color w:val="000000" w:themeColor="text1"/>
          <w:szCs w:val="24"/>
        </w:rPr>
        <w:t>а</w:t>
      </w:r>
      <w:r w:rsidR="00947928" w:rsidRPr="00F6340E">
        <w:rPr>
          <w:rFonts w:cs="Arial"/>
          <w:color w:val="000000" w:themeColor="text1"/>
          <w:szCs w:val="24"/>
        </w:rPr>
        <w:t xml:space="preserve"> </w:t>
      </w:r>
      <w:r w:rsidR="00A56E08">
        <w:rPr>
          <w:rFonts w:cs="Arial"/>
          <w:color w:val="000000" w:themeColor="text1"/>
          <w:szCs w:val="24"/>
        </w:rPr>
        <w:t>и</w:t>
      </w:r>
      <w:r w:rsidR="00CB1702" w:rsidRPr="00F6340E">
        <w:rPr>
          <w:rFonts w:cs="Arial"/>
          <w:color w:val="000000" w:themeColor="text1"/>
          <w:szCs w:val="24"/>
        </w:rPr>
        <w:t xml:space="preserve"> </w:t>
      </w:r>
      <w:r w:rsidR="00A56E08">
        <w:rPr>
          <w:rFonts w:cs="Arial"/>
          <w:color w:val="000000" w:themeColor="text1"/>
          <w:szCs w:val="24"/>
        </w:rPr>
        <w:t>комбино</w:t>
      </w:r>
      <w:r w:rsidR="0071360A">
        <w:rPr>
          <w:rFonts w:cs="Arial"/>
          <w:color w:val="000000" w:themeColor="text1"/>
          <w:szCs w:val="24"/>
        </w:rPr>
        <w:t>в</w:t>
      </w:r>
      <w:r w:rsidR="00A56E08">
        <w:rPr>
          <w:rFonts w:cs="Arial"/>
          <w:color w:val="000000" w:themeColor="text1"/>
          <w:szCs w:val="24"/>
        </w:rPr>
        <w:t>ан</w:t>
      </w:r>
      <w:r w:rsidR="00EE6AA2">
        <w:rPr>
          <w:rFonts w:cs="Arial"/>
          <w:color w:val="000000" w:themeColor="text1"/>
          <w:szCs w:val="24"/>
        </w:rPr>
        <w:t>е</w:t>
      </w:r>
      <w:r w:rsidR="00CB1702" w:rsidRPr="00F6340E">
        <w:rPr>
          <w:rFonts w:cs="Arial"/>
          <w:color w:val="000000" w:themeColor="text1"/>
          <w:szCs w:val="24"/>
        </w:rPr>
        <w:t xml:space="preserve"> </w:t>
      </w:r>
      <w:r w:rsidR="00A56E08">
        <w:rPr>
          <w:rFonts w:cs="Arial"/>
          <w:color w:val="000000" w:themeColor="text1"/>
          <w:szCs w:val="24"/>
        </w:rPr>
        <w:t>на</w:t>
      </w:r>
      <w:r w:rsidR="0071360A">
        <w:rPr>
          <w:rFonts w:cs="Arial"/>
          <w:color w:val="000000" w:themeColor="text1"/>
          <w:szCs w:val="24"/>
        </w:rPr>
        <w:t>ст</w:t>
      </w:r>
      <w:r w:rsidR="00A56E08">
        <w:rPr>
          <w:rFonts w:cs="Arial"/>
          <w:color w:val="000000" w:themeColor="text1"/>
          <w:szCs w:val="24"/>
        </w:rPr>
        <w:t>а</w:t>
      </w:r>
      <w:r w:rsidR="0071360A">
        <w:rPr>
          <w:rFonts w:cs="Arial"/>
          <w:color w:val="000000" w:themeColor="text1"/>
          <w:szCs w:val="24"/>
        </w:rPr>
        <w:t>в</w:t>
      </w:r>
      <w:r w:rsidR="00EE6AA2">
        <w:rPr>
          <w:rFonts w:cs="Arial"/>
          <w:color w:val="000000" w:themeColor="text1"/>
          <w:szCs w:val="24"/>
        </w:rPr>
        <w:t>е</w:t>
      </w:r>
      <w:r w:rsidR="00CB1702" w:rsidRPr="00F6340E">
        <w:rPr>
          <w:rFonts w:cs="Arial"/>
          <w:color w:val="000000" w:themeColor="text1"/>
          <w:szCs w:val="24"/>
        </w:rPr>
        <w:t xml:space="preserve"> </w:t>
      </w:r>
      <w:r w:rsidR="0071360A">
        <w:rPr>
          <w:rFonts w:cs="Arial"/>
          <w:color w:val="000000" w:themeColor="text1"/>
          <w:szCs w:val="24"/>
        </w:rPr>
        <w:t>у</w:t>
      </w:r>
      <w:r>
        <w:rPr>
          <w:rFonts w:cs="Arial"/>
          <w:color w:val="000000" w:themeColor="text1"/>
          <w:szCs w:val="24"/>
        </w:rPr>
        <w:t>з</w:t>
      </w:r>
      <w:r w:rsidR="00CB1702" w:rsidRPr="00F6340E">
        <w:rPr>
          <w:rFonts w:cs="Arial"/>
          <w:color w:val="000000" w:themeColor="text1"/>
          <w:szCs w:val="24"/>
        </w:rPr>
        <w:t xml:space="preserve"> </w:t>
      </w:r>
      <w:r w:rsidR="0071360A">
        <w:rPr>
          <w:rFonts w:cs="Arial"/>
          <w:color w:val="000000" w:themeColor="text1"/>
          <w:szCs w:val="24"/>
        </w:rPr>
        <w:t>пр</w:t>
      </w:r>
      <w:r w:rsidR="00A56E08">
        <w:rPr>
          <w:rFonts w:cs="Arial"/>
          <w:color w:val="000000" w:themeColor="text1"/>
          <w:szCs w:val="24"/>
        </w:rPr>
        <w:t>имј</w:t>
      </w:r>
      <w:r w:rsidR="00EE6AA2">
        <w:rPr>
          <w:rFonts w:cs="Arial"/>
          <w:color w:val="000000" w:themeColor="text1"/>
          <w:szCs w:val="24"/>
        </w:rPr>
        <w:t>е</w:t>
      </w:r>
      <w:r w:rsidR="00A56E08">
        <w:rPr>
          <w:rFonts w:cs="Arial"/>
          <w:color w:val="000000" w:themeColor="text1"/>
          <w:szCs w:val="24"/>
        </w:rPr>
        <w:t>н</w:t>
      </w:r>
      <w:r w:rsidR="0071360A">
        <w:rPr>
          <w:rFonts w:cs="Arial"/>
          <w:color w:val="000000" w:themeColor="text1"/>
          <w:szCs w:val="24"/>
        </w:rPr>
        <w:t>у</w:t>
      </w:r>
      <w:r w:rsidR="00CB1702" w:rsidRPr="00F6340E">
        <w:rPr>
          <w:rFonts w:cs="Arial"/>
          <w:color w:val="000000" w:themeColor="text1"/>
          <w:szCs w:val="24"/>
        </w:rPr>
        <w:t xml:space="preserve"> </w:t>
      </w:r>
      <w:r w:rsidR="00A56E08">
        <w:rPr>
          <w:rFonts w:cs="Arial"/>
          <w:color w:val="000000" w:themeColor="text1"/>
          <w:szCs w:val="24"/>
        </w:rPr>
        <w:t>диги</w:t>
      </w:r>
      <w:r w:rsidR="0071360A">
        <w:rPr>
          <w:rFonts w:cs="Arial"/>
          <w:color w:val="000000" w:themeColor="text1"/>
          <w:szCs w:val="24"/>
        </w:rPr>
        <w:t>т</w:t>
      </w:r>
      <w:r w:rsidR="00A56E08">
        <w:rPr>
          <w:rFonts w:cs="Arial"/>
          <w:color w:val="000000" w:themeColor="text1"/>
          <w:szCs w:val="24"/>
        </w:rPr>
        <w:t>алних</w:t>
      </w:r>
      <w:r w:rsidR="00CB1702" w:rsidRPr="00F6340E">
        <w:rPr>
          <w:rFonts w:cs="Arial"/>
          <w:color w:val="000000" w:themeColor="text1"/>
          <w:szCs w:val="24"/>
        </w:rPr>
        <w:t xml:space="preserve"> </w:t>
      </w:r>
      <w:r w:rsidR="00A56E08">
        <w:rPr>
          <w:rFonts w:cs="Arial"/>
          <w:color w:val="000000" w:themeColor="text1"/>
          <w:szCs w:val="24"/>
        </w:rPr>
        <w:t>ала</w:t>
      </w:r>
      <w:r w:rsidR="0071360A">
        <w:rPr>
          <w:rFonts w:cs="Arial"/>
          <w:color w:val="000000" w:themeColor="text1"/>
          <w:szCs w:val="24"/>
        </w:rPr>
        <w:t>т</w:t>
      </w:r>
      <w:r w:rsidR="00A56E08">
        <w:rPr>
          <w:rFonts w:cs="Arial"/>
          <w:color w:val="000000" w:themeColor="text1"/>
          <w:szCs w:val="24"/>
        </w:rPr>
        <w:t>а</w:t>
      </w:r>
      <w:r w:rsidR="00CB1702" w:rsidRPr="00F6340E">
        <w:rPr>
          <w:rFonts w:cs="Arial"/>
          <w:color w:val="000000" w:themeColor="text1"/>
          <w:szCs w:val="24"/>
        </w:rPr>
        <w:t xml:space="preserve"> </w:t>
      </w:r>
      <w:r w:rsidR="00A56E08">
        <w:rPr>
          <w:rFonts w:cs="Arial"/>
          <w:color w:val="000000" w:themeColor="text1"/>
          <w:szCs w:val="24"/>
        </w:rPr>
        <w:t>и</w:t>
      </w:r>
      <w:r w:rsidR="00CB1702" w:rsidRPr="00F6340E">
        <w:rPr>
          <w:rFonts w:cs="Arial"/>
          <w:color w:val="000000" w:themeColor="text1"/>
          <w:szCs w:val="24"/>
        </w:rPr>
        <w:t xml:space="preserve"> </w:t>
      </w:r>
      <w:r w:rsidR="0071360A">
        <w:rPr>
          <w:rFonts w:cs="Arial"/>
          <w:color w:val="000000" w:themeColor="text1"/>
          <w:szCs w:val="24"/>
        </w:rPr>
        <w:t>п</w:t>
      </w:r>
      <w:r w:rsidR="00A56E08">
        <w:rPr>
          <w:rFonts w:cs="Arial"/>
          <w:color w:val="000000" w:themeColor="text1"/>
          <w:szCs w:val="24"/>
        </w:rPr>
        <w:t>о</w:t>
      </w:r>
      <w:r w:rsidR="0071360A">
        <w:rPr>
          <w:rFonts w:cs="Arial"/>
          <w:color w:val="000000" w:themeColor="text1"/>
          <w:szCs w:val="24"/>
        </w:rPr>
        <w:t>ст</w:t>
      </w:r>
      <w:r w:rsidR="00A56E08">
        <w:rPr>
          <w:rFonts w:cs="Arial"/>
          <w:color w:val="000000" w:themeColor="text1"/>
          <w:szCs w:val="24"/>
        </w:rPr>
        <w:t>ојањ</w:t>
      </w:r>
      <w:r w:rsidR="00EE6AA2">
        <w:rPr>
          <w:rFonts w:cs="Arial"/>
          <w:color w:val="000000" w:themeColor="text1"/>
          <w:szCs w:val="24"/>
        </w:rPr>
        <w:t>е</w:t>
      </w:r>
      <w:r w:rsidR="00CB1702" w:rsidRPr="00F6340E">
        <w:rPr>
          <w:rFonts w:cs="Arial"/>
          <w:color w:val="000000" w:themeColor="text1"/>
          <w:szCs w:val="24"/>
        </w:rPr>
        <w:t xml:space="preserve"> </w:t>
      </w:r>
      <w:r w:rsidR="00A56E08">
        <w:rPr>
          <w:rFonts w:cs="Arial"/>
          <w:color w:val="000000" w:themeColor="text1"/>
          <w:szCs w:val="24"/>
        </w:rPr>
        <w:t>инф</w:t>
      </w:r>
      <w:r w:rsidR="0071360A">
        <w:rPr>
          <w:rFonts w:cs="Arial"/>
          <w:color w:val="000000" w:themeColor="text1"/>
          <w:szCs w:val="24"/>
        </w:rPr>
        <w:t>р</w:t>
      </w:r>
      <w:r w:rsidR="00A56E08">
        <w:rPr>
          <w:rFonts w:cs="Arial"/>
          <w:color w:val="000000" w:themeColor="text1"/>
          <w:szCs w:val="24"/>
        </w:rPr>
        <w:t>а</w:t>
      </w:r>
      <w:r w:rsidR="0071360A">
        <w:rPr>
          <w:rFonts w:cs="Arial"/>
          <w:color w:val="000000" w:themeColor="text1"/>
          <w:szCs w:val="24"/>
        </w:rPr>
        <w:t>стру</w:t>
      </w:r>
      <w:r w:rsidR="00A56E08">
        <w:rPr>
          <w:rFonts w:cs="Arial"/>
          <w:color w:val="000000" w:themeColor="text1"/>
          <w:szCs w:val="24"/>
        </w:rPr>
        <w:t>к</w:t>
      </w:r>
      <w:r w:rsidR="0071360A">
        <w:rPr>
          <w:rFonts w:cs="Arial"/>
          <w:color w:val="000000" w:themeColor="text1"/>
          <w:szCs w:val="24"/>
        </w:rPr>
        <w:t>тур</w:t>
      </w:r>
      <w:r w:rsidR="00EE6AA2">
        <w:rPr>
          <w:rFonts w:cs="Arial"/>
          <w:color w:val="000000" w:themeColor="text1"/>
          <w:szCs w:val="24"/>
        </w:rPr>
        <w:t>е</w:t>
      </w:r>
      <w:r w:rsidR="00CB1702" w:rsidRPr="00F6340E">
        <w:rPr>
          <w:rFonts w:cs="Arial"/>
          <w:color w:val="000000" w:themeColor="text1"/>
          <w:szCs w:val="24"/>
        </w:rPr>
        <w:t xml:space="preserve"> </w:t>
      </w:r>
      <w:r w:rsidR="00A56E08">
        <w:rPr>
          <w:rFonts w:cs="Arial"/>
          <w:color w:val="000000" w:themeColor="text1"/>
          <w:szCs w:val="24"/>
        </w:rPr>
        <w:t>ИК</w:t>
      </w:r>
      <w:r w:rsidR="0071360A">
        <w:rPr>
          <w:rFonts w:cs="Arial"/>
          <w:color w:val="000000" w:themeColor="text1"/>
          <w:szCs w:val="24"/>
        </w:rPr>
        <w:t>Т</w:t>
      </w:r>
      <w:r w:rsidR="00615A7F" w:rsidRPr="00F6340E">
        <w:rPr>
          <w:rFonts w:cs="Arial"/>
          <w:color w:val="000000" w:themeColor="text1"/>
          <w:szCs w:val="24"/>
        </w:rPr>
        <w:t>-</w:t>
      </w:r>
      <w:r w:rsidR="00A56E08">
        <w:rPr>
          <w:rFonts w:cs="Arial"/>
          <w:color w:val="000000" w:themeColor="text1"/>
          <w:szCs w:val="24"/>
        </w:rPr>
        <w:t>а</w:t>
      </w:r>
      <w:r w:rsidR="00615A7F" w:rsidRPr="00F6340E">
        <w:rPr>
          <w:rFonts w:cs="Arial"/>
          <w:color w:val="000000" w:themeColor="text1"/>
          <w:szCs w:val="24"/>
        </w:rPr>
        <w:t xml:space="preserve"> </w:t>
      </w:r>
      <w:r w:rsidR="0071360A">
        <w:rPr>
          <w:rFonts w:cs="Arial"/>
          <w:color w:val="000000" w:themeColor="text1"/>
          <w:szCs w:val="24"/>
        </w:rPr>
        <w:t>у</w:t>
      </w:r>
      <w:r w:rsidR="005134A6" w:rsidRPr="00F6340E">
        <w:rPr>
          <w:rFonts w:cs="Arial"/>
          <w:color w:val="000000" w:themeColor="text1"/>
          <w:szCs w:val="24"/>
        </w:rPr>
        <w:t xml:space="preserve"> </w:t>
      </w:r>
      <w:r w:rsidR="00A56E08">
        <w:rPr>
          <w:rFonts w:cs="Arial"/>
          <w:color w:val="000000" w:themeColor="text1"/>
          <w:szCs w:val="24"/>
        </w:rPr>
        <w:t>об</w:t>
      </w:r>
      <w:r w:rsidR="0071360A">
        <w:rPr>
          <w:rFonts w:cs="Arial"/>
          <w:color w:val="000000" w:themeColor="text1"/>
          <w:szCs w:val="24"/>
        </w:rPr>
        <w:t>р</w:t>
      </w:r>
      <w:r w:rsidR="00A56E08">
        <w:rPr>
          <w:rFonts w:cs="Arial"/>
          <w:color w:val="000000" w:themeColor="text1"/>
          <w:szCs w:val="24"/>
        </w:rPr>
        <w:t>а</w:t>
      </w:r>
      <w:r>
        <w:rPr>
          <w:rFonts w:cs="Arial"/>
          <w:color w:val="000000" w:themeColor="text1"/>
          <w:szCs w:val="24"/>
        </w:rPr>
        <w:t>з</w:t>
      </w:r>
      <w:r w:rsidR="00A56E08">
        <w:rPr>
          <w:rFonts w:cs="Arial"/>
          <w:color w:val="000000" w:themeColor="text1"/>
          <w:szCs w:val="24"/>
        </w:rPr>
        <w:t>о</w:t>
      </w:r>
      <w:r w:rsidR="0071360A">
        <w:rPr>
          <w:rFonts w:cs="Arial"/>
          <w:color w:val="000000" w:themeColor="text1"/>
          <w:szCs w:val="24"/>
        </w:rPr>
        <w:t>в</w:t>
      </w:r>
      <w:r w:rsidR="00A56E08">
        <w:rPr>
          <w:rFonts w:cs="Arial"/>
          <w:color w:val="000000" w:themeColor="text1"/>
          <w:szCs w:val="24"/>
        </w:rPr>
        <w:t>ној</w:t>
      </w:r>
      <w:r w:rsidR="005134A6" w:rsidRPr="00F6340E">
        <w:rPr>
          <w:rFonts w:cs="Arial"/>
          <w:color w:val="000000" w:themeColor="text1"/>
          <w:szCs w:val="24"/>
        </w:rPr>
        <w:t xml:space="preserve"> </w:t>
      </w:r>
      <w:r w:rsidR="00A56E08">
        <w:rPr>
          <w:rFonts w:cs="Arial"/>
          <w:color w:val="000000" w:themeColor="text1"/>
          <w:szCs w:val="24"/>
        </w:rPr>
        <w:t>ин</w:t>
      </w:r>
      <w:r w:rsidR="0071360A">
        <w:rPr>
          <w:rFonts w:cs="Arial"/>
          <w:color w:val="000000" w:themeColor="text1"/>
          <w:szCs w:val="24"/>
        </w:rPr>
        <w:t>ст</w:t>
      </w:r>
      <w:r w:rsidR="00A56E08">
        <w:rPr>
          <w:rFonts w:cs="Arial"/>
          <w:color w:val="000000" w:themeColor="text1"/>
          <w:szCs w:val="24"/>
        </w:rPr>
        <w:t>и</w:t>
      </w:r>
      <w:r w:rsidR="0071360A">
        <w:rPr>
          <w:rFonts w:cs="Arial"/>
          <w:color w:val="000000" w:themeColor="text1"/>
          <w:szCs w:val="24"/>
        </w:rPr>
        <w:t>ту</w:t>
      </w:r>
      <w:r w:rsidR="00A56E08">
        <w:rPr>
          <w:rFonts w:cs="Arial"/>
          <w:color w:val="000000" w:themeColor="text1"/>
          <w:szCs w:val="24"/>
        </w:rPr>
        <w:t>цији</w:t>
      </w:r>
      <w:r w:rsidR="00CB1702" w:rsidRPr="00F6340E">
        <w:rPr>
          <w:rFonts w:cs="Arial"/>
          <w:color w:val="000000" w:themeColor="text1"/>
          <w:szCs w:val="24"/>
        </w:rPr>
        <w:t>.</w:t>
      </w:r>
      <w:r w:rsidR="00E069BB" w:rsidRPr="00F6340E">
        <w:rPr>
          <w:rFonts w:cs="Arial"/>
          <w:color w:val="000000" w:themeColor="text1"/>
        </w:rPr>
        <w:br w:type="page"/>
      </w:r>
    </w:p>
    <w:p w14:paraId="3DA0A9BF" w14:textId="574A3C99" w:rsidR="0039585F" w:rsidRPr="00F6340E" w:rsidRDefault="0040348F" w:rsidP="0040348F">
      <w:pPr>
        <w:pStyle w:val="Heading1"/>
        <w:rPr>
          <w:lang w:val="sr-Cyrl-BA"/>
        </w:rPr>
      </w:pPr>
      <w:bookmarkStart w:id="25" w:name="_Toc119050307"/>
      <w:r w:rsidRPr="00F6340E">
        <w:rPr>
          <w:lang w:val="sr-Cyrl-BA"/>
        </w:rPr>
        <w:lastRenderedPageBreak/>
        <w:t xml:space="preserve">3. </w:t>
      </w:r>
      <w:r w:rsidR="0071360A">
        <w:rPr>
          <w:lang w:val="sr-Cyrl-BA"/>
        </w:rPr>
        <w:t>Ств</w:t>
      </w:r>
      <w:r w:rsidR="00A56E08">
        <w:rPr>
          <w:lang w:val="sr-Cyrl-BA"/>
        </w:rPr>
        <w:t>а</w:t>
      </w:r>
      <w:r w:rsidR="0071360A">
        <w:rPr>
          <w:lang w:val="sr-Cyrl-BA"/>
        </w:rPr>
        <w:t>р</w:t>
      </w:r>
      <w:r w:rsidR="00A56E08">
        <w:rPr>
          <w:lang w:val="sr-Cyrl-BA"/>
        </w:rPr>
        <w:t>ањ</w:t>
      </w:r>
      <w:r w:rsidR="00EE6AA2">
        <w:rPr>
          <w:lang w:val="sr-Cyrl-BA"/>
        </w:rPr>
        <w:t>е</w:t>
      </w:r>
      <w:r w:rsidR="0039585F" w:rsidRPr="00F6340E">
        <w:rPr>
          <w:lang w:val="sr-Cyrl-BA"/>
        </w:rPr>
        <w:t xml:space="preserve"> </w:t>
      </w:r>
      <w:r w:rsidR="0071360A">
        <w:rPr>
          <w:lang w:val="sr-Cyrl-BA"/>
        </w:rPr>
        <w:t>пр</w:t>
      </w:r>
      <w:r w:rsidR="00EE6AA2">
        <w:rPr>
          <w:lang w:val="sr-Cyrl-BA"/>
        </w:rPr>
        <w:t>е</w:t>
      </w:r>
      <w:r w:rsidR="0071360A">
        <w:rPr>
          <w:lang w:val="sr-Cyrl-BA"/>
        </w:rPr>
        <w:t>тп</w:t>
      </w:r>
      <w:r w:rsidR="00A56E08">
        <w:rPr>
          <w:lang w:val="sr-Cyrl-BA"/>
        </w:rPr>
        <w:t>о</w:t>
      </w:r>
      <w:r w:rsidR="0071360A">
        <w:rPr>
          <w:lang w:val="sr-Cyrl-BA"/>
        </w:rPr>
        <w:t>ст</w:t>
      </w:r>
      <w:r w:rsidR="00A56E08">
        <w:rPr>
          <w:lang w:val="sr-Cyrl-BA"/>
        </w:rPr>
        <w:t>а</w:t>
      </w:r>
      <w:r w:rsidR="0071360A">
        <w:rPr>
          <w:lang w:val="sr-Cyrl-BA"/>
        </w:rPr>
        <w:t>в</w:t>
      </w:r>
      <w:r w:rsidR="00A56E08">
        <w:rPr>
          <w:lang w:val="sr-Cyrl-BA"/>
        </w:rPr>
        <w:t>ки</w:t>
      </w:r>
      <w:r w:rsidR="0039585F" w:rsidRPr="00F6340E">
        <w:rPr>
          <w:lang w:val="sr-Cyrl-BA"/>
        </w:rPr>
        <w:t xml:space="preserve"> </w:t>
      </w:r>
      <w:r w:rsidR="00171F00">
        <w:rPr>
          <w:lang w:val="sr-Cyrl-BA"/>
        </w:rPr>
        <w:t>з</w:t>
      </w:r>
      <w:r w:rsidR="00A56E08">
        <w:rPr>
          <w:lang w:val="sr-Cyrl-BA"/>
        </w:rPr>
        <w:t>а</w:t>
      </w:r>
      <w:r w:rsidR="0039585F" w:rsidRPr="00F6340E">
        <w:rPr>
          <w:lang w:val="sr-Cyrl-BA"/>
        </w:rPr>
        <w:t xml:space="preserve"> </w:t>
      </w:r>
      <w:r w:rsidR="00EE6AA2">
        <w:rPr>
          <w:lang w:val="sr-Cyrl-BA"/>
        </w:rPr>
        <w:t>е</w:t>
      </w:r>
      <w:r w:rsidR="00A56E08">
        <w:rPr>
          <w:lang w:val="sr-Cyrl-BA"/>
        </w:rPr>
        <w:t>фика</w:t>
      </w:r>
      <w:r w:rsidR="0071360A">
        <w:rPr>
          <w:lang w:val="sr-Cyrl-BA"/>
        </w:rPr>
        <w:t>с</w:t>
      </w:r>
      <w:r w:rsidR="00A56E08">
        <w:rPr>
          <w:lang w:val="sr-Cyrl-BA"/>
        </w:rPr>
        <w:t>н</w:t>
      </w:r>
      <w:r w:rsidR="0071360A">
        <w:rPr>
          <w:lang w:val="sr-Cyrl-BA"/>
        </w:rPr>
        <w:t>у</w:t>
      </w:r>
      <w:r w:rsidR="0039585F" w:rsidRPr="00F6340E">
        <w:rPr>
          <w:lang w:val="sr-Cyrl-BA"/>
        </w:rPr>
        <w:t xml:space="preserve"> </w:t>
      </w:r>
      <w:r w:rsidR="0071360A">
        <w:rPr>
          <w:lang w:val="sr-Cyrl-BA"/>
        </w:rPr>
        <w:t>уп</w:t>
      </w:r>
      <w:r w:rsidR="00A56E08">
        <w:rPr>
          <w:lang w:val="sr-Cyrl-BA"/>
        </w:rPr>
        <w:t>о</w:t>
      </w:r>
      <w:r w:rsidR="0071360A">
        <w:rPr>
          <w:lang w:val="sr-Cyrl-BA"/>
        </w:rPr>
        <w:t>тр</w:t>
      </w:r>
      <w:r w:rsidR="00EE6AA2">
        <w:rPr>
          <w:lang w:val="sr-Cyrl-BA"/>
        </w:rPr>
        <w:t>е</w:t>
      </w:r>
      <w:r w:rsidR="00A56E08">
        <w:rPr>
          <w:lang w:val="sr-Cyrl-BA"/>
        </w:rPr>
        <w:t>б</w:t>
      </w:r>
      <w:r w:rsidR="0071360A">
        <w:rPr>
          <w:lang w:val="sr-Cyrl-BA"/>
        </w:rPr>
        <w:t>у</w:t>
      </w:r>
      <w:r w:rsidR="0039585F" w:rsidRPr="00F6340E">
        <w:rPr>
          <w:lang w:val="sr-Cyrl-BA"/>
        </w:rPr>
        <w:t xml:space="preserve"> </w:t>
      </w:r>
      <w:r w:rsidR="00A56E08">
        <w:rPr>
          <w:lang w:val="sr-Cyrl-BA"/>
        </w:rPr>
        <w:t>ИК</w:t>
      </w:r>
      <w:r w:rsidR="0071360A">
        <w:rPr>
          <w:lang w:val="sr-Cyrl-BA"/>
        </w:rPr>
        <w:t>Т</w:t>
      </w:r>
      <w:r w:rsidR="0039585F" w:rsidRPr="00F6340E">
        <w:rPr>
          <w:lang w:val="sr-Cyrl-BA"/>
        </w:rPr>
        <w:t>-</w:t>
      </w:r>
      <w:r w:rsidR="00A56E08">
        <w:rPr>
          <w:lang w:val="sr-Cyrl-BA"/>
        </w:rPr>
        <w:t>а</w:t>
      </w:r>
      <w:r w:rsidR="0039585F" w:rsidRPr="00F6340E">
        <w:rPr>
          <w:lang w:val="sr-Cyrl-BA"/>
        </w:rPr>
        <w:t xml:space="preserve"> </w:t>
      </w:r>
      <w:r w:rsidR="0071360A">
        <w:rPr>
          <w:lang w:val="sr-Cyrl-BA"/>
        </w:rPr>
        <w:t>у</w:t>
      </w:r>
      <w:r w:rsidR="00947928" w:rsidRPr="00F6340E">
        <w:rPr>
          <w:lang w:val="sr-Cyrl-BA"/>
        </w:rPr>
        <w:t xml:space="preserve"> </w:t>
      </w:r>
      <w:r w:rsidR="00A56E08">
        <w:rPr>
          <w:lang w:val="sr-Cyrl-BA"/>
        </w:rPr>
        <w:t>на</w:t>
      </w:r>
      <w:r w:rsidR="0071360A">
        <w:rPr>
          <w:lang w:val="sr-Cyrl-BA"/>
        </w:rPr>
        <w:t>ст</w:t>
      </w:r>
      <w:r w:rsidR="00A56E08">
        <w:rPr>
          <w:lang w:val="sr-Cyrl-BA"/>
        </w:rPr>
        <w:t>а</w:t>
      </w:r>
      <w:r w:rsidR="0071360A">
        <w:rPr>
          <w:lang w:val="sr-Cyrl-BA"/>
        </w:rPr>
        <w:t>в</w:t>
      </w:r>
      <w:r w:rsidR="00A56E08">
        <w:rPr>
          <w:lang w:val="sr-Cyrl-BA"/>
        </w:rPr>
        <w:t>и</w:t>
      </w:r>
      <w:r w:rsidR="00947928" w:rsidRPr="00F6340E">
        <w:rPr>
          <w:lang w:val="sr-Cyrl-BA"/>
        </w:rPr>
        <w:t xml:space="preserve"> </w:t>
      </w:r>
      <w:r w:rsidR="0071360A">
        <w:rPr>
          <w:lang w:val="sr-Cyrl-BA"/>
        </w:rPr>
        <w:t>пут</w:t>
      </w:r>
      <w:r w:rsidR="00EE6AA2">
        <w:rPr>
          <w:lang w:val="sr-Cyrl-BA"/>
        </w:rPr>
        <w:t>е</w:t>
      </w:r>
      <w:r w:rsidR="00A56E08">
        <w:rPr>
          <w:lang w:val="sr-Cyrl-BA"/>
        </w:rPr>
        <w:t>м</w:t>
      </w:r>
      <w:r w:rsidR="00947928" w:rsidRPr="00F6340E">
        <w:rPr>
          <w:lang w:val="sr-Cyrl-BA"/>
        </w:rPr>
        <w:t xml:space="preserve"> </w:t>
      </w:r>
      <w:r w:rsidR="00A56E08">
        <w:rPr>
          <w:lang w:val="sr-Cyrl-BA"/>
        </w:rPr>
        <w:t>ин</w:t>
      </w:r>
      <w:r w:rsidR="0071360A">
        <w:rPr>
          <w:lang w:val="sr-Cyrl-BA"/>
        </w:rPr>
        <w:t>т</w:t>
      </w:r>
      <w:r w:rsidR="00EE6AA2">
        <w:rPr>
          <w:lang w:val="sr-Cyrl-BA"/>
        </w:rPr>
        <w:t>е</w:t>
      </w:r>
      <w:r w:rsidR="0071360A">
        <w:rPr>
          <w:lang w:val="sr-Cyrl-BA"/>
        </w:rPr>
        <w:t>р</w:t>
      </w:r>
      <w:r w:rsidR="00A56E08">
        <w:rPr>
          <w:lang w:val="sr-Cyrl-BA"/>
        </w:rPr>
        <w:t>н</w:t>
      </w:r>
      <w:r w:rsidR="00EE6AA2">
        <w:rPr>
          <w:lang w:val="sr-Cyrl-BA"/>
        </w:rPr>
        <w:t>е</w:t>
      </w:r>
      <w:r w:rsidR="0071360A">
        <w:rPr>
          <w:lang w:val="sr-Cyrl-BA"/>
        </w:rPr>
        <w:t>т</w:t>
      </w:r>
      <w:r w:rsidR="00A56E08">
        <w:rPr>
          <w:lang w:val="sr-Cyrl-BA"/>
        </w:rPr>
        <w:t>а</w:t>
      </w:r>
      <w:r w:rsidR="00947928" w:rsidRPr="00F6340E">
        <w:rPr>
          <w:lang w:val="sr-Cyrl-BA"/>
        </w:rPr>
        <w:t xml:space="preserve"> </w:t>
      </w:r>
      <w:r w:rsidR="00A56E08">
        <w:rPr>
          <w:lang w:val="sr-Cyrl-BA"/>
        </w:rPr>
        <w:t>и</w:t>
      </w:r>
      <w:r w:rsidR="0039585F" w:rsidRPr="00F6340E">
        <w:rPr>
          <w:lang w:val="sr-Cyrl-BA"/>
        </w:rPr>
        <w:t xml:space="preserve"> </w:t>
      </w:r>
      <w:r w:rsidR="00A56E08">
        <w:rPr>
          <w:lang w:val="sr-Cyrl-BA"/>
        </w:rPr>
        <w:t>комбино</w:t>
      </w:r>
      <w:r w:rsidR="0071360A">
        <w:rPr>
          <w:lang w:val="sr-Cyrl-BA"/>
        </w:rPr>
        <w:t>в</w:t>
      </w:r>
      <w:r w:rsidR="00A56E08">
        <w:rPr>
          <w:lang w:val="sr-Cyrl-BA"/>
        </w:rPr>
        <w:t>аној</w:t>
      </w:r>
      <w:r w:rsidR="0039585F" w:rsidRPr="00F6340E">
        <w:rPr>
          <w:lang w:val="sr-Cyrl-BA"/>
        </w:rPr>
        <w:t xml:space="preserve"> </w:t>
      </w:r>
      <w:r w:rsidR="00A56E08">
        <w:rPr>
          <w:lang w:val="sr-Cyrl-BA"/>
        </w:rPr>
        <w:t>на</w:t>
      </w:r>
      <w:r w:rsidR="0071360A">
        <w:rPr>
          <w:lang w:val="sr-Cyrl-BA"/>
        </w:rPr>
        <w:t>ст</w:t>
      </w:r>
      <w:r w:rsidR="00A56E08">
        <w:rPr>
          <w:lang w:val="sr-Cyrl-BA"/>
        </w:rPr>
        <w:t>а</w:t>
      </w:r>
      <w:r w:rsidR="0071360A">
        <w:rPr>
          <w:lang w:val="sr-Cyrl-BA"/>
        </w:rPr>
        <w:t>в</w:t>
      </w:r>
      <w:r w:rsidR="00A56E08">
        <w:rPr>
          <w:lang w:val="sr-Cyrl-BA"/>
        </w:rPr>
        <w:t>и</w:t>
      </w:r>
      <w:bookmarkEnd w:id="25"/>
    </w:p>
    <w:p w14:paraId="5B877B61" w14:textId="20BD2284" w:rsidR="000E6308" w:rsidRPr="00F6340E" w:rsidRDefault="0071360A" w:rsidP="00210EE1">
      <w:pPr>
        <w:pStyle w:val="Body"/>
      </w:pPr>
      <w:r>
        <w:t>С</w:t>
      </w:r>
      <w:r w:rsidR="00A56E08">
        <w:t>а</w:t>
      </w:r>
      <w:r>
        <w:t>вр</w:t>
      </w:r>
      <w:r w:rsidR="00EE6AA2">
        <w:t>е</w:t>
      </w:r>
      <w:r w:rsidR="00A56E08">
        <w:t>м</w:t>
      </w:r>
      <w:r w:rsidR="00EE6AA2">
        <w:t>е</w:t>
      </w:r>
      <w:r w:rsidR="00A56E08">
        <w:t>но</w:t>
      </w:r>
      <w:r w:rsidR="00057891" w:rsidRPr="00F6340E">
        <w:t xml:space="preserve"> </w:t>
      </w:r>
      <w:r>
        <w:t>у</w:t>
      </w:r>
      <w:r w:rsidR="00A56E08">
        <w:t>ч</w:t>
      </w:r>
      <w:r w:rsidR="00EE6AA2">
        <w:t>е</w:t>
      </w:r>
      <w:r w:rsidR="00A56E08">
        <w:t>њ</w:t>
      </w:r>
      <w:r w:rsidR="00EE6AA2">
        <w:t>е</w:t>
      </w:r>
      <w:r w:rsidR="00057891" w:rsidRPr="00F6340E">
        <w:t xml:space="preserve"> </w:t>
      </w:r>
      <w:r w:rsidR="00A56E08">
        <w:t>и</w:t>
      </w:r>
      <w:r w:rsidR="00057891" w:rsidRPr="00F6340E">
        <w:t xml:space="preserve"> </w:t>
      </w:r>
      <w:r>
        <w:t>п</w:t>
      </w:r>
      <w:r w:rsidR="00A56E08">
        <w:t>од</w:t>
      </w:r>
      <w:r>
        <w:t>у</w:t>
      </w:r>
      <w:r w:rsidR="00A56E08">
        <w:t>ча</w:t>
      </w:r>
      <w:r>
        <w:t>в</w:t>
      </w:r>
      <w:r w:rsidR="00A56E08">
        <w:t>ањ</w:t>
      </w:r>
      <w:r w:rsidR="00EE6AA2">
        <w:t>е</w:t>
      </w:r>
      <w:r w:rsidR="00057891"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057891" w:rsidRPr="00F6340E">
        <w:t xml:space="preserve"> </w:t>
      </w:r>
      <w:r w:rsidR="00A56E08">
        <w:t>ад</w:t>
      </w:r>
      <w:r w:rsidR="00EE6AA2">
        <w:t>е</w:t>
      </w:r>
      <w:r w:rsidR="00A56E08">
        <w:t>к</w:t>
      </w:r>
      <w:r>
        <w:t>в</w:t>
      </w:r>
      <w:r w:rsidR="00A56E08">
        <w:t>а</w:t>
      </w:r>
      <w:r>
        <w:t>т</w:t>
      </w:r>
      <w:r w:rsidR="00A56E08">
        <w:t>н</w:t>
      </w:r>
      <w:r>
        <w:t>у</w:t>
      </w:r>
      <w:r w:rsidR="00057891" w:rsidRPr="00F6340E">
        <w:t xml:space="preserve"> </w:t>
      </w:r>
      <w:r>
        <w:t>пр</w:t>
      </w:r>
      <w:r w:rsidR="00A56E08">
        <w:t>и</w:t>
      </w:r>
      <w:r>
        <w:t>пр</w:t>
      </w:r>
      <w:r w:rsidR="00EE6AA2">
        <w:t>е</w:t>
      </w:r>
      <w:r w:rsidR="00A56E08">
        <w:t>мљ</w:t>
      </w:r>
      <w:r w:rsidR="00EE6AA2">
        <w:t>е</w:t>
      </w:r>
      <w:r w:rsidR="00A56E08">
        <w:t>но</w:t>
      </w:r>
      <w:r>
        <w:t>ст</w:t>
      </w:r>
      <w:r w:rsidR="0039585F" w:rsidRPr="00F6340E">
        <w:t xml:space="preserve"> </w:t>
      </w:r>
      <w:r>
        <w:t>ш</w:t>
      </w:r>
      <w:r w:rsidR="00A56E08">
        <w:t>кола</w:t>
      </w:r>
      <w:r w:rsidR="00057891" w:rsidRPr="00F6340E">
        <w:t xml:space="preserve"> </w:t>
      </w:r>
      <w:r w:rsidR="00171F00">
        <w:t>з</w:t>
      </w:r>
      <w:r w:rsidR="00A56E08">
        <w:t>а</w:t>
      </w:r>
      <w:r w:rsidR="00057891" w:rsidRPr="00F6340E">
        <w:t xml:space="preserve"> </w:t>
      </w:r>
      <w:r w:rsidR="00A56E08">
        <w:t>и</w:t>
      </w:r>
      <w:r w:rsidR="00171F00">
        <w:t>з</w:t>
      </w:r>
      <w:r w:rsidR="00A56E08">
        <w:t>а</w:t>
      </w:r>
      <w:r w:rsidR="00171F00">
        <w:t>з</w:t>
      </w:r>
      <w:r w:rsidR="00A56E08">
        <w:t>о</w:t>
      </w:r>
      <w:r>
        <w:t>в</w:t>
      </w:r>
      <w:r w:rsidR="00EE6AA2">
        <w:t>е</w:t>
      </w:r>
      <w:r w:rsidR="00057891" w:rsidRPr="00F6340E">
        <w:t xml:space="preserve"> </w:t>
      </w:r>
      <w:r w:rsidR="00A56E08">
        <w:t>об</w:t>
      </w:r>
      <w:r>
        <w:t>р</w:t>
      </w:r>
      <w:r w:rsidR="00A56E08">
        <w:t>а</w:t>
      </w:r>
      <w:r w:rsidR="00171F00">
        <w:t>з</w:t>
      </w:r>
      <w:r w:rsidR="00A56E08">
        <w:t>о</w:t>
      </w:r>
      <w:r>
        <w:t>в</w:t>
      </w:r>
      <w:r w:rsidR="00A56E08">
        <w:t>ања</w:t>
      </w:r>
      <w:r w:rsidR="00057891" w:rsidRPr="00F6340E">
        <w:t xml:space="preserve"> 21. </w:t>
      </w:r>
      <w:r>
        <w:t>в</w:t>
      </w:r>
      <w:r w:rsidR="00A56E08">
        <w:t>иј</w:t>
      </w:r>
      <w:r w:rsidR="00EE6AA2">
        <w:t>е</w:t>
      </w:r>
      <w:r w:rsidR="00A56E08">
        <w:t>ка</w:t>
      </w:r>
      <w:r w:rsidR="00057891" w:rsidRPr="00F6340E">
        <w:t xml:space="preserve">. </w:t>
      </w:r>
      <w:r>
        <w:t>Т</w:t>
      </w:r>
      <w:r w:rsidR="00A56E08">
        <w:t>о</w:t>
      </w:r>
      <w:r w:rsidR="00057891" w:rsidRPr="00F6340E">
        <w:t xml:space="preserve"> </w:t>
      </w:r>
      <w:r>
        <w:t>с</w:t>
      </w:r>
      <w:r w:rsidR="00EE6AA2">
        <w:t>е</w:t>
      </w:r>
      <w:r w:rsidR="00057891" w:rsidRPr="00F6340E">
        <w:t xml:space="preserve">, </w:t>
      </w:r>
      <w:r>
        <w:t>п</w:t>
      </w:r>
      <w:r w:rsidR="00A56E08">
        <w:t>о</w:t>
      </w:r>
      <w:r>
        <w:t>р</w:t>
      </w:r>
      <w:r w:rsidR="00EE6AA2">
        <w:t>е</w:t>
      </w:r>
      <w:r w:rsidR="00A56E08">
        <w:t>д</w:t>
      </w:r>
      <w:r w:rsidR="00057891" w:rsidRPr="00F6340E">
        <w:t xml:space="preserve"> </w:t>
      </w:r>
      <w:r w:rsidR="00A56E08">
        <w:t>о</w:t>
      </w:r>
      <w:r>
        <w:t>ст</w:t>
      </w:r>
      <w:r w:rsidR="00A56E08">
        <w:t>алог</w:t>
      </w:r>
      <w:r w:rsidR="00057891" w:rsidRPr="00F6340E">
        <w:t xml:space="preserve">, </w:t>
      </w:r>
      <w:r w:rsidR="00A56E08">
        <w:t>одно</w:t>
      </w:r>
      <w:r>
        <w:t>с</w:t>
      </w:r>
      <w:r w:rsidR="00A56E08">
        <w:t>и</w:t>
      </w:r>
      <w:r w:rsidR="00057891" w:rsidRPr="00F6340E">
        <w:t xml:space="preserve"> </w:t>
      </w:r>
      <w:r w:rsidR="00A56E08">
        <w:t>и</w:t>
      </w:r>
      <w:r w:rsidR="00057891" w:rsidRPr="00F6340E">
        <w:t xml:space="preserve"> </w:t>
      </w:r>
      <w:r w:rsidR="00A56E08">
        <w:t>на</w:t>
      </w:r>
      <w:r w:rsidR="00057891" w:rsidRPr="00F6340E">
        <w:t xml:space="preserve"> </w:t>
      </w:r>
      <w:r>
        <w:t>уп</w:t>
      </w:r>
      <w:r w:rsidR="00A56E08">
        <w:t>о</w:t>
      </w:r>
      <w:r>
        <w:t>тр</w:t>
      </w:r>
      <w:r w:rsidR="00EE6AA2">
        <w:t>е</w:t>
      </w:r>
      <w:r w:rsidR="00A56E08">
        <w:t>б</w:t>
      </w:r>
      <w:r>
        <w:t>у</w:t>
      </w:r>
      <w:r w:rsidR="0039585F" w:rsidRPr="00F6340E">
        <w:t xml:space="preserve"> </w:t>
      </w:r>
      <w:r w:rsidR="00A56E08">
        <w:t>инфо</w:t>
      </w:r>
      <w:r>
        <w:t>р</w:t>
      </w:r>
      <w:r w:rsidR="00A56E08">
        <w:t>ма</w:t>
      </w:r>
      <w:r>
        <w:t>т</w:t>
      </w:r>
      <w:r w:rsidR="00A56E08">
        <w:t>ичких</w:t>
      </w:r>
      <w:r w:rsidR="00E864CA" w:rsidRPr="00F6340E">
        <w:t>-</w:t>
      </w:r>
      <w:r w:rsidR="00A56E08">
        <w:t>ком</w:t>
      </w:r>
      <w:r>
        <w:t>у</w:t>
      </w:r>
      <w:r w:rsidR="00A56E08">
        <w:t>никационих</w:t>
      </w:r>
      <w:r w:rsidR="0064215E" w:rsidRPr="00F6340E">
        <w:t xml:space="preserve"> </w:t>
      </w:r>
      <w:r>
        <w:t>т</w:t>
      </w:r>
      <w:r w:rsidR="00EE6AA2">
        <w:t>е</w:t>
      </w:r>
      <w:r w:rsidR="00A56E08">
        <w:t>хнологија</w:t>
      </w:r>
      <w:r w:rsidR="0064215E" w:rsidRPr="00F6340E">
        <w:t xml:space="preserve"> (</w:t>
      </w:r>
      <w:r w:rsidR="00A56E08">
        <w:t>ИК</w:t>
      </w:r>
      <w:r>
        <w:t>Т</w:t>
      </w:r>
      <w:r w:rsidR="0064215E" w:rsidRPr="00F6340E">
        <w:t>)</w:t>
      </w:r>
      <w:r w:rsidR="00425E1D" w:rsidRPr="00F6340E">
        <w:rPr>
          <w:rStyle w:val="FootnoteReference"/>
          <w:rFonts w:eastAsia="Arial" w:cs="Arial"/>
          <w:noProof w:val="0"/>
          <w:szCs w:val="24"/>
        </w:rPr>
        <w:footnoteReference w:id="11"/>
      </w:r>
      <w:r w:rsidR="000228F3" w:rsidRPr="00F6340E">
        <w:t xml:space="preserve">, </w:t>
      </w:r>
      <w:r w:rsidR="00A56E08">
        <w:t>а</w:t>
      </w:r>
      <w:r w:rsidR="0064215E" w:rsidRPr="00F6340E">
        <w:t xml:space="preserve"> </w:t>
      </w:r>
      <w:r w:rsidR="00A56E08">
        <w:t>њ</w:t>
      </w:r>
      <w:r w:rsidR="00EE6AA2">
        <w:t>е</w:t>
      </w:r>
      <w:r w:rsidR="00A56E08">
        <w:t>н</w:t>
      </w:r>
      <w:r>
        <w:t>у</w:t>
      </w:r>
      <w:r w:rsidR="0064215E" w:rsidRPr="00F6340E">
        <w:t xml:space="preserve"> </w:t>
      </w:r>
      <w:r>
        <w:t>в</w:t>
      </w:r>
      <w:r w:rsidR="00A56E08">
        <w:t>а</w:t>
      </w:r>
      <w:r w:rsidR="00171F00">
        <w:t>ж</w:t>
      </w:r>
      <w:r w:rsidR="00A56E08">
        <w:t>но</w:t>
      </w:r>
      <w:r>
        <w:t>ст</w:t>
      </w:r>
      <w:r w:rsidR="0064215E" w:rsidRPr="00F6340E">
        <w:t xml:space="preserve"> </w:t>
      </w:r>
      <w:r w:rsidR="00A56E08">
        <w:t>ј</w:t>
      </w:r>
      <w:r w:rsidR="00EE6AA2">
        <w:t>е</w:t>
      </w:r>
      <w:r w:rsidR="0064215E" w:rsidRPr="00F6340E">
        <w:t xml:space="preserve"> </w:t>
      </w:r>
      <w:r w:rsidR="00A56E08">
        <w:t>ак</w:t>
      </w:r>
      <w:r>
        <w:t>ту</w:t>
      </w:r>
      <w:r w:rsidR="00A56E08">
        <w:t>али</w:t>
      </w:r>
      <w:r w:rsidR="00171F00">
        <w:t>з</w:t>
      </w:r>
      <w:r w:rsidR="00A56E08">
        <w:t>и</w:t>
      </w:r>
      <w:r>
        <w:t>р</w:t>
      </w:r>
      <w:r w:rsidR="00A56E08">
        <w:t>ала</w:t>
      </w:r>
      <w:r w:rsidR="00686F90" w:rsidRPr="00F6340E">
        <w:t xml:space="preserve"> </w:t>
      </w:r>
      <w:r w:rsidR="00A56E08">
        <w:t>и</w:t>
      </w:r>
      <w:r w:rsidR="0064215E" w:rsidRPr="00F6340E">
        <w:t xml:space="preserve"> </w:t>
      </w:r>
      <w:r>
        <w:t>с</w:t>
      </w:r>
      <w:r w:rsidR="00A56E08">
        <w:t>и</w:t>
      </w:r>
      <w:r>
        <w:t>ту</w:t>
      </w:r>
      <w:r w:rsidR="00A56E08">
        <w:t>ација</w:t>
      </w:r>
      <w:r w:rsidR="0064215E" w:rsidRPr="00F6340E">
        <w:t xml:space="preserve"> </w:t>
      </w:r>
      <w:r w:rsidR="00A56E08">
        <w:t>и</w:t>
      </w:r>
      <w:r w:rsidR="00171F00">
        <w:t>з</w:t>
      </w:r>
      <w:r w:rsidR="00A56E08">
        <w:t>а</w:t>
      </w:r>
      <w:r w:rsidR="00171F00">
        <w:t>з</w:t>
      </w:r>
      <w:r>
        <w:t>в</w:t>
      </w:r>
      <w:r w:rsidR="00A56E08">
        <w:t>ана</w:t>
      </w:r>
      <w:r w:rsidR="0064215E" w:rsidRPr="00F6340E">
        <w:t xml:space="preserve"> </w:t>
      </w:r>
      <w:r>
        <w:t>п</w:t>
      </w:r>
      <w:r w:rsidR="00A56E08">
        <w:t>анд</w:t>
      </w:r>
      <w:r w:rsidR="00EE6AA2">
        <w:t>е</w:t>
      </w:r>
      <w:r w:rsidR="00A56E08">
        <w:t>мијом</w:t>
      </w:r>
      <w:r w:rsidR="0064215E" w:rsidRPr="00F6340E">
        <w:t xml:space="preserve"> </w:t>
      </w:r>
      <w:r w:rsidR="00A56E08">
        <w:t>Цо</w:t>
      </w:r>
      <w:r>
        <w:t>в</w:t>
      </w:r>
      <w:r w:rsidR="00A56E08">
        <w:t>ид</w:t>
      </w:r>
      <w:r w:rsidR="0064215E" w:rsidRPr="00F6340E">
        <w:t xml:space="preserve"> – 19 </w:t>
      </w:r>
      <w:r w:rsidR="00A56E08">
        <w:t>када</w:t>
      </w:r>
      <w:r w:rsidR="0064215E" w:rsidRPr="00F6340E">
        <w:t xml:space="preserve"> </w:t>
      </w:r>
      <w:r>
        <w:t>с</w:t>
      </w:r>
      <w:r w:rsidR="00EE6AA2">
        <w:t>е</w:t>
      </w:r>
      <w:r w:rsidR="0064215E" w:rsidRPr="00F6340E">
        <w:t xml:space="preserve"> </w:t>
      </w:r>
      <w:r w:rsidR="00A56E08">
        <w:t>на</w:t>
      </w:r>
      <w:r>
        <w:t>ст</w:t>
      </w:r>
      <w:r w:rsidR="00A56E08">
        <w:t>а</w:t>
      </w:r>
      <w:r>
        <w:t>в</w:t>
      </w:r>
      <w:r w:rsidR="00A56E08">
        <w:t>ни</w:t>
      </w:r>
      <w:r w:rsidR="0064215E" w:rsidRPr="00F6340E">
        <w:t xml:space="preserve"> </w:t>
      </w:r>
      <w:r>
        <w:t>пр</w:t>
      </w:r>
      <w:r w:rsidR="00A56E08">
        <w:t>оц</w:t>
      </w:r>
      <w:r w:rsidR="00EE6AA2">
        <w:t>е</w:t>
      </w:r>
      <w:r>
        <w:t>с</w:t>
      </w:r>
      <w:r w:rsidR="0064215E" w:rsidRPr="00F6340E">
        <w:t xml:space="preserve"> </w:t>
      </w:r>
      <w:r>
        <w:t>пр</w:t>
      </w:r>
      <w:r w:rsidR="00EE6AA2">
        <w:t>е</w:t>
      </w:r>
      <w:r w:rsidR="00A56E08">
        <w:t>мј</w:t>
      </w:r>
      <w:r w:rsidR="00EE6AA2">
        <w:t>е</w:t>
      </w:r>
      <w:r>
        <w:t>ст</w:t>
      </w:r>
      <w:r w:rsidR="00A56E08">
        <w:t>ио</w:t>
      </w:r>
      <w:r w:rsidR="0064215E" w:rsidRPr="00F6340E">
        <w:t xml:space="preserve"> </w:t>
      </w:r>
      <w:r>
        <w:t>у</w:t>
      </w:r>
      <w:r w:rsidR="0064215E" w:rsidRPr="00F6340E">
        <w:t xml:space="preserve"> </w:t>
      </w:r>
      <w:r>
        <w:t>в</w:t>
      </w:r>
      <w:r w:rsidR="00A56E08">
        <w:t>и</w:t>
      </w:r>
      <w:r>
        <w:t>рту</w:t>
      </w:r>
      <w:r w:rsidR="00EE6AA2">
        <w:t>е</w:t>
      </w:r>
      <w:r w:rsidR="00A56E08">
        <w:t>лни</w:t>
      </w:r>
      <w:r w:rsidR="0064215E" w:rsidRPr="00F6340E">
        <w:t xml:space="preserve"> </w:t>
      </w:r>
      <w:r>
        <w:t>пр</w:t>
      </w:r>
      <w:r w:rsidR="00A56E08">
        <w:t>о</w:t>
      </w:r>
      <w:r>
        <w:t>ст</w:t>
      </w:r>
      <w:r w:rsidR="00A56E08">
        <w:t>о</w:t>
      </w:r>
      <w:r>
        <w:t>р</w:t>
      </w:r>
      <w:r w:rsidR="0064215E" w:rsidRPr="00F6340E">
        <w:t xml:space="preserve">. </w:t>
      </w:r>
      <w:r w:rsidR="00A56E08">
        <w:t>М</w:t>
      </w:r>
      <w:r w:rsidR="00EE6AA2">
        <w:t>е</w:t>
      </w:r>
      <w:r w:rsidR="00A56E08">
        <w:t>ђ</w:t>
      </w:r>
      <w:r>
        <w:t>ут</w:t>
      </w:r>
      <w:r w:rsidR="00A56E08">
        <w:t>им</w:t>
      </w:r>
      <w:r w:rsidR="0064215E" w:rsidRPr="00F6340E">
        <w:t xml:space="preserve">, </w:t>
      </w:r>
      <w:r w:rsidR="00A56E08">
        <w:t>ИК</w:t>
      </w:r>
      <w:r>
        <w:t>Т</w:t>
      </w:r>
      <w:r w:rsidR="00057891" w:rsidRPr="00F6340E">
        <w:t xml:space="preserve"> </w:t>
      </w:r>
      <w:r>
        <w:t>пр</w:t>
      </w:r>
      <w:r w:rsidR="00EE6AA2">
        <w:t>е</w:t>
      </w:r>
      <w:r w:rsidR="00A56E08">
        <w:t>д</w:t>
      </w:r>
      <w:r>
        <w:t>ст</w:t>
      </w:r>
      <w:r w:rsidR="00A56E08">
        <w:t>а</w:t>
      </w:r>
      <w:r>
        <w:t>в</w:t>
      </w:r>
      <w:r w:rsidR="00A56E08">
        <w:t>ља</w:t>
      </w:r>
      <w:r w:rsidR="00057891" w:rsidRPr="00F6340E">
        <w:t xml:space="preserve"> </w:t>
      </w:r>
      <w:r>
        <w:t>в</w:t>
      </w:r>
      <w:r w:rsidR="00EE6AA2">
        <w:t>е</w:t>
      </w:r>
      <w:r w:rsidR="00A56E08">
        <w:t>лик</w:t>
      </w:r>
      <w:r>
        <w:t>у</w:t>
      </w:r>
      <w:r w:rsidR="00057891" w:rsidRPr="00F6340E">
        <w:t xml:space="preserve"> </w:t>
      </w:r>
      <w:r>
        <w:t>п</w:t>
      </w:r>
      <w:r w:rsidR="00A56E08">
        <w:t>од</w:t>
      </w:r>
      <w:r>
        <w:t>рш</w:t>
      </w:r>
      <w:r w:rsidR="00A56E08">
        <w:t>к</w:t>
      </w:r>
      <w:r>
        <w:t>у</w:t>
      </w:r>
      <w:r w:rsidR="00057891" w:rsidRPr="00F6340E">
        <w:t xml:space="preserve"> </w:t>
      </w:r>
      <w:r>
        <w:t>св</w:t>
      </w:r>
      <w:r w:rsidR="00A56E08">
        <w:t>им</w:t>
      </w:r>
      <w:r w:rsidR="00057891" w:rsidRPr="00F6340E">
        <w:t xml:space="preserve"> </w:t>
      </w:r>
      <w:r w:rsidR="00171F00">
        <w:t>з</w:t>
      </w:r>
      <w:r w:rsidR="00A56E08">
        <w:t>аин</w:t>
      </w:r>
      <w:r>
        <w:t>т</w:t>
      </w:r>
      <w:r w:rsidR="00EE6AA2">
        <w:t>е</w:t>
      </w:r>
      <w:r>
        <w:t>р</w:t>
      </w:r>
      <w:r w:rsidR="00EE6AA2">
        <w:t>е</w:t>
      </w:r>
      <w:r>
        <w:t>с</w:t>
      </w:r>
      <w:r w:rsidR="00A56E08">
        <w:t>о</w:t>
      </w:r>
      <w:r>
        <w:t>в</w:t>
      </w:r>
      <w:r w:rsidR="00A56E08">
        <w:t>аним</w:t>
      </w:r>
      <w:r w:rsidR="00AC604E" w:rsidRPr="00F6340E">
        <w:t xml:space="preserve"> </w:t>
      </w:r>
      <w:r>
        <w:t>стр</w:t>
      </w:r>
      <w:r w:rsidR="00A56E08">
        <w:t>анама</w:t>
      </w:r>
      <w:r w:rsidR="00057891" w:rsidRPr="00F6340E">
        <w:t xml:space="preserve"> </w:t>
      </w:r>
      <w:r w:rsidR="00A56E08">
        <w:t>об</w:t>
      </w:r>
      <w:r>
        <w:t>р</w:t>
      </w:r>
      <w:r w:rsidR="00A56E08">
        <w:t>а</w:t>
      </w:r>
      <w:r w:rsidR="00171F00">
        <w:t>з</w:t>
      </w:r>
      <w:r w:rsidR="00A56E08">
        <w:t>о</w:t>
      </w:r>
      <w:r>
        <w:t>в</w:t>
      </w:r>
      <w:r w:rsidR="00A56E08">
        <w:t>ног</w:t>
      </w:r>
      <w:r w:rsidR="00057891" w:rsidRPr="00F6340E">
        <w:t xml:space="preserve"> </w:t>
      </w:r>
      <w:r>
        <w:t>пр</w:t>
      </w:r>
      <w:r w:rsidR="00A56E08">
        <w:t>оц</w:t>
      </w:r>
      <w:r w:rsidR="00EE6AA2">
        <w:t>е</w:t>
      </w:r>
      <w:r>
        <w:t>с</w:t>
      </w:r>
      <w:r w:rsidR="00A56E08">
        <w:t>а</w:t>
      </w:r>
      <w:r w:rsidR="00057891" w:rsidRPr="00F6340E">
        <w:t xml:space="preserve"> </w:t>
      </w:r>
      <w:r w:rsidR="00A56E08">
        <w:t>н</w:t>
      </w:r>
      <w:r w:rsidR="00EE6AA2">
        <w:t>е</w:t>
      </w:r>
      <w:r w:rsidR="00171F00">
        <w:t>з</w:t>
      </w:r>
      <w:r w:rsidR="00A56E08">
        <w:t>а</w:t>
      </w:r>
      <w:r>
        <w:t>в</w:t>
      </w:r>
      <w:r w:rsidR="00A56E08">
        <w:t>и</w:t>
      </w:r>
      <w:r>
        <w:t>с</w:t>
      </w:r>
      <w:r w:rsidR="00A56E08">
        <w:t>но</w:t>
      </w:r>
      <w:r w:rsidR="00057891" w:rsidRPr="00F6340E">
        <w:t xml:space="preserve"> </w:t>
      </w:r>
      <w:r w:rsidR="00A56E08">
        <w:t>о</w:t>
      </w:r>
      <w:r w:rsidR="0064215E" w:rsidRPr="00F6340E">
        <w:t xml:space="preserve"> </w:t>
      </w:r>
      <w:r>
        <w:t>т</w:t>
      </w:r>
      <w:r w:rsidR="00A56E08">
        <w:t>ом</w:t>
      </w:r>
      <w:r w:rsidR="00EE6AA2">
        <w:t>е</w:t>
      </w:r>
      <w:r w:rsidR="0064215E" w:rsidRPr="00F6340E">
        <w:t xml:space="preserve"> </w:t>
      </w:r>
      <w:r w:rsidR="00A56E08">
        <w:t>да</w:t>
      </w:r>
      <w:r w:rsidR="0064215E" w:rsidRPr="00F6340E">
        <w:t xml:space="preserve"> </w:t>
      </w:r>
      <w:r w:rsidR="00A56E08">
        <w:t>ли</w:t>
      </w:r>
      <w:r w:rsidR="0064215E" w:rsidRPr="00F6340E">
        <w:t xml:space="preserve"> </w:t>
      </w:r>
      <w:r>
        <w:t>с</w:t>
      </w:r>
      <w:r w:rsidR="00EE6AA2">
        <w:t>е</w:t>
      </w:r>
      <w:r w:rsidR="0064215E" w:rsidRPr="00F6340E">
        <w:t xml:space="preserve"> </w:t>
      </w:r>
      <w:r w:rsidR="00A56E08">
        <w:t>на</w:t>
      </w:r>
      <w:r>
        <w:t>ст</w:t>
      </w:r>
      <w:r w:rsidR="00A56E08">
        <w:t>а</w:t>
      </w:r>
      <w:r>
        <w:t>в</w:t>
      </w:r>
      <w:r w:rsidR="00A56E08">
        <w:t>а</w:t>
      </w:r>
      <w:r w:rsidR="0064215E" w:rsidRPr="00F6340E">
        <w:t xml:space="preserve"> </w:t>
      </w:r>
      <w:r>
        <w:t>р</w:t>
      </w:r>
      <w:r w:rsidR="00EE6AA2">
        <w:t>е</w:t>
      </w:r>
      <w:r w:rsidR="00A56E08">
        <w:t>али</w:t>
      </w:r>
      <w:r w:rsidR="00171F00">
        <w:t>з</w:t>
      </w:r>
      <w:r>
        <w:t>у</w:t>
      </w:r>
      <w:r w:rsidR="00A56E08">
        <w:t>ј</w:t>
      </w:r>
      <w:r w:rsidR="00EE6AA2">
        <w:t>е</w:t>
      </w:r>
      <w:r w:rsidR="00057891" w:rsidRPr="00F6340E">
        <w:t xml:space="preserve"> </w:t>
      </w:r>
      <w:r>
        <w:t>у</w:t>
      </w:r>
      <w:r w:rsidR="00057891" w:rsidRPr="00F6340E">
        <w:t xml:space="preserve"> </w:t>
      </w:r>
      <w:r>
        <w:t>у</w:t>
      </w:r>
      <w:r w:rsidR="00A56E08">
        <w:t>чионици</w:t>
      </w:r>
      <w:r w:rsidR="00057891" w:rsidRPr="00F6340E">
        <w:t xml:space="preserve">, </w:t>
      </w:r>
      <w:r>
        <w:t>пут</w:t>
      </w:r>
      <w:r w:rsidR="00EE6AA2">
        <w:t>е</w:t>
      </w:r>
      <w:r w:rsidR="00A56E08">
        <w:t>м</w:t>
      </w:r>
      <w:r w:rsidR="00B91744" w:rsidRPr="00F6340E">
        <w:t xml:space="preserve"> </w:t>
      </w:r>
      <w:r w:rsidR="00A56E08">
        <w:t>ин</w:t>
      </w:r>
      <w:r>
        <w:t>т</w:t>
      </w:r>
      <w:r w:rsidR="00EE6AA2">
        <w:t>е</w:t>
      </w:r>
      <w:r>
        <w:t>р</w:t>
      </w:r>
      <w:r w:rsidR="00A56E08">
        <w:t>н</w:t>
      </w:r>
      <w:r w:rsidR="00EE6AA2">
        <w:t>е</w:t>
      </w:r>
      <w:r>
        <w:t>т</w:t>
      </w:r>
      <w:r w:rsidR="00A56E08">
        <w:t>а</w:t>
      </w:r>
      <w:r w:rsidR="00057891" w:rsidRPr="00F6340E">
        <w:t xml:space="preserve"> </w:t>
      </w:r>
      <w:r w:rsidR="00A56E08">
        <w:t>или</w:t>
      </w:r>
      <w:r w:rsidR="00057891" w:rsidRPr="00F6340E">
        <w:t xml:space="preserve"> </w:t>
      </w:r>
      <w:r w:rsidR="00A56E08">
        <w:t>комбино</w:t>
      </w:r>
      <w:r>
        <w:t>в</w:t>
      </w:r>
      <w:r w:rsidR="00A56E08">
        <w:t>ано</w:t>
      </w:r>
      <w:r w:rsidR="00057891" w:rsidRPr="00F6340E">
        <w:t xml:space="preserve">. </w:t>
      </w:r>
      <w:r w:rsidR="00A56E08">
        <w:t>ИК</w:t>
      </w:r>
      <w:r>
        <w:t>Т</w:t>
      </w:r>
      <w:r w:rsidR="00B91744" w:rsidRPr="00F6340E">
        <w:t xml:space="preserve"> </w:t>
      </w:r>
      <w:r w:rsidR="00A56E08">
        <w:t>омог</w:t>
      </w:r>
      <w:r>
        <w:t>у</w:t>
      </w:r>
      <w:r w:rsidR="00A56E08">
        <w:t>ћа</w:t>
      </w:r>
      <w:r>
        <w:t>в</w:t>
      </w:r>
      <w:r w:rsidR="00A56E08">
        <w:t>а</w:t>
      </w:r>
      <w:r w:rsidR="0064215E" w:rsidRPr="00F6340E">
        <w:t xml:space="preserve"> </w:t>
      </w:r>
      <w:r w:rsidR="00A56E08">
        <w:t>б</w:t>
      </w:r>
      <w:r>
        <w:t>р</w:t>
      </w:r>
      <w:r w:rsidR="00A56E08">
        <w:t>ојн</w:t>
      </w:r>
      <w:r w:rsidR="00EE6AA2">
        <w:t>е</w:t>
      </w:r>
      <w:r w:rsidR="0064215E" w:rsidRPr="00F6340E">
        <w:t xml:space="preserve"> </w:t>
      </w:r>
      <w:r w:rsidR="00A56E08">
        <w:t>олак</w:t>
      </w:r>
      <w:r>
        <w:t>ш</w:t>
      </w:r>
      <w:r w:rsidR="00A56E08">
        <w:t>иц</w:t>
      </w:r>
      <w:r w:rsidR="00EE6AA2">
        <w:t>е</w:t>
      </w:r>
      <w:r w:rsidR="00B91744" w:rsidRPr="00F6340E">
        <w:t xml:space="preserve">, </w:t>
      </w:r>
      <w:r w:rsidR="00A56E08">
        <w:t>а</w:t>
      </w:r>
      <w:r w:rsidR="0064215E" w:rsidRPr="00F6340E">
        <w:t xml:space="preserve"> </w:t>
      </w:r>
      <w:r>
        <w:t>п</w:t>
      </w:r>
      <w:r w:rsidR="00A56E08">
        <w:t>о</w:t>
      </w:r>
      <w:r>
        <w:t>с</w:t>
      </w:r>
      <w:r w:rsidR="00EE6AA2">
        <w:t>е</w:t>
      </w:r>
      <w:r w:rsidR="00A56E08">
        <w:t>бно</w:t>
      </w:r>
      <w:r w:rsidR="0064215E" w:rsidRPr="00F6340E">
        <w:t xml:space="preserve"> </w:t>
      </w:r>
      <w:r w:rsidR="00A56E08">
        <w:t>он</w:t>
      </w:r>
      <w:r w:rsidR="00EE6AA2">
        <w:t>е</w:t>
      </w:r>
      <w:r w:rsidR="0064215E" w:rsidRPr="00F6340E">
        <w:t xml:space="preserve"> </w:t>
      </w:r>
      <w:r w:rsidR="00A56E08">
        <w:t>кој</w:t>
      </w:r>
      <w:r w:rsidR="00EE6AA2">
        <w:t>е</w:t>
      </w:r>
      <w:r w:rsidR="0064215E" w:rsidRPr="00F6340E">
        <w:t xml:space="preserve"> </w:t>
      </w:r>
      <w:r>
        <w:t>с</w:t>
      </w:r>
      <w:r w:rsidR="00EE6AA2">
        <w:t>е</w:t>
      </w:r>
      <w:r w:rsidR="0064215E" w:rsidRPr="00F6340E">
        <w:t xml:space="preserve"> </w:t>
      </w:r>
      <w:r w:rsidR="00A56E08">
        <w:t>одно</w:t>
      </w:r>
      <w:r>
        <w:t>с</w:t>
      </w:r>
      <w:r w:rsidR="00EE6AA2">
        <w:t>е</w:t>
      </w:r>
      <w:r w:rsidR="0064215E" w:rsidRPr="00F6340E">
        <w:t xml:space="preserve"> </w:t>
      </w:r>
      <w:r w:rsidR="00A56E08">
        <w:t>на</w:t>
      </w:r>
      <w:r w:rsidR="0064215E" w:rsidRPr="00F6340E">
        <w:t xml:space="preserve"> </w:t>
      </w:r>
      <w:r>
        <w:t>пр</w:t>
      </w:r>
      <w:r w:rsidR="00A56E08">
        <w:t>и</w:t>
      </w:r>
      <w:r>
        <w:t>ступ</w:t>
      </w:r>
      <w:r w:rsidR="0064215E" w:rsidRPr="00F6340E">
        <w:t xml:space="preserve"> </w:t>
      </w:r>
      <w:r w:rsidR="00A56E08">
        <w:t>инфо</w:t>
      </w:r>
      <w:r>
        <w:t>р</w:t>
      </w:r>
      <w:r w:rsidR="00A56E08">
        <w:t>мацијама</w:t>
      </w:r>
      <w:r w:rsidR="0064215E" w:rsidRPr="00F6340E">
        <w:t xml:space="preserve">, </w:t>
      </w:r>
      <w:r w:rsidR="00A56E08">
        <w:t>к</w:t>
      </w:r>
      <w:r>
        <w:t>р</w:t>
      </w:r>
      <w:r w:rsidR="00EE6AA2">
        <w:t>е</w:t>
      </w:r>
      <w:r w:rsidR="00A56E08">
        <w:t>и</w:t>
      </w:r>
      <w:r>
        <w:t>р</w:t>
      </w:r>
      <w:r w:rsidR="00A56E08">
        <w:t>ањ</w:t>
      </w:r>
      <w:r w:rsidR="00EE6AA2">
        <w:t>е</w:t>
      </w:r>
      <w:r w:rsidR="0064215E" w:rsidRPr="00F6340E">
        <w:t xml:space="preserve"> </w:t>
      </w:r>
      <w:r w:rsidR="00A56E08">
        <w:t>одго</w:t>
      </w:r>
      <w:r>
        <w:t>в</w:t>
      </w:r>
      <w:r w:rsidR="00A56E08">
        <w:t>а</w:t>
      </w:r>
      <w:r>
        <w:t>р</w:t>
      </w:r>
      <w:r w:rsidR="00A56E08">
        <w:t>ај</w:t>
      </w:r>
      <w:r>
        <w:t>у</w:t>
      </w:r>
      <w:r w:rsidR="00A56E08">
        <w:t>ћих</w:t>
      </w:r>
      <w:r w:rsidR="0064215E" w:rsidRPr="00F6340E">
        <w:t xml:space="preserve"> </w:t>
      </w:r>
      <w:r>
        <w:t>в</w:t>
      </w:r>
      <w:r w:rsidR="00EE6AA2">
        <w:t>е</w:t>
      </w:r>
      <w:r w:rsidR="00171F00">
        <w:t>з</w:t>
      </w:r>
      <w:r w:rsidR="00A56E08">
        <w:t>а</w:t>
      </w:r>
      <w:r w:rsidR="0064215E" w:rsidRPr="00F6340E">
        <w:t xml:space="preserve"> </w:t>
      </w:r>
      <w:r w:rsidR="00A56E08">
        <w:t>и</w:t>
      </w:r>
      <w:r w:rsidR="00171F00">
        <w:t>з</w:t>
      </w:r>
      <w:r w:rsidR="00A56E08">
        <w:t>м</w:t>
      </w:r>
      <w:r w:rsidR="00EE6AA2">
        <w:t>е</w:t>
      </w:r>
      <w:r w:rsidR="00A56E08">
        <w:t>ђ</w:t>
      </w:r>
      <w:r>
        <w:t>у</w:t>
      </w:r>
      <w:r w:rsidR="0064215E" w:rsidRPr="00F6340E">
        <w:t xml:space="preserve"> </w:t>
      </w:r>
      <w:r w:rsidR="00A56E08">
        <w:t>љ</w:t>
      </w:r>
      <w:r>
        <w:t>у</w:t>
      </w:r>
      <w:r w:rsidR="00A56E08">
        <w:t>ди</w:t>
      </w:r>
      <w:r w:rsidR="0064215E" w:rsidRPr="00F6340E">
        <w:t xml:space="preserve">, </w:t>
      </w:r>
      <w:r w:rsidR="00A56E08">
        <w:t>али</w:t>
      </w:r>
      <w:r w:rsidR="0064215E" w:rsidRPr="00F6340E">
        <w:t xml:space="preserve"> </w:t>
      </w:r>
      <w:r w:rsidR="00A56E08">
        <w:t>и</w:t>
      </w:r>
      <w:r w:rsidR="0064215E" w:rsidRPr="00F6340E">
        <w:t xml:space="preserve"> </w:t>
      </w:r>
      <w:r>
        <w:t>ств</w:t>
      </w:r>
      <w:r w:rsidR="00A56E08">
        <w:t>а</w:t>
      </w:r>
      <w:r>
        <w:t>р</w:t>
      </w:r>
      <w:r w:rsidR="00A56E08">
        <w:t>ањ</w:t>
      </w:r>
      <w:r w:rsidR="00EE6AA2">
        <w:t>е</w:t>
      </w:r>
      <w:r w:rsidR="0064215E" w:rsidRPr="00F6340E">
        <w:t xml:space="preserve"> </w:t>
      </w:r>
      <w:r w:rsidR="001A3922" w:rsidRPr="00F6340E">
        <w:t xml:space="preserve"> </w:t>
      </w:r>
      <w:r>
        <w:t>ус</w:t>
      </w:r>
      <w:r w:rsidR="00A56E08">
        <w:t>ло</w:t>
      </w:r>
      <w:r>
        <w:t>в</w:t>
      </w:r>
      <w:r w:rsidR="00A56E08">
        <w:t>а</w:t>
      </w:r>
      <w:r w:rsidR="0064215E" w:rsidRPr="00F6340E">
        <w:t xml:space="preserve"> </w:t>
      </w:r>
      <w:r w:rsidR="00171F00">
        <w:t>з</w:t>
      </w:r>
      <w:r w:rsidR="00A56E08">
        <w:t>а</w:t>
      </w:r>
      <w:r w:rsidR="0064215E" w:rsidRPr="00F6340E">
        <w:t xml:space="preserve"> </w:t>
      </w:r>
      <w:r w:rsidR="00EE6AA2">
        <w:t>е</w:t>
      </w:r>
      <w:r w:rsidR="00A56E08">
        <w:t>ф</w:t>
      </w:r>
      <w:r w:rsidR="00EE6AA2">
        <w:t>е</w:t>
      </w:r>
      <w:r w:rsidR="00A56E08">
        <w:t>к</w:t>
      </w:r>
      <w:r>
        <w:t>т</w:t>
      </w:r>
      <w:r w:rsidR="00A56E08">
        <w:t>и</w:t>
      </w:r>
      <w:r>
        <w:t>в</w:t>
      </w:r>
      <w:r w:rsidR="00A56E08">
        <w:t>но</w:t>
      </w:r>
      <w:r w:rsidR="0064215E" w:rsidRPr="00F6340E">
        <w:t xml:space="preserve"> </w:t>
      </w:r>
      <w:r w:rsidR="00A56E08">
        <w:t>о</w:t>
      </w:r>
      <w:r>
        <w:t>р</w:t>
      </w:r>
      <w:r w:rsidR="00A56E08">
        <w:t>гани</w:t>
      </w:r>
      <w:r w:rsidR="00171F00">
        <w:t>з</w:t>
      </w:r>
      <w:r w:rsidR="00A56E08">
        <w:t>о</w:t>
      </w:r>
      <w:r>
        <w:t>в</w:t>
      </w:r>
      <w:r w:rsidR="00A56E08">
        <w:t>ањ</w:t>
      </w:r>
      <w:r w:rsidR="00EE6AA2">
        <w:t>е</w:t>
      </w:r>
      <w:r w:rsidR="0064215E" w:rsidRPr="00F6340E">
        <w:t xml:space="preserve"> </w:t>
      </w:r>
      <w:r>
        <w:t>пр</w:t>
      </w:r>
      <w:r w:rsidR="00A56E08">
        <w:t>оц</w:t>
      </w:r>
      <w:r w:rsidR="00EE6AA2">
        <w:t>е</w:t>
      </w:r>
      <w:r>
        <w:t>с</w:t>
      </w:r>
      <w:r w:rsidR="00A56E08">
        <w:t>а</w:t>
      </w:r>
      <w:r w:rsidR="0064215E" w:rsidRPr="00F6340E">
        <w:t xml:space="preserve"> </w:t>
      </w:r>
      <w:r>
        <w:t>у</w:t>
      </w:r>
      <w:r w:rsidR="00A56E08">
        <w:t>ч</w:t>
      </w:r>
      <w:r w:rsidR="00EE6AA2">
        <w:t>е</w:t>
      </w:r>
      <w:r w:rsidR="00A56E08">
        <w:t>ња</w:t>
      </w:r>
      <w:r w:rsidR="0064215E" w:rsidRPr="00F6340E">
        <w:t xml:space="preserve"> </w:t>
      </w:r>
      <w:r w:rsidR="00A56E08">
        <w:t>и</w:t>
      </w:r>
      <w:r w:rsidR="0064215E" w:rsidRPr="00F6340E">
        <w:t xml:space="preserve"> </w:t>
      </w:r>
      <w:r>
        <w:t>п</w:t>
      </w:r>
      <w:r w:rsidR="00A56E08">
        <w:t>од</w:t>
      </w:r>
      <w:r>
        <w:t>у</w:t>
      </w:r>
      <w:r w:rsidR="00A56E08">
        <w:t>ча</w:t>
      </w:r>
      <w:r>
        <w:t>в</w:t>
      </w:r>
      <w:r w:rsidR="00A56E08">
        <w:t>ања</w:t>
      </w:r>
      <w:r w:rsidR="0064215E" w:rsidRPr="00F6340E">
        <w:t xml:space="preserve">. </w:t>
      </w:r>
    </w:p>
    <w:p w14:paraId="76341584" w14:textId="5E32C075" w:rsidR="00B443A8" w:rsidRPr="00F6340E" w:rsidRDefault="00A56E08" w:rsidP="00210EE1">
      <w:pPr>
        <w:pStyle w:val="Body"/>
      </w:pPr>
      <w:r>
        <w:t>ИК</w:t>
      </w:r>
      <w:r w:rsidR="0071360A">
        <w:t>Т</w:t>
      </w:r>
      <w:r w:rsidR="00B443A8" w:rsidRPr="00F6340E">
        <w:t xml:space="preserve"> </w:t>
      </w:r>
      <w:r w:rsidR="0071360A">
        <w:t>у</w:t>
      </w:r>
      <w:r w:rsidR="00B443A8" w:rsidRPr="00F6340E">
        <w:t xml:space="preserve"> </w:t>
      </w:r>
      <w:r>
        <w:t>об</w:t>
      </w:r>
      <w:r w:rsidR="0071360A">
        <w:t>р</w:t>
      </w:r>
      <w:r>
        <w:t>а</w:t>
      </w:r>
      <w:r w:rsidR="00171F00">
        <w:t>з</w:t>
      </w:r>
      <w:r>
        <w:t>о</w:t>
      </w:r>
      <w:r w:rsidR="0071360A">
        <w:t>в</w:t>
      </w:r>
      <w:r>
        <w:t>ањ</w:t>
      </w:r>
      <w:r w:rsidR="0071360A">
        <w:t>у</w:t>
      </w:r>
      <w:r w:rsidR="00B443A8"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B443A8" w:rsidRPr="00F6340E">
        <w:t xml:space="preserve"> </w:t>
      </w:r>
      <w:r w:rsidR="0071360A">
        <w:t>в</w:t>
      </w:r>
      <w:r>
        <w:t>и</w:t>
      </w:r>
      <w:r w:rsidR="0071360A">
        <w:t>ш</w:t>
      </w:r>
      <w:r w:rsidR="00EE6AA2">
        <w:t>е</w:t>
      </w:r>
      <w:r w:rsidR="00B443A8" w:rsidRPr="00F6340E">
        <w:t xml:space="preserve"> </w:t>
      </w:r>
      <w:r w:rsidR="0071360A">
        <w:t>п</w:t>
      </w:r>
      <w:r w:rsidR="00EE6AA2">
        <w:t>е</w:t>
      </w:r>
      <w:r w:rsidR="0071360A">
        <w:t>рсп</w:t>
      </w:r>
      <w:r w:rsidR="00EE6AA2">
        <w:t>е</w:t>
      </w:r>
      <w:r>
        <w:t>к</w:t>
      </w:r>
      <w:r w:rsidR="0071360A">
        <w:t>т</w:t>
      </w:r>
      <w:r>
        <w:t>и</w:t>
      </w:r>
      <w:r w:rsidR="0071360A">
        <w:t>в</w:t>
      </w:r>
      <w:r>
        <w:t>а</w:t>
      </w:r>
      <w:r w:rsidR="000E6308" w:rsidRPr="00F6340E">
        <w:t xml:space="preserve"> (</w:t>
      </w:r>
      <w:r w:rsidR="0071360A">
        <w:t>У</w:t>
      </w:r>
      <w:r>
        <w:t>Н</w:t>
      </w:r>
      <w:r w:rsidR="00EE6AA2">
        <w:t>Е</w:t>
      </w:r>
      <w:r w:rsidR="0071360A">
        <w:t>С</w:t>
      </w:r>
      <w:r>
        <w:t>ЦО</w:t>
      </w:r>
      <w:r w:rsidR="000E6308" w:rsidRPr="00F6340E">
        <w:t>, 2022):</w:t>
      </w:r>
      <w:r w:rsidR="00B443A8" w:rsidRPr="00F6340E">
        <w:t xml:space="preserve"> </w:t>
      </w:r>
    </w:p>
    <w:p w14:paraId="472A4E08" w14:textId="2BEFA85C" w:rsidR="00B443A8" w:rsidRPr="00F6340E" w:rsidRDefault="0071360A" w:rsidP="00210EE1">
      <w:pPr>
        <w:pStyle w:val="Bulletlist"/>
      </w:pPr>
      <w:r>
        <w:t>уп</w:t>
      </w:r>
      <w:r w:rsidR="00A56E08">
        <w:t>о</w:t>
      </w:r>
      <w:r>
        <w:t>тр</w:t>
      </w:r>
      <w:r w:rsidR="00EE6AA2">
        <w:t>е</w:t>
      </w:r>
      <w:r w:rsidR="00A56E08">
        <w:t>б</w:t>
      </w:r>
      <w:r>
        <w:t>у</w:t>
      </w:r>
      <w:r w:rsidR="00B443A8" w:rsidRPr="00F6340E">
        <w:t xml:space="preserve"> </w:t>
      </w:r>
      <w:r w:rsidR="00A56E08">
        <w:t>ИК</w:t>
      </w:r>
      <w:r>
        <w:t>Т</w:t>
      </w:r>
      <w:r w:rsidR="00B443A8" w:rsidRPr="00F6340E">
        <w:t>-</w:t>
      </w:r>
      <w:r w:rsidR="00A56E08">
        <w:t>а</w:t>
      </w:r>
      <w:r w:rsidR="00B443A8" w:rsidRPr="00F6340E">
        <w:t xml:space="preserve"> </w:t>
      </w:r>
      <w:r w:rsidR="00A56E08">
        <w:t>као</w:t>
      </w:r>
      <w:r w:rsidR="00B443A8" w:rsidRPr="00F6340E">
        <w:t xml:space="preserve"> </w:t>
      </w:r>
      <w:r w:rsidR="00A56E08">
        <w:t>м</w:t>
      </w:r>
      <w:r w:rsidR="00EE6AA2">
        <w:t>е</w:t>
      </w:r>
      <w:r w:rsidR="00A56E08">
        <w:t>дија</w:t>
      </w:r>
      <w:r w:rsidR="00B443A8" w:rsidRPr="00F6340E">
        <w:t xml:space="preserve"> </w:t>
      </w:r>
      <w:r>
        <w:t>пру</w:t>
      </w:r>
      <w:r w:rsidR="00171F00">
        <w:t>ж</w:t>
      </w:r>
      <w:r w:rsidR="00A56E08">
        <w:t>ања</w:t>
      </w:r>
      <w:r w:rsidR="00B443A8" w:rsidRPr="00F6340E">
        <w:t xml:space="preserve"> </w:t>
      </w:r>
      <w:r>
        <w:t>ус</w:t>
      </w:r>
      <w:r w:rsidR="00A56E08">
        <w:t>л</w:t>
      </w:r>
      <w:r>
        <w:t>у</w:t>
      </w:r>
      <w:r w:rsidR="00A56E08">
        <w:t>га</w:t>
      </w:r>
      <w:r w:rsidR="00B443A8" w:rsidRPr="00F6340E">
        <w:t xml:space="preserve"> </w:t>
      </w:r>
      <w:r w:rsidR="00A56E08">
        <w:t>од</w:t>
      </w:r>
      <w:r w:rsidR="00B443A8" w:rsidRPr="00F6340E">
        <w:t xml:space="preserve"> </w:t>
      </w:r>
      <w:r>
        <w:t>стр</w:t>
      </w:r>
      <w:r w:rsidR="00A56E08">
        <w:t>ан</w:t>
      </w:r>
      <w:r w:rsidR="00EE6AA2">
        <w:t>е</w:t>
      </w:r>
      <w:r w:rsidR="00B443A8" w:rsidRPr="00F6340E">
        <w:t xml:space="preserve"> </w:t>
      </w:r>
      <w:r>
        <w:t>пру</w:t>
      </w:r>
      <w:r w:rsidR="00171F00">
        <w:t>ж</w:t>
      </w:r>
      <w:r w:rsidR="00A56E08">
        <w:t>алаца</w:t>
      </w:r>
      <w:r w:rsidR="00B443A8" w:rsidRPr="00F6340E">
        <w:t xml:space="preserve"> </w:t>
      </w:r>
      <w:r>
        <w:t>ус</w:t>
      </w:r>
      <w:r w:rsidR="00A56E08">
        <w:t>л</w:t>
      </w:r>
      <w:r>
        <w:t>у</w:t>
      </w:r>
      <w:r w:rsidR="00A56E08">
        <w:t>га</w:t>
      </w:r>
      <w:r w:rsidR="00B443A8" w:rsidRPr="00F6340E">
        <w:t xml:space="preserve"> </w:t>
      </w:r>
      <w:r w:rsidR="00A56E08">
        <w:t>об</w:t>
      </w:r>
      <w:r>
        <w:t>р</w:t>
      </w:r>
      <w:r w:rsidR="00A56E08">
        <w:t>а</w:t>
      </w:r>
      <w:r w:rsidR="00171F00">
        <w:t>з</w:t>
      </w:r>
      <w:r w:rsidR="00A56E08">
        <w:t>о</w:t>
      </w:r>
      <w:r>
        <w:t>в</w:t>
      </w:r>
      <w:r w:rsidR="00A56E08">
        <w:t>них</w:t>
      </w:r>
      <w:r w:rsidR="00B443A8" w:rsidRPr="00F6340E">
        <w:t xml:space="preserve"> </w:t>
      </w:r>
      <w:r>
        <w:t>пр</w:t>
      </w:r>
      <w:r w:rsidR="00A56E08">
        <w:t>ог</w:t>
      </w:r>
      <w:r>
        <w:t>р</w:t>
      </w:r>
      <w:r w:rsidR="00A56E08">
        <w:t>ама</w:t>
      </w:r>
      <w:r w:rsidR="00B443A8" w:rsidRPr="00F6340E">
        <w:t xml:space="preserve"> </w:t>
      </w:r>
      <w:r w:rsidR="00171F00">
        <w:t>з</w:t>
      </w:r>
      <w:r w:rsidR="00A56E08">
        <w:t>а</w:t>
      </w:r>
      <w:r w:rsidR="00B443A8" w:rsidRPr="00F6340E">
        <w:t xml:space="preserve"> </w:t>
      </w:r>
      <w:r w:rsidR="00A56E08">
        <w:t>омог</w:t>
      </w:r>
      <w:r>
        <w:t>у</w:t>
      </w:r>
      <w:r w:rsidR="00A56E08">
        <w:t>ћа</w:t>
      </w:r>
      <w:r>
        <w:t>в</w:t>
      </w:r>
      <w:r w:rsidR="00A56E08">
        <w:t>ањ</w:t>
      </w:r>
      <w:r w:rsidR="00EE6AA2">
        <w:t>е</w:t>
      </w:r>
      <w:r w:rsidR="00B443A8" w:rsidRPr="00F6340E">
        <w:t xml:space="preserve"> </w:t>
      </w:r>
      <w:r w:rsidR="00A56E08">
        <w:t>или</w:t>
      </w:r>
      <w:r w:rsidR="00B443A8" w:rsidRPr="00F6340E">
        <w:t xml:space="preserve"> </w:t>
      </w:r>
      <w:r>
        <w:t>пр</w:t>
      </w:r>
      <w:r w:rsidR="00A56E08">
        <w:t>о</w:t>
      </w:r>
      <w:r>
        <w:t>ш</w:t>
      </w:r>
      <w:r w:rsidR="00A56E08">
        <w:t>и</w:t>
      </w:r>
      <w:r>
        <w:t>р</w:t>
      </w:r>
      <w:r w:rsidR="00EE6AA2">
        <w:t>е</w:t>
      </w:r>
      <w:r w:rsidR="00A56E08">
        <w:t>њ</w:t>
      </w:r>
      <w:r w:rsidR="00EE6AA2">
        <w:t>е</w:t>
      </w:r>
      <w:r w:rsidR="00B443A8" w:rsidRPr="00F6340E">
        <w:t xml:space="preserve"> </w:t>
      </w:r>
      <w:r>
        <w:t>пр</w:t>
      </w:r>
      <w:r w:rsidR="00A56E08">
        <w:t>и</w:t>
      </w:r>
      <w:r>
        <w:t>ступ</w:t>
      </w:r>
      <w:r w:rsidR="00A56E08">
        <w:t>а</w:t>
      </w:r>
      <w:r w:rsidR="00B443A8" w:rsidRPr="00F6340E">
        <w:t xml:space="preserve"> </w:t>
      </w:r>
      <w:r w:rsidR="00A56E08">
        <w:t>мог</w:t>
      </w:r>
      <w:r>
        <w:t>у</w:t>
      </w:r>
      <w:r w:rsidR="00A56E08">
        <w:t>ћно</w:t>
      </w:r>
      <w:r>
        <w:t>ст</w:t>
      </w:r>
      <w:r w:rsidR="00A56E08">
        <w:t>има</w:t>
      </w:r>
      <w:r w:rsidR="00B443A8" w:rsidRPr="00F6340E">
        <w:t xml:space="preserve"> </w:t>
      </w:r>
      <w:r>
        <w:t>у</w:t>
      </w:r>
      <w:r w:rsidR="00A56E08">
        <w:t>ч</w:t>
      </w:r>
      <w:r w:rsidR="00EE6AA2">
        <w:t>е</w:t>
      </w:r>
      <w:r w:rsidR="00A56E08">
        <w:t>ња</w:t>
      </w:r>
      <w:r w:rsidR="00B443A8" w:rsidRPr="00F6340E">
        <w:t xml:space="preserve">; </w:t>
      </w:r>
    </w:p>
    <w:p w14:paraId="3D006418" w14:textId="168F8ECE" w:rsidR="00B443A8" w:rsidRPr="00F6340E" w:rsidRDefault="0071360A" w:rsidP="00210EE1">
      <w:pPr>
        <w:pStyle w:val="Bulletlist"/>
      </w:pPr>
      <w:r>
        <w:t>уп</w:t>
      </w:r>
      <w:r w:rsidR="00A56E08">
        <w:t>о</w:t>
      </w:r>
      <w:r>
        <w:t>тр</w:t>
      </w:r>
      <w:r w:rsidR="00EE6AA2">
        <w:t>е</w:t>
      </w:r>
      <w:r w:rsidR="00A56E08">
        <w:t>б</w:t>
      </w:r>
      <w:r>
        <w:t>у</w:t>
      </w:r>
      <w:r w:rsidR="00B443A8" w:rsidRPr="00F6340E">
        <w:t xml:space="preserve"> </w:t>
      </w:r>
      <w:r w:rsidR="00A56E08">
        <w:t>ИК</w:t>
      </w:r>
      <w:r>
        <w:t>Т</w:t>
      </w:r>
      <w:r w:rsidR="00B443A8" w:rsidRPr="00F6340E">
        <w:t>-</w:t>
      </w:r>
      <w:r w:rsidR="00A56E08">
        <w:t>а</w:t>
      </w:r>
      <w:r w:rsidR="00B443A8" w:rsidRPr="00F6340E">
        <w:t xml:space="preserve"> </w:t>
      </w:r>
      <w:r w:rsidR="00A56E08">
        <w:t>као</w:t>
      </w:r>
      <w:r w:rsidR="00B443A8" w:rsidRPr="00F6340E">
        <w:t xml:space="preserve"> </w:t>
      </w:r>
      <w:r>
        <w:t>п</w:t>
      </w:r>
      <w:r w:rsidR="00EE6AA2">
        <w:t>е</w:t>
      </w:r>
      <w:r w:rsidR="00A56E08">
        <w:t>даго</w:t>
      </w:r>
      <w:r>
        <w:t>ш</w:t>
      </w:r>
      <w:r w:rsidR="00A56E08">
        <w:t>ког</w:t>
      </w:r>
      <w:r w:rsidR="00B443A8" w:rsidRPr="00F6340E">
        <w:t xml:space="preserve"> </w:t>
      </w:r>
      <w:r w:rsidR="00A56E08">
        <w:t>ала</w:t>
      </w:r>
      <w:r>
        <w:t>т</w:t>
      </w:r>
      <w:r w:rsidR="00A56E08">
        <w:t>а</w:t>
      </w:r>
      <w:r w:rsidR="00B443A8" w:rsidRPr="00F6340E">
        <w:t xml:space="preserve"> </w:t>
      </w:r>
      <w:r w:rsidR="00A56E08">
        <w:t>од</w:t>
      </w:r>
      <w:r w:rsidR="00B443A8" w:rsidRPr="00F6340E">
        <w:t xml:space="preserve"> </w:t>
      </w:r>
      <w:r>
        <w:t>стр</w:t>
      </w:r>
      <w:r w:rsidR="00A56E08">
        <w:t>ан</w:t>
      </w:r>
      <w:r w:rsidR="00EE6AA2">
        <w:t>е</w:t>
      </w:r>
      <w:r w:rsidR="00B443A8" w:rsidRPr="00F6340E">
        <w:t xml:space="preserve"> </w:t>
      </w:r>
      <w:r w:rsidR="00A56E08">
        <w:t>на</w:t>
      </w:r>
      <w:r>
        <w:t>ст</w:t>
      </w:r>
      <w:r w:rsidR="00A56E08">
        <w:t>а</w:t>
      </w:r>
      <w:r>
        <w:t>в</w:t>
      </w:r>
      <w:r w:rsidR="00A56E08">
        <w:t>ника</w:t>
      </w:r>
      <w:r w:rsidR="00B443A8" w:rsidRPr="00F6340E">
        <w:t xml:space="preserve"> </w:t>
      </w:r>
      <w:r w:rsidR="00A56E08">
        <w:t>и</w:t>
      </w:r>
      <w:r w:rsidR="00B443A8" w:rsidRPr="00F6340E">
        <w:t xml:space="preserve"> </w:t>
      </w:r>
      <w:r>
        <w:t>у</w:t>
      </w:r>
      <w:r w:rsidR="00A56E08">
        <w:t>ч</w:t>
      </w:r>
      <w:r w:rsidR="00EE6AA2">
        <w:t>е</w:t>
      </w:r>
      <w:r w:rsidR="00A56E08">
        <w:t>ника</w:t>
      </w:r>
      <w:r w:rsidR="00B443A8" w:rsidRPr="00F6340E">
        <w:t>/</w:t>
      </w:r>
      <w:r>
        <w:t>сту</w:t>
      </w:r>
      <w:r w:rsidR="00A56E08">
        <w:t>д</w:t>
      </w:r>
      <w:r w:rsidR="00EE6AA2">
        <w:t>е</w:t>
      </w:r>
      <w:r w:rsidR="00A56E08">
        <w:t>на</w:t>
      </w:r>
      <w:r>
        <w:t>т</w:t>
      </w:r>
      <w:r w:rsidR="00A56E08">
        <w:t>а</w:t>
      </w:r>
      <w:r w:rsidR="00B443A8" w:rsidRPr="00F6340E">
        <w:t xml:space="preserve"> </w:t>
      </w:r>
      <w:r w:rsidR="00171F00">
        <w:t>з</w:t>
      </w:r>
      <w:r w:rsidR="00A56E08">
        <w:t>а</w:t>
      </w:r>
      <w:r w:rsidR="00B443A8" w:rsidRPr="00F6340E">
        <w:t xml:space="preserve"> </w:t>
      </w:r>
      <w:r>
        <w:t>п</w:t>
      </w:r>
      <w:r w:rsidR="00A56E08">
        <w:t>обољ</w:t>
      </w:r>
      <w:r>
        <w:t>ш</w:t>
      </w:r>
      <w:r w:rsidR="00A56E08">
        <w:t>ањ</w:t>
      </w:r>
      <w:r w:rsidR="00EE6AA2">
        <w:t>е</w:t>
      </w:r>
      <w:r w:rsidR="00B443A8" w:rsidRPr="00F6340E">
        <w:t xml:space="preserve"> </w:t>
      </w:r>
      <w:r>
        <w:t>р</w:t>
      </w:r>
      <w:r w:rsidR="00EE6AA2">
        <w:t>е</w:t>
      </w:r>
      <w:r w:rsidR="00A56E08">
        <w:t>л</w:t>
      </w:r>
      <w:r w:rsidR="00EE6AA2">
        <w:t>е</w:t>
      </w:r>
      <w:r>
        <w:t>в</w:t>
      </w:r>
      <w:r w:rsidR="00A56E08">
        <w:t>ан</w:t>
      </w:r>
      <w:r>
        <w:t>т</w:t>
      </w:r>
      <w:r w:rsidR="00A56E08">
        <w:t>но</w:t>
      </w:r>
      <w:r>
        <w:t>ст</w:t>
      </w:r>
      <w:r w:rsidR="00A56E08">
        <w:t>и</w:t>
      </w:r>
      <w:r w:rsidR="00B443A8" w:rsidRPr="00F6340E">
        <w:t xml:space="preserve"> </w:t>
      </w:r>
      <w:r w:rsidR="00A56E08">
        <w:t>и</w:t>
      </w:r>
      <w:r w:rsidR="00B443A8" w:rsidRPr="00F6340E">
        <w:t xml:space="preserve"> </w:t>
      </w:r>
      <w:r w:rsidR="00A56E08">
        <w:t>к</w:t>
      </w:r>
      <w:r>
        <w:t>в</w:t>
      </w:r>
      <w:r w:rsidR="00A56E08">
        <w:t>али</w:t>
      </w:r>
      <w:r>
        <w:t>т</w:t>
      </w:r>
      <w:r w:rsidR="00EE6AA2">
        <w:t>е</w:t>
      </w:r>
      <w:r>
        <w:t>т</w:t>
      </w:r>
      <w:r w:rsidR="00EE6AA2">
        <w:t>е</w:t>
      </w:r>
      <w:r w:rsidR="00B443A8" w:rsidRPr="00F6340E">
        <w:t xml:space="preserve"> </w:t>
      </w:r>
      <w:r>
        <w:t>пр</w:t>
      </w:r>
      <w:r w:rsidR="00A56E08">
        <w:t>оц</w:t>
      </w:r>
      <w:r w:rsidR="00EE6AA2">
        <w:t>е</w:t>
      </w:r>
      <w:r>
        <w:t>с</w:t>
      </w:r>
      <w:r w:rsidR="00A56E08">
        <w:t>а</w:t>
      </w:r>
      <w:r w:rsidR="000E6308" w:rsidRPr="00F6340E">
        <w:t xml:space="preserve"> </w:t>
      </w:r>
      <w:r>
        <w:t>у</w:t>
      </w:r>
      <w:r w:rsidR="00A56E08">
        <w:t>ч</w:t>
      </w:r>
      <w:r w:rsidR="00EE6AA2">
        <w:t>е</w:t>
      </w:r>
      <w:r w:rsidR="00A56E08">
        <w:t>ња</w:t>
      </w:r>
      <w:r w:rsidR="000E6308" w:rsidRPr="00F6340E">
        <w:t xml:space="preserve"> </w:t>
      </w:r>
      <w:r w:rsidR="00A56E08">
        <w:t>и</w:t>
      </w:r>
      <w:r w:rsidR="000E6308" w:rsidRPr="00F6340E">
        <w:t xml:space="preserve"> </w:t>
      </w:r>
      <w:r>
        <w:t>п</w:t>
      </w:r>
      <w:r w:rsidR="00A56E08">
        <w:t>од</w:t>
      </w:r>
      <w:r>
        <w:t>у</w:t>
      </w:r>
      <w:r w:rsidR="00A56E08">
        <w:t>ча</w:t>
      </w:r>
      <w:r>
        <w:t>в</w:t>
      </w:r>
      <w:r w:rsidR="00A56E08">
        <w:t>ања</w:t>
      </w:r>
      <w:r w:rsidR="00B443A8" w:rsidRPr="00F6340E">
        <w:t xml:space="preserve"> </w:t>
      </w:r>
      <w:r w:rsidR="00A56E08">
        <w:t>и</w:t>
      </w:r>
    </w:p>
    <w:p w14:paraId="530CC8BB" w14:textId="44F426FD" w:rsidR="00B443A8" w:rsidRPr="00F6340E" w:rsidRDefault="0071360A" w:rsidP="00210EE1">
      <w:pPr>
        <w:pStyle w:val="Bulletlist"/>
      </w:pPr>
      <w:r>
        <w:t>р</w:t>
      </w:r>
      <w:r w:rsidR="00A56E08">
        <w:t>а</w:t>
      </w:r>
      <w:r w:rsidR="00171F00">
        <w:t>з</w:t>
      </w:r>
      <w:r>
        <w:t>в</w:t>
      </w:r>
      <w:r w:rsidR="00A56E08">
        <w:t>ој</w:t>
      </w:r>
      <w:r w:rsidR="00B443A8" w:rsidRPr="00F6340E">
        <w:t xml:space="preserve"> </w:t>
      </w:r>
      <w:r w:rsidR="00A56E08">
        <w:t>ИК</w:t>
      </w:r>
      <w:r>
        <w:t>Т</w:t>
      </w:r>
      <w:r w:rsidR="00B443A8" w:rsidRPr="00F6340E">
        <w:t>/</w:t>
      </w:r>
      <w:r w:rsidR="00A56E08">
        <w:t>диги</w:t>
      </w:r>
      <w:r>
        <w:t>т</w:t>
      </w:r>
      <w:r w:rsidR="00A56E08">
        <w:t>алних</w:t>
      </w:r>
      <w:r w:rsidR="00B443A8" w:rsidRPr="00F6340E">
        <w:t xml:space="preserve"> </w:t>
      </w:r>
      <w:r w:rsidR="00A56E08">
        <w:t>ком</w:t>
      </w:r>
      <w:r>
        <w:t>п</w:t>
      </w:r>
      <w:r w:rsidR="00EE6AA2">
        <w:t>е</w:t>
      </w:r>
      <w:r>
        <w:t>т</w:t>
      </w:r>
      <w:r w:rsidR="00EE6AA2">
        <w:t>е</w:t>
      </w:r>
      <w:r w:rsidR="00A56E08">
        <w:t>нција</w:t>
      </w:r>
      <w:r w:rsidR="00B443A8" w:rsidRPr="00F6340E">
        <w:t xml:space="preserve"> </w:t>
      </w:r>
      <w:r>
        <w:t>п</w:t>
      </w:r>
      <w:r w:rsidR="00A56E08">
        <w:t>о</w:t>
      </w:r>
      <w:r>
        <w:t>тр</w:t>
      </w:r>
      <w:r w:rsidR="00EE6AA2">
        <w:t>е</w:t>
      </w:r>
      <w:r w:rsidR="00A56E08">
        <w:t>бних</w:t>
      </w:r>
      <w:r w:rsidR="00B443A8" w:rsidRPr="00F6340E">
        <w:t xml:space="preserve"> </w:t>
      </w:r>
      <w:r w:rsidR="00171F00">
        <w:t>з</w:t>
      </w:r>
      <w:r w:rsidR="00A56E08">
        <w:t>а</w:t>
      </w:r>
      <w:r w:rsidR="00B443A8" w:rsidRPr="00F6340E">
        <w:t xml:space="preserve"> </w:t>
      </w:r>
      <w:r w:rsidR="00171F00">
        <w:t>ж</w:t>
      </w:r>
      <w:r w:rsidR="00A56E08">
        <w:t>и</w:t>
      </w:r>
      <w:r>
        <w:t>в</w:t>
      </w:r>
      <w:r w:rsidR="00A56E08">
        <w:t>о</w:t>
      </w:r>
      <w:r>
        <w:t>т</w:t>
      </w:r>
      <w:r w:rsidR="00B443A8" w:rsidRPr="00F6340E">
        <w:t xml:space="preserve">, </w:t>
      </w:r>
      <w:r>
        <w:t>у</w:t>
      </w:r>
      <w:r w:rsidR="00A56E08">
        <w:t>ч</w:t>
      </w:r>
      <w:r w:rsidR="00EE6AA2">
        <w:t>е</w:t>
      </w:r>
      <w:r w:rsidR="00A56E08">
        <w:t>њ</w:t>
      </w:r>
      <w:r w:rsidR="00EE6AA2">
        <w:t>е</w:t>
      </w:r>
      <w:r w:rsidR="00B443A8" w:rsidRPr="00F6340E">
        <w:t xml:space="preserve"> </w:t>
      </w:r>
      <w:r w:rsidR="00A56E08">
        <w:t>и</w:t>
      </w:r>
      <w:r w:rsidR="00B443A8" w:rsidRPr="00F6340E">
        <w:t xml:space="preserve"> </w:t>
      </w:r>
      <w:r>
        <w:t>р</w:t>
      </w:r>
      <w:r w:rsidR="00A56E08">
        <w:t>ад</w:t>
      </w:r>
      <w:r w:rsidR="00B443A8" w:rsidRPr="00F6340E">
        <w:t xml:space="preserve"> </w:t>
      </w:r>
      <w:r>
        <w:t>у</w:t>
      </w:r>
      <w:r w:rsidR="00B443A8" w:rsidRPr="00F6340E">
        <w:t xml:space="preserve"> </w:t>
      </w:r>
      <w:r w:rsidR="00A56E08">
        <w:t>на</w:t>
      </w:r>
      <w:r>
        <w:t>ш</w:t>
      </w:r>
      <w:r w:rsidR="00EE6AA2">
        <w:t>е</w:t>
      </w:r>
      <w:r w:rsidR="00A56E08">
        <w:t>м</w:t>
      </w:r>
      <w:r w:rsidR="00B443A8" w:rsidRPr="00F6340E">
        <w:t xml:space="preserve"> </w:t>
      </w:r>
      <w:r>
        <w:t>св</w:t>
      </w:r>
      <w:r w:rsidR="00A56E08">
        <w:t>иј</w:t>
      </w:r>
      <w:r w:rsidR="00EE6AA2">
        <w:t>е</w:t>
      </w:r>
      <w:r>
        <w:t>ту</w:t>
      </w:r>
      <w:r w:rsidR="00B443A8" w:rsidRPr="00F6340E">
        <w:t xml:space="preserve"> </w:t>
      </w:r>
      <w:r w:rsidR="00A56E08">
        <w:t>који</w:t>
      </w:r>
      <w:r w:rsidR="00B443A8" w:rsidRPr="00F6340E">
        <w:t xml:space="preserve"> </w:t>
      </w:r>
      <w:r w:rsidR="00A56E08">
        <w:t>ј</w:t>
      </w:r>
      <w:r w:rsidR="00EE6AA2">
        <w:t>е</w:t>
      </w:r>
      <w:r w:rsidR="00B443A8" w:rsidRPr="00F6340E">
        <w:t xml:space="preserve"> </w:t>
      </w:r>
      <w:r>
        <w:t>св</w:t>
      </w:r>
      <w:r w:rsidR="00EE6AA2">
        <w:t>е</w:t>
      </w:r>
      <w:r w:rsidR="00B443A8" w:rsidRPr="00F6340E">
        <w:t xml:space="preserve"> </w:t>
      </w:r>
      <w:r w:rsidR="00A56E08">
        <w:t>бога</w:t>
      </w:r>
      <w:r>
        <w:t>т</w:t>
      </w:r>
      <w:r w:rsidR="00A56E08">
        <w:t>ији</w:t>
      </w:r>
      <w:r w:rsidR="00B443A8" w:rsidRPr="00F6340E">
        <w:t xml:space="preserve"> </w:t>
      </w:r>
      <w:r>
        <w:t>т</w:t>
      </w:r>
      <w:r w:rsidR="00EE6AA2">
        <w:t>е</w:t>
      </w:r>
      <w:r w:rsidR="00A56E08">
        <w:t>хнологијом</w:t>
      </w:r>
      <w:r w:rsidR="00B443A8" w:rsidRPr="00F6340E">
        <w:t>.</w:t>
      </w:r>
    </w:p>
    <w:p w14:paraId="1AE6F888" w14:textId="0B47F9E9" w:rsidR="00B11EB6" w:rsidRPr="00F6340E" w:rsidRDefault="00A56E08" w:rsidP="00210EE1">
      <w:pPr>
        <w:pStyle w:val="Body"/>
      </w:pPr>
      <w:r>
        <w:t>Бо</w:t>
      </w:r>
      <w:r w:rsidR="0071360A">
        <w:t>с</w:t>
      </w:r>
      <w:r>
        <w:t>на</w:t>
      </w:r>
      <w:r w:rsidR="0077619F" w:rsidRPr="00F6340E">
        <w:t xml:space="preserve"> </w:t>
      </w:r>
      <w:r>
        <w:t>и</w:t>
      </w:r>
      <w:r w:rsidR="0077619F" w:rsidRPr="00F6340E">
        <w:t xml:space="preserve"> </w:t>
      </w:r>
      <w:r>
        <w:t>Х</w:t>
      </w:r>
      <w:r w:rsidR="00EE6AA2">
        <w:t>е</w:t>
      </w:r>
      <w:r w:rsidR="0071360A">
        <w:t>р</w:t>
      </w:r>
      <w:r>
        <w:t>ц</w:t>
      </w:r>
      <w:r w:rsidR="00EE6AA2">
        <w:t>е</w:t>
      </w:r>
      <w:r>
        <w:t>го</w:t>
      </w:r>
      <w:r w:rsidR="0071360A">
        <w:t>в</w:t>
      </w:r>
      <w:r>
        <w:t>ина</w:t>
      </w:r>
      <w:r w:rsidR="00170F40" w:rsidRPr="00F6340E">
        <w:t xml:space="preserve"> </w:t>
      </w:r>
      <w:r>
        <w:t>ј</w:t>
      </w:r>
      <w:r w:rsidR="00EE6AA2">
        <w:t>е</w:t>
      </w:r>
      <w:r w:rsidR="00170F40" w:rsidRPr="00F6340E">
        <w:t xml:space="preserve"> 2021. </w:t>
      </w:r>
      <w:r>
        <w:t>годин</w:t>
      </w:r>
      <w:r w:rsidR="00EE6AA2">
        <w:t>е</w:t>
      </w:r>
      <w:r w:rsidR="00170F40" w:rsidRPr="00F6340E">
        <w:t xml:space="preserve"> </w:t>
      </w:r>
      <w:r>
        <w:t>обја</w:t>
      </w:r>
      <w:r w:rsidR="0071360A">
        <w:t>в</w:t>
      </w:r>
      <w:r>
        <w:t>ила</w:t>
      </w:r>
      <w:r w:rsidR="00170F40" w:rsidRPr="00F6340E">
        <w:t xml:space="preserve"> </w:t>
      </w:r>
      <w:r>
        <w:t>док</w:t>
      </w:r>
      <w:r w:rsidR="0071360A">
        <w:t>у</w:t>
      </w:r>
      <w:r>
        <w:t>м</w:t>
      </w:r>
      <w:r w:rsidR="00EE6AA2">
        <w:t>е</w:t>
      </w:r>
      <w:r>
        <w:t>н</w:t>
      </w:r>
      <w:r w:rsidR="0071360A">
        <w:t>т</w:t>
      </w:r>
      <w:r w:rsidR="00170F40" w:rsidRPr="00F6340E">
        <w:t xml:space="preserve"> </w:t>
      </w:r>
      <w:hyperlink r:id="rId16" w:history="1">
        <w:r>
          <w:rPr>
            <w:rStyle w:val="Hyperlink"/>
            <w:rFonts w:cs="Arial"/>
            <w:noProof w:val="0"/>
            <w:szCs w:val="24"/>
          </w:rPr>
          <w:t>О</w:t>
        </w:r>
        <w:r w:rsidR="0071360A">
          <w:rPr>
            <w:rStyle w:val="Hyperlink"/>
            <w:rFonts w:cs="Arial"/>
            <w:noProof w:val="0"/>
            <w:szCs w:val="24"/>
          </w:rPr>
          <w:t>с</w:t>
        </w:r>
        <w:r>
          <w:rPr>
            <w:rStyle w:val="Hyperlink"/>
            <w:rFonts w:cs="Arial"/>
            <w:noProof w:val="0"/>
            <w:szCs w:val="24"/>
          </w:rPr>
          <w:t>но</w:t>
        </w:r>
        <w:r w:rsidR="0071360A">
          <w:rPr>
            <w:rStyle w:val="Hyperlink"/>
            <w:rFonts w:cs="Arial"/>
            <w:noProof w:val="0"/>
            <w:szCs w:val="24"/>
          </w:rPr>
          <w:t>в</w:t>
        </w:r>
        <w:r>
          <w:rPr>
            <w:rStyle w:val="Hyperlink"/>
            <w:rFonts w:cs="Arial"/>
            <w:noProof w:val="0"/>
            <w:szCs w:val="24"/>
          </w:rPr>
          <w:t>ни</w:t>
        </w:r>
        <w:r w:rsidR="00170F40" w:rsidRPr="00F6340E">
          <w:rPr>
            <w:rStyle w:val="Hyperlink"/>
            <w:rFonts w:cs="Arial"/>
            <w:noProof w:val="0"/>
            <w:szCs w:val="24"/>
          </w:rPr>
          <w:t xml:space="preserve"> </w:t>
        </w:r>
        <w:r w:rsidR="0071360A">
          <w:rPr>
            <w:rStyle w:val="Hyperlink"/>
            <w:rFonts w:cs="Arial"/>
            <w:noProof w:val="0"/>
            <w:szCs w:val="24"/>
          </w:rPr>
          <w:t>т</w:t>
        </w:r>
        <w:r w:rsidR="00EE6AA2">
          <w:rPr>
            <w:rStyle w:val="Hyperlink"/>
            <w:rFonts w:cs="Arial"/>
            <w:noProof w:val="0"/>
            <w:szCs w:val="24"/>
          </w:rPr>
          <w:t>е</w:t>
        </w:r>
        <w:r>
          <w:rPr>
            <w:rStyle w:val="Hyperlink"/>
            <w:rFonts w:cs="Arial"/>
            <w:noProof w:val="0"/>
            <w:szCs w:val="24"/>
          </w:rPr>
          <w:t>хнички</w:t>
        </w:r>
        <w:r w:rsidR="00B91744" w:rsidRPr="00F6340E">
          <w:rPr>
            <w:rStyle w:val="Hyperlink"/>
            <w:rFonts w:cs="Arial"/>
            <w:noProof w:val="0"/>
            <w:szCs w:val="24"/>
          </w:rPr>
          <w:t xml:space="preserve"> </w:t>
        </w:r>
        <w:r w:rsidR="0071360A">
          <w:rPr>
            <w:rStyle w:val="Hyperlink"/>
            <w:rFonts w:cs="Arial"/>
            <w:noProof w:val="0"/>
            <w:szCs w:val="24"/>
          </w:rPr>
          <w:t>ст</w:t>
        </w:r>
        <w:r>
          <w:rPr>
            <w:rStyle w:val="Hyperlink"/>
            <w:rFonts w:cs="Arial"/>
            <w:noProof w:val="0"/>
            <w:szCs w:val="24"/>
          </w:rPr>
          <w:t>анда</w:t>
        </w:r>
        <w:r w:rsidR="0071360A">
          <w:rPr>
            <w:rStyle w:val="Hyperlink"/>
            <w:rFonts w:cs="Arial"/>
            <w:noProof w:val="0"/>
            <w:szCs w:val="24"/>
          </w:rPr>
          <w:t>р</w:t>
        </w:r>
        <w:r>
          <w:rPr>
            <w:rStyle w:val="Hyperlink"/>
            <w:rFonts w:cs="Arial"/>
            <w:noProof w:val="0"/>
            <w:szCs w:val="24"/>
          </w:rPr>
          <w:t>ди</w:t>
        </w:r>
        <w:r w:rsidR="00C04EC1" w:rsidRPr="00F6340E">
          <w:rPr>
            <w:rStyle w:val="Hyperlink"/>
            <w:rFonts w:cs="Arial"/>
            <w:noProof w:val="0"/>
            <w:szCs w:val="24"/>
          </w:rPr>
          <w:t xml:space="preserve"> </w:t>
        </w:r>
        <w:r w:rsidR="00171F00">
          <w:rPr>
            <w:rStyle w:val="Hyperlink"/>
            <w:rFonts w:cs="Arial"/>
            <w:noProof w:val="0"/>
            <w:szCs w:val="24"/>
          </w:rPr>
          <w:t>з</w:t>
        </w:r>
        <w:r>
          <w:rPr>
            <w:rStyle w:val="Hyperlink"/>
            <w:rFonts w:cs="Arial"/>
            <w:noProof w:val="0"/>
            <w:szCs w:val="24"/>
          </w:rPr>
          <w:t>а</w:t>
        </w:r>
        <w:r w:rsidR="00170F40" w:rsidRPr="00F6340E">
          <w:rPr>
            <w:rStyle w:val="Hyperlink"/>
            <w:rFonts w:cs="Arial"/>
            <w:noProof w:val="0"/>
            <w:szCs w:val="24"/>
          </w:rPr>
          <w:t xml:space="preserve"> </w:t>
        </w:r>
        <w:r>
          <w:rPr>
            <w:rStyle w:val="Hyperlink"/>
            <w:rFonts w:cs="Arial"/>
            <w:noProof w:val="0"/>
            <w:szCs w:val="24"/>
          </w:rPr>
          <w:t>ала</w:t>
        </w:r>
        <w:r w:rsidR="0071360A">
          <w:rPr>
            <w:rStyle w:val="Hyperlink"/>
            <w:rFonts w:cs="Arial"/>
            <w:noProof w:val="0"/>
            <w:szCs w:val="24"/>
          </w:rPr>
          <w:t>т</w:t>
        </w:r>
        <w:r w:rsidR="00EE6AA2">
          <w:rPr>
            <w:rStyle w:val="Hyperlink"/>
            <w:rFonts w:cs="Arial"/>
            <w:noProof w:val="0"/>
            <w:szCs w:val="24"/>
          </w:rPr>
          <w:t>е</w:t>
        </w:r>
        <w:r w:rsidR="00170F40" w:rsidRPr="00F6340E">
          <w:rPr>
            <w:rStyle w:val="Hyperlink"/>
            <w:rFonts w:cs="Arial"/>
            <w:noProof w:val="0"/>
            <w:szCs w:val="24"/>
          </w:rPr>
          <w:t xml:space="preserve"> </w:t>
        </w:r>
        <w:r>
          <w:rPr>
            <w:rStyle w:val="Hyperlink"/>
            <w:rFonts w:cs="Arial"/>
            <w:noProof w:val="0"/>
            <w:szCs w:val="24"/>
          </w:rPr>
          <w:t>инфо</w:t>
        </w:r>
        <w:r w:rsidR="0071360A">
          <w:rPr>
            <w:rStyle w:val="Hyperlink"/>
            <w:rFonts w:cs="Arial"/>
            <w:noProof w:val="0"/>
            <w:szCs w:val="24"/>
          </w:rPr>
          <w:t>р</w:t>
        </w:r>
        <w:r>
          <w:rPr>
            <w:rStyle w:val="Hyperlink"/>
            <w:rFonts w:cs="Arial"/>
            <w:noProof w:val="0"/>
            <w:szCs w:val="24"/>
          </w:rPr>
          <w:t>ма</w:t>
        </w:r>
        <w:r w:rsidR="0071360A">
          <w:rPr>
            <w:rStyle w:val="Hyperlink"/>
            <w:rFonts w:cs="Arial"/>
            <w:noProof w:val="0"/>
            <w:szCs w:val="24"/>
          </w:rPr>
          <w:t>т</w:t>
        </w:r>
        <w:r>
          <w:rPr>
            <w:rStyle w:val="Hyperlink"/>
            <w:rFonts w:cs="Arial"/>
            <w:noProof w:val="0"/>
            <w:szCs w:val="24"/>
          </w:rPr>
          <w:t>ичких</w:t>
        </w:r>
        <w:r w:rsidR="00E864CA" w:rsidRPr="00F6340E">
          <w:rPr>
            <w:rStyle w:val="Hyperlink"/>
            <w:rFonts w:cs="Arial"/>
            <w:noProof w:val="0"/>
            <w:szCs w:val="24"/>
          </w:rPr>
          <w:t>-</w:t>
        </w:r>
        <w:r>
          <w:rPr>
            <w:rStyle w:val="Hyperlink"/>
            <w:rFonts w:cs="Arial"/>
            <w:noProof w:val="0"/>
            <w:szCs w:val="24"/>
          </w:rPr>
          <w:lastRenderedPageBreak/>
          <w:t>ком</w:t>
        </w:r>
        <w:r w:rsidR="0071360A">
          <w:rPr>
            <w:rStyle w:val="Hyperlink"/>
            <w:rFonts w:cs="Arial"/>
            <w:noProof w:val="0"/>
            <w:szCs w:val="24"/>
          </w:rPr>
          <w:t>у</w:t>
        </w:r>
        <w:r>
          <w:rPr>
            <w:rStyle w:val="Hyperlink"/>
            <w:rFonts w:cs="Arial"/>
            <w:noProof w:val="0"/>
            <w:szCs w:val="24"/>
          </w:rPr>
          <w:t>никационих</w:t>
        </w:r>
        <w:r w:rsidR="00170F40" w:rsidRPr="00F6340E">
          <w:rPr>
            <w:rStyle w:val="Hyperlink"/>
            <w:rFonts w:cs="Arial"/>
            <w:noProof w:val="0"/>
            <w:szCs w:val="24"/>
          </w:rPr>
          <w:t xml:space="preserve"> </w:t>
        </w:r>
        <w:r w:rsidR="0071360A">
          <w:rPr>
            <w:rStyle w:val="Hyperlink"/>
            <w:rFonts w:cs="Arial"/>
            <w:noProof w:val="0"/>
            <w:szCs w:val="24"/>
          </w:rPr>
          <w:t>т</w:t>
        </w:r>
        <w:r w:rsidR="00EE6AA2">
          <w:rPr>
            <w:rStyle w:val="Hyperlink"/>
            <w:rFonts w:cs="Arial"/>
            <w:noProof w:val="0"/>
            <w:szCs w:val="24"/>
          </w:rPr>
          <w:t>е</w:t>
        </w:r>
        <w:r>
          <w:rPr>
            <w:rStyle w:val="Hyperlink"/>
            <w:rFonts w:cs="Arial"/>
            <w:noProof w:val="0"/>
            <w:szCs w:val="24"/>
          </w:rPr>
          <w:t>хнологија</w:t>
        </w:r>
        <w:r w:rsidR="00170F40" w:rsidRPr="00F6340E">
          <w:rPr>
            <w:rStyle w:val="Hyperlink"/>
            <w:rFonts w:cs="Arial"/>
            <w:noProof w:val="0"/>
            <w:szCs w:val="24"/>
          </w:rPr>
          <w:t xml:space="preserve"> </w:t>
        </w:r>
        <w:r w:rsidR="0071360A">
          <w:rPr>
            <w:rStyle w:val="Hyperlink"/>
            <w:rFonts w:cs="Arial"/>
            <w:noProof w:val="0"/>
            <w:szCs w:val="24"/>
          </w:rPr>
          <w:t>у</w:t>
        </w:r>
        <w:r w:rsidR="00170F40" w:rsidRPr="00F6340E">
          <w:rPr>
            <w:rStyle w:val="Hyperlink"/>
            <w:rFonts w:cs="Arial"/>
            <w:noProof w:val="0"/>
            <w:szCs w:val="24"/>
          </w:rPr>
          <w:t xml:space="preserve"> </w:t>
        </w:r>
        <w:r>
          <w:rPr>
            <w:rStyle w:val="Hyperlink"/>
            <w:rFonts w:cs="Arial"/>
            <w:noProof w:val="0"/>
            <w:szCs w:val="24"/>
          </w:rPr>
          <w:t>об</w:t>
        </w:r>
        <w:r w:rsidR="0071360A">
          <w:rPr>
            <w:rStyle w:val="Hyperlink"/>
            <w:rFonts w:cs="Arial"/>
            <w:noProof w:val="0"/>
            <w:szCs w:val="24"/>
          </w:rPr>
          <w:t>р</w:t>
        </w:r>
        <w:r>
          <w:rPr>
            <w:rStyle w:val="Hyperlink"/>
            <w:rFonts w:cs="Arial"/>
            <w:noProof w:val="0"/>
            <w:szCs w:val="24"/>
          </w:rPr>
          <w:t>а</w:t>
        </w:r>
        <w:r w:rsidR="00171F00">
          <w:rPr>
            <w:rStyle w:val="Hyperlink"/>
            <w:rFonts w:cs="Arial"/>
            <w:noProof w:val="0"/>
            <w:szCs w:val="24"/>
          </w:rPr>
          <w:t>з</w:t>
        </w:r>
        <w:r>
          <w:rPr>
            <w:rStyle w:val="Hyperlink"/>
            <w:rFonts w:cs="Arial"/>
            <w:noProof w:val="0"/>
            <w:szCs w:val="24"/>
          </w:rPr>
          <w:t>о</w:t>
        </w:r>
        <w:r w:rsidR="0071360A">
          <w:rPr>
            <w:rStyle w:val="Hyperlink"/>
            <w:rFonts w:cs="Arial"/>
            <w:noProof w:val="0"/>
            <w:szCs w:val="24"/>
          </w:rPr>
          <w:t>в</w:t>
        </w:r>
        <w:r>
          <w:rPr>
            <w:rStyle w:val="Hyperlink"/>
            <w:rFonts w:cs="Arial"/>
            <w:noProof w:val="0"/>
            <w:szCs w:val="24"/>
          </w:rPr>
          <w:t>ним</w:t>
        </w:r>
        <w:r w:rsidR="00170F40" w:rsidRPr="00F6340E">
          <w:rPr>
            <w:rStyle w:val="Hyperlink"/>
            <w:rFonts w:cs="Arial"/>
            <w:noProof w:val="0"/>
            <w:szCs w:val="24"/>
          </w:rPr>
          <w:t xml:space="preserve"> </w:t>
        </w:r>
        <w:r w:rsidR="0071360A">
          <w:rPr>
            <w:rStyle w:val="Hyperlink"/>
            <w:rFonts w:cs="Arial"/>
            <w:noProof w:val="0"/>
            <w:szCs w:val="24"/>
          </w:rPr>
          <w:t>с</w:t>
        </w:r>
        <w:r>
          <w:rPr>
            <w:rStyle w:val="Hyperlink"/>
            <w:rFonts w:cs="Arial"/>
            <w:noProof w:val="0"/>
            <w:szCs w:val="24"/>
          </w:rPr>
          <w:t>и</w:t>
        </w:r>
        <w:r w:rsidR="0071360A">
          <w:rPr>
            <w:rStyle w:val="Hyperlink"/>
            <w:rFonts w:cs="Arial"/>
            <w:noProof w:val="0"/>
            <w:szCs w:val="24"/>
          </w:rPr>
          <w:t>ст</w:t>
        </w:r>
        <w:r w:rsidR="00EE6AA2">
          <w:rPr>
            <w:rStyle w:val="Hyperlink"/>
            <w:rFonts w:cs="Arial"/>
            <w:noProof w:val="0"/>
            <w:szCs w:val="24"/>
          </w:rPr>
          <w:t>е</w:t>
        </w:r>
        <w:r>
          <w:rPr>
            <w:rStyle w:val="Hyperlink"/>
            <w:rFonts w:cs="Arial"/>
            <w:noProof w:val="0"/>
            <w:szCs w:val="24"/>
          </w:rPr>
          <w:t>мима</w:t>
        </w:r>
        <w:r w:rsidR="00170F40" w:rsidRPr="00F6340E">
          <w:rPr>
            <w:rStyle w:val="Hyperlink"/>
            <w:rFonts w:cs="Arial"/>
            <w:noProof w:val="0"/>
            <w:szCs w:val="24"/>
          </w:rPr>
          <w:t xml:space="preserve"> </w:t>
        </w:r>
        <w:r w:rsidR="0071360A">
          <w:rPr>
            <w:rStyle w:val="Hyperlink"/>
            <w:rFonts w:cs="Arial"/>
            <w:noProof w:val="0"/>
            <w:szCs w:val="24"/>
          </w:rPr>
          <w:t>у</w:t>
        </w:r>
        <w:r w:rsidR="00170F40" w:rsidRPr="00F6340E">
          <w:rPr>
            <w:rStyle w:val="Hyperlink"/>
            <w:rFonts w:cs="Arial"/>
            <w:noProof w:val="0"/>
            <w:szCs w:val="24"/>
          </w:rPr>
          <w:t xml:space="preserve"> </w:t>
        </w:r>
        <w:r>
          <w:rPr>
            <w:rStyle w:val="Hyperlink"/>
            <w:rFonts w:cs="Arial"/>
            <w:noProof w:val="0"/>
            <w:szCs w:val="24"/>
          </w:rPr>
          <w:t>Бо</w:t>
        </w:r>
        <w:r w:rsidR="0071360A">
          <w:rPr>
            <w:rStyle w:val="Hyperlink"/>
            <w:rFonts w:cs="Arial"/>
            <w:noProof w:val="0"/>
            <w:szCs w:val="24"/>
          </w:rPr>
          <w:t>с</w:t>
        </w:r>
        <w:r>
          <w:rPr>
            <w:rStyle w:val="Hyperlink"/>
            <w:rFonts w:cs="Arial"/>
            <w:noProof w:val="0"/>
            <w:szCs w:val="24"/>
          </w:rPr>
          <w:t>ни</w:t>
        </w:r>
        <w:r w:rsidR="00170F40" w:rsidRPr="00F6340E">
          <w:rPr>
            <w:rStyle w:val="Hyperlink"/>
            <w:rFonts w:cs="Arial"/>
            <w:noProof w:val="0"/>
            <w:szCs w:val="24"/>
          </w:rPr>
          <w:t xml:space="preserve"> </w:t>
        </w:r>
        <w:r>
          <w:rPr>
            <w:rStyle w:val="Hyperlink"/>
            <w:rFonts w:cs="Arial"/>
            <w:noProof w:val="0"/>
            <w:szCs w:val="24"/>
          </w:rPr>
          <w:t>и</w:t>
        </w:r>
        <w:r w:rsidR="00170F40" w:rsidRPr="00F6340E">
          <w:rPr>
            <w:rStyle w:val="Hyperlink"/>
            <w:rFonts w:cs="Arial"/>
            <w:noProof w:val="0"/>
            <w:szCs w:val="24"/>
          </w:rPr>
          <w:t xml:space="preserve"> </w:t>
        </w:r>
        <w:r>
          <w:rPr>
            <w:rStyle w:val="Hyperlink"/>
            <w:rFonts w:cs="Arial"/>
            <w:noProof w:val="0"/>
            <w:szCs w:val="24"/>
          </w:rPr>
          <w:t>Х</w:t>
        </w:r>
        <w:r w:rsidR="00EE6AA2">
          <w:rPr>
            <w:rStyle w:val="Hyperlink"/>
            <w:rFonts w:cs="Arial"/>
            <w:noProof w:val="0"/>
            <w:szCs w:val="24"/>
          </w:rPr>
          <w:t>е</w:t>
        </w:r>
        <w:r w:rsidR="0071360A">
          <w:rPr>
            <w:rStyle w:val="Hyperlink"/>
            <w:rFonts w:cs="Arial"/>
            <w:noProof w:val="0"/>
            <w:szCs w:val="24"/>
          </w:rPr>
          <w:t>р</w:t>
        </w:r>
        <w:r>
          <w:rPr>
            <w:rStyle w:val="Hyperlink"/>
            <w:rFonts w:cs="Arial"/>
            <w:noProof w:val="0"/>
            <w:szCs w:val="24"/>
          </w:rPr>
          <w:t>ц</w:t>
        </w:r>
        <w:r w:rsidR="00EE6AA2">
          <w:rPr>
            <w:rStyle w:val="Hyperlink"/>
            <w:rFonts w:cs="Arial"/>
            <w:noProof w:val="0"/>
            <w:szCs w:val="24"/>
          </w:rPr>
          <w:t>е</w:t>
        </w:r>
        <w:r>
          <w:rPr>
            <w:rStyle w:val="Hyperlink"/>
            <w:rFonts w:cs="Arial"/>
            <w:noProof w:val="0"/>
            <w:szCs w:val="24"/>
          </w:rPr>
          <w:t>го</w:t>
        </w:r>
        <w:r w:rsidR="0071360A">
          <w:rPr>
            <w:rStyle w:val="Hyperlink"/>
            <w:rFonts w:cs="Arial"/>
            <w:noProof w:val="0"/>
            <w:szCs w:val="24"/>
          </w:rPr>
          <w:t>в</w:t>
        </w:r>
        <w:r>
          <w:rPr>
            <w:rStyle w:val="Hyperlink"/>
            <w:rFonts w:cs="Arial"/>
            <w:noProof w:val="0"/>
            <w:szCs w:val="24"/>
          </w:rPr>
          <w:t>ини</w:t>
        </w:r>
      </w:hyperlink>
      <w:r w:rsidR="00170F40" w:rsidRPr="00F6340E">
        <w:t xml:space="preserve">, </w:t>
      </w:r>
      <w:r>
        <w:t>којим</w:t>
      </w:r>
      <w:r w:rsidR="00170F40" w:rsidRPr="00F6340E">
        <w:t xml:space="preserve"> </w:t>
      </w:r>
      <w:r w:rsidR="0071360A">
        <w:rPr>
          <w:rStyle w:val="CommentReference"/>
          <w:rFonts w:cs="Arial"/>
          <w:noProof w:val="0"/>
          <w:sz w:val="24"/>
          <w:szCs w:val="24"/>
        </w:rPr>
        <w:t>су</w:t>
      </w:r>
      <w:r w:rsidR="00170F40" w:rsidRPr="00F6340E">
        <w:rPr>
          <w:rStyle w:val="CommentReference"/>
          <w:rFonts w:cs="Arial"/>
          <w:noProof w:val="0"/>
          <w:sz w:val="24"/>
          <w:szCs w:val="24"/>
        </w:rPr>
        <w:t xml:space="preserve"> </w:t>
      </w:r>
      <w:r w:rsidR="0071360A">
        <w:rPr>
          <w:rStyle w:val="CommentReference"/>
          <w:rFonts w:cs="Arial"/>
          <w:noProof w:val="0"/>
          <w:sz w:val="24"/>
          <w:szCs w:val="24"/>
        </w:rPr>
        <w:t>у</w:t>
      </w:r>
      <w:r w:rsidR="0071360A">
        <w:t>твр</w:t>
      </w:r>
      <w:r>
        <w:t>ђ</w:t>
      </w:r>
      <w:r w:rsidR="00EE6AA2">
        <w:t>е</w:t>
      </w:r>
      <w:r>
        <w:t>н</w:t>
      </w:r>
      <w:r w:rsidR="00EE6AA2">
        <w:t>е</w:t>
      </w:r>
      <w:r w:rsidR="00170F40" w:rsidRPr="00F6340E">
        <w:t xml:space="preserve"> </w:t>
      </w:r>
      <w:r>
        <w:t>и</w:t>
      </w:r>
      <w:r w:rsidR="0071360A">
        <w:t>с</w:t>
      </w:r>
      <w:r>
        <w:t>кљ</w:t>
      </w:r>
      <w:r w:rsidR="0071360A">
        <w:t>у</w:t>
      </w:r>
      <w:r>
        <w:t>чи</w:t>
      </w:r>
      <w:r w:rsidR="0071360A">
        <w:t>в</w:t>
      </w:r>
      <w:r>
        <w:t>о</w:t>
      </w:r>
      <w:r w:rsidR="00170F40" w:rsidRPr="00F6340E">
        <w:t xml:space="preserve"> </w:t>
      </w:r>
      <w:r>
        <w:t>минимални</w:t>
      </w:r>
      <w:r w:rsidR="00C04EC1" w:rsidRPr="00F6340E">
        <w:t xml:space="preserve"> </w:t>
      </w:r>
      <w:r w:rsidR="0071360A">
        <w:t>ст</w:t>
      </w:r>
      <w:r>
        <w:t>анда</w:t>
      </w:r>
      <w:r w:rsidR="0071360A">
        <w:t>р</w:t>
      </w:r>
      <w:r>
        <w:t>ди</w:t>
      </w:r>
      <w:r w:rsidR="00170F40" w:rsidRPr="00F6340E">
        <w:t xml:space="preserve">, </w:t>
      </w:r>
      <w:r>
        <w:t>а</w:t>
      </w:r>
      <w:r w:rsidR="00170F40" w:rsidRPr="00F6340E">
        <w:t xml:space="preserve"> </w:t>
      </w:r>
      <w:r>
        <w:t>и</w:t>
      </w:r>
      <w:r w:rsidR="0071360A">
        <w:t>ст</w:t>
      </w:r>
      <w:r>
        <w:t>и</w:t>
      </w:r>
      <w:r w:rsidR="00170F40" w:rsidRPr="00F6340E">
        <w:t xml:space="preserve"> </w:t>
      </w:r>
      <w:r w:rsidR="0071360A">
        <w:t>с</w:t>
      </w:r>
      <w:r w:rsidR="00EE6AA2">
        <w:t>е</w:t>
      </w:r>
      <w:r w:rsidR="00170F40" w:rsidRPr="00F6340E">
        <w:t xml:space="preserve"> </w:t>
      </w:r>
      <w:r w:rsidR="0071360A">
        <w:t>пр</w:t>
      </w:r>
      <w:r w:rsidR="00EE6AA2">
        <w:t>е</w:t>
      </w:r>
      <w:r w:rsidR="0071360A">
        <w:t>п</w:t>
      </w:r>
      <w:r>
        <w:t>о</w:t>
      </w:r>
      <w:r w:rsidR="0071360A">
        <w:t>ру</w:t>
      </w:r>
      <w:r>
        <w:t>ч</w:t>
      </w:r>
      <w:r w:rsidR="0071360A">
        <w:t>у</w:t>
      </w:r>
      <w:r>
        <w:t>ј</w:t>
      </w:r>
      <w:r w:rsidR="00EE6AA2">
        <w:t>е</w:t>
      </w:r>
      <w:r w:rsidR="00B91744" w:rsidRPr="00F6340E">
        <w:t xml:space="preserve"> </w:t>
      </w:r>
      <w:r w:rsidR="00171F00">
        <w:t>з</w:t>
      </w:r>
      <w:r>
        <w:t>а</w:t>
      </w:r>
      <w:r w:rsidR="00170F40" w:rsidRPr="00F6340E">
        <w:t xml:space="preserve"> </w:t>
      </w:r>
      <w:r w:rsidR="0071360A">
        <w:t>св</w:t>
      </w:r>
      <w:r w:rsidR="00EE6AA2">
        <w:t>е</w:t>
      </w:r>
      <w:r w:rsidR="00170F40" w:rsidRPr="00F6340E">
        <w:t xml:space="preserve"> </w:t>
      </w:r>
      <w:r>
        <w:t>об</w:t>
      </w:r>
      <w:r w:rsidR="0071360A">
        <w:t>р</w:t>
      </w:r>
      <w:r>
        <w:t>а</w:t>
      </w:r>
      <w:r w:rsidR="00171F00">
        <w:t>з</w:t>
      </w:r>
      <w:r>
        <w:t>о</w:t>
      </w:r>
      <w:r w:rsidR="0071360A">
        <w:t>в</w:t>
      </w:r>
      <w:r>
        <w:t>н</w:t>
      </w:r>
      <w:r w:rsidR="00EE6AA2">
        <w:t>е</w:t>
      </w:r>
      <w:r w:rsidR="00170F40" w:rsidRPr="00F6340E">
        <w:t xml:space="preserve"> </w:t>
      </w:r>
      <w:r>
        <w:t>ин</w:t>
      </w:r>
      <w:r w:rsidR="0071360A">
        <w:t>ст</w:t>
      </w:r>
      <w:r>
        <w:t>и</w:t>
      </w:r>
      <w:r w:rsidR="0071360A">
        <w:t>ту</w:t>
      </w:r>
      <w:r>
        <w:t>циј</w:t>
      </w:r>
      <w:r w:rsidR="00EE6AA2">
        <w:t>е</w:t>
      </w:r>
      <w:r w:rsidR="00170F40" w:rsidRPr="00F6340E">
        <w:t xml:space="preserve"> </w:t>
      </w:r>
      <w:r>
        <w:t>и</w:t>
      </w:r>
      <w:r w:rsidR="00170F40" w:rsidRPr="00F6340E">
        <w:t xml:space="preserve"> </w:t>
      </w:r>
      <w:r>
        <w:t>надл</w:t>
      </w:r>
      <w:r w:rsidR="00EE6AA2">
        <w:t>е</w:t>
      </w:r>
      <w:r w:rsidR="00171F00">
        <w:t>ж</w:t>
      </w:r>
      <w:r>
        <w:t>на</w:t>
      </w:r>
      <w:r w:rsidR="00170F40" w:rsidRPr="00F6340E">
        <w:t xml:space="preserve"> </w:t>
      </w:r>
      <w:r>
        <w:t>мини</w:t>
      </w:r>
      <w:r w:rsidR="0071360A">
        <w:t>ст</w:t>
      </w:r>
      <w:r>
        <w:t>а</w:t>
      </w:r>
      <w:r w:rsidR="0071360A">
        <w:t>рств</w:t>
      </w:r>
      <w:r>
        <w:t>а</w:t>
      </w:r>
      <w:r w:rsidR="00170F40" w:rsidRPr="00F6340E">
        <w:t xml:space="preserve"> </w:t>
      </w:r>
      <w:r>
        <w:t>об</w:t>
      </w:r>
      <w:r w:rsidR="0071360A">
        <w:t>р</w:t>
      </w:r>
      <w:r>
        <w:t>а</w:t>
      </w:r>
      <w:r w:rsidR="00171F00">
        <w:t>з</w:t>
      </w:r>
      <w:r>
        <w:t>о</w:t>
      </w:r>
      <w:r w:rsidR="0071360A">
        <w:t>в</w:t>
      </w:r>
      <w:r>
        <w:t>ања</w:t>
      </w:r>
      <w:r w:rsidR="00170F40" w:rsidRPr="00F6340E">
        <w:t xml:space="preserve">. </w:t>
      </w:r>
      <w:r>
        <w:t>Минимални</w:t>
      </w:r>
      <w:r w:rsidR="00C04EC1" w:rsidRPr="00F6340E">
        <w:t xml:space="preserve"> </w:t>
      </w:r>
      <w:r w:rsidR="0071360A">
        <w:t>ст</w:t>
      </w:r>
      <w:r>
        <w:t>анда</w:t>
      </w:r>
      <w:r w:rsidR="0071360A">
        <w:t>р</w:t>
      </w:r>
      <w:r>
        <w:t>ди</w:t>
      </w:r>
      <w:r w:rsidR="00170F40" w:rsidRPr="00F6340E">
        <w:t xml:space="preserve"> </w:t>
      </w:r>
      <w:r>
        <w:t>имај</w:t>
      </w:r>
      <w:r w:rsidR="0071360A">
        <w:t>у</w:t>
      </w:r>
      <w:r w:rsidR="00170F40" w:rsidRPr="00F6340E">
        <w:t xml:space="preserve"> </w:t>
      </w:r>
      <w:r w:rsidR="00171F00">
        <w:t>з</w:t>
      </w:r>
      <w:r>
        <w:t>а</w:t>
      </w:r>
      <w:r w:rsidR="00170F40" w:rsidRPr="00F6340E">
        <w:t xml:space="preserve"> </w:t>
      </w:r>
      <w:r>
        <w:t>циљ</w:t>
      </w:r>
      <w:r w:rsidR="00170F40" w:rsidRPr="00F6340E">
        <w:t xml:space="preserve"> </w:t>
      </w:r>
      <w:r>
        <w:t>од</w:t>
      </w:r>
      <w:r w:rsidR="0071360A">
        <w:t>р</w:t>
      </w:r>
      <w:r w:rsidR="00EE6AA2">
        <w:t>е</w:t>
      </w:r>
      <w:r>
        <w:t>ди</w:t>
      </w:r>
      <w:r w:rsidR="0071360A">
        <w:t>т</w:t>
      </w:r>
      <w:r>
        <w:t>и</w:t>
      </w:r>
      <w:r w:rsidR="00170F40" w:rsidRPr="00F6340E">
        <w:t xml:space="preserve"> </w:t>
      </w:r>
      <w:r>
        <w:t>доњ</w:t>
      </w:r>
      <w:r w:rsidR="0071360A">
        <w:t>у</w:t>
      </w:r>
      <w:r w:rsidR="00170F40" w:rsidRPr="00F6340E">
        <w:t xml:space="preserve"> </w:t>
      </w:r>
      <w:r>
        <w:t>г</w:t>
      </w:r>
      <w:r w:rsidR="0071360A">
        <w:t>р</w:t>
      </w:r>
      <w:r>
        <w:t>аниц</w:t>
      </w:r>
      <w:r w:rsidR="0071360A">
        <w:t>у</w:t>
      </w:r>
      <w:r w:rsidR="00170F40" w:rsidRPr="00F6340E">
        <w:t xml:space="preserve"> </w:t>
      </w:r>
      <w:r w:rsidR="0071360A">
        <w:t>пр</w:t>
      </w:r>
      <w:r>
        <w:t>их</w:t>
      </w:r>
      <w:r w:rsidR="0071360A">
        <w:t>в</w:t>
      </w:r>
      <w:r>
        <w:t>а</w:t>
      </w:r>
      <w:r w:rsidR="0071360A">
        <w:t>т</w:t>
      </w:r>
      <w:r>
        <w:t>љи</w:t>
      </w:r>
      <w:r w:rsidR="0071360A">
        <w:t>в</w:t>
      </w:r>
      <w:r w:rsidR="00EE6AA2">
        <w:t>е</w:t>
      </w:r>
      <w:r w:rsidR="00170F40" w:rsidRPr="00F6340E">
        <w:t xml:space="preserve"> </w:t>
      </w:r>
      <w:r>
        <w:t>о</w:t>
      </w:r>
      <w:r w:rsidR="0071360A">
        <w:t>пр</w:t>
      </w:r>
      <w:r w:rsidR="00EE6AA2">
        <w:t>е</w:t>
      </w:r>
      <w:r>
        <w:t>м</w:t>
      </w:r>
      <w:r w:rsidR="00EE6AA2">
        <w:t>е</w:t>
      </w:r>
      <w:r w:rsidR="00B91744" w:rsidRPr="00F6340E">
        <w:t xml:space="preserve"> </w:t>
      </w:r>
      <w:r w:rsidR="00171F00">
        <w:t>з</w:t>
      </w:r>
      <w:r>
        <w:t>а</w:t>
      </w:r>
      <w:r w:rsidR="00B91744" w:rsidRPr="00F6340E">
        <w:t xml:space="preserve"> </w:t>
      </w:r>
      <w:r>
        <w:t>ИК</w:t>
      </w:r>
      <w:r w:rsidR="0071360A">
        <w:t>Т</w:t>
      </w:r>
      <w:r w:rsidR="00170F40" w:rsidRPr="00F6340E">
        <w:t xml:space="preserve">, </w:t>
      </w:r>
      <w:r w:rsidR="0071360A">
        <w:t>п</w:t>
      </w:r>
      <w:r>
        <w:t>о</w:t>
      </w:r>
      <w:r w:rsidR="00170F40" w:rsidRPr="00F6340E">
        <w:t xml:space="preserve"> </w:t>
      </w:r>
      <w:r>
        <w:t>ка</w:t>
      </w:r>
      <w:r w:rsidR="0071360A">
        <w:t>т</w:t>
      </w:r>
      <w:r w:rsidR="00EE6AA2">
        <w:t>е</w:t>
      </w:r>
      <w:r>
        <w:t>го</w:t>
      </w:r>
      <w:r w:rsidR="0071360A">
        <w:t>р</w:t>
      </w:r>
      <w:r>
        <w:t>ијама</w:t>
      </w:r>
      <w:r w:rsidR="00170F40" w:rsidRPr="00F6340E">
        <w:t xml:space="preserve">, </w:t>
      </w:r>
      <w:r>
        <w:t>која</w:t>
      </w:r>
      <w:r w:rsidR="00170F40" w:rsidRPr="00F6340E">
        <w:t xml:space="preserve"> </w:t>
      </w:r>
      <w:r>
        <w:t>ћ</w:t>
      </w:r>
      <w:r w:rsidR="00EE6AA2">
        <w:t>е</w:t>
      </w:r>
      <w:r w:rsidR="00170F40" w:rsidRPr="00F6340E">
        <w:t xml:space="preserve"> </w:t>
      </w:r>
      <w:r>
        <w:t>омог</w:t>
      </w:r>
      <w:r w:rsidR="0071360A">
        <w:t>у</w:t>
      </w:r>
      <w:r>
        <w:t>ћи</w:t>
      </w:r>
      <w:r w:rsidR="0071360A">
        <w:t>т</w:t>
      </w:r>
      <w:r>
        <w:t>и</w:t>
      </w:r>
      <w:r w:rsidR="00170F40" w:rsidRPr="00F6340E">
        <w:t xml:space="preserve"> </w:t>
      </w:r>
      <w:r>
        <w:t>н</w:t>
      </w:r>
      <w:r w:rsidR="00EE6AA2">
        <w:t>е</w:t>
      </w:r>
      <w:r w:rsidR="0071360A">
        <w:t>с</w:t>
      </w:r>
      <w:r>
        <w:t>м</w:t>
      </w:r>
      <w:r w:rsidR="00EE6AA2">
        <w:t>е</w:t>
      </w:r>
      <w:r w:rsidR="0071360A">
        <w:t>т</w:t>
      </w:r>
      <w:r>
        <w:t>ан</w:t>
      </w:r>
      <w:r w:rsidR="0071360A">
        <w:t>у</w:t>
      </w:r>
      <w:r w:rsidR="00170F40" w:rsidRPr="00F6340E">
        <w:t xml:space="preserve"> </w:t>
      </w:r>
      <w:r w:rsidR="0071360A">
        <w:t>уп</w:t>
      </w:r>
      <w:r>
        <w:t>о</w:t>
      </w:r>
      <w:r w:rsidR="0071360A">
        <w:t>тр</w:t>
      </w:r>
      <w:r w:rsidR="00EE6AA2">
        <w:t>е</w:t>
      </w:r>
      <w:r>
        <w:t>б</w:t>
      </w:r>
      <w:r w:rsidR="0071360A">
        <w:t>у</w:t>
      </w:r>
      <w:r w:rsidR="00170F40" w:rsidRPr="00F6340E">
        <w:t xml:space="preserve"> </w:t>
      </w:r>
      <w:r>
        <w:t>и</w:t>
      </w:r>
      <w:r w:rsidR="00170F40" w:rsidRPr="00F6340E">
        <w:t xml:space="preserve"> </w:t>
      </w:r>
      <w:r>
        <w:t>моћи</w:t>
      </w:r>
      <w:r w:rsidR="00170F40" w:rsidRPr="00F6340E">
        <w:t xml:space="preserve"> </w:t>
      </w:r>
      <w:r>
        <w:t>и</w:t>
      </w:r>
      <w:r w:rsidR="0071360A">
        <w:t>спу</w:t>
      </w:r>
      <w:r>
        <w:t>ни</w:t>
      </w:r>
      <w:r w:rsidR="0071360A">
        <w:t>т</w:t>
      </w:r>
      <w:r>
        <w:t>и</w:t>
      </w:r>
      <w:r w:rsidR="00170F40" w:rsidRPr="00F6340E">
        <w:t xml:space="preserve"> </w:t>
      </w:r>
      <w:r w:rsidR="00171F00">
        <w:t>з</w:t>
      </w:r>
      <w:r>
        <w:t>ах</w:t>
      </w:r>
      <w:r w:rsidR="0071360A">
        <w:t>т</w:t>
      </w:r>
      <w:r>
        <w:t>ј</w:t>
      </w:r>
      <w:r w:rsidR="00EE6AA2">
        <w:t>е</w:t>
      </w:r>
      <w:r w:rsidR="0071360A">
        <w:t>в</w:t>
      </w:r>
      <w:r w:rsidR="00EE6AA2">
        <w:t>е</w:t>
      </w:r>
      <w:r w:rsidR="00170F40" w:rsidRPr="00F6340E">
        <w:t xml:space="preserve"> </w:t>
      </w:r>
      <w:r>
        <w:t>који</w:t>
      </w:r>
      <w:r w:rsidR="00170F40" w:rsidRPr="00F6340E">
        <w:t xml:space="preserve"> </w:t>
      </w:r>
      <w:r w:rsidR="0071360A">
        <w:t>с</w:t>
      </w:r>
      <w:r w:rsidR="00EE6AA2">
        <w:t>е</w:t>
      </w:r>
      <w:r w:rsidR="00170F40" w:rsidRPr="00F6340E">
        <w:t xml:space="preserve"> </w:t>
      </w:r>
      <w:r w:rsidR="0071360A">
        <w:t>пр</w:t>
      </w:r>
      <w:r w:rsidR="00EE6AA2">
        <w:t>е</w:t>
      </w:r>
      <w:r>
        <w:t>д</w:t>
      </w:r>
      <w:r w:rsidR="00170F40" w:rsidRPr="00F6340E">
        <w:t xml:space="preserve"> </w:t>
      </w:r>
      <w:r>
        <w:t>об</w:t>
      </w:r>
      <w:r w:rsidR="0071360A">
        <w:t>р</w:t>
      </w:r>
      <w:r>
        <w:t>а</w:t>
      </w:r>
      <w:r w:rsidR="00171F00">
        <w:t>з</w:t>
      </w:r>
      <w:r>
        <w:t>о</w:t>
      </w:r>
      <w:r w:rsidR="0071360A">
        <w:t>в</w:t>
      </w:r>
      <w:r>
        <w:t>н</w:t>
      </w:r>
      <w:r w:rsidR="00EE6AA2">
        <w:t>е</w:t>
      </w:r>
      <w:r w:rsidR="00B11EB6" w:rsidRPr="00F6340E">
        <w:t xml:space="preserve"> </w:t>
      </w:r>
      <w:r>
        <w:t>ин</w:t>
      </w:r>
      <w:r w:rsidR="0071360A">
        <w:t>ст</w:t>
      </w:r>
      <w:r>
        <w:t>и</w:t>
      </w:r>
      <w:r w:rsidR="0071360A">
        <w:t>ту</w:t>
      </w:r>
      <w:r>
        <w:t>циј</w:t>
      </w:r>
      <w:r w:rsidR="00EE6AA2">
        <w:t>е</w:t>
      </w:r>
      <w:r w:rsidR="00170F40" w:rsidRPr="00F6340E">
        <w:t xml:space="preserve"> </w:t>
      </w:r>
      <w:r w:rsidR="0071360A">
        <w:t>п</w:t>
      </w:r>
      <w:r>
        <w:t>о</w:t>
      </w:r>
      <w:r w:rsidR="0071360A">
        <w:t>ст</w:t>
      </w:r>
      <w:r>
        <w:t>а</w:t>
      </w:r>
      <w:r w:rsidR="0071360A">
        <w:t>в</w:t>
      </w:r>
      <w:r>
        <w:t>љај</w:t>
      </w:r>
      <w:r w:rsidR="0071360A">
        <w:t>у</w:t>
      </w:r>
      <w:r w:rsidR="00170F40" w:rsidRPr="00F6340E">
        <w:t xml:space="preserve">. </w:t>
      </w:r>
      <w:r>
        <w:t>На</w:t>
      </w:r>
      <w:r w:rsidR="00170F40" w:rsidRPr="00F6340E">
        <w:t xml:space="preserve"> </w:t>
      </w:r>
      <w:r>
        <w:t>о</w:t>
      </w:r>
      <w:r w:rsidR="0071360A">
        <w:t>в</w:t>
      </w:r>
      <w:r>
        <w:t>ај</w:t>
      </w:r>
      <w:r w:rsidR="00170F40" w:rsidRPr="00F6340E">
        <w:t xml:space="preserve"> </w:t>
      </w:r>
      <w:r>
        <w:t>начин</w:t>
      </w:r>
      <w:r w:rsidR="00170F40" w:rsidRPr="00F6340E">
        <w:t xml:space="preserve"> </w:t>
      </w:r>
      <w:r>
        <w:t>о</w:t>
      </w:r>
      <w:r w:rsidR="0071360A">
        <w:t>ст</w:t>
      </w:r>
      <w:r>
        <w:t>а</w:t>
      </w:r>
      <w:r w:rsidR="0071360A">
        <w:t>в</w:t>
      </w:r>
      <w:r>
        <w:t>љ</w:t>
      </w:r>
      <w:r w:rsidR="00EE6AA2">
        <w:t>е</w:t>
      </w:r>
      <w:r>
        <w:t>на</w:t>
      </w:r>
      <w:r w:rsidR="00170F40" w:rsidRPr="00F6340E">
        <w:t xml:space="preserve"> </w:t>
      </w:r>
      <w:r>
        <w:t>ј</w:t>
      </w:r>
      <w:r w:rsidR="00EE6AA2">
        <w:t>е</w:t>
      </w:r>
      <w:r w:rsidR="00170F40" w:rsidRPr="00F6340E">
        <w:t xml:space="preserve"> </w:t>
      </w:r>
      <w:r>
        <w:t>мог</w:t>
      </w:r>
      <w:r w:rsidR="0071360A">
        <w:t>у</w:t>
      </w:r>
      <w:r>
        <w:t>ћно</w:t>
      </w:r>
      <w:r w:rsidR="0071360A">
        <w:t>ст</w:t>
      </w:r>
      <w:r w:rsidR="00170F40" w:rsidRPr="00F6340E">
        <w:t xml:space="preserve"> </w:t>
      </w:r>
      <w:r>
        <w:t>об</w:t>
      </w:r>
      <w:r w:rsidR="0071360A">
        <w:t>р</w:t>
      </w:r>
      <w:r>
        <w:t>а</w:t>
      </w:r>
      <w:r w:rsidR="00171F00">
        <w:t>з</w:t>
      </w:r>
      <w:r>
        <w:t>о</w:t>
      </w:r>
      <w:r w:rsidR="0071360A">
        <w:t>в</w:t>
      </w:r>
      <w:r>
        <w:t>ним</w:t>
      </w:r>
      <w:r w:rsidR="00170F40" w:rsidRPr="00F6340E">
        <w:t xml:space="preserve"> </w:t>
      </w:r>
      <w:r>
        <w:t>ин</w:t>
      </w:r>
      <w:r w:rsidR="0071360A">
        <w:t>ст</w:t>
      </w:r>
      <w:r>
        <w:t>и</w:t>
      </w:r>
      <w:r w:rsidR="0071360A">
        <w:t>ту</w:t>
      </w:r>
      <w:r>
        <w:t>цијама</w:t>
      </w:r>
      <w:r w:rsidR="00170F40" w:rsidRPr="00F6340E">
        <w:t xml:space="preserve"> </w:t>
      </w:r>
      <w:r>
        <w:t>и</w:t>
      </w:r>
      <w:r w:rsidR="00170F40" w:rsidRPr="00F6340E">
        <w:t xml:space="preserve"> </w:t>
      </w:r>
      <w:r>
        <w:t>надл</w:t>
      </w:r>
      <w:r w:rsidR="00EE6AA2">
        <w:t>е</w:t>
      </w:r>
      <w:r w:rsidR="00171F00">
        <w:t>ж</w:t>
      </w:r>
      <w:r>
        <w:t>ним</w:t>
      </w:r>
      <w:r w:rsidR="00170F40" w:rsidRPr="00F6340E">
        <w:t xml:space="preserve"> </w:t>
      </w:r>
      <w:r>
        <w:t>мини</w:t>
      </w:r>
      <w:r w:rsidR="0071360A">
        <w:t>ст</w:t>
      </w:r>
      <w:r>
        <w:t>а</w:t>
      </w:r>
      <w:r w:rsidR="0071360A">
        <w:t>рств</w:t>
      </w:r>
      <w:r>
        <w:t>има</w:t>
      </w:r>
      <w:r w:rsidR="00170F40" w:rsidRPr="00F6340E">
        <w:t xml:space="preserve"> </w:t>
      </w:r>
      <w:r>
        <w:t>да</w:t>
      </w:r>
      <w:r w:rsidR="00170F40" w:rsidRPr="00F6340E">
        <w:t xml:space="preserve"> </w:t>
      </w:r>
      <w:r>
        <w:t>ид</w:t>
      </w:r>
      <w:r w:rsidR="0071360A">
        <w:t>у</w:t>
      </w:r>
      <w:r w:rsidR="00170F40" w:rsidRPr="00F6340E">
        <w:t xml:space="preserve"> </w:t>
      </w:r>
      <w:r>
        <w:t>и</w:t>
      </w:r>
      <w:r w:rsidR="00170F40" w:rsidRPr="00F6340E">
        <w:t xml:space="preserve"> </w:t>
      </w:r>
      <w:r>
        <w:t>даљ</w:t>
      </w:r>
      <w:r w:rsidR="00EE6AA2">
        <w:t>е</w:t>
      </w:r>
      <w:r w:rsidR="00170F40" w:rsidRPr="00F6340E">
        <w:t xml:space="preserve"> </w:t>
      </w:r>
      <w:r>
        <w:t>од</w:t>
      </w:r>
      <w:r w:rsidR="00170F40" w:rsidRPr="00F6340E">
        <w:t xml:space="preserve"> </w:t>
      </w:r>
      <w:r>
        <w:t>на</w:t>
      </w:r>
      <w:r w:rsidR="0071360A">
        <w:t>в</w:t>
      </w:r>
      <w:r w:rsidR="00EE6AA2">
        <w:t>е</w:t>
      </w:r>
      <w:r>
        <w:t>д</w:t>
      </w:r>
      <w:r w:rsidR="00EE6AA2">
        <w:t>е</w:t>
      </w:r>
      <w:r>
        <w:t>н</w:t>
      </w:r>
      <w:r w:rsidR="00EE6AA2">
        <w:t>е</w:t>
      </w:r>
      <w:r w:rsidR="00170F40" w:rsidRPr="00F6340E">
        <w:t xml:space="preserve"> </w:t>
      </w:r>
      <w:r w:rsidR="0071360A">
        <w:t>сп</w:t>
      </w:r>
      <w:r w:rsidR="00EE6AA2">
        <w:t>е</w:t>
      </w:r>
      <w:r>
        <w:t>цификациј</w:t>
      </w:r>
      <w:r w:rsidR="00EE6AA2">
        <w:t>е</w:t>
      </w:r>
      <w:r w:rsidR="00170F40" w:rsidRPr="00F6340E">
        <w:t xml:space="preserve"> </w:t>
      </w:r>
      <w:r w:rsidR="00171F00">
        <w:t>з</w:t>
      </w:r>
      <w:r>
        <w:t>а</w:t>
      </w:r>
      <w:r w:rsidR="0071360A">
        <w:t>в</w:t>
      </w:r>
      <w:r>
        <w:t>и</w:t>
      </w:r>
      <w:r w:rsidR="0071360A">
        <w:t>с</w:t>
      </w:r>
      <w:r>
        <w:t>но</w:t>
      </w:r>
      <w:r w:rsidR="00170F40" w:rsidRPr="00F6340E">
        <w:t xml:space="preserve"> </w:t>
      </w:r>
      <w:r>
        <w:t>о</w:t>
      </w:r>
      <w:r w:rsidR="00170F40" w:rsidRPr="00F6340E">
        <w:t xml:space="preserve"> </w:t>
      </w:r>
      <w:r w:rsidR="0071360A">
        <w:t>спр</w:t>
      </w:r>
      <w:r w:rsidR="00EE6AA2">
        <w:t>е</w:t>
      </w:r>
      <w:r>
        <w:t>мно</w:t>
      </w:r>
      <w:r w:rsidR="0071360A">
        <w:t>ст</w:t>
      </w:r>
      <w:r>
        <w:t>и</w:t>
      </w:r>
      <w:r w:rsidR="00170F40" w:rsidRPr="00F6340E">
        <w:t xml:space="preserve">, </w:t>
      </w:r>
      <w:r w:rsidR="0071360A">
        <w:t>ср</w:t>
      </w:r>
      <w:r w:rsidR="00EE6AA2">
        <w:t>е</w:t>
      </w:r>
      <w:r>
        <w:t>д</w:t>
      </w:r>
      <w:r w:rsidR="0071360A">
        <w:t>ств</w:t>
      </w:r>
      <w:r>
        <w:t>има</w:t>
      </w:r>
      <w:r w:rsidR="00170F40" w:rsidRPr="00F6340E">
        <w:t xml:space="preserve"> </w:t>
      </w:r>
      <w:r>
        <w:t>и</w:t>
      </w:r>
      <w:r w:rsidR="00170F40" w:rsidRPr="00F6340E">
        <w:t xml:space="preserve"> </w:t>
      </w:r>
      <w:r w:rsidR="00171F00">
        <w:t>з</w:t>
      </w:r>
      <w:r>
        <w:t>ах</w:t>
      </w:r>
      <w:r w:rsidR="0071360A">
        <w:t>т</w:t>
      </w:r>
      <w:r>
        <w:t>ј</w:t>
      </w:r>
      <w:r w:rsidR="00EE6AA2">
        <w:t>е</w:t>
      </w:r>
      <w:r w:rsidR="0071360A">
        <w:t>в</w:t>
      </w:r>
      <w:r>
        <w:t>има</w:t>
      </w:r>
      <w:r w:rsidR="00170F40" w:rsidRPr="00F6340E">
        <w:t xml:space="preserve">. </w:t>
      </w:r>
      <w:r>
        <w:t>Об</w:t>
      </w:r>
      <w:r w:rsidR="0071360A">
        <w:t>р</w:t>
      </w:r>
      <w:r>
        <w:t>а</w:t>
      </w:r>
      <w:r w:rsidR="00171F00">
        <w:t>з</w:t>
      </w:r>
      <w:r>
        <w:t>о</w:t>
      </w:r>
      <w:r w:rsidR="0071360A">
        <w:t>в</w:t>
      </w:r>
      <w:r>
        <w:t>н</w:t>
      </w:r>
      <w:r w:rsidR="00EE6AA2">
        <w:t>е</w:t>
      </w:r>
      <w:r w:rsidR="00170F40" w:rsidRPr="00F6340E">
        <w:t xml:space="preserve"> </w:t>
      </w:r>
      <w:r>
        <w:t>ин</w:t>
      </w:r>
      <w:r w:rsidR="0071360A">
        <w:t>ст</w:t>
      </w:r>
      <w:r>
        <w:t>и</w:t>
      </w:r>
      <w:r w:rsidR="0071360A">
        <w:t>ту</w:t>
      </w:r>
      <w:r>
        <w:t>циј</w:t>
      </w:r>
      <w:r w:rsidR="00EE6AA2">
        <w:t>е</w:t>
      </w:r>
      <w:r w:rsidR="00170F40" w:rsidRPr="00F6340E">
        <w:t xml:space="preserve"> </w:t>
      </w:r>
      <w:r>
        <w:t>кој</w:t>
      </w:r>
      <w:r w:rsidR="00EE6AA2">
        <w:t>е</w:t>
      </w:r>
      <w:r w:rsidR="00170F40" w:rsidRPr="00F6340E">
        <w:t xml:space="preserve"> </w:t>
      </w:r>
      <w:r w:rsidR="0071360A">
        <w:t>с</w:t>
      </w:r>
      <w:r w:rsidR="00EE6AA2">
        <w:t>е</w:t>
      </w:r>
      <w:r w:rsidR="00170F40" w:rsidRPr="00F6340E">
        <w:t xml:space="preserve"> </w:t>
      </w:r>
      <w:r>
        <w:t>н</w:t>
      </w:r>
      <w:r w:rsidR="00EE6AA2">
        <w:t>е</w:t>
      </w:r>
      <w:r w:rsidR="00170F40" w:rsidRPr="00F6340E">
        <w:t xml:space="preserve"> </w:t>
      </w:r>
      <w:r w:rsidR="0071360A">
        <w:t>пр</w:t>
      </w:r>
      <w:r>
        <w:t>ид</w:t>
      </w:r>
      <w:r w:rsidR="0071360A">
        <w:t>р</w:t>
      </w:r>
      <w:r w:rsidR="00171F00">
        <w:t>ж</w:t>
      </w:r>
      <w:r>
        <w:t>а</w:t>
      </w:r>
      <w:r w:rsidR="0071360A">
        <w:t>в</w:t>
      </w:r>
      <w:r>
        <w:t>ај</w:t>
      </w:r>
      <w:r w:rsidR="0071360A">
        <w:t>у</w:t>
      </w:r>
      <w:r w:rsidR="00170F40" w:rsidRPr="00F6340E">
        <w:t xml:space="preserve"> </w:t>
      </w:r>
      <w:r>
        <w:t>на</w:t>
      </w:r>
      <w:r w:rsidR="0071360A">
        <w:t>в</w:t>
      </w:r>
      <w:r w:rsidR="00EE6AA2">
        <w:t>е</w:t>
      </w:r>
      <w:r>
        <w:t>д</w:t>
      </w:r>
      <w:r w:rsidR="00EE6AA2">
        <w:t>е</w:t>
      </w:r>
      <w:r>
        <w:t>них</w:t>
      </w:r>
      <w:r w:rsidR="00170F40" w:rsidRPr="00F6340E">
        <w:t xml:space="preserve"> </w:t>
      </w:r>
      <w:r>
        <w:t>но</w:t>
      </w:r>
      <w:r w:rsidR="0071360A">
        <w:t>р</w:t>
      </w:r>
      <w:r>
        <w:t>ми</w:t>
      </w:r>
      <w:r w:rsidR="00170F40" w:rsidRPr="00F6340E">
        <w:t xml:space="preserve"> </w:t>
      </w:r>
      <w:r>
        <w:t>и</w:t>
      </w:r>
      <w:r w:rsidR="00170F40" w:rsidRPr="00F6340E">
        <w:t xml:space="preserve"> </w:t>
      </w:r>
      <w:r w:rsidR="0071360A">
        <w:t>ст</w:t>
      </w:r>
      <w:r>
        <w:t>анда</w:t>
      </w:r>
      <w:r w:rsidR="0071360A">
        <w:t>р</w:t>
      </w:r>
      <w:r>
        <w:t>да</w:t>
      </w:r>
      <w:r w:rsidR="00170F40" w:rsidRPr="00F6340E">
        <w:t xml:space="preserve"> </w:t>
      </w:r>
      <w:r w:rsidR="0071360A">
        <w:t>у</w:t>
      </w:r>
      <w:r w:rsidR="00170F40" w:rsidRPr="00F6340E">
        <w:t xml:space="preserve"> </w:t>
      </w:r>
      <w:r>
        <w:t>оба</w:t>
      </w:r>
      <w:r w:rsidR="0071360A">
        <w:t>в</w:t>
      </w:r>
      <w:r w:rsidR="00EE6AA2">
        <w:t>е</w:t>
      </w:r>
      <w:r w:rsidR="00171F00">
        <w:t>з</w:t>
      </w:r>
      <w:r>
        <w:t>и</w:t>
      </w:r>
      <w:r w:rsidR="00170F40" w:rsidRPr="00F6340E">
        <w:t xml:space="preserve"> </w:t>
      </w:r>
      <w:r w:rsidR="0071360A">
        <w:t>су</w:t>
      </w:r>
      <w:r w:rsidR="00170F40" w:rsidRPr="00F6340E">
        <w:t xml:space="preserve"> </w:t>
      </w:r>
      <w:r>
        <w:t>надл</w:t>
      </w:r>
      <w:r w:rsidR="00EE6AA2">
        <w:t>е</w:t>
      </w:r>
      <w:r w:rsidR="00171F00">
        <w:t>ж</w:t>
      </w:r>
      <w:r>
        <w:t>ним</w:t>
      </w:r>
      <w:r w:rsidR="00170F40" w:rsidRPr="00F6340E">
        <w:t xml:space="preserve"> </w:t>
      </w:r>
      <w:r>
        <w:t>мини</w:t>
      </w:r>
      <w:r w:rsidR="0071360A">
        <w:t>ст</w:t>
      </w:r>
      <w:r>
        <w:t>а</w:t>
      </w:r>
      <w:r w:rsidR="0071360A">
        <w:t>рств</w:t>
      </w:r>
      <w:r>
        <w:t>има</w:t>
      </w:r>
      <w:r w:rsidR="00170F40" w:rsidRPr="00F6340E">
        <w:t xml:space="preserve"> </w:t>
      </w:r>
      <w:r>
        <w:t>об</w:t>
      </w:r>
      <w:r w:rsidR="0071360A">
        <w:t>р</w:t>
      </w:r>
      <w:r>
        <w:t>а</w:t>
      </w:r>
      <w:r w:rsidR="00171F00">
        <w:t>з</w:t>
      </w:r>
      <w:r>
        <w:t>о</w:t>
      </w:r>
      <w:r w:rsidR="0071360A">
        <w:t>в</w:t>
      </w:r>
      <w:r>
        <w:t>ања</w:t>
      </w:r>
      <w:r w:rsidR="00170F40" w:rsidRPr="00F6340E">
        <w:t xml:space="preserve"> </w:t>
      </w:r>
      <w:r>
        <w:t>об</w:t>
      </w:r>
      <w:r w:rsidR="0071360A">
        <w:t>р</w:t>
      </w:r>
      <w:r>
        <w:t>а</w:t>
      </w:r>
      <w:r w:rsidR="00171F00">
        <w:t>з</w:t>
      </w:r>
      <w:r>
        <w:t>ло</w:t>
      </w:r>
      <w:r w:rsidR="00171F00">
        <w:t>ж</w:t>
      </w:r>
      <w:r>
        <w:t>и</w:t>
      </w:r>
      <w:r w:rsidR="0071360A">
        <w:t>т</w:t>
      </w:r>
      <w:r>
        <w:t>и</w:t>
      </w:r>
      <w:r w:rsidR="00170F40" w:rsidRPr="00F6340E">
        <w:t xml:space="preserve"> </w:t>
      </w:r>
      <w:r w:rsidR="0071360A">
        <w:t>р</w:t>
      </w:r>
      <w:r>
        <w:t>а</w:t>
      </w:r>
      <w:r w:rsidR="00171F00">
        <w:t>з</w:t>
      </w:r>
      <w:r>
        <w:t>лог</w:t>
      </w:r>
      <w:r w:rsidR="00EE6AA2">
        <w:t>е</w:t>
      </w:r>
      <w:r w:rsidR="00170F40" w:rsidRPr="00F6340E">
        <w:t xml:space="preserve"> </w:t>
      </w:r>
      <w:r w:rsidR="00171F00">
        <w:t>з</w:t>
      </w:r>
      <w:r>
        <w:t>а</w:t>
      </w:r>
      <w:r w:rsidR="00170F40" w:rsidRPr="00F6340E">
        <w:t xml:space="preserve"> </w:t>
      </w:r>
      <w:r>
        <w:t>н</w:t>
      </w:r>
      <w:r w:rsidR="00EE6AA2">
        <w:t>е</w:t>
      </w:r>
      <w:r w:rsidR="0071360A">
        <w:t>п</w:t>
      </w:r>
      <w:r>
        <w:t>о</w:t>
      </w:r>
      <w:r w:rsidR="0071360A">
        <w:t>шт</w:t>
      </w:r>
      <w:r>
        <w:t>о</w:t>
      </w:r>
      <w:r w:rsidR="0071360A">
        <w:t>в</w:t>
      </w:r>
      <w:r>
        <w:t>ањ</w:t>
      </w:r>
      <w:r w:rsidR="00EE6AA2">
        <w:t>е</w:t>
      </w:r>
      <w:r w:rsidR="00170F40" w:rsidRPr="00F6340E">
        <w:t xml:space="preserve"> </w:t>
      </w:r>
      <w:r w:rsidR="0071360A">
        <w:t>пр</w:t>
      </w:r>
      <w:r w:rsidR="00EE6AA2">
        <w:t>е</w:t>
      </w:r>
      <w:r w:rsidR="0071360A">
        <w:t>п</w:t>
      </w:r>
      <w:r>
        <w:t>о</w:t>
      </w:r>
      <w:r w:rsidR="0071360A">
        <w:t>ру</w:t>
      </w:r>
      <w:r>
        <w:t>ч</w:t>
      </w:r>
      <w:r w:rsidR="00EE6AA2">
        <w:t>е</w:t>
      </w:r>
      <w:r>
        <w:t>них</w:t>
      </w:r>
      <w:r w:rsidR="00170F40" w:rsidRPr="00F6340E">
        <w:t xml:space="preserve"> </w:t>
      </w:r>
      <w:r w:rsidR="0071360A">
        <w:t>пр</w:t>
      </w:r>
      <w:r>
        <w:t>ак</w:t>
      </w:r>
      <w:r w:rsidR="0071360A">
        <w:t>с</w:t>
      </w:r>
      <w:r>
        <w:t>и</w:t>
      </w:r>
      <w:r w:rsidR="00170F40" w:rsidRPr="00F6340E">
        <w:t xml:space="preserve">.  </w:t>
      </w:r>
      <w:r w:rsidR="00170F40" w:rsidRPr="00F6340E" w:rsidDel="00170F40">
        <w:t xml:space="preserve"> </w:t>
      </w:r>
    </w:p>
    <w:p w14:paraId="089A36F1" w14:textId="67579D30" w:rsidR="00170F40" w:rsidRPr="00F6340E" w:rsidRDefault="0071360A" w:rsidP="00210EE1">
      <w:pPr>
        <w:pStyle w:val="Body"/>
      </w:pPr>
      <w:r>
        <w:t>С</w:t>
      </w:r>
      <w:r w:rsidR="00A56E08">
        <w:t>мј</w:t>
      </w:r>
      <w:r w:rsidR="00EE6AA2">
        <w:t>е</w:t>
      </w:r>
      <w:r>
        <w:t>р</w:t>
      </w:r>
      <w:r w:rsidR="00A56E08">
        <w:t>ниц</w:t>
      </w:r>
      <w:r w:rsidR="00EE6AA2">
        <w:t>е</w:t>
      </w:r>
      <w:r w:rsidR="00170F40" w:rsidRPr="00F6340E">
        <w:t xml:space="preserve"> </w:t>
      </w:r>
      <w:r w:rsidR="00171F00">
        <w:t>з</w:t>
      </w:r>
      <w:r w:rsidR="00A56E08">
        <w:t>а</w:t>
      </w:r>
      <w:r w:rsidR="00B11EB6"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B11EB6" w:rsidRPr="00F6340E">
        <w:t xml:space="preserve"> </w:t>
      </w:r>
      <w:r w:rsidR="00A56E08">
        <w:t>на</w:t>
      </w:r>
      <w:r>
        <w:t>ст</w:t>
      </w:r>
      <w:r w:rsidR="00A56E08">
        <w:t>а</w:t>
      </w:r>
      <w:r>
        <w:t>в</w:t>
      </w:r>
      <w:r w:rsidR="00EE6AA2">
        <w:t>е</w:t>
      </w:r>
      <w:r w:rsidR="00B91744" w:rsidRPr="00F6340E">
        <w:t xml:space="preserve"> </w:t>
      </w:r>
      <w:r>
        <w:t>пут</w:t>
      </w:r>
      <w:r w:rsidR="00EE6AA2">
        <w:t>е</w:t>
      </w:r>
      <w:r w:rsidR="00A56E08">
        <w:t>м</w:t>
      </w:r>
      <w:r w:rsidR="00B91744" w:rsidRPr="00F6340E">
        <w:t xml:space="preserve"> </w:t>
      </w:r>
      <w:r w:rsidR="00A56E08">
        <w:t>ин</w:t>
      </w:r>
      <w:r>
        <w:t>т</w:t>
      </w:r>
      <w:r w:rsidR="00EE6AA2">
        <w:t>е</w:t>
      </w:r>
      <w:r>
        <w:t>р</w:t>
      </w:r>
      <w:r w:rsidR="00A56E08">
        <w:t>н</w:t>
      </w:r>
      <w:r w:rsidR="00EE6AA2">
        <w:t>е</w:t>
      </w:r>
      <w:r>
        <w:t>т</w:t>
      </w:r>
      <w:r w:rsidR="00A56E08">
        <w:t>а</w:t>
      </w:r>
      <w:r w:rsidR="00B11EB6" w:rsidRPr="00F6340E">
        <w:t xml:space="preserve"> </w:t>
      </w:r>
      <w:r w:rsidR="00A56E08">
        <w:t>и</w:t>
      </w:r>
      <w:r w:rsidR="00B11EB6" w:rsidRPr="00F6340E">
        <w:t xml:space="preserve"> </w:t>
      </w:r>
      <w:r w:rsidR="00A56E08">
        <w:t>комбино</w:t>
      </w:r>
      <w:r>
        <w:t>в</w:t>
      </w:r>
      <w:r w:rsidR="00A56E08">
        <w:t>ан</w:t>
      </w:r>
      <w:r w:rsidR="00EE6AA2">
        <w:t>е</w:t>
      </w:r>
      <w:r w:rsidR="00B11EB6" w:rsidRPr="00F6340E">
        <w:t xml:space="preserve"> </w:t>
      </w:r>
      <w:r w:rsidR="00A56E08">
        <w:t>на</w:t>
      </w:r>
      <w:r>
        <w:t>ст</w:t>
      </w:r>
      <w:r w:rsidR="00A56E08">
        <w:t>а</w:t>
      </w:r>
      <w:r>
        <w:t>в</w:t>
      </w:r>
      <w:r w:rsidR="00EE6AA2">
        <w:t>е</w:t>
      </w:r>
      <w:r w:rsidR="00B11EB6" w:rsidRPr="00F6340E">
        <w:t xml:space="preserve"> </w:t>
      </w:r>
      <w:r w:rsidR="00171F00">
        <w:t>з</w:t>
      </w:r>
      <w:r w:rsidR="00A56E08">
        <w:t>а</w:t>
      </w:r>
      <w:r w:rsidR="00B11EB6" w:rsidRPr="00F6340E">
        <w:t xml:space="preserve"> </w:t>
      </w:r>
      <w:r w:rsidR="00A56E08">
        <w:t>об</w:t>
      </w:r>
      <w:r>
        <w:t>р</w:t>
      </w:r>
      <w:r w:rsidR="00A56E08">
        <w:t>а</w:t>
      </w:r>
      <w:r w:rsidR="00171F00">
        <w:t>з</w:t>
      </w:r>
      <w:r w:rsidR="00A56E08">
        <w:t>о</w:t>
      </w:r>
      <w:r>
        <w:t>в</w:t>
      </w:r>
      <w:r w:rsidR="00A56E08">
        <w:t>н</w:t>
      </w:r>
      <w:r w:rsidR="00EE6AA2">
        <w:t>е</w:t>
      </w:r>
      <w:r w:rsidR="00B11EB6" w:rsidRPr="00F6340E">
        <w:t xml:space="preserve"> </w:t>
      </w:r>
      <w:r>
        <w:t>с</w:t>
      </w:r>
      <w:r w:rsidR="00A56E08">
        <w:t>и</w:t>
      </w:r>
      <w:r>
        <w:t>ст</w:t>
      </w:r>
      <w:r w:rsidR="00EE6AA2">
        <w:t>е</w:t>
      </w:r>
      <w:r w:rsidR="00A56E08">
        <w:t>м</w:t>
      </w:r>
      <w:r w:rsidR="00EE6AA2">
        <w:t>е</w:t>
      </w:r>
      <w:r w:rsidR="00B11EB6" w:rsidRPr="00F6340E">
        <w:t xml:space="preserve"> </w:t>
      </w:r>
      <w:r>
        <w:t>у</w:t>
      </w:r>
      <w:r w:rsidR="00B11EB6" w:rsidRPr="00F6340E">
        <w:t xml:space="preserve"> </w:t>
      </w:r>
      <w:r w:rsidR="00A56E08">
        <w:t>Бо</w:t>
      </w:r>
      <w:r>
        <w:t>с</w:t>
      </w:r>
      <w:r w:rsidR="00A56E08">
        <w:t>ни</w:t>
      </w:r>
      <w:r w:rsidR="00B11EB6" w:rsidRPr="00F6340E">
        <w:t xml:space="preserve"> </w:t>
      </w:r>
      <w:r w:rsidR="00A56E08">
        <w:t>и</w:t>
      </w:r>
      <w:r w:rsidR="00B11EB6" w:rsidRPr="00F6340E">
        <w:t xml:space="preserve"> </w:t>
      </w:r>
      <w:r w:rsidR="00A56E08">
        <w:t>Х</w:t>
      </w:r>
      <w:r w:rsidR="00EE6AA2">
        <w:t>е</w:t>
      </w:r>
      <w:r>
        <w:t>р</w:t>
      </w:r>
      <w:r w:rsidR="00A56E08">
        <w:t>ц</w:t>
      </w:r>
      <w:r w:rsidR="00EE6AA2">
        <w:t>е</w:t>
      </w:r>
      <w:r w:rsidR="00A56E08">
        <w:t>го</w:t>
      </w:r>
      <w:r>
        <w:t>в</w:t>
      </w:r>
      <w:r w:rsidR="00A56E08">
        <w:t>ини</w:t>
      </w:r>
      <w:r w:rsidR="00B11EB6" w:rsidRPr="00F6340E">
        <w:t xml:space="preserve"> </w:t>
      </w:r>
      <w:r>
        <w:t>у</w:t>
      </w:r>
      <w:r w:rsidR="00B11EB6" w:rsidRPr="00F6340E">
        <w:t xml:space="preserve"> </w:t>
      </w:r>
      <w:r w:rsidR="00A56E08">
        <w:t>кон</w:t>
      </w:r>
      <w:r>
        <w:t>т</w:t>
      </w:r>
      <w:r w:rsidR="00EE6AA2">
        <w:t>е</w:t>
      </w:r>
      <w:r w:rsidR="00A56E08">
        <w:t>к</w:t>
      </w:r>
      <w:r>
        <w:t>сту</w:t>
      </w:r>
      <w:r w:rsidR="00B11EB6" w:rsidRPr="00F6340E">
        <w:t xml:space="preserve"> </w:t>
      </w:r>
      <w:r w:rsidR="00A56E08">
        <w:t>к</w:t>
      </w:r>
      <w:r>
        <w:t>в</w:t>
      </w:r>
      <w:r w:rsidR="00A56E08">
        <w:t>али</w:t>
      </w:r>
      <w:r>
        <w:t>т</w:t>
      </w:r>
      <w:r w:rsidR="00EE6AA2">
        <w:t>е</w:t>
      </w:r>
      <w:r>
        <w:t>т</w:t>
      </w:r>
      <w:r w:rsidR="00A56E08">
        <w:t>ног</w:t>
      </w:r>
      <w:r w:rsidR="00B11EB6" w:rsidRPr="00F6340E">
        <w:t xml:space="preserve"> (</w:t>
      </w:r>
      <w:r w:rsidR="00A56E08">
        <w:t>и</w:t>
      </w:r>
      <w:r w:rsidR="00B11EB6" w:rsidRPr="00F6340E">
        <w:t xml:space="preserve">) </w:t>
      </w:r>
      <w:r w:rsidR="00A56E08">
        <w:t>инкл</w:t>
      </w:r>
      <w:r>
        <w:t>у</w:t>
      </w:r>
      <w:r w:rsidR="00171F00">
        <w:t>з</w:t>
      </w:r>
      <w:r w:rsidR="00A56E08">
        <w:t>и</w:t>
      </w:r>
      <w:r>
        <w:t>в</w:t>
      </w:r>
      <w:r w:rsidR="00A56E08">
        <w:t>ног</w:t>
      </w:r>
      <w:r w:rsidR="00B11EB6" w:rsidRPr="00F6340E">
        <w:t xml:space="preserve"> </w:t>
      </w:r>
      <w:r w:rsidR="00A56E08">
        <w:t>об</w:t>
      </w:r>
      <w:r>
        <w:t>р</w:t>
      </w:r>
      <w:r w:rsidR="00A56E08">
        <w:t>а</w:t>
      </w:r>
      <w:r w:rsidR="00171F00">
        <w:t>з</w:t>
      </w:r>
      <w:r w:rsidR="00A56E08">
        <w:t>о</w:t>
      </w:r>
      <w:r>
        <w:t>в</w:t>
      </w:r>
      <w:r w:rsidR="00A56E08">
        <w:t>ања</w:t>
      </w:r>
      <w:r w:rsidR="00B11EB6" w:rsidRPr="00F6340E">
        <w:t xml:space="preserve"> </w:t>
      </w:r>
      <w:r>
        <w:t>у</w:t>
      </w:r>
      <w:r w:rsidR="00171F00">
        <w:t>з</w:t>
      </w:r>
      <w:r w:rsidR="00A56E08">
        <w:t>имај</w:t>
      </w:r>
      <w:r>
        <w:t>у</w:t>
      </w:r>
      <w:r w:rsidR="00170F40" w:rsidRPr="00F6340E">
        <w:t xml:space="preserve"> </w:t>
      </w:r>
      <w:r w:rsidR="00A56E08">
        <w:t>на</w:t>
      </w:r>
      <w:r>
        <w:t>в</w:t>
      </w:r>
      <w:r w:rsidR="00EE6AA2">
        <w:t>е</w:t>
      </w:r>
      <w:r w:rsidR="00A56E08">
        <w:t>д</w:t>
      </w:r>
      <w:r w:rsidR="00EE6AA2">
        <w:t>е</w:t>
      </w:r>
      <w:r w:rsidR="00A56E08">
        <w:t>н</w:t>
      </w:r>
      <w:r w:rsidR="00EE6AA2">
        <w:t>е</w:t>
      </w:r>
      <w:r w:rsidR="00C04EC1" w:rsidRPr="00F6340E">
        <w:t xml:space="preserve"> </w:t>
      </w:r>
      <w:r>
        <w:t>ст</w:t>
      </w:r>
      <w:r w:rsidR="00A56E08">
        <w:t>анда</w:t>
      </w:r>
      <w:r>
        <w:t>р</w:t>
      </w:r>
      <w:r w:rsidR="00A56E08">
        <w:t>д</w:t>
      </w:r>
      <w:r w:rsidR="00EE6AA2">
        <w:t>е</w:t>
      </w:r>
      <w:r w:rsidR="00B91744" w:rsidRPr="00F6340E">
        <w:t xml:space="preserve"> </w:t>
      </w:r>
      <w:r w:rsidR="00A56E08">
        <w:t>као</w:t>
      </w:r>
      <w:r w:rsidR="00170F40" w:rsidRPr="00F6340E">
        <w:t xml:space="preserve"> </w:t>
      </w:r>
      <w:r w:rsidR="00A56E08">
        <w:t>о</w:t>
      </w:r>
      <w:r>
        <w:t>с</w:t>
      </w:r>
      <w:r w:rsidR="00A56E08">
        <w:t>но</w:t>
      </w:r>
      <w:r>
        <w:t>ву</w:t>
      </w:r>
      <w:r w:rsidR="00170F40" w:rsidRPr="00F6340E">
        <w:t xml:space="preserve"> </w:t>
      </w:r>
      <w:r w:rsidR="00171F00">
        <w:t>з</w:t>
      </w:r>
      <w:r w:rsidR="00A56E08">
        <w:t>а</w:t>
      </w:r>
      <w:r w:rsidR="00170F40" w:rsidRPr="00F6340E">
        <w:t xml:space="preserve"> </w:t>
      </w:r>
      <w:r w:rsidR="00A56E08">
        <w:t>д</w:t>
      </w:r>
      <w:r w:rsidR="00EE6AA2">
        <w:t>е</w:t>
      </w:r>
      <w:r w:rsidR="00A56E08">
        <w:t>фини</w:t>
      </w:r>
      <w:r>
        <w:t>с</w:t>
      </w:r>
      <w:r w:rsidR="00A56E08">
        <w:t>ањ</w:t>
      </w:r>
      <w:r w:rsidR="00EE6AA2">
        <w:t>е</w:t>
      </w:r>
      <w:r w:rsidR="00170F40" w:rsidRPr="00F6340E">
        <w:t xml:space="preserve"> </w:t>
      </w:r>
      <w:r>
        <w:t>пр</w:t>
      </w:r>
      <w:r w:rsidR="00EE6AA2">
        <w:t>е</w:t>
      </w:r>
      <w:r>
        <w:t>п</w:t>
      </w:r>
      <w:r w:rsidR="00A56E08">
        <w:t>о</w:t>
      </w:r>
      <w:r>
        <w:t>ру</w:t>
      </w:r>
      <w:r w:rsidR="00A56E08">
        <w:t>ка</w:t>
      </w:r>
      <w:r w:rsidR="00170F40" w:rsidRPr="00F6340E">
        <w:t xml:space="preserve"> </w:t>
      </w:r>
      <w:r w:rsidR="00171F00">
        <w:t>з</w:t>
      </w:r>
      <w:r w:rsidR="00A56E08">
        <w:t>а</w:t>
      </w:r>
      <w:r w:rsidR="00170F40"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170F40" w:rsidRPr="00F6340E">
        <w:t xml:space="preserve"> </w:t>
      </w:r>
      <w:r w:rsidR="00A56E08">
        <w:t>инф</w:t>
      </w:r>
      <w:r>
        <w:t>р</w:t>
      </w:r>
      <w:r w:rsidR="00A56E08">
        <w:t>а</w:t>
      </w:r>
      <w:r>
        <w:t>стру</w:t>
      </w:r>
      <w:r w:rsidR="00A56E08">
        <w:t>к</w:t>
      </w:r>
      <w:r>
        <w:t>тур</w:t>
      </w:r>
      <w:r w:rsidR="00EE6AA2">
        <w:t>е</w:t>
      </w:r>
      <w:r w:rsidR="00170F40" w:rsidRPr="00F6340E">
        <w:t xml:space="preserve"> </w:t>
      </w:r>
      <w:r w:rsidR="00A56E08">
        <w:t>ИК</w:t>
      </w:r>
      <w:r>
        <w:t>Т</w:t>
      </w:r>
      <w:r w:rsidR="00B91744" w:rsidRPr="00F6340E">
        <w:t>-</w:t>
      </w:r>
      <w:r w:rsidR="00A56E08">
        <w:t>а</w:t>
      </w:r>
      <w:r w:rsidR="00B91744" w:rsidRPr="00F6340E">
        <w:t xml:space="preserve"> </w:t>
      </w:r>
      <w:r>
        <w:t>у</w:t>
      </w:r>
      <w:r w:rsidR="00170F40" w:rsidRPr="00F6340E">
        <w:t xml:space="preserve"> </w:t>
      </w:r>
      <w:r w:rsidR="00A56E08">
        <w:t>об</w:t>
      </w:r>
      <w:r>
        <w:t>р</w:t>
      </w:r>
      <w:r w:rsidR="00A56E08">
        <w:t>а</w:t>
      </w:r>
      <w:r w:rsidR="00171F00">
        <w:t>з</w:t>
      </w:r>
      <w:r w:rsidR="00A56E08">
        <w:t>о</w:t>
      </w:r>
      <w:r>
        <w:t>в</w:t>
      </w:r>
      <w:r w:rsidR="00A56E08">
        <w:t>ањ</w:t>
      </w:r>
      <w:r>
        <w:t>у</w:t>
      </w:r>
      <w:r w:rsidR="00170F40" w:rsidRPr="00F6340E">
        <w:t xml:space="preserve">. </w:t>
      </w:r>
    </w:p>
    <w:p w14:paraId="0549BC5E" w14:textId="6024B7E9" w:rsidR="0064215E" w:rsidRPr="00F6340E" w:rsidRDefault="0071360A" w:rsidP="00210EE1">
      <w:pPr>
        <w:pStyle w:val="Body"/>
        <w:rPr>
          <w:color w:val="000000" w:themeColor="text1"/>
        </w:rPr>
      </w:pPr>
      <w:r>
        <w:rPr>
          <w:rFonts w:eastAsia="Arial"/>
        </w:rPr>
        <w:t>Пр</w:t>
      </w:r>
      <w:r w:rsidR="00EE6AA2">
        <w:rPr>
          <w:rFonts w:eastAsia="Arial"/>
        </w:rPr>
        <w:t>е</w:t>
      </w:r>
      <w:r w:rsidR="00A56E08">
        <w:rPr>
          <w:rFonts w:eastAsia="Arial"/>
        </w:rPr>
        <w:t>д</w:t>
      </w:r>
      <w:r>
        <w:rPr>
          <w:rFonts w:eastAsia="Arial"/>
        </w:rPr>
        <w:t>ус</w:t>
      </w:r>
      <w:r w:rsidR="00A56E08">
        <w:rPr>
          <w:rFonts w:eastAsia="Arial"/>
        </w:rPr>
        <w:t>ло</w:t>
      </w:r>
      <w:r>
        <w:rPr>
          <w:rFonts w:eastAsia="Arial"/>
        </w:rPr>
        <w:t>в</w:t>
      </w:r>
      <w:r w:rsidR="00A56E08">
        <w:rPr>
          <w:rFonts w:eastAsia="Arial"/>
        </w:rPr>
        <w:t>и</w:t>
      </w:r>
      <w:r w:rsidR="0064215E" w:rsidRPr="00F6340E">
        <w:rPr>
          <w:color w:val="000000" w:themeColor="text1"/>
        </w:rPr>
        <w:t xml:space="preserve"> </w:t>
      </w:r>
      <w:r w:rsidR="00171F00">
        <w:rPr>
          <w:color w:val="000000" w:themeColor="text1"/>
        </w:rPr>
        <w:t>з</w:t>
      </w:r>
      <w:r w:rsidR="00A56E08">
        <w:rPr>
          <w:color w:val="000000" w:themeColor="text1"/>
        </w:rPr>
        <w:t>а</w:t>
      </w:r>
      <w:r w:rsidR="0064215E" w:rsidRPr="00F6340E">
        <w:rPr>
          <w:color w:val="000000" w:themeColor="text1"/>
        </w:rPr>
        <w:t xml:space="preserve"> </w:t>
      </w:r>
      <w:r w:rsidR="00EE6AA2">
        <w:rPr>
          <w:color w:val="000000" w:themeColor="text1"/>
        </w:rPr>
        <w:t>е</w:t>
      </w:r>
      <w:r w:rsidR="00A56E08">
        <w:rPr>
          <w:color w:val="000000" w:themeColor="text1"/>
        </w:rPr>
        <w:t>фика</w:t>
      </w:r>
      <w:r>
        <w:rPr>
          <w:color w:val="000000" w:themeColor="text1"/>
        </w:rPr>
        <w:t>с</w:t>
      </w:r>
      <w:r w:rsidR="00A56E08">
        <w:rPr>
          <w:color w:val="000000" w:themeColor="text1"/>
        </w:rPr>
        <w:t>н</w:t>
      </w:r>
      <w:r>
        <w:rPr>
          <w:color w:val="000000" w:themeColor="text1"/>
        </w:rPr>
        <w:t>у</w:t>
      </w:r>
      <w:r w:rsidR="0064215E" w:rsidRPr="00F6340E">
        <w:rPr>
          <w:color w:val="000000" w:themeColor="text1"/>
        </w:rPr>
        <w:t xml:space="preserve"> </w:t>
      </w:r>
      <w:r>
        <w:rPr>
          <w:color w:val="000000" w:themeColor="text1"/>
        </w:rPr>
        <w:t>уп</w:t>
      </w:r>
      <w:r w:rsidR="00A56E08">
        <w:rPr>
          <w:color w:val="000000" w:themeColor="text1"/>
        </w:rPr>
        <w:t>о</w:t>
      </w:r>
      <w:r>
        <w:rPr>
          <w:color w:val="000000" w:themeColor="text1"/>
        </w:rPr>
        <w:t>тр</w:t>
      </w:r>
      <w:r w:rsidR="00EE6AA2">
        <w:rPr>
          <w:color w:val="000000" w:themeColor="text1"/>
        </w:rPr>
        <w:t>е</w:t>
      </w:r>
      <w:r w:rsidR="00A56E08">
        <w:rPr>
          <w:color w:val="000000" w:themeColor="text1"/>
        </w:rPr>
        <w:t>б</w:t>
      </w:r>
      <w:r>
        <w:rPr>
          <w:color w:val="000000" w:themeColor="text1"/>
        </w:rPr>
        <w:t>у</w:t>
      </w:r>
      <w:r w:rsidR="0064215E" w:rsidRPr="00F6340E">
        <w:rPr>
          <w:color w:val="000000" w:themeColor="text1"/>
        </w:rPr>
        <w:t xml:space="preserve"> </w:t>
      </w:r>
      <w:r w:rsidR="00A56E08">
        <w:rPr>
          <w:color w:val="000000" w:themeColor="text1"/>
        </w:rPr>
        <w:t>ИК</w:t>
      </w:r>
      <w:r>
        <w:rPr>
          <w:color w:val="000000" w:themeColor="text1"/>
        </w:rPr>
        <w:t>Т</w:t>
      </w:r>
      <w:r w:rsidR="0064215E" w:rsidRPr="00F6340E">
        <w:rPr>
          <w:color w:val="000000" w:themeColor="text1"/>
        </w:rPr>
        <w:t>-</w:t>
      </w:r>
      <w:r w:rsidR="00A56E08">
        <w:rPr>
          <w:color w:val="000000" w:themeColor="text1"/>
        </w:rPr>
        <w:t>а</w:t>
      </w:r>
      <w:r w:rsidR="0064215E" w:rsidRPr="00F6340E">
        <w:rPr>
          <w:color w:val="000000" w:themeColor="text1"/>
        </w:rPr>
        <w:t xml:space="preserve"> </w:t>
      </w:r>
      <w:r>
        <w:rPr>
          <w:color w:val="000000" w:themeColor="text1"/>
        </w:rPr>
        <w:t>у</w:t>
      </w:r>
      <w:r w:rsidR="00947928" w:rsidRPr="00F6340E">
        <w:rPr>
          <w:color w:val="000000" w:themeColor="text1"/>
        </w:rPr>
        <w:t xml:space="preserve"> </w:t>
      </w:r>
      <w:r w:rsidR="00A56E08">
        <w:rPr>
          <w:color w:val="000000" w:themeColor="text1"/>
        </w:rPr>
        <w:t>на</w:t>
      </w:r>
      <w:r>
        <w:rPr>
          <w:color w:val="000000" w:themeColor="text1"/>
        </w:rPr>
        <w:t>ст</w:t>
      </w:r>
      <w:r w:rsidR="00A56E08">
        <w:rPr>
          <w:color w:val="000000" w:themeColor="text1"/>
        </w:rPr>
        <w:t>а</w:t>
      </w:r>
      <w:r>
        <w:rPr>
          <w:color w:val="000000" w:themeColor="text1"/>
        </w:rPr>
        <w:t>в</w:t>
      </w:r>
      <w:r w:rsidR="00A56E08">
        <w:rPr>
          <w:color w:val="000000" w:themeColor="text1"/>
        </w:rPr>
        <w:t>и</w:t>
      </w:r>
      <w:r w:rsidR="00947928" w:rsidRPr="00F6340E">
        <w:rPr>
          <w:color w:val="000000" w:themeColor="text1"/>
        </w:rPr>
        <w:t xml:space="preserve"> </w:t>
      </w:r>
      <w:r>
        <w:rPr>
          <w:color w:val="000000" w:themeColor="text1"/>
        </w:rPr>
        <w:t>пут</w:t>
      </w:r>
      <w:r w:rsidR="00EE6AA2">
        <w:rPr>
          <w:color w:val="000000" w:themeColor="text1"/>
        </w:rPr>
        <w:t>е</w:t>
      </w:r>
      <w:r w:rsidR="00A56E08">
        <w:rPr>
          <w:color w:val="000000" w:themeColor="text1"/>
        </w:rPr>
        <w:t>м</w:t>
      </w:r>
      <w:r w:rsidR="00947928" w:rsidRPr="00F6340E">
        <w:rPr>
          <w:color w:val="000000" w:themeColor="text1"/>
        </w:rPr>
        <w:t xml:space="preserve"> </w:t>
      </w:r>
      <w:r w:rsidR="00A56E08">
        <w:rPr>
          <w:color w:val="000000" w:themeColor="text1"/>
        </w:rPr>
        <w:t>ин</w:t>
      </w:r>
      <w:r>
        <w:rPr>
          <w:color w:val="000000" w:themeColor="text1"/>
        </w:rPr>
        <w:t>т</w:t>
      </w:r>
      <w:r w:rsidR="00EE6AA2">
        <w:rPr>
          <w:color w:val="000000" w:themeColor="text1"/>
        </w:rPr>
        <w:t>е</w:t>
      </w:r>
      <w:r>
        <w:rPr>
          <w:color w:val="000000" w:themeColor="text1"/>
        </w:rPr>
        <w:t>р</w:t>
      </w:r>
      <w:r w:rsidR="00A56E08">
        <w:rPr>
          <w:color w:val="000000" w:themeColor="text1"/>
        </w:rPr>
        <w:t>н</w:t>
      </w:r>
      <w:r w:rsidR="00EE6AA2">
        <w:rPr>
          <w:color w:val="000000" w:themeColor="text1"/>
        </w:rPr>
        <w:t>е</w:t>
      </w:r>
      <w:r>
        <w:rPr>
          <w:color w:val="000000" w:themeColor="text1"/>
        </w:rPr>
        <w:t>т</w:t>
      </w:r>
      <w:r w:rsidR="00A56E08">
        <w:rPr>
          <w:color w:val="000000" w:themeColor="text1"/>
        </w:rPr>
        <w:t>а</w:t>
      </w:r>
      <w:r w:rsidR="00947928" w:rsidRPr="00F6340E">
        <w:rPr>
          <w:color w:val="000000" w:themeColor="text1"/>
        </w:rPr>
        <w:t xml:space="preserve"> </w:t>
      </w:r>
      <w:r w:rsidR="00A56E08">
        <w:rPr>
          <w:color w:val="000000" w:themeColor="text1"/>
        </w:rPr>
        <w:t>и</w:t>
      </w:r>
      <w:r w:rsidR="0064215E" w:rsidRPr="00F6340E">
        <w:rPr>
          <w:color w:val="000000" w:themeColor="text1"/>
        </w:rPr>
        <w:t xml:space="preserve"> </w:t>
      </w:r>
      <w:r w:rsidR="00A56E08">
        <w:rPr>
          <w:color w:val="000000" w:themeColor="text1"/>
        </w:rPr>
        <w:t>комбино</w:t>
      </w:r>
      <w:r>
        <w:rPr>
          <w:color w:val="000000" w:themeColor="text1"/>
        </w:rPr>
        <w:t>в</w:t>
      </w:r>
      <w:r w:rsidR="00A56E08">
        <w:rPr>
          <w:color w:val="000000" w:themeColor="text1"/>
        </w:rPr>
        <w:t>аној</w:t>
      </w:r>
      <w:r w:rsidR="0064215E" w:rsidRPr="00F6340E">
        <w:rPr>
          <w:color w:val="000000" w:themeColor="text1"/>
        </w:rPr>
        <w:t xml:space="preserve"> </w:t>
      </w:r>
      <w:r w:rsidR="00A56E08">
        <w:rPr>
          <w:color w:val="000000" w:themeColor="text1"/>
        </w:rPr>
        <w:t>на</w:t>
      </w:r>
      <w:r>
        <w:rPr>
          <w:color w:val="000000" w:themeColor="text1"/>
        </w:rPr>
        <w:t>ст</w:t>
      </w:r>
      <w:r w:rsidR="00A56E08">
        <w:rPr>
          <w:color w:val="000000" w:themeColor="text1"/>
        </w:rPr>
        <w:t>а</w:t>
      </w:r>
      <w:r>
        <w:rPr>
          <w:color w:val="000000" w:themeColor="text1"/>
        </w:rPr>
        <w:t>в</w:t>
      </w:r>
      <w:r w:rsidR="00A56E08">
        <w:rPr>
          <w:color w:val="000000" w:themeColor="text1"/>
        </w:rPr>
        <w:t>и</w:t>
      </w:r>
      <w:r w:rsidR="0064215E" w:rsidRPr="00F6340E">
        <w:rPr>
          <w:color w:val="000000" w:themeColor="text1"/>
        </w:rPr>
        <w:t xml:space="preserve"> </w:t>
      </w:r>
      <w:r w:rsidR="00A56E08">
        <w:rPr>
          <w:color w:val="000000" w:themeColor="text1"/>
        </w:rPr>
        <w:t>мог</w:t>
      </w:r>
      <w:r>
        <w:rPr>
          <w:color w:val="000000" w:themeColor="text1"/>
        </w:rPr>
        <w:t>у</w:t>
      </w:r>
      <w:r w:rsidR="0064215E" w:rsidRPr="00F6340E">
        <w:rPr>
          <w:color w:val="000000" w:themeColor="text1"/>
        </w:rPr>
        <w:t xml:space="preserve"> </w:t>
      </w:r>
      <w:r>
        <w:rPr>
          <w:color w:val="000000" w:themeColor="text1"/>
        </w:rPr>
        <w:t>с</w:t>
      </w:r>
      <w:r w:rsidR="00EE6AA2">
        <w:rPr>
          <w:color w:val="000000" w:themeColor="text1"/>
        </w:rPr>
        <w:t>е</w:t>
      </w:r>
      <w:r w:rsidR="0064215E" w:rsidRPr="00F6340E">
        <w:rPr>
          <w:color w:val="000000" w:themeColor="text1"/>
        </w:rPr>
        <w:t xml:space="preserve"> </w:t>
      </w:r>
      <w:r w:rsidR="00A56E08">
        <w:rPr>
          <w:color w:val="000000" w:themeColor="text1"/>
        </w:rPr>
        <w:t>о</w:t>
      </w:r>
      <w:r>
        <w:rPr>
          <w:color w:val="000000" w:themeColor="text1"/>
        </w:rPr>
        <w:t>п</w:t>
      </w:r>
      <w:r w:rsidR="00EE6AA2">
        <w:rPr>
          <w:color w:val="000000" w:themeColor="text1"/>
        </w:rPr>
        <w:t>е</w:t>
      </w:r>
      <w:r>
        <w:rPr>
          <w:color w:val="000000" w:themeColor="text1"/>
        </w:rPr>
        <w:t>р</w:t>
      </w:r>
      <w:r w:rsidR="00A56E08">
        <w:rPr>
          <w:color w:val="000000" w:themeColor="text1"/>
        </w:rPr>
        <w:t>ационали</w:t>
      </w:r>
      <w:r w:rsidR="00171F00">
        <w:rPr>
          <w:color w:val="000000" w:themeColor="text1"/>
        </w:rPr>
        <w:t>з</w:t>
      </w:r>
      <w:r w:rsidR="00A56E08">
        <w:rPr>
          <w:color w:val="000000" w:themeColor="text1"/>
        </w:rPr>
        <w:t>о</w:t>
      </w:r>
      <w:r>
        <w:rPr>
          <w:color w:val="000000" w:themeColor="text1"/>
        </w:rPr>
        <w:t>в</w:t>
      </w:r>
      <w:r w:rsidR="00A56E08">
        <w:rPr>
          <w:color w:val="000000" w:themeColor="text1"/>
        </w:rPr>
        <w:t>а</w:t>
      </w:r>
      <w:r>
        <w:rPr>
          <w:color w:val="000000" w:themeColor="text1"/>
        </w:rPr>
        <w:t>т</w:t>
      </w:r>
      <w:r w:rsidR="00A56E08">
        <w:rPr>
          <w:color w:val="000000" w:themeColor="text1"/>
        </w:rPr>
        <w:t>и</w:t>
      </w:r>
      <w:r w:rsidR="0064215E" w:rsidRPr="00F6340E">
        <w:rPr>
          <w:color w:val="000000" w:themeColor="text1"/>
        </w:rPr>
        <w:t xml:space="preserve"> </w:t>
      </w:r>
      <w:r w:rsidR="00A56E08">
        <w:rPr>
          <w:color w:val="000000" w:themeColor="text1"/>
        </w:rPr>
        <w:t>к</w:t>
      </w:r>
      <w:r>
        <w:rPr>
          <w:color w:val="000000" w:themeColor="text1"/>
        </w:rPr>
        <w:t>р</w:t>
      </w:r>
      <w:r w:rsidR="00A56E08">
        <w:rPr>
          <w:color w:val="000000" w:themeColor="text1"/>
        </w:rPr>
        <w:t>о</w:t>
      </w:r>
      <w:r w:rsidR="00171F00">
        <w:rPr>
          <w:color w:val="000000" w:themeColor="text1"/>
        </w:rPr>
        <w:t>з</w:t>
      </w:r>
      <w:r w:rsidR="0064215E" w:rsidRPr="00F6340E">
        <w:rPr>
          <w:color w:val="000000" w:themeColor="text1"/>
        </w:rPr>
        <w:t xml:space="preserve"> </w:t>
      </w:r>
      <w:r>
        <w:rPr>
          <w:color w:val="000000" w:themeColor="text1"/>
        </w:rPr>
        <w:t>тр</w:t>
      </w:r>
      <w:r w:rsidR="00A56E08">
        <w:rPr>
          <w:color w:val="000000" w:themeColor="text1"/>
        </w:rPr>
        <w:t>и</w:t>
      </w:r>
      <w:r w:rsidR="0064215E" w:rsidRPr="00F6340E">
        <w:rPr>
          <w:color w:val="000000" w:themeColor="text1"/>
        </w:rPr>
        <w:t xml:space="preserve"> </w:t>
      </w:r>
      <w:r>
        <w:rPr>
          <w:color w:val="000000" w:themeColor="text1"/>
        </w:rPr>
        <w:t>сту</w:t>
      </w:r>
      <w:r w:rsidR="00A56E08">
        <w:rPr>
          <w:color w:val="000000" w:themeColor="text1"/>
        </w:rPr>
        <w:t>ба</w:t>
      </w:r>
      <w:r w:rsidR="00B04FA8">
        <w:rPr>
          <w:color w:val="000000" w:themeColor="text1"/>
        </w:rPr>
        <w:t xml:space="preserve"> са </w:t>
      </w:r>
      <w:r>
        <w:rPr>
          <w:color w:val="000000" w:themeColor="text1"/>
        </w:rPr>
        <w:t>пр</w:t>
      </w:r>
      <w:r w:rsidR="00A56E08">
        <w:rPr>
          <w:color w:val="000000" w:themeColor="text1"/>
        </w:rPr>
        <w:t>и</w:t>
      </w:r>
      <w:r>
        <w:rPr>
          <w:color w:val="000000" w:themeColor="text1"/>
        </w:rPr>
        <w:t>п</w:t>
      </w:r>
      <w:r w:rsidR="00A56E08">
        <w:rPr>
          <w:color w:val="000000" w:themeColor="text1"/>
        </w:rPr>
        <w:t>адај</w:t>
      </w:r>
      <w:r>
        <w:rPr>
          <w:color w:val="000000" w:themeColor="text1"/>
        </w:rPr>
        <w:t>у</w:t>
      </w:r>
      <w:r w:rsidR="00A56E08">
        <w:rPr>
          <w:color w:val="000000" w:themeColor="text1"/>
        </w:rPr>
        <w:t>ћим</w:t>
      </w:r>
      <w:r w:rsidR="0064215E" w:rsidRPr="00F6340E">
        <w:rPr>
          <w:color w:val="000000" w:themeColor="text1"/>
        </w:rPr>
        <w:t xml:space="preserve"> </w:t>
      </w:r>
      <w:r w:rsidR="00EE6AA2">
        <w:rPr>
          <w:color w:val="000000" w:themeColor="text1"/>
        </w:rPr>
        <w:t>е</w:t>
      </w:r>
      <w:r w:rsidR="00A56E08">
        <w:rPr>
          <w:color w:val="000000" w:themeColor="text1"/>
        </w:rPr>
        <w:t>л</w:t>
      </w:r>
      <w:r w:rsidR="00EE6AA2">
        <w:rPr>
          <w:color w:val="000000" w:themeColor="text1"/>
        </w:rPr>
        <w:t>е</w:t>
      </w:r>
      <w:r w:rsidR="00A56E08">
        <w:rPr>
          <w:color w:val="000000" w:themeColor="text1"/>
        </w:rPr>
        <w:t>м</w:t>
      </w:r>
      <w:r w:rsidR="00EE6AA2">
        <w:rPr>
          <w:color w:val="000000" w:themeColor="text1"/>
        </w:rPr>
        <w:t>е</w:t>
      </w:r>
      <w:r w:rsidR="00A56E08">
        <w:rPr>
          <w:color w:val="000000" w:themeColor="text1"/>
        </w:rPr>
        <w:t>н</w:t>
      </w:r>
      <w:r>
        <w:rPr>
          <w:color w:val="000000" w:themeColor="text1"/>
        </w:rPr>
        <w:t>т</w:t>
      </w:r>
      <w:r w:rsidR="00A56E08">
        <w:rPr>
          <w:color w:val="000000" w:themeColor="text1"/>
        </w:rPr>
        <w:t>има</w:t>
      </w:r>
      <w:r w:rsidR="0064215E" w:rsidRPr="00F6340E">
        <w:rPr>
          <w:color w:val="000000" w:themeColor="text1"/>
        </w:rPr>
        <w:t xml:space="preserve">: </w:t>
      </w:r>
      <w:r w:rsidR="00A56E08">
        <w:rPr>
          <w:color w:val="000000" w:themeColor="text1"/>
        </w:rPr>
        <w:t>инф</w:t>
      </w:r>
      <w:r>
        <w:rPr>
          <w:color w:val="000000" w:themeColor="text1"/>
        </w:rPr>
        <w:t>р</w:t>
      </w:r>
      <w:r w:rsidR="00A56E08">
        <w:rPr>
          <w:color w:val="000000" w:themeColor="text1"/>
        </w:rPr>
        <w:t>а</w:t>
      </w:r>
      <w:r>
        <w:rPr>
          <w:color w:val="000000" w:themeColor="text1"/>
        </w:rPr>
        <w:t>стру</w:t>
      </w:r>
      <w:r w:rsidR="00A56E08">
        <w:rPr>
          <w:color w:val="000000" w:themeColor="text1"/>
        </w:rPr>
        <w:t>к</w:t>
      </w:r>
      <w:r>
        <w:rPr>
          <w:color w:val="000000" w:themeColor="text1"/>
        </w:rPr>
        <w:t>тур</w:t>
      </w:r>
      <w:r w:rsidR="00A56E08">
        <w:rPr>
          <w:color w:val="000000" w:themeColor="text1"/>
        </w:rPr>
        <w:t>а</w:t>
      </w:r>
      <w:r w:rsidR="00B91744" w:rsidRPr="00F6340E">
        <w:rPr>
          <w:color w:val="000000" w:themeColor="text1"/>
        </w:rPr>
        <w:t xml:space="preserve"> </w:t>
      </w:r>
      <w:r w:rsidR="00171F00">
        <w:rPr>
          <w:color w:val="000000" w:themeColor="text1"/>
        </w:rPr>
        <w:t>з</w:t>
      </w:r>
      <w:r w:rsidR="00A56E08">
        <w:rPr>
          <w:color w:val="000000" w:themeColor="text1"/>
        </w:rPr>
        <w:t>а</w:t>
      </w:r>
      <w:r w:rsidR="00B91744" w:rsidRPr="00F6340E">
        <w:rPr>
          <w:color w:val="000000" w:themeColor="text1"/>
        </w:rPr>
        <w:t xml:space="preserve"> </w:t>
      </w:r>
      <w:r w:rsidR="00A56E08">
        <w:rPr>
          <w:color w:val="000000" w:themeColor="text1"/>
        </w:rPr>
        <w:t>ИК</w:t>
      </w:r>
      <w:r>
        <w:rPr>
          <w:color w:val="000000" w:themeColor="text1"/>
        </w:rPr>
        <w:t>Т</w:t>
      </w:r>
      <w:r w:rsidR="0064215E" w:rsidRPr="00F6340E">
        <w:rPr>
          <w:color w:val="000000" w:themeColor="text1"/>
        </w:rPr>
        <w:t xml:space="preserve">, </w:t>
      </w:r>
      <w:r>
        <w:rPr>
          <w:color w:val="000000" w:themeColor="text1"/>
        </w:rPr>
        <w:t>пр</w:t>
      </w:r>
      <w:r w:rsidR="00A56E08">
        <w:rPr>
          <w:color w:val="000000" w:themeColor="text1"/>
        </w:rPr>
        <w:t>а</w:t>
      </w:r>
      <w:r>
        <w:rPr>
          <w:color w:val="000000" w:themeColor="text1"/>
        </w:rPr>
        <w:t>в</w:t>
      </w:r>
      <w:r w:rsidR="00A56E08">
        <w:rPr>
          <w:color w:val="000000" w:themeColor="text1"/>
        </w:rPr>
        <w:t>илници</w:t>
      </w:r>
      <w:r w:rsidR="0064215E" w:rsidRPr="00F6340E">
        <w:rPr>
          <w:color w:val="000000" w:themeColor="text1"/>
        </w:rPr>
        <w:t xml:space="preserve"> </w:t>
      </w:r>
      <w:r w:rsidR="00A56E08">
        <w:rPr>
          <w:color w:val="000000" w:themeColor="text1"/>
        </w:rPr>
        <w:t>који</w:t>
      </w:r>
      <w:r w:rsidR="0064215E" w:rsidRPr="00F6340E">
        <w:rPr>
          <w:color w:val="000000" w:themeColor="text1"/>
        </w:rPr>
        <w:t xml:space="preserve"> </w:t>
      </w:r>
      <w:r>
        <w:rPr>
          <w:color w:val="000000" w:themeColor="text1"/>
        </w:rPr>
        <w:t>пр</w:t>
      </w:r>
      <w:r w:rsidR="00A56E08">
        <w:rPr>
          <w:color w:val="000000" w:themeColor="text1"/>
        </w:rPr>
        <w:t>а</w:t>
      </w:r>
      <w:r>
        <w:rPr>
          <w:color w:val="000000" w:themeColor="text1"/>
        </w:rPr>
        <w:t>т</w:t>
      </w:r>
      <w:r w:rsidR="00EE6AA2">
        <w:rPr>
          <w:color w:val="000000" w:themeColor="text1"/>
        </w:rPr>
        <w:t>е</w:t>
      </w:r>
      <w:r w:rsidR="0064215E" w:rsidRPr="00F6340E">
        <w:rPr>
          <w:color w:val="000000" w:themeColor="text1"/>
        </w:rPr>
        <w:t xml:space="preserve"> </w:t>
      </w:r>
      <w:r w:rsidR="00A56E08">
        <w:rPr>
          <w:color w:val="000000" w:themeColor="text1"/>
        </w:rPr>
        <w:t>њ</w:t>
      </w:r>
      <w:r w:rsidR="00EE6AA2">
        <w:rPr>
          <w:color w:val="000000" w:themeColor="text1"/>
        </w:rPr>
        <w:t>е</w:t>
      </w:r>
      <w:r w:rsidR="00A56E08">
        <w:rPr>
          <w:color w:val="000000" w:themeColor="text1"/>
        </w:rPr>
        <w:t>н</w:t>
      </w:r>
      <w:r>
        <w:rPr>
          <w:color w:val="000000" w:themeColor="text1"/>
        </w:rPr>
        <w:t>у</w:t>
      </w:r>
      <w:r w:rsidR="0064215E" w:rsidRPr="00F6340E">
        <w:rPr>
          <w:color w:val="000000" w:themeColor="text1"/>
        </w:rPr>
        <w:t xml:space="preserve"> </w:t>
      </w:r>
      <w:r>
        <w:rPr>
          <w:color w:val="000000" w:themeColor="text1"/>
        </w:rPr>
        <w:t>пр</w:t>
      </w:r>
      <w:r w:rsidR="00A56E08">
        <w:rPr>
          <w:color w:val="000000" w:themeColor="text1"/>
        </w:rPr>
        <w:t>имј</w:t>
      </w:r>
      <w:r w:rsidR="00EE6AA2">
        <w:rPr>
          <w:color w:val="000000" w:themeColor="text1"/>
        </w:rPr>
        <w:t>е</w:t>
      </w:r>
      <w:r w:rsidR="00A56E08">
        <w:rPr>
          <w:color w:val="000000" w:themeColor="text1"/>
        </w:rPr>
        <w:t>н</w:t>
      </w:r>
      <w:r>
        <w:rPr>
          <w:color w:val="000000" w:themeColor="text1"/>
        </w:rPr>
        <w:t>у</w:t>
      </w:r>
      <w:r w:rsidR="0064215E" w:rsidRPr="00F6340E">
        <w:rPr>
          <w:color w:val="000000" w:themeColor="text1"/>
        </w:rPr>
        <w:t xml:space="preserve"> </w:t>
      </w:r>
      <w:r w:rsidR="00A56E08">
        <w:rPr>
          <w:color w:val="000000" w:themeColor="text1"/>
        </w:rPr>
        <w:t>и</w:t>
      </w:r>
      <w:r w:rsidR="0064215E" w:rsidRPr="00F6340E">
        <w:rPr>
          <w:color w:val="000000" w:themeColor="text1"/>
        </w:rPr>
        <w:t xml:space="preserve"> </w:t>
      </w:r>
      <w:r w:rsidR="00A56E08">
        <w:rPr>
          <w:color w:val="000000" w:themeColor="text1"/>
        </w:rPr>
        <w:t>диги</w:t>
      </w:r>
      <w:r>
        <w:rPr>
          <w:color w:val="000000" w:themeColor="text1"/>
        </w:rPr>
        <w:t>т</w:t>
      </w:r>
      <w:r w:rsidR="00A56E08">
        <w:rPr>
          <w:color w:val="000000" w:themeColor="text1"/>
        </w:rPr>
        <w:t>алн</w:t>
      </w:r>
      <w:r w:rsidR="00EE6AA2">
        <w:rPr>
          <w:color w:val="000000" w:themeColor="text1"/>
        </w:rPr>
        <w:t>е</w:t>
      </w:r>
      <w:r w:rsidR="0064215E" w:rsidRPr="00F6340E">
        <w:rPr>
          <w:color w:val="000000" w:themeColor="text1"/>
        </w:rPr>
        <w:t xml:space="preserve"> </w:t>
      </w:r>
      <w:r w:rsidR="00A56E08">
        <w:rPr>
          <w:color w:val="000000" w:themeColor="text1"/>
        </w:rPr>
        <w:t>ком</w:t>
      </w:r>
      <w:r>
        <w:rPr>
          <w:color w:val="000000" w:themeColor="text1"/>
        </w:rPr>
        <w:t>п</w:t>
      </w:r>
      <w:r w:rsidR="00EE6AA2">
        <w:rPr>
          <w:color w:val="000000" w:themeColor="text1"/>
        </w:rPr>
        <w:t>е</w:t>
      </w:r>
      <w:r>
        <w:rPr>
          <w:color w:val="000000" w:themeColor="text1"/>
        </w:rPr>
        <w:t>т</w:t>
      </w:r>
      <w:r w:rsidR="00EE6AA2">
        <w:rPr>
          <w:color w:val="000000" w:themeColor="text1"/>
        </w:rPr>
        <w:t>е</w:t>
      </w:r>
      <w:r w:rsidR="00A56E08">
        <w:rPr>
          <w:color w:val="000000" w:themeColor="text1"/>
        </w:rPr>
        <w:t>нциј</w:t>
      </w:r>
      <w:r w:rsidR="00EE6AA2">
        <w:rPr>
          <w:color w:val="000000" w:themeColor="text1"/>
        </w:rPr>
        <w:t>е</w:t>
      </w:r>
      <w:r w:rsidR="0064215E" w:rsidRPr="00F6340E">
        <w:rPr>
          <w:color w:val="000000" w:themeColor="text1"/>
        </w:rPr>
        <w:t xml:space="preserve"> </w:t>
      </w:r>
      <w:r w:rsidR="00A56E08">
        <w:rPr>
          <w:color w:val="000000" w:themeColor="text1"/>
        </w:rPr>
        <w:t>на</w:t>
      </w:r>
      <w:r>
        <w:rPr>
          <w:color w:val="000000" w:themeColor="text1"/>
        </w:rPr>
        <w:t>ст</w:t>
      </w:r>
      <w:r w:rsidR="00A56E08">
        <w:rPr>
          <w:color w:val="000000" w:themeColor="text1"/>
        </w:rPr>
        <w:t>а</w:t>
      </w:r>
      <w:r>
        <w:rPr>
          <w:color w:val="000000" w:themeColor="text1"/>
        </w:rPr>
        <w:t>в</w:t>
      </w:r>
      <w:r w:rsidR="00A56E08">
        <w:rPr>
          <w:color w:val="000000" w:themeColor="text1"/>
        </w:rPr>
        <w:t>ника</w:t>
      </w:r>
      <w:r w:rsidR="0064215E" w:rsidRPr="00F6340E">
        <w:rPr>
          <w:color w:val="000000" w:themeColor="text1"/>
        </w:rPr>
        <w:t xml:space="preserve">. </w:t>
      </w:r>
    </w:p>
    <w:p w14:paraId="0D446804" w14:textId="5493654C" w:rsidR="00B60442" w:rsidRPr="00F6340E" w:rsidRDefault="00A56E08" w:rsidP="000962EB">
      <w:pPr>
        <w:pStyle w:val="Heading2"/>
        <w:numPr>
          <w:ilvl w:val="1"/>
          <w:numId w:val="70"/>
        </w:numPr>
        <w:rPr>
          <w:lang w:val="sr-Cyrl-BA"/>
        </w:rPr>
      </w:pPr>
      <w:bookmarkStart w:id="26" w:name="_Toc119050308"/>
      <w:r>
        <w:rPr>
          <w:lang w:val="sr-Cyrl-BA"/>
        </w:rPr>
        <w:t>Инф</w:t>
      </w:r>
      <w:r w:rsidR="0071360A">
        <w:rPr>
          <w:lang w:val="sr-Cyrl-BA"/>
        </w:rPr>
        <w:t>р</w:t>
      </w:r>
      <w:r>
        <w:rPr>
          <w:lang w:val="sr-Cyrl-BA"/>
        </w:rPr>
        <w:t>а</w:t>
      </w:r>
      <w:r w:rsidR="0071360A">
        <w:rPr>
          <w:lang w:val="sr-Cyrl-BA"/>
        </w:rPr>
        <w:t>стру</w:t>
      </w:r>
      <w:r>
        <w:rPr>
          <w:lang w:val="sr-Cyrl-BA"/>
        </w:rPr>
        <w:t>к</w:t>
      </w:r>
      <w:r w:rsidR="0071360A">
        <w:rPr>
          <w:lang w:val="sr-Cyrl-BA"/>
        </w:rPr>
        <w:t>тур</w:t>
      </w:r>
      <w:r>
        <w:rPr>
          <w:lang w:val="sr-Cyrl-BA"/>
        </w:rPr>
        <w:t>а</w:t>
      </w:r>
      <w:r w:rsidR="00B91744" w:rsidRPr="00F6340E">
        <w:rPr>
          <w:lang w:val="sr-Cyrl-BA"/>
        </w:rPr>
        <w:t xml:space="preserve"> </w:t>
      </w:r>
      <w:r w:rsidR="00171F00">
        <w:rPr>
          <w:lang w:val="sr-Cyrl-BA"/>
        </w:rPr>
        <w:t>з</w:t>
      </w:r>
      <w:r>
        <w:rPr>
          <w:lang w:val="sr-Cyrl-BA"/>
        </w:rPr>
        <w:t>а</w:t>
      </w:r>
      <w:r w:rsidR="00B91744" w:rsidRPr="00F6340E">
        <w:rPr>
          <w:lang w:val="sr-Cyrl-BA"/>
        </w:rPr>
        <w:t xml:space="preserve"> </w:t>
      </w:r>
      <w:r>
        <w:rPr>
          <w:lang w:val="sr-Cyrl-BA"/>
        </w:rPr>
        <w:t>ИК</w:t>
      </w:r>
      <w:r w:rsidR="0071360A">
        <w:rPr>
          <w:lang w:val="sr-Cyrl-BA"/>
        </w:rPr>
        <w:t>Т</w:t>
      </w:r>
      <w:bookmarkEnd w:id="26"/>
    </w:p>
    <w:p w14:paraId="145726B1" w14:textId="77777777" w:rsidR="00B60442" w:rsidRPr="00F6340E" w:rsidRDefault="00B60442" w:rsidP="00F83E0E">
      <w:pPr>
        <w:pStyle w:val="NoSpacing"/>
        <w:spacing w:line="276" w:lineRule="auto"/>
        <w:rPr>
          <w:rFonts w:ascii="Arial" w:hAnsi="Arial" w:cs="Arial"/>
          <w:i/>
          <w:iCs/>
          <w:noProof w:val="0"/>
          <w:sz w:val="24"/>
          <w:szCs w:val="24"/>
          <w:lang w:val="sr-Cyrl-BA"/>
        </w:rPr>
      </w:pPr>
    </w:p>
    <w:p w14:paraId="1248C311" w14:textId="2FA5CD79" w:rsidR="00780E20" w:rsidRPr="00F6340E" w:rsidRDefault="00A56E08" w:rsidP="00FA4DC9">
      <w:pPr>
        <w:pStyle w:val="Body"/>
      </w:pPr>
      <w:r>
        <w:t>Инфо</w:t>
      </w:r>
      <w:r w:rsidR="0071360A">
        <w:t>р</w:t>
      </w:r>
      <w:r>
        <w:t>ма</w:t>
      </w:r>
      <w:r w:rsidR="0071360A">
        <w:t>т</w:t>
      </w:r>
      <w:r>
        <w:t>ичко</w:t>
      </w:r>
      <w:r w:rsidR="00610411" w:rsidRPr="00F6340E">
        <w:t xml:space="preserve"> – </w:t>
      </w:r>
      <w:r>
        <w:t>ком</w:t>
      </w:r>
      <w:r w:rsidR="0071360A">
        <w:t>у</w:t>
      </w:r>
      <w:r>
        <w:t>никациона</w:t>
      </w:r>
      <w:r w:rsidR="00610411" w:rsidRPr="00F6340E">
        <w:t xml:space="preserve"> </w:t>
      </w:r>
      <w:r w:rsidR="0071360A">
        <w:t>т</w:t>
      </w:r>
      <w:r w:rsidR="00EE6AA2">
        <w:t>е</w:t>
      </w:r>
      <w:r>
        <w:t>хнологија</w:t>
      </w:r>
      <w:r w:rsidR="00B60442" w:rsidRPr="00F6340E">
        <w:t xml:space="preserve"> (</w:t>
      </w:r>
      <w:r>
        <w:t>ИК</w:t>
      </w:r>
      <w:r w:rsidR="0071360A">
        <w:t>Т</w:t>
      </w:r>
      <w:r w:rsidR="00B60442" w:rsidRPr="00F6340E">
        <w:t xml:space="preserve">) </w:t>
      </w:r>
      <w:r w:rsidR="0071360A">
        <w:t>пр</w:t>
      </w:r>
      <w:r w:rsidR="00EE6AA2">
        <w:t>е</w:t>
      </w:r>
      <w:r>
        <w:t>д</w:t>
      </w:r>
      <w:r w:rsidR="0071360A">
        <w:t>ст</w:t>
      </w:r>
      <w:r>
        <w:t>а</w:t>
      </w:r>
      <w:r w:rsidR="0071360A">
        <w:t>в</w:t>
      </w:r>
      <w:r>
        <w:t>ља</w:t>
      </w:r>
      <w:r w:rsidR="00B60442" w:rsidRPr="00F6340E">
        <w:t xml:space="preserve"> </w:t>
      </w:r>
      <w:r w:rsidR="0071360A">
        <w:t>т</w:t>
      </w:r>
      <w:r w:rsidR="00EE6AA2">
        <w:t>е</w:t>
      </w:r>
      <w:r>
        <w:t>хнологиј</w:t>
      </w:r>
      <w:r w:rsidR="0071360A">
        <w:t>у</w:t>
      </w:r>
      <w:r w:rsidR="00B60442" w:rsidRPr="00F6340E">
        <w:t xml:space="preserve"> </w:t>
      </w:r>
      <w:r>
        <w:t>која</w:t>
      </w:r>
      <w:r w:rsidR="00B60442" w:rsidRPr="00F6340E">
        <w:t xml:space="preserve"> </w:t>
      </w:r>
      <w:r w:rsidR="0071360A">
        <w:t>п</w:t>
      </w:r>
      <w:r>
        <w:t>ок</w:t>
      </w:r>
      <w:r w:rsidR="0071360A">
        <w:t>р</w:t>
      </w:r>
      <w:r>
        <w:t>и</w:t>
      </w:r>
      <w:r w:rsidR="0071360A">
        <w:t>в</w:t>
      </w:r>
      <w:r>
        <w:t>а</w:t>
      </w:r>
      <w:r w:rsidR="00B60442" w:rsidRPr="00F6340E">
        <w:t xml:space="preserve"> </w:t>
      </w:r>
      <w:r w:rsidR="0071360A">
        <w:t>св</w:t>
      </w:r>
      <w:r>
        <w:t>аки</w:t>
      </w:r>
      <w:r w:rsidR="00B60442" w:rsidRPr="00F6340E">
        <w:t xml:space="preserve"> </w:t>
      </w:r>
      <w:r w:rsidR="0071360A">
        <w:t>пр</w:t>
      </w:r>
      <w:r>
        <w:t>ои</w:t>
      </w:r>
      <w:r w:rsidR="00171F00">
        <w:t>з</w:t>
      </w:r>
      <w:r w:rsidR="0071360A">
        <w:t>в</w:t>
      </w:r>
      <w:r>
        <w:t>од</w:t>
      </w:r>
      <w:r w:rsidR="00B60442" w:rsidRPr="00F6340E">
        <w:t xml:space="preserve"> </w:t>
      </w:r>
      <w:r>
        <w:t>или</w:t>
      </w:r>
      <w:r w:rsidR="00B60442" w:rsidRPr="00F6340E">
        <w:t xml:space="preserve"> </w:t>
      </w:r>
      <w:r w:rsidR="0071360A">
        <w:t>ус</w:t>
      </w:r>
      <w:r>
        <w:t>л</w:t>
      </w:r>
      <w:r w:rsidR="0071360A">
        <w:t>у</w:t>
      </w:r>
      <w:r>
        <w:t>г</w:t>
      </w:r>
      <w:r w:rsidR="0071360A">
        <w:t>у</w:t>
      </w:r>
      <w:r w:rsidR="00B60442" w:rsidRPr="00F6340E">
        <w:t xml:space="preserve"> </w:t>
      </w:r>
      <w:r>
        <w:t>која</w:t>
      </w:r>
      <w:r w:rsidR="00B60442" w:rsidRPr="00F6340E">
        <w:t xml:space="preserve"> </w:t>
      </w:r>
      <w:r>
        <w:t>ј</w:t>
      </w:r>
      <w:r w:rsidR="00EE6AA2">
        <w:t>е</w:t>
      </w:r>
      <w:r w:rsidR="00B60442" w:rsidRPr="00F6340E">
        <w:t xml:space="preserve"> </w:t>
      </w:r>
      <w:r>
        <w:t>ди</w:t>
      </w:r>
      <w:r w:rsidR="00171F00">
        <w:t>з</w:t>
      </w:r>
      <w:r>
        <w:t>ајни</w:t>
      </w:r>
      <w:r w:rsidR="0071360A">
        <w:t>р</w:t>
      </w:r>
      <w:r>
        <w:t>ана</w:t>
      </w:r>
      <w:r w:rsidR="00B60442" w:rsidRPr="00F6340E">
        <w:t xml:space="preserve"> </w:t>
      </w:r>
      <w:r w:rsidR="00171F00">
        <w:t>з</w:t>
      </w:r>
      <w:r>
        <w:t>а</w:t>
      </w:r>
      <w:r w:rsidR="00B60442" w:rsidRPr="00F6340E">
        <w:t xml:space="preserve"> </w:t>
      </w:r>
      <w:r w:rsidR="0071360A">
        <w:t>п</w:t>
      </w:r>
      <w:r>
        <w:t>ох</w:t>
      </w:r>
      <w:r w:rsidR="0071360A">
        <w:t>р</w:t>
      </w:r>
      <w:r>
        <w:t>ан</w:t>
      </w:r>
      <w:r w:rsidR="0071360A">
        <w:t>у</w:t>
      </w:r>
      <w:r w:rsidR="00B60442" w:rsidRPr="00F6340E">
        <w:t xml:space="preserve">, </w:t>
      </w:r>
      <w:r w:rsidR="0071360A">
        <w:t>пр</w:t>
      </w:r>
      <w:r w:rsidR="00EE6AA2">
        <w:t>е</w:t>
      </w:r>
      <w:r w:rsidR="0071360A">
        <w:t>у</w:t>
      </w:r>
      <w:r w:rsidR="00171F00">
        <w:t>з</w:t>
      </w:r>
      <w:r>
        <w:t>имањ</w:t>
      </w:r>
      <w:r w:rsidR="00EE6AA2">
        <w:t>е</w:t>
      </w:r>
      <w:r w:rsidR="00B60442" w:rsidRPr="00F6340E">
        <w:t xml:space="preserve">, </w:t>
      </w:r>
      <w:r>
        <w:t>мани</w:t>
      </w:r>
      <w:r w:rsidR="0071360A">
        <w:t>пу</w:t>
      </w:r>
      <w:r>
        <w:t>лациј</w:t>
      </w:r>
      <w:r w:rsidR="0071360A">
        <w:t>у</w:t>
      </w:r>
      <w:r w:rsidR="00B60442" w:rsidRPr="00F6340E">
        <w:t xml:space="preserve">, </w:t>
      </w:r>
      <w:r w:rsidR="0071360A">
        <w:t>пр</w:t>
      </w:r>
      <w:r w:rsidR="00EE6AA2">
        <w:t>е</w:t>
      </w:r>
      <w:r>
        <w:t>но</w:t>
      </w:r>
      <w:r w:rsidR="0071360A">
        <w:t>с</w:t>
      </w:r>
      <w:r w:rsidR="00B60442" w:rsidRPr="00F6340E">
        <w:t xml:space="preserve"> </w:t>
      </w:r>
      <w:r>
        <w:t>или</w:t>
      </w:r>
      <w:r w:rsidR="00B60442" w:rsidRPr="00F6340E">
        <w:t xml:space="preserve"> </w:t>
      </w:r>
      <w:r w:rsidR="0071360A">
        <w:t>пр</w:t>
      </w:r>
      <w:r>
        <w:t>имањ</w:t>
      </w:r>
      <w:r w:rsidR="00EE6AA2">
        <w:t>е</w:t>
      </w:r>
      <w:r w:rsidR="00B60442" w:rsidRPr="00F6340E">
        <w:t xml:space="preserve"> </w:t>
      </w:r>
      <w:r>
        <w:t>инфо</w:t>
      </w:r>
      <w:r w:rsidR="0071360A">
        <w:t>р</w:t>
      </w:r>
      <w:r>
        <w:t>мација</w:t>
      </w:r>
      <w:r w:rsidR="00B60442" w:rsidRPr="00F6340E">
        <w:t xml:space="preserve"> </w:t>
      </w:r>
      <w:r w:rsidR="00EE6AA2">
        <w:t>е</w:t>
      </w:r>
      <w:r>
        <w:t>л</w:t>
      </w:r>
      <w:r w:rsidR="00EE6AA2">
        <w:t>е</w:t>
      </w:r>
      <w:r>
        <w:t>к</w:t>
      </w:r>
      <w:r w:rsidR="0071360A">
        <w:t>тр</w:t>
      </w:r>
      <w:r>
        <w:t>он</w:t>
      </w:r>
      <w:r w:rsidR="0071360A">
        <w:t>с</w:t>
      </w:r>
      <w:r>
        <w:t>ким</w:t>
      </w:r>
      <w:r w:rsidR="00B60442" w:rsidRPr="00F6340E">
        <w:t xml:space="preserve"> </w:t>
      </w:r>
      <w:r w:rsidR="0071360A">
        <w:t>пут</w:t>
      </w:r>
      <w:r w:rsidR="00EE6AA2">
        <w:t>е</w:t>
      </w:r>
      <w:r>
        <w:t>м</w:t>
      </w:r>
      <w:r w:rsidR="00B60442" w:rsidRPr="00F6340E">
        <w:t xml:space="preserve"> </w:t>
      </w:r>
      <w:r w:rsidR="0071360A">
        <w:t>у</w:t>
      </w:r>
      <w:r w:rsidR="00B60442" w:rsidRPr="00F6340E">
        <w:t xml:space="preserve"> </w:t>
      </w:r>
      <w:r>
        <w:t>диги</w:t>
      </w:r>
      <w:r w:rsidR="0071360A">
        <w:t>т</w:t>
      </w:r>
      <w:r>
        <w:t>алном</w:t>
      </w:r>
      <w:r w:rsidR="00B60442" w:rsidRPr="00F6340E">
        <w:t xml:space="preserve"> </w:t>
      </w:r>
      <w:r>
        <w:t>облик</w:t>
      </w:r>
      <w:r w:rsidR="0071360A">
        <w:t>у</w:t>
      </w:r>
      <w:r w:rsidR="00B60442" w:rsidRPr="00F6340E">
        <w:t xml:space="preserve">. </w:t>
      </w:r>
      <w:r w:rsidR="0071360A">
        <w:t>Т</w:t>
      </w:r>
      <w:r>
        <w:t>о</w:t>
      </w:r>
      <w:r w:rsidR="00B60442" w:rsidRPr="00F6340E">
        <w:t xml:space="preserve"> </w:t>
      </w:r>
      <w:r>
        <w:t>мог</w:t>
      </w:r>
      <w:r w:rsidR="0071360A">
        <w:t>у</w:t>
      </w:r>
      <w:r w:rsidR="00B60442" w:rsidRPr="00F6340E">
        <w:t xml:space="preserve"> </w:t>
      </w:r>
      <w:r>
        <w:t>би</w:t>
      </w:r>
      <w:r w:rsidR="0071360A">
        <w:t>т</w:t>
      </w:r>
      <w:r>
        <w:t>и</w:t>
      </w:r>
      <w:r w:rsidR="00B60442" w:rsidRPr="00F6340E">
        <w:t xml:space="preserve"> </w:t>
      </w:r>
      <w:r w:rsidR="0071360A">
        <w:t>п</w:t>
      </w:r>
      <w:r w:rsidR="00EE6AA2">
        <w:t>е</w:t>
      </w:r>
      <w:r w:rsidR="0071360A">
        <w:t>рс</w:t>
      </w:r>
      <w:r>
        <w:t>онални</w:t>
      </w:r>
      <w:r w:rsidR="00B60442" w:rsidRPr="00F6340E">
        <w:t xml:space="preserve"> </w:t>
      </w:r>
      <w:r w:rsidR="0071360A">
        <w:t>р</w:t>
      </w:r>
      <w:r>
        <w:t>ач</w:t>
      </w:r>
      <w:r w:rsidR="0071360A">
        <w:t>у</w:t>
      </w:r>
      <w:r>
        <w:t>на</w:t>
      </w:r>
      <w:r w:rsidR="0071360A">
        <w:t>р</w:t>
      </w:r>
      <w:r>
        <w:t>и</w:t>
      </w:r>
      <w:r w:rsidR="00B60442" w:rsidRPr="00F6340E">
        <w:t xml:space="preserve"> (</w:t>
      </w:r>
      <w:r w:rsidR="0071360A">
        <w:t>П</w:t>
      </w:r>
      <w:r>
        <w:t>Ц</w:t>
      </w:r>
      <w:r w:rsidR="00B60442" w:rsidRPr="00F6340E">
        <w:t xml:space="preserve">), </w:t>
      </w:r>
      <w:r w:rsidR="0071360A">
        <w:t>пру</w:t>
      </w:r>
      <w:r w:rsidR="00171F00">
        <w:t>ж</w:t>
      </w:r>
      <w:r>
        <w:t>аоци</w:t>
      </w:r>
      <w:r w:rsidR="00B60442" w:rsidRPr="00F6340E">
        <w:t xml:space="preserve"> </w:t>
      </w:r>
      <w:r w:rsidR="0071360A">
        <w:t>ус</w:t>
      </w:r>
      <w:r>
        <w:t>л</w:t>
      </w:r>
      <w:r w:rsidR="0071360A">
        <w:t>у</w:t>
      </w:r>
      <w:r>
        <w:t>га</w:t>
      </w:r>
      <w:r w:rsidR="00B60442" w:rsidRPr="00F6340E">
        <w:t xml:space="preserve"> </w:t>
      </w:r>
      <w:r w:rsidR="0071360A">
        <w:t>у</w:t>
      </w:r>
      <w:r w:rsidR="00B60442" w:rsidRPr="00F6340E">
        <w:t xml:space="preserve"> </w:t>
      </w:r>
      <w:r>
        <w:t>облак</w:t>
      </w:r>
      <w:r w:rsidR="0071360A">
        <w:t>у</w:t>
      </w:r>
      <w:r w:rsidR="00B60442" w:rsidRPr="00F6340E">
        <w:t xml:space="preserve">, </w:t>
      </w:r>
      <w:r>
        <w:t>д</w:t>
      </w:r>
      <w:r w:rsidR="0071360A">
        <w:t>руштв</w:t>
      </w:r>
      <w:r w:rsidR="00EE6AA2">
        <w:t>е</w:t>
      </w:r>
      <w:r>
        <w:t>ни</w:t>
      </w:r>
      <w:r w:rsidR="00B60442" w:rsidRPr="00F6340E">
        <w:t xml:space="preserve"> </w:t>
      </w:r>
      <w:r>
        <w:t>м</w:t>
      </w:r>
      <w:r w:rsidR="00EE6AA2">
        <w:t>е</w:t>
      </w:r>
      <w:r>
        <w:t>дији</w:t>
      </w:r>
      <w:r w:rsidR="00B60442" w:rsidRPr="00F6340E">
        <w:t xml:space="preserve">, </w:t>
      </w:r>
      <w:r w:rsidR="0071360A">
        <w:t>ТВ</w:t>
      </w:r>
      <w:r w:rsidR="00B60442" w:rsidRPr="00F6340E">
        <w:t xml:space="preserve">, </w:t>
      </w:r>
      <w:r w:rsidR="0071360A">
        <w:t>р</w:t>
      </w:r>
      <w:r>
        <w:t>адио</w:t>
      </w:r>
      <w:r w:rsidR="00621237" w:rsidRPr="00F6340E">
        <w:t xml:space="preserve">, </w:t>
      </w:r>
      <w:r>
        <w:t>Ин</w:t>
      </w:r>
      <w:r w:rsidR="0071360A">
        <w:t>т</w:t>
      </w:r>
      <w:r w:rsidR="00EE6AA2">
        <w:t>е</w:t>
      </w:r>
      <w:r w:rsidR="0071360A">
        <w:t>р</w:t>
      </w:r>
      <w:r>
        <w:t>н</w:t>
      </w:r>
      <w:r w:rsidR="00EE6AA2">
        <w:t>е</w:t>
      </w:r>
      <w:r w:rsidR="0071360A">
        <w:t>т</w:t>
      </w:r>
      <w:r w:rsidR="00B60442" w:rsidRPr="00F6340E">
        <w:t xml:space="preserve"> </w:t>
      </w:r>
      <w:r>
        <w:t>и</w:t>
      </w:r>
      <w:r w:rsidR="00B60442" w:rsidRPr="00F6340E">
        <w:t xml:space="preserve"> </w:t>
      </w:r>
      <w:r>
        <w:t>д</w:t>
      </w:r>
      <w:r w:rsidR="0071360A">
        <w:t>р</w:t>
      </w:r>
      <w:r w:rsidR="00B60442" w:rsidRPr="00F6340E">
        <w:t>. (</w:t>
      </w:r>
      <w:r w:rsidR="0071360A">
        <w:t>У</w:t>
      </w:r>
      <w:r>
        <w:t>Н</w:t>
      </w:r>
      <w:r w:rsidR="00EE6AA2">
        <w:t>Е</w:t>
      </w:r>
      <w:r w:rsidR="0071360A">
        <w:t>С</w:t>
      </w:r>
      <w:r>
        <w:t>ЦО</w:t>
      </w:r>
      <w:r w:rsidR="00B60442" w:rsidRPr="00F6340E">
        <w:t>, 2022).</w:t>
      </w:r>
      <w:r w:rsidR="00D26894" w:rsidRPr="00F6340E">
        <w:t xml:space="preserve"> </w:t>
      </w:r>
      <w:r>
        <w:t>Инф</w:t>
      </w:r>
      <w:r w:rsidR="0071360A">
        <w:t>р</w:t>
      </w:r>
      <w:r>
        <w:t>а</w:t>
      </w:r>
      <w:r w:rsidR="0071360A">
        <w:t>стру</w:t>
      </w:r>
      <w:r>
        <w:t>к</w:t>
      </w:r>
      <w:r w:rsidR="0071360A">
        <w:t>тур</w:t>
      </w:r>
      <w:r>
        <w:t>а</w:t>
      </w:r>
      <w:r w:rsidR="00B91744" w:rsidRPr="00F6340E">
        <w:t xml:space="preserve"> </w:t>
      </w:r>
      <w:r w:rsidR="00171F00">
        <w:t>з</w:t>
      </w:r>
      <w:r>
        <w:t>а</w:t>
      </w:r>
      <w:r w:rsidR="00B91744" w:rsidRPr="00F6340E">
        <w:t xml:space="preserve"> </w:t>
      </w:r>
      <w:r>
        <w:t>ИК</w:t>
      </w:r>
      <w:r w:rsidR="0071360A">
        <w:t>Т</w:t>
      </w:r>
      <w:r w:rsidR="00B60442" w:rsidRPr="00F6340E">
        <w:t xml:space="preserve">, </w:t>
      </w:r>
      <w:r>
        <w:t>и</w:t>
      </w:r>
      <w:r w:rsidR="00610411" w:rsidRPr="00F6340E">
        <w:t xml:space="preserve"> </w:t>
      </w:r>
      <w:r w:rsidR="00171F00">
        <w:t>з</w:t>
      </w:r>
      <w:r>
        <w:t>а</w:t>
      </w:r>
      <w:r w:rsidR="0071360A">
        <w:t>т</w:t>
      </w:r>
      <w:r>
        <w:t>о</w:t>
      </w:r>
      <w:r w:rsidR="00B60442"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B60442" w:rsidRPr="00F6340E">
        <w:t xml:space="preserve"> </w:t>
      </w:r>
      <w:r>
        <w:t>о</w:t>
      </w:r>
      <w:r w:rsidR="0071360A">
        <w:t>пр</w:t>
      </w:r>
      <w:r w:rsidR="00EE6AA2">
        <w:t>е</w:t>
      </w:r>
      <w:r>
        <w:t>мљ</w:t>
      </w:r>
      <w:r w:rsidR="00EE6AA2">
        <w:t>е</w:t>
      </w:r>
      <w:r>
        <w:t>но</w:t>
      </w:r>
      <w:r w:rsidR="0071360A">
        <w:t>ст</w:t>
      </w:r>
      <w:r w:rsidR="00B60442" w:rsidRPr="00F6340E">
        <w:t xml:space="preserve"> </w:t>
      </w:r>
      <w:r>
        <w:t>об</w:t>
      </w:r>
      <w:r w:rsidR="0071360A">
        <w:t>р</w:t>
      </w:r>
      <w:r>
        <w:t>а</w:t>
      </w:r>
      <w:r w:rsidR="00171F00">
        <w:t>з</w:t>
      </w:r>
      <w:r>
        <w:t>о</w:t>
      </w:r>
      <w:r w:rsidR="0071360A">
        <w:t>в</w:t>
      </w:r>
      <w:r>
        <w:t>н</w:t>
      </w:r>
      <w:r w:rsidR="00EE6AA2">
        <w:t>е</w:t>
      </w:r>
      <w:r w:rsidR="00B60442" w:rsidRPr="00F6340E">
        <w:t xml:space="preserve"> </w:t>
      </w:r>
      <w:r>
        <w:t>ин</w:t>
      </w:r>
      <w:r w:rsidR="0071360A">
        <w:t>ст</w:t>
      </w:r>
      <w:r>
        <w:t>и</w:t>
      </w:r>
      <w:r w:rsidR="0071360A">
        <w:t>ту</w:t>
      </w:r>
      <w:r>
        <w:t>циј</w:t>
      </w:r>
      <w:r w:rsidR="00EE6AA2">
        <w:t>е</w:t>
      </w:r>
      <w:r w:rsidR="00B60442" w:rsidRPr="00F6340E">
        <w:t xml:space="preserve"> </w:t>
      </w:r>
      <w:r>
        <w:t>како</w:t>
      </w:r>
      <w:r w:rsidR="00B60442" w:rsidRPr="00F6340E">
        <w:t xml:space="preserve"> </w:t>
      </w:r>
      <w:r>
        <w:t>ха</w:t>
      </w:r>
      <w:r w:rsidR="0071360A">
        <w:t>р</w:t>
      </w:r>
      <w:r>
        <w:t>д</w:t>
      </w:r>
      <w:r w:rsidR="0071360A">
        <w:t>в</w:t>
      </w:r>
      <w:r w:rsidR="00EE6AA2">
        <w:t>е</w:t>
      </w:r>
      <w:r w:rsidR="0071360A">
        <w:t>р</w:t>
      </w:r>
      <w:r>
        <w:t>ом</w:t>
      </w:r>
      <w:r w:rsidR="00B60442" w:rsidRPr="00F6340E">
        <w:t xml:space="preserve">, </w:t>
      </w:r>
      <w:r w:rsidR="0071360A">
        <w:t>т</w:t>
      </w:r>
      <w:r>
        <w:t>ако</w:t>
      </w:r>
      <w:r w:rsidR="00B60442" w:rsidRPr="00F6340E">
        <w:t xml:space="preserve"> </w:t>
      </w:r>
      <w:r>
        <w:t>и</w:t>
      </w:r>
      <w:r w:rsidR="00B60442" w:rsidRPr="00F6340E">
        <w:t xml:space="preserve"> </w:t>
      </w:r>
      <w:r>
        <w:t>одго</w:t>
      </w:r>
      <w:r w:rsidR="0071360A">
        <w:t>в</w:t>
      </w:r>
      <w:r>
        <w:t>а</w:t>
      </w:r>
      <w:r w:rsidR="0071360A">
        <w:t>р</w:t>
      </w:r>
      <w:r>
        <w:t>ај</w:t>
      </w:r>
      <w:r w:rsidR="0071360A">
        <w:t>у</w:t>
      </w:r>
      <w:r>
        <w:t>ћим</w:t>
      </w:r>
      <w:r w:rsidR="00B60442" w:rsidRPr="00F6340E">
        <w:t xml:space="preserve"> </w:t>
      </w:r>
      <w:r w:rsidR="0071360A">
        <w:t>с</w:t>
      </w:r>
      <w:r>
        <w:t>оф</w:t>
      </w:r>
      <w:r w:rsidR="0071360A">
        <w:t>тв</w:t>
      </w:r>
      <w:r w:rsidR="00EE6AA2">
        <w:t>е</w:t>
      </w:r>
      <w:r w:rsidR="0071360A">
        <w:t>р</w:t>
      </w:r>
      <w:r>
        <w:t>ом</w:t>
      </w:r>
      <w:r w:rsidR="00B60442" w:rsidRPr="00F6340E">
        <w:t xml:space="preserve"> </w:t>
      </w:r>
      <w:r w:rsidR="00171F00">
        <w:t>з</w:t>
      </w:r>
      <w:r>
        <w:t>а</w:t>
      </w:r>
      <w:r w:rsidR="00B60442" w:rsidRPr="00F6340E">
        <w:t xml:space="preserve"> </w:t>
      </w:r>
      <w:r w:rsidR="0071360A">
        <w:t>у</w:t>
      </w:r>
      <w:r>
        <w:t>ч</w:t>
      </w:r>
      <w:r w:rsidR="00EE6AA2">
        <w:t>е</w:t>
      </w:r>
      <w:r>
        <w:t>њ</w:t>
      </w:r>
      <w:r w:rsidR="00EE6AA2">
        <w:t>е</w:t>
      </w:r>
      <w:r w:rsidR="00B60442" w:rsidRPr="00F6340E">
        <w:t xml:space="preserve"> </w:t>
      </w:r>
      <w:r>
        <w:t>и</w:t>
      </w:r>
      <w:r w:rsidR="00B60442" w:rsidRPr="00F6340E">
        <w:t xml:space="preserve"> </w:t>
      </w:r>
      <w:r w:rsidR="0071360A">
        <w:t>п</w:t>
      </w:r>
      <w:r>
        <w:t>од</w:t>
      </w:r>
      <w:r w:rsidR="0071360A">
        <w:t>у</w:t>
      </w:r>
      <w:r>
        <w:t>ча</w:t>
      </w:r>
      <w:r w:rsidR="0071360A">
        <w:t>в</w:t>
      </w:r>
      <w:r>
        <w:t>ањ</w:t>
      </w:r>
      <w:r w:rsidR="00EE6AA2">
        <w:t>е</w:t>
      </w:r>
      <w:r w:rsidR="00B60442" w:rsidRPr="00F6340E">
        <w:t>.</w:t>
      </w:r>
      <w:r w:rsidR="00D26894" w:rsidRPr="00F6340E">
        <w:t xml:space="preserve"> </w:t>
      </w:r>
      <w:r w:rsidR="0071360A">
        <w:t>Т</w:t>
      </w:r>
      <w:r>
        <w:t>акођ</w:t>
      </w:r>
      <w:r w:rsidR="00EE6AA2">
        <w:t>е</w:t>
      </w:r>
      <w:r w:rsidR="00D26894" w:rsidRPr="00F6340E">
        <w:t xml:space="preserve"> </w:t>
      </w:r>
      <w:r w:rsidR="0071360A">
        <w:lastRenderedPageBreak/>
        <w:t>с</w:t>
      </w:r>
      <w:r w:rsidR="00EE6AA2">
        <w:t>е</w:t>
      </w:r>
      <w:r w:rsidR="00D26894" w:rsidRPr="00F6340E">
        <w:t xml:space="preserve"> </w:t>
      </w:r>
      <w:r w:rsidR="0071360A">
        <w:t>пр</w:t>
      </w:r>
      <w:r w:rsidR="00EE6AA2">
        <w:t>е</w:t>
      </w:r>
      <w:r w:rsidR="0071360A">
        <w:t>п</w:t>
      </w:r>
      <w:r>
        <w:t>о</w:t>
      </w:r>
      <w:r w:rsidR="00171F00">
        <w:t>з</w:t>
      </w:r>
      <w:r>
        <w:t>нај</w:t>
      </w:r>
      <w:r w:rsidR="00EE6AA2">
        <w:t>е</w:t>
      </w:r>
      <w:r w:rsidR="00D26894" w:rsidRPr="00F6340E">
        <w:t xml:space="preserve"> </w:t>
      </w:r>
      <w:r>
        <w:t>да</w:t>
      </w:r>
      <w:r w:rsidR="00D26894" w:rsidRPr="00F6340E">
        <w:t xml:space="preserve"> </w:t>
      </w:r>
      <w:r>
        <w:t>ад</w:t>
      </w:r>
      <w:r w:rsidR="00EE6AA2">
        <w:t>е</w:t>
      </w:r>
      <w:r>
        <w:t>к</w:t>
      </w:r>
      <w:r w:rsidR="0071360A">
        <w:t>в</w:t>
      </w:r>
      <w:r>
        <w:t>а</w:t>
      </w:r>
      <w:r w:rsidR="0071360A">
        <w:t>т</w:t>
      </w:r>
      <w:r>
        <w:t>на</w:t>
      </w:r>
      <w:r w:rsidR="00D26894" w:rsidRPr="00F6340E">
        <w:t xml:space="preserve"> </w:t>
      </w:r>
      <w:r w:rsidR="0071360A">
        <w:t>уп</w:t>
      </w:r>
      <w:r>
        <w:t>о</w:t>
      </w:r>
      <w:r w:rsidR="0071360A">
        <w:t>тр</w:t>
      </w:r>
      <w:r w:rsidR="00EE6AA2">
        <w:t>е</w:t>
      </w:r>
      <w:r>
        <w:t>ба</w:t>
      </w:r>
      <w:r w:rsidR="00D26894" w:rsidRPr="00F6340E">
        <w:t xml:space="preserve"> </w:t>
      </w:r>
      <w:r>
        <w:t>ИК</w:t>
      </w:r>
      <w:r w:rsidR="0071360A">
        <w:t>Т</w:t>
      </w:r>
      <w:r w:rsidR="00B91744" w:rsidRPr="00F6340E">
        <w:t>-</w:t>
      </w:r>
      <w:r>
        <w:t>а</w:t>
      </w:r>
      <w:r w:rsidR="00D26894" w:rsidRPr="00F6340E">
        <w:t xml:space="preserve"> </w:t>
      </w:r>
      <w:r w:rsidR="0071360A">
        <w:t>у</w:t>
      </w:r>
      <w:r w:rsidR="00D26894" w:rsidRPr="00F6340E">
        <w:t xml:space="preserve"> </w:t>
      </w:r>
      <w:r>
        <w:t>об</w:t>
      </w:r>
      <w:r w:rsidR="0071360A">
        <w:t>р</w:t>
      </w:r>
      <w:r>
        <w:t>а</w:t>
      </w:r>
      <w:r w:rsidR="00171F00">
        <w:t>з</w:t>
      </w:r>
      <w:r>
        <w:t>о</w:t>
      </w:r>
      <w:r w:rsidR="0071360A">
        <w:t>в</w:t>
      </w:r>
      <w:r>
        <w:t>ањ</w:t>
      </w:r>
      <w:r w:rsidR="0071360A">
        <w:t>у</w:t>
      </w:r>
      <w:r w:rsidR="00D26894" w:rsidRPr="00F6340E">
        <w:t xml:space="preserve"> </w:t>
      </w:r>
      <w:r>
        <w:t>об</w:t>
      </w:r>
      <w:r w:rsidR="0071360A">
        <w:t>у</w:t>
      </w:r>
      <w:r>
        <w:t>х</w:t>
      </w:r>
      <w:r w:rsidR="0071360A">
        <w:t>в</w:t>
      </w:r>
      <w:r>
        <w:t>а</w:t>
      </w:r>
      <w:r w:rsidR="0071360A">
        <w:t>т</w:t>
      </w:r>
      <w:r>
        <w:t>а</w:t>
      </w:r>
      <w:r w:rsidR="00D26894" w:rsidRPr="00F6340E">
        <w:t xml:space="preserve"> </w:t>
      </w:r>
      <w:r>
        <w:t>од</w:t>
      </w:r>
      <w:r w:rsidR="0071360A">
        <w:t>р</w:t>
      </w:r>
      <w:r w:rsidR="00EE6AA2">
        <w:t>е</w:t>
      </w:r>
      <w:r>
        <w:t>ђ</w:t>
      </w:r>
      <w:r w:rsidR="00EE6AA2">
        <w:t>е</w:t>
      </w:r>
      <w:r>
        <w:t>н</w:t>
      </w:r>
      <w:r w:rsidR="00EE6AA2">
        <w:t>е</w:t>
      </w:r>
      <w:r w:rsidR="00D26894" w:rsidRPr="00F6340E">
        <w:t xml:space="preserve"> </w:t>
      </w:r>
      <w:r w:rsidR="0071360A">
        <w:t>ст</w:t>
      </w:r>
      <w:r>
        <w:t>адиј</w:t>
      </w:r>
      <w:r w:rsidR="00EE6AA2">
        <w:t>е</w:t>
      </w:r>
      <w:r w:rsidR="00B91744" w:rsidRPr="00F6340E">
        <w:t>,</w:t>
      </w:r>
      <w:r w:rsidR="00D26894" w:rsidRPr="00F6340E">
        <w:t xml:space="preserve"> </w:t>
      </w:r>
      <w:r>
        <w:t>одно</w:t>
      </w:r>
      <w:r w:rsidR="0071360A">
        <w:t>с</w:t>
      </w:r>
      <w:r>
        <w:t>но</w:t>
      </w:r>
      <w:r w:rsidR="00D26894" w:rsidRPr="00F6340E">
        <w:t xml:space="preserve"> </w:t>
      </w:r>
      <w:r w:rsidR="00EE6AA2">
        <w:t>е</w:t>
      </w:r>
      <w:r>
        <w:t>л</w:t>
      </w:r>
      <w:r w:rsidR="00EE6AA2">
        <w:t>е</w:t>
      </w:r>
      <w:r>
        <w:t>м</w:t>
      </w:r>
      <w:r w:rsidR="00EE6AA2">
        <w:t>е</w:t>
      </w:r>
      <w:r>
        <w:t>н</w:t>
      </w:r>
      <w:r w:rsidR="0071360A">
        <w:t>т</w:t>
      </w:r>
      <w:r w:rsidR="00EE6AA2">
        <w:t>е</w:t>
      </w:r>
      <w:r w:rsidR="00C41F70" w:rsidRPr="00F6340E">
        <w:t>,</w:t>
      </w:r>
      <w:r w:rsidR="00D26894" w:rsidRPr="00F6340E">
        <w:t xml:space="preserve"> </w:t>
      </w:r>
      <w:r>
        <w:t>који</w:t>
      </w:r>
      <w:r w:rsidR="00D26894" w:rsidRPr="00F6340E">
        <w:t xml:space="preserve"> </w:t>
      </w:r>
      <w:r w:rsidR="0071360A">
        <w:t>с</w:t>
      </w:r>
      <w:r w:rsidR="00EE6AA2">
        <w:t>е</w:t>
      </w:r>
      <w:r w:rsidR="00D26894" w:rsidRPr="00F6340E">
        <w:t xml:space="preserve"> </w:t>
      </w:r>
      <w:r>
        <w:t>одно</w:t>
      </w:r>
      <w:r w:rsidR="0071360A">
        <w:t>с</w:t>
      </w:r>
      <w:r w:rsidR="00EE6AA2">
        <w:t>е</w:t>
      </w:r>
      <w:r w:rsidR="00D26894" w:rsidRPr="00F6340E">
        <w:t xml:space="preserve"> </w:t>
      </w:r>
      <w:r>
        <w:t>на</w:t>
      </w:r>
      <w:r w:rsidR="005908D2" w:rsidRPr="00F6340E">
        <w:t xml:space="preserve"> </w:t>
      </w:r>
      <w:r w:rsidR="0071360A">
        <w:t>п</w:t>
      </w:r>
      <w:r>
        <w:t>лани</w:t>
      </w:r>
      <w:r w:rsidR="0071360A">
        <w:t>р</w:t>
      </w:r>
      <w:r>
        <w:t>ањ</w:t>
      </w:r>
      <w:r w:rsidR="00EE6AA2">
        <w:t>е</w:t>
      </w:r>
      <w:r w:rsidR="005908D2" w:rsidRPr="00F6340E">
        <w:t xml:space="preserve"> </w:t>
      </w:r>
      <w:r>
        <w:t>и</w:t>
      </w:r>
      <w:r w:rsidR="005908D2" w:rsidRPr="00F6340E">
        <w:t xml:space="preserve"> </w:t>
      </w:r>
      <w:r>
        <w:t>наба</w:t>
      </w:r>
      <w:r w:rsidR="0071360A">
        <w:t>в</w:t>
      </w:r>
      <w:r>
        <w:t>к</w:t>
      </w:r>
      <w:r w:rsidR="0071360A">
        <w:t>у</w:t>
      </w:r>
      <w:r w:rsidR="005908D2" w:rsidRPr="00F6340E">
        <w:t xml:space="preserve"> </w:t>
      </w:r>
      <w:r>
        <w:t>инф</w:t>
      </w:r>
      <w:r w:rsidR="0071360A">
        <w:t>р</w:t>
      </w:r>
      <w:r>
        <w:t>а</w:t>
      </w:r>
      <w:r w:rsidR="0071360A">
        <w:t>стру</w:t>
      </w:r>
      <w:r>
        <w:t>к</w:t>
      </w:r>
      <w:r w:rsidR="0071360A">
        <w:t>тур</w:t>
      </w:r>
      <w:r w:rsidR="00EE6AA2">
        <w:t>е</w:t>
      </w:r>
      <w:r w:rsidR="00D26894" w:rsidRPr="00F6340E">
        <w:t xml:space="preserve"> </w:t>
      </w:r>
      <w:r w:rsidR="00171F00">
        <w:t>з</w:t>
      </w:r>
      <w:r>
        <w:t>а</w:t>
      </w:r>
      <w:r w:rsidR="00B91744" w:rsidRPr="00F6340E">
        <w:t xml:space="preserve"> </w:t>
      </w:r>
      <w:r>
        <w:t>ИК</w:t>
      </w:r>
      <w:r w:rsidR="0071360A">
        <w:t>Т</w:t>
      </w:r>
      <w:r w:rsidR="00B91744" w:rsidRPr="00F6340E">
        <w:t xml:space="preserve"> </w:t>
      </w:r>
      <w:r w:rsidR="00D26894" w:rsidRPr="00F6340E">
        <w:t>(</w:t>
      </w:r>
      <w:r>
        <w:t>м</w:t>
      </w:r>
      <w:r w:rsidR="0071360A">
        <w:t>р</w:t>
      </w:r>
      <w:r w:rsidR="00EE6AA2">
        <w:t>е</w:t>
      </w:r>
      <w:r w:rsidR="00171F00">
        <w:t>ж</w:t>
      </w:r>
      <w:r>
        <w:t>на</w:t>
      </w:r>
      <w:r w:rsidR="00AD1466" w:rsidRPr="00F6340E">
        <w:t xml:space="preserve"> </w:t>
      </w:r>
      <w:r w:rsidR="0071360A">
        <w:t>стру</w:t>
      </w:r>
      <w:r>
        <w:t>к</w:t>
      </w:r>
      <w:r w:rsidR="0071360A">
        <w:t>тур</w:t>
      </w:r>
      <w:r>
        <w:t>а</w:t>
      </w:r>
      <w:r w:rsidR="00AD1466" w:rsidRPr="00F6340E">
        <w:t xml:space="preserve">, </w:t>
      </w:r>
      <w:r>
        <w:t>ха</w:t>
      </w:r>
      <w:r w:rsidR="0071360A">
        <w:t>р</w:t>
      </w:r>
      <w:r>
        <w:t>д</w:t>
      </w:r>
      <w:r w:rsidR="0071360A">
        <w:t>в</w:t>
      </w:r>
      <w:r w:rsidR="00EE6AA2">
        <w:t>е</w:t>
      </w:r>
      <w:r w:rsidR="0071360A">
        <w:t>р</w:t>
      </w:r>
      <w:r w:rsidR="00D26894" w:rsidRPr="00F6340E">
        <w:t xml:space="preserve"> </w:t>
      </w:r>
      <w:r>
        <w:t>и</w:t>
      </w:r>
      <w:r w:rsidR="00D26894" w:rsidRPr="00F6340E">
        <w:t xml:space="preserve"> </w:t>
      </w:r>
      <w:r w:rsidR="0071360A">
        <w:t>с</w:t>
      </w:r>
      <w:r>
        <w:t>оф</w:t>
      </w:r>
      <w:r w:rsidR="0071360A">
        <w:t>тв</w:t>
      </w:r>
      <w:r w:rsidR="00EE6AA2">
        <w:t>е</w:t>
      </w:r>
      <w:r w:rsidR="0071360A">
        <w:t>р</w:t>
      </w:r>
      <w:r w:rsidR="00D26894" w:rsidRPr="00F6340E">
        <w:t xml:space="preserve">), </w:t>
      </w:r>
      <w:r>
        <w:t>од</w:t>
      </w:r>
      <w:r w:rsidR="0071360A">
        <w:t>р</w:t>
      </w:r>
      <w:r w:rsidR="00171F00">
        <w:t>ж</w:t>
      </w:r>
      <w:r>
        <w:t>а</w:t>
      </w:r>
      <w:r w:rsidR="0071360A">
        <w:t>в</w:t>
      </w:r>
      <w:r>
        <w:t>ањ</w:t>
      </w:r>
      <w:r w:rsidR="00EE6AA2">
        <w:t>е</w:t>
      </w:r>
      <w:r w:rsidR="00D26894" w:rsidRPr="00F6340E">
        <w:t xml:space="preserve"> </w:t>
      </w:r>
      <w:r>
        <w:t>о</w:t>
      </w:r>
      <w:r w:rsidR="0071360A">
        <w:t>пр</w:t>
      </w:r>
      <w:r w:rsidR="00EE6AA2">
        <w:t>е</w:t>
      </w:r>
      <w:r>
        <w:t>м</w:t>
      </w:r>
      <w:r w:rsidR="00EE6AA2">
        <w:t>е</w:t>
      </w:r>
      <w:r w:rsidR="00D26894" w:rsidRPr="00F6340E">
        <w:t xml:space="preserve"> </w:t>
      </w:r>
      <w:r>
        <w:t>и</w:t>
      </w:r>
      <w:r w:rsidR="00D26894" w:rsidRPr="00F6340E">
        <w:t xml:space="preserve"> </w:t>
      </w:r>
      <w:r w:rsidR="0071360A">
        <w:t>пру</w:t>
      </w:r>
      <w:r w:rsidR="00171F00">
        <w:t>ж</w:t>
      </w:r>
      <w:r>
        <w:t>ањ</w:t>
      </w:r>
      <w:r w:rsidR="00EE6AA2">
        <w:t>е</w:t>
      </w:r>
      <w:r w:rsidR="00D26894" w:rsidRPr="00F6340E">
        <w:t xml:space="preserve"> </w:t>
      </w:r>
      <w:r w:rsidR="0071360A">
        <w:t>т</w:t>
      </w:r>
      <w:r w:rsidR="00EE6AA2">
        <w:t>е</w:t>
      </w:r>
      <w:r>
        <w:t>хничк</w:t>
      </w:r>
      <w:r w:rsidR="00EE6AA2">
        <w:t>е</w:t>
      </w:r>
      <w:r w:rsidR="00D26894" w:rsidRPr="00F6340E">
        <w:t xml:space="preserve"> </w:t>
      </w:r>
      <w:r w:rsidR="0071360A">
        <w:t>п</w:t>
      </w:r>
      <w:r>
        <w:t>омоћи</w:t>
      </w:r>
      <w:r w:rsidR="00D26894" w:rsidRPr="00F6340E">
        <w:t xml:space="preserve">, </w:t>
      </w:r>
      <w:r>
        <w:t>мј</w:t>
      </w:r>
      <w:r w:rsidR="00EE6AA2">
        <w:t>е</w:t>
      </w:r>
      <w:r w:rsidR="0071360A">
        <w:t>ст</w:t>
      </w:r>
      <w:r>
        <w:t>о</w:t>
      </w:r>
      <w:r w:rsidR="00D26894" w:rsidRPr="00F6340E">
        <w:t xml:space="preserve"> </w:t>
      </w:r>
      <w:r w:rsidR="00171F00">
        <w:t>з</w:t>
      </w:r>
      <w:r>
        <w:t>а</w:t>
      </w:r>
      <w:r w:rsidR="00D26894" w:rsidRPr="00F6340E">
        <w:t xml:space="preserve"> </w:t>
      </w:r>
      <w:r w:rsidR="0071360A">
        <w:t>п</w:t>
      </w:r>
      <w:r>
        <w:t>ох</w:t>
      </w:r>
      <w:r w:rsidR="0071360A">
        <w:t>р</w:t>
      </w:r>
      <w:r>
        <w:t>ан</w:t>
      </w:r>
      <w:r w:rsidR="0071360A">
        <w:t>у</w:t>
      </w:r>
      <w:r w:rsidR="00D26894" w:rsidRPr="00F6340E">
        <w:t xml:space="preserve"> </w:t>
      </w:r>
      <w:r>
        <w:t>диги</w:t>
      </w:r>
      <w:r w:rsidR="0071360A">
        <w:t>т</w:t>
      </w:r>
      <w:r>
        <w:t>алних</w:t>
      </w:r>
      <w:r w:rsidR="00D26894" w:rsidRPr="00F6340E">
        <w:t xml:space="preserve"> </w:t>
      </w:r>
      <w:r>
        <w:t>ала</w:t>
      </w:r>
      <w:r w:rsidR="0071360A">
        <w:t>т</w:t>
      </w:r>
      <w:r>
        <w:t>а</w:t>
      </w:r>
      <w:r w:rsidR="00D26894" w:rsidRPr="00F6340E">
        <w:t xml:space="preserve"> </w:t>
      </w:r>
      <w:r>
        <w:t>и</w:t>
      </w:r>
      <w:r w:rsidR="00D26894" w:rsidRPr="00F6340E">
        <w:t xml:space="preserve"> </w:t>
      </w:r>
      <w:r w:rsidR="0071360A">
        <w:t>с</w:t>
      </w:r>
      <w:r>
        <w:t>иг</w:t>
      </w:r>
      <w:r w:rsidR="0071360A">
        <w:t>ур</w:t>
      </w:r>
      <w:r>
        <w:t>но</w:t>
      </w:r>
      <w:r w:rsidR="0071360A">
        <w:t>ст</w:t>
      </w:r>
      <w:r w:rsidR="00D26894" w:rsidRPr="00F6340E">
        <w:t xml:space="preserve">. </w:t>
      </w:r>
      <w:r>
        <w:rPr>
          <w:rFonts w:eastAsia="Arial"/>
        </w:rPr>
        <w:t>К</w:t>
      </w:r>
      <w:r w:rsidR="0071360A">
        <w:rPr>
          <w:rFonts w:eastAsia="Arial"/>
        </w:rPr>
        <w:t>в</w:t>
      </w:r>
      <w:r>
        <w:rPr>
          <w:rFonts w:eastAsia="Arial"/>
        </w:rPr>
        <w:t>али</w:t>
      </w:r>
      <w:r w:rsidR="0071360A">
        <w:rPr>
          <w:rFonts w:eastAsia="Arial"/>
        </w:rPr>
        <w:t>т</w:t>
      </w:r>
      <w:r w:rsidR="00EE6AA2">
        <w:rPr>
          <w:rFonts w:eastAsia="Arial"/>
        </w:rPr>
        <w:t>е</w:t>
      </w:r>
      <w:r w:rsidR="0071360A">
        <w:rPr>
          <w:rFonts w:eastAsia="Arial"/>
        </w:rPr>
        <w:t>т</w:t>
      </w:r>
      <w:r>
        <w:rPr>
          <w:rFonts w:eastAsia="Arial"/>
        </w:rPr>
        <w:t>на</w:t>
      </w:r>
      <w:r w:rsidR="00780E20" w:rsidRPr="00F6340E">
        <w:rPr>
          <w:rFonts w:eastAsia="Arial"/>
        </w:rPr>
        <w:t xml:space="preserve"> </w:t>
      </w:r>
      <w:r>
        <w:rPr>
          <w:rFonts w:eastAsia="Arial"/>
        </w:rPr>
        <w:t>и</w:t>
      </w:r>
      <w:r w:rsidR="00780E20" w:rsidRPr="00F6340E">
        <w:rPr>
          <w:rFonts w:eastAsia="Arial"/>
        </w:rPr>
        <w:t xml:space="preserve"> </w:t>
      </w:r>
      <w:r>
        <w:rPr>
          <w:rFonts w:eastAsia="Arial"/>
        </w:rPr>
        <w:t>доб</w:t>
      </w:r>
      <w:r w:rsidR="0071360A">
        <w:rPr>
          <w:rFonts w:eastAsia="Arial"/>
        </w:rPr>
        <w:t>р</w:t>
      </w:r>
      <w:r>
        <w:rPr>
          <w:rFonts w:eastAsia="Arial"/>
        </w:rPr>
        <w:t>о</w:t>
      </w:r>
      <w:r w:rsidR="00780E20" w:rsidRPr="00F6340E">
        <w:rPr>
          <w:rFonts w:eastAsia="Arial"/>
        </w:rPr>
        <w:t xml:space="preserve"> </w:t>
      </w:r>
      <w:r>
        <w:rPr>
          <w:rFonts w:eastAsia="Arial"/>
        </w:rPr>
        <w:t>и</w:t>
      </w:r>
      <w:r w:rsidR="0071360A">
        <w:rPr>
          <w:rFonts w:eastAsia="Arial"/>
        </w:rPr>
        <w:t>сп</w:t>
      </w:r>
      <w:r>
        <w:rPr>
          <w:rFonts w:eastAsia="Arial"/>
        </w:rPr>
        <w:t>лани</w:t>
      </w:r>
      <w:r w:rsidR="0071360A">
        <w:rPr>
          <w:rFonts w:eastAsia="Arial"/>
        </w:rPr>
        <w:t>р</w:t>
      </w:r>
      <w:r>
        <w:rPr>
          <w:rFonts w:eastAsia="Arial"/>
        </w:rPr>
        <w:t>ана</w:t>
      </w:r>
      <w:r w:rsidR="00780E20" w:rsidRPr="00F6340E">
        <w:rPr>
          <w:rFonts w:eastAsia="Arial"/>
        </w:rPr>
        <w:t xml:space="preserve"> </w:t>
      </w:r>
      <w:r>
        <w:rPr>
          <w:rFonts w:eastAsia="Arial"/>
        </w:rPr>
        <w:t>инф</w:t>
      </w:r>
      <w:r w:rsidR="0071360A">
        <w:rPr>
          <w:rFonts w:eastAsia="Arial"/>
        </w:rPr>
        <w:t>р</w:t>
      </w:r>
      <w:r>
        <w:rPr>
          <w:rFonts w:eastAsia="Arial"/>
        </w:rPr>
        <w:t>а</w:t>
      </w:r>
      <w:r w:rsidR="0071360A">
        <w:rPr>
          <w:rFonts w:eastAsia="Arial"/>
        </w:rPr>
        <w:t>стру</w:t>
      </w:r>
      <w:r>
        <w:rPr>
          <w:rFonts w:eastAsia="Arial"/>
        </w:rPr>
        <w:t>к</w:t>
      </w:r>
      <w:r w:rsidR="0071360A">
        <w:rPr>
          <w:rFonts w:eastAsia="Arial"/>
        </w:rPr>
        <w:t>тур</w:t>
      </w:r>
      <w:r>
        <w:rPr>
          <w:rFonts w:eastAsia="Arial"/>
        </w:rPr>
        <w:t>а</w:t>
      </w:r>
      <w:r w:rsidR="00B91744" w:rsidRPr="00F6340E">
        <w:rPr>
          <w:rFonts w:eastAsia="Arial"/>
        </w:rPr>
        <w:t xml:space="preserve"> </w:t>
      </w:r>
      <w:r w:rsidR="00171F00">
        <w:rPr>
          <w:rFonts w:eastAsia="Arial"/>
        </w:rPr>
        <w:t>з</w:t>
      </w:r>
      <w:r>
        <w:rPr>
          <w:rFonts w:eastAsia="Arial"/>
        </w:rPr>
        <w:t>а</w:t>
      </w:r>
      <w:r w:rsidR="00B91744" w:rsidRPr="00F6340E">
        <w:rPr>
          <w:rFonts w:eastAsia="Arial"/>
        </w:rPr>
        <w:t xml:space="preserve"> </w:t>
      </w:r>
      <w:r>
        <w:rPr>
          <w:rFonts w:eastAsia="Arial"/>
        </w:rPr>
        <w:t>ИК</w:t>
      </w:r>
      <w:r w:rsidR="0071360A">
        <w:rPr>
          <w:rFonts w:eastAsia="Arial"/>
        </w:rPr>
        <w:t>Т</w:t>
      </w:r>
      <w:r w:rsidR="00780E20" w:rsidRPr="00F6340E">
        <w:rPr>
          <w:rFonts w:eastAsia="Arial"/>
        </w:rPr>
        <w:t xml:space="preserve"> </w:t>
      </w:r>
      <w:r>
        <w:rPr>
          <w:rFonts w:eastAsia="Arial"/>
        </w:rPr>
        <w:t>омог</w:t>
      </w:r>
      <w:r w:rsidR="0071360A">
        <w:rPr>
          <w:rFonts w:eastAsia="Arial"/>
        </w:rPr>
        <w:t>у</w:t>
      </w:r>
      <w:r>
        <w:rPr>
          <w:rFonts w:eastAsia="Arial"/>
        </w:rPr>
        <w:t>ћа</w:t>
      </w:r>
      <w:r w:rsidR="0071360A">
        <w:rPr>
          <w:rFonts w:eastAsia="Arial"/>
        </w:rPr>
        <w:t>в</w:t>
      </w:r>
      <w:r>
        <w:rPr>
          <w:rFonts w:eastAsia="Arial"/>
        </w:rPr>
        <w:t>а</w:t>
      </w:r>
      <w:r w:rsidR="00780E20" w:rsidRPr="00F6340E">
        <w:rPr>
          <w:rFonts w:eastAsia="Arial"/>
        </w:rPr>
        <w:t xml:space="preserve"> </w:t>
      </w:r>
      <w:r>
        <w:rPr>
          <w:rFonts w:eastAsia="Arial"/>
        </w:rPr>
        <w:t>об</w:t>
      </w:r>
      <w:r w:rsidR="0071360A">
        <w:rPr>
          <w:rFonts w:eastAsia="Arial"/>
        </w:rPr>
        <w:t>р</w:t>
      </w:r>
      <w:r>
        <w:rPr>
          <w:rFonts w:eastAsia="Arial"/>
        </w:rPr>
        <w:t>а</w:t>
      </w:r>
      <w:r w:rsidR="00171F00">
        <w:rPr>
          <w:rFonts w:eastAsia="Arial"/>
        </w:rPr>
        <w:t>з</w:t>
      </w:r>
      <w:r>
        <w:rPr>
          <w:rFonts w:eastAsia="Arial"/>
        </w:rPr>
        <w:t>о</w:t>
      </w:r>
      <w:r w:rsidR="0071360A">
        <w:rPr>
          <w:rFonts w:eastAsia="Arial"/>
        </w:rPr>
        <w:t>в</w:t>
      </w:r>
      <w:r>
        <w:rPr>
          <w:rFonts w:eastAsia="Arial"/>
        </w:rPr>
        <w:t>ним</w:t>
      </w:r>
      <w:r w:rsidR="00780E20" w:rsidRPr="00F6340E">
        <w:rPr>
          <w:rFonts w:eastAsia="Arial"/>
        </w:rPr>
        <w:t xml:space="preserve"> </w:t>
      </w:r>
      <w:r>
        <w:rPr>
          <w:rFonts w:eastAsia="Arial"/>
        </w:rPr>
        <w:t>ин</w:t>
      </w:r>
      <w:r w:rsidR="0071360A">
        <w:rPr>
          <w:rFonts w:eastAsia="Arial"/>
        </w:rPr>
        <w:t>ст</w:t>
      </w:r>
      <w:r>
        <w:rPr>
          <w:rFonts w:eastAsia="Arial"/>
        </w:rPr>
        <w:t>и</w:t>
      </w:r>
      <w:r w:rsidR="0071360A">
        <w:rPr>
          <w:rFonts w:eastAsia="Arial"/>
        </w:rPr>
        <w:t>ту</w:t>
      </w:r>
      <w:r>
        <w:rPr>
          <w:rFonts w:eastAsia="Arial"/>
        </w:rPr>
        <w:t>цијама</w:t>
      </w:r>
      <w:r w:rsidR="00780E20" w:rsidRPr="00F6340E">
        <w:rPr>
          <w:rFonts w:eastAsia="Arial"/>
        </w:rPr>
        <w:t xml:space="preserve">, </w:t>
      </w:r>
      <w:r>
        <w:rPr>
          <w:rFonts w:eastAsia="Arial"/>
        </w:rPr>
        <w:t>како</w:t>
      </w:r>
      <w:r w:rsidR="00780E20" w:rsidRPr="00F6340E">
        <w:rPr>
          <w:rFonts w:eastAsia="Arial"/>
        </w:rPr>
        <w:t xml:space="preserve"> </w:t>
      </w:r>
      <w:r>
        <w:rPr>
          <w:rFonts w:eastAsia="Arial"/>
        </w:rPr>
        <w:t>на</w:t>
      </w:r>
      <w:r w:rsidR="0071360A">
        <w:rPr>
          <w:rFonts w:eastAsia="Arial"/>
        </w:rPr>
        <w:t>ст</w:t>
      </w:r>
      <w:r>
        <w:rPr>
          <w:rFonts w:eastAsia="Arial"/>
        </w:rPr>
        <w:t>а</w:t>
      </w:r>
      <w:r w:rsidR="0071360A">
        <w:rPr>
          <w:rFonts w:eastAsia="Arial"/>
        </w:rPr>
        <w:t>в</w:t>
      </w:r>
      <w:r>
        <w:rPr>
          <w:rFonts w:eastAsia="Arial"/>
        </w:rPr>
        <w:t>ницима</w:t>
      </w:r>
      <w:r w:rsidR="00780E20" w:rsidRPr="00F6340E">
        <w:rPr>
          <w:rFonts w:eastAsia="Arial"/>
        </w:rPr>
        <w:t xml:space="preserve">, </w:t>
      </w:r>
      <w:r w:rsidR="0071360A">
        <w:rPr>
          <w:rFonts w:eastAsia="Arial"/>
        </w:rPr>
        <w:t>т</w:t>
      </w:r>
      <w:r>
        <w:rPr>
          <w:rFonts w:eastAsia="Arial"/>
        </w:rPr>
        <w:t>ако</w:t>
      </w:r>
      <w:r w:rsidR="00780E20" w:rsidRPr="00F6340E">
        <w:rPr>
          <w:rFonts w:eastAsia="Arial"/>
        </w:rPr>
        <w:t xml:space="preserve"> </w:t>
      </w:r>
      <w:r>
        <w:rPr>
          <w:rFonts w:eastAsia="Arial"/>
        </w:rPr>
        <w:t>и</w:t>
      </w:r>
      <w:r w:rsidR="00780E20" w:rsidRPr="00F6340E">
        <w:rPr>
          <w:rFonts w:eastAsia="Arial"/>
        </w:rPr>
        <w:t xml:space="preserve"> </w:t>
      </w:r>
      <w:r w:rsidR="0071360A">
        <w:rPr>
          <w:rFonts w:eastAsia="Arial"/>
        </w:rPr>
        <w:t>у</w:t>
      </w:r>
      <w:r>
        <w:rPr>
          <w:rFonts w:eastAsia="Arial"/>
        </w:rPr>
        <w:t>ч</w:t>
      </w:r>
      <w:r w:rsidR="00EE6AA2">
        <w:rPr>
          <w:rFonts w:eastAsia="Arial"/>
        </w:rPr>
        <w:t>е</w:t>
      </w:r>
      <w:r>
        <w:rPr>
          <w:rFonts w:eastAsia="Arial"/>
        </w:rPr>
        <w:t>ницима</w:t>
      </w:r>
      <w:r w:rsidR="00780E20" w:rsidRPr="00F6340E">
        <w:rPr>
          <w:rFonts w:eastAsia="Arial"/>
        </w:rPr>
        <w:t xml:space="preserve">, </w:t>
      </w:r>
      <w:r>
        <w:rPr>
          <w:rFonts w:eastAsia="Arial"/>
        </w:rPr>
        <w:t>н</w:t>
      </w:r>
      <w:r w:rsidR="00EE6AA2">
        <w:rPr>
          <w:rFonts w:eastAsia="Arial"/>
        </w:rPr>
        <w:t>е</w:t>
      </w:r>
      <w:r w:rsidR="0071360A">
        <w:rPr>
          <w:rFonts w:eastAsia="Arial"/>
        </w:rPr>
        <w:t>с</w:t>
      </w:r>
      <w:r>
        <w:rPr>
          <w:rFonts w:eastAsia="Arial"/>
        </w:rPr>
        <w:t>м</w:t>
      </w:r>
      <w:r w:rsidR="00EE6AA2">
        <w:rPr>
          <w:rFonts w:eastAsia="Arial"/>
        </w:rPr>
        <w:t>е</w:t>
      </w:r>
      <w:r w:rsidR="0071360A">
        <w:rPr>
          <w:rFonts w:eastAsia="Arial"/>
        </w:rPr>
        <w:t>т</w:t>
      </w:r>
      <w:r>
        <w:rPr>
          <w:rFonts w:eastAsia="Arial"/>
        </w:rPr>
        <w:t>ан</w:t>
      </w:r>
      <w:r w:rsidR="0071360A">
        <w:rPr>
          <w:rFonts w:eastAsia="Arial"/>
        </w:rPr>
        <w:t>у</w:t>
      </w:r>
      <w:r w:rsidR="00686F90" w:rsidRPr="00F6340E">
        <w:rPr>
          <w:rFonts w:eastAsia="Arial"/>
        </w:rPr>
        <w:t xml:space="preserve"> </w:t>
      </w:r>
      <w:r w:rsidR="0071360A">
        <w:rPr>
          <w:rFonts w:eastAsia="Arial"/>
        </w:rPr>
        <w:t>уп</w:t>
      </w:r>
      <w:r>
        <w:rPr>
          <w:rFonts w:eastAsia="Arial"/>
        </w:rPr>
        <w:t>о</w:t>
      </w:r>
      <w:r w:rsidR="0071360A">
        <w:rPr>
          <w:rFonts w:eastAsia="Arial"/>
        </w:rPr>
        <w:t>тр</w:t>
      </w:r>
      <w:r w:rsidR="00EE6AA2">
        <w:rPr>
          <w:rFonts w:eastAsia="Arial"/>
        </w:rPr>
        <w:t>е</w:t>
      </w:r>
      <w:r>
        <w:rPr>
          <w:rFonts w:eastAsia="Arial"/>
        </w:rPr>
        <w:t>б</w:t>
      </w:r>
      <w:r w:rsidR="0071360A">
        <w:rPr>
          <w:rFonts w:eastAsia="Arial"/>
        </w:rPr>
        <w:t>у</w:t>
      </w:r>
      <w:r w:rsidR="00780E20" w:rsidRPr="00F6340E">
        <w:rPr>
          <w:rFonts w:eastAsia="Arial"/>
        </w:rPr>
        <w:t xml:space="preserve"> </w:t>
      </w:r>
      <w:r w:rsidR="0071360A">
        <w:rPr>
          <w:rFonts w:eastAsia="Arial"/>
        </w:rPr>
        <w:t>св</w:t>
      </w:r>
      <w:r>
        <w:rPr>
          <w:rFonts w:eastAsia="Arial"/>
        </w:rPr>
        <w:t>их</w:t>
      </w:r>
      <w:r w:rsidR="00780E20" w:rsidRPr="00F6340E">
        <w:rPr>
          <w:rFonts w:eastAsia="Arial"/>
        </w:rPr>
        <w:t xml:space="preserve"> </w:t>
      </w:r>
      <w:r w:rsidR="0071360A">
        <w:rPr>
          <w:rFonts w:eastAsia="Arial"/>
        </w:rPr>
        <w:t>р</w:t>
      </w:r>
      <w:r w:rsidR="00EE6AA2">
        <w:rPr>
          <w:rFonts w:eastAsia="Arial"/>
        </w:rPr>
        <w:t>е</w:t>
      </w:r>
      <w:r w:rsidR="0071360A">
        <w:rPr>
          <w:rFonts w:eastAsia="Arial"/>
        </w:rPr>
        <w:t>сурс</w:t>
      </w:r>
      <w:r>
        <w:rPr>
          <w:rFonts w:eastAsia="Arial"/>
        </w:rPr>
        <w:t>а</w:t>
      </w:r>
      <w:r w:rsidR="00780E20" w:rsidRPr="00F6340E">
        <w:rPr>
          <w:rFonts w:eastAsia="Arial"/>
        </w:rPr>
        <w:t xml:space="preserve"> </w:t>
      </w:r>
      <w:r>
        <w:rPr>
          <w:rFonts w:eastAsia="Arial"/>
        </w:rPr>
        <w:t>који</w:t>
      </w:r>
      <w:r w:rsidR="00780E20" w:rsidRPr="00F6340E">
        <w:rPr>
          <w:rFonts w:eastAsia="Arial"/>
        </w:rPr>
        <w:t xml:space="preserve"> </w:t>
      </w:r>
      <w:r w:rsidR="0071360A">
        <w:rPr>
          <w:rFonts w:eastAsia="Arial"/>
        </w:rPr>
        <w:t>су</w:t>
      </w:r>
      <w:r w:rsidR="00780E20" w:rsidRPr="00F6340E">
        <w:rPr>
          <w:rFonts w:eastAsia="Arial"/>
        </w:rPr>
        <w:t xml:space="preserve"> </w:t>
      </w:r>
      <w:r w:rsidR="0071360A">
        <w:rPr>
          <w:rFonts w:eastAsia="Arial"/>
        </w:rPr>
        <w:t>п</w:t>
      </w:r>
      <w:r>
        <w:rPr>
          <w:rFonts w:eastAsia="Arial"/>
        </w:rPr>
        <w:t>о</w:t>
      </w:r>
      <w:r w:rsidR="0071360A">
        <w:rPr>
          <w:rFonts w:eastAsia="Arial"/>
        </w:rPr>
        <w:t>тр</w:t>
      </w:r>
      <w:r w:rsidR="00EE6AA2">
        <w:rPr>
          <w:rFonts w:eastAsia="Arial"/>
        </w:rPr>
        <w:t>е</w:t>
      </w:r>
      <w:r>
        <w:rPr>
          <w:rFonts w:eastAsia="Arial"/>
        </w:rPr>
        <w:t>бни</w:t>
      </w:r>
      <w:r w:rsidR="00780E20" w:rsidRPr="00F6340E">
        <w:rPr>
          <w:rFonts w:eastAsia="Arial"/>
        </w:rPr>
        <w:t xml:space="preserve"> </w:t>
      </w:r>
      <w:r w:rsidR="00171F00">
        <w:rPr>
          <w:rFonts w:eastAsia="Arial"/>
        </w:rPr>
        <w:t>з</w:t>
      </w:r>
      <w:r>
        <w:rPr>
          <w:rFonts w:eastAsia="Arial"/>
        </w:rPr>
        <w:t>а</w:t>
      </w:r>
      <w:r w:rsidR="00780E20" w:rsidRPr="00F6340E">
        <w:rPr>
          <w:rFonts w:eastAsia="Arial"/>
        </w:rPr>
        <w:t xml:space="preserve"> </w:t>
      </w:r>
      <w:r>
        <w:rPr>
          <w:rFonts w:eastAsia="Arial"/>
        </w:rPr>
        <w:t>им</w:t>
      </w:r>
      <w:r w:rsidR="0071360A">
        <w:rPr>
          <w:rFonts w:eastAsia="Arial"/>
        </w:rPr>
        <w:t>п</w:t>
      </w:r>
      <w:r>
        <w:rPr>
          <w:rFonts w:eastAsia="Arial"/>
        </w:rPr>
        <w:t>л</w:t>
      </w:r>
      <w:r w:rsidR="00EE6AA2">
        <w:rPr>
          <w:rFonts w:eastAsia="Arial"/>
        </w:rPr>
        <w:t>е</w:t>
      </w:r>
      <w:r>
        <w:rPr>
          <w:rFonts w:eastAsia="Arial"/>
        </w:rPr>
        <w:t>м</w:t>
      </w:r>
      <w:r w:rsidR="00EE6AA2">
        <w:rPr>
          <w:rFonts w:eastAsia="Arial"/>
        </w:rPr>
        <w:t>е</w:t>
      </w:r>
      <w:r>
        <w:rPr>
          <w:rFonts w:eastAsia="Arial"/>
        </w:rPr>
        <w:t>н</w:t>
      </w:r>
      <w:r w:rsidR="0071360A">
        <w:rPr>
          <w:rFonts w:eastAsia="Arial"/>
        </w:rPr>
        <w:t>т</w:t>
      </w:r>
      <w:r>
        <w:rPr>
          <w:rFonts w:eastAsia="Arial"/>
        </w:rPr>
        <w:t>ациј</w:t>
      </w:r>
      <w:r w:rsidR="0071360A">
        <w:rPr>
          <w:rFonts w:eastAsia="Arial"/>
        </w:rPr>
        <w:t>у</w:t>
      </w:r>
      <w:r w:rsidR="00947928" w:rsidRPr="00F6340E">
        <w:rPr>
          <w:rFonts w:eastAsia="Arial"/>
        </w:rPr>
        <w:t xml:space="preserve"> </w:t>
      </w:r>
      <w:r>
        <w:rPr>
          <w:rFonts w:eastAsia="Arial"/>
        </w:rPr>
        <w:t>на</w:t>
      </w:r>
      <w:r w:rsidR="0071360A">
        <w:rPr>
          <w:rFonts w:eastAsia="Arial"/>
        </w:rPr>
        <w:t>ст</w:t>
      </w:r>
      <w:r>
        <w:rPr>
          <w:rFonts w:eastAsia="Arial"/>
        </w:rPr>
        <w:t>а</w:t>
      </w:r>
      <w:r w:rsidR="0071360A">
        <w:rPr>
          <w:rFonts w:eastAsia="Arial"/>
        </w:rPr>
        <w:t>в</w:t>
      </w:r>
      <w:r w:rsidR="00EE6AA2">
        <w:rPr>
          <w:rFonts w:eastAsia="Arial"/>
        </w:rPr>
        <w:t>е</w:t>
      </w:r>
      <w:r w:rsidR="00947928" w:rsidRPr="00F6340E">
        <w:rPr>
          <w:rFonts w:eastAsia="Arial"/>
        </w:rPr>
        <w:t xml:space="preserve"> </w:t>
      </w:r>
      <w:r w:rsidR="0071360A">
        <w:rPr>
          <w:rFonts w:eastAsia="Arial"/>
        </w:rPr>
        <w:t>пут</w:t>
      </w:r>
      <w:r w:rsidR="00EE6AA2">
        <w:rPr>
          <w:rFonts w:eastAsia="Arial"/>
        </w:rPr>
        <w:t>е</w:t>
      </w:r>
      <w:r>
        <w:rPr>
          <w:rFonts w:eastAsia="Arial"/>
        </w:rPr>
        <w:t>м</w:t>
      </w:r>
      <w:r w:rsidR="00947928" w:rsidRPr="00F6340E">
        <w:rPr>
          <w:rFonts w:eastAsia="Arial"/>
        </w:rPr>
        <w:t xml:space="preserve"> </w:t>
      </w:r>
      <w:r>
        <w:rPr>
          <w:rFonts w:eastAsia="Arial"/>
        </w:rPr>
        <w:t>ин</w:t>
      </w:r>
      <w:r w:rsidR="0071360A">
        <w:rPr>
          <w:rFonts w:eastAsia="Arial"/>
        </w:rPr>
        <w:t>т</w:t>
      </w:r>
      <w:r w:rsidR="00EE6AA2">
        <w:rPr>
          <w:rFonts w:eastAsia="Arial"/>
        </w:rPr>
        <w:t>е</w:t>
      </w:r>
      <w:r w:rsidR="0071360A">
        <w:rPr>
          <w:rFonts w:eastAsia="Arial"/>
        </w:rPr>
        <w:t>р</w:t>
      </w:r>
      <w:r>
        <w:rPr>
          <w:rFonts w:eastAsia="Arial"/>
        </w:rPr>
        <w:t>н</w:t>
      </w:r>
      <w:r w:rsidR="00EE6AA2">
        <w:rPr>
          <w:rFonts w:eastAsia="Arial"/>
        </w:rPr>
        <w:t>е</w:t>
      </w:r>
      <w:r w:rsidR="0071360A">
        <w:rPr>
          <w:rFonts w:eastAsia="Arial"/>
        </w:rPr>
        <w:t>т</w:t>
      </w:r>
      <w:r>
        <w:rPr>
          <w:rFonts w:eastAsia="Arial"/>
        </w:rPr>
        <w:t>а</w:t>
      </w:r>
      <w:r w:rsidR="00947928" w:rsidRPr="00F6340E">
        <w:rPr>
          <w:rFonts w:eastAsia="Arial"/>
        </w:rPr>
        <w:t xml:space="preserve"> </w:t>
      </w:r>
      <w:r>
        <w:rPr>
          <w:rFonts w:eastAsia="Arial"/>
        </w:rPr>
        <w:t>и</w:t>
      </w:r>
      <w:r w:rsidR="00780E20" w:rsidRPr="00F6340E">
        <w:rPr>
          <w:rFonts w:eastAsia="Arial"/>
        </w:rPr>
        <w:t xml:space="preserve"> </w:t>
      </w:r>
      <w:r>
        <w:rPr>
          <w:rFonts w:eastAsia="Arial"/>
        </w:rPr>
        <w:t>комбино</w:t>
      </w:r>
      <w:r w:rsidR="0071360A">
        <w:rPr>
          <w:rFonts w:eastAsia="Arial"/>
        </w:rPr>
        <w:t>в</w:t>
      </w:r>
      <w:r>
        <w:rPr>
          <w:rFonts w:eastAsia="Arial"/>
        </w:rPr>
        <w:t>ан</w:t>
      </w:r>
      <w:r w:rsidR="00EE6AA2">
        <w:rPr>
          <w:rFonts w:eastAsia="Arial"/>
        </w:rPr>
        <w:t>е</w:t>
      </w:r>
      <w:r w:rsidR="00780E20" w:rsidRPr="00F6340E">
        <w:rPr>
          <w:rFonts w:eastAsia="Arial"/>
        </w:rPr>
        <w:t xml:space="preserve"> </w:t>
      </w:r>
      <w:r>
        <w:rPr>
          <w:rFonts w:eastAsia="Arial"/>
        </w:rPr>
        <w:t>на</w:t>
      </w:r>
      <w:r w:rsidR="0071360A">
        <w:rPr>
          <w:rFonts w:eastAsia="Arial"/>
        </w:rPr>
        <w:t>ст</w:t>
      </w:r>
      <w:r>
        <w:rPr>
          <w:rFonts w:eastAsia="Arial"/>
        </w:rPr>
        <w:t>а</w:t>
      </w:r>
      <w:r w:rsidR="0071360A">
        <w:rPr>
          <w:rFonts w:eastAsia="Arial"/>
        </w:rPr>
        <w:t>в</w:t>
      </w:r>
      <w:r w:rsidR="00EE6AA2">
        <w:rPr>
          <w:rFonts w:eastAsia="Arial"/>
        </w:rPr>
        <w:t>е</w:t>
      </w:r>
      <w:r w:rsidR="00780E20" w:rsidRPr="00F6340E">
        <w:rPr>
          <w:rFonts w:eastAsia="Arial"/>
        </w:rPr>
        <w:t>.</w:t>
      </w:r>
    </w:p>
    <w:p w14:paraId="5330EFF5" w14:textId="5260D15A" w:rsidR="004A1F9E" w:rsidRPr="00F6340E" w:rsidRDefault="00A56E08" w:rsidP="000962EB">
      <w:pPr>
        <w:pStyle w:val="Heading3"/>
        <w:numPr>
          <w:ilvl w:val="2"/>
          <w:numId w:val="70"/>
        </w:numPr>
        <w:rPr>
          <w:lang w:val="sr-Cyrl-BA"/>
        </w:rPr>
      </w:pPr>
      <w:bookmarkStart w:id="27" w:name="_Toc119050309"/>
      <w:r>
        <w:rPr>
          <w:lang w:val="sr-Cyrl-BA"/>
        </w:rPr>
        <w:t>Ха</w:t>
      </w:r>
      <w:r w:rsidR="0071360A">
        <w:rPr>
          <w:lang w:val="sr-Cyrl-BA"/>
        </w:rPr>
        <w:t>р</w:t>
      </w:r>
      <w:r>
        <w:rPr>
          <w:lang w:val="sr-Cyrl-BA"/>
        </w:rPr>
        <w:t>д</w:t>
      </w:r>
      <w:r w:rsidR="0071360A">
        <w:rPr>
          <w:lang w:val="sr-Cyrl-BA"/>
        </w:rPr>
        <w:t>в</w:t>
      </w:r>
      <w:r w:rsidR="00EE6AA2">
        <w:rPr>
          <w:lang w:val="sr-Cyrl-BA"/>
        </w:rPr>
        <w:t>е</w:t>
      </w:r>
      <w:r w:rsidR="0071360A">
        <w:rPr>
          <w:lang w:val="sr-Cyrl-BA"/>
        </w:rPr>
        <w:t>рс</w:t>
      </w:r>
      <w:r>
        <w:rPr>
          <w:lang w:val="sr-Cyrl-BA"/>
        </w:rPr>
        <w:t>ка</w:t>
      </w:r>
      <w:r w:rsidR="004A1F9E" w:rsidRPr="00F6340E">
        <w:rPr>
          <w:lang w:val="sr-Cyrl-BA"/>
        </w:rPr>
        <w:t xml:space="preserve"> </w:t>
      </w:r>
      <w:r>
        <w:rPr>
          <w:lang w:val="sr-Cyrl-BA"/>
        </w:rPr>
        <w:t>инф</w:t>
      </w:r>
      <w:r w:rsidR="0071360A">
        <w:rPr>
          <w:lang w:val="sr-Cyrl-BA"/>
        </w:rPr>
        <w:t>р</w:t>
      </w:r>
      <w:r>
        <w:rPr>
          <w:lang w:val="sr-Cyrl-BA"/>
        </w:rPr>
        <w:t>а</w:t>
      </w:r>
      <w:r w:rsidR="0071360A">
        <w:rPr>
          <w:lang w:val="sr-Cyrl-BA"/>
        </w:rPr>
        <w:t>стру</w:t>
      </w:r>
      <w:r>
        <w:rPr>
          <w:lang w:val="sr-Cyrl-BA"/>
        </w:rPr>
        <w:t>к</w:t>
      </w:r>
      <w:r w:rsidR="0071360A">
        <w:rPr>
          <w:lang w:val="sr-Cyrl-BA"/>
        </w:rPr>
        <w:t>тур</w:t>
      </w:r>
      <w:r>
        <w:rPr>
          <w:lang w:val="sr-Cyrl-BA"/>
        </w:rPr>
        <w:t>а</w:t>
      </w:r>
      <w:bookmarkEnd w:id="27"/>
      <w:r w:rsidR="004A1F9E" w:rsidRPr="00F6340E">
        <w:rPr>
          <w:lang w:val="sr-Cyrl-BA"/>
        </w:rPr>
        <w:t xml:space="preserve"> </w:t>
      </w:r>
    </w:p>
    <w:p w14:paraId="5125939B" w14:textId="725251B7" w:rsidR="006C2F44" w:rsidRPr="00F6340E" w:rsidRDefault="00A56E08" w:rsidP="00FA4DC9">
      <w:pPr>
        <w:pStyle w:val="Body"/>
      </w:pPr>
      <w:r>
        <w:t>Ха</w:t>
      </w:r>
      <w:r w:rsidR="0071360A">
        <w:t>р</w:t>
      </w:r>
      <w:r>
        <w:t>д</w:t>
      </w:r>
      <w:r w:rsidR="0071360A">
        <w:t>в</w:t>
      </w:r>
      <w:r w:rsidR="00EE6AA2">
        <w:t>е</w:t>
      </w:r>
      <w:r w:rsidR="0071360A">
        <w:t>рс</w:t>
      </w:r>
      <w:r>
        <w:t>ка</w:t>
      </w:r>
      <w:r w:rsidR="00AD1466" w:rsidRPr="00F6340E">
        <w:t xml:space="preserve"> </w:t>
      </w:r>
      <w:r>
        <w:t>инф</w:t>
      </w:r>
      <w:r w:rsidR="0071360A">
        <w:t>р</w:t>
      </w:r>
      <w:r>
        <w:t>а</w:t>
      </w:r>
      <w:r w:rsidR="0071360A">
        <w:t>стру</w:t>
      </w:r>
      <w:r>
        <w:t>к</w:t>
      </w:r>
      <w:r w:rsidR="0071360A">
        <w:t>тур</w:t>
      </w:r>
      <w:r>
        <w:t>а</w:t>
      </w:r>
      <w:r w:rsidR="00AD1466" w:rsidRPr="00F6340E">
        <w:t xml:space="preserve"> </w:t>
      </w:r>
      <w:r>
        <w:t>одно</w:t>
      </w:r>
      <w:r w:rsidR="0071360A">
        <w:t>с</w:t>
      </w:r>
      <w:r>
        <w:t>и</w:t>
      </w:r>
      <w:r w:rsidR="00AD1466" w:rsidRPr="00F6340E">
        <w:t xml:space="preserve"> </w:t>
      </w:r>
      <w:r w:rsidR="0071360A">
        <w:t>с</w:t>
      </w:r>
      <w:r w:rsidR="00EE6AA2">
        <w:t>е</w:t>
      </w:r>
      <w:r w:rsidR="00AD1466" w:rsidRPr="00F6340E">
        <w:t xml:space="preserve"> </w:t>
      </w:r>
      <w:r>
        <w:t>на</w:t>
      </w:r>
      <w:r w:rsidR="00AD1466" w:rsidRPr="00F6340E">
        <w:t xml:space="preserve"> </w:t>
      </w:r>
      <w:r>
        <w:t>ИК</w:t>
      </w:r>
      <w:r w:rsidR="0071360A">
        <w:t>Т</w:t>
      </w:r>
      <w:r w:rsidR="00AD1466" w:rsidRPr="00F6340E">
        <w:t xml:space="preserve"> </w:t>
      </w:r>
      <w:r>
        <w:t>о</w:t>
      </w:r>
      <w:r w:rsidR="0071360A">
        <w:t>пр</w:t>
      </w:r>
      <w:r w:rsidR="00EE6AA2">
        <w:t>е</w:t>
      </w:r>
      <w:r>
        <w:t>м</w:t>
      </w:r>
      <w:r w:rsidR="0071360A">
        <w:t>у</w:t>
      </w:r>
      <w:r w:rsidR="00AD1466" w:rsidRPr="00F6340E">
        <w:t xml:space="preserve"> </w:t>
      </w:r>
      <w:r w:rsidR="0071360A">
        <w:t>у</w:t>
      </w:r>
      <w:r w:rsidR="00AD1466" w:rsidRPr="00F6340E">
        <w:t xml:space="preserve"> </w:t>
      </w:r>
      <w:r w:rsidR="0071360A">
        <w:t>ш</w:t>
      </w:r>
      <w:r>
        <w:t>коли</w:t>
      </w:r>
      <w:r w:rsidR="00B91744" w:rsidRPr="00F6340E">
        <w:t>,</w:t>
      </w:r>
      <w:r w:rsidR="00AD1466" w:rsidRPr="00F6340E">
        <w:t xml:space="preserve"> </w:t>
      </w:r>
      <w:r>
        <w:t>одно</w:t>
      </w:r>
      <w:r w:rsidR="0071360A">
        <w:t>с</w:t>
      </w:r>
      <w:r>
        <w:t>но</w:t>
      </w:r>
      <w:r w:rsidR="00AD1466" w:rsidRPr="00F6340E">
        <w:t xml:space="preserve"> </w:t>
      </w:r>
      <w:r>
        <w:t>о</w:t>
      </w:r>
      <w:r w:rsidR="0071360A">
        <w:t>пр</w:t>
      </w:r>
      <w:r w:rsidR="00EE6AA2">
        <w:t>е</w:t>
      </w:r>
      <w:r>
        <w:t>мљ</w:t>
      </w:r>
      <w:r w:rsidR="00EE6AA2">
        <w:t>е</w:t>
      </w:r>
      <w:r>
        <w:t>но</w:t>
      </w:r>
      <w:r w:rsidR="0071360A">
        <w:t>ст</w:t>
      </w:r>
      <w:r w:rsidR="00AD1466" w:rsidRPr="00F6340E">
        <w:t xml:space="preserve"> </w:t>
      </w:r>
      <w:r w:rsidR="0071360A">
        <w:t>у</w:t>
      </w:r>
      <w:r>
        <w:t>чионица</w:t>
      </w:r>
      <w:r w:rsidR="00AD1466" w:rsidRPr="00F6340E">
        <w:t xml:space="preserve"> </w:t>
      </w:r>
      <w:r w:rsidR="0071360A">
        <w:t>пр</w:t>
      </w:r>
      <w:r w:rsidR="00EE6AA2">
        <w:t>е</w:t>
      </w:r>
      <w:r w:rsidR="00171F00">
        <w:t>з</w:t>
      </w:r>
      <w:r w:rsidR="00EE6AA2">
        <w:t>е</w:t>
      </w:r>
      <w:r>
        <w:t>н</w:t>
      </w:r>
      <w:r w:rsidR="0071360A">
        <w:t>т</w:t>
      </w:r>
      <w:r>
        <w:t>ационим</w:t>
      </w:r>
      <w:r w:rsidR="00AD1466" w:rsidRPr="00F6340E">
        <w:t xml:space="preserve"> </w:t>
      </w:r>
      <w:r>
        <w:t>и</w:t>
      </w:r>
      <w:r w:rsidR="00AD1466" w:rsidRPr="00F6340E">
        <w:t xml:space="preserve"> </w:t>
      </w:r>
      <w:r>
        <w:t>ин</w:t>
      </w:r>
      <w:r w:rsidR="0071360A">
        <w:t>т</w:t>
      </w:r>
      <w:r w:rsidR="00EE6AA2">
        <w:t>е</w:t>
      </w:r>
      <w:r w:rsidR="0071360A">
        <w:t>р</w:t>
      </w:r>
      <w:r>
        <w:t>ак</w:t>
      </w:r>
      <w:r w:rsidR="0071360A">
        <w:t>т</w:t>
      </w:r>
      <w:r>
        <w:t>и</w:t>
      </w:r>
      <w:r w:rsidR="0071360A">
        <w:t>в</w:t>
      </w:r>
      <w:r>
        <w:t>ним</w:t>
      </w:r>
      <w:r w:rsidR="00AD1466" w:rsidRPr="00F6340E">
        <w:t xml:space="preserve"> </w:t>
      </w:r>
      <w:r w:rsidR="0071360A">
        <w:t>ур</w:t>
      </w:r>
      <w:r w:rsidR="00EE6AA2">
        <w:t>е</w:t>
      </w:r>
      <w:r>
        <w:t>ђајима</w:t>
      </w:r>
      <w:r w:rsidR="00AD1466" w:rsidRPr="00F6340E">
        <w:t xml:space="preserve"> (</w:t>
      </w:r>
      <w:r w:rsidR="0071360A">
        <w:t>п</w:t>
      </w:r>
      <w:r>
        <w:t>ам</w:t>
      </w:r>
      <w:r w:rsidR="00EE6AA2">
        <w:t>е</w:t>
      </w:r>
      <w:r w:rsidR="0071360A">
        <w:t>т</w:t>
      </w:r>
      <w:r>
        <w:t>н</w:t>
      </w:r>
      <w:r w:rsidR="00EE6AA2">
        <w:t>е</w:t>
      </w:r>
      <w:r w:rsidR="00AD1466" w:rsidRPr="00F6340E">
        <w:t xml:space="preserve"> </w:t>
      </w:r>
      <w:r w:rsidR="0071360A">
        <w:t>т</w:t>
      </w:r>
      <w:r>
        <w:t>абл</w:t>
      </w:r>
      <w:r w:rsidR="00EE6AA2">
        <w:t>е</w:t>
      </w:r>
      <w:r w:rsidR="00AD1466" w:rsidRPr="00F6340E">
        <w:t xml:space="preserve">, </w:t>
      </w:r>
      <w:r w:rsidR="0071360A">
        <w:t>пр</w:t>
      </w:r>
      <w:r>
        <w:t>ој</w:t>
      </w:r>
      <w:r w:rsidR="00EE6AA2">
        <w:t>е</w:t>
      </w:r>
      <w:r>
        <w:t>к</w:t>
      </w:r>
      <w:r w:rsidR="0071360A">
        <w:t>т</w:t>
      </w:r>
      <w:r>
        <w:t>о</w:t>
      </w:r>
      <w:r w:rsidR="0071360A">
        <w:t>р</w:t>
      </w:r>
      <w:r>
        <w:t>и</w:t>
      </w:r>
      <w:r w:rsidR="00AD1466" w:rsidRPr="00F6340E">
        <w:t xml:space="preserve">, </w:t>
      </w:r>
      <w:r w:rsidR="0071360A">
        <w:t>р</w:t>
      </w:r>
      <w:r>
        <w:t>ач</w:t>
      </w:r>
      <w:r w:rsidR="0071360A">
        <w:t>у</w:t>
      </w:r>
      <w:r>
        <w:t>на</w:t>
      </w:r>
      <w:r w:rsidR="0071360A">
        <w:t>р</w:t>
      </w:r>
      <w:r>
        <w:t>а</w:t>
      </w:r>
      <w:r w:rsidR="00AD1466" w:rsidRPr="00F6340E">
        <w:t xml:space="preserve"> </w:t>
      </w:r>
      <w:r>
        <w:t>и</w:t>
      </w:r>
      <w:r w:rsidR="00AD1466" w:rsidRPr="00F6340E">
        <w:t xml:space="preserve"> </w:t>
      </w:r>
      <w:r>
        <w:t>ла</w:t>
      </w:r>
      <w:r w:rsidR="0071360A">
        <w:t>пт</w:t>
      </w:r>
      <w:r>
        <w:t>о</w:t>
      </w:r>
      <w:r w:rsidR="0071360A">
        <w:t>п</w:t>
      </w:r>
      <w:r>
        <w:t>и</w:t>
      </w:r>
      <w:r w:rsidR="00AD1466" w:rsidRPr="00F6340E">
        <w:t>)</w:t>
      </w:r>
      <w:r w:rsidR="00D57A41" w:rsidRPr="00F6340E">
        <w:rPr>
          <w:rStyle w:val="CommentReference"/>
          <w:rFonts w:cs="Arial"/>
          <w:noProof w:val="0"/>
          <w:sz w:val="24"/>
          <w:szCs w:val="24"/>
        </w:rPr>
        <w:t xml:space="preserve">, </w:t>
      </w:r>
      <w:r>
        <w:rPr>
          <w:rStyle w:val="CommentReference"/>
          <w:rFonts w:cs="Arial"/>
          <w:noProof w:val="0"/>
          <w:sz w:val="24"/>
          <w:szCs w:val="24"/>
        </w:rPr>
        <w:t>од</w:t>
      </w:r>
      <w:r w:rsidR="0071360A">
        <w:rPr>
          <w:rStyle w:val="CommentReference"/>
          <w:rFonts w:cs="Arial"/>
          <w:noProof w:val="0"/>
          <w:sz w:val="24"/>
          <w:szCs w:val="24"/>
        </w:rPr>
        <w:t>р</w:t>
      </w:r>
      <w:r w:rsidR="00EE6AA2">
        <w:rPr>
          <w:rStyle w:val="CommentReference"/>
          <w:rFonts w:cs="Arial"/>
          <w:noProof w:val="0"/>
          <w:sz w:val="24"/>
          <w:szCs w:val="24"/>
        </w:rPr>
        <w:t>е</w:t>
      </w:r>
      <w:r>
        <w:rPr>
          <w:rStyle w:val="CommentReference"/>
          <w:rFonts w:cs="Arial"/>
          <w:noProof w:val="0"/>
          <w:sz w:val="24"/>
          <w:szCs w:val="24"/>
        </w:rPr>
        <w:t>ђ</w:t>
      </w:r>
      <w:r w:rsidR="00EE6AA2">
        <w:rPr>
          <w:rStyle w:val="CommentReference"/>
          <w:rFonts w:cs="Arial"/>
          <w:noProof w:val="0"/>
          <w:sz w:val="24"/>
          <w:szCs w:val="24"/>
        </w:rPr>
        <w:t>е</w:t>
      </w:r>
      <w:r>
        <w:rPr>
          <w:rStyle w:val="CommentReference"/>
          <w:rFonts w:cs="Arial"/>
          <w:noProof w:val="0"/>
          <w:sz w:val="24"/>
          <w:szCs w:val="24"/>
        </w:rPr>
        <w:t>н</w:t>
      </w:r>
      <w:r w:rsidR="00EE6AA2">
        <w:rPr>
          <w:rStyle w:val="CommentReference"/>
          <w:rFonts w:cs="Arial"/>
          <w:noProof w:val="0"/>
          <w:sz w:val="24"/>
          <w:szCs w:val="24"/>
        </w:rPr>
        <w:t>е</w:t>
      </w:r>
      <w:r w:rsidR="00D57A41" w:rsidRPr="00F6340E">
        <w:rPr>
          <w:rStyle w:val="CommentReference"/>
          <w:rFonts w:cs="Arial"/>
          <w:noProof w:val="0"/>
          <w:sz w:val="24"/>
          <w:szCs w:val="24"/>
        </w:rPr>
        <w:t xml:space="preserve"> </w:t>
      </w:r>
      <w:r w:rsidR="0071360A">
        <w:rPr>
          <w:rStyle w:val="CommentReference"/>
          <w:rFonts w:cs="Arial"/>
          <w:noProof w:val="0"/>
          <w:sz w:val="24"/>
          <w:szCs w:val="24"/>
        </w:rPr>
        <w:t>ур</w:t>
      </w:r>
      <w:r w:rsidR="00EE6AA2">
        <w:rPr>
          <w:rStyle w:val="CommentReference"/>
          <w:rFonts w:cs="Arial"/>
          <w:noProof w:val="0"/>
          <w:sz w:val="24"/>
          <w:szCs w:val="24"/>
        </w:rPr>
        <w:t>е</w:t>
      </w:r>
      <w:r>
        <w:rPr>
          <w:rStyle w:val="CommentReference"/>
          <w:rFonts w:cs="Arial"/>
          <w:noProof w:val="0"/>
          <w:sz w:val="24"/>
          <w:szCs w:val="24"/>
        </w:rPr>
        <w:t>ђај</w:t>
      </w:r>
      <w:r w:rsidR="00EE6AA2">
        <w:rPr>
          <w:rStyle w:val="CommentReference"/>
          <w:rFonts w:cs="Arial"/>
          <w:noProof w:val="0"/>
          <w:sz w:val="24"/>
          <w:szCs w:val="24"/>
        </w:rPr>
        <w:t>е</w:t>
      </w:r>
      <w:r w:rsidR="00D57A41" w:rsidRPr="00F6340E">
        <w:rPr>
          <w:rStyle w:val="CommentReference"/>
          <w:rFonts w:cs="Arial"/>
          <w:noProof w:val="0"/>
          <w:sz w:val="24"/>
          <w:szCs w:val="24"/>
        </w:rPr>
        <w:t xml:space="preserve"> </w:t>
      </w:r>
      <w:r>
        <w:rPr>
          <w:rStyle w:val="CommentReference"/>
          <w:rFonts w:cs="Arial"/>
          <w:noProof w:val="0"/>
          <w:sz w:val="24"/>
          <w:szCs w:val="24"/>
        </w:rPr>
        <w:t>а</w:t>
      </w:r>
      <w:r w:rsidR="0071360A">
        <w:rPr>
          <w:rStyle w:val="CommentReference"/>
          <w:rFonts w:cs="Arial"/>
          <w:noProof w:val="0"/>
          <w:sz w:val="24"/>
          <w:szCs w:val="24"/>
        </w:rPr>
        <w:t>с</w:t>
      </w:r>
      <w:r>
        <w:rPr>
          <w:rStyle w:val="CommentReference"/>
          <w:rFonts w:cs="Arial"/>
          <w:noProof w:val="0"/>
          <w:sz w:val="24"/>
          <w:szCs w:val="24"/>
        </w:rPr>
        <w:t>и</w:t>
      </w:r>
      <w:r w:rsidR="0071360A">
        <w:rPr>
          <w:rStyle w:val="CommentReference"/>
          <w:rFonts w:cs="Arial"/>
          <w:noProof w:val="0"/>
          <w:sz w:val="24"/>
          <w:szCs w:val="24"/>
        </w:rPr>
        <w:t>ст</w:t>
      </w:r>
      <w:r>
        <w:rPr>
          <w:rStyle w:val="CommentReference"/>
          <w:rFonts w:cs="Arial"/>
          <w:noProof w:val="0"/>
          <w:sz w:val="24"/>
          <w:szCs w:val="24"/>
        </w:rPr>
        <w:t>и</w:t>
      </w:r>
      <w:r w:rsidR="0071360A">
        <w:rPr>
          <w:rStyle w:val="CommentReference"/>
          <w:rFonts w:cs="Arial"/>
          <w:noProof w:val="0"/>
          <w:sz w:val="24"/>
          <w:szCs w:val="24"/>
        </w:rPr>
        <w:t>в</w:t>
      </w:r>
      <w:r>
        <w:rPr>
          <w:rStyle w:val="CommentReference"/>
          <w:rFonts w:cs="Arial"/>
          <w:noProof w:val="0"/>
          <w:sz w:val="24"/>
          <w:szCs w:val="24"/>
        </w:rPr>
        <w:t>н</w:t>
      </w:r>
      <w:r w:rsidR="00EE6AA2">
        <w:rPr>
          <w:rStyle w:val="CommentReference"/>
          <w:rFonts w:cs="Arial"/>
          <w:noProof w:val="0"/>
          <w:sz w:val="24"/>
          <w:szCs w:val="24"/>
        </w:rPr>
        <w:t>е</w:t>
      </w:r>
      <w:r w:rsidR="00D57A41" w:rsidRPr="00F6340E">
        <w:rPr>
          <w:rStyle w:val="CommentReference"/>
          <w:rFonts w:cs="Arial"/>
          <w:noProof w:val="0"/>
          <w:sz w:val="24"/>
          <w:szCs w:val="24"/>
        </w:rPr>
        <w:t xml:space="preserve"> </w:t>
      </w:r>
      <w:r w:rsidR="0071360A">
        <w:rPr>
          <w:rStyle w:val="CommentReference"/>
          <w:rFonts w:cs="Arial"/>
          <w:noProof w:val="0"/>
          <w:sz w:val="24"/>
          <w:szCs w:val="24"/>
        </w:rPr>
        <w:t>т</w:t>
      </w:r>
      <w:r w:rsidR="00EE6AA2">
        <w:rPr>
          <w:rStyle w:val="CommentReference"/>
          <w:rFonts w:cs="Arial"/>
          <w:noProof w:val="0"/>
          <w:sz w:val="24"/>
          <w:szCs w:val="24"/>
        </w:rPr>
        <w:t>е</w:t>
      </w:r>
      <w:r>
        <w:rPr>
          <w:rStyle w:val="CommentReference"/>
          <w:rFonts w:cs="Arial"/>
          <w:noProof w:val="0"/>
          <w:sz w:val="24"/>
          <w:szCs w:val="24"/>
        </w:rPr>
        <w:t>хнологиј</w:t>
      </w:r>
      <w:r w:rsidR="00EE6AA2">
        <w:rPr>
          <w:rStyle w:val="CommentReference"/>
          <w:rFonts w:cs="Arial"/>
          <w:noProof w:val="0"/>
          <w:sz w:val="24"/>
          <w:szCs w:val="24"/>
        </w:rPr>
        <w:t>е</w:t>
      </w:r>
      <w:r w:rsidR="00D57A41" w:rsidRPr="00F6340E">
        <w:rPr>
          <w:rStyle w:val="CommentReference"/>
          <w:rFonts w:cs="Arial"/>
          <w:noProof w:val="0"/>
          <w:sz w:val="24"/>
          <w:szCs w:val="24"/>
        </w:rPr>
        <w:t xml:space="preserve">, </w:t>
      </w:r>
      <w:r w:rsidR="0071360A">
        <w:t>т</w:t>
      </w:r>
      <w:r w:rsidR="00EE6AA2">
        <w:t>е</w:t>
      </w:r>
      <w:r w:rsidR="00AD1466" w:rsidRPr="00F6340E">
        <w:t xml:space="preserve"> </w:t>
      </w:r>
      <w:r>
        <w:t>на</w:t>
      </w:r>
      <w:r w:rsidR="00AD1466" w:rsidRPr="00F6340E">
        <w:t xml:space="preserve"> </w:t>
      </w:r>
      <w:r>
        <w:t>о</w:t>
      </w:r>
      <w:r w:rsidR="0071360A">
        <w:t>пр</w:t>
      </w:r>
      <w:r w:rsidR="00EE6AA2">
        <w:t>е</w:t>
      </w:r>
      <w:r>
        <w:t>м</w:t>
      </w:r>
      <w:r w:rsidR="0071360A">
        <w:t>у</w:t>
      </w:r>
      <w:r w:rsidR="00AD1466" w:rsidRPr="00F6340E">
        <w:t xml:space="preserve"> </w:t>
      </w:r>
      <w:r w:rsidR="00171F00">
        <w:t>з</w:t>
      </w:r>
      <w:r>
        <w:t>а</w:t>
      </w:r>
      <w:r w:rsidR="00B91744" w:rsidRPr="00F6340E">
        <w:t xml:space="preserve"> </w:t>
      </w:r>
      <w:r>
        <w:t>ИК</w:t>
      </w:r>
      <w:r w:rsidR="0071360A">
        <w:t>Т</w:t>
      </w:r>
      <w:r w:rsidR="00B91744" w:rsidRPr="00F6340E">
        <w:t xml:space="preserve"> </w:t>
      </w:r>
      <w:r w:rsidR="00171F00">
        <w:t>з</w:t>
      </w:r>
      <w:r>
        <w:t>а</w:t>
      </w:r>
      <w:r w:rsidR="00AD1466" w:rsidRPr="00F6340E">
        <w:t xml:space="preserve"> </w:t>
      </w:r>
      <w:r>
        <w:t>на</w:t>
      </w:r>
      <w:r w:rsidR="0071360A">
        <w:t>ст</w:t>
      </w:r>
      <w:r>
        <w:t>а</w:t>
      </w:r>
      <w:r w:rsidR="0071360A">
        <w:t>в</w:t>
      </w:r>
      <w:r>
        <w:t>ник</w:t>
      </w:r>
      <w:r w:rsidR="00EE6AA2">
        <w:t>е</w:t>
      </w:r>
      <w:r w:rsidR="00AD1466" w:rsidRPr="00F6340E">
        <w:t xml:space="preserve"> </w:t>
      </w:r>
      <w:r>
        <w:t>и</w:t>
      </w:r>
      <w:r w:rsidR="00AD1466" w:rsidRPr="00F6340E">
        <w:t xml:space="preserve"> </w:t>
      </w:r>
      <w:r>
        <w:t>о</w:t>
      </w:r>
      <w:r w:rsidR="0071360A">
        <w:t>ст</w:t>
      </w:r>
      <w:r>
        <w:t>ал</w:t>
      </w:r>
      <w:r w:rsidR="00EE6AA2">
        <w:t>е</w:t>
      </w:r>
      <w:r w:rsidR="00AD1466" w:rsidRPr="00F6340E">
        <w:t xml:space="preserve"> </w:t>
      </w:r>
      <w:r w:rsidR="0071360A">
        <w:t>уп</w:t>
      </w:r>
      <w:r>
        <w:t>о</w:t>
      </w:r>
      <w:r w:rsidR="0071360A">
        <w:t>с</w:t>
      </w:r>
      <w:r>
        <w:t>л</w:t>
      </w:r>
      <w:r w:rsidR="00EE6AA2">
        <w:t>е</w:t>
      </w:r>
      <w:r>
        <w:t>ник</w:t>
      </w:r>
      <w:r w:rsidR="00EE6AA2">
        <w:t>е</w:t>
      </w:r>
      <w:r w:rsidR="00AD1466" w:rsidRPr="00F6340E">
        <w:t xml:space="preserve"> </w:t>
      </w:r>
      <w:r w:rsidR="0071360A">
        <w:t>ш</w:t>
      </w:r>
      <w:r>
        <w:t>кол</w:t>
      </w:r>
      <w:r w:rsidR="00EE6AA2">
        <w:t>е</w:t>
      </w:r>
      <w:r w:rsidR="00AD1466" w:rsidRPr="00F6340E">
        <w:t xml:space="preserve"> (</w:t>
      </w:r>
      <w:r w:rsidR="0071360A">
        <w:t>р</w:t>
      </w:r>
      <w:r>
        <w:t>ач</w:t>
      </w:r>
      <w:r w:rsidR="0071360A">
        <w:t>у</w:t>
      </w:r>
      <w:r>
        <w:t>на</w:t>
      </w:r>
      <w:r w:rsidR="0071360A">
        <w:t>р</w:t>
      </w:r>
      <w:r>
        <w:t>а</w:t>
      </w:r>
      <w:r w:rsidR="00B91744" w:rsidRPr="00F6340E">
        <w:t xml:space="preserve"> </w:t>
      </w:r>
      <w:r>
        <w:t>и</w:t>
      </w:r>
      <w:r w:rsidR="00B91744" w:rsidRPr="00F6340E">
        <w:t xml:space="preserve"> </w:t>
      </w:r>
      <w:r>
        <w:t>ла</w:t>
      </w:r>
      <w:r w:rsidR="0071360A">
        <w:t>пт</w:t>
      </w:r>
      <w:r>
        <w:t>о</w:t>
      </w:r>
      <w:r w:rsidR="0071360A">
        <w:t>п</w:t>
      </w:r>
      <w:r>
        <w:t>и</w:t>
      </w:r>
      <w:r w:rsidR="00AD1466" w:rsidRPr="00F6340E">
        <w:t xml:space="preserve">). </w:t>
      </w:r>
    </w:p>
    <w:p w14:paraId="3B20AFDA" w14:textId="701E074B" w:rsidR="000F7D39" w:rsidRPr="00F6340E" w:rsidRDefault="0071360A" w:rsidP="00FA4DC9">
      <w:pPr>
        <w:pStyle w:val="Body"/>
        <w:rPr>
          <w:rStyle w:val="None"/>
          <w:rFonts w:cs="Arial"/>
          <w:noProof w:val="0"/>
          <w:szCs w:val="24"/>
        </w:rPr>
      </w:pPr>
      <w:r>
        <w:t>Т</w:t>
      </w:r>
      <w:r w:rsidR="00A56E08">
        <w:t>оком</w:t>
      </w:r>
      <w:r w:rsidR="00BD36F0" w:rsidRPr="00F6340E">
        <w:t xml:space="preserve"> </w:t>
      </w:r>
      <w:r>
        <w:t>п</w:t>
      </w:r>
      <w:r w:rsidR="00A56E08">
        <w:t>анд</w:t>
      </w:r>
      <w:r w:rsidR="00EE6AA2">
        <w:t>е</w:t>
      </w:r>
      <w:r w:rsidR="00A56E08">
        <w:t>миј</w:t>
      </w:r>
      <w:r w:rsidR="00EE6AA2">
        <w:t>е</w:t>
      </w:r>
      <w:r w:rsidR="00BD36F0" w:rsidRPr="00F6340E">
        <w:t xml:space="preserve"> </w:t>
      </w:r>
      <w:r w:rsidR="00A56E08">
        <w:t>Цо</w:t>
      </w:r>
      <w:r>
        <w:t>в</w:t>
      </w:r>
      <w:r w:rsidR="00A56E08">
        <w:t>ид</w:t>
      </w:r>
      <w:r w:rsidR="00BD36F0" w:rsidRPr="00F6340E">
        <w:t xml:space="preserve"> – 19 </w:t>
      </w:r>
      <w:r>
        <w:t>у</w:t>
      </w:r>
      <w:r w:rsidR="00BD36F0" w:rsidRPr="00F6340E">
        <w:t xml:space="preserve"> </w:t>
      </w:r>
      <w:r w:rsidR="00A56E08">
        <w:t>об</w:t>
      </w:r>
      <w:r>
        <w:t>р</w:t>
      </w:r>
      <w:r w:rsidR="00A56E08">
        <w:t>а</w:t>
      </w:r>
      <w:r w:rsidR="00171F00">
        <w:t>з</w:t>
      </w:r>
      <w:r w:rsidR="00A56E08">
        <w:t>о</w:t>
      </w:r>
      <w:r>
        <w:t>в</w:t>
      </w:r>
      <w:r w:rsidR="00A56E08">
        <w:t>ањ</w:t>
      </w:r>
      <w:r>
        <w:t>у</w:t>
      </w:r>
      <w:r w:rsidR="00BD36F0" w:rsidRPr="00F6340E">
        <w:t xml:space="preserve"> </w:t>
      </w:r>
      <w:r w:rsidR="00A56E08">
        <w:t>на</w:t>
      </w:r>
      <w:r w:rsidR="00BD36F0" w:rsidRPr="00F6340E">
        <w:t xml:space="preserve"> </w:t>
      </w:r>
      <w:r>
        <w:t>св</w:t>
      </w:r>
      <w:r w:rsidR="00A56E08">
        <w:t>им</w:t>
      </w:r>
      <w:r w:rsidR="00BD36F0" w:rsidRPr="00F6340E">
        <w:t xml:space="preserve"> </w:t>
      </w:r>
      <w:r w:rsidR="00A56E08">
        <w:t>ни</w:t>
      </w:r>
      <w:r>
        <w:t>в</w:t>
      </w:r>
      <w:r w:rsidR="00A56E08">
        <w:t>оима</w:t>
      </w:r>
      <w:r w:rsidR="00BD36F0" w:rsidRPr="00F6340E">
        <w:t xml:space="preserve"> </w:t>
      </w:r>
      <w:r>
        <w:t>у</w:t>
      </w:r>
      <w:r w:rsidR="006C2F44" w:rsidRPr="00F6340E">
        <w:t xml:space="preserve"> </w:t>
      </w:r>
      <w:r w:rsidR="00A56E08">
        <w:t>Бо</w:t>
      </w:r>
      <w:r>
        <w:t>с</w:t>
      </w:r>
      <w:r w:rsidR="00A56E08">
        <w:t>ни</w:t>
      </w:r>
      <w:r w:rsidR="006C2F44" w:rsidRPr="00F6340E">
        <w:t xml:space="preserve"> </w:t>
      </w:r>
      <w:r w:rsidR="00A56E08">
        <w:t>и</w:t>
      </w:r>
      <w:r w:rsidR="006C2F44" w:rsidRPr="00F6340E">
        <w:t xml:space="preserve"> </w:t>
      </w:r>
      <w:r w:rsidR="00A56E08">
        <w:t>Х</w:t>
      </w:r>
      <w:r w:rsidR="00EE6AA2">
        <w:t>е</w:t>
      </w:r>
      <w:r>
        <w:t>р</w:t>
      </w:r>
      <w:r w:rsidR="00A56E08">
        <w:t>ц</w:t>
      </w:r>
      <w:r w:rsidR="00EE6AA2">
        <w:t>е</w:t>
      </w:r>
      <w:r w:rsidR="00A56E08">
        <w:t>го</w:t>
      </w:r>
      <w:r>
        <w:t>в</w:t>
      </w:r>
      <w:r w:rsidR="00A56E08">
        <w:t>ини</w:t>
      </w:r>
      <w:r w:rsidR="006C2F44" w:rsidRPr="00F6340E">
        <w:t xml:space="preserve"> </w:t>
      </w:r>
      <w:r>
        <w:t>у</w:t>
      </w:r>
      <w:r w:rsidR="00A56E08">
        <w:t>оч</w:t>
      </w:r>
      <w:r w:rsidR="00EE6AA2">
        <w:t>е</w:t>
      </w:r>
      <w:r w:rsidR="00A56E08">
        <w:t>ни</w:t>
      </w:r>
      <w:r w:rsidR="00BD36F0" w:rsidRPr="00F6340E">
        <w:t xml:space="preserve"> </w:t>
      </w:r>
      <w:r>
        <w:t>су</w:t>
      </w:r>
      <w:r w:rsidR="00BD36F0" w:rsidRPr="00F6340E">
        <w:t xml:space="preserve"> </w:t>
      </w:r>
      <w:r w:rsidR="00A56E08">
        <w:t>б</w:t>
      </w:r>
      <w:r>
        <w:t>р</w:t>
      </w:r>
      <w:r w:rsidR="00A56E08">
        <w:t>ојни</w:t>
      </w:r>
      <w:r w:rsidR="00BD36F0" w:rsidRPr="00F6340E">
        <w:t xml:space="preserve"> </w:t>
      </w:r>
      <w:r w:rsidR="00A56E08">
        <w:t>н</w:t>
      </w:r>
      <w:r w:rsidR="00EE6AA2">
        <w:t>е</w:t>
      </w:r>
      <w:r w:rsidR="00A56E08">
        <w:t>до</w:t>
      </w:r>
      <w:r>
        <w:t>ст</w:t>
      </w:r>
      <w:r w:rsidR="00A56E08">
        <w:t>аци</w:t>
      </w:r>
      <w:r w:rsidR="00BD36F0" w:rsidRPr="00F6340E">
        <w:t xml:space="preserve"> </w:t>
      </w:r>
      <w:r w:rsidR="00A56E08">
        <w:t>било</w:t>
      </w:r>
      <w:r w:rsidR="00BD36F0" w:rsidRPr="00F6340E">
        <w:t xml:space="preserve"> </w:t>
      </w:r>
      <w:r w:rsidR="00A56E08">
        <w:t>да</w:t>
      </w:r>
      <w:r w:rsidR="00BD36F0" w:rsidRPr="00F6340E">
        <w:t xml:space="preserve"> </w:t>
      </w:r>
      <w:r w:rsidR="00A56E08">
        <w:t>ј</w:t>
      </w:r>
      <w:r w:rsidR="00EE6AA2">
        <w:t>е</w:t>
      </w:r>
      <w:r w:rsidR="00BD36F0" w:rsidRPr="00F6340E">
        <w:t xml:space="preserve"> </w:t>
      </w:r>
      <w:r>
        <w:t>р</w:t>
      </w:r>
      <w:r w:rsidR="00A56E08">
        <w:t>иј</w:t>
      </w:r>
      <w:r w:rsidR="00EE6AA2">
        <w:t>е</w:t>
      </w:r>
      <w:r w:rsidR="00A56E08">
        <w:t>ч</w:t>
      </w:r>
      <w:r w:rsidR="00BD36F0" w:rsidRPr="00F6340E">
        <w:t xml:space="preserve"> </w:t>
      </w:r>
      <w:r w:rsidR="00A56E08">
        <w:t>о</w:t>
      </w:r>
      <w:r w:rsidR="00BD36F0" w:rsidRPr="00F6340E">
        <w:t xml:space="preserve"> </w:t>
      </w:r>
      <w:r>
        <w:t>п</w:t>
      </w:r>
      <w:r w:rsidR="00A56E08">
        <w:t>о</w:t>
      </w:r>
      <w:r>
        <w:t>тпу</w:t>
      </w:r>
      <w:r w:rsidR="00A56E08">
        <w:t>ном</w:t>
      </w:r>
      <w:r w:rsidR="00BD36F0" w:rsidRPr="00F6340E">
        <w:t xml:space="preserve"> </w:t>
      </w:r>
      <w:r w:rsidR="00A56E08">
        <w:t>н</w:t>
      </w:r>
      <w:r w:rsidR="00EE6AA2">
        <w:t>е</w:t>
      </w:r>
      <w:r w:rsidR="00A56E08">
        <w:t>до</w:t>
      </w:r>
      <w:r>
        <w:t>ст</w:t>
      </w:r>
      <w:r w:rsidR="00A56E08">
        <w:t>а</w:t>
      </w:r>
      <w:r>
        <w:t>т</w:t>
      </w:r>
      <w:r w:rsidR="00A56E08">
        <w:t>к</w:t>
      </w:r>
      <w:r>
        <w:t>у</w:t>
      </w:r>
      <w:r w:rsidR="00BD36F0" w:rsidRPr="00F6340E">
        <w:t xml:space="preserve"> </w:t>
      </w:r>
      <w:r w:rsidR="00A56E08">
        <w:t>о</w:t>
      </w:r>
      <w:r>
        <w:t>пр</w:t>
      </w:r>
      <w:r w:rsidR="00EE6AA2">
        <w:t>е</w:t>
      </w:r>
      <w:r w:rsidR="00A56E08">
        <w:t>м</w:t>
      </w:r>
      <w:r w:rsidR="00EE6AA2">
        <w:t>е</w:t>
      </w:r>
      <w:r w:rsidR="00BD36F0" w:rsidRPr="00F6340E">
        <w:t xml:space="preserve"> </w:t>
      </w:r>
      <w:r w:rsidR="00171F00">
        <w:t>з</w:t>
      </w:r>
      <w:r w:rsidR="00A56E08">
        <w:t>а</w:t>
      </w:r>
      <w:r w:rsidR="00B91744" w:rsidRPr="00F6340E">
        <w:t xml:space="preserve"> </w:t>
      </w:r>
      <w:r w:rsidR="00A56E08">
        <w:t>ИК</w:t>
      </w:r>
      <w:r>
        <w:t>Т</w:t>
      </w:r>
      <w:r w:rsidR="00B91744" w:rsidRPr="00F6340E">
        <w:t xml:space="preserve"> </w:t>
      </w:r>
      <w:r w:rsidR="00A56E08">
        <w:t>или</w:t>
      </w:r>
      <w:r w:rsidR="00BD36F0" w:rsidRPr="00F6340E">
        <w:t xml:space="preserve"> </w:t>
      </w:r>
      <w:r w:rsidR="00A56E08">
        <w:t>н</w:t>
      </w:r>
      <w:r w:rsidR="00EE6AA2">
        <w:t>е</w:t>
      </w:r>
      <w:r w:rsidR="00A56E08">
        <w:t>ад</w:t>
      </w:r>
      <w:r w:rsidR="00EE6AA2">
        <w:t>е</w:t>
      </w:r>
      <w:r w:rsidR="00A56E08">
        <w:t>к</w:t>
      </w:r>
      <w:r>
        <w:t>в</w:t>
      </w:r>
      <w:r w:rsidR="00A56E08">
        <w:t>а</w:t>
      </w:r>
      <w:r>
        <w:t>т</w:t>
      </w:r>
      <w:r w:rsidR="00A56E08">
        <w:t>но</w:t>
      </w:r>
      <w:r>
        <w:t>ст</w:t>
      </w:r>
      <w:r w:rsidR="00A56E08">
        <w:t>и</w:t>
      </w:r>
      <w:r w:rsidR="006C2F44" w:rsidRPr="00F6340E">
        <w:t xml:space="preserve"> </w:t>
      </w:r>
      <w:r>
        <w:t>п</w:t>
      </w:r>
      <w:r w:rsidR="00A56E08">
        <w:t>о</w:t>
      </w:r>
      <w:r>
        <w:t>ст</w:t>
      </w:r>
      <w:r w:rsidR="00A56E08">
        <w:t>ој</w:t>
      </w:r>
      <w:r w:rsidR="00EE6AA2">
        <w:t>е</w:t>
      </w:r>
      <w:r w:rsidR="00A56E08">
        <w:t>ћ</w:t>
      </w:r>
      <w:r w:rsidR="00EE6AA2">
        <w:t>е</w:t>
      </w:r>
      <w:r w:rsidR="006C2F44" w:rsidRPr="00F6340E">
        <w:t xml:space="preserve"> </w:t>
      </w:r>
      <w:r w:rsidR="00A56E08">
        <w:t>о</w:t>
      </w:r>
      <w:r>
        <w:t>пр</w:t>
      </w:r>
      <w:r w:rsidR="00EE6AA2">
        <w:t>е</w:t>
      </w:r>
      <w:r w:rsidR="00A56E08">
        <w:t>м</w:t>
      </w:r>
      <w:r w:rsidR="00EE6AA2">
        <w:t>е</w:t>
      </w:r>
      <w:r w:rsidR="006C2F44" w:rsidRPr="00F6340E">
        <w:t xml:space="preserve"> </w:t>
      </w:r>
      <w:r>
        <w:t>у</w:t>
      </w:r>
      <w:r w:rsidR="006C2F44" w:rsidRPr="00F6340E">
        <w:t xml:space="preserve"> </w:t>
      </w:r>
      <w:r w:rsidR="00A56E08">
        <w:t>об</w:t>
      </w:r>
      <w:r>
        <w:t>р</w:t>
      </w:r>
      <w:r w:rsidR="00A56E08">
        <w:t>а</w:t>
      </w:r>
      <w:r w:rsidR="00171F00">
        <w:t>з</w:t>
      </w:r>
      <w:r w:rsidR="00A56E08">
        <w:t>о</w:t>
      </w:r>
      <w:r>
        <w:t>в</w:t>
      </w:r>
      <w:r w:rsidR="00A56E08">
        <w:t>ним</w:t>
      </w:r>
      <w:r w:rsidR="006C2F44" w:rsidRPr="00F6340E">
        <w:t xml:space="preserve"> </w:t>
      </w:r>
      <w:r w:rsidR="00A56E08">
        <w:t>ин</w:t>
      </w:r>
      <w:r>
        <w:t>ст</w:t>
      </w:r>
      <w:r w:rsidR="00A56E08">
        <w:t>и</w:t>
      </w:r>
      <w:r>
        <w:t>ту</w:t>
      </w:r>
      <w:r w:rsidR="00A56E08">
        <w:t>цијама</w:t>
      </w:r>
      <w:r w:rsidR="006C2F44" w:rsidRPr="00F6340E">
        <w:t>.</w:t>
      </w:r>
      <w:r w:rsidR="001548F5" w:rsidRPr="00F6340E">
        <w:t xml:space="preserve"> </w:t>
      </w:r>
      <w:r>
        <w:t>Т</w:t>
      </w:r>
      <w:r w:rsidR="00A56E08">
        <w:t>ако</w:t>
      </w:r>
      <w:r w:rsidR="001548F5" w:rsidRPr="00F6340E">
        <w:t xml:space="preserve"> </w:t>
      </w:r>
      <w:r w:rsidR="00A56E08">
        <w:t>ј</w:t>
      </w:r>
      <w:r w:rsidR="00EE6AA2">
        <w:t>е</w:t>
      </w:r>
      <w:r w:rsidR="00BD36F0" w:rsidRPr="00F6340E">
        <w:t xml:space="preserve"> </w:t>
      </w:r>
      <w:r w:rsidR="001548F5" w:rsidRPr="00F6340E">
        <w:t xml:space="preserve">36,5% </w:t>
      </w:r>
      <w:r w:rsidR="00A56E08">
        <w:t>на</w:t>
      </w:r>
      <w:r>
        <w:t>ст</w:t>
      </w:r>
      <w:r w:rsidR="00A56E08">
        <w:t>а</w:t>
      </w:r>
      <w:r>
        <w:t>в</w:t>
      </w:r>
      <w:r w:rsidR="00A56E08">
        <w:t>ника</w:t>
      </w:r>
      <w:r w:rsidR="00BD36F0" w:rsidRPr="00F6340E">
        <w:t xml:space="preserve"> </w:t>
      </w:r>
      <w:r w:rsidR="00A56E08">
        <w:t>и</w:t>
      </w:r>
      <w:r w:rsidR="00171F00">
        <w:t>з</w:t>
      </w:r>
      <w:r w:rsidR="00A56E08">
        <w:t>ја</w:t>
      </w:r>
      <w:r>
        <w:t>в</w:t>
      </w:r>
      <w:r w:rsidR="00A56E08">
        <w:t>ило</w:t>
      </w:r>
      <w:r w:rsidR="00BD36F0" w:rsidRPr="00F6340E">
        <w:t xml:space="preserve"> </w:t>
      </w:r>
      <w:r w:rsidR="00A56E08">
        <w:t>да</w:t>
      </w:r>
      <w:r w:rsidR="00BD36F0" w:rsidRPr="00F6340E">
        <w:t xml:space="preserve"> </w:t>
      </w:r>
      <w:r w:rsidR="00A56E08">
        <w:t>ј</w:t>
      </w:r>
      <w:r w:rsidR="00EE6AA2">
        <w:t>е</w:t>
      </w:r>
      <w:r w:rsidR="00BD36F0" w:rsidRPr="00F6340E">
        <w:t xml:space="preserve"> </w:t>
      </w:r>
      <w:r w:rsidR="00A56E08">
        <w:t>имало</w:t>
      </w:r>
      <w:r w:rsidR="00BD36F0" w:rsidRPr="00F6340E">
        <w:t xml:space="preserve"> </w:t>
      </w:r>
      <w:r w:rsidR="00A56E08">
        <w:t>н</w:t>
      </w:r>
      <w:r w:rsidR="00EE6AA2">
        <w:t>е</w:t>
      </w:r>
      <w:r w:rsidR="00A56E08">
        <w:t>ад</w:t>
      </w:r>
      <w:r w:rsidR="00EE6AA2">
        <w:t>е</w:t>
      </w:r>
      <w:r w:rsidR="00A56E08">
        <w:t>к</w:t>
      </w:r>
      <w:r>
        <w:t>в</w:t>
      </w:r>
      <w:r w:rsidR="00A56E08">
        <w:t>а</w:t>
      </w:r>
      <w:r>
        <w:t>т</w:t>
      </w:r>
      <w:r w:rsidR="00A56E08">
        <w:t>ан</w:t>
      </w:r>
      <w:r w:rsidR="00B91744" w:rsidRPr="00F6340E">
        <w:t xml:space="preserve"> </w:t>
      </w:r>
      <w:r>
        <w:t>р</w:t>
      </w:r>
      <w:r w:rsidR="00A56E08">
        <w:t>ач</w:t>
      </w:r>
      <w:r>
        <w:t>у</w:t>
      </w:r>
      <w:r w:rsidR="00A56E08">
        <w:t>на</w:t>
      </w:r>
      <w:r>
        <w:t>р</w:t>
      </w:r>
      <w:r w:rsidR="00610411" w:rsidRPr="00F6340E">
        <w:t xml:space="preserve"> </w:t>
      </w:r>
      <w:r w:rsidR="00A56E08">
        <w:t>који</w:t>
      </w:r>
      <w:r w:rsidR="00BD36F0" w:rsidRPr="00F6340E">
        <w:t xml:space="preserve"> </w:t>
      </w:r>
      <w:r>
        <w:t>су</w:t>
      </w:r>
      <w:r w:rsidR="00BD36F0" w:rsidRPr="00F6340E">
        <w:t xml:space="preserve"> </w:t>
      </w:r>
      <w:r w:rsidR="00A56E08">
        <w:t>ко</w:t>
      </w:r>
      <w:r>
        <w:t>р</w:t>
      </w:r>
      <w:r w:rsidR="00A56E08">
        <w:t>и</w:t>
      </w:r>
      <w:r>
        <w:t>ст</w:t>
      </w:r>
      <w:r w:rsidR="00A56E08">
        <w:t>или</w:t>
      </w:r>
      <w:r w:rsidR="00610411" w:rsidRPr="00F6340E">
        <w:t xml:space="preserve"> </w:t>
      </w:r>
      <w:r>
        <w:t>у</w:t>
      </w:r>
      <w:r w:rsidR="00947928" w:rsidRPr="00F6340E">
        <w:t xml:space="preserve"> </w:t>
      </w:r>
      <w:r w:rsidR="00A56E08">
        <w:t>на</w:t>
      </w:r>
      <w:r>
        <w:t>ст</w:t>
      </w:r>
      <w:r w:rsidR="00A56E08">
        <w:t>а</w:t>
      </w:r>
      <w:r>
        <w:t>в</w:t>
      </w:r>
      <w:r w:rsidR="00A56E08">
        <w:t>и</w:t>
      </w:r>
      <w:r w:rsidR="00947928" w:rsidRPr="00F6340E">
        <w:t xml:space="preserve"> </w:t>
      </w:r>
      <w:r>
        <w:t>пут</w:t>
      </w:r>
      <w:r w:rsidR="00EE6AA2">
        <w:t>е</w:t>
      </w:r>
      <w:r w:rsidR="00A56E08">
        <w:t>м</w:t>
      </w:r>
      <w:r w:rsidR="00947928" w:rsidRPr="00F6340E">
        <w:t xml:space="preserve"> </w:t>
      </w:r>
      <w:r w:rsidR="00A56E08">
        <w:t>ин</w:t>
      </w:r>
      <w:r>
        <w:t>т</w:t>
      </w:r>
      <w:r w:rsidR="00EE6AA2">
        <w:t>е</w:t>
      </w:r>
      <w:r>
        <w:t>р</w:t>
      </w:r>
      <w:r w:rsidR="00A56E08">
        <w:t>н</w:t>
      </w:r>
      <w:r w:rsidR="00EE6AA2">
        <w:t>е</w:t>
      </w:r>
      <w:r>
        <w:t>т</w:t>
      </w:r>
      <w:r w:rsidR="00A56E08">
        <w:t>а</w:t>
      </w:r>
      <w:r w:rsidR="00BD36F0" w:rsidRPr="00F6340E">
        <w:t xml:space="preserve">, </w:t>
      </w:r>
      <w:r w:rsidR="00A56E08">
        <w:t>а</w:t>
      </w:r>
      <w:r w:rsidR="001548F5" w:rsidRPr="00F6340E">
        <w:t xml:space="preserve"> </w:t>
      </w:r>
      <w:r w:rsidR="00BD36F0" w:rsidRPr="00F6340E">
        <w:t xml:space="preserve">38,8% </w:t>
      </w:r>
      <w:r w:rsidR="00A56E08">
        <w:t>ј</w:t>
      </w:r>
      <w:r w:rsidR="00EE6AA2">
        <w:t>е</w:t>
      </w:r>
      <w:r w:rsidR="001548F5" w:rsidRPr="00F6340E">
        <w:t xml:space="preserve"> </w:t>
      </w:r>
      <w:r w:rsidR="00A56E08">
        <w:t>на</w:t>
      </w:r>
      <w:r>
        <w:t>в</w:t>
      </w:r>
      <w:r w:rsidR="00EE6AA2">
        <w:t>е</w:t>
      </w:r>
      <w:r w:rsidR="00A56E08">
        <w:t>ло</w:t>
      </w:r>
      <w:r w:rsidR="001548F5" w:rsidRPr="00F6340E">
        <w:t xml:space="preserve"> </w:t>
      </w:r>
      <w:r w:rsidR="00A56E08">
        <w:t>н</w:t>
      </w:r>
      <w:r w:rsidR="00EE6AA2">
        <w:t>е</w:t>
      </w:r>
      <w:r w:rsidR="00A56E08">
        <w:t>до</w:t>
      </w:r>
      <w:r>
        <w:t>ст</w:t>
      </w:r>
      <w:r w:rsidR="00A56E08">
        <w:t>а</w:t>
      </w:r>
      <w:r>
        <w:t>т</w:t>
      </w:r>
      <w:r w:rsidR="00A56E08">
        <w:t>ак</w:t>
      </w:r>
      <w:r w:rsidR="00BD36F0" w:rsidRPr="00F6340E">
        <w:t xml:space="preserve"> </w:t>
      </w:r>
      <w:r>
        <w:t>п</w:t>
      </w:r>
      <w:r w:rsidR="00A56E08">
        <w:t>омоћн</w:t>
      </w:r>
      <w:r w:rsidR="00EE6AA2">
        <w:t>е</w:t>
      </w:r>
      <w:r w:rsidR="00BD36F0" w:rsidRPr="00F6340E">
        <w:t xml:space="preserve"> </w:t>
      </w:r>
      <w:r w:rsidR="00A56E08">
        <w:t>о</w:t>
      </w:r>
      <w:r>
        <w:t>пр</w:t>
      </w:r>
      <w:r w:rsidR="00EE6AA2">
        <w:t>е</w:t>
      </w:r>
      <w:r w:rsidR="00A56E08">
        <w:t>м</w:t>
      </w:r>
      <w:r w:rsidR="00EE6AA2">
        <w:t>е</w:t>
      </w:r>
      <w:r w:rsidR="00BD36F0" w:rsidRPr="00F6340E">
        <w:t xml:space="preserve"> </w:t>
      </w:r>
      <w:r w:rsidR="00A56E08">
        <w:t>као</w:t>
      </w:r>
      <w:r w:rsidR="00BD36F0" w:rsidRPr="00F6340E">
        <w:t xml:space="preserve"> </w:t>
      </w:r>
      <w:r>
        <w:t>шт</w:t>
      </w:r>
      <w:r w:rsidR="00A56E08">
        <w:t>о</w:t>
      </w:r>
      <w:r w:rsidR="00BD36F0" w:rsidRPr="00F6340E">
        <w:t xml:space="preserve"> </w:t>
      </w:r>
      <w:r>
        <w:t>су</w:t>
      </w:r>
      <w:r w:rsidR="00BD36F0" w:rsidRPr="00F6340E">
        <w:t xml:space="preserve"> </w:t>
      </w:r>
      <w:r w:rsidR="00A56E08">
        <w:t>кам</w:t>
      </w:r>
      <w:r w:rsidR="00EE6AA2">
        <w:t>е</w:t>
      </w:r>
      <w:r>
        <w:t>р</w:t>
      </w:r>
      <w:r w:rsidR="00EE6AA2">
        <w:t>е</w:t>
      </w:r>
      <w:r w:rsidR="00BD36F0" w:rsidRPr="00F6340E">
        <w:t xml:space="preserve">, </w:t>
      </w:r>
      <w:r w:rsidR="00A56E08">
        <w:t>мик</w:t>
      </w:r>
      <w:r>
        <w:t>р</w:t>
      </w:r>
      <w:r w:rsidR="00A56E08">
        <w:t>офони</w:t>
      </w:r>
      <w:r w:rsidR="00BD36F0" w:rsidRPr="00F6340E">
        <w:t xml:space="preserve">, </w:t>
      </w:r>
      <w:r>
        <w:t>с</w:t>
      </w:r>
      <w:r w:rsidR="00A56E08">
        <w:t>л</w:t>
      </w:r>
      <w:r>
        <w:t>уш</w:t>
      </w:r>
      <w:r w:rsidR="00A56E08">
        <w:t>алиц</w:t>
      </w:r>
      <w:r w:rsidR="00EE6AA2">
        <w:t>е</w:t>
      </w:r>
      <w:r w:rsidR="001548F5" w:rsidRPr="00F6340E">
        <w:t xml:space="preserve"> (</w:t>
      </w:r>
      <w:r>
        <w:t>У</w:t>
      </w:r>
      <w:r w:rsidR="00A56E08">
        <w:t>НИЦ</w:t>
      </w:r>
      <w:r w:rsidR="00EE6AA2">
        <w:t>Е</w:t>
      </w:r>
      <w:r w:rsidR="00A56E08">
        <w:t>Ф</w:t>
      </w:r>
      <w:r w:rsidR="001548F5" w:rsidRPr="00F6340E">
        <w:t>, 2021</w:t>
      </w:r>
      <w:r w:rsidR="00A56E08">
        <w:t>а</w:t>
      </w:r>
      <w:r w:rsidR="001548F5" w:rsidRPr="00F6340E">
        <w:t>)</w:t>
      </w:r>
      <w:r w:rsidR="000E34CC" w:rsidRPr="00F6340E">
        <w:t xml:space="preserve">. </w:t>
      </w:r>
      <w:r>
        <w:t>С</w:t>
      </w:r>
      <w:r w:rsidR="00A56E08">
        <w:t>лична</w:t>
      </w:r>
      <w:r w:rsidR="000E34CC" w:rsidRPr="00F6340E">
        <w:t xml:space="preserve"> </w:t>
      </w:r>
      <w:r>
        <w:t>с</w:t>
      </w:r>
      <w:r w:rsidR="00A56E08">
        <w:t>и</w:t>
      </w:r>
      <w:r>
        <w:t>ту</w:t>
      </w:r>
      <w:r w:rsidR="00A56E08">
        <w:t>ација</w:t>
      </w:r>
      <w:r w:rsidR="000E34CC" w:rsidRPr="00F6340E">
        <w:t xml:space="preserve"> </w:t>
      </w:r>
      <w:r w:rsidR="00A56E08">
        <w:t>ј</w:t>
      </w:r>
      <w:r w:rsidR="00EE6AA2">
        <w:t>е</w:t>
      </w:r>
      <w:r w:rsidR="001548F5" w:rsidRPr="00F6340E">
        <w:t xml:space="preserve"> </w:t>
      </w:r>
      <w:r w:rsidR="00A56E08">
        <w:t>била</w:t>
      </w:r>
      <w:r w:rsidR="001548F5" w:rsidRPr="00F6340E">
        <w:t xml:space="preserve"> </w:t>
      </w:r>
      <w:r w:rsidR="00A56E08">
        <w:t>и</w:t>
      </w:r>
      <w:r w:rsidR="001548F5" w:rsidRPr="00F6340E">
        <w:t xml:space="preserve"> </w:t>
      </w:r>
      <w:r>
        <w:t>у</w:t>
      </w:r>
      <w:r w:rsidR="001548F5" w:rsidRPr="00F6340E">
        <w:t xml:space="preserve"> </w:t>
      </w:r>
      <w:r>
        <w:t>в</w:t>
      </w:r>
      <w:r w:rsidR="00A56E08">
        <w:t>и</w:t>
      </w:r>
      <w:r>
        <w:t>с</w:t>
      </w:r>
      <w:r w:rsidR="00A56E08">
        <w:t>оком</w:t>
      </w:r>
      <w:r w:rsidR="001548F5" w:rsidRPr="00F6340E">
        <w:t xml:space="preserve"> </w:t>
      </w:r>
      <w:r w:rsidR="00A56E08">
        <w:t>об</w:t>
      </w:r>
      <w:r>
        <w:t>р</w:t>
      </w:r>
      <w:r w:rsidR="00A56E08">
        <w:t>а</w:t>
      </w:r>
      <w:r w:rsidR="00171F00">
        <w:t>з</w:t>
      </w:r>
      <w:r w:rsidR="00A56E08">
        <w:t>о</w:t>
      </w:r>
      <w:r>
        <w:t>в</w:t>
      </w:r>
      <w:r w:rsidR="00A56E08">
        <w:t>ањ</w:t>
      </w:r>
      <w:r>
        <w:t>у</w:t>
      </w:r>
      <w:r w:rsidR="001548F5" w:rsidRPr="00F6340E">
        <w:t xml:space="preserve"> </w:t>
      </w:r>
      <w:r w:rsidR="00A56E08">
        <w:t>гдј</w:t>
      </w:r>
      <w:r w:rsidR="00EE6AA2">
        <w:t>е</w:t>
      </w:r>
      <w:r w:rsidR="001548F5" w:rsidRPr="00F6340E">
        <w:t xml:space="preserve"> </w:t>
      </w:r>
      <w:r>
        <w:t>с</w:t>
      </w:r>
      <w:r w:rsidR="00EE6AA2">
        <w:t>е</w:t>
      </w:r>
      <w:r w:rsidR="001548F5" w:rsidRPr="00F6340E">
        <w:t xml:space="preserve"> </w:t>
      </w:r>
      <w:r w:rsidR="00A56E08">
        <w:t>на</w:t>
      </w:r>
      <w:r>
        <w:t>в</w:t>
      </w:r>
      <w:r w:rsidR="00A56E08">
        <w:t>оди</w:t>
      </w:r>
      <w:r w:rsidR="001548F5" w:rsidRPr="00F6340E">
        <w:t xml:space="preserve"> </w:t>
      </w:r>
      <w:r w:rsidR="00A56E08">
        <w:t>да</w:t>
      </w:r>
      <w:r w:rsidR="001548F5" w:rsidRPr="00F6340E">
        <w:t xml:space="preserve"> </w:t>
      </w:r>
      <w:r>
        <w:rPr>
          <w:rStyle w:val="None"/>
          <w:rFonts w:cs="Arial"/>
          <w:bCs/>
          <w:noProof w:val="0"/>
          <w:szCs w:val="24"/>
        </w:rPr>
        <w:t>т</w:t>
      </w:r>
      <w:r w:rsidR="00EE6AA2">
        <w:rPr>
          <w:rStyle w:val="None"/>
          <w:rFonts w:cs="Arial"/>
          <w:bCs/>
          <w:noProof w:val="0"/>
          <w:szCs w:val="24"/>
        </w:rPr>
        <w:t>е</w:t>
      </w:r>
      <w:r w:rsidR="00A56E08">
        <w:rPr>
          <w:rStyle w:val="None"/>
          <w:rFonts w:cs="Arial"/>
          <w:bCs/>
          <w:noProof w:val="0"/>
          <w:szCs w:val="24"/>
        </w:rPr>
        <w:t>хнички</w:t>
      </w:r>
      <w:r w:rsidR="001548F5" w:rsidRPr="00F6340E">
        <w:rPr>
          <w:rStyle w:val="None"/>
          <w:rFonts w:cs="Arial"/>
          <w:bCs/>
          <w:noProof w:val="0"/>
          <w:szCs w:val="24"/>
        </w:rPr>
        <w:t xml:space="preserve"> </w:t>
      </w:r>
      <w:r>
        <w:rPr>
          <w:rStyle w:val="None"/>
          <w:rFonts w:cs="Arial"/>
          <w:bCs/>
          <w:noProof w:val="0"/>
          <w:szCs w:val="24"/>
        </w:rPr>
        <w:t>ус</w:t>
      </w:r>
      <w:r w:rsidR="00A56E08">
        <w:rPr>
          <w:rStyle w:val="None"/>
          <w:rFonts w:cs="Arial"/>
          <w:bCs/>
          <w:noProof w:val="0"/>
          <w:szCs w:val="24"/>
        </w:rPr>
        <w:t>ло</w:t>
      </w:r>
      <w:r>
        <w:rPr>
          <w:rStyle w:val="None"/>
          <w:rFonts w:cs="Arial"/>
          <w:bCs/>
          <w:noProof w:val="0"/>
          <w:szCs w:val="24"/>
        </w:rPr>
        <w:t>в</w:t>
      </w:r>
      <w:r w:rsidR="00A56E08">
        <w:rPr>
          <w:rStyle w:val="None"/>
          <w:rFonts w:cs="Arial"/>
          <w:bCs/>
          <w:noProof w:val="0"/>
          <w:szCs w:val="24"/>
        </w:rPr>
        <w:t>и</w:t>
      </w:r>
      <w:r w:rsidR="001548F5" w:rsidRPr="00F6340E">
        <w:rPr>
          <w:rStyle w:val="None"/>
          <w:rFonts w:cs="Arial"/>
          <w:bCs/>
          <w:noProof w:val="0"/>
          <w:szCs w:val="24"/>
        </w:rPr>
        <w:t xml:space="preserve"> </w:t>
      </w:r>
      <w:r w:rsidR="00171F00">
        <w:rPr>
          <w:rStyle w:val="None"/>
          <w:rFonts w:cs="Arial"/>
          <w:bCs/>
          <w:noProof w:val="0"/>
          <w:szCs w:val="24"/>
        </w:rPr>
        <w:t>з</w:t>
      </w:r>
      <w:r w:rsidR="00A56E08">
        <w:rPr>
          <w:rStyle w:val="None"/>
          <w:rFonts w:cs="Arial"/>
          <w:bCs/>
          <w:noProof w:val="0"/>
          <w:szCs w:val="24"/>
        </w:rPr>
        <w:t>а</w:t>
      </w:r>
      <w:r w:rsidR="001548F5" w:rsidRPr="00F6340E">
        <w:rPr>
          <w:rStyle w:val="None"/>
          <w:rFonts w:cs="Arial"/>
          <w:bCs/>
          <w:noProof w:val="0"/>
          <w:szCs w:val="24"/>
        </w:rPr>
        <w:t xml:space="preserve"> </w:t>
      </w:r>
      <w:r>
        <w:rPr>
          <w:rStyle w:val="None"/>
          <w:rFonts w:cs="Arial"/>
          <w:bCs/>
          <w:noProof w:val="0"/>
          <w:szCs w:val="24"/>
        </w:rPr>
        <w:t>пр</w:t>
      </w:r>
      <w:r w:rsidR="00A56E08">
        <w:rPr>
          <w:rStyle w:val="None"/>
          <w:rFonts w:cs="Arial"/>
          <w:bCs/>
          <w:noProof w:val="0"/>
          <w:szCs w:val="24"/>
        </w:rPr>
        <w:t>и</w:t>
      </w:r>
      <w:r>
        <w:rPr>
          <w:rStyle w:val="None"/>
          <w:rFonts w:cs="Arial"/>
          <w:bCs/>
          <w:noProof w:val="0"/>
          <w:szCs w:val="24"/>
        </w:rPr>
        <w:t>ступ</w:t>
      </w:r>
      <w:r w:rsidR="001548F5" w:rsidRPr="00F6340E">
        <w:rPr>
          <w:rStyle w:val="None"/>
          <w:rFonts w:cs="Arial"/>
          <w:bCs/>
          <w:noProof w:val="0"/>
          <w:szCs w:val="24"/>
        </w:rPr>
        <w:t xml:space="preserve"> </w:t>
      </w:r>
      <w:r w:rsidR="00A56E08">
        <w:rPr>
          <w:rStyle w:val="None"/>
          <w:rFonts w:cs="Arial"/>
          <w:bCs/>
          <w:noProof w:val="0"/>
          <w:szCs w:val="24"/>
        </w:rPr>
        <w:t>ала</w:t>
      </w:r>
      <w:r>
        <w:rPr>
          <w:rStyle w:val="None"/>
          <w:rFonts w:cs="Arial"/>
          <w:bCs/>
          <w:noProof w:val="0"/>
          <w:szCs w:val="24"/>
        </w:rPr>
        <w:t>т</w:t>
      </w:r>
      <w:r w:rsidR="00A56E08">
        <w:rPr>
          <w:rStyle w:val="None"/>
          <w:rFonts w:cs="Arial"/>
          <w:bCs/>
          <w:noProof w:val="0"/>
          <w:szCs w:val="24"/>
        </w:rPr>
        <w:t>има</w:t>
      </w:r>
      <w:r w:rsidR="001548F5" w:rsidRPr="00F6340E">
        <w:rPr>
          <w:rStyle w:val="None"/>
          <w:rFonts w:cs="Arial"/>
          <w:bCs/>
          <w:noProof w:val="0"/>
          <w:szCs w:val="24"/>
        </w:rPr>
        <w:t xml:space="preserve"> </w:t>
      </w:r>
      <w:r w:rsidR="00A56E08">
        <w:rPr>
          <w:rStyle w:val="None"/>
          <w:rFonts w:cs="Arial"/>
          <w:bCs/>
          <w:noProof w:val="0"/>
          <w:szCs w:val="24"/>
        </w:rPr>
        <w:t>и</w:t>
      </w:r>
      <w:r w:rsidR="001548F5" w:rsidRPr="00F6340E">
        <w:rPr>
          <w:rStyle w:val="None"/>
          <w:rFonts w:cs="Arial"/>
          <w:bCs/>
          <w:noProof w:val="0"/>
          <w:szCs w:val="24"/>
        </w:rPr>
        <w:t xml:space="preserve"> </w:t>
      </w:r>
      <w:r>
        <w:rPr>
          <w:rStyle w:val="None"/>
          <w:rFonts w:cs="Arial"/>
          <w:bCs/>
          <w:noProof w:val="0"/>
          <w:szCs w:val="24"/>
        </w:rPr>
        <w:t>п</w:t>
      </w:r>
      <w:r w:rsidR="00A56E08">
        <w:rPr>
          <w:rStyle w:val="None"/>
          <w:rFonts w:cs="Arial"/>
          <w:bCs/>
          <w:noProof w:val="0"/>
          <w:szCs w:val="24"/>
        </w:rPr>
        <w:t>ла</w:t>
      </w:r>
      <w:r>
        <w:rPr>
          <w:rStyle w:val="None"/>
          <w:rFonts w:cs="Arial"/>
          <w:bCs/>
          <w:noProof w:val="0"/>
          <w:szCs w:val="24"/>
        </w:rPr>
        <w:t>т</w:t>
      </w:r>
      <w:r w:rsidR="00A56E08">
        <w:rPr>
          <w:rStyle w:val="None"/>
          <w:rFonts w:cs="Arial"/>
          <w:bCs/>
          <w:noProof w:val="0"/>
          <w:szCs w:val="24"/>
        </w:rPr>
        <w:t>фо</w:t>
      </w:r>
      <w:r>
        <w:rPr>
          <w:rStyle w:val="None"/>
          <w:rFonts w:cs="Arial"/>
          <w:bCs/>
          <w:noProof w:val="0"/>
          <w:szCs w:val="24"/>
        </w:rPr>
        <w:t>р</w:t>
      </w:r>
      <w:r w:rsidR="00A56E08">
        <w:rPr>
          <w:rStyle w:val="None"/>
          <w:rFonts w:cs="Arial"/>
          <w:bCs/>
          <w:noProof w:val="0"/>
          <w:szCs w:val="24"/>
        </w:rPr>
        <w:t>мама</w:t>
      </w:r>
      <w:r w:rsidR="001548F5" w:rsidRPr="00F6340E">
        <w:rPr>
          <w:rStyle w:val="None"/>
          <w:rFonts w:cs="Arial"/>
          <w:bCs/>
          <w:noProof w:val="0"/>
          <w:szCs w:val="24"/>
        </w:rPr>
        <w:t xml:space="preserve"> </w:t>
      </w:r>
      <w:r w:rsidR="00171F00">
        <w:rPr>
          <w:rStyle w:val="None"/>
          <w:rFonts w:cs="Arial"/>
          <w:bCs/>
          <w:noProof w:val="0"/>
          <w:szCs w:val="24"/>
        </w:rPr>
        <w:t>з</w:t>
      </w:r>
      <w:r w:rsidR="00A56E08">
        <w:rPr>
          <w:rStyle w:val="None"/>
          <w:rFonts w:cs="Arial"/>
          <w:bCs/>
          <w:noProof w:val="0"/>
          <w:szCs w:val="24"/>
        </w:rPr>
        <w:t>а</w:t>
      </w:r>
      <w:r w:rsidR="001548F5" w:rsidRPr="00F6340E">
        <w:rPr>
          <w:rStyle w:val="None"/>
          <w:rFonts w:cs="Arial"/>
          <w:bCs/>
          <w:noProof w:val="0"/>
          <w:szCs w:val="24"/>
        </w:rPr>
        <w:t xml:space="preserve"> </w:t>
      </w:r>
      <w:r>
        <w:rPr>
          <w:rStyle w:val="None"/>
          <w:rFonts w:cs="Arial"/>
          <w:bCs/>
          <w:noProof w:val="0"/>
          <w:szCs w:val="24"/>
        </w:rPr>
        <w:t>у</w:t>
      </w:r>
      <w:r w:rsidR="00A56E08">
        <w:rPr>
          <w:rStyle w:val="None"/>
          <w:rFonts w:cs="Arial"/>
          <w:bCs/>
          <w:noProof w:val="0"/>
          <w:szCs w:val="24"/>
        </w:rPr>
        <w:t>ч</w:t>
      </w:r>
      <w:r w:rsidR="00EE6AA2">
        <w:rPr>
          <w:rStyle w:val="None"/>
          <w:rFonts w:cs="Arial"/>
          <w:bCs/>
          <w:noProof w:val="0"/>
          <w:szCs w:val="24"/>
        </w:rPr>
        <w:t>е</w:t>
      </w:r>
      <w:r w:rsidR="00A56E08">
        <w:rPr>
          <w:rStyle w:val="None"/>
          <w:rFonts w:cs="Arial"/>
          <w:bCs/>
          <w:noProof w:val="0"/>
          <w:szCs w:val="24"/>
        </w:rPr>
        <w:t>њ</w:t>
      </w:r>
      <w:r w:rsidR="00EE6AA2">
        <w:rPr>
          <w:rStyle w:val="None"/>
          <w:rFonts w:cs="Arial"/>
          <w:bCs/>
          <w:noProof w:val="0"/>
          <w:szCs w:val="24"/>
        </w:rPr>
        <w:t>е</w:t>
      </w:r>
      <w:r w:rsidR="001548F5" w:rsidRPr="00F6340E">
        <w:rPr>
          <w:rStyle w:val="None"/>
          <w:rFonts w:cs="Arial"/>
          <w:bCs/>
          <w:noProof w:val="0"/>
          <w:szCs w:val="24"/>
        </w:rPr>
        <w:t xml:space="preserve"> </w:t>
      </w:r>
      <w:r w:rsidR="00A56E08">
        <w:rPr>
          <w:rStyle w:val="None"/>
          <w:rFonts w:cs="Arial"/>
          <w:bCs/>
          <w:noProof w:val="0"/>
          <w:szCs w:val="24"/>
        </w:rPr>
        <w:t>и</w:t>
      </w:r>
      <w:r w:rsidR="001548F5" w:rsidRPr="00F6340E">
        <w:rPr>
          <w:rStyle w:val="None"/>
          <w:rFonts w:cs="Arial"/>
          <w:bCs/>
          <w:noProof w:val="0"/>
          <w:szCs w:val="24"/>
        </w:rPr>
        <w:t xml:space="preserve"> </w:t>
      </w:r>
      <w:r>
        <w:rPr>
          <w:rStyle w:val="None"/>
          <w:rFonts w:cs="Arial"/>
          <w:bCs/>
          <w:noProof w:val="0"/>
          <w:szCs w:val="24"/>
        </w:rPr>
        <w:t>п</w:t>
      </w:r>
      <w:r w:rsidR="00A56E08">
        <w:rPr>
          <w:rStyle w:val="None"/>
          <w:rFonts w:cs="Arial"/>
          <w:bCs/>
          <w:noProof w:val="0"/>
          <w:szCs w:val="24"/>
        </w:rPr>
        <w:t>од</w:t>
      </w:r>
      <w:r>
        <w:rPr>
          <w:rStyle w:val="None"/>
          <w:rFonts w:cs="Arial"/>
          <w:bCs/>
          <w:noProof w:val="0"/>
          <w:szCs w:val="24"/>
        </w:rPr>
        <w:t>у</w:t>
      </w:r>
      <w:r w:rsidR="00A56E08">
        <w:rPr>
          <w:rStyle w:val="None"/>
          <w:rFonts w:cs="Arial"/>
          <w:bCs/>
          <w:noProof w:val="0"/>
          <w:szCs w:val="24"/>
        </w:rPr>
        <w:t>ча</w:t>
      </w:r>
      <w:r>
        <w:rPr>
          <w:rStyle w:val="None"/>
          <w:rFonts w:cs="Arial"/>
          <w:bCs/>
          <w:noProof w:val="0"/>
          <w:szCs w:val="24"/>
        </w:rPr>
        <w:t>в</w:t>
      </w:r>
      <w:r w:rsidR="00A56E08">
        <w:rPr>
          <w:rStyle w:val="None"/>
          <w:rFonts w:cs="Arial"/>
          <w:bCs/>
          <w:noProof w:val="0"/>
          <w:szCs w:val="24"/>
        </w:rPr>
        <w:t>ањ</w:t>
      </w:r>
      <w:r w:rsidR="00EE6AA2">
        <w:rPr>
          <w:rStyle w:val="None"/>
          <w:rFonts w:cs="Arial"/>
          <w:bCs/>
          <w:noProof w:val="0"/>
          <w:szCs w:val="24"/>
        </w:rPr>
        <w:t>е</w:t>
      </w:r>
      <w:r w:rsidR="001548F5" w:rsidRPr="00F6340E">
        <w:rPr>
          <w:rStyle w:val="None"/>
          <w:rFonts w:cs="Arial"/>
          <w:bCs/>
          <w:noProof w:val="0"/>
          <w:szCs w:val="24"/>
        </w:rPr>
        <w:t xml:space="preserve">, </w:t>
      </w:r>
      <w:r w:rsidR="00A56E08">
        <w:rPr>
          <w:rStyle w:val="None"/>
          <w:rFonts w:cs="Arial"/>
          <w:bCs/>
          <w:noProof w:val="0"/>
          <w:szCs w:val="24"/>
        </w:rPr>
        <w:t>како</w:t>
      </w:r>
      <w:r w:rsidR="001548F5" w:rsidRPr="00F6340E">
        <w:rPr>
          <w:rStyle w:val="None"/>
          <w:rFonts w:cs="Arial"/>
          <w:bCs/>
          <w:noProof w:val="0"/>
          <w:szCs w:val="24"/>
        </w:rPr>
        <w:t xml:space="preserve"> </w:t>
      </w:r>
      <w:r>
        <w:rPr>
          <w:rStyle w:val="None"/>
          <w:rFonts w:cs="Arial"/>
          <w:bCs/>
          <w:noProof w:val="0"/>
          <w:szCs w:val="24"/>
        </w:rPr>
        <w:t>сту</w:t>
      </w:r>
      <w:r w:rsidR="00A56E08">
        <w:rPr>
          <w:rStyle w:val="None"/>
          <w:rFonts w:cs="Arial"/>
          <w:bCs/>
          <w:noProof w:val="0"/>
          <w:szCs w:val="24"/>
        </w:rPr>
        <w:t>д</w:t>
      </w:r>
      <w:r w:rsidR="00EE6AA2">
        <w:rPr>
          <w:rStyle w:val="None"/>
          <w:rFonts w:cs="Arial"/>
          <w:bCs/>
          <w:noProof w:val="0"/>
          <w:szCs w:val="24"/>
        </w:rPr>
        <w:t>е</w:t>
      </w:r>
      <w:r w:rsidR="00A56E08">
        <w:rPr>
          <w:rStyle w:val="None"/>
          <w:rFonts w:cs="Arial"/>
          <w:bCs/>
          <w:noProof w:val="0"/>
          <w:szCs w:val="24"/>
        </w:rPr>
        <w:t>на</w:t>
      </w:r>
      <w:r>
        <w:rPr>
          <w:rStyle w:val="None"/>
          <w:rFonts w:cs="Arial"/>
          <w:bCs/>
          <w:noProof w:val="0"/>
          <w:szCs w:val="24"/>
        </w:rPr>
        <w:t>т</w:t>
      </w:r>
      <w:r w:rsidR="00A56E08">
        <w:rPr>
          <w:rStyle w:val="None"/>
          <w:rFonts w:cs="Arial"/>
          <w:bCs/>
          <w:noProof w:val="0"/>
          <w:szCs w:val="24"/>
        </w:rPr>
        <w:t>а</w:t>
      </w:r>
      <w:r w:rsidR="001548F5" w:rsidRPr="00F6340E">
        <w:rPr>
          <w:rStyle w:val="None"/>
          <w:rFonts w:cs="Arial"/>
          <w:bCs/>
          <w:noProof w:val="0"/>
          <w:szCs w:val="24"/>
        </w:rPr>
        <w:t xml:space="preserve"> </w:t>
      </w:r>
      <w:r>
        <w:rPr>
          <w:rStyle w:val="None"/>
          <w:rFonts w:cs="Arial"/>
          <w:bCs/>
          <w:noProof w:val="0"/>
          <w:szCs w:val="24"/>
        </w:rPr>
        <w:t>т</w:t>
      </w:r>
      <w:r w:rsidR="00A56E08">
        <w:rPr>
          <w:rStyle w:val="None"/>
          <w:rFonts w:cs="Arial"/>
          <w:bCs/>
          <w:noProof w:val="0"/>
          <w:szCs w:val="24"/>
        </w:rPr>
        <w:t>ако</w:t>
      </w:r>
      <w:r w:rsidR="001548F5" w:rsidRPr="00F6340E">
        <w:rPr>
          <w:rStyle w:val="None"/>
          <w:rFonts w:cs="Arial"/>
          <w:bCs/>
          <w:noProof w:val="0"/>
          <w:szCs w:val="24"/>
        </w:rPr>
        <w:t xml:space="preserve"> </w:t>
      </w:r>
      <w:r w:rsidR="00A56E08">
        <w:rPr>
          <w:rStyle w:val="None"/>
          <w:rFonts w:cs="Arial"/>
          <w:bCs/>
          <w:noProof w:val="0"/>
          <w:szCs w:val="24"/>
        </w:rPr>
        <w:t>и</w:t>
      </w:r>
      <w:r w:rsidR="001548F5" w:rsidRPr="00F6340E">
        <w:rPr>
          <w:rStyle w:val="None"/>
          <w:rFonts w:cs="Arial"/>
          <w:bCs/>
          <w:noProof w:val="0"/>
          <w:szCs w:val="24"/>
        </w:rPr>
        <w:t xml:space="preserve"> </w:t>
      </w:r>
      <w:r>
        <w:rPr>
          <w:rStyle w:val="None"/>
          <w:rFonts w:cs="Arial"/>
          <w:bCs/>
          <w:noProof w:val="0"/>
          <w:szCs w:val="24"/>
        </w:rPr>
        <w:t>пр</w:t>
      </w:r>
      <w:r w:rsidR="00EE6AA2">
        <w:rPr>
          <w:rStyle w:val="None"/>
          <w:rFonts w:cs="Arial"/>
          <w:bCs/>
          <w:noProof w:val="0"/>
          <w:szCs w:val="24"/>
        </w:rPr>
        <w:t>е</w:t>
      </w:r>
      <w:r w:rsidR="00A56E08">
        <w:rPr>
          <w:rStyle w:val="None"/>
          <w:rFonts w:cs="Arial"/>
          <w:bCs/>
          <w:noProof w:val="0"/>
          <w:szCs w:val="24"/>
        </w:rPr>
        <w:t>да</w:t>
      </w:r>
      <w:r>
        <w:rPr>
          <w:rStyle w:val="None"/>
          <w:rFonts w:cs="Arial"/>
          <w:bCs/>
          <w:noProof w:val="0"/>
          <w:szCs w:val="24"/>
        </w:rPr>
        <w:t>в</w:t>
      </w:r>
      <w:r w:rsidR="00A56E08">
        <w:rPr>
          <w:rStyle w:val="None"/>
          <w:rFonts w:cs="Arial"/>
          <w:bCs/>
          <w:noProof w:val="0"/>
          <w:szCs w:val="24"/>
        </w:rPr>
        <w:t>ача</w:t>
      </w:r>
      <w:r w:rsidR="001548F5" w:rsidRPr="00F6340E">
        <w:rPr>
          <w:rStyle w:val="None"/>
          <w:rFonts w:cs="Arial"/>
          <w:bCs/>
          <w:noProof w:val="0"/>
          <w:szCs w:val="24"/>
        </w:rPr>
        <w:t xml:space="preserve">, </w:t>
      </w:r>
      <w:r w:rsidR="00A56E08">
        <w:rPr>
          <w:rStyle w:val="None"/>
          <w:rFonts w:cs="Arial"/>
          <w:bCs/>
          <w:noProof w:val="0"/>
          <w:szCs w:val="24"/>
        </w:rPr>
        <w:t>ни</w:t>
      </w:r>
      <w:r>
        <w:rPr>
          <w:rStyle w:val="None"/>
          <w:rFonts w:cs="Arial"/>
          <w:bCs/>
          <w:noProof w:val="0"/>
          <w:szCs w:val="24"/>
        </w:rPr>
        <w:t>су</w:t>
      </w:r>
      <w:r w:rsidR="007E2AE7" w:rsidRPr="00F6340E">
        <w:rPr>
          <w:rStyle w:val="None"/>
          <w:rFonts w:cs="Arial"/>
          <w:bCs/>
          <w:noProof w:val="0"/>
          <w:szCs w:val="24"/>
        </w:rPr>
        <w:t xml:space="preserve"> </w:t>
      </w:r>
      <w:r w:rsidR="00A56E08">
        <w:rPr>
          <w:rStyle w:val="None"/>
          <w:rFonts w:cs="Arial"/>
          <w:bCs/>
          <w:noProof w:val="0"/>
          <w:szCs w:val="24"/>
        </w:rPr>
        <w:t>били</w:t>
      </w:r>
      <w:r w:rsidR="007E2AE7" w:rsidRPr="00F6340E">
        <w:rPr>
          <w:rStyle w:val="None"/>
          <w:rFonts w:cs="Arial"/>
          <w:bCs/>
          <w:noProof w:val="0"/>
          <w:szCs w:val="24"/>
        </w:rPr>
        <w:t xml:space="preserve"> </w:t>
      </w:r>
      <w:r w:rsidR="00171F00">
        <w:rPr>
          <w:rStyle w:val="None"/>
          <w:rFonts w:cs="Arial"/>
          <w:bCs/>
          <w:noProof w:val="0"/>
          <w:szCs w:val="24"/>
        </w:rPr>
        <w:t>з</w:t>
      </w:r>
      <w:r w:rsidR="00A56E08">
        <w:rPr>
          <w:rStyle w:val="None"/>
          <w:rFonts w:cs="Arial"/>
          <w:bCs/>
          <w:noProof w:val="0"/>
          <w:szCs w:val="24"/>
        </w:rPr>
        <w:t>адо</w:t>
      </w:r>
      <w:r>
        <w:rPr>
          <w:rStyle w:val="None"/>
          <w:rFonts w:cs="Arial"/>
          <w:bCs/>
          <w:noProof w:val="0"/>
          <w:szCs w:val="24"/>
        </w:rPr>
        <w:t>в</w:t>
      </w:r>
      <w:r w:rsidR="00A56E08">
        <w:rPr>
          <w:rStyle w:val="None"/>
          <w:rFonts w:cs="Arial"/>
          <w:bCs/>
          <w:noProof w:val="0"/>
          <w:szCs w:val="24"/>
        </w:rPr>
        <w:t>оља</w:t>
      </w:r>
      <w:r>
        <w:rPr>
          <w:rStyle w:val="None"/>
          <w:rFonts w:cs="Arial"/>
          <w:bCs/>
          <w:noProof w:val="0"/>
          <w:szCs w:val="24"/>
        </w:rPr>
        <w:t>в</w:t>
      </w:r>
      <w:r w:rsidR="00A56E08">
        <w:rPr>
          <w:rStyle w:val="None"/>
          <w:rFonts w:cs="Arial"/>
          <w:bCs/>
          <w:noProof w:val="0"/>
          <w:szCs w:val="24"/>
        </w:rPr>
        <w:t>ај</w:t>
      </w:r>
      <w:r>
        <w:rPr>
          <w:rStyle w:val="None"/>
          <w:rFonts w:cs="Arial"/>
          <w:bCs/>
          <w:noProof w:val="0"/>
          <w:szCs w:val="24"/>
        </w:rPr>
        <w:t>у</w:t>
      </w:r>
      <w:r w:rsidR="00A56E08">
        <w:rPr>
          <w:rStyle w:val="None"/>
          <w:rFonts w:cs="Arial"/>
          <w:bCs/>
          <w:noProof w:val="0"/>
          <w:szCs w:val="24"/>
        </w:rPr>
        <w:t>ћи</w:t>
      </w:r>
      <w:r w:rsidR="001548F5" w:rsidRPr="00F6340E">
        <w:rPr>
          <w:rStyle w:val="None"/>
          <w:rFonts w:cs="Arial"/>
          <w:noProof w:val="0"/>
          <w:szCs w:val="24"/>
        </w:rPr>
        <w:t xml:space="preserve">, </w:t>
      </w:r>
      <w:r w:rsidR="00A56E08">
        <w:rPr>
          <w:rStyle w:val="None"/>
          <w:rFonts w:cs="Arial"/>
          <w:noProof w:val="0"/>
          <w:szCs w:val="24"/>
        </w:rPr>
        <w:t>а</w:t>
      </w:r>
      <w:r w:rsidR="001548F5" w:rsidRPr="00F6340E">
        <w:rPr>
          <w:rStyle w:val="None"/>
          <w:rFonts w:cs="Arial"/>
          <w:noProof w:val="0"/>
          <w:szCs w:val="24"/>
        </w:rPr>
        <w:t xml:space="preserve"> </w:t>
      </w:r>
      <w:r>
        <w:rPr>
          <w:rStyle w:val="None"/>
          <w:rFonts w:cs="Arial"/>
          <w:noProof w:val="0"/>
          <w:szCs w:val="24"/>
        </w:rPr>
        <w:t>т</w:t>
      </w:r>
      <w:r w:rsidR="00A56E08">
        <w:rPr>
          <w:rStyle w:val="None"/>
          <w:rFonts w:cs="Arial"/>
          <w:noProof w:val="0"/>
          <w:szCs w:val="24"/>
        </w:rPr>
        <w:t>о</w:t>
      </w:r>
      <w:r w:rsidR="001548F5" w:rsidRPr="00F6340E">
        <w:rPr>
          <w:rStyle w:val="None"/>
          <w:rFonts w:cs="Arial"/>
          <w:noProof w:val="0"/>
          <w:szCs w:val="24"/>
        </w:rPr>
        <w:t xml:space="preserve"> </w:t>
      </w:r>
      <w:r>
        <w:rPr>
          <w:rStyle w:val="None"/>
          <w:rFonts w:cs="Arial"/>
          <w:noProof w:val="0"/>
          <w:szCs w:val="24"/>
        </w:rPr>
        <w:t>с</w:t>
      </w:r>
      <w:r w:rsidR="00EE6AA2">
        <w:rPr>
          <w:rStyle w:val="None"/>
          <w:rFonts w:cs="Arial"/>
          <w:noProof w:val="0"/>
          <w:szCs w:val="24"/>
        </w:rPr>
        <w:t>е</w:t>
      </w:r>
      <w:r w:rsidR="001548F5" w:rsidRPr="00F6340E">
        <w:rPr>
          <w:rStyle w:val="None"/>
          <w:rFonts w:cs="Arial"/>
          <w:noProof w:val="0"/>
          <w:szCs w:val="24"/>
        </w:rPr>
        <w:t xml:space="preserve"> </w:t>
      </w:r>
      <w:r w:rsidR="00A56E08">
        <w:rPr>
          <w:rStyle w:val="None"/>
          <w:rFonts w:cs="Arial"/>
          <w:noProof w:val="0"/>
          <w:szCs w:val="24"/>
        </w:rPr>
        <w:t>одно</w:t>
      </w:r>
      <w:r>
        <w:rPr>
          <w:rStyle w:val="None"/>
          <w:rFonts w:cs="Arial"/>
          <w:noProof w:val="0"/>
          <w:szCs w:val="24"/>
        </w:rPr>
        <w:t>с</w:t>
      </w:r>
      <w:r w:rsidR="00A56E08">
        <w:rPr>
          <w:rStyle w:val="None"/>
          <w:rFonts w:cs="Arial"/>
          <w:noProof w:val="0"/>
          <w:szCs w:val="24"/>
        </w:rPr>
        <w:t>и</w:t>
      </w:r>
      <w:r w:rsidR="001548F5" w:rsidRPr="00F6340E">
        <w:rPr>
          <w:rStyle w:val="None"/>
          <w:rFonts w:cs="Arial"/>
          <w:noProof w:val="0"/>
          <w:szCs w:val="24"/>
        </w:rPr>
        <w:t xml:space="preserve"> </w:t>
      </w:r>
      <w:r>
        <w:rPr>
          <w:rStyle w:val="None"/>
          <w:rFonts w:cs="Arial"/>
          <w:noProof w:val="0"/>
          <w:szCs w:val="24"/>
        </w:rPr>
        <w:t>прв</w:t>
      </w:r>
      <w:r w:rsidR="00EE6AA2">
        <w:rPr>
          <w:rStyle w:val="None"/>
          <w:rFonts w:cs="Arial"/>
          <w:noProof w:val="0"/>
          <w:szCs w:val="24"/>
        </w:rPr>
        <w:t>е</w:t>
      </w:r>
      <w:r w:rsidR="00A56E08">
        <w:rPr>
          <w:rStyle w:val="None"/>
          <w:rFonts w:cs="Arial"/>
          <w:noProof w:val="0"/>
          <w:szCs w:val="24"/>
        </w:rPr>
        <w:t>н</w:t>
      </w:r>
      <w:r>
        <w:rPr>
          <w:rStyle w:val="None"/>
          <w:rFonts w:cs="Arial"/>
          <w:noProof w:val="0"/>
          <w:szCs w:val="24"/>
        </w:rPr>
        <w:t>ств</w:t>
      </w:r>
      <w:r w:rsidR="00EE6AA2">
        <w:rPr>
          <w:rStyle w:val="None"/>
          <w:rFonts w:cs="Arial"/>
          <w:noProof w:val="0"/>
          <w:szCs w:val="24"/>
        </w:rPr>
        <w:t>е</w:t>
      </w:r>
      <w:r w:rsidR="00A56E08">
        <w:rPr>
          <w:rStyle w:val="None"/>
          <w:rFonts w:cs="Arial"/>
          <w:noProof w:val="0"/>
          <w:szCs w:val="24"/>
        </w:rPr>
        <w:t>но</w:t>
      </w:r>
      <w:r w:rsidR="001548F5" w:rsidRPr="00F6340E">
        <w:rPr>
          <w:rStyle w:val="None"/>
          <w:rFonts w:cs="Arial"/>
          <w:noProof w:val="0"/>
          <w:szCs w:val="24"/>
        </w:rPr>
        <w:t xml:space="preserve"> </w:t>
      </w:r>
      <w:r w:rsidR="00A56E08">
        <w:rPr>
          <w:rStyle w:val="None"/>
          <w:rFonts w:cs="Arial"/>
          <w:noProof w:val="0"/>
          <w:szCs w:val="24"/>
        </w:rPr>
        <w:t>на</w:t>
      </w:r>
      <w:r w:rsidR="001548F5" w:rsidRPr="00F6340E">
        <w:rPr>
          <w:rStyle w:val="None"/>
          <w:rFonts w:cs="Arial"/>
          <w:noProof w:val="0"/>
          <w:szCs w:val="24"/>
        </w:rPr>
        <w:t xml:space="preserve"> </w:t>
      </w:r>
      <w:r w:rsidR="00A56E08">
        <w:rPr>
          <w:rStyle w:val="None"/>
          <w:rFonts w:cs="Arial"/>
          <w:noProof w:val="0"/>
          <w:szCs w:val="24"/>
        </w:rPr>
        <w:t>н</w:t>
      </w:r>
      <w:r w:rsidR="00EE6AA2">
        <w:rPr>
          <w:rStyle w:val="None"/>
          <w:rFonts w:cs="Arial"/>
          <w:noProof w:val="0"/>
          <w:szCs w:val="24"/>
        </w:rPr>
        <w:t>е</w:t>
      </w:r>
      <w:r w:rsidR="00A56E08">
        <w:rPr>
          <w:rStyle w:val="None"/>
          <w:rFonts w:cs="Arial"/>
          <w:noProof w:val="0"/>
          <w:szCs w:val="24"/>
        </w:rPr>
        <w:t>до</w:t>
      </w:r>
      <w:r>
        <w:rPr>
          <w:rStyle w:val="None"/>
          <w:rFonts w:cs="Arial"/>
          <w:noProof w:val="0"/>
          <w:szCs w:val="24"/>
        </w:rPr>
        <w:t>ступ</w:t>
      </w:r>
      <w:r w:rsidR="00A56E08">
        <w:rPr>
          <w:rStyle w:val="None"/>
          <w:rFonts w:cs="Arial"/>
          <w:noProof w:val="0"/>
          <w:szCs w:val="24"/>
        </w:rPr>
        <w:t>но</w:t>
      </w:r>
      <w:r>
        <w:rPr>
          <w:rStyle w:val="None"/>
          <w:rFonts w:cs="Arial"/>
          <w:noProof w:val="0"/>
          <w:szCs w:val="24"/>
        </w:rPr>
        <w:t>ст</w:t>
      </w:r>
      <w:r w:rsidR="001548F5" w:rsidRPr="00F6340E">
        <w:rPr>
          <w:rStyle w:val="None"/>
          <w:rFonts w:cs="Arial"/>
          <w:noProof w:val="0"/>
          <w:szCs w:val="24"/>
        </w:rPr>
        <w:t xml:space="preserve"> </w:t>
      </w:r>
      <w:r>
        <w:rPr>
          <w:rStyle w:val="None"/>
          <w:rFonts w:cs="Arial"/>
          <w:noProof w:val="0"/>
          <w:szCs w:val="24"/>
        </w:rPr>
        <w:t>р</w:t>
      </w:r>
      <w:r w:rsidR="00A56E08">
        <w:rPr>
          <w:rStyle w:val="None"/>
          <w:rFonts w:cs="Arial"/>
          <w:noProof w:val="0"/>
          <w:szCs w:val="24"/>
        </w:rPr>
        <w:t>ач</w:t>
      </w:r>
      <w:r>
        <w:rPr>
          <w:rStyle w:val="None"/>
          <w:rFonts w:cs="Arial"/>
          <w:noProof w:val="0"/>
          <w:szCs w:val="24"/>
        </w:rPr>
        <w:t>у</w:t>
      </w:r>
      <w:r w:rsidR="00A56E08">
        <w:rPr>
          <w:rStyle w:val="None"/>
          <w:rFonts w:cs="Arial"/>
          <w:noProof w:val="0"/>
          <w:szCs w:val="24"/>
        </w:rPr>
        <w:t>на</w:t>
      </w:r>
      <w:r>
        <w:rPr>
          <w:rStyle w:val="None"/>
          <w:rFonts w:cs="Arial"/>
          <w:noProof w:val="0"/>
          <w:szCs w:val="24"/>
        </w:rPr>
        <w:t>р</w:t>
      </w:r>
      <w:r w:rsidR="00A56E08">
        <w:rPr>
          <w:rStyle w:val="None"/>
          <w:rFonts w:cs="Arial"/>
          <w:noProof w:val="0"/>
          <w:szCs w:val="24"/>
        </w:rPr>
        <w:t>а</w:t>
      </w:r>
      <w:r w:rsidR="00C41F70" w:rsidRPr="00F6340E">
        <w:rPr>
          <w:rStyle w:val="None"/>
          <w:rFonts w:cs="Arial"/>
          <w:noProof w:val="0"/>
          <w:szCs w:val="24"/>
        </w:rPr>
        <w:t xml:space="preserve"> </w:t>
      </w:r>
      <w:r w:rsidR="00A56E08">
        <w:rPr>
          <w:rStyle w:val="None"/>
          <w:rFonts w:cs="Arial"/>
          <w:noProof w:val="0"/>
          <w:szCs w:val="24"/>
        </w:rPr>
        <w:t>и</w:t>
      </w:r>
      <w:r w:rsidR="00C41F70" w:rsidRPr="00F6340E">
        <w:rPr>
          <w:rStyle w:val="None"/>
          <w:rFonts w:cs="Arial"/>
          <w:noProof w:val="0"/>
          <w:szCs w:val="24"/>
        </w:rPr>
        <w:t>/</w:t>
      </w:r>
      <w:r w:rsidR="00A56E08">
        <w:rPr>
          <w:rStyle w:val="None"/>
          <w:rFonts w:cs="Arial"/>
          <w:noProof w:val="0"/>
          <w:szCs w:val="24"/>
        </w:rPr>
        <w:t>или</w:t>
      </w:r>
      <w:r w:rsidR="00C41F70" w:rsidRPr="00F6340E">
        <w:rPr>
          <w:rStyle w:val="None"/>
          <w:rFonts w:cs="Arial"/>
          <w:noProof w:val="0"/>
          <w:szCs w:val="24"/>
        </w:rPr>
        <w:t xml:space="preserve"> </w:t>
      </w:r>
      <w:r w:rsidR="00A56E08">
        <w:rPr>
          <w:rStyle w:val="None"/>
          <w:rFonts w:cs="Arial"/>
          <w:noProof w:val="0"/>
          <w:szCs w:val="24"/>
        </w:rPr>
        <w:t>мобилних</w:t>
      </w:r>
      <w:r w:rsidR="00C41F70" w:rsidRPr="00F6340E">
        <w:rPr>
          <w:rStyle w:val="None"/>
          <w:rFonts w:cs="Arial"/>
          <w:noProof w:val="0"/>
          <w:szCs w:val="24"/>
        </w:rPr>
        <w:t xml:space="preserve"> </w:t>
      </w:r>
      <w:r>
        <w:rPr>
          <w:rStyle w:val="None"/>
          <w:rFonts w:cs="Arial"/>
          <w:noProof w:val="0"/>
          <w:szCs w:val="24"/>
        </w:rPr>
        <w:t>ур</w:t>
      </w:r>
      <w:r w:rsidR="00EE6AA2">
        <w:rPr>
          <w:rStyle w:val="None"/>
          <w:rFonts w:cs="Arial"/>
          <w:noProof w:val="0"/>
          <w:szCs w:val="24"/>
        </w:rPr>
        <w:t>е</w:t>
      </w:r>
      <w:r w:rsidR="00A56E08">
        <w:rPr>
          <w:rStyle w:val="None"/>
          <w:rFonts w:cs="Arial"/>
          <w:noProof w:val="0"/>
          <w:szCs w:val="24"/>
        </w:rPr>
        <w:t>ђаја</w:t>
      </w:r>
      <w:r w:rsidR="00C41F70" w:rsidRPr="00F6340E">
        <w:rPr>
          <w:rStyle w:val="None"/>
          <w:rFonts w:cs="Arial"/>
          <w:noProof w:val="0"/>
          <w:szCs w:val="24"/>
        </w:rPr>
        <w:t xml:space="preserve"> </w:t>
      </w:r>
      <w:r w:rsidR="00A56E08">
        <w:rPr>
          <w:rStyle w:val="None"/>
          <w:rFonts w:cs="Arial"/>
          <w:noProof w:val="0"/>
          <w:szCs w:val="24"/>
        </w:rPr>
        <w:t>и</w:t>
      </w:r>
      <w:r w:rsidR="001548F5" w:rsidRPr="00F6340E">
        <w:rPr>
          <w:rStyle w:val="None"/>
          <w:rFonts w:cs="Arial"/>
          <w:noProof w:val="0"/>
          <w:szCs w:val="24"/>
        </w:rPr>
        <w:t xml:space="preserve"> </w:t>
      </w:r>
      <w:r w:rsidR="00A56E08">
        <w:rPr>
          <w:rStyle w:val="None"/>
          <w:rFonts w:cs="Arial"/>
          <w:noProof w:val="0"/>
          <w:szCs w:val="24"/>
        </w:rPr>
        <w:t>м</w:t>
      </w:r>
      <w:r>
        <w:rPr>
          <w:rStyle w:val="None"/>
          <w:rFonts w:cs="Arial"/>
          <w:noProof w:val="0"/>
          <w:szCs w:val="24"/>
        </w:rPr>
        <w:t>р</w:t>
      </w:r>
      <w:r w:rsidR="00EE6AA2">
        <w:rPr>
          <w:rStyle w:val="None"/>
          <w:rFonts w:cs="Arial"/>
          <w:noProof w:val="0"/>
          <w:szCs w:val="24"/>
        </w:rPr>
        <w:t>е</w:t>
      </w:r>
      <w:r w:rsidR="00171F00">
        <w:rPr>
          <w:rStyle w:val="None"/>
          <w:rFonts w:cs="Arial"/>
          <w:noProof w:val="0"/>
          <w:szCs w:val="24"/>
        </w:rPr>
        <w:t>ж</w:t>
      </w:r>
      <w:r w:rsidR="00A56E08">
        <w:rPr>
          <w:rStyle w:val="None"/>
          <w:rFonts w:cs="Arial"/>
          <w:noProof w:val="0"/>
          <w:szCs w:val="24"/>
        </w:rPr>
        <w:t>ни</w:t>
      </w:r>
      <w:r w:rsidR="001548F5" w:rsidRPr="00F6340E">
        <w:rPr>
          <w:rStyle w:val="None"/>
          <w:rFonts w:cs="Arial"/>
          <w:noProof w:val="0"/>
          <w:szCs w:val="24"/>
        </w:rPr>
        <w:t xml:space="preserve"> </w:t>
      </w:r>
      <w:r>
        <w:rPr>
          <w:rStyle w:val="None"/>
          <w:rFonts w:cs="Arial"/>
          <w:noProof w:val="0"/>
          <w:szCs w:val="24"/>
        </w:rPr>
        <w:t>пр</w:t>
      </w:r>
      <w:r w:rsidR="00A56E08">
        <w:rPr>
          <w:rStyle w:val="None"/>
          <w:rFonts w:cs="Arial"/>
          <w:noProof w:val="0"/>
          <w:szCs w:val="24"/>
        </w:rPr>
        <w:t>и</w:t>
      </w:r>
      <w:r>
        <w:rPr>
          <w:rStyle w:val="None"/>
          <w:rFonts w:cs="Arial"/>
          <w:noProof w:val="0"/>
          <w:szCs w:val="24"/>
        </w:rPr>
        <w:t>ступ</w:t>
      </w:r>
      <w:r w:rsidR="001548F5" w:rsidRPr="00F6340E">
        <w:rPr>
          <w:rStyle w:val="None"/>
          <w:rFonts w:cs="Arial"/>
          <w:noProof w:val="0"/>
          <w:szCs w:val="24"/>
        </w:rPr>
        <w:t xml:space="preserve"> (</w:t>
      </w:r>
      <w:r>
        <w:rPr>
          <w:rStyle w:val="None"/>
          <w:rFonts w:cs="Arial"/>
          <w:noProof w:val="0"/>
          <w:szCs w:val="24"/>
        </w:rPr>
        <w:t>У</w:t>
      </w:r>
      <w:r w:rsidR="00A56E08">
        <w:rPr>
          <w:rStyle w:val="None"/>
          <w:rFonts w:cs="Arial"/>
          <w:noProof w:val="0"/>
          <w:szCs w:val="24"/>
        </w:rPr>
        <w:t>НИЦ</w:t>
      </w:r>
      <w:r w:rsidR="00EE6AA2">
        <w:rPr>
          <w:rStyle w:val="None"/>
          <w:rFonts w:cs="Arial"/>
          <w:noProof w:val="0"/>
          <w:szCs w:val="24"/>
        </w:rPr>
        <w:t>Е</w:t>
      </w:r>
      <w:r w:rsidR="00A56E08">
        <w:rPr>
          <w:rStyle w:val="None"/>
          <w:rFonts w:cs="Arial"/>
          <w:noProof w:val="0"/>
          <w:szCs w:val="24"/>
        </w:rPr>
        <w:t>Ф</w:t>
      </w:r>
      <w:r w:rsidR="001548F5" w:rsidRPr="00F6340E">
        <w:rPr>
          <w:rStyle w:val="None"/>
          <w:rFonts w:cs="Arial"/>
          <w:noProof w:val="0"/>
          <w:szCs w:val="24"/>
        </w:rPr>
        <w:t>, 2021</w:t>
      </w:r>
      <w:r w:rsidR="00A56E08">
        <w:rPr>
          <w:rStyle w:val="None"/>
          <w:rFonts w:cs="Arial"/>
          <w:noProof w:val="0"/>
          <w:szCs w:val="24"/>
        </w:rPr>
        <w:t>б</w:t>
      </w:r>
      <w:r w:rsidR="001548F5" w:rsidRPr="00F6340E">
        <w:rPr>
          <w:rStyle w:val="None"/>
          <w:rFonts w:cs="Arial"/>
          <w:noProof w:val="0"/>
          <w:szCs w:val="24"/>
        </w:rPr>
        <w:t>).</w:t>
      </w:r>
      <w:r w:rsidR="000F7D39" w:rsidRPr="00F6340E">
        <w:rPr>
          <w:rStyle w:val="None"/>
          <w:rFonts w:cs="Arial"/>
          <w:noProof w:val="0"/>
          <w:szCs w:val="24"/>
        </w:rPr>
        <w:t xml:space="preserve"> </w:t>
      </w:r>
    </w:p>
    <w:p w14:paraId="52A4954D" w14:textId="7E5E4492" w:rsidR="000F7D39" w:rsidRPr="00F6340E" w:rsidRDefault="0071360A" w:rsidP="00FA4DC9">
      <w:pPr>
        <w:pStyle w:val="Body"/>
        <w:rPr>
          <w:rFonts w:eastAsia="Arial"/>
        </w:rPr>
      </w:pPr>
      <w:r>
        <w:rPr>
          <w:rStyle w:val="None"/>
          <w:rFonts w:cs="Arial"/>
          <w:szCs w:val="24"/>
        </w:rPr>
        <w:t>У</w:t>
      </w:r>
      <w:r w:rsidR="000F7D39" w:rsidRPr="00F6340E">
        <w:rPr>
          <w:rStyle w:val="None"/>
          <w:rFonts w:cs="Arial"/>
          <w:szCs w:val="24"/>
        </w:rPr>
        <w:t xml:space="preserve"> </w:t>
      </w:r>
      <w:r>
        <w:rPr>
          <w:rStyle w:val="None"/>
          <w:rFonts w:cs="Arial"/>
          <w:szCs w:val="24"/>
        </w:rPr>
        <w:t>пр</w:t>
      </w:r>
      <w:r w:rsidR="00A56E08">
        <w:rPr>
          <w:rStyle w:val="None"/>
          <w:rFonts w:cs="Arial"/>
          <w:szCs w:val="24"/>
        </w:rPr>
        <w:t>илог</w:t>
      </w:r>
      <w:r w:rsidR="00C41F70" w:rsidRPr="00F6340E">
        <w:rPr>
          <w:rStyle w:val="None"/>
          <w:rFonts w:cs="Arial"/>
          <w:szCs w:val="24"/>
        </w:rPr>
        <w:t xml:space="preserve"> </w:t>
      </w:r>
      <w:r>
        <w:rPr>
          <w:rStyle w:val="None"/>
          <w:rFonts w:cs="Arial"/>
          <w:szCs w:val="24"/>
        </w:rPr>
        <w:t>т</w:t>
      </w:r>
      <w:r w:rsidR="00A56E08">
        <w:rPr>
          <w:rStyle w:val="None"/>
          <w:rFonts w:cs="Arial"/>
          <w:szCs w:val="24"/>
        </w:rPr>
        <w:t>ом</w:t>
      </w:r>
      <w:r w:rsidR="00EE6AA2">
        <w:rPr>
          <w:rStyle w:val="None"/>
          <w:rFonts w:cs="Arial"/>
          <w:szCs w:val="24"/>
        </w:rPr>
        <w:t>е</w:t>
      </w:r>
      <w:r w:rsidR="00610411" w:rsidRPr="00F6340E">
        <w:rPr>
          <w:rStyle w:val="None"/>
          <w:rFonts w:cs="Arial"/>
          <w:szCs w:val="24"/>
        </w:rPr>
        <w:t xml:space="preserve"> </w:t>
      </w:r>
      <w:r w:rsidR="00A56E08">
        <w:rPr>
          <w:rStyle w:val="None"/>
          <w:rFonts w:cs="Arial"/>
          <w:szCs w:val="24"/>
        </w:rPr>
        <w:t>да</w:t>
      </w:r>
      <w:r w:rsidR="00610411" w:rsidRPr="00F6340E">
        <w:rPr>
          <w:rStyle w:val="None"/>
          <w:rFonts w:cs="Arial"/>
          <w:szCs w:val="24"/>
        </w:rPr>
        <w:t xml:space="preserve"> </w:t>
      </w:r>
      <w:r w:rsidR="00A56E08">
        <w:rPr>
          <w:rStyle w:val="None"/>
          <w:rFonts w:cs="Arial"/>
          <w:szCs w:val="24"/>
        </w:rPr>
        <w:t>ј</w:t>
      </w:r>
      <w:r w:rsidR="00EE6AA2">
        <w:rPr>
          <w:rStyle w:val="None"/>
          <w:rFonts w:cs="Arial"/>
          <w:szCs w:val="24"/>
        </w:rPr>
        <w:t>е</w:t>
      </w:r>
      <w:r w:rsidR="00610411" w:rsidRPr="00F6340E">
        <w:rPr>
          <w:rStyle w:val="None"/>
          <w:rFonts w:cs="Arial"/>
          <w:szCs w:val="24"/>
        </w:rPr>
        <w:t xml:space="preserve"> </w:t>
      </w:r>
      <w:r>
        <w:rPr>
          <w:rStyle w:val="None"/>
          <w:rFonts w:cs="Arial"/>
          <w:szCs w:val="24"/>
        </w:rPr>
        <w:t>п</w:t>
      </w:r>
      <w:r w:rsidR="00A56E08">
        <w:rPr>
          <w:rStyle w:val="None"/>
          <w:rFonts w:cs="Arial"/>
          <w:szCs w:val="24"/>
        </w:rPr>
        <w:t>о</w:t>
      </w:r>
      <w:r>
        <w:rPr>
          <w:rStyle w:val="None"/>
          <w:rFonts w:cs="Arial"/>
          <w:szCs w:val="24"/>
        </w:rPr>
        <w:t>ст</w:t>
      </w:r>
      <w:r w:rsidR="00A56E08">
        <w:rPr>
          <w:rStyle w:val="None"/>
          <w:rFonts w:cs="Arial"/>
          <w:szCs w:val="24"/>
        </w:rPr>
        <w:t>ој</w:t>
      </w:r>
      <w:r w:rsidR="00EE6AA2">
        <w:rPr>
          <w:rStyle w:val="None"/>
          <w:rFonts w:cs="Arial"/>
          <w:szCs w:val="24"/>
        </w:rPr>
        <w:t>е</w:t>
      </w:r>
      <w:r w:rsidR="00A56E08">
        <w:rPr>
          <w:rStyle w:val="None"/>
          <w:rFonts w:cs="Arial"/>
          <w:szCs w:val="24"/>
        </w:rPr>
        <w:t>ћа</w:t>
      </w:r>
      <w:r w:rsidR="00C41F70" w:rsidRPr="00F6340E">
        <w:rPr>
          <w:rStyle w:val="None"/>
          <w:rFonts w:cs="Arial"/>
          <w:szCs w:val="24"/>
        </w:rPr>
        <w:t xml:space="preserve"> </w:t>
      </w:r>
      <w:r w:rsidR="00A56E08">
        <w:rPr>
          <w:rStyle w:val="None"/>
          <w:rFonts w:cs="Arial"/>
          <w:szCs w:val="24"/>
        </w:rPr>
        <w:t>Инф</w:t>
      </w:r>
      <w:r>
        <w:rPr>
          <w:rStyle w:val="None"/>
          <w:rFonts w:cs="Arial"/>
          <w:szCs w:val="24"/>
        </w:rPr>
        <w:t>р</w:t>
      </w:r>
      <w:r w:rsidR="00A56E08">
        <w:rPr>
          <w:rStyle w:val="None"/>
          <w:rFonts w:cs="Arial"/>
          <w:szCs w:val="24"/>
        </w:rPr>
        <w:t>а</w:t>
      </w:r>
      <w:r>
        <w:rPr>
          <w:rStyle w:val="None"/>
          <w:rFonts w:cs="Arial"/>
          <w:szCs w:val="24"/>
        </w:rPr>
        <w:t>стру</w:t>
      </w:r>
      <w:r w:rsidR="00A56E08">
        <w:rPr>
          <w:rStyle w:val="None"/>
          <w:rFonts w:cs="Arial"/>
          <w:szCs w:val="24"/>
        </w:rPr>
        <w:t>к</w:t>
      </w:r>
      <w:r>
        <w:rPr>
          <w:rStyle w:val="None"/>
          <w:rFonts w:cs="Arial"/>
          <w:szCs w:val="24"/>
        </w:rPr>
        <w:t>тур</w:t>
      </w:r>
      <w:r w:rsidR="00A56E08">
        <w:rPr>
          <w:rStyle w:val="None"/>
          <w:rFonts w:cs="Arial"/>
          <w:szCs w:val="24"/>
        </w:rPr>
        <w:t>а</w:t>
      </w:r>
      <w:r w:rsidR="0016782E" w:rsidRPr="00F6340E">
        <w:rPr>
          <w:rStyle w:val="None"/>
          <w:rFonts w:cs="Arial"/>
          <w:szCs w:val="24"/>
        </w:rPr>
        <w:t xml:space="preserve"> </w:t>
      </w:r>
      <w:r w:rsidR="00171F00">
        <w:rPr>
          <w:rStyle w:val="None"/>
          <w:rFonts w:cs="Arial"/>
          <w:szCs w:val="24"/>
        </w:rPr>
        <w:t>з</w:t>
      </w:r>
      <w:r w:rsidR="00A56E08">
        <w:rPr>
          <w:rStyle w:val="None"/>
          <w:rFonts w:cs="Arial"/>
          <w:szCs w:val="24"/>
        </w:rPr>
        <w:t>а</w:t>
      </w:r>
      <w:r w:rsidR="0016782E" w:rsidRPr="00F6340E">
        <w:rPr>
          <w:rStyle w:val="None"/>
          <w:rFonts w:cs="Arial"/>
          <w:szCs w:val="24"/>
        </w:rPr>
        <w:t xml:space="preserve"> </w:t>
      </w:r>
      <w:r w:rsidR="00A56E08">
        <w:rPr>
          <w:rStyle w:val="None"/>
          <w:rFonts w:cs="Arial"/>
          <w:szCs w:val="24"/>
        </w:rPr>
        <w:t>ИК</w:t>
      </w:r>
      <w:r>
        <w:rPr>
          <w:rStyle w:val="None"/>
          <w:rFonts w:cs="Arial"/>
          <w:szCs w:val="24"/>
        </w:rPr>
        <w:t>Т</w:t>
      </w:r>
      <w:r w:rsidR="00C41F70" w:rsidRPr="00F6340E">
        <w:rPr>
          <w:rStyle w:val="None"/>
          <w:rFonts w:cs="Arial"/>
          <w:szCs w:val="24"/>
        </w:rPr>
        <w:t xml:space="preserve"> </w:t>
      </w:r>
      <w:r>
        <w:rPr>
          <w:rStyle w:val="None"/>
          <w:rFonts w:cs="Arial"/>
          <w:szCs w:val="24"/>
        </w:rPr>
        <w:t>у</w:t>
      </w:r>
      <w:r w:rsidR="00C41F70" w:rsidRPr="00F6340E">
        <w:rPr>
          <w:rStyle w:val="None"/>
          <w:rFonts w:cs="Arial"/>
          <w:szCs w:val="24"/>
        </w:rPr>
        <w:t xml:space="preserve"> </w:t>
      </w:r>
      <w:r w:rsidR="00A56E08">
        <w:rPr>
          <w:rStyle w:val="None"/>
          <w:rFonts w:cs="Arial"/>
          <w:szCs w:val="24"/>
        </w:rPr>
        <w:t>БиХ</w:t>
      </w:r>
      <w:r w:rsidR="000F7D39" w:rsidRPr="00F6340E">
        <w:rPr>
          <w:rStyle w:val="None"/>
          <w:rFonts w:cs="Arial"/>
          <w:szCs w:val="24"/>
        </w:rPr>
        <w:t xml:space="preserve"> </w:t>
      </w:r>
      <w:r w:rsidR="00A56E08">
        <w:rPr>
          <w:rStyle w:val="None"/>
          <w:rFonts w:cs="Arial"/>
          <w:szCs w:val="24"/>
        </w:rPr>
        <w:t>н</w:t>
      </w:r>
      <w:r w:rsidR="00EE6AA2">
        <w:rPr>
          <w:rStyle w:val="None"/>
          <w:rFonts w:cs="Arial"/>
          <w:szCs w:val="24"/>
        </w:rPr>
        <w:t>е</w:t>
      </w:r>
      <w:r w:rsidR="00A56E08">
        <w:rPr>
          <w:rStyle w:val="None"/>
          <w:rFonts w:cs="Arial"/>
          <w:szCs w:val="24"/>
        </w:rPr>
        <w:t>до</w:t>
      </w:r>
      <w:r>
        <w:rPr>
          <w:rStyle w:val="None"/>
          <w:rFonts w:cs="Arial"/>
          <w:szCs w:val="24"/>
        </w:rPr>
        <w:t>в</w:t>
      </w:r>
      <w:r w:rsidR="00A56E08">
        <w:rPr>
          <w:rStyle w:val="None"/>
          <w:rFonts w:cs="Arial"/>
          <w:szCs w:val="24"/>
        </w:rPr>
        <w:t>ољна</w:t>
      </w:r>
      <w:r w:rsidR="00610411" w:rsidRPr="00F6340E">
        <w:rPr>
          <w:rStyle w:val="None"/>
          <w:rFonts w:cs="Arial"/>
          <w:szCs w:val="24"/>
        </w:rPr>
        <w:t xml:space="preserve"> </w:t>
      </w:r>
      <w:r w:rsidR="00A56E08">
        <w:rPr>
          <w:rStyle w:val="None"/>
          <w:rFonts w:cs="Arial"/>
          <w:szCs w:val="24"/>
        </w:rPr>
        <w:t>ид</w:t>
      </w:r>
      <w:r>
        <w:rPr>
          <w:rStyle w:val="None"/>
          <w:rFonts w:cs="Arial"/>
          <w:szCs w:val="24"/>
        </w:rPr>
        <w:t>у</w:t>
      </w:r>
      <w:r w:rsidR="000F7D39" w:rsidRPr="00F6340E">
        <w:rPr>
          <w:rStyle w:val="None"/>
          <w:rFonts w:cs="Arial"/>
          <w:szCs w:val="24"/>
        </w:rPr>
        <w:t xml:space="preserve"> </w:t>
      </w:r>
      <w:r w:rsidR="00A56E08">
        <w:rPr>
          <w:rStyle w:val="None"/>
          <w:rFonts w:cs="Arial"/>
          <w:szCs w:val="24"/>
        </w:rPr>
        <w:t>и</w:t>
      </w:r>
      <w:r w:rsidR="000F7D39" w:rsidRPr="00F6340E">
        <w:rPr>
          <w:rStyle w:val="None"/>
          <w:rFonts w:cs="Arial"/>
          <w:szCs w:val="24"/>
        </w:rPr>
        <w:t xml:space="preserve"> </w:t>
      </w:r>
      <w:r>
        <w:rPr>
          <w:rStyle w:val="None"/>
          <w:rFonts w:cs="Arial"/>
          <w:szCs w:val="24"/>
        </w:rPr>
        <w:t>п</w:t>
      </w:r>
      <w:r w:rsidR="00A56E08">
        <w:rPr>
          <w:rStyle w:val="None"/>
          <w:rFonts w:cs="Arial"/>
          <w:szCs w:val="24"/>
        </w:rPr>
        <w:t>одаци</w:t>
      </w:r>
      <w:r w:rsidR="000F7D39" w:rsidRPr="00F6340E">
        <w:rPr>
          <w:rStyle w:val="None"/>
          <w:rFonts w:cs="Arial"/>
          <w:szCs w:val="24"/>
        </w:rPr>
        <w:t xml:space="preserve"> </w:t>
      </w:r>
      <w:r>
        <w:rPr>
          <w:rStyle w:val="None"/>
          <w:rFonts w:cs="Arial"/>
          <w:szCs w:val="24"/>
        </w:rPr>
        <w:t>пр</w:t>
      </w:r>
      <w:r w:rsidR="00EE6AA2">
        <w:rPr>
          <w:rStyle w:val="None"/>
          <w:rFonts w:cs="Arial"/>
          <w:szCs w:val="24"/>
        </w:rPr>
        <w:t>е</w:t>
      </w:r>
      <w:r w:rsidR="00A56E08">
        <w:rPr>
          <w:rStyle w:val="None"/>
          <w:rFonts w:cs="Arial"/>
          <w:szCs w:val="24"/>
        </w:rPr>
        <w:t>ма</w:t>
      </w:r>
      <w:r w:rsidR="000F7D39" w:rsidRPr="00F6340E">
        <w:rPr>
          <w:rStyle w:val="None"/>
          <w:rFonts w:cs="Arial"/>
          <w:szCs w:val="24"/>
        </w:rPr>
        <w:t xml:space="preserve"> </w:t>
      </w:r>
      <w:r w:rsidR="00A56E08">
        <w:rPr>
          <w:rStyle w:val="None"/>
          <w:rFonts w:cs="Arial"/>
          <w:szCs w:val="24"/>
        </w:rPr>
        <w:t>којима</w:t>
      </w:r>
      <w:r w:rsidR="000F7D39" w:rsidRPr="00F6340E">
        <w:rPr>
          <w:rStyle w:val="None"/>
          <w:rFonts w:cs="Arial"/>
          <w:szCs w:val="24"/>
        </w:rPr>
        <w:t xml:space="preserve"> </w:t>
      </w:r>
      <w:r w:rsidR="001548F5" w:rsidRPr="00F6340E">
        <w:rPr>
          <w:rFonts w:eastAsiaTheme="minorHAnsi"/>
        </w:rPr>
        <w:t xml:space="preserve">19,9 </w:t>
      </w:r>
      <w:r>
        <w:rPr>
          <w:rFonts w:eastAsiaTheme="minorHAnsi"/>
        </w:rPr>
        <w:t>у</w:t>
      </w:r>
      <w:r w:rsidR="00A56E08">
        <w:rPr>
          <w:rFonts w:eastAsiaTheme="minorHAnsi"/>
        </w:rPr>
        <w:t>ч</w:t>
      </w:r>
      <w:r w:rsidR="00EE6AA2">
        <w:rPr>
          <w:rFonts w:eastAsiaTheme="minorHAnsi"/>
        </w:rPr>
        <w:t>е</w:t>
      </w:r>
      <w:r w:rsidR="00A56E08">
        <w:rPr>
          <w:rFonts w:eastAsiaTheme="minorHAnsi"/>
        </w:rPr>
        <w:t>ника</w:t>
      </w:r>
      <w:r w:rsidR="001548F5" w:rsidRPr="00F6340E">
        <w:rPr>
          <w:rFonts w:eastAsiaTheme="minorHAnsi"/>
        </w:rPr>
        <w:t xml:space="preserve"> </w:t>
      </w:r>
      <w:r>
        <w:rPr>
          <w:rFonts w:eastAsiaTheme="minorHAnsi"/>
        </w:rPr>
        <w:t>р</w:t>
      </w:r>
      <w:r w:rsidR="00A56E08">
        <w:rPr>
          <w:rFonts w:eastAsiaTheme="minorHAnsi"/>
        </w:rPr>
        <w:t>а</w:t>
      </w:r>
      <w:r>
        <w:rPr>
          <w:rFonts w:eastAsiaTheme="minorHAnsi"/>
        </w:rPr>
        <w:t>сп</w:t>
      </w:r>
      <w:r w:rsidR="00A56E08">
        <w:rPr>
          <w:rFonts w:eastAsiaTheme="minorHAnsi"/>
        </w:rPr>
        <w:t>ола</w:t>
      </w:r>
      <w:r w:rsidR="00171F00">
        <w:rPr>
          <w:rFonts w:eastAsiaTheme="minorHAnsi"/>
        </w:rPr>
        <w:t>ж</w:t>
      </w:r>
      <w:r w:rsidR="00EE6AA2">
        <w:rPr>
          <w:rFonts w:eastAsiaTheme="minorHAnsi"/>
        </w:rPr>
        <w:t>е</w:t>
      </w:r>
      <w:r w:rsidR="001548F5" w:rsidRPr="00F6340E">
        <w:rPr>
          <w:rFonts w:eastAsiaTheme="minorHAnsi"/>
        </w:rPr>
        <w:t xml:space="preserve"> </w:t>
      </w:r>
      <w:r w:rsidR="00A56E08">
        <w:rPr>
          <w:rFonts w:eastAsiaTheme="minorHAnsi"/>
        </w:rPr>
        <w:t>ј</w:t>
      </w:r>
      <w:r w:rsidR="00EE6AA2">
        <w:rPr>
          <w:rFonts w:eastAsiaTheme="minorHAnsi"/>
        </w:rPr>
        <w:t>е</w:t>
      </w:r>
      <w:r w:rsidR="00A56E08">
        <w:rPr>
          <w:rFonts w:eastAsiaTheme="minorHAnsi"/>
        </w:rPr>
        <w:t>дним</w:t>
      </w:r>
      <w:r w:rsidR="001548F5" w:rsidRPr="00F6340E">
        <w:rPr>
          <w:rFonts w:eastAsiaTheme="minorHAnsi"/>
        </w:rPr>
        <w:t xml:space="preserve"> </w:t>
      </w:r>
      <w:r>
        <w:rPr>
          <w:rFonts w:eastAsiaTheme="minorHAnsi"/>
        </w:rPr>
        <w:t>р</w:t>
      </w:r>
      <w:r w:rsidR="00A56E08">
        <w:rPr>
          <w:rFonts w:eastAsiaTheme="minorHAnsi"/>
        </w:rPr>
        <w:t>ач</w:t>
      </w:r>
      <w:r>
        <w:rPr>
          <w:rFonts w:eastAsiaTheme="minorHAnsi"/>
        </w:rPr>
        <w:t>у</w:t>
      </w:r>
      <w:r w:rsidR="00A56E08">
        <w:rPr>
          <w:rFonts w:eastAsiaTheme="minorHAnsi"/>
        </w:rPr>
        <w:t>на</w:t>
      </w:r>
      <w:r>
        <w:rPr>
          <w:rFonts w:eastAsiaTheme="minorHAnsi"/>
        </w:rPr>
        <w:t>р</w:t>
      </w:r>
      <w:r w:rsidR="00A56E08">
        <w:rPr>
          <w:rFonts w:eastAsiaTheme="minorHAnsi"/>
        </w:rPr>
        <w:t>ом</w:t>
      </w:r>
      <w:r w:rsidR="000F7D39" w:rsidRPr="00F6340E">
        <w:rPr>
          <w:rFonts w:eastAsiaTheme="minorHAnsi"/>
        </w:rPr>
        <w:t xml:space="preserve"> </w:t>
      </w:r>
      <w:r w:rsidR="00A56E08">
        <w:rPr>
          <w:rFonts w:eastAsiaTheme="minorHAnsi"/>
        </w:rPr>
        <w:t>на</w:t>
      </w:r>
      <w:r w:rsidR="000F7D39" w:rsidRPr="00F6340E">
        <w:rPr>
          <w:rFonts w:eastAsiaTheme="minorHAnsi"/>
        </w:rPr>
        <w:t xml:space="preserve"> </w:t>
      </w:r>
      <w:r w:rsidR="00A56E08">
        <w:rPr>
          <w:rFonts w:eastAsiaTheme="minorHAnsi"/>
        </w:rPr>
        <w:t>ни</w:t>
      </w:r>
      <w:r>
        <w:rPr>
          <w:rFonts w:eastAsiaTheme="minorHAnsi"/>
        </w:rPr>
        <w:t>в</w:t>
      </w:r>
      <w:r w:rsidR="00A56E08">
        <w:rPr>
          <w:rFonts w:eastAsiaTheme="minorHAnsi"/>
        </w:rPr>
        <w:t>о</w:t>
      </w:r>
      <w:r>
        <w:rPr>
          <w:rFonts w:eastAsiaTheme="minorHAnsi"/>
        </w:rPr>
        <w:t>у</w:t>
      </w:r>
      <w:r w:rsidR="000F7D39" w:rsidRPr="00F6340E">
        <w:rPr>
          <w:rFonts w:eastAsiaTheme="minorHAnsi"/>
        </w:rPr>
        <w:t xml:space="preserve"> </w:t>
      </w:r>
      <w:r>
        <w:rPr>
          <w:rFonts w:eastAsiaTheme="minorHAnsi"/>
        </w:rPr>
        <w:t>ш</w:t>
      </w:r>
      <w:r w:rsidR="00A56E08">
        <w:rPr>
          <w:rFonts w:eastAsiaTheme="minorHAnsi"/>
        </w:rPr>
        <w:t>кол</w:t>
      </w:r>
      <w:r w:rsidR="00EE6AA2">
        <w:rPr>
          <w:rFonts w:eastAsiaTheme="minorHAnsi"/>
        </w:rPr>
        <w:t>е</w:t>
      </w:r>
      <w:r w:rsidR="000F7D39" w:rsidRPr="00F6340E">
        <w:rPr>
          <w:rFonts w:eastAsiaTheme="minorHAnsi"/>
        </w:rPr>
        <w:t xml:space="preserve"> (</w:t>
      </w:r>
      <w:r>
        <w:rPr>
          <w:rFonts w:eastAsiaTheme="minorHAnsi"/>
        </w:rPr>
        <w:t>У</w:t>
      </w:r>
      <w:r w:rsidR="00A56E08">
        <w:rPr>
          <w:rFonts w:eastAsiaTheme="minorHAnsi"/>
        </w:rPr>
        <w:t>НИЦ</w:t>
      </w:r>
      <w:r w:rsidR="00EE6AA2">
        <w:rPr>
          <w:rFonts w:eastAsiaTheme="minorHAnsi"/>
        </w:rPr>
        <w:t>Е</w:t>
      </w:r>
      <w:r w:rsidR="00A56E08">
        <w:rPr>
          <w:rFonts w:eastAsiaTheme="minorHAnsi"/>
        </w:rPr>
        <w:t>Ф</w:t>
      </w:r>
      <w:r w:rsidR="000F7D39" w:rsidRPr="00F6340E">
        <w:rPr>
          <w:rFonts w:eastAsiaTheme="minorHAnsi"/>
        </w:rPr>
        <w:t xml:space="preserve">, 2022), </w:t>
      </w:r>
      <w:r w:rsidR="00A56E08">
        <w:rPr>
          <w:rFonts w:eastAsiaTheme="minorHAnsi"/>
        </w:rPr>
        <w:t>док</w:t>
      </w:r>
      <w:r w:rsidR="000F7D39" w:rsidRPr="00F6340E">
        <w:rPr>
          <w:rFonts w:eastAsiaTheme="minorHAnsi"/>
        </w:rPr>
        <w:t xml:space="preserve"> </w:t>
      </w:r>
      <w:r w:rsidR="00A56E08">
        <w:rPr>
          <w:rFonts w:eastAsiaTheme="minorHAnsi"/>
        </w:rPr>
        <w:t>ј</w:t>
      </w:r>
      <w:r w:rsidR="00EE6AA2">
        <w:rPr>
          <w:rFonts w:eastAsiaTheme="minorHAnsi"/>
        </w:rPr>
        <w:t>е</w:t>
      </w:r>
      <w:r w:rsidR="000F7D39" w:rsidRPr="00F6340E">
        <w:rPr>
          <w:rFonts w:eastAsiaTheme="minorHAnsi"/>
        </w:rPr>
        <w:t xml:space="preserve"> </w:t>
      </w:r>
      <w:r w:rsidR="00A56E08">
        <w:rPr>
          <w:rFonts w:eastAsiaTheme="minorHAnsi"/>
        </w:rPr>
        <w:t>О</w:t>
      </w:r>
      <w:r w:rsidR="00EE6AA2">
        <w:rPr>
          <w:rFonts w:eastAsiaTheme="minorHAnsi"/>
        </w:rPr>
        <w:t>Е</w:t>
      </w:r>
      <w:r w:rsidR="00A56E08">
        <w:rPr>
          <w:rFonts w:eastAsiaTheme="minorHAnsi"/>
        </w:rPr>
        <w:t>ЦД</w:t>
      </w:r>
      <w:r w:rsidR="000F7D39" w:rsidRPr="00F6340E">
        <w:rPr>
          <w:rFonts w:eastAsiaTheme="minorHAnsi"/>
        </w:rPr>
        <w:t xml:space="preserve"> </w:t>
      </w:r>
      <w:r>
        <w:rPr>
          <w:rFonts w:eastAsiaTheme="minorHAnsi"/>
        </w:rPr>
        <w:t>пр</w:t>
      </w:r>
      <w:r w:rsidR="00A56E08">
        <w:rPr>
          <w:rFonts w:eastAsiaTheme="minorHAnsi"/>
        </w:rPr>
        <w:t>о</w:t>
      </w:r>
      <w:r>
        <w:rPr>
          <w:rFonts w:eastAsiaTheme="minorHAnsi"/>
        </w:rPr>
        <w:t>с</w:t>
      </w:r>
      <w:r w:rsidR="00A56E08">
        <w:rPr>
          <w:rFonts w:eastAsiaTheme="minorHAnsi"/>
        </w:rPr>
        <w:t>ј</w:t>
      </w:r>
      <w:r w:rsidR="00EE6AA2">
        <w:rPr>
          <w:rFonts w:eastAsiaTheme="minorHAnsi"/>
        </w:rPr>
        <w:t>е</w:t>
      </w:r>
      <w:r w:rsidR="00A56E08">
        <w:rPr>
          <w:rFonts w:eastAsiaTheme="minorHAnsi"/>
        </w:rPr>
        <w:t>к</w:t>
      </w:r>
      <w:r w:rsidR="000F7D39" w:rsidRPr="00F6340E">
        <w:rPr>
          <w:rFonts w:eastAsiaTheme="minorHAnsi"/>
        </w:rPr>
        <w:t xml:space="preserve"> 1,2 </w:t>
      </w:r>
      <w:r>
        <w:rPr>
          <w:rFonts w:eastAsiaTheme="minorHAnsi"/>
        </w:rPr>
        <w:t>у</w:t>
      </w:r>
      <w:r w:rsidR="00A56E08">
        <w:rPr>
          <w:rFonts w:eastAsiaTheme="minorHAnsi"/>
        </w:rPr>
        <w:t>ч</w:t>
      </w:r>
      <w:r w:rsidR="00EE6AA2">
        <w:rPr>
          <w:rFonts w:eastAsiaTheme="minorHAnsi"/>
        </w:rPr>
        <w:t>е</w:t>
      </w:r>
      <w:r w:rsidR="00A56E08">
        <w:rPr>
          <w:rFonts w:eastAsiaTheme="minorHAnsi"/>
        </w:rPr>
        <w:t>ника</w:t>
      </w:r>
      <w:r w:rsidR="000F7D39" w:rsidRPr="00F6340E">
        <w:rPr>
          <w:rFonts w:eastAsiaTheme="minorHAnsi"/>
        </w:rPr>
        <w:t xml:space="preserve"> </w:t>
      </w:r>
      <w:r w:rsidR="00A56E08">
        <w:rPr>
          <w:rFonts w:eastAsiaTheme="minorHAnsi"/>
        </w:rPr>
        <w:t>на</w:t>
      </w:r>
      <w:r w:rsidR="000F7D39" w:rsidRPr="00F6340E">
        <w:rPr>
          <w:rFonts w:eastAsiaTheme="minorHAnsi"/>
        </w:rPr>
        <w:t xml:space="preserve"> </w:t>
      </w:r>
      <w:r w:rsidR="00A56E08">
        <w:rPr>
          <w:rFonts w:eastAsiaTheme="minorHAnsi"/>
        </w:rPr>
        <w:t>ј</w:t>
      </w:r>
      <w:r w:rsidR="00EE6AA2">
        <w:rPr>
          <w:rFonts w:eastAsiaTheme="minorHAnsi"/>
        </w:rPr>
        <w:t>е</w:t>
      </w:r>
      <w:r w:rsidR="00A56E08">
        <w:rPr>
          <w:rFonts w:eastAsiaTheme="minorHAnsi"/>
        </w:rPr>
        <w:t>дан</w:t>
      </w:r>
      <w:r w:rsidR="00610411" w:rsidRPr="00F6340E">
        <w:rPr>
          <w:rFonts w:eastAsiaTheme="minorHAnsi"/>
        </w:rPr>
        <w:t xml:space="preserve"> </w:t>
      </w:r>
      <w:r>
        <w:rPr>
          <w:rFonts w:eastAsiaTheme="minorHAnsi"/>
        </w:rPr>
        <w:t>р</w:t>
      </w:r>
      <w:r w:rsidR="00A56E08">
        <w:rPr>
          <w:rFonts w:eastAsiaTheme="minorHAnsi"/>
        </w:rPr>
        <w:t>ач</w:t>
      </w:r>
      <w:r>
        <w:rPr>
          <w:rFonts w:eastAsiaTheme="minorHAnsi"/>
        </w:rPr>
        <w:t>у</w:t>
      </w:r>
      <w:r w:rsidR="00A56E08">
        <w:rPr>
          <w:rFonts w:eastAsiaTheme="minorHAnsi"/>
        </w:rPr>
        <w:t>на</w:t>
      </w:r>
      <w:r>
        <w:rPr>
          <w:rFonts w:eastAsiaTheme="minorHAnsi"/>
        </w:rPr>
        <w:t>р</w:t>
      </w:r>
      <w:r w:rsidR="000F7D39" w:rsidRPr="00F6340E">
        <w:rPr>
          <w:rFonts w:eastAsiaTheme="minorHAnsi"/>
        </w:rPr>
        <w:t xml:space="preserve">. </w:t>
      </w:r>
      <w:r>
        <w:rPr>
          <w:rFonts w:eastAsia="Arial"/>
        </w:rPr>
        <w:t>Т</w:t>
      </w:r>
      <w:r w:rsidR="00EE6AA2">
        <w:rPr>
          <w:rFonts w:eastAsia="Arial"/>
        </w:rPr>
        <w:t>е</w:t>
      </w:r>
      <w:r w:rsidR="00171F00">
        <w:rPr>
          <w:rFonts w:eastAsia="Arial"/>
        </w:rPr>
        <w:t>ж</w:t>
      </w:r>
      <w:r w:rsidR="00EE6AA2">
        <w:rPr>
          <w:rFonts w:eastAsia="Arial"/>
        </w:rPr>
        <w:t>е</w:t>
      </w:r>
      <w:r w:rsidR="00A56E08">
        <w:rPr>
          <w:rFonts w:eastAsia="Arial"/>
        </w:rPr>
        <w:t>ћи</w:t>
      </w:r>
      <w:r w:rsidR="000F7D39" w:rsidRPr="00F6340E">
        <w:rPr>
          <w:rFonts w:eastAsia="Arial"/>
        </w:rPr>
        <w:t xml:space="preserve"> </w:t>
      </w:r>
      <w:r>
        <w:rPr>
          <w:rFonts w:eastAsia="Arial"/>
        </w:rPr>
        <w:t>пр</w:t>
      </w:r>
      <w:r w:rsidR="00A56E08">
        <w:rPr>
          <w:rFonts w:eastAsia="Arial"/>
        </w:rPr>
        <w:t>о</w:t>
      </w:r>
      <w:r>
        <w:rPr>
          <w:rFonts w:eastAsia="Arial"/>
        </w:rPr>
        <w:t>с</w:t>
      </w:r>
      <w:r w:rsidR="00A56E08">
        <w:rPr>
          <w:rFonts w:eastAsia="Arial"/>
        </w:rPr>
        <w:t>ј</w:t>
      </w:r>
      <w:r w:rsidR="00EE6AA2">
        <w:rPr>
          <w:rFonts w:eastAsia="Arial"/>
        </w:rPr>
        <w:t>е</w:t>
      </w:r>
      <w:r w:rsidR="00A56E08">
        <w:rPr>
          <w:rFonts w:eastAsia="Arial"/>
        </w:rPr>
        <w:t>к</w:t>
      </w:r>
      <w:r>
        <w:rPr>
          <w:rFonts w:eastAsia="Arial"/>
        </w:rPr>
        <w:t>у</w:t>
      </w:r>
      <w:r w:rsidR="000F7D39" w:rsidRPr="00F6340E">
        <w:rPr>
          <w:rFonts w:eastAsia="Arial"/>
        </w:rPr>
        <w:t xml:space="preserve"> </w:t>
      </w:r>
      <w:r w:rsidR="00A56E08">
        <w:rPr>
          <w:rFonts w:eastAsia="Arial"/>
        </w:rPr>
        <w:t>О</w:t>
      </w:r>
      <w:r w:rsidR="00EE6AA2">
        <w:rPr>
          <w:rFonts w:eastAsia="Arial"/>
        </w:rPr>
        <w:t>Е</w:t>
      </w:r>
      <w:r w:rsidR="00A56E08">
        <w:rPr>
          <w:rFonts w:eastAsia="Arial"/>
        </w:rPr>
        <w:t>ЦД</w:t>
      </w:r>
      <w:r w:rsidR="000F7D39" w:rsidRPr="00F6340E">
        <w:rPr>
          <w:rFonts w:eastAsia="Arial"/>
        </w:rPr>
        <w:t xml:space="preserve"> </w:t>
      </w:r>
      <w:r w:rsidR="00171F00">
        <w:rPr>
          <w:rFonts w:eastAsia="Arial"/>
        </w:rPr>
        <w:t>з</w:t>
      </w:r>
      <w:r w:rsidR="00EE6AA2">
        <w:rPr>
          <w:rFonts w:eastAsia="Arial"/>
        </w:rPr>
        <w:t>е</w:t>
      </w:r>
      <w:r w:rsidR="00A56E08">
        <w:rPr>
          <w:rFonts w:eastAsia="Arial"/>
        </w:rPr>
        <w:t>маља</w:t>
      </w:r>
      <w:r w:rsidR="000F7D39" w:rsidRPr="00F6340E">
        <w:rPr>
          <w:rFonts w:eastAsia="Arial"/>
        </w:rPr>
        <w:t xml:space="preserve">, </w:t>
      </w:r>
      <w:r w:rsidR="00A56E08">
        <w:rPr>
          <w:rFonts w:eastAsia="Arial"/>
        </w:rPr>
        <w:t>а</w:t>
      </w:r>
      <w:r w:rsidR="000F7D39" w:rsidRPr="00F6340E">
        <w:rPr>
          <w:rFonts w:eastAsia="Arial"/>
        </w:rPr>
        <w:t xml:space="preserve"> </w:t>
      </w:r>
      <w:r w:rsidR="00A56E08">
        <w:rPr>
          <w:rFonts w:eastAsia="Arial"/>
        </w:rPr>
        <w:t>на</w:t>
      </w:r>
      <w:r w:rsidR="000F7D39" w:rsidRPr="00F6340E">
        <w:rPr>
          <w:rFonts w:eastAsia="Arial"/>
        </w:rPr>
        <w:t xml:space="preserve"> </w:t>
      </w:r>
      <w:r w:rsidR="00A56E08">
        <w:rPr>
          <w:rFonts w:eastAsia="Arial"/>
        </w:rPr>
        <w:t>о</w:t>
      </w:r>
      <w:r>
        <w:rPr>
          <w:rFonts w:eastAsia="Arial"/>
        </w:rPr>
        <w:t>с</w:t>
      </w:r>
      <w:r w:rsidR="00A56E08">
        <w:rPr>
          <w:rFonts w:eastAsia="Arial"/>
        </w:rPr>
        <w:t>но</w:t>
      </w:r>
      <w:r>
        <w:rPr>
          <w:rFonts w:eastAsia="Arial"/>
        </w:rPr>
        <w:t>ву</w:t>
      </w:r>
      <w:r w:rsidR="000F7D39" w:rsidRPr="00F6340E">
        <w:rPr>
          <w:rFonts w:eastAsia="Arial"/>
        </w:rPr>
        <w:t xml:space="preserve"> </w:t>
      </w:r>
      <w:r w:rsidR="00A56E08">
        <w:rPr>
          <w:rFonts w:eastAsia="Arial"/>
        </w:rPr>
        <w:t>добиј</w:t>
      </w:r>
      <w:r w:rsidR="00EE6AA2">
        <w:rPr>
          <w:rFonts w:eastAsia="Arial"/>
        </w:rPr>
        <w:t>е</w:t>
      </w:r>
      <w:r w:rsidR="00A56E08">
        <w:rPr>
          <w:rFonts w:eastAsia="Arial"/>
        </w:rPr>
        <w:t>них</w:t>
      </w:r>
      <w:r w:rsidR="000F7D39" w:rsidRPr="00F6340E">
        <w:rPr>
          <w:rFonts w:eastAsia="Arial"/>
        </w:rPr>
        <w:t xml:space="preserve"> </w:t>
      </w:r>
      <w:r>
        <w:rPr>
          <w:rFonts w:eastAsia="Arial"/>
        </w:rPr>
        <w:t>п</w:t>
      </w:r>
      <w:r w:rsidR="00A56E08">
        <w:rPr>
          <w:rFonts w:eastAsia="Arial"/>
        </w:rPr>
        <w:t>ода</w:t>
      </w:r>
      <w:r>
        <w:rPr>
          <w:rFonts w:eastAsia="Arial"/>
        </w:rPr>
        <w:t>т</w:t>
      </w:r>
      <w:r w:rsidR="00A56E08">
        <w:rPr>
          <w:rFonts w:eastAsia="Arial"/>
        </w:rPr>
        <w:t>ака</w:t>
      </w:r>
      <w:r w:rsidR="000F7D39" w:rsidRPr="00F6340E">
        <w:rPr>
          <w:rFonts w:eastAsia="Arial"/>
        </w:rPr>
        <w:t xml:space="preserve"> </w:t>
      </w:r>
      <w:r>
        <w:rPr>
          <w:rFonts w:eastAsia="Arial"/>
        </w:rPr>
        <w:t>у</w:t>
      </w:r>
      <w:r w:rsidR="000F7D39" w:rsidRPr="00F6340E">
        <w:rPr>
          <w:rFonts w:eastAsia="Arial"/>
        </w:rPr>
        <w:t xml:space="preserve"> </w:t>
      </w:r>
      <w:r>
        <w:rPr>
          <w:rFonts w:eastAsia="Arial"/>
        </w:rPr>
        <w:t>сту</w:t>
      </w:r>
      <w:r w:rsidR="00A56E08">
        <w:rPr>
          <w:rFonts w:eastAsia="Arial"/>
        </w:rPr>
        <w:t>дији</w:t>
      </w:r>
      <w:r w:rsidR="000F7D39" w:rsidRPr="00F6340E">
        <w:rPr>
          <w:rFonts w:eastAsia="Arial"/>
        </w:rPr>
        <w:t xml:space="preserve"> </w:t>
      </w:r>
      <w:r w:rsidR="00A56E08">
        <w:t>Ма</w:t>
      </w:r>
      <w:r>
        <w:t>п</w:t>
      </w:r>
      <w:r w:rsidR="00A56E08">
        <w:t>и</w:t>
      </w:r>
      <w:r>
        <w:t>р</w:t>
      </w:r>
      <w:r w:rsidR="00A56E08">
        <w:t>ањ</w:t>
      </w:r>
      <w:r w:rsidR="00EE6AA2">
        <w:t>е</w:t>
      </w:r>
      <w:r w:rsidR="00331937" w:rsidRPr="00F6340E">
        <w:t xml:space="preserve"> </w:t>
      </w:r>
      <w:r w:rsidR="00A56E08">
        <w:t>ИК</w:t>
      </w:r>
      <w:r>
        <w:t>Т</w:t>
      </w:r>
      <w:r w:rsidR="00331937" w:rsidRPr="00F6340E">
        <w:t xml:space="preserve"> </w:t>
      </w:r>
      <w:r>
        <w:t>р</w:t>
      </w:r>
      <w:r w:rsidR="00EE6AA2">
        <w:t>е</w:t>
      </w:r>
      <w:r>
        <w:t>сурс</w:t>
      </w:r>
      <w:r w:rsidR="00A56E08">
        <w:t>а</w:t>
      </w:r>
      <w:r w:rsidR="00331937" w:rsidRPr="00F6340E">
        <w:t xml:space="preserve"> </w:t>
      </w:r>
      <w:r w:rsidR="00A56E08">
        <w:t>о</w:t>
      </w:r>
      <w:r>
        <w:t>с</w:t>
      </w:r>
      <w:r w:rsidR="00A56E08">
        <w:t>но</w:t>
      </w:r>
      <w:r>
        <w:t>в</w:t>
      </w:r>
      <w:r w:rsidR="00A56E08">
        <w:t>них</w:t>
      </w:r>
      <w:r w:rsidR="00331937" w:rsidRPr="00F6340E">
        <w:t xml:space="preserve"> </w:t>
      </w:r>
      <w:r w:rsidR="00A56E08">
        <w:t>и</w:t>
      </w:r>
      <w:r w:rsidR="00331937" w:rsidRPr="00F6340E">
        <w:t xml:space="preserve"> </w:t>
      </w:r>
      <w:r>
        <w:t>ср</w:t>
      </w:r>
      <w:r w:rsidR="00EE6AA2">
        <w:t>е</w:t>
      </w:r>
      <w:r w:rsidR="00A56E08">
        <w:t>дњих</w:t>
      </w:r>
      <w:r w:rsidR="00331937" w:rsidRPr="00F6340E">
        <w:t xml:space="preserve"> </w:t>
      </w:r>
      <w:r>
        <w:t>ш</w:t>
      </w:r>
      <w:r w:rsidR="00A56E08">
        <w:t>кола</w:t>
      </w:r>
      <w:r w:rsidR="00331937" w:rsidRPr="00F6340E">
        <w:t xml:space="preserve"> </w:t>
      </w:r>
      <w:r>
        <w:t>у</w:t>
      </w:r>
      <w:r w:rsidR="00331937" w:rsidRPr="00F6340E">
        <w:t xml:space="preserve"> </w:t>
      </w:r>
      <w:r w:rsidR="00A56E08">
        <w:t>Бо</w:t>
      </w:r>
      <w:r>
        <w:t>с</w:t>
      </w:r>
      <w:r w:rsidR="00A56E08">
        <w:t>ни</w:t>
      </w:r>
      <w:r w:rsidR="00331937" w:rsidRPr="00F6340E">
        <w:t xml:space="preserve"> </w:t>
      </w:r>
      <w:r w:rsidR="00A56E08">
        <w:t>и</w:t>
      </w:r>
      <w:r w:rsidR="00331937" w:rsidRPr="00F6340E">
        <w:t xml:space="preserve"> </w:t>
      </w:r>
      <w:r w:rsidR="00A56E08">
        <w:t>Х</w:t>
      </w:r>
      <w:r w:rsidR="00EE6AA2">
        <w:t>е</w:t>
      </w:r>
      <w:r>
        <w:t>р</w:t>
      </w:r>
      <w:r w:rsidR="00A56E08">
        <w:t>ц</w:t>
      </w:r>
      <w:r w:rsidR="00EE6AA2">
        <w:t>е</w:t>
      </w:r>
      <w:r w:rsidR="00A56E08">
        <w:t>го</w:t>
      </w:r>
      <w:r>
        <w:t>в</w:t>
      </w:r>
      <w:r w:rsidR="00A56E08">
        <w:t>ини</w:t>
      </w:r>
      <w:r w:rsidR="00331937" w:rsidRPr="00F6340E">
        <w:t xml:space="preserve"> </w:t>
      </w:r>
      <w:r w:rsidR="000F7D39" w:rsidRPr="00F6340E">
        <w:rPr>
          <w:rFonts w:eastAsiaTheme="minorHAnsi"/>
        </w:rPr>
        <w:t>(</w:t>
      </w:r>
      <w:r>
        <w:rPr>
          <w:rFonts w:eastAsiaTheme="minorHAnsi"/>
        </w:rPr>
        <w:t>У</w:t>
      </w:r>
      <w:r w:rsidR="00A56E08">
        <w:rPr>
          <w:rFonts w:eastAsiaTheme="minorHAnsi"/>
        </w:rPr>
        <w:t>НИЦ</w:t>
      </w:r>
      <w:r w:rsidR="00EE6AA2">
        <w:rPr>
          <w:rFonts w:eastAsiaTheme="minorHAnsi"/>
        </w:rPr>
        <w:t>Е</w:t>
      </w:r>
      <w:r w:rsidR="00A56E08">
        <w:rPr>
          <w:rFonts w:eastAsiaTheme="minorHAnsi"/>
        </w:rPr>
        <w:t>Ф</w:t>
      </w:r>
      <w:r w:rsidR="000F7D39" w:rsidRPr="00F6340E">
        <w:rPr>
          <w:rFonts w:eastAsiaTheme="minorHAnsi"/>
        </w:rPr>
        <w:t xml:space="preserve">, 2022), </w:t>
      </w:r>
      <w:r>
        <w:rPr>
          <w:rFonts w:eastAsia="Arial"/>
        </w:rPr>
        <w:lastRenderedPageBreak/>
        <w:t>пр</w:t>
      </w:r>
      <w:r w:rsidR="00A56E08">
        <w:rPr>
          <w:rFonts w:eastAsia="Arial"/>
        </w:rPr>
        <w:t>оцј</w:t>
      </w:r>
      <w:r w:rsidR="00EE6AA2">
        <w:rPr>
          <w:rFonts w:eastAsia="Arial"/>
        </w:rPr>
        <w:t>е</w:t>
      </w:r>
      <w:r w:rsidR="00A56E08">
        <w:rPr>
          <w:rFonts w:eastAsia="Arial"/>
        </w:rPr>
        <w:t>њ</w:t>
      </w:r>
      <w:r>
        <w:rPr>
          <w:rFonts w:eastAsia="Arial"/>
        </w:rPr>
        <w:t>у</w:t>
      </w:r>
      <w:r w:rsidR="00A56E08">
        <w:rPr>
          <w:rFonts w:eastAsia="Arial"/>
        </w:rPr>
        <w:t>ј</w:t>
      </w:r>
      <w:r w:rsidR="00EE6AA2">
        <w:rPr>
          <w:rFonts w:eastAsia="Arial"/>
        </w:rPr>
        <w:t>е</w:t>
      </w:r>
      <w:r w:rsidR="000F7D39" w:rsidRPr="00F6340E">
        <w:rPr>
          <w:rFonts w:eastAsia="Arial"/>
        </w:rPr>
        <w:t xml:space="preserve"> </w:t>
      </w:r>
      <w:r>
        <w:rPr>
          <w:rFonts w:eastAsia="Arial"/>
        </w:rPr>
        <w:t>с</w:t>
      </w:r>
      <w:r w:rsidR="00EE6AA2">
        <w:rPr>
          <w:rFonts w:eastAsia="Arial"/>
        </w:rPr>
        <w:t>е</w:t>
      </w:r>
      <w:r w:rsidR="000F7D39" w:rsidRPr="00F6340E">
        <w:rPr>
          <w:rFonts w:eastAsia="Arial"/>
        </w:rPr>
        <w:t xml:space="preserve"> </w:t>
      </w:r>
      <w:r w:rsidR="00A56E08">
        <w:rPr>
          <w:rFonts w:eastAsia="Arial"/>
        </w:rPr>
        <w:t>да</w:t>
      </w:r>
      <w:r w:rsidR="000F7D39" w:rsidRPr="00F6340E">
        <w:rPr>
          <w:rFonts w:eastAsia="Arial"/>
        </w:rPr>
        <w:t xml:space="preserve"> </w:t>
      </w:r>
      <w:r w:rsidR="00A56E08">
        <w:rPr>
          <w:rFonts w:eastAsia="Arial"/>
        </w:rPr>
        <w:t>ј</w:t>
      </w:r>
      <w:r w:rsidR="00EE6AA2">
        <w:rPr>
          <w:rFonts w:eastAsia="Arial"/>
        </w:rPr>
        <w:t>е</w:t>
      </w:r>
      <w:r w:rsidR="000F7D39" w:rsidRPr="00F6340E">
        <w:rPr>
          <w:rFonts w:eastAsia="Arial"/>
        </w:rPr>
        <w:t xml:space="preserve"> </w:t>
      </w:r>
      <w:r>
        <w:rPr>
          <w:rFonts w:eastAsia="Arial"/>
        </w:rPr>
        <w:t>ш</w:t>
      </w:r>
      <w:r w:rsidR="00A56E08">
        <w:rPr>
          <w:rFonts w:eastAsia="Arial"/>
        </w:rPr>
        <w:t>колама</w:t>
      </w:r>
      <w:r w:rsidR="000F7D39" w:rsidRPr="00F6340E">
        <w:rPr>
          <w:rFonts w:eastAsia="Arial"/>
        </w:rPr>
        <w:t xml:space="preserve"> </w:t>
      </w:r>
      <w:r>
        <w:rPr>
          <w:rFonts w:eastAsia="Arial"/>
        </w:rPr>
        <w:t>у</w:t>
      </w:r>
      <w:r w:rsidR="000F7D39" w:rsidRPr="00F6340E">
        <w:rPr>
          <w:rFonts w:eastAsia="Arial"/>
        </w:rPr>
        <w:t xml:space="preserve"> </w:t>
      </w:r>
      <w:r w:rsidR="00A56E08">
        <w:rPr>
          <w:rFonts w:eastAsia="Arial"/>
        </w:rPr>
        <w:t>БиХ</w:t>
      </w:r>
      <w:r w:rsidR="000F7D39" w:rsidRPr="00F6340E">
        <w:rPr>
          <w:rFonts w:eastAsia="Arial"/>
        </w:rPr>
        <w:t xml:space="preserve"> </w:t>
      </w:r>
      <w:r>
        <w:rPr>
          <w:rFonts w:eastAsia="Arial"/>
        </w:rPr>
        <w:t>п</w:t>
      </w:r>
      <w:r w:rsidR="00A56E08">
        <w:rPr>
          <w:rFonts w:eastAsia="Arial"/>
        </w:rPr>
        <w:t>о</w:t>
      </w:r>
      <w:r>
        <w:rPr>
          <w:rFonts w:eastAsia="Arial"/>
        </w:rPr>
        <w:t>тр</w:t>
      </w:r>
      <w:r w:rsidR="00EE6AA2">
        <w:rPr>
          <w:rFonts w:eastAsia="Arial"/>
        </w:rPr>
        <w:t>е</w:t>
      </w:r>
      <w:r w:rsidR="00A56E08">
        <w:rPr>
          <w:rFonts w:eastAsia="Arial"/>
        </w:rPr>
        <w:t>бно</w:t>
      </w:r>
      <w:r w:rsidR="000F7D39" w:rsidRPr="00F6340E">
        <w:rPr>
          <w:rFonts w:eastAsia="Arial"/>
        </w:rPr>
        <w:t xml:space="preserve"> </w:t>
      </w:r>
      <w:r>
        <w:rPr>
          <w:rFonts w:eastAsia="Arial"/>
        </w:rPr>
        <w:t>в</w:t>
      </w:r>
      <w:r w:rsidR="00A56E08">
        <w:rPr>
          <w:rFonts w:eastAsia="Arial"/>
        </w:rPr>
        <w:t>и</w:t>
      </w:r>
      <w:r>
        <w:rPr>
          <w:rFonts w:eastAsia="Arial"/>
        </w:rPr>
        <w:t>ш</w:t>
      </w:r>
      <w:r w:rsidR="00EE6AA2">
        <w:rPr>
          <w:rFonts w:eastAsia="Arial"/>
        </w:rPr>
        <w:t>е</w:t>
      </w:r>
      <w:r w:rsidR="000F7D39" w:rsidRPr="00F6340E">
        <w:rPr>
          <w:rFonts w:eastAsia="Arial"/>
        </w:rPr>
        <w:t xml:space="preserve"> </w:t>
      </w:r>
      <w:r w:rsidR="00A56E08">
        <w:rPr>
          <w:rFonts w:eastAsia="Arial"/>
        </w:rPr>
        <w:t>од</w:t>
      </w:r>
      <w:r w:rsidR="000F7D39" w:rsidRPr="00F6340E">
        <w:rPr>
          <w:rFonts w:eastAsia="Arial"/>
        </w:rPr>
        <w:t xml:space="preserve"> 340,000 </w:t>
      </w:r>
      <w:r>
        <w:rPr>
          <w:rFonts w:eastAsia="Arial"/>
        </w:rPr>
        <w:t>р</w:t>
      </w:r>
      <w:r w:rsidR="00A56E08">
        <w:rPr>
          <w:rFonts w:eastAsia="Arial"/>
        </w:rPr>
        <w:t>ач</w:t>
      </w:r>
      <w:r>
        <w:rPr>
          <w:rFonts w:eastAsia="Arial"/>
        </w:rPr>
        <w:t>у</w:t>
      </w:r>
      <w:r w:rsidR="00A56E08">
        <w:rPr>
          <w:rFonts w:eastAsia="Arial"/>
        </w:rPr>
        <w:t>на</w:t>
      </w:r>
      <w:r>
        <w:rPr>
          <w:rFonts w:eastAsia="Arial"/>
        </w:rPr>
        <w:t>р</w:t>
      </w:r>
      <w:r w:rsidR="00A56E08">
        <w:rPr>
          <w:rFonts w:eastAsia="Arial"/>
        </w:rPr>
        <w:t>а</w:t>
      </w:r>
      <w:r w:rsidR="000F7D39" w:rsidRPr="00F6340E">
        <w:rPr>
          <w:rFonts w:eastAsia="Arial"/>
        </w:rPr>
        <w:t xml:space="preserve">, </w:t>
      </w:r>
      <w:r w:rsidR="00171F00">
        <w:rPr>
          <w:rFonts w:eastAsia="Arial"/>
        </w:rPr>
        <w:t>з</w:t>
      </w:r>
      <w:r w:rsidR="00A56E08">
        <w:rPr>
          <w:rFonts w:eastAsia="Arial"/>
        </w:rPr>
        <w:t>а</w:t>
      </w:r>
      <w:r w:rsidR="000F7D39" w:rsidRPr="00F6340E">
        <w:rPr>
          <w:rFonts w:eastAsia="Arial"/>
        </w:rPr>
        <w:t xml:space="preserve"> </w:t>
      </w:r>
      <w:r w:rsidR="00A56E08">
        <w:rPr>
          <w:rFonts w:eastAsia="Arial"/>
        </w:rPr>
        <w:t>чиј</w:t>
      </w:r>
      <w:r>
        <w:rPr>
          <w:rFonts w:eastAsia="Arial"/>
        </w:rPr>
        <w:t>у</w:t>
      </w:r>
      <w:r w:rsidR="000F7D39" w:rsidRPr="00F6340E">
        <w:rPr>
          <w:rFonts w:eastAsia="Arial"/>
        </w:rPr>
        <w:t xml:space="preserve"> </w:t>
      </w:r>
      <w:r w:rsidR="00A56E08">
        <w:rPr>
          <w:rFonts w:eastAsia="Arial"/>
        </w:rPr>
        <w:t>наба</w:t>
      </w:r>
      <w:r>
        <w:rPr>
          <w:rFonts w:eastAsia="Arial"/>
        </w:rPr>
        <w:t>в</w:t>
      </w:r>
      <w:r w:rsidR="00A56E08">
        <w:rPr>
          <w:rFonts w:eastAsia="Arial"/>
        </w:rPr>
        <w:t>к</w:t>
      </w:r>
      <w:r>
        <w:rPr>
          <w:rFonts w:eastAsia="Arial"/>
        </w:rPr>
        <w:t>у</w:t>
      </w:r>
      <w:r w:rsidR="000F7D39" w:rsidRPr="00F6340E">
        <w:rPr>
          <w:rFonts w:eastAsia="Arial"/>
        </w:rPr>
        <w:t xml:space="preserve"> </w:t>
      </w:r>
      <w:r w:rsidR="00A56E08">
        <w:rPr>
          <w:rFonts w:eastAsia="Arial"/>
        </w:rPr>
        <w:t>ј</w:t>
      </w:r>
      <w:r w:rsidR="00EE6AA2">
        <w:rPr>
          <w:rFonts w:eastAsia="Arial"/>
        </w:rPr>
        <w:t>е</w:t>
      </w:r>
      <w:r w:rsidR="000F7D39" w:rsidRPr="00F6340E">
        <w:rPr>
          <w:rFonts w:eastAsia="Arial"/>
        </w:rPr>
        <w:t xml:space="preserve"> </w:t>
      </w:r>
      <w:r>
        <w:rPr>
          <w:rFonts w:eastAsia="Arial"/>
        </w:rPr>
        <w:t>п</w:t>
      </w:r>
      <w:r w:rsidR="00A56E08">
        <w:rPr>
          <w:rFonts w:eastAsia="Arial"/>
        </w:rPr>
        <w:t>о</w:t>
      </w:r>
      <w:r>
        <w:rPr>
          <w:rFonts w:eastAsia="Arial"/>
        </w:rPr>
        <w:t>тр</w:t>
      </w:r>
      <w:r w:rsidR="00EE6AA2">
        <w:rPr>
          <w:rFonts w:eastAsia="Arial"/>
        </w:rPr>
        <w:t>е</w:t>
      </w:r>
      <w:r w:rsidR="00A56E08">
        <w:rPr>
          <w:rFonts w:eastAsia="Arial"/>
        </w:rPr>
        <w:t>бно</w:t>
      </w:r>
      <w:r w:rsidR="000F7D39" w:rsidRPr="00F6340E">
        <w:rPr>
          <w:rFonts w:eastAsia="Arial"/>
        </w:rPr>
        <w:t xml:space="preserve"> </w:t>
      </w:r>
      <w:r>
        <w:rPr>
          <w:rFonts w:eastAsia="Arial"/>
        </w:rPr>
        <w:t>в</w:t>
      </w:r>
      <w:r w:rsidR="00A56E08">
        <w:rPr>
          <w:rFonts w:eastAsia="Arial"/>
        </w:rPr>
        <w:t>и</w:t>
      </w:r>
      <w:r>
        <w:rPr>
          <w:rFonts w:eastAsia="Arial"/>
        </w:rPr>
        <w:t>ш</w:t>
      </w:r>
      <w:r w:rsidR="00EE6AA2">
        <w:rPr>
          <w:rFonts w:eastAsia="Arial"/>
        </w:rPr>
        <w:t>е</w:t>
      </w:r>
      <w:r w:rsidR="000F7D39" w:rsidRPr="00F6340E">
        <w:rPr>
          <w:rFonts w:eastAsia="Arial"/>
        </w:rPr>
        <w:t xml:space="preserve"> </w:t>
      </w:r>
      <w:r>
        <w:rPr>
          <w:rFonts w:eastAsia="Arial"/>
        </w:rPr>
        <w:t>ст</w:t>
      </w:r>
      <w:r w:rsidR="00A56E08">
        <w:rPr>
          <w:rFonts w:eastAsia="Arial"/>
        </w:rPr>
        <w:t>о</w:t>
      </w:r>
      <w:r>
        <w:rPr>
          <w:rFonts w:eastAsia="Arial"/>
        </w:rPr>
        <w:t>т</w:t>
      </w:r>
      <w:r w:rsidR="00A56E08">
        <w:rPr>
          <w:rFonts w:eastAsia="Arial"/>
        </w:rPr>
        <w:t>ина</w:t>
      </w:r>
      <w:r w:rsidR="000F7D39" w:rsidRPr="00F6340E">
        <w:rPr>
          <w:rFonts w:eastAsia="Arial"/>
        </w:rPr>
        <w:t xml:space="preserve"> </w:t>
      </w:r>
      <w:r w:rsidR="00A56E08">
        <w:rPr>
          <w:rFonts w:eastAsia="Arial"/>
        </w:rPr>
        <w:t>милиона</w:t>
      </w:r>
      <w:r w:rsidR="000F7D39" w:rsidRPr="00F6340E">
        <w:rPr>
          <w:rFonts w:eastAsia="Arial"/>
        </w:rPr>
        <w:t xml:space="preserve"> </w:t>
      </w:r>
      <w:r w:rsidR="00A56E08">
        <w:rPr>
          <w:rFonts w:eastAsia="Arial"/>
        </w:rPr>
        <w:t>кон</w:t>
      </w:r>
      <w:r>
        <w:rPr>
          <w:rFonts w:eastAsia="Arial"/>
        </w:rPr>
        <w:t>в</w:t>
      </w:r>
      <w:r w:rsidR="00EE6AA2">
        <w:rPr>
          <w:rFonts w:eastAsia="Arial"/>
        </w:rPr>
        <w:t>е</w:t>
      </w:r>
      <w:r>
        <w:rPr>
          <w:rFonts w:eastAsia="Arial"/>
        </w:rPr>
        <w:t>рт</w:t>
      </w:r>
      <w:r w:rsidR="00A56E08">
        <w:rPr>
          <w:rFonts w:eastAsia="Arial"/>
        </w:rPr>
        <w:t>ибилних</w:t>
      </w:r>
      <w:r w:rsidR="000F7D39" w:rsidRPr="00F6340E">
        <w:rPr>
          <w:rFonts w:eastAsia="Arial"/>
        </w:rPr>
        <w:t xml:space="preserve"> </w:t>
      </w:r>
      <w:r w:rsidR="00A56E08">
        <w:rPr>
          <w:rFonts w:eastAsia="Arial"/>
        </w:rPr>
        <w:t>ма</w:t>
      </w:r>
      <w:r>
        <w:rPr>
          <w:rFonts w:eastAsia="Arial"/>
        </w:rPr>
        <w:t>р</w:t>
      </w:r>
      <w:r w:rsidR="00A56E08">
        <w:rPr>
          <w:rFonts w:eastAsia="Arial"/>
        </w:rPr>
        <w:t>ака</w:t>
      </w:r>
      <w:r w:rsidR="000F7D39" w:rsidRPr="00F6340E">
        <w:rPr>
          <w:rFonts w:eastAsia="Arial"/>
        </w:rPr>
        <w:t xml:space="preserve">. </w:t>
      </w:r>
      <w:r w:rsidR="00A56E08">
        <w:rPr>
          <w:rFonts w:eastAsia="Arial"/>
        </w:rPr>
        <w:t>И</w:t>
      </w:r>
      <w:r>
        <w:rPr>
          <w:rFonts w:eastAsia="Arial"/>
        </w:rPr>
        <w:t>ст</w:t>
      </w:r>
      <w:r w:rsidR="00A56E08">
        <w:rPr>
          <w:rFonts w:eastAsia="Arial"/>
        </w:rPr>
        <w:t>о</w:t>
      </w:r>
      <w:r>
        <w:rPr>
          <w:rFonts w:eastAsia="Arial"/>
        </w:rPr>
        <w:t>вр</w:t>
      </w:r>
      <w:r w:rsidR="00EE6AA2">
        <w:rPr>
          <w:rFonts w:eastAsia="Arial"/>
        </w:rPr>
        <w:t>е</w:t>
      </w:r>
      <w:r w:rsidR="00A56E08">
        <w:rPr>
          <w:rFonts w:eastAsia="Arial"/>
        </w:rPr>
        <w:t>м</w:t>
      </w:r>
      <w:r w:rsidR="00EE6AA2">
        <w:rPr>
          <w:rFonts w:eastAsia="Arial"/>
        </w:rPr>
        <w:t>е</w:t>
      </w:r>
      <w:r w:rsidR="00A56E08">
        <w:rPr>
          <w:rFonts w:eastAsia="Arial"/>
        </w:rPr>
        <w:t>но</w:t>
      </w:r>
      <w:r w:rsidR="000F7D39" w:rsidRPr="00F6340E">
        <w:rPr>
          <w:rFonts w:eastAsia="Arial"/>
        </w:rPr>
        <w:t xml:space="preserve">, </w:t>
      </w:r>
      <w:r>
        <w:rPr>
          <w:rFonts w:eastAsia="Arial"/>
        </w:rPr>
        <w:t>т</w:t>
      </w:r>
      <w:r w:rsidR="00A56E08">
        <w:rPr>
          <w:rFonts w:eastAsia="Arial"/>
        </w:rPr>
        <w:t>о</w:t>
      </w:r>
      <w:r w:rsidR="000F7D39" w:rsidRPr="00F6340E">
        <w:rPr>
          <w:rFonts w:eastAsia="Arial"/>
        </w:rPr>
        <w:t xml:space="preserve"> </w:t>
      </w:r>
      <w:r w:rsidR="00A56E08">
        <w:rPr>
          <w:rFonts w:eastAsia="Arial"/>
        </w:rPr>
        <w:t>ј</w:t>
      </w:r>
      <w:r w:rsidR="00EE6AA2">
        <w:rPr>
          <w:rFonts w:eastAsia="Arial"/>
        </w:rPr>
        <w:t>е</w:t>
      </w:r>
      <w:r w:rsidR="000F7D39" w:rsidRPr="00F6340E">
        <w:rPr>
          <w:rFonts w:eastAsia="Arial"/>
        </w:rPr>
        <w:t xml:space="preserve"> </w:t>
      </w:r>
      <w:r>
        <w:rPr>
          <w:rFonts w:eastAsia="Arial"/>
        </w:rPr>
        <w:t>пр</w:t>
      </w:r>
      <w:r w:rsidR="00EE6AA2">
        <w:rPr>
          <w:rFonts w:eastAsia="Arial"/>
        </w:rPr>
        <w:t>е</w:t>
      </w:r>
      <w:r>
        <w:rPr>
          <w:rFonts w:eastAsia="Arial"/>
        </w:rPr>
        <w:t>тп</w:t>
      </w:r>
      <w:r w:rsidR="00A56E08">
        <w:rPr>
          <w:rFonts w:eastAsia="Arial"/>
        </w:rPr>
        <w:t>о</w:t>
      </w:r>
      <w:r>
        <w:rPr>
          <w:rFonts w:eastAsia="Arial"/>
        </w:rPr>
        <w:t>ст</w:t>
      </w:r>
      <w:r w:rsidR="00A56E08">
        <w:rPr>
          <w:rFonts w:eastAsia="Arial"/>
        </w:rPr>
        <w:t>а</w:t>
      </w:r>
      <w:r>
        <w:rPr>
          <w:rFonts w:eastAsia="Arial"/>
        </w:rPr>
        <w:t>в</w:t>
      </w:r>
      <w:r w:rsidR="00A56E08">
        <w:rPr>
          <w:rFonts w:eastAsia="Arial"/>
        </w:rPr>
        <w:t>ка</w:t>
      </w:r>
      <w:r w:rsidR="005134A6" w:rsidRPr="00F6340E">
        <w:rPr>
          <w:rFonts w:eastAsia="Arial"/>
        </w:rPr>
        <w:t xml:space="preserve"> </w:t>
      </w:r>
      <w:r w:rsidR="00171F00">
        <w:rPr>
          <w:rFonts w:eastAsia="Arial"/>
        </w:rPr>
        <w:t>з</w:t>
      </w:r>
      <w:r w:rsidR="00A56E08">
        <w:rPr>
          <w:rFonts w:eastAsia="Arial"/>
        </w:rPr>
        <w:t>а</w:t>
      </w:r>
      <w:r w:rsidR="005134A6" w:rsidRPr="00F6340E">
        <w:rPr>
          <w:rFonts w:eastAsia="Arial"/>
        </w:rPr>
        <w:t xml:space="preserve"> </w:t>
      </w:r>
      <w:r w:rsidR="00A56E08">
        <w:rPr>
          <w:rFonts w:eastAsia="Arial"/>
        </w:rPr>
        <w:t>им</w:t>
      </w:r>
      <w:r>
        <w:rPr>
          <w:rFonts w:eastAsia="Arial"/>
        </w:rPr>
        <w:t>п</w:t>
      </w:r>
      <w:r w:rsidR="00A56E08">
        <w:rPr>
          <w:rFonts w:eastAsia="Arial"/>
        </w:rPr>
        <w:t>л</w:t>
      </w:r>
      <w:r w:rsidR="00EE6AA2">
        <w:rPr>
          <w:rFonts w:eastAsia="Arial"/>
        </w:rPr>
        <w:t>е</w:t>
      </w:r>
      <w:r w:rsidR="00A56E08">
        <w:rPr>
          <w:rFonts w:eastAsia="Arial"/>
        </w:rPr>
        <w:t>м</w:t>
      </w:r>
      <w:r w:rsidR="00EE6AA2">
        <w:rPr>
          <w:rFonts w:eastAsia="Arial"/>
        </w:rPr>
        <w:t>е</w:t>
      </w:r>
      <w:r w:rsidR="00A56E08">
        <w:rPr>
          <w:rFonts w:eastAsia="Arial"/>
        </w:rPr>
        <w:t>н</w:t>
      </w:r>
      <w:r>
        <w:rPr>
          <w:rFonts w:eastAsia="Arial"/>
        </w:rPr>
        <w:t>т</w:t>
      </w:r>
      <w:r w:rsidR="00A56E08">
        <w:rPr>
          <w:rFonts w:eastAsia="Arial"/>
        </w:rPr>
        <w:t>ациј</w:t>
      </w:r>
      <w:r>
        <w:rPr>
          <w:rFonts w:eastAsia="Arial"/>
        </w:rPr>
        <w:t>у</w:t>
      </w:r>
      <w:r w:rsidR="005134A6" w:rsidRPr="00F6340E">
        <w:rPr>
          <w:rFonts w:eastAsia="Arial"/>
        </w:rPr>
        <w:t xml:space="preserve"> (</w:t>
      </w:r>
      <w:r w:rsidR="00A56E08">
        <w:rPr>
          <w:rFonts w:eastAsia="Arial"/>
        </w:rPr>
        <w:t>к</w:t>
      </w:r>
      <w:r>
        <w:rPr>
          <w:rFonts w:eastAsia="Arial"/>
        </w:rPr>
        <w:t>в</w:t>
      </w:r>
      <w:r w:rsidR="00A56E08">
        <w:rPr>
          <w:rFonts w:eastAsia="Arial"/>
        </w:rPr>
        <w:t>али</w:t>
      </w:r>
      <w:r>
        <w:rPr>
          <w:rFonts w:eastAsia="Arial"/>
        </w:rPr>
        <w:t>т</w:t>
      </w:r>
      <w:r w:rsidR="00EE6AA2">
        <w:rPr>
          <w:rFonts w:eastAsia="Arial"/>
        </w:rPr>
        <w:t>е</w:t>
      </w:r>
      <w:r>
        <w:rPr>
          <w:rFonts w:eastAsia="Arial"/>
        </w:rPr>
        <w:t>т</w:t>
      </w:r>
      <w:r w:rsidR="00A56E08">
        <w:rPr>
          <w:rFonts w:eastAsia="Arial"/>
        </w:rPr>
        <w:t>н</w:t>
      </w:r>
      <w:r w:rsidR="00EE6AA2">
        <w:rPr>
          <w:rFonts w:eastAsia="Arial"/>
        </w:rPr>
        <w:t>е</w:t>
      </w:r>
      <w:r w:rsidR="000F7D39" w:rsidRPr="00F6340E">
        <w:rPr>
          <w:rFonts w:eastAsia="Arial"/>
        </w:rPr>
        <w:t xml:space="preserve"> </w:t>
      </w:r>
      <w:r w:rsidR="00A56E08">
        <w:rPr>
          <w:rFonts w:eastAsia="Arial"/>
        </w:rPr>
        <w:t>инкл</w:t>
      </w:r>
      <w:r>
        <w:rPr>
          <w:rFonts w:eastAsia="Arial"/>
        </w:rPr>
        <w:t>у</w:t>
      </w:r>
      <w:r w:rsidR="00171F00">
        <w:rPr>
          <w:rFonts w:eastAsia="Arial"/>
        </w:rPr>
        <w:t>з</w:t>
      </w:r>
      <w:r w:rsidR="00A56E08">
        <w:rPr>
          <w:rFonts w:eastAsia="Arial"/>
        </w:rPr>
        <w:t>и</w:t>
      </w:r>
      <w:r>
        <w:rPr>
          <w:rFonts w:eastAsia="Arial"/>
        </w:rPr>
        <w:t>в</w:t>
      </w:r>
      <w:r w:rsidR="00A56E08">
        <w:rPr>
          <w:rFonts w:eastAsia="Arial"/>
        </w:rPr>
        <w:t>н</w:t>
      </w:r>
      <w:r w:rsidR="00EE6AA2">
        <w:rPr>
          <w:rFonts w:eastAsia="Arial"/>
        </w:rPr>
        <w:t>е</w:t>
      </w:r>
      <w:r w:rsidR="000F7D39" w:rsidRPr="00F6340E">
        <w:rPr>
          <w:rFonts w:eastAsia="Arial"/>
        </w:rPr>
        <w:t xml:space="preserve">) </w:t>
      </w:r>
      <w:r w:rsidR="00A56E08">
        <w:rPr>
          <w:rFonts w:eastAsia="Arial"/>
        </w:rPr>
        <w:t>на</w:t>
      </w:r>
      <w:r>
        <w:rPr>
          <w:rFonts w:eastAsia="Arial"/>
        </w:rPr>
        <w:t>ст</w:t>
      </w:r>
      <w:r w:rsidR="00A56E08">
        <w:rPr>
          <w:rFonts w:eastAsia="Arial"/>
        </w:rPr>
        <w:t>а</w:t>
      </w:r>
      <w:r>
        <w:rPr>
          <w:rFonts w:eastAsia="Arial"/>
        </w:rPr>
        <w:t>в</w:t>
      </w:r>
      <w:r w:rsidR="00EE6AA2">
        <w:rPr>
          <w:rFonts w:eastAsia="Arial"/>
        </w:rPr>
        <w:t>е</w:t>
      </w:r>
      <w:r w:rsidR="007E2AE7" w:rsidRPr="00F6340E">
        <w:rPr>
          <w:rFonts w:eastAsia="Arial"/>
        </w:rPr>
        <w:t xml:space="preserve"> </w:t>
      </w:r>
      <w:r>
        <w:rPr>
          <w:rFonts w:eastAsia="Arial"/>
        </w:rPr>
        <w:t>пут</w:t>
      </w:r>
      <w:r w:rsidR="00EE6AA2">
        <w:rPr>
          <w:rFonts w:eastAsia="Arial"/>
        </w:rPr>
        <w:t>е</w:t>
      </w:r>
      <w:r w:rsidR="00A56E08">
        <w:rPr>
          <w:rFonts w:eastAsia="Arial"/>
        </w:rPr>
        <w:t>м</w:t>
      </w:r>
      <w:r w:rsidR="007E2AE7" w:rsidRPr="00F6340E">
        <w:rPr>
          <w:rFonts w:eastAsia="Arial"/>
        </w:rPr>
        <w:t xml:space="preserve"> </w:t>
      </w:r>
      <w:r w:rsidR="00A56E08">
        <w:rPr>
          <w:rFonts w:eastAsia="Arial"/>
        </w:rPr>
        <w:t>ин</w:t>
      </w:r>
      <w:r>
        <w:rPr>
          <w:rFonts w:eastAsia="Arial"/>
        </w:rPr>
        <w:t>т</w:t>
      </w:r>
      <w:r w:rsidR="00EE6AA2">
        <w:rPr>
          <w:rFonts w:eastAsia="Arial"/>
        </w:rPr>
        <w:t>е</w:t>
      </w:r>
      <w:r>
        <w:rPr>
          <w:rFonts w:eastAsia="Arial"/>
        </w:rPr>
        <w:t>р</w:t>
      </w:r>
      <w:r w:rsidR="00A56E08">
        <w:rPr>
          <w:rFonts w:eastAsia="Arial"/>
        </w:rPr>
        <w:t>н</w:t>
      </w:r>
      <w:r w:rsidR="00EE6AA2">
        <w:rPr>
          <w:rFonts w:eastAsia="Arial"/>
        </w:rPr>
        <w:t>е</w:t>
      </w:r>
      <w:r>
        <w:rPr>
          <w:rFonts w:eastAsia="Arial"/>
        </w:rPr>
        <w:t>т</w:t>
      </w:r>
      <w:r w:rsidR="00A56E08">
        <w:rPr>
          <w:rFonts w:eastAsia="Arial"/>
        </w:rPr>
        <w:t>а</w:t>
      </w:r>
      <w:r w:rsidR="007E2AE7" w:rsidRPr="00F6340E">
        <w:rPr>
          <w:rFonts w:eastAsia="Arial"/>
        </w:rPr>
        <w:t xml:space="preserve"> </w:t>
      </w:r>
      <w:r w:rsidR="00A56E08">
        <w:rPr>
          <w:rFonts w:eastAsia="Arial"/>
        </w:rPr>
        <w:t>и</w:t>
      </w:r>
      <w:r w:rsidR="005134A6" w:rsidRPr="00F6340E">
        <w:rPr>
          <w:rFonts w:eastAsia="Arial"/>
        </w:rPr>
        <w:t xml:space="preserve"> </w:t>
      </w:r>
      <w:r w:rsidR="00A56E08">
        <w:rPr>
          <w:rFonts w:eastAsia="Arial"/>
        </w:rPr>
        <w:t>комбино</w:t>
      </w:r>
      <w:r>
        <w:rPr>
          <w:rFonts w:eastAsia="Arial"/>
        </w:rPr>
        <w:t>в</w:t>
      </w:r>
      <w:r w:rsidR="00A56E08">
        <w:rPr>
          <w:rFonts w:eastAsia="Arial"/>
        </w:rPr>
        <w:t>ан</w:t>
      </w:r>
      <w:r w:rsidR="00EE6AA2">
        <w:rPr>
          <w:rFonts w:eastAsia="Arial"/>
        </w:rPr>
        <w:t>е</w:t>
      </w:r>
      <w:r w:rsidR="000F7D39" w:rsidRPr="00F6340E">
        <w:rPr>
          <w:rFonts w:eastAsia="Arial"/>
        </w:rPr>
        <w:t xml:space="preserve"> </w:t>
      </w:r>
      <w:r w:rsidR="00A56E08">
        <w:rPr>
          <w:rFonts w:eastAsia="Arial"/>
        </w:rPr>
        <w:t>на</w:t>
      </w:r>
      <w:r>
        <w:rPr>
          <w:rFonts w:eastAsia="Arial"/>
        </w:rPr>
        <w:t>ст</w:t>
      </w:r>
      <w:r w:rsidR="00A56E08">
        <w:rPr>
          <w:rFonts w:eastAsia="Arial"/>
        </w:rPr>
        <w:t>а</w:t>
      </w:r>
      <w:r>
        <w:rPr>
          <w:rFonts w:eastAsia="Arial"/>
        </w:rPr>
        <w:t>в</w:t>
      </w:r>
      <w:r w:rsidR="00EE6AA2">
        <w:rPr>
          <w:rFonts w:eastAsia="Arial"/>
        </w:rPr>
        <w:t>е</w:t>
      </w:r>
      <w:r w:rsidR="000F7D39" w:rsidRPr="00F6340E">
        <w:rPr>
          <w:rFonts w:eastAsia="Arial"/>
        </w:rPr>
        <w:t xml:space="preserve">. </w:t>
      </w:r>
    </w:p>
    <w:p w14:paraId="19FA2C51" w14:textId="313113C1" w:rsidR="004A1F9E" w:rsidRPr="00F6340E" w:rsidRDefault="00A56E08" w:rsidP="00735975">
      <w:pPr>
        <w:pStyle w:val="Heading3"/>
        <w:numPr>
          <w:ilvl w:val="2"/>
          <w:numId w:val="70"/>
        </w:numPr>
        <w:rPr>
          <w:lang w:val="sr-Cyrl-BA"/>
        </w:rPr>
      </w:pPr>
      <w:bookmarkStart w:id="28" w:name="_Toc119050310"/>
      <w:r>
        <w:rPr>
          <w:lang w:val="sr-Cyrl-BA"/>
        </w:rPr>
        <w:t>М</w:t>
      </w:r>
      <w:r w:rsidR="0071360A">
        <w:rPr>
          <w:lang w:val="sr-Cyrl-BA"/>
        </w:rPr>
        <w:t>р</w:t>
      </w:r>
      <w:r w:rsidR="00EE6AA2">
        <w:rPr>
          <w:lang w:val="sr-Cyrl-BA"/>
        </w:rPr>
        <w:t>е</w:t>
      </w:r>
      <w:r w:rsidR="00171F00">
        <w:rPr>
          <w:lang w:val="sr-Cyrl-BA"/>
        </w:rPr>
        <w:t>ж</w:t>
      </w:r>
      <w:r>
        <w:rPr>
          <w:lang w:val="sr-Cyrl-BA"/>
        </w:rPr>
        <w:t>на</w:t>
      </w:r>
      <w:r w:rsidR="004A1F9E" w:rsidRPr="00F6340E">
        <w:rPr>
          <w:lang w:val="sr-Cyrl-BA"/>
        </w:rPr>
        <w:t xml:space="preserve"> </w:t>
      </w:r>
      <w:r>
        <w:rPr>
          <w:lang w:val="sr-Cyrl-BA"/>
        </w:rPr>
        <w:t>инф</w:t>
      </w:r>
      <w:r w:rsidR="0071360A">
        <w:rPr>
          <w:lang w:val="sr-Cyrl-BA"/>
        </w:rPr>
        <w:t>р</w:t>
      </w:r>
      <w:r>
        <w:rPr>
          <w:lang w:val="sr-Cyrl-BA"/>
        </w:rPr>
        <w:t>а</w:t>
      </w:r>
      <w:r w:rsidR="0071360A">
        <w:rPr>
          <w:lang w:val="sr-Cyrl-BA"/>
        </w:rPr>
        <w:t>стру</w:t>
      </w:r>
      <w:r>
        <w:rPr>
          <w:lang w:val="sr-Cyrl-BA"/>
        </w:rPr>
        <w:t>к</w:t>
      </w:r>
      <w:r w:rsidR="0071360A">
        <w:rPr>
          <w:lang w:val="sr-Cyrl-BA"/>
        </w:rPr>
        <w:t>тур</w:t>
      </w:r>
      <w:r>
        <w:rPr>
          <w:lang w:val="sr-Cyrl-BA"/>
        </w:rPr>
        <w:t>а</w:t>
      </w:r>
      <w:bookmarkEnd w:id="28"/>
      <w:r w:rsidR="004A1F9E" w:rsidRPr="00F6340E">
        <w:rPr>
          <w:lang w:val="sr-Cyrl-BA"/>
        </w:rPr>
        <w:t xml:space="preserve"> </w:t>
      </w:r>
    </w:p>
    <w:p w14:paraId="16458F88" w14:textId="77A472FF" w:rsidR="00780E20" w:rsidRPr="00F6340E" w:rsidRDefault="00A56E08" w:rsidP="00FA4DC9">
      <w:pPr>
        <w:pStyle w:val="Body"/>
      </w:pPr>
      <w:r>
        <w:t>М</w:t>
      </w:r>
      <w:r w:rsidR="0071360A">
        <w:t>р</w:t>
      </w:r>
      <w:r w:rsidR="00EE6AA2">
        <w:t>е</w:t>
      </w:r>
      <w:r w:rsidR="00171F00">
        <w:t>ж</w:t>
      </w:r>
      <w:r>
        <w:t>на</w:t>
      </w:r>
      <w:r w:rsidR="000E6308" w:rsidRPr="00F6340E">
        <w:t xml:space="preserve"> </w:t>
      </w:r>
      <w:r>
        <w:t>инф</w:t>
      </w:r>
      <w:r w:rsidR="0071360A">
        <w:t>р</w:t>
      </w:r>
      <w:r>
        <w:t>а</w:t>
      </w:r>
      <w:r w:rsidR="0071360A">
        <w:t>стру</w:t>
      </w:r>
      <w:r>
        <w:t>к</w:t>
      </w:r>
      <w:r w:rsidR="0071360A">
        <w:t>тур</w:t>
      </w:r>
      <w:r>
        <w:t>а</w:t>
      </w:r>
      <w:r w:rsidR="000E6308" w:rsidRPr="00F6340E">
        <w:t xml:space="preserve"> </w:t>
      </w:r>
      <w:r>
        <w:t>или</w:t>
      </w:r>
      <w:r w:rsidR="004A1F9E" w:rsidRPr="00F6340E">
        <w:t xml:space="preserve"> </w:t>
      </w:r>
      <w:r>
        <w:t>локална</w:t>
      </w:r>
      <w:r w:rsidR="000E6308" w:rsidRPr="00F6340E">
        <w:t xml:space="preserve"> </w:t>
      </w:r>
      <w:r>
        <w:t>м</w:t>
      </w:r>
      <w:r w:rsidR="0071360A">
        <w:t>р</w:t>
      </w:r>
      <w:r w:rsidR="00EE6AA2">
        <w:t>е</w:t>
      </w:r>
      <w:r w:rsidR="00171F00">
        <w:t>ж</w:t>
      </w:r>
      <w:r>
        <w:t>а</w:t>
      </w:r>
      <w:r w:rsidR="000E6308" w:rsidRPr="00F6340E">
        <w:t xml:space="preserve"> (</w:t>
      </w:r>
      <w:r w:rsidR="00171F00">
        <w:t>ж</w:t>
      </w:r>
      <w:r>
        <w:t>ична</w:t>
      </w:r>
      <w:r w:rsidR="000E6308" w:rsidRPr="00F6340E">
        <w:t xml:space="preserve"> </w:t>
      </w:r>
      <w:r>
        <w:t>и</w:t>
      </w:r>
      <w:r w:rsidR="000E6308" w:rsidRPr="00F6340E">
        <w:t>/</w:t>
      </w:r>
      <w:r>
        <w:t>или</w:t>
      </w:r>
      <w:r w:rsidR="000E6308" w:rsidRPr="00F6340E">
        <w:t xml:space="preserve"> </w:t>
      </w:r>
      <w:r>
        <w:t>б</w:t>
      </w:r>
      <w:r w:rsidR="00EE6AA2">
        <w:t>е</w:t>
      </w:r>
      <w:r w:rsidR="00171F00">
        <w:t>ж</w:t>
      </w:r>
      <w:r>
        <w:t>ична</w:t>
      </w:r>
      <w:r w:rsidR="000E6308" w:rsidRPr="00F6340E">
        <w:t xml:space="preserve">) </w:t>
      </w:r>
      <w:r w:rsidR="0071360A">
        <w:t>с</w:t>
      </w:r>
      <w:r>
        <w:t>а</w:t>
      </w:r>
      <w:r w:rsidR="000E6308" w:rsidRPr="00F6340E">
        <w:t xml:space="preserve"> </w:t>
      </w:r>
      <w:r w:rsidR="0071360A">
        <w:t>св</w:t>
      </w:r>
      <w:r>
        <w:t>ом</w:t>
      </w:r>
      <w:r w:rsidR="000E6308" w:rsidRPr="00F6340E">
        <w:t xml:space="preserve"> </w:t>
      </w:r>
      <w:r w:rsidR="0071360A">
        <w:t>пр</w:t>
      </w:r>
      <w:r>
        <w:t>а</w:t>
      </w:r>
      <w:r w:rsidR="0071360A">
        <w:t>т</w:t>
      </w:r>
      <w:r w:rsidR="00EE6AA2">
        <w:t>е</w:t>
      </w:r>
      <w:r>
        <w:t>ћом</w:t>
      </w:r>
      <w:r w:rsidR="000E6308" w:rsidRPr="00F6340E">
        <w:t xml:space="preserve"> </w:t>
      </w:r>
      <w:r>
        <w:t>ак</w:t>
      </w:r>
      <w:r w:rsidR="0071360A">
        <w:t>т</w:t>
      </w:r>
      <w:r>
        <w:t>и</w:t>
      </w:r>
      <w:r w:rsidR="0071360A">
        <w:t>в</w:t>
      </w:r>
      <w:r>
        <w:t>ном</w:t>
      </w:r>
      <w:r w:rsidR="000E6308" w:rsidRPr="00F6340E">
        <w:t xml:space="preserve"> </w:t>
      </w:r>
      <w:r>
        <w:t>о</w:t>
      </w:r>
      <w:r w:rsidR="0071360A">
        <w:t>пр</w:t>
      </w:r>
      <w:r w:rsidR="00EE6AA2">
        <w:t>е</w:t>
      </w:r>
      <w:r>
        <w:t>мом</w:t>
      </w:r>
      <w:r w:rsidR="000E6308" w:rsidRPr="00F6340E">
        <w:t xml:space="preserve"> </w:t>
      </w:r>
      <w:r w:rsidR="0071360A">
        <w:t>пр</w:t>
      </w:r>
      <w:r w:rsidR="00EE6AA2">
        <w:t>е</w:t>
      </w:r>
      <w:r>
        <w:t>д</w:t>
      </w:r>
      <w:r w:rsidR="0071360A">
        <w:t>ст</w:t>
      </w:r>
      <w:r>
        <w:t>а</w:t>
      </w:r>
      <w:r w:rsidR="0071360A">
        <w:t>в</w:t>
      </w:r>
      <w:r>
        <w:t>ља</w:t>
      </w:r>
      <w:r w:rsidR="000E6308" w:rsidRPr="00F6340E">
        <w:t xml:space="preserve"> </w:t>
      </w:r>
      <w:r>
        <w:t>ј</w:t>
      </w:r>
      <w:r w:rsidR="00EE6AA2">
        <w:t>е</w:t>
      </w:r>
      <w:r>
        <w:t>дан</w:t>
      </w:r>
      <w:r w:rsidR="000E6308" w:rsidRPr="00F6340E">
        <w:t xml:space="preserve"> </w:t>
      </w:r>
      <w:r>
        <w:t>од</w:t>
      </w:r>
      <w:r w:rsidR="000E6308" w:rsidRPr="00F6340E">
        <w:t xml:space="preserve"> </w:t>
      </w:r>
      <w:r>
        <w:t>о</w:t>
      </w:r>
      <w:r w:rsidR="0071360A">
        <w:t>с</w:t>
      </w:r>
      <w:r>
        <w:t>но</w:t>
      </w:r>
      <w:r w:rsidR="0071360A">
        <w:t>в</w:t>
      </w:r>
      <w:r>
        <w:t>них</w:t>
      </w:r>
      <w:r w:rsidR="000E6308" w:rsidRPr="00F6340E">
        <w:t xml:space="preserve"> </w:t>
      </w:r>
      <w:r w:rsidR="0071360A">
        <w:t>с</w:t>
      </w:r>
      <w:r w:rsidR="00EE6AA2">
        <w:t>е</w:t>
      </w:r>
      <w:r>
        <w:t>гм</w:t>
      </w:r>
      <w:r w:rsidR="00EE6AA2">
        <w:t>е</w:t>
      </w:r>
      <w:r>
        <w:t>на</w:t>
      </w:r>
      <w:r w:rsidR="0071360A">
        <w:t>т</w:t>
      </w:r>
      <w:r>
        <w:t>а</w:t>
      </w:r>
      <w:r w:rsidR="000E6308" w:rsidRPr="00F6340E">
        <w:t xml:space="preserve"> </w:t>
      </w:r>
      <w:r>
        <w:t>инф</w:t>
      </w:r>
      <w:r w:rsidR="0071360A">
        <w:t>р</w:t>
      </w:r>
      <w:r>
        <w:t>а</w:t>
      </w:r>
      <w:r w:rsidR="0071360A">
        <w:t>стру</w:t>
      </w:r>
      <w:r>
        <w:t>к</w:t>
      </w:r>
      <w:r w:rsidR="0071360A">
        <w:t>тур</w:t>
      </w:r>
      <w:r w:rsidR="00EE6AA2">
        <w:t>е</w:t>
      </w:r>
      <w:r w:rsidR="007E2AE7" w:rsidRPr="00F6340E">
        <w:t xml:space="preserve"> </w:t>
      </w:r>
      <w:r w:rsidR="00171F00">
        <w:t>з</w:t>
      </w:r>
      <w:r>
        <w:t>а</w:t>
      </w:r>
      <w:r w:rsidR="007E2AE7" w:rsidRPr="00F6340E">
        <w:t xml:space="preserve"> </w:t>
      </w:r>
      <w:r>
        <w:t>ИК</w:t>
      </w:r>
      <w:r w:rsidR="0071360A">
        <w:t>Т</w:t>
      </w:r>
      <w:r w:rsidR="000E6308" w:rsidRPr="00F6340E">
        <w:t xml:space="preserve"> </w:t>
      </w:r>
      <w:r w:rsidR="0071360A">
        <w:t>у</w:t>
      </w:r>
      <w:r w:rsidR="00625D96" w:rsidRPr="00F6340E">
        <w:t xml:space="preserve"> </w:t>
      </w:r>
      <w:r>
        <w:t>об</w:t>
      </w:r>
      <w:r w:rsidR="0071360A">
        <w:t>р</w:t>
      </w:r>
      <w:r>
        <w:t>а</w:t>
      </w:r>
      <w:r w:rsidR="00171F00">
        <w:t>з</w:t>
      </w:r>
      <w:r>
        <w:t>о</w:t>
      </w:r>
      <w:r w:rsidR="0071360A">
        <w:t>в</w:t>
      </w:r>
      <w:r>
        <w:t>ним</w:t>
      </w:r>
      <w:r w:rsidR="00625D96" w:rsidRPr="00F6340E">
        <w:t xml:space="preserve"> </w:t>
      </w:r>
      <w:r>
        <w:t>ин</w:t>
      </w:r>
      <w:r w:rsidR="0071360A">
        <w:t>ст</w:t>
      </w:r>
      <w:r>
        <w:t>и</w:t>
      </w:r>
      <w:r w:rsidR="0071360A">
        <w:t>ту</w:t>
      </w:r>
      <w:r>
        <w:t>цијама</w:t>
      </w:r>
      <w:r w:rsidR="00625D96" w:rsidRPr="00F6340E">
        <w:t xml:space="preserve">. </w:t>
      </w:r>
      <w:r>
        <w:t>Н</w:t>
      </w:r>
      <w:r w:rsidR="00EE6AA2">
        <w:t>е</w:t>
      </w:r>
      <w:r w:rsidR="0071360A">
        <w:t>с</w:t>
      </w:r>
      <w:r>
        <w:t>м</w:t>
      </w:r>
      <w:r w:rsidR="00EE6AA2">
        <w:t>е</w:t>
      </w:r>
      <w:r w:rsidR="0071360A">
        <w:t>т</w:t>
      </w:r>
      <w:r>
        <w:t>ан</w:t>
      </w:r>
      <w:r w:rsidR="00625D96" w:rsidRPr="00F6340E">
        <w:t xml:space="preserve">, </w:t>
      </w:r>
      <w:r w:rsidR="0071360A">
        <w:t>ст</w:t>
      </w:r>
      <w:r>
        <w:t>абилан</w:t>
      </w:r>
      <w:r w:rsidR="00625D96" w:rsidRPr="00F6340E">
        <w:t xml:space="preserve"> </w:t>
      </w:r>
      <w:r>
        <w:t>и</w:t>
      </w:r>
      <w:r w:rsidR="00625D96" w:rsidRPr="00F6340E">
        <w:t xml:space="preserve"> </w:t>
      </w:r>
      <w:r>
        <w:t>к</w:t>
      </w:r>
      <w:r w:rsidR="0071360A">
        <w:t>в</w:t>
      </w:r>
      <w:r>
        <w:t>али</w:t>
      </w:r>
      <w:r w:rsidR="0071360A">
        <w:t>т</w:t>
      </w:r>
      <w:r w:rsidR="00EE6AA2">
        <w:t>е</w:t>
      </w:r>
      <w:r w:rsidR="0071360A">
        <w:t>т</w:t>
      </w:r>
      <w:r>
        <w:t>ан</w:t>
      </w:r>
      <w:r w:rsidR="00625D96" w:rsidRPr="00F6340E">
        <w:t xml:space="preserve"> </w:t>
      </w:r>
      <w:r w:rsidR="0071360A">
        <w:t>пр</w:t>
      </w:r>
      <w:r>
        <w:t>и</w:t>
      </w:r>
      <w:r w:rsidR="0071360A">
        <w:t>ступ</w:t>
      </w:r>
      <w:r w:rsidR="00625D96" w:rsidRPr="00F6340E">
        <w:t xml:space="preserve"> </w:t>
      </w:r>
      <w:r>
        <w:t>ј</w:t>
      </w:r>
      <w:r w:rsidR="00EE6AA2">
        <w:t>е</w:t>
      </w:r>
      <w:r w:rsidR="00625D96" w:rsidRPr="00F6340E">
        <w:t xml:space="preserve"> </w:t>
      </w:r>
      <w:r>
        <w:t>и</w:t>
      </w:r>
      <w:r w:rsidR="00171F00">
        <w:t>з</w:t>
      </w:r>
      <w:r w:rsidR="0071360A">
        <w:t>у</w:t>
      </w:r>
      <w:r w:rsidR="00171F00">
        <w:t>з</w:t>
      </w:r>
      <w:r w:rsidR="00EE6AA2">
        <w:t>е</w:t>
      </w:r>
      <w:r w:rsidR="0071360A">
        <w:t>т</w:t>
      </w:r>
      <w:r>
        <w:t>но</w:t>
      </w:r>
      <w:r w:rsidR="00625D96" w:rsidRPr="00F6340E">
        <w:t xml:space="preserve"> </w:t>
      </w:r>
      <w:r w:rsidR="0071360A">
        <w:t>в</w:t>
      </w:r>
      <w:r>
        <w:t>а</w:t>
      </w:r>
      <w:r w:rsidR="00171F00">
        <w:t>ж</w:t>
      </w:r>
      <w:r>
        <w:t>ан</w:t>
      </w:r>
      <w:r w:rsidR="00625D96" w:rsidRPr="00F6340E">
        <w:t xml:space="preserve"> </w:t>
      </w:r>
      <w:r w:rsidR="0071360A">
        <w:t>у</w:t>
      </w:r>
      <w:r w:rsidR="00625D96" w:rsidRPr="00F6340E">
        <w:t xml:space="preserve"> </w:t>
      </w:r>
      <w:r>
        <w:t>кон</w:t>
      </w:r>
      <w:r w:rsidR="0071360A">
        <w:t>т</w:t>
      </w:r>
      <w:r w:rsidR="00EE6AA2">
        <w:t>е</w:t>
      </w:r>
      <w:r>
        <w:t>к</w:t>
      </w:r>
      <w:r w:rsidR="0071360A">
        <w:t>сту</w:t>
      </w:r>
      <w:r w:rsidR="00947928" w:rsidRPr="00F6340E">
        <w:t xml:space="preserve"> </w:t>
      </w:r>
      <w:r>
        <w:t>на</w:t>
      </w:r>
      <w:r w:rsidR="0071360A">
        <w:t>ст</w:t>
      </w:r>
      <w:r>
        <w:t>а</w:t>
      </w:r>
      <w:r w:rsidR="0071360A">
        <w:t>в</w:t>
      </w:r>
      <w:r w:rsidR="00EE6AA2">
        <w:t>е</w:t>
      </w:r>
      <w:r w:rsidR="00947928" w:rsidRPr="00F6340E">
        <w:t xml:space="preserve"> </w:t>
      </w:r>
      <w:r w:rsidR="0071360A">
        <w:t>пут</w:t>
      </w:r>
      <w:r w:rsidR="00EE6AA2">
        <w:t>е</w:t>
      </w:r>
      <w:r>
        <w:t>м</w:t>
      </w:r>
      <w:r w:rsidR="00947928" w:rsidRPr="00F6340E">
        <w:t xml:space="preserve"> </w:t>
      </w:r>
      <w:r>
        <w:t>ин</w:t>
      </w:r>
      <w:r w:rsidR="0071360A">
        <w:t>т</w:t>
      </w:r>
      <w:r w:rsidR="00EE6AA2">
        <w:t>е</w:t>
      </w:r>
      <w:r w:rsidR="0071360A">
        <w:t>р</w:t>
      </w:r>
      <w:r>
        <w:t>н</w:t>
      </w:r>
      <w:r w:rsidR="00EE6AA2">
        <w:t>е</w:t>
      </w:r>
      <w:r w:rsidR="0071360A">
        <w:t>т</w:t>
      </w:r>
      <w:r>
        <w:t>а</w:t>
      </w:r>
      <w:r w:rsidR="00947928" w:rsidRPr="00F6340E">
        <w:t xml:space="preserve"> </w:t>
      </w:r>
      <w:r>
        <w:t>и</w:t>
      </w:r>
      <w:r w:rsidR="00625D96" w:rsidRPr="00F6340E">
        <w:t xml:space="preserve"> </w:t>
      </w:r>
      <w:r>
        <w:t>комбино</w:t>
      </w:r>
      <w:r w:rsidR="0071360A">
        <w:t>в</w:t>
      </w:r>
      <w:r>
        <w:t>ан</w:t>
      </w:r>
      <w:r w:rsidR="00EE6AA2">
        <w:t>е</w:t>
      </w:r>
      <w:r w:rsidR="00625D96" w:rsidRPr="00F6340E">
        <w:t xml:space="preserve"> </w:t>
      </w:r>
      <w:r>
        <w:t>на</w:t>
      </w:r>
      <w:r w:rsidR="0071360A">
        <w:t>ст</w:t>
      </w:r>
      <w:r>
        <w:t>а</w:t>
      </w:r>
      <w:r w:rsidR="0071360A">
        <w:t>в</w:t>
      </w:r>
      <w:r w:rsidR="00EE6AA2">
        <w:t>е</w:t>
      </w:r>
      <w:r w:rsidR="00625D96" w:rsidRPr="00F6340E">
        <w:t xml:space="preserve">. </w:t>
      </w:r>
      <w:r>
        <w:t>Д</w:t>
      </w:r>
      <w:r w:rsidR="00EE6AA2">
        <w:t>е</w:t>
      </w:r>
      <w:r w:rsidR="0071360A">
        <w:t>т</w:t>
      </w:r>
      <w:r>
        <w:t>аљи</w:t>
      </w:r>
      <w:r w:rsidR="000E6308" w:rsidRPr="00F6340E">
        <w:t xml:space="preserve"> </w:t>
      </w:r>
      <w:r>
        <w:t>о</w:t>
      </w:r>
      <w:r w:rsidR="000E6308" w:rsidRPr="00F6340E">
        <w:t xml:space="preserve"> </w:t>
      </w:r>
      <w:r w:rsidR="0071360A">
        <w:t>сп</w:t>
      </w:r>
      <w:r w:rsidR="00EE6AA2">
        <w:t>е</w:t>
      </w:r>
      <w:r>
        <w:t>цификацијама</w:t>
      </w:r>
      <w:r w:rsidR="000E6308" w:rsidRPr="00F6340E">
        <w:t xml:space="preserve"> </w:t>
      </w:r>
      <w:r>
        <w:t>ин</w:t>
      </w:r>
      <w:r w:rsidR="0071360A">
        <w:t>т</w:t>
      </w:r>
      <w:r w:rsidR="00EE6AA2">
        <w:t>е</w:t>
      </w:r>
      <w:r w:rsidR="0071360A">
        <w:t>р</w:t>
      </w:r>
      <w:r>
        <w:t>н</w:t>
      </w:r>
      <w:r w:rsidR="00EE6AA2">
        <w:t>е</w:t>
      </w:r>
      <w:r w:rsidR="0071360A">
        <w:t>т</w:t>
      </w:r>
      <w:r w:rsidR="00D57A41" w:rsidRPr="00F6340E">
        <w:t xml:space="preserve"> </w:t>
      </w:r>
      <w:r w:rsidR="0071360A">
        <w:t>пр</w:t>
      </w:r>
      <w:r>
        <w:t>икљ</w:t>
      </w:r>
      <w:r w:rsidR="0071360A">
        <w:t>у</w:t>
      </w:r>
      <w:r>
        <w:t>чка</w:t>
      </w:r>
      <w:r w:rsidR="00D57A41" w:rsidRPr="00F6340E">
        <w:t xml:space="preserve"> </w:t>
      </w:r>
      <w:r>
        <w:t>и</w:t>
      </w:r>
      <w:r w:rsidR="00D57A41" w:rsidRPr="00F6340E">
        <w:t xml:space="preserve"> </w:t>
      </w:r>
      <w:r w:rsidR="0071360A">
        <w:t>пр</w:t>
      </w:r>
      <w:r>
        <w:t>а</w:t>
      </w:r>
      <w:r w:rsidR="0071360A">
        <w:t>т</w:t>
      </w:r>
      <w:r w:rsidR="00EE6AA2">
        <w:t>е</w:t>
      </w:r>
      <w:r>
        <w:t>ћих</w:t>
      </w:r>
      <w:r w:rsidR="00D57A41" w:rsidRPr="00F6340E">
        <w:t xml:space="preserve"> </w:t>
      </w:r>
      <w:r w:rsidR="0071360A">
        <w:t>ур</w:t>
      </w:r>
      <w:r w:rsidR="00EE6AA2">
        <w:t>е</w:t>
      </w:r>
      <w:r>
        <w:t>ђаја</w:t>
      </w:r>
      <w:r w:rsidR="00D57A41" w:rsidRPr="00F6340E">
        <w:t xml:space="preserve"> </w:t>
      </w:r>
      <w:r w:rsidR="00171F00">
        <w:t>з</w:t>
      </w:r>
      <w:r>
        <w:t>а</w:t>
      </w:r>
      <w:r w:rsidR="00D57A41" w:rsidRPr="00F6340E">
        <w:t xml:space="preserve"> </w:t>
      </w:r>
      <w:r>
        <w:t>од</w:t>
      </w:r>
      <w:r w:rsidR="0071360A">
        <w:t>р</w:t>
      </w:r>
      <w:r w:rsidR="00171F00">
        <w:t>ж</w:t>
      </w:r>
      <w:r>
        <w:t>а</w:t>
      </w:r>
      <w:r w:rsidR="0071360A">
        <w:t>в</w:t>
      </w:r>
      <w:r>
        <w:t>ањ</w:t>
      </w:r>
      <w:r w:rsidR="00EE6AA2">
        <w:t>е</w:t>
      </w:r>
      <w:r w:rsidR="00D57A41" w:rsidRPr="00F6340E">
        <w:t xml:space="preserve"> </w:t>
      </w:r>
      <w:r w:rsidR="0071360A">
        <w:t>ст</w:t>
      </w:r>
      <w:r>
        <w:t>абилн</w:t>
      </w:r>
      <w:r w:rsidR="00EE6AA2">
        <w:t>е</w:t>
      </w:r>
      <w:r w:rsidR="00D57A41" w:rsidRPr="00F6340E">
        <w:t xml:space="preserve"> </w:t>
      </w:r>
      <w:r w:rsidR="0071360A">
        <w:t>у</w:t>
      </w:r>
      <w:r>
        <w:t>м</w:t>
      </w:r>
      <w:r w:rsidR="0071360A">
        <w:t>р</w:t>
      </w:r>
      <w:r w:rsidR="00EE6AA2">
        <w:t>е</w:t>
      </w:r>
      <w:r w:rsidR="00171F00">
        <w:t>ж</w:t>
      </w:r>
      <w:r w:rsidR="00EE6AA2">
        <w:t>е</w:t>
      </w:r>
      <w:r>
        <w:t>но</w:t>
      </w:r>
      <w:r w:rsidR="0071360A">
        <w:t>ст</w:t>
      </w:r>
      <w:r>
        <w:t>и</w:t>
      </w:r>
      <w:r w:rsidR="00D57A41" w:rsidRPr="00F6340E">
        <w:t xml:space="preserve"> </w:t>
      </w:r>
      <w:r>
        <w:t>на</w:t>
      </w:r>
      <w:r w:rsidR="000E6308" w:rsidRPr="00F6340E">
        <w:t xml:space="preserve"> </w:t>
      </w:r>
      <w:r>
        <w:t>о</w:t>
      </w:r>
      <w:r w:rsidR="0071360A">
        <w:t>с</w:t>
      </w:r>
      <w:r>
        <w:t>но</w:t>
      </w:r>
      <w:r w:rsidR="0071360A">
        <w:t>ву</w:t>
      </w:r>
      <w:r w:rsidR="000E6308" w:rsidRPr="00F6340E">
        <w:t xml:space="preserve"> </w:t>
      </w:r>
      <w:r>
        <w:t>б</w:t>
      </w:r>
      <w:r w:rsidR="0071360A">
        <w:t>р</w:t>
      </w:r>
      <w:r>
        <w:t>оја</w:t>
      </w:r>
      <w:r w:rsidR="000E6308" w:rsidRPr="00F6340E">
        <w:t xml:space="preserve"> </w:t>
      </w:r>
      <w:r w:rsidR="0071360A">
        <w:t>у</w:t>
      </w:r>
      <w:r>
        <w:t>ч</w:t>
      </w:r>
      <w:r w:rsidR="00EE6AA2">
        <w:t>е</w:t>
      </w:r>
      <w:r>
        <w:t>ника</w:t>
      </w:r>
      <w:r w:rsidR="000E6308" w:rsidRPr="00F6340E">
        <w:t>/</w:t>
      </w:r>
      <w:r w:rsidR="0071360A">
        <w:t>сту</w:t>
      </w:r>
      <w:r>
        <w:t>д</w:t>
      </w:r>
      <w:r w:rsidR="00EE6AA2">
        <w:t>е</w:t>
      </w:r>
      <w:r>
        <w:t>на</w:t>
      </w:r>
      <w:r w:rsidR="0071360A">
        <w:t>т</w:t>
      </w:r>
      <w:r>
        <w:t>а</w:t>
      </w:r>
      <w:r w:rsidR="000E6308" w:rsidRPr="00F6340E">
        <w:t xml:space="preserve"> </w:t>
      </w:r>
      <w:r w:rsidR="0071360A">
        <w:t>у</w:t>
      </w:r>
      <w:r w:rsidR="000E6308" w:rsidRPr="00F6340E">
        <w:t xml:space="preserve"> </w:t>
      </w:r>
      <w:r>
        <w:t>об</w:t>
      </w:r>
      <w:r w:rsidR="0071360A">
        <w:t>р</w:t>
      </w:r>
      <w:r>
        <w:t>а</w:t>
      </w:r>
      <w:r w:rsidR="00171F00">
        <w:t>з</w:t>
      </w:r>
      <w:r>
        <w:t>о</w:t>
      </w:r>
      <w:r w:rsidR="0071360A">
        <w:t>в</w:t>
      </w:r>
      <w:r>
        <w:t>ној</w:t>
      </w:r>
      <w:r w:rsidR="000E6308" w:rsidRPr="00F6340E">
        <w:t xml:space="preserve"> </w:t>
      </w:r>
      <w:r>
        <w:t>ин</w:t>
      </w:r>
      <w:r w:rsidR="0071360A">
        <w:t>ст</w:t>
      </w:r>
      <w:r>
        <w:t>и</w:t>
      </w:r>
      <w:r w:rsidR="0071360A">
        <w:t>ту</w:t>
      </w:r>
      <w:r>
        <w:t>цији</w:t>
      </w:r>
      <w:r w:rsidR="000E6308" w:rsidRPr="00F6340E">
        <w:t xml:space="preserve"> </w:t>
      </w:r>
      <w:r>
        <w:t>д</w:t>
      </w:r>
      <w:r w:rsidR="00EE6AA2">
        <w:t>е</w:t>
      </w:r>
      <w:r>
        <w:t>фини</w:t>
      </w:r>
      <w:r w:rsidR="0071360A">
        <w:t>с</w:t>
      </w:r>
      <w:r>
        <w:t>ани</w:t>
      </w:r>
      <w:r w:rsidR="000E6308" w:rsidRPr="00F6340E">
        <w:t xml:space="preserve"> </w:t>
      </w:r>
      <w:r w:rsidR="0071360A">
        <w:t>су</w:t>
      </w:r>
      <w:r w:rsidR="000E6308" w:rsidRPr="00F6340E">
        <w:t xml:space="preserve"> </w:t>
      </w:r>
      <w:r w:rsidR="0071360A">
        <w:t>у</w:t>
      </w:r>
      <w:r w:rsidR="000E6308" w:rsidRPr="00F6340E">
        <w:t xml:space="preserve"> </w:t>
      </w:r>
      <w:hyperlink r:id="rId17" w:history="1">
        <w:r>
          <w:rPr>
            <w:rStyle w:val="Hyperlink"/>
            <w:rFonts w:cs="Arial"/>
            <w:noProof w:val="0"/>
            <w:szCs w:val="24"/>
          </w:rPr>
          <w:t>О</w:t>
        </w:r>
        <w:r w:rsidR="0071360A">
          <w:rPr>
            <w:rStyle w:val="Hyperlink"/>
            <w:rFonts w:cs="Arial"/>
            <w:noProof w:val="0"/>
            <w:szCs w:val="24"/>
          </w:rPr>
          <w:t>с</w:t>
        </w:r>
        <w:r>
          <w:rPr>
            <w:rStyle w:val="Hyperlink"/>
            <w:rFonts w:cs="Arial"/>
            <w:noProof w:val="0"/>
            <w:szCs w:val="24"/>
          </w:rPr>
          <w:t>но</w:t>
        </w:r>
        <w:r w:rsidR="0071360A">
          <w:rPr>
            <w:rStyle w:val="Hyperlink"/>
            <w:rFonts w:cs="Arial"/>
            <w:noProof w:val="0"/>
            <w:szCs w:val="24"/>
          </w:rPr>
          <w:t>в</w:t>
        </w:r>
        <w:r>
          <w:rPr>
            <w:rStyle w:val="Hyperlink"/>
            <w:rFonts w:cs="Arial"/>
            <w:noProof w:val="0"/>
            <w:szCs w:val="24"/>
          </w:rPr>
          <w:t>ним</w:t>
        </w:r>
        <w:r w:rsidR="000E6308" w:rsidRPr="00F6340E">
          <w:rPr>
            <w:rStyle w:val="Hyperlink"/>
            <w:rFonts w:cs="Arial"/>
            <w:noProof w:val="0"/>
            <w:szCs w:val="24"/>
          </w:rPr>
          <w:t xml:space="preserve"> </w:t>
        </w:r>
        <w:r w:rsidR="0071360A">
          <w:rPr>
            <w:rStyle w:val="Hyperlink"/>
            <w:rFonts w:cs="Arial"/>
            <w:noProof w:val="0"/>
            <w:szCs w:val="24"/>
          </w:rPr>
          <w:t>т</w:t>
        </w:r>
        <w:r w:rsidR="00EE6AA2">
          <w:rPr>
            <w:rStyle w:val="Hyperlink"/>
            <w:rFonts w:cs="Arial"/>
            <w:noProof w:val="0"/>
            <w:szCs w:val="24"/>
          </w:rPr>
          <w:t>е</w:t>
        </w:r>
        <w:r>
          <w:rPr>
            <w:rStyle w:val="Hyperlink"/>
            <w:rFonts w:cs="Arial"/>
            <w:noProof w:val="0"/>
            <w:szCs w:val="24"/>
          </w:rPr>
          <w:t>хничким</w:t>
        </w:r>
        <w:r w:rsidR="000E6308" w:rsidRPr="00F6340E">
          <w:rPr>
            <w:rStyle w:val="Hyperlink"/>
            <w:rFonts w:cs="Arial"/>
            <w:noProof w:val="0"/>
            <w:szCs w:val="24"/>
          </w:rPr>
          <w:t xml:space="preserve"> </w:t>
        </w:r>
        <w:r w:rsidR="0071360A">
          <w:rPr>
            <w:rStyle w:val="Hyperlink"/>
            <w:rFonts w:cs="Arial"/>
            <w:noProof w:val="0"/>
            <w:szCs w:val="24"/>
          </w:rPr>
          <w:t>ст</w:t>
        </w:r>
        <w:r>
          <w:rPr>
            <w:rStyle w:val="Hyperlink"/>
            <w:rFonts w:cs="Arial"/>
            <w:noProof w:val="0"/>
            <w:szCs w:val="24"/>
          </w:rPr>
          <w:t>анда</w:t>
        </w:r>
        <w:r w:rsidR="0071360A">
          <w:rPr>
            <w:rStyle w:val="Hyperlink"/>
            <w:rFonts w:cs="Arial"/>
            <w:noProof w:val="0"/>
            <w:szCs w:val="24"/>
          </w:rPr>
          <w:t>р</w:t>
        </w:r>
        <w:r>
          <w:rPr>
            <w:rStyle w:val="Hyperlink"/>
            <w:rFonts w:cs="Arial"/>
            <w:noProof w:val="0"/>
            <w:szCs w:val="24"/>
          </w:rPr>
          <w:t>дима</w:t>
        </w:r>
        <w:r w:rsidR="000E6308" w:rsidRPr="00F6340E">
          <w:rPr>
            <w:rStyle w:val="Hyperlink"/>
            <w:rFonts w:cs="Arial"/>
            <w:noProof w:val="0"/>
            <w:szCs w:val="24"/>
          </w:rPr>
          <w:t xml:space="preserve"> </w:t>
        </w:r>
        <w:r w:rsidR="00171F00">
          <w:rPr>
            <w:rStyle w:val="Hyperlink"/>
            <w:rFonts w:cs="Arial"/>
            <w:noProof w:val="0"/>
            <w:szCs w:val="24"/>
          </w:rPr>
          <w:t>з</w:t>
        </w:r>
        <w:r>
          <w:rPr>
            <w:rStyle w:val="Hyperlink"/>
            <w:rFonts w:cs="Arial"/>
            <w:noProof w:val="0"/>
            <w:szCs w:val="24"/>
          </w:rPr>
          <w:t>а</w:t>
        </w:r>
        <w:r w:rsidR="000E6308" w:rsidRPr="00F6340E">
          <w:rPr>
            <w:rStyle w:val="Hyperlink"/>
            <w:rFonts w:cs="Arial"/>
            <w:noProof w:val="0"/>
            <w:szCs w:val="24"/>
          </w:rPr>
          <w:t xml:space="preserve"> </w:t>
        </w:r>
        <w:r>
          <w:rPr>
            <w:rStyle w:val="Hyperlink"/>
            <w:rFonts w:cs="Arial"/>
            <w:noProof w:val="0"/>
            <w:szCs w:val="24"/>
          </w:rPr>
          <w:t>ала</w:t>
        </w:r>
        <w:r w:rsidR="0071360A">
          <w:rPr>
            <w:rStyle w:val="Hyperlink"/>
            <w:rFonts w:cs="Arial"/>
            <w:noProof w:val="0"/>
            <w:szCs w:val="24"/>
          </w:rPr>
          <w:t>т</w:t>
        </w:r>
        <w:r w:rsidR="00EE6AA2">
          <w:rPr>
            <w:rStyle w:val="Hyperlink"/>
            <w:rFonts w:cs="Arial"/>
            <w:noProof w:val="0"/>
            <w:szCs w:val="24"/>
          </w:rPr>
          <w:t>е</w:t>
        </w:r>
        <w:r w:rsidR="000E6308" w:rsidRPr="00F6340E">
          <w:rPr>
            <w:rStyle w:val="Hyperlink"/>
            <w:rFonts w:cs="Arial"/>
            <w:noProof w:val="0"/>
            <w:szCs w:val="24"/>
          </w:rPr>
          <w:t xml:space="preserve"> </w:t>
        </w:r>
        <w:r>
          <w:rPr>
            <w:rStyle w:val="Hyperlink"/>
            <w:rFonts w:cs="Arial"/>
            <w:noProof w:val="0"/>
            <w:szCs w:val="24"/>
          </w:rPr>
          <w:t>инфо</w:t>
        </w:r>
        <w:r w:rsidR="0071360A">
          <w:rPr>
            <w:rStyle w:val="Hyperlink"/>
            <w:rFonts w:cs="Arial"/>
            <w:noProof w:val="0"/>
            <w:szCs w:val="24"/>
          </w:rPr>
          <w:t>р</w:t>
        </w:r>
        <w:r>
          <w:rPr>
            <w:rStyle w:val="Hyperlink"/>
            <w:rFonts w:cs="Arial"/>
            <w:noProof w:val="0"/>
            <w:szCs w:val="24"/>
          </w:rPr>
          <w:t>ма</w:t>
        </w:r>
        <w:r w:rsidR="0071360A">
          <w:rPr>
            <w:rStyle w:val="Hyperlink"/>
            <w:rFonts w:cs="Arial"/>
            <w:noProof w:val="0"/>
            <w:szCs w:val="24"/>
          </w:rPr>
          <w:t>т</w:t>
        </w:r>
        <w:r>
          <w:rPr>
            <w:rStyle w:val="Hyperlink"/>
            <w:rFonts w:cs="Arial"/>
            <w:noProof w:val="0"/>
            <w:szCs w:val="24"/>
          </w:rPr>
          <w:t>ичких</w:t>
        </w:r>
        <w:r w:rsidR="00E864CA" w:rsidRPr="00F6340E">
          <w:rPr>
            <w:rStyle w:val="Hyperlink"/>
            <w:rFonts w:cs="Arial"/>
            <w:noProof w:val="0"/>
            <w:szCs w:val="24"/>
          </w:rPr>
          <w:t>-</w:t>
        </w:r>
        <w:r>
          <w:rPr>
            <w:rStyle w:val="Hyperlink"/>
            <w:rFonts w:cs="Arial"/>
            <w:noProof w:val="0"/>
            <w:szCs w:val="24"/>
          </w:rPr>
          <w:t>ком</w:t>
        </w:r>
        <w:r w:rsidR="0071360A">
          <w:rPr>
            <w:rStyle w:val="Hyperlink"/>
            <w:rFonts w:cs="Arial"/>
            <w:noProof w:val="0"/>
            <w:szCs w:val="24"/>
          </w:rPr>
          <w:t>у</w:t>
        </w:r>
        <w:r>
          <w:rPr>
            <w:rStyle w:val="Hyperlink"/>
            <w:rFonts w:cs="Arial"/>
            <w:noProof w:val="0"/>
            <w:szCs w:val="24"/>
          </w:rPr>
          <w:t>никационих</w:t>
        </w:r>
        <w:r w:rsidR="000E6308" w:rsidRPr="00F6340E">
          <w:rPr>
            <w:rStyle w:val="Hyperlink"/>
            <w:rFonts w:cs="Arial"/>
            <w:noProof w:val="0"/>
            <w:szCs w:val="24"/>
          </w:rPr>
          <w:t xml:space="preserve"> </w:t>
        </w:r>
        <w:r w:rsidR="0071360A">
          <w:rPr>
            <w:rStyle w:val="Hyperlink"/>
            <w:rFonts w:cs="Arial"/>
            <w:noProof w:val="0"/>
            <w:szCs w:val="24"/>
          </w:rPr>
          <w:t>т</w:t>
        </w:r>
        <w:r w:rsidR="00EE6AA2">
          <w:rPr>
            <w:rStyle w:val="Hyperlink"/>
            <w:rFonts w:cs="Arial"/>
            <w:noProof w:val="0"/>
            <w:szCs w:val="24"/>
          </w:rPr>
          <w:t>е</w:t>
        </w:r>
        <w:r>
          <w:rPr>
            <w:rStyle w:val="Hyperlink"/>
            <w:rFonts w:cs="Arial"/>
            <w:noProof w:val="0"/>
            <w:szCs w:val="24"/>
          </w:rPr>
          <w:t>хнологија</w:t>
        </w:r>
        <w:r w:rsidR="000E6308" w:rsidRPr="00F6340E">
          <w:rPr>
            <w:rStyle w:val="Hyperlink"/>
            <w:rFonts w:cs="Arial"/>
            <w:noProof w:val="0"/>
            <w:szCs w:val="24"/>
          </w:rPr>
          <w:t xml:space="preserve"> </w:t>
        </w:r>
        <w:r w:rsidR="0071360A">
          <w:rPr>
            <w:rStyle w:val="Hyperlink"/>
            <w:rFonts w:cs="Arial"/>
            <w:noProof w:val="0"/>
            <w:szCs w:val="24"/>
          </w:rPr>
          <w:t>у</w:t>
        </w:r>
        <w:r w:rsidR="000E6308" w:rsidRPr="00F6340E">
          <w:rPr>
            <w:rStyle w:val="Hyperlink"/>
            <w:rFonts w:cs="Arial"/>
            <w:noProof w:val="0"/>
            <w:szCs w:val="24"/>
          </w:rPr>
          <w:t xml:space="preserve"> </w:t>
        </w:r>
        <w:r>
          <w:rPr>
            <w:rStyle w:val="Hyperlink"/>
            <w:rFonts w:cs="Arial"/>
            <w:noProof w:val="0"/>
            <w:szCs w:val="24"/>
          </w:rPr>
          <w:t>об</w:t>
        </w:r>
        <w:r w:rsidR="0071360A">
          <w:rPr>
            <w:rStyle w:val="Hyperlink"/>
            <w:rFonts w:cs="Arial"/>
            <w:noProof w:val="0"/>
            <w:szCs w:val="24"/>
          </w:rPr>
          <w:t>р</w:t>
        </w:r>
        <w:r>
          <w:rPr>
            <w:rStyle w:val="Hyperlink"/>
            <w:rFonts w:cs="Arial"/>
            <w:noProof w:val="0"/>
            <w:szCs w:val="24"/>
          </w:rPr>
          <w:t>а</w:t>
        </w:r>
        <w:r w:rsidR="00171F00">
          <w:rPr>
            <w:rStyle w:val="Hyperlink"/>
            <w:rFonts w:cs="Arial"/>
            <w:noProof w:val="0"/>
            <w:szCs w:val="24"/>
          </w:rPr>
          <w:t>з</w:t>
        </w:r>
        <w:r>
          <w:rPr>
            <w:rStyle w:val="Hyperlink"/>
            <w:rFonts w:cs="Arial"/>
            <w:noProof w:val="0"/>
            <w:szCs w:val="24"/>
          </w:rPr>
          <w:t>о</w:t>
        </w:r>
        <w:r w:rsidR="0071360A">
          <w:rPr>
            <w:rStyle w:val="Hyperlink"/>
            <w:rFonts w:cs="Arial"/>
            <w:noProof w:val="0"/>
            <w:szCs w:val="24"/>
          </w:rPr>
          <w:t>в</w:t>
        </w:r>
        <w:r>
          <w:rPr>
            <w:rStyle w:val="Hyperlink"/>
            <w:rFonts w:cs="Arial"/>
            <w:noProof w:val="0"/>
            <w:szCs w:val="24"/>
          </w:rPr>
          <w:t>ним</w:t>
        </w:r>
        <w:r w:rsidR="000E6308" w:rsidRPr="00F6340E">
          <w:rPr>
            <w:rStyle w:val="Hyperlink"/>
            <w:rFonts w:cs="Arial"/>
            <w:noProof w:val="0"/>
            <w:szCs w:val="24"/>
          </w:rPr>
          <w:t xml:space="preserve"> </w:t>
        </w:r>
        <w:r w:rsidR="0071360A">
          <w:rPr>
            <w:rStyle w:val="Hyperlink"/>
            <w:rFonts w:cs="Arial"/>
            <w:noProof w:val="0"/>
            <w:szCs w:val="24"/>
          </w:rPr>
          <w:t>с</w:t>
        </w:r>
        <w:r>
          <w:rPr>
            <w:rStyle w:val="Hyperlink"/>
            <w:rFonts w:cs="Arial"/>
            <w:noProof w:val="0"/>
            <w:szCs w:val="24"/>
          </w:rPr>
          <w:t>и</w:t>
        </w:r>
        <w:r w:rsidR="0071360A">
          <w:rPr>
            <w:rStyle w:val="Hyperlink"/>
            <w:rFonts w:cs="Arial"/>
            <w:noProof w:val="0"/>
            <w:szCs w:val="24"/>
          </w:rPr>
          <w:t>ст</w:t>
        </w:r>
        <w:r w:rsidR="00EE6AA2">
          <w:rPr>
            <w:rStyle w:val="Hyperlink"/>
            <w:rFonts w:cs="Arial"/>
            <w:noProof w:val="0"/>
            <w:szCs w:val="24"/>
          </w:rPr>
          <w:t>е</w:t>
        </w:r>
        <w:r>
          <w:rPr>
            <w:rStyle w:val="Hyperlink"/>
            <w:rFonts w:cs="Arial"/>
            <w:noProof w:val="0"/>
            <w:szCs w:val="24"/>
          </w:rPr>
          <w:t>мима</w:t>
        </w:r>
        <w:r w:rsidR="000E6308" w:rsidRPr="00F6340E">
          <w:rPr>
            <w:rStyle w:val="Hyperlink"/>
            <w:rFonts w:cs="Arial"/>
            <w:noProof w:val="0"/>
            <w:szCs w:val="24"/>
          </w:rPr>
          <w:t xml:space="preserve"> </w:t>
        </w:r>
        <w:r w:rsidR="0071360A">
          <w:rPr>
            <w:rStyle w:val="Hyperlink"/>
            <w:rFonts w:cs="Arial"/>
            <w:noProof w:val="0"/>
            <w:szCs w:val="24"/>
          </w:rPr>
          <w:t>у</w:t>
        </w:r>
        <w:r w:rsidR="000E6308" w:rsidRPr="00F6340E">
          <w:rPr>
            <w:rStyle w:val="Hyperlink"/>
            <w:rFonts w:cs="Arial"/>
            <w:noProof w:val="0"/>
            <w:szCs w:val="24"/>
          </w:rPr>
          <w:t xml:space="preserve"> </w:t>
        </w:r>
        <w:r>
          <w:rPr>
            <w:rStyle w:val="Hyperlink"/>
            <w:rFonts w:cs="Arial"/>
            <w:noProof w:val="0"/>
            <w:szCs w:val="24"/>
          </w:rPr>
          <w:t>Бо</w:t>
        </w:r>
        <w:r w:rsidR="0071360A">
          <w:rPr>
            <w:rStyle w:val="Hyperlink"/>
            <w:rFonts w:cs="Arial"/>
            <w:noProof w:val="0"/>
            <w:szCs w:val="24"/>
          </w:rPr>
          <w:t>с</w:t>
        </w:r>
        <w:r>
          <w:rPr>
            <w:rStyle w:val="Hyperlink"/>
            <w:rFonts w:cs="Arial"/>
            <w:noProof w:val="0"/>
            <w:szCs w:val="24"/>
          </w:rPr>
          <w:t>ни</w:t>
        </w:r>
        <w:r w:rsidR="000E6308" w:rsidRPr="00F6340E">
          <w:rPr>
            <w:rStyle w:val="Hyperlink"/>
            <w:rFonts w:cs="Arial"/>
            <w:noProof w:val="0"/>
            <w:szCs w:val="24"/>
          </w:rPr>
          <w:t xml:space="preserve"> </w:t>
        </w:r>
        <w:r>
          <w:rPr>
            <w:rStyle w:val="Hyperlink"/>
            <w:rFonts w:cs="Arial"/>
            <w:noProof w:val="0"/>
            <w:szCs w:val="24"/>
          </w:rPr>
          <w:t>и</w:t>
        </w:r>
        <w:r w:rsidR="000E6308" w:rsidRPr="00F6340E">
          <w:rPr>
            <w:rStyle w:val="Hyperlink"/>
            <w:rFonts w:cs="Arial"/>
            <w:noProof w:val="0"/>
            <w:szCs w:val="24"/>
          </w:rPr>
          <w:t xml:space="preserve"> </w:t>
        </w:r>
        <w:r>
          <w:rPr>
            <w:rStyle w:val="Hyperlink"/>
            <w:rFonts w:cs="Arial"/>
            <w:noProof w:val="0"/>
            <w:szCs w:val="24"/>
          </w:rPr>
          <w:t>Х</w:t>
        </w:r>
        <w:r w:rsidR="00EE6AA2">
          <w:rPr>
            <w:rStyle w:val="Hyperlink"/>
            <w:rFonts w:cs="Arial"/>
            <w:noProof w:val="0"/>
            <w:szCs w:val="24"/>
          </w:rPr>
          <w:t>е</w:t>
        </w:r>
        <w:r w:rsidR="0071360A">
          <w:rPr>
            <w:rStyle w:val="Hyperlink"/>
            <w:rFonts w:cs="Arial"/>
            <w:noProof w:val="0"/>
            <w:szCs w:val="24"/>
          </w:rPr>
          <w:t>р</w:t>
        </w:r>
        <w:r>
          <w:rPr>
            <w:rStyle w:val="Hyperlink"/>
            <w:rFonts w:cs="Arial"/>
            <w:noProof w:val="0"/>
            <w:szCs w:val="24"/>
          </w:rPr>
          <w:t>ц</w:t>
        </w:r>
        <w:r w:rsidR="00EE6AA2">
          <w:rPr>
            <w:rStyle w:val="Hyperlink"/>
            <w:rFonts w:cs="Arial"/>
            <w:noProof w:val="0"/>
            <w:szCs w:val="24"/>
          </w:rPr>
          <w:t>е</w:t>
        </w:r>
        <w:r>
          <w:rPr>
            <w:rStyle w:val="Hyperlink"/>
            <w:rFonts w:cs="Arial"/>
            <w:noProof w:val="0"/>
            <w:szCs w:val="24"/>
          </w:rPr>
          <w:t>го</w:t>
        </w:r>
        <w:r w:rsidR="0071360A">
          <w:rPr>
            <w:rStyle w:val="Hyperlink"/>
            <w:rFonts w:cs="Arial"/>
            <w:noProof w:val="0"/>
            <w:szCs w:val="24"/>
          </w:rPr>
          <w:t>в</w:t>
        </w:r>
        <w:r>
          <w:rPr>
            <w:rStyle w:val="Hyperlink"/>
            <w:rFonts w:cs="Arial"/>
            <w:noProof w:val="0"/>
            <w:szCs w:val="24"/>
          </w:rPr>
          <w:t>ини</w:t>
        </w:r>
      </w:hyperlink>
      <w:r w:rsidR="00A1574C" w:rsidRPr="00F6340E">
        <w:t>.</w:t>
      </w:r>
    </w:p>
    <w:p w14:paraId="3A60EC40" w14:textId="7C302B12" w:rsidR="004A1F9E" w:rsidRPr="00F6340E" w:rsidRDefault="0071360A" w:rsidP="00735975">
      <w:pPr>
        <w:pStyle w:val="Heading3"/>
        <w:numPr>
          <w:ilvl w:val="2"/>
          <w:numId w:val="70"/>
        </w:numPr>
        <w:rPr>
          <w:lang w:val="sr-Cyrl-BA"/>
        </w:rPr>
      </w:pPr>
      <w:bookmarkStart w:id="29" w:name="_Toc119050311"/>
      <w:r>
        <w:rPr>
          <w:lang w:val="sr-Cyrl-BA"/>
        </w:rPr>
        <w:t>С</w:t>
      </w:r>
      <w:r w:rsidR="00A56E08">
        <w:rPr>
          <w:lang w:val="sr-Cyrl-BA"/>
        </w:rPr>
        <w:t>оф</w:t>
      </w:r>
      <w:r>
        <w:rPr>
          <w:lang w:val="sr-Cyrl-BA"/>
        </w:rPr>
        <w:t>тв</w:t>
      </w:r>
      <w:r w:rsidR="00EE6AA2">
        <w:rPr>
          <w:lang w:val="sr-Cyrl-BA"/>
        </w:rPr>
        <w:t>е</w:t>
      </w:r>
      <w:r>
        <w:rPr>
          <w:lang w:val="sr-Cyrl-BA"/>
        </w:rPr>
        <w:t>рс</w:t>
      </w:r>
      <w:r w:rsidR="00A56E08">
        <w:rPr>
          <w:lang w:val="sr-Cyrl-BA"/>
        </w:rPr>
        <w:t>ка</w:t>
      </w:r>
      <w:r w:rsidR="004A1F9E" w:rsidRPr="00F6340E">
        <w:rPr>
          <w:lang w:val="sr-Cyrl-BA"/>
        </w:rPr>
        <w:t xml:space="preserve"> </w:t>
      </w:r>
      <w:r w:rsidR="00A56E08">
        <w:rPr>
          <w:lang w:val="sr-Cyrl-BA"/>
        </w:rPr>
        <w:t>инф</w:t>
      </w:r>
      <w:r>
        <w:rPr>
          <w:lang w:val="sr-Cyrl-BA"/>
        </w:rPr>
        <w:t>р</w:t>
      </w:r>
      <w:r w:rsidR="00A56E08">
        <w:rPr>
          <w:lang w:val="sr-Cyrl-BA"/>
        </w:rPr>
        <w:t>а</w:t>
      </w:r>
      <w:r>
        <w:rPr>
          <w:lang w:val="sr-Cyrl-BA"/>
        </w:rPr>
        <w:t>стру</w:t>
      </w:r>
      <w:r w:rsidR="00A56E08">
        <w:rPr>
          <w:lang w:val="sr-Cyrl-BA"/>
        </w:rPr>
        <w:t>к</w:t>
      </w:r>
      <w:r>
        <w:rPr>
          <w:lang w:val="sr-Cyrl-BA"/>
        </w:rPr>
        <w:t>тур</w:t>
      </w:r>
      <w:r w:rsidR="00A56E08">
        <w:rPr>
          <w:lang w:val="sr-Cyrl-BA"/>
        </w:rPr>
        <w:t>а</w:t>
      </w:r>
      <w:bookmarkEnd w:id="29"/>
      <w:r w:rsidR="004A1F9E" w:rsidRPr="00F6340E">
        <w:rPr>
          <w:lang w:val="sr-Cyrl-BA"/>
        </w:rPr>
        <w:t xml:space="preserve"> </w:t>
      </w:r>
    </w:p>
    <w:p w14:paraId="6E618CE5" w14:textId="588D2B4F" w:rsidR="0039585F" w:rsidRPr="00F6340E" w:rsidRDefault="0071360A" w:rsidP="00FA4DC9">
      <w:pPr>
        <w:pStyle w:val="Body"/>
      </w:pPr>
      <w:r>
        <w:t>С</w:t>
      </w:r>
      <w:r w:rsidR="00A56E08">
        <w:t>оф</w:t>
      </w:r>
      <w:r>
        <w:t>тв</w:t>
      </w:r>
      <w:r w:rsidR="00EE6AA2">
        <w:t>е</w:t>
      </w:r>
      <w:r>
        <w:t>рс</w:t>
      </w:r>
      <w:r w:rsidR="00A56E08">
        <w:t>к</w:t>
      </w:r>
      <w:r>
        <w:t>у</w:t>
      </w:r>
      <w:r w:rsidR="00780E20" w:rsidRPr="00F6340E">
        <w:t xml:space="preserve"> </w:t>
      </w:r>
      <w:r w:rsidR="00A56E08">
        <w:t>инф</w:t>
      </w:r>
      <w:r>
        <w:t>р</w:t>
      </w:r>
      <w:r w:rsidR="00A56E08">
        <w:t>а</w:t>
      </w:r>
      <w:r>
        <w:t>стру</w:t>
      </w:r>
      <w:r w:rsidR="00A56E08">
        <w:t>к</w:t>
      </w:r>
      <w:r>
        <w:t>туру</w:t>
      </w:r>
      <w:r w:rsidR="00780E20" w:rsidRPr="00F6340E">
        <w:t xml:space="preserve"> </w:t>
      </w:r>
      <w:r w:rsidR="00A56E08">
        <w:t>чини</w:t>
      </w:r>
      <w:r w:rsidR="0039585F" w:rsidRPr="00F6340E">
        <w:t xml:space="preserve"> </w:t>
      </w:r>
      <w:r w:rsidR="00A56E08">
        <w:t>ин</w:t>
      </w:r>
      <w:r>
        <w:t>ст</w:t>
      </w:r>
      <w:r w:rsidR="00A56E08">
        <w:t>али</w:t>
      </w:r>
      <w:r>
        <w:t>с</w:t>
      </w:r>
      <w:r w:rsidR="00A56E08">
        <w:t>ан</w:t>
      </w:r>
      <w:r w:rsidR="0039585F" w:rsidRPr="00F6340E">
        <w:t xml:space="preserve"> </w:t>
      </w:r>
      <w:r w:rsidR="00A56E08">
        <w:t>и</w:t>
      </w:r>
      <w:r w:rsidR="0039585F" w:rsidRPr="00F6340E">
        <w:t xml:space="preserve"> </w:t>
      </w:r>
      <w:r w:rsidR="00A56E08">
        <w:t>а</w:t>
      </w:r>
      <w:r w:rsidR="00171F00">
        <w:t>ж</w:t>
      </w:r>
      <w:r>
        <w:t>ур</w:t>
      </w:r>
      <w:r w:rsidR="00A56E08">
        <w:t>и</w:t>
      </w:r>
      <w:r>
        <w:t>р</w:t>
      </w:r>
      <w:r w:rsidR="00A56E08">
        <w:t>ан</w:t>
      </w:r>
      <w:r w:rsidR="0039585F" w:rsidRPr="00F6340E">
        <w:t xml:space="preserve"> </w:t>
      </w:r>
      <w:r w:rsidR="00A56E08">
        <w:t>о</w:t>
      </w:r>
      <w:r>
        <w:t>п</w:t>
      </w:r>
      <w:r w:rsidR="00EE6AA2">
        <w:t>е</w:t>
      </w:r>
      <w:r>
        <w:t>р</w:t>
      </w:r>
      <w:r w:rsidR="00A56E08">
        <w:t>а</w:t>
      </w:r>
      <w:r>
        <w:t>т</w:t>
      </w:r>
      <w:r w:rsidR="00A56E08">
        <w:t>и</w:t>
      </w:r>
      <w:r>
        <w:t>в</w:t>
      </w:r>
      <w:r w:rsidR="00A56E08">
        <w:t>ни</w:t>
      </w:r>
      <w:r w:rsidR="0039585F" w:rsidRPr="00F6340E">
        <w:t xml:space="preserve"> </w:t>
      </w:r>
      <w:r>
        <w:t>с</w:t>
      </w:r>
      <w:r w:rsidR="00A56E08">
        <w:t>и</w:t>
      </w:r>
      <w:r>
        <w:t>ст</w:t>
      </w:r>
      <w:r w:rsidR="00EE6AA2">
        <w:t>е</w:t>
      </w:r>
      <w:r w:rsidR="00A56E08">
        <w:t>м</w:t>
      </w:r>
      <w:r w:rsidR="0039585F" w:rsidRPr="00F6340E">
        <w:t xml:space="preserve"> </w:t>
      </w:r>
      <w:r>
        <w:t>с</w:t>
      </w:r>
      <w:r w:rsidR="00A56E08">
        <w:t>а</w:t>
      </w:r>
      <w:r w:rsidR="0039585F" w:rsidRPr="00F6340E">
        <w:t xml:space="preserve"> </w:t>
      </w:r>
      <w:r w:rsidR="00A56E08">
        <w:t>ин</w:t>
      </w:r>
      <w:r>
        <w:t>ст</w:t>
      </w:r>
      <w:r w:rsidR="00A56E08">
        <w:t>али</w:t>
      </w:r>
      <w:r>
        <w:t>с</w:t>
      </w:r>
      <w:r w:rsidR="00A56E08">
        <w:t>аним</w:t>
      </w:r>
      <w:r w:rsidR="0039585F" w:rsidRPr="00F6340E">
        <w:t xml:space="preserve"> </w:t>
      </w:r>
      <w:r>
        <w:t>упр</w:t>
      </w:r>
      <w:r w:rsidR="00A56E08">
        <w:t>а</w:t>
      </w:r>
      <w:r>
        <w:t>в</w:t>
      </w:r>
      <w:r w:rsidR="00A56E08">
        <w:t>љачким</w:t>
      </w:r>
      <w:r w:rsidR="0039585F" w:rsidRPr="00F6340E">
        <w:t xml:space="preserve"> </w:t>
      </w:r>
      <w:r>
        <w:t>пр</w:t>
      </w:r>
      <w:r w:rsidR="00A56E08">
        <w:t>ог</w:t>
      </w:r>
      <w:r>
        <w:t>р</w:t>
      </w:r>
      <w:r w:rsidR="00A56E08">
        <w:t>амима</w:t>
      </w:r>
      <w:r w:rsidR="0039585F" w:rsidRPr="00F6340E">
        <w:t xml:space="preserve"> </w:t>
      </w:r>
      <w:r w:rsidR="00171F00">
        <w:t>з</w:t>
      </w:r>
      <w:r w:rsidR="00A56E08">
        <w:t>а</w:t>
      </w:r>
      <w:r w:rsidR="0039585F" w:rsidRPr="00F6340E">
        <w:t xml:space="preserve"> </w:t>
      </w:r>
      <w:r>
        <w:t>уп</w:t>
      </w:r>
      <w:r w:rsidR="00A56E08">
        <w:t>о</w:t>
      </w:r>
      <w:r>
        <w:t>тр</w:t>
      </w:r>
      <w:r w:rsidR="00EE6AA2">
        <w:t>е</w:t>
      </w:r>
      <w:r w:rsidR="00A56E08">
        <w:t>б</w:t>
      </w:r>
      <w:r>
        <w:t>у</w:t>
      </w:r>
      <w:r w:rsidR="0039585F" w:rsidRPr="00F6340E">
        <w:t xml:space="preserve"> </w:t>
      </w:r>
      <w:r>
        <w:t>п</w:t>
      </w:r>
      <w:r w:rsidR="00A56E08">
        <w:t>о</w:t>
      </w:r>
      <w:r>
        <w:t>ст</w:t>
      </w:r>
      <w:r w:rsidR="00A56E08">
        <w:t>ој</w:t>
      </w:r>
      <w:r w:rsidR="00EE6AA2">
        <w:t>е</w:t>
      </w:r>
      <w:r w:rsidR="00A56E08">
        <w:t>ћ</w:t>
      </w:r>
      <w:r w:rsidR="00EE6AA2">
        <w:t>е</w:t>
      </w:r>
      <w:r w:rsidR="00A56E08">
        <w:t>г</w:t>
      </w:r>
      <w:r w:rsidR="0039585F" w:rsidRPr="00F6340E">
        <w:t xml:space="preserve"> </w:t>
      </w:r>
      <w:r w:rsidR="00A56E08">
        <w:t>ха</w:t>
      </w:r>
      <w:r>
        <w:t>р</w:t>
      </w:r>
      <w:r w:rsidR="00A56E08">
        <w:t>д</w:t>
      </w:r>
      <w:r>
        <w:t>в</w:t>
      </w:r>
      <w:r w:rsidR="00EE6AA2">
        <w:t>е</w:t>
      </w:r>
      <w:r>
        <w:t>р</w:t>
      </w:r>
      <w:r w:rsidR="00A56E08">
        <w:t>а</w:t>
      </w:r>
      <w:r w:rsidR="0039585F" w:rsidRPr="00F6340E">
        <w:t xml:space="preserve"> (</w:t>
      </w:r>
      <w:r w:rsidR="00A56E08">
        <w:t>н</w:t>
      </w:r>
      <w:r>
        <w:t>пр</w:t>
      </w:r>
      <w:r w:rsidR="007E2AE7" w:rsidRPr="00F6340E">
        <w:t>.</w:t>
      </w:r>
      <w:r w:rsidR="0039585F" w:rsidRPr="00F6340E">
        <w:t xml:space="preserve">: </w:t>
      </w:r>
      <w:r>
        <w:t>р</w:t>
      </w:r>
      <w:r w:rsidR="00A56E08">
        <w:t>ач</w:t>
      </w:r>
      <w:r>
        <w:t>у</w:t>
      </w:r>
      <w:r w:rsidR="00A56E08">
        <w:t>на</w:t>
      </w:r>
      <w:r>
        <w:t>рс</w:t>
      </w:r>
      <w:r w:rsidR="00A56E08">
        <w:t>ка</w:t>
      </w:r>
      <w:r w:rsidR="00610411" w:rsidRPr="00F6340E">
        <w:t xml:space="preserve"> </w:t>
      </w:r>
      <w:r w:rsidR="00A56E08">
        <w:t>кам</w:t>
      </w:r>
      <w:r w:rsidR="00EE6AA2">
        <w:t>е</w:t>
      </w:r>
      <w:r>
        <w:t>р</w:t>
      </w:r>
      <w:r w:rsidR="00A56E08">
        <w:t>а</w:t>
      </w:r>
      <w:r w:rsidR="0039585F" w:rsidRPr="00F6340E">
        <w:t xml:space="preserve">, </w:t>
      </w:r>
      <w:r>
        <w:t>шт</w:t>
      </w:r>
      <w:r w:rsidR="00A56E08">
        <w:t>ам</w:t>
      </w:r>
      <w:r>
        <w:t>п</w:t>
      </w:r>
      <w:r w:rsidR="00A56E08">
        <w:t>ачи</w:t>
      </w:r>
      <w:r w:rsidR="0039585F" w:rsidRPr="00F6340E">
        <w:t xml:space="preserve">, </w:t>
      </w:r>
      <w:r>
        <w:t>с</w:t>
      </w:r>
      <w:r w:rsidR="00A56E08">
        <w:t>к</w:t>
      </w:r>
      <w:r w:rsidR="00EE6AA2">
        <w:t>е</w:t>
      </w:r>
      <w:r w:rsidR="00A56E08">
        <w:t>н</w:t>
      </w:r>
      <w:r w:rsidR="00EE6AA2">
        <w:t>е</w:t>
      </w:r>
      <w:r>
        <w:t>р</w:t>
      </w:r>
      <w:r w:rsidR="00A56E08">
        <w:t>и</w:t>
      </w:r>
      <w:r w:rsidR="00610411" w:rsidRPr="00F6340E">
        <w:t xml:space="preserve"> </w:t>
      </w:r>
      <w:r w:rsidR="00A56E08">
        <w:t>и</w:t>
      </w:r>
      <w:r w:rsidR="0039585F" w:rsidRPr="00F6340E">
        <w:t xml:space="preserve"> </w:t>
      </w:r>
      <w:r>
        <w:t>с</w:t>
      </w:r>
      <w:r w:rsidR="00A56E08">
        <w:t>л</w:t>
      </w:r>
      <w:r w:rsidR="007E2AE7" w:rsidRPr="00F6340E">
        <w:t>.</w:t>
      </w:r>
      <w:r w:rsidR="0039585F" w:rsidRPr="00F6340E">
        <w:t xml:space="preserve">). </w:t>
      </w:r>
      <w:r>
        <w:t>П</w:t>
      </w:r>
      <w:r w:rsidR="00A56E08">
        <w:t>о</w:t>
      </w:r>
      <w:r>
        <w:t>р</w:t>
      </w:r>
      <w:r w:rsidR="00EE6AA2">
        <w:t>е</w:t>
      </w:r>
      <w:r w:rsidR="00A56E08">
        <w:t>д</w:t>
      </w:r>
      <w:r w:rsidR="0039585F" w:rsidRPr="00F6340E">
        <w:t xml:space="preserve"> </w:t>
      </w:r>
      <w:r w:rsidR="00A56E08">
        <w:t>о</w:t>
      </w:r>
      <w:r>
        <w:t>п</w:t>
      </w:r>
      <w:r w:rsidR="00EE6AA2">
        <w:t>е</w:t>
      </w:r>
      <w:r>
        <w:t>р</w:t>
      </w:r>
      <w:r w:rsidR="00A56E08">
        <w:t>а</w:t>
      </w:r>
      <w:r>
        <w:t>т</w:t>
      </w:r>
      <w:r w:rsidR="00A56E08">
        <w:t>и</w:t>
      </w:r>
      <w:r>
        <w:t>в</w:t>
      </w:r>
      <w:r w:rsidR="00A56E08">
        <w:t>ног</w:t>
      </w:r>
      <w:r w:rsidR="0039585F" w:rsidRPr="00F6340E">
        <w:t xml:space="preserve"> </w:t>
      </w:r>
      <w:r>
        <w:t>с</w:t>
      </w:r>
      <w:r w:rsidR="00A56E08">
        <w:t>и</w:t>
      </w:r>
      <w:r>
        <w:t>ст</w:t>
      </w:r>
      <w:r w:rsidR="00EE6AA2">
        <w:t>е</w:t>
      </w:r>
      <w:r w:rsidR="00A56E08">
        <w:t>ма</w:t>
      </w:r>
      <w:r w:rsidR="0039585F" w:rsidRPr="00F6340E">
        <w:t xml:space="preserve">, </w:t>
      </w:r>
      <w:r w:rsidR="00A56E08">
        <w:t>о</w:t>
      </w:r>
      <w:r>
        <w:t>с</w:t>
      </w:r>
      <w:r w:rsidR="00A56E08">
        <w:t>но</w:t>
      </w:r>
      <w:r>
        <w:t>в</w:t>
      </w:r>
      <w:r w:rsidR="00A56E08">
        <w:t>ни</w:t>
      </w:r>
      <w:r w:rsidR="0039585F" w:rsidRPr="00F6340E">
        <w:t xml:space="preserve"> </w:t>
      </w:r>
      <w:r w:rsidR="00A56E08">
        <w:t>а</w:t>
      </w:r>
      <w:r>
        <w:t>п</w:t>
      </w:r>
      <w:r w:rsidR="00A56E08">
        <w:t>ликациони</w:t>
      </w:r>
      <w:r w:rsidR="007E2AE7" w:rsidRPr="00F6340E">
        <w:t xml:space="preserve"> </w:t>
      </w:r>
      <w:r>
        <w:t>п</w:t>
      </w:r>
      <w:r w:rsidR="00A56E08">
        <w:t>ак</w:t>
      </w:r>
      <w:r w:rsidR="00EE6AA2">
        <w:t>е</w:t>
      </w:r>
      <w:r>
        <w:t>т</w:t>
      </w:r>
      <w:r w:rsidR="0039585F" w:rsidRPr="00F6340E">
        <w:t xml:space="preserve"> </w:t>
      </w:r>
      <w:r>
        <w:t>пр</w:t>
      </w:r>
      <w:r w:rsidR="00EE6AA2">
        <w:t>е</w:t>
      </w:r>
      <w:r w:rsidR="00A56E08">
        <w:t>д</w:t>
      </w:r>
      <w:r>
        <w:t>ст</w:t>
      </w:r>
      <w:r w:rsidR="00A56E08">
        <w:t>а</w:t>
      </w:r>
      <w:r>
        <w:t>в</w:t>
      </w:r>
      <w:r w:rsidR="00A56E08">
        <w:t>ља</w:t>
      </w:r>
      <w:r w:rsidR="0039585F" w:rsidRPr="00F6340E">
        <w:t xml:space="preserve"> </w:t>
      </w:r>
      <w:r w:rsidR="00A56E08">
        <w:t>и</w:t>
      </w:r>
      <w:r w:rsidR="0039585F" w:rsidRPr="00F6340E">
        <w:t xml:space="preserve"> </w:t>
      </w:r>
      <w:r>
        <w:t>ур</w:t>
      </w:r>
      <w:r w:rsidR="00EE6AA2">
        <w:t>е</w:t>
      </w:r>
      <w:r w:rsidR="00A56E08">
        <w:t>д</w:t>
      </w:r>
      <w:r>
        <w:t>с</w:t>
      </w:r>
      <w:r w:rsidR="00A56E08">
        <w:t>ки</w:t>
      </w:r>
      <w:r w:rsidR="0039585F" w:rsidRPr="00F6340E">
        <w:t xml:space="preserve"> </w:t>
      </w:r>
      <w:r>
        <w:t>п</w:t>
      </w:r>
      <w:r w:rsidR="00A56E08">
        <w:t>ак</w:t>
      </w:r>
      <w:r w:rsidR="00EE6AA2">
        <w:t>е</w:t>
      </w:r>
      <w:r>
        <w:t>т</w:t>
      </w:r>
      <w:r w:rsidR="0039585F" w:rsidRPr="00F6340E">
        <w:t xml:space="preserve"> (</w:t>
      </w:r>
      <w:r>
        <w:t>с</w:t>
      </w:r>
      <w:r w:rsidR="00A56E08">
        <w:t>оф</w:t>
      </w:r>
      <w:r>
        <w:t>тв</w:t>
      </w:r>
      <w:r w:rsidR="00EE6AA2">
        <w:t>е</w:t>
      </w:r>
      <w:r>
        <w:t>р</w:t>
      </w:r>
      <w:r w:rsidR="0039585F" w:rsidRPr="00F6340E">
        <w:t xml:space="preserve"> </w:t>
      </w:r>
      <w:r w:rsidR="00171F00">
        <w:t>з</w:t>
      </w:r>
      <w:r w:rsidR="00A56E08">
        <w:t>а</w:t>
      </w:r>
      <w:r w:rsidR="0039585F" w:rsidRPr="00F6340E">
        <w:t xml:space="preserve"> </w:t>
      </w:r>
      <w:r w:rsidR="00A56E08">
        <w:t>об</w:t>
      </w:r>
      <w:r>
        <w:t>р</w:t>
      </w:r>
      <w:r w:rsidR="00A56E08">
        <w:t>ад</w:t>
      </w:r>
      <w:r>
        <w:t>у</w:t>
      </w:r>
      <w:r w:rsidR="0039585F" w:rsidRPr="00F6340E">
        <w:t xml:space="preserve"> </w:t>
      </w:r>
      <w:r>
        <w:t>т</w:t>
      </w:r>
      <w:r w:rsidR="00EE6AA2">
        <w:t>е</w:t>
      </w:r>
      <w:r w:rsidR="00A56E08">
        <w:t>к</w:t>
      </w:r>
      <w:r>
        <w:t>ст</w:t>
      </w:r>
      <w:r w:rsidR="00A56E08">
        <w:t>а</w:t>
      </w:r>
      <w:r w:rsidR="0039585F" w:rsidRPr="00F6340E">
        <w:t xml:space="preserve">, </w:t>
      </w:r>
      <w:r>
        <w:t>т</w:t>
      </w:r>
      <w:r w:rsidR="00A56E08">
        <w:t>аб</w:t>
      </w:r>
      <w:r w:rsidR="00EE6AA2">
        <w:t>е</w:t>
      </w:r>
      <w:r w:rsidR="00A56E08">
        <w:t>ла</w:t>
      </w:r>
      <w:r>
        <w:t>р</w:t>
      </w:r>
      <w:r w:rsidR="00A56E08">
        <w:t>н</w:t>
      </w:r>
      <w:r w:rsidR="00EE6AA2">
        <w:t>е</w:t>
      </w:r>
      <w:r w:rsidR="0039585F" w:rsidRPr="00F6340E">
        <w:t xml:space="preserve"> </w:t>
      </w:r>
      <w:r>
        <w:t>пр</w:t>
      </w:r>
      <w:r w:rsidR="00A56E08">
        <w:t>о</w:t>
      </w:r>
      <w:r>
        <w:t>р</w:t>
      </w:r>
      <w:r w:rsidR="00A56E08">
        <w:t>ач</w:t>
      </w:r>
      <w:r>
        <w:t>у</w:t>
      </w:r>
      <w:r w:rsidR="00A56E08">
        <w:t>н</w:t>
      </w:r>
      <w:r w:rsidR="00EE6AA2">
        <w:t>е</w:t>
      </w:r>
      <w:r w:rsidR="0039585F" w:rsidRPr="00F6340E">
        <w:t xml:space="preserve">, </w:t>
      </w:r>
      <w:r w:rsidR="00A56E08">
        <w:t>и</w:t>
      </w:r>
      <w:r w:rsidR="00171F00">
        <w:t>з</w:t>
      </w:r>
      <w:r>
        <w:t>р</w:t>
      </w:r>
      <w:r w:rsidR="00A56E08">
        <w:t>ад</w:t>
      </w:r>
      <w:r>
        <w:t>у</w:t>
      </w:r>
      <w:r w:rsidR="0039585F" w:rsidRPr="00F6340E">
        <w:t xml:space="preserve"> </w:t>
      </w:r>
      <w:r>
        <w:t>пр</w:t>
      </w:r>
      <w:r w:rsidR="00EE6AA2">
        <w:t>е</w:t>
      </w:r>
      <w:r w:rsidR="00171F00">
        <w:t>з</w:t>
      </w:r>
      <w:r w:rsidR="00EE6AA2">
        <w:t>е</w:t>
      </w:r>
      <w:r w:rsidR="00A56E08">
        <w:t>н</w:t>
      </w:r>
      <w:r>
        <w:t>т</w:t>
      </w:r>
      <w:r w:rsidR="00A56E08">
        <w:t>ација</w:t>
      </w:r>
      <w:r w:rsidR="0039585F" w:rsidRPr="00F6340E">
        <w:t>).</w:t>
      </w:r>
    </w:p>
    <w:p w14:paraId="2F672B4C" w14:textId="4C6DD665" w:rsidR="0039585F" w:rsidRPr="00F6340E" w:rsidRDefault="00A56E08" w:rsidP="00FA4DC9">
      <w:pPr>
        <w:pStyle w:val="Body"/>
      </w:pPr>
      <w:r>
        <w:t>Об</w:t>
      </w:r>
      <w:r w:rsidR="0071360A">
        <w:t>р</w:t>
      </w:r>
      <w:r>
        <w:t>а</w:t>
      </w:r>
      <w:r w:rsidR="00171F00">
        <w:t>з</w:t>
      </w:r>
      <w:r>
        <w:t>о</w:t>
      </w:r>
      <w:r w:rsidR="0071360A">
        <w:t>в</w:t>
      </w:r>
      <w:r>
        <w:t>н</w:t>
      </w:r>
      <w:r w:rsidR="00EE6AA2">
        <w:t>е</w:t>
      </w:r>
      <w:r w:rsidR="00780E20" w:rsidRPr="00F6340E">
        <w:t xml:space="preserve"> </w:t>
      </w:r>
      <w:r>
        <w:t>ин</w:t>
      </w:r>
      <w:r w:rsidR="0071360A">
        <w:t>ст</w:t>
      </w:r>
      <w:r>
        <w:t>и</w:t>
      </w:r>
      <w:r w:rsidR="0071360A">
        <w:t>ту</w:t>
      </w:r>
      <w:r>
        <w:t>циј</w:t>
      </w:r>
      <w:r w:rsidR="00EE6AA2">
        <w:t>е</w:t>
      </w:r>
      <w:r w:rsidR="0039585F" w:rsidRPr="00F6340E">
        <w:t xml:space="preserve"> </w:t>
      </w:r>
      <w:r>
        <w:t>мог</w:t>
      </w:r>
      <w:r w:rsidR="0071360A">
        <w:t>у</w:t>
      </w:r>
      <w:r w:rsidR="0039585F" w:rsidRPr="00F6340E">
        <w:t xml:space="preserve"> </w:t>
      </w:r>
      <w:r w:rsidR="0071360A">
        <w:t>уп</w:t>
      </w:r>
      <w:r>
        <w:t>о</w:t>
      </w:r>
      <w:r w:rsidR="0071360A">
        <w:t>тр</w:t>
      </w:r>
      <w:r>
        <w:t>иј</w:t>
      </w:r>
      <w:r w:rsidR="00EE6AA2">
        <w:t>е</w:t>
      </w:r>
      <w:r>
        <w:t>би</w:t>
      </w:r>
      <w:r w:rsidR="0071360A">
        <w:t>т</w:t>
      </w:r>
      <w:r>
        <w:t>и</w:t>
      </w:r>
      <w:r w:rsidR="00610411" w:rsidRPr="00F6340E">
        <w:t xml:space="preserve"> </w:t>
      </w:r>
      <w:r>
        <w:t>н</w:t>
      </w:r>
      <w:r w:rsidR="00EE6AA2">
        <w:t>е</w:t>
      </w:r>
      <w:r>
        <w:t>к</w:t>
      </w:r>
      <w:r w:rsidR="0071360A">
        <w:t>у</w:t>
      </w:r>
      <w:r w:rsidR="00780E20" w:rsidRPr="00F6340E">
        <w:t xml:space="preserve"> </w:t>
      </w:r>
      <w:r>
        <w:t>од</w:t>
      </w:r>
      <w:r w:rsidR="0039585F" w:rsidRPr="00F6340E">
        <w:t xml:space="preserve"> </w:t>
      </w:r>
      <w:r>
        <w:t>б</w:t>
      </w:r>
      <w:r w:rsidR="00EE6AA2">
        <w:t>е</w:t>
      </w:r>
      <w:r w:rsidR="0071360A">
        <w:t>сп</w:t>
      </w:r>
      <w:r>
        <w:t>ла</w:t>
      </w:r>
      <w:r w:rsidR="0071360A">
        <w:t>т</w:t>
      </w:r>
      <w:r>
        <w:t>но</w:t>
      </w:r>
      <w:r w:rsidR="0039585F" w:rsidRPr="00F6340E">
        <w:t xml:space="preserve"> </w:t>
      </w:r>
      <w:r>
        <w:t>до</w:t>
      </w:r>
      <w:r w:rsidR="0071360A">
        <w:t>ступ</w:t>
      </w:r>
      <w:r>
        <w:t>них</w:t>
      </w:r>
      <w:r w:rsidR="0039585F" w:rsidRPr="00F6340E">
        <w:t xml:space="preserve"> </w:t>
      </w:r>
      <w:r w:rsidR="0071360A">
        <w:t>п</w:t>
      </w:r>
      <w:r>
        <w:t>ла</w:t>
      </w:r>
      <w:r w:rsidR="0071360A">
        <w:t>т</w:t>
      </w:r>
      <w:r>
        <w:t>фо</w:t>
      </w:r>
      <w:r w:rsidR="0071360A">
        <w:t>р</w:t>
      </w:r>
      <w:r>
        <w:t>ми</w:t>
      </w:r>
      <w:r w:rsidR="0039585F" w:rsidRPr="00F6340E">
        <w:t xml:space="preserve"> </w:t>
      </w:r>
      <w:r w:rsidR="00171F00">
        <w:t>з</w:t>
      </w:r>
      <w:r>
        <w:t>а</w:t>
      </w:r>
      <w:r w:rsidR="0039585F" w:rsidRPr="00F6340E">
        <w:t xml:space="preserve"> </w:t>
      </w:r>
      <w:r w:rsidR="00EE6AA2">
        <w:t>е</w:t>
      </w:r>
      <w:r w:rsidR="0039585F" w:rsidRPr="00F6340E">
        <w:t>-</w:t>
      </w:r>
      <w:r w:rsidR="0071360A">
        <w:t>у</w:t>
      </w:r>
      <w:r>
        <w:t>ч</w:t>
      </w:r>
      <w:r w:rsidR="00EE6AA2">
        <w:t>е</w:t>
      </w:r>
      <w:r>
        <w:t>њ</w:t>
      </w:r>
      <w:r w:rsidR="00EE6AA2">
        <w:t>е</w:t>
      </w:r>
      <w:r w:rsidR="0039585F" w:rsidRPr="00F6340E">
        <w:t xml:space="preserve">, </w:t>
      </w:r>
      <w:r w:rsidR="0071360A">
        <w:t>п</w:t>
      </w:r>
      <w:r>
        <w:t>од</w:t>
      </w:r>
      <w:r w:rsidR="00780E20" w:rsidRPr="00F6340E">
        <w:t xml:space="preserve"> </w:t>
      </w:r>
      <w:r w:rsidR="0071360A">
        <w:t>ус</w:t>
      </w:r>
      <w:r>
        <w:t>ло</w:t>
      </w:r>
      <w:r w:rsidR="0071360A">
        <w:t>в</w:t>
      </w:r>
      <w:r>
        <w:t>ом</w:t>
      </w:r>
      <w:r w:rsidR="00610411" w:rsidRPr="00F6340E">
        <w:t xml:space="preserve"> </w:t>
      </w:r>
      <w:r>
        <w:t>да</w:t>
      </w:r>
      <w:r w:rsidR="0039585F" w:rsidRPr="00F6340E">
        <w:t xml:space="preserve"> </w:t>
      </w:r>
      <w:r>
        <w:t>имај</w:t>
      </w:r>
      <w:r w:rsidR="0071360A">
        <w:t>у</w:t>
      </w:r>
      <w:r w:rsidR="0039585F" w:rsidRPr="00F6340E">
        <w:t xml:space="preserve"> </w:t>
      </w:r>
      <w:r>
        <w:t>ј</w:t>
      </w:r>
      <w:r w:rsidR="00EE6AA2">
        <w:t>е</w:t>
      </w:r>
      <w:r>
        <w:t>дин</w:t>
      </w:r>
      <w:r w:rsidR="0071360A">
        <w:t>ств</w:t>
      </w:r>
      <w:r w:rsidR="00EE6AA2">
        <w:t>е</w:t>
      </w:r>
      <w:r>
        <w:t>н</w:t>
      </w:r>
      <w:r w:rsidR="0071360A">
        <w:t>у</w:t>
      </w:r>
      <w:r w:rsidR="0039585F" w:rsidRPr="00F6340E">
        <w:t xml:space="preserve"> </w:t>
      </w:r>
      <w:r>
        <w:t>об</w:t>
      </w:r>
      <w:r w:rsidR="0071360A">
        <w:t>р</w:t>
      </w:r>
      <w:r>
        <w:t>а</w:t>
      </w:r>
      <w:r w:rsidR="00171F00">
        <w:t>з</w:t>
      </w:r>
      <w:r>
        <w:t>о</w:t>
      </w:r>
      <w:r w:rsidR="0071360A">
        <w:t>в</w:t>
      </w:r>
      <w:r>
        <w:t>н</w:t>
      </w:r>
      <w:r w:rsidR="0071360A">
        <w:t>у</w:t>
      </w:r>
      <w:r w:rsidR="0039585F" w:rsidRPr="00F6340E">
        <w:t xml:space="preserve"> </w:t>
      </w:r>
      <w:r>
        <w:t>дом</w:t>
      </w:r>
      <w:r w:rsidR="00EE6AA2">
        <w:t>е</w:t>
      </w:r>
      <w:r>
        <w:t>н</w:t>
      </w:r>
      <w:r w:rsidR="0071360A">
        <w:t>у</w:t>
      </w:r>
      <w:r w:rsidR="0039585F" w:rsidRPr="00F6340E">
        <w:t xml:space="preserve"> </w:t>
      </w:r>
      <w:r>
        <w:t>и</w:t>
      </w:r>
      <w:r w:rsidR="0039585F" w:rsidRPr="00F6340E">
        <w:t xml:space="preserve"> </w:t>
      </w:r>
      <w:r>
        <w:t>ин</w:t>
      </w:r>
      <w:r w:rsidR="0071360A">
        <w:t>т</w:t>
      </w:r>
      <w:r w:rsidR="00EE6AA2">
        <w:t>е</w:t>
      </w:r>
      <w:r w:rsidR="0071360A">
        <w:t>р</w:t>
      </w:r>
      <w:r>
        <w:t>н</w:t>
      </w:r>
      <w:r w:rsidR="00EE6AA2">
        <w:t>е</w:t>
      </w:r>
      <w:r w:rsidR="0071360A">
        <w:t>т</w:t>
      </w:r>
      <w:r w:rsidR="0039585F" w:rsidRPr="00F6340E">
        <w:t xml:space="preserve"> </w:t>
      </w:r>
      <w:r w:rsidR="0071360A">
        <w:t>стр</w:t>
      </w:r>
      <w:r>
        <w:t>аниц</w:t>
      </w:r>
      <w:r w:rsidR="0071360A">
        <w:t>у</w:t>
      </w:r>
      <w:r w:rsidR="0039585F" w:rsidRPr="00F6340E">
        <w:t xml:space="preserve"> </w:t>
      </w:r>
      <w:r>
        <w:t>на</w:t>
      </w:r>
      <w:r w:rsidR="0039585F" w:rsidRPr="00F6340E">
        <w:t xml:space="preserve"> </w:t>
      </w:r>
      <w:r>
        <w:t>којој</w:t>
      </w:r>
      <w:r w:rsidR="0039585F" w:rsidRPr="00F6340E">
        <w:t xml:space="preserve"> </w:t>
      </w:r>
      <w:r>
        <w:t>мог</w:t>
      </w:r>
      <w:r w:rsidR="0071360A">
        <w:t>у</w:t>
      </w:r>
      <w:r w:rsidR="007E2AE7" w:rsidRPr="00F6340E">
        <w:t xml:space="preserve"> </w:t>
      </w:r>
      <w:r w:rsidR="0071360A">
        <w:t>п</w:t>
      </w:r>
      <w:r>
        <w:t>о</w:t>
      </w:r>
      <w:r w:rsidR="0071360A">
        <w:t>ст</w:t>
      </w:r>
      <w:r>
        <w:t>а</w:t>
      </w:r>
      <w:r w:rsidR="0071360A">
        <w:t>в</w:t>
      </w:r>
      <w:r>
        <w:t>и</w:t>
      </w:r>
      <w:r w:rsidR="0071360A">
        <w:t>т</w:t>
      </w:r>
      <w:r>
        <w:t>и</w:t>
      </w:r>
      <w:r w:rsidR="0039585F" w:rsidRPr="00F6340E">
        <w:t xml:space="preserve"> </w:t>
      </w:r>
      <w:r>
        <w:t>Ин</w:t>
      </w:r>
      <w:r w:rsidR="0071360A">
        <w:t>т</w:t>
      </w:r>
      <w:r w:rsidR="00EE6AA2">
        <w:t>е</w:t>
      </w:r>
      <w:r w:rsidR="0071360A">
        <w:t>р</w:t>
      </w:r>
      <w:r>
        <w:t>н</w:t>
      </w:r>
      <w:r w:rsidR="00EE6AA2">
        <w:t>е</w:t>
      </w:r>
      <w:r w:rsidR="0071360A">
        <w:t>т</w:t>
      </w:r>
      <w:r w:rsidR="007E2AE7" w:rsidRPr="00F6340E">
        <w:t xml:space="preserve"> </w:t>
      </w:r>
      <w:r w:rsidR="0071360A">
        <w:t>пр</w:t>
      </w:r>
      <w:r w:rsidR="00EE6AA2">
        <w:t>е</w:t>
      </w:r>
      <w:r w:rsidR="00171F00">
        <w:t>з</w:t>
      </w:r>
      <w:r w:rsidR="00EE6AA2">
        <w:t>е</w:t>
      </w:r>
      <w:r>
        <w:t>н</w:t>
      </w:r>
      <w:r w:rsidR="0071360A">
        <w:t>т</w:t>
      </w:r>
      <w:r>
        <w:t>ациј</w:t>
      </w:r>
      <w:r w:rsidR="0071360A">
        <w:t>у</w:t>
      </w:r>
      <w:r w:rsidR="00B04FA8">
        <w:t xml:space="preserve"> са </w:t>
      </w:r>
      <w:r>
        <w:t>о</w:t>
      </w:r>
      <w:r w:rsidR="0071360A">
        <w:t>с</w:t>
      </w:r>
      <w:r>
        <w:t>но</w:t>
      </w:r>
      <w:r w:rsidR="0071360A">
        <w:t>в</w:t>
      </w:r>
      <w:r>
        <w:t>ним</w:t>
      </w:r>
      <w:r w:rsidR="0039585F" w:rsidRPr="00F6340E">
        <w:t xml:space="preserve"> </w:t>
      </w:r>
      <w:r>
        <w:t>инфо</w:t>
      </w:r>
      <w:r w:rsidR="0071360A">
        <w:t>р</w:t>
      </w:r>
      <w:r>
        <w:t>мацијама</w:t>
      </w:r>
      <w:r w:rsidR="0039585F" w:rsidRPr="00F6340E">
        <w:t xml:space="preserve"> </w:t>
      </w:r>
      <w:r>
        <w:t>о</w:t>
      </w:r>
      <w:r w:rsidR="0039585F" w:rsidRPr="00F6340E">
        <w:t xml:space="preserve"> </w:t>
      </w:r>
      <w:r>
        <w:t>об</w:t>
      </w:r>
      <w:r w:rsidR="0071360A">
        <w:t>р</w:t>
      </w:r>
      <w:r>
        <w:t>а</w:t>
      </w:r>
      <w:r w:rsidR="00171F00">
        <w:t>з</w:t>
      </w:r>
      <w:r>
        <w:t>о</w:t>
      </w:r>
      <w:r w:rsidR="0071360A">
        <w:t>в</w:t>
      </w:r>
      <w:r>
        <w:t>ној</w:t>
      </w:r>
      <w:r w:rsidR="0039585F" w:rsidRPr="00F6340E">
        <w:t xml:space="preserve"> </w:t>
      </w:r>
      <w:r>
        <w:t>ин</w:t>
      </w:r>
      <w:r w:rsidR="0071360A">
        <w:t>ст</w:t>
      </w:r>
      <w:r>
        <w:t>и</w:t>
      </w:r>
      <w:r w:rsidR="0071360A">
        <w:t>ту</w:t>
      </w:r>
      <w:r>
        <w:t>цији</w:t>
      </w:r>
      <w:r w:rsidR="0039585F" w:rsidRPr="00F6340E">
        <w:t xml:space="preserve">. </w:t>
      </w:r>
      <w:r w:rsidR="0071360A">
        <w:t>П</w:t>
      </w:r>
      <w:r>
        <w:t>ла</w:t>
      </w:r>
      <w:r w:rsidR="0071360A">
        <w:t>т</w:t>
      </w:r>
      <w:r>
        <w:t>фо</w:t>
      </w:r>
      <w:r w:rsidR="0071360A">
        <w:t>р</w:t>
      </w:r>
      <w:r>
        <w:t>м</w:t>
      </w:r>
      <w:r w:rsidR="0071360A">
        <w:t>у</w:t>
      </w:r>
      <w:r w:rsidR="00780E20" w:rsidRPr="00F6340E">
        <w:t xml:space="preserve"> </w:t>
      </w:r>
      <w:r>
        <w:t>ко</w:t>
      </w:r>
      <w:r w:rsidR="0071360A">
        <w:t>р</w:t>
      </w:r>
      <w:r>
        <w:t>и</w:t>
      </w:r>
      <w:r w:rsidR="0071360A">
        <w:t>ст</w:t>
      </w:r>
      <w:r w:rsidR="00EE6AA2">
        <w:t>е</w:t>
      </w:r>
      <w:r w:rsidR="007E2AE7" w:rsidRPr="00F6340E">
        <w:t xml:space="preserve"> </w:t>
      </w:r>
      <w:r>
        <w:t>и</w:t>
      </w:r>
      <w:r w:rsidR="00780E20" w:rsidRPr="00F6340E">
        <w:t xml:space="preserve"> </w:t>
      </w:r>
      <w:r w:rsidR="0071360A">
        <w:t>св</w:t>
      </w:r>
      <w:r>
        <w:t>и</w:t>
      </w:r>
      <w:r w:rsidR="00780E20" w:rsidRPr="00F6340E">
        <w:t xml:space="preserve"> </w:t>
      </w:r>
      <w:r>
        <w:t>њ</w:t>
      </w:r>
      <w:r w:rsidR="00EE6AA2">
        <w:t>е</w:t>
      </w:r>
      <w:r>
        <w:t>ни</w:t>
      </w:r>
      <w:r w:rsidR="00780E20" w:rsidRPr="00F6340E">
        <w:t xml:space="preserve"> </w:t>
      </w:r>
      <w:r>
        <w:t>ко</w:t>
      </w:r>
      <w:r w:rsidR="0071360A">
        <w:t>р</w:t>
      </w:r>
      <w:r>
        <w:t>и</w:t>
      </w:r>
      <w:r w:rsidR="0071360A">
        <w:t>с</w:t>
      </w:r>
      <w:r>
        <w:t>ници</w:t>
      </w:r>
      <w:r w:rsidR="00780E20" w:rsidRPr="00F6340E">
        <w:t xml:space="preserve"> (</w:t>
      </w:r>
      <w:r>
        <w:t>на</w:t>
      </w:r>
      <w:r w:rsidR="0071360A">
        <w:t>ст</w:t>
      </w:r>
      <w:r>
        <w:t>а</w:t>
      </w:r>
      <w:r w:rsidR="0071360A">
        <w:t>в</w:t>
      </w:r>
      <w:r>
        <w:t>ници</w:t>
      </w:r>
      <w:r w:rsidR="00780E20" w:rsidRPr="00F6340E">
        <w:t xml:space="preserve"> </w:t>
      </w:r>
      <w:r>
        <w:t>и</w:t>
      </w:r>
      <w:r w:rsidR="00780E20" w:rsidRPr="00F6340E">
        <w:t xml:space="preserve"> </w:t>
      </w:r>
      <w:r w:rsidR="0071360A">
        <w:t>у</w:t>
      </w:r>
      <w:r>
        <w:t>ч</w:t>
      </w:r>
      <w:r w:rsidR="00EE6AA2">
        <w:t>е</w:t>
      </w:r>
      <w:r>
        <w:t>ници</w:t>
      </w:r>
      <w:r w:rsidR="00780E20" w:rsidRPr="00F6340E">
        <w:t>/</w:t>
      </w:r>
      <w:r w:rsidR="0071360A">
        <w:t>сту</w:t>
      </w:r>
      <w:r>
        <w:t>д</w:t>
      </w:r>
      <w:r w:rsidR="00EE6AA2">
        <w:t>е</w:t>
      </w:r>
      <w:r>
        <w:t>н</w:t>
      </w:r>
      <w:r w:rsidR="0071360A">
        <w:t>т</w:t>
      </w:r>
      <w:r>
        <w:t>и</w:t>
      </w:r>
      <w:r w:rsidR="00780E20" w:rsidRPr="00F6340E">
        <w:t xml:space="preserve">), </w:t>
      </w:r>
      <w:r>
        <w:t>који</w:t>
      </w:r>
      <w:r w:rsidR="005C448C" w:rsidRPr="00F6340E">
        <w:t xml:space="preserve"> </w:t>
      </w:r>
      <w:r w:rsidR="0071360A">
        <w:t>пр</w:t>
      </w:r>
      <w:r w:rsidR="00EE6AA2">
        <w:t>е</w:t>
      </w:r>
      <w:r>
        <w:t>ко</w:t>
      </w:r>
      <w:r w:rsidR="005C448C" w:rsidRPr="00F6340E">
        <w:t xml:space="preserve"> </w:t>
      </w:r>
      <w:r w:rsidR="0071360A">
        <w:t>св</w:t>
      </w:r>
      <w:r>
        <w:t>ог</w:t>
      </w:r>
      <w:r w:rsidR="005C448C" w:rsidRPr="00F6340E">
        <w:t xml:space="preserve"> </w:t>
      </w:r>
      <w:r>
        <w:t>ко</w:t>
      </w:r>
      <w:r w:rsidR="0071360A">
        <w:t>р</w:t>
      </w:r>
      <w:r>
        <w:t>и</w:t>
      </w:r>
      <w:r w:rsidR="0071360A">
        <w:t>с</w:t>
      </w:r>
      <w:r>
        <w:t>ничког</w:t>
      </w:r>
      <w:r w:rsidR="005C448C" w:rsidRPr="00F6340E">
        <w:t xml:space="preserve"> </w:t>
      </w:r>
      <w:r w:rsidR="0071360A">
        <w:t>р</w:t>
      </w:r>
      <w:r>
        <w:t>ач</w:t>
      </w:r>
      <w:r w:rsidR="0071360A">
        <w:t>у</w:t>
      </w:r>
      <w:r>
        <w:t>на</w:t>
      </w:r>
      <w:r w:rsidR="005C448C" w:rsidRPr="00F6340E">
        <w:t xml:space="preserve"> (</w:t>
      </w:r>
      <w:r w:rsidR="00EE6AA2">
        <w:t>е</w:t>
      </w:r>
      <w:r w:rsidR="005C448C" w:rsidRPr="00F6340E">
        <w:t>-</w:t>
      </w:r>
      <w:r>
        <w:t>маила</w:t>
      </w:r>
      <w:r w:rsidR="005C448C" w:rsidRPr="00F6340E">
        <w:t xml:space="preserve">) </w:t>
      </w:r>
      <w:r>
        <w:t>мог</w:t>
      </w:r>
      <w:r w:rsidR="0071360A">
        <w:t>у</w:t>
      </w:r>
      <w:r w:rsidR="005C448C" w:rsidRPr="00F6340E">
        <w:t xml:space="preserve"> </w:t>
      </w:r>
      <w:r w:rsidR="0071360A">
        <w:t>пр</w:t>
      </w:r>
      <w:r>
        <w:t>и</w:t>
      </w:r>
      <w:r w:rsidR="0071360A">
        <w:t>ступ</w:t>
      </w:r>
      <w:r>
        <w:t>и</w:t>
      </w:r>
      <w:r w:rsidR="0071360A">
        <w:t>т</w:t>
      </w:r>
      <w:r>
        <w:t>и</w:t>
      </w:r>
      <w:r w:rsidR="0039585F" w:rsidRPr="00F6340E">
        <w:t xml:space="preserve"> </w:t>
      </w:r>
      <w:r w:rsidR="0071360A">
        <w:t>п</w:t>
      </w:r>
      <w:r>
        <w:t>ла</w:t>
      </w:r>
      <w:r w:rsidR="0071360A">
        <w:t>т</w:t>
      </w:r>
      <w:r>
        <w:t>фо</w:t>
      </w:r>
      <w:r w:rsidR="0071360A">
        <w:t>р</w:t>
      </w:r>
      <w:r>
        <w:t>ми</w:t>
      </w:r>
      <w:r w:rsidR="005C448C" w:rsidRPr="00F6340E">
        <w:t xml:space="preserve"> </w:t>
      </w:r>
      <w:r w:rsidR="0071360A">
        <w:t>т</w:t>
      </w:r>
      <w:r w:rsidR="00EE6AA2">
        <w:t>е</w:t>
      </w:r>
      <w:r w:rsidR="005C448C" w:rsidRPr="00F6340E">
        <w:t xml:space="preserve"> </w:t>
      </w:r>
      <w:r>
        <w:t>а</w:t>
      </w:r>
      <w:r w:rsidR="0071360A">
        <w:t>п</w:t>
      </w:r>
      <w:r>
        <w:t>ликацијама</w:t>
      </w:r>
      <w:r w:rsidR="005C448C" w:rsidRPr="00F6340E">
        <w:t xml:space="preserve"> </w:t>
      </w:r>
      <w:r>
        <w:t>и</w:t>
      </w:r>
      <w:r w:rsidR="005C448C" w:rsidRPr="00F6340E">
        <w:t xml:space="preserve"> </w:t>
      </w:r>
      <w:r w:rsidR="0071360A">
        <w:t>р</w:t>
      </w:r>
      <w:r w:rsidR="00EE6AA2">
        <w:t>е</w:t>
      </w:r>
      <w:r w:rsidR="0071360A">
        <w:t>сурс</w:t>
      </w:r>
      <w:r>
        <w:t>има</w:t>
      </w:r>
      <w:r w:rsidR="005C448C" w:rsidRPr="00F6340E">
        <w:t xml:space="preserve"> </w:t>
      </w:r>
      <w:r>
        <w:t>кој</w:t>
      </w:r>
      <w:r w:rsidR="00EE6AA2">
        <w:t>е</w:t>
      </w:r>
      <w:r w:rsidR="005C448C" w:rsidRPr="00F6340E">
        <w:t xml:space="preserve"> </w:t>
      </w:r>
      <w:r>
        <w:t>она</w:t>
      </w:r>
      <w:r w:rsidR="005C448C" w:rsidRPr="00F6340E">
        <w:t xml:space="preserve"> </w:t>
      </w:r>
      <w:r>
        <w:t>н</w:t>
      </w:r>
      <w:r w:rsidR="0071360A">
        <w:t>у</w:t>
      </w:r>
      <w:r>
        <w:t>ди</w:t>
      </w:r>
      <w:r w:rsidR="005C448C" w:rsidRPr="00F6340E">
        <w:t xml:space="preserve">. </w:t>
      </w:r>
      <w:r w:rsidR="0039585F" w:rsidRPr="00F6340E">
        <w:t xml:space="preserve"> </w:t>
      </w:r>
    </w:p>
    <w:p w14:paraId="23F4D110" w14:textId="57795542" w:rsidR="0039585F" w:rsidRPr="00F6340E" w:rsidRDefault="0071360A" w:rsidP="00FA4DC9">
      <w:pPr>
        <w:pStyle w:val="Body"/>
      </w:pPr>
      <w:r>
        <w:t>П</w:t>
      </w:r>
      <w:r w:rsidR="00A56E08">
        <w:t>ла</w:t>
      </w:r>
      <w:r>
        <w:t>т</w:t>
      </w:r>
      <w:r w:rsidR="00A56E08">
        <w:t>фо</w:t>
      </w:r>
      <w:r>
        <w:t>р</w:t>
      </w:r>
      <w:r w:rsidR="00A56E08">
        <w:t>ма</w:t>
      </w:r>
      <w:r w:rsidR="0039585F" w:rsidRPr="00F6340E">
        <w:t xml:space="preserve"> </w:t>
      </w:r>
      <w:r w:rsidR="00A56E08">
        <w:t>мо</w:t>
      </w:r>
      <w:r w:rsidR="00171F00">
        <w:t>ж</w:t>
      </w:r>
      <w:r w:rsidR="00EE6AA2">
        <w:t>е</w:t>
      </w:r>
      <w:r w:rsidR="0039585F" w:rsidRPr="00F6340E">
        <w:t xml:space="preserve"> </w:t>
      </w:r>
      <w:r w:rsidR="00A56E08">
        <w:t>би</w:t>
      </w:r>
      <w:r>
        <w:t>т</w:t>
      </w:r>
      <w:r w:rsidR="00A56E08">
        <w:t>и</w:t>
      </w:r>
      <w:r w:rsidR="0039585F" w:rsidRPr="00F6340E">
        <w:t xml:space="preserve"> </w:t>
      </w:r>
      <w:r w:rsidR="00A56E08">
        <w:t>одаб</w:t>
      </w:r>
      <w:r>
        <w:t>р</w:t>
      </w:r>
      <w:r w:rsidR="00A56E08">
        <w:t>ана</w:t>
      </w:r>
      <w:r w:rsidR="0039585F" w:rsidRPr="00F6340E">
        <w:t xml:space="preserve"> </w:t>
      </w:r>
      <w:r w:rsidR="00A56E08">
        <w:t>од</w:t>
      </w:r>
      <w:r w:rsidR="0039585F" w:rsidRPr="00F6340E">
        <w:t xml:space="preserve"> </w:t>
      </w:r>
      <w:r>
        <w:t>стр</w:t>
      </w:r>
      <w:r w:rsidR="00A56E08">
        <w:t>ан</w:t>
      </w:r>
      <w:r w:rsidR="00EE6AA2">
        <w:t>е</w:t>
      </w:r>
      <w:r w:rsidR="0039585F" w:rsidRPr="00F6340E">
        <w:t xml:space="preserve"> </w:t>
      </w:r>
      <w:r w:rsidR="00A56E08">
        <w:t>об</w:t>
      </w:r>
      <w:r>
        <w:t>р</w:t>
      </w:r>
      <w:r w:rsidR="00A56E08">
        <w:t>а</w:t>
      </w:r>
      <w:r w:rsidR="00171F00">
        <w:t>з</w:t>
      </w:r>
      <w:r w:rsidR="00A56E08">
        <w:t>о</w:t>
      </w:r>
      <w:r>
        <w:t>в</w:t>
      </w:r>
      <w:r w:rsidR="00A56E08">
        <w:t>н</w:t>
      </w:r>
      <w:r w:rsidR="00EE6AA2">
        <w:t>е</w:t>
      </w:r>
      <w:r w:rsidR="0039585F" w:rsidRPr="00F6340E">
        <w:t xml:space="preserve"> </w:t>
      </w:r>
      <w:r w:rsidR="00A56E08">
        <w:t>ин</w:t>
      </w:r>
      <w:r>
        <w:t>ст</w:t>
      </w:r>
      <w:r w:rsidR="00A56E08">
        <w:t>и</w:t>
      </w:r>
      <w:r>
        <w:t>ту</w:t>
      </w:r>
      <w:r w:rsidR="00A56E08">
        <w:t>циј</w:t>
      </w:r>
      <w:r w:rsidR="00EE6AA2">
        <w:t>е</w:t>
      </w:r>
      <w:r w:rsidR="005C448C" w:rsidRPr="00F6340E">
        <w:t xml:space="preserve">, </w:t>
      </w:r>
      <w:r>
        <w:t>п</w:t>
      </w:r>
      <w:r w:rsidR="00A56E08">
        <w:t>ој</w:t>
      </w:r>
      <w:r w:rsidR="00EE6AA2">
        <w:t>е</w:t>
      </w:r>
      <w:r w:rsidR="00A56E08">
        <w:t>диначно</w:t>
      </w:r>
      <w:r w:rsidR="0039585F" w:rsidRPr="00F6340E">
        <w:t xml:space="preserve"> </w:t>
      </w:r>
      <w:r w:rsidR="00A56E08">
        <w:t>или</w:t>
      </w:r>
      <w:r w:rsidR="0039585F" w:rsidRPr="00F6340E">
        <w:t xml:space="preserve"> </w:t>
      </w:r>
      <w:r w:rsidR="00A56E08">
        <w:t>на</w:t>
      </w:r>
      <w:r w:rsidR="005C448C" w:rsidRPr="00F6340E">
        <w:t xml:space="preserve"> </w:t>
      </w:r>
      <w:r w:rsidR="00A56E08">
        <w:t>ни</w:t>
      </w:r>
      <w:r>
        <w:t>в</w:t>
      </w:r>
      <w:r w:rsidR="00A56E08">
        <w:t>о</w:t>
      </w:r>
      <w:r>
        <w:t>у</w:t>
      </w:r>
      <w:r w:rsidR="0039585F" w:rsidRPr="00F6340E">
        <w:t xml:space="preserve"> </w:t>
      </w:r>
      <w:r w:rsidR="00A56E08">
        <w:t>ј</w:t>
      </w:r>
      <w:r w:rsidR="00EE6AA2">
        <w:t>е</w:t>
      </w:r>
      <w:r w:rsidR="00A56E08">
        <w:t>дн</w:t>
      </w:r>
      <w:r w:rsidR="00EE6AA2">
        <w:t>е</w:t>
      </w:r>
      <w:r w:rsidR="0039585F" w:rsidRPr="00F6340E">
        <w:t xml:space="preserve"> </w:t>
      </w:r>
      <w:r w:rsidR="00A56E08">
        <w:lastRenderedPageBreak/>
        <w:t>админи</w:t>
      </w:r>
      <w:r>
        <w:t>стр</w:t>
      </w:r>
      <w:r w:rsidR="00A56E08">
        <w:t>а</w:t>
      </w:r>
      <w:r>
        <w:t>т</w:t>
      </w:r>
      <w:r w:rsidR="00A56E08">
        <w:t>и</w:t>
      </w:r>
      <w:r>
        <w:t>в</w:t>
      </w:r>
      <w:r w:rsidR="00A56E08">
        <w:t>н</w:t>
      </w:r>
      <w:r w:rsidR="00EE6AA2">
        <w:t>е</w:t>
      </w:r>
      <w:r w:rsidR="0039585F" w:rsidRPr="00F6340E">
        <w:t xml:space="preserve"> </w:t>
      </w:r>
      <w:r w:rsidR="00A56E08">
        <w:t>ј</w:t>
      </w:r>
      <w:r w:rsidR="00EE6AA2">
        <w:t>е</w:t>
      </w:r>
      <w:r w:rsidR="00A56E08">
        <w:t>диниц</w:t>
      </w:r>
      <w:r w:rsidR="00EE6AA2">
        <w:t>е</w:t>
      </w:r>
      <w:r w:rsidR="0039585F" w:rsidRPr="00F6340E">
        <w:t xml:space="preserve"> (</w:t>
      </w:r>
      <w:r w:rsidR="00A56E08">
        <w:t>ј</w:t>
      </w:r>
      <w:r w:rsidR="00EE6AA2">
        <w:t>е</w:t>
      </w:r>
      <w:r w:rsidR="00A56E08">
        <w:t>дна</w:t>
      </w:r>
      <w:r w:rsidR="0039585F" w:rsidRPr="00F6340E">
        <w:t xml:space="preserve"> </w:t>
      </w:r>
      <w:r w:rsidR="00A56E08">
        <w:t>дом</w:t>
      </w:r>
      <w:r w:rsidR="00EE6AA2">
        <w:t>е</w:t>
      </w:r>
      <w:r w:rsidR="00A56E08">
        <w:t>на</w:t>
      </w:r>
      <w:r w:rsidR="0039585F" w:rsidRPr="00F6340E">
        <w:t xml:space="preserve"> </w:t>
      </w:r>
      <w:r w:rsidR="00171F00">
        <w:t>з</w:t>
      </w:r>
      <w:r w:rsidR="00A56E08">
        <w:t>а</w:t>
      </w:r>
      <w:r w:rsidR="0039585F" w:rsidRPr="00F6340E">
        <w:t xml:space="preserve"> </w:t>
      </w:r>
      <w:r>
        <w:t>св</w:t>
      </w:r>
      <w:r w:rsidR="00EE6AA2">
        <w:t>е</w:t>
      </w:r>
      <w:r w:rsidR="0039585F" w:rsidRPr="00F6340E">
        <w:t xml:space="preserve"> </w:t>
      </w:r>
      <w:r w:rsidR="00A56E08">
        <w:t>на</w:t>
      </w:r>
      <w:r>
        <w:t>ст</w:t>
      </w:r>
      <w:r w:rsidR="00A56E08">
        <w:t>а</w:t>
      </w:r>
      <w:r>
        <w:t>в</w:t>
      </w:r>
      <w:r w:rsidR="00A56E08">
        <w:t>ник</w:t>
      </w:r>
      <w:r w:rsidR="00EE6AA2">
        <w:t>е</w:t>
      </w:r>
      <w:r w:rsidR="0039585F" w:rsidRPr="00F6340E">
        <w:t xml:space="preserve"> </w:t>
      </w:r>
      <w:r w:rsidR="00A56E08">
        <w:t>и</w:t>
      </w:r>
      <w:r w:rsidR="0039585F" w:rsidRPr="00F6340E">
        <w:t xml:space="preserve"> </w:t>
      </w:r>
      <w:r>
        <w:t>у</w:t>
      </w:r>
      <w:r w:rsidR="00A56E08">
        <w:t>ч</w:t>
      </w:r>
      <w:r w:rsidR="00EE6AA2">
        <w:t>е</w:t>
      </w:r>
      <w:r w:rsidR="00A56E08">
        <w:t>ник</w:t>
      </w:r>
      <w:r w:rsidR="00EE6AA2">
        <w:t>е</w:t>
      </w:r>
      <w:r w:rsidR="0039585F" w:rsidRPr="00F6340E">
        <w:t>/</w:t>
      </w:r>
      <w:r>
        <w:t>сту</w:t>
      </w:r>
      <w:r w:rsidR="00A56E08">
        <w:t>д</w:t>
      </w:r>
      <w:r w:rsidR="00EE6AA2">
        <w:t>е</w:t>
      </w:r>
      <w:r w:rsidR="00A56E08">
        <w:t>н</w:t>
      </w:r>
      <w:r>
        <w:t>т</w:t>
      </w:r>
      <w:r w:rsidR="00EE6AA2">
        <w:t>е</w:t>
      </w:r>
      <w:r w:rsidR="0039585F" w:rsidRPr="00F6340E">
        <w:t>).</w:t>
      </w:r>
    </w:p>
    <w:p w14:paraId="02050D1C" w14:textId="6183E755" w:rsidR="0039585F" w:rsidRPr="00F6340E" w:rsidRDefault="0071360A" w:rsidP="00FA4DC9">
      <w:pPr>
        <w:pStyle w:val="Body"/>
      </w:pPr>
      <w:r>
        <w:t>П</w:t>
      </w:r>
      <w:r w:rsidR="00A56E08">
        <w:t>о</w:t>
      </w:r>
      <w:r>
        <w:t>ст</w:t>
      </w:r>
      <w:r w:rsidR="00A56E08">
        <w:t>ој</w:t>
      </w:r>
      <w:r w:rsidR="00EE6AA2">
        <w:t>е</w:t>
      </w:r>
      <w:r w:rsidR="00A56E08">
        <w:t>ћ</w:t>
      </w:r>
      <w:r w:rsidR="00EE6AA2">
        <w:t>е</w:t>
      </w:r>
      <w:r w:rsidR="005C448C" w:rsidRPr="00F6340E">
        <w:t xml:space="preserve"> </w:t>
      </w:r>
      <w:r>
        <w:t>п</w:t>
      </w:r>
      <w:r w:rsidR="00A56E08">
        <w:t>ла</w:t>
      </w:r>
      <w:r>
        <w:t>т</w:t>
      </w:r>
      <w:r w:rsidR="00A56E08">
        <w:t>фо</w:t>
      </w:r>
      <w:r>
        <w:t>р</w:t>
      </w:r>
      <w:r w:rsidR="00A56E08">
        <w:t>м</w:t>
      </w:r>
      <w:r w:rsidR="00EE6AA2">
        <w:t>е</w:t>
      </w:r>
      <w:r w:rsidR="0039585F" w:rsidRPr="00F6340E">
        <w:t xml:space="preserve"> </w:t>
      </w:r>
      <w:r w:rsidR="00A56E08">
        <w:t>којима</w:t>
      </w:r>
      <w:r w:rsidR="005C448C" w:rsidRPr="00F6340E">
        <w:t xml:space="preserve"> </w:t>
      </w:r>
      <w:r>
        <w:t>р</w:t>
      </w:r>
      <w:r w:rsidR="00A56E08">
        <w:t>а</w:t>
      </w:r>
      <w:r>
        <w:t>сп</w:t>
      </w:r>
      <w:r w:rsidR="00A56E08">
        <w:t>ола</w:t>
      </w:r>
      <w:r w:rsidR="00171F00">
        <w:t>ж</w:t>
      </w:r>
      <w:r>
        <w:t>у</w:t>
      </w:r>
      <w:r w:rsidR="005C448C" w:rsidRPr="00F6340E">
        <w:t xml:space="preserve"> </w:t>
      </w:r>
      <w:r w:rsidR="00A56E08">
        <w:t>об</w:t>
      </w:r>
      <w:r>
        <w:t>р</w:t>
      </w:r>
      <w:r w:rsidR="00A56E08">
        <w:t>а</w:t>
      </w:r>
      <w:r w:rsidR="00171F00">
        <w:t>з</w:t>
      </w:r>
      <w:r w:rsidR="00A56E08">
        <w:t>о</w:t>
      </w:r>
      <w:r>
        <w:t>в</w:t>
      </w:r>
      <w:r w:rsidR="00A56E08">
        <w:t>н</w:t>
      </w:r>
      <w:r w:rsidR="00EE6AA2">
        <w:t>е</w:t>
      </w:r>
      <w:r w:rsidR="005C448C" w:rsidRPr="00F6340E">
        <w:t xml:space="preserve"> </w:t>
      </w:r>
      <w:r w:rsidR="00A56E08">
        <w:t>ин</w:t>
      </w:r>
      <w:r>
        <w:t>ст</w:t>
      </w:r>
      <w:r w:rsidR="00A56E08">
        <w:t>и</w:t>
      </w:r>
      <w:r>
        <w:t>ту</w:t>
      </w:r>
      <w:r w:rsidR="00A56E08">
        <w:t>циј</w:t>
      </w:r>
      <w:r w:rsidR="00EE6AA2">
        <w:t>е</w:t>
      </w:r>
      <w:r w:rsidR="005C448C" w:rsidRPr="00F6340E">
        <w:t xml:space="preserve">, </w:t>
      </w:r>
      <w:r>
        <w:t>п</w:t>
      </w:r>
      <w:r w:rsidR="00A56E08">
        <w:t>одлиј</w:t>
      </w:r>
      <w:r w:rsidR="00EE6AA2">
        <w:t>е</w:t>
      </w:r>
      <w:r w:rsidR="00171F00">
        <w:t>ж</w:t>
      </w:r>
      <w:r>
        <w:t>у</w:t>
      </w:r>
      <w:r w:rsidR="005C448C" w:rsidRPr="00F6340E">
        <w:t xml:space="preserve"> </w:t>
      </w:r>
      <w:r w:rsidR="00A56E08">
        <w:t>а</w:t>
      </w:r>
      <w:r w:rsidR="00171F00">
        <w:t>ж</w:t>
      </w:r>
      <w:r>
        <w:t>ур</w:t>
      </w:r>
      <w:r w:rsidR="00A56E08">
        <w:t>и</w:t>
      </w:r>
      <w:r>
        <w:t>р</w:t>
      </w:r>
      <w:r w:rsidR="00A56E08">
        <w:t>ањ</w:t>
      </w:r>
      <w:r>
        <w:t>у</w:t>
      </w:r>
      <w:r w:rsidR="005C448C" w:rsidRPr="00F6340E">
        <w:t xml:space="preserve"> </w:t>
      </w:r>
      <w:r w:rsidR="00A56E08">
        <w:t>и</w:t>
      </w:r>
      <w:r w:rsidR="005C448C" w:rsidRPr="00F6340E">
        <w:t xml:space="preserve"> </w:t>
      </w:r>
      <w:r w:rsidR="00A56E08">
        <w:t>кон</w:t>
      </w:r>
      <w:r>
        <w:t>т</w:t>
      </w:r>
      <w:r w:rsidR="00A56E08">
        <w:t>ин</w:t>
      </w:r>
      <w:r>
        <w:t>у</w:t>
      </w:r>
      <w:r w:rsidR="00A56E08">
        <w:t>алном</w:t>
      </w:r>
      <w:r w:rsidR="005C448C" w:rsidRPr="00F6340E">
        <w:t xml:space="preserve"> </w:t>
      </w:r>
      <w:r>
        <w:t>у</w:t>
      </w:r>
      <w:r w:rsidR="00A56E08">
        <w:t>на</w:t>
      </w:r>
      <w:r>
        <w:t>пр</w:t>
      </w:r>
      <w:r w:rsidR="00A56E08">
        <w:t>ј</w:t>
      </w:r>
      <w:r w:rsidR="00EE6AA2">
        <w:t>е</w:t>
      </w:r>
      <w:r w:rsidR="00A56E08">
        <w:t>ђ</w:t>
      </w:r>
      <w:r w:rsidR="00EE6AA2">
        <w:t>е</w:t>
      </w:r>
      <w:r w:rsidR="00A56E08">
        <w:t>њ</w:t>
      </w:r>
      <w:r>
        <w:t>у</w:t>
      </w:r>
      <w:r w:rsidR="005C448C" w:rsidRPr="00F6340E">
        <w:t xml:space="preserve"> </w:t>
      </w:r>
      <w:r w:rsidR="00A56E08">
        <w:t>ала</w:t>
      </w:r>
      <w:r>
        <w:t>т</w:t>
      </w:r>
      <w:r w:rsidR="00A56E08">
        <w:t>а</w:t>
      </w:r>
      <w:r w:rsidR="005C448C" w:rsidRPr="00F6340E">
        <w:t xml:space="preserve"> </w:t>
      </w:r>
      <w:r w:rsidR="00A56E08">
        <w:t>и</w:t>
      </w:r>
      <w:r w:rsidR="005C448C" w:rsidRPr="00F6340E">
        <w:t xml:space="preserve"> </w:t>
      </w:r>
      <w:r>
        <w:t>р</w:t>
      </w:r>
      <w:r w:rsidR="00EE6AA2">
        <w:t>е</w:t>
      </w:r>
      <w:r>
        <w:t>сурс</w:t>
      </w:r>
      <w:r w:rsidR="00A56E08">
        <w:t>а</w:t>
      </w:r>
      <w:r w:rsidR="005C448C" w:rsidRPr="00F6340E">
        <w:t xml:space="preserve"> </w:t>
      </w:r>
      <w:r w:rsidR="00A56E08">
        <w:t>и</w:t>
      </w:r>
      <w:r w:rsidR="005C448C" w:rsidRPr="00F6340E">
        <w:t xml:space="preserve">, </w:t>
      </w:r>
      <w:r>
        <w:t>у</w:t>
      </w:r>
      <w:r w:rsidR="00A56E08">
        <w:t>колико</w:t>
      </w:r>
      <w:r w:rsidR="005C448C" w:rsidRPr="00F6340E">
        <w:t xml:space="preserve"> </w:t>
      </w:r>
      <w:r w:rsidR="00A56E08">
        <w:t>ј</w:t>
      </w:r>
      <w:r w:rsidR="00EE6AA2">
        <w:t>е</w:t>
      </w:r>
      <w:r w:rsidR="005C448C" w:rsidRPr="00F6340E">
        <w:t xml:space="preserve"> </w:t>
      </w:r>
      <w:r>
        <w:t>п</w:t>
      </w:r>
      <w:r w:rsidR="00A56E08">
        <w:t>о</w:t>
      </w:r>
      <w:r>
        <w:t>тр</w:t>
      </w:r>
      <w:r w:rsidR="00EE6AA2">
        <w:t>е</w:t>
      </w:r>
      <w:r w:rsidR="00A56E08">
        <w:t>бно</w:t>
      </w:r>
      <w:r w:rsidR="005C448C" w:rsidRPr="00F6340E">
        <w:t>,</w:t>
      </w:r>
      <w:r w:rsidR="0039585F" w:rsidRPr="00F6340E">
        <w:t xml:space="preserve"> </w:t>
      </w:r>
      <w:r>
        <w:t>тр</w:t>
      </w:r>
      <w:r w:rsidR="00A56E08">
        <w:t>ан</w:t>
      </w:r>
      <w:r w:rsidR="00171F00">
        <w:t>з</w:t>
      </w:r>
      <w:r w:rsidR="00A56E08">
        <w:t>ицији</w:t>
      </w:r>
      <w:r w:rsidR="00B04FA8">
        <w:t xml:space="preserve"> са </w:t>
      </w:r>
      <w:r w:rsidR="00A56E08">
        <w:t>г</w:t>
      </w:r>
      <w:r w:rsidR="00EE6AA2">
        <w:t>е</w:t>
      </w:r>
      <w:r w:rsidR="00A56E08">
        <w:t>н</w:t>
      </w:r>
      <w:r w:rsidR="00EE6AA2">
        <w:t>е</w:t>
      </w:r>
      <w:r>
        <w:t>р</w:t>
      </w:r>
      <w:r w:rsidR="00A56E08">
        <w:t>ичких</w:t>
      </w:r>
      <w:r w:rsidR="0039585F" w:rsidRPr="00F6340E">
        <w:t xml:space="preserve"> </w:t>
      </w:r>
      <w:r>
        <w:t>п</w:t>
      </w:r>
      <w:r w:rsidR="00A56E08">
        <w:t>ла</w:t>
      </w:r>
      <w:r>
        <w:t>т</w:t>
      </w:r>
      <w:r w:rsidR="00A56E08">
        <w:t>фо</w:t>
      </w:r>
      <w:r>
        <w:t>р</w:t>
      </w:r>
      <w:r w:rsidR="00A56E08">
        <w:t>ми</w:t>
      </w:r>
      <w:r w:rsidR="0039585F" w:rsidRPr="00F6340E">
        <w:t xml:space="preserve"> </w:t>
      </w:r>
      <w:r w:rsidR="00A56E08">
        <w:t>и</w:t>
      </w:r>
      <w:r w:rsidR="0039585F" w:rsidRPr="00F6340E">
        <w:t xml:space="preserve"> </w:t>
      </w:r>
      <w:r w:rsidR="00A56E08">
        <w:t>ала</w:t>
      </w:r>
      <w:r>
        <w:t>т</w:t>
      </w:r>
      <w:r w:rsidR="00A56E08">
        <w:t>а</w:t>
      </w:r>
      <w:r w:rsidR="005C448C" w:rsidRPr="00F6340E">
        <w:t xml:space="preserve"> </w:t>
      </w:r>
      <w:r w:rsidR="00A56E08">
        <w:t>на</w:t>
      </w:r>
      <w:r w:rsidR="005C448C" w:rsidRPr="00F6340E">
        <w:t xml:space="preserve"> </w:t>
      </w:r>
      <w:r>
        <w:t>в</w:t>
      </w:r>
      <w:r w:rsidR="00EE6AA2">
        <w:t>е</w:t>
      </w:r>
      <w:r>
        <w:t>р</w:t>
      </w:r>
      <w:r w:rsidR="00171F00">
        <w:t>з</w:t>
      </w:r>
      <w:r w:rsidR="00A56E08">
        <w:t>иј</w:t>
      </w:r>
      <w:r w:rsidR="00EE6AA2">
        <w:t>е</w:t>
      </w:r>
      <w:r w:rsidR="005C448C" w:rsidRPr="00F6340E">
        <w:t xml:space="preserve"> </w:t>
      </w:r>
      <w:r w:rsidR="00A56E08">
        <w:t>кој</w:t>
      </w:r>
      <w:r w:rsidR="00EE6AA2">
        <w:t>е</w:t>
      </w:r>
      <w:r w:rsidR="005C448C" w:rsidRPr="00F6340E">
        <w:t xml:space="preserve"> </w:t>
      </w:r>
      <w:r>
        <w:t>пр</w:t>
      </w:r>
      <w:r w:rsidR="00A56E08">
        <w:t>а</w:t>
      </w:r>
      <w:r>
        <w:t>т</w:t>
      </w:r>
      <w:r w:rsidR="00EE6AA2">
        <w:t>е</w:t>
      </w:r>
      <w:r w:rsidR="005C448C" w:rsidRPr="00F6340E">
        <w:t xml:space="preserve"> </w:t>
      </w:r>
      <w:r w:rsidR="00A56E08">
        <w:t>но</w:t>
      </w:r>
      <w:r>
        <w:t>в</w:t>
      </w:r>
      <w:r w:rsidR="00A56E08">
        <w:t>иј</w:t>
      </w:r>
      <w:r w:rsidR="00EE6AA2">
        <w:t>е</w:t>
      </w:r>
      <w:r w:rsidR="0039585F" w:rsidRPr="00F6340E">
        <w:t xml:space="preserve"> </w:t>
      </w:r>
      <w:r>
        <w:t>тр</w:t>
      </w:r>
      <w:r w:rsidR="00EE6AA2">
        <w:t>е</w:t>
      </w:r>
      <w:r w:rsidR="00A56E08">
        <w:t>ндо</w:t>
      </w:r>
      <w:r>
        <w:t>в</w:t>
      </w:r>
      <w:r w:rsidR="00EE6AA2">
        <w:t>е</w:t>
      </w:r>
      <w:r w:rsidR="0039585F" w:rsidRPr="00F6340E">
        <w:t xml:space="preserve"> </w:t>
      </w:r>
      <w:r>
        <w:t>у</w:t>
      </w:r>
      <w:r w:rsidR="0039585F" w:rsidRPr="00F6340E">
        <w:t xml:space="preserve"> </w:t>
      </w:r>
      <w:r>
        <w:t>у</w:t>
      </w:r>
      <w:r w:rsidR="00A56E08">
        <w:t>ч</w:t>
      </w:r>
      <w:r w:rsidR="00EE6AA2">
        <w:t>е</w:t>
      </w:r>
      <w:r w:rsidR="00A56E08">
        <w:t>њ</w:t>
      </w:r>
      <w:r>
        <w:t>у</w:t>
      </w:r>
      <w:r w:rsidR="0039585F" w:rsidRPr="00F6340E">
        <w:t xml:space="preserve"> </w:t>
      </w:r>
      <w:r w:rsidR="00A56E08">
        <w:t>и</w:t>
      </w:r>
      <w:r w:rsidR="0039585F" w:rsidRPr="00F6340E">
        <w:t xml:space="preserve"> </w:t>
      </w:r>
      <w:r>
        <w:t>п</w:t>
      </w:r>
      <w:r w:rsidR="00A56E08">
        <w:t>од</w:t>
      </w:r>
      <w:r>
        <w:t>у</w:t>
      </w:r>
      <w:r w:rsidR="00A56E08">
        <w:t>ча</w:t>
      </w:r>
      <w:r>
        <w:t>в</w:t>
      </w:r>
      <w:r w:rsidR="00A56E08">
        <w:t>ањ</w:t>
      </w:r>
      <w:r>
        <w:t>у</w:t>
      </w:r>
      <w:r w:rsidR="00686F90" w:rsidRPr="00F6340E">
        <w:t>,</w:t>
      </w:r>
      <w:r w:rsidR="00780E20" w:rsidRPr="00F6340E">
        <w:t xml:space="preserve"> </w:t>
      </w:r>
      <w:r w:rsidR="00A56E08">
        <w:t>а</w:t>
      </w:r>
      <w:r w:rsidR="0039585F" w:rsidRPr="00F6340E">
        <w:t xml:space="preserve"> </w:t>
      </w:r>
      <w:r w:rsidR="00A56E08">
        <w:t>кој</w:t>
      </w:r>
      <w:r w:rsidR="00EE6AA2">
        <w:t>е</w:t>
      </w:r>
      <w:r w:rsidR="0039585F" w:rsidRPr="00F6340E">
        <w:t xml:space="preserve"> </w:t>
      </w:r>
      <w:r w:rsidR="00A56E08">
        <w:t>ћ</w:t>
      </w:r>
      <w:r w:rsidR="00EE6AA2">
        <w:t>е</w:t>
      </w:r>
      <w:r w:rsidR="0039585F" w:rsidRPr="00F6340E">
        <w:t xml:space="preserve"> </w:t>
      </w:r>
      <w:r w:rsidR="00A56E08">
        <w:t>о</w:t>
      </w:r>
      <w:r>
        <w:t>с</w:t>
      </w:r>
      <w:r w:rsidR="00A56E08">
        <w:t>иг</w:t>
      </w:r>
      <w:r>
        <w:t>ур</w:t>
      </w:r>
      <w:r w:rsidR="00A56E08">
        <w:t>а</w:t>
      </w:r>
      <w:r>
        <w:t>т</w:t>
      </w:r>
      <w:r w:rsidR="00A56E08">
        <w:t>и</w:t>
      </w:r>
      <w:r w:rsidR="0039585F" w:rsidRPr="00F6340E">
        <w:t xml:space="preserve"> </w:t>
      </w:r>
      <w:r w:rsidR="00A56E08">
        <w:t>бољ</w:t>
      </w:r>
      <w:r w:rsidR="00EE6AA2">
        <w:t>е</w:t>
      </w:r>
      <w:r w:rsidR="0039585F" w:rsidRPr="00F6340E">
        <w:t xml:space="preserve"> </w:t>
      </w:r>
      <w:r w:rsidR="00A56E08">
        <w:t>и</w:t>
      </w:r>
      <w:r>
        <w:t>с</w:t>
      </w:r>
      <w:r w:rsidR="00A56E08">
        <w:t>ход</w:t>
      </w:r>
      <w:r w:rsidR="00EE6AA2">
        <w:t>е</w:t>
      </w:r>
      <w:r w:rsidR="0039585F" w:rsidRPr="00F6340E">
        <w:t xml:space="preserve"> </w:t>
      </w:r>
      <w:r>
        <w:t>у</w:t>
      </w:r>
      <w:r w:rsidR="00A56E08">
        <w:t>ч</w:t>
      </w:r>
      <w:r w:rsidR="00EE6AA2">
        <w:t>е</w:t>
      </w:r>
      <w:r w:rsidR="00A56E08">
        <w:t>ња</w:t>
      </w:r>
      <w:r w:rsidR="0039585F" w:rsidRPr="00F6340E">
        <w:t>.</w:t>
      </w:r>
    </w:p>
    <w:p w14:paraId="16D4AACA" w14:textId="4E20DF67" w:rsidR="0039585F" w:rsidRPr="00F6340E" w:rsidRDefault="0071360A" w:rsidP="00FA4DC9">
      <w:pPr>
        <w:pStyle w:val="Body"/>
      </w:pPr>
      <w:r>
        <w:t>Пр</w:t>
      </w:r>
      <w:r w:rsidR="00A56E08">
        <w:t>иликом</w:t>
      </w:r>
      <w:r w:rsidR="0039585F" w:rsidRPr="00F6340E">
        <w:t xml:space="preserve"> </w:t>
      </w:r>
      <w:r w:rsidR="00A56E08">
        <w:t>и</w:t>
      </w:r>
      <w:r w:rsidR="00171F00">
        <w:t>з</w:t>
      </w:r>
      <w:r w:rsidR="00A56E08">
        <w:t>бо</w:t>
      </w:r>
      <w:r>
        <w:t>р</w:t>
      </w:r>
      <w:r w:rsidR="00A56E08">
        <w:t>а</w:t>
      </w:r>
      <w:r w:rsidR="0039585F" w:rsidRPr="00F6340E">
        <w:t xml:space="preserve"> </w:t>
      </w:r>
      <w:r>
        <w:t>п</w:t>
      </w:r>
      <w:r w:rsidR="00A56E08">
        <w:t>ла</w:t>
      </w:r>
      <w:r>
        <w:t>т</w:t>
      </w:r>
      <w:r w:rsidR="00A56E08">
        <w:t>фо</w:t>
      </w:r>
      <w:r>
        <w:t>р</w:t>
      </w:r>
      <w:r w:rsidR="00A56E08">
        <w:t>м</w:t>
      </w:r>
      <w:r w:rsidR="00EE6AA2">
        <w:t>е</w:t>
      </w:r>
      <w:r w:rsidR="0039585F" w:rsidRPr="00F6340E">
        <w:t xml:space="preserve">, </w:t>
      </w:r>
      <w:r>
        <w:t>п</w:t>
      </w:r>
      <w:r w:rsidR="00A56E08">
        <w:t>о</w:t>
      </w:r>
      <w:r>
        <w:t>тр</w:t>
      </w:r>
      <w:r w:rsidR="00EE6AA2">
        <w:t>е</w:t>
      </w:r>
      <w:r w:rsidR="00A56E08">
        <w:t>бно</w:t>
      </w:r>
      <w:r w:rsidR="0039585F" w:rsidRPr="00F6340E">
        <w:t xml:space="preserve"> </w:t>
      </w:r>
      <w:r w:rsidR="00A56E08">
        <w:t>ј</w:t>
      </w:r>
      <w:r w:rsidR="00EE6AA2">
        <w:t>е</w:t>
      </w:r>
      <w:r w:rsidR="0039585F" w:rsidRPr="00F6340E">
        <w:t xml:space="preserve"> </w:t>
      </w:r>
      <w:r w:rsidR="00A56E08">
        <w:t>об</w:t>
      </w:r>
      <w:r>
        <w:t>р</w:t>
      </w:r>
      <w:r w:rsidR="00A56E08">
        <w:t>а</w:t>
      </w:r>
      <w:r>
        <w:t>т</w:t>
      </w:r>
      <w:r w:rsidR="00A56E08">
        <w:t>и</w:t>
      </w:r>
      <w:r>
        <w:t>т</w:t>
      </w:r>
      <w:r w:rsidR="00A56E08">
        <w:t>и</w:t>
      </w:r>
      <w:r w:rsidR="0039585F" w:rsidRPr="00F6340E">
        <w:t xml:space="preserve"> </w:t>
      </w:r>
      <w:r>
        <w:t>п</w:t>
      </w:r>
      <w:r w:rsidR="00A56E08">
        <w:t>а</w:t>
      </w:r>
      <w:r w:rsidR="00171F00">
        <w:t>ж</w:t>
      </w:r>
      <w:r w:rsidR="00A56E08">
        <w:t>њ</w:t>
      </w:r>
      <w:r>
        <w:t>у</w:t>
      </w:r>
      <w:r w:rsidR="0039585F" w:rsidRPr="00F6340E">
        <w:t xml:space="preserve"> </w:t>
      </w:r>
      <w:r w:rsidR="00A56E08">
        <w:t>на</w:t>
      </w:r>
      <w:r w:rsidR="0039585F" w:rsidRPr="00F6340E">
        <w:t xml:space="preserve"> </w:t>
      </w:r>
      <w:r>
        <w:t>с</w:t>
      </w:r>
      <w:r w:rsidR="00A56E08">
        <w:t>љ</w:t>
      </w:r>
      <w:r w:rsidR="00EE6AA2">
        <w:t>е</w:t>
      </w:r>
      <w:r w:rsidR="00A56E08">
        <w:t>д</w:t>
      </w:r>
      <w:r w:rsidR="00EE6AA2">
        <w:t>е</w:t>
      </w:r>
      <w:r w:rsidR="00A56E08">
        <w:t>ћ</w:t>
      </w:r>
      <w:r w:rsidR="00EE6AA2">
        <w:t>е</w:t>
      </w:r>
      <w:r w:rsidR="00780E20" w:rsidRPr="00F6340E">
        <w:t xml:space="preserve"> (</w:t>
      </w:r>
      <w:r w:rsidR="00A56E08">
        <w:t>Б</w:t>
      </w:r>
      <w:r w:rsidR="00EE6AA2">
        <w:t>е</w:t>
      </w:r>
      <w:r w:rsidR="00A56E08">
        <w:t>гић</w:t>
      </w:r>
      <w:r w:rsidR="00780E20" w:rsidRPr="00F6340E">
        <w:t xml:space="preserve"> , </w:t>
      </w:r>
      <w:r>
        <w:t>С</w:t>
      </w:r>
      <w:r w:rsidR="00A56E08">
        <w:t>мајић</w:t>
      </w:r>
      <w:r w:rsidR="00780E20" w:rsidRPr="00F6340E">
        <w:t xml:space="preserve"> </w:t>
      </w:r>
      <w:r w:rsidR="00A56E08">
        <w:t>и</w:t>
      </w:r>
      <w:r w:rsidR="00780E20" w:rsidRPr="00F6340E">
        <w:t xml:space="preserve"> </w:t>
      </w:r>
      <w:r w:rsidR="00A56E08">
        <w:t>Алић</w:t>
      </w:r>
      <w:r w:rsidR="00780E20" w:rsidRPr="00F6340E">
        <w:t>, 2020)</w:t>
      </w:r>
      <w:r w:rsidR="0039585F" w:rsidRPr="00F6340E">
        <w:t>:</w:t>
      </w:r>
    </w:p>
    <w:p w14:paraId="77A8C306" w14:textId="4617BC32" w:rsidR="0039585F" w:rsidRPr="00F6340E" w:rsidRDefault="00A56E08" w:rsidP="00FA4DC9">
      <w:pPr>
        <w:pStyle w:val="Bulletlist"/>
      </w:pPr>
      <w:r>
        <w:t>да</w:t>
      </w:r>
      <w:r w:rsidR="0039585F" w:rsidRPr="00F6340E">
        <w:t xml:space="preserve"> </w:t>
      </w:r>
      <w:r>
        <w:t>ј</w:t>
      </w:r>
      <w:r w:rsidR="00EE6AA2">
        <w:t>е</w:t>
      </w:r>
      <w:r w:rsidR="0039585F" w:rsidRPr="00F6340E">
        <w:t xml:space="preserve"> </w:t>
      </w:r>
      <w:r w:rsidR="0071360A">
        <w:t>п</w:t>
      </w:r>
      <w:r>
        <w:t>ла</w:t>
      </w:r>
      <w:r w:rsidR="0071360A">
        <w:t>т</w:t>
      </w:r>
      <w:r>
        <w:t>фо</w:t>
      </w:r>
      <w:r w:rsidR="0071360A">
        <w:t>р</w:t>
      </w:r>
      <w:r>
        <w:t>ма</w:t>
      </w:r>
      <w:r w:rsidR="0039585F" w:rsidRPr="00F6340E">
        <w:t xml:space="preserve"> </w:t>
      </w:r>
      <w:r>
        <w:t>до</w:t>
      </w:r>
      <w:r w:rsidR="0071360A">
        <w:t>ступ</w:t>
      </w:r>
      <w:r>
        <w:t>на</w:t>
      </w:r>
      <w:r w:rsidR="0039585F" w:rsidRPr="00F6340E">
        <w:t xml:space="preserve"> 24/7; </w:t>
      </w:r>
    </w:p>
    <w:p w14:paraId="204EC481" w14:textId="78A405CC" w:rsidR="0039585F" w:rsidRPr="00F6340E" w:rsidRDefault="00A56E08" w:rsidP="00FA4DC9">
      <w:pPr>
        <w:pStyle w:val="Bulletlist"/>
      </w:pPr>
      <w:r>
        <w:t>да</w:t>
      </w:r>
      <w:r w:rsidR="0039585F" w:rsidRPr="00F6340E">
        <w:t xml:space="preserve"> </w:t>
      </w:r>
      <w:r>
        <w:t>има</w:t>
      </w:r>
      <w:r w:rsidR="0039585F" w:rsidRPr="00F6340E">
        <w:t xml:space="preserve"> </w:t>
      </w:r>
      <w:r w:rsidR="0071360A">
        <w:t>св</w:t>
      </w:r>
      <w:r w:rsidR="00EE6AA2">
        <w:t>е</w:t>
      </w:r>
      <w:r w:rsidR="0039585F" w:rsidRPr="00F6340E">
        <w:t xml:space="preserve"> </w:t>
      </w:r>
      <w:r w:rsidR="0071360A">
        <w:t>п</w:t>
      </w:r>
      <w:r>
        <w:t>о</w:t>
      </w:r>
      <w:r w:rsidR="0071360A">
        <w:t>тр</w:t>
      </w:r>
      <w:r w:rsidR="00EE6AA2">
        <w:t>е</w:t>
      </w:r>
      <w:r>
        <w:t>бн</w:t>
      </w:r>
      <w:r w:rsidR="00EE6AA2">
        <w:t>е</w:t>
      </w:r>
      <w:r w:rsidR="0039585F" w:rsidRPr="00F6340E">
        <w:t xml:space="preserve"> </w:t>
      </w:r>
      <w:r w:rsidR="0071360A">
        <w:t>ст</w:t>
      </w:r>
      <w:r>
        <w:t>анда</w:t>
      </w:r>
      <w:r w:rsidR="0071360A">
        <w:t>р</w:t>
      </w:r>
      <w:r>
        <w:t>дн</w:t>
      </w:r>
      <w:r w:rsidR="00EE6AA2">
        <w:t>е</w:t>
      </w:r>
      <w:r w:rsidR="0039585F" w:rsidRPr="00F6340E">
        <w:t xml:space="preserve"> </w:t>
      </w:r>
      <w:r w:rsidR="0071360A">
        <w:t>с</w:t>
      </w:r>
      <w:r>
        <w:t>иг</w:t>
      </w:r>
      <w:r w:rsidR="0071360A">
        <w:t>ур</w:t>
      </w:r>
      <w:r>
        <w:t>но</w:t>
      </w:r>
      <w:r w:rsidR="0071360A">
        <w:t>ст</w:t>
      </w:r>
      <w:r>
        <w:t>и</w:t>
      </w:r>
      <w:r w:rsidR="0039585F" w:rsidRPr="00F6340E">
        <w:t xml:space="preserve"> </w:t>
      </w:r>
      <w:r w:rsidR="00EE6AA2">
        <w:t>е</w:t>
      </w:r>
      <w:r>
        <w:t>д</w:t>
      </w:r>
      <w:r w:rsidR="0071360A">
        <w:t>у</w:t>
      </w:r>
      <w:r>
        <w:t>ка</w:t>
      </w:r>
      <w:r w:rsidR="0071360A">
        <w:t>т</w:t>
      </w:r>
      <w:r>
        <w:t>и</w:t>
      </w:r>
      <w:r w:rsidR="0071360A">
        <w:t>в</w:t>
      </w:r>
      <w:r>
        <w:t>н</w:t>
      </w:r>
      <w:r w:rsidR="00EE6AA2">
        <w:t>е</w:t>
      </w:r>
      <w:r w:rsidR="0039585F" w:rsidRPr="00F6340E">
        <w:t xml:space="preserve"> </w:t>
      </w:r>
      <w:r w:rsidR="0071360A">
        <w:t>п</w:t>
      </w:r>
      <w:r>
        <w:t>ла</w:t>
      </w:r>
      <w:r w:rsidR="0071360A">
        <w:t>т</w:t>
      </w:r>
      <w:r>
        <w:t>фо</w:t>
      </w:r>
      <w:r w:rsidR="0071360A">
        <w:t>р</w:t>
      </w:r>
      <w:r>
        <w:t>м</w:t>
      </w:r>
      <w:r w:rsidR="00EE6AA2">
        <w:t>е</w:t>
      </w:r>
      <w:r w:rsidR="007E2AE7" w:rsidRPr="00F6340E">
        <w:t xml:space="preserve"> </w:t>
      </w:r>
      <w:r>
        <w:t>на</w:t>
      </w:r>
      <w:r w:rsidR="007E2AE7" w:rsidRPr="00F6340E">
        <w:t xml:space="preserve"> </w:t>
      </w:r>
      <w:r>
        <w:t>ин</w:t>
      </w:r>
      <w:r w:rsidR="0071360A">
        <w:t>т</w:t>
      </w:r>
      <w:r w:rsidR="00EE6AA2">
        <w:t>е</w:t>
      </w:r>
      <w:r w:rsidR="0071360A">
        <w:t>р</w:t>
      </w:r>
      <w:r>
        <w:t>н</w:t>
      </w:r>
      <w:r w:rsidR="00EE6AA2">
        <w:t>е</w:t>
      </w:r>
      <w:r w:rsidR="0071360A">
        <w:t>ту</w:t>
      </w:r>
      <w:r w:rsidR="0039585F" w:rsidRPr="00F6340E">
        <w:t xml:space="preserve">; </w:t>
      </w:r>
    </w:p>
    <w:p w14:paraId="08D53E24" w14:textId="02835436" w:rsidR="0039585F" w:rsidRPr="00F6340E" w:rsidRDefault="00A56E08" w:rsidP="00FA4DC9">
      <w:pPr>
        <w:pStyle w:val="Bulletlist"/>
      </w:pPr>
      <w:r>
        <w:t>да</w:t>
      </w:r>
      <w:r w:rsidR="0039585F" w:rsidRPr="00F6340E">
        <w:t xml:space="preserve"> </w:t>
      </w:r>
      <w:r>
        <w:t>ј</w:t>
      </w:r>
      <w:r w:rsidR="00EE6AA2">
        <w:t>е</w:t>
      </w:r>
      <w:r w:rsidR="0039585F" w:rsidRPr="00F6340E">
        <w:t xml:space="preserve"> </w:t>
      </w:r>
      <w:r>
        <w:t>до</w:t>
      </w:r>
      <w:r w:rsidR="0071360A">
        <w:t>ступ</w:t>
      </w:r>
      <w:r>
        <w:t>на</w:t>
      </w:r>
      <w:r w:rsidR="0039585F" w:rsidRPr="00F6340E">
        <w:t xml:space="preserve"> </w:t>
      </w:r>
      <w:r>
        <w:t>и</w:t>
      </w:r>
      <w:r w:rsidR="00D27064" w:rsidRPr="00F6340E">
        <w:t xml:space="preserve"> </w:t>
      </w:r>
      <w:r w:rsidR="0071360A">
        <w:t>пр</w:t>
      </w:r>
      <w:r>
        <w:t>илагођ</w:t>
      </w:r>
      <w:r w:rsidR="00EE6AA2">
        <w:t>е</w:t>
      </w:r>
      <w:r>
        <w:t>на</w:t>
      </w:r>
      <w:r w:rsidR="00D27064" w:rsidRPr="00F6340E">
        <w:t xml:space="preserve"> </w:t>
      </w:r>
      <w:r w:rsidR="00171F00">
        <w:t>з</w:t>
      </w:r>
      <w:r>
        <w:t>а</w:t>
      </w:r>
      <w:r w:rsidR="00D27064" w:rsidRPr="00F6340E">
        <w:t xml:space="preserve"> </w:t>
      </w:r>
      <w:r w:rsidR="0071360A">
        <w:t>уп</w:t>
      </w:r>
      <w:r>
        <w:t>о</w:t>
      </w:r>
      <w:r w:rsidR="0071360A">
        <w:t>тр</w:t>
      </w:r>
      <w:r w:rsidR="00EE6AA2">
        <w:t>е</w:t>
      </w:r>
      <w:r>
        <w:t>б</w:t>
      </w:r>
      <w:r w:rsidR="0071360A">
        <w:t>у</w:t>
      </w:r>
      <w:r w:rsidR="00D27064" w:rsidRPr="00F6340E">
        <w:t xml:space="preserve"> </w:t>
      </w:r>
      <w:r>
        <w:t>на</w:t>
      </w:r>
      <w:r w:rsidR="0039585F" w:rsidRPr="00F6340E">
        <w:t xml:space="preserve"> </w:t>
      </w:r>
      <w:r w:rsidR="0071360A">
        <w:t>св</w:t>
      </w:r>
      <w:r>
        <w:t>им</w:t>
      </w:r>
      <w:r w:rsidR="0039585F" w:rsidRPr="00F6340E">
        <w:t xml:space="preserve"> </w:t>
      </w:r>
      <w:r w:rsidR="0071360A">
        <w:t>ур</w:t>
      </w:r>
      <w:r w:rsidR="00EE6AA2">
        <w:t>е</w:t>
      </w:r>
      <w:r>
        <w:t>ђајима</w:t>
      </w:r>
      <w:r w:rsidR="0039585F" w:rsidRPr="00F6340E">
        <w:t xml:space="preserve"> (</w:t>
      </w:r>
      <w:r>
        <w:t>моби</w:t>
      </w:r>
      <w:r w:rsidR="0071360A">
        <w:t>т</w:t>
      </w:r>
      <w:r w:rsidR="00EE6AA2">
        <w:t>е</w:t>
      </w:r>
      <w:r>
        <w:t>л</w:t>
      </w:r>
      <w:r w:rsidR="0039585F" w:rsidRPr="00F6340E">
        <w:t>/</w:t>
      </w:r>
      <w:r w:rsidR="0071360A">
        <w:t>т</w:t>
      </w:r>
      <w:r>
        <w:t>абл</w:t>
      </w:r>
      <w:r w:rsidR="00EE6AA2">
        <w:t>е</w:t>
      </w:r>
      <w:r w:rsidR="0071360A">
        <w:t>т</w:t>
      </w:r>
      <w:r w:rsidR="0039585F" w:rsidRPr="00F6340E">
        <w:t>/</w:t>
      </w:r>
      <w:r w:rsidR="000010C5">
        <w:t>рачунар</w:t>
      </w:r>
      <w:r w:rsidR="0039585F" w:rsidRPr="00F6340E">
        <w:t>/</w:t>
      </w:r>
      <w:r w:rsidR="000010C5">
        <w:t>лаптоп</w:t>
      </w:r>
      <w:r w:rsidR="0039585F" w:rsidRPr="00F6340E">
        <w:t xml:space="preserve">); </w:t>
      </w:r>
    </w:p>
    <w:p w14:paraId="77BDA42C" w14:textId="564630BE" w:rsidR="0039585F" w:rsidRPr="00F6340E" w:rsidRDefault="00A56E08" w:rsidP="00FA4DC9">
      <w:pPr>
        <w:pStyle w:val="Bulletlist"/>
      </w:pPr>
      <w:r>
        <w:t>да</w:t>
      </w:r>
      <w:r w:rsidR="0039585F" w:rsidRPr="00F6340E">
        <w:t xml:space="preserve"> </w:t>
      </w:r>
      <w:r>
        <w:t>ј</w:t>
      </w:r>
      <w:r w:rsidR="00EE6AA2">
        <w:t>е</w:t>
      </w:r>
      <w:r w:rsidR="0039585F" w:rsidRPr="00F6340E">
        <w:t xml:space="preserve"> </w:t>
      </w:r>
      <w:r>
        <w:t>до</w:t>
      </w:r>
      <w:r w:rsidR="0071360A">
        <w:t>ступ</w:t>
      </w:r>
      <w:r>
        <w:t>на</w:t>
      </w:r>
      <w:r w:rsidR="0039585F" w:rsidRPr="00F6340E">
        <w:t xml:space="preserve"> </w:t>
      </w:r>
      <w:r>
        <w:t>на</w:t>
      </w:r>
      <w:r w:rsidR="0039585F" w:rsidRPr="00F6340E">
        <w:t xml:space="preserve"> </w:t>
      </w:r>
      <w:r w:rsidR="0071360A">
        <w:t>св</w:t>
      </w:r>
      <w:r>
        <w:t>им</w:t>
      </w:r>
      <w:r w:rsidR="0039585F" w:rsidRPr="00F6340E">
        <w:t xml:space="preserve"> </w:t>
      </w:r>
      <w:r w:rsidR="0071360A">
        <w:t>в</w:t>
      </w:r>
      <w:r w:rsidR="00EE6AA2">
        <w:t>е</w:t>
      </w:r>
      <w:r w:rsidR="0071360A">
        <w:t>р</w:t>
      </w:r>
      <w:r w:rsidR="00171F00">
        <w:t>з</w:t>
      </w:r>
      <w:r>
        <w:t>ијама</w:t>
      </w:r>
      <w:r w:rsidR="0039585F" w:rsidRPr="00F6340E">
        <w:t xml:space="preserve"> </w:t>
      </w:r>
      <w:r>
        <w:t>О</w:t>
      </w:r>
      <w:r w:rsidR="0071360A">
        <w:t>С</w:t>
      </w:r>
      <w:r w:rsidR="0039585F" w:rsidRPr="00F6340E">
        <w:t>-</w:t>
      </w:r>
      <w:r>
        <w:t>а</w:t>
      </w:r>
      <w:r w:rsidR="0039585F" w:rsidRPr="00F6340E">
        <w:t xml:space="preserve"> (</w:t>
      </w:r>
      <w:r w:rsidR="000010C5">
        <w:t>В</w:t>
      </w:r>
      <w:r>
        <w:t>индо</w:t>
      </w:r>
      <w:r w:rsidR="000010C5">
        <w:t>в</w:t>
      </w:r>
      <w:r w:rsidR="0071360A">
        <w:t>с</w:t>
      </w:r>
      <w:r w:rsidR="0039585F" w:rsidRPr="00F6340E">
        <w:t>/</w:t>
      </w:r>
      <w:r>
        <w:t>Анд</w:t>
      </w:r>
      <w:r w:rsidR="0071360A">
        <w:t>р</w:t>
      </w:r>
      <w:r>
        <w:t>оид</w:t>
      </w:r>
      <w:r w:rsidR="0039585F" w:rsidRPr="00F6340E">
        <w:t>/</w:t>
      </w:r>
      <w:r>
        <w:t>иО</w:t>
      </w:r>
      <w:r w:rsidR="0071360A">
        <w:t>С</w:t>
      </w:r>
      <w:r w:rsidR="0039585F" w:rsidRPr="00F6340E">
        <w:t>/</w:t>
      </w:r>
      <w:r>
        <w:t>Ма</w:t>
      </w:r>
      <w:r w:rsidR="000010C5">
        <w:t>к</w:t>
      </w:r>
      <w:r>
        <w:t>О</w:t>
      </w:r>
      <w:r w:rsidR="0071360A">
        <w:t>С</w:t>
      </w:r>
      <w:r w:rsidR="0039585F" w:rsidRPr="00F6340E">
        <w:t xml:space="preserve">); </w:t>
      </w:r>
    </w:p>
    <w:p w14:paraId="4150158F" w14:textId="057CC308" w:rsidR="0039585F" w:rsidRPr="00F6340E" w:rsidRDefault="00A56E08" w:rsidP="00FA4DC9">
      <w:pPr>
        <w:pStyle w:val="Bulletlist"/>
      </w:pPr>
      <w:r>
        <w:t>да</w:t>
      </w:r>
      <w:r w:rsidR="0039585F" w:rsidRPr="00F6340E">
        <w:t xml:space="preserve"> </w:t>
      </w:r>
      <w:r w:rsidR="0071360A">
        <w:t>с</w:t>
      </w:r>
      <w:r w:rsidR="00EE6AA2">
        <w:t>е</w:t>
      </w:r>
      <w:r w:rsidR="0039585F" w:rsidRPr="00F6340E">
        <w:t xml:space="preserve"> </w:t>
      </w:r>
      <w:r>
        <w:t>мо</w:t>
      </w:r>
      <w:r w:rsidR="00171F00">
        <w:t>ж</w:t>
      </w:r>
      <w:r w:rsidR="00EE6AA2">
        <w:t>е</w:t>
      </w:r>
      <w:r w:rsidR="0039585F" w:rsidRPr="00F6340E">
        <w:t xml:space="preserve"> </w:t>
      </w:r>
      <w:r w:rsidR="0071360A">
        <w:t>уп</w:t>
      </w:r>
      <w:r>
        <w:t>о</w:t>
      </w:r>
      <w:r w:rsidR="0071360A">
        <w:t>тр</w:t>
      </w:r>
      <w:r>
        <w:t>иј</w:t>
      </w:r>
      <w:r w:rsidR="00EE6AA2">
        <w:t>е</w:t>
      </w:r>
      <w:r>
        <w:t>би</w:t>
      </w:r>
      <w:r w:rsidR="0071360A">
        <w:t>т</w:t>
      </w:r>
      <w:r>
        <w:t>и</w:t>
      </w:r>
      <w:r w:rsidR="00610411" w:rsidRPr="00F6340E">
        <w:t xml:space="preserve"> </w:t>
      </w:r>
      <w:r>
        <w:t>на</w:t>
      </w:r>
      <w:r w:rsidR="0039585F" w:rsidRPr="00F6340E">
        <w:t xml:space="preserve"> </w:t>
      </w:r>
      <w:r>
        <w:t>ј</w:t>
      </w:r>
      <w:r w:rsidR="00EE6AA2">
        <w:t>е</w:t>
      </w:r>
      <w:r>
        <w:t>дном</w:t>
      </w:r>
      <w:r w:rsidR="0039585F" w:rsidRPr="00F6340E">
        <w:t xml:space="preserve"> </w:t>
      </w:r>
      <w:r>
        <w:t>од</w:t>
      </w:r>
      <w:r w:rsidR="0039585F" w:rsidRPr="00F6340E">
        <w:t xml:space="preserve"> </w:t>
      </w:r>
      <w:r w:rsidR="0071360A">
        <w:t>с</w:t>
      </w:r>
      <w:r>
        <w:t>л</w:t>
      </w:r>
      <w:r w:rsidR="0071360A">
        <w:t>у</w:t>
      </w:r>
      <w:r w:rsidR="00171F00">
        <w:t>ж</w:t>
      </w:r>
      <w:r>
        <w:t>б</w:t>
      </w:r>
      <w:r w:rsidR="00EE6AA2">
        <w:t>е</w:t>
      </w:r>
      <w:r>
        <w:t>них</w:t>
      </w:r>
      <w:r w:rsidR="00E1600C" w:rsidRPr="00F6340E">
        <w:t xml:space="preserve"> </w:t>
      </w:r>
      <w:r>
        <w:t>ј</w:t>
      </w:r>
      <w:r w:rsidR="00EE6AA2">
        <w:t>е</w:t>
      </w:r>
      <w:r w:rsidR="00171F00">
        <w:t>з</w:t>
      </w:r>
      <w:r>
        <w:t>ика</w:t>
      </w:r>
      <w:r w:rsidR="00E1600C" w:rsidRPr="00F6340E">
        <w:t xml:space="preserve"> </w:t>
      </w:r>
      <w:r>
        <w:t>и</w:t>
      </w:r>
      <w:r w:rsidR="005C448C" w:rsidRPr="00F6340E">
        <w:t xml:space="preserve"> </w:t>
      </w:r>
      <w:r w:rsidR="0071360A">
        <w:t>п</w:t>
      </w:r>
      <w:r>
        <w:t>и</w:t>
      </w:r>
      <w:r w:rsidR="0071360A">
        <w:t>с</w:t>
      </w:r>
      <w:r>
        <w:t>ама</w:t>
      </w:r>
      <w:r w:rsidR="00593A8E" w:rsidRPr="00F6340E">
        <w:t xml:space="preserve"> </w:t>
      </w:r>
      <w:r w:rsidR="0071360A">
        <w:t>у</w:t>
      </w:r>
      <w:r w:rsidR="00593A8E" w:rsidRPr="00F6340E">
        <w:t xml:space="preserve"> </w:t>
      </w:r>
      <w:r>
        <w:t>Бо</w:t>
      </w:r>
      <w:r w:rsidR="0071360A">
        <w:t>с</w:t>
      </w:r>
      <w:r>
        <w:t>ни</w:t>
      </w:r>
      <w:r w:rsidR="00593A8E" w:rsidRPr="00F6340E">
        <w:t xml:space="preserve"> </w:t>
      </w:r>
      <w:r>
        <w:t>и</w:t>
      </w:r>
      <w:r w:rsidR="00593A8E" w:rsidRPr="00F6340E">
        <w:t xml:space="preserve"> </w:t>
      </w:r>
      <w:r>
        <w:t>Х</w:t>
      </w:r>
      <w:r w:rsidR="00EE6AA2">
        <w:t>е</w:t>
      </w:r>
      <w:r w:rsidR="0071360A">
        <w:t>р</w:t>
      </w:r>
      <w:r>
        <w:t>ц</w:t>
      </w:r>
      <w:r w:rsidR="00EE6AA2">
        <w:t>е</w:t>
      </w:r>
      <w:r>
        <w:t>го</w:t>
      </w:r>
      <w:r w:rsidR="0071360A">
        <w:t>в</w:t>
      </w:r>
      <w:r>
        <w:t>ини</w:t>
      </w:r>
      <w:r w:rsidR="005C448C" w:rsidRPr="00F6340E">
        <w:t>;</w:t>
      </w:r>
    </w:p>
    <w:p w14:paraId="3857E63E" w14:textId="0E402990" w:rsidR="0039585F" w:rsidRPr="00F6340E" w:rsidRDefault="00A56E08" w:rsidP="00FA4DC9">
      <w:pPr>
        <w:pStyle w:val="Bulletlist"/>
      </w:pPr>
      <w:r>
        <w:t>да</w:t>
      </w:r>
      <w:r w:rsidR="0039585F" w:rsidRPr="00F6340E">
        <w:t xml:space="preserve"> </w:t>
      </w:r>
      <w:r>
        <w:t>н</w:t>
      </w:r>
      <w:r w:rsidR="0071360A">
        <w:t>у</w:t>
      </w:r>
      <w:r>
        <w:t>ди</w:t>
      </w:r>
      <w:r w:rsidR="0039585F" w:rsidRPr="00F6340E">
        <w:t xml:space="preserve"> </w:t>
      </w:r>
      <w:r>
        <w:t>мог</w:t>
      </w:r>
      <w:r w:rsidR="0071360A">
        <w:t>у</w:t>
      </w:r>
      <w:r>
        <w:t>ћно</w:t>
      </w:r>
      <w:r w:rsidR="0071360A">
        <w:t>ст</w:t>
      </w:r>
      <w:r w:rsidR="0039585F" w:rsidRPr="00F6340E">
        <w:t xml:space="preserve"> </w:t>
      </w:r>
      <w:r w:rsidR="0071360A">
        <w:t>упр</w:t>
      </w:r>
      <w:r>
        <w:t>а</w:t>
      </w:r>
      <w:r w:rsidR="0071360A">
        <w:t>в</w:t>
      </w:r>
      <w:r>
        <w:t>љања</w:t>
      </w:r>
      <w:r w:rsidR="0039585F" w:rsidRPr="00F6340E">
        <w:t xml:space="preserve"> </w:t>
      </w:r>
      <w:r>
        <w:t>ко</w:t>
      </w:r>
      <w:r w:rsidR="0071360A">
        <w:t>р</w:t>
      </w:r>
      <w:r>
        <w:t>и</w:t>
      </w:r>
      <w:r w:rsidR="0071360A">
        <w:t>с</w:t>
      </w:r>
      <w:r>
        <w:t>ничким</w:t>
      </w:r>
      <w:r w:rsidR="0039585F" w:rsidRPr="00F6340E">
        <w:t xml:space="preserve"> </w:t>
      </w:r>
      <w:r w:rsidR="0071360A">
        <w:t>р</w:t>
      </w:r>
      <w:r>
        <w:t>ач</w:t>
      </w:r>
      <w:r w:rsidR="0071360A">
        <w:t>у</w:t>
      </w:r>
      <w:r>
        <w:t>нима</w:t>
      </w:r>
      <w:r w:rsidR="0039585F" w:rsidRPr="00F6340E">
        <w:t xml:space="preserve"> </w:t>
      </w:r>
      <w:r>
        <w:t>на</w:t>
      </w:r>
      <w:r w:rsidR="0039585F" w:rsidRPr="00F6340E">
        <w:t xml:space="preserve"> </w:t>
      </w:r>
      <w:r>
        <w:t>ни</w:t>
      </w:r>
      <w:r w:rsidR="0071360A">
        <w:t>в</w:t>
      </w:r>
      <w:r>
        <w:t>о</w:t>
      </w:r>
      <w:r w:rsidR="0071360A">
        <w:t>у</w:t>
      </w:r>
      <w:r w:rsidR="0039585F" w:rsidRPr="00F6340E">
        <w:t xml:space="preserve"> </w:t>
      </w:r>
      <w:r>
        <w:t>дом</w:t>
      </w:r>
      <w:r w:rsidR="00EE6AA2">
        <w:t>е</w:t>
      </w:r>
      <w:r>
        <w:t>н</w:t>
      </w:r>
      <w:r w:rsidR="00EE6AA2">
        <w:t>е</w:t>
      </w:r>
      <w:r w:rsidR="0039585F" w:rsidRPr="00F6340E">
        <w:t xml:space="preserve"> </w:t>
      </w:r>
      <w:r w:rsidR="0071360A">
        <w:t>ш</w:t>
      </w:r>
      <w:r>
        <w:t>кол</w:t>
      </w:r>
      <w:r w:rsidR="00EE6AA2">
        <w:t>е</w:t>
      </w:r>
      <w:r w:rsidR="0039585F" w:rsidRPr="00F6340E">
        <w:t xml:space="preserve"> (</w:t>
      </w:r>
      <w:r>
        <w:t>к</w:t>
      </w:r>
      <w:r w:rsidR="0071360A">
        <w:t>р</w:t>
      </w:r>
      <w:r w:rsidR="00EE6AA2">
        <w:t>е</w:t>
      </w:r>
      <w:r>
        <w:t>и</w:t>
      </w:r>
      <w:r w:rsidR="0071360A">
        <w:t>р</w:t>
      </w:r>
      <w:r>
        <w:t>ањ</w:t>
      </w:r>
      <w:r w:rsidR="00EE6AA2">
        <w:t>е</w:t>
      </w:r>
      <w:r w:rsidR="0039585F" w:rsidRPr="00F6340E">
        <w:t xml:space="preserve"> </w:t>
      </w:r>
      <w:r>
        <w:t>но</w:t>
      </w:r>
      <w:r w:rsidR="0071360A">
        <w:t>в</w:t>
      </w:r>
      <w:r>
        <w:t>их</w:t>
      </w:r>
      <w:r w:rsidR="0039585F" w:rsidRPr="00F6340E">
        <w:t xml:space="preserve"> </w:t>
      </w:r>
      <w:r>
        <w:t>ко</w:t>
      </w:r>
      <w:r w:rsidR="0071360A">
        <w:t>р</w:t>
      </w:r>
      <w:r>
        <w:t>и</w:t>
      </w:r>
      <w:r w:rsidR="0071360A">
        <w:t>с</w:t>
      </w:r>
      <w:r>
        <w:t>ника</w:t>
      </w:r>
      <w:r w:rsidR="0039585F" w:rsidRPr="00F6340E">
        <w:t xml:space="preserve">, </w:t>
      </w:r>
      <w:r w:rsidR="0071360A">
        <w:t>р</w:t>
      </w:r>
      <w:r w:rsidR="00EE6AA2">
        <w:t>е</w:t>
      </w:r>
      <w:r w:rsidR="0071360A">
        <w:t>с</w:t>
      </w:r>
      <w:r w:rsidR="00EE6AA2">
        <w:t>е</w:t>
      </w:r>
      <w:r w:rsidR="0071360A">
        <w:t>т</w:t>
      </w:r>
      <w:r w:rsidR="0039585F" w:rsidRPr="00F6340E">
        <w:t xml:space="preserve"> </w:t>
      </w:r>
      <w:r>
        <w:t>ло</w:t>
      </w:r>
      <w:r w:rsidR="00171F00">
        <w:t>з</w:t>
      </w:r>
      <w:r>
        <w:t>инк</w:t>
      </w:r>
      <w:r w:rsidR="00EE6AA2">
        <w:t>е</w:t>
      </w:r>
      <w:r w:rsidR="0039585F" w:rsidRPr="00F6340E">
        <w:t xml:space="preserve"> </w:t>
      </w:r>
      <w:r>
        <w:t>и</w:t>
      </w:r>
      <w:r w:rsidR="0039585F" w:rsidRPr="00F6340E">
        <w:t xml:space="preserve"> </w:t>
      </w:r>
      <w:r w:rsidR="0071360A">
        <w:t>с</w:t>
      </w:r>
      <w:r>
        <w:t>л</w:t>
      </w:r>
      <w:r w:rsidR="0039585F" w:rsidRPr="00F6340E">
        <w:t>.);</w:t>
      </w:r>
    </w:p>
    <w:p w14:paraId="1F28A374" w14:textId="706D2CB9" w:rsidR="0039585F" w:rsidRPr="00F6340E" w:rsidRDefault="00A56E08" w:rsidP="00FA4DC9">
      <w:pPr>
        <w:pStyle w:val="Bulletlist"/>
      </w:pPr>
      <w:r>
        <w:t>да</w:t>
      </w:r>
      <w:r w:rsidR="0039585F" w:rsidRPr="00F6340E">
        <w:t xml:space="preserve"> </w:t>
      </w:r>
      <w:r>
        <w:t>омог</w:t>
      </w:r>
      <w:r w:rsidR="0071360A">
        <w:t>у</w:t>
      </w:r>
      <w:r>
        <w:t>ћа</w:t>
      </w:r>
      <w:r w:rsidR="0071360A">
        <w:t>в</w:t>
      </w:r>
      <w:r>
        <w:t>а</w:t>
      </w:r>
      <w:r w:rsidR="0039585F" w:rsidRPr="00F6340E">
        <w:t xml:space="preserve"> </w:t>
      </w:r>
      <w:r>
        <w:t>к</w:t>
      </w:r>
      <w:r w:rsidR="0071360A">
        <w:t>р</w:t>
      </w:r>
      <w:r w:rsidR="00EE6AA2">
        <w:t>е</w:t>
      </w:r>
      <w:r>
        <w:t>и</w:t>
      </w:r>
      <w:r w:rsidR="0071360A">
        <w:t>р</w:t>
      </w:r>
      <w:r>
        <w:t>ањ</w:t>
      </w:r>
      <w:r w:rsidR="00EE6AA2">
        <w:t>е</w:t>
      </w:r>
      <w:r w:rsidR="0039585F" w:rsidRPr="00F6340E">
        <w:t xml:space="preserve"> </w:t>
      </w:r>
      <w:r>
        <w:t>и</w:t>
      </w:r>
      <w:r w:rsidR="0039585F" w:rsidRPr="00F6340E">
        <w:t xml:space="preserve"> </w:t>
      </w:r>
      <w:r w:rsidR="0071360A">
        <w:t>пр</w:t>
      </w:r>
      <w:r w:rsidR="00EE6AA2">
        <w:t>е</w:t>
      </w:r>
      <w:r>
        <w:t>гл</w:t>
      </w:r>
      <w:r w:rsidR="00EE6AA2">
        <w:t>е</w:t>
      </w:r>
      <w:r>
        <w:t>д</w:t>
      </w:r>
      <w:r w:rsidR="0039585F" w:rsidRPr="00F6340E">
        <w:t xml:space="preserve"> </w:t>
      </w:r>
      <w:r>
        <w:t>о</w:t>
      </w:r>
      <w:r w:rsidR="0071360A">
        <w:t>с</w:t>
      </w:r>
      <w:r>
        <w:t>но</w:t>
      </w:r>
      <w:r w:rsidR="0071360A">
        <w:t>в</w:t>
      </w:r>
      <w:r>
        <w:t>них</w:t>
      </w:r>
      <w:r w:rsidR="0039585F" w:rsidRPr="00F6340E">
        <w:t xml:space="preserve"> </w:t>
      </w:r>
      <w:r>
        <w:t>да</w:t>
      </w:r>
      <w:r w:rsidR="0071360A">
        <w:t>т</w:t>
      </w:r>
      <w:r>
        <w:t>о</w:t>
      </w:r>
      <w:r w:rsidR="0071360A">
        <w:t>т</w:t>
      </w:r>
      <w:r w:rsidR="00EE6AA2">
        <w:t>е</w:t>
      </w:r>
      <w:r>
        <w:t>ка</w:t>
      </w:r>
      <w:r w:rsidR="007E2AE7" w:rsidRPr="00F6340E">
        <w:t xml:space="preserve"> </w:t>
      </w:r>
      <w:r w:rsidR="0039585F" w:rsidRPr="00F6340E">
        <w:t>(</w:t>
      </w:r>
      <w:r w:rsidR="0071360A">
        <w:t>т</w:t>
      </w:r>
      <w:r w:rsidR="00EE6AA2">
        <w:t>е</w:t>
      </w:r>
      <w:r>
        <w:t>к</w:t>
      </w:r>
      <w:r w:rsidR="0071360A">
        <w:t>сту</w:t>
      </w:r>
      <w:r>
        <w:t>ални</w:t>
      </w:r>
      <w:r w:rsidR="0039585F" w:rsidRPr="00F6340E">
        <w:t xml:space="preserve"> </w:t>
      </w:r>
      <w:r>
        <w:t>док</w:t>
      </w:r>
      <w:r w:rsidR="0071360A">
        <w:t>у</w:t>
      </w:r>
      <w:r>
        <w:t>м</w:t>
      </w:r>
      <w:r w:rsidR="00EE6AA2">
        <w:t>е</w:t>
      </w:r>
      <w:r>
        <w:t>н</w:t>
      </w:r>
      <w:r w:rsidR="0071360A">
        <w:t>т</w:t>
      </w:r>
      <w:r w:rsidR="0039585F" w:rsidRPr="00F6340E">
        <w:t xml:space="preserve">, </w:t>
      </w:r>
      <w:r w:rsidR="0071360A">
        <w:t>т</w:t>
      </w:r>
      <w:r>
        <w:t>аб</w:t>
      </w:r>
      <w:r w:rsidR="00EE6AA2">
        <w:t>е</w:t>
      </w:r>
      <w:r>
        <w:t>ла</w:t>
      </w:r>
      <w:r w:rsidR="0071360A">
        <w:t>р</w:t>
      </w:r>
      <w:r>
        <w:t>ни</w:t>
      </w:r>
      <w:r w:rsidR="0039585F" w:rsidRPr="00F6340E">
        <w:t xml:space="preserve"> </w:t>
      </w:r>
    </w:p>
    <w:p w14:paraId="75136531" w14:textId="3CC52C81" w:rsidR="0039585F" w:rsidRPr="00F6340E" w:rsidRDefault="0071360A" w:rsidP="00FA4DC9">
      <w:pPr>
        <w:pStyle w:val="Bulletlist"/>
      </w:pPr>
      <w:r>
        <w:t>пр</w:t>
      </w:r>
      <w:r w:rsidR="00A56E08">
        <w:t>о</w:t>
      </w:r>
      <w:r>
        <w:t>р</w:t>
      </w:r>
      <w:r w:rsidR="00A56E08">
        <w:t>ач</w:t>
      </w:r>
      <w:r>
        <w:t>у</w:t>
      </w:r>
      <w:r w:rsidR="00A56E08">
        <w:t>ни</w:t>
      </w:r>
      <w:r w:rsidR="0039585F" w:rsidRPr="00F6340E">
        <w:t xml:space="preserve">, </w:t>
      </w:r>
      <w:r w:rsidR="00A56E08">
        <w:t>м</w:t>
      </w:r>
      <w:r>
        <w:t>у</w:t>
      </w:r>
      <w:r w:rsidR="00A56E08">
        <w:t>л</w:t>
      </w:r>
      <w:r>
        <w:t>т</w:t>
      </w:r>
      <w:r w:rsidR="00A56E08">
        <w:t>им</w:t>
      </w:r>
      <w:r w:rsidR="00EE6AA2">
        <w:t>е</w:t>
      </w:r>
      <w:r w:rsidR="00A56E08">
        <w:t>дијална</w:t>
      </w:r>
      <w:r w:rsidR="0039585F" w:rsidRPr="00F6340E">
        <w:t xml:space="preserve"> </w:t>
      </w:r>
      <w:r>
        <w:t>пр</w:t>
      </w:r>
      <w:r w:rsidR="00EE6AA2">
        <w:t>е</w:t>
      </w:r>
      <w:r w:rsidR="00171F00">
        <w:t>з</w:t>
      </w:r>
      <w:r w:rsidR="00EE6AA2">
        <w:t>е</w:t>
      </w:r>
      <w:r w:rsidR="00A56E08">
        <w:t>н</w:t>
      </w:r>
      <w:r>
        <w:t>т</w:t>
      </w:r>
      <w:r w:rsidR="00A56E08">
        <w:t>ација</w:t>
      </w:r>
      <w:r w:rsidR="0039585F" w:rsidRPr="00F6340E">
        <w:t>);</w:t>
      </w:r>
    </w:p>
    <w:p w14:paraId="041DF0A8" w14:textId="2107DB84" w:rsidR="0039585F" w:rsidRPr="00F6340E" w:rsidRDefault="00A56E08" w:rsidP="00FA4DC9">
      <w:pPr>
        <w:pStyle w:val="Bulletlist"/>
      </w:pPr>
      <w:r>
        <w:t>да</w:t>
      </w:r>
      <w:r w:rsidR="0039585F" w:rsidRPr="00F6340E">
        <w:t xml:space="preserve"> </w:t>
      </w:r>
      <w:r>
        <w:t>на</w:t>
      </w:r>
      <w:r w:rsidR="0071360A">
        <w:t>ст</w:t>
      </w:r>
      <w:r>
        <w:t>а</w:t>
      </w:r>
      <w:r w:rsidR="0071360A">
        <w:t>в</w:t>
      </w:r>
      <w:r>
        <w:t>ници</w:t>
      </w:r>
      <w:r w:rsidR="0039585F" w:rsidRPr="00F6340E">
        <w:t xml:space="preserve"> </w:t>
      </w:r>
      <w:r>
        <w:t>имај</w:t>
      </w:r>
      <w:r w:rsidR="0071360A">
        <w:t>у</w:t>
      </w:r>
      <w:r w:rsidR="0039585F" w:rsidRPr="00F6340E">
        <w:t xml:space="preserve"> </w:t>
      </w:r>
      <w:r>
        <w:t>мог</w:t>
      </w:r>
      <w:r w:rsidR="0071360A">
        <w:t>у</w:t>
      </w:r>
      <w:r>
        <w:t>ћно</w:t>
      </w:r>
      <w:r w:rsidR="0071360A">
        <w:t>ст</w:t>
      </w:r>
      <w:r w:rsidR="0039585F" w:rsidRPr="00F6340E">
        <w:t xml:space="preserve"> </w:t>
      </w:r>
      <w:r>
        <w:t>к</w:t>
      </w:r>
      <w:r w:rsidR="0071360A">
        <w:t>р</w:t>
      </w:r>
      <w:r w:rsidR="00EE6AA2">
        <w:t>е</w:t>
      </w:r>
      <w:r>
        <w:t>и</w:t>
      </w:r>
      <w:r w:rsidR="0071360A">
        <w:t>р</w:t>
      </w:r>
      <w:r>
        <w:t>ања</w:t>
      </w:r>
      <w:r w:rsidR="0039585F" w:rsidRPr="00F6340E">
        <w:t xml:space="preserve"> </w:t>
      </w:r>
      <w:r>
        <w:t>г</w:t>
      </w:r>
      <w:r w:rsidR="0071360A">
        <w:t>руп</w:t>
      </w:r>
      <w:r w:rsidR="00EE6AA2">
        <w:t>е</w:t>
      </w:r>
      <w:r w:rsidR="0039585F" w:rsidRPr="00F6340E">
        <w:t>/</w:t>
      </w:r>
      <w:r>
        <w:t>канала</w:t>
      </w:r>
      <w:r w:rsidR="0039585F" w:rsidRPr="00F6340E">
        <w:t xml:space="preserve"> </w:t>
      </w:r>
      <w:r w:rsidR="00171F00">
        <w:t>з</w:t>
      </w:r>
      <w:r>
        <w:t>а</w:t>
      </w:r>
      <w:r w:rsidR="0039585F" w:rsidRPr="00F6340E">
        <w:t xml:space="preserve"> </w:t>
      </w:r>
      <w:r>
        <w:t>одј</w:t>
      </w:r>
      <w:r w:rsidR="00EE6AA2">
        <w:t>е</w:t>
      </w:r>
      <w:r>
        <w:t>љ</w:t>
      </w:r>
      <w:r w:rsidR="00EE6AA2">
        <w:t>е</w:t>
      </w:r>
      <w:r>
        <w:t>ња</w:t>
      </w:r>
      <w:r w:rsidR="0039585F" w:rsidRPr="00F6340E">
        <w:t>/</w:t>
      </w:r>
      <w:r w:rsidR="0071360A">
        <w:t>р</w:t>
      </w:r>
      <w:r>
        <w:t>а</w:t>
      </w:r>
      <w:r w:rsidR="00171F00">
        <w:t>з</w:t>
      </w:r>
      <w:r w:rsidR="0071360A">
        <w:t>р</w:t>
      </w:r>
      <w:r w:rsidR="00EE6AA2">
        <w:t>е</w:t>
      </w:r>
      <w:r>
        <w:t>д</w:t>
      </w:r>
      <w:r w:rsidR="00EE6AA2">
        <w:t>е</w:t>
      </w:r>
      <w:r w:rsidR="0039585F" w:rsidRPr="00F6340E">
        <w:t xml:space="preserve">; </w:t>
      </w:r>
    </w:p>
    <w:p w14:paraId="0BA60738" w14:textId="0C018336" w:rsidR="0039585F" w:rsidRPr="00F6340E" w:rsidRDefault="00A56E08" w:rsidP="00FA4DC9">
      <w:pPr>
        <w:pStyle w:val="Bulletlist"/>
      </w:pPr>
      <w:r>
        <w:t>да</w:t>
      </w:r>
      <w:r w:rsidR="0039585F" w:rsidRPr="00F6340E">
        <w:t xml:space="preserve"> </w:t>
      </w:r>
      <w:r w:rsidR="0071360A">
        <w:t>су</w:t>
      </w:r>
      <w:r w:rsidR="0039585F" w:rsidRPr="00F6340E">
        <w:t xml:space="preserve"> </w:t>
      </w:r>
      <w:r>
        <w:t>ма</w:t>
      </w:r>
      <w:r w:rsidR="0071360A">
        <w:t>т</w:t>
      </w:r>
      <w:r w:rsidR="00EE6AA2">
        <w:t>е</w:t>
      </w:r>
      <w:r w:rsidR="0071360A">
        <w:t>р</w:t>
      </w:r>
      <w:r>
        <w:t>ијали</w:t>
      </w:r>
      <w:r w:rsidR="0039585F" w:rsidRPr="00F6340E">
        <w:t xml:space="preserve"> </w:t>
      </w:r>
      <w:r>
        <w:t>до</w:t>
      </w:r>
      <w:r w:rsidR="0071360A">
        <w:t>ступ</w:t>
      </w:r>
      <w:r>
        <w:t>ни</w:t>
      </w:r>
      <w:r w:rsidR="0039585F" w:rsidRPr="00F6340E">
        <w:t xml:space="preserve"> </w:t>
      </w:r>
      <w:r w:rsidR="0071360A">
        <w:t>у</w:t>
      </w:r>
      <w:r w:rsidR="0039585F" w:rsidRPr="00F6340E">
        <w:t xml:space="preserve"> </w:t>
      </w:r>
      <w:r w:rsidR="0071360A">
        <w:t>р</w:t>
      </w:r>
      <w:r w:rsidR="00EE6AA2">
        <w:t>е</w:t>
      </w:r>
      <w:r>
        <w:t>алном</w:t>
      </w:r>
      <w:r w:rsidR="0039585F" w:rsidRPr="00F6340E">
        <w:t xml:space="preserve"> </w:t>
      </w:r>
      <w:r w:rsidR="0071360A">
        <w:t>вр</w:t>
      </w:r>
      <w:r w:rsidR="00EE6AA2">
        <w:t>е</w:t>
      </w:r>
      <w:r>
        <w:t>м</w:t>
      </w:r>
      <w:r w:rsidR="00EE6AA2">
        <w:t>е</w:t>
      </w:r>
      <w:r>
        <w:t>н</w:t>
      </w:r>
      <w:r w:rsidR="0071360A">
        <w:t>у</w:t>
      </w:r>
      <w:r w:rsidR="0039585F" w:rsidRPr="00F6340E">
        <w:t xml:space="preserve">; </w:t>
      </w:r>
    </w:p>
    <w:p w14:paraId="7B6FACEE" w14:textId="3B12B789" w:rsidR="0039585F" w:rsidRPr="00F6340E" w:rsidRDefault="00A56E08" w:rsidP="00FA4DC9">
      <w:pPr>
        <w:pStyle w:val="Bulletlist"/>
      </w:pPr>
      <w:r>
        <w:t>да</w:t>
      </w:r>
      <w:r w:rsidR="0039585F" w:rsidRPr="00F6340E">
        <w:t xml:space="preserve"> </w:t>
      </w:r>
      <w:r>
        <w:t>омог</w:t>
      </w:r>
      <w:r w:rsidR="0071360A">
        <w:t>у</w:t>
      </w:r>
      <w:r>
        <w:t>ћи</w:t>
      </w:r>
      <w:r w:rsidR="0039585F" w:rsidRPr="00F6340E">
        <w:t xml:space="preserve"> </w:t>
      </w:r>
      <w:r>
        <w:t>ча</w:t>
      </w:r>
      <w:r w:rsidR="0071360A">
        <w:t>с</w:t>
      </w:r>
      <w:r>
        <w:t>о</w:t>
      </w:r>
      <w:r w:rsidR="0071360A">
        <w:t>в</w:t>
      </w:r>
      <w:r w:rsidR="00EE6AA2">
        <w:t>е</w:t>
      </w:r>
      <w:r w:rsidR="0039585F" w:rsidRPr="00F6340E">
        <w:t xml:space="preserve"> </w:t>
      </w:r>
      <w:r w:rsidR="0071360A">
        <w:t>пут</w:t>
      </w:r>
      <w:r w:rsidR="00EE6AA2">
        <w:t>е</w:t>
      </w:r>
      <w:r>
        <w:t>м</w:t>
      </w:r>
      <w:r w:rsidR="007E2AE7" w:rsidRPr="00F6340E">
        <w:t xml:space="preserve"> </w:t>
      </w:r>
      <w:r>
        <w:t>ин</w:t>
      </w:r>
      <w:r w:rsidR="0071360A">
        <w:t>т</w:t>
      </w:r>
      <w:r w:rsidR="00EE6AA2">
        <w:t>е</w:t>
      </w:r>
      <w:r w:rsidR="0071360A">
        <w:t>р</w:t>
      </w:r>
      <w:r>
        <w:t>н</w:t>
      </w:r>
      <w:r w:rsidR="00EE6AA2">
        <w:t>е</w:t>
      </w:r>
      <w:r w:rsidR="0071360A">
        <w:t>т</w:t>
      </w:r>
      <w:r>
        <w:t>а</w:t>
      </w:r>
      <w:r w:rsidR="007E2AE7" w:rsidRPr="00F6340E">
        <w:t xml:space="preserve"> </w:t>
      </w:r>
      <w:r w:rsidR="0071360A">
        <w:t>у</w:t>
      </w:r>
      <w:r w:rsidR="0039585F" w:rsidRPr="00F6340E">
        <w:t xml:space="preserve"> </w:t>
      </w:r>
      <w:r w:rsidR="0071360A">
        <w:t>р</w:t>
      </w:r>
      <w:r w:rsidR="00EE6AA2">
        <w:t>е</w:t>
      </w:r>
      <w:r>
        <w:t>алном</w:t>
      </w:r>
      <w:r w:rsidR="0039585F" w:rsidRPr="00F6340E">
        <w:t xml:space="preserve"> </w:t>
      </w:r>
      <w:r w:rsidR="0071360A">
        <w:t>вр</w:t>
      </w:r>
      <w:r w:rsidR="00EE6AA2">
        <w:t>е</w:t>
      </w:r>
      <w:r>
        <w:t>м</w:t>
      </w:r>
      <w:r w:rsidR="00EE6AA2">
        <w:t>е</w:t>
      </w:r>
      <w:r>
        <w:t>н</w:t>
      </w:r>
      <w:r w:rsidR="0071360A">
        <w:t>у</w:t>
      </w:r>
      <w:r w:rsidR="0039585F" w:rsidRPr="00F6340E">
        <w:t xml:space="preserve"> (</w:t>
      </w:r>
      <w:r w:rsidR="0071360A">
        <w:t>в</w:t>
      </w:r>
      <w:r>
        <w:t>ид</w:t>
      </w:r>
      <w:r w:rsidR="00EE6AA2">
        <w:t>е</w:t>
      </w:r>
      <w:r>
        <w:t>о</w:t>
      </w:r>
      <w:r w:rsidR="0039585F" w:rsidRPr="00F6340E">
        <w:t xml:space="preserve">, </w:t>
      </w:r>
      <w:r w:rsidR="00171F00">
        <w:t>з</w:t>
      </w:r>
      <w:r w:rsidR="0071360A">
        <w:t>ву</w:t>
      </w:r>
      <w:r>
        <w:t>к</w:t>
      </w:r>
      <w:r w:rsidR="0039585F" w:rsidRPr="00F6340E">
        <w:t xml:space="preserve">, </w:t>
      </w:r>
      <w:r>
        <w:t>диј</w:t>
      </w:r>
      <w:r w:rsidR="00EE6AA2">
        <w:t>е</w:t>
      </w:r>
      <w:r>
        <w:t>љ</w:t>
      </w:r>
      <w:r w:rsidR="00EE6AA2">
        <w:t>е</w:t>
      </w:r>
      <w:r>
        <w:t>њ</w:t>
      </w:r>
      <w:r w:rsidR="00EE6AA2">
        <w:t>е</w:t>
      </w:r>
      <w:r w:rsidR="0039585F" w:rsidRPr="00F6340E">
        <w:t xml:space="preserve"> </w:t>
      </w:r>
      <w:r w:rsidR="00171F00">
        <w:t>з</w:t>
      </w:r>
      <w:r>
        <w:t>а</w:t>
      </w:r>
      <w:r w:rsidR="0071360A">
        <w:t>с</w:t>
      </w:r>
      <w:r>
        <w:t>лона</w:t>
      </w:r>
      <w:r w:rsidR="0039585F" w:rsidRPr="00F6340E">
        <w:t>);</w:t>
      </w:r>
    </w:p>
    <w:p w14:paraId="064A3281" w14:textId="2D2C1EB8" w:rsidR="0039585F" w:rsidRPr="00F6340E" w:rsidRDefault="00A56E08" w:rsidP="00FA4DC9">
      <w:pPr>
        <w:pStyle w:val="Bulletlist"/>
      </w:pPr>
      <w:r>
        <w:t>да</w:t>
      </w:r>
      <w:r w:rsidR="0039585F" w:rsidRPr="00F6340E">
        <w:t xml:space="preserve"> </w:t>
      </w:r>
      <w:r>
        <w:t>н</w:t>
      </w:r>
      <w:r w:rsidR="0071360A">
        <w:t>у</w:t>
      </w:r>
      <w:r>
        <w:t>ди</w:t>
      </w:r>
      <w:r w:rsidR="0039585F" w:rsidRPr="00F6340E">
        <w:t xml:space="preserve"> </w:t>
      </w:r>
      <w:r>
        <w:t>мог</w:t>
      </w:r>
      <w:r w:rsidR="0071360A">
        <w:t>у</w:t>
      </w:r>
      <w:r>
        <w:t>ћно</w:t>
      </w:r>
      <w:r w:rsidR="0071360A">
        <w:t>ст</w:t>
      </w:r>
      <w:r w:rsidR="0039585F" w:rsidRPr="00F6340E">
        <w:t xml:space="preserve"> </w:t>
      </w:r>
      <w:r w:rsidR="0071360A">
        <w:t>с</w:t>
      </w:r>
      <w:r>
        <w:t>нимања</w:t>
      </w:r>
      <w:r w:rsidR="0039585F" w:rsidRPr="00F6340E">
        <w:t xml:space="preserve"> </w:t>
      </w:r>
      <w:r>
        <w:t>ча</w:t>
      </w:r>
      <w:r w:rsidR="0071360A">
        <w:t>с</w:t>
      </w:r>
      <w:r>
        <w:t>а</w:t>
      </w:r>
      <w:r w:rsidR="0039585F" w:rsidRPr="00F6340E">
        <w:t>/</w:t>
      </w:r>
      <w:r w:rsidR="0071360A">
        <w:t>с</w:t>
      </w:r>
      <w:r>
        <w:t>ад</w:t>
      </w:r>
      <w:r w:rsidR="0071360A">
        <w:t>р</w:t>
      </w:r>
      <w:r w:rsidR="00171F00">
        <w:t>ж</w:t>
      </w:r>
      <w:r>
        <w:t>аја</w:t>
      </w:r>
      <w:r w:rsidR="0039585F" w:rsidRPr="00F6340E">
        <w:t xml:space="preserve"> </w:t>
      </w:r>
      <w:r>
        <w:t>на</w:t>
      </w:r>
      <w:r w:rsidR="007E2AE7" w:rsidRPr="00F6340E">
        <w:t xml:space="preserve"> </w:t>
      </w:r>
      <w:r>
        <w:t>ин</w:t>
      </w:r>
      <w:r w:rsidR="0071360A">
        <w:t>т</w:t>
      </w:r>
      <w:r w:rsidR="00EE6AA2">
        <w:t>е</w:t>
      </w:r>
      <w:r w:rsidR="0071360A">
        <w:t>р</w:t>
      </w:r>
      <w:r>
        <w:t>н</w:t>
      </w:r>
      <w:r w:rsidR="00EE6AA2">
        <w:t>е</w:t>
      </w:r>
      <w:r w:rsidR="0071360A">
        <w:t>ту</w:t>
      </w:r>
      <w:r w:rsidR="007E2AE7" w:rsidRPr="00F6340E">
        <w:t xml:space="preserve"> </w:t>
      </w:r>
      <w:r w:rsidR="0071360A">
        <w:t>у</w:t>
      </w:r>
      <w:r w:rsidR="0039585F" w:rsidRPr="00F6340E">
        <w:t xml:space="preserve"> </w:t>
      </w:r>
      <w:r>
        <w:t>фо</w:t>
      </w:r>
      <w:r w:rsidR="0071360A">
        <w:t>р</w:t>
      </w:r>
      <w:r>
        <w:t>ми</w:t>
      </w:r>
      <w:r w:rsidR="0039585F" w:rsidRPr="00F6340E">
        <w:t xml:space="preserve"> </w:t>
      </w:r>
      <w:r w:rsidR="0071360A">
        <w:t>в</w:t>
      </w:r>
      <w:r>
        <w:t>ид</w:t>
      </w:r>
      <w:r w:rsidR="00EE6AA2">
        <w:t>е</w:t>
      </w:r>
      <w:r>
        <w:t>а</w:t>
      </w:r>
      <w:r w:rsidR="0039585F" w:rsidRPr="00F6340E">
        <w:t xml:space="preserve"> </w:t>
      </w:r>
      <w:r>
        <w:t>који</w:t>
      </w:r>
      <w:r w:rsidR="0039585F" w:rsidRPr="00F6340E">
        <w:t xml:space="preserve"> </w:t>
      </w:r>
      <w:r>
        <w:t>мо</w:t>
      </w:r>
      <w:r w:rsidR="00171F00">
        <w:t>ж</w:t>
      </w:r>
      <w:r w:rsidR="00EE6AA2">
        <w:t>е</w:t>
      </w:r>
      <w:r w:rsidR="0039585F" w:rsidRPr="00F6340E">
        <w:t xml:space="preserve"> </w:t>
      </w:r>
      <w:r>
        <w:t>би</w:t>
      </w:r>
      <w:r w:rsidR="0071360A">
        <w:t>т</w:t>
      </w:r>
      <w:r>
        <w:t>и</w:t>
      </w:r>
      <w:r w:rsidR="0039585F" w:rsidRPr="00F6340E">
        <w:t xml:space="preserve"> </w:t>
      </w:r>
      <w:r>
        <w:t>до</w:t>
      </w:r>
      <w:r w:rsidR="0071360A">
        <w:t>ступ</w:t>
      </w:r>
      <w:r>
        <w:t>ан</w:t>
      </w:r>
      <w:r w:rsidR="0039585F" w:rsidRPr="00F6340E">
        <w:t xml:space="preserve"> </w:t>
      </w:r>
      <w:r w:rsidR="0071360A">
        <w:t>св</w:t>
      </w:r>
      <w:r>
        <w:t>им</w:t>
      </w:r>
      <w:r w:rsidR="0039585F" w:rsidRPr="00F6340E">
        <w:t xml:space="preserve"> </w:t>
      </w:r>
      <w:r w:rsidR="0071360A">
        <w:t>у</w:t>
      </w:r>
      <w:r>
        <w:t>ч</w:t>
      </w:r>
      <w:r w:rsidR="00EE6AA2">
        <w:t>е</w:t>
      </w:r>
      <w:r>
        <w:t>ницима</w:t>
      </w:r>
      <w:r w:rsidR="0039585F" w:rsidRPr="00F6340E">
        <w:t>/</w:t>
      </w:r>
      <w:r w:rsidR="0071360A">
        <w:t>сту</w:t>
      </w:r>
      <w:r>
        <w:t>д</w:t>
      </w:r>
      <w:r w:rsidR="00EE6AA2">
        <w:t>е</w:t>
      </w:r>
      <w:r>
        <w:t>н</w:t>
      </w:r>
      <w:r w:rsidR="0071360A">
        <w:t>т</w:t>
      </w:r>
      <w:r>
        <w:t>има</w:t>
      </w:r>
      <w:r w:rsidR="0039585F" w:rsidRPr="00F6340E">
        <w:t xml:space="preserve"> </w:t>
      </w:r>
      <w:r>
        <w:t>на</w:t>
      </w:r>
      <w:r w:rsidR="0039585F" w:rsidRPr="00F6340E">
        <w:t xml:space="preserve"> </w:t>
      </w:r>
      <w:r w:rsidR="00171F00">
        <w:t>з</w:t>
      </w:r>
      <w:r>
        <w:t>ах</w:t>
      </w:r>
      <w:r w:rsidR="0071360A">
        <w:t>т</w:t>
      </w:r>
      <w:r>
        <w:t>ј</w:t>
      </w:r>
      <w:r w:rsidR="00EE6AA2">
        <w:t>е</w:t>
      </w:r>
      <w:r w:rsidR="0071360A">
        <w:t>в</w:t>
      </w:r>
      <w:r w:rsidR="0039585F" w:rsidRPr="00F6340E">
        <w:t xml:space="preserve"> (</w:t>
      </w:r>
      <w:r w:rsidR="0071360A">
        <w:t>В</w:t>
      </w:r>
      <w:r>
        <w:t>оД</w:t>
      </w:r>
      <w:r w:rsidR="0039585F" w:rsidRPr="00F6340E">
        <w:t xml:space="preserve"> – </w:t>
      </w:r>
      <w:r w:rsidR="000010C5">
        <w:rPr>
          <w:lang w:val="hr-BA"/>
        </w:rPr>
        <w:t>Video on demand</w:t>
      </w:r>
      <w:r w:rsidR="0039585F" w:rsidRPr="00F6340E">
        <w:t xml:space="preserve">); </w:t>
      </w:r>
    </w:p>
    <w:p w14:paraId="67804512" w14:textId="644DAB01" w:rsidR="0039585F" w:rsidRPr="00F6340E" w:rsidRDefault="00A56E08" w:rsidP="00FA4DC9">
      <w:pPr>
        <w:pStyle w:val="Bulletlist"/>
      </w:pPr>
      <w:r>
        <w:t>да</w:t>
      </w:r>
      <w:r w:rsidR="0039585F" w:rsidRPr="00F6340E">
        <w:t xml:space="preserve"> </w:t>
      </w:r>
      <w:r>
        <w:t>омог</w:t>
      </w:r>
      <w:r w:rsidR="0071360A">
        <w:t>у</w:t>
      </w:r>
      <w:r>
        <w:t>ћи</w:t>
      </w:r>
      <w:r w:rsidR="0039585F" w:rsidRPr="00F6340E">
        <w:t xml:space="preserve"> </w:t>
      </w:r>
      <w:r>
        <w:t>на</w:t>
      </w:r>
      <w:r w:rsidR="0071360A">
        <w:t>ст</w:t>
      </w:r>
      <w:r>
        <w:t>а</w:t>
      </w:r>
      <w:r w:rsidR="0071360A">
        <w:t>в</w:t>
      </w:r>
      <w:r>
        <w:t>ницима</w:t>
      </w:r>
      <w:r w:rsidR="0039585F" w:rsidRPr="00F6340E">
        <w:t xml:space="preserve"> </w:t>
      </w:r>
      <w:r>
        <w:t>да</w:t>
      </w:r>
      <w:r w:rsidR="0039585F" w:rsidRPr="00F6340E">
        <w:t xml:space="preserve"> </w:t>
      </w:r>
      <w:r>
        <w:t>к</w:t>
      </w:r>
      <w:r w:rsidR="0071360A">
        <w:t>р</w:t>
      </w:r>
      <w:r w:rsidR="00EE6AA2">
        <w:t>е</w:t>
      </w:r>
      <w:r>
        <w:t>и</w:t>
      </w:r>
      <w:r w:rsidR="0071360A">
        <w:t>р</w:t>
      </w:r>
      <w:r>
        <w:t>ај</w:t>
      </w:r>
      <w:r w:rsidR="0071360A">
        <w:t>у</w:t>
      </w:r>
      <w:r w:rsidR="0039585F" w:rsidRPr="00F6340E">
        <w:t xml:space="preserve"> </w:t>
      </w:r>
      <w:r>
        <w:t>к</w:t>
      </w:r>
      <w:r w:rsidR="0071360A">
        <w:t>в</w:t>
      </w:r>
      <w:r>
        <w:t>и</w:t>
      </w:r>
      <w:r w:rsidR="00171F00">
        <w:t>з</w:t>
      </w:r>
      <w:r>
        <w:t>о</w:t>
      </w:r>
      <w:r w:rsidR="0071360A">
        <w:t>в</w:t>
      </w:r>
      <w:r w:rsidR="00EE6AA2">
        <w:t>е</w:t>
      </w:r>
      <w:r w:rsidR="0039585F" w:rsidRPr="00F6340E">
        <w:t>/</w:t>
      </w:r>
      <w:r>
        <w:t>об</w:t>
      </w:r>
      <w:r w:rsidR="0071360A">
        <w:t>р</w:t>
      </w:r>
      <w:r>
        <w:t>а</w:t>
      </w:r>
      <w:r w:rsidR="0071360A">
        <w:t>с</w:t>
      </w:r>
      <w:r>
        <w:t>ц</w:t>
      </w:r>
      <w:r w:rsidR="00EE6AA2">
        <w:t>е</w:t>
      </w:r>
      <w:r w:rsidR="0039585F" w:rsidRPr="00F6340E">
        <w:t xml:space="preserve"> </w:t>
      </w:r>
      <w:r w:rsidR="00171F00">
        <w:t>з</w:t>
      </w:r>
      <w:r>
        <w:t>а</w:t>
      </w:r>
      <w:r w:rsidR="0039585F" w:rsidRPr="00F6340E">
        <w:t xml:space="preserve"> </w:t>
      </w:r>
      <w:r>
        <w:t>оцј</w:t>
      </w:r>
      <w:r w:rsidR="00EE6AA2">
        <w:t>е</w:t>
      </w:r>
      <w:r>
        <w:t>њи</w:t>
      </w:r>
      <w:r w:rsidR="0071360A">
        <w:t>в</w:t>
      </w:r>
      <w:r>
        <w:t>ањ</w:t>
      </w:r>
      <w:r w:rsidR="00EE6AA2">
        <w:t>е</w:t>
      </w:r>
      <w:r w:rsidR="007E2AE7" w:rsidRPr="00F6340E">
        <w:t xml:space="preserve"> </w:t>
      </w:r>
      <w:r>
        <w:t>на</w:t>
      </w:r>
      <w:r w:rsidR="0071360A">
        <w:t>ст</w:t>
      </w:r>
      <w:r>
        <w:t>а</w:t>
      </w:r>
      <w:r w:rsidR="0071360A">
        <w:t>в</w:t>
      </w:r>
      <w:r>
        <w:t>них</w:t>
      </w:r>
      <w:r w:rsidR="0039585F" w:rsidRPr="00F6340E">
        <w:t xml:space="preserve"> </w:t>
      </w:r>
      <w:r w:rsidR="0071360A">
        <w:t>с</w:t>
      </w:r>
      <w:r>
        <w:t>ад</w:t>
      </w:r>
      <w:r w:rsidR="0071360A">
        <w:t>р</w:t>
      </w:r>
      <w:r w:rsidR="00171F00">
        <w:t>ж</w:t>
      </w:r>
      <w:r>
        <w:t>аја</w:t>
      </w:r>
      <w:r w:rsidR="0039585F" w:rsidRPr="00F6340E">
        <w:t>;</w:t>
      </w:r>
    </w:p>
    <w:p w14:paraId="3EE6A4F2" w14:textId="65B2E3D8" w:rsidR="0039585F" w:rsidRPr="00F6340E" w:rsidRDefault="0071360A" w:rsidP="00FA4DC9">
      <w:pPr>
        <w:pStyle w:val="Bulletlist"/>
      </w:pPr>
      <w:r>
        <w:t>ув</w:t>
      </w:r>
      <w:r w:rsidR="00A56E08">
        <w:t>ид</w:t>
      </w:r>
      <w:r w:rsidR="0039585F" w:rsidRPr="00F6340E">
        <w:t xml:space="preserve"> </w:t>
      </w:r>
      <w:r>
        <w:t>у</w:t>
      </w:r>
      <w:r w:rsidR="0039585F" w:rsidRPr="00F6340E">
        <w:t xml:space="preserve"> </w:t>
      </w:r>
      <w:r w:rsidR="00A56E08">
        <w:t>диги</w:t>
      </w:r>
      <w:r>
        <w:t>т</w:t>
      </w:r>
      <w:r w:rsidR="00A56E08">
        <w:t>алн</w:t>
      </w:r>
      <w:r w:rsidR="00EE6AA2">
        <w:t>е</w:t>
      </w:r>
      <w:r w:rsidR="0039585F" w:rsidRPr="00F6340E">
        <w:t xml:space="preserve"> </w:t>
      </w:r>
      <w:r w:rsidR="00A56E08">
        <w:t>ак</w:t>
      </w:r>
      <w:r>
        <w:t>т</w:t>
      </w:r>
      <w:r w:rsidR="00A56E08">
        <w:t>и</w:t>
      </w:r>
      <w:r>
        <w:t>в</w:t>
      </w:r>
      <w:r w:rsidR="00A56E08">
        <w:t>но</w:t>
      </w:r>
      <w:r>
        <w:t>ст</w:t>
      </w:r>
      <w:r w:rsidR="00A56E08">
        <w:t>и</w:t>
      </w:r>
      <w:r w:rsidR="0039585F" w:rsidRPr="00F6340E">
        <w:t xml:space="preserve"> </w:t>
      </w:r>
      <w:r>
        <w:t>у</w:t>
      </w:r>
      <w:r w:rsidR="00A56E08">
        <w:t>ч</w:t>
      </w:r>
      <w:r w:rsidR="00EE6AA2">
        <w:t>е</w:t>
      </w:r>
      <w:r w:rsidR="00A56E08">
        <w:t>ника</w:t>
      </w:r>
      <w:r w:rsidR="0039585F" w:rsidRPr="00F6340E">
        <w:t>/</w:t>
      </w:r>
      <w:r>
        <w:t>сту</w:t>
      </w:r>
      <w:r w:rsidR="00A56E08">
        <w:t>д</w:t>
      </w:r>
      <w:r w:rsidR="00EE6AA2">
        <w:t>е</w:t>
      </w:r>
      <w:r w:rsidR="00A56E08">
        <w:t>на</w:t>
      </w:r>
      <w:r>
        <w:t>т</w:t>
      </w:r>
      <w:r w:rsidR="00A56E08">
        <w:t>а</w:t>
      </w:r>
      <w:r w:rsidR="0039585F" w:rsidRPr="00F6340E">
        <w:t xml:space="preserve"> (</w:t>
      </w:r>
      <w:r>
        <w:t>пр</w:t>
      </w:r>
      <w:r w:rsidR="00A56E08">
        <w:t>и</w:t>
      </w:r>
      <w:r>
        <w:t>суств</w:t>
      </w:r>
      <w:r w:rsidR="00A56E08">
        <w:t>о</w:t>
      </w:r>
      <w:r w:rsidR="00610411" w:rsidRPr="00F6340E">
        <w:t xml:space="preserve"> </w:t>
      </w:r>
      <w:r w:rsidR="00A56E08">
        <w:t>на</w:t>
      </w:r>
      <w:r w:rsidR="0039585F" w:rsidRPr="00F6340E">
        <w:t xml:space="preserve"> </w:t>
      </w:r>
      <w:r>
        <w:t>с</w:t>
      </w:r>
      <w:r w:rsidR="00A56E08">
        <w:t>а</w:t>
      </w:r>
      <w:r>
        <w:t>ст</w:t>
      </w:r>
      <w:r w:rsidR="00A56E08">
        <w:t>анцима</w:t>
      </w:r>
      <w:r w:rsidR="007E2AE7" w:rsidRPr="00F6340E">
        <w:t xml:space="preserve"> </w:t>
      </w:r>
      <w:r w:rsidR="00A56E08">
        <w:t>на</w:t>
      </w:r>
      <w:r w:rsidR="007E2AE7" w:rsidRPr="00F6340E">
        <w:t xml:space="preserve"> </w:t>
      </w:r>
      <w:r w:rsidR="00A56E08">
        <w:t>ин</w:t>
      </w:r>
      <w:r>
        <w:t>т</w:t>
      </w:r>
      <w:r w:rsidR="00EE6AA2">
        <w:t>е</w:t>
      </w:r>
      <w:r>
        <w:t>р</w:t>
      </w:r>
      <w:r w:rsidR="00A56E08">
        <w:t>н</w:t>
      </w:r>
      <w:r w:rsidR="00EE6AA2">
        <w:t>е</w:t>
      </w:r>
      <w:r>
        <w:t>ту</w:t>
      </w:r>
      <w:r w:rsidR="0039585F" w:rsidRPr="00F6340E">
        <w:t xml:space="preserve">, </w:t>
      </w:r>
      <w:r w:rsidR="00A56E08">
        <w:t>анга</w:t>
      </w:r>
      <w:r w:rsidR="00171F00">
        <w:t>ж</w:t>
      </w:r>
      <w:r w:rsidR="00A56E08">
        <w:t>о</w:t>
      </w:r>
      <w:r>
        <w:t>в</w:t>
      </w:r>
      <w:r w:rsidR="00A56E08">
        <w:t>ано</w:t>
      </w:r>
      <w:r>
        <w:t>ст</w:t>
      </w:r>
      <w:r w:rsidR="0039585F" w:rsidRPr="00F6340E">
        <w:t xml:space="preserve"> </w:t>
      </w:r>
      <w:r>
        <w:t>пр</w:t>
      </w:r>
      <w:r w:rsidR="00A56E08">
        <w:t>и</w:t>
      </w:r>
      <w:r w:rsidR="0039585F" w:rsidRPr="00F6340E">
        <w:t xml:space="preserve"> </w:t>
      </w:r>
      <w:r w:rsidR="00A56E08">
        <w:t>и</w:t>
      </w:r>
      <w:r w:rsidR="00171F00">
        <w:t>з</w:t>
      </w:r>
      <w:r>
        <w:t>р</w:t>
      </w:r>
      <w:r w:rsidR="00A56E08">
        <w:t>ади</w:t>
      </w:r>
      <w:r w:rsidR="0039585F" w:rsidRPr="00F6340E">
        <w:t xml:space="preserve"> </w:t>
      </w:r>
      <w:r w:rsidR="00171F00">
        <w:t>з</w:t>
      </w:r>
      <w:r w:rsidR="00A56E08">
        <w:t>ада</w:t>
      </w:r>
      <w:r>
        <w:t>т</w:t>
      </w:r>
      <w:r w:rsidR="00A56E08">
        <w:t>ака</w:t>
      </w:r>
      <w:r w:rsidR="0039585F" w:rsidRPr="00F6340E">
        <w:t>);</w:t>
      </w:r>
    </w:p>
    <w:p w14:paraId="3152B6D9" w14:textId="680C4A92" w:rsidR="0039585F" w:rsidRPr="00F6340E" w:rsidRDefault="00A56E08" w:rsidP="00FA4DC9">
      <w:pPr>
        <w:pStyle w:val="Bulletlist"/>
      </w:pPr>
      <w:r>
        <w:lastRenderedPageBreak/>
        <w:t>да</w:t>
      </w:r>
      <w:r w:rsidR="0039585F" w:rsidRPr="00F6340E">
        <w:t xml:space="preserve"> </w:t>
      </w:r>
      <w:r w:rsidR="0071360A">
        <w:t>п</w:t>
      </w:r>
      <w:r>
        <w:t>о</w:t>
      </w:r>
      <w:r w:rsidR="0071360A">
        <w:t>с</w:t>
      </w:r>
      <w:r>
        <w:t>ј</w:t>
      </w:r>
      <w:r w:rsidR="00EE6AA2">
        <w:t>е</w:t>
      </w:r>
      <w:r>
        <w:t>д</w:t>
      </w:r>
      <w:r w:rsidR="0071360A">
        <w:t>у</w:t>
      </w:r>
      <w:r>
        <w:t>ј</w:t>
      </w:r>
      <w:r w:rsidR="00EE6AA2">
        <w:t>е</w:t>
      </w:r>
      <w:r w:rsidR="0039585F" w:rsidRPr="00F6340E">
        <w:t xml:space="preserve"> </w:t>
      </w:r>
      <w:r w:rsidR="0071360A">
        <w:t>пр</w:t>
      </w:r>
      <w:r>
        <w:t>о</w:t>
      </w:r>
      <w:r w:rsidR="0071360A">
        <w:t>ст</w:t>
      </w:r>
      <w:r>
        <w:t>о</w:t>
      </w:r>
      <w:r w:rsidR="0071360A">
        <w:t>р</w:t>
      </w:r>
      <w:r w:rsidR="0039585F" w:rsidRPr="00F6340E">
        <w:t xml:space="preserve"> </w:t>
      </w:r>
      <w:r w:rsidR="00171F00">
        <w:t>з</w:t>
      </w:r>
      <w:r>
        <w:t>а</w:t>
      </w:r>
      <w:r w:rsidR="0039585F" w:rsidRPr="00F6340E">
        <w:t xml:space="preserve"> </w:t>
      </w:r>
      <w:r w:rsidR="0071360A">
        <w:t>п</w:t>
      </w:r>
      <w:r>
        <w:t>ох</w:t>
      </w:r>
      <w:r w:rsidR="0071360A">
        <w:t>р</w:t>
      </w:r>
      <w:r>
        <w:t>ан</w:t>
      </w:r>
      <w:r w:rsidR="0071360A">
        <w:t>у</w:t>
      </w:r>
      <w:r w:rsidR="0039585F" w:rsidRPr="00F6340E">
        <w:t xml:space="preserve"> </w:t>
      </w:r>
      <w:r>
        <w:t>на</w:t>
      </w:r>
      <w:r w:rsidR="0071360A">
        <w:t>ст</w:t>
      </w:r>
      <w:r>
        <w:t>а</w:t>
      </w:r>
      <w:r w:rsidR="0071360A">
        <w:t>в</w:t>
      </w:r>
      <w:r>
        <w:t>них</w:t>
      </w:r>
      <w:r w:rsidR="0039585F" w:rsidRPr="00F6340E">
        <w:t xml:space="preserve"> </w:t>
      </w:r>
      <w:r>
        <w:t>ма</w:t>
      </w:r>
      <w:r w:rsidR="0071360A">
        <w:t>т</w:t>
      </w:r>
      <w:r w:rsidR="00EE6AA2">
        <w:t>е</w:t>
      </w:r>
      <w:r w:rsidR="0071360A">
        <w:t>р</w:t>
      </w:r>
      <w:r>
        <w:t>ијала</w:t>
      </w:r>
      <w:r w:rsidR="0039585F" w:rsidRPr="00F6340E">
        <w:t xml:space="preserve"> </w:t>
      </w:r>
      <w:r>
        <w:t>и</w:t>
      </w:r>
      <w:r w:rsidR="0039585F" w:rsidRPr="00F6340E">
        <w:t xml:space="preserve"> </w:t>
      </w:r>
      <w:r w:rsidR="0071360A">
        <w:t>у</w:t>
      </w:r>
      <w:r>
        <w:t>ч</w:t>
      </w:r>
      <w:r w:rsidR="00EE6AA2">
        <w:t>е</w:t>
      </w:r>
      <w:r>
        <w:t>ничких</w:t>
      </w:r>
      <w:r w:rsidR="0039585F" w:rsidRPr="00F6340E">
        <w:t xml:space="preserve"> </w:t>
      </w:r>
      <w:r w:rsidR="0071360A">
        <w:t>р</w:t>
      </w:r>
      <w:r>
        <w:t>адо</w:t>
      </w:r>
      <w:r w:rsidR="0071360A">
        <w:t>в</w:t>
      </w:r>
      <w:r>
        <w:t>а</w:t>
      </w:r>
      <w:r w:rsidR="007E2AE7" w:rsidRPr="00F6340E">
        <w:t xml:space="preserve"> </w:t>
      </w:r>
      <w:r>
        <w:t>на</w:t>
      </w:r>
      <w:r w:rsidR="007E2AE7" w:rsidRPr="00F6340E">
        <w:t xml:space="preserve"> </w:t>
      </w:r>
      <w:r>
        <w:t>облак</w:t>
      </w:r>
      <w:r w:rsidR="0071360A">
        <w:t>у</w:t>
      </w:r>
      <w:r w:rsidR="007E2AE7" w:rsidRPr="00F6340E">
        <w:t xml:space="preserve"> (</w:t>
      </w:r>
      <w:r w:rsidR="000010C5">
        <w:rPr>
          <w:lang w:val="hr-BA"/>
        </w:rPr>
        <w:t>cloud</w:t>
      </w:r>
      <w:r w:rsidR="007E2AE7" w:rsidRPr="00F6340E">
        <w:t>)</w:t>
      </w:r>
      <w:r w:rsidR="0039585F" w:rsidRPr="00F6340E">
        <w:t xml:space="preserve">; </w:t>
      </w:r>
    </w:p>
    <w:p w14:paraId="4D3D81FE" w14:textId="7EC142E7" w:rsidR="0039585F" w:rsidRPr="00F6340E" w:rsidRDefault="00A56E08" w:rsidP="00FA4DC9">
      <w:pPr>
        <w:pStyle w:val="Bulletlist"/>
      </w:pPr>
      <w:r>
        <w:t>да</w:t>
      </w:r>
      <w:r w:rsidR="0039585F" w:rsidRPr="00F6340E">
        <w:t xml:space="preserve"> </w:t>
      </w:r>
      <w:r w:rsidR="0071360A">
        <w:t>п</w:t>
      </w:r>
      <w:r>
        <w:t>о</w:t>
      </w:r>
      <w:r w:rsidR="0071360A">
        <w:t>с</w:t>
      </w:r>
      <w:r>
        <w:t>ј</w:t>
      </w:r>
      <w:r w:rsidR="00EE6AA2">
        <w:t>е</w:t>
      </w:r>
      <w:r>
        <w:t>д</w:t>
      </w:r>
      <w:r w:rsidR="0071360A">
        <w:t>у</w:t>
      </w:r>
      <w:r>
        <w:t>ј</w:t>
      </w:r>
      <w:r w:rsidR="00EE6AA2">
        <w:t>е</w:t>
      </w:r>
      <w:r w:rsidR="0039585F" w:rsidRPr="00F6340E">
        <w:t xml:space="preserve"> </w:t>
      </w:r>
      <w:r>
        <w:t>мог</w:t>
      </w:r>
      <w:r w:rsidR="0071360A">
        <w:t>у</w:t>
      </w:r>
      <w:r>
        <w:t>ћно</w:t>
      </w:r>
      <w:r w:rsidR="0071360A">
        <w:t>ст</w:t>
      </w:r>
      <w:r w:rsidR="0039585F" w:rsidRPr="00F6340E">
        <w:t xml:space="preserve"> </w:t>
      </w:r>
      <w:r w:rsidR="0071360A">
        <w:t>уп</w:t>
      </w:r>
      <w:r>
        <w:t>о</w:t>
      </w:r>
      <w:r w:rsidR="0071360A">
        <w:t>тр</w:t>
      </w:r>
      <w:r w:rsidR="00EE6AA2">
        <w:t>е</w:t>
      </w:r>
      <w:r>
        <w:t>б</w:t>
      </w:r>
      <w:r w:rsidR="00EE6AA2">
        <w:t>е</w:t>
      </w:r>
      <w:r w:rsidR="0039585F" w:rsidRPr="00F6340E">
        <w:t xml:space="preserve"> </w:t>
      </w:r>
      <w:r>
        <w:t>и</w:t>
      </w:r>
      <w:r w:rsidR="0039585F" w:rsidRPr="00F6340E">
        <w:t xml:space="preserve"> </w:t>
      </w:r>
      <w:r>
        <w:t>д</w:t>
      </w:r>
      <w:r w:rsidR="0071360A">
        <w:t>ру</w:t>
      </w:r>
      <w:r>
        <w:t>гих</w:t>
      </w:r>
      <w:r w:rsidR="0039585F" w:rsidRPr="00F6340E">
        <w:t xml:space="preserve"> w</w:t>
      </w:r>
      <w:r w:rsidR="00EE6AA2">
        <w:t>е</w:t>
      </w:r>
      <w:r>
        <w:t>б</w:t>
      </w:r>
      <w:r w:rsidR="00A975F1" w:rsidRPr="00F6340E">
        <w:t xml:space="preserve"> </w:t>
      </w:r>
      <w:r w:rsidR="0071360A">
        <w:t>р</w:t>
      </w:r>
      <w:r>
        <w:t>ј</w:t>
      </w:r>
      <w:r w:rsidR="00EE6AA2">
        <w:t>е</w:t>
      </w:r>
      <w:r w:rsidR="0071360A">
        <w:t>ш</w:t>
      </w:r>
      <w:r w:rsidR="00EE6AA2">
        <w:t>е</w:t>
      </w:r>
      <w:r>
        <w:t>ња</w:t>
      </w:r>
      <w:r w:rsidR="00A975F1" w:rsidRPr="00F6340E">
        <w:t xml:space="preserve"> </w:t>
      </w:r>
      <w:r>
        <w:t>која</w:t>
      </w:r>
      <w:r w:rsidR="00A975F1" w:rsidRPr="00F6340E">
        <w:t xml:space="preserve"> </w:t>
      </w:r>
      <w:r w:rsidR="0071360A">
        <w:t>с</w:t>
      </w:r>
      <w:r w:rsidR="00EE6AA2">
        <w:t>е</w:t>
      </w:r>
      <w:r w:rsidR="00A975F1" w:rsidRPr="00F6340E">
        <w:t xml:space="preserve"> </w:t>
      </w:r>
      <w:r>
        <w:t>мог</w:t>
      </w:r>
      <w:r w:rsidR="0071360A">
        <w:t>у</w:t>
      </w:r>
      <w:r w:rsidR="00A975F1" w:rsidRPr="00F6340E">
        <w:t xml:space="preserve"> </w:t>
      </w:r>
      <w:r>
        <w:t>ин</w:t>
      </w:r>
      <w:r w:rsidR="0071360A">
        <w:t>т</w:t>
      </w:r>
      <w:r w:rsidR="00EE6AA2">
        <w:t>е</w:t>
      </w:r>
      <w:r>
        <w:t>г</w:t>
      </w:r>
      <w:r w:rsidR="0071360A">
        <w:t>р</w:t>
      </w:r>
      <w:r>
        <w:t>и</w:t>
      </w:r>
      <w:r w:rsidR="0071360A">
        <w:t>с</w:t>
      </w:r>
      <w:r>
        <w:t>а</w:t>
      </w:r>
      <w:r w:rsidR="0071360A">
        <w:t>т</w:t>
      </w:r>
      <w:r>
        <w:t>и</w:t>
      </w:r>
      <w:r w:rsidR="0039585F" w:rsidRPr="00F6340E">
        <w:t xml:space="preserve"> </w:t>
      </w:r>
      <w:r w:rsidR="0071360A">
        <w:t>с</w:t>
      </w:r>
      <w:r>
        <w:t>а</w:t>
      </w:r>
      <w:r w:rsidR="0039585F" w:rsidRPr="00F6340E">
        <w:t xml:space="preserve"> </w:t>
      </w:r>
      <w:r w:rsidR="0071360A">
        <w:t>с</w:t>
      </w:r>
      <w:r>
        <w:t>амом</w:t>
      </w:r>
      <w:r w:rsidR="0039585F" w:rsidRPr="00F6340E">
        <w:t xml:space="preserve"> </w:t>
      </w:r>
      <w:r w:rsidR="0071360A">
        <w:t>п</w:t>
      </w:r>
      <w:r>
        <w:t>ла</w:t>
      </w:r>
      <w:r w:rsidR="0071360A">
        <w:t>т</w:t>
      </w:r>
      <w:r>
        <w:t>фо</w:t>
      </w:r>
      <w:r w:rsidR="0071360A">
        <w:t>р</w:t>
      </w:r>
      <w:r>
        <w:t>мом</w:t>
      </w:r>
      <w:r w:rsidR="0039585F" w:rsidRPr="00F6340E">
        <w:t xml:space="preserve"> (</w:t>
      </w:r>
      <w:r>
        <w:t>н</w:t>
      </w:r>
      <w:r w:rsidR="0071360A">
        <w:t>пр</w:t>
      </w:r>
      <w:r w:rsidR="007E2AE7" w:rsidRPr="00F6340E">
        <w:t>.</w:t>
      </w:r>
      <w:r w:rsidR="0039585F" w:rsidRPr="00F6340E">
        <w:t xml:space="preserve">: </w:t>
      </w:r>
      <w:r>
        <w:t>ЛМ</w:t>
      </w:r>
      <w:r w:rsidR="0071360A">
        <w:t>С</w:t>
      </w:r>
      <w:r w:rsidR="0039585F" w:rsidRPr="00F6340E">
        <w:t xml:space="preserve">, </w:t>
      </w:r>
      <w:r>
        <w:t>д</w:t>
      </w:r>
      <w:r w:rsidR="0071360A">
        <w:t>ру</w:t>
      </w:r>
      <w:r>
        <w:t>г</w:t>
      </w:r>
      <w:r w:rsidR="00EE6AA2">
        <w:t>е</w:t>
      </w:r>
      <w:r w:rsidR="0039585F" w:rsidRPr="00F6340E">
        <w:t xml:space="preserve"> </w:t>
      </w:r>
      <w:r w:rsidR="00EE6AA2">
        <w:t>е</w:t>
      </w:r>
      <w:r>
        <w:t>д</w:t>
      </w:r>
      <w:r w:rsidR="0071360A">
        <w:t>у</w:t>
      </w:r>
      <w:r>
        <w:t>ка</w:t>
      </w:r>
      <w:r w:rsidR="0071360A">
        <w:t>т</w:t>
      </w:r>
      <w:r>
        <w:t>и</w:t>
      </w:r>
      <w:r w:rsidR="0071360A">
        <w:t>в</w:t>
      </w:r>
      <w:r>
        <w:t>н</w:t>
      </w:r>
      <w:r w:rsidR="00EE6AA2">
        <w:t>е</w:t>
      </w:r>
      <w:r w:rsidR="0039585F" w:rsidRPr="00F6340E">
        <w:t xml:space="preserve"> </w:t>
      </w:r>
      <w:r w:rsidR="0071360A">
        <w:t>п</w:t>
      </w:r>
      <w:r>
        <w:t>ла</w:t>
      </w:r>
      <w:r w:rsidR="0071360A">
        <w:t>т</w:t>
      </w:r>
      <w:r>
        <w:t>фо</w:t>
      </w:r>
      <w:r w:rsidR="0071360A">
        <w:t>р</w:t>
      </w:r>
      <w:r>
        <w:t>м</w:t>
      </w:r>
      <w:r w:rsidR="00EE6AA2">
        <w:t>е</w:t>
      </w:r>
      <w:r w:rsidR="0039585F" w:rsidRPr="00F6340E">
        <w:t xml:space="preserve"> </w:t>
      </w:r>
      <w:r>
        <w:t>и</w:t>
      </w:r>
      <w:r w:rsidR="0039585F" w:rsidRPr="00F6340E">
        <w:t xml:space="preserve"> </w:t>
      </w:r>
      <w:r>
        <w:t>а</w:t>
      </w:r>
      <w:r w:rsidR="0071360A">
        <w:t>п</w:t>
      </w:r>
      <w:r>
        <w:t>ликациј</w:t>
      </w:r>
      <w:r w:rsidR="00EE6AA2">
        <w:t>е</w:t>
      </w:r>
      <w:r w:rsidR="0039585F" w:rsidRPr="00F6340E">
        <w:t>);</w:t>
      </w:r>
    </w:p>
    <w:p w14:paraId="4BB0BAF9" w14:textId="0C712EE5" w:rsidR="0039585F" w:rsidRPr="00F6340E" w:rsidRDefault="00EE6AA2" w:rsidP="00FA4DC9">
      <w:pPr>
        <w:pStyle w:val="Bulletlist"/>
        <w:rPr>
          <w:lang w:eastAsia="en-US"/>
        </w:rPr>
      </w:pPr>
      <w:r>
        <w:rPr>
          <w:lang w:eastAsia="en-US"/>
        </w:rPr>
        <w:t>Е</w:t>
      </w:r>
      <w:r w:rsidR="0039585F" w:rsidRPr="00F6340E">
        <w:rPr>
          <w:lang w:eastAsia="en-US"/>
        </w:rPr>
        <w:t>-</w:t>
      </w:r>
      <w:r w:rsidR="0071360A">
        <w:rPr>
          <w:lang w:eastAsia="en-US"/>
        </w:rPr>
        <w:t>пр</w:t>
      </w:r>
      <w:r w:rsidR="00A56E08">
        <w:rPr>
          <w:lang w:eastAsia="en-US"/>
        </w:rPr>
        <w:t>и</w:t>
      </w:r>
      <w:r w:rsidR="0071360A">
        <w:rPr>
          <w:lang w:eastAsia="en-US"/>
        </w:rPr>
        <w:t>ступ</w:t>
      </w:r>
      <w:r w:rsidR="00A56E08">
        <w:rPr>
          <w:lang w:eastAsia="en-US"/>
        </w:rPr>
        <w:t>ачно</w:t>
      </w:r>
      <w:r w:rsidR="0071360A">
        <w:rPr>
          <w:lang w:eastAsia="en-US"/>
        </w:rPr>
        <w:t>ст</w:t>
      </w:r>
      <w:r w:rsidR="0039585F" w:rsidRPr="00F6340E">
        <w:rPr>
          <w:lang w:eastAsia="en-US"/>
        </w:rPr>
        <w:t xml:space="preserve"> - </w:t>
      </w:r>
      <w:r w:rsidR="0071360A">
        <w:rPr>
          <w:lang w:eastAsia="en-US"/>
        </w:rPr>
        <w:t>п</w:t>
      </w:r>
      <w:r w:rsidR="00A56E08">
        <w:rPr>
          <w:lang w:eastAsia="en-US"/>
        </w:rPr>
        <w:t>ла</w:t>
      </w:r>
      <w:r w:rsidR="0071360A">
        <w:rPr>
          <w:lang w:eastAsia="en-US"/>
        </w:rPr>
        <w:t>т</w:t>
      </w:r>
      <w:r w:rsidR="00A56E08">
        <w:rPr>
          <w:lang w:eastAsia="en-US"/>
        </w:rPr>
        <w:t>фо</w:t>
      </w:r>
      <w:r w:rsidR="0071360A">
        <w:rPr>
          <w:lang w:eastAsia="en-US"/>
        </w:rPr>
        <w:t>р</w:t>
      </w:r>
      <w:r w:rsidR="00A56E08">
        <w:rPr>
          <w:lang w:eastAsia="en-US"/>
        </w:rPr>
        <w:t>ма</w:t>
      </w:r>
      <w:r w:rsidR="0039585F" w:rsidRPr="00F6340E">
        <w:rPr>
          <w:lang w:eastAsia="en-US"/>
        </w:rPr>
        <w:t xml:space="preserve"> </w:t>
      </w:r>
      <w:r w:rsidR="0071360A">
        <w:rPr>
          <w:lang w:eastAsia="en-US"/>
        </w:rPr>
        <w:t>тр</w:t>
      </w:r>
      <w:r>
        <w:rPr>
          <w:lang w:eastAsia="en-US"/>
        </w:rPr>
        <w:t>е</w:t>
      </w:r>
      <w:r w:rsidR="00A56E08">
        <w:rPr>
          <w:lang w:eastAsia="en-US"/>
        </w:rPr>
        <w:t>ба</w:t>
      </w:r>
      <w:r w:rsidR="0039585F" w:rsidRPr="00F6340E">
        <w:rPr>
          <w:lang w:eastAsia="en-US"/>
        </w:rPr>
        <w:t xml:space="preserve"> </w:t>
      </w:r>
      <w:r w:rsidR="00A56E08">
        <w:rPr>
          <w:lang w:eastAsia="en-US"/>
        </w:rPr>
        <w:t>има</w:t>
      </w:r>
      <w:r w:rsidR="0071360A">
        <w:rPr>
          <w:lang w:eastAsia="en-US"/>
        </w:rPr>
        <w:t>т</w:t>
      </w:r>
      <w:r w:rsidR="00A56E08">
        <w:rPr>
          <w:lang w:eastAsia="en-US"/>
        </w:rPr>
        <w:t>и</w:t>
      </w:r>
      <w:r w:rsidR="0039585F" w:rsidRPr="00F6340E">
        <w:rPr>
          <w:lang w:eastAsia="en-US"/>
        </w:rPr>
        <w:t xml:space="preserve"> </w:t>
      </w:r>
      <w:r w:rsidR="0071360A">
        <w:rPr>
          <w:lang w:eastAsia="en-US"/>
        </w:rPr>
        <w:t>п</w:t>
      </w:r>
      <w:r w:rsidR="00A56E08">
        <w:rPr>
          <w:lang w:eastAsia="en-US"/>
        </w:rPr>
        <w:t>од</w:t>
      </w:r>
      <w:r w:rsidR="0071360A">
        <w:rPr>
          <w:lang w:eastAsia="en-US"/>
        </w:rPr>
        <w:t>рш</w:t>
      </w:r>
      <w:r w:rsidR="00A56E08">
        <w:rPr>
          <w:lang w:eastAsia="en-US"/>
        </w:rPr>
        <w:t>к</w:t>
      </w:r>
      <w:r w:rsidR="0071360A">
        <w:rPr>
          <w:lang w:eastAsia="en-US"/>
        </w:rPr>
        <w:t>у</w:t>
      </w:r>
      <w:r w:rsidR="0039585F" w:rsidRPr="00F6340E">
        <w:rPr>
          <w:lang w:eastAsia="en-US"/>
        </w:rPr>
        <w:t xml:space="preserve"> </w:t>
      </w:r>
      <w:r w:rsidR="00171F00">
        <w:rPr>
          <w:lang w:eastAsia="en-US"/>
        </w:rPr>
        <w:t>з</w:t>
      </w:r>
      <w:r w:rsidR="00A56E08">
        <w:rPr>
          <w:lang w:eastAsia="en-US"/>
        </w:rPr>
        <w:t>а</w:t>
      </w:r>
      <w:r w:rsidR="0039585F" w:rsidRPr="00F6340E">
        <w:rPr>
          <w:lang w:eastAsia="en-US"/>
        </w:rPr>
        <w:t xml:space="preserve"> </w:t>
      </w:r>
      <w:r w:rsidR="0071360A">
        <w:rPr>
          <w:lang w:eastAsia="en-US"/>
        </w:rPr>
        <w:t>уп</w:t>
      </w:r>
      <w:r w:rsidR="00A56E08">
        <w:rPr>
          <w:lang w:eastAsia="en-US"/>
        </w:rPr>
        <w:t>о</w:t>
      </w:r>
      <w:r w:rsidR="0071360A">
        <w:rPr>
          <w:lang w:eastAsia="en-US"/>
        </w:rPr>
        <w:t>тр</w:t>
      </w:r>
      <w:r>
        <w:rPr>
          <w:lang w:eastAsia="en-US"/>
        </w:rPr>
        <w:t>е</w:t>
      </w:r>
      <w:r w:rsidR="00A56E08">
        <w:rPr>
          <w:lang w:eastAsia="en-US"/>
        </w:rPr>
        <w:t>б</w:t>
      </w:r>
      <w:r w:rsidR="0071360A">
        <w:rPr>
          <w:lang w:eastAsia="en-US"/>
        </w:rPr>
        <w:t>у</w:t>
      </w:r>
      <w:r w:rsidR="0039585F" w:rsidRPr="00F6340E">
        <w:rPr>
          <w:lang w:eastAsia="en-US"/>
        </w:rPr>
        <w:t xml:space="preserve"> </w:t>
      </w:r>
      <w:r w:rsidR="0071360A">
        <w:rPr>
          <w:lang w:eastAsia="en-US"/>
        </w:rPr>
        <w:t>у</w:t>
      </w:r>
      <w:r w:rsidR="00A56E08">
        <w:rPr>
          <w:lang w:eastAsia="en-US"/>
        </w:rPr>
        <w:t>ч</w:t>
      </w:r>
      <w:r>
        <w:rPr>
          <w:lang w:eastAsia="en-US"/>
        </w:rPr>
        <w:t>е</w:t>
      </w:r>
      <w:r w:rsidR="00A56E08">
        <w:rPr>
          <w:lang w:eastAsia="en-US"/>
        </w:rPr>
        <w:t>ницима</w:t>
      </w:r>
      <w:r w:rsidR="0039585F" w:rsidRPr="00F6340E">
        <w:rPr>
          <w:lang w:eastAsia="en-US"/>
        </w:rPr>
        <w:t>/</w:t>
      </w:r>
      <w:r w:rsidR="0071360A">
        <w:rPr>
          <w:lang w:eastAsia="en-US"/>
        </w:rPr>
        <w:t>сту</w:t>
      </w:r>
      <w:r w:rsidR="00A56E08">
        <w:rPr>
          <w:lang w:eastAsia="en-US"/>
        </w:rPr>
        <w:t>д</w:t>
      </w:r>
      <w:r>
        <w:rPr>
          <w:lang w:eastAsia="en-US"/>
        </w:rPr>
        <w:t>е</w:t>
      </w:r>
      <w:r w:rsidR="00A56E08">
        <w:rPr>
          <w:lang w:eastAsia="en-US"/>
        </w:rPr>
        <w:t>н</w:t>
      </w:r>
      <w:r w:rsidR="0071360A">
        <w:rPr>
          <w:lang w:eastAsia="en-US"/>
        </w:rPr>
        <w:t>т</w:t>
      </w:r>
      <w:r w:rsidR="00A56E08">
        <w:rPr>
          <w:lang w:eastAsia="en-US"/>
        </w:rPr>
        <w:t>има</w:t>
      </w:r>
      <w:r w:rsidR="00B04FA8">
        <w:rPr>
          <w:lang w:eastAsia="en-US"/>
        </w:rPr>
        <w:t xml:space="preserve"> са </w:t>
      </w:r>
      <w:r w:rsidR="0071360A">
        <w:rPr>
          <w:lang w:eastAsia="en-US"/>
        </w:rPr>
        <w:t>п</w:t>
      </w:r>
      <w:r w:rsidR="00A56E08">
        <w:rPr>
          <w:lang w:eastAsia="en-US"/>
        </w:rPr>
        <w:t>о</w:t>
      </w:r>
      <w:r w:rsidR="0071360A">
        <w:rPr>
          <w:lang w:eastAsia="en-US"/>
        </w:rPr>
        <w:t>т</w:t>
      </w:r>
      <w:r>
        <w:rPr>
          <w:lang w:eastAsia="en-US"/>
        </w:rPr>
        <w:t>е</w:t>
      </w:r>
      <w:r w:rsidR="0071360A">
        <w:rPr>
          <w:lang w:eastAsia="en-US"/>
        </w:rPr>
        <w:t>ш</w:t>
      </w:r>
      <w:r w:rsidR="00A56E08">
        <w:rPr>
          <w:lang w:eastAsia="en-US"/>
        </w:rPr>
        <w:t>коћама</w:t>
      </w:r>
      <w:r w:rsidR="0039585F" w:rsidRPr="00F6340E">
        <w:rPr>
          <w:lang w:eastAsia="en-US"/>
        </w:rPr>
        <w:t>/</w:t>
      </w:r>
      <w:r w:rsidR="00A56E08">
        <w:rPr>
          <w:lang w:eastAsia="en-US"/>
        </w:rPr>
        <w:t>ин</w:t>
      </w:r>
      <w:r w:rsidR="0071360A">
        <w:rPr>
          <w:lang w:eastAsia="en-US"/>
        </w:rPr>
        <w:t>в</w:t>
      </w:r>
      <w:r w:rsidR="00A56E08">
        <w:rPr>
          <w:lang w:eastAsia="en-US"/>
        </w:rPr>
        <w:t>алиди</w:t>
      </w:r>
      <w:r w:rsidR="0071360A">
        <w:rPr>
          <w:lang w:eastAsia="en-US"/>
        </w:rPr>
        <w:t>т</w:t>
      </w:r>
      <w:r>
        <w:rPr>
          <w:lang w:eastAsia="en-US"/>
        </w:rPr>
        <w:t>е</w:t>
      </w:r>
      <w:r w:rsidR="0071360A">
        <w:rPr>
          <w:lang w:eastAsia="en-US"/>
        </w:rPr>
        <w:t>т</w:t>
      </w:r>
      <w:r w:rsidR="00A56E08">
        <w:rPr>
          <w:lang w:eastAsia="en-US"/>
        </w:rPr>
        <w:t>ом</w:t>
      </w:r>
      <w:r w:rsidR="00057B0C" w:rsidRPr="00F6340E">
        <w:rPr>
          <w:rStyle w:val="FootnoteReference"/>
          <w:rFonts w:eastAsia="Arial"/>
          <w:color w:val="000000"/>
          <w:lang w:eastAsia="en-US"/>
        </w:rPr>
        <w:footnoteReference w:id="12"/>
      </w:r>
      <w:r w:rsidR="00057B0C" w:rsidRPr="00F6340E">
        <w:rPr>
          <w:lang w:eastAsia="en-US"/>
        </w:rPr>
        <w:t xml:space="preserve">. </w:t>
      </w:r>
    </w:p>
    <w:p w14:paraId="29523A8B" w14:textId="7FF8FF89" w:rsidR="009E3488" w:rsidRPr="00F6340E" w:rsidRDefault="0071360A" w:rsidP="00FA4DC9">
      <w:pPr>
        <w:pStyle w:val="Body"/>
      </w:pPr>
      <w:r>
        <w:t>Пр</w:t>
      </w:r>
      <w:r w:rsidR="00A56E08">
        <w:t>имј</w:t>
      </w:r>
      <w:r w:rsidR="00EE6AA2">
        <w:t>е</w:t>
      </w:r>
      <w:r w:rsidR="00A56E08">
        <w:t>на</w:t>
      </w:r>
      <w:r w:rsidR="009E3488" w:rsidRPr="00F6340E">
        <w:t xml:space="preserve"> </w:t>
      </w:r>
      <w:r>
        <w:t>п</w:t>
      </w:r>
      <w:r w:rsidR="00A56E08">
        <w:t>ла</w:t>
      </w:r>
      <w:r>
        <w:t>т</w:t>
      </w:r>
      <w:r w:rsidR="00A56E08">
        <w:t>фо</w:t>
      </w:r>
      <w:r>
        <w:t>р</w:t>
      </w:r>
      <w:r w:rsidR="00A56E08">
        <w:t>ми</w:t>
      </w:r>
      <w:r w:rsidR="009E3488" w:rsidRPr="00F6340E">
        <w:t xml:space="preserve"> </w:t>
      </w:r>
      <w:r w:rsidR="00171F00">
        <w:t>з</w:t>
      </w:r>
      <w:r w:rsidR="00A56E08">
        <w:t>а</w:t>
      </w:r>
      <w:r w:rsidR="009E3488" w:rsidRPr="00F6340E">
        <w:t xml:space="preserve"> </w:t>
      </w:r>
      <w:r w:rsidR="00A56E08">
        <w:t>им</w:t>
      </w:r>
      <w:r>
        <w:t>п</w:t>
      </w:r>
      <w:r w:rsidR="00A56E08">
        <w:t>л</w:t>
      </w:r>
      <w:r w:rsidR="00EE6AA2">
        <w:t>е</w:t>
      </w:r>
      <w:r w:rsidR="00A56E08">
        <w:t>м</w:t>
      </w:r>
      <w:r w:rsidR="00EE6AA2">
        <w:t>е</w:t>
      </w:r>
      <w:r w:rsidR="00A56E08">
        <w:t>н</w:t>
      </w:r>
      <w:r>
        <w:t>т</w:t>
      </w:r>
      <w:r w:rsidR="00A56E08">
        <w:t>ациј</w:t>
      </w:r>
      <w:r>
        <w:t>у</w:t>
      </w:r>
      <w:r w:rsidR="00947928" w:rsidRPr="00F6340E">
        <w:t xml:space="preserve"> </w:t>
      </w:r>
      <w:r w:rsidR="00A56E08">
        <w:t>на</w:t>
      </w:r>
      <w:r>
        <w:t>ст</w:t>
      </w:r>
      <w:r w:rsidR="00A56E08">
        <w:t>а</w:t>
      </w:r>
      <w:r>
        <w:t>в</w:t>
      </w:r>
      <w:r w:rsidR="00EE6AA2">
        <w:t>е</w:t>
      </w:r>
      <w:r w:rsidR="00947928" w:rsidRPr="00F6340E">
        <w:t xml:space="preserve"> </w:t>
      </w:r>
      <w:r>
        <w:t>пут</w:t>
      </w:r>
      <w:r w:rsidR="00EE6AA2">
        <w:t>е</w:t>
      </w:r>
      <w:r w:rsidR="00A56E08">
        <w:t>м</w:t>
      </w:r>
      <w:r w:rsidR="00947928" w:rsidRPr="00F6340E">
        <w:t xml:space="preserve"> </w:t>
      </w:r>
      <w:r w:rsidR="00A56E08">
        <w:t>ин</w:t>
      </w:r>
      <w:r>
        <w:t>т</w:t>
      </w:r>
      <w:r w:rsidR="00EE6AA2">
        <w:t>е</w:t>
      </w:r>
      <w:r>
        <w:t>р</w:t>
      </w:r>
      <w:r w:rsidR="00A56E08">
        <w:t>н</w:t>
      </w:r>
      <w:r w:rsidR="00EE6AA2">
        <w:t>е</w:t>
      </w:r>
      <w:r>
        <w:t>т</w:t>
      </w:r>
      <w:r w:rsidR="00A56E08">
        <w:t>а</w:t>
      </w:r>
      <w:r w:rsidR="00947928" w:rsidRPr="00F6340E">
        <w:t xml:space="preserve"> </w:t>
      </w:r>
      <w:r w:rsidR="00A56E08">
        <w:t>и</w:t>
      </w:r>
      <w:r w:rsidR="009E3488" w:rsidRPr="00F6340E">
        <w:t xml:space="preserve"> </w:t>
      </w:r>
      <w:r w:rsidR="00A56E08">
        <w:t>комбино</w:t>
      </w:r>
      <w:r>
        <w:t>в</w:t>
      </w:r>
      <w:r w:rsidR="00A56E08">
        <w:t>ан</w:t>
      </w:r>
      <w:r w:rsidR="00EE6AA2">
        <w:t>е</w:t>
      </w:r>
      <w:r w:rsidR="009E3488" w:rsidRPr="00F6340E">
        <w:t xml:space="preserve"> </w:t>
      </w:r>
      <w:r w:rsidR="00A56E08">
        <w:t>на</w:t>
      </w:r>
      <w:r>
        <w:t>ст</w:t>
      </w:r>
      <w:r w:rsidR="00A56E08">
        <w:t>а</w:t>
      </w:r>
      <w:r>
        <w:t>в</w:t>
      </w:r>
      <w:r w:rsidR="00EE6AA2">
        <w:t>е</w:t>
      </w:r>
      <w:r w:rsidR="009E3488" w:rsidRPr="00F6340E">
        <w:t xml:space="preserve"> </w:t>
      </w:r>
      <w:r w:rsidR="00A56E08">
        <w:t>омог</w:t>
      </w:r>
      <w:r>
        <w:t>у</w:t>
      </w:r>
      <w:r w:rsidR="00A56E08">
        <w:t>ћа</w:t>
      </w:r>
      <w:r>
        <w:t>в</w:t>
      </w:r>
      <w:r w:rsidR="00A56E08">
        <w:t>а</w:t>
      </w:r>
      <w:r w:rsidR="009E3488" w:rsidRPr="00F6340E">
        <w:t xml:space="preserve"> </w:t>
      </w:r>
      <w:r w:rsidR="00A56E08">
        <w:t>ком</w:t>
      </w:r>
      <w:r>
        <w:t>у</w:t>
      </w:r>
      <w:r w:rsidR="00A56E08">
        <w:t>никациј</w:t>
      </w:r>
      <w:r>
        <w:t>у</w:t>
      </w:r>
      <w:r w:rsidR="009E3488" w:rsidRPr="00F6340E">
        <w:t xml:space="preserve"> </w:t>
      </w:r>
      <w:r>
        <w:t>у</w:t>
      </w:r>
      <w:r w:rsidR="009E3488" w:rsidRPr="00F6340E">
        <w:t xml:space="preserve"> </w:t>
      </w:r>
      <w:r w:rsidR="00A56E08">
        <w:t>диги</w:t>
      </w:r>
      <w:r>
        <w:t>т</w:t>
      </w:r>
      <w:r w:rsidR="00A56E08">
        <w:t>алном</w:t>
      </w:r>
      <w:r w:rsidR="009E3488" w:rsidRPr="00F6340E">
        <w:t xml:space="preserve"> </w:t>
      </w:r>
      <w:r w:rsidR="00A56E08">
        <w:t>ок</w:t>
      </w:r>
      <w:r>
        <w:t>ру</w:t>
      </w:r>
      <w:r w:rsidR="00171F00">
        <w:t>ж</w:t>
      </w:r>
      <w:r w:rsidR="00EE6AA2">
        <w:t>е</w:t>
      </w:r>
      <w:r w:rsidR="00A56E08">
        <w:t>њ</w:t>
      </w:r>
      <w:r>
        <w:t>у</w:t>
      </w:r>
      <w:r w:rsidR="009E3488" w:rsidRPr="00F6340E">
        <w:t xml:space="preserve"> </w:t>
      </w:r>
      <w:r w:rsidR="00A56E08">
        <w:t>и</w:t>
      </w:r>
      <w:r w:rsidR="009E3488" w:rsidRPr="00F6340E">
        <w:t xml:space="preserve"> </w:t>
      </w:r>
      <w:r>
        <w:t>т</w:t>
      </w:r>
      <w:r w:rsidR="00A56E08">
        <w:t>о</w:t>
      </w:r>
      <w:r w:rsidR="009E3488" w:rsidRPr="00F6340E">
        <w:t xml:space="preserve"> </w:t>
      </w:r>
      <w:r>
        <w:t>пут</w:t>
      </w:r>
      <w:r w:rsidR="00EE6AA2">
        <w:t>е</w:t>
      </w:r>
      <w:r w:rsidR="00A56E08">
        <w:t>м</w:t>
      </w:r>
      <w:r w:rsidR="009E3488" w:rsidRPr="00F6340E">
        <w:t xml:space="preserve"> </w:t>
      </w:r>
      <w:r w:rsidR="00EE6AA2">
        <w:t>е</w:t>
      </w:r>
      <w:r w:rsidR="009E3488" w:rsidRPr="00F6340E">
        <w:t>-</w:t>
      </w:r>
      <w:r w:rsidR="00A56E08">
        <w:t>маила</w:t>
      </w:r>
      <w:r w:rsidR="009E3488" w:rsidRPr="00F6340E">
        <w:t xml:space="preserve"> </w:t>
      </w:r>
      <w:r w:rsidR="00A56E08">
        <w:t>или</w:t>
      </w:r>
      <w:r w:rsidR="009E3488" w:rsidRPr="00F6340E">
        <w:t xml:space="preserve"> </w:t>
      </w:r>
      <w:r w:rsidR="00A56E08">
        <w:t>н</w:t>
      </w:r>
      <w:r w:rsidR="00EE6AA2">
        <w:t>е</w:t>
      </w:r>
      <w:r w:rsidR="00A56E08">
        <w:t>к</w:t>
      </w:r>
      <w:r w:rsidR="00EE6AA2">
        <w:t>е</w:t>
      </w:r>
      <w:r w:rsidR="009E3488" w:rsidRPr="00F6340E">
        <w:t xml:space="preserve"> </w:t>
      </w:r>
      <w:r w:rsidR="00A56E08">
        <w:t>од</w:t>
      </w:r>
      <w:r w:rsidR="009E3488" w:rsidRPr="00F6340E">
        <w:t xml:space="preserve"> </w:t>
      </w:r>
      <w:r w:rsidR="00A56E08">
        <w:t>а</w:t>
      </w:r>
      <w:r>
        <w:t>п</w:t>
      </w:r>
      <w:r w:rsidR="00A56E08">
        <w:t>ликација</w:t>
      </w:r>
      <w:r w:rsidR="009E3488" w:rsidRPr="00F6340E">
        <w:t xml:space="preserve"> </w:t>
      </w:r>
      <w:r w:rsidR="00A56E08">
        <w:t>кој</w:t>
      </w:r>
      <w:r w:rsidR="00EE6AA2">
        <w:t>е</w:t>
      </w:r>
      <w:r w:rsidR="009E3488" w:rsidRPr="00F6340E">
        <w:t xml:space="preserve"> </w:t>
      </w:r>
      <w:r w:rsidR="00A56E08">
        <w:t>она</w:t>
      </w:r>
      <w:r w:rsidR="009E3488" w:rsidRPr="00F6340E">
        <w:t xml:space="preserve"> </w:t>
      </w:r>
      <w:r>
        <w:t>с</w:t>
      </w:r>
      <w:r w:rsidR="00A56E08">
        <w:t>ад</w:t>
      </w:r>
      <w:r>
        <w:t>р</w:t>
      </w:r>
      <w:r w:rsidR="00171F00">
        <w:t>ж</w:t>
      </w:r>
      <w:r w:rsidR="00A56E08">
        <w:t>и</w:t>
      </w:r>
      <w:r w:rsidR="009E3488" w:rsidRPr="00F6340E">
        <w:t xml:space="preserve">. </w:t>
      </w:r>
      <w:r w:rsidR="00A56E08">
        <w:t>Ком</w:t>
      </w:r>
      <w:r>
        <w:t>у</w:t>
      </w:r>
      <w:r w:rsidR="00A56E08">
        <w:t>никација</w:t>
      </w:r>
      <w:r w:rsidR="009E3488" w:rsidRPr="00F6340E">
        <w:t xml:space="preserve"> </w:t>
      </w:r>
      <w:r w:rsidR="00A56E08">
        <w:t>ј</w:t>
      </w:r>
      <w:r w:rsidR="00EE6AA2">
        <w:t>е</w:t>
      </w:r>
      <w:r w:rsidR="009E3488" w:rsidRPr="00F6340E">
        <w:t xml:space="preserve"> </w:t>
      </w:r>
      <w:r w:rsidR="00A56E08">
        <w:t>мог</w:t>
      </w:r>
      <w:r>
        <w:t>у</w:t>
      </w:r>
      <w:r w:rsidR="00A56E08">
        <w:t>ћа</w:t>
      </w:r>
      <w:r w:rsidR="009E3488" w:rsidRPr="00F6340E">
        <w:t xml:space="preserve"> </w:t>
      </w:r>
      <w:r w:rsidR="00A56E08">
        <w:t>на</w:t>
      </w:r>
      <w:r w:rsidR="009E3488" w:rsidRPr="00F6340E">
        <w:t xml:space="preserve"> </w:t>
      </w:r>
      <w:r>
        <w:t>р</w:t>
      </w:r>
      <w:r w:rsidR="00EE6AA2">
        <w:t>е</w:t>
      </w:r>
      <w:r w:rsidR="00A56E08">
        <w:t>лацији</w:t>
      </w:r>
      <w:r w:rsidR="009E3488" w:rsidRPr="00F6340E">
        <w:t xml:space="preserve"> </w:t>
      </w:r>
      <w:r w:rsidR="00A56E08">
        <w:t>на</w:t>
      </w:r>
      <w:r>
        <w:t>ст</w:t>
      </w:r>
      <w:r w:rsidR="00A56E08">
        <w:t>а</w:t>
      </w:r>
      <w:r>
        <w:t>в</w:t>
      </w:r>
      <w:r w:rsidR="00A56E08">
        <w:t>ник</w:t>
      </w:r>
      <w:r w:rsidR="009E3488" w:rsidRPr="00F6340E">
        <w:t>-</w:t>
      </w:r>
      <w:r w:rsidR="00A56E08">
        <w:t>на</w:t>
      </w:r>
      <w:r>
        <w:t>ст</w:t>
      </w:r>
      <w:r w:rsidR="00A56E08">
        <w:t>а</w:t>
      </w:r>
      <w:r>
        <w:t>в</w:t>
      </w:r>
      <w:r w:rsidR="00A56E08">
        <w:t>ник</w:t>
      </w:r>
      <w:r w:rsidR="009E3488" w:rsidRPr="00F6340E">
        <w:t xml:space="preserve">, </w:t>
      </w:r>
      <w:r w:rsidR="00A56E08">
        <w:t>на</w:t>
      </w:r>
      <w:r>
        <w:t>ст</w:t>
      </w:r>
      <w:r w:rsidR="00A56E08">
        <w:t>а</w:t>
      </w:r>
      <w:r>
        <w:t>в</w:t>
      </w:r>
      <w:r w:rsidR="00A56E08">
        <w:t>ник</w:t>
      </w:r>
      <w:r w:rsidR="009E3488" w:rsidRPr="00F6340E">
        <w:t>-</w:t>
      </w:r>
      <w:r>
        <w:t>у</w:t>
      </w:r>
      <w:r w:rsidR="00A56E08">
        <w:t>ч</w:t>
      </w:r>
      <w:r w:rsidR="00EE6AA2">
        <w:t>е</w:t>
      </w:r>
      <w:r w:rsidR="00A56E08">
        <w:t>ник</w:t>
      </w:r>
      <w:r w:rsidR="009E3488" w:rsidRPr="00F6340E">
        <w:t xml:space="preserve">, </w:t>
      </w:r>
      <w:r>
        <w:t>у</w:t>
      </w:r>
      <w:r w:rsidR="00A56E08">
        <w:t>ч</w:t>
      </w:r>
      <w:r w:rsidR="00EE6AA2">
        <w:t>е</w:t>
      </w:r>
      <w:r w:rsidR="00A56E08">
        <w:t>ник</w:t>
      </w:r>
      <w:r w:rsidR="009E3488" w:rsidRPr="00F6340E">
        <w:t>-</w:t>
      </w:r>
      <w:r>
        <w:t>у</w:t>
      </w:r>
      <w:r w:rsidR="00A56E08">
        <w:t>ч</w:t>
      </w:r>
      <w:r w:rsidR="00EE6AA2">
        <w:t>е</w:t>
      </w:r>
      <w:r w:rsidR="00A56E08">
        <w:t>ник</w:t>
      </w:r>
      <w:r w:rsidR="009E3488" w:rsidRPr="00F6340E">
        <w:t xml:space="preserve">, </w:t>
      </w:r>
      <w:r w:rsidR="00A56E08">
        <w:t>и</w:t>
      </w:r>
      <w:r w:rsidR="009E3488" w:rsidRPr="00F6340E">
        <w:t xml:space="preserve"> </w:t>
      </w:r>
      <w:r w:rsidR="00A56E08">
        <w:t>мо</w:t>
      </w:r>
      <w:r w:rsidR="00171F00">
        <w:t>ж</w:t>
      </w:r>
      <w:r w:rsidR="00EE6AA2">
        <w:t>е</w:t>
      </w:r>
      <w:r w:rsidR="009E3488" w:rsidRPr="00F6340E">
        <w:t xml:space="preserve"> </w:t>
      </w:r>
      <w:r w:rsidR="00A56E08">
        <w:t>би</w:t>
      </w:r>
      <w:r>
        <w:t>т</w:t>
      </w:r>
      <w:r w:rsidR="00A56E08">
        <w:t>и</w:t>
      </w:r>
      <w:r w:rsidR="009E3488" w:rsidRPr="00F6340E">
        <w:t xml:space="preserve"> 1:1 </w:t>
      </w:r>
      <w:r w:rsidR="00A56E08">
        <w:t>или</w:t>
      </w:r>
      <w:r w:rsidR="009E3488" w:rsidRPr="00F6340E">
        <w:t xml:space="preserve"> </w:t>
      </w:r>
      <w:r w:rsidR="00A56E08">
        <w:t>г</w:t>
      </w:r>
      <w:r>
        <w:t>руп</w:t>
      </w:r>
      <w:r w:rsidR="00A56E08">
        <w:t>на</w:t>
      </w:r>
      <w:r w:rsidR="009E3488" w:rsidRPr="00F6340E">
        <w:t xml:space="preserve">. </w:t>
      </w:r>
      <w:r w:rsidR="00A56E08">
        <w:t>О</w:t>
      </w:r>
      <w:r>
        <w:t>с</w:t>
      </w:r>
      <w:r w:rsidR="00A56E08">
        <w:t>им</w:t>
      </w:r>
      <w:r w:rsidR="009E3488" w:rsidRPr="00F6340E">
        <w:t xml:space="preserve"> </w:t>
      </w:r>
      <w:r>
        <w:t>т</w:t>
      </w:r>
      <w:r w:rsidR="00A56E08">
        <w:t>ога</w:t>
      </w:r>
      <w:r w:rsidR="009E3488" w:rsidRPr="00F6340E">
        <w:t xml:space="preserve">, </w:t>
      </w:r>
      <w:r w:rsidR="00A56E08">
        <w:t>мог</w:t>
      </w:r>
      <w:r>
        <w:t>у</w:t>
      </w:r>
      <w:r w:rsidR="00A56E08">
        <w:t>ћ</w:t>
      </w:r>
      <w:r w:rsidR="00EE6AA2">
        <w:t>е</w:t>
      </w:r>
      <w:r w:rsidR="009E3488" w:rsidRPr="00F6340E">
        <w:t xml:space="preserve"> </w:t>
      </w:r>
      <w:r w:rsidR="00A56E08">
        <w:t>ј</w:t>
      </w:r>
      <w:r w:rsidR="00EE6AA2">
        <w:t>е</w:t>
      </w:r>
      <w:r w:rsidR="009E3488" w:rsidRPr="00F6340E">
        <w:t xml:space="preserve"> </w:t>
      </w:r>
      <w:r>
        <w:t>Уп</w:t>
      </w:r>
      <w:r w:rsidR="00A56E08">
        <w:t>о</w:t>
      </w:r>
      <w:r>
        <w:t>тр</w:t>
      </w:r>
      <w:r w:rsidR="00A56E08">
        <w:t>иј</w:t>
      </w:r>
      <w:r w:rsidR="00EE6AA2">
        <w:t>е</w:t>
      </w:r>
      <w:r w:rsidR="00A56E08">
        <w:t>би</w:t>
      </w:r>
      <w:r>
        <w:t>т</w:t>
      </w:r>
      <w:r w:rsidR="00A56E08">
        <w:t>и</w:t>
      </w:r>
      <w:r w:rsidR="009E3488" w:rsidRPr="00F6340E">
        <w:t xml:space="preserve"> </w:t>
      </w:r>
      <w:r w:rsidR="00A56E08">
        <w:t>а</w:t>
      </w:r>
      <w:r>
        <w:t>п</w:t>
      </w:r>
      <w:r w:rsidR="00A56E08">
        <w:t>ликациј</w:t>
      </w:r>
      <w:r w:rsidR="00EE6AA2">
        <w:t>е</w:t>
      </w:r>
      <w:r w:rsidR="009E3488" w:rsidRPr="00F6340E">
        <w:t xml:space="preserve"> </w:t>
      </w:r>
      <w:r w:rsidR="00171F00">
        <w:t>з</w:t>
      </w:r>
      <w:r w:rsidR="00A56E08">
        <w:t>а</w:t>
      </w:r>
      <w:r w:rsidR="00E65572" w:rsidRPr="00F6340E">
        <w:t xml:space="preserve"> </w:t>
      </w:r>
      <w:r>
        <w:t>пр</w:t>
      </w:r>
      <w:r w:rsidR="00A56E08">
        <w:t>од</w:t>
      </w:r>
      <w:r>
        <w:t>у</w:t>
      </w:r>
      <w:r w:rsidR="00A56E08">
        <w:t>кциј</w:t>
      </w:r>
      <w:r>
        <w:t>у</w:t>
      </w:r>
      <w:r w:rsidR="00E65572" w:rsidRPr="00F6340E">
        <w:t xml:space="preserve"> </w:t>
      </w:r>
      <w:r>
        <w:t>с</w:t>
      </w:r>
      <w:r w:rsidR="00A56E08">
        <w:t>ад</w:t>
      </w:r>
      <w:r>
        <w:t>р</w:t>
      </w:r>
      <w:r w:rsidR="00171F00">
        <w:t>ж</w:t>
      </w:r>
      <w:r w:rsidR="00A56E08">
        <w:t>аја</w:t>
      </w:r>
      <w:r w:rsidR="009E3488" w:rsidRPr="00F6340E">
        <w:t xml:space="preserve"> (</w:t>
      </w:r>
      <w:r w:rsidR="00A56E08">
        <w:t>н</w:t>
      </w:r>
      <w:r>
        <w:t>пр</w:t>
      </w:r>
      <w:r w:rsidR="009E3488" w:rsidRPr="00F6340E">
        <w:t xml:space="preserve">. </w:t>
      </w:r>
      <w:r w:rsidR="00A56E08">
        <w:t>а</w:t>
      </w:r>
      <w:r>
        <w:t>п</w:t>
      </w:r>
      <w:r w:rsidR="00A56E08">
        <w:t>ликациј</w:t>
      </w:r>
      <w:r w:rsidR="00EE6AA2">
        <w:t>е</w:t>
      </w:r>
      <w:r w:rsidR="009E3488" w:rsidRPr="00F6340E">
        <w:t xml:space="preserve"> </w:t>
      </w:r>
      <w:r w:rsidR="00171F00">
        <w:t>з</w:t>
      </w:r>
      <w:r w:rsidR="00A56E08">
        <w:t>а</w:t>
      </w:r>
      <w:r w:rsidR="009E3488" w:rsidRPr="00F6340E">
        <w:t xml:space="preserve"> </w:t>
      </w:r>
      <w:r w:rsidR="00A56E08">
        <w:t>об</w:t>
      </w:r>
      <w:r>
        <w:t>р</w:t>
      </w:r>
      <w:r w:rsidR="00A56E08">
        <w:t>ад</w:t>
      </w:r>
      <w:r>
        <w:t>у</w:t>
      </w:r>
      <w:r w:rsidR="009E3488" w:rsidRPr="00F6340E">
        <w:t xml:space="preserve"> </w:t>
      </w:r>
      <w:r>
        <w:t>т</w:t>
      </w:r>
      <w:r w:rsidR="00EE6AA2">
        <w:t>е</w:t>
      </w:r>
      <w:r w:rsidR="00A56E08">
        <w:t>к</w:t>
      </w:r>
      <w:r>
        <w:t>ст</w:t>
      </w:r>
      <w:r w:rsidR="00A56E08">
        <w:t>а</w:t>
      </w:r>
      <w:r w:rsidR="009E3488" w:rsidRPr="00F6340E">
        <w:t xml:space="preserve">, </w:t>
      </w:r>
      <w:r>
        <w:t>т</w:t>
      </w:r>
      <w:r w:rsidR="00A56E08">
        <w:t>аб</w:t>
      </w:r>
      <w:r w:rsidR="00EE6AA2">
        <w:t>е</w:t>
      </w:r>
      <w:r w:rsidR="00A56E08">
        <w:t>ла</w:t>
      </w:r>
      <w:r>
        <w:t>р</w:t>
      </w:r>
      <w:r w:rsidR="00A56E08">
        <w:t>н</w:t>
      </w:r>
      <w:r w:rsidR="00EE6AA2">
        <w:t>е</w:t>
      </w:r>
      <w:r w:rsidR="009E3488" w:rsidRPr="00F6340E">
        <w:t xml:space="preserve"> </w:t>
      </w:r>
      <w:r>
        <w:t>пр</w:t>
      </w:r>
      <w:r w:rsidR="00A56E08">
        <w:t>о</w:t>
      </w:r>
      <w:r>
        <w:t>р</w:t>
      </w:r>
      <w:r w:rsidR="00A56E08">
        <w:t>ач</w:t>
      </w:r>
      <w:r>
        <w:t>у</w:t>
      </w:r>
      <w:r w:rsidR="00A56E08">
        <w:t>н</w:t>
      </w:r>
      <w:r w:rsidR="00EE6AA2">
        <w:t>е</w:t>
      </w:r>
      <w:r w:rsidR="009E3488" w:rsidRPr="00F6340E">
        <w:t xml:space="preserve">, </w:t>
      </w:r>
      <w:r w:rsidR="00A56E08">
        <w:t>и</w:t>
      </w:r>
      <w:r w:rsidR="00171F00">
        <w:t>з</w:t>
      </w:r>
      <w:r>
        <w:t>р</w:t>
      </w:r>
      <w:r w:rsidR="00A56E08">
        <w:t>ад</w:t>
      </w:r>
      <w:r>
        <w:t>у</w:t>
      </w:r>
      <w:r w:rsidR="009E3488" w:rsidRPr="00F6340E">
        <w:t xml:space="preserve"> </w:t>
      </w:r>
      <w:r>
        <w:t>пр</w:t>
      </w:r>
      <w:r w:rsidR="00EE6AA2">
        <w:t>е</w:t>
      </w:r>
      <w:r w:rsidR="00171F00">
        <w:t>з</w:t>
      </w:r>
      <w:r w:rsidR="00EE6AA2">
        <w:t>е</w:t>
      </w:r>
      <w:r w:rsidR="00A56E08">
        <w:t>н</w:t>
      </w:r>
      <w:r>
        <w:t>т</w:t>
      </w:r>
      <w:r w:rsidR="00A56E08">
        <w:t>ација</w:t>
      </w:r>
      <w:r w:rsidR="009E3488" w:rsidRPr="00F6340E">
        <w:t xml:space="preserve">) </w:t>
      </w:r>
      <w:r>
        <w:t>шт</w:t>
      </w:r>
      <w:r w:rsidR="00A56E08">
        <w:t>о</w:t>
      </w:r>
      <w:r w:rsidR="009E3488" w:rsidRPr="00F6340E">
        <w:t xml:space="preserve"> </w:t>
      </w:r>
      <w:r w:rsidR="00A56E08">
        <w:t>о</w:t>
      </w:r>
      <w:r>
        <w:t>с</w:t>
      </w:r>
      <w:r w:rsidR="00A56E08">
        <w:t>иг</w:t>
      </w:r>
      <w:r>
        <w:t>ур</w:t>
      </w:r>
      <w:r w:rsidR="00A56E08">
        <w:t>а</w:t>
      </w:r>
      <w:r>
        <w:t>в</w:t>
      </w:r>
      <w:r w:rsidR="00A56E08">
        <w:t>а</w:t>
      </w:r>
      <w:r w:rsidR="009E3488" w:rsidRPr="00F6340E">
        <w:t xml:space="preserve"> </w:t>
      </w:r>
      <w:r w:rsidR="00A56E08">
        <w:t>да</w:t>
      </w:r>
      <w:r w:rsidR="009E3488" w:rsidRPr="00F6340E">
        <w:t xml:space="preserve"> </w:t>
      </w:r>
      <w:r w:rsidR="00A56E08">
        <w:t>на</w:t>
      </w:r>
      <w:r>
        <w:t>ст</w:t>
      </w:r>
      <w:r w:rsidR="00A56E08">
        <w:t>а</w:t>
      </w:r>
      <w:r>
        <w:t>в</w:t>
      </w:r>
      <w:r w:rsidR="00A56E08">
        <w:t>ници</w:t>
      </w:r>
      <w:r w:rsidR="009E3488" w:rsidRPr="00F6340E">
        <w:t xml:space="preserve"> </w:t>
      </w:r>
      <w:r w:rsidR="00A56E08">
        <w:t>и</w:t>
      </w:r>
      <w:r w:rsidR="009E3488" w:rsidRPr="00F6340E">
        <w:t xml:space="preserve"> </w:t>
      </w:r>
      <w:r>
        <w:t>у</w:t>
      </w:r>
      <w:r w:rsidR="00A56E08">
        <w:t>ч</w:t>
      </w:r>
      <w:r w:rsidR="00EE6AA2">
        <w:t>е</w:t>
      </w:r>
      <w:r w:rsidR="00A56E08">
        <w:t>ници</w:t>
      </w:r>
      <w:r w:rsidR="009E3488" w:rsidRPr="00F6340E">
        <w:t>/</w:t>
      </w:r>
      <w:r>
        <w:t>сту</w:t>
      </w:r>
      <w:r w:rsidR="00A56E08">
        <w:t>д</w:t>
      </w:r>
      <w:r w:rsidR="00EE6AA2">
        <w:t>е</w:t>
      </w:r>
      <w:r w:rsidR="00A56E08">
        <w:t>н</w:t>
      </w:r>
      <w:r>
        <w:t>т</w:t>
      </w:r>
      <w:r w:rsidR="00A56E08">
        <w:t>и</w:t>
      </w:r>
      <w:r w:rsidR="009E3488" w:rsidRPr="00F6340E">
        <w:t xml:space="preserve"> </w:t>
      </w:r>
      <w:r>
        <w:t>р</w:t>
      </w:r>
      <w:r w:rsidR="00A56E08">
        <w:t>а</w:t>
      </w:r>
      <w:r w:rsidR="00171F00">
        <w:t>з</w:t>
      </w:r>
      <w:r>
        <w:t>в</w:t>
      </w:r>
      <w:r w:rsidR="00A56E08">
        <w:t>ијај</w:t>
      </w:r>
      <w:r>
        <w:t>у</w:t>
      </w:r>
      <w:r w:rsidR="009E3488" w:rsidRPr="00F6340E">
        <w:t xml:space="preserve"> </w:t>
      </w:r>
      <w:r>
        <w:t>с</w:t>
      </w:r>
      <w:r w:rsidR="00A56E08">
        <w:t>а</w:t>
      </w:r>
      <w:r>
        <w:t>р</w:t>
      </w:r>
      <w:r w:rsidR="00A56E08">
        <w:t>адничк</w:t>
      </w:r>
      <w:r w:rsidR="00EE6AA2">
        <w:t>е</w:t>
      </w:r>
      <w:r w:rsidR="009E3488" w:rsidRPr="00F6340E">
        <w:t xml:space="preserve"> </w:t>
      </w:r>
      <w:r>
        <w:t>в</w:t>
      </w:r>
      <w:r w:rsidR="00A56E08">
        <w:t>ј</w:t>
      </w:r>
      <w:r w:rsidR="00EE6AA2">
        <w:t>е</w:t>
      </w:r>
      <w:r>
        <w:t>шт</w:t>
      </w:r>
      <w:r w:rsidR="00A56E08">
        <w:t>ин</w:t>
      </w:r>
      <w:r w:rsidR="00EE6AA2">
        <w:t>е</w:t>
      </w:r>
      <w:r w:rsidR="009E3488" w:rsidRPr="00F6340E">
        <w:t xml:space="preserve"> </w:t>
      </w:r>
      <w:r w:rsidR="00A56E08">
        <w:t>одно</w:t>
      </w:r>
      <w:r>
        <w:t>с</w:t>
      </w:r>
      <w:r w:rsidR="00A56E08">
        <w:t>но</w:t>
      </w:r>
      <w:r w:rsidR="009E3488" w:rsidRPr="00F6340E">
        <w:t xml:space="preserve"> </w:t>
      </w:r>
      <w:r w:rsidR="00A56E08">
        <w:t>к</w:t>
      </w:r>
      <w:r>
        <w:t>р</w:t>
      </w:r>
      <w:r w:rsidR="00EE6AA2">
        <w:t>е</w:t>
      </w:r>
      <w:r w:rsidR="00A56E08">
        <w:t>и</w:t>
      </w:r>
      <w:r>
        <w:t>р</w:t>
      </w:r>
      <w:r w:rsidR="00A56E08">
        <w:t>ај</w:t>
      </w:r>
      <w:r>
        <w:t>у</w:t>
      </w:r>
      <w:r w:rsidR="009E3488" w:rsidRPr="00F6340E">
        <w:t xml:space="preserve"> </w:t>
      </w:r>
      <w:r w:rsidR="00171F00">
        <w:t>з</w:t>
      </w:r>
      <w:r w:rsidR="00A56E08">
        <w:t>ај</w:t>
      </w:r>
      <w:r w:rsidR="00EE6AA2">
        <w:t>е</w:t>
      </w:r>
      <w:r w:rsidR="00A56E08">
        <w:t>дниц</w:t>
      </w:r>
      <w:r w:rsidR="00EE6AA2">
        <w:t>е</w:t>
      </w:r>
      <w:r w:rsidR="009E3488" w:rsidRPr="00F6340E">
        <w:t xml:space="preserve"> </w:t>
      </w:r>
      <w:r>
        <w:t>с</w:t>
      </w:r>
      <w:r w:rsidR="00A56E08">
        <w:t>а</w:t>
      </w:r>
      <w:r>
        <w:t>р</w:t>
      </w:r>
      <w:r w:rsidR="00A56E08">
        <w:t>адничког</w:t>
      </w:r>
      <w:r w:rsidR="009E3488" w:rsidRPr="00F6340E">
        <w:t xml:space="preserve"> </w:t>
      </w:r>
      <w:r>
        <w:t>у</w:t>
      </w:r>
      <w:r w:rsidR="00A56E08">
        <w:t>ч</w:t>
      </w:r>
      <w:r w:rsidR="00EE6AA2">
        <w:t>е</w:t>
      </w:r>
      <w:r w:rsidR="00A56E08">
        <w:t>ња</w:t>
      </w:r>
      <w:r w:rsidR="009E3488" w:rsidRPr="00F6340E">
        <w:t xml:space="preserve">. </w:t>
      </w:r>
      <w:r w:rsidR="00A56E08">
        <w:t>Диги</w:t>
      </w:r>
      <w:r>
        <w:t>т</w:t>
      </w:r>
      <w:r w:rsidR="00A56E08">
        <w:t>ални</w:t>
      </w:r>
      <w:r w:rsidR="009E3488" w:rsidRPr="00F6340E">
        <w:t xml:space="preserve"> </w:t>
      </w:r>
      <w:r w:rsidR="00A56E08">
        <w:t>ала</w:t>
      </w:r>
      <w:r>
        <w:t>т</w:t>
      </w:r>
      <w:r w:rsidR="00A56E08">
        <w:t>и</w:t>
      </w:r>
      <w:r w:rsidR="009E3488" w:rsidRPr="00F6340E">
        <w:t xml:space="preserve"> </w:t>
      </w:r>
      <w:r>
        <w:t>с</w:t>
      </w:r>
      <w:r w:rsidR="00A56E08">
        <w:t>ад</w:t>
      </w:r>
      <w:r>
        <w:t>р</w:t>
      </w:r>
      <w:r w:rsidR="00171F00">
        <w:t>ж</w:t>
      </w:r>
      <w:r w:rsidR="00A56E08">
        <w:t>ани</w:t>
      </w:r>
      <w:r w:rsidR="009E3488" w:rsidRPr="00F6340E">
        <w:t xml:space="preserve"> </w:t>
      </w:r>
      <w:r>
        <w:t>у</w:t>
      </w:r>
      <w:r w:rsidR="009E3488" w:rsidRPr="00F6340E">
        <w:t xml:space="preserve"> </w:t>
      </w:r>
      <w:r>
        <w:t>п</w:t>
      </w:r>
      <w:r w:rsidR="00A56E08">
        <w:t>ла</w:t>
      </w:r>
      <w:r>
        <w:t>т</w:t>
      </w:r>
      <w:r w:rsidR="00A56E08">
        <w:t>фо</w:t>
      </w:r>
      <w:r>
        <w:t>р</w:t>
      </w:r>
      <w:r w:rsidR="00A56E08">
        <w:t>мама</w:t>
      </w:r>
      <w:r w:rsidR="009E3488" w:rsidRPr="00F6340E">
        <w:t xml:space="preserve"> </w:t>
      </w:r>
      <w:r w:rsidR="00A56E08">
        <w:t>омог</w:t>
      </w:r>
      <w:r>
        <w:t>у</w:t>
      </w:r>
      <w:r w:rsidR="00A56E08">
        <w:t>ћа</w:t>
      </w:r>
      <w:r>
        <w:t>в</w:t>
      </w:r>
      <w:r w:rsidR="00A56E08">
        <w:t>ај</w:t>
      </w:r>
      <w:r>
        <w:t>у</w:t>
      </w:r>
      <w:r w:rsidR="009E3488" w:rsidRPr="00F6340E">
        <w:t xml:space="preserve"> </w:t>
      </w:r>
      <w:r w:rsidR="00A56E08">
        <w:t>и</w:t>
      </w:r>
      <w:r w:rsidR="009E3488" w:rsidRPr="00F6340E">
        <w:t xml:space="preserve"> </w:t>
      </w:r>
      <w:r>
        <w:t>р</w:t>
      </w:r>
      <w:r w:rsidR="00A56E08">
        <w:t>а</w:t>
      </w:r>
      <w:r w:rsidR="00171F00">
        <w:t>з</w:t>
      </w:r>
      <w:r>
        <w:t>в</w:t>
      </w:r>
      <w:r w:rsidR="00A56E08">
        <w:t>ијањ</w:t>
      </w:r>
      <w:r w:rsidR="00EE6AA2">
        <w:t>е</w:t>
      </w:r>
      <w:r w:rsidR="009E3488" w:rsidRPr="00F6340E">
        <w:t xml:space="preserve"> </w:t>
      </w:r>
      <w:r w:rsidR="00A56E08">
        <w:t>к</w:t>
      </w:r>
      <w:r>
        <w:t>р</w:t>
      </w:r>
      <w:r w:rsidR="00EE6AA2">
        <w:t>е</w:t>
      </w:r>
      <w:r w:rsidR="00A56E08">
        <w:t>а</w:t>
      </w:r>
      <w:r>
        <w:t>т</w:t>
      </w:r>
      <w:r w:rsidR="00A56E08">
        <w:t>и</w:t>
      </w:r>
      <w:r>
        <w:t>в</w:t>
      </w:r>
      <w:r w:rsidR="00A56E08">
        <w:t>но</w:t>
      </w:r>
      <w:r>
        <w:t>ст</w:t>
      </w:r>
      <w:r w:rsidR="00A56E08">
        <w:t>и</w:t>
      </w:r>
      <w:r w:rsidR="009E3488" w:rsidRPr="00F6340E">
        <w:t xml:space="preserve"> </w:t>
      </w:r>
      <w:r w:rsidR="00A56E08">
        <w:t>и</w:t>
      </w:r>
      <w:r w:rsidR="009E3488" w:rsidRPr="00F6340E">
        <w:t xml:space="preserve"> </w:t>
      </w:r>
      <w:r w:rsidR="00A56E08">
        <w:t>к</w:t>
      </w:r>
      <w:r>
        <w:t>р</w:t>
      </w:r>
      <w:r w:rsidR="00A56E08">
        <w:t>и</w:t>
      </w:r>
      <w:r>
        <w:t>т</w:t>
      </w:r>
      <w:r w:rsidR="00A56E08">
        <w:t>ичног</w:t>
      </w:r>
      <w:r w:rsidR="009E3488" w:rsidRPr="00F6340E">
        <w:t xml:space="preserve"> </w:t>
      </w:r>
      <w:r w:rsidR="00A56E08">
        <w:t>ми</w:t>
      </w:r>
      <w:r>
        <w:t>ш</w:t>
      </w:r>
      <w:r w:rsidR="00A56E08">
        <w:t>љ</w:t>
      </w:r>
      <w:r w:rsidR="00EE6AA2">
        <w:t>е</w:t>
      </w:r>
      <w:r w:rsidR="00A56E08">
        <w:t>ња</w:t>
      </w:r>
      <w:r w:rsidR="009E3488" w:rsidRPr="00F6340E">
        <w:t xml:space="preserve"> </w:t>
      </w:r>
      <w:r w:rsidR="00A56E08">
        <w:t>к</w:t>
      </w:r>
      <w:r>
        <w:t>р</w:t>
      </w:r>
      <w:r w:rsidR="00A56E08">
        <w:t>о</w:t>
      </w:r>
      <w:r w:rsidR="00171F00">
        <w:t>з</w:t>
      </w:r>
      <w:r w:rsidR="009E3488" w:rsidRPr="00F6340E">
        <w:t xml:space="preserve"> </w:t>
      </w:r>
      <w:r w:rsidR="00A56E08">
        <w:t>ди</w:t>
      </w:r>
      <w:r>
        <w:t>с</w:t>
      </w:r>
      <w:r w:rsidR="00A56E08">
        <w:t>к</w:t>
      </w:r>
      <w:r>
        <w:t>ус</w:t>
      </w:r>
      <w:r w:rsidR="00A56E08">
        <w:t>иј</w:t>
      </w:r>
      <w:r w:rsidR="00EE6AA2">
        <w:t>е</w:t>
      </w:r>
      <w:r w:rsidR="00E65572" w:rsidRPr="00F6340E">
        <w:t xml:space="preserve">, </w:t>
      </w:r>
      <w:r w:rsidR="00A56E08">
        <w:t>фо</w:t>
      </w:r>
      <w:r>
        <w:t>ру</w:t>
      </w:r>
      <w:r w:rsidR="00A56E08">
        <w:t>м</w:t>
      </w:r>
      <w:r w:rsidR="00EE6AA2">
        <w:t>е</w:t>
      </w:r>
      <w:r w:rsidR="00E65572" w:rsidRPr="00F6340E">
        <w:t xml:space="preserve">, </w:t>
      </w:r>
      <w:r w:rsidR="00A56E08">
        <w:t>г</w:t>
      </w:r>
      <w:r>
        <w:t>руп</w:t>
      </w:r>
      <w:r w:rsidR="00EE6AA2">
        <w:t>е</w:t>
      </w:r>
      <w:r w:rsidR="00E65572" w:rsidRPr="00F6340E">
        <w:t xml:space="preserve"> </w:t>
      </w:r>
      <w:r w:rsidR="00A56E08">
        <w:t>и</w:t>
      </w:r>
      <w:r w:rsidR="00E65572" w:rsidRPr="00F6340E">
        <w:t xml:space="preserve"> </w:t>
      </w:r>
      <w:r w:rsidR="00A56E08">
        <w:t>лично</w:t>
      </w:r>
      <w:r w:rsidR="009E3488" w:rsidRPr="00F6340E">
        <w:t xml:space="preserve"> </w:t>
      </w:r>
      <w:r w:rsidR="00A56E08">
        <w:t>и</w:t>
      </w:r>
      <w:r w:rsidR="00171F00">
        <w:t>з</w:t>
      </w:r>
      <w:r>
        <w:t>р</w:t>
      </w:r>
      <w:r w:rsidR="00A56E08">
        <w:t>а</w:t>
      </w:r>
      <w:r w:rsidR="00171F00">
        <w:t>ж</w:t>
      </w:r>
      <w:r w:rsidR="00A56E08">
        <w:t>а</w:t>
      </w:r>
      <w:r>
        <w:t>в</w:t>
      </w:r>
      <w:r w:rsidR="00A56E08">
        <w:t>ањ</w:t>
      </w:r>
      <w:r w:rsidR="00EE6AA2">
        <w:t>е</w:t>
      </w:r>
      <w:r w:rsidR="00E65572" w:rsidRPr="00F6340E">
        <w:t xml:space="preserve"> </w:t>
      </w:r>
      <w:r>
        <w:t>в</w:t>
      </w:r>
      <w:r w:rsidR="00A56E08">
        <w:t>ла</w:t>
      </w:r>
      <w:r>
        <w:t>ст</w:t>
      </w:r>
      <w:r w:rsidR="00A56E08">
        <w:t>и</w:t>
      </w:r>
      <w:r>
        <w:t>т</w:t>
      </w:r>
      <w:r w:rsidR="00EE6AA2">
        <w:t>е</w:t>
      </w:r>
      <w:r w:rsidR="00E65572" w:rsidRPr="00F6340E">
        <w:t xml:space="preserve"> </w:t>
      </w:r>
      <w:r w:rsidR="00A56E08">
        <w:t>к</w:t>
      </w:r>
      <w:r>
        <w:t>р</w:t>
      </w:r>
      <w:r w:rsidR="00EE6AA2">
        <w:t>е</w:t>
      </w:r>
      <w:r w:rsidR="00A56E08">
        <w:t>а</w:t>
      </w:r>
      <w:r>
        <w:t>т</w:t>
      </w:r>
      <w:r w:rsidR="00A56E08">
        <w:t>и</w:t>
      </w:r>
      <w:r>
        <w:t>в</w:t>
      </w:r>
      <w:r w:rsidR="00A56E08">
        <w:t>но</w:t>
      </w:r>
      <w:r>
        <w:t>ст</w:t>
      </w:r>
      <w:r w:rsidR="00A56E08">
        <w:t>и</w:t>
      </w:r>
      <w:r w:rsidR="009E3488" w:rsidRPr="00F6340E">
        <w:t xml:space="preserve">. </w:t>
      </w:r>
    </w:p>
    <w:p w14:paraId="2F95F6CA" w14:textId="43449FA5" w:rsidR="009E3488" w:rsidRPr="00F6340E" w:rsidRDefault="0071360A" w:rsidP="00FA4DC9">
      <w:pPr>
        <w:pStyle w:val="Body"/>
      </w:pPr>
      <w:r>
        <w:t>П</w:t>
      </w:r>
      <w:r w:rsidR="00A56E08">
        <w:t>ла</w:t>
      </w:r>
      <w:r>
        <w:t>т</w:t>
      </w:r>
      <w:r w:rsidR="00A56E08">
        <w:t>фо</w:t>
      </w:r>
      <w:r>
        <w:t>р</w:t>
      </w:r>
      <w:r w:rsidR="00A56E08">
        <w:t>ма</w:t>
      </w:r>
      <w:r w:rsidR="009E3488" w:rsidRPr="00F6340E">
        <w:t xml:space="preserve"> </w:t>
      </w:r>
      <w:r>
        <w:t>с</w:t>
      </w:r>
      <w:r w:rsidR="00EE6AA2">
        <w:t>е</w:t>
      </w:r>
      <w:r w:rsidR="009E3488" w:rsidRPr="00F6340E">
        <w:t xml:space="preserve"> </w:t>
      </w:r>
      <w:r w:rsidR="00A56E08">
        <w:t>мо</w:t>
      </w:r>
      <w:r w:rsidR="00171F00">
        <w:t>ж</w:t>
      </w:r>
      <w:r w:rsidR="00EE6AA2">
        <w:t>е</w:t>
      </w:r>
      <w:r w:rsidR="009E3488" w:rsidRPr="00F6340E">
        <w:t xml:space="preserve"> </w:t>
      </w:r>
      <w:r>
        <w:t>уп</w:t>
      </w:r>
      <w:r w:rsidR="00A56E08">
        <w:t>о</w:t>
      </w:r>
      <w:r>
        <w:t>тр</w:t>
      </w:r>
      <w:r w:rsidR="00A56E08">
        <w:t>иј</w:t>
      </w:r>
      <w:r w:rsidR="00EE6AA2">
        <w:t>е</w:t>
      </w:r>
      <w:r w:rsidR="00A56E08">
        <w:t>би</w:t>
      </w:r>
      <w:r>
        <w:t>т</w:t>
      </w:r>
      <w:r w:rsidR="00A56E08">
        <w:t>и</w:t>
      </w:r>
      <w:r w:rsidR="00610411" w:rsidRPr="00F6340E">
        <w:t xml:space="preserve"> </w:t>
      </w:r>
      <w:r w:rsidR="00171F00">
        <w:t>з</w:t>
      </w:r>
      <w:r w:rsidR="00A56E08">
        <w:t>а</w:t>
      </w:r>
      <w:r w:rsidR="009E3488" w:rsidRPr="00F6340E">
        <w:t xml:space="preserve"> </w:t>
      </w:r>
      <w:r w:rsidR="00A56E08">
        <w:t>на</w:t>
      </w:r>
      <w:r>
        <w:t>ст</w:t>
      </w:r>
      <w:r w:rsidR="00A56E08">
        <w:t>а</w:t>
      </w:r>
      <w:r>
        <w:t>ву</w:t>
      </w:r>
      <w:r w:rsidR="007E2AE7" w:rsidRPr="00F6340E">
        <w:t xml:space="preserve"> </w:t>
      </w:r>
      <w:r>
        <w:t>пут</w:t>
      </w:r>
      <w:r w:rsidR="00EE6AA2">
        <w:t>е</w:t>
      </w:r>
      <w:r w:rsidR="00A56E08">
        <w:t>м</w:t>
      </w:r>
      <w:r w:rsidR="007E2AE7" w:rsidRPr="00F6340E">
        <w:t xml:space="preserve"> </w:t>
      </w:r>
      <w:r w:rsidR="00A56E08">
        <w:t>ин</w:t>
      </w:r>
      <w:r>
        <w:t>т</w:t>
      </w:r>
      <w:r w:rsidR="00EE6AA2">
        <w:t>е</w:t>
      </w:r>
      <w:r>
        <w:t>р</w:t>
      </w:r>
      <w:r w:rsidR="00A56E08">
        <w:t>н</w:t>
      </w:r>
      <w:r w:rsidR="00EE6AA2">
        <w:t>е</w:t>
      </w:r>
      <w:r>
        <w:t>т</w:t>
      </w:r>
      <w:r w:rsidR="00A56E08">
        <w:t>а</w:t>
      </w:r>
      <w:r w:rsidR="009E3488" w:rsidRPr="00F6340E">
        <w:t xml:space="preserve"> </w:t>
      </w:r>
      <w:r w:rsidR="00A56E08">
        <w:t>и</w:t>
      </w:r>
      <w:r w:rsidR="009E3488" w:rsidRPr="00F6340E">
        <w:t xml:space="preserve"> </w:t>
      </w:r>
      <w:r w:rsidR="00A56E08">
        <w:t>комбино</w:t>
      </w:r>
      <w:r>
        <w:t>в</w:t>
      </w:r>
      <w:r w:rsidR="00A56E08">
        <w:t>ан</w:t>
      </w:r>
      <w:r>
        <w:t>у</w:t>
      </w:r>
      <w:r w:rsidR="009E3488" w:rsidRPr="00F6340E">
        <w:t xml:space="preserve"> </w:t>
      </w:r>
      <w:r w:rsidR="00A56E08">
        <w:t>на</w:t>
      </w:r>
      <w:r>
        <w:t>ст</w:t>
      </w:r>
      <w:r w:rsidR="00A56E08">
        <w:t>а</w:t>
      </w:r>
      <w:r>
        <w:t>ву</w:t>
      </w:r>
      <w:r w:rsidR="00E65572" w:rsidRPr="00F6340E">
        <w:t xml:space="preserve"> </w:t>
      </w:r>
      <w:r w:rsidR="00A56E08">
        <w:t>на</w:t>
      </w:r>
      <w:r w:rsidR="009E3488" w:rsidRPr="00F6340E">
        <w:t xml:space="preserve"> </w:t>
      </w:r>
      <w:r w:rsidR="00A56E08">
        <w:t>начин</w:t>
      </w:r>
      <w:r w:rsidR="009E3488" w:rsidRPr="00F6340E">
        <w:t xml:space="preserve"> </w:t>
      </w:r>
      <w:r w:rsidR="00A56E08">
        <w:t>да</w:t>
      </w:r>
      <w:r w:rsidR="009E3488" w:rsidRPr="00F6340E">
        <w:t xml:space="preserve"> </w:t>
      </w:r>
      <w:r w:rsidR="00A56E08">
        <w:t>на</w:t>
      </w:r>
      <w:r>
        <w:t>ст</w:t>
      </w:r>
      <w:r w:rsidR="00A56E08">
        <w:t>а</w:t>
      </w:r>
      <w:r>
        <w:t>в</w:t>
      </w:r>
      <w:r w:rsidR="00A56E08">
        <w:t>ници</w:t>
      </w:r>
      <w:r w:rsidR="009E3488" w:rsidRPr="00F6340E">
        <w:t xml:space="preserve"> </w:t>
      </w:r>
      <w:r>
        <w:t>пр</w:t>
      </w:r>
      <w:r w:rsidR="00A56E08">
        <w:t>и</w:t>
      </w:r>
      <w:r>
        <w:t>пр</w:t>
      </w:r>
      <w:r w:rsidR="00EE6AA2">
        <w:t>е</w:t>
      </w:r>
      <w:r w:rsidR="00A56E08">
        <w:t>мај</w:t>
      </w:r>
      <w:r>
        <w:t>у</w:t>
      </w:r>
      <w:r w:rsidR="009E3488" w:rsidRPr="00F6340E">
        <w:t xml:space="preserve"> </w:t>
      </w:r>
      <w:r w:rsidR="00A56E08">
        <w:t>и</w:t>
      </w:r>
      <w:r w:rsidR="009E3488" w:rsidRPr="00F6340E">
        <w:t xml:space="preserve"> </w:t>
      </w:r>
      <w:r>
        <w:t>п</w:t>
      </w:r>
      <w:r w:rsidR="00A56E08">
        <w:t>о</w:t>
      </w:r>
      <w:r>
        <w:t>ст</w:t>
      </w:r>
      <w:r w:rsidR="00A56E08">
        <w:t>а</w:t>
      </w:r>
      <w:r>
        <w:t>в</w:t>
      </w:r>
      <w:r w:rsidR="00A56E08">
        <w:t>љај</w:t>
      </w:r>
      <w:r>
        <w:t>у</w:t>
      </w:r>
      <w:r w:rsidR="009E3488" w:rsidRPr="00F6340E">
        <w:t xml:space="preserve"> </w:t>
      </w:r>
      <w:r w:rsidR="00A56E08">
        <w:t>диги</w:t>
      </w:r>
      <w:r>
        <w:t>т</w:t>
      </w:r>
      <w:r w:rsidR="00A56E08">
        <w:t>алн</w:t>
      </w:r>
      <w:r w:rsidR="00EE6AA2">
        <w:t>е</w:t>
      </w:r>
      <w:r w:rsidR="009E3488" w:rsidRPr="00F6340E">
        <w:t xml:space="preserve"> </w:t>
      </w:r>
      <w:r w:rsidR="00A56E08">
        <w:t>ма</w:t>
      </w:r>
      <w:r>
        <w:t>т</w:t>
      </w:r>
      <w:r w:rsidR="00EE6AA2">
        <w:t>е</w:t>
      </w:r>
      <w:r>
        <w:t>р</w:t>
      </w:r>
      <w:r w:rsidR="00A56E08">
        <w:t>ијал</w:t>
      </w:r>
      <w:r w:rsidR="00EE6AA2">
        <w:t>е</w:t>
      </w:r>
      <w:r w:rsidR="009E3488" w:rsidRPr="00F6340E">
        <w:t xml:space="preserve"> </w:t>
      </w:r>
      <w:r w:rsidR="00171F00">
        <w:t>з</w:t>
      </w:r>
      <w:r w:rsidR="00A56E08">
        <w:t>а</w:t>
      </w:r>
      <w:r w:rsidR="009E3488" w:rsidRPr="00F6340E">
        <w:t xml:space="preserve"> </w:t>
      </w:r>
      <w:r>
        <w:t>у</w:t>
      </w:r>
      <w:r w:rsidR="00A56E08">
        <w:t>ч</w:t>
      </w:r>
      <w:r w:rsidR="00EE6AA2">
        <w:t>е</w:t>
      </w:r>
      <w:r w:rsidR="00A56E08">
        <w:t>ник</w:t>
      </w:r>
      <w:r w:rsidR="00EE6AA2">
        <w:t>е</w:t>
      </w:r>
      <w:r w:rsidR="009E3488" w:rsidRPr="00F6340E">
        <w:t>/</w:t>
      </w:r>
      <w:r>
        <w:t>сту</w:t>
      </w:r>
      <w:r w:rsidR="00A56E08">
        <w:t>д</w:t>
      </w:r>
      <w:r w:rsidR="00EE6AA2">
        <w:t>е</w:t>
      </w:r>
      <w:r w:rsidR="00A56E08">
        <w:t>н</w:t>
      </w:r>
      <w:r>
        <w:t>т</w:t>
      </w:r>
      <w:r w:rsidR="00EE6AA2">
        <w:t>е</w:t>
      </w:r>
      <w:r w:rsidR="009E3488" w:rsidRPr="00F6340E">
        <w:t xml:space="preserve"> </w:t>
      </w:r>
      <w:r w:rsidR="00A56E08">
        <w:t>на</w:t>
      </w:r>
      <w:r w:rsidR="009E3488" w:rsidRPr="00F6340E">
        <w:t xml:space="preserve"> </w:t>
      </w:r>
      <w:r w:rsidR="00A56E08">
        <w:t>од</w:t>
      </w:r>
      <w:r>
        <w:t>р</w:t>
      </w:r>
      <w:r w:rsidR="00EE6AA2">
        <w:t>е</w:t>
      </w:r>
      <w:r w:rsidR="00A56E08">
        <w:t>ђ</w:t>
      </w:r>
      <w:r w:rsidR="00EE6AA2">
        <w:t>е</w:t>
      </w:r>
      <w:r w:rsidR="00A56E08">
        <w:t>ни</w:t>
      </w:r>
      <w:r w:rsidR="009E3488" w:rsidRPr="00F6340E">
        <w:t xml:space="preserve"> </w:t>
      </w:r>
      <w:r>
        <w:t>пр</w:t>
      </w:r>
      <w:r w:rsidR="00A56E08">
        <w:t>о</w:t>
      </w:r>
      <w:r>
        <w:t>ст</w:t>
      </w:r>
      <w:r w:rsidR="00A56E08">
        <w:t>о</w:t>
      </w:r>
      <w:r>
        <w:t>р</w:t>
      </w:r>
      <w:r w:rsidR="009E3488" w:rsidRPr="00F6340E">
        <w:t xml:space="preserve"> (</w:t>
      </w:r>
      <w:r>
        <w:t>п</w:t>
      </w:r>
      <w:r w:rsidR="00A56E08">
        <w:t>ох</w:t>
      </w:r>
      <w:r>
        <w:t>р</w:t>
      </w:r>
      <w:r w:rsidR="00A56E08">
        <w:t>ана</w:t>
      </w:r>
      <w:r w:rsidR="009E3488" w:rsidRPr="00F6340E">
        <w:t xml:space="preserve"> </w:t>
      </w:r>
      <w:r w:rsidR="00A56E08">
        <w:t>на</w:t>
      </w:r>
      <w:r w:rsidR="009E3488" w:rsidRPr="00F6340E">
        <w:t xml:space="preserve"> </w:t>
      </w:r>
      <w:r w:rsidR="00A56E08">
        <w:t>облак</w:t>
      </w:r>
      <w:r>
        <w:t>у</w:t>
      </w:r>
      <w:r w:rsidR="009E3488" w:rsidRPr="00F6340E">
        <w:t xml:space="preserve">) </w:t>
      </w:r>
      <w:r w:rsidR="00A56E08">
        <w:t>или</w:t>
      </w:r>
      <w:r w:rsidR="009E3488" w:rsidRPr="00F6340E">
        <w:t xml:space="preserve"> </w:t>
      </w:r>
      <w:r w:rsidR="00A56E08">
        <w:t>од</w:t>
      </w:r>
      <w:r>
        <w:t>р</w:t>
      </w:r>
      <w:r w:rsidR="00EE6AA2">
        <w:t>е</w:t>
      </w:r>
      <w:r w:rsidR="00A56E08">
        <w:t>ђ</w:t>
      </w:r>
      <w:r w:rsidR="00EE6AA2">
        <w:t>е</w:t>
      </w:r>
      <w:r w:rsidR="00A56E08">
        <w:t>но</w:t>
      </w:r>
      <w:r w:rsidR="009E3488" w:rsidRPr="00F6340E">
        <w:t xml:space="preserve"> </w:t>
      </w:r>
      <w:r w:rsidR="00A56E08">
        <w:t>мј</w:t>
      </w:r>
      <w:r w:rsidR="00EE6AA2">
        <w:t>е</w:t>
      </w:r>
      <w:r>
        <w:t>ст</w:t>
      </w:r>
      <w:r w:rsidR="00A56E08">
        <w:t>о</w:t>
      </w:r>
      <w:r w:rsidR="007E2AE7" w:rsidRPr="00F6340E">
        <w:t xml:space="preserve"> </w:t>
      </w:r>
      <w:r w:rsidR="00A56E08">
        <w:t>на</w:t>
      </w:r>
      <w:r w:rsidR="007E2AE7" w:rsidRPr="00F6340E">
        <w:t xml:space="preserve"> </w:t>
      </w:r>
      <w:r w:rsidR="00A56E08">
        <w:t>ин</w:t>
      </w:r>
      <w:r>
        <w:t>т</w:t>
      </w:r>
      <w:r w:rsidR="00EE6AA2">
        <w:t>е</w:t>
      </w:r>
      <w:r>
        <w:t>р</w:t>
      </w:r>
      <w:r w:rsidR="00A56E08">
        <w:t>н</w:t>
      </w:r>
      <w:r w:rsidR="00EE6AA2">
        <w:t>е</w:t>
      </w:r>
      <w:r>
        <w:t>ту</w:t>
      </w:r>
      <w:r w:rsidR="009E3488" w:rsidRPr="00F6340E">
        <w:t xml:space="preserve">, </w:t>
      </w:r>
      <w:r w:rsidR="00A56E08">
        <w:t>кој</w:t>
      </w:r>
      <w:r w:rsidR="00EE6AA2">
        <w:t>е</w:t>
      </w:r>
      <w:r w:rsidR="00A56E08">
        <w:t>м</w:t>
      </w:r>
      <w:r w:rsidR="009E3488" w:rsidRPr="00F6340E">
        <w:t xml:space="preserve"> </w:t>
      </w:r>
      <w:r>
        <w:t>у</w:t>
      </w:r>
      <w:r w:rsidR="00A56E08">
        <w:t>ч</w:t>
      </w:r>
      <w:r w:rsidR="00EE6AA2">
        <w:t>е</w:t>
      </w:r>
      <w:r w:rsidR="00A56E08">
        <w:t>ници</w:t>
      </w:r>
      <w:r w:rsidR="009E3488" w:rsidRPr="00F6340E">
        <w:t>/</w:t>
      </w:r>
      <w:r>
        <w:t>сту</w:t>
      </w:r>
      <w:r w:rsidR="00A56E08">
        <w:t>д</w:t>
      </w:r>
      <w:r w:rsidR="00EE6AA2">
        <w:t>е</w:t>
      </w:r>
      <w:r w:rsidR="00A56E08">
        <w:t>н</w:t>
      </w:r>
      <w:r>
        <w:t>т</w:t>
      </w:r>
      <w:r w:rsidR="00A56E08">
        <w:t>и</w:t>
      </w:r>
      <w:r w:rsidR="009E3488" w:rsidRPr="00F6340E">
        <w:t xml:space="preserve"> </w:t>
      </w:r>
      <w:r>
        <w:t>пр</w:t>
      </w:r>
      <w:r w:rsidR="00A56E08">
        <w:t>и</w:t>
      </w:r>
      <w:r>
        <w:t>ступ</w:t>
      </w:r>
      <w:r w:rsidR="00A56E08">
        <w:t>ај</w:t>
      </w:r>
      <w:r>
        <w:t>у</w:t>
      </w:r>
      <w:r w:rsidR="009E3488" w:rsidRPr="00F6340E">
        <w:t xml:space="preserve"> </w:t>
      </w:r>
      <w:r>
        <w:t>пут</w:t>
      </w:r>
      <w:r w:rsidR="00EE6AA2">
        <w:t>е</w:t>
      </w:r>
      <w:r w:rsidR="00A56E08">
        <w:t>м</w:t>
      </w:r>
      <w:r w:rsidR="009E3488" w:rsidRPr="00F6340E">
        <w:t xml:space="preserve"> </w:t>
      </w:r>
      <w:r w:rsidR="00A56E08">
        <w:t>одаб</w:t>
      </w:r>
      <w:r>
        <w:t>р</w:t>
      </w:r>
      <w:r w:rsidR="00A56E08">
        <w:t>аног</w:t>
      </w:r>
      <w:r w:rsidR="009E3488" w:rsidRPr="00F6340E">
        <w:t xml:space="preserve"> </w:t>
      </w:r>
      <w:r>
        <w:t>ур</w:t>
      </w:r>
      <w:r w:rsidR="00EE6AA2">
        <w:t>е</w:t>
      </w:r>
      <w:r w:rsidR="00A56E08">
        <w:t>ђаја</w:t>
      </w:r>
      <w:r w:rsidR="009E3488" w:rsidRPr="00F6340E">
        <w:t xml:space="preserve"> (</w:t>
      </w:r>
      <w:r>
        <w:t>р</w:t>
      </w:r>
      <w:r w:rsidR="00A56E08">
        <w:t>ач</w:t>
      </w:r>
      <w:r>
        <w:t>у</w:t>
      </w:r>
      <w:r w:rsidR="00A56E08">
        <w:t>на</w:t>
      </w:r>
      <w:r>
        <w:t>р</w:t>
      </w:r>
      <w:r w:rsidR="00A56E08">
        <w:t>а</w:t>
      </w:r>
      <w:r w:rsidR="009E3488" w:rsidRPr="00F6340E">
        <w:t xml:space="preserve"> </w:t>
      </w:r>
      <w:r w:rsidR="00A56E08">
        <w:t>или</w:t>
      </w:r>
      <w:r w:rsidR="009E3488" w:rsidRPr="00F6340E">
        <w:t xml:space="preserve"> </w:t>
      </w:r>
      <w:r w:rsidR="00A56E08">
        <w:t>мобилног</w:t>
      </w:r>
      <w:r w:rsidR="009E3488" w:rsidRPr="00F6340E">
        <w:t xml:space="preserve"> </w:t>
      </w:r>
      <w:r>
        <w:t>ур</w:t>
      </w:r>
      <w:r w:rsidR="00EE6AA2">
        <w:t>е</w:t>
      </w:r>
      <w:r w:rsidR="00A56E08">
        <w:t>ђаја</w:t>
      </w:r>
      <w:r w:rsidR="009E3488" w:rsidRPr="00F6340E">
        <w:t xml:space="preserve">) </w:t>
      </w:r>
      <w:r w:rsidR="00A56E08">
        <w:t>док</w:t>
      </w:r>
      <w:r w:rsidR="009E3488" w:rsidRPr="00F6340E">
        <w:t xml:space="preserve"> </w:t>
      </w:r>
      <w:r>
        <w:t>су</w:t>
      </w:r>
      <w:r w:rsidR="009E3488" w:rsidRPr="00F6340E">
        <w:t xml:space="preserve"> </w:t>
      </w:r>
      <w:r w:rsidR="00A56E08">
        <w:t>на</w:t>
      </w:r>
      <w:r w:rsidR="009E3488" w:rsidRPr="00F6340E">
        <w:t xml:space="preserve"> </w:t>
      </w:r>
      <w:r w:rsidR="00A56E08">
        <w:t>на</w:t>
      </w:r>
      <w:r>
        <w:t>ст</w:t>
      </w:r>
      <w:r w:rsidR="00A56E08">
        <w:t>а</w:t>
      </w:r>
      <w:r>
        <w:t>в</w:t>
      </w:r>
      <w:r w:rsidR="00A56E08">
        <w:t>и</w:t>
      </w:r>
      <w:r w:rsidR="009E3488" w:rsidRPr="00F6340E">
        <w:t xml:space="preserve"> </w:t>
      </w:r>
      <w:r>
        <w:t>у</w:t>
      </w:r>
      <w:r w:rsidR="009E3488" w:rsidRPr="00F6340E">
        <w:t xml:space="preserve"> </w:t>
      </w:r>
      <w:r>
        <w:t>вр</w:t>
      </w:r>
      <w:r w:rsidR="00A56E08">
        <w:t>иј</w:t>
      </w:r>
      <w:r w:rsidR="00EE6AA2">
        <w:t>е</w:t>
      </w:r>
      <w:r w:rsidR="00A56E08">
        <w:t>м</w:t>
      </w:r>
      <w:r w:rsidR="00EE6AA2">
        <w:t>е</w:t>
      </w:r>
      <w:r w:rsidR="009E3488" w:rsidRPr="00F6340E">
        <w:t xml:space="preserve"> </w:t>
      </w:r>
      <w:r w:rsidR="00A56E08">
        <w:t>како</w:t>
      </w:r>
      <w:r w:rsidR="009E3488" w:rsidRPr="00F6340E">
        <w:t xml:space="preserve"> </w:t>
      </w:r>
      <w:r w:rsidR="00A56E08">
        <w:t>ј</w:t>
      </w:r>
      <w:r w:rsidR="00EE6AA2">
        <w:t>е</w:t>
      </w:r>
      <w:r w:rsidR="009E3488" w:rsidRPr="00F6340E">
        <w:t xml:space="preserve"> </w:t>
      </w:r>
      <w:r w:rsidR="00A56E08">
        <w:t>од</w:t>
      </w:r>
      <w:r>
        <w:t>р</w:t>
      </w:r>
      <w:r w:rsidR="00EE6AA2">
        <w:t>е</w:t>
      </w:r>
      <w:r w:rsidR="00A56E08">
        <w:t>ђ</w:t>
      </w:r>
      <w:r w:rsidR="00EE6AA2">
        <w:t>е</w:t>
      </w:r>
      <w:r w:rsidR="00A56E08">
        <w:t>но</w:t>
      </w:r>
      <w:r w:rsidR="009E3488" w:rsidRPr="00F6340E">
        <w:t xml:space="preserve"> </w:t>
      </w:r>
      <w:r w:rsidR="00171F00">
        <w:t>з</w:t>
      </w:r>
      <w:r w:rsidR="00A56E08">
        <w:t>ада</w:t>
      </w:r>
      <w:r>
        <w:t>т</w:t>
      </w:r>
      <w:r w:rsidR="00A56E08">
        <w:t>ком</w:t>
      </w:r>
      <w:r w:rsidR="009E3488" w:rsidRPr="00F6340E">
        <w:t xml:space="preserve"> </w:t>
      </w:r>
      <w:r w:rsidR="00A56E08">
        <w:t>или</w:t>
      </w:r>
      <w:r w:rsidR="009E3488" w:rsidRPr="00F6340E">
        <w:t xml:space="preserve"> </w:t>
      </w:r>
      <w:r>
        <w:t>у</w:t>
      </w:r>
      <w:r w:rsidR="009E3488" w:rsidRPr="00F6340E">
        <w:t xml:space="preserve"> </w:t>
      </w:r>
      <w:r>
        <w:t>вр</w:t>
      </w:r>
      <w:r w:rsidR="00A56E08">
        <w:t>иј</w:t>
      </w:r>
      <w:r w:rsidR="00EE6AA2">
        <w:t>е</w:t>
      </w:r>
      <w:r w:rsidR="00A56E08">
        <w:t>м</w:t>
      </w:r>
      <w:r w:rsidR="00EE6AA2">
        <w:t>е</w:t>
      </w:r>
      <w:r w:rsidR="009E3488" w:rsidRPr="00F6340E">
        <w:t xml:space="preserve"> </w:t>
      </w:r>
      <w:r w:rsidR="00A56E08">
        <w:t>када</w:t>
      </w:r>
      <w:r w:rsidR="009E3488" w:rsidRPr="00F6340E">
        <w:t xml:space="preserve"> </w:t>
      </w:r>
      <w:r w:rsidR="00A56E08">
        <w:t>њима</w:t>
      </w:r>
      <w:r w:rsidR="009E3488" w:rsidRPr="00F6340E">
        <w:t xml:space="preserve"> </w:t>
      </w:r>
      <w:r w:rsidR="00A56E08">
        <w:t>нај</w:t>
      </w:r>
      <w:r>
        <w:t>в</w:t>
      </w:r>
      <w:r w:rsidR="00A56E08">
        <w:t>и</w:t>
      </w:r>
      <w:r>
        <w:t>ш</w:t>
      </w:r>
      <w:r w:rsidR="00EE6AA2">
        <w:t>е</w:t>
      </w:r>
      <w:r w:rsidR="009E3488" w:rsidRPr="00F6340E">
        <w:t xml:space="preserve"> </w:t>
      </w:r>
      <w:r w:rsidR="00A56E08">
        <w:t>одго</w:t>
      </w:r>
      <w:r>
        <w:t>в</w:t>
      </w:r>
      <w:r w:rsidR="00A56E08">
        <w:t>а</w:t>
      </w:r>
      <w:r>
        <w:t>р</w:t>
      </w:r>
      <w:r w:rsidR="00A56E08">
        <w:t>а</w:t>
      </w:r>
      <w:r w:rsidR="009E3488" w:rsidRPr="00F6340E">
        <w:t xml:space="preserve">. </w:t>
      </w:r>
      <w:r w:rsidR="00A56E08">
        <w:t>Ј</w:t>
      </w:r>
      <w:r w:rsidR="00EE6AA2">
        <w:t>е</w:t>
      </w:r>
      <w:r w:rsidR="00A56E08">
        <w:t>дна</w:t>
      </w:r>
      <w:r w:rsidR="009E3488" w:rsidRPr="00F6340E">
        <w:t xml:space="preserve"> </w:t>
      </w:r>
      <w:r w:rsidR="00A56E08">
        <w:t>од</w:t>
      </w:r>
      <w:r w:rsidR="009E3488" w:rsidRPr="00F6340E">
        <w:t xml:space="preserve"> </w:t>
      </w:r>
      <w:r>
        <w:t>пр</w:t>
      </w:r>
      <w:r w:rsidR="00EE6AA2">
        <w:t>е</w:t>
      </w:r>
      <w:r w:rsidR="00A56E08">
        <w:t>дно</w:t>
      </w:r>
      <w:r>
        <w:t>ст</w:t>
      </w:r>
      <w:r w:rsidR="00A56E08">
        <w:t>и</w:t>
      </w:r>
      <w:r w:rsidR="009E3488" w:rsidRPr="00F6340E">
        <w:t xml:space="preserve"> </w:t>
      </w:r>
      <w:r>
        <w:t>уп</w:t>
      </w:r>
      <w:r w:rsidR="00A56E08">
        <w:t>о</w:t>
      </w:r>
      <w:r>
        <w:t>тр</w:t>
      </w:r>
      <w:r w:rsidR="00EE6AA2">
        <w:t>е</w:t>
      </w:r>
      <w:r w:rsidR="00A56E08">
        <w:t>б</w:t>
      </w:r>
      <w:r w:rsidR="00EE6AA2">
        <w:t>е</w:t>
      </w:r>
      <w:r w:rsidR="009E3488" w:rsidRPr="00F6340E">
        <w:t xml:space="preserve"> </w:t>
      </w:r>
      <w:r>
        <w:t>п</w:t>
      </w:r>
      <w:r w:rsidR="00A56E08">
        <w:t>ла</w:t>
      </w:r>
      <w:r>
        <w:t>т</w:t>
      </w:r>
      <w:r w:rsidR="00A56E08">
        <w:t>фо</w:t>
      </w:r>
      <w:r>
        <w:t>р</w:t>
      </w:r>
      <w:r w:rsidR="00A56E08">
        <w:t>м</w:t>
      </w:r>
      <w:r w:rsidR="00EE6AA2">
        <w:t>е</w:t>
      </w:r>
      <w:r w:rsidR="009E3488" w:rsidRPr="00F6340E">
        <w:t xml:space="preserve"> </w:t>
      </w:r>
      <w:r w:rsidR="00A56E08">
        <w:t>ј</w:t>
      </w:r>
      <w:r w:rsidR="00EE6AA2">
        <w:t>е</w:t>
      </w:r>
      <w:r w:rsidR="009E3488" w:rsidRPr="00F6340E">
        <w:t xml:space="preserve"> </w:t>
      </w:r>
      <w:r>
        <w:t>у</w:t>
      </w:r>
      <w:r w:rsidR="009E3488" w:rsidRPr="00F6340E">
        <w:t xml:space="preserve"> </w:t>
      </w:r>
      <w:r>
        <w:t>т</w:t>
      </w:r>
      <w:r w:rsidR="00A56E08">
        <w:t>ом</w:t>
      </w:r>
      <w:r w:rsidR="00EE6AA2">
        <w:t>е</w:t>
      </w:r>
      <w:r w:rsidR="009E3488" w:rsidRPr="00F6340E">
        <w:t xml:space="preserve"> </w:t>
      </w:r>
      <w:r>
        <w:t>шт</w:t>
      </w:r>
      <w:r w:rsidR="00A56E08">
        <w:t>о</w:t>
      </w:r>
      <w:r w:rsidR="009E3488" w:rsidRPr="00F6340E">
        <w:t xml:space="preserve"> </w:t>
      </w:r>
      <w:r>
        <w:t>у</w:t>
      </w:r>
      <w:r w:rsidR="00A56E08">
        <w:t>ч</w:t>
      </w:r>
      <w:r w:rsidR="00EE6AA2">
        <w:t>е</w:t>
      </w:r>
      <w:r w:rsidR="00A56E08">
        <w:t>ници</w:t>
      </w:r>
      <w:r w:rsidR="009E3488" w:rsidRPr="00F6340E">
        <w:t>/</w:t>
      </w:r>
      <w:r>
        <w:t>сту</w:t>
      </w:r>
      <w:r w:rsidR="00A56E08">
        <w:t>д</w:t>
      </w:r>
      <w:r w:rsidR="00EE6AA2">
        <w:t>е</w:t>
      </w:r>
      <w:r w:rsidR="00A56E08">
        <w:t>н</w:t>
      </w:r>
      <w:r>
        <w:t>т</w:t>
      </w:r>
      <w:r w:rsidR="00A56E08">
        <w:t>и</w:t>
      </w:r>
      <w:r w:rsidR="009E3488" w:rsidRPr="00F6340E">
        <w:t xml:space="preserve"> </w:t>
      </w:r>
      <w:r>
        <w:t>св</w:t>
      </w:r>
      <w:r w:rsidR="00A56E08">
        <w:t>ој</w:t>
      </w:r>
      <w:r w:rsidR="009E3488" w:rsidRPr="00F6340E">
        <w:t xml:space="preserve"> </w:t>
      </w:r>
      <w:r>
        <w:t>р</w:t>
      </w:r>
      <w:r w:rsidR="00A56E08">
        <w:t>ад</w:t>
      </w:r>
      <w:r w:rsidR="009E3488" w:rsidRPr="00F6340E">
        <w:t xml:space="preserve"> </w:t>
      </w:r>
      <w:r w:rsidR="00A56E08">
        <w:t>мог</w:t>
      </w:r>
      <w:r>
        <w:t>у</w:t>
      </w:r>
      <w:r w:rsidR="009E3488" w:rsidRPr="00F6340E">
        <w:t xml:space="preserve"> </w:t>
      </w:r>
      <w:r w:rsidR="00A56E08">
        <w:t>на</w:t>
      </w:r>
      <w:r>
        <w:t>ст</w:t>
      </w:r>
      <w:r w:rsidR="00A56E08">
        <w:t>а</w:t>
      </w:r>
      <w:r>
        <w:t>в</w:t>
      </w:r>
      <w:r w:rsidR="00A56E08">
        <w:t>и</w:t>
      </w:r>
      <w:r>
        <w:t>т</w:t>
      </w:r>
      <w:r w:rsidR="00A56E08">
        <w:t>и</w:t>
      </w:r>
      <w:r w:rsidR="009E3488" w:rsidRPr="00F6340E">
        <w:t xml:space="preserve"> </w:t>
      </w:r>
      <w:r w:rsidR="00A56E08">
        <w:t>и</w:t>
      </w:r>
      <w:r w:rsidR="009E3488" w:rsidRPr="00F6340E">
        <w:t xml:space="preserve"> </w:t>
      </w:r>
      <w:r w:rsidR="00A56E08">
        <w:t>код</w:t>
      </w:r>
      <w:r w:rsidR="00610411" w:rsidRPr="00F6340E">
        <w:t xml:space="preserve"> </w:t>
      </w:r>
      <w:r w:rsidR="00A56E08">
        <w:t>к</w:t>
      </w:r>
      <w:r>
        <w:t>у</w:t>
      </w:r>
      <w:r w:rsidR="00A56E08">
        <w:t>ћ</w:t>
      </w:r>
      <w:r w:rsidR="00EE6AA2">
        <w:t>е</w:t>
      </w:r>
      <w:r w:rsidR="009E3488" w:rsidRPr="00F6340E">
        <w:t xml:space="preserve">, </w:t>
      </w:r>
      <w:r w:rsidR="00A56E08">
        <w:t>ј</w:t>
      </w:r>
      <w:r w:rsidR="00EE6AA2">
        <w:t>е</w:t>
      </w:r>
      <w:r>
        <w:t>р</w:t>
      </w:r>
      <w:r w:rsidR="009E3488" w:rsidRPr="00F6340E">
        <w:t xml:space="preserve"> </w:t>
      </w:r>
      <w:r w:rsidR="00A56E08">
        <w:t>ј</w:t>
      </w:r>
      <w:r w:rsidR="00EE6AA2">
        <w:t>е</w:t>
      </w:r>
      <w:r w:rsidR="009E3488" w:rsidRPr="00F6340E">
        <w:t xml:space="preserve"> </w:t>
      </w:r>
      <w:r>
        <w:t>п</w:t>
      </w:r>
      <w:r w:rsidR="00A56E08">
        <w:t>ла</w:t>
      </w:r>
      <w:r>
        <w:t>т</w:t>
      </w:r>
      <w:r w:rsidR="00A56E08">
        <w:t>фо</w:t>
      </w:r>
      <w:r>
        <w:t>р</w:t>
      </w:r>
      <w:r w:rsidR="00A56E08">
        <w:t>ма</w:t>
      </w:r>
      <w:r w:rsidR="009E3488" w:rsidRPr="00F6340E">
        <w:t xml:space="preserve"> </w:t>
      </w:r>
      <w:r w:rsidR="00171F00">
        <w:t>з</w:t>
      </w:r>
      <w:r w:rsidR="00A56E08">
        <w:t>а</w:t>
      </w:r>
      <w:r>
        <w:t>с</w:t>
      </w:r>
      <w:r w:rsidR="00A56E08">
        <w:t>но</w:t>
      </w:r>
      <w:r>
        <w:t>в</w:t>
      </w:r>
      <w:r w:rsidR="00A56E08">
        <w:t>ана</w:t>
      </w:r>
      <w:r w:rsidR="007E2AE7" w:rsidRPr="00F6340E">
        <w:t xml:space="preserve"> </w:t>
      </w:r>
      <w:r w:rsidR="00A56E08">
        <w:t>на</w:t>
      </w:r>
      <w:r w:rsidR="007E2AE7" w:rsidRPr="00F6340E">
        <w:t xml:space="preserve"> </w:t>
      </w:r>
      <w:r w:rsidR="00A56E08">
        <w:t>ин</w:t>
      </w:r>
      <w:r>
        <w:t>т</w:t>
      </w:r>
      <w:r w:rsidR="00EE6AA2">
        <w:t>е</w:t>
      </w:r>
      <w:r>
        <w:t>р</w:t>
      </w:r>
      <w:r w:rsidR="00A56E08">
        <w:t>н</w:t>
      </w:r>
      <w:r w:rsidR="00EE6AA2">
        <w:t>е</w:t>
      </w:r>
      <w:r>
        <w:t>ту</w:t>
      </w:r>
      <w:r w:rsidR="007E2AE7" w:rsidRPr="00F6340E">
        <w:t xml:space="preserve"> </w:t>
      </w:r>
      <w:r w:rsidR="00A56E08">
        <w:t>и</w:t>
      </w:r>
      <w:r w:rsidR="009E3488" w:rsidRPr="00F6340E">
        <w:t xml:space="preserve"> </w:t>
      </w:r>
      <w:r w:rsidR="00A56E08">
        <w:t>дај</w:t>
      </w:r>
      <w:r w:rsidR="00EE6AA2">
        <w:t>е</w:t>
      </w:r>
      <w:r w:rsidR="009E3488" w:rsidRPr="00F6340E">
        <w:t xml:space="preserve"> </w:t>
      </w:r>
      <w:r w:rsidR="00A56E08">
        <w:t>мог</w:t>
      </w:r>
      <w:r>
        <w:t>у</w:t>
      </w:r>
      <w:r w:rsidR="00A56E08">
        <w:t>ћно</w:t>
      </w:r>
      <w:r>
        <w:t>ст</w:t>
      </w:r>
      <w:r w:rsidR="009E3488" w:rsidRPr="00F6340E">
        <w:t xml:space="preserve"> </w:t>
      </w:r>
      <w:r>
        <w:t>пр</w:t>
      </w:r>
      <w:r w:rsidR="00A56E08">
        <w:t>и</w:t>
      </w:r>
      <w:r>
        <w:t>ступ</w:t>
      </w:r>
      <w:r w:rsidR="00A56E08">
        <w:t>а</w:t>
      </w:r>
      <w:r w:rsidR="009E3488" w:rsidRPr="00F6340E">
        <w:t xml:space="preserve"> </w:t>
      </w:r>
      <w:r>
        <w:t>с</w:t>
      </w:r>
      <w:r w:rsidR="00A56E08">
        <w:t>а</w:t>
      </w:r>
      <w:r w:rsidR="009E3488" w:rsidRPr="00F6340E">
        <w:t xml:space="preserve"> </w:t>
      </w:r>
      <w:r w:rsidR="00A56E08">
        <w:t>било</w:t>
      </w:r>
      <w:r w:rsidR="009E3488" w:rsidRPr="00F6340E">
        <w:t xml:space="preserve"> </w:t>
      </w:r>
      <w:r w:rsidR="00A56E08">
        <w:t>кој</w:t>
      </w:r>
      <w:r w:rsidR="00EE6AA2">
        <w:t>е</w:t>
      </w:r>
      <w:r w:rsidR="00A56E08">
        <w:t>г</w:t>
      </w:r>
      <w:r w:rsidR="009E3488" w:rsidRPr="00F6340E">
        <w:t xml:space="preserve"> </w:t>
      </w:r>
      <w:r w:rsidR="00A56E08">
        <w:t>мј</w:t>
      </w:r>
      <w:r w:rsidR="00EE6AA2">
        <w:t>е</w:t>
      </w:r>
      <w:r>
        <w:t>ст</w:t>
      </w:r>
      <w:r w:rsidR="00A56E08">
        <w:t>а</w:t>
      </w:r>
      <w:r w:rsidR="009E3488" w:rsidRPr="00F6340E">
        <w:t xml:space="preserve"> </w:t>
      </w:r>
      <w:r w:rsidR="00A56E08">
        <w:t>и</w:t>
      </w:r>
      <w:r w:rsidR="009E3488" w:rsidRPr="00F6340E">
        <w:t xml:space="preserve"> </w:t>
      </w:r>
      <w:r>
        <w:t>у</w:t>
      </w:r>
      <w:r w:rsidR="009E3488" w:rsidRPr="00F6340E">
        <w:t xml:space="preserve"> </w:t>
      </w:r>
      <w:r w:rsidR="00A56E08">
        <w:t>било</w:t>
      </w:r>
      <w:r w:rsidR="009E3488" w:rsidRPr="00F6340E">
        <w:t xml:space="preserve"> </w:t>
      </w:r>
      <w:r w:rsidR="00A56E08">
        <w:t>кој</w:t>
      </w:r>
      <w:r w:rsidR="00EE6AA2">
        <w:t>е</w:t>
      </w:r>
      <w:r w:rsidR="009E3488" w:rsidRPr="00F6340E">
        <w:t xml:space="preserve"> </w:t>
      </w:r>
      <w:r>
        <w:t>вр</w:t>
      </w:r>
      <w:r w:rsidR="00A56E08">
        <w:t>иј</w:t>
      </w:r>
      <w:r w:rsidR="00EE6AA2">
        <w:t>е</w:t>
      </w:r>
      <w:r w:rsidR="00A56E08">
        <w:t>м</w:t>
      </w:r>
      <w:r w:rsidR="00EE6AA2">
        <w:t>е</w:t>
      </w:r>
      <w:r w:rsidR="009E3488" w:rsidRPr="00F6340E">
        <w:t>.</w:t>
      </w:r>
      <w:r w:rsidR="00E65572" w:rsidRPr="00F6340E">
        <w:t xml:space="preserve"> </w:t>
      </w:r>
      <w:r>
        <w:t>Св</w:t>
      </w:r>
      <w:r w:rsidR="00A56E08">
        <w:t>ака</w:t>
      </w:r>
      <w:r w:rsidR="009E3488" w:rsidRPr="00F6340E">
        <w:t xml:space="preserve"> </w:t>
      </w:r>
      <w:r w:rsidR="00A56E08">
        <w:t>од</w:t>
      </w:r>
      <w:r w:rsidR="009E3488" w:rsidRPr="00F6340E">
        <w:t xml:space="preserve"> </w:t>
      </w:r>
      <w:r>
        <w:t>п</w:t>
      </w:r>
      <w:r w:rsidR="00A56E08">
        <w:t>ла</w:t>
      </w:r>
      <w:r>
        <w:t>т</w:t>
      </w:r>
      <w:r w:rsidR="00A56E08">
        <w:t>фо</w:t>
      </w:r>
      <w:r>
        <w:t>р</w:t>
      </w:r>
      <w:r w:rsidR="00A56E08">
        <w:t>ми</w:t>
      </w:r>
      <w:r w:rsidR="009E3488" w:rsidRPr="00F6340E">
        <w:t xml:space="preserve"> </w:t>
      </w:r>
      <w:r w:rsidR="00171F00">
        <w:t>з</w:t>
      </w:r>
      <w:r w:rsidR="00A56E08">
        <w:t>а</w:t>
      </w:r>
      <w:r w:rsidR="009E3488" w:rsidRPr="00F6340E">
        <w:t xml:space="preserve"> </w:t>
      </w:r>
      <w:r>
        <w:t>п</w:t>
      </w:r>
      <w:r w:rsidR="00A56E08">
        <w:t>од</w:t>
      </w:r>
      <w:r>
        <w:t>рш</w:t>
      </w:r>
      <w:r w:rsidR="00A56E08">
        <w:t>к</w:t>
      </w:r>
      <w:r>
        <w:t>у</w:t>
      </w:r>
      <w:r w:rsidR="009E3488" w:rsidRPr="00F6340E">
        <w:t xml:space="preserve"> </w:t>
      </w:r>
      <w:r w:rsidR="00EE6AA2">
        <w:t>е</w:t>
      </w:r>
      <w:r w:rsidR="009E3488" w:rsidRPr="00F6340E">
        <w:t>-</w:t>
      </w:r>
      <w:r>
        <w:t>у</w:t>
      </w:r>
      <w:r w:rsidR="00A56E08">
        <w:t>ч</w:t>
      </w:r>
      <w:r w:rsidR="00EE6AA2">
        <w:t>е</w:t>
      </w:r>
      <w:r w:rsidR="00A56E08">
        <w:t>њ</w:t>
      </w:r>
      <w:r>
        <w:t>у</w:t>
      </w:r>
      <w:r w:rsidR="009E3488" w:rsidRPr="00F6340E">
        <w:t xml:space="preserve"> </w:t>
      </w:r>
      <w:r>
        <w:t>с</w:t>
      </w:r>
      <w:r w:rsidR="00A56E08">
        <w:t>ад</w:t>
      </w:r>
      <w:r>
        <w:t>р</w:t>
      </w:r>
      <w:r w:rsidR="00171F00">
        <w:t>ж</w:t>
      </w:r>
      <w:r w:rsidR="00A56E08">
        <w:t>и</w:t>
      </w:r>
      <w:r w:rsidR="009E3488" w:rsidRPr="00F6340E">
        <w:t xml:space="preserve"> </w:t>
      </w:r>
      <w:r w:rsidR="00A56E08">
        <w:t>и</w:t>
      </w:r>
      <w:r w:rsidR="009E3488" w:rsidRPr="00F6340E">
        <w:t xml:space="preserve"> </w:t>
      </w:r>
      <w:r>
        <w:t>с</w:t>
      </w:r>
      <w:r w:rsidR="00A56E08">
        <w:t>к</w:t>
      </w:r>
      <w:r>
        <w:t>уп</w:t>
      </w:r>
      <w:r w:rsidR="007E2AE7" w:rsidRPr="00F6340E">
        <w:t xml:space="preserve"> </w:t>
      </w:r>
      <w:r w:rsidR="00A56E08">
        <w:t>а</w:t>
      </w:r>
      <w:r>
        <w:t>п</w:t>
      </w:r>
      <w:r w:rsidR="00A56E08">
        <w:t>ликација</w:t>
      </w:r>
      <w:r w:rsidR="009E3488" w:rsidRPr="00F6340E">
        <w:t xml:space="preserve"> </w:t>
      </w:r>
      <w:r w:rsidR="00A56E08">
        <w:t>кој</w:t>
      </w:r>
      <w:r w:rsidR="00EE6AA2">
        <w:t>е</w:t>
      </w:r>
      <w:r w:rsidR="009E3488" w:rsidRPr="00F6340E">
        <w:t xml:space="preserve"> </w:t>
      </w:r>
      <w:r>
        <w:t>с</w:t>
      </w:r>
      <w:r w:rsidR="00EE6AA2">
        <w:t>е</w:t>
      </w:r>
      <w:r w:rsidR="009E3488" w:rsidRPr="00F6340E">
        <w:t xml:space="preserve"> </w:t>
      </w:r>
      <w:r w:rsidR="00A56E08">
        <w:t>мог</w:t>
      </w:r>
      <w:r>
        <w:t>у</w:t>
      </w:r>
      <w:r w:rsidR="009E3488" w:rsidRPr="00F6340E">
        <w:t xml:space="preserve"> </w:t>
      </w:r>
      <w:r>
        <w:t>уп</w:t>
      </w:r>
      <w:r w:rsidR="00A56E08">
        <w:t>о</w:t>
      </w:r>
      <w:r>
        <w:t>тр</w:t>
      </w:r>
      <w:r w:rsidR="00A56E08">
        <w:t>иј</w:t>
      </w:r>
      <w:r w:rsidR="00EE6AA2">
        <w:t>е</w:t>
      </w:r>
      <w:r w:rsidR="00A56E08">
        <w:t>би</w:t>
      </w:r>
      <w:r>
        <w:t>т</w:t>
      </w:r>
      <w:r w:rsidR="00A56E08">
        <w:t>и</w:t>
      </w:r>
      <w:r w:rsidR="00610411" w:rsidRPr="00F6340E">
        <w:t xml:space="preserve"> </w:t>
      </w:r>
      <w:r w:rsidR="00171F00">
        <w:t>з</w:t>
      </w:r>
      <w:r w:rsidR="00A56E08">
        <w:t>а</w:t>
      </w:r>
      <w:r>
        <w:t>в</w:t>
      </w:r>
      <w:r w:rsidR="00A56E08">
        <w:t>и</w:t>
      </w:r>
      <w:r>
        <w:t>с</w:t>
      </w:r>
      <w:r w:rsidR="00A56E08">
        <w:t>но</w:t>
      </w:r>
      <w:r w:rsidR="009E3488" w:rsidRPr="00F6340E">
        <w:t xml:space="preserve"> </w:t>
      </w:r>
      <w:r w:rsidR="00A56E08">
        <w:t>од</w:t>
      </w:r>
      <w:r w:rsidR="009E3488" w:rsidRPr="00F6340E">
        <w:t xml:space="preserve"> </w:t>
      </w:r>
      <w:r>
        <w:t>п</w:t>
      </w:r>
      <w:r w:rsidR="00A56E08">
        <w:t>о</w:t>
      </w:r>
      <w:r>
        <w:t>тр</w:t>
      </w:r>
      <w:r w:rsidR="00EE6AA2">
        <w:t>е</w:t>
      </w:r>
      <w:r w:rsidR="00A56E08">
        <w:t>ба</w:t>
      </w:r>
      <w:r w:rsidR="009E3488" w:rsidRPr="00F6340E">
        <w:t xml:space="preserve"> </w:t>
      </w:r>
      <w:r w:rsidR="00171F00">
        <w:t>з</w:t>
      </w:r>
      <w:r w:rsidR="00A56E08">
        <w:t>а</w:t>
      </w:r>
      <w:r w:rsidR="009E3488" w:rsidRPr="00F6340E">
        <w:t xml:space="preserve"> </w:t>
      </w:r>
      <w:r w:rsidR="00A56E08">
        <w:t>од</w:t>
      </w:r>
      <w:r>
        <w:t>р</w:t>
      </w:r>
      <w:r w:rsidR="00EE6AA2">
        <w:t>е</w:t>
      </w:r>
      <w:r w:rsidR="00A56E08">
        <w:t>ђ</w:t>
      </w:r>
      <w:r w:rsidR="00EE6AA2">
        <w:t>е</w:t>
      </w:r>
      <w:r w:rsidR="00A56E08">
        <w:t>ни</w:t>
      </w:r>
      <w:r w:rsidR="009E3488" w:rsidRPr="00F6340E">
        <w:t xml:space="preserve"> </w:t>
      </w:r>
      <w:r>
        <w:lastRenderedPageBreak/>
        <w:t>пр</w:t>
      </w:r>
      <w:r w:rsidR="00EE6AA2">
        <w:t>е</w:t>
      </w:r>
      <w:r w:rsidR="00A56E08">
        <w:t>дм</w:t>
      </w:r>
      <w:r w:rsidR="00EE6AA2">
        <w:t>е</w:t>
      </w:r>
      <w:r>
        <w:t>т</w:t>
      </w:r>
      <w:r w:rsidR="009E3488" w:rsidRPr="00F6340E">
        <w:t xml:space="preserve">, </w:t>
      </w:r>
      <w:r w:rsidR="00A56E08">
        <w:t>обла</w:t>
      </w:r>
      <w:r>
        <w:t>ст</w:t>
      </w:r>
      <w:r w:rsidR="009E3488" w:rsidRPr="00F6340E">
        <w:t xml:space="preserve"> </w:t>
      </w:r>
      <w:r w:rsidR="00A56E08">
        <w:t>и</w:t>
      </w:r>
      <w:r w:rsidR="009E3488" w:rsidRPr="00F6340E">
        <w:t xml:space="preserve"> </w:t>
      </w:r>
      <w:r w:rsidR="00A56E08">
        <w:t>начин</w:t>
      </w:r>
      <w:r w:rsidR="009E3488" w:rsidRPr="00F6340E">
        <w:t xml:space="preserve"> </w:t>
      </w:r>
      <w:r>
        <w:t>р</w:t>
      </w:r>
      <w:r w:rsidR="00A56E08">
        <w:t>ада</w:t>
      </w:r>
      <w:r w:rsidR="009E3488" w:rsidRPr="00F6340E">
        <w:t xml:space="preserve"> (</w:t>
      </w:r>
      <w:r w:rsidR="00A56E08">
        <w:t>лично</w:t>
      </w:r>
      <w:r w:rsidR="009E3488" w:rsidRPr="00F6340E">
        <w:t xml:space="preserve">, </w:t>
      </w:r>
      <w:r>
        <w:t>р</w:t>
      </w:r>
      <w:r w:rsidR="00A56E08">
        <w:t>ад</w:t>
      </w:r>
      <w:r w:rsidR="009E3488" w:rsidRPr="00F6340E">
        <w:t xml:space="preserve"> </w:t>
      </w:r>
      <w:r>
        <w:t>у</w:t>
      </w:r>
      <w:r w:rsidR="009E3488" w:rsidRPr="00F6340E">
        <w:t xml:space="preserve"> </w:t>
      </w:r>
      <w:r>
        <w:t>п</w:t>
      </w:r>
      <w:r w:rsidR="00A56E08">
        <w:t>а</w:t>
      </w:r>
      <w:r>
        <w:t>ру</w:t>
      </w:r>
      <w:r w:rsidR="009E3488" w:rsidRPr="00F6340E">
        <w:t xml:space="preserve">, </w:t>
      </w:r>
      <w:r>
        <w:t>р</w:t>
      </w:r>
      <w:r w:rsidR="00A56E08">
        <w:t>ад</w:t>
      </w:r>
      <w:r w:rsidR="009E3488" w:rsidRPr="00F6340E">
        <w:t xml:space="preserve"> </w:t>
      </w:r>
      <w:r>
        <w:t>у</w:t>
      </w:r>
      <w:r w:rsidR="009E3488" w:rsidRPr="00F6340E">
        <w:t xml:space="preserve"> </w:t>
      </w:r>
      <w:r w:rsidR="00A56E08">
        <w:t>г</w:t>
      </w:r>
      <w:r>
        <w:t>руп</w:t>
      </w:r>
      <w:r w:rsidR="00A56E08">
        <w:t>и</w:t>
      </w:r>
      <w:r w:rsidR="009E3488" w:rsidRPr="00F6340E">
        <w:t>).</w:t>
      </w:r>
    </w:p>
    <w:p w14:paraId="52C4EC9B" w14:textId="62D65DC6" w:rsidR="005C448C" w:rsidRPr="00F6340E" w:rsidRDefault="0071360A" w:rsidP="00FA4DC9">
      <w:pPr>
        <w:pStyle w:val="Body"/>
      </w:pPr>
      <w:r>
        <w:t>Р</w:t>
      </w:r>
      <w:r w:rsidR="00A56E08">
        <w:t>а</w:t>
      </w:r>
      <w:r w:rsidR="00171F00">
        <w:t>з</w:t>
      </w:r>
      <w:r w:rsidR="00A56E08">
        <w:t>личи</w:t>
      </w:r>
      <w:r>
        <w:t>т</w:t>
      </w:r>
      <w:r w:rsidR="00EE6AA2">
        <w:t>е</w:t>
      </w:r>
      <w:r w:rsidR="009E3488" w:rsidRPr="00F6340E">
        <w:t xml:space="preserve"> </w:t>
      </w:r>
      <w:r>
        <w:t>п</w:t>
      </w:r>
      <w:r w:rsidR="00A56E08">
        <w:t>ла</w:t>
      </w:r>
      <w:r>
        <w:t>т</w:t>
      </w:r>
      <w:r w:rsidR="00A56E08">
        <w:t>фо</w:t>
      </w:r>
      <w:r>
        <w:t>р</w:t>
      </w:r>
      <w:r w:rsidR="00A56E08">
        <w:t>м</w:t>
      </w:r>
      <w:r w:rsidR="00EE6AA2">
        <w:t>е</w:t>
      </w:r>
      <w:r w:rsidR="009E3488" w:rsidRPr="00F6340E">
        <w:t xml:space="preserve"> </w:t>
      </w:r>
      <w:r w:rsidR="00A56E08">
        <w:t>н</w:t>
      </w:r>
      <w:r>
        <w:t>у</w:t>
      </w:r>
      <w:r w:rsidR="00A56E08">
        <w:t>д</w:t>
      </w:r>
      <w:r w:rsidR="00EE6AA2">
        <w:t>е</w:t>
      </w:r>
      <w:r w:rsidR="009E3488" w:rsidRPr="00F6340E">
        <w:t xml:space="preserve"> </w:t>
      </w:r>
      <w:r w:rsidR="00A56E08">
        <w:t>и</w:t>
      </w:r>
      <w:r w:rsidR="009E3488" w:rsidRPr="00F6340E">
        <w:t xml:space="preserve"> </w:t>
      </w:r>
      <w:r>
        <w:t>р</w:t>
      </w:r>
      <w:r w:rsidR="00A56E08">
        <w:t>а</w:t>
      </w:r>
      <w:r w:rsidR="00171F00">
        <w:t>з</w:t>
      </w:r>
      <w:r w:rsidR="00A56E08">
        <w:t>личи</w:t>
      </w:r>
      <w:r>
        <w:t>т</w:t>
      </w:r>
      <w:r w:rsidR="00EE6AA2">
        <w:t>е</w:t>
      </w:r>
      <w:r w:rsidR="009E3488" w:rsidRPr="00F6340E">
        <w:t xml:space="preserve"> </w:t>
      </w:r>
      <w:r>
        <w:t>пр</w:t>
      </w:r>
      <w:r w:rsidR="00A56E08">
        <w:t>ог</w:t>
      </w:r>
      <w:r>
        <w:t>р</w:t>
      </w:r>
      <w:r w:rsidR="00A56E08">
        <w:t>ам</w:t>
      </w:r>
      <w:r>
        <w:t>с</w:t>
      </w:r>
      <w:r w:rsidR="00A56E08">
        <w:t>к</w:t>
      </w:r>
      <w:r w:rsidR="00EE6AA2">
        <w:t>е</w:t>
      </w:r>
      <w:r w:rsidR="009E3488" w:rsidRPr="00F6340E">
        <w:t xml:space="preserve"> </w:t>
      </w:r>
      <w:r w:rsidR="00A56E08">
        <w:t>ала</w:t>
      </w:r>
      <w:r>
        <w:t>т</w:t>
      </w:r>
      <w:r w:rsidR="00EE6AA2">
        <w:t>е</w:t>
      </w:r>
      <w:r w:rsidR="009E3488" w:rsidRPr="00F6340E">
        <w:t xml:space="preserve">, </w:t>
      </w:r>
      <w:r w:rsidR="00A56E08">
        <w:t>који</w:t>
      </w:r>
      <w:r w:rsidR="009E3488" w:rsidRPr="00F6340E">
        <w:t xml:space="preserve"> </w:t>
      </w:r>
      <w:r w:rsidR="00A56E08">
        <w:t>омог</w:t>
      </w:r>
      <w:r>
        <w:t>у</w:t>
      </w:r>
      <w:r w:rsidR="00A56E08">
        <w:t>ћа</w:t>
      </w:r>
      <w:r>
        <w:t>в</w:t>
      </w:r>
      <w:r w:rsidR="00A56E08">
        <w:t>ај</w:t>
      </w:r>
      <w:r>
        <w:t>у</w:t>
      </w:r>
      <w:r w:rsidR="009E3488" w:rsidRPr="00F6340E">
        <w:t xml:space="preserve"> </w:t>
      </w:r>
      <w:r w:rsidR="00A56E08">
        <w:t>им</w:t>
      </w:r>
      <w:r>
        <w:t>п</w:t>
      </w:r>
      <w:r w:rsidR="00A56E08">
        <w:t>л</w:t>
      </w:r>
      <w:r w:rsidR="00EE6AA2">
        <w:t>е</w:t>
      </w:r>
      <w:r w:rsidR="00A56E08">
        <w:t>м</w:t>
      </w:r>
      <w:r w:rsidR="00EE6AA2">
        <w:t>е</w:t>
      </w:r>
      <w:r w:rsidR="00A56E08">
        <w:t>н</w:t>
      </w:r>
      <w:r>
        <w:t>т</w:t>
      </w:r>
      <w:r w:rsidR="00A56E08">
        <w:t>ациј</w:t>
      </w:r>
      <w:r>
        <w:t>у</w:t>
      </w:r>
      <w:r w:rsidR="001F0DA9" w:rsidRPr="00F6340E">
        <w:t xml:space="preserve"> </w:t>
      </w:r>
      <w:r>
        <w:t>пр</w:t>
      </w:r>
      <w:r w:rsidR="00A56E08">
        <w:t>оц</w:t>
      </w:r>
      <w:r w:rsidR="00EE6AA2">
        <w:t>е</w:t>
      </w:r>
      <w:r>
        <w:t>с</w:t>
      </w:r>
      <w:r w:rsidR="00A56E08">
        <w:t>а</w:t>
      </w:r>
      <w:r w:rsidR="001F0DA9" w:rsidRPr="00F6340E">
        <w:t xml:space="preserve"> </w:t>
      </w:r>
      <w:r>
        <w:t>у</w:t>
      </w:r>
      <w:r w:rsidR="00A56E08">
        <w:t>ч</w:t>
      </w:r>
      <w:r w:rsidR="00EE6AA2">
        <w:t>е</w:t>
      </w:r>
      <w:r w:rsidR="00A56E08">
        <w:t>ња</w:t>
      </w:r>
      <w:r w:rsidR="001F0DA9" w:rsidRPr="00F6340E">
        <w:t xml:space="preserve"> </w:t>
      </w:r>
      <w:r w:rsidR="00A56E08">
        <w:t>и</w:t>
      </w:r>
      <w:r w:rsidR="001F0DA9" w:rsidRPr="00F6340E">
        <w:t xml:space="preserve"> </w:t>
      </w:r>
      <w:r>
        <w:t>п</w:t>
      </w:r>
      <w:r w:rsidR="00A56E08">
        <w:t>од</w:t>
      </w:r>
      <w:r>
        <w:t>у</w:t>
      </w:r>
      <w:r w:rsidR="00A56E08">
        <w:t>ча</w:t>
      </w:r>
      <w:r>
        <w:t>в</w:t>
      </w:r>
      <w:r w:rsidR="00A56E08">
        <w:t>ања</w:t>
      </w:r>
      <w:r w:rsidR="001F0DA9" w:rsidRPr="00F6340E">
        <w:t xml:space="preserve"> </w:t>
      </w:r>
      <w:r>
        <w:t>у</w:t>
      </w:r>
      <w:r w:rsidR="001F0DA9" w:rsidRPr="00F6340E">
        <w:t xml:space="preserve"> </w:t>
      </w:r>
      <w:r w:rsidR="00A56E08">
        <w:t>одно</w:t>
      </w:r>
      <w:r>
        <w:t>су</w:t>
      </w:r>
      <w:r w:rsidR="001F0DA9" w:rsidRPr="00F6340E">
        <w:t xml:space="preserve"> </w:t>
      </w:r>
      <w:r w:rsidR="00A56E08">
        <w:t>на</w:t>
      </w:r>
      <w:r w:rsidR="001F0DA9" w:rsidRPr="00F6340E">
        <w:t xml:space="preserve"> </w:t>
      </w:r>
      <w:r>
        <w:t>сп</w:t>
      </w:r>
      <w:r w:rsidR="00EE6AA2">
        <w:t>е</w:t>
      </w:r>
      <w:r w:rsidR="00A56E08">
        <w:t>цифичн</w:t>
      </w:r>
      <w:r w:rsidR="00EE6AA2">
        <w:t>е</w:t>
      </w:r>
      <w:r w:rsidR="001F0DA9" w:rsidRPr="00F6340E">
        <w:t xml:space="preserve"> </w:t>
      </w:r>
      <w:r>
        <w:t>п</w:t>
      </w:r>
      <w:r w:rsidR="00A56E08">
        <w:t>о</w:t>
      </w:r>
      <w:r>
        <w:t>тр</w:t>
      </w:r>
      <w:r w:rsidR="00EE6AA2">
        <w:t>е</w:t>
      </w:r>
      <w:r w:rsidR="00A56E08">
        <w:t>б</w:t>
      </w:r>
      <w:r w:rsidR="00EE6AA2">
        <w:t>е</w:t>
      </w:r>
      <w:r w:rsidR="001F0DA9" w:rsidRPr="00F6340E">
        <w:t xml:space="preserve"> </w:t>
      </w:r>
      <w:r w:rsidR="00A56E08">
        <w:t>на</w:t>
      </w:r>
      <w:r>
        <w:t>ст</w:t>
      </w:r>
      <w:r w:rsidR="00A56E08">
        <w:t>а</w:t>
      </w:r>
      <w:r>
        <w:t>в</w:t>
      </w:r>
      <w:r w:rsidR="00A56E08">
        <w:t>ника</w:t>
      </w:r>
      <w:r w:rsidR="001F0DA9" w:rsidRPr="00F6340E">
        <w:t xml:space="preserve">, </w:t>
      </w:r>
      <w:r>
        <w:t>у</w:t>
      </w:r>
      <w:r w:rsidR="00A56E08">
        <w:t>ч</w:t>
      </w:r>
      <w:r w:rsidR="00EE6AA2">
        <w:t>е</w:t>
      </w:r>
      <w:r w:rsidR="00A56E08">
        <w:t>ника</w:t>
      </w:r>
      <w:r w:rsidR="001F0DA9" w:rsidRPr="00F6340E">
        <w:t>/</w:t>
      </w:r>
      <w:r>
        <w:t>сту</w:t>
      </w:r>
      <w:r w:rsidR="00A56E08">
        <w:t>д</w:t>
      </w:r>
      <w:r w:rsidR="00EE6AA2">
        <w:t>е</w:t>
      </w:r>
      <w:r w:rsidR="00A56E08">
        <w:t>на</w:t>
      </w:r>
      <w:r>
        <w:t>т</w:t>
      </w:r>
      <w:r w:rsidR="00A56E08">
        <w:t>а</w:t>
      </w:r>
      <w:r w:rsidR="001F0DA9" w:rsidRPr="00F6340E">
        <w:t xml:space="preserve"> </w:t>
      </w:r>
      <w:r w:rsidR="00A56E08">
        <w:t>на</w:t>
      </w:r>
      <w:r w:rsidR="001F0DA9" w:rsidRPr="00F6340E">
        <w:t xml:space="preserve"> </w:t>
      </w:r>
      <w:r>
        <w:t>р</w:t>
      </w:r>
      <w:r w:rsidR="00A56E08">
        <w:t>а</w:t>
      </w:r>
      <w:r w:rsidR="00171F00">
        <w:t>з</w:t>
      </w:r>
      <w:r w:rsidR="00A56E08">
        <w:t>личи</w:t>
      </w:r>
      <w:r>
        <w:t>т</w:t>
      </w:r>
      <w:r w:rsidR="00A56E08">
        <w:t>им</w:t>
      </w:r>
      <w:r w:rsidR="001F0DA9" w:rsidRPr="00F6340E">
        <w:t xml:space="preserve"> </w:t>
      </w:r>
      <w:r w:rsidR="00A56E08">
        <w:t>ни</w:t>
      </w:r>
      <w:r>
        <w:t>в</w:t>
      </w:r>
      <w:r w:rsidR="00A56E08">
        <w:t>оима</w:t>
      </w:r>
      <w:r w:rsidR="001F0DA9" w:rsidRPr="00F6340E">
        <w:t xml:space="preserve"> </w:t>
      </w:r>
      <w:r w:rsidR="00A56E08">
        <w:t>об</w:t>
      </w:r>
      <w:r>
        <w:t>р</w:t>
      </w:r>
      <w:r w:rsidR="00A56E08">
        <w:t>а</w:t>
      </w:r>
      <w:r w:rsidR="00171F00">
        <w:t>з</w:t>
      </w:r>
      <w:r w:rsidR="00A56E08">
        <w:t>о</w:t>
      </w:r>
      <w:r>
        <w:t>в</w:t>
      </w:r>
      <w:r w:rsidR="00A56E08">
        <w:t>ања</w:t>
      </w:r>
      <w:r w:rsidR="001F0DA9" w:rsidRPr="00F6340E">
        <w:t xml:space="preserve">. </w:t>
      </w:r>
      <w:r w:rsidR="00171F00">
        <w:t>З</w:t>
      </w:r>
      <w:r w:rsidR="00A56E08">
        <w:t>а</w:t>
      </w:r>
      <w:r>
        <w:t>т</w:t>
      </w:r>
      <w:r w:rsidR="00A56E08">
        <w:t>о</w:t>
      </w:r>
      <w:r w:rsidR="001F0DA9" w:rsidRPr="00F6340E">
        <w:t xml:space="preserve"> </w:t>
      </w:r>
      <w:r w:rsidR="00A56E08">
        <w:t>ј</w:t>
      </w:r>
      <w:r w:rsidR="00EE6AA2">
        <w:t>е</w:t>
      </w:r>
      <w:r w:rsidR="001F0DA9" w:rsidRPr="00F6340E">
        <w:t xml:space="preserve"> </w:t>
      </w:r>
      <w:r w:rsidR="00A56E08">
        <w:t>на</w:t>
      </w:r>
      <w:r w:rsidR="001F0DA9" w:rsidRPr="00F6340E">
        <w:t xml:space="preserve"> </w:t>
      </w:r>
      <w:r>
        <w:t>р</w:t>
      </w:r>
      <w:r w:rsidR="00A56E08">
        <w:t>а</w:t>
      </w:r>
      <w:r>
        <w:t>сп</w:t>
      </w:r>
      <w:r w:rsidR="00A56E08">
        <w:t>олагањ</w:t>
      </w:r>
      <w:r>
        <w:t>у</w:t>
      </w:r>
      <w:r w:rsidR="001F0DA9" w:rsidRPr="00F6340E">
        <w:t xml:space="preserve"> </w:t>
      </w:r>
      <w:r w:rsidR="00A56E08">
        <w:t>ли</w:t>
      </w:r>
      <w:r>
        <w:t>ст</w:t>
      </w:r>
      <w:r w:rsidR="00A56E08">
        <w:t>а</w:t>
      </w:r>
      <w:r w:rsidR="005C448C" w:rsidRPr="00F6340E">
        <w:t xml:space="preserve"> </w:t>
      </w:r>
      <w:r w:rsidR="00A56E08">
        <w:t>о</w:t>
      </w:r>
      <w:r>
        <w:t>тв</w:t>
      </w:r>
      <w:r w:rsidR="00A56E08">
        <w:t>о</w:t>
      </w:r>
      <w:r>
        <w:t>р</w:t>
      </w:r>
      <w:r w:rsidR="00EE6AA2">
        <w:t>е</w:t>
      </w:r>
      <w:r w:rsidR="00A56E08">
        <w:t>них</w:t>
      </w:r>
      <w:r w:rsidR="005C448C" w:rsidRPr="00F6340E">
        <w:t xml:space="preserve"> </w:t>
      </w:r>
      <w:r w:rsidR="00A56E08">
        <w:t>об</w:t>
      </w:r>
      <w:r>
        <w:t>р</w:t>
      </w:r>
      <w:r w:rsidR="00A56E08">
        <w:t>а</w:t>
      </w:r>
      <w:r w:rsidR="00171F00">
        <w:t>з</w:t>
      </w:r>
      <w:r w:rsidR="00A56E08">
        <w:t>о</w:t>
      </w:r>
      <w:r>
        <w:t>в</w:t>
      </w:r>
      <w:r w:rsidR="00A56E08">
        <w:t>них</w:t>
      </w:r>
      <w:r w:rsidR="005C448C" w:rsidRPr="00F6340E">
        <w:t xml:space="preserve"> </w:t>
      </w:r>
      <w:r w:rsidR="00A56E08">
        <w:t>диги</w:t>
      </w:r>
      <w:r>
        <w:t>т</w:t>
      </w:r>
      <w:r w:rsidR="00A56E08">
        <w:t>алних</w:t>
      </w:r>
      <w:r w:rsidR="005C448C" w:rsidRPr="00F6340E">
        <w:t xml:space="preserve"> </w:t>
      </w:r>
      <w:r w:rsidR="00A56E08">
        <w:t>ала</w:t>
      </w:r>
      <w:r>
        <w:t>т</w:t>
      </w:r>
      <w:r w:rsidR="00A56E08">
        <w:t>а</w:t>
      </w:r>
      <w:r w:rsidR="005C448C" w:rsidRPr="00F6340E">
        <w:t xml:space="preserve"> </w:t>
      </w:r>
      <w:r w:rsidR="00171F00">
        <w:t>з</w:t>
      </w:r>
      <w:r w:rsidR="00A56E08">
        <w:t>а</w:t>
      </w:r>
      <w:r w:rsidR="005C448C" w:rsidRPr="00F6340E">
        <w:t xml:space="preserve"> </w:t>
      </w:r>
      <w:r w:rsidR="00A56E08">
        <w:t>ин</w:t>
      </w:r>
      <w:r>
        <w:t>т</w:t>
      </w:r>
      <w:r w:rsidR="00EE6AA2">
        <w:t>е</w:t>
      </w:r>
      <w:r>
        <w:t>р</w:t>
      </w:r>
      <w:r w:rsidR="00A56E08">
        <w:t>ак</w:t>
      </w:r>
      <w:r>
        <w:t>т</w:t>
      </w:r>
      <w:r w:rsidR="00A56E08">
        <w:t>и</w:t>
      </w:r>
      <w:r>
        <w:t>в</w:t>
      </w:r>
      <w:r w:rsidR="00A56E08">
        <w:t>н</w:t>
      </w:r>
      <w:r>
        <w:t>у</w:t>
      </w:r>
      <w:r w:rsidR="005C448C" w:rsidRPr="00F6340E">
        <w:t xml:space="preserve"> </w:t>
      </w:r>
      <w:r w:rsidR="00A56E08">
        <w:t>на</w:t>
      </w:r>
      <w:r>
        <w:t>ст</w:t>
      </w:r>
      <w:r w:rsidR="00A56E08">
        <w:t>а</w:t>
      </w:r>
      <w:r>
        <w:t>ву</w:t>
      </w:r>
      <w:r w:rsidR="005C448C" w:rsidRPr="00F6340E">
        <w:t xml:space="preserve"> </w:t>
      </w:r>
      <w:r w:rsidR="00171F00">
        <w:t>з</w:t>
      </w:r>
      <w:r w:rsidR="00A56E08">
        <w:t>а</w:t>
      </w:r>
      <w:r w:rsidR="005C448C" w:rsidRPr="00F6340E">
        <w:t xml:space="preserve"> </w:t>
      </w:r>
      <w:r w:rsidR="00A56E08">
        <w:t>на</w:t>
      </w:r>
      <w:r>
        <w:t>ст</w:t>
      </w:r>
      <w:r w:rsidR="00A56E08">
        <w:t>а</w:t>
      </w:r>
      <w:r>
        <w:t>в</w:t>
      </w:r>
      <w:r w:rsidR="00A56E08">
        <w:t>ник</w:t>
      </w:r>
      <w:r w:rsidR="00EE6AA2">
        <w:t>е</w:t>
      </w:r>
      <w:r w:rsidR="005C448C" w:rsidRPr="00F6340E">
        <w:t xml:space="preserve"> </w:t>
      </w:r>
      <w:r w:rsidR="00A56E08">
        <w:t>и</w:t>
      </w:r>
      <w:r w:rsidR="005C448C" w:rsidRPr="00F6340E">
        <w:t xml:space="preserve"> </w:t>
      </w:r>
      <w:r>
        <w:t>у</w:t>
      </w:r>
      <w:r w:rsidR="00A56E08">
        <w:t>ч</w:t>
      </w:r>
      <w:r w:rsidR="00EE6AA2">
        <w:t>е</w:t>
      </w:r>
      <w:r w:rsidR="00A56E08">
        <w:t>ник</w:t>
      </w:r>
      <w:r w:rsidR="00EE6AA2">
        <w:t>е</w:t>
      </w:r>
      <w:r w:rsidR="005C448C" w:rsidRPr="00F6340E">
        <w:t>/</w:t>
      </w:r>
      <w:r>
        <w:t>сту</w:t>
      </w:r>
      <w:r w:rsidR="00A56E08">
        <w:t>д</w:t>
      </w:r>
      <w:r w:rsidR="00EE6AA2">
        <w:t>е</w:t>
      </w:r>
      <w:r w:rsidR="00A56E08">
        <w:t>н</w:t>
      </w:r>
      <w:r>
        <w:t>т</w:t>
      </w:r>
      <w:r w:rsidR="00EE6AA2">
        <w:t>е</w:t>
      </w:r>
      <w:r w:rsidR="001F0DA9" w:rsidRPr="00F6340E">
        <w:t>.</w:t>
      </w:r>
      <w:r w:rsidR="005C448C" w:rsidRPr="00F6340E">
        <w:rPr>
          <w:rStyle w:val="FootnoteReference"/>
          <w:rFonts w:eastAsia="Arial" w:cs="Arial"/>
          <w:szCs w:val="24"/>
        </w:rPr>
        <w:footnoteReference w:id="13"/>
      </w:r>
      <w:r w:rsidR="00850522" w:rsidRPr="00F6340E">
        <w:t xml:space="preserve"> </w:t>
      </w:r>
      <w:r w:rsidR="00A56E08">
        <w:t>Ка</w:t>
      </w:r>
      <w:r>
        <w:t>т</w:t>
      </w:r>
      <w:r w:rsidR="00EE6AA2">
        <w:t>е</w:t>
      </w:r>
      <w:r w:rsidR="00A56E08">
        <w:t>го</w:t>
      </w:r>
      <w:r>
        <w:t>р</w:t>
      </w:r>
      <w:r w:rsidR="00A56E08">
        <w:t>и</w:t>
      </w:r>
      <w:r w:rsidR="00171F00">
        <w:t>з</w:t>
      </w:r>
      <w:r w:rsidR="00A56E08">
        <w:t>о</w:t>
      </w:r>
      <w:r>
        <w:t>в</w:t>
      </w:r>
      <w:r w:rsidR="00A56E08">
        <w:t>ани</w:t>
      </w:r>
      <w:r w:rsidR="00850522" w:rsidRPr="00F6340E">
        <w:t xml:space="preserve"> </w:t>
      </w:r>
      <w:r>
        <w:t>су</w:t>
      </w:r>
      <w:r w:rsidR="00850522" w:rsidRPr="00F6340E">
        <w:t xml:space="preserve"> </w:t>
      </w:r>
      <w:r w:rsidR="00A56E08">
        <w:t>к</w:t>
      </w:r>
      <w:r>
        <w:t>р</w:t>
      </w:r>
      <w:r w:rsidR="00A56E08">
        <w:t>о</w:t>
      </w:r>
      <w:r w:rsidR="00171F00">
        <w:t>з</w:t>
      </w:r>
      <w:r w:rsidR="00850522" w:rsidRPr="00F6340E">
        <w:t xml:space="preserve">: </w:t>
      </w:r>
      <w:r w:rsidR="005C448C" w:rsidRPr="00F6340E">
        <w:t xml:space="preserve"> </w:t>
      </w:r>
    </w:p>
    <w:p w14:paraId="67B5EB1F" w14:textId="007D3A77" w:rsidR="005C448C" w:rsidRPr="00F6340E" w:rsidRDefault="0071360A" w:rsidP="00FA4DC9">
      <w:pPr>
        <w:pStyle w:val="Bulletlist"/>
      </w:pPr>
      <w:r>
        <w:t>Р</w:t>
      </w:r>
      <w:r w:rsidR="00A56E08">
        <w:t>ј</w:t>
      </w:r>
      <w:r w:rsidR="00EE6AA2">
        <w:t>е</w:t>
      </w:r>
      <w:r>
        <w:t>ш</w:t>
      </w:r>
      <w:r w:rsidR="00EE6AA2">
        <w:t>е</w:t>
      </w:r>
      <w:r w:rsidR="00A56E08">
        <w:t>ња</w:t>
      </w:r>
      <w:r w:rsidR="005C448C" w:rsidRPr="00F6340E">
        <w:t xml:space="preserve"> </w:t>
      </w:r>
      <w:r w:rsidR="00171F00">
        <w:t>з</w:t>
      </w:r>
      <w:r w:rsidR="00A56E08">
        <w:t>а</w:t>
      </w:r>
      <w:r w:rsidR="005C448C" w:rsidRPr="00F6340E">
        <w:t xml:space="preserve"> </w:t>
      </w:r>
      <w:r w:rsidR="00A56E08">
        <w:t>ЛМ</w:t>
      </w:r>
      <w:r>
        <w:t>С</w:t>
      </w:r>
      <w:r w:rsidR="005C448C" w:rsidRPr="00F6340E">
        <w:t>,</w:t>
      </w:r>
    </w:p>
    <w:p w14:paraId="4909E4EB" w14:textId="1B09929E" w:rsidR="005C448C" w:rsidRPr="00F6340E" w:rsidRDefault="00A56E08" w:rsidP="00FA4DC9">
      <w:pPr>
        <w:pStyle w:val="Bulletlist"/>
      </w:pPr>
      <w:r>
        <w:t>А</w:t>
      </w:r>
      <w:r w:rsidR="0071360A">
        <w:t>п</w:t>
      </w:r>
      <w:r>
        <w:t>ликациј</w:t>
      </w:r>
      <w:r w:rsidR="00EE6AA2">
        <w:t>е</w:t>
      </w:r>
      <w:r w:rsidR="005C448C" w:rsidRPr="00F6340E">
        <w:t xml:space="preserve"> </w:t>
      </w:r>
      <w:r w:rsidR="00171F00">
        <w:t>з</w:t>
      </w:r>
      <w:r>
        <w:t>а</w:t>
      </w:r>
      <w:r w:rsidR="005C448C" w:rsidRPr="00F6340E">
        <w:t xml:space="preserve"> </w:t>
      </w:r>
      <w:r w:rsidR="0071360A">
        <w:t>с</w:t>
      </w:r>
      <w:r>
        <w:t>а</w:t>
      </w:r>
      <w:r w:rsidR="0071360A">
        <w:t>р</w:t>
      </w:r>
      <w:r>
        <w:t>адњ</w:t>
      </w:r>
      <w:r w:rsidR="0071360A">
        <w:t>у</w:t>
      </w:r>
      <w:r w:rsidR="005C448C" w:rsidRPr="00F6340E">
        <w:t>,</w:t>
      </w:r>
    </w:p>
    <w:p w14:paraId="1B9FF15A" w14:textId="18CD2FB6" w:rsidR="005C448C" w:rsidRPr="00F6340E" w:rsidRDefault="00A56E08" w:rsidP="00FA4DC9">
      <w:pPr>
        <w:pStyle w:val="Bulletlist"/>
      </w:pPr>
      <w:r>
        <w:t>А</w:t>
      </w:r>
      <w:r w:rsidR="0071360A">
        <w:t>п</w:t>
      </w:r>
      <w:r>
        <w:t>ликациј</w:t>
      </w:r>
      <w:r w:rsidR="00EE6AA2">
        <w:t>е</w:t>
      </w:r>
      <w:r w:rsidR="00C60C54" w:rsidRPr="00F6340E">
        <w:t xml:space="preserve"> </w:t>
      </w:r>
      <w:r w:rsidR="00171F00">
        <w:t>з</w:t>
      </w:r>
      <w:r>
        <w:t>а</w:t>
      </w:r>
      <w:r w:rsidR="00C60C54" w:rsidRPr="00F6340E">
        <w:t xml:space="preserve"> </w:t>
      </w:r>
      <w:r w:rsidR="0071360A">
        <w:t>пр</w:t>
      </w:r>
      <w:r>
        <w:t>од</w:t>
      </w:r>
      <w:r w:rsidR="0071360A">
        <w:t>у</w:t>
      </w:r>
      <w:r>
        <w:t>кциј</w:t>
      </w:r>
      <w:r w:rsidR="0071360A">
        <w:t>у</w:t>
      </w:r>
      <w:r w:rsidR="005C448C" w:rsidRPr="00F6340E">
        <w:t>,</w:t>
      </w:r>
    </w:p>
    <w:p w14:paraId="61FAC556" w14:textId="310B8F14" w:rsidR="005C448C" w:rsidRPr="00F6340E" w:rsidRDefault="0071360A" w:rsidP="00FA4DC9">
      <w:pPr>
        <w:pStyle w:val="Bulletlist"/>
      </w:pPr>
      <w:r>
        <w:t>Р</w:t>
      </w:r>
      <w:r w:rsidR="00EE6AA2">
        <w:t>е</w:t>
      </w:r>
      <w:r>
        <w:t>сурс</w:t>
      </w:r>
      <w:r w:rsidR="00A56E08">
        <w:t>и</w:t>
      </w:r>
      <w:r w:rsidR="00F22500" w:rsidRPr="00F6340E">
        <w:t xml:space="preserve"> </w:t>
      </w:r>
      <w:r w:rsidR="00A56E08">
        <w:t>на</w:t>
      </w:r>
      <w:r w:rsidR="00F22500" w:rsidRPr="00F6340E">
        <w:t xml:space="preserve"> </w:t>
      </w:r>
      <w:r w:rsidR="00A56E08">
        <w:t>ин</w:t>
      </w:r>
      <w:r>
        <w:t>т</w:t>
      </w:r>
      <w:r w:rsidR="00EE6AA2">
        <w:t>е</w:t>
      </w:r>
      <w:r>
        <w:t>р</w:t>
      </w:r>
      <w:r w:rsidR="00A56E08">
        <w:t>н</w:t>
      </w:r>
      <w:r w:rsidR="00EE6AA2">
        <w:t>е</w:t>
      </w:r>
      <w:r>
        <w:t>ту</w:t>
      </w:r>
      <w:r w:rsidR="00F22500" w:rsidRPr="00F6340E">
        <w:t xml:space="preserve"> </w:t>
      </w:r>
      <w:r w:rsidR="00171F00">
        <w:t>з</w:t>
      </w:r>
      <w:r w:rsidR="00A56E08">
        <w:t>а</w:t>
      </w:r>
      <w:r w:rsidR="005C448C" w:rsidRPr="00F6340E">
        <w:t xml:space="preserve"> </w:t>
      </w:r>
      <w:r w:rsidR="00A56E08">
        <w:t>коди</w:t>
      </w:r>
      <w:r>
        <w:t>р</w:t>
      </w:r>
      <w:r w:rsidR="00A56E08">
        <w:t>ањ</w:t>
      </w:r>
      <w:r w:rsidR="00EE6AA2">
        <w:t>е</w:t>
      </w:r>
      <w:r w:rsidR="005C448C" w:rsidRPr="00F6340E">
        <w:t xml:space="preserve"> </w:t>
      </w:r>
      <w:r w:rsidR="00A56E08">
        <w:t>и</w:t>
      </w:r>
      <w:r w:rsidR="005C448C" w:rsidRPr="00F6340E">
        <w:t xml:space="preserve"> </w:t>
      </w:r>
      <w:r>
        <w:t>пр</w:t>
      </w:r>
      <w:r w:rsidR="00A56E08">
        <w:t>ог</w:t>
      </w:r>
      <w:r>
        <w:t>р</w:t>
      </w:r>
      <w:r w:rsidR="00A56E08">
        <w:t>ами</w:t>
      </w:r>
      <w:r>
        <w:t>р</w:t>
      </w:r>
      <w:r w:rsidR="00A56E08">
        <w:t>ањ</w:t>
      </w:r>
      <w:r w:rsidR="00EE6AA2">
        <w:t>е</w:t>
      </w:r>
      <w:r w:rsidR="005C448C" w:rsidRPr="00F6340E">
        <w:t>,</w:t>
      </w:r>
    </w:p>
    <w:p w14:paraId="6C71648F" w14:textId="0108EF07" w:rsidR="005C448C" w:rsidRPr="00F6340E" w:rsidRDefault="00A56E08" w:rsidP="00FA4DC9">
      <w:pPr>
        <w:pStyle w:val="Bulletlist"/>
      </w:pPr>
      <w:r>
        <w:t>Об</w:t>
      </w:r>
      <w:r w:rsidR="0071360A">
        <w:t>р</w:t>
      </w:r>
      <w:r>
        <w:t>а</w:t>
      </w:r>
      <w:r w:rsidR="00171F00">
        <w:t>з</w:t>
      </w:r>
      <w:r>
        <w:t>о</w:t>
      </w:r>
      <w:r w:rsidR="0071360A">
        <w:t>в</w:t>
      </w:r>
      <w:r>
        <w:t>ни</w:t>
      </w:r>
      <w:r w:rsidR="005C448C" w:rsidRPr="00F6340E">
        <w:t xml:space="preserve"> </w:t>
      </w:r>
      <w:r w:rsidR="0071360A">
        <w:t>в</w:t>
      </w:r>
      <w:r>
        <w:t>ид</w:t>
      </w:r>
      <w:r w:rsidR="00EE6AA2">
        <w:t>е</w:t>
      </w:r>
      <w:r>
        <w:t>о</w:t>
      </w:r>
      <w:r w:rsidR="005C448C" w:rsidRPr="00F6340E">
        <w:t xml:space="preserve"> </w:t>
      </w:r>
      <w:r>
        <w:t>канали</w:t>
      </w:r>
      <w:r w:rsidR="005C448C" w:rsidRPr="00F6340E">
        <w:t>,</w:t>
      </w:r>
    </w:p>
    <w:p w14:paraId="0F3A55D6" w14:textId="2ED4029C" w:rsidR="005C448C" w:rsidRPr="00FA4DC9" w:rsidRDefault="00A56E08" w:rsidP="00FA4DC9">
      <w:pPr>
        <w:pStyle w:val="Bulletlist"/>
      </w:pPr>
      <w:r>
        <w:t>И</w:t>
      </w:r>
      <w:r w:rsidR="00171F00">
        <w:t>з</w:t>
      </w:r>
      <w:r>
        <w:t>бо</w:t>
      </w:r>
      <w:r w:rsidR="0071360A">
        <w:t>р</w:t>
      </w:r>
      <w:r w:rsidR="005C448C" w:rsidRPr="00F6340E">
        <w:t xml:space="preserve"> </w:t>
      </w:r>
      <w:r>
        <w:t>ко</w:t>
      </w:r>
      <w:r w:rsidR="0071360A">
        <w:t>р</w:t>
      </w:r>
      <w:r>
        <w:t>и</w:t>
      </w:r>
      <w:r w:rsidR="0071360A">
        <w:t>с</w:t>
      </w:r>
      <w:r>
        <w:t>них</w:t>
      </w:r>
      <w:r w:rsidR="005C448C" w:rsidRPr="00F6340E">
        <w:t xml:space="preserve"> </w:t>
      </w:r>
      <w:r>
        <w:t>канала</w:t>
      </w:r>
      <w:r w:rsidR="00F22500" w:rsidRPr="00F6340E">
        <w:t xml:space="preserve"> </w:t>
      </w:r>
      <w:r>
        <w:t>на</w:t>
      </w:r>
      <w:r w:rsidR="00F22500" w:rsidRPr="00F6340E">
        <w:t xml:space="preserve"> </w:t>
      </w:r>
      <w:r w:rsidR="000010C5">
        <w:rPr>
          <w:lang w:val="hr-BA"/>
        </w:rPr>
        <w:t>YouTube</w:t>
      </w:r>
      <w:r w:rsidR="00F22500" w:rsidRPr="00F6340E">
        <w:t>-</w:t>
      </w:r>
      <w:r w:rsidR="00EE6AA2">
        <w:t>е</w:t>
      </w:r>
      <w:r w:rsidR="005C448C" w:rsidRPr="00F6340E">
        <w:t>.</w:t>
      </w:r>
    </w:p>
    <w:p w14:paraId="4ECC0651" w14:textId="3AA2CC92" w:rsidR="0039585F" w:rsidRPr="00F6340E" w:rsidRDefault="00A56E08" w:rsidP="00FA4DC9">
      <w:pPr>
        <w:pStyle w:val="Body"/>
      </w:pPr>
      <w:r>
        <w:t>ЛМ</w:t>
      </w:r>
      <w:r w:rsidR="0071360A">
        <w:t>С</w:t>
      </w:r>
      <w:r w:rsidR="001F0DA9" w:rsidRPr="00F6340E">
        <w:t xml:space="preserve"> (</w:t>
      </w:r>
      <w:r w:rsidR="000010C5">
        <w:rPr>
          <w:lang w:val="hr-BA"/>
        </w:rPr>
        <w:t>Learning management system</w:t>
      </w:r>
      <w:r w:rsidR="001F0DA9" w:rsidRPr="00F6340E">
        <w:t xml:space="preserve">) </w:t>
      </w:r>
      <w:r>
        <w:t>ј</w:t>
      </w:r>
      <w:r w:rsidR="00EE6AA2">
        <w:t>е</w:t>
      </w:r>
      <w:r w:rsidR="00C70418" w:rsidRPr="00F6340E">
        <w:t xml:space="preserve"> </w:t>
      </w:r>
      <w:r w:rsidR="0071360A">
        <w:t>с</w:t>
      </w:r>
      <w:r>
        <w:t>и</w:t>
      </w:r>
      <w:r w:rsidR="0071360A">
        <w:t>ст</w:t>
      </w:r>
      <w:r w:rsidR="00EE6AA2">
        <w:t>е</w:t>
      </w:r>
      <w:r>
        <w:t>м</w:t>
      </w:r>
      <w:r w:rsidR="0039585F" w:rsidRPr="00F6340E">
        <w:t xml:space="preserve"> </w:t>
      </w:r>
      <w:r w:rsidR="00171F00">
        <w:t>з</w:t>
      </w:r>
      <w:r>
        <w:t>а</w:t>
      </w:r>
      <w:r w:rsidR="0039585F" w:rsidRPr="00F6340E">
        <w:t xml:space="preserve"> </w:t>
      </w:r>
      <w:r w:rsidR="0071360A">
        <w:t>упр</w:t>
      </w:r>
      <w:r>
        <w:t>а</w:t>
      </w:r>
      <w:r w:rsidR="0071360A">
        <w:t>в</w:t>
      </w:r>
      <w:r>
        <w:t>љањ</w:t>
      </w:r>
      <w:r w:rsidR="00EE6AA2">
        <w:t>е</w:t>
      </w:r>
      <w:r w:rsidR="0039585F" w:rsidRPr="00F6340E">
        <w:t xml:space="preserve"> </w:t>
      </w:r>
      <w:r w:rsidR="0071360A">
        <w:t>у</w:t>
      </w:r>
      <w:r>
        <w:t>ч</w:t>
      </w:r>
      <w:r w:rsidR="00EE6AA2">
        <w:t>е</w:t>
      </w:r>
      <w:r>
        <w:t>њ</w:t>
      </w:r>
      <w:r w:rsidR="00EE6AA2">
        <w:t>е</w:t>
      </w:r>
      <w:r>
        <w:t>м</w:t>
      </w:r>
      <w:r w:rsidR="0039585F" w:rsidRPr="00F6340E">
        <w:t xml:space="preserve"> </w:t>
      </w:r>
      <w:r>
        <w:t>а</w:t>
      </w:r>
      <w:r w:rsidR="00C70418" w:rsidRPr="00F6340E">
        <w:t xml:space="preserve"> </w:t>
      </w:r>
      <w:r>
        <w:t>њ</w:t>
      </w:r>
      <w:r w:rsidR="00EE6AA2">
        <w:t>е</w:t>
      </w:r>
      <w:r>
        <w:t>го</w:t>
      </w:r>
      <w:r w:rsidR="0071360A">
        <w:t>в</w:t>
      </w:r>
      <w:r>
        <w:t>а</w:t>
      </w:r>
      <w:r w:rsidR="00C70418" w:rsidRPr="00F6340E">
        <w:t xml:space="preserve"> </w:t>
      </w:r>
      <w:r w:rsidR="0071360A">
        <w:t>свр</w:t>
      </w:r>
      <w:r>
        <w:t>ха</w:t>
      </w:r>
      <w:r w:rsidR="0039585F" w:rsidRPr="00F6340E">
        <w:t xml:space="preserve"> </w:t>
      </w:r>
      <w:r>
        <w:t>ј</w:t>
      </w:r>
      <w:r w:rsidR="00EE6AA2">
        <w:t>е</w:t>
      </w:r>
      <w:r w:rsidR="0039585F" w:rsidRPr="00F6340E">
        <w:t xml:space="preserve"> </w:t>
      </w:r>
      <w:r>
        <w:t>да</w:t>
      </w:r>
      <w:r w:rsidR="0039585F" w:rsidRPr="00F6340E">
        <w:t xml:space="preserve"> </w:t>
      </w:r>
      <w:r>
        <w:t>о</w:t>
      </w:r>
      <w:r w:rsidR="0071360A">
        <w:t>с</w:t>
      </w:r>
      <w:r>
        <w:t>иг</w:t>
      </w:r>
      <w:r w:rsidR="0071360A">
        <w:t>ур</w:t>
      </w:r>
      <w:r>
        <w:t>а</w:t>
      </w:r>
      <w:r w:rsidR="0039585F" w:rsidRPr="00F6340E">
        <w:t xml:space="preserve"> </w:t>
      </w:r>
      <w:r>
        <w:t>им</w:t>
      </w:r>
      <w:r w:rsidR="0071360A">
        <w:t>п</w:t>
      </w:r>
      <w:r>
        <w:t>л</w:t>
      </w:r>
      <w:r w:rsidR="00EE6AA2">
        <w:t>е</w:t>
      </w:r>
      <w:r>
        <w:t>м</w:t>
      </w:r>
      <w:r w:rsidR="00EE6AA2">
        <w:t>е</w:t>
      </w:r>
      <w:r>
        <w:t>н</w:t>
      </w:r>
      <w:r w:rsidR="0071360A">
        <w:t>т</w:t>
      </w:r>
      <w:r>
        <w:t>ациј</w:t>
      </w:r>
      <w:r w:rsidR="0071360A">
        <w:t>у</w:t>
      </w:r>
      <w:r w:rsidR="0039585F" w:rsidRPr="00F6340E">
        <w:t xml:space="preserve"> </w:t>
      </w:r>
      <w:r w:rsidR="0071360A">
        <w:t>пр</w:t>
      </w:r>
      <w:r>
        <w:t>оц</w:t>
      </w:r>
      <w:r w:rsidR="00EE6AA2">
        <w:t>е</w:t>
      </w:r>
      <w:r w:rsidR="0071360A">
        <w:t>с</w:t>
      </w:r>
      <w:r>
        <w:t>а</w:t>
      </w:r>
      <w:r w:rsidR="0039585F" w:rsidRPr="00F6340E">
        <w:t xml:space="preserve"> </w:t>
      </w:r>
      <w:r w:rsidR="0071360A">
        <w:t>у</w:t>
      </w:r>
      <w:r>
        <w:t>ч</w:t>
      </w:r>
      <w:r w:rsidR="00EE6AA2">
        <w:t>е</w:t>
      </w:r>
      <w:r>
        <w:t>ња</w:t>
      </w:r>
      <w:r w:rsidR="0039585F" w:rsidRPr="00F6340E">
        <w:t xml:space="preserve"> </w:t>
      </w:r>
      <w:r>
        <w:t>и</w:t>
      </w:r>
      <w:r w:rsidR="0039585F" w:rsidRPr="00F6340E">
        <w:t xml:space="preserve"> </w:t>
      </w:r>
      <w:r w:rsidR="0071360A">
        <w:t>п</w:t>
      </w:r>
      <w:r>
        <w:t>од</w:t>
      </w:r>
      <w:r w:rsidR="0071360A">
        <w:t>у</w:t>
      </w:r>
      <w:r>
        <w:t>ча</w:t>
      </w:r>
      <w:r w:rsidR="0071360A">
        <w:t>в</w:t>
      </w:r>
      <w:r>
        <w:t>ања</w:t>
      </w:r>
      <w:r w:rsidR="0039585F" w:rsidRPr="00F6340E">
        <w:t xml:space="preserve"> </w:t>
      </w:r>
      <w:r>
        <w:t>омог</w:t>
      </w:r>
      <w:r w:rsidR="0071360A">
        <w:t>у</w:t>
      </w:r>
      <w:r>
        <w:t>ћа</w:t>
      </w:r>
      <w:r w:rsidR="0071360A">
        <w:t>в</w:t>
      </w:r>
      <w:r>
        <w:t>ањ</w:t>
      </w:r>
      <w:r w:rsidR="00EE6AA2">
        <w:t>е</w:t>
      </w:r>
      <w:r>
        <w:t>м</w:t>
      </w:r>
      <w:r w:rsidR="0039585F" w:rsidRPr="00F6340E">
        <w:t xml:space="preserve"> </w:t>
      </w:r>
      <w:r w:rsidR="0071360A">
        <w:t>пр</w:t>
      </w:r>
      <w:r>
        <w:t>и</w:t>
      </w:r>
      <w:r w:rsidR="0071360A">
        <w:t>ступ</w:t>
      </w:r>
      <w:r>
        <w:t>а</w:t>
      </w:r>
      <w:r w:rsidR="0039585F" w:rsidRPr="00F6340E">
        <w:t xml:space="preserve"> </w:t>
      </w:r>
      <w:r>
        <w:t>диги</w:t>
      </w:r>
      <w:r w:rsidR="0071360A">
        <w:t>т</w:t>
      </w:r>
      <w:r>
        <w:t>алним</w:t>
      </w:r>
      <w:r w:rsidR="0039585F" w:rsidRPr="00F6340E">
        <w:t xml:space="preserve"> </w:t>
      </w:r>
      <w:r w:rsidR="0071360A">
        <w:t>с</w:t>
      </w:r>
      <w:r>
        <w:t>ад</w:t>
      </w:r>
      <w:r w:rsidR="0071360A">
        <w:t>р</w:t>
      </w:r>
      <w:r w:rsidR="00171F00">
        <w:t>ж</w:t>
      </w:r>
      <w:r>
        <w:t>ајима</w:t>
      </w:r>
      <w:r w:rsidR="00C70418" w:rsidRPr="00F6340E">
        <w:t>.</w:t>
      </w:r>
      <w:r w:rsidR="00E13281" w:rsidRPr="00F6340E">
        <w:t xml:space="preserve"> </w:t>
      </w:r>
      <w:r>
        <w:t>Мо</w:t>
      </w:r>
      <w:r w:rsidR="00171F00">
        <w:t>ж</w:t>
      </w:r>
      <w:r w:rsidR="00EE6AA2">
        <w:t>е</w:t>
      </w:r>
      <w:r w:rsidR="00686F90" w:rsidRPr="00F6340E">
        <w:t xml:space="preserve"> </w:t>
      </w:r>
      <w:r>
        <w:t>да</w:t>
      </w:r>
      <w:r w:rsidR="00686F90" w:rsidRPr="00F6340E">
        <w:t xml:space="preserve"> </w:t>
      </w:r>
      <w:r w:rsidR="0071360A">
        <w:t>с</w:t>
      </w:r>
      <w:r w:rsidR="00EE6AA2">
        <w:t>е</w:t>
      </w:r>
      <w:r w:rsidR="00686F90" w:rsidRPr="00F6340E">
        <w:t xml:space="preserve"> </w:t>
      </w:r>
      <w:r w:rsidR="0071360A">
        <w:t>уп</w:t>
      </w:r>
      <w:r>
        <w:t>о</w:t>
      </w:r>
      <w:r w:rsidR="0071360A">
        <w:t>тр</w:t>
      </w:r>
      <w:r w:rsidR="00EE6AA2">
        <w:t>е</w:t>
      </w:r>
      <w:r>
        <w:t>бља</w:t>
      </w:r>
      <w:r w:rsidR="0071360A">
        <w:t>в</w:t>
      </w:r>
      <w:r>
        <w:t>а</w:t>
      </w:r>
      <w:r w:rsidR="00686F90" w:rsidRPr="00F6340E">
        <w:t xml:space="preserve"> </w:t>
      </w:r>
      <w:r>
        <w:t>на</w:t>
      </w:r>
      <w:r w:rsidR="0039585F" w:rsidRPr="00F6340E">
        <w:t xml:space="preserve"> </w:t>
      </w:r>
      <w:r>
        <w:t>ни</w:t>
      </w:r>
      <w:r w:rsidR="0071360A">
        <w:t>в</w:t>
      </w:r>
      <w:r>
        <w:t>о</w:t>
      </w:r>
      <w:r w:rsidR="0071360A">
        <w:t>у</w:t>
      </w:r>
      <w:r w:rsidR="0039585F" w:rsidRPr="00F6340E">
        <w:t xml:space="preserve"> </w:t>
      </w:r>
      <w:r>
        <w:t>ј</w:t>
      </w:r>
      <w:r w:rsidR="00EE6AA2">
        <w:t>е</w:t>
      </w:r>
      <w:r>
        <w:t>дн</w:t>
      </w:r>
      <w:r w:rsidR="00EE6AA2">
        <w:t>е</w:t>
      </w:r>
      <w:r w:rsidR="0039585F" w:rsidRPr="00F6340E">
        <w:t xml:space="preserve"> </w:t>
      </w:r>
      <w:r>
        <w:t>об</w:t>
      </w:r>
      <w:r w:rsidR="0071360A">
        <w:t>р</w:t>
      </w:r>
      <w:r>
        <w:t>а</w:t>
      </w:r>
      <w:r w:rsidR="00171F00">
        <w:t>з</w:t>
      </w:r>
      <w:r>
        <w:t>о</w:t>
      </w:r>
      <w:r w:rsidR="0071360A">
        <w:t>в</w:t>
      </w:r>
      <w:r>
        <w:t>н</w:t>
      </w:r>
      <w:r w:rsidR="00EE6AA2">
        <w:t>е</w:t>
      </w:r>
      <w:r w:rsidR="0039585F" w:rsidRPr="00F6340E">
        <w:t xml:space="preserve"> </w:t>
      </w:r>
      <w:r>
        <w:t>ин</w:t>
      </w:r>
      <w:r w:rsidR="0071360A">
        <w:t>ст</w:t>
      </w:r>
      <w:r>
        <w:t>и</w:t>
      </w:r>
      <w:r w:rsidR="0071360A">
        <w:t>ту</w:t>
      </w:r>
      <w:r>
        <w:t>циј</w:t>
      </w:r>
      <w:r w:rsidR="00EE6AA2">
        <w:t>е</w:t>
      </w:r>
      <w:r w:rsidR="0039585F" w:rsidRPr="00F6340E">
        <w:t xml:space="preserve"> </w:t>
      </w:r>
      <w:r>
        <w:t>или</w:t>
      </w:r>
      <w:r w:rsidR="0039585F" w:rsidRPr="00F6340E">
        <w:t xml:space="preserve"> </w:t>
      </w:r>
      <w:r>
        <w:t>на</w:t>
      </w:r>
      <w:r w:rsidR="0039585F" w:rsidRPr="00F6340E">
        <w:t xml:space="preserve"> </w:t>
      </w:r>
      <w:r>
        <w:t>ни</w:t>
      </w:r>
      <w:r w:rsidR="0071360A">
        <w:t>в</w:t>
      </w:r>
      <w:r>
        <w:t>о</w:t>
      </w:r>
      <w:r w:rsidR="0071360A">
        <w:t>у</w:t>
      </w:r>
      <w:r w:rsidR="0039585F" w:rsidRPr="00F6340E">
        <w:t xml:space="preserve"> </w:t>
      </w:r>
      <w:r>
        <w:t>админи</w:t>
      </w:r>
      <w:r w:rsidR="0071360A">
        <w:t>стр</w:t>
      </w:r>
      <w:r>
        <w:t>а</w:t>
      </w:r>
      <w:r w:rsidR="0071360A">
        <w:t>т</w:t>
      </w:r>
      <w:r>
        <w:t>и</w:t>
      </w:r>
      <w:r w:rsidR="0071360A">
        <w:t>в</w:t>
      </w:r>
      <w:r>
        <w:t>н</w:t>
      </w:r>
      <w:r w:rsidR="00EE6AA2">
        <w:t>е</w:t>
      </w:r>
      <w:r w:rsidR="0039585F" w:rsidRPr="00F6340E">
        <w:t xml:space="preserve"> </w:t>
      </w:r>
      <w:r>
        <w:t>ј</w:t>
      </w:r>
      <w:r w:rsidR="00EE6AA2">
        <w:t>е</w:t>
      </w:r>
      <w:r>
        <w:t>диниц</w:t>
      </w:r>
      <w:r w:rsidR="00EE6AA2">
        <w:t>е</w:t>
      </w:r>
      <w:r w:rsidR="0039585F" w:rsidRPr="00F6340E">
        <w:t>.</w:t>
      </w:r>
    </w:p>
    <w:p w14:paraId="041B3E9A" w14:textId="268EE274" w:rsidR="0039585F" w:rsidRPr="00F6340E" w:rsidRDefault="00A56E08" w:rsidP="00FA4DC9">
      <w:pPr>
        <w:pStyle w:val="Body"/>
      </w:pPr>
      <w:r>
        <w:t>Н</w:t>
      </w:r>
      <w:r w:rsidR="00EE6AA2">
        <w:t>е</w:t>
      </w:r>
      <w:r>
        <w:t>к</w:t>
      </w:r>
      <w:r w:rsidR="00EE6AA2">
        <w:t>е</w:t>
      </w:r>
      <w:r w:rsidR="0039585F" w:rsidRPr="00F6340E">
        <w:t xml:space="preserve"> </w:t>
      </w:r>
      <w:r>
        <w:t>од</w:t>
      </w:r>
      <w:r w:rsidR="0039585F" w:rsidRPr="00F6340E">
        <w:t xml:space="preserve"> </w:t>
      </w:r>
      <w:r>
        <w:t>мог</w:t>
      </w:r>
      <w:r w:rsidR="0071360A">
        <w:t>у</w:t>
      </w:r>
      <w:r>
        <w:t>ћно</w:t>
      </w:r>
      <w:r w:rsidR="0071360A">
        <w:t>ст</w:t>
      </w:r>
      <w:r>
        <w:t>и</w:t>
      </w:r>
      <w:r w:rsidR="0039585F" w:rsidRPr="00F6340E">
        <w:t xml:space="preserve"> </w:t>
      </w:r>
      <w:r>
        <w:t>ЛМ</w:t>
      </w:r>
      <w:r w:rsidR="0071360A">
        <w:t>С</w:t>
      </w:r>
      <w:r w:rsidR="0039585F" w:rsidRPr="00F6340E">
        <w:t>-</w:t>
      </w:r>
      <w:r>
        <w:t>а</w:t>
      </w:r>
      <w:r w:rsidR="0039585F" w:rsidRPr="00F6340E">
        <w:t xml:space="preserve"> </w:t>
      </w:r>
      <w:r w:rsidR="0071360A">
        <w:t>су</w:t>
      </w:r>
      <w:r w:rsidR="0039585F" w:rsidRPr="00F6340E">
        <w:t>:</w:t>
      </w:r>
    </w:p>
    <w:p w14:paraId="243D4003" w14:textId="7AFB74A5" w:rsidR="0039585F" w:rsidRPr="00F6340E" w:rsidRDefault="00A56E08" w:rsidP="00FA4DC9">
      <w:pPr>
        <w:pStyle w:val="Bulletlist"/>
      </w:pPr>
      <w:r>
        <w:t>Мог</w:t>
      </w:r>
      <w:r w:rsidR="0071360A">
        <w:t>у</w:t>
      </w:r>
      <w:r>
        <w:t>ћно</w:t>
      </w:r>
      <w:r w:rsidR="0071360A">
        <w:t>ст</w:t>
      </w:r>
      <w:r w:rsidR="0039585F" w:rsidRPr="00F6340E">
        <w:t xml:space="preserve"> </w:t>
      </w:r>
      <w:r w:rsidR="0071360A">
        <w:t>пр</w:t>
      </w:r>
      <w:r>
        <w:t>и</w:t>
      </w:r>
      <w:r w:rsidR="0071360A">
        <w:t>ступ</w:t>
      </w:r>
      <w:r>
        <w:t>а</w:t>
      </w:r>
      <w:r w:rsidR="0039585F" w:rsidRPr="00F6340E">
        <w:t xml:space="preserve"> </w:t>
      </w:r>
      <w:r w:rsidR="0071360A">
        <w:t>с</w:t>
      </w:r>
      <w:r>
        <w:t>ад</w:t>
      </w:r>
      <w:r w:rsidR="0071360A">
        <w:t>р</w:t>
      </w:r>
      <w:r w:rsidR="00171F00">
        <w:t>ж</w:t>
      </w:r>
      <w:r>
        <w:t>ајима</w:t>
      </w:r>
      <w:r w:rsidR="0039585F" w:rsidRPr="00F6340E">
        <w:t xml:space="preserve"> </w:t>
      </w:r>
      <w:r w:rsidR="0071360A">
        <w:t>у</w:t>
      </w:r>
      <w:r w:rsidR="0039585F" w:rsidRPr="00F6340E">
        <w:t xml:space="preserve"> </w:t>
      </w:r>
      <w:r>
        <w:t>било</w:t>
      </w:r>
      <w:r w:rsidR="0039585F" w:rsidRPr="00F6340E">
        <w:t xml:space="preserve"> </w:t>
      </w:r>
      <w:r>
        <w:t>кој</w:t>
      </w:r>
      <w:r w:rsidR="00EE6AA2">
        <w:t>е</w:t>
      </w:r>
      <w:r w:rsidR="0039585F" w:rsidRPr="00F6340E">
        <w:t xml:space="preserve"> </w:t>
      </w:r>
      <w:r w:rsidR="0071360A">
        <w:t>вр</w:t>
      </w:r>
      <w:r>
        <w:t>иј</w:t>
      </w:r>
      <w:r w:rsidR="00EE6AA2">
        <w:t>е</w:t>
      </w:r>
      <w:r>
        <w:t>м</w:t>
      </w:r>
      <w:r w:rsidR="00EE6AA2">
        <w:t>е</w:t>
      </w:r>
      <w:r w:rsidR="0039585F" w:rsidRPr="00F6340E">
        <w:t>,</w:t>
      </w:r>
    </w:p>
    <w:p w14:paraId="5CCD710E" w14:textId="7D0CCC80" w:rsidR="0039585F" w:rsidRPr="00F6340E" w:rsidRDefault="0071360A" w:rsidP="00FA4DC9">
      <w:pPr>
        <w:pStyle w:val="Bulletlist"/>
      </w:pPr>
      <w:r>
        <w:t>Уп</w:t>
      </w:r>
      <w:r w:rsidR="00A56E08">
        <w:t>о</w:t>
      </w:r>
      <w:r>
        <w:t>тр</w:t>
      </w:r>
      <w:r w:rsidR="00EE6AA2">
        <w:t>е</w:t>
      </w:r>
      <w:r w:rsidR="00A56E08">
        <w:t>б</w:t>
      </w:r>
      <w:r>
        <w:t>у</w:t>
      </w:r>
      <w:r w:rsidR="0039585F" w:rsidRPr="00F6340E">
        <w:t xml:space="preserve"> </w:t>
      </w:r>
      <w:r w:rsidR="00A56E08">
        <w:t>диги</w:t>
      </w:r>
      <w:r>
        <w:t>т</w:t>
      </w:r>
      <w:r w:rsidR="00A56E08">
        <w:t>алних</w:t>
      </w:r>
      <w:r w:rsidR="0039585F" w:rsidRPr="00F6340E">
        <w:t xml:space="preserve"> </w:t>
      </w:r>
      <w:r w:rsidR="00A56E08">
        <w:t>ма</w:t>
      </w:r>
      <w:r>
        <w:t>т</w:t>
      </w:r>
      <w:r w:rsidR="00EE6AA2">
        <w:t>е</w:t>
      </w:r>
      <w:r>
        <w:t>р</w:t>
      </w:r>
      <w:r w:rsidR="00A56E08">
        <w:t>ија</w:t>
      </w:r>
      <w:r w:rsidR="0039585F" w:rsidRPr="00F6340E">
        <w:t xml:space="preserve"> (</w:t>
      </w:r>
      <w:r>
        <w:t>т</w:t>
      </w:r>
      <w:r w:rsidR="00EE6AA2">
        <w:t>е</w:t>
      </w:r>
      <w:r w:rsidR="00A56E08">
        <w:t>к</w:t>
      </w:r>
      <w:r>
        <w:t>ст</w:t>
      </w:r>
      <w:r w:rsidR="0039585F" w:rsidRPr="00F6340E">
        <w:t xml:space="preserve">, </w:t>
      </w:r>
      <w:r>
        <w:t>пр</w:t>
      </w:r>
      <w:r w:rsidR="00EE6AA2">
        <w:t>е</w:t>
      </w:r>
      <w:r w:rsidR="00171F00">
        <w:t>з</w:t>
      </w:r>
      <w:r w:rsidR="00EE6AA2">
        <w:t>е</w:t>
      </w:r>
      <w:r w:rsidR="00A56E08">
        <w:t>н</w:t>
      </w:r>
      <w:r>
        <w:t>т</w:t>
      </w:r>
      <w:r w:rsidR="00A56E08">
        <w:t>ација</w:t>
      </w:r>
      <w:r w:rsidR="0039585F" w:rsidRPr="00F6340E">
        <w:t xml:space="preserve">, </w:t>
      </w:r>
      <w:r>
        <w:t>в</w:t>
      </w:r>
      <w:r w:rsidR="00A56E08">
        <w:t>ид</w:t>
      </w:r>
      <w:r w:rsidR="00EE6AA2">
        <w:t>е</w:t>
      </w:r>
      <w:r w:rsidR="00A56E08">
        <w:t>о</w:t>
      </w:r>
      <w:r w:rsidR="0039585F" w:rsidRPr="00F6340E">
        <w:t xml:space="preserve">, </w:t>
      </w:r>
      <w:r w:rsidR="00A56E08">
        <w:t>а</w:t>
      </w:r>
      <w:r>
        <w:t>у</w:t>
      </w:r>
      <w:r w:rsidR="00A56E08">
        <w:t>дио</w:t>
      </w:r>
      <w:r w:rsidR="0039585F" w:rsidRPr="00F6340E">
        <w:t>),</w:t>
      </w:r>
    </w:p>
    <w:p w14:paraId="5077083E" w14:textId="66827232" w:rsidR="0039585F" w:rsidRPr="00F6340E" w:rsidRDefault="00A56E08" w:rsidP="00FA4DC9">
      <w:pPr>
        <w:pStyle w:val="Bulletlist"/>
      </w:pPr>
      <w:r>
        <w:t>Мог</w:t>
      </w:r>
      <w:r w:rsidR="0071360A">
        <w:t>у</w:t>
      </w:r>
      <w:r>
        <w:t>ћно</w:t>
      </w:r>
      <w:r w:rsidR="0071360A">
        <w:t>ст</w:t>
      </w:r>
      <w:r w:rsidR="0039585F" w:rsidRPr="00F6340E">
        <w:t xml:space="preserve"> </w:t>
      </w:r>
      <w:r>
        <w:t>н</w:t>
      </w:r>
      <w:r w:rsidR="00EE6AA2">
        <w:t>е</w:t>
      </w:r>
      <w:r>
        <w:t>ог</w:t>
      </w:r>
      <w:r w:rsidR="0071360A">
        <w:t>р</w:t>
      </w:r>
      <w:r>
        <w:t>анич</w:t>
      </w:r>
      <w:r w:rsidR="00EE6AA2">
        <w:t>е</w:t>
      </w:r>
      <w:r>
        <w:t>ног</w:t>
      </w:r>
      <w:r w:rsidR="0039585F" w:rsidRPr="00F6340E">
        <w:t xml:space="preserve"> </w:t>
      </w:r>
      <w:r w:rsidR="0071360A">
        <w:t>п</w:t>
      </w:r>
      <w:r>
        <w:t>она</w:t>
      </w:r>
      <w:r w:rsidR="0071360A">
        <w:t>в</w:t>
      </w:r>
      <w:r>
        <w:t>љања</w:t>
      </w:r>
      <w:r w:rsidR="0039585F" w:rsidRPr="00F6340E">
        <w:t xml:space="preserve"> </w:t>
      </w:r>
      <w:r>
        <w:t>и</w:t>
      </w:r>
      <w:r w:rsidR="0039585F" w:rsidRPr="00F6340E">
        <w:t xml:space="preserve"> </w:t>
      </w:r>
      <w:r w:rsidR="0071360A">
        <w:t>уп</w:t>
      </w:r>
      <w:r>
        <w:t>о</w:t>
      </w:r>
      <w:r w:rsidR="0071360A">
        <w:t>тр</w:t>
      </w:r>
      <w:r w:rsidR="00EE6AA2">
        <w:t>е</w:t>
      </w:r>
      <w:r>
        <w:t>б</w:t>
      </w:r>
      <w:r w:rsidR="00EE6AA2">
        <w:t>е</w:t>
      </w:r>
      <w:r w:rsidR="0039585F" w:rsidRPr="00F6340E">
        <w:t xml:space="preserve"> </w:t>
      </w:r>
      <w:r w:rsidR="0071360A">
        <w:t>с</w:t>
      </w:r>
      <w:r>
        <w:t>ад</w:t>
      </w:r>
      <w:r w:rsidR="0071360A">
        <w:t>р</w:t>
      </w:r>
      <w:r w:rsidR="00171F00">
        <w:t>ж</w:t>
      </w:r>
      <w:r>
        <w:t>аја</w:t>
      </w:r>
      <w:r w:rsidR="0039585F" w:rsidRPr="00F6340E">
        <w:t>,</w:t>
      </w:r>
    </w:p>
    <w:p w14:paraId="01840A6B" w14:textId="7EE17144" w:rsidR="0039585F" w:rsidRPr="00F6340E" w:rsidRDefault="00A56E08" w:rsidP="00FA4DC9">
      <w:pPr>
        <w:pStyle w:val="Bulletlist"/>
      </w:pPr>
      <w:r>
        <w:t>Мог</w:t>
      </w:r>
      <w:r w:rsidR="0071360A">
        <w:t>у</w:t>
      </w:r>
      <w:r>
        <w:t>ћно</w:t>
      </w:r>
      <w:r w:rsidR="0071360A">
        <w:t>ст</w:t>
      </w:r>
      <w:r w:rsidR="0039585F" w:rsidRPr="00F6340E">
        <w:t xml:space="preserve"> </w:t>
      </w:r>
      <w:r w:rsidR="0071360A">
        <w:t>с</w:t>
      </w:r>
      <w:r>
        <w:t>амо</w:t>
      </w:r>
      <w:r w:rsidR="0071360A">
        <w:t>пр</w:t>
      </w:r>
      <w:r>
        <w:t>оцј</w:t>
      </w:r>
      <w:r w:rsidR="00EE6AA2">
        <w:t>е</w:t>
      </w:r>
      <w:r>
        <w:t>н</w:t>
      </w:r>
      <w:r w:rsidR="00EE6AA2">
        <w:t>е</w:t>
      </w:r>
      <w:r w:rsidR="0039585F" w:rsidRPr="00F6340E">
        <w:t>,</w:t>
      </w:r>
    </w:p>
    <w:p w14:paraId="419060D2" w14:textId="45A63235" w:rsidR="0039585F" w:rsidRPr="00F6340E" w:rsidRDefault="00A56E08" w:rsidP="00FA4DC9">
      <w:pPr>
        <w:pStyle w:val="Bulletlist"/>
      </w:pPr>
      <w:r>
        <w:t>Мог</w:t>
      </w:r>
      <w:r w:rsidR="0071360A">
        <w:t>у</w:t>
      </w:r>
      <w:r>
        <w:t>ћно</w:t>
      </w:r>
      <w:r w:rsidR="0071360A">
        <w:t>ст</w:t>
      </w:r>
      <w:r w:rsidR="0039585F" w:rsidRPr="00F6340E">
        <w:t xml:space="preserve"> </w:t>
      </w:r>
      <w:r w:rsidR="0071360A">
        <w:t>вр</w:t>
      </w:r>
      <w:r w:rsidR="00EE6AA2">
        <w:t>е</w:t>
      </w:r>
      <w:r>
        <w:t>дно</w:t>
      </w:r>
      <w:r w:rsidR="0071360A">
        <w:t>в</w:t>
      </w:r>
      <w:r>
        <w:t>ања</w:t>
      </w:r>
      <w:r w:rsidR="0039585F" w:rsidRPr="00F6340E">
        <w:t xml:space="preserve"> </w:t>
      </w:r>
      <w:r>
        <w:t>и</w:t>
      </w:r>
      <w:r w:rsidR="0039585F" w:rsidRPr="00F6340E">
        <w:t xml:space="preserve"> </w:t>
      </w:r>
      <w:r w:rsidR="0071360A">
        <w:t>пр</w:t>
      </w:r>
      <w:r>
        <w:t>аћ</w:t>
      </w:r>
      <w:r w:rsidR="00EE6AA2">
        <w:t>е</w:t>
      </w:r>
      <w:r>
        <w:t>ња</w:t>
      </w:r>
      <w:r w:rsidR="001F0DA9" w:rsidRPr="00F6340E">
        <w:t xml:space="preserve"> </w:t>
      </w:r>
      <w:r w:rsidR="0071360A">
        <w:t>р</w:t>
      </w:r>
      <w:r>
        <w:t>ада</w:t>
      </w:r>
      <w:r w:rsidR="001F0DA9" w:rsidRPr="00F6340E">
        <w:t xml:space="preserve"> </w:t>
      </w:r>
      <w:r>
        <w:t>и</w:t>
      </w:r>
      <w:r w:rsidR="001F0DA9" w:rsidRPr="00F6340E">
        <w:t xml:space="preserve"> </w:t>
      </w:r>
      <w:r>
        <w:t>на</w:t>
      </w:r>
      <w:r w:rsidR="0071360A">
        <w:t>пр</w:t>
      </w:r>
      <w:r w:rsidR="00EE6AA2">
        <w:t>е</w:t>
      </w:r>
      <w:r w:rsidR="0071360A">
        <w:t>т</w:t>
      </w:r>
      <w:r>
        <w:t>ка</w:t>
      </w:r>
      <w:r w:rsidR="001F0DA9" w:rsidRPr="00F6340E">
        <w:t xml:space="preserve"> </w:t>
      </w:r>
      <w:r w:rsidR="0071360A">
        <w:t>сту</w:t>
      </w:r>
      <w:r>
        <w:t>д</w:t>
      </w:r>
      <w:r w:rsidR="00EE6AA2">
        <w:t>е</w:t>
      </w:r>
      <w:r>
        <w:t>на</w:t>
      </w:r>
      <w:r w:rsidR="0071360A">
        <w:t>т</w:t>
      </w:r>
      <w:r>
        <w:t>а</w:t>
      </w:r>
      <w:r w:rsidR="0039585F" w:rsidRPr="00F6340E">
        <w:t>,</w:t>
      </w:r>
    </w:p>
    <w:p w14:paraId="5ADF29BC" w14:textId="0E034C5A" w:rsidR="0039585F" w:rsidRPr="00F6340E" w:rsidRDefault="00A56E08" w:rsidP="00FA4DC9">
      <w:pPr>
        <w:pStyle w:val="Bulletlist"/>
      </w:pPr>
      <w:r>
        <w:t>Мог</w:t>
      </w:r>
      <w:r w:rsidR="0071360A">
        <w:t>у</w:t>
      </w:r>
      <w:r>
        <w:t>ћно</w:t>
      </w:r>
      <w:r w:rsidR="0071360A">
        <w:t>ст</w:t>
      </w:r>
      <w:r w:rsidR="0039585F" w:rsidRPr="00F6340E">
        <w:t xml:space="preserve"> </w:t>
      </w:r>
      <w:r>
        <w:t>ком</w:t>
      </w:r>
      <w:r w:rsidR="0071360A">
        <w:t>у</w:t>
      </w:r>
      <w:r>
        <w:t>никациј</w:t>
      </w:r>
      <w:r w:rsidR="00EE6AA2">
        <w:t>е</w:t>
      </w:r>
      <w:r w:rsidR="001F0DA9" w:rsidRPr="00F6340E">
        <w:t xml:space="preserve"> </w:t>
      </w:r>
      <w:r>
        <w:t>ди</w:t>
      </w:r>
      <w:r w:rsidR="0071360A">
        <w:t>р</w:t>
      </w:r>
      <w:r w:rsidR="00EE6AA2">
        <w:t>е</w:t>
      </w:r>
      <w:r>
        <w:t>к</w:t>
      </w:r>
      <w:r w:rsidR="0071360A">
        <w:t>т</w:t>
      </w:r>
      <w:r>
        <w:t>ном</w:t>
      </w:r>
      <w:r w:rsidR="001F0DA9" w:rsidRPr="00F6340E">
        <w:t xml:space="preserve"> </w:t>
      </w:r>
      <w:r w:rsidR="0071360A">
        <w:t>п</w:t>
      </w:r>
      <w:r>
        <w:t>о</w:t>
      </w:r>
      <w:r w:rsidR="0071360A">
        <w:t>ру</w:t>
      </w:r>
      <w:r>
        <w:t>ком</w:t>
      </w:r>
      <w:r w:rsidR="001F0DA9" w:rsidRPr="00F6340E">
        <w:t xml:space="preserve"> </w:t>
      </w:r>
      <w:r>
        <w:t>или</w:t>
      </w:r>
      <w:r w:rsidR="001F0DA9" w:rsidRPr="00F6340E">
        <w:t xml:space="preserve"> </w:t>
      </w:r>
      <w:r w:rsidR="0071360A">
        <w:t>у</w:t>
      </w:r>
      <w:r w:rsidR="001F0DA9" w:rsidRPr="00F6340E">
        <w:t xml:space="preserve"> </w:t>
      </w:r>
      <w:r>
        <w:t>г</w:t>
      </w:r>
      <w:r w:rsidR="0071360A">
        <w:t>руп</w:t>
      </w:r>
      <w:r>
        <w:t>и</w:t>
      </w:r>
      <w:r w:rsidR="001F0DA9" w:rsidRPr="00F6340E">
        <w:t>;</w:t>
      </w:r>
    </w:p>
    <w:p w14:paraId="3E51079C" w14:textId="7DBF3F3E" w:rsidR="0039585F" w:rsidRPr="00F6340E" w:rsidRDefault="0071360A" w:rsidP="00FA4DC9">
      <w:pPr>
        <w:pStyle w:val="Bulletlist"/>
      </w:pPr>
      <w:r>
        <w:t>Р</w:t>
      </w:r>
      <w:r w:rsidR="00A56E08">
        <w:t>а</w:t>
      </w:r>
      <w:r w:rsidR="00171F00">
        <w:t>з</w:t>
      </w:r>
      <w:r w:rsidR="00A56E08">
        <w:t>мј</w:t>
      </w:r>
      <w:r w:rsidR="00EE6AA2">
        <w:t>е</w:t>
      </w:r>
      <w:r w:rsidR="00A56E08">
        <w:t>на</w:t>
      </w:r>
      <w:r w:rsidR="001F0DA9" w:rsidRPr="00F6340E">
        <w:t xml:space="preserve"> </w:t>
      </w:r>
      <w:r w:rsidR="00A56E08">
        <w:t>и</w:t>
      </w:r>
      <w:r>
        <w:t>с</w:t>
      </w:r>
      <w:r w:rsidR="00A56E08">
        <w:t>к</w:t>
      </w:r>
      <w:r>
        <w:t>уст</w:t>
      </w:r>
      <w:r w:rsidR="00A56E08">
        <w:t>а</w:t>
      </w:r>
      <w:r>
        <w:t>в</w:t>
      </w:r>
      <w:r w:rsidR="00A56E08">
        <w:t>а</w:t>
      </w:r>
      <w:r w:rsidR="001F0DA9" w:rsidRPr="00F6340E">
        <w:t xml:space="preserve"> </w:t>
      </w:r>
      <w:r w:rsidR="00A56E08">
        <w:t>на</w:t>
      </w:r>
      <w:r w:rsidR="001F0DA9" w:rsidRPr="00F6340E">
        <w:t xml:space="preserve"> </w:t>
      </w:r>
      <w:r w:rsidR="00A56E08">
        <w:t>фо</w:t>
      </w:r>
      <w:r>
        <w:t>ру</w:t>
      </w:r>
      <w:r w:rsidR="00A56E08">
        <w:t>мима</w:t>
      </w:r>
      <w:r w:rsidR="001F0DA9" w:rsidRPr="00F6340E">
        <w:t>;</w:t>
      </w:r>
    </w:p>
    <w:p w14:paraId="4F9830CE" w14:textId="76BBC24B" w:rsidR="0039585F" w:rsidRPr="00FA4DC9" w:rsidRDefault="00A56E08" w:rsidP="00FA4DC9">
      <w:pPr>
        <w:pStyle w:val="Bulletlist"/>
      </w:pPr>
      <w:r>
        <w:lastRenderedPageBreak/>
        <w:t>К</w:t>
      </w:r>
      <w:r w:rsidR="0071360A">
        <w:t>р</w:t>
      </w:r>
      <w:r w:rsidR="00EE6AA2">
        <w:t>е</w:t>
      </w:r>
      <w:r>
        <w:t>и</w:t>
      </w:r>
      <w:r w:rsidR="0071360A">
        <w:t>р</w:t>
      </w:r>
      <w:r>
        <w:t>ањ</w:t>
      </w:r>
      <w:r w:rsidR="00EE6AA2">
        <w:t>е</w:t>
      </w:r>
      <w:r w:rsidR="0039585F" w:rsidRPr="00F6340E">
        <w:t xml:space="preserve"> </w:t>
      </w:r>
      <w:r>
        <w:t>ма</w:t>
      </w:r>
      <w:r w:rsidR="0071360A">
        <w:t>с</w:t>
      </w:r>
      <w:r>
        <w:t>о</w:t>
      </w:r>
      <w:r w:rsidR="0071360A">
        <w:t>в</w:t>
      </w:r>
      <w:r>
        <w:t>них</w:t>
      </w:r>
      <w:r w:rsidR="0039585F" w:rsidRPr="00F6340E">
        <w:t xml:space="preserve"> </w:t>
      </w:r>
      <w:r>
        <w:t>о</w:t>
      </w:r>
      <w:r w:rsidR="0071360A">
        <w:t>тв</w:t>
      </w:r>
      <w:r>
        <w:t>о</w:t>
      </w:r>
      <w:r w:rsidR="0071360A">
        <w:t>р</w:t>
      </w:r>
      <w:r w:rsidR="00EE6AA2">
        <w:t>е</w:t>
      </w:r>
      <w:r>
        <w:t>них</w:t>
      </w:r>
      <w:r w:rsidR="0039585F" w:rsidRPr="00F6340E">
        <w:t xml:space="preserve"> </w:t>
      </w:r>
      <w:r>
        <w:t>к</w:t>
      </w:r>
      <w:r w:rsidR="0071360A">
        <w:t>урс</w:t>
      </w:r>
      <w:r w:rsidR="00EE6AA2">
        <w:t>е</w:t>
      </w:r>
      <w:r w:rsidR="0071360A">
        <w:t>в</w:t>
      </w:r>
      <w:r>
        <w:t>а</w:t>
      </w:r>
      <w:r w:rsidR="0039585F" w:rsidRPr="00F6340E">
        <w:t xml:space="preserve"> </w:t>
      </w:r>
      <w:r w:rsidR="0071360A">
        <w:t>пут</w:t>
      </w:r>
      <w:r w:rsidR="00EE6AA2">
        <w:t>е</w:t>
      </w:r>
      <w:r>
        <w:t>м</w:t>
      </w:r>
      <w:r w:rsidR="00F22500" w:rsidRPr="00F6340E">
        <w:t xml:space="preserve"> </w:t>
      </w:r>
      <w:r>
        <w:t>ин</w:t>
      </w:r>
      <w:r w:rsidR="0071360A">
        <w:t>т</w:t>
      </w:r>
      <w:r w:rsidR="00EE6AA2">
        <w:t>е</w:t>
      </w:r>
      <w:r w:rsidR="0071360A">
        <w:t>р</w:t>
      </w:r>
      <w:r>
        <w:t>н</w:t>
      </w:r>
      <w:r w:rsidR="00EE6AA2">
        <w:t>е</w:t>
      </w:r>
      <w:r w:rsidR="0071360A">
        <w:t>т</w:t>
      </w:r>
      <w:r>
        <w:t>а</w:t>
      </w:r>
      <w:r w:rsidR="00F22500" w:rsidRPr="00F6340E">
        <w:t xml:space="preserve"> </w:t>
      </w:r>
      <w:r w:rsidR="00171F00">
        <w:t>з</w:t>
      </w:r>
      <w:r>
        <w:t>а</w:t>
      </w:r>
      <w:r w:rsidR="001F0DA9" w:rsidRPr="00F6340E">
        <w:t xml:space="preserve"> </w:t>
      </w:r>
      <w:r w:rsidR="0071360A">
        <w:t>у</w:t>
      </w:r>
      <w:r>
        <w:t>ч</w:t>
      </w:r>
      <w:r w:rsidR="00EE6AA2">
        <w:t>е</w:t>
      </w:r>
      <w:r>
        <w:t>ник</w:t>
      </w:r>
      <w:r w:rsidR="00EE6AA2">
        <w:t>е</w:t>
      </w:r>
      <w:r w:rsidR="001F0DA9" w:rsidRPr="00F6340E">
        <w:t xml:space="preserve"> </w:t>
      </w:r>
      <w:r>
        <w:t>и</w:t>
      </w:r>
      <w:r w:rsidR="001F0DA9" w:rsidRPr="00F6340E">
        <w:t xml:space="preserve"> </w:t>
      </w:r>
      <w:r w:rsidR="00171F00">
        <w:t>з</w:t>
      </w:r>
      <w:r>
        <w:t>а</w:t>
      </w:r>
      <w:r w:rsidR="001F0DA9" w:rsidRPr="00F6340E">
        <w:t xml:space="preserve"> </w:t>
      </w:r>
      <w:r>
        <w:t>на</w:t>
      </w:r>
      <w:r w:rsidR="0071360A">
        <w:t>ст</w:t>
      </w:r>
      <w:r>
        <w:t>а</w:t>
      </w:r>
      <w:r w:rsidR="0071360A">
        <w:t>в</w:t>
      </w:r>
      <w:r>
        <w:t>ник</w:t>
      </w:r>
      <w:r w:rsidR="00EE6AA2">
        <w:t>е</w:t>
      </w:r>
      <w:r w:rsidR="001F0DA9" w:rsidRPr="00F6340E">
        <w:t xml:space="preserve"> (</w:t>
      </w:r>
      <w:r>
        <w:t>МООЦ</w:t>
      </w:r>
      <w:r w:rsidR="0039585F" w:rsidRPr="00F6340E">
        <w:t>).</w:t>
      </w:r>
    </w:p>
    <w:p w14:paraId="1C953856" w14:textId="7D9F42D3" w:rsidR="0039585F" w:rsidRPr="00F6340E" w:rsidRDefault="0071360A" w:rsidP="00FA4DC9">
      <w:pPr>
        <w:pStyle w:val="Body"/>
      </w:pPr>
      <w:r>
        <w:t>Пр</w:t>
      </w:r>
      <w:r w:rsidR="00A56E08">
        <w:t>иликом</w:t>
      </w:r>
      <w:r w:rsidR="0039585F" w:rsidRPr="00F6340E">
        <w:t xml:space="preserve"> </w:t>
      </w:r>
      <w:r w:rsidR="00A56E08">
        <w:t>и</w:t>
      </w:r>
      <w:r w:rsidR="00171F00">
        <w:t>з</w:t>
      </w:r>
      <w:r w:rsidR="00A56E08">
        <w:t>бо</w:t>
      </w:r>
      <w:r>
        <w:t>р</w:t>
      </w:r>
      <w:r w:rsidR="00A56E08">
        <w:t>а</w:t>
      </w:r>
      <w:r w:rsidR="0039585F" w:rsidRPr="00F6340E">
        <w:t xml:space="preserve"> </w:t>
      </w:r>
      <w:r w:rsidR="00A56E08">
        <w:t>ЛМ</w:t>
      </w:r>
      <w:r>
        <w:t>С</w:t>
      </w:r>
      <w:r w:rsidR="0039585F" w:rsidRPr="00F6340E">
        <w:t>-</w:t>
      </w:r>
      <w:r w:rsidR="00A56E08">
        <w:t>а</w:t>
      </w:r>
      <w:r w:rsidR="0039585F" w:rsidRPr="00F6340E">
        <w:t xml:space="preserve"> </w:t>
      </w:r>
      <w:r>
        <w:t>тр</w:t>
      </w:r>
      <w:r w:rsidR="00EE6AA2">
        <w:t>е</w:t>
      </w:r>
      <w:r w:rsidR="00A56E08">
        <w:t>ба</w:t>
      </w:r>
      <w:r w:rsidR="0039585F" w:rsidRPr="00F6340E">
        <w:t xml:space="preserve"> </w:t>
      </w:r>
      <w:r w:rsidR="00A56E08">
        <w:t>об</w:t>
      </w:r>
      <w:r>
        <w:t>р</w:t>
      </w:r>
      <w:r w:rsidR="00A56E08">
        <w:t>а</w:t>
      </w:r>
      <w:r>
        <w:t>т</w:t>
      </w:r>
      <w:r w:rsidR="00A56E08">
        <w:t>и</w:t>
      </w:r>
      <w:r>
        <w:t>т</w:t>
      </w:r>
      <w:r w:rsidR="00A56E08">
        <w:t>и</w:t>
      </w:r>
      <w:r w:rsidR="0039585F" w:rsidRPr="00F6340E">
        <w:t xml:space="preserve"> </w:t>
      </w:r>
      <w:r>
        <w:t>п</w:t>
      </w:r>
      <w:r w:rsidR="00A56E08">
        <w:t>а</w:t>
      </w:r>
      <w:r w:rsidR="00171F00">
        <w:t>ж</w:t>
      </w:r>
      <w:r w:rsidR="00A56E08">
        <w:t>њ</w:t>
      </w:r>
      <w:r>
        <w:t>у</w:t>
      </w:r>
      <w:r w:rsidR="0039585F" w:rsidRPr="00F6340E">
        <w:t xml:space="preserve"> </w:t>
      </w:r>
      <w:r w:rsidR="00A56E08">
        <w:t>на</w:t>
      </w:r>
      <w:r w:rsidR="0039585F" w:rsidRPr="00F6340E">
        <w:t xml:space="preserve"> </w:t>
      </w:r>
      <w:r>
        <w:t>с</w:t>
      </w:r>
      <w:r w:rsidR="00A56E08">
        <w:t>љ</w:t>
      </w:r>
      <w:r w:rsidR="00EE6AA2">
        <w:t>е</w:t>
      </w:r>
      <w:r w:rsidR="00A56E08">
        <w:t>д</w:t>
      </w:r>
      <w:r w:rsidR="00EE6AA2">
        <w:t>е</w:t>
      </w:r>
      <w:r w:rsidR="00A56E08">
        <w:t>ћ</w:t>
      </w:r>
      <w:r w:rsidR="00EE6AA2">
        <w:t>е</w:t>
      </w:r>
      <w:r w:rsidR="0039585F" w:rsidRPr="00F6340E">
        <w:t xml:space="preserve"> </w:t>
      </w:r>
      <w:r w:rsidR="00A56E08">
        <w:t>минималн</w:t>
      </w:r>
      <w:r w:rsidR="00EE6AA2">
        <w:t>е</w:t>
      </w:r>
      <w:r w:rsidR="0039585F" w:rsidRPr="00F6340E">
        <w:t xml:space="preserve"> </w:t>
      </w:r>
      <w:r w:rsidR="00A56E08">
        <w:t>ка</w:t>
      </w:r>
      <w:r>
        <w:t>р</w:t>
      </w:r>
      <w:r w:rsidR="00A56E08">
        <w:t>ак</w:t>
      </w:r>
      <w:r>
        <w:t>т</w:t>
      </w:r>
      <w:r w:rsidR="00EE6AA2">
        <w:t>е</w:t>
      </w:r>
      <w:r>
        <w:t>р</w:t>
      </w:r>
      <w:r w:rsidR="00A56E08">
        <w:t>и</w:t>
      </w:r>
      <w:r>
        <w:t>ст</w:t>
      </w:r>
      <w:r w:rsidR="00A56E08">
        <w:t>ик</w:t>
      </w:r>
      <w:r w:rsidR="00EE6AA2">
        <w:t>е</w:t>
      </w:r>
      <w:r w:rsidR="0039585F" w:rsidRPr="00F6340E">
        <w:t>:</w:t>
      </w:r>
    </w:p>
    <w:p w14:paraId="239F0B7E" w14:textId="72962454" w:rsidR="0039585F" w:rsidRPr="00F6340E" w:rsidRDefault="00A56E08" w:rsidP="00FA4DC9">
      <w:pPr>
        <w:pStyle w:val="Bulletlist"/>
      </w:pPr>
      <w:r>
        <w:t>Мог</w:t>
      </w:r>
      <w:r w:rsidR="0071360A">
        <w:t>у</w:t>
      </w:r>
      <w:r>
        <w:t>ћно</w:t>
      </w:r>
      <w:r w:rsidR="0071360A">
        <w:t>ст</w:t>
      </w:r>
      <w:r>
        <w:t>и</w:t>
      </w:r>
      <w:r w:rsidR="0039585F" w:rsidRPr="00F6340E">
        <w:t xml:space="preserve"> </w:t>
      </w:r>
      <w:r w:rsidR="0071360A">
        <w:t>пр</w:t>
      </w:r>
      <w:r>
        <w:t>и</w:t>
      </w:r>
      <w:r w:rsidR="0071360A">
        <w:t>ступ</w:t>
      </w:r>
      <w:r>
        <w:t>а</w:t>
      </w:r>
      <w:r w:rsidR="0039585F" w:rsidRPr="00F6340E">
        <w:t xml:space="preserve"> 24/7,</w:t>
      </w:r>
    </w:p>
    <w:p w14:paraId="2788A8DB" w14:textId="570D6670" w:rsidR="0039585F" w:rsidRPr="00F6340E" w:rsidRDefault="00A56E08" w:rsidP="00FA4DC9">
      <w:pPr>
        <w:pStyle w:val="Bulletlist"/>
      </w:pPr>
      <w:r>
        <w:t>Мог</w:t>
      </w:r>
      <w:r w:rsidR="0071360A">
        <w:t>у</w:t>
      </w:r>
      <w:r>
        <w:t>ћно</w:t>
      </w:r>
      <w:r w:rsidR="0071360A">
        <w:t>ст</w:t>
      </w:r>
      <w:r w:rsidR="0039585F" w:rsidRPr="00F6340E">
        <w:t xml:space="preserve"> </w:t>
      </w:r>
      <w:r w:rsidR="0071360A">
        <w:t>п</w:t>
      </w:r>
      <w:r>
        <w:t>о</w:t>
      </w:r>
      <w:r w:rsidR="0071360A">
        <w:t>в</w:t>
      </w:r>
      <w:r w:rsidR="00EE6AA2">
        <w:t>е</w:t>
      </w:r>
      <w:r w:rsidR="00171F00">
        <w:t>з</w:t>
      </w:r>
      <w:r>
        <w:t>и</w:t>
      </w:r>
      <w:r w:rsidR="0071360A">
        <w:t>в</w:t>
      </w:r>
      <w:r>
        <w:t>ања</w:t>
      </w:r>
      <w:r w:rsidR="0039585F" w:rsidRPr="00F6340E">
        <w:t xml:space="preserve"> </w:t>
      </w:r>
      <w:r w:rsidR="0071360A">
        <w:t>с</w:t>
      </w:r>
      <w:r>
        <w:t>а</w:t>
      </w:r>
      <w:r w:rsidR="0039585F" w:rsidRPr="00F6340E">
        <w:t xml:space="preserve"> </w:t>
      </w:r>
      <w:r>
        <w:t>им</w:t>
      </w:r>
      <w:r w:rsidR="0071360A">
        <w:t>п</w:t>
      </w:r>
      <w:r>
        <w:t>л</w:t>
      </w:r>
      <w:r w:rsidR="00EE6AA2">
        <w:t>е</w:t>
      </w:r>
      <w:r>
        <w:t>м</w:t>
      </w:r>
      <w:r w:rsidR="00EE6AA2">
        <w:t>е</w:t>
      </w:r>
      <w:r>
        <w:t>н</w:t>
      </w:r>
      <w:r w:rsidR="0071360A">
        <w:t>т</w:t>
      </w:r>
      <w:r>
        <w:t>и</w:t>
      </w:r>
      <w:r w:rsidR="0071360A">
        <w:t>р</w:t>
      </w:r>
      <w:r>
        <w:t>аном</w:t>
      </w:r>
      <w:r w:rsidR="0039585F" w:rsidRPr="00F6340E">
        <w:t xml:space="preserve"> </w:t>
      </w:r>
      <w:r w:rsidR="0071360A">
        <w:t>п</w:t>
      </w:r>
      <w:r>
        <w:t>ла</w:t>
      </w:r>
      <w:r w:rsidR="0071360A">
        <w:t>т</w:t>
      </w:r>
      <w:r>
        <w:t>фо</w:t>
      </w:r>
      <w:r w:rsidR="0071360A">
        <w:t>р</w:t>
      </w:r>
      <w:r>
        <w:t>мом</w:t>
      </w:r>
      <w:r w:rsidR="0039585F" w:rsidRPr="00F6340E">
        <w:t xml:space="preserve"> (</w:t>
      </w:r>
      <w:r w:rsidR="0071360A">
        <w:t>СС</w:t>
      </w:r>
      <w:r>
        <w:t>О</w:t>
      </w:r>
      <w:r w:rsidR="0039585F" w:rsidRPr="00F6340E">
        <w:t xml:space="preserve">, </w:t>
      </w:r>
      <w:r w:rsidR="000010C5">
        <w:rPr>
          <w:lang w:val="hr-BA"/>
        </w:rPr>
        <w:t>OpenID concept</w:t>
      </w:r>
      <w:r w:rsidR="0039585F" w:rsidRPr="00F6340E">
        <w:t>),</w:t>
      </w:r>
    </w:p>
    <w:p w14:paraId="40C2A95C" w14:textId="5B5BCF18" w:rsidR="0039585F" w:rsidRPr="00F6340E" w:rsidRDefault="00A56E08" w:rsidP="00FA4DC9">
      <w:pPr>
        <w:pStyle w:val="Bulletlist"/>
      </w:pPr>
      <w:r>
        <w:t>Ком</w:t>
      </w:r>
      <w:r w:rsidR="0071360A">
        <w:t>п</w:t>
      </w:r>
      <w:r>
        <w:t>а</w:t>
      </w:r>
      <w:r w:rsidR="0071360A">
        <w:t>т</w:t>
      </w:r>
      <w:r>
        <w:t>ибилно</w:t>
      </w:r>
      <w:r w:rsidR="0071360A">
        <w:t>ст</w:t>
      </w:r>
      <w:r w:rsidR="0039585F" w:rsidRPr="00F6340E">
        <w:t xml:space="preserve"> </w:t>
      </w:r>
      <w:r w:rsidR="0071360A">
        <w:t>с</w:t>
      </w:r>
      <w:r>
        <w:t>а</w:t>
      </w:r>
      <w:r w:rsidR="0039585F" w:rsidRPr="00F6340E">
        <w:t xml:space="preserve"> </w:t>
      </w:r>
      <w:r w:rsidR="0071360A">
        <w:t>С</w:t>
      </w:r>
      <w:r>
        <w:t>Ц</w:t>
      </w:r>
      <w:r w:rsidR="0071360A">
        <w:t>Р</w:t>
      </w:r>
      <w:r>
        <w:t>ОМ</w:t>
      </w:r>
      <w:r w:rsidR="0039585F" w:rsidRPr="00F6340E">
        <w:t xml:space="preserve"> (</w:t>
      </w:r>
      <w:r w:rsidR="000010C5">
        <w:rPr>
          <w:lang w:val="hr-BA"/>
        </w:rPr>
        <w:t>Sharable content object reference model</w:t>
      </w:r>
      <w:r w:rsidR="0039585F" w:rsidRPr="00F6340E">
        <w:t>),</w:t>
      </w:r>
    </w:p>
    <w:p w14:paraId="06E7F30F" w14:textId="4852CD0E" w:rsidR="0039585F" w:rsidRPr="00F6340E" w:rsidRDefault="0071360A" w:rsidP="00FA4DC9">
      <w:pPr>
        <w:pStyle w:val="Bulletlist"/>
      </w:pPr>
      <w:r>
        <w:t>П</w:t>
      </w:r>
      <w:r w:rsidR="00A56E08">
        <w:t>о</w:t>
      </w:r>
      <w:r>
        <w:t>ст</w:t>
      </w:r>
      <w:r w:rsidR="00A56E08">
        <w:t>а</w:t>
      </w:r>
      <w:r>
        <w:t>в</w:t>
      </w:r>
      <w:r w:rsidR="00A56E08">
        <w:t>љањ</w:t>
      </w:r>
      <w:r w:rsidR="00EE6AA2">
        <w:t>е</w:t>
      </w:r>
      <w:r w:rsidR="0039585F" w:rsidRPr="00F6340E">
        <w:t xml:space="preserve"> </w:t>
      </w:r>
      <w:r w:rsidR="00EE6AA2">
        <w:t>е</w:t>
      </w:r>
      <w:r w:rsidR="00A56E08">
        <w:t>л</w:t>
      </w:r>
      <w:r w:rsidR="00EE6AA2">
        <w:t>е</w:t>
      </w:r>
      <w:r w:rsidR="00A56E08">
        <w:t>к</w:t>
      </w:r>
      <w:r>
        <w:t>тр</w:t>
      </w:r>
      <w:r w:rsidR="00A56E08">
        <w:t>он</w:t>
      </w:r>
      <w:r>
        <w:t>с</w:t>
      </w:r>
      <w:r w:rsidR="00A56E08">
        <w:t>ког</w:t>
      </w:r>
      <w:r w:rsidR="0039585F" w:rsidRPr="00F6340E">
        <w:t xml:space="preserve"> </w:t>
      </w:r>
      <w:r w:rsidR="00A56E08">
        <w:t>ма</w:t>
      </w:r>
      <w:r>
        <w:t>т</w:t>
      </w:r>
      <w:r w:rsidR="00EE6AA2">
        <w:t>е</w:t>
      </w:r>
      <w:r>
        <w:t>р</w:t>
      </w:r>
      <w:r w:rsidR="00A56E08">
        <w:t>ијала</w:t>
      </w:r>
      <w:r w:rsidR="0039585F" w:rsidRPr="00F6340E">
        <w:t xml:space="preserve"> </w:t>
      </w:r>
      <w:r w:rsidR="00171F00">
        <w:t>з</w:t>
      </w:r>
      <w:r w:rsidR="00A56E08">
        <w:t>а</w:t>
      </w:r>
      <w:r w:rsidR="0039585F" w:rsidRPr="00F6340E">
        <w:t xml:space="preserve"> </w:t>
      </w:r>
      <w:r>
        <w:t>у</w:t>
      </w:r>
      <w:r w:rsidR="00A56E08">
        <w:t>ч</w:t>
      </w:r>
      <w:r w:rsidR="00EE6AA2">
        <w:t>е</w:t>
      </w:r>
      <w:r w:rsidR="00A56E08">
        <w:t>њ</w:t>
      </w:r>
      <w:r w:rsidR="00EE6AA2">
        <w:t>е</w:t>
      </w:r>
      <w:r w:rsidR="0039585F" w:rsidRPr="00F6340E">
        <w:t xml:space="preserve"> </w:t>
      </w:r>
      <w:r>
        <w:t>р</w:t>
      </w:r>
      <w:r w:rsidR="00A56E08">
        <w:t>а</w:t>
      </w:r>
      <w:r w:rsidR="00171F00">
        <w:t>з</w:t>
      </w:r>
      <w:r w:rsidR="00A56E08">
        <w:t>личи</w:t>
      </w:r>
      <w:r>
        <w:t>т</w:t>
      </w:r>
      <w:r w:rsidR="00A56E08">
        <w:t>их</w:t>
      </w:r>
      <w:r w:rsidR="0039585F" w:rsidRPr="00F6340E">
        <w:t xml:space="preserve"> </w:t>
      </w:r>
      <w:r w:rsidR="00A56E08">
        <w:t>диги</w:t>
      </w:r>
      <w:r>
        <w:t>т</w:t>
      </w:r>
      <w:r w:rsidR="00A56E08">
        <w:t>алних</w:t>
      </w:r>
      <w:r w:rsidR="0039585F" w:rsidRPr="00F6340E">
        <w:t xml:space="preserve"> </w:t>
      </w:r>
      <w:r w:rsidR="00A56E08">
        <w:t>фо</w:t>
      </w:r>
      <w:r>
        <w:t>р</w:t>
      </w:r>
      <w:r w:rsidR="00A56E08">
        <w:t>ма</w:t>
      </w:r>
      <w:r>
        <w:t>т</w:t>
      </w:r>
      <w:r w:rsidR="00A56E08">
        <w:t>а</w:t>
      </w:r>
      <w:r w:rsidR="0039585F" w:rsidRPr="00F6340E">
        <w:t>,</w:t>
      </w:r>
    </w:p>
    <w:p w14:paraId="0B64489D" w14:textId="05C38AD1" w:rsidR="0039585F" w:rsidRPr="00F6340E" w:rsidRDefault="00A56E08" w:rsidP="00FA4DC9">
      <w:pPr>
        <w:pStyle w:val="Bulletlist"/>
      </w:pPr>
      <w:r>
        <w:t>Мог</w:t>
      </w:r>
      <w:r w:rsidR="0071360A">
        <w:t>у</w:t>
      </w:r>
      <w:r>
        <w:t>ћно</w:t>
      </w:r>
      <w:r w:rsidR="0071360A">
        <w:t>ст</w:t>
      </w:r>
      <w:r w:rsidR="0039585F" w:rsidRPr="00F6340E">
        <w:t xml:space="preserve"> </w:t>
      </w:r>
      <w:r>
        <w:t>о</w:t>
      </w:r>
      <w:r w:rsidR="0071360A">
        <w:t>р</w:t>
      </w:r>
      <w:r>
        <w:t>гани</w:t>
      </w:r>
      <w:r w:rsidR="00171F00">
        <w:t>з</w:t>
      </w:r>
      <w:r>
        <w:t>о</w:t>
      </w:r>
      <w:r w:rsidR="0071360A">
        <w:t>в</w:t>
      </w:r>
      <w:r>
        <w:t>ања</w:t>
      </w:r>
      <w:r w:rsidR="00F22500" w:rsidRPr="00F6340E">
        <w:t xml:space="preserve"> </w:t>
      </w:r>
      <w:r w:rsidR="0071360A">
        <w:t>с</w:t>
      </w:r>
      <w:r>
        <w:t>инх</w:t>
      </w:r>
      <w:r w:rsidR="0071360A">
        <w:t>р</w:t>
      </w:r>
      <w:r>
        <w:t>оних</w:t>
      </w:r>
      <w:r w:rsidR="0039585F" w:rsidRPr="00F6340E">
        <w:t xml:space="preserve"> </w:t>
      </w:r>
      <w:r>
        <w:t>и</w:t>
      </w:r>
      <w:r w:rsidR="0039585F" w:rsidRPr="00F6340E">
        <w:t xml:space="preserve"> </w:t>
      </w:r>
      <w:r>
        <w:t>а</w:t>
      </w:r>
      <w:r w:rsidR="0071360A">
        <w:t>с</w:t>
      </w:r>
      <w:r>
        <w:t>инх</w:t>
      </w:r>
      <w:r w:rsidR="0071360A">
        <w:t>р</w:t>
      </w:r>
      <w:r>
        <w:t>оних</w:t>
      </w:r>
      <w:r w:rsidR="0039585F" w:rsidRPr="00F6340E">
        <w:t xml:space="preserve"> </w:t>
      </w:r>
      <w:r>
        <w:t>к</w:t>
      </w:r>
      <w:r w:rsidR="0071360A">
        <w:t>урс</w:t>
      </w:r>
      <w:r w:rsidR="00EE6AA2">
        <w:t>е</w:t>
      </w:r>
      <w:r w:rsidR="0071360A">
        <w:t>в</w:t>
      </w:r>
      <w:r>
        <w:t>а</w:t>
      </w:r>
      <w:r w:rsidR="0039585F" w:rsidRPr="00F6340E">
        <w:t>,</w:t>
      </w:r>
    </w:p>
    <w:p w14:paraId="2142716C" w14:textId="4D170B36" w:rsidR="0039585F" w:rsidRPr="00F6340E" w:rsidRDefault="00A56E08" w:rsidP="00FA4DC9">
      <w:pPr>
        <w:pStyle w:val="Bulletlist"/>
      </w:pPr>
      <w:r>
        <w:t>Мог</w:t>
      </w:r>
      <w:r w:rsidR="0071360A">
        <w:t>у</w:t>
      </w:r>
      <w:r>
        <w:t>ћно</w:t>
      </w:r>
      <w:r w:rsidR="0071360A">
        <w:t>ст</w:t>
      </w:r>
      <w:r w:rsidR="0039585F" w:rsidRPr="00F6340E">
        <w:t xml:space="preserve"> </w:t>
      </w:r>
      <w:r w:rsidR="0071360A">
        <w:t>ув</w:t>
      </w:r>
      <w:r>
        <w:t>ида</w:t>
      </w:r>
      <w:r w:rsidR="0039585F" w:rsidRPr="00F6340E">
        <w:t xml:space="preserve"> </w:t>
      </w:r>
      <w:r w:rsidR="0071360A">
        <w:t>у</w:t>
      </w:r>
      <w:r w:rsidR="0039585F" w:rsidRPr="00F6340E">
        <w:t xml:space="preserve"> </w:t>
      </w:r>
      <w:r>
        <w:t>диги</w:t>
      </w:r>
      <w:r w:rsidR="0071360A">
        <w:t>т</w:t>
      </w:r>
      <w:r>
        <w:t>алн</w:t>
      </w:r>
      <w:r w:rsidR="00EE6AA2">
        <w:t>е</w:t>
      </w:r>
      <w:r w:rsidR="0039585F" w:rsidRPr="00F6340E">
        <w:t xml:space="preserve"> </w:t>
      </w:r>
      <w:r>
        <w:t>ак</w:t>
      </w:r>
      <w:r w:rsidR="0071360A">
        <w:t>т</w:t>
      </w:r>
      <w:r>
        <w:t>и</w:t>
      </w:r>
      <w:r w:rsidR="0071360A">
        <w:t>в</w:t>
      </w:r>
      <w:r>
        <w:t>но</w:t>
      </w:r>
      <w:r w:rsidR="0071360A">
        <w:t>ст</w:t>
      </w:r>
      <w:r>
        <w:t>и</w:t>
      </w:r>
      <w:r w:rsidR="0039585F" w:rsidRPr="00F6340E">
        <w:t xml:space="preserve"> </w:t>
      </w:r>
      <w:r w:rsidR="0071360A">
        <w:t>у</w:t>
      </w:r>
      <w:r>
        <w:t>ч</w:t>
      </w:r>
      <w:r w:rsidR="00EE6AA2">
        <w:t>е</w:t>
      </w:r>
      <w:r>
        <w:t>ника</w:t>
      </w:r>
      <w:r w:rsidR="0039585F" w:rsidRPr="00F6340E">
        <w:t>.</w:t>
      </w:r>
    </w:p>
    <w:p w14:paraId="26B31329" w14:textId="6FFC80EC" w:rsidR="0039585F" w:rsidRPr="00F6340E" w:rsidRDefault="00A56E08" w:rsidP="00FA4DC9">
      <w:pPr>
        <w:pStyle w:val="Body"/>
      </w:pPr>
      <w:r>
        <w:t>О</w:t>
      </w:r>
      <w:r w:rsidR="0071360A">
        <w:t>ст</w:t>
      </w:r>
      <w:r>
        <w:t>ал</w:t>
      </w:r>
      <w:r w:rsidR="00EE6AA2">
        <w:t>е</w:t>
      </w:r>
      <w:r w:rsidR="0039585F" w:rsidRPr="00F6340E">
        <w:t xml:space="preserve"> </w:t>
      </w:r>
      <w:r>
        <w:t>а</w:t>
      </w:r>
      <w:r w:rsidR="0071360A">
        <w:t>п</w:t>
      </w:r>
      <w:r>
        <w:t>лика</w:t>
      </w:r>
      <w:r w:rsidR="0071360A">
        <w:t>т</w:t>
      </w:r>
      <w:r>
        <w:t>и</w:t>
      </w:r>
      <w:r w:rsidR="0071360A">
        <w:t>в</w:t>
      </w:r>
      <w:r>
        <w:t>н</w:t>
      </w:r>
      <w:r w:rsidR="00EE6AA2">
        <w:t>е</w:t>
      </w:r>
      <w:r w:rsidR="0039585F" w:rsidRPr="00F6340E">
        <w:t xml:space="preserve"> </w:t>
      </w:r>
      <w:r w:rsidR="0071360A">
        <w:t>с</w:t>
      </w:r>
      <w:r>
        <w:t>оф</w:t>
      </w:r>
      <w:r w:rsidR="0071360A">
        <w:t>тв</w:t>
      </w:r>
      <w:r w:rsidR="00EE6AA2">
        <w:t>е</w:t>
      </w:r>
      <w:r w:rsidR="0071360A">
        <w:t>р</w:t>
      </w:r>
      <w:r w:rsidR="00EE6AA2">
        <w:t>е</w:t>
      </w:r>
      <w:r w:rsidR="0039585F" w:rsidRPr="00F6340E">
        <w:t xml:space="preserve"> </w:t>
      </w:r>
      <w:r>
        <w:t>об</w:t>
      </w:r>
      <w:r w:rsidR="0071360A">
        <w:t>р</w:t>
      </w:r>
      <w:r>
        <w:t>а</w:t>
      </w:r>
      <w:r w:rsidR="00171F00">
        <w:t>з</w:t>
      </w:r>
      <w:r>
        <w:t>о</w:t>
      </w:r>
      <w:r w:rsidR="0071360A">
        <w:t>в</w:t>
      </w:r>
      <w:r>
        <w:t>на</w:t>
      </w:r>
      <w:r w:rsidR="0039585F" w:rsidRPr="00F6340E">
        <w:t xml:space="preserve"> </w:t>
      </w:r>
      <w:r>
        <w:t>ин</w:t>
      </w:r>
      <w:r w:rsidR="0071360A">
        <w:t>ст</w:t>
      </w:r>
      <w:r>
        <w:t>и</w:t>
      </w:r>
      <w:r w:rsidR="0071360A">
        <w:t>ту</w:t>
      </w:r>
      <w:r>
        <w:t>ција</w:t>
      </w:r>
      <w:r w:rsidR="0039585F" w:rsidRPr="00F6340E">
        <w:t xml:space="preserve"> </w:t>
      </w:r>
      <w:r>
        <w:t>би</w:t>
      </w:r>
      <w:r w:rsidR="0071360A">
        <w:t>р</w:t>
      </w:r>
      <w:r>
        <w:t>а</w:t>
      </w:r>
      <w:r w:rsidR="0039585F" w:rsidRPr="00F6340E">
        <w:t xml:space="preserve"> </w:t>
      </w:r>
      <w:r>
        <w:t>на</w:t>
      </w:r>
      <w:r w:rsidR="0039585F" w:rsidRPr="00F6340E">
        <w:t xml:space="preserve"> </w:t>
      </w:r>
      <w:r>
        <w:t>о</w:t>
      </w:r>
      <w:r w:rsidR="0071360A">
        <w:t>с</w:t>
      </w:r>
      <w:r>
        <w:t>но</w:t>
      </w:r>
      <w:r w:rsidR="0071360A">
        <w:t>ву</w:t>
      </w:r>
      <w:r w:rsidR="001F0DA9" w:rsidRPr="00F6340E">
        <w:t xml:space="preserve"> </w:t>
      </w:r>
      <w:r w:rsidR="0071360A">
        <w:t>св</w:t>
      </w:r>
      <w:r>
        <w:t>ојих</w:t>
      </w:r>
      <w:r w:rsidR="001F0DA9" w:rsidRPr="00F6340E">
        <w:t xml:space="preserve"> </w:t>
      </w:r>
      <w:r w:rsidR="0071360A">
        <w:t>п</w:t>
      </w:r>
      <w:r>
        <w:t>о</w:t>
      </w:r>
      <w:r w:rsidR="0071360A">
        <w:t>тр</w:t>
      </w:r>
      <w:r w:rsidR="00EE6AA2">
        <w:t>е</w:t>
      </w:r>
      <w:r>
        <w:t>ба</w:t>
      </w:r>
      <w:r w:rsidR="001F0DA9" w:rsidRPr="00F6340E">
        <w:t xml:space="preserve">. </w:t>
      </w:r>
      <w:r w:rsidR="0071360A">
        <w:t>Сп</w:t>
      </w:r>
      <w:r w:rsidR="00EE6AA2">
        <w:t>е</w:t>
      </w:r>
      <w:r>
        <w:t>цијали</w:t>
      </w:r>
      <w:r w:rsidR="00171F00">
        <w:t>з</w:t>
      </w:r>
      <w:r>
        <w:t>о</w:t>
      </w:r>
      <w:r w:rsidR="0071360A">
        <w:t>в</w:t>
      </w:r>
      <w:r>
        <w:t>ани</w:t>
      </w:r>
      <w:r w:rsidR="0039585F" w:rsidRPr="00F6340E">
        <w:t xml:space="preserve"> </w:t>
      </w:r>
      <w:r>
        <w:t>а</w:t>
      </w:r>
      <w:r w:rsidR="0071360A">
        <w:t>п</w:t>
      </w:r>
      <w:r>
        <w:t>лика</w:t>
      </w:r>
      <w:r w:rsidR="0071360A">
        <w:t>т</w:t>
      </w:r>
      <w:r>
        <w:t>и</w:t>
      </w:r>
      <w:r w:rsidR="0071360A">
        <w:t>в</w:t>
      </w:r>
      <w:r>
        <w:t>ни</w:t>
      </w:r>
      <w:r w:rsidR="0039585F" w:rsidRPr="00F6340E">
        <w:t xml:space="preserve"> </w:t>
      </w:r>
      <w:r w:rsidR="0071360A">
        <w:t>с</w:t>
      </w:r>
      <w:r>
        <w:t>оф</w:t>
      </w:r>
      <w:r w:rsidR="0071360A">
        <w:t>тв</w:t>
      </w:r>
      <w:r w:rsidR="00EE6AA2">
        <w:t>е</w:t>
      </w:r>
      <w:r w:rsidR="0071360A">
        <w:t>р</w:t>
      </w:r>
      <w:r>
        <w:t>и</w:t>
      </w:r>
      <w:r w:rsidR="0039585F" w:rsidRPr="00F6340E">
        <w:t xml:space="preserve"> </w:t>
      </w:r>
      <w:r w:rsidR="0071360A">
        <w:t>пр</w:t>
      </w:r>
      <w:r>
        <w:t>имј</w:t>
      </w:r>
      <w:r w:rsidR="00EE6AA2">
        <w:t>е</w:t>
      </w:r>
      <w:r>
        <w:t>њи</w:t>
      </w:r>
      <w:r w:rsidR="0071360A">
        <w:t>в</w:t>
      </w:r>
      <w:r>
        <w:t>и</w:t>
      </w:r>
      <w:r w:rsidR="00CA2798" w:rsidRPr="00F6340E">
        <w:t xml:space="preserve"> </w:t>
      </w:r>
      <w:r w:rsidR="0071360A">
        <w:t>су</w:t>
      </w:r>
      <w:r w:rsidR="00CA2798" w:rsidRPr="00F6340E">
        <w:t xml:space="preserve"> </w:t>
      </w:r>
      <w:r w:rsidR="00171F00">
        <w:t>з</w:t>
      </w:r>
      <w:r>
        <w:t>а</w:t>
      </w:r>
      <w:r w:rsidR="00CA2798" w:rsidRPr="00F6340E">
        <w:t xml:space="preserve"> </w:t>
      </w:r>
      <w:r w:rsidR="0071360A">
        <w:t>св</w:t>
      </w:r>
      <w:r w:rsidR="00EE6AA2">
        <w:t>е</w:t>
      </w:r>
      <w:r w:rsidR="00CA2798" w:rsidRPr="00F6340E">
        <w:t xml:space="preserve"> </w:t>
      </w:r>
      <w:r>
        <w:t>ни</w:t>
      </w:r>
      <w:r w:rsidR="0071360A">
        <w:t>в</w:t>
      </w:r>
      <w:r>
        <w:t>о</w:t>
      </w:r>
      <w:r w:rsidR="00EE6AA2">
        <w:t>е</w:t>
      </w:r>
      <w:r w:rsidR="00CA2798" w:rsidRPr="00F6340E">
        <w:t xml:space="preserve"> </w:t>
      </w:r>
      <w:r>
        <w:t>об</w:t>
      </w:r>
      <w:r w:rsidR="0071360A">
        <w:t>р</w:t>
      </w:r>
      <w:r>
        <w:t>а</w:t>
      </w:r>
      <w:r w:rsidR="00171F00">
        <w:t>з</w:t>
      </w:r>
      <w:r>
        <w:t>о</w:t>
      </w:r>
      <w:r w:rsidR="0071360A">
        <w:t>в</w:t>
      </w:r>
      <w:r>
        <w:t>ања</w:t>
      </w:r>
      <w:r w:rsidR="00F22500" w:rsidRPr="00F6340E">
        <w:t>,</w:t>
      </w:r>
      <w:r w:rsidR="00CA2798" w:rsidRPr="00F6340E">
        <w:t xml:space="preserve"> </w:t>
      </w:r>
      <w:r>
        <w:t>а</w:t>
      </w:r>
      <w:r w:rsidR="00CA2798" w:rsidRPr="00F6340E">
        <w:t xml:space="preserve"> </w:t>
      </w:r>
      <w:r>
        <w:t>мог</w:t>
      </w:r>
      <w:r w:rsidR="0071360A">
        <w:t>у</w:t>
      </w:r>
      <w:r w:rsidR="0039585F" w:rsidRPr="00F6340E">
        <w:t xml:space="preserve"> </w:t>
      </w:r>
      <w:r>
        <w:t>би</w:t>
      </w:r>
      <w:r w:rsidR="0071360A">
        <w:t>т</w:t>
      </w:r>
      <w:r>
        <w:t>и</w:t>
      </w:r>
      <w:r w:rsidR="0039585F" w:rsidRPr="00F6340E">
        <w:t xml:space="preserve"> </w:t>
      </w:r>
      <w:r>
        <w:t>ин</w:t>
      </w:r>
      <w:r w:rsidR="0071360A">
        <w:t>ст</w:t>
      </w:r>
      <w:r>
        <w:t>али</w:t>
      </w:r>
      <w:r w:rsidR="0071360A">
        <w:t>с</w:t>
      </w:r>
      <w:r>
        <w:t>ани</w:t>
      </w:r>
      <w:r w:rsidR="0039585F" w:rsidRPr="00F6340E">
        <w:t xml:space="preserve"> </w:t>
      </w:r>
      <w:r>
        <w:t>на</w:t>
      </w:r>
      <w:r w:rsidR="0039585F" w:rsidRPr="00F6340E">
        <w:t xml:space="preserve"> </w:t>
      </w:r>
      <w:r w:rsidR="0071360A">
        <w:t>р</w:t>
      </w:r>
      <w:r>
        <w:t>ач</w:t>
      </w:r>
      <w:r w:rsidR="0071360A">
        <w:t>у</w:t>
      </w:r>
      <w:r>
        <w:t>на</w:t>
      </w:r>
      <w:r w:rsidR="0071360A">
        <w:t>р</w:t>
      </w:r>
      <w:r>
        <w:t>има</w:t>
      </w:r>
      <w:r w:rsidR="0039585F" w:rsidRPr="00F6340E">
        <w:t xml:space="preserve"> </w:t>
      </w:r>
      <w:r>
        <w:t>који</w:t>
      </w:r>
      <w:r w:rsidR="0039585F" w:rsidRPr="00F6340E">
        <w:t xml:space="preserve"> </w:t>
      </w:r>
      <w:r w:rsidR="0071360A">
        <w:t>с</w:t>
      </w:r>
      <w:r w:rsidR="00EE6AA2">
        <w:t>е</w:t>
      </w:r>
      <w:r w:rsidR="0039585F" w:rsidRPr="00F6340E">
        <w:t xml:space="preserve"> </w:t>
      </w:r>
      <w:r>
        <w:t>ко</w:t>
      </w:r>
      <w:r w:rsidR="0071360A">
        <w:t>р</w:t>
      </w:r>
      <w:r>
        <w:t>и</w:t>
      </w:r>
      <w:r w:rsidR="0071360A">
        <w:t>ст</w:t>
      </w:r>
      <w:r w:rsidR="00EE6AA2">
        <w:t>е</w:t>
      </w:r>
      <w:r w:rsidR="0039585F" w:rsidRPr="00F6340E">
        <w:t xml:space="preserve"> </w:t>
      </w:r>
      <w:r w:rsidR="0071360A">
        <w:t>у</w:t>
      </w:r>
      <w:r w:rsidR="0039585F" w:rsidRPr="00F6340E">
        <w:t xml:space="preserve"> </w:t>
      </w:r>
      <w:r>
        <w:t>канц</w:t>
      </w:r>
      <w:r w:rsidR="00EE6AA2">
        <w:t>е</w:t>
      </w:r>
      <w:r>
        <w:t>ла</w:t>
      </w:r>
      <w:r w:rsidR="0071360A">
        <w:t>р</w:t>
      </w:r>
      <w:r>
        <w:t>ијама</w:t>
      </w:r>
      <w:r w:rsidR="0039585F" w:rsidRPr="00F6340E">
        <w:t xml:space="preserve">, </w:t>
      </w:r>
      <w:r>
        <w:t>библио</w:t>
      </w:r>
      <w:r w:rsidR="0071360A">
        <w:t>т</w:t>
      </w:r>
      <w:r w:rsidR="00EE6AA2">
        <w:t>е</w:t>
      </w:r>
      <w:r>
        <w:t>ци</w:t>
      </w:r>
      <w:r w:rsidR="0039585F" w:rsidRPr="00F6340E">
        <w:t xml:space="preserve">, </w:t>
      </w:r>
      <w:r w:rsidR="0071360A">
        <w:t>у</w:t>
      </w:r>
      <w:r>
        <w:t>чионицама</w:t>
      </w:r>
      <w:r w:rsidR="0039585F" w:rsidRPr="00F6340E">
        <w:t xml:space="preserve">, </w:t>
      </w:r>
      <w:r w:rsidR="0071360A">
        <w:t>у</w:t>
      </w:r>
      <w:r>
        <w:t>чионицама</w:t>
      </w:r>
      <w:r w:rsidR="00F22500" w:rsidRPr="00F6340E">
        <w:t xml:space="preserve"> </w:t>
      </w:r>
      <w:r w:rsidR="00171F00">
        <w:t>з</w:t>
      </w:r>
      <w:r>
        <w:t>а</w:t>
      </w:r>
      <w:r w:rsidR="0039585F" w:rsidRPr="00F6340E">
        <w:t xml:space="preserve"> </w:t>
      </w:r>
      <w:r>
        <w:t>инфо</w:t>
      </w:r>
      <w:r w:rsidR="0071360A">
        <w:t>р</w:t>
      </w:r>
      <w:r>
        <w:t>ма</w:t>
      </w:r>
      <w:r w:rsidR="0071360A">
        <w:t>т</w:t>
      </w:r>
      <w:r>
        <w:t>ик</w:t>
      </w:r>
      <w:r w:rsidR="0071360A">
        <w:t>у</w:t>
      </w:r>
      <w:r w:rsidR="0039585F" w:rsidRPr="00F6340E">
        <w:t xml:space="preserve">, </w:t>
      </w:r>
      <w:r w:rsidR="0071360A">
        <w:t>стру</w:t>
      </w:r>
      <w:r>
        <w:t>чним</w:t>
      </w:r>
      <w:r w:rsidR="0039585F" w:rsidRPr="00F6340E">
        <w:t xml:space="preserve"> </w:t>
      </w:r>
      <w:r w:rsidR="0071360A">
        <w:t>пр</w:t>
      </w:r>
      <w:r w:rsidR="00EE6AA2">
        <w:t>е</w:t>
      </w:r>
      <w:r>
        <w:t>дм</w:t>
      </w:r>
      <w:r w:rsidR="00EE6AA2">
        <w:t>е</w:t>
      </w:r>
      <w:r w:rsidR="0071360A">
        <w:t>т</w:t>
      </w:r>
      <w:r>
        <w:t>има</w:t>
      </w:r>
      <w:r w:rsidR="0039585F" w:rsidRPr="00F6340E">
        <w:t xml:space="preserve"> </w:t>
      </w:r>
      <w:r w:rsidR="00171F00">
        <w:t>з</w:t>
      </w:r>
      <w:r>
        <w:t>а</w:t>
      </w:r>
      <w:r w:rsidR="0039585F" w:rsidRPr="00F6340E">
        <w:t xml:space="preserve"> </w:t>
      </w:r>
      <w:r w:rsidR="0071360A">
        <w:t>ср</w:t>
      </w:r>
      <w:r w:rsidR="00EE6AA2">
        <w:t>е</w:t>
      </w:r>
      <w:r>
        <w:t>дњ</w:t>
      </w:r>
      <w:r w:rsidR="00EE6AA2">
        <w:t>е</w:t>
      </w:r>
      <w:r w:rsidR="0039585F" w:rsidRPr="00F6340E">
        <w:t xml:space="preserve"> </w:t>
      </w:r>
      <w:r w:rsidR="00171F00">
        <w:t>з</w:t>
      </w:r>
      <w:r>
        <w:t>ана</w:t>
      </w:r>
      <w:r w:rsidR="0071360A">
        <w:t>тс</w:t>
      </w:r>
      <w:r>
        <w:t>к</w:t>
      </w:r>
      <w:r w:rsidR="00EE6AA2">
        <w:t>е</w:t>
      </w:r>
      <w:r w:rsidR="0039585F" w:rsidRPr="00F6340E">
        <w:t xml:space="preserve"> </w:t>
      </w:r>
      <w:r>
        <w:t>и</w:t>
      </w:r>
      <w:r w:rsidR="0039585F" w:rsidRPr="00F6340E">
        <w:t xml:space="preserve"> </w:t>
      </w:r>
      <w:r w:rsidR="0071360A">
        <w:t>т</w:t>
      </w:r>
      <w:r w:rsidR="00EE6AA2">
        <w:t>е</w:t>
      </w:r>
      <w:r>
        <w:t>хничк</w:t>
      </w:r>
      <w:r w:rsidR="00EE6AA2">
        <w:t>е</w:t>
      </w:r>
      <w:r w:rsidR="0039585F" w:rsidRPr="00F6340E">
        <w:t xml:space="preserve"> </w:t>
      </w:r>
      <w:r w:rsidR="0071360A">
        <w:t>ш</w:t>
      </w:r>
      <w:r>
        <w:t>кол</w:t>
      </w:r>
      <w:r w:rsidR="00EE6AA2">
        <w:t>е</w:t>
      </w:r>
      <w:r w:rsidR="0039585F" w:rsidRPr="00F6340E">
        <w:t xml:space="preserve"> (</w:t>
      </w:r>
      <w:r w:rsidR="00171F00">
        <w:t>З</w:t>
      </w:r>
      <w:r>
        <w:t>и</w:t>
      </w:r>
      <w:r w:rsidR="0071360A">
        <w:t>Т</w:t>
      </w:r>
      <w:r>
        <w:t>О</w:t>
      </w:r>
      <w:r w:rsidR="0039585F" w:rsidRPr="00F6340E">
        <w:t xml:space="preserve">) </w:t>
      </w:r>
      <w:r w:rsidR="0071360A">
        <w:t>т</w:t>
      </w:r>
      <w:r w:rsidR="00EE6AA2">
        <w:t>е</w:t>
      </w:r>
      <w:r w:rsidR="0039585F" w:rsidRPr="00F6340E">
        <w:t xml:space="preserve"> </w:t>
      </w:r>
      <w:r w:rsidR="0071360A">
        <w:t>в</w:t>
      </w:r>
      <w:r>
        <w:t>и</w:t>
      </w:r>
      <w:r w:rsidR="0071360A">
        <w:t>с</w:t>
      </w:r>
      <w:r>
        <w:t>око</w:t>
      </w:r>
      <w:r w:rsidR="0071360A">
        <w:t>ш</w:t>
      </w:r>
      <w:r>
        <w:t>кол</w:t>
      </w:r>
      <w:r w:rsidR="0071360A">
        <w:t>с</w:t>
      </w:r>
      <w:r>
        <w:t>к</w:t>
      </w:r>
      <w:r w:rsidR="00EE6AA2">
        <w:t>е</w:t>
      </w:r>
      <w:r w:rsidR="0039585F" w:rsidRPr="00F6340E">
        <w:t xml:space="preserve"> </w:t>
      </w:r>
      <w:r>
        <w:t>ин</w:t>
      </w:r>
      <w:r w:rsidR="0071360A">
        <w:t>ст</w:t>
      </w:r>
      <w:r>
        <w:t>и</w:t>
      </w:r>
      <w:r w:rsidR="0071360A">
        <w:t>ту</w:t>
      </w:r>
      <w:r>
        <w:t>циј</w:t>
      </w:r>
      <w:r w:rsidR="00EE6AA2">
        <w:t>е</w:t>
      </w:r>
      <w:r w:rsidR="0039585F" w:rsidRPr="00F6340E">
        <w:t xml:space="preserve">. </w:t>
      </w:r>
      <w:r>
        <w:t>Н</w:t>
      </w:r>
      <w:r w:rsidR="00EE6AA2">
        <w:t>е</w:t>
      </w:r>
      <w:r>
        <w:t>ки</w:t>
      </w:r>
      <w:r w:rsidR="001F0DA9" w:rsidRPr="00F6340E">
        <w:t xml:space="preserve"> </w:t>
      </w:r>
      <w:r>
        <w:t>од</w:t>
      </w:r>
      <w:r w:rsidR="001F0DA9" w:rsidRPr="00F6340E">
        <w:t xml:space="preserve"> </w:t>
      </w:r>
      <w:r w:rsidR="0071360A">
        <w:t>сп</w:t>
      </w:r>
      <w:r w:rsidR="00EE6AA2">
        <w:t>е</w:t>
      </w:r>
      <w:r>
        <w:t>цијали</w:t>
      </w:r>
      <w:r w:rsidR="00171F00">
        <w:t>з</w:t>
      </w:r>
      <w:r>
        <w:t>о</w:t>
      </w:r>
      <w:r w:rsidR="0071360A">
        <w:t>в</w:t>
      </w:r>
      <w:r>
        <w:t>аних</w:t>
      </w:r>
      <w:r w:rsidR="0039585F" w:rsidRPr="00F6340E">
        <w:t xml:space="preserve"> </w:t>
      </w:r>
      <w:r w:rsidR="0071360A">
        <w:t>с</w:t>
      </w:r>
      <w:r>
        <w:t>оф</w:t>
      </w:r>
      <w:r w:rsidR="0071360A">
        <w:t>тв</w:t>
      </w:r>
      <w:r w:rsidR="00EE6AA2">
        <w:t>е</w:t>
      </w:r>
      <w:r w:rsidR="0071360A">
        <w:t>р</w:t>
      </w:r>
      <w:r>
        <w:t>а</w:t>
      </w:r>
      <w:r w:rsidR="0039585F" w:rsidRPr="00F6340E">
        <w:t xml:space="preserve"> </w:t>
      </w:r>
      <w:r w:rsidR="0071360A">
        <w:t>су</w:t>
      </w:r>
      <w:r w:rsidR="0039585F" w:rsidRPr="00F6340E">
        <w:t xml:space="preserve"> </w:t>
      </w:r>
      <w:r>
        <w:t>на</w:t>
      </w:r>
      <w:r w:rsidR="0071360A">
        <w:t>в</w:t>
      </w:r>
      <w:r w:rsidR="00EE6AA2">
        <w:t>е</w:t>
      </w:r>
      <w:r>
        <w:t>д</w:t>
      </w:r>
      <w:r w:rsidR="00EE6AA2">
        <w:t>е</w:t>
      </w:r>
      <w:r>
        <w:t>ни</w:t>
      </w:r>
      <w:r w:rsidR="0039585F" w:rsidRPr="00F6340E">
        <w:t xml:space="preserve"> </w:t>
      </w:r>
      <w:r>
        <w:t>и</w:t>
      </w:r>
      <w:r w:rsidR="0071360A">
        <w:t>сп</w:t>
      </w:r>
      <w:r>
        <w:t>од</w:t>
      </w:r>
      <w:r w:rsidR="0039585F" w:rsidRPr="00F6340E">
        <w:t>:</w:t>
      </w:r>
    </w:p>
    <w:p w14:paraId="3EF2D254" w14:textId="427AB8A4"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t>упр</w:t>
      </w:r>
      <w:r w:rsidR="00A56E08">
        <w:t>а</w:t>
      </w:r>
      <w:r>
        <w:t>в</w:t>
      </w:r>
      <w:r w:rsidR="00A56E08">
        <w:t>љањ</w:t>
      </w:r>
      <w:r w:rsidR="00EE6AA2">
        <w:t>е</w:t>
      </w:r>
      <w:r w:rsidR="0039585F" w:rsidRPr="00F6340E">
        <w:t xml:space="preserve"> </w:t>
      </w:r>
      <w:r w:rsidR="00A56E08">
        <w:t>док</w:t>
      </w:r>
      <w:r>
        <w:t>у</w:t>
      </w:r>
      <w:r w:rsidR="00A56E08">
        <w:t>м</w:t>
      </w:r>
      <w:r w:rsidR="00EE6AA2">
        <w:t>е</w:t>
      </w:r>
      <w:r w:rsidR="00A56E08">
        <w:t>н</w:t>
      </w:r>
      <w:r>
        <w:t>т</w:t>
      </w:r>
      <w:r w:rsidR="00A56E08">
        <w:t>има</w:t>
      </w:r>
      <w:r w:rsidR="0039585F" w:rsidRPr="00F6340E">
        <w:t>,</w:t>
      </w:r>
    </w:p>
    <w:p w14:paraId="047BC779" w14:textId="20CF9AC9"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t>упр</w:t>
      </w:r>
      <w:r w:rsidR="00A56E08">
        <w:t>а</w:t>
      </w:r>
      <w:r>
        <w:t>в</w:t>
      </w:r>
      <w:r w:rsidR="00A56E08">
        <w:t>љањ</w:t>
      </w:r>
      <w:r w:rsidR="00EE6AA2">
        <w:t>е</w:t>
      </w:r>
      <w:r w:rsidR="0039585F" w:rsidRPr="00F6340E">
        <w:t xml:space="preserve"> </w:t>
      </w:r>
      <w:r>
        <w:t>р</w:t>
      </w:r>
      <w:r w:rsidR="00A56E08">
        <w:t>адом</w:t>
      </w:r>
      <w:r w:rsidR="0039585F" w:rsidRPr="00F6340E">
        <w:t xml:space="preserve"> </w:t>
      </w:r>
      <w:r w:rsidR="00A56E08">
        <w:t>библио</w:t>
      </w:r>
      <w:r>
        <w:t>т</w:t>
      </w:r>
      <w:r w:rsidR="00EE6AA2">
        <w:t>е</w:t>
      </w:r>
      <w:r w:rsidR="00A56E08">
        <w:t>к</w:t>
      </w:r>
      <w:r w:rsidR="00EE6AA2">
        <w:t>е</w:t>
      </w:r>
      <w:r w:rsidR="0039585F" w:rsidRPr="00F6340E">
        <w:t>,</w:t>
      </w:r>
    </w:p>
    <w:p w14:paraId="1BA0101A" w14:textId="65BD69C4"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t>пр</w:t>
      </w:r>
      <w:r w:rsidR="00A56E08">
        <w:t>ог</w:t>
      </w:r>
      <w:r>
        <w:t>р</w:t>
      </w:r>
      <w:r w:rsidR="00A56E08">
        <w:t>ами</w:t>
      </w:r>
      <w:r>
        <w:t>р</w:t>
      </w:r>
      <w:r w:rsidR="00A56E08">
        <w:t>ањ</w:t>
      </w:r>
      <w:r w:rsidR="00EE6AA2">
        <w:t>е</w:t>
      </w:r>
      <w:r w:rsidR="0039585F" w:rsidRPr="00F6340E">
        <w:t>,</w:t>
      </w:r>
    </w:p>
    <w:p w14:paraId="66967030" w14:textId="7378F39A"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t>упр</w:t>
      </w:r>
      <w:r w:rsidR="00A56E08">
        <w:t>а</w:t>
      </w:r>
      <w:r>
        <w:t>в</w:t>
      </w:r>
      <w:r w:rsidR="00A56E08">
        <w:t>љањ</w:t>
      </w:r>
      <w:r w:rsidR="00EE6AA2">
        <w:t>е</w:t>
      </w:r>
      <w:r w:rsidR="0039585F" w:rsidRPr="00F6340E">
        <w:t xml:space="preserve"> </w:t>
      </w:r>
      <w:r w:rsidR="00A56E08">
        <w:t>ба</w:t>
      </w:r>
      <w:r w:rsidR="00171F00">
        <w:t>з</w:t>
      </w:r>
      <w:r w:rsidR="00A56E08">
        <w:t>ама</w:t>
      </w:r>
      <w:r w:rsidR="0039585F" w:rsidRPr="00F6340E">
        <w:t xml:space="preserve"> </w:t>
      </w:r>
      <w:r>
        <w:t>п</w:t>
      </w:r>
      <w:r w:rsidR="00A56E08">
        <w:t>ода</w:t>
      </w:r>
      <w:r>
        <w:t>т</w:t>
      </w:r>
      <w:r w:rsidR="00A56E08">
        <w:t>ака</w:t>
      </w:r>
      <w:r w:rsidR="0039585F" w:rsidRPr="00F6340E">
        <w:t>,</w:t>
      </w:r>
    </w:p>
    <w:p w14:paraId="345ACADD" w14:textId="42ABE365"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t>р</w:t>
      </w:r>
      <w:r w:rsidR="00A56E08">
        <w:t>а</w:t>
      </w:r>
      <w:r w:rsidR="00171F00">
        <w:t>з</w:t>
      </w:r>
      <w:r>
        <w:t>в</w:t>
      </w:r>
      <w:r w:rsidR="00A56E08">
        <w:t>ој</w:t>
      </w:r>
      <w:r w:rsidR="0039585F" w:rsidRPr="00F6340E">
        <w:t xml:space="preserve"> </w:t>
      </w:r>
      <w:r w:rsidR="00A56E08">
        <w:t>мобилних</w:t>
      </w:r>
      <w:r w:rsidR="0039585F" w:rsidRPr="00F6340E">
        <w:t xml:space="preserve"> </w:t>
      </w:r>
      <w:r w:rsidR="00A56E08">
        <w:t>и</w:t>
      </w:r>
      <w:r w:rsidR="0039585F" w:rsidRPr="00F6340E">
        <w:t xml:space="preserve"> </w:t>
      </w:r>
      <w:r w:rsidR="00A56E08">
        <w:t>д</w:t>
      </w:r>
      <w:r w:rsidR="00EE6AA2">
        <w:t>е</w:t>
      </w:r>
      <w:r>
        <w:t>с</w:t>
      </w:r>
      <w:r w:rsidR="00A56E08">
        <w:t>к</w:t>
      </w:r>
      <w:r>
        <w:t>т</w:t>
      </w:r>
      <w:r w:rsidR="00A56E08">
        <w:t>о</w:t>
      </w:r>
      <w:r>
        <w:t>п</w:t>
      </w:r>
      <w:r w:rsidR="0039585F" w:rsidRPr="00F6340E">
        <w:t xml:space="preserve"> </w:t>
      </w:r>
      <w:r w:rsidR="00A56E08">
        <w:t>а</w:t>
      </w:r>
      <w:r>
        <w:t>п</w:t>
      </w:r>
      <w:r w:rsidR="00A56E08">
        <w:t>ликација</w:t>
      </w:r>
      <w:r w:rsidR="0039585F" w:rsidRPr="00F6340E">
        <w:t>,</w:t>
      </w:r>
    </w:p>
    <w:p w14:paraId="1A254991" w14:textId="038099A6"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rsidR="00A56E08">
        <w:t>об</w:t>
      </w:r>
      <w:r>
        <w:t>р</w:t>
      </w:r>
      <w:r w:rsidR="00A56E08">
        <w:t>ад</w:t>
      </w:r>
      <w:r>
        <w:t>у</w:t>
      </w:r>
      <w:r w:rsidR="0039585F" w:rsidRPr="00F6340E">
        <w:t xml:space="preserve"> </w:t>
      </w:r>
      <w:r w:rsidR="00A56E08">
        <w:t>фо</w:t>
      </w:r>
      <w:r>
        <w:t>т</w:t>
      </w:r>
      <w:r w:rsidR="00A56E08">
        <w:t>ог</w:t>
      </w:r>
      <w:r>
        <w:t>р</w:t>
      </w:r>
      <w:r w:rsidR="00A56E08">
        <w:t>афиј</w:t>
      </w:r>
      <w:r w:rsidR="00EE6AA2">
        <w:t>е</w:t>
      </w:r>
      <w:r w:rsidR="0039585F" w:rsidRPr="00F6340E">
        <w:t>,</w:t>
      </w:r>
    </w:p>
    <w:p w14:paraId="23840BE1" w14:textId="2F63F08A"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rsidR="00A56E08">
        <w:t>об</w:t>
      </w:r>
      <w:r>
        <w:t>р</w:t>
      </w:r>
      <w:r w:rsidR="00A56E08">
        <w:t>ад</w:t>
      </w:r>
      <w:r>
        <w:t>у</w:t>
      </w:r>
      <w:r w:rsidR="0039585F" w:rsidRPr="00F6340E">
        <w:t xml:space="preserve"> </w:t>
      </w:r>
      <w:r>
        <w:t>в</w:t>
      </w:r>
      <w:r w:rsidR="00A56E08">
        <w:t>ид</w:t>
      </w:r>
      <w:r w:rsidR="00EE6AA2">
        <w:t>е</w:t>
      </w:r>
      <w:r w:rsidR="00A56E08">
        <w:t>а</w:t>
      </w:r>
      <w:r w:rsidR="0039585F" w:rsidRPr="00F6340E">
        <w:t>,</w:t>
      </w:r>
    </w:p>
    <w:p w14:paraId="1BC8862A" w14:textId="4FD246E3" w:rsidR="0039585F" w:rsidRPr="00F6340E" w:rsidRDefault="0071360A" w:rsidP="00FA4DC9">
      <w:pPr>
        <w:pStyle w:val="Bulletlist"/>
      </w:pPr>
      <w:r>
        <w:t>С</w:t>
      </w:r>
      <w:r w:rsidR="00A56E08">
        <w:t>оф</w:t>
      </w:r>
      <w:r>
        <w:t>тв</w:t>
      </w:r>
      <w:r w:rsidR="00EE6AA2">
        <w:t>е</w:t>
      </w:r>
      <w:r>
        <w:t>р</w:t>
      </w:r>
      <w:r w:rsidR="00A56E08">
        <w:t>и</w:t>
      </w:r>
      <w:r w:rsidR="0039585F" w:rsidRPr="00F6340E">
        <w:t xml:space="preserve"> </w:t>
      </w:r>
      <w:r w:rsidR="00171F00">
        <w:t>з</w:t>
      </w:r>
      <w:r w:rsidR="00A56E08">
        <w:t>а</w:t>
      </w:r>
      <w:r w:rsidR="0039585F" w:rsidRPr="00F6340E">
        <w:t xml:space="preserve"> </w:t>
      </w:r>
      <w:r w:rsidR="00A56E08">
        <w:t>ц</w:t>
      </w:r>
      <w:r>
        <w:t>рт</w:t>
      </w:r>
      <w:r w:rsidR="00A56E08">
        <w:t>ањ</w:t>
      </w:r>
      <w:r w:rsidR="00EE6AA2">
        <w:t>е</w:t>
      </w:r>
      <w:r w:rsidR="0039585F" w:rsidRPr="00F6340E">
        <w:t xml:space="preserve"> </w:t>
      </w:r>
      <w:r w:rsidR="00A56E08">
        <w:t>и</w:t>
      </w:r>
      <w:r w:rsidR="0039585F" w:rsidRPr="00F6340E">
        <w:t xml:space="preserve"> </w:t>
      </w:r>
      <w:r w:rsidR="00A56E08">
        <w:t>мод</w:t>
      </w:r>
      <w:r w:rsidR="00EE6AA2">
        <w:t>е</w:t>
      </w:r>
      <w:r w:rsidR="00A56E08">
        <w:t>ли</w:t>
      </w:r>
      <w:r>
        <w:t>р</w:t>
      </w:r>
      <w:r w:rsidR="00A56E08">
        <w:t>ањ</w:t>
      </w:r>
      <w:r w:rsidR="00EE6AA2">
        <w:t>е</w:t>
      </w:r>
      <w:r w:rsidR="0039585F" w:rsidRPr="00F6340E">
        <w:t xml:space="preserve"> </w:t>
      </w:r>
      <w:r w:rsidR="00A56E08">
        <w:t>и</w:t>
      </w:r>
      <w:r w:rsidR="0039585F" w:rsidRPr="00F6340E">
        <w:t xml:space="preserve"> </w:t>
      </w:r>
      <w:r>
        <w:t>с</w:t>
      </w:r>
      <w:r w:rsidR="00A56E08">
        <w:t>л</w:t>
      </w:r>
      <w:r w:rsidR="0039585F" w:rsidRPr="00F6340E">
        <w:t>.</w:t>
      </w:r>
    </w:p>
    <w:p w14:paraId="76CFC169" w14:textId="76493D6B" w:rsidR="0039585F" w:rsidRPr="00F6340E" w:rsidRDefault="00A56E08" w:rsidP="00FA4DC9">
      <w:pPr>
        <w:pStyle w:val="Bulletlist"/>
      </w:pPr>
      <w:r>
        <w:t>О</w:t>
      </w:r>
      <w:r w:rsidR="0071360A">
        <w:t>ст</w:t>
      </w:r>
      <w:r>
        <w:t>али</w:t>
      </w:r>
      <w:r w:rsidR="0039585F" w:rsidRPr="00F6340E">
        <w:t xml:space="preserve"> </w:t>
      </w:r>
      <w:r w:rsidR="0071360A">
        <w:t>с</w:t>
      </w:r>
      <w:r>
        <w:t>оф</w:t>
      </w:r>
      <w:r w:rsidR="0071360A">
        <w:t>тв</w:t>
      </w:r>
      <w:r w:rsidR="00EE6AA2">
        <w:t>е</w:t>
      </w:r>
      <w:r w:rsidR="0071360A">
        <w:t>р</w:t>
      </w:r>
      <w:r>
        <w:t>и</w:t>
      </w:r>
      <w:r w:rsidR="0039585F" w:rsidRPr="00F6340E">
        <w:t xml:space="preserve"> </w:t>
      </w:r>
      <w:r>
        <w:t>који</w:t>
      </w:r>
      <w:r w:rsidR="0039585F" w:rsidRPr="00F6340E">
        <w:t xml:space="preserve"> </w:t>
      </w:r>
      <w:r w:rsidR="0071360A">
        <w:t>с</w:t>
      </w:r>
      <w:r w:rsidR="00EE6AA2">
        <w:t>е</w:t>
      </w:r>
      <w:r w:rsidR="0039585F" w:rsidRPr="00F6340E">
        <w:t xml:space="preserve"> </w:t>
      </w:r>
      <w:r>
        <w:t>ко</w:t>
      </w:r>
      <w:r w:rsidR="0071360A">
        <w:t>р</w:t>
      </w:r>
      <w:r>
        <w:t>и</w:t>
      </w:r>
      <w:r w:rsidR="0071360A">
        <w:t>ст</w:t>
      </w:r>
      <w:r w:rsidR="00EE6AA2">
        <w:t>е</w:t>
      </w:r>
      <w:r w:rsidR="0039585F" w:rsidRPr="00F6340E">
        <w:t xml:space="preserve"> </w:t>
      </w:r>
      <w:r w:rsidR="0071360A">
        <w:t>у</w:t>
      </w:r>
      <w:r w:rsidR="00621237" w:rsidRPr="00F6340E">
        <w:t xml:space="preserve"> </w:t>
      </w:r>
      <w:r w:rsidR="0071360A">
        <w:t>ш</w:t>
      </w:r>
      <w:r>
        <w:t>колама</w:t>
      </w:r>
      <w:r w:rsidR="004B0FCD" w:rsidRPr="00F6340E">
        <w:t xml:space="preserve"> </w:t>
      </w:r>
      <w:r w:rsidR="00171F00">
        <w:t>З</w:t>
      </w:r>
      <w:r>
        <w:t>и</w:t>
      </w:r>
      <w:r w:rsidR="0071360A">
        <w:t>Т</w:t>
      </w:r>
      <w:r>
        <w:t>О</w:t>
      </w:r>
      <w:r w:rsidR="0039585F" w:rsidRPr="00F6340E">
        <w:t>,</w:t>
      </w:r>
    </w:p>
    <w:p w14:paraId="6819D6A9" w14:textId="6FDC609D" w:rsidR="00CA2798" w:rsidRPr="00F6340E" w:rsidRDefault="0071360A" w:rsidP="00FA4DC9">
      <w:pPr>
        <w:pStyle w:val="Bulletlist"/>
      </w:pPr>
      <w:r>
        <w:t>С</w:t>
      </w:r>
      <w:r w:rsidR="00A56E08">
        <w:t>оф</w:t>
      </w:r>
      <w:r>
        <w:t>тв</w:t>
      </w:r>
      <w:r w:rsidR="00EE6AA2">
        <w:t>е</w:t>
      </w:r>
      <w:r>
        <w:t>р</w:t>
      </w:r>
      <w:r w:rsidR="00A56E08">
        <w:t>и</w:t>
      </w:r>
      <w:r w:rsidR="00CA2798" w:rsidRPr="00F6340E">
        <w:t xml:space="preserve"> – </w:t>
      </w:r>
      <w:r w:rsidR="00A56E08">
        <w:t>ком</w:t>
      </w:r>
      <w:r>
        <w:t>у</w:t>
      </w:r>
      <w:r w:rsidR="00A56E08">
        <w:t>ника</w:t>
      </w:r>
      <w:r>
        <w:t>т</w:t>
      </w:r>
      <w:r w:rsidR="00A56E08">
        <w:t>о</w:t>
      </w:r>
      <w:r>
        <w:t>р</w:t>
      </w:r>
      <w:r w:rsidR="00A56E08">
        <w:t>и</w:t>
      </w:r>
      <w:r w:rsidR="00CA2798" w:rsidRPr="00F6340E">
        <w:t xml:space="preserve"> </w:t>
      </w:r>
      <w:r w:rsidR="00171F00">
        <w:t>з</w:t>
      </w:r>
      <w:r w:rsidR="00A56E08">
        <w:t>а</w:t>
      </w:r>
      <w:r w:rsidR="00CA2798" w:rsidRPr="00F6340E">
        <w:t xml:space="preserve"> </w:t>
      </w:r>
      <w:r>
        <w:t>р</w:t>
      </w:r>
      <w:r w:rsidR="00A56E08">
        <w:t>ад</w:t>
      </w:r>
      <w:r w:rsidR="00CA2798" w:rsidRPr="00F6340E">
        <w:t xml:space="preserve"> </w:t>
      </w:r>
      <w:r>
        <w:t>с</w:t>
      </w:r>
      <w:r w:rsidR="00A56E08">
        <w:t>а</w:t>
      </w:r>
      <w:r w:rsidR="00CA2798" w:rsidRPr="00F6340E">
        <w:t xml:space="preserve"> </w:t>
      </w:r>
      <w:r w:rsidR="00A56E08">
        <w:t>дј</w:t>
      </w:r>
      <w:r w:rsidR="00EE6AA2">
        <w:t>е</w:t>
      </w:r>
      <w:r w:rsidR="00A56E08">
        <w:t>цом</w:t>
      </w:r>
      <w:r w:rsidR="00CA2798" w:rsidRPr="00F6340E">
        <w:t xml:space="preserve"> </w:t>
      </w:r>
      <w:r>
        <w:t>с</w:t>
      </w:r>
      <w:r w:rsidR="00A56E08">
        <w:t>а</w:t>
      </w:r>
      <w:r w:rsidR="00CA2798" w:rsidRPr="00F6340E">
        <w:t xml:space="preserve"> </w:t>
      </w:r>
      <w:r>
        <w:t>п</w:t>
      </w:r>
      <w:r w:rsidR="00A56E08">
        <w:t>о</w:t>
      </w:r>
      <w:r>
        <w:t>т</w:t>
      </w:r>
      <w:r w:rsidR="00EE6AA2">
        <w:t>е</w:t>
      </w:r>
      <w:r>
        <w:t>ш</w:t>
      </w:r>
      <w:r w:rsidR="00A56E08">
        <w:t>коћама</w:t>
      </w:r>
      <w:r w:rsidR="00CA2798" w:rsidRPr="00F6340E">
        <w:t xml:space="preserve"> </w:t>
      </w:r>
      <w:r>
        <w:t>у</w:t>
      </w:r>
      <w:r w:rsidR="00CA2798" w:rsidRPr="00F6340E">
        <w:t xml:space="preserve"> </w:t>
      </w:r>
      <w:r>
        <w:t>р</w:t>
      </w:r>
      <w:r w:rsidR="00A56E08">
        <w:t>а</w:t>
      </w:r>
      <w:r w:rsidR="00171F00">
        <w:t>з</w:t>
      </w:r>
      <w:r>
        <w:t>в</w:t>
      </w:r>
      <w:r w:rsidR="00A56E08">
        <w:t>ој</w:t>
      </w:r>
      <w:r>
        <w:t>у</w:t>
      </w:r>
      <w:r w:rsidR="00CA2798" w:rsidRPr="00F6340E">
        <w:t>,</w:t>
      </w:r>
    </w:p>
    <w:p w14:paraId="45CFCF57" w14:textId="70ED53F0" w:rsidR="00CA2798" w:rsidRPr="00F6340E" w:rsidRDefault="00A56E08" w:rsidP="00FA4DC9">
      <w:pPr>
        <w:pStyle w:val="Bulletlist"/>
      </w:pPr>
      <w:r>
        <w:t>О</w:t>
      </w:r>
      <w:r w:rsidR="0071360A">
        <w:t>ст</w:t>
      </w:r>
      <w:r>
        <w:t>али</w:t>
      </w:r>
      <w:r w:rsidR="0039585F" w:rsidRPr="00F6340E">
        <w:t xml:space="preserve"> </w:t>
      </w:r>
      <w:r w:rsidR="0071360A">
        <w:t>с</w:t>
      </w:r>
      <w:r>
        <w:t>оф</w:t>
      </w:r>
      <w:r w:rsidR="0071360A">
        <w:t>тв</w:t>
      </w:r>
      <w:r w:rsidR="00EE6AA2">
        <w:t>е</w:t>
      </w:r>
      <w:r w:rsidR="0071360A">
        <w:t>р</w:t>
      </w:r>
      <w:r>
        <w:t>и</w:t>
      </w:r>
      <w:r w:rsidR="0039585F" w:rsidRPr="00F6340E">
        <w:t xml:space="preserve"> </w:t>
      </w:r>
      <w:r>
        <w:t>који</w:t>
      </w:r>
      <w:r w:rsidR="0039585F" w:rsidRPr="00F6340E">
        <w:t xml:space="preserve"> </w:t>
      </w:r>
      <w:r w:rsidR="0071360A">
        <w:t>с</w:t>
      </w:r>
      <w:r w:rsidR="00EE6AA2">
        <w:t>е</w:t>
      </w:r>
      <w:r w:rsidR="0039585F" w:rsidRPr="00F6340E">
        <w:t xml:space="preserve"> </w:t>
      </w:r>
      <w:r>
        <w:t>ко</w:t>
      </w:r>
      <w:r w:rsidR="0071360A">
        <w:t>р</w:t>
      </w:r>
      <w:r>
        <w:t>и</w:t>
      </w:r>
      <w:r w:rsidR="0071360A">
        <w:t>ст</w:t>
      </w:r>
      <w:r w:rsidR="00EE6AA2">
        <w:t>е</w:t>
      </w:r>
      <w:r w:rsidR="0039585F" w:rsidRPr="00F6340E">
        <w:t xml:space="preserve"> </w:t>
      </w:r>
      <w:r>
        <w:t>на</w:t>
      </w:r>
      <w:r w:rsidR="0039585F" w:rsidRPr="00F6340E">
        <w:t xml:space="preserve"> </w:t>
      </w:r>
      <w:r w:rsidR="0071360A">
        <w:t>в</w:t>
      </w:r>
      <w:r>
        <w:t>и</w:t>
      </w:r>
      <w:r w:rsidR="0071360A">
        <w:t>с</w:t>
      </w:r>
      <w:r>
        <w:t>око</w:t>
      </w:r>
      <w:r w:rsidR="0071360A">
        <w:t>ш</w:t>
      </w:r>
      <w:r>
        <w:t>кол</w:t>
      </w:r>
      <w:r w:rsidR="0071360A">
        <w:t>с</w:t>
      </w:r>
      <w:r>
        <w:t>ким</w:t>
      </w:r>
      <w:r w:rsidR="0039585F" w:rsidRPr="00F6340E">
        <w:t xml:space="preserve"> </w:t>
      </w:r>
      <w:r>
        <w:t>ин</w:t>
      </w:r>
      <w:r w:rsidR="0071360A">
        <w:t>ст</w:t>
      </w:r>
      <w:r>
        <w:t>и</w:t>
      </w:r>
      <w:r w:rsidR="0071360A">
        <w:t>ту</w:t>
      </w:r>
      <w:r>
        <w:t>цијама</w:t>
      </w:r>
      <w:r w:rsidR="00CA2798" w:rsidRPr="00F6340E">
        <w:t>.</w:t>
      </w:r>
    </w:p>
    <w:p w14:paraId="03039D2B" w14:textId="0CED0AD4" w:rsidR="0039585F" w:rsidRPr="00F6340E" w:rsidRDefault="00A56E08" w:rsidP="00735975">
      <w:pPr>
        <w:pStyle w:val="Heading3"/>
        <w:numPr>
          <w:ilvl w:val="2"/>
          <w:numId w:val="70"/>
        </w:numPr>
        <w:rPr>
          <w:lang w:val="sr-Cyrl-BA"/>
        </w:rPr>
      </w:pPr>
      <w:bookmarkStart w:id="30" w:name="_Toc119050312"/>
      <w:r>
        <w:rPr>
          <w:lang w:val="sr-Cyrl-BA"/>
        </w:rPr>
        <w:lastRenderedPageBreak/>
        <w:t>Мј</w:t>
      </w:r>
      <w:r w:rsidR="00EE6AA2">
        <w:rPr>
          <w:lang w:val="sr-Cyrl-BA"/>
        </w:rPr>
        <w:t>е</w:t>
      </w:r>
      <w:r w:rsidR="0071360A">
        <w:rPr>
          <w:lang w:val="sr-Cyrl-BA"/>
        </w:rPr>
        <w:t>ст</w:t>
      </w:r>
      <w:r>
        <w:rPr>
          <w:lang w:val="sr-Cyrl-BA"/>
        </w:rPr>
        <w:t>о</w:t>
      </w:r>
      <w:r w:rsidR="0039585F" w:rsidRPr="00F6340E">
        <w:rPr>
          <w:lang w:val="sr-Cyrl-BA"/>
        </w:rPr>
        <w:t xml:space="preserve"> </w:t>
      </w:r>
      <w:r w:rsidR="00171F00">
        <w:rPr>
          <w:lang w:val="sr-Cyrl-BA"/>
        </w:rPr>
        <w:t>з</w:t>
      </w:r>
      <w:r>
        <w:rPr>
          <w:lang w:val="sr-Cyrl-BA"/>
        </w:rPr>
        <w:t>а</w:t>
      </w:r>
      <w:r w:rsidR="0039585F" w:rsidRPr="00F6340E">
        <w:rPr>
          <w:lang w:val="sr-Cyrl-BA"/>
        </w:rPr>
        <w:t xml:space="preserve"> </w:t>
      </w:r>
      <w:r w:rsidR="0071360A">
        <w:rPr>
          <w:lang w:val="sr-Cyrl-BA"/>
        </w:rPr>
        <w:t>п</w:t>
      </w:r>
      <w:r>
        <w:rPr>
          <w:lang w:val="sr-Cyrl-BA"/>
        </w:rPr>
        <w:t>ох</w:t>
      </w:r>
      <w:r w:rsidR="0071360A">
        <w:rPr>
          <w:lang w:val="sr-Cyrl-BA"/>
        </w:rPr>
        <w:t>р</w:t>
      </w:r>
      <w:r>
        <w:rPr>
          <w:lang w:val="sr-Cyrl-BA"/>
        </w:rPr>
        <w:t>ан</w:t>
      </w:r>
      <w:r w:rsidR="0071360A">
        <w:rPr>
          <w:lang w:val="sr-Cyrl-BA"/>
        </w:rPr>
        <w:t>у</w:t>
      </w:r>
      <w:r w:rsidR="0039585F" w:rsidRPr="00F6340E">
        <w:rPr>
          <w:lang w:val="sr-Cyrl-BA"/>
        </w:rPr>
        <w:t xml:space="preserve"> </w:t>
      </w:r>
      <w:r>
        <w:rPr>
          <w:lang w:val="sr-Cyrl-BA"/>
        </w:rPr>
        <w:t>диги</w:t>
      </w:r>
      <w:r w:rsidR="0071360A">
        <w:rPr>
          <w:lang w:val="sr-Cyrl-BA"/>
        </w:rPr>
        <w:t>т</w:t>
      </w:r>
      <w:r>
        <w:rPr>
          <w:lang w:val="sr-Cyrl-BA"/>
        </w:rPr>
        <w:t>алних</w:t>
      </w:r>
      <w:r w:rsidR="0039585F" w:rsidRPr="00F6340E">
        <w:rPr>
          <w:lang w:val="sr-Cyrl-BA"/>
        </w:rPr>
        <w:t xml:space="preserve"> </w:t>
      </w:r>
      <w:r>
        <w:rPr>
          <w:lang w:val="sr-Cyrl-BA"/>
        </w:rPr>
        <w:t>ма</w:t>
      </w:r>
      <w:r w:rsidR="0071360A">
        <w:rPr>
          <w:lang w:val="sr-Cyrl-BA"/>
        </w:rPr>
        <w:t>т</w:t>
      </w:r>
      <w:r w:rsidR="00EE6AA2">
        <w:rPr>
          <w:lang w:val="sr-Cyrl-BA"/>
        </w:rPr>
        <w:t>е</w:t>
      </w:r>
      <w:r w:rsidR="0071360A">
        <w:rPr>
          <w:lang w:val="sr-Cyrl-BA"/>
        </w:rPr>
        <w:t>р</w:t>
      </w:r>
      <w:r>
        <w:rPr>
          <w:lang w:val="sr-Cyrl-BA"/>
        </w:rPr>
        <w:t>ијала</w:t>
      </w:r>
      <w:bookmarkEnd w:id="30"/>
    </w:p>
    <w:p w14:paraId="3CB11F69" w14:textId="45E5888A" w:rsidR="0039585F" w:rsidRPr="00F6340E" w:rsidRDefault="00A56E08" w:rsidP="00FA4DC9">
      <w:pPr>
        <w:pStyle w:val="Body"/>
      </w:pPr>
      <w:r>
        <w:t>На</w:t>
      </w:r>
      <w:r w:rsidR="0071360A">
        <w:t>ст</w:t>
      </w:r>
      <w:r>
        <w:t>а</w:t>
      </w:r>
      <w:r w:rsidR="0071360A">
        <w:t>в</w:t>
      </w:r>
      <w:r>
        <w:t>ни</w:t>
      </w:r>
      <w:r w:rsidR="0039585F" w:rsidRPr="00F6340E">
        <w:t xml:space="preserve"> </w:t>
      </w:r>
      <w:r>
        <w:t>ма</w:t>
      </w:r>
      <w:r w:rsidR="0071360A">
        <w:t>т</w:t>
      </w:r>
      <w:r w:rsidR="00EE6AA2">
        <w:t>е</w:t>
      </w:r>
      <w:r w:rsidR="0071360A">
        <w:t>р</w:t>
      </w:r>
      <w:r>
        <w:t>ијали</w:t>
      </w:r>
      <w:r w:rsidR="0039585F" w:rsidRPr="00F6340E">
        <w:t xml:space="preserve"> </w:t>
      </w:r>
      <w:r>
        <w:t>који</w:t>
      </w:r>
      <w:r w:rsidR="0039585F" w:rsidRPr="00F6340E">
        <w:t xml:space="preserve"> </w:t>
      </w:r>
      <w:r w:rsidR="0071360A">
        <w:t>с</w:t>
      </w:r>
      <w:r w:rsidR="00EE6AA2">
        <w:t>е</w:t>
      </w:r>
      <w:r w:rsidR="0039585F" w:rsidRPr="00F6340E">
        <w:t xml:space="preserve"> </w:t>
      </w:r>
      <w:r w:rsidR="0071360A">
        <w:t>пр</w:t>
      </w:r>
      <w:r>
        <w:t>и</w:t>
      </w:r>
      <w:r w:rsidR="0071360A">
        <w:t>пр</w:t>
      </w:r>
      <w:r w:rsidR="00EE6AA2">
        <w:t>е</w:t>
      </w:r>
      <w:r>
        <w:t>мај</w:t>
      </w:r>
      <w:r w:rsidR="0071360A">
        <w:t>у</w:t>
      </w:r>
      <w:r w:rsidR="0039585F" w:rsidRPr="00F6340E">
        <w:t xml:space="preserve"> </w:t>
      </w:r>
      <w:r>
        <w:t>и</w:t>
      </w:r>
      <w:r w:rsidR="002C3EA6" w:rsidRPr="00F6340E">
        <w:t xml:space="preserve"> </w:t>
      </w:r>
      <w:r w:rsidR="0071360A">
        <w:t>п</w:t>
      </w:r>
      <w:r>
        <w:t>о</w:t>
      </w:r>
      <w:r w:rsidR="0071360A">
        <w:t>ст</w:t>
      </w:r>
      <w:r>
        <w:t>а</w:t>
      </w:r>
      <w:r w:rsidR="0071360A">
        <w:t>в</w:t>
      </w:r>
      <w:r>
        <w:t>љај</w:t>
      </w:r>
      <w:r w:rsidR="0071360A">
        <w:t>у</w:t>
      </w:r>
      <w:r w:rsidR="002C3EA6" w:rsidRPr="00F6340E">
        <w:t xml:space="preserve"> </w:t>
      </w:r>
      <w:r>
        <w:t>на</w:t>
      </w:r>
      <w:r w:rsidR="002C3EA6" w:rsidRPr="00F6340E">
        <w:t xml:space="preserve"> </w:t>
      </w:r>
      <w:r w:rsidR="0071360A">
        <w:t>п</w:t>
      </w:r>
      <w:r>
        <w:t>ла</w:t>
      </w:r>
      <w:r w:rsidR="0071360A">
        <w:t>т</w:t>
      </w:r>
      <w:r>
        <w:t>фо</w:t>
      </w:r>
      <w:r w:rsidR="0071360A">
        <w:t>р</w:t>
      </w:r>
      <w:r>
        <w:t>м</w:t>
      </w:r>
      <w:r w:rsidR="0071360A">
        <w:t>у</w:t>
      </w:r>
      <w:r w:rsidR="0039585F" w:rsidRPr="00F6340E">
        <w:t xml:space="preserve"> </w:t>
      </w:r>
      <w:r w:rsidR="0071360A">
        <w:t>тр</w:t>
      </w:r>
      <w:r w:rsidR="00EE6AA2">
        <w:t>е</w:t>
      </w:r>
      <w:r>
        <w:t>бај</w:t>
      </w:r>
      <w:r w:rsidR="0071360A">
        <w:t>у</w:t>
      </w:r>
      <w:r w:rsidR="0039585F" w:rsidRPr="00F6340E">
        <w:t xml:space="preserve"> </w:t>
      </w:r>
      <w:r>
        <w:t>би</w:t>
      </w:r>
      <w:r w:rsidR="0071360A">
        <w:t>т</w:t>
      </w:r>
      <w:r>
        <w:t>и</w:t>
      </w:r>
      <w:r w:rsidR="0039585F" w:rsidRPr="00F6340E">
        <w:t xml:space="preserve"> </w:t>
      </w:r>
      <w:r w:rsidR="0071360A">
        <w:t>п</w:t>
      </w:r>
      <w:r>
        <w:t>а</w:t>
      </w:r>
      <w:r w:rsidR="00171F00">
        <w:t>ж</w:t>
      </w:r>
      <w:r>
        <w:t>љи</w:t>
      </w:r>
      <w:r w:rsidR="0071360A">
        <w:t>в</w:t>
      </w:r>
      <w:r>
        <w:t>о</w:t>
      </w:r>
      <w:r w:rsidR="0039585F" w:rsidRPr="00F6340E">
        <w:t xml:space="preserve"> </w:t>
      </w:r>
      <w:r>
        <w:t>одаб</w:t>
      </w:r>
      <w:r w:rsidR="0071360A">
        <w:t>р</w:t>
      </w:r>
      <w:r>
        <w:t>ани</w:t>
      </w:r>
      <w:r w:rsidR="0039585F" w:rsidRPr="00F6340E">
        <w:t xml:space="preserve"> </w:t>
      </w:r>
      <w:r>
        <w:t>и</w:t>
      </w:r>
      <w:r w:rsidR="0039585F" w:rsidRPr="00F6340E">
        <w:t xml:space="preserve"> </w:t>
      </w:r>
      <w:r>
        <w:t>к</w:t>
      </w:r>
      <w:r w:rsidR="0071360A">
        <w:t>р</w:t>
      </w:r>
      <w:r w:rsidR="00EE6AA2">
        <w:t>е</w:t>
      </w:r>
      <w:r>
        <w:t>и</w:t>
      </w:r>
      <w:r w:rsidR="0071360A">
        <w:t>р</w:t>
      </w:r>
      <w:r>
        <w:t>ани</w:t>
      </w:r>
      <w:r w:rsidR="0039585F" w:rsidRPr="00F6340E">
        <w:t xml:space="preserve"> </w:t>
      </w:r>
      <w:r>
        <w:t>како</w:t>
      </w:r>
      <w:r w:rsidR="0039585F" w:rsidRPr="00F6340E">
        <w:t xml:space="preserve"> </w:t>
      </w:r>
      <w:r>
        <w:t>би</w:t>
      </w:r>
      <w:r w:rsidR="0039585F" w:rsidRPr="00F6340E">
        <w:t xml:space="preserve"> </w:t>
      </w:r>
      <w:r w:rsidR="0071360A">
        <w:t>с</w:t>
      </w:r>
      <w:r w:rsidR="00EE6AA2">
        <w:t>е</w:t>
      </w:r>
      <w:r w:rsidR="0039585F" w:rsidRPr="00F6340E">
        <w:t xml:space="preserve"> </w:t>
      </w:r>
      <w:r w:rsidR="0071360A">
        <w:t>п</w:t>
      </w:r>
      <w:r>
        <w:t>о</w:t>
      </w:r>
      <w:r w:rsidR="0071360A">
        <w:t>ст</w:t>
      </w:r>
      <w:r>
        <w:t>игло</w:t>
      </w:r>
      <w:r w:rsidR="0039585F" w:rsidRPr="00F6340E">
        <w:t xml:space="preserve"> </w:t>
      </w:r>
      <w:r w:rsidR="0071360A">
        <w:t>шт</w:t>
      </w:r>
      <w:r>
        <w:t>о</w:t>
      </w:r>
      <w:r w:rsidR="0039585F" w:rsidRPr="00F6340E">
        <w:t xml:space="preserve"> </w:t>
      </w:r>
      <w:r w:rsidR="00EE6AA2">
        <w:t>е</w:t>
      </w:r>
      <w:r>
        <w:t>ф</w:t>
      </w:r>
      <w:r w:rsidR="00EE6AA2">
        <w:t>е</w:t>
      </w:r>
      <w:r>
        <w:t>к</w:t>
      </w:r>
      <w:r w:rsidR="0071360A">
        <w:t>т</w:t>
      </w:r>
      <w:r>
        <w:t>и</w:t>
      </w:r>
      <w:r w:rsidR="0071360A">
        <w:t>в</w:t>
      </w:r>
      <w:r>
        <w:t>ниј</w:t>
      </w:r>
      <w:r w:rsidR="00EE6AA2">
        <w:t>е</w:t>
      </w:r>
      <w:r w:rsidR="0039585F" w:rsidRPr="00F6340E">
        <w:t xml:space="preserve"> </w:t>
      </w:r>
      <w:r w:rsidR="0071360A">
        <w:t>у</w:t>
      </w:r>
      <w:r>
        <w:t>ч</w:t>
      </w:r>
      <w:r w:rsidR="00EE6AA2">
        <w:t>е</w:t>
      </w:r>
      <w:r>
        <w:t>њ</w:t>
      </w:r>
      <w:r w:rsidR="00EE6AA2">
        <w:t>е</w:t>
      </w:r>
      <w:r w:rsidR="0039585F" w:rsidRPr="00F6340E">
        <w:t xml:space="preserve"> </w:t>
      </w:r>
      <w:r>
        <w:t>и</w:t>
      </w:r>
      <w:r w:rsidR="0039585F" w:rsidRPr="00F6340E">
        <w:t xml:space="preserve"> </w:t>
      </w:r>
      <w:r>
        <w:t>како</w:t>
      </w:r>
      <w:r w:rsidR="0039585F" w:rsidRPr="00F6340E">
        <w:t xml:space="preserve"> </w:t>
      </w:r>
      <w:r>
        <w:t>би</w:t>
      </w:r>
      <w:r w:rsidR="0039585F" w:rsidRPr="00F6340E">
        <w:t xml:space="preserve"> </w:t>
      </w:r>
      <w:r w:rsidR="0071360A">
        <w:t>у</w:t>
      </w:r>
      <w:r>
        <w:t>ч</w:t>
      </w:r>
      <w:r w:rsidR="00EE6AA2">
        <w:t>е</w:t>
      </w:r>
      <w:r>
        <w:t>ници</w:t>
      </w:r>
      <w:r w:rsidR="0039585F" w:rsidRPr="00F6340E">
        <w:t>/</w:t>
      </w:r>
      <w:r w:rsidR="0071360A">
        <w:t>сту</w:t>
      </w:r>
      <w:r>
        <w:t>д</w:t>
      </w:r>
      <w:r w:rsidR="00EE6AA2">
        <w:t>е</w:t>
      </w:r>
      <w:r>
        <w:t>н</w:t>
      </w:r>
      <w:r w:rsidR="0071360A">
        <w:t>т</w:t>
      </w:r>
      <w:r>
        <w:t>и</w:t>
      </w:r>
      <w:r w:rsidR="0039585F" w:rsidRPr="00F6340E">
        <w:t xml:space="preserve"> </w:t>
      </w:r>
      <w:r w:rsidR="0071360A">
        <w:t>шт</w:t>
      </w:r>
      <w:r>
        <w:t>о</w:t>
      </w:r>
      <w:r w:rsidR="0039585F" w:rsidRPr="00F6340E">
        <w:t xml:space="preserve"> </w:t>
      </w:r>
      <w:r>
        <w:t>бољ</w:t>
      </w:r>
      <w:r w:rsidR="00EE6AA2">
        <w:t>е</w:t>
      </w:r>
      <w:r w:rsidR="0039585F" w:rsidRPr="00F6340E">
        <w:t xml:space="preserve"> </w:t>
      </w:r>
      <w:r>
        <w:t>могли</w:t>
      </w:r>
      <w:r w:rsidR="0039585F" w:rsidRPr="00F6340E">
        <w:t xml:space="preserve"> </w:t>
      </w:r>
      <w:r w:rsidR="0071360A">
        <w:t>р</w:t>
      </w:r>
      <w:r>
        <w:t>а</w:t>
      </w:r>
      <w:r w:rsidR="00171F00">
        <w:t>з</w:t>
      </w:r>
      <w:r w:rsidR="0071360A">
        <w:t>у</w:t>
      </w:r>
      <w:r>
        <w:t>мј</w:t>
      </w:r>
      <w:r w:rsidR="00EE6AA2">
        <w:t>е</w:t>
      </w:r>
      <w:r w:rsidR="0071360A">
        <w:t>т</w:t>
      </w:r>
      <w:r>
        <w:t>и</w:t>
      </w:r>
      <w:r w:rsidR="0039585F" w:rsidRPr="00F6340E">
        <w:t xml:space="preserve"> </w:t>
      </w:r>
      <w:r>
        <w:t>од</w:t>
      </w:r>
      <w:r w:rsidR="0071360A">
        <w:t>р</w:t>
      </w:r>
      <w:r w:rsidR="00EE6AA2">
        <w:t>е</w:t>
      </w:r>
      <w:r>
        <w:t>ђ</w:t>
      </w:r>
      <w:r w:rsidR="00EE6AA2">
        <w:t>е</w:t>
      </w:r>
      <w:r>
        <w:t>ни</w:t>
      </w:r>
      <w:r w:rsidR="0039585F" w:rsidRPr="00F6340E">
        <w:t xml:space="preserve"> </w:t>
      </w:r>
      <w:r w:rsidR="0071360A">
        <w:t>с</w:t>
      </w:r>
      <w:r>
        <w:t>ад</w:t>
      </w:r>
      <w:r w:rsidR="0071360A">
        <w:t>р</w:t>
      </w:r>
      <w:r w:rsidR="00171F00">
        <w:t>ж</w:t>
      </w:r>
      <w:r>
        <w:t>ај</w:t>
      </w:r>
      <w:r w:rsidR="00D57A41" w:rsidRPr="00F6340E">
        <w:t xml:space="preserve"> </w:t>
      </w:r>
      <w:r>
        <w:t>кој</w:t>
      </w:r>
      <w:r w:rsidR="00EE6AA2">
        <w:t>е</w:t>
      </w:r>
      <w:r>
        <w:t>м</w:t>
      </w:r>
      <w:r w:rsidR="0039585F" w:rsidRPr="00F6340E">
        <w:t xml:space="preserve"> </w:t>
      </w:r>
      <w:r w:rsidR="0071360A">
        <w:t>пр</w:t>
      </w:r>
      <w:r>
        <w:t>и</w:t>
      </w:r>
      <w:r w:rsidR="0071360A">
        <w:t>ступ</w:t>
      </w:r>
      <w:r>
        <w:t>ај</w:t>
      </w:r>
      <w:r w:rsidR="0071360A">
        <w:t>у</w:t>
      </w:r>
      <w:r w:rsidR="0039585F" w:rsidRPr="00F6340E">
        <w:t xml:space="preserve"> </w:t>
      </w:r>
      <w:r w:rsidR="0071360A">
        <w:t>пут</w:t>
      </w:r>
      <w:r w:rsidR="00EE6AA2">
        <w:t>е</w:t>
      </w:r>
      <w:r>
        <w:t>м</w:t>
      </w:r>
      <w:r w:rsidR="0039585F" w:rsidRPr="00F6340E">
        <w:t xml:space="preserve"> </w:t>
      </w:r>
      <w:r w:rsidR="0071360A">
        <w:t>п</w:t>
      </w:r>
      <w:r>
        <w:t>ла</w:t>
      </w:r>
      <w:r w:rsidR="0071360A">
        <w:t>т</w:t>
      </w:r>
      <w:r>
        <w:t>фо</w:t>
      </w:r>
      <w:r w:rsidR="0071360A">
        <w:t>р</w:t>
      </w:r>
      <w:r>
        <w:t>м</w:t>
      </w:r>
      <w:r w:rsidR="00EE6AA2">
        <w:t>е</w:t>
      </w:r>
      <w:r w:rsidR="0039585F" w:rsidRPr="00F6340E">
        <w:t xml:space="preserve">. </w:t>
      </w:r>
      <w:r>
        <w:t>И</w:t>
      </w:r>
      <w:r w:rsidR="00171F00">
        <w:t>з</w:t>
      </w:r>
      <w:r>
        <w:t>бо</w:t>
      </w:r>
      <w:r w:rsidR="0071360A">
        <w:t>р</w:t>
      </w:r>
      <w:r w:rsidR="0039585F" w:rsidRPr="00F6340E">
        <w:t xml:space="preserve"> </w:t>
      </w:r>
      <w:r w:rsidR="0071360A">
        <w:t>пр</w:t>
      </w:r>
      <w:r>
        <w:t>а</w:t>
      </w:r>
      <w:r w:rsidR="0071360A">
        <w:t>в</w:t>
      </w:r>
      <w:r w:rsidR="00EE6AA2">
        <w:t>е</w:t>
      </w:r>
      <w:r w:rsidR="0039585F" w:rsidRPr="00F6340E">
        <w:t xml:space="preserve"> </w:t>
      </w:r>
      <w:r>
        <w:t>м</w:t>
      </w:r>
      <w:r w:rsidR="00EE6AA2">
        <w:t>е</w:t>
      </w:r>
      <w:r w:rsidR="0071360A">
        <w:t>т</w:t>
      </w:r>
      <w:r>
        <w:t>од</w:t>
      </w:r>
      <w:r w:rsidR="00EE6AA2">
        <w:t>е</w:t>
      </w:r>
      <w:r w:rsidR="0039585F" w:rsidRPr="00F6340E">
        <w:t xml:space="preserve"> </w:t>
      </w:r>
      <w:r w:rsidR="0071360A">
        <w:t>пр</w:t>
      </w:r>
      <w:r>
        <w:t>и</w:t>
      </w:r>
      <w:r w:rsidR="0071360A">
        <w:t>ступ</w:t>
      </w:r>
      <w:r>
        <w:t>а</w:t>
      </w:r>
      <w:r w:rsidR="0039585F" w:rsidRPr="00F6340E">
        <w:t xml:space="preserve"> </w:t>
      </w:r>
      <w:r>
        <w:t>од</w:t>
      </w:r>
      <w:r w:rsidR="0071360A">
        <w:t>р</w:t>
      </w:r>
      <w:r w:rsidR="00EE6AA2">
        <w:t>е</w:t>
      </w:r>
      <w:r>
        <w:t>ђ</w:t>
      </w:r>
      <w:r w:rsidR="00EE6AA2">
        <w:t>е</w:t>
      </w:r>
      <w:r>
        <w:t>ном</w:t>
      </w:r>
      <w:r w:rsidR="0039585F" w:rsidRPr="00F6340E">
        <w:t xml:space="preserve"> </w:t>
      </w:r>
      <w:r w:rsidR="0071360A">
        <w:t>с</w:t>
      </w:r>
      <w:r>
        <w:t>ад</w:t>
      </w:r>
      <w:r w:rsidR="0071360A">
        <w:t>р</w:t>
      </w:r>
      <w:r w:rsidR="00171F00">
        <w:t>ж</w:t>
      </w:r>
      <w:r>
        <w:t>ај</w:t>
      </w:r>
      <w:r w:rsidR="0071360A">
        <w:t>у</w:t>
      </w:r>
      <w:r w:rsidR="0039585F" w:rsidRPr="00F6340E">
        <w:t xml:space="preserve"> </w:t>
      </w:r>
      <w:r>
        <w:t>ј</w:t>
      </w:r>
      <w:r w:rsidR="00EE6AA2">
        <w:t>е</w:t>
      </w:r>
      <w:r w:rsidR="0039585F" w:rsidRPr="00F6340E">
        <w:t xml:space="preserve"> </w:t>
      </w:r>
      <w:r>
        <w:t>би</w:t>
      </w:r>
      <w:r w:rsidR="0071360A">
        <w:t>т</w:t>
      </w:r>
      <w:r>
        <w:t>ан</w:t>
      </w:r>
      <w:r w:rsidR="0039585F" w:rsidRPr="00F6340E">
        <w:t xml:space="preserve">, </w:t>
      </w:r>
      <w:r>
        <w:t>ј</w:t>
      </w:r>
      <w:r w:rsidR="00EE6AA2">
        <w:t>е</w:t>
      </w:r>
      <w:r w:rsidR="0071360A">
        <w:t>р</w:t>
      </w:r>
      <w:r w:rsidR="0039585F" w:rsidRPr="00F6340E">
        <w:t xml:space="preserve"> </w:t>
      </w:r>
      <w:r w:rsidR="0071360A">
        <w:t>с</w:t>
      </w:r>
      <w:r w:rsidR="00EE6AA2">
        <w:t>е</w:t>
      </w:r>
      <w:r w:rsidR="0039585F" w:rsidRPr="00F6340E">
        <w:t xml:space="preserve"> </w:t>
      </w:r>
      <w:r>
        <w:t>н</w:t>
      </w:r>
      <w:r w:rsidR="00EE6AA2">
        <w:t>е</w:t>
      </w:r>
      <w:r w:rsidR="0039585F" w:rsidRPr="00F6340E">
        <w:t xml:space="preserve"> </w:t>
      </w:r>
      <w:r>
        <w:t>мо</w:t>
      </w:r>
      <w:r w:rsidR="00171F00">
        <w:t>ж</w:t>
      </w:r>
      <w:r w:rsidR="00EE6AA2">
        <w:t>е</w:t>
      </w:r>
      <w:r w:rsidR="0039585F" w:rsidRPr="00F6340E">
        <w:t xml:space="preserve"> </w:t>
      </w:r>
      <w:r>
        <w:t>миј</w:t>
      </w:r>
      <w:r w:rsidR="00EE6AA2">
        <w:t>е</w:t>
      </w:r>
      <w:r>
        <w:t>ња</w:t>
      </w:r>
      <w:r w:rsidR="0071360A">
        <w:t>т</w:t>
      </w:r>
      <w:r>
        <w:t>и</w:t>
      </w:r>
      <w:r w:rsidR="0039585F" w:rsidRPr="00F6340E">
        <w:t xml:space="preserve"> </w:t>
      </w:r>
      <w:r>
        <w:t>и</w:t>
      </w:r>
      <w:r w:rsidR="0039585F" w:rsidRPr="00F6340E">
        <w:t xml:space="preserve"> </w:t>
      </w:r>
      <w:r w:rsidR="0071360A">
        <w:t>пр</w:t>
      </w:r>
      <w:r>
        <w:t>илагођа</w:t>
      </w:r>
      <w:r w:rsidR="0071360A">
        <w:t>в</w:t>
      </w:r>
      <w:r>
        <w:t>а</w:t>
      </w:r>
      <w:r w:rsidR="0071360A">
        <w:t>т</w:t>
      </w:r>
      <w:r>
        <w:t>и</w:t>
      </w:r>
      <w:r w:rsidR="0039585F" w:rsidRPr="00F6340E">
        <w:t xml:space="preserve"> </w:t>
      </w:r>
      <w:r w:rsidR="0071360A">
        <w:t>у</w:t>
      </w:r>
      <w:r w:rsidR="0039585F" w:rsidRPr="00F6340E">
        <w:t xml:space="preserve"> </w:t>
      </w:r>
      <w:r w:rsidR="0071360A">
        <w:t>р</w:t>
      </w:r>
      <w:r w:rsidR="00EE6AA2">
        <w:t>е</w:t>
      </w:r>
      <w:r>
        <w:t>алном</w:t>
      </w:r>
      <w:r w:rsidR="0039585F" w:rsidRPr="00F6340E">
        <w:t xml:space="preserve"> </w:t>
      </w:r>
      <w:r w:rsidR="0071360A">
        <w:t>вр</w:t>
      </w:r>
      <w:r w:rsidR="00EE6AA2">
        <w:t>е</w:t>
      </w:r>
      <w:r>
        <w:t>м</w:t>
      </w:r>
      <w:r w:rsidR="00EE6AA2">
        <w:t>е</w:t>
      </w:r>
      <w:r>
        <w:t>н</w:t>
      </w:r>
      <w:r w:rsidR="0071360A">
        <w:t>у</w:t>
      </w:r>
      <w:r w:rsidR="0039585F" w:rsidRPr="00F6340E">
        <w:t xml:space="preserve"> </w:t>
      </w:r>
      <w:r>
        <w:t>као</w:t>
      </w:r>
      <w:r w:rsidR="0039585F" w:rsidRPr="00F6340E">
        <w:t xml:space="preserve"> </w:t>
      </w:r>
      <w:r w:rsidR="0071360A">
        <w:t>у</w:t>
      </w:r>
      <w:r w:rsidR="0039585F" w:rsidRPr="00F6340E">
        <w:t xml:space="preserve"> </w:t>
      </w:r>
      <w:r w:rsidR="0071360A">
        <w:t>у</w:t>
      </w:r>
      <w:r>
        <w:t>чионици</w:t>
      </w:r>
      <w:r w:rsidR="0039585F" w:rsidRPr="00F6340E">
        <w:t>.</w:t>
      </w:r>
    </w:p>
    <w:p w14:paraId="720EE01A" w14:textId="2B9EB2B1" w:rsidR="0039585F" w:rsidRPr="00F6340E" w:rsidRDefault="00A56E08" w:rsidP="00FA4DC9">
      <w:pPr>
        <w:pStyle w:val="Body"/>
      </w:pPr>
      <w:r>
        <w:t>К</w:t>
      </w:r>
      <w:r w:rsidR="0071360A">
        <w:t>р</w:t>
      </w:r>
      <w:r>
        <w:t>о</w:t>
      </w:r>
      <w:r w:rsidR="00171F00">
        <w:t>з</w:t>
      </w:r>
      <w:r w:rsidR="0063207C" w:rsidRPr="00F6340E">
        <w:t xml:space="preserve"> </w:t>
      </w:r>
      <w:r w:rsidR="0071360A">
        <w:t>пр</w:t>
      </w:r>
      <w:r>
        <w:t>имј</w:t>
      </w:r>
      <w:r w:rsidR="00EE6AA2">
        <w:t>е</w:t>
      </w:r>
      <w:r>
        <w:t>н</w:t>
      </w:r>
      <w:r w:rsidR="0071360A">
        <w:t>у</w:t>
      </w:r>
      <w:r w:rsidR="0039585F" w:rsidRPr="00F6340E">
        <w:t xml:space="preserve"> </w:t>
      </w:r>
      <w:r w:rsidR="0071360A">
        <w:t>п</w:t>
      </w:r>
      <w:r>
        <w:t>ла</w:t>
      </w:r>
      <w:r w:rsidR="0071360A">
        <w:t>т</w:t>
      </w:r>
      <w:r>
        <w:t>фо</w:t>
      </w:r>
      <w:r w:rsidR="0071360A">
        <w:t>р</w:t>
      </w:r>
      <w:r>
        <w:t>м</w:t>
      </w:r>
      <w:r w:rsidR="00EE6AA2">
        <w:t>е</w:t>
      </w:r>
      <w:r w:rsidR="0039585F" w:rsidRPr="00F6340E">
        <w:t xml:space="preserve">, </w:t>
      </w:r>
      <w:r>
        <w:t>мог</w:t>
      </w:r>
      <w:r w:rsidR="0071360A">
        <w:t>у</w:t>
      </w:r>
      <w:r>
        <w:t>ћ</w:t>
      </w:r>
      <w:r w:rsidR="00EE6AA2">
        <w:t>е</w:t>
      </w:r>
      <w:r w:rsidR="0039585F" w:rsidRPr="00F6340E">
        <w:t xml:space="preserve"> </w:t>
      </w:r>
      <w:r>
        <w:t>ј</w:t>
      </w:r>
      <w:r w:rsidR="00EE6AA2">
        <w:t>е</w:t>
      </w:r>
      <w:r w:rsidR="0039585F" w:rsidRPr="00F6340E">
        <w:t xml:space="preserve"> </w:t>
      </w:r>
      <w:r>
        <w:t>к</w:t>
      </w:r>
      <w:r w:rsidR="0071360A">
        <w:t>р</w:t>
      </w:r>
      <w:r w:rsidR="00EE6AA2">
        <w:t>е</w:t>
      </w:r>
      <w:r>
        <w:t>и</w:t>
      </w:r>
      <w:r w:rsidR="0071360A">
        <w:t>р</w:t>
      </w:r>
      <w:r>
        <w:t>а</w:t>
      </w:r>
      <w:r w:rsidR="0071360A">
        <w:t>т</w:t>
      </w:r>
      <w:r>
        <w:t>и</w:t>
      </w:r>
      <w:r w:rsidR="0039585F" w:rsidRPr="00F6340E">
        <w:t xml:space="preserve"> </w:t>
      </w:r>
      <w:r>
        <w:t>и</w:t>
      </w:r>
      <w:r w:rsidR="0039585F" w:rsidRPr="00F6340E">
        <w:t xml:space="preserve"> </w:t>
      </w:r>
      <w:r w:rsidR="0071360A">
        <w:t>р</w:t>
      </w:r>
      <w:r w:rsidR="00EE6AA2">
        <w:t>е</w:t>
      </w:r>
      <w:r w:rsidR="0071360A">
        <w:t>п</w:t>
      </w:r>
      <w:r>
        <w:t>о</w:t>
      </w:r>
      <w:r w:rsidR="00171F00">
        <w:t>з</w:t>
      </w:r>
      <w:r>
        <w:t>и</w:t>
      </w:r>
      <w:r w:rsidR="0071360A">
        <w:t>т</w:t>
      </w:r>
      <w:r>
        <w:t>о</w:t>
      </w:r>
      <w:r w:rsidR="0071360A">
        <w:t>р</w:t>
      </w:r>
      <w:r>
        <w:t>иј</w:t>
      </w:r>
      <w:r w:rsidR="0039585F" w:rsidRPr="00F6340E">
        <w:t xml:space="preserve"> </w:t>
      </w:r>
      <w:r>
        <w:t>на</w:t>
      </w:r>
      <w:r w:rsidR="0071360A">
        <w:t>ст</w:t>
      </w:r>
      <w:r>
        <w:t>а</w:t>
      </w:r>
      <w:r w:rsidR="0071360A">
        <w:t>в</w:t>
      </w:r>
      <w:r>
        <w:t>них</w:t>
      </w:r>
      <w:r w:rsidR="0039585F" w:rsidRPr="00F6340E">
        <w:t xml:space="preserve"> </w:t>
      </w:r>
      <w:r w:rsidR="0071360A">
        <w:t>с</w:t>
      </w:r>
      <w:r>
        <w:t>ад</w:t>
      </w:r>
      <w:r w:rsidR="0071360A">
        <w:t>р</w:t>
      </w:r>
      <w:r w:rsidR="00171F00">
        <w:t>ж</w:t>
      </w:r>
      <w:r>
        <w:t>аја</w:t>
      </w:r>
      <w:r w:rsidR="0039585F" w:rsidRPr="00F6340E">
        <w:t xml:space="preserve"> </w:t>
      </w:r>
      <w:r>
        <w:t>који</w:t>
      </w:r>
      <w:r w:rsidR="0039585F" w:rsidRPr="00F6340E">
        <w:t xml:space="preserve"> </w:t>
      </w:r>
      <w:r w:rsidR="0071360A">
        <w:t>с</w:t>
      </w:r>
      <w:r w:rsidR="00EE6AA2">
        <w:t>е</w:t>
      </w:r>
      <w:r w:rsidR="0039585F" w:rsidRPr="00F6340E">
        <w:t xml:space="preserve"> </w:t>
      </w:r>
      <w:r>
        <w:t>мог</w:t>
      </w:r>
      <w:r w:rsidR="0071360A">
        <w:t>у</w:t>
      </w:r>
      <w:r w:rsidR="0039585F" w:rsidRPr="00F6340E">
        <w:t xml:space="preserve"> </w:t>
      </w:r>
      <w:r w:rsidR="0071360A">
        <w:t>Уп</w:t>
      </w:r>
      <w:r>
        <w:t>о</w:t>
      </w:r>
      <w:r w:rsidR="0071360A">
        <w:t>тр</w:t>
      </w:r>
      <w:r>
        <w:t>иј</w:t>
      </w:r>
      <w:r w:rsidR="00EE6AA2">
        <w:t>е</w:t>
      </w:r>
      <w:r>
        <w:t>би</w:t>
      </w:r>
      <w:r w:rsidR="0071360A">
        <w:t>т</w:t>
      </w:r>
      <w:r>
        <w:t>и</w:t>
      </w:r>
      <w:r w:rsidR="0039585F" w:rsidRPr="00F6340E">
        <w:t xml:space="preserve"> </w:t>
      </w:r>
      <w:r>
        <w:t>на</w:t>
      </w:r>
      <w:r w:rsidR="0039585F" w:rsidRPr="00F6340E">
        <w:t xml:space="preserve"> </w:t>
      </w:r>
      <w:r>
        <w:t>ни</w:t>
      </w:r>
      <w:r w:rsidR="0071360A">
        <w:t>в</w:t>
      </w:r>
      <w:r>
        <w:t>о</w:t>
      </w:r>
      <w:r w:rsidR="0071360A">
        <w:t>у</w:t>
      </w:r>
      <w:r w:rsidR="0039585F" w:rsidRPr="00F6340E">
        <w:t xml:space="preserve"> </w:t>
      </w:r>
      <w:r>
        <w:t>об</w:t>
      </w:r>
      <w:r w:rsidR="0071360A">
        <w:t>р</w:t>
      </w:r>
      <w:r>
        <w:t>а</w:t>
      </w:r>
      <w:r w:rsidR="00171F00">
        <w:t>з</w:t>
      </w:r>
      <w:r>
        <w:t>о</w:t>
      </w:r>
      <w:r w:rsidR="0071360A">
        <w:t>в</w:t>
      </w:r>
      <w:r>
        <w:t>них</w:t>
      </w:r>
      <w:r w:rsidR="0039585F" w:rsidRPr="00F6340E">
        <w:t xml:space="preserve"> </w:t>
      </w:r>
      <w:r>
        <w:t>ин</w:t>
      </w:r>
      <w:r w:rsidR="0071360A">
        <w:t>ст</w:t>
      </w:r>
      <w:r>
        <w:t>и</w:t>
      </w:r>
      <w:r w:rsidR="0071360A">
        <w:t>ту</w:t>
      </w:r>
      <w:r>
        <w:t>ција</w:t>
      </w:r>
      <w:r w:rsidR="0039585F" w:rsidRPr="00F6340E">
        <w:t xml:space="preserve">, </w:t>
      </w:r>
      <w:r>
        <w:t>или</w:t>
      </w:r>
      <w:r w:rsidR="0039585F" w:rsidRPr="00F6340E">
        <w:t xml:space="preserve"> </w:t>
      </w:r>
      <w:r w:rsidR="0071360A">
        <w:t>ств</w:t>
      </w:r>
      <w:r>
        <w:t>а</w:t>
      </w:r>
      <w:r w:rsidR="0071360A">
        <w:t>р</w:t>
      </w:r>
      <w:r>
        <w:t>ањ</w:t>
      </w:r>
      <w:r w:rsidR="00EE6AA2">
        <w:t>е</w:t>
      </w:r>
      <w:r w:rsidR="002C3EA6" w:rsidRPr="00F6340E">
        <w:t xml:space="preserve"> </w:t>
      </w:r>
      <w:r w:rsidR="0071360A">
        <w:t>р</w:t>
      </w:r>
      <w:r w:rsidR="00EE6AA2">
        <w:t>е</w:t>
      </w:r>
      <w:r w:rsidR="0071360A">
        <w:t>п</w:t>
      </w:r>
      <w:r>
        <w:t>о</w:t>
      </w:r>
      <w:r w:rsidR="00171F00">
        <w:t>з</w:t>
      </w:r>
      <w:r>
        <w:t>и</w:t>
      </w:r>
      <w:r w:rsidR="0071360A">
        <w:t>т</w:t>
      </w:r>
      <w:r>
        <w:t>о</w:t>
      </w:r>
      <w:r w:rsidR="0071360A">
        <w:t>р</w:t>
      </w:r>
      <w:r>
        <w:t>ија</w:t>
      </w:r>
      <w:r w:rsidR="002C3EA6" w:rsidRPr="00F6340E">
        <w:t xml:space="preserve"> </w:t>
      </w:r>
      <w:r w:rsidR="0071360A">
        <w:t>в</w:t>
      </w:r>
      <w:r w:rsidR="00EE6AA2">
        <w:t>е</w:t>
      </w:r>
      <w:r w:rsidR="0071360A">
        <w:t>р</w:t>
      </w:r>
      <w:r>
        <w:t>ифико</w:t>
      </w:r>
      <w:r w:rsidR="0071360A">
        <w:t>в</w:t>
      </w:r>
      <w:r>
        <w:t>аних</w:t>
      </w:r>
      <w:r w:rsidR="0039585F" w:rsidRPr="00F6340E">
        <w:t xml:space="preserve"> </w:t>
      </w:r>
      <w:r>
        <w:t>на</w:t>
      </w:r>
      <w:r w:rsidR="0071360A">
        <w:t>ст</w:t>
      </w:r>
      <w:r>
        <w:t>а</w:t>
      </w:r>
      <w:r w:rsidR="0071360A">
        <w:t>в</w:t>
      </w:r>
      <w:r>
        <w:t>них</w:t>
      </w:r>
      <w:r w:rsidR="0039585F" w:rsidRPr="00F6340E">
        <w:t xml:space="preserve"> </w:t>
      </w:r>
      <w:r>
        <w:t>ма</w:t>
      </w:r>
      <w:r w:rsidR="0071360A">
        <w:t>т</w:t>
      </w:r>
      <w:r w:rsidR="00EE6AA2">
        <w:t>е</w:t>
      </w:r>
      <w:r w:rsidR="0071360A">
        <w:t>р</w:t>
      </w:r>
      <w:r>
        <w:t>ијала</w:t>
      </w:r>
      <w:r w:rsidR="0039585F" w:rsidRPr="00F6340E">
        <w:t xml:space="preserve"> </w:t>
      </w:r>
      <w:r>
        <w:t>од</w:t>
      </w:r>
      <w:r w:rsidR="0039585F" w:rsidRPr="00F6340E">
        <w:t xml:space="preserve"> </w:t>
      </w:r>
      <w:r w:rsidR="0071360A">
        <w:t>стр</w:t>
      </w:r>
      <w:r>
        <w:t>ан</w:t>
      </w:r>
      <w:r w:rsidR="00EE6AA2">
        <w:t>е</w:t>
      </w:r>
      <w:r w:rsidR="0039585F" w:rsidRPr="00F6340E">
        <w:t xml:space="preserve"> </w:t>
      </w:r>
      <w:r>
        <w:t>надл</w:t>
      </w:r>
      <w:r w:rsidR="00EE6AA2">
        <w:t>е</w:t>
      </w:r>
      <w:r w:rsidR="00171F00">
        <w:t>ж</w:t>
      </w:r>
      <w:r>
        <w:t>ног</w:t>
      </w:r>
      <w:r w:rsidR="0039585F" w:rsidRPr="00F6340E">
        <w:t xml:space="preserve"> </w:t>
      </w:r>
      <w:r>
        <w:t>мини</w:t>
      </w:r>
      <w:r w:rsidR="0071360A">
        <w:t>ст</w:t>
      </w:r>
      <w:r>
        <w:t>а</w:t>
      </w:r>
      <w:r w:rsidR="0071360A">
        <w:t>рств</w:t>
      </w:r>
      <w:r>
        <w:t>а</w:t>
      </w:r>
      <w:r w:rsidR="0039585F" w:rsidRPr="00F6340E">
        <w:t xml:space="preserve"> </w:t>
      </w:r>
      <w:r>
        <w:t>об</w:t>
      </w:r>
      <w:r w:rsidR="0071360A">
        <w:t>р</w:t>
      </w:r>
      <w:r>
        <w:t>а</w:t>
      </w:r>
      <w:r w:rsidR="00171F00">
        <w:t>з</w:t>
      </w:r>
      <w:r>
        <w:t>о</w:t>
      </w:r>
      <w:r w:rsidR="0071360A">
        <w:t>в</w:t>
      </w:r>
      <w:r>
        <w:t>ања</w:t>
      </w:r>
      <w:r w:rsidR="0039585F" w:rsidRPr="00F6340E">
        <w:t xml:space="preserve">. </w:t>
      </w:r>
      <w:r>
        <w:t>На</w:t>
      </w:r>
      <w:r w:rsidR="0039585F" w:rsidRPr="00F6340E">
        <w:t xml:space="preserve"> </w:t>
      </w:r>
      <w:r w:rsidR="0071360A">
        <w:t>т</w:t>
      </w:r>
      <w:r>
        <w:t>ај</w:t>
      </w:r>
      <w:r w:rsidR="0039585F" w:rsidRPr="00F6340E">
        <w:t xml:space="preserve"> </w:t>
      </w:r>
      <w:r>
        <w:t>начин</w:t>
      </w:r>
      <w:r w:rsidR="0039585F" w:rsidRPr="00F6340E">
        <w:t xml:space="preserve">, </w:t>
      </w:r>
      <w:r w:rsidR="0071360A">
        <w:t>св</w:t>
      </w:r>
      <w:r>
        <w:t>и</w:t>
      </w:r>
      <w:r w:rsidR="0039585F" w:rsidRPr="00F6340E">
        <w:t xml:space="preserve"> </w:t>
      </w:r>
      <w:r w:rsidR="0071360A">
        <w:t>у</w:t>
      </w:r>
      <w:r>
        <w:t>ч</w:t>
      </w:r>
      <w:r w:rsidR="00EE6AA2">
        <w:t>е</w:t>
      </w:r>
      <w:r>
        <w:t>ници</w:t>
      </w:r>
      <w:r w:rsidR="0039585F" w:rsidRPr="00F6340E">
        <w:t>/</w:t>
      </w:r>
      <w:r w:rsidR="0071360A">
        <w:t>сту</w:t>
      </w:r>
      <w:r>
        <w:t>д</w:t>
      </w:r>
      <w:r w:rsidR="00EE6AA2">
        <w:t>е</w:t>
      </w:r>
      <w:r>
        <w:t>н</w:t>
      </w:r>
      <w:r w:rsidR="0071360A">
        <w:t>т</w:t>
      </w:r>
      <w:r>
        <w:t>и</w:t>
      </w:r>
      <w:r w:rsidR="0039585F" w:rsidRPr="00F6340E">
        <w:t xml:space="preserve"> </w:t>
      </w:r>
      <w:r>
        <w:t>би</w:t>
      </w:r>
      <w:r w:rsidR="0039585F" w:rsidRPr="00F6340E">
        <w:t xml:space="preserve"> </w:t>
      </w:r>
      <w:r>
        <w:t>били</w:t>
      </w:r>
      <w:r w:rsidR="0039585F" w:rsidRPr="00F6340E">
        <w:t xml:space="preserve"> </w:t>
      </w:r>
      <w:r w:rsidR="0071360A">
        <w:t>у</w:t>
      </w:r>
      <w:r w:rsidR="0039585F" w:rsidRPr="00F6340E">
        <w:t xml:space="preserve"> </w:t>
      </w:r>
      <w:r>
        <w:t>мог</w:t>
      </w:r>
      <w:r w:rsidR="0071360A">
        <w:t>у</w:t>
      </w:r>
      <w:r>
        <w:t>ћно</w:t>
      </w:r>
      <w:r w:rsidR="0071360A">
        <w:t>ст</w:t>
      </w:r>
      <w:r>
        <w:t>и</w:t>
      </w:r>
      <w:r w:rsidR="0039585F" w:rsidRPr="00F6340E">
        <w:t xml:space="preserve"> </w:t>
      </w:r>
      <w:r w:rsidR="0071360A">
        <w:t>уп</w:t>
      </w:r>
      <w:r>
        <w:t>о</w:t>
      </w:r>
      <w:r w:rsidR="0071360A">
        <w:t>тр</w:t>
      </w:r>
      <w:r>
        <w:t>иј</w:t>
      </w:r>
      <w:r w:rsidR="00EE6AA2">
        <w:t>е</w:t>
      </w:r>
      <w:r>
        <w:t>би</w:t>
      </w:r>
      <w:r w:rsidR="0071360A">
        <w:t>т</w:t>
      </w:r>
      <w:r>
        <w:t>и</w:t>
      </w:r>
      <w:r w:rsidR="004B0FCD" w:rsidRPr="00F6340E">
        <w:t xml:space="preserve"> </w:t>
      </w:r>
      <w:r>
        <w:t>до</w:t>
      </w:r>
      <w:r w:rsidR="0071360A">
        <w:t>ступ</w:t>
      </w:r>
      <w:r>
        <w:t>н</w:t>
      </w:r>
      <w:r w:rsidR="00EE6AA2">
        <w:t>е</w:t>
      </w:r>
      <w:r w:rsidR="002C3EA6" w:rsidRPr="00F6340E">
        <w:t xml:space="preserve"> </w:t>
      </w:r>
      <w:r>
        <w:t>ма</w:t>
      </w:r>
      <w:r w:rsidR="0071360A">
        <w:t>т</w:t>
      </w:r>
      <w:r w:rsidR="00EE6AA2">
        <w:t>е</w:t>
      </w:r>
      <w:r w:rsidR="0071360A">
        <w:t>р</w:t>
      </w:r>
      <w:r>
        <w:t>ијал</w:t>
      </w:r>
      <w:r w:rsidR="00EE6AA2">
        <w:t>е</w:t>
      </w:r>
      <w:r w:rsidR="0039585F" w:rsidRPr="00F6340E">
        <w:t xml:space="preserve"> </w:t>
      </w:r>
      <w:r>
        <w:t>и</w:t>
      </w:r>
      <w:r w:rsidR="0039585F" w:rsidRPr="00F6340E">
        <w:t xml:space="preserve"> </w:t>
      </w:r>
      <w:r>
        <w:t>мог</w:t>
      </w:r>
      <w:r w:rsidR="0071360A">
        <w:t>у</w:t>
      </w:r>
      <w:r>
        <w:t>ћно</w:t>
      </w:r>
      <w:r w:rsidR="0071360A">
        <w:t>ст</w:t>
      </w:r>
      <w:r>
        <w:t>и</w:t>
      </w:r>
      <w:r w:rsidR="0039585F" w:rsidRPr="00F6340E">
        <w:t xml:space="preserve"> </w:t>
      </w:r>
      <w:r w:rsidR="00171F00">
        <w:t>з</w:t>
      </w:r>
      <w:r>
        <w:t>а</w:t>
      </w:r>
      <w:r w:rsidR="0039585F" w:rsidRPr="00F6340E">
        <w:t xml:space="preserve"> </w:t>
      </w:r>
      <w:r w:rsidR="0071360A">
        <w:t>у</w:t>
      </w:r>
      <w:r>
        <w:t>ч</w:t>
      </w:r>
      <w:r w:rsidR="00EE6AA2">
        <w:t>е</w:t>
      </w:r>
      <w:r>
        <w:t>њ</w:t>
      </w:r>
      <w:r w:rsidR="00EE6AA2">
        <w:t>е</w:t>
      </w:r>
      <w:r w:rsidR="0039585F" w:rsidRPr="00F6340E">
        <w:t xml:space="preserve">. </w:t>
      </w:r>
      <w:r w:rsidR="0071360A">
        <w:t>П</w:t>
      </w:r>
      <w:r>
        <w:t>о</w:t>
      </w:r>
      <w:r w:rsidR="0071360A">
        <w:t>р</w:t>
      </w:r>
      <w:r w:rsidR="00EE6AA2">
        <w:t>е</w:t>
      </w:r>
      <w:r>
        <w:t>д</w:t>
      </w:r>
      <w:r w:rsidR="0039585F" w:rsidRPr="00F6340E">
        <w:t xml:space="preserve"> </w:t>
      </w:r>
      <w:r>
        <w:t>на</w:t>
      </w:r>
      <w:r w:rsidR="0071360A">
        <w:t>ст</w:t>
      </w:r>
      <w:r>
        <w:t>а</w:t>
      </w:r>
      <w:r w:rsidR="0071360A">
        <w:t>в</w:t>
      </w:r>
      <w:r>
        <w:t>них</w:t>
      </w:r>
      <w:r w:rsidR="0039585F" w:rsidRPr="00F6340E">
        <w:t xml:space="preserve"> </w:t>
      </w:r>
      <w:r>
        <w:t>ма</w:t>
      </w:r>
      <w:r w:rsidR="0071360A">
        <w:t>т</w:t>
      </w:r>
      <w:r w:rsidR="00EE6AA2">
        <w:t>е</w:t>
      </w:r>
      <w:r w:rsidR="0071360A">
        <w:t>р</w:t>
      </w:r>
      <w:r>
        <w:t>ијала</w:t>
      </w:r>
      <w:r w:rsidR="0039585F" w:rsidRPr="00F6340E">
        <w:t xml:space="preserve"> </w:t>
      </w:r>
      <w:r w:rsidR="00171F00">
        <w:t>з</w:t>
      </w:r>
      <w:r>
        <w:t>а</w:t>
      </w:r>
      <w:r w:rsidR="0039585F" w:rsidRPr="00F6340E">
        <w:t xml:space="preserve"> </w:t>
      </w:r>
      <w:r w:rsidR="0071360A">
        <w:t>у</w:t>
      </w:r>
      <w:r>
        <w:t>ч</w:t>
      </w:r>
      <w:r w:rsidR="00EE6AA2">
        <w:t>е</w:t>
      </w:r>
      <w:r>
        <w:t>ник</w:t>
      </w:r>
      <w:r w:rsidR="00EE6AA2">
        <w:t>е</w:t>
      </w:r>
      <w:r w:rsidR="0039585F" w:rsidRPr="00F6340E">
        <w:t xml:space="preserve">, </w:t>
      </w:r>
      <w:r w:rsidR="0071360A">
        <w:t>р</w:t>
      </w:r>
      <w:r w:rsidR="00EE6AA2">
        <w:t>е</w:t>
      </w:r>
      <w:r w:rsidR="0071360A">
        <w:t>п</w:t>
      </w:r>
      <w:r>
        <w:t>о</w:t>
      </w:r>
      <w:r w:rsidR="00171F00">
        <w:t>з</w:t>
      </w:r>
      <w:r>
        <w:t>и</w:t>
      </w:r>
      <w:r w:rsidR="0071360A">
        <w:t>т</w:t>
      </w:r>
      <w:r>
        <w:t>о</w:t>
      </w:r>
      <w:r w:rsidR="0071360A">
        <w:t>р</w:t>
      </w:r>
      <w:r>
        <w:t>иј</w:t>
      </w:r>
      <w:r w:rsidR="0039585F" w:rsidRPr="00F6340E">
        <w:t xml:space="preserve"> </w:t>
      </w:r>
      <w:r w:rsidR="0071360A">
        <w:t>с</w:t>
      </w:r>
      <w:r w:rsidR="00EE6AA2">
        <w:t>е</w:t>
      </w:r>
      <w:r w:rsidR="0039585F" w:rsidRPr="00F6340E">
        <w:t xml:space="preserve"> </w:t>
      </w:r>
      <w:r>
        <w:t>мо</w:t>
      </w:r>
      <w:r w:rsidR="00171F00">
        <w:t>ж</w:t>
      </w:r>
      <w:r w:rsidR="00EE6AA2">
        <w:t>е</w:t>
      </w:r>
      <w:r w:rsidR="0039585F" w:rsidRPr="00F6340E">
        <w:t xml:space="preserve"> </w:t>
      </w:r>
      <w:r w:rsidR="0071360A">
        <w:t>уп</w:t>
      </w:r>
      <w:r>
        <w:t>о</w:t>
      </w:r>
      <w:r w:rsidR="0071360A">
        <w:t>тр</w:t>
      </w:r>
      <w:r>
        <w:t>иј</w:t>
      </w:r>
      <w:r w:rsidR="00EE6AA2">
        <w:t>е</w:t>
      </w:r>
      <w:r>
        <w:t>би</w:t>
      </w:r>
      <w:r w:rsidR="0071360A">
        <w:t>т</w:t>
      </w:r>
      <w:r>
        <w:t>и</w:t>
      </w:r>
      <w:r w:rsidR="004B0FCD" w:rsidRPr="00F6340E">
        <w:t xml:space="preserve"> </w:t>
      </w:r>
      <w:r>
        <w:t>и</w:t>
      </w:r>
      <w:r w:rsidR="0039585F" w:rsidRPr="00F6340E">
        <w:t xml:space="preserve"> </w:t>
      </w:r>
      <w:r w:rsidR="00171F00">
        <w:t>з</w:t>
      </w:r>
      <w:r>
        <w:t>а</w:t>
      </w:r>
      <w:r w:rsidR="0039585F" w:rsidRPr="00F6340E">
        <w:t xml:space="preserve"> </w:t>
      </w:r>
      <w:r>
        <w:t>на</w:t>
      </w:r>
      <w:r w:rsidR="0071360A">
        <w:t>ст</w:t>
      </w:r>
      <w:r>
        <w:t>а</w:t>
      </w:r>
      <w:r w:rsidR="0071360A">
        <w:t>в</w:t>
      </w:r>
      <w:r>
        <w:t>но</w:t>
      </w:r>
      <w:r w:rsidR="0039585F" w:rsidRPr="00F6340E">
        <w:t xml:space="preserve"> </w:t>
      </w:r>
      <w:r>
        <w:t>о</w:t>
      </w:r>
      <w:r w:rsidR="0071360A">
        <w:t>с</w:t>
      </w:r>
      <w:r>
        <w:t>обљ</w:t>
      </w:r>
      <w:r w:rsidR="00EE6AA2">
        <w:t>е</w:t>
      </w:r>
      <w:r w:rsidR="0039585F" w:rsidRPr="00F6340E">
        <w:t xml:space="preserve"> </w:t>
      </w:r>
      <w:r>
        <w:t>како</w:t>
      </w:r>
      <w:r w:rsidR="0039585F" w:rsidRPr="00F6340E">
        <w:t xml:space="preserve"> </w:t>
      </w:r>
      <w:r>
        <w:t>би</w:t>
      </w:r>
      <w:r w:rsidR="0039585F" w:rsidRPr="00F6340E">
        <w:t xml:space="preserve"> </w:t>
      </w:r>
      <w:r w:rsidR="0071360A">
        <w:t>р</w:t>
      </w:r>
      <w:r>
        <w:t>а</w:t>
      </w:r>
      <w:r w:rsidR="00171F00">
        <w:t>з</w:t>
      </w:r>
      <w:r>
        <w:t>миј</w:t>
      </w:r>
      <w:r w:rsidR="00EE6AA2">
        <w:t>е</w:t>
      </w:r>
      <w:r>
        <w:t>нили</w:t>
      </w:r>
      <w:r w:rsidR="0039585F" w:rsidRPr="00F6340E">
        <w:t xml:space="preserve"> </w:t>
      </w:r>
      <w:r w:rsidR="0071360A">
        <w:t>пр</w:t>
      </w:r>
      <w:r>
        <w:t>имј</w:t>
      </w:r>
      <w:r w:rsidR="00EE6AA2">
        <w:t>е</w:t>
      </w:r>
      <w:r w:rsidR="0071360A">
        <w:t>р</w:t>
      </w:r>
      <w:r w:rsidR="00EE6AA2">
        <w:t>е</w:t>
      </w:r>
      <w:r w:rsidR="0039585F" w:rsidRPr="00F6340E">
        <w:t xml:space="preserve"> </w:t>
      </w:r>
      <w:r>
        <w:t>доб</w:t>
      </w:r>
      <w:r w:rsidR="0071360A">
        <w:t>р</w:t>
      </w:r>
      <w:r w:rsidR="00EE6AA2">
        <w:t>е</w:t>
      </w:r>
      <w:r w:rsidR="0039585F" w:rsidRPr="00F6340E">
        <w:t xml:space="preserve"> </w:t>
      </w:r>
      <w:r w:rsidR="0071360A">
        <w:t>пр</w:t>
      </w:r>
      <w:r>
        <w:t>ак</w:t>
      </w:r>
      <w:r w:rsidR="0071360A">
        <w:t>с</w:t>
      </w:r>
      <w:r w:rsidR="00EE6AA2">
        <w:t>е</w:t>
      </w:r>
      <w:r w:rsidR="0039585F" w:rsidRPr="00F6340E">
        <w:t xml:space="preserve"> </w:t>
      </w:r>
      <w:r>
        <w:t>и</w:t>
      </w:r>
      <w:r w:rsidR="0039585F" w:rsidRPr="00F6340E">
        <w:t xml:space="preserve"> </w:t>
      </w:r>
      <w:r>
        <w:t>како</w:t>
      </w:r>
      <w:r w:rsidR="0039585F" w:rsidRPr="00F6340E">
        <w:t xml:space="preserve"> </w:t>
      </w:r>
      <w:r>
        <w:t>би</w:t>
      </w:r>
      <w:r w:rsidR="0039585F" w:rsidRPr="00F6340E">
        <w:t xml:space="preserve"> </w:t>
      </w:r>
      <w:r>
        <w:t>имали</w:t>
      </w:r>
      <w:r w:rsidR="0039585F" w:rsidRPr="00F6340E">
        <w:t xml:space="preserve"> </w:t>
      </w:r>
      <w:r>
        <w:t>мог</w:t>
      </w:r>
      <w:r w:rsidR="0071360A">
        <w:t>у</w:t>
      </w:r>
      <w:r>
        <w:t>ћно</w:t>
      </w:r>
      <w:r w:rsidR="0071360A">
        <w:t>ст</w:t>
      </w:r>
      <w:r w:rsidR="0039585F" w:rsidRPr="00F6340E">
        <w:t xml:space="preserve"> </w:t>
      </w:r>
      <w:r w:rsidR="0071360A">
        <w:t>пр</w:t>
      </w:r>
      <w:r>
        <w:t>и</w:t>
      </w:r>
      <w:r w:rsidR="0071360A">
        <w:t>ступ</w:t>
      </w:r>
      <w:r>
        <w:t>а</w:t>
      </w:r>
      <w:r w:rsidR="0039585F" w:rsidRPr="00F6340E">
        <w:t xml:space="preserve"> </w:t>
      </w:r>
      <w:r>
        <w:t>од</w:t>
      </w:r>
      <w:r w:rsidR="0071360A">
        <w:t>р</w:t>
      </w:r>
      <w:r w:rsidR="00EE6AA2">
        <w:t>е</w:t>
      </w:r>
      <w:r>
        <w:t>ђ</w:t>
      </w:r>
      <w:r w:rsidR="00EE6AA2">
        <w:t>е</w:t>
      </w:r>
      <w:r>
        <w:t>ним</w:t>
      </w:r>
      <w:r w:rsidR="0039585F" w:rsidRPr="00F6340E">
        <w:t xml:space="preserve"> </w:t>
      </w:r>
      <w:r>
        <w:t>к</w:t>
      </w:r>
      <w:r w:rsidR="0071360A">
        <w:t>урс</w:t>
      </w:r>
      <w:r w:rsidR="00EE6AA2">
        <w:t>е</w:t>
      </w:r>
      <w:r w:rsidR="0071360A">
        <w:t>в</w:t>
      </w:r>
      <w:r>
        <w:t>има</w:t>
      </w:r>
      <w:r w:rsidR="002C3EA6" w:rsidRPr="00F6340E">
        <w:t xml:space="preserve"> </w:t>
      </w:r>
      <w:r>
        <w:t>и</w:t>
      </w:r>
      <w:r w:rsidR="002C3EA6" w:rsidRPr="00F6340E">
        <w:t xml:space="preserve"> </w:t>
      </w:r>
      <w:r w:rsidR="0071360A">
        <w:t>р</w:t>
      </w:r>
      <w:r w:rsidR="00EE6AA2">
        <w:t>е</w:t>
      </w:r>
      <w:r w:rsidR="0071360A">
        <w:t>сурс</w:t>
      </w:r>
      <w:r>
        <w:t>има</w:t>
      </w:r>
      <w:r w:rsidR="002C3EA6" w:rsidRPr="00F6340E">
        <w:t xml:space="preserve"> </w:t>
      </w:r>
      <w:r w:rsidR="00171F00">
        <w:t>з</w:t>
      </w:r>
      <w:r>
        <w:t>а</w:t>
      </w:r>
      <w:r w:rsidR="002C3EA6" w:rsidRPr="00F6340E">
        <w:t xml:space="preserve"> </w:t>
      </w:r>
      <w:r w:rsidR="0071360A">
        <w:t>у</w:t>
      </w:r>
      <w:r>
        <w:t>на</w:t>
      </w:r>
      <w:r w:rsidR="0071360A">
        <w:t>пр</w:t>
      </w:r>
      <w:r>
        <w:t>ј</w:t>
      </w:r>
      <w:r w:rsidR="00EE6AA2">
        <w:t>е</w:t>
      </w:r>
      <w:r>
        <w:t>ђ</w:t>
      </w:r>
      <w:r w:rsidR="00EE6AA2">
        <w:t>е</w:t>
      </w:r>
      <w:r>
        <w:t>њ</w:t>
      </w:r>
      <w:r w:rsidR="00EE6AA2">
        <w:t>е</w:t>
      </w:r>
      <w:r w:rsidR="0039585F" w:rsidRPr="00F6340E">
        <w:t xml:space="preserve"> </w:t>
      </w:r>
      <w:r>
        <w:t>диги</w:t>
      </w:r>
      <w:r w:rsidR="0071360A">
        <w:t>т</w:t>
      </w:r>
      <w:r>
        <w:t>алних</w:t>
      </w:r>
      <w:r w:rsidR="0039585F" w:rsidRPr="00F6340E">
        <w:t xml:space="preserve"> </w:t>
      </w:r>
      <w:r>
        <w:t>и</w:t>
      </w:r>
      <w:r w:rsidR="0039585F" w:rsidRPr="00F6340E">
        <w:t xml:space="preserve"> </w:t>
      </w:r>
      <w:r w:rsidR="0071360A">
        <w:t>стру</w:t>
      </w:r>
      <w:r>
        <w:t>чних</w:t>
      </w:r>
      <w:r w:rsidR="0039585F" w:rsidRPr="00F6340E">
        <w:t xml:space="preserve"> </w:t>
      </w:r>
      <w:r>
        <w:t>ком</w:t>
      </w:r>
      <w:r w:rsidR="0071360A">
        <w:t>п</w:t>
      </w:r>
      <w:r w:rsidR="00EE6AA2">
        <w:t>е</w:t>
      </w:r>
      <w:r w:rsidR="0071360A">
        <w:t>т</w:t>
      </w:r>
      <w:r w:rsidR="00EE6AA2">
        <w:t>е</w:t>
      </w:r>
      <w:r>
        <w:t>нција</w:t>
      </w:r>
      <w:r w:rsidR="0039585F" w:rsidRPr="00F6340E">
        <w:t>.</w:t>
      </w:r>
    </w:p>
    <w:p w14:paraId="3FB837F0" w14:textId="77777777" w:rsidR="0039585F" w:rsidRPr="00F6340E" w:rsidRDefault="0039585F" w:rsidP="00F83E0E">
      <w:pPr>
        <w:pBdr>
          <w:top w:val="nil"/>
          <w:left w:val="nil"/>
          <w:bottom w:val="nil"/>
          <w:right w:val="nil"/>
          <w:between w:val="nil"/>
        </w:pBdr>
        <w:spacing w:line="276" w:lineRule="auto"/>
        <w:rPr>
          <w:rFonts w:ascii="Arial" w:eastAsia="Arial" w:hAnsi="Arial" w:cs="Arial"/>
          <w:color w:val="000000"/>
          <w:sz w:val="24"/>
          <w:szCs w:val="24"/>
          <w:lang w:val="sr-Cyrl-BA"/>
        </w:rPr>
      </w:pPr>
    </w:p>
    <w:p w14:paraId="1946BAA5" w14:textId="5A1035D7" w:rsidR="0039585F" w:rsidRPr="00F6340E" w:rsidRDefault="00A56E08" w:rsidP="00735975">
      <w:pPr>
        <w:pStyle w:val="Heading3"/>
        <w:numPr>
          <w:ilvl w:val="2"/>
          <w:numId w:val="70"/>
        </w:numPr>
        <w:rPr>
          <w:lang w:val="sr-Cyrl-BA"/>
        </w:rPr>
      </w:pPr>
      <w:bookmarkStart w:id="31" w:name="_Toc119050313"/>
      <w:r>
        <w:rPr>
          <w:lang w:val="sr-Cyrl-BA"/>
        </w:rPr>
        <w:t>Од</w:t>
      </w:r>
      <w:r w:rsidR="0071360A">
        <w:rPr>
          <w:lang w:val="sr-Cyrl-BA"/>
        </w:rPr>
        <w:t>р</w:t>
      </w:r>
      <w:r w:rsidR="00171F00">
        <w:rPr>
          <w:lang w:val="sr-Cyrl-BA"/>
        </w:rPr>
        <w:t>ж</w:t>
      </w:r>
      <w:r>
        <w:rPr>
          <w:lang w:val="sr-Cyrl-BA"/>
        </w:rPr>
        <w:t>а</w:t>
      </w:r>
      <w:r w:rsidR="0071360A">
        <w:rPr>
          <w:lang w:val="sr-Cyrl-BA"/>
        </w:rPr>
        <w:t>в</w:t>
      </w:r>
      <w:r>
        <w:rPr>
          <w:lang w:val="sr-Cyrl-BA"/>
        </w:rPr>
        <w:t>ањ</w:t>
      </w:r>
      <w:r w:rsidR="00EE6AA2">
        <w:rPr>
          <w:lang w:val="sr-Cyrl-BA"/>
        </w:rPr>
        <w:t>е</w:t>
      </w:r>
      <w:r w:rsidR="0039585F" w:rsidRPr="00F6340E">
        <w:rPr>
          <w:lang w:val="sr-Cyrl-BA"/>
        </w:rPr>
        <w:t xml:space="preserve"> </w:t>
      </w:r>
      <w:r>
        <w:rPr>
          <w:lang w:val="sr-Cyrl-BA"/>
        </w:rPr>
        <w:t>о</w:t>
      </w:r>
      <w:r w:rsidR="0071360A">
        <w:rPr>
          <w:lang w:val="sr-Cyrl-BA"/>
        </w:rPr>
        <w:t>пр</w:t>
      </w:r>
      <w:r w:rsidR="00EE6AA2">
        <w:rPr>
          <w:lang w:val="sr-Cyrl-BA"/>
        </w:rPr>
        <w:t>е</w:t>
      </w:r>
      <w:r>
        <w:rPr>
          <w:lang w:val="sr-Cyrl-BA"/>
        </w:rPr>
        <w:t>м</w:t>
      </w:r>
      <w:r w:rsidR="00EE6AA2">
        <w:rPr>
          <w:lang w:val="sr-Cyrl-BA"/>
        </w:rPr>
        <w:t>е</w:t>
      </w:r>
      <w:r w:rsidR="0039585F" w:rsidRPr="00F6340E">
        <w:rPr>
          <w:lang w:val="sr-Cyrl-BA"/>
        </w:rPr>
        <w:t xml:space="preserve"> </w:t>
      </w:r>
      <w:r>
        <w:rPr>
          <w:lang w:val="sr-Cyrl-BA"/>
        </w:rPr>
        <w:t>и</w:t>
      </w:r>
      <w:r w:rsidR="0039585F" w:rsidRPr="00F6340E">
        <w:rPr>
          <w:lang w:val="sr-Cyrl-BA"/>
        </w:rPr>
        <w:t xml:space="preserve"> </w:t>
      </w:r>
      <w:r w:rsidR="0071360A">
        <w:rPr>
          <w:lang w:val="sr-Cyrl-BA"/>
        </w:rPr>
        <w:t>пру</w:t>
      </w:r>
      <w:r w:rsidR="00171F00">
        <w:rPr>
          <w:lang w:val="sr-Cyrl-BA"/>
        </w:rPr>
        <w:t>ж</w:t>
      </w:r>
      <w:r>
        <w:rPr>
          <w:lang w:val="sr-Cyrl-BA"/>
        </w:rPr>
        <w:t>ањ</w:t>
      </w:r>
      <w:r w:rsidR="00EE6AA2">
        <w:rPr>
          <w:lang w:val="sr-Cyrl-BA"/>
        </w:rPr>
        <w:t>е</w:t>
      </w:r>
      <w:r w:rsidR="0039585F" w:rsidRPr="00F6340E">
        <w:rPr>
          <w:lang w:val="sr-Cyrl-BA"/>
        </w:rPr>
        <w:t xml:space="preserve"> </w:t>
      </w:r>
      <w:r w:rsidR="0071360A">
        <w:rPr>
          <w:lang w:val="sr-Cyrl-BA"/>
        </w:rPr>
        <w:t>т</w:t>
      </w:r>
      <w:r w:rsidR="00EE6AA2">
        <w:rPr>
          <w:lang w:val="sr-Cyrl-BA"/>
        </w:rPr>
        <w:t>е</w:t>
      </w:r>
      <w:r>
        <w:rPr>
          <w:lang w:val="sr-Cyrl-BA"/>
        </w:rPr>
        <w:t>хничк</w:t>
      </w:r>
      <w:r w:rsidR="00EE6AA2">
        <w:rPr>
          <w:lang w:val="sr-Cyrl-BA"/>
        </w:rPr>
        <w:t>е</w:t>
      </w:r>
      <w:r w:rsidR="0039585F" w:rsidRPr="00F6340E">
        <w:rPr>
          <w:lang w:val="sr-Cyrl-BA"/>
        </w:rPr>
        <w:t xml:space="preserve"> </w:t>
      </w:r>
      <w:r w:rsidR="0071360A">
        <w:rPr>
          <w:lang w:val="sr-Cyrl-BA"/>
        </w:rPr>
        <w:t>п</w:t>
      </w:r>
      <w:r>
        <w:rPr>
          <w:lang w:val="sr-Cyrl-BA"/>
        </w:rPr>
        <w:t>омоћи</w:t>
      </w:r>
      <w:bookmarkEnd w:id="31"/>
    </w:p>
    <w:p w14:paraId="5F74F2BC" w14:textId="0459E396" w:rsidR="0039585F" w:rsidRPr="00F6340E" w:rsidRDefault="00A56E08" w:rsidP="00FA4DC9">
      <w:pPr>
        <w:pStyle w:val="Body"/>
      </w:pPr>
      <w:r>
        <w:t>Од</w:t>
      </w:r>
      <w:r w:rsidR="0071360A">
        <w:t>р</w:t>
      </w:r>
      <w:r w:rsidR="00171F00">
        <w:t>ж</w:t>
      </w:r>
      <w:r>
        <w:t>а</w:t>
      </w:r>
      <w:r w:rsidR="0071360A">
        <w:t>в</w:t>
      </w:r>
      <w:r>
        <w:t>ањ</w:t>
      </w:r>
      <w:r w:rsidR="00EE6AA2">
        <w:t>е</w:t>
      </w:r>
      <w:r w:rsidR="0039585F" w:rsidRPr="00F6340E">
        <w:t xml:space="preserve"> </w:t>
      </w:r>
      <w:r>
        <w:t>о</w:t>
      </w:r>
      <w:r w:rsidR="0071360A">
        <w:t>пр</w:t>
      </w:r>
      <w:r w:rsidR="00EE6AA2">
        <w:t>е</w:t>
      </w:r>
      <w:r>
        <w:t>м</w:t>
      </w:r>
      <w:r w:rsidR="00EE6AA2">
        <w:t>е</w:t>
      </w:r>
      <w:r w:rsidR="0039585F" w:rsidRPr="00F6340E">
        <w:t xml:space="preserve"> </w:t>
      </w:r>
      <w:r>
        <w:t>ј</w:t>
      </w:r>
      <w:r w:rsidR="00EE6AA2">
        <w:t>е</w:t>
      </w:r>
      <w:r w:rsidR="0039585F" w:rsidRPr="00F6340E">
        <w:t xml:space="preserve"> </w:t>
      </w:r>
      <w:r w:rsidR="0071360A">
        <w:t>в</w:t>
      </w:r>
      <w:r>
        <w:t>а</w:t>
      </w:r>
      <w:r w:rsidR="00171F00">
        <w:t>ж</w:t>
      </w:r>
      <w:r>
        <w:t>но</w:t>
      </w:r>
      <w:r w:rsidR="0039585F" w:rsidRPr="00F6340E">
        <w:t xml:space="preserve"> </w:t>
      </w:r>
      <w:r>
        <w:t>како</w:t>
      </w:r>
      <w:r w:rsidR="0039585F" w:rsidRPr="00F6340E">
        <w:t xml:space="preserve"> </w:t>
      </w:r>
      <w:r>
        <w:t>би</w:t>
      </w:r>
      <w:r w:rsidR="0039585F" w:rsidRPr="00F6340E">
        <w:t xml:space="preserve"> </w:t>
      </w:r>
      <w:r w:rsidR="0071360A">
        <w:t>с</w:t>
      </w:r>
      <w:r w:rsidR="00EE6AA2">
        <w:t>е</w:t>
      </w:r>
      <w:r w:rsidR="0039585F" w:rsidRPr="00F6340E">
        <w:t xml:space="preserve"> </w:t>
      </w:r>
      <w:r>
        <w:t>на</w:t>
      </w:r>
      <w:r w:rsidR="0071360A">
        <w:t>ст</w:t>
      </w:r>
      <w:r>
        <w:t>а</w:t>
      </w:r>
      <w:r w:rsidR="0071360A">
        <w:t>в</w:t>
      </w:r>
      <w:r>
        <w:t>а</w:t>
      </w:r>
      <w:r w:rsidR="0039585F" w:rsidRPr="00F6340E">
        <w:t xml:space="preserve"> </w:t>
      </w:r>
      <w:r w:rsidR="0071360A">
        <w:t>у</w:t>
      </w:r>
      <w:r w:rsidR="002C3EA6" w:rsidRPr="00F6340E">
        <w:t xml:space="preserve"> </w:t>
      </w:r>
      <w:r w:rsidR="0071360A">
        <w:t>у</w:t>
      </w:r>
      <w:r>
        <w:t>чионици</w:t>
      </w:r>
      <w:r w:rsidR="002C3EA6" w:rsidRPr="00F6340E">
        <w:t xml:space="preserve">, </w:t>
      </w:r>
      <w:r w:rsidR="0071360A">
        <w:t>пут</w:t>
      </w:r>
      <w:r w:rsidR="00EE6AA2">
        <w:t>е</w:t>
      </w:r>
      <w:r>
        <w:t>м</w:t>
      </w:r>
      <w:r w:rsidR="00F22500" w:rsidRPr="00F6340E">
        <w:t xml:space="preserve"> </w:t>
      </w:r>
      <w:r>
        <w:t>ин</w:t>
      </w:r>
      <w:r w:rsidR="0071360A">
        <w:t>т</w:t>
      </w:r>
      <w:r w:rsidR="00EE6AA2">
        <w:t>е</w:t>
      </w:r>
      <w:r w:rsidR="0071360A">
        <w:t>р</w:t>
      </w:r>
      <w:r>
        <w:t>н</w:t>
      </w:r>
      <w:r w:rsidR="00EE6AA2">
        <w:t>е</w:t>
      </w:r>
      <w:r w:rsidR="0071360A">
        <w:t>т</w:t>
      </w:r>
      <w:r>
        <w:t>а</w:t>
      </w:r>
      <w:r w:rsidR="002C3EA6" w:rsidRPr="00F6340E">
        <w:t xml:space="preserve"> </w:t>
      </w:r>
      <w:r>
        <w:t>или</w:t>
      </w:r>
      <w:r w:rsidR="002C3EA6" w:rsidRPr="00F6340E">
        <w:t xml:space="preserve"> </w:t>
      </w:r>
      <w:r>
        <w:t>комбино</w:t>
      </w:r>
      <w:r w:rsidR="0071360A">
        <w:t>в</w:t>
      </w:r>
      <w:r>
        <w:t>ано</w:t>
      </w:r>
      <w:r w:rsidR="0039585F" w:rsidRPr="00F6340E">
        <w:t xml:space="preserve"> </w:t>
      </w:r>
      <w:r>
        <w:t>и</w:t>
      </w:r>
      <w:r w:rsidR="00171F00">
        <w:t>з</w:t>
      </w:r>
      <w:r w:rsidR="0071360A">
        <w:t>в</w:t>
      </w:r>
      <w:r>
        <w:t>одила</w:t>
      </w:r>
      <w:r w:rsidR="00B72087" w:rsidRPr="00F6340E">
        <w:t xml:space="preserve"> </w:t>
      </w:r>
      <w:r w:rsidR="0071360A">
        <w:t>уп</w:t>
      </w:r>
      <w:r>
        <w:t>о</w:t>
      </w:r>
      <w:r w:rsidR="0071360A">
        <w:t>тр</w:t>
      </w:r>
      <w:r w:rsidR="00EE6AA2">
        <w:t>е</w:t>
      </w:r>
      <w:r>
        <w:t>бом</w:t>
      </w:r>
      <w:r w:rsidR="00B72087" w:rsidRPr="00F6340E">
        <w:t xml:space="preserve"> </w:t>
      </w:r>
      <w:r>
        <w:t>ИК</w:t>
      </w:r>
      <w:r w:rsidR="0071360A">
        <w:t>Т</w:t>
      </w:r>
      <w:r w:rsidR="00B72087" w:rsidRPr="00F6340E">
        <w:t>-</w:t>
      </w:r>
      <w:r>
        <w:t>а</w:t>
      </w:r>
      <w:r w:rsidR="00B72087" w:rsidRPr="00F6340E">
        <w:t xml:space="preserve"> </w:t>
      </w:r>
      <w:r>
        <w:t>б</w:t>
      </w:r>
      <w:r w:rsidR="00EE6AA2">
        <w:t>е</w:t>
      </w:r>
      <w:r w:rsidR="00171F00">
        <w:t>з</w:t>
      </w:r>
      <w:r w:rsidR="00B72087" w:rsidRPr="00F6340E">
        <w:t xml:space="preserve"> </w:t>
      </w:r>
      <w:r w:rsidR="0071360A">
        <w:t>п</w:t>
      </w:r>
      <w:r>
        <w:t>о</w:t>
      </w:r>
      <w:r w:rsidR="0071360A">
        <w:t>т</w:t>
      </w:r>
      <w:r w:rsidR="00EE6AA2">
        <w:t>е</w:t>
      </w:r>
      <w:r w:rsidR="0071360A">
        <w:t>ш</w:t>
      </w:r>
      <w:r>
        <w:t>коћа</w:t>
      </w:r>
      <w:r w:rsidR="0039585F" w:rsidRPr="00F6340E">
        <w:t xml:space="preserve">. </w:t>
      </w:r>
      <w:r w:rsidR="0071360A">
        <w:t>П</w:t>
      </w:r>
      <w:r>
        <w:t>о</w:t>
      </w:r>
      <w:r w:rsidR="0071360A">
        <w:t>тр</w:t>
      </w:r>
      <w:r w:rsidR="00EE6AA2">
        <w:t>е</w:t>
      </w:r>
      <w:r>
        <w:t>бно</w:t>
      </w:r>
      <w:r w:rsidR="0039585F" w:rsidRPr="00F6340E">
        <w:t xml:space="preserve"> </w:t>
      </w:r>
      <w:r>
        <w:t>ј</w:t>
      </w:r>
      <w:r w:rsidR="00EE6AA2">
        <w:t>е</w:t>
      </w:r>
      <w:r w:rsidR="0039585F" w:rsidRPr="00F6340E">
        <w:t xml:space="preserve"> </w:t>
      </w:r>
      <w:r>
        <w:t>кон</w:t>
      </w:r>
      <w:r w:rsidR="0071360A">
        <w:t>т</w:t>
      </w:r>
      <w:r>
        <w:t>ин</w:t>
      </w:r>
      <w:r w:rsidR="0071360A">
        <w:t>у</w:t>
      </w:r>
      <w:r>
        <w:t>ално</w:t>
      </w:r>
      <w:r w:rsidR="0039585F" w:rsidRPr="00F6340E">
        <w:t xml:space="preserve"> </w:t>
      </w:r>
      <w:r w:rsidR="0071360A">
        <w:t>пр</w:t>
      </w:r>
      <w:r>
        <w:t>а</w:t>
      </w:r>
      <w:r w:rsidR="0071360A">
        <w:t>т</w:t>
      </w:r>
      <w:r>
        <w:t>и</w:t>
      </w:r>
      <w:r w:rsidR="0071360A">
        <w:t>т</w:t>
      </w:r>
      <w:r>
        <w:t>и</w:t>
      </w:r>
      <w:r w:rsidR="002C3EA6" w:rsidRPr="00F6340E">
        <w:t xml:space="preserve"> </w:t>
      </w:r>
      <w:r w:rsidR="0071360A">
        <w:t>ст</w:t>
      </w:r>
      <w:r>
        <w:t>ањ</w:t>
      </w:r>
      <w:r w:rsidR="00EE6AA2">
        <w:t>е</w:t>
      </w:r>
      <w:r w:rsidR="00B72087" w:rsidRPr="00F6340E">
        <w:t xml:space="preserve"> </w:t>
      </w:r>
      <w:r w:rsidR="0071360A">
        <w:t>р</w:t>
      </w:r>
      <w:r>
        <w:t>а</w:t>
      </w:r>
      <w:r w:rsidR="0071360A">
        <w:t>сп</w:t>
      </w:r>
      <w:r>
        <w:t>оло</w:t>
      </w:r>
      <w:r w:rsidR="00171F00">
        <w:t>ж</w:t>
      </w:r>
      <w:r>
        <w:t>и</w:t>
      </w:r>
      <w:r w:rsidR="0071360A">
        <w:t>в</w:t>
      </w:r>
      <w:r w:rsidR="00EE6AA2">
        <w:t>е</w:t>
      </w:r>
      <w:r w:rsidR="00B72087" w:rsidRPr="00F6340E">
        <w:t xml:space="preserve"> </w:t>
      </w:r>
      <w:r>
        <w:t>Инф</w:t>
      </w:r>
      <w:r w:rsidR="0071360A">
        <w:t>р</w:t>
      </w:r>
      <w:r>
        <w:t>а</w:t>
      </w:r>
      <w:r w:rsidR="0071360A">
        <w:t>стру</w:t>
      </w:r>
      <w:r>
        <w:t>к</w:t>
      </w:r>
      <w:r w:rsidR="0071360A">
        <w:t>тур</w:t>
      </w:r>
      <w:r w:rsidR="00EE6AA2">
        <w:t>е</w:t>
      </w:r>
      <w:r w:rsidR="0016782E" w:rsidRPr="00F6340E">
        <w:t xml:space="preserve"> </w:t>
      </w:r>
      <w:r w:rsidR="00171F00">
        <w:t>з</w:t>
      </w:r>
      <w:r>
        <w:t>а</w:t>
      </w:r>
      <w:r w:rsidR="0016782E" w:rsidRPr="00F6340E">
        <w:t xml:space="preserve"> </w:t>
      </w:r>
      <w:r>
        <w:t>ИК</w:t>
      </w:r>
      <w:r w:rsidR="0071360A">
        <w:t>Т</w:t>
      </w:r>
      <w:r w:rsidR="002C3EA6" w:rsidRPr="00F6340E">
        <w:t xml:space="preserve"> </w:t>
      </w:r>
      <w:r>
        <w:t>на</w:t>
      </w:r>
      <w:r w:rsidR="002C3EA6" w:rsidRPr="00F6340E">
        <w:t xml:space="preserve"> </w:t>
      </w:r>
      <w:r>
        <w:t>ни</w:t>
      </w:r>
      <w:r w:rsidR="0071360A">
        <w:t>в</w:t>
      </w:r>
      <w:r>
        <w:t>о</w:t>
      </w:r>
      <w:r w:rsidR="0071360A">
        <w:t>у</w:t>
      </w:r>
      <w:r w:rsidR="002C3EA6" w:rsidRPr="00F6340E">
        <w:t xml:space="preserve"> </w:t>
      </w:r>
      <w:r>
        <w:t>об</w:t>
      </w:r>
      <w:r w:rsidR="0071360A">
        <w:t>р</w:t>
      </w:r>
      <w:r>
        <w:t>а</w:t>
      </w:r>
      <w:r w:rsidR="00171F00">
        <w:t>з</w:t>
      </w:r>
      <w:r>
        <w:t>о</w:t>
      </w:r>
      <w:r w:rsidR="0071360A">
        <w:t>в</w:t>
      </w:r>
      <w:r>
        <w:t>н</w:t>
      </w:r>
      <w:r w:rsidR="00EE6AA2">
        <w:t>е</w:t>
      </w:r>
      <w:r w:rsidR="002C3EA6" w:rsidRPr="00F6340E">
        <w:t xml:space="preserve"> </w:t>
      </w:r>
      <w:r>
        <w:t>ин</w:t>
      </w:r>
      <w:r w:rsidR="0071360A">
        <w:t>ст</w:t>
      </w:r>
      <w:r>
        <w:t>и</w:t>
      </w:r>
      <w:r w:rsidR="0071360A">
        <w:t>ту</w:t>
      </w:r>
      <w:r>
        <w:t>циј</w:t>
      </w:r>
      <w:r w:rsidR="00EE6AA2">
        <w:t>е</w:t>
      </w:r>
      <w:r w:rsidR="0039585F" w:rsidRPr="00F6340E">
        <w:t xml:space="preserve"> </w:t>
      </w:r>
      <w:r>
        <w:t>како</w:t>
      </w:r>
      <w:r w:rsidR="0039585F" w:rsidRPr="00F6340E">
        <w:t xml:space="preserve"> </w:t>
      </w:r>
      <w:r>
        <w:t>би</w:t>
      </w:r>
      <w:r w:rsidR="0039585F" w:rsidRPr="00F6340E">
        <w:t xml:space="preserve"> </w:t>
      </w:r>
      <w:r w:rsidR="0071360A">
        <w:t>с</w:t>
      </w:r>
      <w:r w:rsidR="00EE6AA2">
        <w:t>е</w:t>
      </w:r>
      <w:r w:rsidR="002C3EA6" w:rsidRPr="00F6340E">
        <w:t xml:space="preserve"> </w:t>
      </w:r>
      <w:r>
        <w:t>могли</w:t>
      </w:r>
      <w:r w:rsidR="002C3EA6" w:rsidRPr="00F6340E">
        <w:t xml:space="preserve"> </w:t>
      </w:r>
      <w:r>
        <w:t>на</w:t>
      </w:r>
      <w:r w:rsidR="0039585F" w:rsidRPr="00F6340E">
        <w:t xml:space="preserve"> </w:t>
      </w:r>
      <w:r w:rsidR="0071360A">
        <w:t>вр</w:t>
      </w:r>
      <w:r>
        <w:t>иј</w:t>
      </w:r>
      <w:r w:rsidR="00EE6AA2">
        <w:t>е</w:t>
      </w:r>
      <w:r>
        <w:t>м</w:t>
      </w:r>
      <w:r w:rsidR="00EE6AA2">
        <w:t>е</w:t>
      </w:r>
      <w:r w:rsidR="0039585F" w:rsidRPr="00F6340E">
        <w:t xml:space="preserve"> </w:t>
      </w:r>
      <w:r w:rsidR="0071360A">
        <w:t>у</w:t>
      </w:r>
      <w:r>
        <w:t>клони</w:t>
      </w:r>
      <w:r w:rsidR="0071360A">
        <w:t>т</w:t>
      </w:r>
      <w:r>
        <w:t>и</w:t>
      </w:r>
      <w:r w:rsidR="002C3EA6" w:rsidRPr="00F6340E">
        <w:t xml:space="preserve"> </w:t>
      </w:r>
      <w:r w:rsidR="0071360A">
        <w:t>св</w:t>
      </w:r>
      <w:r>
        <w:t>и</w:t>
      </w:r>
      <w:r w:rsidR="002C3EA6" w:rsidRPr="00F6340E">
        <w:t xml:space="preserve"> </w:t>
      </w:r>
      <w:r>
        <w:t>н</w:t>
      </w:r>
      <w:r w:rsidR="00EE6AA2">
        <w:t>е</w:t>
      </w:r>
      <w:r>
        <w:t>до</w:t>
      </w:r>
      <w:r w:rsidR="0071360A">
        <w:t>ст</w:t>
      </w:r>
      <w:r>
        <w:t>аци</w:t>
      </w:r>
      <w:r w:rsidR="002C3EA6" w:rsidRPr="00F6340E">
        <w:t xml:space="preserve"> </w:t>
      </w:r>
      <w:r>
        <w:t>и</w:t>
      </w:r>
      <w:r w:rsidR="002C3EA6" w:rsidRPr="00F6340E">
        <w:t xml:space="preserve"> </w:t>
      </w:r>
      <w:r w:rsidR="0071360A">
        <w:t>т</w:t>
      </w:r>
      <w:r w:rsidR="00EE6AA2">
        <w:t>е</w:t>
      </w:r>
      <w:r w:rsidR="0071360A">
        <w:t>ш</w:t>
      </w:r>
      <w:r>
        <w:t>коћ</w:t>
      </w:r>
      <w:r w:rsidR="00EE6AA2">
        <w:t>е</w:t>
      </w:r>
      <w:r w:rsidR="0039585F" w:rsidRPr="00F6340E">
        <w:t xml:space="preserve"> </w:t>
      </w:r>
      <w:r>
        <w:t>кој</w:t>
      </w:r>
      <w:r w:rsidR="00EE6AA2">
        <w:t>е</w:t>
      </w:r>
      <w:r w:rsidR="0039585F" w:rsidRPr="00F6340E">
        <w:t xml:space="preserve"> </w:t>
      </w:r>
      <w:r w:rsidR="0071360A">
        <w:t>с</w:t>
      </w:r>
      <w:r w:rsidR="00EE6AA2">
        <w:t>е</w:t>
      </w:r>
      <w:r w:rsidR="0039585F" w:rsidRPr="00F6340E">
        <w:t xml:space="preserve"> </w:t>
      </w:r>
      <w:r w:rsidR="0071360A">
        <w:t>п</w:t>
      </w:r>
      <w:r>
        <w:t>оја</w:t>
      </w:r>
      <w:r w:rsidR="0071360A">
        <w:t>в</w:t>
      </w:r>
      <w:r w:rsidR="00EE6AA2">
        <w:t>е</w:t>
      </w:r>
      <w:r w:rsidR="002C3EA6" w:rsidRPr="00F6340E">
        <w:t xml:space="preserve">. </w:t>
      </w:r>
      <w:r w:rsidR="0071360A">
        <w:t>Т</w:t>
      </w:r>
      <w:r>
        <w:t>о</w:t>
      </w:r>
      <w:r w:rsidR="002C3EA6"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2C3EA6" w:rsidRPr="00F6340E">
        <w:t xml:space="preserve"> </w:t>
      </w:r>
      <w:r w:rsidR="0071360A">
        <w:t>р</w:t>
      </w:r>
      <w:r w:rsidR="00EE6AA2">
        <w:t>е</w:t>
      </w:r>
      <w:r>
        <w:t>до</w:t>
      </w:r>
      <w:r w:rsidR="0071360A">
        <w:t>в</w:t>
      </w:r>
      <w:r>
        <w:t>ни</w:t>
      </w:r>
      <w:r w:rsidR="00DB12EE" w:rsidRPr="00F6340E">
        <w:t xml:space="preserve"> </w:t>
      </w:r>
      <w:r w:rsidR="0071360A">
        <w:t>пр</w:t>
      </w:r>
      <w:r w:rsidR="00EE6AA2">
        <w:t>е</w:t>
      </w:r>
      <w:r>
        <w:t>гл</w:t>
      </w:r>
      <w:r w:rsidR="00EE6AA2">
        <w:t>е</w:t>
      </w:r>
      <w:r>
        <w:t>д</w:t>
      </w:r>
      <w:r w:rsidR="0039585F" w:rsidRPr="00F6340E">
        <w:t xml:space="preserve"> </w:t>
      </w:r>
      <w:r>
        <w:t>ха</w:t>
      </w:r>
      <w:r w:rsidR="0071360A">
        <w:t>р</w:t>
      </w:r>
      <w:r>
        <w:t>д</w:t>
      </w:r>
      <w:r w:rsidR="0071360A">
        <w:t>в</w:t>
      </w:r>
      <w:r w:rsidR="00EE6AA2">
        <w:t>е</w:t>
      </w:r>
      <w:r w:rsidR="0071360A">
        <w:t>р</w:t>
      </w:r>
      <w:r>
        <w:t>а</w:t>
      </w:r>
      <w:r w:rsidR="0039585F" w:rsidRPr="00F6340E">
        <w:t xml:space="preserve">, </w:t>
      </w:r>
      <w:r w:rsidR="0071360A">
        <w:t>с</w:t>
      </w:r>
      <w:r>
        <w:t>оф</w:t>
      </w:r>
      <w:r w:rsidR="0071360A">
        <w:t>тв</w:t>
      </w:r>
      <w:r w:rsidR="00EE6AA2">
        <w:t>е</w:t>
      </w:r>
      <w:r w:rsidR="0071360A">
        <w:t>р</w:t>
      </w:r>
      <w:r>
        <w:t>а</w:t>
      </w:r>
      <w:r w:rsidR="0039585F" w:rsidRPr="00F6340E">
        <w:t xml:space="preserve"> </w:t>
      </w:r>
      <w:r>
        <w:t>и</w:t>
      </w:r>
      <w:r w:rsidR="0039585F" w:rsidRPr="00F6340E">
        <w:t xml:space="preserve"> </w:t>
      </w:r>
      <w:r>
        <w:t>о</w:t>
      </w:r>
      <w:r w:rsidR="0071360A">
        <w:t>п</w:t>
      </w:r>
      <w:r w:rsidR="00EE6AA2">
        <w:t>е</w:t>
      </w:r>
      <w:r w:rsidR="0071360A">
        <w:t>р</w:t>
      </w:r>
      <w:r>
        <w:t>а</w:t>
      </w:r>
      <w:r w:rsidR="0071360A">
        <w:t>т</w:t>
      </w:r>
      <w:r>
        <w:t>и</w:t>
      </w:r>
      <w:r w:rsidR="0071360A">
        <w:t>в</w:t>
      </w:r>
      <w:r>
        <w:t>ног</w:t>
      </w:r>
      <w:r w:rsidR="0039585F" w:rsidRPr="00F6340E">
        <w:t xml:space="preserve"> </w:t>
      </w:r>
      <w:r w:rsidR="0071360A">
        <w:t>с</w:t>
      </w:r>
      <w:r>
        <w:t>и</w:t>
      </w:r>
      <w:r w:rsidR="0071360A">
        <w:t>ст</w:t>
      </w:r>
      <w:r w:rsidR="00EE6AA2">
        <w:t>е</w:t>
      </w:r>
      <w:r>
        <w:t>ма</w:t>
      </w:r>
      <w:r w:rsidR="0039585F" w:rsidRPr="00F6340E">
        <w:t xml:space="preserve">, </w:t>
      </w:r>
      <w:r w:rsidR="0071360A">
        <w:t>р</w:t>
      </w:r>
      <w:r w:rsidR="00EE6AA2">
        <w:t>е</w:t>
      </w:r>
      <w:r>
        <w:t>до</w:t>
      </w:r>
      <w:r w:rsidR="0071360A">
        <w:t>в</w:t>
      </w:r>
      <w:r>
        <w:t>но</w:t>
      </w:r>
      <w:r w:rsidR="0039585F" w:rsidRPr="00F6340E">
        <w:t xml:space="preserve"> </w:t>
      </w:r>
      <w:r>
        <w:t>а</w:t>
      </w:r>
      <w:r w:rsidR="00171F00">
        <w:t>ж</w:t>
      </w:r>
      <w:r w:rsidR="0071360A">
        <w:t>ур</w:t>
      </w:r>
      <w:r>
        <w:t>и</w:t>
      </w:r>
      <w:r w:rsidR="0071360A">
        <w:t>р</w:t>
      </w:r>
      <w:r>
        <w:t>ањ</w:t>
      </w:r>
      <w:r w:rsidR="00EE6AA2">
        <w:t>е</w:t>
      </w:r>
      <w:r w:rsidR="0039585F" w:rsidRPr="00F6340E">
        <w:t xml:space="preserve"> </w:t>
      </w:r>
      <w:r>
        <w:t>о</w:t>
      </w:r>
      <w:r w:rsidR="0071360A">
        <w:t>п</w:t>
      </w:r>
      <w:r w:rsidR="00EE6AA2">
        <w:t>е</w:t>
      </w:r>
      <w:r w:rsidR="0071360A">
        <w:t>р</w:t>
      </w:r>
      <w:r>
        <w:t>а</w:t>
      </w:r>
      <w:r w:rsidR="0071360A">
        <w:t>т</w:t>
      </w:r>
      <w:r>
        <w:t>и</w:t>
      </w:r>
      <w:r w:rsidR="0071360A">
        <w:t>в</w:t>
      </w:r>
      <w:r>
        <w:t>ног</w:t>
      </w:r>
      <w:r w:rsidR="0039585F" w:rsidRPr="00F6340E">
        <w:t xml:space="preserve"> </w:t>
      </w:r>
      <w:r w:rsidR="0071360A">
        <w:t>с</w:t>
      </w:r>
      <w:r>
        <w:t>оф</w:t>
      </w:r>
      <w:r w:rsidR="0071360A">
        <w:t>тв</w:t>
      </w:r>
      <w:r w:rsidR="00EE6AA2">
        <w:t>е</w:t>
      </w:r>
      <w:r w:rsidR="0071360A">
        <w:t>р</w:t>
      </w:r>
      <w:r>
        <w:t>а</w:t>
      </w:r>
      <w:r w:rsidR="0039585F" w:rsidRPr="00F6340E">
        <w:t xml:space="preserve"> </w:t>
      </w:r>
      <w:r>
        <w:t>и</w:t>
      </w:r>
      <w:r w:rsidR="0039585F" w:rsidRPr="00F6340E">
        <w:t xml:space="preserve"> </w:t>
      </w:r>
      <w:r>
        <w:t>ан</w:t>
      </w:r>
      <w:r w:rsidR="0071360A">
        <w:t>т</w:t>
      </w:r>
      <w:r>
        <w:t>и</w:t>
      </w:r>
      <w:r w:rsidR="0071360A">
        <w:t>в</w:t>
      </w:r>
      <w:r>
        <w:t>и</w:t>
      </w:r>
      <w:r w:rsidR="0071360A">
        <w:t>рус</w:t>
      </w:r>
      <w:r>
        <w:t>ног</w:t>
      </w:r>
      <w:r w:rsidR="0039585F" w:rsidRPr="00F6340E">
        <w:t xml:space="preserve"> </w:t>
      </w:r>
      <w:r w:rsidR="0071360A">
        <w:t>пр</w:t>
      </w:r>
      <w:r>
        <w:t>ог</w:t>
      </w:r>
      <w:r w:rsidR="0071360A">
        <w:t>р</w:t>
      </w:r>
      <w:r>
        <w:t>ама</w:t>
      </w:r>
      <w:r w:rsidR="0039585F" w:rsidRPr="00F6340E">
        <w:t xml:space="preserve">. </w:t>
      </w:r>
      <w:r>
        <w:t>Кон</w:t>
      </w:r>
      <w:r w:rsidR="0071360A">
        <w:t>т</w:t>
      </w:r>
      <w:r>
        <w:t>ин</w:t>
      </w:r>
      <w:r w:rsidR="0071360A">
        <w:t>у</w:t>
      </w:r>
      <w:r>
        <w:t>ално</w:t>
      </w:r>
      <w:r w:rsidR="002C3EA6" w:rsidRPr="00F6340E">
        <w:t xml:space="preserve"> </w:t>
      </w:r>
      <w:r w:rsidR="0071360A">
        <w:t>п</w:t>
      </w:r>
      <w:r>
        <w:t>лани</w:t>
      </w:r>
      <w:r w:rsidR="0071360A">
        <w:t>р</w:t>
      </w:r>
      <w:r>
        <w:t>ањ</w:t>
      </w:r>
      <w:r w:rsidR="00EE6AA2">
        <w:t>е</w:t>
      </w:r>
      <w:r w:rsidR="002C3EA6" w:rsidRPr="00F6340E">
        <w:t xml:space="preserve"> </w:t>
      </w:r>
      <w:r w:rsidR="0071360A">
        <w:t>у</w:t>
      </w:r>
      <w:r>
        <w:t>на</w:t>
      </w:r>
      <w:r w:rsidR="0071360A">
        <w:t>пр</w:t>
      </w:r>
      <w:r>
        <w:t>ј</w:t>
      </w:r>
      <w:r w:rsidR="00EE6AA2">
        <w:t>е</w:t>
      </w:r>
      <w:r>
        <w:t>ђ</w:t>
      </w:r>
      <w:r w:rsidR="00EE6AA2">
        <w:t>е</w:t>
      </w:r>
      <w:r>
        <w:t>ња</w:t>
      </w:r>
      <w:r w:rsidR="0039585F" w:rsidRPr="00F6340E">
        <w:t xml:space="preserve"> </w:t>
      </w:r>
      <w:r>
        <w:t>и</w:t>
      </w:r>
      <w:r w:rsidR="0039585F" w:rsidRPr="00F6340E">
        <w:t xml:space="preserve"> </w:t>
      </w:r>
      <w:r>
        <w:t>наба</w:t>
      </w:r>
      <w:r w:rsidR="0071360A">
        <w:t>в</w:t>
      </w:r>
      <w:r w:rsidR="00EE6AA2">
        <w:t>е</w:t>
      </w:r>
      <w:r w:rsidR="0039585F" w:rsidRPr="00F6340E">
        <w:t xml:space="preserve"> </w:t>
      </w:r>
      <w:r>
        <w:t>инф</w:t>
      </w:r>
      <w:r w:rsidR="0071360A">
        <w:t>р</w:t>
      </w:r>
      <w:r>
        <w:t>а</w:t>
      </w:r>
      <w:r w:rsidR="0071360A">
        <w:t>стру</w:t>
      </w:r>
      <w:r>
        <w:t>к</w:t>
      </w:r>
      <w:r w:rsidR="0071360A">
        <w:t>тур</w:t>
      </w:r>
      <w:r w:rsidR="00EE6AA2">
        <w:t>е</w:t>
      </w:r>
      <w:r w:rsidR="0039585F" w:rsidRPr="00F6340E">
        <w:t xml:space="preserve"> </w:t>
      </w:r>
      <w:r w:rsidR="00171F00">
        <w:t>з</w:t>
      </w:r>
      <w:r>
        <w:t>а</w:t>
      </w:r>
      <w:r w:rsidR="00F22500" w:rsidRPr="00F6340E">
        <w:t xml:space="preserve"> </w:t>
      </w:r>
      <w:r>
        <w:t>ИК</w:t>
      </w:r>
      <w:r w:rsidR="0071360A">
        <w:t>Т</w:t>
      </w:r>
      <w:r w:rsidR="00F22500" w:rsidRPr="00F6340E">
        <w:t xml:space="preserve"> </w:t>
      </w:r>
      <w:r w:rsidR="0071360A">
        <w:t>у</w:t>
      </w:r>
      <w:r w:rsidR="00E864CA" w:rsidRPr="00F6340E">
        <w:t xml:space="preserve"> </w:t>
      </w:r>
      <w:r w:rsidR="0071360A">
        <w:t>с</w:t>
      </w:r>
      <w:r>
        <w:t>клад</w:t>
      </w:r>
      <w:r w:rsidR="0071360A">
        <w:t>у</w:t>
      </w:r>
      <w:r w:rsidR="0039585F" w:rsidRPr="00F6340E">
        <w:t xml:space="preserve"> </w:t>
      </w:r>
      <w:r w:rsidR="0071360A">
        <w:t>с</w:t>
      </w:r>
      <w:r>
        <w:t>а</w:t>
      </w:r>
      <w:r w:rsidR="0039585F" w:rsidRPr="00F6340E">
        <w:t xml:space="preserve"> </w:t>
      </w:r>
      <w:r w:rsidR="0071360A">
        <w:t>п</w:t>
      </w:r>
      <w:r>
        <w:t>о</w:t>
      </w:r>
      <w:r w:rsidR="0071360A">
        <w:t>тр</w:t>
      </w:r>
      <w:r w:rsidR="00EE6AA2">
        <w:t>е</w:t>
      </w:r>
      <w:r>
        <w:t>бама</w:t>
      </w:r>
      <w:r w:rsidR="002C3EA6" w:rsidRPr="00F6340E">
        <w:t xml:space="preserve"> </w:t>
      </w:r>
      <w:r>
        <w:t>и</w:t>
      </w:r>
      <w:r w:rsidR="002C3EA6" w:rsidRPr="00F6340E">
        <w:t xml:space="preserve"> </w:t>
      </w:r>
      <w:r>
        <w:t>ак</w:t>
      </w:r>
      <w:r w:rsidR="0071360A">
        <w:t>ту</w:t>
      </w:r>
      <w:r w:rsidR="00EE6AA2">
        <w:t>е</w:t>
      </w:r>
      <w:r>
        <w:t>лним</w:t>
      </w:r>
      <w:r w:rsidR="002C3EA6" w:rsidRPr="00F6340E">
        <w:t xml:space="preserve"> </w:t>
      </w:r>
      <w:r w:rsidR="0071360A">
        <w:t>т</w:t>
      </w:r>
      <w:r w:rsidR="00EE6AA2">
        <w:t>е</w:t>
      </w:r>
      <w:r>
        <w:t>хнологијама</w:t>
      </w:r>
      <w:r w:rsidR="002C3EA6" w:rsidRPr="00F6340E">
        <w:t xml:space="preserve"> </w:t>
      </w:r>
      <w:r>
        <w:t>о</w:t>
      </w:r>
      <w:r w:rsidR="0071360A">
        <w:t>с</w:t>
      </w:r>
      <w:r>
        <w:t>иг</w:t>
      </w:r>
      <w:r w:rsidR="0071360A">
        <w:t>ур</w:t>
      </w:r>
      <w:r>
        <w:t>а</w:t>
      </w:r>
      <w:r w:rsidR="0071360A">
        <w:t>в</w:t>
      </w:r>
      <w:r>
        <w:t>а</w:t>
      </w:r>
      <w:r w:rsidR="002C3EA6" w:rsidRPr="00F6340E">
        <w:t xml:space="preserve"> </w:t>
      </w:r>
      <w:r>
        <w:t>к</w:t>
      </w:r>
      <w:r w:rsidR="0071360A">
        <w:t>р</w:t>
      </w:r>
      <w:r w:rsidR="00EE6AA2">
        <w:t>е</w:t>
      </w:r>
      <w:r>
        <w:t>и</w:t>
      </w:r>
      <w:r w:rsidR="0071360A">
        <w:t>р</w:t>
      </w:r>
      <w:r>
        <w:t>ањ</w:t>
      </w:r>
      <w:r w:rsidR="00EE6AA2">
        <w:t>е</w:t>
      </w:r>
      <w:r w:rsidR="002C3EA6" w:rsidRPr="00F6340E">
        <w:t xml:space="preserve"> </w:t>
      </w:r>
      <w:r w:rsidR="0071360A">
        <w:t>п</w:t>
      </w:r>
      <w:r>
        <w:t>о</w:t>
      </w:r>
      <w:r w:rsidR="0071360A">
        <w:t>т</w:t>
      </w:r>
      <w:r>
        <w:t>ицајног</w:t>
      </w:r>
      <w:r w:rsidR="002C3EA6" w:rsidRPr="00F6340E">
        <w:t xml:space="preserve"> </w:t>
      </w:r>
      <w:r>
        <w:t>ок</w:t>
      </w:r>
      <w:r w:rsidR="0071360A">
        <w:t>ру</w:t>
      </w:r>
      <w:r w:rsidR="00171F00">
        <w:t>ж</w:t>
      </w:r>
      <w:r w:rsidR="00EE6AA2">
        <w:t>е</w:t>
      </w:r>
      <w:r>
        <w:t>ња</w:t>
      </w:r>
      <w:r w:rsidR="002C3EA6" w:rsidRPr="00F6340E">
        <w:t xml:space="preserve"> </w:t>
      </w:r>
      <w:r w:rsidR="00171F00">
        <w:t>з</w:t>
      </w:r>
      <w:r>
        <w:t>а</w:t>
      </w:r>
      <w:r w:rsidR="002C3EA6" w:rsidRPr="00F6340E">
        <w:t xml:space="preserve"> </w:t>
      </w:r>
      <w:r w:rsidR="0071360A">
        <w:t>у</w:t>
      </w:r>
      <w:r>
        <w:t>ч</w:t>
      </w:r>
      <w:r w:rsidR="00EE6AA2">
        <w:t>е</w:t>
      </w:r>
      <w:r>
        <w:t>њ</w:t>
      </w:r>
      <w:r w:rsidR="00EE6AA2">
        <w:t>е</w:t>
      </w:r>
      <w:r w:rsidR="002C3EA6" w:rsidRPr="00F6340E">
        <w:t xml:space="preserve"> </w:t>
      </w:r>
      <w:r>
        <w:t>и</w:t>
      </w:r>
      <w:r w:rsidR="002C3EA6" w:rsidRPr="00F6340E">
        <w:t xml:space="preserve"> </w:t>
      </w:r>
      <w:r w:rsidR="0071360A">
        <w:t>п</w:t>
      </w:r>
      <w:r>
        <w:t>од</w:t>
      </w:r>
      <w:r w:rsidR="0071360A">
        <w:t>у</w:t>
      </w:r>
      <w:r>
        <w:t>ча</w:t>
      </w:r>
      <w:r w:rsidR="0071360A">
        <w:t>в</w:t>
      </w:r>
      <w:r>
        <w:t>ањ</w:t>
      </w:r>
      <w:r w:rsidR="00EE6AA2">
        <w:t>е</w:t>
      </w:r>
      <w:r w:rsidR="00F22500" w:rsidRPr="00F6340E">
        <w:t>,</w:t>
      </w:r>
      <w:r w:rsidR="002C3EA6" w:rsidRPr="00F6340E">
        <w:t xml:space="preserve"> </w:t>
      </w:r>
      <w:r>
        <w:t>а</w:t>
      </w:r>
      <w:r w:rsidR="002C3EA6" w:rsidRPr="00F6340E">
        <w:t xml:space="preserve"> </w:t>
      </w:r>
      <w:r>
        <w:t>одно</w:t>
      </w:r>
      <w:r w:rsidR="0071360A">
        <w:t>с</w:t>
      </w:r>
      <w:r>
        <w:t>и</w:t>
      </w:r>
      <w:r w:rsidR="0039585F" w:rsidRPr="00F6340E">
        <w:t xml:space="preserve"> </w:t>
      </w:r>
      <w:r w:rsidR="0071360A">
        <w:t>с</w:t>
      </w:r>
      <w:r w:rsidR="00EE6AA2">
        <w:t>е</w:t>
      </w:r>
      <w:r w:rsidR="0039585F" w:rsidRPr="00F6340E">
        <w:t xml:space="preserve"> </w:t>
      </w:r>
      <w:r>
        <w:t>на</w:t>
      </w:r>
      <w:r w:rsidR="0039585F" w:rsidRPr="00F6340E">
        <w:t xml:space="preserve"> </w:t>
      </w:r>
      <w:r w:rsidR="0071360A">
        <w:lastRenderedPageBreak/>
        <w:t>св</w:t>
      </w:r>
      <w:r w:rsidR="00EE6AA2">
        <w:t>е</w:t>
      </w:r>
      <w:r w:rsidR="0039585F" w:rsidRPr="00F6340E">
        <w:t xml:space="preserve"> </w:t>
      </w:r>
      <w:r w:rsidR="00EE6AA2">
        <w:t>е</w:t>
      </w:r>
      <w:r>
        <w:t>л</w:t>
      </w:r>
      <w:r w:rsidR="00EE6AA2">
        <w:t>е</w:t>
      </w:r>
      <w:r>
        <w:t>м</w:t>
      </w:r>
      <w:r w:rsidR="00EE6AA2">
        <w:t>е</w:t>
      </w:r>
      <w:r>
        <w:t>н</w:t>
      </w:r>
      <w:r w:rsidR="0071360A">
        <w:t>т</w:t>
      </w:r>
      <w:r w:rsidR="00EE6AA2">
        <w:t>е</w:t>
      </w:r>
      <w:r w:rsidR="0039585F" w:rsidRPr="00F6340E">
        <w:t xml:space="preserve"> </w:t>
      </w:r>
      <w:r>
        <w:t>инф</w:t>
      </w:r>
      <w:r w:rsidR="0071360A">
        <w:t>р</w:t>
      </w:r>
      <w:r>
        <w:t>а</w:t>
      </w:r>
      <w:r w:rsidR="0071360A">
        <w:t>стру</w:t>
      </w:r>
      <w:r>
        <w:t>к</w:t>
      </w:r>
      <w:r w:rsidR="0071360A">
        <w:t>тур</w:t>
      </w:r>
      <w:r w:rsidR="00EE6AA2">
        <w:t>е</w:t>
      </w:r>
      <w:r w:rsidR="0039585F" w:rsidRPr="00F6340E">
        <w:t xml:space="preserve"> </w:t>
      </w:r>
      <w:r>
        <w:t>који</w:t>
      </w:r>
      <w:r w:rsidR="0039585F" w:rsidRPr="00F6340E">
        <w:t xml:space="preserve"> </w:t>
      </w:r>
      <w:r w:rsidR="0071360A">
        <w:t>с</w:t>
      </w:r>
      <w:r w:rsidR="00EE6AA2">
        <w:t>е</w:t>
      </w:r>
      <w:r w:rsidR="0039585F" w:rsidRPr="00F6340E">
        <w:t xml:space="preserve"> </w:t>
      </w:r>
      <w:r>
        <w:t>нала</w:t>
      </w:r>
      <w:r w:rsidR="00171F00">
        <w:t>з</w:t>
      </w:r>
      <w:r w:rsidR="00EE6AA2">
        <w:t>е</w:t>
      </w:r>
      <w:r w:rsidR="0039585F" w:rsidRPr="00F6340E">
        <w:t xml:space="preserve"> </w:t>
      </w:r>
      <w:r w:rsidR="0071360A">
        <w:t>у</w:t>
      </w:r>
      <w:r w:rsidR="0039585F" w:rsidRPr="00F6340E">
        <w:t xml:space="preserve"> </w:t>
      </w:r>
      <w:r w:rsidR="0071360A">
        <w:t>ст</w:t>
      </w:r>
      <w:r>
        <w:t>анда</w:t>
      </w:r>
      <w:r w:rsidR="0071360A">
        <w:t>р</w:t>
      </w:r>
      <w:r>
        <w:t>дима</w:t>
      </w:r>
      <w:r w:rsidR="0039585F" w:rsidRPr="00F6340E">
        <w:rPr>
          <w:rStyle w:val="FootnoteReference"/>
          <w:rFonts w:cs="Arial"/>
          <w:noProof w:val="0"/>
          <w:szCs w:val="24"/>
        </w:rPr>
        <w:footnoteReference w:id="14"/>
      </w:r>
      <w:r w:rsidR="002C3EA6" w:rsidRPr="00F6340E">
        <w:t>.</w:t>
      </w:r>
      <w:r w:rsidR="0039585F" w:rsidRPr="00F6340E">
        <w:t xml:space="preserve"> </w:t>
      </w:r>
    </w:p>
    <w:p w14:paraId="23E7F309" w14:textId="55138148" w:rsidR="00C43F88" w:rsidRPr="00FA4DC9" w:rsidRDefault="0071360A" w:rsidP="00FA4DC9">
      <w:pPr>
        <w:pStyle w:val="Body"/>
        <w:rPr>
          <w:lang w:val="en-US"/>
        </w:rPr>
      </w:pPr>
      <w:r>
        <w:t>Т</w:t>
      </w:r>
      <w:r w:rsidR="00EE6AA2">
        <w:t>е</w:t>
      </w:r>
      <w:r w:rsidR="00A56E08">
        <w:t>хничка</w:t>
      </w:r>
      <w:r w:rsidR="0039585F" w:rsidRPr="00F6340E">
        <w:t xml:space="preserve"> </w:t>
      </w:r>
      <w:r>
        <w:t>п</w:t>
      </w:r>
      <w:r w:rsidR="00A56E08">
        <w:t>од</w:t>
      </w:r>
      <w:r>
        <w:t>рш</w:t>
      </w:r>
      <w:r w:rsidR="00A56E08">
        <w:t>ка</w:t>
      </w:r>
      <w:r w:rsidR="004B0FCD" w:rsidRPr="00F6340E">
        <w:t xml:space="preserve"> </w:t>
      </w:r>
      <w:r>
        <w:t>у</w:t>
      </w:r>
      <w:r w:rsidR="0039585F" w:rsidRPr="00F6340E">
        <w:t xml:space="preserve"> </w:t>
      </w:r>
      <w:r>
        <w:t>с</w:t>
      </w:r>
      <w:r w:rsidR="00A56E08">
        <w:t>ми</w:t>
      </w:r>
      <w:r>
        <w:t>с</w:t>
      </w:r>
      <w:r w:rsidR="00A56E08">
        <w:t>л</w:t>
      </w:r>
      <w:r>
        <w:t>у</w:t>
      </w:r>
      <w:r w:rsidR="0039585F" w:rsidRPr="00F6340E">
        <w:t xml:space="preserve"> </w:t>
      </w:r>
      <w:r>
        <w:t>уп</w:t>
      </w:r>
      <w:r w:rsidR="00A56E08">
        <w:t>о</w:t>
      </w:r>
      <w:r>
        <w:t>тр</w:t>
      </w:r>
      <w:r w:rsidR="00EE6AA2">
        <w:t>е</w:t>
      </w:r>
      <w:r w:rsidR="00A56E08">
        <w:t>б</w:t>
      </w:r>
      <w:r w:rsidR="00EE6AA2">
        <w:t>е</w:t>
      </w:r>
      <w:r w:rsidR="0039585F" w:rsidRPr="00F6340E">
        <w:t xml:space="preserve"> </w:t>
      </w:r>
      <w:r w:rsidR="00A56E08">
        <w:t>ИК</w:t>
      </w:r>
      <w:r>
        <w:t>Т</w:t>
      </w:r>
      <w:r w:rsidR="0039585F" w:rsidRPr="00F6340E">
        <w:t>-</w:t>
      </w:r>
      <w:r w:rsidR="00A56E08">
        <w:t>а</w:t>
      </w:r>
      <w:r w:rsidR="0039585F" w:rsidRPr="00F6340E">
        <w:t xml:space="preserve"> </w:t>
      </w:r>
      <w:r w:rsidR="00171F00">
        <w:t>з</w:t>
      </w:r>
      <w:r w:rsidR="00A56E08">
        <w:t>а</w:t>
      </w:r>
      <w:r w:rsidR="0039585F" w:rsidRPr="00F6340E">
        <w:t xml:space="preserve"> </w:t>
      </w:r>
      <w:r>
        <w:t>св</w:t>
      </w:r>
      <w:r w:rsidR="00EE6AA2">
        <w:t>е</w:t>
      </w:r>
      <w:r w:rsidR="0039585F" w:rsidRPr="00F6340E">
        <w:t xml:space="preserve"> </w:t>
      </w:r>
      <w:r w:rsidR="00A56E08">
        <w:t>ко</w:t>
      </w:r>
      <w:r>
        <w:t>р</w:t>
      </w:r>
      <w:r w:rsidR="00A56E08">
        <w:t>и</w:t>
      </w:r>
      <w:r>
        <w:t>с</w:t>
      </w:r>
      <w:r w:rsidR="00A56E08">
        <w:t>ник</w:t>
      </w:r>
      <w:r w:rsidR="00EE6AA2">
        <w:t>е</w:t>
      </w:r>
      <w:r w:rsidR="0039585F" w:rsidRPr="00F6340E">
        <w:t xml:space="preserve"> </w:t>
      </w:r>
      <w:r>
        <w:t>у</w:t>
      </w:r>
      <w:r w:rsidR="0039585F" w:rsidRPr="00F6340E">
        <w:t xml:space="preserve"> </w:t>
      </w:r>
      <w:r w:rsidR="00A56E08">
        <w:t>об</w:t>
      </w:r>
      <w:r>
        <w:t>р</w:t>
      </w:r>
      <w:r w:rsidR="00A56E08">
        <w:t>а</w:t>
      </w:r>
      <w:r w:rsidR="00171F00">
        <w:t>з</w:t>
      </w:r>
      <w:r w:rsidR="00A56E08">
        <w:t>о</w:t>
      </w:r>
      <w:r>
        <w:t>в</w:t>
      </w:r>
      <w:r w:rsidR="00A56E08">
        <w:t>ној</w:t>
      </w:r>
      <w:r w:rsidR="0039585F" w:rsidRPr="00F6340E">
        <w:t xml:space="preserve"> </w:t>
      </w:r>
      <w:r w:rsidR="00A56E08">
        <w:t>ин</w:t>
      </w:r>
      <w:r>
        <w:t>ст</w:t>
      </w:r>
      <w:r w:rsidR="00A56E08">
        <w:t>и</w:t>
      </w:r>
      <w:r>
        <w:t>ту</w:t>
      </w:r>
      <w:r w:rsidR="00A56E08">
        <w:t>цији</w:t>
      </w:r>
      <w:r w:rsidR="0039585F" w:rsidRPr="00F6340E">
        <w:t xml:space="preserve"> </w:t>
      </w:r>
      <w:r w:rsidR="00A56E08">
        <w:t>мо</w:t>
      </w:r>
      <w:r w:rsidR="00171F00">
        <w:t>ж</w:t>
      </w:r>
      <w:r w:rsidR="00EE6AA2">
        <w:t>е</w:t>
      </w:r>
      <w:r w:rsidR="0039585F" w:rsidRPr="00F6340E">
        <w:t xml:space="preserve"> </w:t>
      </w:r>
      <w:r w:rsidR="00A56E08">
        <w:t>би</w:t>
      </w:r>
      <w:r>
        <w:t>т</w:t>
      </w:r>
      <w:r w:rsidR="00A56E08">
        <w:t>и</w:t>
      </w:r>
      <w:r w:rsidR="0039585F" w:rsidRPr="00F6340E">
        <w:t xml:space="preserve"> </w:t>
      </w:r>
      <w:r w:rsidR="00A56E08">
        <w:t>до</w:t>
      </w:r>
      <w:r>
        <w:t>ступ</w:t>
      </w:r>
      <w:r w:rsidR="00A56E08">
        <w:t>на</w:t>
      </w:r>
      <w:r w:rsidR="0039585F" w:rsidRPr="00F6340E">
        <w:t xml:space="preserve"> </w:t>
      </w:r>
      <w:r>
        <w:t>у</w:t>
      </w:r>
      <w:r w:rsidR="0039585F" w:rsidRPr="00F6340E">
        <w:t xml:space="preserve"> </w:t>
      </w:r>
      <w:r>
        <w:t>с</w:t>
      </w:r>
      <w:r w:rsidR="00A56E08">
        <w:t>кло</w:t>
      </w:r>
      <w:r>
        <w:t>пу</w:t>
      </w:r>
      <w:r w:rsidR="0039585F" w:rsidRPr="00F6340E">
        <w:t xml:space="preserve"> </w:t>
      </w:r>
      <w:r w:rsidR="00A56E08">
        <w:t>ин</w:t>
      </w:r>
      <w:r>
        <w:t>ст</w:t>
      </w:r>
      <w:r w:rsidR="00A56E08">
        <w:t>и</w:t>
      </w:r>
      <w:r>
        <w:t>ту</w:t>
      </w:r>
      <w:r w:rsidR="00A56E08">
        <w:t>циј</w:t>
      </w:r>
      <w:r w:rsidR="00EE6AA2">
        <w:t>е</w:t>
      </w:r>
      <w:r w:rsidR="0039585F" w:rsidRPr="00F6340E">
        <w:t xml:space="preserve"> </w:t>
      </w:r>
      <w:r w:rsidR="00A56E08">
        <w:t>или</w:t>
      </w:r>
      <w:r w:rsidR="0039585F" w:rsidRPr="00F6340E">
        <w:t xml:space="preserve"> </w:t>
      </w:r>
      <w:r w:rsidR="00A56E08">
        <w:t>админи</w:t>
      </w:r>
      <w:r>
        <w:t>стр</w:t>
      </w:r>
      <w:r w:rsidR="00A56E08">
        <w:t>а</w:t>
      </w:r>
      <w:r>
        <w:t>т</w:t>
      </w:r>
      <w:r w:rsidR="00A56E08">
        <w:t>и</w:t>
      </w:r>
      <w:r>
        <w:t>в</w:t>
      </w:r>
      <w:r w:rsidR="00A56E08">
        <w:t>н</w:t>
      </w:r>
      <w:r w:rsidR="00EE6AA2">
        <w:t>е</w:t>
      </w:r>
      <w:r w:rsidR="0039585F" w:rsidRPr="00F6340E">
        <w:t xml:space="preserve"> </w:t>
      </w:r>
      <w:r w:rsidR="00A56E08">
        <w:t>ј</w:t>
      </w:r>
      <w:r w:rsidR="00EE6AA2">
        <w:t>е</w:t>
      </w:r>
      <w:r w:rsidR="00A56E08">
        <w:t>диниц</w:t>
      </w:r>
      <w:r w:rsidR="00EE6AA2">
        <w:t>е</w:t>
      </w:r>
      <w:r w:rsidR="0039585F" w:rsidRPr="00F6340E">
        <w:t xml:space="preserve"> (</w:t>
      </w:r>
      <w:r w:rsidR="00A56E08">
        <w:t>Ц</w:t>
      </w:r>
      <w:r w:rsidR="00EE6AA2">
        <w:t>е</w:t>
      </w:r>
      <w:r w:rsidR="00A56E08">
        <w:t>н</w:t>
      </w:r>
      <w:r>
        <w:t>тр</w:t>
      </w:r>
      <w:r w:rsidR="00A56E08">
        <w:t>а</w:t>
      </w:r>
      <w:r w:rsidR="0039585F" w:rsidRPr="00F6340E">
        <w:t>/</w:t>
      </w:r>
      <w:r w:rsidR="00A56E08">
        <w:t>одј</w:t>
      </w:r>
      <w:r w:rsidR="00EE6AA2">
        <w:t>е</w:t>
      </w:r>
      <w:r w:rsidR="00A56E08">
        <w:t>ла</w:t>
      </w:r>
      <w:r w:rsidR="0039585F" w:rsidRPr="00F6340E">
        <w:t xml:space="preserve"> </w:t>
      </w:r>
      <w:r w:rsidR="00171F00">
        <w:t>з</w:t>
      </w:r>
      <w:r w:rsidR="00A56E08">
        <w:t>а</w:t>
      </w:r>
      <w:r w:rsidR="0039585F" w:rsidRPr="00F6340E">
        <w:t xml:space="preserve"> </w:t>
      </w:r>
      <w:r>
        <w:t>п</w:t>
      </w:r>
      <w:r w:rsidR="00A56E08">
        <w:t>од</w:t>
      </w:r>
      <w:r>
        <w:t>рш</w:t>
      </w:r>
      <w:r w:rsidR="00A56E08">
        <w:t>к</w:t>
      </w:r>
      <w:r>
        <w:t>у</w:t>
      </w:r>
      <w:r w:rsidR="0039585F" w:rsidRPr="00F6340E">
        <w:t>)</w:t>
      </w:r>
      <w:r w:rsidR="00B72087" w:rsidRPr="00F6340E">
        <w:t xml:space="preserve">. </w:t>
      </w:r>
      <w:r>
        <w:t>Пру</w:t>
      </w:r>
      <w:r w:rsidR="00171F00">
        <w:t>ж</w:t>
      </w:r>
      <w:r w:rsidR="00A56E08">
        <w:t>ањ</w:t>
      </w:r>
      <w:r w:rsidR="00EE6AA2">
        <w:t>е</w:t>
      </w:r>
      <w:r w:rsidR="0039585F" w:rsidRPr="00F6340E">
        <w:t xml:space="preserve"> </w:t>
      </w:r>
      <w:r>
        <w:t>п</w:t>
      </w:r>
      <w:r w:rsidR="00A56E08">
        <w:t>од</w:t>
      </w:r>
      <w:r>
        <w:t>рш</w:t>
      </w:r>
      <w:r w:rsidR="00A56E08">
        <w:t>к</w:t>
      </w:r>
      <w:r w:rsidR="00EE6AA2">
        <w:t>е</w:t>
      </w:r>
      <w:r w:rsidR="0039585F" w:rsidRPr="00F6340E">
        <w:t xml:space="preserve"> </w:t>
      </w:r>
      <w:r>
        <w:t>св</w:t>
      </w:r>
      <w:r w:rsidR="00A56E08">
        <w:t>им</w:t>
      </w:r>
      <w:r w:rsidR="0039585F" w:rsidRPr="00F6340E">
        <w:t xml:space="preserve"> </w:t>
      </w:r>
      <w:r w:rsidR="00A56E08">
        <w:t>ко</w:t>
      </w:r>
      <w:r>
        <w:t>р</w:t>
      </w:r>
      <w:r w:rsidR="00A56E08">
        <w:t>и</w:t>
      </w:r>
      <w:r>
        <w:t>с</w:t>
      </w:r>
      <w:r w:rsidR="00A56E08">
        <w:t>ницима</w:t>
      </w:r>
      <w:r w:rsidR="0039585F" w:rsidRPr="00F6340E">
        <w:t xml:space="preserve"> (</w:t>
      </w:r>
      <w:r w:rsidR="00A56E08">
        <w:t>на</w:t>
      </w:r>
      <w:r>
        <w:t>ст</w:t>
      </w:r>
      <w:r w:rsidR="00A56E08">
        <w:t>а</w:t>
      </w:r>
      <w:r>
        <w:t>в</w:t>
      </w:r>
      <w:r w:rsidR="00A56E08">
        <w:t>ницима</w:t>
      </w:r>
      <w:r w:rsidR="0039585F" w:rsidRPr="00F6340E">
        <w:t xml:space="preserve"> </w:t>
      </w:r>
      <w:r w:rsidR="00A56E08">
        <w:t>и</w:t>
      </w:r>
      <w:r w:rsidR="0039585F" w:rsidRPr="00F6340E">
        <w:t xml:space="preserve"> </w:t>
      </w:r>
      <w:r>
        <w:t>у</w:t>
      </w:r>
      <w:r w:rsidR="00A56E08">
        <w:t>ч</w:t>
      </w:r>
      <w:r w:rsidR="00EE6AA2">
        <w:t>е</w:t>
      </w:r>
      <w:r w:rsidR="00A56E08">
        <w:t>ницима</w:t>
      </w:r>
      <w:r w:rsidR="00271569" w:rsidRPr="00F6340E">
        <w:t>/</w:t>
      </w:r>
      <w:r>
        <w:t>сту</w:t>
      </w:r>
      <w:r w:rsidR="00A56E08">
        <w:t>д</w:t>
      </w:r>
      <w:r w:rsidR="00EE6AA2">
        <w:t>е</w:t>
      </w:r>
      <w:r w:rsidR="00A56E08">
        <w:t>н</w:t>
      </w:r>
      <w:r>
        <w:t>т</w:t>
      </w:r>
      <w:r w:rsidR="00A56E08">
        <w:t>им</w:t>
      </w:r>
      <w:r w:rsidR="00A56E08" w:rsidRPr="00FA4DC9">
        <w:t>а</w:t>
      </w:r>
      <w:r w:rsidR="00271569" w:rsidRPr="00FA4DC9">
        <w:t xml:space="preserve">) </w:t>
      </w:r>
      <w:r w:rsidR="00A56E08" w:rsidRPr="00FA4DC9">
        <w:t>и</w:t>
      </w:r>
      <w:r w:rsidR="00F22500" w:rsidRPr="00FA4DC9">
        <w:t xml:space="preserve"> </w:t>
      </w:r>
      <w:r w:rsidR="00A56E08" w:rsidRPr="00FA4DC9">
        <w:t>мо</w:t>
      </w:r>
      <w:r w:rsidR="00171F00" w:rsidRPr="00FA4DC9">
        <w:t>ж</w:t>
      </w:r>
      <w:r w:rsidR="00EE6AA2" w:rsidRPr="00FA4DC9">
        <w:t>е</w:t>
      </w:r>
      <w:r w:rsidR="00271569" w:rsidRPr="00FA4DC9">
        <w:t xml:space="preserve"> </w:t>
      </w:r>
      <w:r w:rsidRPr="00FA4DC9">
        <w:t>с</w:t>
      </w:r>
      <w:r w:rsidR="00EE6AA2" w:rsidRPr="00FA4DC9">
        <w:t>е</w:t>
      </w:r>
      <w:r w:rsidR="00271569" w:rsidRPr="00FA4DC9">
        <w:t xml:space="preserve"> </w:t>
      </w:r>
      <w:r w:rsidRPr="00FA4DC9">
        <w:t>спр</w:t>
      </w:r>
      <w:r w:rsidR="00A56E08" w:rsidRPr="00FA4DC9">
        <w:t>о</w:t>
      </w:r>
      <w:r w:rsidRPr="00FA4DC9">
        <w:t>в</w:t>
      </w:r>
      <w:r w:rsidR="00EE6AA2" w:rsidRPr="00FA4DC9">
        <w:t>е</w:t>
      </w:r>
      <w:r w:rsidRPr="00FA4DC9">
        <w:t>ст</w:t>
      </w:r>
      <w:r w:rsidR="00A56E08" w:rsidRPr="00FA4DC9">
        <w:t>и</w:t>
      </w:r>
      <w:r w:rsidR="0039585F" w:rsidRPr="00FA4DC9">
        <w:t xml:space="preserve"> </w:t>
      </w:r>
      <w:r w:rsidR="00A56E08" w:rsidRPr="00FA4DC9">
        <w:t>ди</w:t>
      </w:r>
      <w:r w:rsidRPr="00FA4DC9">
        <w:t>р</w:t>
      </w:r>
      <w:r w:rsidR="00EE6AA2" w:rsidRPr="00FA4DC9">
        <w:t>е</w:t>
      </w:r>
      <w:r w:rsidR="00A56E08" w:rsidRPr="00FA4DC9">
        <w:t>к</w:t>
      </w:r>
      <w:r w:rsidRPr="00FA4DC9">
        <w:t>т</w:t>
      </w:r>
      <w:r w:rsidR="00A56E08" w:rsidRPr="00FA4DC9">
        <w:t>но</w:t>
      </w:r>
      <w:r w:rsidR="0039585F" w:rsidRPr="00FA4DC9">
        <w:t xml:space="preserve">, </w:t>
      </w:r>
      <w:r w:rsidRPr="00FA4DC9">
        <w:t>пут</w:t>
      </w:r>
      <w:r w:rsidR="00EE6AA2" w:rsidRPr="00FA4DC9">
        <w:t>е</w:t>
      </w:r>
      <w:r w:rsidR="00A56E08" w:rsidRPr="00FA4DC9">
        <w:t>м</w:t>
      </w:r>
      <w:r w:rsidR="0039585F" w:rsidRPr="00FA4DC9">
        <w:t xml:space="preserve"> </w:t>
      </w:r>
      <w:r w:rsidRPr="00FA4DC9">
        <w:t>у</w:t>
      </w:r>
      <w:r w:rsidR="00A56E08" w:rsidRPr="00FA4DC9">
        <w:t>даљ</w:t>
      </w:r>
      <w:r w:rsidR="00EE6AA2" w:rsidRPr="00FA4DC9">
        <w:t>е</w:t>
      </w:r>
      <w:r w:rsidR="00A56E08" w:rsidRPr="00FA4DC9">
        <w:t>ног</w:t>
      </w:r>
      <w:r w:rsidR="0039585F" w:rsidRPr="00FA4DC9">
        <w:t xml:space="preserve"> </w:t>
      </w:r>
      <w:r w:rsidRPr="00FA4DC9">
        <w:t>упр</w:t>
      </w:r>
      <w:r w:rsidR="00A56E08" w:rsidRPr="00FA4DC9">
        <w:t>а</w:t>
      </w:r>
      <w:r w:rsidRPr="00FA4DC9">
        <w:t>в</w:t>
      </w:r>
      <w:r w:rsidR="00A56E08" w:rsidRPr="00FA4DC9">
        <w:t>љања</w:t>
      </w:r>
      <w:r w:rsidR="0039585F" w:rsidRPr="00FA4DC9">
        <w:t xml:space="preserve"> </w:t>
      </w:r>
      <w:r w:rsidRPr="00FA4DC9">
        <w:t>р</w:t>
      </w:r>
      <w:r w:rsidR="00A56E08" w:rsidRPr="00FA4DC9">
        <w:t>ач</w:t>
      </w:r>
      <w:r w:rsidRPr="00FA4DC9">
        <w:t>у</w:t>
      </w:r>
      <w:r w:rsidR="00A56E08" w:rsidRPr="00FA4DC9">
        <w:t>на</w:t>
      </w:r>
      <w:r w:rsidRPr="00FA4DC9">
        <w:t>р</w:t>
      </w:r>
      <w:r w:rsidR="00A56E08" w:rsidRPr="00FA4DC9">
        <w:t>ом</w:t>
      </w:r>
      <w:r w:rsidR="0039585F" w:rsidRPr="00FA4DC9">
        <w:t xml:space="preserve">, </w:t>
      </w:r>
      <w:r w:rsidR="00A56E08" w:rsidRPr="00FA4DC9">
        <w:t>и</w:t>
      </w:r>
      <w:r w:rsidR="00171F00" w:rsidRPr="00FA4DC9">
        <w:t>з</w:t>
      </w:r>
      <w:r w:rsidRPr="00FA4DC9">
        <w:t>р</w:t>
      </w:r>
      <w:r w:rsidR="00A56E08" w:rsidRPr="00FA4DC9">
        <w:t>адом</w:t>
      </w:r>
      <w:r w:rsidR="0039585F" w:rsidRPr="00FA4DC9">
        <w:t xml:space="preserve"> </w:t>
      </w:r>
      <w:r w:rsidR="00A56E08" w:rsidRPr="00FA4DC9">
        <w:t>ин</w:t>
      </w:r>
      <w:r w:rsidRPr="00FA4DC9">
        <w:t>стру</w:t>
      </w:r>
      <w:r w:rsidR="00A56E08" w:rsidRPr="00FA4DC9">
        <w:t>кција</w:t>
      </w:r>
      <w:r w:rsidR="0039585F" w:rsidRPr="00FA4DC9">
        <w:t xml:space="preserve"> </w:t>
      </w:r>
      <w:r w:rsidR="00A56E08" w:rsidRPr="00FA4DC9">
        <w:t>и</w:t>
      </w:r>
      <w:r w:rsidR="0039585F" w:rsidRPr="00FA4DC9">
        <w:t xml:space="preserve"> </w:t>
      </w:r>
      <w:r w:rsidRPr="00FA4DC9">
        <w:t>в</w:t>
      </w:r>
      <w:r w:rsidR="00A56E08" w:rsidRPr="00FA4DC9">
        <w:t>ид</w:t>
      </w:r>
      <w:r w:rsidR="00EE6AA2" w:rsidRPr="00FA4DC9">
        <w:t>е</w:t>
      </w:r>
      <w:r w:rsidR="00A56E08" w:rsidRPr="00FA4DC9">
        <w:t>о</w:t>
      </w:r>
      <w:r w:rsidR="0039585F" w:rsidRPr="00FA4DC9">
        <w:t xml:space="preserve"> </w:t>
      </w:r>
      <w:r w:rsidR="00A56E08" w:rsidRPr="00FA4DC9">
        <w:t>ин</w:t>
      </w:r>
      <w:r w:rsidRPr="00FA4DC9">
        <w:t>стру</w:t>
      </w:r>
      <w:r w:rsidR="00A56E08" w:rsidRPr="00FA4DC9">
        <w:t>кција</w:t>
      </w:r>
      <w:r w:rsidR="0039585F" w:rsidRPr="00FA4DC9">
        <w:t>.</w:t>
      </w:r>
    </w:p>
    <w:p w14:paraId="2D86AB42" w14:textId="78EDE522" w:rsidR="005134A6" w:rsidRPr="00FA4DC9" w:rsidRDefault="0071360A" w:rsidP="00FA4DC9">
      <w:pPr>
        <w:pStyle w:val="Heading3"/>
        <w:numPr>
          <w:ilvl w:val="2"/>
          <w:numId w:val="70"/>
        </w:numPr>
        <w:rPr>
          <w:lang w:val="sr-Cyrl-BA"/>
        </w:rPr>
      </w:pPr>
      <w:bookmarkStart w:id="32" w:name="_Toc119050314"/>
      <w:r>
        <w:rPr>
          <w:lang w:val="sr-Cyrl-BA"/>
        </w:rPr>
        <w:t>С</w:t>
      </w:r>
      <w:r w:rsidR="00A56E08">
        <w:rPr>
          <w:lang w:val="sr-Cyrl-BA"/>
        </w:rPr>
        <w:t>иг</w:t>
      </w:r>
      <w:r>
        <w:rPr>
          <w:lang w:val="sr-Cyrl-BA"/>
        </w:rPr>
        <w:t>ур</w:t>
      </w:r>
      <w:r w:rsidR="00A56E08">
        <w:rPr>
          <w:lang w:val="sr-Cyrl-BA"/>
        </w:rPr>
        <w:t>но</w:t>
      </w:r>
      <w:r>
        <w:rPr>
          <w:lang w:val="sr-Cyrl-BA"/>
        </w:rPr>
        <w:t>ст</w:t>
      </w:r>
      <w:bookmarkEnd w:id="32"/>
    </w:p>
    <w:p w14:paraId="146359E4" w14:textId="29AE711C" w:rsidR="00C43F88" w:rsidRPr="00F6340E" w:rsidRDefault="0071360A" w:rsidP="00FA4DC9">
      <w:pPr>
        <w:pStyle w:val="Body"/>
      </w:pPr>
      <w:r>
        <w:t>С</w:t>
      </w:r>
      <w:r w:rsidR="00A56E08">
        <w:t>иг</w:t>
      </w:r>
      <w:r>
        <w:t>ур</w:t>
      </w:r>
      <w:r w:rsidR="00A56E08">
        <w:t>но</w:t>
      </w:r>
      <w:r w:rsidR="005134A6" w:rsidRPr="00F6340E">
        <w:t xml:space="preserve"> </w:t>
      </w:r>
      <w:r w:rsidR="00A56E08">
        <w:t>ок</w:t>
      </w:r>
      <w:r>
        <w:t>ру</w:t>
      </w:r>
      <w:r w:rsidR="00171F00">
        <w:t>ж</w:t>
      </w:r>
      <w:r w:rsidR="00EE6AA2">
        <w:t>е</w:t>
      </w:r>
      <w:r w:rsidR="00A56E08">
        <w:t>њ</w:t>
      </w:r>
      <w:r w:rsidR="00EE6AA2">
        <w:t>е</w:t>
      </w:r>
      <w:r w:rsidR="0039585F" w:rsidRPr="00F6340E">
        <w:t xml:space="preserve"> </w:t>
      </w:r>
      <w:r w:rsidR="00A56E08">
        <w:t>на</w:t>
      </w:r>
      <w:r w:rsidR="00F22500" w:rsidRPr="00F6340E">
        <w:t xml:space="preserve"> </w:t>
      </w:r>
      <w:r w:rsidR="00A56E08">
        <w:t>ин</w:t>
      </w:r>
      <w:r>
        <w:t>т</w:t>
      </w:r>
      <w:r w:rsidR="00EE6AA2">
        <w:t>е</w:t>
      </w:r>
      <w:r>
        <w:t>р</w:t>
      </w:r>
      <w:r w:rsidR="00A56E08">
        <w:t>н</w:t>
      </w:r>
      <w:r w:rsidR="00EE6AA2">
        <w:t>е</w:t>
      </w:r>
      <w:r>
        <w:t>ту</w:t>
      </w:r>
      <w:r w:rsidR="00F22500" w:rsidRPr="00F6340E">
        <w:t xml:space="preserve"> </w:t>
      </w:r>
      <w:r w:rsidR="00A56E08">
        <w:t>ј</w:t>
      </w:r>
      <w:r w:rsidR="00EE6AA2">
        <w:t>е</w:t>
      </w:r>
      <w:r w:rsidR="004B0FCD" w:rsidRPr="00F6340E">
        <w:t xml:space="preserve"> </w:t>
      </w:r>
      <w:r>
        <w:t>пр</w:t>
      </w:r>
      <w:r w:rsidR="00EE6AA2">
        <w:t>е</w:t>
      </w:r>
      <w:r w:rsidR="00A56E08">
        <w:t>д</w:t>
      </w:r>
      <w:r>
        <w:t>ус</w:t>
      </w:r>
      <w:r w:rsidR="00A56E08">
        <w:t>ло</w:t>
      </w:r>
      <w:r>
        <w:t>в</w:t>
      </w:r>
      <w:r w:rsidR="005134A6" w:rsidRPr="00F6340E">
        <w:t xml:space="preserve"> </w:t>
      </w:r>
      <w:r w:rsidR="00A56E08">
        <w:t>к</w:t>
      </w:r>
      <w:r>
        <w:t>в</w:t>
      </w:r>
      <w:r w:rsidR="00A56E08">
        <w:t>али</w:t>
      </w:r>
      <w:r>
        <w:t>т</w:t>
      </w:r>
      <w:r w:rsidR="00EE6AA2">
        <w:t>е</w:t>
      </w:r>
      <w:r>
        <w:t>т</w:t>
      </w:r>
      <w:r w:rsidR="00A56E08">
        <w:t>ног</w:t>
      </w:r>
      <w:r w:rsidR="005134A6" w:rsidRPr="00F6340E">
        <w:t xml:space="preserve"> </w:t>
      </w:r>
      <w:r w:rsidR="00A56E08">
        <w:t>инкл</w:t>
      </w:r>
      <w:r>
        <w:t>у</w:t>
      </w:r>
      <w:r w:rsidR="00171F00">
        <w:t>з</w:t>
      </w:r>
      <w:r w:rsidR="00A56E08">
        <w:t>и</w:t>
      </w:r>
      <w:r>
        <w:t>в</w:t>
      </w:r>
      <w:r w:rsidR="00A56E08">
        <w:t>ног</w:t>
      </w:r>
      <w:r w:rsidR="005134A6" w:rsidRPr="00F6340E">
        <w:t xml:space="preserve"> </w:t>
      </w:r>
      <w:r w:rsidR="00A56E08">
        <w:t>об</w:t>
      </w:r>
      <w:r>
        <w:t>р</w:t>
      </w:r>
      <w:r w:rsidR="00A56E08">
        <w:t>а</w:t>
      </w:r>
      <w:r w:rsidR="00171F00">
        <w:t>з</w:t>
      </w:r>
      <w:r w:rsidR="00A56E08">
        <w:t>о</w:t>
      </w:r>
      <w:r>
        <w:t>в</w:t>
      </w:r>
      <w:r w:rsidR="00A56E08">
        <w:t>ања</w:t>
      </w:r>
      <w:r w:rsidR="005134A6" w:rsidRPr="00F6340E">
        <w:t xml:space="preserve">. </w:t>
      </w:r>
      <w:r>
        <w:t>С</w:t>
      </w:r>
      <w:r w:rsidR="00A56E08">
        <w:t>иг</w:t>
      </w:r>
      <w:r>
        <w:t>ур</w:t>
      </w:r>
      <w:r w:rsidR="00A56E08">
        <w:t>но</w:t>
      </w:r>
      <w:r>
        <w:t>ст</w:t>
      </w:r>
      <w:r w:rsidR="005134A6"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5134A6" w:rsidRPr="00F6340E">
        <w:t xml:space="preserve"> </w:t>
      </w:r>
      <w:r w:rsidR="00171F00">
        <w:t>з</w:t>
      </w:r>
      <w:r w:rsidR="00A56E08">
        <w:t>а</w:t>
      </w:r>
      <w:r>
        <w:t>шт</w:t>
      </w:r>
      <w:r w:rsidR="00A56E08">
        <w:t>и</w:t>
      </w:r>
      <w:r>
        <w:t>ту</w:t>
      </w:r>
      <w:r w:rsidR="0039585F" w:rsidRPr="00F6340E">
        <w:t xml:space="preserve"> </w:t>
      </w:r>
      <w:r>
        <w:t>пр</w:t>
      </w:r>
      <w:r w:rsidR="00A56E08">
        <w:t>и</w:t>
      </w:r>
      <w:r>
        <w:t>ступ</w:t>
      </w:r>
      <w:r w:rsidR="00A56E08">
        <w:t>а</w:t>
      </w:r>
      <w:r w:rsidR="0039585F" w:rsidRPr="00F6340E">
        <w:t xml:space="preserve">, </w:t>
      </w:r>
      <w:r w:rsidR="00A56E08">
        <w:t>надгл</w:t>
      </w:r>
      <w:r w:rsidR="00EE6AA2">
        <w:t>е</w:t>
      </w:r>
      <w:r w:rsidR="00A56E08">
        <w:t>дањ</w:t>
      </w:r>
      <w:r w:rsidR="00EE6AA2">
        <w:t>е</w:t>
      </w:r>
      <w:r w:rsidR="005134A6" w:rsidRPr="00F6340E">
        <w:t xml:space="preserve"> </w:t>
      </w:r>
      <w:r>
        <w:t>р</w:t>
      </w:r>
      <w:r w:rsidR="00A56E08">
        <w:t>ада</w:t>
      </w:r>
      <w:r w:rsidR="005134A6" w:rsidRPr="00F6340E">
        <w:t xml:space="preserve"> </w:t>
      </w:r>
      <w:r w:rsidR="00A56E08">
        <w:t>и</w:t>
      </w:r>
      <w:r w:rsidR="005134A6" w:rsidRPr="00F6340E">
        <w:t xml:space="preserve"> </w:t>
      </w:r>
      <w:r>
        <w:t>ур</w:t>
      </w:r>
      <w:r w:rsidR="00EE6AA2">
        <w:t>е</w:t>
      </w:r>
      <w:r w:rsidR="00A56E08">
        <w:t>ђаја</w:t>
      </w:r>
      <w:r w:rsidR="005134A6" w:rsidRPr="00F6340E">
        <w:t xml:space="preserve"> </w:t>
      </w:r>
      <w:r w:rsidR="00A56E08">
        <w:t>циј</w:t>
      </w:r>
      <w:r w:rsidR="00EE6AA2">
        <w:t>е</w:t>
      </w:r>
      <w:r w:rsidR="00A56E08">
        <w:t>л</w:t>
      </w:r>
      <w:r w:rsidR="00EE6AA2">
        <w:t>е</w:t>
      </w:r>
      <w:r w:rsidR="005134A6" w:rsidRPr="00F6340E">
        <w:t xml:space="preserve"> </w:t>
      </w:r>
      <w:r w:rsidR="00A56E08">
        <w:t>инф</w:t>
      </w:r>
      <w:r>
        <w:t>р</w:t>
      </w:r>
      <w:r w:rsidR="00A56E08">
        <w:t>а</w:t>
      </w:r>
      <w:r>
        <w:t>стру</w:t>
      </w:r>
      <w:r w:rsidR="00A56E08">
        <w:t>к</w:t>
      </w:r>
      <w:r>
        <w:t>тур</w:t>
      </w:r>
      <w:r w:rsidR="00EE6AA2">
        <w:t>е</w:t>
      </w:r>
      <w:r w:rsidR="0039585F" w:rsidRPr="00F6340E">
        <w:t xml:space="preserve"> </w:t>
      </w:r>
      <w:r>
        <w:t>у</w:t>
      </w:r>
      <w:r w:rsidR="0039585F" w:rsidRPr="00F6340E">
        <w:t xml:space="preserve"> </w:t>
      </w:r>
      <w:r w:rsidR="00A56E08">
        <w:t>об</w:t>
      </w:r>
      <w:r>
        <w:t>р</w:t>
      </w:r>
      <w:r w:rsidR="00A56E08">
        <w:t>а</w:t>
      </w:r>
      <w:r w:rsidR="00171F00">
        <w:t>з</w:t>
      </w:r>
      <w:r w:rsidR="00A56E08">
        <w:t>о</w:t>
      </w:r>
      <w:r>
        <w:t>в</w:t>
      </w:r>
      <w:r w:rsidR="00A56E08">
        <w:t>ној</w:t>
      </w:r>
      <w:r w:rsidR="0039585F" w:rsidRPr="00F6340E">
        <w:t xml:space="preserve"> </w:t>
      </w:r>
      <w:r w:rsidR="00A56E08">
        <w:t>ин</w:t>
      </w:r>
      <w:r>
        <w:t>ст</w:t>
      </w:r>
      <w:r w:rsidR="00A56E08">
        <w:t>и</w:t>
      </w:r>
      <w:r>
        <w:t>ту</w:t>
      </w:r>
      <w:r w:rsidR="00A56E08">
        <w:t>цији</w:t>
      </w:r>
      <w:r w:rsidR="0039585F" w:rsidRPr="00F6340E">
        <w:t xml:space="preserve">, </w:t>
      </w:r>
      <w:r>
        <w:t>т</w:t>
      </w:r>
      <w:r w:rsidR="00EE6AA2">
        <w:t>е</w:t>
      </w:r>
      <w:r w:rsidR="005134A6" w:rsidRPr="00F6340E">
        <w:t xml:space="preserve"> </w:t>
      </w:r>
      <w:r>
        <w:t>спр</w:t>
      </w:r>
      <w:r w:rsidR="00A56E08">
        <w:t>ј</w:t>
      </w:r>
      <w:r w:rsidR="00EE6AA2">
        <w:t>е</w:t>
      </w:r>
      <w:r w:rsidR="00A56E08">
        <w:t>ча</w:t>
      </w:r>
      <w:r>
        <w:t>в</w:t>
      </w:r>
      <w:r w:rsidR="00A56E08">
        <w:t>ањ</w:t>
      </w:r>
      <w:r w:rsidR="00EE6AA2">
        <w:t>е</w:t>
      </w:r>
      <w:r w:rsidR="0039585F" w:rsidRPr="00F6340E">
        <w:t xml:space="preserve"> </w:t>
      </w:r>
      <w:r w:rsidR="00171F00">
        <w:t>з</w:t>
      </w:r>
      <w:r w:rsidR="00A56E08">
        <w:t>ло</w:t>
      </w:r>
      <w:r>
        <w:t>уп</w:t>
      </w:r>
      <w:r w:rsidR="00A56E08">
        <w:t>о</w:t>
      </w:r>
      <w:r>
        <w:t>тр</w:t>
      </w:r>
      <w:r w:rsidR="00EE6AA2">
        <w:t>е</w:t>
      </w:r>
      <w:r w:rsidR="00A56E08">
        <w:t>б</w:t>
      </w:r>
      <w:r w:rsidR="00EE6AA2">
        <w:t>е</w:t>
      </w:r>
      <w:r w:rsidR="00D57A41" w:rsidRPr="00F6340E">
        <w:t xml:space="preserve"> </w:t>
      </w:r>
      <w:r w:rsidR="00A56E08">
        <w:t>ид</w:t>
      </w:r>
      <w:r w:rsidR="00EE6AA2">
        <w:t>е</w:t>
      </w:r>
      <w:r w:rsidR="00A56E08">
        <w:t>н</w:t>
      </w:r>
      <w:r>
        <w:t>т</w:t>
      </w:r>
      <w:r w:rsidR="00A56E08">
        <w:t>и</w:t>
      </w:r>
      <w:r>
        <w:t>т</w:t>
      </w:r>
      <w:r w:rsidR="00EE6AA2">
        <w:t>е</w:t>
      </w:r>
      <w:r>
        <w:t>т</w:t>
      </w:r>
      <w:r w:rsidR="00A56E08">
        <w:t>а</w:t>
      </w:r>
      <w:r w:rsidR="0039585F" w:rsidRPr="00F6340E">
        <w:t xml:space="preserve"> </w:t>
      </w:r>
      <w:r w:rsidR="00A56E08">
        <w:t>и</w:t>
      </w:r>
      <w:r w:rsidR="0039585F" w:rsidRPr="00F6340E">
        <w:t xml:space="preserve"> </w:t>
      </w:r>
      <w:r w:rsidR="00A56E08">
        <w:t>н</w:t>
      </w:r>
      <w:r w:rsidR="00EE6AA2">
        <w:t>е</w:t>
      </w:r>
      <w:r w:rsidR="00A56E08">
        <w:t>о</w:t>
      </w:r>
      <w:r>
        <w:t>в</w:t>
      </w:r>
      <w:r w:rsidR="00A56E08">
        <w:t>ла</w:t>
      </w:r>
      <w:r>
        <w:t>шт</w:t>
      </w:r>
      <w:r w:rsidR="00EE6AA2">
        <w:t>е</w:t>
      </w:r>
      <w:r w:rsidR="00A56E08">
        <w:t>н</w:t>
      </w:r>
      <w:r w:rsidR="00EE6AA2">
        <w:t>е</w:t>
      </w:r>
      <w:r w:rsidR="0039585F" w:rsidRPr="00F6340E">
        <w:t xml:space="preserve"> </w:t>
      </w:r>
      <w:r>
        <w:t>уп</w:t>
      </w:r>
      <w:r w:rsidR="00A56E08">
        <w:t>о</w:t>
      </w:r>
      <w:r>
        <w:t>тр</w:t>
      </w:r>
      <w:r w:rsidR="00EE6AA2">
        <w:t>е</w:t>
      </w:r>
      <w:r w:rsidR="00A56E08">
        <w:t>б</w:t>
      </w:r>
      <w:r w:rsidR="00EE6AA2">
        <w:t>е</w:t>
      </w:r>
      <w:r w:rsidR="0039585F" w:rsidRPr="00F6340E">
        <w:t>.</w:t>
      </w:r>
    </w:p>
    <w:p w14:paraId="49EDDB58" w14:textId="50AF3EBC" w:rsidR="00C43F88" w:rsidRPr="000010C5" w:rsidRDefault="00A56E08" w:rsidP="00FA4DC9">
      <w:pPr>
        <w:pStyle w:val="Body"/>
        <w:rPr>
          <w:rFonts w:eastAsiaTheme="minorHAnsi"/>
          <w:lang w:val="hr-BA"/>
        </w:rPr>
      </w:pPr>
      <w:r>
        <w:rPr>
          <w:rFonts w:eastAsiaTheme="minorHAnsi"/>
        </w:rPr>
        <w:t>Да</w:t>
      </w:r>
      <w:r w:rsidR="00C43F88" w:rsidRPr="00F6340E">
        <w:rPr>
          <w:rFonts w:eastAsiaTheme="minorHAnsi"/>
        </w:rPr>
        <w:t xml:space="preserve"> </w:t>
      </w:r>
      <w:r>
        <w:rPr>
          <w:rFonts w:eastAsiaTheme="minorHAnsi"/>
        </w:rPr>
        <w:t>би</w:t>
      </w:r>
      <w:r w:rsidR="00C43F88" w:rsidRPr="00F6340E">
        <w:rPr>
          <w:rFonts w:eastAsiaTheme="minorHAnsi"/>
        </w:rPr>
        <w:t xml:space="preserve"> </w:t>
      </w:r>
      <w:r w:rsidR="0071360A">
        <w:rPr>
          <w:rFonts w:eastAsiaTheme="minorHAnsi"/>
        </w:rPr>
        <w:t>с</w:t>
      </w:r>
      <w:r w:rsidR="00EE6AA2">
        <w:rPr>
          <w:rFonts w:eastAsiaTheme="minorHAnsi"/>
        </w:rPr>
        <w:t>е</w:t>
      </w:r>
      <w:r w:rsidR="00C43F88" w:rsidRPr="00F6340E">
        <w:rPr>
          <w:rFonts w:eastAsiaTheme="minorHAnsi"/>
        </w:rPr>
        <w:t xml:space="preserve"> </w:t>
      </w:r>
      <w:r>
        <w:rPr>
          <w:rFonts w:eastAsiaTheme="minorHAnsi"/>
        </w:rPr>
        <w:t>к</w:t>
      </w:r>
      <w:r w:rsidR="0071360A">
        <w:rPr>
          <w:rFonts w:eastAsiaTheme="minorHAnsi"/>
        </w:rPr>
        <w:t>р</w:t>
      </w:r>
      <w:r w:rsidR="00EE6AA2">
        <w:rPr>
          <w:rFonts w:eastAsiaTheme="minorHAnsi"/>
        </w:rPr>
        <w:t>е</w:t>
      </w:r>
      <w:r>
        <w:rPr>
          <w:rFonts w:eastAsiaTheme="minorHAnsi"/>
        </w:rPr>
        <w:t>и</w:t>
      </w:r>
      <w:r w:rsidR="0071360A">
        <w:rPr>
          <w:rFonts w:eastAsiaTheme="minorHAnsi"/>
        </w:rPr>
        <w:t>р</w:t>
      </w:r>
      <w:r>
        <w:rPr>
          <w:rFonts w:eastAsiaTheme="minorHAnsi"/>
        </w:rPr>
        <w:t>ало</w:t>
      </w:r>
      <w:r w:rsidR="00C43F88" w:rsidRPr="00F6340E">
        <w:rPr>
          <w:rFonts w:eastAsiaTheme="minorHAnsi"/>
        </w:rPr>
        <w:t xml:space="preserve"> </w:t>
      </w:r>
      <w:r w:rsidR="0071360A">
        <w:rPr>
          <w:rFonts w:eastAsiaTheme="minorHAnsi"/>
        </w:rPr>
        <w:t>с</w:t>
      </w:r>
      <w:r>
        <w:rPr>
          <w:rFonts w:eastAsiaTheme="minorHAnsi"/>
        </w:rPr>
        <w:t>иг</w:t>
      </w:r>
      <w:r w:rsidR="0071360A">
        <w:rPr>
          <w:rFonts w:eastAsiaTheme="minorHAnsi"/>
        </w:rPr>
        <w:t>ур</w:t>
      </w:r>
      <w:r>
        <w:rPr>
          <w:rFonts w:eastAsiaTheme="minorHAnsi"/>
        </w:rPr>
        <w:t>но</w:t>
      </w:r>
      <w:r w:rsidR="00C43F88" w:rsidRPr="00F6340E">
        <w:rPr>
          <w:rFonts w:eastAsiaTheme="minorHAnsi"/>
        </w:rPr>
        <w:t xml:space="preserve"> </w:t>
      </w:r>
      <w:r w:rsidR="0071360A">
        <w:rPr>
          <w:rFonts w:eastAsiaTheme="minorHAnsi"/>
        </w:rPr>
        <w:t>в</w:t>
      </w:r>
      <w:r>
        <w:rPr>
          <w:rFonts w:eastAsiaTheme="minorHAnsi"/>
        </w:rPr>
        <w:t>и</w:t>
      </w:r>
      <w:r w:rsidR="0071360A">
        <w:rPr>
          <w:rFonts w:eastAsiaTheme="minorHAnsi"/>
        </w:rPr>
        <w:t>рту</w:t>
      </w:r>
      <w:r w:rsidR="00EE6AA2">
        <w:rPr>
          <w:rFonts w:eastAsiaTheme="minorHAnsi"/>
        </w:rPr>
        <w:t>е</w:t>
      </w:r>
      <w:r>
        <w:rPr>
          <w:rFonts w:eastAsiaTheme="minorHAnsi"/>
        </w:rPr>
        <w:t>лно</w:t>
      </w:r>
      <w:r w:rsidR="00C43F88" w:rsidRPr="00F6340E">
        <w:rPr>
          <w:rFonts w:eastAsiaTheme="minorHAnsi"/>
        </w:rPr>
        <w:t xml:space="preserve"> </w:t>
      </w:r>
      <w:r>
        <w:rPr>
          <w:rFonts w:eastAsiaTheme="minorHAnsi"/>
        </w:rPr>
        <w:t>ок</w:t>
      </w:r>
      <w:r w:rsidR="0071360A">
        <w:rPr>
          <w:rFonts w:eastAsiaTheme="minorHAnsi"/>
        </w:rPr>
        <w:t>ру</w:t>
      </w:r>
      <w:r w:rsidR="00171F00">
        <w:rPr>
          <w:rFonts w:eastAsiaTheme="minorHAnsi"/>
        </w:rPr>
        <w:t>ж</w:t>
      </w:r>
      <w:r w:rsidR="00EE6AA2">
        <w:rPr>
          <w:rFonts w:eastAsiaTheme="minorHAnsi"/>
        </w:rPr>
        <w:t>е</w:t>
      </w:r>
      <w:r>
        <w:rPr>
          <w:rFonts w:eastAsiaTheme="minorHAnsi"/>
        </w:rPr>
        <w:t>њ</w:t>
      </w:r>
      <w:r w:rsidR="00EE6AA2">
        <w:rPr>
          <w:rFonts w:eastAsiaTheme="minorHAnsi"/>
        </w:rPr>
        <w:t>е</w:t>
      </w:r>
      <w:r w:rsidR="00C43F88" w:rsidRPr="00F6340E">
        <w:rPr>
          <w:rFonts w:eastAsiaTheme="minorHAnsi"/>
        </w:rPr>
        <w:t xml:space="preserve"> </w:t>
      </w:r>
      <w:r w:rsidR="00171F00">
        <w:rPr>
          <w:rFonts w:eastAsiaTheme="minorHAnsi"/>
        </w:rPr>
        <w:t>з</w:t>
      </w:r>
      <w:r>
        <w:rPr>
          <w:rFonts w:eastAsiaTheme="minorHAnsi"/>
        </w:rPr>
        <w:t>а</w:t>
      </w:r>
      <w:r w:rsidR="00C43F88" w:rsidRPr="00F6340E">
        <w:rPr>
          <w:rFonts w:eastAsiaTheme="minorHAnsi"/>
        </w:rPr>
        <w:t xml:space="preserve"> </w:t>
      </w:r>
      <w:r w:rsidR="0071360A">
        <w:rPr>
          <w:rFonts w:eastAsiaTheme="minorHAnsi"/>
        </w:rPr>
        <w:t>у</w:t>
      </w:r>
      <w:r>
        <w:rPr>
          <w:rFonts w:eastAsiaTheme="minorHAnsi"/>
        </w:rPr>
        <w:t>ч</w:t>
      </w:r>
      <w:r w:rsidR="00EE6AA2">
        <w:rPr>
          <w:rFonts w:eastAsiaTheme="minorHAnsi"/>
        </w:rPr>
        <w:t>е</w:t>
      </w:r>
      <w:r>
        <w:rPr>
          <w:rFonts w:eastAsiaTheme="minorHAnsi"/>
        </w:rPr>
        <w:t>њ</w:t>
      </w:r>
      <w:r w:rsidR="00EE6AA2">
        <w:rPr>
          <w:rFonts w:eastAsiaTheme="minorHAnsi"/>
        </w:rPr>
        <w:t>е</w:t>
      </w:r>
      <w:r w:rsidR="00C43F88" w:rsidRPr="00F6340E">
        <w:rPr>
          <w:rFonts w:eastAsiaTheme="minorHAnsi"/>
        </w:rPr>
        <w:t xml:space="preserve"> </w:t>
      </w:r>
      <w:r>
        <w:rPr>
          <w:rFonts w:eastAsiaTheme="minorHAnsi"/>
        </w:rPr>
        <w:t>и</w:t>
      </w:r>
      <w:r w:rsidR="00C43F88" w:rsidRPr="00F6340E">
        <w:rPr>
          <w:rFonts w:eastAsiaTheme="minorHAnsi"/>
        </w:rPr>
        <w:t xml:space="preserve"> </w:t>
      </w:r>
      <w:r w:rsidR="0071360A">
        <w:rPr>
          <w:rFonts w:eastAsiaTheme="minorHAnsi"/>
        </w:rPr>
        <w:t>п</w:t>
      </w:r>
      <w:r>
        <w:rPr>
          <w:rFonts w:eastAsiaTheme="minorHAnsi"/>
        </w:rPr>
        <w:t>од</w:t>
      </w:r>
      <w:r w:rsidR="0071360A">
        <w:rPr>
          <w:rFonts w:eastAsiaTheme="minorHAnsi"/>
        </w:rPr>
        <w:t>у</w:t>
      </w:r>
      <w:r>
        <w:rPr>
          <w:rFonts w:eastAsiaTheme="minorHAnsi"/>
        </w:rPr>
        <w:t>ча</w:t>
      </w:r>
      <w:r w:rsidR="0071360A">
        <w:rPr>
          <w:rFonts w:eastAsiaTheme="minorHAnsi"/>
        </w:rPr>
        <w:t>в</w:t>
      </w:r>
      <w:r>
        <w:rPr>
          <w:rFonts w:eastAsiaTheme="minorHAnsi"/>
        </w:rPr>
        <w:t>ањ</w:t>
      </w:r>
      <w:r w:rsidR="00EE6AA2">
        <w:rPr>
          <w:rFonts w:eastAsiaTheme="minorHAnsi"/>
        </w:rPr>
        <w:t>е</w:t>
      </w:r>
      <w:r w:rsidR="00C43F88" w:rsidRPr="00F6340E">
        <w:rPr>
          <w:rFonts w:eastAsiaTheme="minorHAnsi"/>
        </w:rPr>
        <w:t xml:space="preserve"> </w:t>
      </w:r>
      <w:r w:rsidR="0071360A">
        <w:rPr>
          <w:rFonts w:eastAsiaTheme="minorHAnsi"/>
        </w:rPr>
        <w:t>п</w:t>
      </w:r>
      <w:r>
        <w:rPr>
          <w:rFonts w:eastAsiaTheme="minorHAnsi"/>
        </w:rPr>
        <w:t>о</w:t>
      </w:r>
      <w:r w:rsidR="0071360A">
        <w:rPr>
          <w:rFonts w:eastAsiaTheme="minorHAnsi"/>
        </w:rPr>
        <w:t>тр</w:t>
      </w:r>
      <w:r w:rsidR="00EE6AA2">
        <w:rPr>
          <w:rFonts w:eastAsiaTheme="minorHAnsi"/>
        </w:rPr>
        <w:t>е</w:t>
      </w:r>
      <w:r>
        <w:rPr>
          <w:rFonts w:eastAsiaTheme="minorHAnsi"/>
        </w:rPr>
        <w:t>бно</w:t>
      </w:r>
      <w:r w:rsidR="00C43F88" w:rsidRPr="00F6340E">
        <w:rPr>
          <w:rFonts w:eastAsiaTheme="minorHAnsi"/>
        </w:rPr>
        <w:t xml:space="preserve"> </w:t>
      </w:r>
      <w:r>
        <w:rPr>
          <w:rFonts w:eastAsiaTheme="minorHAnsi"/>
        </w:rPr>
        <w:t>ј</w:t>
      </w:r>
      <w:r w:rsidR="00EE6AA2">
        <w:rPr>
          <w:rFonts w:eastAsiaTheme="minorHAnsi"/>
        </w:rPr>
        <w:t>е</w:t>
      </w:r>
      <w:r w:rsidR="00C43F88" w:rsidRPr="00F6340E">
        <w:rPr>
          <w:rFonts w:eastAsiaTheme="minorHAnsi"/>
        </w:rPr>
        <w:t xml:space="preserve"> </w:t>
      </w:r>
      <w:r>
        <w:rPr>
          <w:rFonts w:eastAsiaTheme="minorHAnsi"/>
        </w:rPr>
        <w:t>о</w:t>
      </w:r>
      <w:r w:rsidR="0071360A">
        <w:rPr>
          <w:rFonts w:eastAsiaTheme="minorHAnsi"/>
        </w:rPr>
        <w:t>с</w:t>
      </w:r>
      <w:r>
        <w:rPr>
          <w:rFonts w:eastAsiaTheme="minorHAnsi"/>
        </w:rPr>
        <w:t>иг</w:t>
      </w:r>
      <w:r w:rsidR="0071360A">
        <w:rPr>
          <w:rFonts w:eastAsiaTheme="minorHAnsi"/>
        </w:rPr>
        <w:t>ур</w:t>
      </w:r>
      <w:r>
        <w:rPr>
          <w:rFonts w:eastAsiaTheme="minorHAnsi"/>
        </w:rPr>
        <w:t>а</w:t>
      </w:r>
      <w:r w:rsidR="0071360A">
        <w:rPr>
          <w:rFonts w:eastAsiaTheme="minorHAnsi"/>
        </w:rPr>
        <w:t>т</w:t>
      </w:r>
      <w:r>
        <w:rPr>
          <w:rFonts w:eastAsiaTheme="minorHAnsi"/>
        </w:rPr>
        <w:t>и</w:t>
      </w:r>
      <w:r w:rsidR="00C43F88" w:rsidRPr="00F6340E">
        <w:rPr>
          <w:rFonts w:eastAsiaTheme="minorHAnsi"/>
        </w:rPr>
        <w:t xml:space="preserve"> </w:t>
      </w:r>
      <w:r>
        <w:rPr>
          <w:rFonts w:eastAsiaTheme="minorHAnsi"/>
        </w:rPr>
        <w:t>одго</w:t>
      </w:r>
      <w:r w:rsidR="0071360A">
        <w:rPr>
          <w:rFonts w:eastAsiaTheme="minorHAnsi"/>
        </w:rPr>
        <w:t>в</w:t>
      </w:r>
      <w:r>
        <w:rPr>
          <w:rFonts w:eastAsiaTheme="minorHAnsi"/>
        </w:rPr>
        <w:t>а</w:t>
      </w:r>
      <w:r w:rsidR="0071360A">
        <w:rPr>
          <w:rFonts w:eastAsiaTheme="minorHAnsi"/>
        </w:rPr>
        <w:t>р</w:t>
      </w:r>
      <w:r>
        <w:rPr>
          <w:rFonts w:eastAsiaTheme="minorHAnsi"/>
        </w:rPr>
        <w:t>ај</w:t>
      </w:r>
      <w:r w:rsidR="0071360A">
        <w:rPr>
          <w:rFonts w:eastAsiaTheme="minorHAnsi"/>
        </w:rPr>
        <w:t>у</w:t>
      </w:r>
      <w:r>
        <w:rPr>
          <w:rFonts w:eastAsiaTheme="minorHAnsi"/>
        </w:rPr>
        <w:t>ћ</w:t>
      </w:r>
      <w:r w:rsidR="0071360A">
        <w:rPr>
          <w:rFonts w:eastAsiaTheme="minorHAnsi"/>
        </w:rPr>
        <w:t>у</w:t>
      </w:r>
      <w:r w:rsidR="00C43F88" w:rsidRPr="00F6340E">
        <w:rPr>
          <w:rFonts w:eastAsiaTheme="minorHAnsi"/>
        </w:rPr>
        <w:t xml:space="preserve"> </w:t>
      </w:r>
      <w:r>
        <w:rPr>
          <w:rFonts w:eastAsiaTheme="minorHAnsi"/>
        </w:rPr>
        <w:t>ха</w:t>
      </w:r>
      <w:r w:rsidR="0071360A">
        <w:rPr>
          <w:rFonts w:eastAsiaTheme="minorHAnsi"/>
        </w:rPr>
        <w:t>р</w:t>
      </w:r>
      <w:r>
        <w:rPr>
          <w:rFonts w:eastAsiaTheme="minorHAnsi"/>
        </w:rPr>
        <w:t>д</w:t>
      </w:r>
      <w:r w:rsidR="0071360A">
        <w:rPr>
          <w:rFonts w:eastAsiaTheme="minorHAnsi"/>
        </w:rPr>
        <w:t>в</w:t>
      </w:r>
      <w:r w:rsidR="00EE6AA2">
        <w:rPr>
          <w:rFonts w:eastAsiaTheme="minorHAnsi"/>
        </w:rPr>
        <w:t>е</w:t>
      </w:r>
      <w:r w:rsidR="0071360A">
        <w:rPr>
          <w:rFonts w:eastAsiaTheme="minorHAnsi"/>
        </w:rPr>
        <w:t>рс</w:t>
      </w:r>
      <w:r>
        <w:rPr>
          <w:rFonts w:eastAsiaTheme="minorHAnsi"/>
        </w:rPr>
        <w:t>к</w:t>
      </w:r>
      <w:r w:rsidR="0071360A">
        <w:rPr>
          <w:rFonts w:eastAsiaTheme="minorHAnsi"/>
        </w:rPr>
        <w:t>у</w:t>
      </w:r>
      <w:r w:rsidR="00C43F88" w:rsidRPr="00F6340E">
        <w:rPr>
          <w:rFonts w:eastAsiaTheme="minorHAnsi"/>
        </w:rPr>
        <w:t xml:space="preserve"> </w:t>
      </w:r>
      <w:r>
        <w:rPr>
          <w:rFonts w:eastAsiaTheme="minorHAnsi"/>
        </w:rPr>
        <w:t>и</w:t>
      </w:r>
      <w:r w:rsidR="00C43F88" w:rsidRPr="00F6340E">
        <w:rPr>
          <w:rFonts w:eastAsiaTheme="minorHAnsi"/>
        </w:rPr>
        <w:t xml:space="preserve"> </w:t>
      </w:r>
      <w:r w:rsidR="0071360A">
        <w:rPr>
          <w:rFonts w:eastAsiaTheme="minorHAnsi"/>
        </w:rPr>
        <w:t>с</w:t>
      </w:r>
      <w:r>
        <w:rPr>
          <w:rFonts w:eastAsiaTheme="minorHAnsi"/>
        </w:rPr>
        <w:t>оф</w:t>
      </w:r>
      <w:r w:rsidR="0071360A">
        <w:rPr>
          <w:rFonts w:eastAsiaTheme="minorHAnsi"/>
        </w:rPr>
        <w:t>тв</w:t>
      </w:r>
      <w:r w:rsidR="00EE6AA2">
        <w:rPr>
          <w:rFonts w:eastAsiaTheme="minorHAnsi"/>
        </w:rPr>
        <w:t>е</w:t>
      </w:r>
      <w:r w:rsidR="0071360A">
        <w:rPr>
          <w:rFonts w:eastAsiaTheme="minorHAnsi"/>
        </w:rPr>
        <w:t>рс</w:t>
      </w:r>
      <w:r>
        <w:rPr>
          <w:rFonts w:eastAsiaTheme="minorHAnsi"/>
        </w:rPr>
        <w:t>к</w:t>
      </w:r>
      <w:r w:rsidR="0071360A">
        <w:rPr>
          <w:rFonts w:eastAsiaTheme="minorHAnsi"/>
        </w:rPr>
        <w:t>у</w:t>
      </w:r>
      <w:r w:rsidR="00C43F88" w:rsidRPr="00F6340E">
        <w:rPr>
          <w:rFonts w:eastAsiaTheme="minorHAnsi"/>
        </w:rPr>
        <w:t xml:space="preserve"> </w:t>
      </w:r>
      <w:r>
        <w:rPr>
          <w:rFonts w:eastAsiaTheme="minorHAnsi"/>
        </w:rPr>
        <w:t>инф</w:t>
      </w:r>
      <w:r w:rsidR="0071360A">
        <w:rPr>
          <w:rFonts w:eastAsiaTheme="minorHAnsi"/>
        </w:rPr>
        <w:t>р</w:t>
      </w:r>
      <w:r>
        <w:rPr>
          <w:rFonts w:eastAsiaTheme="minorHAnsi"/>
        </w:rPr>
        <w:t>а</w:t>
      </w:r>
      <w:r w:rsidR="0071360A">
        <w:rPr>
          <w:rFonts w:eastAsiaTheme="minorHAnsi"/>
        </w:rPr>
        <w:t>стру</w:t>
      </w:r>
      <w:r>
        <w:rPr>
          <w:rFonts w:eastAsiaTheme="minorHAnsi"/>
        </w:rPr>
        <w:t>к</w:t>
      </w:r>
      <w:r w:rsidR="0071360A">
        <w:rPr>
          <w:rFonts w:eastAsiaTheme="minorHAnsi"/>
        </w:rPr>
        <w:t>туру</w:t>
      </w:r>
      <w:r w:rsidR="00C43F88" w:rsidRPr="00F6340E">
        <w:rPr>
          <w:rFonts w:eastAsiaTheme="minorHAnsi"/>
        </w:rPr>
        <w:t xml:space="preserve">. </w:t>
      </w:r>
      <w:r>
        <w:rPr>
          <w:rFonts w:eastAsiaTheme="minorHAnsi"/>
        </w:rPr>
        <w:t>Када</w:t>
      </w:r>
      <w:r w:rsidR="00C43F88" w:rsidRPr="00F6340E">
        <w:rPr>
          <w:rFonts w:eastAsiaTheme="minorHAnsi"/>
        </w:rPr>
        <w:t xml:space="preserve"> </w:t>
      </w:r>
      <w:r>
        <w:rPr>
          <w:rFonts w:eastAsiaTheme="minorHAnsi"/>
        </w:rPr>
        <w:t>ј</w:t>
      </w:r>
      <w:r w:rsidR="00EE6AA2">
        <w:rPr>
          <w:rFonts w:eastAsiaTheme="minorHAnsi"/>
        </w:rPr>
        <w:t>е</w:t>
      </w:r>
      <w:r w:rsidR="00C43F88" w:rsidRPr="00F6340E">
        <w:rPr>
          <w:rFonts w:eastAsiaTheme="minorHAnsi"/>
        </w:rPr>
        <w:t xml:space="preserve"> </w:t>
      </w:r>
      <w:r w:rsidR="0071360A">
        <w:rPr>
          <w:rFonts w:eastAsiaTheme="minorHAnsi"/>
        </w:rPr>
        <w:t>у</w:t>
      </w:r>
      <w:r w:rsidR="00C43F88" w:rsidRPr="00F6340E">
        <w:rPr>
          <w:rFonts w:eastAsiaTheme="minorHAnsi"/>
        </w:rPr>
        <w:t xml:space="preserve"> </w:t>
      </w:r>
      <w:r w:rsidR="0071360A">
        <w:rPr>
          <w:rFonts w:eastAsiaTheme="minorHAnsi"/>
        </w:rPr>
        <w:t>п</w:t>
      </w:r>
      <w:r>
        <w:rPr>
          <w:rFonts w:eastAsiaTheme="minorHAnsi"/>
        </w:rPr>
        <w:t>и</w:t>
      </w:r>
      <w:r w:rsidR="0071360A">
        <w:rPr>
          <w:rFonts w:eastAsiaTheme="minorHAnsi"/>
        </w:rPr>
        <w:t>т</w:t>
      </w:r>
      <w:r>
        <w:rPr>
          <w:rFonts w:eastAsiaTheme="minorHAnsi"/>
        </w:rPr>
        <w:t>ањ</w:t>
      </w:r>
      <w:r w:rsidR="0071360A">
        <w:rPr>
          <w:rFonts w:eastAsiaTheme="minorHAnsi"/>
        </w:rPr>
        <w:t>у</w:t>
      </w:r>
      <w:r w:rsidR="00C43F88" w:rsidRPr="00F6340E">
        <w:rPr>
          <w:rFonts w:eastAsiaTheme="minorHAnsi"/>
        </w:rPr>
        <w:t xml:space="preserve"> </w:t>
      </w:r>
      <w:r>
        <w:rPr>
          <w:rFonts w:eastAsiaTheme="minorHAnsi"/>
        </w:rPr>
        <w:t>ха</w:t>
      </w:r>
      <w:r w:rsidR="0071360A">
        <w:rPr>
          <w:rFonts w:eastAsiaTheme="minorHAnsi"/>
        </w:rPr>
        <w:t>р</w:t>
      </w:r>
      <w:r>
        <w:rPr>
          <w:rFonts w:eastAsiaTheme="minorHAnsi"/>
        </w:rPr>
        <w:t>д</w:t>
      </w:r>
      <w:r w:rsidR="0071360A">
        <w:rPr>
          <w:rFonts w:eastAsiaTheme="minorHAnsi"/>
        </w:rPr>
        <w:t>в</w:t>
      </w:r>
      <w:r w:rsidR="00EE6AA2">
        <w:rPr>
          <w:rFonts w:eastAsiaTheme="minorHAnsi"/>
        </w:rPr>
        <w:t>е</w:t>
      </w:r>
      <w:r w:rsidR="0071360A">
        <w:rPr>
          <w:rFonts w:eastAsiaTheme="minorHAnsi"/>
        </w:rPr>
        <w:t>р</w:t>
      </w:r>
      <w:r w:rsidR="00C43F88" w:rsidRPr="00F6340E">
        <w:rPr>
          <w:rFonts w:eastAsiaTheme="minorHAnsi"/>
        </w:rPr>
        <w:t xml:space="preserve">, </w:t>
      </w:r>
      <w:r w:rsidR="0071360A">
        <w:rPr>
          <w:rFonts w:eastAsiaTheme="minorHAnsi"/>
        </w:rPr>
        <w:t>р</w:t>
      </w:r>
      <w:r>
        <w:rPr>
          <w:rFonts w:eastAsiaTheme="minorHAnsi"/>
        </w:rPr>
        <w:t>ач</w:t>
      </w:r>
      <w:r w:rsidR="0071360A">
        <w:rPr>
          <w:rFonts w:eastAsiaTheme="minorHAnsi"/>
        </w:rPr>
        <w:t>у</w:t>
      </w:r>
      <w:r>
        <w:rPr>
          <w:rFonts w:eastAsiaTheme="minorHAnsi"/>
        </w:rPr>
        <w:t>на</w:t>
      </w:r>
      <w:r w:rsidR="0071360A">
        <w:rPr>
          <w:rFonts w:eastAsiaTheme="minorHAnsi"/>
        </w:rPr>
        <w:t>рс</w:t>
      </w:r>
      <w:r>
        <w:rPr>
          <w:rFonts w:eastAsiaTheme="minorHAnsi"/>
        </w:rPr>
        <w:t>ка</w:t>
      </w:r>
      <w:r w:rsidR="00C43F88" w:rsidRPr="00F6340E">
        <w:rPr>
          <w:rFonts w:eastAsiaTheme="minorHAnsi"/>
        </w:rPr>
        <w:t xml:space="preserve"> </w:t>
      </w:r>
      <w:r>
        <w:rPr>
          <w:rFonts w:eastAsiaTheme="minorHAnsi"/>
        </w:rPr>
        <w:t>м</w:t>
      </w:r>
      <w:r w:rsidR="0071360A">
        <w:rPr>
          <w:rFonts w:eastAsiaTheme="minorHAnsi"/>
        </w:rPr>
        <w:t>р</w:t>
      </w:r>
      <w:r w:rsidR="00EE6AA2">
        <w:rPr>
          <w:rFonts w:eastAsiaTheme="minorHAnsi"/>
        </w:rPr>
        <w:t>е</w:t>
      </w:r>
      <w:r w:rsidR="00171F00">
        <w:rPr>
          <w:rFonts w:eastAsiaTheme="minorHAnsi"/>
        </w:rPr>
        <w:t>ж</w:t>
      </w:r>
      <w:r>
        <w:rPr>
          <w:rFonts w:eastAsiaTheme="minorHAnsi"/>
        </w:rPr>
        <w:t>а</w:t>
      </w:r>
      <w:r w:rsidR="00C43F88" w:rsidRPr="00F6340E">
        <w:rPr>
          <w:rFonts w:eastAsiaTheme="minorHAnsi"/>
        </w:rPr>
        <w:t xml:space="preserve"> </w:t>
      </w:r>
      <w:r w:rsidR="0071360A">
        <w:rPr>
          <w:rFonts w:eastAsiaTheme="minorHAnsi"/>
        </w:rPr>
        <w:t>у</w:t>
      </w:r>
      <w:r w:rsidR="00C43F88" w:rsidRPr="00F6340E">
        <w:rPr>
          <w:rFonts w:eastAsiaTheme="minorHAnsi"/>
        </w:rPr>
        <w:t xml:space="preserve"> </w:t>
      </w:r>
      <w:r>
        <w:rPr>
          <w:rFonts w:eastAsiaTheme="minorHAnsi"/>
        </w:rPr>
        <w:t>об</w:t>
      </w:r>
      <w:r w:rsidR="0071360A">
        <w:rPr>
          <w:rFonts w:eastAsiaTheme="minorHAnsi"/>
        </w:rPr>
        <w:t>р</w:t>
      </w:r>
      <w:r>
        <w:rPr>
          <w:rFonts w:eastAsiaTheme="minorHAnsi"/>
        </w:rPr>
        <w:t>а</w:t>
      </w:r>
      <w:r w:rsidR="00171F00">
        <w:rPr>
          <w:rFonts w:eastAsiaTheme="minorHAnsi"/>
        </w:rPr>
        <w:t>з</w:t>
      </w:r>
      <w:r>
        <w:rPr>
          <w:rFonts w:eastAsiaTheme="minorHAnsi"/>
        </w:rPr>
        <w:t>о</w:t>
      </w:r>
      <w:r w:rsidR="0071360A">
        <w:rPr>
          <w:rFonts w:eastAsiaTheme="minorHAnsi"/>
        </w:rPr>
        <w:t>в</w:t>
      </w:r>
      <w:r>
        <w:rPr>
          <w:rFonts w:eastAsiaTheme="minorHAnsi"/>
        </w:rPr>
        <w:t>ној</w:t>
      </w:r>
      <w:r w:rsidR="00C43F88" w:rsidRPr="00F6340E">
        <w:rPr>
          <w:rFonts w:eastAsiaTheme="minorHAnsi"/>
        </w:rPr>
        <w:t xml:space="preserve"> </w:t>
      </w:r>
      <w:r>
        <w:rPr>
          <w:rFonts w:eastAsiaTheme="minorHAnsi"/>
        </w:rPr>
        <w:t>ин</w:t>
      </w:r>
      <w:r w:rsidR="0071360A">
        <w:rPr>
          <w:rFonts w:eastAsiaTheme="minorHAnsi"/>
        </w:rPr>
        <w:t>ст</w:t>
      </w:r>
      <w:r>
        <w:rPr>
          <w:rFonts w:eastAsiaTheme="minorHAnsi"/>
        </w:rPr>
        <w:t>и</w:t>
      </w:r>
      <w:r w:rsidR="0071360A">
        <w:rPr>
          <w:rFonts w:eastAsiaTheme="minorHAnsi"/>
        </w:rPr>
        <w:t>ту</w:t>
      </w:r>
      <w:r>
        <w:rPr>
          <w:rFonts w:eastAsiaTheme="minorHAnsi"/>
        </w:rPr>
        <w:t>цији</w:t>
      </w:r>
      <w:r w:rsidR="00C43F88" w:rsidRPr="00F6340E">
        <w:rPr>
          <w:rFonts w:eastAsiaTheme="minorHAnsi"/>
        </w:rPr>
        <w:t xml:space="preserve"> (</w:t>
      </w:r>
      <w:r>
        <w:rPr>
          <w:rFonts w:eastAsiaTheme="minorHAnsi"/>
        </w:rPr>
        <w:t>ЛАН</w:t>
      </w:r>
      <w:r w:rsidR="00C43F88" w:rsidRPr="00F6340E">
        <w:rPr>
          <w:rFonts w:eastAsiaTheme="minorHAnsi"/>
        </w:rPr>
        <w:t xml:space="preserve"> </w:t>
      </w:r>
      <w:r>
        <w:rPr>
          <w:rFonts w:eastAsiaTheme="minorHAnsi"/>
        </w:rPr>
        <w:t>и</w:t>
      </w:r>
      <w:r w:rsidR="00C43F88" w:rsidRPr="00F6340E">
        <w:rPr>
          <w:rFonts w:eastAsiaTheme="minorHAnsi"/>
        </w:rPr>
        <w:t>/</w:t>
      </w:r>
      <w:r>
        <w:rPr>
          <w:rFonts w:eastAsiaTheme="minorHAnsi"/>
        </w:rPr>
        <w:t>или</w:t>
      </w:r>
      <w:r w:rsidR="00C43F88" w:rsidRPr="00F6340E">
        <w:rPr>
          <w:rFonts w:eastAsiaTheme="minorHAnsi"/>
        </w:rPr>
        <w:t xml:space="preserve"> W</w:t>
      </w:r>
      <w:r>
        <w:rPr>
          <w:rFonts w:eastAsiaTheme="minorHAnsi"/>
        </w:rPr>
        <w:t>ЛАН</w:t>
      </w:r>
      <w:r w:rsidR="00C43F88" w:rsidRPr="00F6340E">
        <w:rPr>
          <w:rFonts w:eastAsiaTheme="minorHAnsi"/>
        </w:rPr>
        <w:t xml:space="preserve">) </w:t>
      </w:r>
      <w:r>
        <w:rPr>
          <w:rFonts w:eastAsiaTheme="minorHAnsi"/>
        </w:rPr>
        <w:t>мо</w:t>
      </w:r>
      <w:r w:rsidR="0071360A">
        <w:rPr>
          <w:rFonts w:eastAsiaTheme="minorHAnsi"/>
        </w:rPr>
        <w:t>р</w:t>
      </w:r>
      <w:r>
        <w:rPr>
          <w:rFonts w:eastAsiaTheme="minorHAnsi"/>
        </w:rPr>
        <w:t>а</w:t>
      </w:r>
      <w:r w:rsidR="00C43F88" w:rsidRPr="00F6340E">
        <w:rPr>
          <w:rFonts w:eastAsiaTheme="minorHAnsi"/>
        </w:rPr>
        <w:t xml:space="preserve"> </w:t>
      </w:r>
      <w:r>
        <w:rPr>
          <w:rFonts w:eastAsiaTheme="minorHAnsi"/>
        </w:rPr>
        <w:t>има</w:t>
      </w:r>
      <w:r w:rsidR="0071360A">
        <w:rPr>
          <w:rFonts w:eastAsiaTheme="minorHAnsi"/>
        </w:rPr>
        <w:t>т</w:t>
      </w:r>
      <w:r>
        <w:rPr>
          <w:rFonts w:eastAsiaTheme="minorHAnsi"/>
        </w:rPr>
        <w:t>и</w:t>
      </w:r>
      <w:r w:rsidR="00C43F88" w:rsidRPr="00F6340E">
        <w:rPr>
          <w:rFonts w:eastAsiaTheme="minorHAnsi"/>
        </w:rPr>
        <w:t xml:space="preserve"> </w:t>
      </w:r>
      <w:r>
        <w:rPr>
          <w:rFonts w:eastAsiaTheme="minorHAnsi"/>
        </w:rPr>
        <w:t>одго</w:t>
      </w:r>
      <w:r w:rsidR="0071360A">
        <w:rPr>
          <w:rFonts w:eastAsiaTheme="minorHAnsi"/>
        </w:rPr>
        <w:t>в</w:t>
      </w:r>
      <w:r>
        <w:rPr>
          <w:rFonts w:eastAsiaTheme="minorHAnsi"/>
        </w:rPr>
        <w:t>а</w:t>
      </w:r>
      <w:r w:rsidR="0071360A">
        <w:rPr>
          <w:rFonts w:eastAsiaTheme="minorHAnsi"/>
        </w:rPr>
        <w:t>р</w:t>
      </w:r>
      <w:r>
        <w:rPr>
          <w:rFonts w:eastAsiaTheme="minorHAnsi"/>
        </w:rPr>
        <w:t>ај</w:t>
      </w:r>
      <w:r w:rsidR="0071360A">
        <w:rPr>
          <w:rFonts w:eastAsiaTheme="minorHAnsi"/>
        </w:rPr>
        <w:t>у</w:t>
      </w:r>
      <w:r>
        <w:rPr>
          <w:rFonts w:eastAsiaTheme="minorHAnsi"/>
        </w:rPr>
        <w:t>ћи</w:t>
      </w:r>
      <w:r w:rsidR="00C43F88" w:rsidRPr="00F6340E">
        <w:rPr>
          <w:rFonts w:eastAsiaTheme="minorHAnsi"/>
        </w:rPr>
        <w:t xml:space="preserve"> </w:t>
      </w:r>
      <w:r w:rsidR="000010C5">
        <w:rPr>
          <w:rFonts w:eastAsiaTheme="minorHAnsi"/>
        </w:rPr>
        <w:t>фајервол</w:t>
      </w:r>
      <w:r w:rsidR="00C43F88" w:rsidRPr="00F6340E">
        <w:rPr>
          <w:rFonts w:eastAsiaTheme="minorHAnsi"/>
        </w:rPr>
        <w:t xml:space="preserve"> </w:t>
      </w:r>
      <w:r w:rsidR="00171F00">
        <w:rPr>
          <w:rFonts w:eastAsiaTheme="minorHAnsi"/>
        </w:rPr>
        <w:t>з</w:t>
      </w:r>
      <w:r>
        <w:rPr>
          <w:rFonts w:eastAsiaTheme="minorHAnsi"/>
        </w:rPr>
        <w:t>а</w:t>
      </w:r>
      <w:r w:rsidR="00C43F88" w:rsidRPr="00F6340E">
        <w:rPr>
          <w:rFonts w:eastAsiaTheme="minorHAnsi"/>
        </w:rPr>
        <w:t xml:space="preserve"> </w:t>
      </w:r>
      <w:r>
        <w:rPr>
          <w:rFonts w:eastAsiaTheme="minorHAnsi"/>
        </w:rPr>
        <w:t>фил</w:t>
      </w:r>
      <w:r w:rsidR="0071360A">
        <w:rPr>
          <w:rFonts w:eastAsiaTheme="minorHAnsi"/>
        </w:rPr>
        <w:t>тр</w:t>
      </w:r>
      <w:r>
        <w:rPr>
          <w:rFonts w:eastAsiaTheme="minorHAnsi"/>
        </w:rPr>
        <w:t>и</w:t>
      </w:r>
      <w:r w:rsidR="0071360A">
        <w:rPr>
          <w:rFonts w:eastAsiaTheme="minorHAnsi"/>
        </w:rPr>
        <w:t>р</w:t>
      </w:r>
      <w:r>
        <w:rPr>
          <w:rFonts w:eastAsiaTheme="minorHAnsi"/>
        </w:rPr>
        <w:t>ањ</w:t>
      </w:r>
      <w:r w:rsidR="00EE6AA2">
        <w:rPr>
          <w:rFonts w:eastAsiaTheme="minorHAnsi"/>
        </w:rPr>
        <w:t>е</w:t>
      </w:r>
      <w:r w:rsidR="00C43F88" w:rsidRPr="00F6340E">
        <w:rPr>
          <w:rFonts w:eastAsiaTheme="minorHAnsi"/>
        </w:rPr>
        <w:t xml:space="preserve"> </w:t>
      </w:r>
      <w:r w:rsidR="0071360A">
        <w:rPr>
          <w:rFonts w:eastAsiaTheme="minorHAnsi"/>
        </w:rPr>
        <w:t>с</w:t>
      </w:r>
      <w:r>
        <w:rPr>
          <w:rFonts w:eastAsiaTheme="minorHAnsi"/>
        </w:rPr>
        <w:t>ад</w:t>
      </w:r>
      <w:r w:rsidR="0071360A">
        <w:rPr>
          <w:rFonts w:eastAsiaTheme="minorHAnsi"/>
        </w:rPr>
        <w:t>р</w:t>
      </w:r>
      <w:r w:rsidR="00171F00">
        <w:rPr>
          <w:rFonts w:eastAsiaTheme="minorHAnsi"/>
        </w:rPr>
        <w:t>ж</w:t>
      </w:r>
      <w:r>
        <w:rPr>
          <w:rFonts w:eastAsiaTheme="minorHAnsi"/>
        </w:rPr>
        <w:t>аја</w:t>
      </w:r>
      <w:r w:rsidR="00C43F88" w:rsidRPr="00F6340E">
        <w:rPr>
          <w:rFonts w:eastAsiaTheme="minorHAnsi"/>
        </w:rPr>
        <w:t xml:space="preserve"> </w:t>
      </w:r>
      <w:r>
        <w:rPr>
          <w:rFonts w:eastAsiaTheme="minorHAnsi"/>
        </w:rPr>
        <w:t>и</w:t>
      </w:r>
      <w:r w:rsidR="00C43F88" w:rsidRPr="00F6340E">
        <w:rPr>
          <w:rFonts w:eastAsiaTheme="minorHAnsi"/>
        </w:rPr>
        <w:t xml:space="preserve"> </w:t>
      </w:r>
      <w:r>
        <w:rPr>
          <w:rFonts w:eastAsiaTheme="minorHAnsi"/>
        </w:rPr>
        <w:t>кон</w:t>
      </w:r>
      <w:r w:rsidR="0071360A">
        <w:rPr>
          <w:rFonts w:eastAsiaTheme="minorHAnsi"/>
        </w:rPr>
        <w:t>тр</w:t>
      </w:r>
      <w:r>
        <w:rPr>
          <w:rFonts w:eastAsiaTheme="minorHAnsi"/>
        </w:rPr>
        <w:t>ол</w:t>
      </w:r>
      <w:r w:rsidR="0071360A">
        <w:rPr>
          <w:rFonts w:eastAsiaTheme="minorHAnsi"/>
        </w:rPr>
        <w:t>у</w:t>
      </w:r>
      <w:r w:rsidR="00C43F88" w:rsidRPr="00F6340E">
        <w:rPr>
          <w:rFonts w:eastAsiaTheme="minorHAnsi"/>
        </w:rPr>
        <w:t xml:space="preserve"> </w:t>
      </w:r>
      <w:r w:rsidR="0071360A">
        <w:rPr>
          <w:rFonts w:eastAsiaTheme="minorHAnsi"/>
        </w:rPr>
        <w:t>с</w:t>
      </w:r>
      <w:r>
        <w:rPr>
          <w:rFonts w:eastAsiaTheme="minorHAnsi"/>
        </w:rPr>
        <w:t>аоб</w:t>
      </w:r>
      <w:r w:rsidR="0071360A">
        <w:rPr>
          <w:rFonts w:eastAsiaTheme="minorHAnsi"/>
        </w:rPr>
        <w:t>р</w:t>
      </w:r>
      <w:r>
        <w:rPr>
          <w:rFonts w:eastAsiaTheme="minorHAnsi"/>
        </w:rPr>
        <w:t>аћаја</w:t>
      </w:r>
      <w:r w:rsidR="00C43F88" w:rsidRPr="00F6340E">
        <w:rPr>
          <w:rFonts w:eastAsiaTheme="minorHAnsi"/>
        </w:rPr>
        <w:t xml:space="preserve"> </w:t>
      </w:r>
      <w:r w:rsidR="0071360A">
        <w:rPr>
          <w:rFonts w:eastAsiaTheme="minorHAnsi"/>
        </w:rPr>
        <w:t>пр</w:t>
      </w:r>
      <w:r>
        <w:rPr>
          <w:rFonts w:eastAsiaTheme="minorHAnsi"/>
        </w:rPr>
        <w:t>иликом</w:t>
      </w:r>
      <w:r w:rsidR="00C43F88" w:rsidRPr="00F6340E">
        <w:rPr>
          <w:rFonts w:eastAsiaTheme="minorHAnsi"/>
        </w:rPr>
        <w:t xml:space="preserve"> </w:t>
      </w:r>
      <w:r w:rsidR="0071360A">
        <w:rPr>
          <w:rFonts w:eastAsiaTheme="minorHAnsi"/>
        </w:rPr>
        <w:t>пр</w:t>
      </w:r>
      <w:r>
        <w:rPr>
          <w:rFonts w:eastAsiaTheme="minorHAnsi"/>
        </w:rPr>
        <w:t>и</w:t>
      </w:r>
      <w:r w:rsidR="0071360A">
        <w:rPr>
          <w:rFonts w:eastAsiaTheme="minorHAnsi"/>
        </w:rPr>
        <w:t>ступ</w:t>
      </w:r>
      <w:r>
        <w:rPr>
          <w:rFonts w:eastAsiaTheme="minorHAnsi"/>
        </w:rPr>
        <w:t>а</w:t>
      </w:r>
      <w:r w:rsidR="00C43F88" w:rsidRPr="00F6340E">
        <w:rPr>
          <w:rFonts w:eastAsiaTheme="minorHAnsi"/>
        </w:rPr>
        <w:t xml:space="preserve"> </w:t>
      </w:r>
      <w:r>
        <w:rPr>
          <w:rFonts w:eastAsiaTheme="minorHAnsi"/>
        </w:rPr>
        <w:t>Ин</w:t>
      </w:r>
      <w:r w:rsidR="0071360A">
        <w:rPr>
          <w:rFonts w:eastAsiaTheme="minorHAnsi"/>
        </w:rPr>
        <w:t>т</w:t>
      </w:r>
      <w:r w:rsidR="00EE6AA2">
        <w:rPr>
          <w:rFonts w:eastAsiaTheme="minorHAnsi"/>
        </w:rPr>
        <w:t>е</w:t>
      </w:r>
      <w:r w:rsidR="0071360A">
        <w:rPr>
          <w:rFonts w:eastAsiaTheme="minorHAnsi"/>
        </w:rPr>
        <w:t>р</w:t>
      </w:r>
      <w:r>
        <w:rPr>
          <w:rFonts w:eastAsiaTheme="minorHAnsi"/>
        </w:rPr>
        <w:t>н</w:t>
      </w:r>
      <w:r w:rsidR="00EE6AA2">
        <w:rPr>
          <w:rFonts w:eastAsiaTheme="minorHAnsi"/>
        </w:rPr>
        <w:t>е</w:t>
      </w:r>
      <w:r w:rsidR="0071360A">
        <w:rPr>
          <w:rFonts w:eastAsiaTheme="minorHAnsi"/>
        </w:rPr>
        <w:t>ту</w:t>
      </w:r>
      <w:r w:rsidR="00C43F88" w:rsidRPr="00F6340E">
        <w:rPr>
          <w:rFonts w:eastAsiaTheme="minorHAnsi"/>
        </w:rPr>
        <w:t xml:space="preserve">, </w:t>
      </w:r>
      <w:r>
        <w:rPr>
          <w:rFonts w:eastAsiaTheme="minorHAnsi"/>
        </w:rPr>
        <w:t>било</w:t>
      </w:r>
      <w:r w:rsidR="00C43F88" w:rsidRPr="00F6340E">
        <w:rPr>
          <w:rFonts w:eastAsiaTheme="minorHAnsi"/>
        </w:rPr>
        <w:t xml:space="preserve"> </w:t>
      </w:r>
      <w:r w:rsidR="0071360A">
        <w:rPr>
          <w:rFonts w:eastAsiaTheme="minorHAnsi"/>
        </w:rPr>
        <w:t>с</w:t>
      </w:r>
      <w:r>
        <w:rPr>
          <w:rFonts w:eastAsiaTheme="minorHAnsi"/>
        </w:rPr>
        <w:t>а</w:t>
      </w:r>
      <w:r w:rsidR="00C43F88" w:rsidRPr="00F6340E">
        <w:rPr>
          <w:rFonts w:eastAsiaTheme="minorHAnsi"/>
        </w:rPr>
        <w:t xml:space="preserve"> </w:t>
      </w:r>
      <w:r w:rsidR="0071360A">
        <w:rPr>
          <w:rFonts w:eastAsiaTheme="minorHAnsi"/>
        </w:rPr>
        <w:t>р</w:t>
      </w:r>
      <w:r>
        <w:rPr>
          <w:rFonts w:eastAsiaTheme="minorHAnsi"/>
        </w:rPr>
        <w:t>ач</w:t>
      </w:r>
      <w:r w:rsidR="0071360A">
        <w:rPr>
          <w:rFonts w:eastAsiaTheme="minorHAnsi"/>
        </w:rPr>
        <w:t>у</w:t>
      </w:r>
      <w:r>
        <w:rPr>
          <w:rFonts w:eastAsiaTheme="minorHAnsi"/>
        </w:rPr>
        <w:t>на</w:t>
      </w:r>
      <w:r w:rsidR="0071360A">
        <w:rPr>
          <w:rFonts w:eastAsiaTheme="minorHAnsi"/>
        </w:rPr>
        <w:t>р</w:t>
      </w:r>
      <w:r>
        <w:rPr>
          <w:rFonts w:eastAsiaTheme="minorHAnsi"/>
        </w:rPr>
        <w:t>а</w:t>
      </w:r>
      <w:r w:rsidR="00C43F88" w:rsidRPr="00F6340E">
        <w:rPr>
          <w:rFonts w:eastAsiaTheme="minorHAnsi"/>
        </w:rPr>
        <w:t xml:space="preserve"> </w:t>
      </w:r>
      <w:r>
        <w:rPr>
          <w:rFonts w:eastAsiaTheme="minorHAnsi"/>
        </w:rPr>
        <w:t>или</w:t>
      </w:r>
      <w:r w:rsidR="00C43F88" w:rsidRPr="00F6340E">
        <w:rPr>
          <w:rFonts w:eastAsiaTheme="minorHAnsi"/>
        </w:rPr>
        <w:t xml:space="preserve"> </w:t>
      </w:r>
      <w:r>
        <w:rPr>
          <w:rFonts w:eastAsiaTheme="minorHAnsi"/>
        </w:rPr>
        <w:t>мобилног</w:t>
      </w:r>
      <w:r w:rsidR="00C43F88" w:rsidRPr="00F6340E">
        <w:rPr>
          <w:rFonts w:eastAsiaTheme="minorHAnsi"/>
        </w:rPr>
        <w:t xml:space="preserve"> </w:t>
      </w:r>
      <w:r w:rsidR="0071360A">
        <w:rPr>
          <w:rFonts w:eastAsiaTheme="minorHAnsi"/>
        </w:rPr>
        <w:t>ур</w:t>
      </w:r>
      <w:r w:rsidR="00EE6AA2">
        <w:rPr>
          <w:rFonts w:eastAsiaTheme="minorHAnsi"/>
        </w:rPr>
        <w:t>е</w:t>
      </w:r>
      <w:r>
        <w:rPr>
          <w:rFonts w:eastAsiaTheme="minorHAnsi"/>
        </w:rPr>
        <w:t>ђаја</w:t>
      </w:r>
      <w:r w:rsidR="00C43F88" w:rsidRPr="00F6340E">
        <w:rPr>
          <w:rFonts w:eastAsiaTheme="minorHAnsi"/>
        </w:rPr>
        <w:t xml:space="preserve">. </w:t>
      </w:r>
      <w:r w:rsidR="0071360A">
        <w:rPr>
          <w:rFonts w:eastAsiaTheme="minorHAnsi"/>
        </w:rPr>
        <w:t>С</w:t>
      </w:r>
      <w:r>
        <w:rPr>
          <w:rFonts w:eastAsiaTheme="minorHAnsi"/>
        </w:rPr>
        <w:t>оф</w:t>
      </w:r>
      <w:r w:rsidR="0071360A">
        <w:rPr>
          <w:rFonts w:eastAsiaTheme="minorHAnsi"/>
        </w:rPr>
        <w:t>тв</w:t>
      </w:r>
      <w:r w:rsidR="00EE6AA2">
        <w:rPr>
          <w:rFonts w:eastAsiaTheme="minorHAnsi"/>
        </w:rPr>
        <w:t>е</w:t>
      </w:r>
      <w:r w:rsidR="0071360A">
        <w:rPr>
          <w:rFonts w:eastAsiaTheme="minorHAnsi"/>
        </w:rPr>
        <w:t>р</w:t>
      </w:r>
      <w:r w:rsidR="00C43F88" w:rsidRPr="00F6340E">
        <w:rPr>
          <w:rFonts w:eastAsiaTheme="minorHAnsi"/>
        </w:rPr>
        <w:t xml:space="preserve"> </w:t>
      </w:r>
      <w:r w:rsidR="0071360A">
        <w:rPr>
          <w:rFonts w:eastAsiaTheme="minorHAnsi"/>
        </w:rPr>
        <w:t>тр</w:t>
      </w:r>
      <w:r w:rsidR="00EE6AA2">
        <w:rPr>
          <w:rFonts w:eastAsiaTheme="minorHAnsi"/>
        </w:rPr>
        <w:t>е</w:t>
      </w:r>
      <w:r>
        <w:rPr>
          <w:rFonts w:eastAsiaTheme="minorHAnsi"/>
        </w:rPr>
        <w:t>ба</w:t>
      </w:r>
      <w:r w:rsidR="00C43F88" w:rsidRPr="00F6340E">
        <w:rPr>
          <w:rFonts w:eastAsiaTheme="minorHAnsi"/>
        </w:rPr>
        <w:t xml:space="preserve"> </w:t>
      </w:r>
      <w:r>
        <w:rPr>
          <w:rFonts w:eastAsiaTheme="minorHAnsi"/>
        </w:rPr>
        <w:t>би</w:t>
      </w:r>
      <w:r w:rsidR="0071360A">
        <w:rPr>
          <w:rFonts w:eastAsiaTheme="minorHAnsi"/>
        </w:rPr>
        <w:t>т</w:t>
      </w:r>
      <w:r>
        <w:rPr>
          <w:rFonts w:eastAsiaTheme="minorHAnsi"/>
        </w:rPr>
        <w:t>и</w:t>
      </w:r>
      <w:r w:rsidR="00C43F88" w:rsidRPr="00F6340E">
        <w:rPr>
          <w:rFonts w:eastAsiaTheme="minorHAnsi"/>
        </w:rPr>
        <w:t xml:space="preserve"> </w:t>
      </w:r>
      <w:r>
        <w:rPr>
          <w:rFonts w:eastAsiaTheme="minorHAnsi"/>
        </w:rPr>
        <w:t>лиц</w:t>
      </w:r>
      <w:r w:rsidR="00EE6AA2">
        <w:rPr>
          <w:rFonts w:eastAsiaTheme="minorHAnsi"/>
        </w:rPr>
        <w:t>е</w:t>
      </w:r>
      <w:r>
        <w:rPr>
          <w:rFonts w:eastAsiaTheme="minorHAnsi"/>
        </w:rPr>
        <w:t>нци</w:t>
      </w:r>
      <w:r w:rsidR="0071360A">
        <w:rPr>
          <w:rFonts w:eastAsiaTheme="minorHAnsi"/>
        </w:rPr>
        <w:t>р</w:t>
      </w:r>
      <w:r>
        <w:rPr>
          <w:rFonts w:eastAsiaTheme="minorHAnsi"/>
        </w:rPr>
        <w:t>ан</w:t>
      </w:r>
      <w:r w:rsidR="00C43F88" w:rsidRPr="00F6340E">
        <w:rPr>
          <w:rFonts w:eastAsiaTheme="minorHAnsi"/>
        </w:rPr>
        <w:t xml:space="preserve"> (</w:t>
      </w:r>
      <w:r>
        <w:rPr>
          <w:rFonts w:eastAsiaTheme="minorHAnsi"/>
        </w:rPr>
        <w:t>лиц</w:t>
      </w:r>
      <w:r w:rsidR="00EE6AA2">
        <w:rPr>
          <w:rFonts w:eastAsiaTheme="minorHAnsi"/>
        </w:rPr>
        <w:t>е</w:t>
      </w:r>
      <w:r>
        <w:rPr>
          <w:rFonts w:eastAsiaTheme="minorHAnsi"/>
        </w:rPr>
        <w:t>нци</w:t>
      </w:r>
      <w:r w:rsidR="0071360A">
        <w:rPr>
          <w:rFonts w:eastAsiaTheme="minorHAnsi"/>
        </w:rPr>
        <w:t>р</w:t>
      </w:r>
      <w:r>
        <w:rPr>
          <w:rFonts w:eastAsiaTheme="minorHAnsi"/>
        </w:rPr>
        <w:t>ањ</w:t>
      </w:r>
      <w:r w:rsidR="00EE6AA2">
        <w:rPr>
          <w:rFonts w:eastAsiaTheme="minorHAnsi"/>
        </w:rPr>
        <w:t>е</w:t>
      </w:r>
      <w:r w:rsidR="00C43F88" w:rsidRPr="00F6340E">
        <w:rPr>
          <w:rFonts w:eastAsiaTheme="minorHAnsi"/>
        </w:rPr>
        <w:t xml:space="preserve"> </w:t>
      </w:r>
      <w:r w:rsidR="00171F00">
        <w:rPr>
          <w:rFonts w:eastAsiaTheme="minorHAnsi"/>
        </w:rPr>
        <w:t>з</w:t>
      </w:r>
      <w:r>
        <w:rPr>
          <w:rFonts w:eastAsiaTheme="minorHAnsi"/>
        </w:rPr>
        <w:t>а</w:t>
      </w:r>
      <w:r w:rsidR="00C43F88" w:rsidRPr="00F6340E">
        <w:rPr>
          <w:rFonts w:eastAsiaTheme="minorHAnsi"/>
        </w:rPr>
        <w:t xml:space="preserve"> </w:t>
      </w:r>
      <w:r>
        <w:rPr>
          <w:rFonts w:eastAsiaTheme="minorHAnsi"/>
        </w:rPr>
        <w:t>об</w:t>
      </w:r>
      <w:r w:rsidR="0071360A">
        <w:rPr>
          <w:rFonts w:eastAsiaTheme="minorHAnsi"/>
        </w:rPr>
        <w:t>р</w:t>
      </w:r>
      <w:r>
        <w:rPr>
          <w:rFonts w:eastAsiaTheme="minorHAnsi"/>
        </w:rPr>
        <w:t>а</w:t>
      </w:r>
      <w:r w:rsidR="00171F00">
        <w:rPr>
          <w:rFonts w:eastAsiaTheme="minorHAnsi"/>
        </w:rPr>
        <w:t>з</w:t>
      </w:r>
      <w:r>
        <w:rPr>
          <w:rFonts w:eastAsiaTheme="minorHAnsi"/>
        </w:rPr>
        <w:t>о</w:t>
      </w:r>
      <w:r w:rsidR="0071360A">
        <w:rPr>
          <w:rFonts w:eastAsiaTheme="minorHAnsi"/>
        </w:rPr>
        <w:t>в</w:t>
      </w:r>
      <w:r>
        <w:rPr>
          <w:rFonts w:eastAsiaTheme="minorHAnsi"/>
        </w:rPr>
        <w:t>н</w:t>
      </w:r>
      <w:r w:rsidR="00EE6AA2">
        <w:rPr>
          <w:rFonts w:eastAsiaTheme="minorHAnsi"/>
        </w:rPr>
        <w:t>е</w:t>
      </w:r>
      <w:r w:rsidR="00C43F88" w:rsidRPr="00F6340E">
        <w:rPr>
          <w:rFonts w:eastAsiaTheme="minorHAnsi"/>
        </w:rPr>
        <w:t xml:space="preserve"> </w:t>
      </w:r>
      <w:r>
        <w:rPr>
          <w:rFonts w:eastAsiaTheme="minorHAnsi"/>
        </w:rPr>
        <w:t>ин</w:t>
      </w:r>
      <w:r w:rsidR="0071360A">
        <w:rPr>
          <w:rFonts w:eastAsiaTheme="minorHAnsi"/>
        </w:rPr>
        <w:t>ст</w:t>
      </w:r>
      <w:r>
        <w:rPr>
          <w:rFonts w:eastAsiaTheme="minorHAnsi"/>
        </w:rPr>
        <w:t>и</w:t>
      </w:r>
      <w:r w:rsidR="0071360A">
        <w:rPr>
          <w:rFonts w:eastAsiaTheme="minorHAnsi"/>
        </w:rPr>
        <w:t>ту</w:t>
      </w:r>
      <w:r>
        <w:rPr>
          <w:rFonts w:eastAsiaTheme="minorHAnsi"/>
        </w:rPr>
        <w:t>циј</w:t>
      </w:r>
      <w:r w:rsidR="00EE6AA2">
        <w:rPr>
          <w:rFonts w:eastAsiaTheme="minorHAnsi"/>
        </w:rPr>
        <w:t>е</w:t>
      </w:r>
      <w:r w:rsidR="00C43F88" w:rsidRPr="00F6340E">
        <w:rPr>
          <w:rFonts w:eastAsiaTheme="minorHAnsi"/>
        </w:rPr>
        <w:t xml:space="preserve">) </w:t>
      </w:r>
      <w:r>
        <w:rPr>
          <w:rFonts w:eastAsiaTheme="minorHAnsi"/>
        </w:rPr>
        <w:t>или</w:t>
      </w:r>
      <w:r w:rsidR="00C43F88" w:rsidRPr="00F6340E">
        <w:rPr>
          <w:rFonts w:eastAsiaTheme="minorHAnsi"/>
        </w:rPr>
        <w:t xml:space="preserve"> </w:t>
      </w:r>
      <w:r w:rsidR="000010C5">
        <w:rPr>
          <w:rFonts w:eastAsiaTheme="minorHAnsi"/>
        </w:rPr>
        <w:t>опенсорс</w:t>
      </w:r>
      <w:r w:rsidR="00C43F88" w:rsidRPr="00F6340E">
        <w:rPr>
          <w:rFonts w:eastAsiaTheme="minorHAnsi"/>
        </w:rPr>
        <w:t xml:space="preserve"> </w:t>
      </w:r>
      <w:r>
        <w:rPr>
          <w:rFonts w:eastAsiaTheme="minorHAnsi"/>
        </w:rPr>
        <w:t>како</w:t>
      </w:r>
      <w:r w:rsidR="00C43F88" w:rsidRPr="00F6340E">
        <w:rPr>
          <w:rFonts w:eastAsiaTheme="minorHAnsi"/>
        </w:rPr>
        <w:t xml:space="preserve"> </w:t>
      </w:r>
      <w:r>
        <w:rPr>
          <w:rFonts w:eastAsiaTheme="minorHAnsi"/>
        </w:rPr>
        <w:t>би</w:t>
      </w:r>
      <w:r w:rsidR="00C43F88" w:rsidRPr="00F6340E">
        <w:rPr>
          <w:rFonts w:eastAsiaTheme="minorHAnsi"/>
        </w:rPr>
        <w:t xml:space="preserve"> </w:t>
      </w:r>
      <w:r>
        <w:rPr>
          <w:rFonts w:eastAsiaTheme="minorHAnsi"/>
        </w:rPr>
        <w:t>ко</w:t>
      </w:r>
      <w:r w:rsidR="0071360A">
        <w:rPr>
          <w:rFonts w:eastAsiaTheme="minorHAnsi"/>
        </w:rPr>
        <w:t>р</w:t>
      </w:r>
      <w:r>
        <w:rPr>
          <w:rFonts w:eastAsiaTheme="minorHAnsi"/>
        </w:rPr>
        <w:t>и</w:t>
      </w:r>
      <w:r w:rsidR="0071360A">
        <w:rPr>
          <w:rFonts w:eastAsiaTheme="minorHAnsi"/>
        </w:rPr>
        <w:t>с</w:t>
      </w:r>
      <w:r>
        <w:rPr>
          <w:rFonts w:eastAsiaTheme="minorHAnsi"/>
        </w:rPr>
        <w:t>ници</w:t>
      </w:r>
      <w:r w:rsidR="00C43F88" w:rsidRPr="00F6340E">
        <w:rPr>
          <w:rFonts w:eastAsiaTheme="minorHAnsi"/>
        </w:rPr>
        <w:t xml:space="preserve"> </w:t>
      </w:r>
      <w:r>
        <w:rPr>
          <w:rFonts w:eastAsiaTheme="minorHAnsi"/>
        </w:rPr>
        <w:t>могли</w:t>
      </w:r>
      <w:r w:rsidR="00C43F88" w:rsidRPr="00F6340E">
        <w:rPr>
          <w:rFonts w:eastAsiaTheme="minorHAnsi"/>
        </w:rPr>
        <w:t xml:space="preserve"> </w:t>
      </w:r>
      <w:r w:rsidR="0071360A">
        <w:rPr>
          <w:rFonts w:eastAsiaTheme="minorHAnsi"/>
        </w:rPr>
        <w:t>уп</w:t>
      </w:r>
      <w:r>
        <w:rPr>
          <w:rFonts w:eastAsiaTheme="minorHAnsi"/>
        </w:rPr>
        <w:t>о</w:t>
      </w:r>
      <w:r w:rsidR="0071360A">
        <w:rPr>
          <w:rFonts w:eastAsiaTheme="minorHAnsi"/>
        </w:rPr>
        <w:t>тр</w:t>
      </w:r>
      <w:r>
        <w:rPr>
          <w:rFonts w:eastAsiaTheme="minorHAnsi"/>
        </w:rPr>
        <w:t>иј</w:t>
      </w:r>
      <w:r w:rsidR="00EE6AA2">
        <w:rPr>
          <w:rFonts w:eastAsiaTheme="minorHAnsi"/>
        </w:rPr>
        <w:t>е</w:t>
      </w:r>
      <w:r>
        <w:rPr>
          <w:rFonts w:eastAsiaTheme="minorHAnsi"/>
        </w:rPr>
        <w:t>би</w:t>
      </w:r>
      <w:r w:rsidR="0071360A">
        <w:rPr>
          <w:rFonts w:eastAsiaTheme="minorHAnsi"/>
        </w:rPr>
        <w:t>т</w:t>
      </w:r>
      <w:r>
        <w:rPr>
          <w:rFonts w:eastAsiaTheme="minorHAnsi"/>
        </w:rPr>
        <w:t>и</w:t>
      </w:r>
      <w:r w:rsidR="004B0FCD" w:rsidRPr="00F6340E">
        <w:rPr>
          <w:rFonts w:eastAsiaTheme="minorHAnsi"/>
        </w:rPr>
        <w:t xml:space="preserve"> </w:t>
      </w:r>
      <w:r w:rsidR="0071360A">
        <w:rPr>
          <w:rFonts w:eastAsiaTheme="minorHAnsi"/>
        </w:rPr>
        <w:t>св</w:t>
      </w:r>
      <w:r w:rsidR="00EE6AA2">
        <w:rPr>
          <w:rFonts w:eastAsiaTheme="minorHAnsi"/>
        </w:rPr>
        <w:t>е</w:t>
      </w:r>
      <w:r w:rsidR="00C43F88" w:rsidRPr="00F6340E">
        <w:rPr>
          <w:rFonts w:eastAsiaTheme="minorHAnsi"/>
        </w:rPr>
        <w:t xml:space="preserve"> </w:t>
      </w:r>
      <w:r>
        <w:rPr>
          <w:rFonts w:eastAsiaTheme="minorHAnsi"/>
        </w:rPr>
        <w:t>а</w:t>
      </w:r>
      <w:r w:rsidR="0071360A">
        <w:rPr>
          <w:rFonts w:eastAsiaTheme="minorHAnsi"/>
        </w:rPr>
        <w:t>п</w:t>
      </w:r>
      <w:r>
        <w:rPr>
          <w:rFonts w:eastAsiaTheme="minorHAnsi"/>
        </w:rPr>
        <w:t>ликациј</w:t>
      </w:r>
      <w:r w:rsidR="00EE6AA2">
        <w:rPr>
          <w:rFonts w:eastAsiaTheme="minorHAnsi"/>
        </w:rPr>
        <w:t>е</w:t>
      </w:r>
      <w:r w:rsidR="00C43F88" w:rsidRPr="00F6340E">
        <w:rPr>
          <w:rFonts w:eastAsiaTheme="minorHAnsi"/>
        </w:rPr>
        <w:t xml:space="preserve"> </w:t>
      </w:r>
      <w:r w:rsidR="0071360A">
        <w:rPr>
          <w:rFonts w:eastAsiaTheme="minorHAnsi"/>
        </w:rPr>
        <w:t>у</w:t>
      </w:r>
      <w:r w:rsidR="00C43F88" w:rsidRPr="00F6340E">
        <w:rPr>
          <w:rFonts w:eastAsiaTheme="minorHAnsi"/>
        </w:rPr>
        <w:t xml:space="preserve"> </w:t>
      </w:r>
      <w:r w:rsidR="0071360A">
        <w:rPr>
          <w:rFonts w:eastAsiaTheme="minorHAnsi"/>
        </w:rPr>
        <w:t>пу</w:t>
      </w:r>
      <w:r>
        <w:rPr>
          <w:rFonts w:eastAsiaTheme="minorHAnsi"/>
        </w:rPr>
        <w:t>ном</w:t>
      </w:r>
      <w:r w:rsidR="00C43F88" w:rsidRPr="00F6340E">
        <w:rPr>
          <w:rFonts w:eastAsiaTheme="minorHAnsi"/>
        </w:rPr>
        <w:t xml:space="preserve"> </w:t>
      </w:r>
      <w:r>
        <w:rPr>
          <w:rFonts w:eastAsiaTheme="minorHAnsi"/>
        </w:rPr>
        <w:t>ка</w:t>
      </w:r>
      <w:r w:rsidR="0071360A">
        <w:rPr>
          <w:rFonts w:eastAsiaTheme="minorHAnsi"/>
        </w:rPr>
        <w:t>п</w:t>
      </w:r>
      <w:r>
        <w:rPr>
          <w:rFonts w:eastAsiaTheme="minorHAnsi"/>
        </w:rPr>
        <w:t>аци</w:t>
      </w:r>
      <w:r w:rsidR="0071360A">
        <w:rPr>
          <w:rFonts w:eastAsiaTheme="minorHAnsi"/>
        </w:rPr>
        <w:t>т</w:t>
      </w:r>
      <w:r w:rsidR="00EE6AA2">
        <w:rPr>
          <w:rFonts w:eastAsiaTheme="minorHAnsi"/>
        </w:rPr>
        <w:t>е</w:t>
      </w:r>
      <w:r w:rsidR="0071360A">
        <w:rPr>
          <w:rFonts w:eastAsiaTheme="minorHAnsi"/>
        </w:rPr>
        <w:t>ту</w:t>
      </w:r>
      <w:r w:rsidR="00C43F88" w:rsidRPr="00F6340E">
        <w:rPr>
          <w:rFonts w:eastAsiaTheme="minorHAnsi"/>
        </w:rPr>
        <w:t xml:space="preserve">. </w:t>
      </w:r>
      <w:r>
        <w:rPr>
          <w:rFonts w:eastAsiaTheme="minorHAnsi"/>
        </w:rPr>
        <w:t>Одаб</w:t>
      </w:r>
      <w:r w:rsidR="0071360A">
        <w:rPr>
          <w:rFonts w:eastAsiaTheme="minorHAnsi"/>
        </w:rPr>
        <w:t>р</w:t>
      </w:r>
      <w:r>
        <w:rPr>
          <w:rFonts w:eastAsiaTheme="minorHAnsi"/>
        </w:rPr>
        <w:t>ан</w:t>
      </w:r>
      <w:r w:rsidR="00EE6AA2">
        <w:rPr>
          <w:rFonts w:eastAsiaTheme="minorHAnsi"/>
        </w:rPr>
        <w:t>е</w:t>
      </w:r>
      <w:r w:rsidR="00C43F88" w:rsidRPr="00F6340E">
        <w:rPr>
          <w:rFonts w:eastAsiaTheme="minorHAnsi"/>
        </w:rPr>
        <w:t xml:space="preserve"> </w:t>
      </w:r>
      <w:r w:rsidR="0071360A">
        <w:rPr>
          <w:rFonts w:eastAsiaTheme="minorHAnsi"/>
        </w:rPr>
        <w:t>п</w:t>
      </w:r>
      <w:r>
        <w:rPr>
          <w:rFonts w:eastAsiaTheme="minorHAnsi"/>
        </w:rPr>
        <w:t>ла</w:t>
      </w:r>
      <w:r w:rsidR="0071360A">
        <w:rPr>
          <w:rFonts w:eastAsiaTheme="minorHAnsi"/>
        </w:rPr>
        <w:t>т</w:t>
      </w:r>
      <w:r>
        <w:rPr>
          <w:rFonts w:eastAsiaTheme="minorHAnsi"/>
        </w:rPr>
        <w:t>фо</w:t>
      </w:r>
      <w:r w:rsidR="0071360A">
        <w:rPr>
          <w:rFonts w:eastAsiaTheme="minorHAnsi"/>
        </w:rPr>
        <w:t>р</w:t>
      </w:r>
      <w:r>
        <w:rPr>
          <w:rFonts w:eastAsiaTheme="minorHAnsi"/>
        </w:rPr>
        <w:t>м</w:t>
      </w:r>
      <w:r w:rsidR="00EE6AA2">
        <w:rPr>
          <w:rFonts w:eastAsiaTheme="minorHAnsi"/>
        </w:rPr>
        <w:t>е</w:t>
      </w:r>
      <w:r w:rsidR="00C43F88" w:rsidRPr="00F6340E">
        <w:rPr>
          <w:rFonts w:eastAsiaTheme="minorHAnsi"/>
        </w:rPr>
        <w:t xml:space="preserve"> </w:t>
      </w:r>
      <w:r>
        <w:rPr>
          <w:rFonts w:eastAsiaTheme="minorHAnsi"/>
        </w:rPr>
        <w:t>и</w:t>
      </w:r>
      <w:r w:rsidR="00C43F88" w:rsidRPr="00F6340E">
        <w:rPr>
          <w:rFonts w:eastAsiaTheme="minorHAnsi"/>
        </w:rPr>
        <w:t>/</w:t>
      </w:r>
      <w:r>
        <w:rPr>
          <w:rFonts w:eastAsiaTheme="minorHAnsi"/>
        </w:rPr>
        <w:t>или</w:t>
      </w:r>
      <w:r w:rsidR="00C43F88" w:rsidRPr="00F6340E">
        <w:rPr>
          <w:rFonts w:eastAsiaTheme="minorHAnsi"/>
        </w:rPr>
        <w:t xml:space="preserve"> </w:t>
      </w:r>
      <w:r>
        <w:rPr>
          <w:rFonts w:eastAsiaTheme="minorHAnsi"/>
        </w:rPr>
        <w:t>ЛМ</w:t>
      </w:r>
      <w:r w:rsidR="0071360A">
        <w:rPr>
          <w:rFonts w:eastAsiaTheme="minorHAnsi"/>
        </w:rPr>
        <w:t>С</w:t>
      </w:r>
      <w:r w:rsidR="00C43F88" w:rsidRPr="00F6340E">
        <w:rPr>
          <w:rFonts w:eastAsiaTheme="minorHAnsi"/>
        </w:rPr>
        <w:t xml:space="preserve"> </w:t>
      </w:r>
      <w:r w:rsidR="0071360A">
        <w:rPr>
          <w:rFonts w:eastAsiaTheme="minorHAnsi"/>
        </w:rPr>
        <w:t>р</w:t>
      </w:r>
      <w:r>
        <w:rPr>
          <w:rFonts w:eastAsiaTheme="minorHAnsi"/>
        </w:rPr>
        <w:t>ј</w:t>
      </w:r>
      <w:r w:rsidR="00EE6AA2">
        <w:rPr>
          <w:rFonts w:eastAsiaTheme="minorHAnsi"/>
        </w:rPr>
        <w:t>е</w:t>
      </w:r>
      <w:r w:rsidR="0071360A">
        <w:rPr>
          <w:rFonts w:eastAsiaTheme="minorHAnsi"/>
        </w:rPr>
        <w:t>ш</w:t>
      </w:r>
      <w:r w:rsidR="00EE6AA2">
        <w:rPr>
          <w:rFonts w:eastAsiaTheme="minorHAnsi"/>
        </w:rPr>
        <w:t>е</w:t>
      </w:r>
      <w:r>
        <w:rPr>
          <w:rFonts w:eastAsiaTheme="minorHAnsi"/>
        </w:rPr>
        <w:t>ња</w:t>
      </w:r>
      <w:r w:rsidR="00C43F88" w:rsidRPr="00F6340E">
        <w:rPr>
          <w:rFonts w:eastAsiaTheme="minorHAnsi"/>
        </w:rPr>
        <w:t xml:space="preserve"> </w:t>
      </w:r>
      <w:r w:rsidR="0071360A">
        <w:rPr>
          <w:rFonts w:eastAsiaTheme="minorHAnsi"/>
        </w:rPr>
        <w:t>т</w:t>
      </w:r>
      <w:r>
        <w:rPr>
          <w:rFonts w:eastAsiaTheme="minorHAnsi"/>
        </w:rPr>
        <w:t>акођ</w:t>
      </w:r>
      <w:r w:rsidR="00EE6AA2">
        <w:rPr>
          <w:rFonts w:eastAsiaTheme="minorHAnsi"/>
        </w:rPr>
        <w:t>е</w:t>
      </w:r>
      <w:r w:rsidR="00C43F88" w:rsidRPr="00F6340E">
        <w:rPr>
          <w:rFonts w:eastAsiaTheme="minorHAnsi"/>
        </w:rPr>
        <w:t xml:space="preserve"> </w:t>
      </w:r>
      <w:r>
        <w:rPr>
          <w:rFonts w:eastAsiaTheme="minorHAnsi"/>
        </w:rPr>
        <w:t>мо</w:t>
      </w:r>
      <w:r w:rsidR="0071360A">
        <w:rPr>
          <w:rFonts w:eastAsiaTheme="minorHAnsi"/>
        </w:rPr>
        <w:t>р</w:t>
      </w:r>
      <w:r>
        <w:rPr>
          <w:rFonts w:eastAsiaTheme="minorHAnsi"/>
        </w:rPr>
        <w:t>ај</w:t>
      </w:r>
      <w:r w:rsidR="0071360A">
        <w:rPr>
          <w:rFonts w:eastAsiaTheme="minorHAnsi"/>
        </w:rPr>
        <w:t>у</w:t>
      </w:r>
      <w:r w:rsidR="00C43F88" w:rsidRPr="00F6340E">
        <w:rPr>
          <w:rFonts w:eastAsiaTheme="minorHAnsi"/>
        </w:rPr>
        <w:t xml:space="preserve"> </w:t>
      </w:r>
      <w:r>
        <w:rPr>
          <w:rFonts w:eastAsiaTheme="minorHAnsi"/>
        </w:rPr>
        <w:t>и</w:t>
      </w:r>
      <w:r w:rsidR="0071360A">
        <w:rPr>
          <w:rFonts w:eastAsiaTheme="minorHAnsi"/>
        </w:rPr>
        <w:t>спу</w:t>
      </w:r>
      <w:r>
        <w:rPr>
          <w:rFonts w:eastAsiaTheme="minorHAnsi"/>
        </w:rPr>
        <w:t>ња</w:t>
      </w:r>
      <w:r w:rsidR="0071360A">
        <w:rPr>
          <w:rFonts w:eastAsiaTheme="minorHAnsi"/>
        </w:rPr>
        <w:t>в</w:t>
      </w:r>
      <w:r>
        <w:rPr>
          <w:rFonts w:eastAsiaTheme="minorHAnsi"/>
        </w:rPr>
        <w:t>а</w:t>
      </w:r>
      <w:r w:rsidR="0071360A">
        <w:rPr>
          <w:rFonts w:eastAsiaTheme="minorHAnsi"/>
        </w:rPr>
        <w:t>т</w:t>
      </w:r>
      <w:r>
        <w:rPr>
          <w:rFonts w:eastAsiaTheme="minorHAnsi"/>
        </w:rPr>
        <w:t>и</w:t>
      </w:r>
      <w:r w:rsidR="00C43F88" w:rsidRPr="00F6340E">
        <w:rPr>
          <w:rFonts w:eastAsiaTheme="minorHAnsi"/>
        </w:rPr>
        <w:t xml:space="preserve"> </w:t>
      </w:r>
      <w:r w:rsidR="0071360A">
        <w:rPr>
          <w:rFonts w:eastAsiaTheme="minorHAnsi"/>
        </w:rPr>
        <w:t>с</w:t>
      </w:r>
      <w:r>
        <w:rPr>
          <w:rFonts w:eastAsiaTheme="minorHAnsi"/>
        </w:rPr>
        <w:t>иг</w:t>
      </w:r>
      <w:r w:rsidR="0071360A">
        <w:rPr>
          <w:rFonts w:eastAsiaTheme="minorHAnsi"/>
        </w:rPr>
        <w:t>ур</w:t>
      </w:r>
      <w:r>
        <w:rPr>
          <w:rFonts w:eastAsiaTheme="minorHAnsi"/>
        </w:rPr>
        <w:t>но</w:t>
      </w:r>
      <w:r w:rsidR="0071360A">
        <w:rPr>
          <w:rFonts w:eastAsiaTheme="minorHAnsi"/>
        </w:rPr>
        <w:t>с</w:t>
      </w:r>
      <w:r>
        <w:rPr>
          <w:rFonts w:eastAsiaTheme="minorHAnsi"/>
        </w:rPr>
        <w:t>н</w:t>
      </w:r>
      <w:r w:rsidR="00EE6AA2">
        <w:rPr>
          <w:rFonts w:eastAsiaTheme="minorHAnsi"/>
        </w:rPr>
        <w:t>е</w:t>
      </w:r>
      <w:r w:rsidR="00C43F88" w:rsidRPr="00F6340E">
        <w:rPr>
          <w:rFonts w:eastAsiaTheme="minorHAnsi"/>
        </w:rPr>
        <w:t xml:space="preserve"> </w:t>
      </w:r>
      <w:r>
        <w:rPr>
          <w:rFonts w:eastAsiaTheme="minorHAnsi"/>
        </w:rPr>
        <w:t>мј</w:t>
      </w:r>
      <w:r w:rsidR="00EE6AA2">
        <w:rPr>
          <w:rFonts w:eastAsiaTheme="minorHAnsi"/>
        </w:rPr>
        <w:t>е</w:t>
      </w:r>
      <w:r w:rsidR="0071360A">
        <w:rPr>
          <w:rFonts w:eastAsiaTheme="minorHAnsi"/>
        </w:rPr>
        <w:t>р</w:t>
      </w:r>
      <w:r w:rsidR="00EE6AA2">
        <w:rPr>
          <w:rFonts w:eastAsiaTheme="minorHAnsi"/>
        </w:rPr>
        <w:t>е</w:t>
      </w:r>
      <w:r w:rsidR="00C43F88" w:rsidRPr="00F6340E">
        <w:rPr>
          <w:rFonts w:eastAsiaTheme="minorHAnsi"/>
        </w:rPr>
        <w:t xml:space="preserve"> </w:t>
      </w:r>
      <w:r w:rsidR="0071360A">
        <w:rPr>
          <w:rFonts w:eastAsiaTheme="minorHAnsi"/>
        </w:rPr>
        <w:t>п</w:t>
      </w:r>
      <w:r>
        <w:rPr>
          <w:rFonts w:eastAsiaTheme="minorHAnsi"/>
        </w:rPr>
        <w:t>о</w:t>
      </w:r>
      <w:r w:rsidR="0071360A">
        <w:rPr>
          <w:rFonts w:eastAsiaTheme="minorHAnsi"/>
        </w:rPr>
        <w:t>пут</w:t>
      </w:r>
      <w:r w:rsidR="00C43F88" w:rsidRPr="00F6340E">
        <w:rPr>
          <w:rFonts w:eastAsiaTheme="minorHAnsi"/>
        </w:rPr>
        <w:t xml:space="preserve"> </w:t>
      </w:r>
      <w:r w:rsidR="00171F00">
        <w:rPr>
          <w:rFonts w:eastAsiaTheme="minorHAnsi"/>
        </w:rPr>
        <w:t>з</w:t>
      </w:r>
      <w:r>
        <w:rPr>
          <w:rFonts w:eastAsiaTheme="minorHAnsi"/>
        </w:rPr>
        <w:t>а</w:t>
      </w:r>
      <w:r w:rsidR="0071360A">
        <w:rPr>
          <w:rFonts w:eastAsiaTheme="minorHAnsi"/>
        </w:rPr>
        <w:t>шт</w:t>
      </w:r>
      <w:r>
        <w:rPr>
          <w:rFonts w:eastAsiaTheme="minorHAnsi"/>
        </w:rPr>
        <w:t>и</w:t>
      </w:r>
      <w:r w:rsidR="0071360A">
        <w:rPr>
          <w:rFonts w:eastAsiaTheme="minorHAnsi"/>
        </w:rPr>
        <w:t>т</w:t>
      </w:r>
      <w:r w:rsidR="00EE6AA2">
        <w:rPr>
          <w:rFonts w:eastAsiaTheme="minorHAnsi"/>
        </w:rPr>
        <w:t>е</w:t>
      </w:r>
      <w:r w:rsidR="00C43F88" w:rsidRPr="00F6340E">
        <w:rPr>
          <w:rFonts w:eastAsiaTheme="minorHAnsi"/>
        </w:rPr>
        <w:t xml:space="preserve"> </w:t>
      </w:r>
      <w:r>
        <w:rPr>
          <w:rFonts w:eastAsiaTheme="minorHAnsi"/>
        </w:rPr>
        <w:t>од</w:t>
      </w:r>
      <w:r w:rsidR="00C43F88" w:rsidRPr="00F6340E">
        <w:rPr>
          <w:rFonts w:eastAsiaTheme="minorHAnsi"/>
        </w:rPr>
        <w:t xml:space="preserve"> </w:t>
      </w:r>
      <w:r>
        <w:rPr>
          <w:rFonts w:eastAsiaTheme="minorHAnsi"/>
        </w:rPr>
        <w:t>к</w:t>
      </w:r>
      <w:r w:rsidR="0071360A">
        <w:rPr>
          <w:rFonts w:eastAsiaTheme="minorHAnsi"/>
        </w:rPr>
        <w:t>р</w:t>
      </w:r>
      <w:r>
        <w:rPr>
          <w:rFonts w:eastAsiaTheme="minorHAnsi"/>
        </w:rPr>
        <w:t>ађ</w:t>
      </w:r>
      <w:r w:rsidR="00EE6AA2">
        <w:rPr>
          <w:rFonts w:eastAsiaTheme="minorHAnsi"/>
        </w:rPr>
        <w:t>е</w:t>
      </w:r>
      <w:r w:rsidR="00C43F88" w:rsidRPr="00F6340E">
        <w:rPr>
          <w:rFonts w:eastAsiaTheme="minorHAnsi"/>
        </w:rPr>
        <w:t xml:space="preserve"> </w:t>
      </w:r>
      <w:r>
        <w:rPr>
          <w:rFonts w:eastAsiaTheme="minorHAnsi"/>
        </w:rPr>
        <w:t>ид</w:t>
      </w:r>
      <w:r w:rsidR="00EE6AA2">
        <w:rPr>
          <w:rFonts w:eastAsiaTheme="minorHAnsi"/>
        </w:rPr>
        <w:t>е</w:t>
      </w:r>
      <w:r>
        <w:rPr>
          <w:rFonts w:eastAsiaTheme="minorHAnsi"/>
        </w:rPr>
        <w:t>н</w:t>
      </w:r>
      <w:r w:rsidR="0071360A">
        <w:rPr>
          <w:rFonts w:eastAsiaTheme="minorHAnsi"/>
        </w:rPr>
        <w:t>т</w:t>
      </w:r>
      <w:r>
        <w:rPr>
          <w:rFonts w:eastAsiaTheme="minorHAnsi"/>
        </w:rPr>
        <w:t>и</w:t>
      </w:r>
      <w:r w:rsidR="0071360A">
        <w:rPr>
          <w:rFonts w:eastAsiaTheme="minorHAnsi"/>
        </w:rPr>
        <w:t>т</w:t>
      </w:r>
      <w:r w:rsidR="00EE6AA2">
        <w:rPr>
          <w:rFonts w:eastAsiaTheme="minorHAnsi"/>
        </w:rPr>
        <w:t>е</w:t>
      </w:r>
      <w:r w:rsidR="0071360A">
        <w:rPr>
          <w:rFonts w:eastAsiaTheme="minorHAnsi"/>
        </w:rPr>
        <w:t>т</w:t>
      </w:r>
      <w:r>
        <w:rPr>
          <w:rFonts w:eastAsiaTheme="minorHAnsi"/>
        </w:rPr>
        <w:t>а</w:t>
      </w:r>
      <w:r w:rsidR="00C43F88" w:rsidRPr="00F6340E">
        <w:rPr>
          <w:rFonts w:eastAsiaTheme="minorHAnsi"/>
        </w:rPr>
        <w:t xml:space="preserve">, </w:t>
      </w:r>
      <w:r>
        <w:rPr>
          <w:rFonts w:eastAsiaTheme="minorHAnsi"/>
        </w:rPr>
        <w:t>било</w:t>
      </w:r>
      <w:r w:rsidR="00C43F88" w:rsidRPr="00F6340E">
        <w:rPr>
          <w:rFonts w:eastAsiaTheme="minorHAnsi"/>
        </w:rPr>
        <w:t xml:space="preserve"> </w:t>
      </w:r>
      <w:r>
        <w:rPr>
          <w:rFonts w:eastAsiaTheme="minorHAnsi"/>
        </w:rPr>
        <w:t>как</w:t>
      </w:r>
      <w:r w:rsidR="0071360A">
        <w:rPr>
          <w:rFonts w:eastAsiaTheme="minorHAnsi"/>
        </w:rPr>
        <w:t>в</w:t>
      </w:r>
      <w:r>
        <w:rPr>
          <w:rFonts w:eastAsiaTheme="minorHAnsi"/>
        </w:rPr>
        <w:t>ог</w:t>
      </w:r>
      <w:r w:rsidR="00C43F88" w:rsidRPr="00F6340E">
        <w:rPr>
          <w:rFonts w:eastAsiaTheme="minorHAnsi"/>
        </w:rPr>
        <w:t xml:space="preserve"> </w:t>
      </w:r>
      <w:r>
        <w:rPr>
          <w:rFonts w:eastAsiaTheme="minorHAnsi"/>
        </w:rPr>
        <w:t>анали</w:t>
      </w:r>
      <w:r w:rsidR="0071360A">
        <w:rPr>
          <w:rFonts w:eastAsiaTheme="minorHAnsi"/>
        </w:rPr>
        <w:t>т</w:t>
      </w:r>
      <w:r>
        <w:rPr>
          <w:rFonts w:eastAsiaTheme="minorHAnsi"/>
        </w:rPr>
        <w:t>ичког</w:t>
      </w:r>
      <w:r w:rsidR="00C43F88" w:rsidRPr="00F6340E">
        <w:rPr>
          <w:rFonts w:eastAsiaTheme="minorHAnsi"/>
        </w:rPr>
        <w:t xml:space="preserve"> </w:t>
      </w:r>
      <w:r w:rsidR="0071360A">
        <w:rPr>
          <w:rFonts w:eastAsiaTheme="minorHAnsi"/>
        </w:rPr>
        <w:t>пр</w:t>
      </w:r>
      <w:r>
        <w:rPr>
          <w:rFonts w:eastAsiaTheme="minorHAnsi"/>
        </w:rPr>
        <w:t>аћ</w:t>
      </w:r>
      <w:r w:rsidR="00EE6AA2">
        <w:rPr>
          <w:rFonts w:eastAsiaTheme="minorHAnsi"/>
        </w:rPr>
        <w:t>е</w:t>
      </w:r>
      <w:r>
        <w:rPr>
          <w:rFonts w:eastAsiaTheme="minorHAnsi"/>
        </w:rPr>
        <w:t>ња</w:t>
      </w:r>
      <w:r w:rsidR="00C43F88" w:rsidRPr="00F6340E">
        <w:rPr>
          <w:rFonts w:eastAsiaTheme="minorHAnsi"/>
        </w:rPr>
        <w:t xml:space="preserve"> </w:t>
      </w:r>
      <w:r>
        <w:rPr>
          <w:rFonts w:eastAsiaTheme="minorHAnsi"/>
        </w:rPr>
        <w:t>ко</w:t>
      </w:r>
      <w:r w:rsidR="0071360A">
        <w:rPr>
          <w:rFonts w:eastAsiaTheme="minorHAnsi"/>
        </w:rPr>
        <w:t>р</w:t>
      </w:r>
      <w:r>
        <w:rPr>
          <w:rFonts w:eastAsiaTheme="minorHAnsi"/>
        </w:rPr>
        <w:t>и</w:t>
      </w:r>
      <w:r w:rsidR="0071360A">
        <w:rPr>
          <w:rFonts w:eastAsiaTheme="minorHAnsi"/>
        </w:rPr>
        <w:t>с</w:t>
      </w:r>
      <w:r>
        <w:rPr>
          <w:rFonts w:eastAsiaTheme="minorHAnsi"/>
        </w:rPr>
        <w:t>ника</w:t>
      </w:r>
      <w:r w:rsidR="00C43F88" w:rsidRPr="00F6340E">
        <w:rPr>
          <w:rFonts w:eastAsiaTheme="minorHAnsi"/>
        </w:rPr>
        <w:t xml:space="preserve"> </w:t>
      </w:r>
      <w:r>
        <w:rPr>
          <w:rFonts w:eastAsiaTheme="minorHAnsi"/>
        </w:rPr>
        <w:t>и</w:t>
      </w:r>
      <w:r w:rsidR="00C43F88" w:rsidRPr="00F6340E">
        <w:rPr>
          <w:rFonts w:eastAsiaTheme="minorHAnsi"/>
        </w:rPr>
        <w:t xml:space="preserve"> </w:t>
      </w:r>
      <w:r w:rsidR="0071360A">
        <w:rPr>
          <w:rFonts w:eastAsiaTheme="minorHAnsi"/>
        </w:rPr>
        <w:t>с</w:t>
      </w:r>
      <w:r>
        <w:rPr>
          <w:rFonts w:eastAsiaTheme="minorHAnsi"/>
        </w:rPr>
        <w:t>л</w:t>
      </w:r>
      <w:r w:rsidR="00C43F88" w:rsidRPr="00F6340E">
        <w:rPr>
          <w:rFonts w:eastAsiaTheme="minorHAnsi"/>
        </w:rPr>
        <w:t>.</w:t>
      </w:r>
    </w:p>
    <w:p w14:paraId="42BE8804" w14:textId="692E9113" w:rsidR="00AD1658" w:rsidRPr="00FA4DC9" w:rsidRDefault="00A56E08" w:rsidP="00FA4DC9">
      <w:pPr>
        <w:pStyle w:val="Body"/>
        <w:rPr>
          <w:rFonts w:eastAsiaTheme="minorHAnsi"/>
        </w:rPr>
      </w:pPr>
      <w:r>
        <w:rPr>
          <w:rFonts w:eastAsiaTheme="minorHAnsi"/>
        </w:rPr>
        <w:t>На</w:t>
      </w:r>
      <w:r w:rsidR="0071360A">
        <w:rPr>
          <w:rFonts w:eastAsiaTheme="minorHAnsi"/>
        </w:rPr>
        <w:t>ст</w:t>
      </w:r>
      <w:r>
        <w:rPr>
          <w:rFonts w:eastAsiaTheme="minorHAnsi"/>
        </w:rPr>
        <w:t>а</w:t>
      </w:r>
      <w:r w:rsidR="0071360A">
        <w:rPr>
          <w:rFonts w:eastAsiaTheme="minorHAnsi"/>
        </w:rPr>
        <w:t>в</w:t>
      </w:r>
      <w:r>
        <w:rPr>
          <w:rFonts w:eastAsiaTheme="minorHAnsi"/>
        </w:rPr>
        <w:t>ници</w:t>
      </w:r>
      <w:r w:rsidR="00A72625" w:rsidRPr="00F6340E">
        <w:rPr>
          <w:rFonts w:eastAsiaTheme="minorHAnsi"/>
        </w:rPr>
        <w:t xml:space="preserve"> </w:t>
      </w:r>
      <w:r w:rsidR="0071360A">
        <w:rPr>
          <w:rFonts w:eastAsiaTheme="minorHAnsi"/>
        </w:rPr>
        <w:t>т</w:t>
      </w:r>
      <w:r>
        <w:rPr>
          <w:rFonts w:eastAsiaTheme="minorHAnsi"/>
        </w:rPr>
        <w:t>акођ</w:t>
      </w:r>
      <w:r w:rsidR="00EE6AA2">
        <w:rPr>
          <w:rFonts w:eastAsiaTheme="minorHAnsi"/>
        </w:rPr>
        <w:t>е</w:t>
      </w:r>
      <w:r w:rsidR="00A72625" w:rsidRPr="00F6340E">
        <w:rPr>
          <w:rFonts w:eastAsiaTheme="minorHAnsi"/>
        </w:rPr>
        <w:t xml:space="preserve"> </w:t>
      </w:r>
      <w:r>
        <w:rPr>
          <w:rFonts w:eastAsiaTheme="minorHAnsi"/>
        </w:rPr>
        <w:t>мог</w:t>
      </w:r>
      <w:r w:rsidR="0071360A">
        <w:rPr>
          <w:rFonts w:eastAsiaTheme="minorHAnsi"/>
        </w:rPr>
        <w:t>у</w:t>
      </w:r>
      <w:r w:rsidR="00A72625" w:rsidRPr="00F6340E">
        <w:rPr>
          <w:rFonts w:eastAsiaTheme="minorHAnsi"/>
        </w:rPr>
        <w:t xml:space="preserve"> </w:t>
      </w:r>
      <w:r w:rsidR="00171F00">
        <w:rPr>
          <w:rFonts w:eastAsiaTheme="minorHAnsi"/>
        </w:rPr>
        <w:t>з</w:t>
      </w:r>
      <w:r>
        <w:rPr>
          <w:rFonts w:eastAsiaTheme="minorHAnsi"/>
        </w:rPr>
        <w:t>начајно</w:t>
      </w:r>
      <w:r w:rsidR="00A72625" w:rsidRPr="00F6340E">
        <w:rPr>
          <w:rFonts w:eastAsiaTheme="minorHAnsi"/>
        </w:rPr>
        <w:t xml:space="preserve"> </w:t>
      </w:r>
      <w:r>
        <w:rPr>
          <w:rFonts w:eastAsiaTheme="minorHAnsi"/>
        </w:rPr>
        <w:t>до</w:t>
      </w:r>
      <w:r w:rsidR="0071360A">
        <w:rPr>
          <w:rFonts w:eastAsiaTheme="minorHAnsi"/>
        </w:rPr>
        <w:t>пр</w:t>
      </w:r>
      <w:r>
        <w:rPr>
          <w:rFonts w:eastAsiaTheme="minorHAnsi"/>
        </w:rPr>
        <w:t>иниј</w:t>
      </w:r>
      <w:r w:rsidR="00EE6AA2">
        <w:rPr>
          <w:rFonts w:eastAsiaTheme="minorHAnsi"/>
        </w:rPr>
        <w:t>е</w:t>
      </w:r>
      <w:r w:rsidR="0071360A">
        <w:rPr>
          <w:rFonts w:eastAsiaTheme="minorHAnsi"/>
        </w:rPr>
        <w:t>т</w:t>
      </w:r>
      <w:r>
        <w:rPr>
          <w:rFonts w:eastAsiaTheme="minorHAnsi"/>
        </w:rPr>
        <w:t>и</w:t>
      </w:r>
      <w:r w:rsidR="00A72625" w:rsidRPr="00F6340E">
        <w:rPr>
          <w:rFonts w:eastAsiaTheme="minorHAnsi"/>
        </w:rPr>
        <w:t xml:space="preserve"> </w:t>
      </w:r>
      <w:r>
        <w:rPr>
          <w:rFonts w:eastAsiaTheme="minorHAnsi"/>
        </w:rPr>
        <w:t>к</w:t>
      </w:r>
      <w:r w:rsidR="0071360A">
        <w:rPr>
          <w:rFonts w:eastAsiaTheme="minorHAnsi"/>
        </w:rPr>
        <w:t>р</w:t>
      </w:r>
      <w:r w:rsidR="00EE6AA2">
        <w:rPr>
          <w:rFonts w:eastAsiaTheme="minorHAnsi"/>
        </w:rPr>
        <w:t>е</w:t>
      </w:r>
      <w:r>
        <w:rPr>
          <w:rFonts w:eastAsiaTheme="minorHAnsi"/>
        </w:rPr>
        <w:t>и</w:t>
      </w:r>
      <w:r w:rsidR="0071360A">
        <w:rPr>
          <w:rFonts w:eastAsiaTheme="minorHAnsi"/>
        </w:rPr>
        <w:t>р</w:t>
      </w:r>
      <w:r>
        <w:rPr>
          <w:rFonts w:eastAsiaTheme="minorHAnsi"/>
        </w:rPr>
        <w:t>ањ</w:t>
      </w:r>
      <w:r w:rsidR="0071360A">
        <w:rPr>
          <w:rFonts w:eastAsiaTheme="minorHAnsi"/>
        </w:rPr>
        <w:t>у</w:t>
      </w:r>
      <w:r w:rsidR="00A72625" w:rsidRPr="00F6340E">
        <w:rPr>
          <w:rFonts w:eastAsiaTheme="minorHAnsi"/>
        </w:rPr>
        <w:t xml:space="preserve"> </w:t>
      </w:r>
      <w:r w:rsidR="0071360A">
        <w:rPr>
          <w:rFonts w:eastAsiaTheme="minorHAnsi"/>
        </w:rPr>
        <w:t>с</w:t>
      </w:r>
      <w:r>
        <w:rPr>
          <w:rFonts w:eastAsiaTheme="minorHAnsi"/>
        </w:rPr>
        <w:t>иг</w:t>
      </w:r>
      <w:r w:rsidR="0071360A">
        <w:rPr>
          <w:rFonts w:eastAsiaTheme="minorHAnsi"/>
        </w:rPr>
        <w:t>ур</w:t>
      </w:r>
      <w:r>
        <w:rPr>
          <w:rFonts w:eastAsiaTheme="minorHAnsi"/>
        </w:rPr>
        <w:t>ног</w:t>
      </w:r>
      <w:r w:rsidR="00A72625" w:rsidRPr="00F6340E">
        <w:rPr>
          <w:rFonts w:eastAsiaTheme="minorHAnsi"/>
        </w:rPr>
        <w:t xml:space="preserve"> </w:t>
      </w:r>
      <w:r>
        <w:rPr>
          <w:rFonts w:eastAsiaTheme="minorHAnsi"/>
        </w:rPr>
        <w:t>ок</w:t>
      </w:r>
      <w:r w:rsidR="0071360A">
        <w:rPr>
          <w:rFonts w:eastAsiaTheme="minorHAnsi"/>
        </w:rPr>
        <w:t>ру</w:t>
      </w:r>
      <w:r w:rsidR="00171F00">
        <w:rPr>
          <w:rFonts w:eastAsiaTheme="minorHAnsi"/>
        </w:rPr>
        <w:t>ж</w:t>
      </w:r>
      <w:r w:rsidR="00EE6AA2">
        <w:rPr>
          <w:rFonts w:eastAsiaTheme="minorHAnsi"/>
        </w:rPr>
        <w:t>е</w:t>
      </w:r>
      <w:r>
        <w:rPr>
          <w:rFonts w:eastAsiaTheme="minorHAnsi"/>
        </w:rPr>
        <w:t>ња</w:t>
      </w:r>
      <w:r w:rsidR="00A72625" w:rsidRPr="00F6340E">
        <w:rPr>
          <w:rFonts w:eastAsiaTheme="minorHAnsi"/>
        </w:rPr>
        <w:t xml:space="preserve"> </w:t>
      </w:r>
      <w:r>
        <w:rPr>
          <w:rFonts w:eastAsiaTheme="minorHAnsi"/>
        </w:rPr>
        <w:t>к</w:t>
      </w:r>
      <w:r w:rsidR="0071360A">
        <w:rPr>
          <w:rFonts w:eastAsiaTheme="minorHAnsi"/>
        </w:rPr>
        <w:t>р</w:t>
      </w:r>
      <w:r>
        <w:rPr>
          <w:rFonts w:eastAsiaTheme="minorHAnsi"/>
        </w:rPr>
        <w:t>о</w:t>
      </w:r>
      <w:r w:rsidR="00171F00">
        <w:rPr>
          <w:rFonts w:eastAsiaTheme="minorHAnsi"/>
        </w:rPr>
        <w:t>з</w:t>
      </w:r>
      <w:r w:rsidR="00A72625" w:rsidRPr="00F6340E">
        <w:rPr>
          <w:rFonts w:eastAsiaTheme="minorHAnsi"/>
        </w:rPr>
        <w:t xml:space="preserve"> </w:t>
      </w:r>
      <w:r>
        <w:rPr>
          <w:rFonts w:eastAsiaTheme="minorHAnsi"/>
        </w:rPr>
        <w:t>фил</w:t>
      </w:r>
      <w:r w:rsidR="0071360A">
        <w:rPr>
          <w:rFonts w:eastAsiaTheme="minorHAnsi"/>
        </w:rPr>
        <w:t>тр</w:t>
      </w:r>
      <w:r>
        <w:rPr>
          <w:rFonts w:eastAsiaTheme="minorHAnsi"/>
        </w:rPr>
        <w:t>и</w:t>
      </w:r>
      <w:r w:rsidR="0071360A">
        <w:rPr>
          <w:rFonts w:eastAsiaTheme="minorHAnsi"/>
        </w:rPr>
        <w:t>р</w:t>
      </w:r>
      <w:r>
        <w:rPr>
          <w:rFonts w:eastAsiaTheme="minorHAnsi"/>
        </w:rPr>
        <w:t>ањ</w:t>
      </w:r>
      <w:r w:rsidR="00EE6AA2">
        <w:rPr>
          <w:rFonts w:eastAsiaTheme="minorHAnsi"/>
        </w:rPr>
        <w:t>е</w:t>
      </w:r>
      <w:r w:rsidR="00A72625" w:rsidRPr="00F6340E">
        <w:rPr>
          <w:rFonts w:eastAsiaTheme="minorHAnsi"/>
        </w:rPr>
        <w:t xml:space="preserve"> </w:t>
      </w:r>
      <w:r>
        <w:rPr>
          <w:rFonts w:eastAsiaTheme="minorHAnsi"/>
        </w:rPr>
        <w:t>и</w:t>
      </w:r>
      <w:r w:rsidR="00A72625" w:rsidRPr="00F6340E">
        <w:rPr>
          <w:rFonts w:eastAsiaTheme="minorHAnsi"/>
        </w:rPr>
        <w:t xml:space="preserve"> </w:t>
      </w:r>
      <w:r w:rsidR="0071360A">
        <w:rPr>
          <w:rFonts w:eastAsiaTheme="minorHAnsi"/>
        </w:rPr>
        <w:t>с</w:t>
      </w:r>
      <w:r w:rsidR="00EE6AA2">
        <w:rPr>
          <w:rFonts w:eastAsiaTheme="minorHAnsi"/>
        </w:rPr>
        <w:t>е</w:t>
      </w:r>
      <w:r>
        <w:rPr>
          <w:rFonts w:eastAsiaTheme="minorHAnsi"/>
        </w:rPr>
        <w:t>л</w:t>
      </w:r>
      <w:r w:rsidR="00EE6AA2">
        <w:rPr>
          <w:rFonts w:eastAsiaTheme="minorHAnsi"/>
        </w:rPr>
        <w:t>е</w:t>
      </w:r>
      <w:r>
        <w:rPr>
          <w:rFonts w:eastAsiaTheme="minorHAnsi"/>
        </w:rPr>
        <w:t>кциј</w:t>
      </w:r>
      <w:r w:rsidR="0071360A">
        <w:rPr>
          <w:rFonts w:eastAsiaTheme="minorHAnsi"/>
        </w:rPr>
        <w:t>у</w:t>
      </w:r>
      <w:r w:rsidR="00A72625" w:rsidRPr="00F6340E">
        <w:rPr>
          <w:rFonts w:eastAsiaTheme="minorHAnsi"/>
        </w:rPr>
        <w:t xml:space="preserve"> </w:t>
      </w:r>
      <w:r w:rsidR="0071360A">
        <w:rPr>
          <w:rFonts w:eastAsiaTheme="minorHAnsi"/>
        </w:rPr>
        <w:t>с</w:t>
      </w:r>
      <w:r>
        <w:rPr>
          <w:rFonts w:eastAsiaTheme="minorHAnsi"/>
        </w:rPr>
        <w:t>ад</w:t>
      </w:r>
      <w:r w:rsidR="0071360A">
        <w:rPr>
          <w:rFonts w:eastAsiaTheme="minorHAnsi"/>
        </w:rPr>
        <w:t>р</w:t>
      </w:r>
      <w:r w:rsidR="00171F00">
        <w:rPr>
          <w:rFonts w:eastAsiaTheme="minorHAnsi"/>
        </w:rPr>
        <w:t>ж</w:t>
      </w:r>
      <w:r>
        <w:rPr>
          <w:rFonts w:eastAsiaTheme="minorHAnsi"/>
        </w:rPr>
        <w:t>аја</w:t>
      </w:r>
      <w:r w:rsidR="00A72625" w:rsidRPr="00F6340E">
        <w:rPr>
          <w:rFonts w:eastAsiaTheme="minorHAnsi"/>
        </w:rPr>
        <w:t xml:space="preserve"> </w:t>
      </w:r>
      <w:r w:rsidR="0071360A">
        <w:rPr>
          <w:rFonts w:eastAsiaTheme="minorHAnsi"/>
        </w:rPr>
        <w:t>у</w:t>
      </w:r>
      <w:r w:rsidR="00A72625" w:rsidRPr="00F6340E">
        <w:rPr>
          <w:rFonts w:eastAsiaTheme="minorHAnsi"/>
        </w:rPr>
        <w:t xml:space="preserve"> </w:t>
      </w:r>
      <w:r>
        <w:rPr>
          <w:rFonts w:eastAsiaTheme="minorHAnsi"/>
        </w:rPr>
        <w:t>ок</w:t>
      </w:r>
      <w:r w:rsidR="0071360A">
        <w:rPr>
          <w:rFonts w:eastAsiaTheme="minorHAnsi"/>
        </w:rPr>
        <w:t>в</w:t>
      </w:r>
      <w:r>
        <w:rPr>
          <w:rFonts w:eastAsiaTheme="minorHAnsi"/>
        </w:rPr>
        <w:t>и</w:t>
      </w:r>
      <w:r w:rsidR="0071360A">
        <w:rPr>
          <w:rFonts w:eastAsiaTheme="minorHAnsi"/>
        </w:rPr>
        <w:t>ру</w:t>
      </w:r>
      <w:r w:rsidR="00A72625" w:rsidRPr="00F6340E">
        <w:rPr>
          <w:rFonts w:eastAsiaTheme="minorHAnsi"/>
        </w:rPr>
        <w:t xml:space="preserve"> </w:t>
      </w:r>
      <w:r>
        <w:rPr>
          <w:rFonts w:eastAsiaTheme="minorHAnsi"/>
        </w:rPr>
        <w:t>од</w:t>
      </w:r>
      <w:r w:rsidR="0071360A">
        <w:rPr>
          <w:rFonts w:eastAsiaTheme="minorHAnsi"/>
        </w:rPr>
        <w:t>р</w:t>
      </w:r>
      <w:r w:rsidR="00EE6AA2">
        <w:rPr>
          <w:rFonts w:eastAsiaTheme="minorHAnsi"/>
        </w:rPr>
        <w:t>е</w:t>
      </w:r>
      <w:r>
        <w:rPr>
          <w:rFonts w:eastAsiaTheme="minorHAnsi"/>
        </w:rPr>
        <w:t>ђ</w:t>
      </w:r>
      <w:r w:rsidR="00EE6AA2">
        <w:rPr>
          <w:rFonts w:eastAsiaTheme="minorHAnsi"/>
        </w:rPr>
        <w:t>е</w:t>
      </w:r>
      <w:r>
        <w:rPr>
          <w:rFonts w:eastAsiaTheme="minorHAnsi"/>
        </w:rPr>
        <w:t>ног</w:t>
      </w:r>
      <w:r w:rsidR="00A72625" w:rsidRPr="00F6340E">
        <w:rPr>
          <w:rFonts w:eastAsiaTheme="minorHAnsi"/>
        </w:rPr>
        <w:t xml:space="preserve"> </w:t>
      </w:r>
      <w:r>
        <w:rPr>
          <w:rFonts w:eastAsiaTheme="minorHAnsi"/>
        </w:rPr>
        <w:t>на</w:t>
      </w:r>
      <w:r w:rsidR="0071360A">
        <w:rPr>
          <w:rFonts w:eastAsiaTheme="minorHAnsi"/>
        </w:rPr>
        <w:t>ст</w:t>
      </w:r>
      <w:r>
        <w:rPr>
          <w:rFonts w:eastAsiaTheme="minorHAnsi"/>
        </w:rPr>
        <w:t>а</w:t>
      </w:r>
      <w:r w:rsidR="0071360A">
        <w:rPr>
          <w:rFonts w:eastAsiaTheme="minorHAnsi"/>
        </w:rPr>
        <w:t>в</w:t>
      </w:r>
      <w:r>
        <w:rPr>
          <w:rFonts w:eastAsiaTheme="minorHAnsi"/>
        </w:rPr>
        <w:t>ног</w:t>
      </w:r>
      <w:r w:rsidR="00A72625" w:rsidRPr="00F6340E">
        <w:rPr>
          <w:rFonts w:eastAsiaTheme="minorHAnsi"/>
        </w:rPr>
        <w:t xml:space="preserve"> </w:t>
      </w:r>
      <w:r w:rsidR="0071360A">
        <w:rPr>
          <w:rFonts w:eastAsiaTheme="minorHAnsi"/>
        </w:rPr>
        <w:t>пр</w:t>
      </w:r>
      <w:r w:rsidR="00EE6AA2">
        <w:rPr>
          <w:rFonts w:eastAsiaTheme="minorHAnsi"/>
        </w:rPr>
        <w:t>е</w:t>
      </w:r>
      <w:r>
        <w:rPr>
          <w:rFonts w:eastAsiaTheme="minorHAnsi"/>
        </w:rPr>
        <w:t>дм</w:t>
      </w:r>
      <w:r w:rsidR="00EE6AA2">
        <w:rPr>
          <w:rFonts w:eastAsiaTheme="minorHAnsi"/>
        </w:rPr>
        <w:t>е</w:t>
      </w:r>
      <w:r w:rsidR="0071360A">
        <w:rPr>
          <w:rFonts w:eastAsiaTheme="minorHAnsi"/>
        </w:rPr>
        <w:t>т</w:t>
      </w:r>
      <w:r>
        <w:rPr>
          <w:rFonts w:eastAsiaTheme="minorHAnsi"/>
        </w:rPr>
        <w:t>а</w:t>
      </w:r>
      <w:r w:rsidR="00F22500" w:rsidRPr="00F6340E">
        <w:rPr>
          <w:rFonts w:eastAsiaTheme="minorHAnsi"/>
        </w:rPr>
        <w:t>,</w:t>
      </w:r>
      <w:r w:rsidR="00A72625" w:rsidRPr="00F6340E">
        <w:rPr>
          <w:rFonts w:eastAsiaTheme="minorHAnsi"/>
        </w:rPr>
        <w:t xml:space="preserve"> </w:t>
      </w:r>
      <w:r>
        <w:rPr>
          <w:rFonts w:eastAsiaTheme="minorHAnsi"/>
        </w:rPr>
        <w:t>а</w:t>
      </w:r>
      <w:r w:rsidR="00A72625" w:rsidRPr="00F6340E">
        <w:rPr>
          <w:rFonts w:eastAsiaTheme="minorHAnsi"/>
        </w:rPr>
        <w:t xml:space="preserve"> </w:t>
      </w:r>
      <w:r>
        <w:rPr>
          <w:rFonts w:eastAsiaTheme="minorHAnsi"/>
        </w:rPr>
        <w:t>који</w:t>
      </w:r>
      <w:r w:rsidR="00A72625" w:rsidRPr="00F6340E">
        <w:rPr>
          <w:rFonts w:eastAsiaTheme="minorHAnsi"/>
        </w:rPr>
        <w:t xml:space="preserve"> </w:t>
      </w:r>
      <w:r>
        <w:rPr>
          <w:rFonts w:eastAsiaTheme="minorHAnsi"/>
        </w:rPr>
        <w:t>ј</w:t>
      </w:r>
      <w:r w:rsidR="00EE6AA2">
        <w:rPr>
          <w:rFonts w:eastAsiaTheme="minorHAnsi"/>
        </w:rPr>
        <w:t>е</w:t>
      </w:r>
      <w:r w:rsidR="00A72625" w:rsidRPr="00F6340E">
        <w:rPr>
          <w:rFonts w:eastAsiaTheme="minorHAnsi"/>
        </w:rPr>
        <w:t xml:space="preserve"> </w:t>
      </w:r>
      <w:r>
        <w:rPr>
          <w:rFonts w:eastAsiaTheme="minorHAnsi"/>
        </w:rPr>
        <w:t>намиј</w:t>
      </w:r>
      <w:r w:rsidR="00EE6AA2">
        <w:rPr>
          <w:rFonts w:eastAsiaTheme="minorHAnsi"/>
        </w:rPr>
        <w:t>е</w:t>
      </w:r>
      <w:r>
        <w:rPr>
          <w:rFonts w:eastAsiaTheme="minorHAnsi"/>
        </w:rPr>
        <w:t>њ</w:t>
      </w:r>
      <w:r w:rsidR="00EE6AA2">
        <w:rPr>
          <w:rFonts w:eastAsiaTheme="minorHAnsi"/>
        </w:rPr>
        <w:t>е</w:t>
      </w:r>
      <w:r>
        <w:rPr>
          <w:rFonts w:eastAsiaTheme="minorHAnsi"/>
        </w:rPr>
        <w:t>н</w:t>
      </w:r>
      <w:r w:rsidR="00A72625" w:rsidRPr="00F6340E">
        <w:rPr>
          <w:rFonts w:eastAsiaTheme="minorHAnsi"/>
        </w:rPr>
        <w:t xml:space="preserve"> </w:t>
      </w:r>
      <w:r w:rsidR="0071360A">
        <w:rPr>
          <w:rFonts w:eastAsiaTheme="minorHAnsi"/>
        </w:rPr>
        <w:lastRenderedPageBreak/>
        <w:t>у</w:t>
      </w:r>
      <w:r>
        <w:rPr>
          <w:rFonts w:eastAsiaTheme="minorHAnsi"/>
        </w:rPr>
        <w:t>ч</w:t>
      </w:r>
      <w:r w:rsidR="00EE6AA2">
        <w:rPr>
          <w:rFonts w:eastAsiaTheme="minorHAnsi"/>
        </w:rPr>
        <w:t>е</w:t>
      </w:r>
      <w:r>
        <w:rPr>
          <w:rFonts w:eastAsiaTheme="minorHAnsi"/>
        </w:rPr>
        <w:t>ницима</w:t>
      </w:r>
      <w:r w:rsidR="00A72625" w:rsidRPr="00F6340E">
        <w:rPr>
          <w:rFonts w:eastAsiaTheme="minorHAnsi"/>
        </w:rPr>
        <w:t>/</w:t>
      </w:r>
      <w:r w:rsidR="0071360A">
        <w:rPr>
          <w:rFonts w:eastAsiaTheme="minorHAnsi"/>
        </w:rPr>
        <w:t>сту</w:t>
      </w:r>
      <w:r>
        <w:rPr>
          <w:rFonts w:eastAsiaTheme="minorHAnsi"/>
        </w:rPr>
        <w:t>д</w:t>
      </w:r>
      <w:r w:rsidR="00EE6AA2">
        <w:rPr>
          <w:rFonts w:eastAsiaTheme="minorHAnsi"/>
        </w:rPr>
        <w:t>е</w:t>
      </w:r>
      <w:r>
        <w:rPr>
          <w:rFonts w:eastAsiaTheme="minorHAnsi"/>
        </w:rPr>
        <w:t>н</w:t>
      </w:r>
      <w:r w:rsidR="0071360A">
        <w:rPr>
          <w:rFonts w:eastAsiaTheme="minorHAnsi"/>
        </w:rPr>
        <w:t>т</w:t>
      </w:r>
      <w:r>
        <w:rPr>
          <w:rFonts w:eastAsiaTheme="minorHAnsi"/>
        </w:rPr>
        <w:t>има</w:t>
      </w:r>
      <w:r w:rsidR="00A72625" w:rsidRPr="00F6340E">
        <w:rPr>
          <w:rFonts w:eastAsiaTheme="minorHAnsi"/>
        </w:rPr>
        <w:t xml:space="preserve"> </w:t>
      </w:r>
      <w:r w:rsidR="0071360A">
        <w:rPr>
          <w:rFonts w:eastAsiaTheme="minorHAnsi"/>
        </w:rPr>
        <w:t>шт</w:t>
      </w:r>
      <w:r>
        <w:rPr>
          <w:rFonts w:eastAsiaTheme="minorHAnsi"/>
        </w:rPr>
        <w:t>о</w:t>
      </w:r>
      <w:r w:rsidR="00A72625" w:rsidRPr="00F6340E">
        <w:rPr>
          <w:rFonts w:eastAsiaTheme="minorHAnsi"/>
        </w:rPr>
        <w:t xml:space="preserve"> </w:t>
      </w:r>
      <w:r w:rsidR="0071360A">
        <w:rPr>
          <w:rFonts w:eastAsiaTheme="minorHAnsi"/>
        </w:rPr>
        <w:t>п</w:t>
      </w:r>
      <w:r>
        <w:rPr>
          <w:rFonts w:eastAsiaTheme="minorHAnsi"/>
        </w:rPr>
        <w:t>о</w:t>
      </w:r>
      <w:r w:rsidR="0071360A">
        <w:rPr>
          <w:rFonts w:eastAsiaTheme="minorHAnsi"/>
        </w:rPr>
        <w:t>р</w:t>
      </w:r>
      <w:r w:rsidR="00EE6AA2">
        <w:rPr>
          <w:rFonts w:eastAsiaTheme="minorHAnsi"/>
        </w:rPr>
        <w:t>е</w:t>
      </w:r>
      <w:r>
        <w:rPr>
          <w:rFonts w:eastAsiaTheme="minorHAnsi"/>
        </w:rPr>
        <w:t>д</w:t>
      </w:r>
      <w:r w:rsidR="00A72625" w:rsidRPr="00F6340E">
        <w:rPr>
          <w:rFonts w:eastAsiaTheme="minorHAnsi"/>
        </w:rPr>
        <w:t xml:space="preserve"> </w:t>
      </w:r>
      <w:r>
        <w:rPr>
          <w:rFonts w:eastAsiaTheme="minorHAnsi"/>
        </w:rPr>
        <w:t>инфо</w:t>
      </w:r>
      <w:r w:rsidR="0071360A">
        <w:rPr>
          <w:rFonts w:eastAsiaTheme="minorHAnsi"/>
        </w:rPr>
        <w:t>р</w:t>
      </w:r>
      <w:r>
        <w:rPr>
          <w:rFonts w:eastAsiaTheme="minorHAnsi"/>
        </w:rPr>
        <w:t>ма</w:t>
      </w:r>
      <w:r w:rsidR="0071360A">
        <w:rPr>
          <w:rFonts w:eastAsiaTheme="minorHAnsi"/>
        </w:rPr>
        <w:t>т</w:t>
      </w:r>
      <w:r>
        <w:rPr>
          <w:rFonts w:eastAsiaTheme="minorHAnsi"/>
        </w:rPr>
        <w:t>ичк</w:t>
      </w:r>
      <w:r w:rsidR="00EE6AA2">
        <w:rPr>
          <w:rFonts w:eastAsiaTheme="minorHAnsi"/>
        </w:rPr>
        <w:t>е</w:t>
      </w:r>
      <w:r w:rsidR="00A72625" w:rsidRPr="00F6340E">
        <w:rPr>
          <w:rFonts w:eastAsiaTheme="minorHAnsi"/>
        </w:rPr>
        <w:t xml:space="preserve"> </w:t>
      </w:r>
      <w:r w:rsidR="0071360A">
        <w:rPr>
          <w:rFonts w:eastAsiaTheme="minorHAnsi"/>
        </w:rPr>
        <w:t>п</w:t>
      </w:r>
      <w:r>
        <w:rPr>
          <w:rFonts w:eastAsiaTheme="minorHAnsi"/>
        </w:rPr>
        <w:t>од</w:t>
      </w:r>
      <w:r w:rsidR="0071360A">
        <w:rPr>
          <w:rFonts w:eastAsiaTheme="minorHAnsi"/>
        </w:rPr>
        <w:t>р</w:t>
      </w:r>
      <w:r>
        <w:rPr>
          <w:rFonts w:eastAsiaTheme="minorHAnsi"/>
        </w:rPr>
        <w:t>а</w:t>
      </w:r>
      <w:r w:rsidR="00171F00">
        <w:rPr>
          <w:rFonts w:eastAsiaTheme="minorHAnsi"/>
        </w:rPr>
        <w:t>з</w:t>
      </w:r>
      <w:r w:rsidR="0071360A">
        <w:rPr>
          <w:rFonts w:eastAsiaTheme="minorHAnsi"/>
        </w:rPr>
        <w:t>у</w:t>
      </w:r>
      <w:r>
        <w:rPr>
          <w:rFonts w:eastAsiaTheme="minorHAnsi"/>
        </w:rPr>
        <w:t>миј</w:t>
      </w:r>
      <w:r w:rsidR="00EE6AA2">
        <w:rPr>
          <w:rFonts w:eastAsiaTheme="minorHAnsi"/>
        </w:rPr>
        <w:t>е</w:t>
      </w:r>
      <w:r w:rsidR="0071360A">
        <w:rPr>
          <w:rFonts w:eastAsiaTheme="minorHAnsi"/>
        </w:rPr>
        <w:t>в</w:t>
      </w:r>
      <w:r>
        <w:rPr>
          <w:rFonts w:eastAsiaTheme="minorHAnsi"/>
        </w:rPr>
        <w:t>а</w:t>
      </w:r>
      <w:r w:rsidR="00A72625" w:rsidRPr="00F6340E">
        <w:rPr>
          <w:rFonts w:eastAsiaTheme="minorHAnsi"/>
        </w:rPr>
        <w:t xml:space="preserve"> </w:t>
      </w:r>
      <w:r>
        <w:rPr>
          <w:rFonts w:eastAsiaTheme="minorHAnsi"/>
        </w:rPr>
        <w:t>и</w:t>
      </w:r>
      <w:r w:rsidR="00A72625" w:rsidRPr="00F6340E">
        <w:rPr>
          <w:rFonts w:eastAsiaTheme="minorHAnsi"/>
        </w:rPr>
        <w:t xml:space="preserve"> </w:t>
      </w:r>
      <w:r>
        <w:rPr>
          <w:rFonts w:eastAsiaTheme="minorHAnsi"/>
        </w:rPr>
        <w:t>инфо</w:t>
      </w:r>
      <w:r w:rsidR="0071360A">
        <w:rPr>
          <w:rFonts w:eastAsiaTheme="minorHAnsi"/>
        </w:rPr>
        <w:t>р</w:t>
      </w:r>
      <w:r>
        <w:rPr>
          <w:rFonts w:eastAsiaTheme="minorHAnsi"/>
        </w:rPr>
        <w:t>ма</w:t>
      </w:r>
      <w:r w:rsidR="0071360A">
        <w:rPr>
          <w:rFonts w:eastAsiaTheme="minorHAnsi"/>
        </w:rPr>
        <w:t>т</w:t>
      </w:r>
      <w:r>
        <w:rPr>
          <w:rFonts w:eastAsiaTheme="minorHAnsi"/>
        </w:rPr>
        <w:t>ичк</w:t>
      </w:r>
      <w:r w:rsidR="0071360A">
        <w:rPr>
          <w:rFonts w:eastAsiaTheme="minorHAnsi"/>
        </w:rPr>
        <w:t>у</w:t>
      </w:r>
      <w:r w:rsidR="00A72625" w:rsidRPr="00F6340E">
        <w:rPr>
          <w:rFonts w:eastAsiaTheme="minorHAnsi"/>
        </w:rPr>
        <w:t xml:space="preserve"> </w:t>
      </w:r>
      <w:r w:rsidR="0071360A">
        <w:rPr>
          <w:rFonts w:eastAsiaTheme="minorHAnsi"/>
        </w:rPr>
        <w:t>п</w:t>
      </w:r>
      <w:r>
        <w:rPr>
          <w:rFonts w:eastAsiaTheme="minorHAnsi"/>
        </w:rPr>
        <w:t>и</w:t>
      </w:r>
      <w:r w:rsidR="0071360A">
        <w:rPr>
          <w:rFonts w:eastAsiaTheme="minorHAnsi"/>
        </w:rPr>
        <w:t>с</w:t>
      </w:r>
      <w:r>
        <w:rPr>
          <w:rFonts w:eastAsiaTheme="minorHAnsi"/>
        </w:rPr>
        <w:t>м</w:t>
      </w:r>
      <w:r w:rsidR="00EE6AA2">
        <w:rPr>
          <w:rFonts w:eastAsiaTheme="minorHAnsi"/>
        </w:rPr>
        <w:t>е</w:t>
      </w:r>
      <w:r>
        <w:rPr>
          <w:rFonts w:eastAsiaTheme="minorHAnsi"/>
        </w:rPr>
        <w:t>но</w:t>
      </w:r>
      <w:r w:rsidR="0071360A">
        <w:rPr>
          <w:rFonts w:eastAsiaTheme="minorHAnsi"/>
        </w:rPr>
        <w:t>ст</w:t>
      </w:r>
      <w:r w:rsidR="00A72625" w:rsidRPr="00F6340E">
        <w:rPr>
          <w:rFonts w:eastAsiaTheme="minorHAnsi"/>
        </w:rPr>
        <w:t xml:space="preserve"> </w:t>
      </w:r>
      <w:r>
        <w:rPr>
          <w:rFonts w:eastAsiaTheme="minorHAnsi"/>
        </w:rPr>
        <w:t>на</w:t>
      </w:r>
      <w:r w:rsidR="0071360A">
        <w:rPr>
          <w:rFonts w:eastAsiaTheme="minorHAnsi"/>
        </w:rPr>
        <w:t>ст</w:t>
      </w:r>
      <w:r>
        <w:rPr>
          <w:rFonts w:eastAsiaTheme="minorHAnsi"/>
        </w:rPr>
        <w:t>а</w:t>
      </w:r>
      <w:r w:rsidR="0071360A">
        <w:rPr>
          <w:rFonts w:eastAsiaTheme="minorHAnsi"/>
        </w:rPr>
        <w:t>в</w:t>
      </w:r>
      <w:r>
        <w:rPr>
          <w:rFonts w:eastAsiaTheme="minorHAnsi"/>
        </w:rPr>
        <w:t>ника</w:t>
      </w:r>
      <w:r w:rsidR="00A72625" w:rsidRPr="00F6340E">
        <w:rPr>
          <w:rFonts w:eastAsiaTheme="minorHAnsi"/>
        </w:rPr>
        <w:t xml:space="preserve">. </w:t>
      </w:r>
    </w:p>
    <w:p w14:paraId="539E9D7C" w14:textId="7F203DC3" w:rsidR="00855CC3" w:rsidRPr="00F6340E" w:rsidRDefault="00A56E08" w:rsidP="000962EB">
      <w:pPr>
        <w:pStyle w:val="Heading2"/>
        <w:numPr>
          <w:ilvl w:val="1"/>
          <w:numId w:val="70"/>
        </w:numPr>
        <w:rPr>
          <w:lang w:val="sr-Cyrl-BA"/>
        </w:rPr>
      </w:pPr>
      <w:bookmarkStart w:id="33" w:name="_Toc119050315"/>
      <w:r>
        <w:rPr>
          <w:lang w:val="sr-Cyrl-BA"/>
        </w:rPr>
        <w:t>Ин</w:t>
      </w:r>
      <w:r w:rsidR="0071360A">
        <w:rPr>
          <w:lang w:val="sr-Cyrl-BA"/>
        </w:rPr>
        <w:t>т</w:t>
      </w:r>
      <w:r w:rsidR="00EE6AA2">
        <w:rPr>
          <w:lang w:val="sr-Cyrl-BA"/>
        </w:rPr>
        <w:t>е</w:t>
      </w:r>
      <w:r>
        <w:rPr>
          <w:lang w:val="sr-Cyrl-BA"/>
        </w:rPr>
        <w:t>г</w:t>
      </w:r>
      <w:r w:rsidR="0071360A">
        <w:rPr>
          <w:lang w:val="sr-Cyrl-BA"/>
        </w:rPr>
        <w:t>р</w:t>
      </w:r>
      <w:r>
        <w:rPr>
          <w:lang w:val="sr-Cyrl-BA"/>
        </w:rPr>
        <w:t>и</w:t>
      </w:r>
      <w:r w:rsidR="0071360A">
        <w:rPr>
          <w:lang w:val="sr-Cyrl-BA"/>
        </w:rPr>
        <w:t>с</w:t>
      </w:r>
      <w:r>
        <w:rPr>
          <w:lang w:val="sr-Cyrl-BA"/>
        </w:rPr>
        <w:t>ањ</w:t>
      </w:r>
      <w:r w:rsidR="00EE6AA2">
        <w:rPr>
          <w:lang w:val="sr-Cyrl-BA"/>
        </w:rPr>
        <w:t>е</w:t>
      </w:r>
      <w:r w:rsidR="00855CC3" w:rsidRPr="00F6340E">
        <w:rPr>
          <w:lang w:val="sr-Cyrl-BA"/>
        </w:rPr>
        <w:t xml:space="preserve"> </w:t>
      </w:r>
      <w:r>
        <w:rPr>
          <w:lang w:val="sr-Cyrl-BA"/>
        </w:rPr>
        <w:t>мод</w:t>
      </w:r>
      <w:r w:rsidR="00EE6AA2">
        <w:rPr>
          <w:lang w:val="sr-Cyrl-BA"/>
        </w:rPr>
        <w:t>е</w:t>
      </w:r>
      <w:r>
        <w:rPr>
          <w:lang w:val="sr-Cyrl-BA"/>
        </w:rPr>
        <w:t>ла</w:t>
      </w:r>
      <w:r w:rsidR="00855CC3" w:rsidRPr="00F6340E">
        <w:rPr>
          <w:lang w:val="sr-Cyrl-BA"/>
        </w:rPr>
        <w:t xml:space="preserve"> </w:t>
      </w:r>
      <w:r>
        <w:rPr>
          <w:lang w:val="sr-Cyrl-BA"/>
        </w:rPr>
        <w:t>на</w:t>
      </w:r>
      <w:r w:rsidR="0071360A">
        <w:rPr>
          <w:lang w:val="sr-Cyrl-BA"/>
        </w:rPr>
        <w:t>ст</w:t>
      </w:r>
      <w:r>
        <w:rPr>
          <w:lang w:val="sr-Cyrl-BA"/>
        </w:rPr>
        <w:t>а</w:t>
      </w:r>
      <w:r w:rsidR="0071360A">
        <w:rPr>
          <w:lang w:val="sr-Cyrl-BA"/>
        </w:rPr>
        <w:t>в</w:t>
      </w:r>
      <w:r w:rsidR="00EE6AA2">
        <w:rPr>
          <w:lang w:val="sr-Cyrl-BA"/>
        </w:rPr>
        <w:t>е</w:t>
      </w:r>
      <w:r w:rsidR="00F22500" w:rsidRPr="00F6340E">
        <w:rPr>
          <w:lang w:val="sr-Cyrl-BA"/>
        </w:rPr>
        <w:t xml:space="preserve"> </w:t>
      </w:r>
      <w:r w:rsidR="0071360A">
        <w:rPr>
          <w:lang w:val="sr-Cyrl-BA"/>
        </w:rPr>
        <w:t>пут</w:t>
      </w:r>
      <w:r w:rsidR="00EE6AA2">
        <w:rPr>
          <w:lang w:val="sr-Cyrl-BA"/>
        </w:rPr>
        <w:t>е</w:t>
      </w:r>
      <w:r>
        <w:rPr>
          <w:lang w:val="sr-Cyrl-BA"/>
        </w:rPr>
        <w:t>м</w:t>
      </w:r>
      <w:r w:rsidR="00F22500" w:rsidRPr="00F6340E">
        <w:rPr>
          <w:lang w:val="sr-Cyrl-BA"/>
        </w:rPr>
        <w:t xml:space="preserve"> </w:t>
      </w:r>
      <w:r>
        <w:rPr>
          <w:lang w:val="sr-Cyrl-BA"/>
        </w:rPr>
        <w:t>ин</w:t>
      </w:r>
      <w:r w:rsidR="0071360A">
        <w:rPr>
          <w:lang w:val="sr-Cyrl-BA"/>
        </w:rPr>
        <w:t>т</w:t>
      </w:r>
      <w:r w:rsidR="00EE6AA2">
        <w:rPr>
          <w:lang w:val="sr-Cyrl-BA"/>
        </w:rPr>
        <w:t>е</w:t>
      </w:r>
      <w:r w:rsidR="0071360A">
        <w:rPr>
          <w:lang w:val="sr-Cyrl-BA"/>
        </w:rPr>
        <w:t>р</w:t>
      </w:r>
      <w:r>
        <w:rPr>
          <w:lang w:val="sr-Cyrl-BA"/>
        </w:rPr>
        <w:t>н</w:t>
      </w:r>
      <w:r w:rsidR="00EE6AA2">
        <w:rPr>
          <w:lang w:val="sr-Cyrl-BA"/>
        </w:rPr>
        <w:t>е</w:t>
      </w:r>
      <w:r w:rsidR="0071360A">
        <w:rPr>
          <w:lang w:val="sr-Cyrl-BA"/>
        </w:rPr>
        <w:t>т</w:t>
      </w:r>
      <w:r>
        <w:rPr>
          <w:lang w:val="sr-Cyrl-BA"/>
        </w:rPr>
        <w:t>а</w:t>
      </w:r>
      <w:r w:rsidR="00855CC3" w:rsidRPr="00F6340E">
        <w:rPr>
          <w:lang w:val="sr-Cyrl-BA"/>
        </w:rPr>
        <w:t xml:space="preserve"> </w:t>
      </w:r>
      <w:r>
        <w:rPr>
          <w:lang w:val="sr-Cyrl-BA"/>
        </w:rPr>
        <w:t>и</w:t>
      </w:r>
      <w:r w:rsidR="00D57A41" w:rsidRPr="00F6340E">
        <w:rPr>
          <w:lang w:val="sr-Cyrl-BA"/>
        </w:rPr>
        <w:t xml:space="preserve"> </w:t>
      </w:r>
      <w:r>
        <w:rPr>
          <w:lang w:val="sr-Cyrl-BA"/>
        </w:rPr>
        <w:t>комбино</w:t>
      </w:r>
      <w:r w:rsidR="0071360A">
        <w:rPr>
          <w:lang w:val="sr-Cyrl-BA"/>
        </w:rPr>
        <w:t>в</w:t>
      </w:r>
      <w:r>
        <w:rPr>
          <w:lang w:val="sr-Cyrl-BA"/>
        </w:rPr>
        <w:t>ан</w:t>
      </w:r>
      <w:r w:rsidR="00EE6AA2">
        <w:rPr>
          <w:lang w:val="sr-Cyrl-BA"/>
        </w:rPr>
        <w:t>е</w:t>
      </w:r>
      <w:r w:rsidR="00D57A41" w:rsidRPr="00F6340E">
        <w:rPr>
          <w:lang w:val="sr-Cyrl-BA"/>
        </w:rPr>
        <w:t xml:space="preserve"> </w:t>
      </w:r>
      <w:r>
        <w:rPr>
          <w:lang w:val="sr-Cyrl-BA"/>
        </w:rPr>
        <w:t>на</w:t>
      </w:r>
      <w:r w:rsidR="0071360A">
        <w:rPr>
          <w:lang w:val="sr-Cyrl-BA"/>
        </w:rPr>
        <w:t>ст</w:t>
      </w:r>
      <w:r>
        <w:rPr>
          <w:lang w:val="sr-Cyrl-BA"/>
        </w:rPr>
        <w:t>а</w:t>
      </w:r>
      <w:r w:rsidR="0071360A">
        <w:rPr>
          <w:lang w:val="sr-Cyrl-BA"/>
        </w:rPr>
        <w:t>в</w:t>
      </w:r>
      <w:r w:rsidR="00EE6AA2">
        <w:rPr>
          <w:lang w:val="sr-Cyrl-BA"/>
        </w:rPr>
        <w:t>е</w:t>
      </w:r>
      <w:r w:rsidR="00855CC3" w:rsidRPr="00F6340E">
        <w:rPr>
          <w:lang w:val="sr-Cyrl-BA"/>
        </w:rPr>
        <w:t xml:space="preserve"> </w:t>
      </w:r>
      <w:r w:rsidR="0071360A">
        <w:rPr>
          <w:lang w:val="sr-Cyrl-BA"/>
        </w:rPr>
        <w:t>у</w:t>
      </w:r>
      <w:r w:rsidR="00855CC3" w:rsidRPr="00F6340E">
        <w:rPr>
          <w:lang w:val="sr-Cyrl-BA"/>
        </w:rPr>
        <w:t xml:space="preserve"> </w:t>
      </w:r>
      <w:r w:rsidR="00171F00">
        <w:rPr>
          <w:lang w:val="sr-Cyrl-BA"/>
        </w:rPr>
        <w:t>з</w:t>
      </w:r>
      <w:r>
        <w:rPr>
          <w:lang w:val="sr-Cyrl-BA"/>
        </w:rPr>
        <w:t>акон</w:t>
      </w:r>
      <w:r w:rsidR="0071360A">
        <w:rPr>
          <w:lang w:val="sr-Cyrl-BA"/>
        </w:rPr>
        <w:t>с</w:t>
      </w:r>
      <w:r>
        <w:rPr>
          <w:lang w:val="sr-Cyrl-BA"/>
        </w:rPr>
        <w:t>к</w:t>
      </w:r>
      <w:r w:rsidR="0071360A">
        <w:rPr>
          <w:lang w:val="sr-Cyrl-BA"/>
        </w:rPr>
        <w:t>у</w:t>
      </w:r>
      <w:r w:rsidR="00855CC3" w:rsidRPr="00F6340E">
        <w:rPr>
          <w:lang w:val="sr-Cyrl-BA"/>
        </w:rPr>
        <w:t xml:space="preserve"> </w:t>
      </w:r>
      <w:r w:rsidR="0071360A">
        <w:rPr>
          <w:lang w:val="sr-Cyrl-BA"/>
        </w:rPr>
        <w:t>р</w:t>
      </w:r>
      <w:r w:rsidR="00EE6AA2">
        <w:rPr>
          <w:lang w:val="sr-Cyrl-BA"/>
        </w:rPr>
        <w:t>е</w:t>
      </w:r>
      <w:r>
        <w:rPr>
          <w:lang w:val="sr-Cyrl-BA"/>
        </w:rPr>
        <w:t>г</w:t>
      </w:r>
      <w:r w:rsidR="0071360A">
        <w:rPr>
          <w:lang w:val="sr-Cyrl-BA"/>
        </w:rPr>
        <w:t>у</w:t>
      </w:r>
      <w:r>
        <w:rPr>
          <w:lang w:val="sr-Cyrl-BA"/>
        </w:rPr>
        <w:t>ла</w:t>
      </w:r>
      <w:r w:rsidR="0071360A">
        <w:rPr>
          <w:lang w:val="sr-Cyrl-BA"/>
        </w:rPr>
        <w:t>т</w:t>
      </w:r>
      <w:r>
        <w:rPr>
          <w:lang w:val="sr-Cyrl-BA"/>
        </w:rPr>
        <w:t>и</w:t>
      </w:r>
      <w:r w:rsidR="0071360A">
        <w:rPr>
          <w:lang w:val="sr-Cyrl-BA"/>
        </w:rPr>
        <w:t>ву</w:t>
      </w:r>
      <w:r w:rsidR="00855CC3" w:rsidRPr="00F6340E">
        <w:rPr>
          <w:lang w:val="sr-Cyrl-BA"/>
        </w:rPr>
        <w:t xml:space="preserve"> </w:t>
      </w:r>
      <w:r>
        <w:rPr>
          <w:lang w:val="sr-Cyrl-BA"/>
        </w:rPr>
        <w:t>о</w:t>
      </w:r>
      <w:r w:rsidR="00855CC3" w:rsidRPr="00F6340E">
        <w:rPr>
          <w:lang w:val="sr-Cyrl-BA"/>
        </w:rPr>
        <w:t xml:space="preserve"> </w:t>
      </w:r>
      <w:r>
        <w:rPr>
          <w:lang w:val="sr-Cyrl-BA"/>
        </w:rPr>
        <w:t>об</w:t>
      </w:r>
      <w:r w:rsidR="0071360A">
        <w:rPr>
          <w:lang w:val="sr-Cyrl-BA"/>
        </w:rPr>
        <w:t>р</w:t>
      </w:r>
      <w:r>
        <w:rPr>
          <w:lang w:val="sr-Cyrl-BA"/>
        </w:rPr>
        <w:t>а</w:t>
      </w:r>
      <w:r w:rsidR="00171F00">
        <w:rPr>
          <w:lang w:val="sr-Cyrl-BA"/>
        </w:rPr>
        <w:t>з</w:t>
      </w:r>
      <w:r>
        <w:rPr>
          <w:lang w:val="sr-Cyrl-BA"/>
        </w:rPr>
        <w:t>о</w:t>
      </w:r>
      <w:r w:rsidR="0071360A">
        <w:rPr>
          <w:lang w:val="sr-Cyrl-BA"/>
        </w:rPr>
        <w:t>в</w:t>
      </w:r>
      <w:r>
        <w:rPr>
          <w:lang w:val="sr-Cyrl-BA"/>
        </w:rPr>
        <w:t>ањ</w:t>
      </w:r>
      <w:r w:rsidR="0071360A">
        <w:rPr>
          <w:lang w:val="sr-Cyrl-BA"/>
        </w:rPr>
        <w:t>у</w:t>
      </w:r>
      <w:r w:rsidR="00855CC3" w:rsidRPr="00F6340E">
        <w:rPr>
          <w:lang w:val="sr-Cyrl-BA"/>
        </w:rPr>
        <w:t xml:space="preserve"> </w:t>
      </w:r>
      <w:r w:rsidR="0071360A">
        <w:rPr>
          <w:lang w:val="sr-Cyrl-BA"/>
        </w:rPr>
        <w:t>у</w:t>
      </w:r>
      <w:r w:rsidR="00855CC3" w:rsidRPr="00F6340E">
        <w:rPr>
          <w:lang w:val="sr-Cyrl-BA"/>
        </w:rPr>
        <w:t xml:space="preserve"> </w:t>
      </w:r>
      <w:r w:rsidR="0071360A">
        <w:rPr>
          <w:lang w:val="sr-Cyrl-BA"/>
        </w:rPr>
        <w:t>св</w:t>
      </w:r>
      <w:r>
        <w:rPr>
          <w:lang w:val="sr-Cyrl-BA"/>
        </w:rPr>
        <w:t>им</w:t>
      </w:r>
      <w:r w:rsidR="00855CC3" w:rsidRPr="00F6340E">
        <w:rPr>
          <w:lang w:val="sr-Cyrl-BA"/>
        </w:rPr>
        <w:t xml:space="preserve"> </w:t>
      </w:r>
      <w:r>
        <w:rPr>
          <w:lang w:val="sr-Cyrl-BA"/>
        </w:rPr>
        <w:t>админи</w:t>
      </w:r>
      <w:r w:rsidR="0071360A">
        <w:rPr>
          <w:lang w:val="sr-Cyrl-BA"/>
        </w:rPr>
        <w:t>стр</w:t>
      </w:r>
      <w:r>
        <w:rPr>
          <w:lang w:val="sr-Cyrl-BA"/>
        </w:rPr>
        <w:t>а</w:t>
      </w:r>
      <w:r w:rsidR="0071360A">
        <w:rPr>
          <w:lang w:val="sr-Cyrl-BA"/>
        </w:rPr>
        <w:t>т</w:t>
      </w:r>
      <w:r>
        <w:rPr>
          <w:lang w:val="sr-Cyrl-BA"/>
        </w:rPr>
        <w:t>и</w:t>
      </w:r>
      <w:r w:rsidR="0071360A">
        <w:rPr>
          <w:lang w:val="sr-Cyrl-BA"/>
        </w:rPr>
        <w:t>в</w:t>
      </w:r>
      <w:r>
        <w:rPr>
          <w:lang w:val="sr-Cyrl-BA"/>
        </w:rPr>
        <w:t>ним</w:t>
      </w:r>
      <w:r w:rsidR="00855CC3" w:rsidRPr="00F6340E">
        <w:rPr>
          <w:lang w:val="sr-Cyrl-BA"/>
        </w:rPr>
        <w:t xml:space="preserve"> </w:t>
      </w:r>
      <w:r>
        <w:rPr>
          <w:lang w:val="sr-Cyrl-BA"/>
        </w:rPr>
        <w:t>ј</w:t>
      </w:r>
      <w:r w:rsidR="00EE6AA2">
        <w:rPr>
          <w:lang w:val="sr-Cyrl-BA"/>
        </w:rPr>
        <w:t>е</w:t>
      </w:r>
      <w:r>
        <w:rPr>
          <w:lang w:val="sr-Cyrl-BA"/>
        </w:rPr>
        <w:t>диницама</w:t>
      </w:r>
      <w:r w:rsidR="00855CC3" w:rsidRPr="00F6340E">
        <w:rPr>
          <w:lang w:val="sr-Cyrl-BA"/>
        </w:rPr>
        <w:t xml:space="preserve"> </w:t>
      </w:r>
      <w:r w:rsidR="0071360A">
        <w:rPr>
          <w:lang w:val="sr-Cyrl-BA"/>
        </w:rPr>
        <w:t>у</w:t>
      </w:r>
      <w:r w:rsidR="00855CC3" w:rsidRPr="00F6340E">
        <w:rPr>
          <w:lang w:val="sr-Cyrl-BA"/>
        </w:rPr>
        <w:t xml:space="preserve"> </w:t>
      </w:r>
      <w:r>
        <w:rPr>
          <w:lang w:val="sr-Cyrl-BA"/>
        </w:rPr>
        <w:t>Бо</w:t>
      </w:r>
      <w:r w:rsidR="0071360A">
        <w:rPr>
          <w:lang w:val="sr-Cyrl-BA"/>
        </w:rPr>
        <w:t>с</w:t>
      </w:r>
      <w:r>
        <w:rPr>
          <w:lang w:val="sr-Cyrl-BA"/>
        </w:rPr>
        <w:t>ни</w:t>
      </w:r>
      <w:r w:rsidR="00855CC3" w:rsidRPr="00F6340E">
        <w:rPr>
          <w:lang w:val="sr-Cyrl-BA"/>
        </w:rPr>
        <w:t xml:space="preserve"> </w:t>
      </w:r>
      <w:r>
        <w:rPr>
          <w:lang w:val="sr-Cyrl-BA"/>
        </w:rPr>
        <w:t>и</w:t>
      </w:r>
      <w:r w:rsidR="00855CC3" w:rsidRPr="00F6340E">
        <w:rPr>
          <w:lang w:val="sr-Cyrl-BA"/>
        </w:rPr>
        <w:t xml:space="preserve"> </w:t>
      </w:r>
      <w:r>
        <w:rPr>
          <w:lang w:val="sr-Cyrl-BA"/>
        </w:rPr>
        <w:t>Х</w:t>
      </w:r>
      <w:r w:rsidR="00EE6AA2">
        <w:rPr>
          <w:lang w:val="sr-Cyrl-BA"/>
        </w:rPr>
        <w:t>е</w:t>
      </w:r>
      <w:r w:rsidR="0071360A">
        <w:rPr>
          <w:lang w:val="sr-Cyrl-BA"/>
        </w:rPr>
        <w:t>р</w:t>
      </w:r>
      <w:r>
        <w:rPr>
          <w:lang w:val="sr-Cyrl-BA"/>
        </w:rPr>
        <w:t>ц</w:t>
      </w:r>
      <w:r w:rsidR="00EE6AA2">
        <w:rPr>
          <w:lang w:val="sr-Cyrl-BA"/>
        </w:rPr>
        <w:t>е</w:t>
      </w:r>
      <w:r>
        <w:rPr>
          <w:lang w:val="sr-Cyrl-BA"/>
        </w:rPr>
        <w:t>го</w:t>
      </w:r>
      <w:r w:rsidR="0071360A">
        <w:rPr>
          <w:lang w:val="sr-Cyrl-BA"/>
        </w:rPr>
        <w:t>в</w:t>
      </w:r>
      <w:r>
        <w:rPr>
          <w:lang w:val="sr-Cyrl-BA"/>
        </w:rPr>
        <w:t>ини</w:t>
      </w:r>
      <w:bookmarkEnd w:id="33"/>
      <w:r w:rsidR="00855CC3" w:rsidRPr="00F6340E">
        <w:rPr>
          <w:lang w:val="sr-Cyrl-BA"/>
        </w:rPr>
        <w:t xml:space="preserve"> </w:t>
      </w:r>
    </w:p>
    <w:p w14:paraId="6B301CF9" w14:textId="1EA2A165" w:rsidR="00D02E8C" w:rsidRPr="00F6340E" w:rsidRDefault="00A56E08" w:rsidP="00FA4DC9">
      <w:pPr>
        <w:pStyle w:val="Body"/>
      </w:pPr>
      <w:r>
        <w:t>Ј</w:t>
      </w:r>
      <w:r w:rsidR="00EE6AA2">
        <w:t>е</w:t>
      </w:r>
      <w:r>
        <w:t>дан</w:t>
      </w:r>
      <w:r w:rsidR="00855CC3" w:rsidRPr="00F6340E">
        <w:t xml:space="preserve"> </w:t>
      </w:r>
      <w:r>
        <w:t>од</w:t>
      </w:r>
      <w:r w:rsidR="00855CC3" w:rsidRPr="00F6340E">
        <w:t xml:space="preserve"> </w:t>
      </w:r>
      <w:r>
        <w:t>и</w:t>
      </w:r>
      <w:r w:rsidR="00171F00">
        <w:t>з</w:t>
      </w:r>
      <w:r>
        <w:t>а</w:t>
      </w:r>
      <w:r w:rsidR="00171F00">
        <w:t>з</w:t>
      </w:r>
      <w:r>
        <w:t>о</w:t>
      </w:r>
      <w:r w:rsidR="0071360A">
        <w:t>в</w:t>
      </w:r>
      <w:r>
        <w:t>а</w:t>
      </w:r>
      <w:r w:rsidR="00855CC3" w:rsidRPr="00F6340E">
        <w:t xml:space="preserve"> </w:t>
      </w:r>
      <w:r w:rsidR="0071360A">
        <w:t>с</w:t>
      </w:r>
      <w:r>
        <w:t>а</w:t>
      </w:r>
      <w:r w:rsidR="00855CC3" w:rsidRPr="00F6340E">
        <w:t xml:space="preserve"> </w:t>
      </w:r>
      <w:r>
        <w:t>којима</w:t>
      </w:r>
      <w:r w:rsidR="00855CC3" w:rsidRPr="00F6340E">
        <w:t xml:space="preserve"> </w:t>
      </w:r>
      <w:r w:rsidR="0071360A">
        <w:t>су</w:t>
      </w:r>
      <w:r w:rsidR="00855CC3" w:rsidRPr="00F6340E">
        <w:t xml:space="preserve"> </w:t>
      </w:r>
      <w:r w:rsidR="0071360A">
        <w:t>с</w:t>
      </w:r>
      <w:r w:rsidR="00EE6AA2">
        <w:t>е</w:t>
      </w:r>
      <w:r w:rsidR="00855CC3" w:rsidRPr="00F6340E">
        <w:t xml:space="preserve"> </w:t>
      </w:r>
      <w:r>
        <w:t>об</w:t>
      </w:r>
      <w:r w:rsidR="0071360A">
        <w:t>р</w:t>
      </w:r>
      <w:r>
        <w:t>а</w:t>
      </w:r>
      <w:r w:rsidR="00171F00">
        <w:t>з</w:t>
      </w:r>
      <w:r>
        <w:t>о</w:t>
      </w:r>
      <w:r w:rsidR="0071360A">
        <w:t>в</w:t>
      </w:r>
      <w:r>
        <w:t>ни</w:t>
      </w:r>
      <w:r w:rsidR="00855CC3" w:rsidRPr="00F6340E">
        <w:t xml:space="preserve"> </w:t>
      </w:r>
      <w:r w:rsidR="0071360A">
        <w:t>с</w:t>
      </w:r>
      <w:r>
        <w:t>и</w:t>
      </w:r>
      <w:r w:rsidR="0071360A">
        <w:t>ст</w:t>
      </w:r>
      <w:r w:rsidR="00EE6AA2">
        <w:t>е</w:t>
      </w:r>
      <w:r>
        <w:t>ми</w:t>
      </w:r>
      <w:r w:rsidR="00855CC3" w:rsidRPr="00F6340E">
        <w:t xml:space="preserve"> </w:t>
      </w:r>
      <w:r w:rsidR="0071360A">
        <w:t>у</w:t>
      </w:r>
      <w:r w:rsidR="00855CC3" w:rsidRPr="00F6340E">
        <w:t xml:space="preserve"> </w:t>
      </w:r>
      <w:r>
        <w:t>БиХ</w:t>
      </w:r>
      <w:r w:rsidR="00855CC3" w:rsidRPr="00F6340E">
        <w:t xml:space="preserve"> </w:t>
      </w:r>
      <w:r w:rsidR="0071360A">
        <w:t>су</w:t>
      </w:r>
      <w:r>
        <w:t>оча</w:t>
      </w:r>
      <w:r w:rsidR="0071360A">
        <w:t>в</w:t>
      </w:r>
      <w:r>
        <w:t>али</w:t>
      </w:r>
      <w:r w:rsidR="00855CC3" w:rsidRPr="00F6340E">
        <w:t xml:space="preserve"> </w:t>
      </w:r>
      <w:r w:rsidR="0071360A">
        <w:t>т</w:t>
      </w:r>
      <w:r>
        <w:t>оком</w:t>
      </w:r>
      <w:r w:rsidR="00855CC3" w:rsidRPr="00F6340E">
        <w:t xml:space="preserve"> </w:t>
      </w:r>
      <w:r w:rsidR="0071360A">
        <w:t>п</w:t>
      </w:r>
      <w:r>
        <w:t>анд</w:t>
      </w:r>
      <w:r w:rsidR="00EE6AA2">
        <w:t>е</w:t>
      </w:r>
      <w:r>
        <w:t>миј</w:t>
      </w:r>
      <w:r w:rsidR="00EE6AA2">
        <w:t>е</w:t>
      </w:r>
      <w:r w:rsidR="00855CC3" w:rsidRPr="00F6340E">
        <w:t xml:space="preserve"> </w:t>
      </w:r>
      <w:r>
        <w:t>Цо</w:t>
      </w:r>
      <w:r w:rsidR="0071360A">
        <w:t>в</w:t>
      </w:r>
      <w:r>
        <w:t>ид</w:t>
      </w:r>
      <w:r w:rsidR="00855CC3" w:rsidRPr="00F6340E">
        <w:t xml:space="preserve">-19 </w:t>
      </w:r>
      <w:r>
        <w:t>ј</w:t>
      </w:r>
      <w:r w:rsidR="00EE6AA2">
        <w:t>е</w:t>
      </w:r>
      <w:r w:rsidR="0071360A">
        <w:t>ст</w:t>
      </w:r>
      <w:r w:rsidR="00EE6AA2">
        <w:t>е</w:t>
      </w:r>
      <w:r w:rsidR="00855CC3" w:rsidRPr="00F6340E">
        <w:t xml:space="preserve"> </w:t>
      </w:r>
      <w:r>
        <w:t>н</w:t>
      </w:r>
      <w:r w:rsidR="00EE6AA2">
        <w:t>е</w:t>
      </w:r>
      <w:r>
        <w:t>до</w:t>
      </w:r>
      <w:r w:rsidR="0071360A">
        <w:t>ст</w:t>
      </w:r>
      <w:r>
        <w:t>а</w:t>
      </w:r>
      <w:r w:rsidR="0071360A">
        <w:t>т</w:t>
      </w:r>
      <w:r>
        <w:t>ак</w:t>
      </w:r>
      <w:r w:rsidR="00855CC3" w:rsidRPr="00F6340E">
        <w:t xml:space="preserve"> </w:t>
      </w:r>
      <w:r>
        <w:t>ја</w:t>
      </w:r>
      <w:r w:rsidR="0071360A">
        <w:t>с</w:t>
      </w:r>
      <w:r>
        <w:t>них</w:t>
      </w:r>
      <w:r w:rsidR="0024011D" w:rsidRPr="00F6340E">
        <w:t xml:space="preserve"> </w:t>
      </w:r>
      <w:r w:rsidR="0071360A">
        <w:t>с</w:t>
      </w:r>
      <w:r>
        <w:t>мј</w:t>
      </w:r>
      <w:r w:rsidR="00EE6AA2">
        <w:t>е</w:t>
      </w:r>
      <w:r w:rsidR="0071360A">
        <w:t>р</w:t>
      </w:r>
      <w:r>
        <w:t>ница</w:t>
      </w:r>
      <w:r w:rsidR="0024011D" w:rsidRPr="00F6340E">
        <w:t xml:space="preserve"> </w:t>
      </w:r>
      <w:r>
        <w:t>и</w:t>
      </w:r>
      <w:r w:rsidR="0024011D" w:rsidRPr="00F6340E">
        <w:t xml:space="preserve"> </w:t>
      </w:r>
      <w:r>
        <w:t>ин</w:t>
      </w:r>
      <w:r w:rsidR="0071360A">
        <w:t>стру</w:t>
      </w:r>
      <w:r>
        <w:t>кција</w:t>
      </w:r>
      <w:r w:rsidR="0024011D" w:rsidRPr="00F6340E">
        <w:t xml:space="preserve"> </w:t>
      </w:r>
      <w:r w:rsidR="00171F00">
        <w:t>з</w:t>
      </w:r>
      <w:r>
        <w:t>а</w:t>
      </w:r>
      <w:r w:rsidR="0024011D" w:rsidRPr="00F6340E">
        <w:t xml:space="preserve"> </w:t>
      </w:r>
      <w:r>
        <w:t>им</w:t>
      </w:r>
      <w:r w:rsidR="0071360A">
        <w:t>п</w:t>
      </w:r>
      <w:r>
        <w:t>л</w:t>
      </w:r>
      <w:r w:rsidR="00EE6AA2">
        <w:t>е</w:t>
      </w:r>
      <w:r>
        <w:t>м</w:t>
      </w:r>
      <w:r w:rsidR="00EE6AA2">
        <w:t>е</w:t>
      </w:r>
      <w:r>
        <w:t>н</w:t>
      </w:r>
      <w:r w:rsidR="0071360A">
        <w:t>т</w:t>
      </w:r>
      <w:r>
        <w:t>ациј</w:t>
      </w:r>
      <w:r w:rsidR="0071360A">
        <w:t>у</w:t>
      </w:r>
      <w:r w:rsidR="0024011D" w:rsidRPr="00F6340E">
        <w:t xml:space="preserve"> </w:t>
      </w:r>
      <w:r>
        <w:t>на</w:t>
      </w:r>
      <w:r w:rsidR="0071360A">
        <w:t>ст</w:t>
      </w:r>
      <w:r>
        <w:t>а</w:t>
      </w:r>
      <w:r w:rsidR="0071360A">
        <w:t>в</w:t>
      </w:r>
      <w:r>
        <w:t>ног</w:t>
      </w:r>
      <w:r w:rsidR="0024011D" w:rsidRPr="00F6340E">
        <w:t xml:space="preserve"> </w:t>
      </w:r>
      <w:r w:rsidR="0071360A">
        <w:t>пр</w:t>
      </w:r>
      <w:r>
        <w:t>оц</w:t>
      </w:r>
      <w:r w:rsidR="00EE6AA2">
        <w:t>е</w:t>
      </w:r>
      <w:r w:rsidR="0071360A">
        <w:t>с</w:t>
      </w:r>
      <w:r>
        <w:t>а</w:t>
      </w:r>
      <w:r w:rsidR="0024011D" w:rsidRPr="00F6340E">
        <w:t xml:space="preserve"> </w:t>
      </w:r>
      <w:r w:rsidR="0071360A">
        <w:t>у</w:t>
      </w:r>
      <w:r w:rsidR="0024011D" w:rsidRPr="00F6340E">
        <w:t xml:space="preserve"> </w:t>
      </w:r>
      <w:r w:rsidR="0071360A">
        <w:t>в</w:t>
      </w:r>
      <w:r>
        <w:t>и</w:t>
      </w:r>
      <w:r w:rsidR="0071360A">
        <w:t>рту</w:t>
      </w:r>
      <w:r w:rsidR="00EE6AA2">
        <w:t>е</w:t>
      </w:r>
      <w:r>
        <w:t>лном</w:t>
      </w:r>
      <w:r w:rsidR="00376042" w:rsidRPr="00F6340E">
        <w:t xml:space="preserve"> </w:t>
      </w:r>
      <w:r>
        <w:t>ок</w:t>
      </w:r>
      <w:r w:rsidR="0071360A">
        <w:t>ру</w:t>
      </w:r>
      <w:r w:rsidR="00171F00">
        <w:t>ж</w:t>
      </w:r>
      <w:r w:rsidR="00EE6AA2">
        <w:t>е</w:t>
      </w:r>
      <w:r>
        <w:t>њ</w:t>
      </w:r>
      <w:r w:rsidR="0071360A">
        <w:t>у</w:t>
      </w:r>
      <w:r w:rsidR="00376042" w:rsidRPr="00F6340E">
        <w:t>.</w:t>
      </w:r>
      <w:r w:rsidR="001A03B4" w:rsidRPr="00F6340E">
        <w:t xml:space="preserve"> </w:t>
      </w:r>
      <w:r>
        <w:t>Надл</w:t>
      </w:r>
      <w:r w:rsidR="00EE6AA2">
        <w:t>е</w:t>
      </w:r>
      <w:r w:rsidR="00171F00">
        <w:t>ж</w:t>
      </w:r>
      <w:r>
        <w:t>н</w:t>
      </w:r>
      <w:r w:rsidR="00EE6AA2">
        <w:t>е</w:t>
      </w:r>
      <w:r w:rsidR="001A03B4" w:rsidRPr="00F6340E">
        <w:t xml:space="preserve"> </w:t>
      </w:r>
      <w:r>
        <w:t>об</w:t>
      </w:r>
      <w:r w:rsidR="0071360A">
        <w:t>р</w:t>
      </w:r>
      <w:r>
        <w:t>а</w:t>
      </w:r>
      <w:r w:rsidR="00171F00">
        <w:t>з</w:t>
      </w:r>
      <w:r>
        <w:t>о</w:t>
      </w:r>
      <w:r w:rsidR="0071360A">
        <w:t>в</w:t>
      </w:r>
      <w:r>
        <w:t>н</w:t>
      </w:r>
      <w:r w:rsidR="00EE6AA2">
        <w:t>е</w:t>
      </w:r>
      <w:r w:rsidR="00CA2798" w:rsidRPr="00F6340E">
        <w:t xml:space="preserve"> </w:t>
      </w:r>
      <w:r w:rsidR="0071360A">
        <w:t>в</w:t>
      </w:r>
      <w:r>
        <w:t>ла</w:t>
      </w:r>
      <w:r w:rsidR="0071360A">
        <w:t>ст</w:t>
      </w:r>
      <w:r>
        <w:t>и</w:t>
      </w:r>
      <w:r w:rsidR="001A03B4" w:rsidRPr="00F6340E">
        <w:t xml:space="preserve"> </w:t>
      </w:r>
      <w:r w:rsidR="0071360A">
        <w:t>су</w:t>
      </w:r>
      <w:r w:rsidR="001A03B4" w:rsidRPr="00F6340E">
        <w:t xml:space="preserve"> </w:t>
      </w:r>
      <w:r>
        <w:t>доно</w:t>
      </w:r>
      <w:r w:rsidR="0071360A">
        <w:t>с</w:t>
      </w:r>
      <w:r>
        <w:t>ил</w:t>
      </w:r>
      <w:r w:rsidR="00EE6AA2">
        <w:t>е</w:t>
      </w:r>
      <w:r w:rsidR="001A03B4" w:rsidRPr="00F6340E">
        <w:t xml:space="preserve"> </w:t>
      </w:r>
      <w:r w:rsidR="0071360A">
        <w:t>р</w:t>
      </w:r>
      <w:r>
        <w:t>а</w:t>
      </w:r>
      <w:r w:rsidR="00171F00">
        <w:t>з</w:t>
      </w:r>
      <w:r>
        <w:t>личи</w:t>
      </w:r>
      <w:r w:rsidR="0071360A">
        <w:t>т</w:t>
      </w:r>
      <w:r w:rsidR="00EE6AA2">
        <w:t>е</w:t>
      </w:r>
      <w:r w:rsidR="001A03B4" w:rsidRPr="00F6340E">
        <w:t xml:space="preserve"> </w:t>
      </w:r>
      <w:r>
        <w:t>одл</w:t>
      </w:r>
      <w:r w:rsidR="0071360A">
        <w:t>у</w:t>
      </w:r>
      <w:r>
        <w:t>к</w:t>
      </w:r>
      <w:r w:rsidR="00EE6AA2">
        <w:t>е</w:t>
      </w:r>
      <w:r w:rsidR="001A03B4" w:rsidRPr="00F6340E">
        <w:t xml:space="preserve">, </w:t>
      </w:r>
      <w:r w:rsidR="0071360A">
        <w:t>пр</w:t>
      </w:r>
      <w:r>
        <w:t>а</w:t>
      </w:r>
      <w:r w:rsidR="0071360A">
        <w:t>в</w:t>
      </w:r>
      <w:r>
        <w:t>илник</w:t>
      </w:r>
      <w:r w:rsidR="00EE6AA2">
        <w:t>е</w:t>
      </w:r>
      <w:r w:rsidR="001A03B4" w:rsidRPr="00F6340E">
        <w:t xml:space="preserve">, </w:t>
      </w:r>
      <w:r w:rsidR="0071360A">
        <w:t>упутств</w:t>
      </w:r>
      <w:r>
        <w:t>а</w:t>
      </w:r>
      <w:r w:rsidR="001A03B4" w:rsidRPr="00F6340E">
        <w:t xml:space="preserve">, </w:t>
      </w:r>
      <w:r w:rsidR="0071360A">
        <w:t>ур</w:t>
      </w:r>
      <w:r w:rsidR="00EE6AA2">
        <w:t>е</w:t>
      </w:r>
      <w:r>
        <w:t>дб</w:t>
      </w:r>
      <w:r w:rsidR="00EE6AA2">
        <w:t>е</w:t>
      </w:r>
      <w:r w:rsidR="00E45843" w:rsidRPr="00F6340E">
        <w:t>,</w:t>
      </w:r>
      <w:r w:rsidR="001A03B4" w:rsidRPr="00F6340E">
        <w:t xml:space="preserve"> </w:t>
      </w:r>
      <w:r>
        <w:t>којима</w:t>
      </w:r>
      <w:r w:rsidR="001A03B4" w:rsidRPr="00F6340E">
        <w:t xml:space="preserve"> </w:t>
      </w:r>
      <w:r w:rsidR="0071360A">
        <w:t>с</w:t>
      </w:r>
      <w:r w:rsidR="00EE6AA2">
        <w:t>е</w:t>
      </w:r>
      <w:r w:rsidR="001A03B4" w:rsidRPr="00F6340E">
        <w:t xml:space="preserve"> </w:t>
      </w:r>
      <w:r w:rsidR="0071360A">
        <w:t>р</w:t>
      </w:r>
      <w:r w:rsidR="00EE6AA2">
        <w:t>е</w:t>
      </w:r>
      <w:r>
        <w:t>г</w:t>
      </w:r>
      <w:r w:rsidR="0071360A">
        <w:t>у</w:t>
      </w:r>
      <w:r>
        <w:t>ли</w:t>
      </w:r>
      <w:r w:rsidR="0071360A">
        <w:t>с</w:t>
      </w:r>
      <w:r>
        <w:t>ало</w:t>
      </w:r>
      <w:r w:rsidR="001A03B4" w:rsidRPr="00F6340E">
        <w:t xml:space="preserve"> </w:t>
      </w:r>
      <w:r>
        <w:t>и</w:t>
      </w:r>
      <w:r w:rsidR="00171F00">
        <w:t>з</w:t>
      </w:r>
      <w:r w:rsidR="0071360A">
        <w:t>в</w:t>
      </w:r>
      <w:r>
        <w:t>ођ</w:t>
      </w:r>
      <w:r w:rsidR="00EE6AA2">
        <w:t>е</w:t>
      </w:r>
      <w:r>
        <w:t>њ</w:t>
      </w:r>
      <w:r w:rsidR="00EE6AA2">
        <w:t>е</w:t>
      </w:r>
      <w:r w:rsidR="001A03B4" w:rsidRPr="00F6340E">
        <w:t xml:space="preserve"> </w:t>
      </w:r>
      <w:r>
        <w:t>на</w:t>
      </w:r>
      <w:r w:rsidR="0071360A">
        <w:t>ст</w:t>
      </w:r>
      <w:r>
        <w:t>а</w:t>
      </w:r>
      <w:r w:rsidR="0071360A">
        <w:t>в</w:t>
      </w:r>
      <w:r w:rsidR="00EE6AA2">
        <w:t>е</w:t>
      </w:r>
      <w:r w:rsidR="001A03B4" w:rsidRPr="00F6340E">
        <w:t xml:space="preserve"> </w:t>
      </w:r>
      <w:r w:rsidR="0071360A">
        <w:t>у</w:t>
      </w:r>
      <w:r w:rsidR="001A03B4" w:rsidRPr="00F6340E">
        <w:t xml:space="preserve"> </w:t>
      </w:r>
      <w:r>
        <w:t>и</w:t>
      </w:r>
      <w:r w:rsidR="00171F00">
        <w:t>з</w:t>
      </w:r>
      <w:r>
        <w:t>мј</w:t>
      </w:r>
      <w:r w:rsidR="00EE6AA2">
        <w:t>е</w:t>
      </w:r>
      <w:r>
        <w:t>њ</w:t>
      </w:r>
      <w:r w:rsidR="00EE6AA2">
        <w:t>е</w:t>
      </w:r>
      <w:r>
        <w:t>ним</w:t>
      </w:r>
      <w:r w:rsidR="001A03B4" w:rsidRPr="00F6340E">
        <w:t xml:space="preserve"> </w:t>
      </w:r>
      <w:r w:rsidR="0071360A">
        <w:t>ус</w:t>
      </w:r>
      <w:r>
        <w:t>ло</w:t>
      </w:r>
      <w:r w:rsidR="0071360A">
        <w:t>в</w:t>
      </w:r>
      <w:r>
        <w:t>има</w:t>
      </w:r>
      <w:r w:rsidR="001A03B4" w:rsidRPr="00F6340E">
        <w:t xml:space="preserve"> </w:t>
      </w:r>
      <w:r>
        <w:t>на</w:t>
      </w:r>
      <w:r w:rsidR="001A03B4" w:rsidRPr="00F6340E">
        <w:t xml:space="preserve"> </w:t>
      </w:r>
      <w:r>
        <w:t>ни</w:t>
      </w:r>
      <w:r w:rsidR="0071360A">
        <w:t>в</w:t>
      </w:r>
      <w:r>
        <w:t>о</w:t>
      </w:r>
      <w:r w:rsidR="0071360A">
        <w:t>у</w:t>
      </w:r>
      <w:r w:rsidR="001A03B4" w:rsidRPr="00F6340E">
        <w:t xml:space="preserve"> </w:t>
      </w:r>
      <w:r>
        <w:t>админи</w:t>
      </w:r>
      <w:r w:rsidR="0071360A">
        <w:t>стр</w:t>
      </w:r>
      <w:r>
        <w:t>а</w:t>
      </w:r>
      <w:r w:rsidR="0071360A">
        <w:t>т</w:t>
      </w:r>
      <w:r>
        <w:t>и</w:t>
      </w:r>
      <w:r w:rsidR="0071360A">
        <w:t>в</w:t>
      </w:r>
      <w:r>
        <w:t>них</w:t>
      </w:r>
      <w:r w:rsidR="001A03B4" w:rsidRPr="00F6340E">
        <w:t xml:space="preserve"> </w:t>
      </w:r>
      <w:r>
        <w:t>ј</w:t>
      </w:r>
      <w:r w:rsidR="00EE6AA2">
        <w:t>е</w:t>
      </w:r>
      <w:r>
        <w:t>диница</w:t>
      </w:r>
      <w:r w:rsidR="001A03B4" w:rsidRPr="00F6340E">
        <w:t xml:space="preserve">. </w:t>
      </w:r>
      <w:r w:rsidR="0071360A">
        <w:t>У</w:t>
      </w:r>
      <w:r w:rsidR="00A506C8" w:rsidRPr="00F6340E">
        <w:t xml:space="preserve"> </w:t>
      </w:r>
      <w:r w:rsidR="0071360A">
        <w:t>Р</w:t>
      </w:r>
      <w:r w:rsidR="00EE6AA2">
        <w:t>е</w:t>
      </w:r>
      <w:r w:rsidR="0071360A">
        <w:t>пу</w:t>
      </w:r>
      <w:r>
        <w:t>блици</w:t>
      </w:r>
      <w:r w:rsidR="00A506C8" w:rsidRPr="00F6340E">
        <w:t xml:space="preserve"> </w:t>
      </w:r>
      <w:r w:rsidR="0071360A">
        <w:t>Српс</w:t>
      </w:r>
      <w:r>
        <w:t>кој</w:t>
      </w:r>
      <w:r w:rsidR="00A506C8" w:rsidRPr="00F6340E">
        <w:t xml:space="preserve"> </w:t>
      </w:r>
      <w:r>
        <w:t>и</w:t>
      </w:r>
      <w:r w:rsidR="00A506C8" w:rsidRPr="00F6340E">
        <w:t xml:space="preserve"> </w:t>
      </w:r>
      <w:r>
        <w:t>Кан</w:t>
      </w:r>
      <w:r w:rsidR="0071360A">
        <w:t>т</w:t>
      </w:r>
      <w:r>
        <w:t>он</w:t>
      </w:r>
      <w:r w:rsidR="0071360A">
        <w:t>у</w:t>
      </w:r>
      <w:r w:rsidR="00F22500" w:rsidRPr="00F6340E">
        <w:t xml:space="preserve"> </w:t>
      </w:r>
      <w:r w:rsidR="0071360A">
        <w:t>С</w:t>
      </w:r>
      <w:r>
        <w:t>а</w:t>
      </w:r>
      <w:r w:rsidR="0071360A">
        <w:t>р</w:t>
      </w:r>
      <w:r>
        <w:t>ај</w:t>
      </w:r>
      <w:r w:rsidR="00EE6AA2">
        <w:t>е</w:t>
      </w:r>
      <w:r w:rsidR="0071360A">
        <w:t>в</w:t>
      </w:r>
      <w:r>
        <w:t>о</w:t>
      </w:r>
      <w:r w:rsidR="00673515" w:rsidRPr="00F6340E">
        <w:t xml:space="preserve"> </w:t>
      </w:r>
      <w:r w:rsidR="0071360A">
        <w:t>су</w:t>
      </w:r>
      <w:r w:rsidR="00E45843" w:rsidRPr="00F6340E">
        <w:t xml:space="preserve">, </w:t>
      </w:r>
      <w:r w:rsidR="0071360A">
        <w:t>у</w:t>
      </w:r>
      <w:r w:rsidR="00E45843" w:rsidRPr="00F6340E">
        <w:t xml:space="preserve"> </w:t>
      </w:r>
      <w:r w:rsidR="0071360A">
        <w:t>п</w:t>
      </w:r>
      <w:r>
        <w:t>о</w:t>
      </w:r>
      <w:r w:rsidR="0071360A">
        <w:t>р</w:t>
      </w:r>
      <w:r w:rsidR="00EE6AA2">
        <w:t>е</w:t>
      </w:r>
      <w:r>
        <w:t>ђ</w:t>
      </w:r>
      <w:r w:rsidR="00EE6AA2">
        <w:t>е</w:t>
      </w:r>
      <w:r>
        <w:t>њ</w:t>
      </w:r>
      <w:r w:rsidR="0071360A">
        <w:t>у</w:t>
      </w:r>
      <w:r w:rsidR="00B04FA8">
        <w:t xml:space="preserve"> са </w:t>
      </w:r>
      <w:r>
        <w:t>д</w:t>
      </w:r>
      <w:r w:rsidR="0071360A">
        <w:t>ру</w:t>
      </w:r>
      <w:r>
        <w:t>гима</w:t>
      </w:r>
      <w:r w:rsidR="00E45843" w:rsidRPr="00F6340E">
        <w:t>,</w:t>
      </w:r>
      <w:r w:rsidR="00673515" w:rsidRPr="00F6340E">
        <w:t xml:space="preserve"> </w:t>
      </w:r>
      <w:r>
        <w:t>на</w:t>
      </w:r>
      <w:r w:rsidR="0071360A">
        <w:t>пр</w:t>
      </w:r>
      <w:r>
        <w:t>а</w:t>
      </w:r>
      <w:r w:rsidR="0071360A">
        <w:t>в</w:t>
      </w:r>
      <w:r>
        <w:t>љ</w:t>
      </w:r>
      <w:r w:rsidR="00EE6AA2">
        <w:t>е</w:t>
      </w:r>
      <w:r>
        <w:t>ни</w:t>
      </w:r>
      <w:r w:rsidR="00673515" w:rsidRPr="00F6340E">
        <w:t xml:space="preserve"> </w:t>
      </w:r>
      <w:r w:rsidR="00171F00">
        <w:t>з</w:t>
      </w:r>
      <w:r>
        <w:t>начајнији</w:t>
      </w:r>
      <w:r w:rsidR="00673515" w:rsidRPr="00F6340E">
        <w:t xml:space="preserve"> </w:t>
      </w:r>
      <w:r>
        <w:t>и</w:t>
      </w:r>
      <w:r w:rsidR="0071360A">
        <w:t>с</w:t>
      </w:r>
      <w:r>
        <w:t>ко</w:t>
      </w:r>
      <w:r w:rsidR="0071360A">
        <w:t>р</w:t>
      </w:r>
      <w:r>
        <w:t>аци</w:t>
      </w:r>
      <w:r w:rsidR="00673515" w:rsidRPr="00F6340E">
        <w:t xml:space="preserve"> </w:t>
      </w:r>
      <w:r>
        <w:t>ка</w:t>
      </w:r>
      <w:r w:rsidR="00673515" w:rsidRPr="00F6340E">
        <w:t xml:space="preserve"> </w:t>
      </w:r>
      <w:r>
        <w:t>фо</w:t>
      </w:r>
      <w:r w:rsidR="0071360A">
        <w:t>р</w:t>
      </w:r>
      <w:r>
        <w:t>мали</w:t>
      </w:r>
      <w:r w:rsidR="00171F00">
        <w:t>з</w:t>
      </w:r>
      <w:r>
        <w:t>ацији</w:t>
      </w:r>
      <w:r w:rsidR="00947928" w:rsidRPr="00F6340E">
        <w:t xml:space="preserve"> </w:t>
      </w:r>
      <w:r>
        <w:t>на</w:t>
      </w:r>
      <w:r w:rsidR="0071360A">
        <w:t>ст</w:t>
      </w:r>
      <w:r>
        <w:t>а</w:t>
      </w:r>
      <w:r w:rsidR="0071360A">
        <w:t>в</w:t>
      </w:r>
      <w:r w:rsidR="00EE6AA2">
        <w:t>е</w:t>
      </w:r>
      <w:r w:rsidR="00947928" w:rsidRPr="00F6340E">
        <w:t xml:space="preserve"> </w:t>
      </w:r>
      <w:r w:rsidR="0071360A">
        <w:t>пут</w:t>
      </w:r>
      <w:r w:rsidR="00EE6AA2">
        <w:t>е</w:t>
      </w:r>
      <w:r>
        <w:t>м</w:t>
      </w:r>
      <w:r w:rsidR="00947928" w:rsidRPr="00F6340E">
        <w:t xml:space="preserve"> </w:t>
      </w:r>
      <w:r>
        <w:t>ин</w:t>
      </w:r>
      <w:r w:rsidR="0071360A">
        <w:t>т</w:t>
      </w:r>
      <w:r w:rsidR="00EE6AA2">
        <w:t>е</w:t>
      </w:r>
      <w:r w:rsidR="0071360A">
        <w:t>р</w:t>
      </w:r>
      <w:r>
        <w:t>н</w:t>
      </w:r>
      <w:r w:rsidR="00EE6AA2">
        <w:t>е</w:t>
      </w:r>
      <w:r w:rsidR="0071360A">
        <w:t>т</w:t>
      </w:r>
      <w:r>
        <w:t>а</w:t>
      </w:r>
      <w:r w:rsidR="00947928" w:rsidRPr="00F6340E">
        <w:t xml:space="preserve"> </w:t>
      </w:r>
      <w:r>
        <w:t>и</w:t>
      </w:r>
      <w:r w:rsidR="00A72625" w:rsidRPr="00F6340E">
        <w:t xml:space="preserve"> </w:t>
      </w:r>
      <w:r>
        <w:t>комбино</w:t>
      </w:r>
      <w:r w:rsidR="0071360A">
        <w:t>в</w:t>
      </w:r>
      <w:r>
        <w:t>ан</w:t>
      </w:r>
      <w:r w:rsidR="00EE6AA2">
        <w:t>е</w:t>
      </w:r>
      <w:r w:rsidR="00A72625" w:rsidRPr="00F6340E">
        <w:t xml:space="preserve"> </w:t>
      </w:r>
      <w:r>
        <w:t>на</w:t>
      </w:r>
      <w:r w:rsidR="0071360A">
        <w:t>ст</w:t>
      </w:r>
      <w:r>
        <w:t>а</w:t>
      </w:r>
      <w:r w:rsidR="0071360A">
        <w:t>в</w:t>
      </w:r>
      <w:r w:rsidR="00EE6AA2">
        <w:t>е</w:t>
      </w:r>
      <w:r w:rsidR="00673515" w:rsidRPr="00F6340E">
        <w:t xml:space="preserve"> </w:t>
      </w:r>
      <w:r w:rsidR="0071360A">
        <w:t>с</w:t>
      </w:r>
      <w:r>
        <w:t>а</w:t>
      </w:r>
      <w:r w:rsidR="00673515" w:rsidRPr="00F6340E">
        <w:t xml:space="preserve"> </w:t>
      </w:r>
      <w:r w:rsidR="0071360A">
        <w:t>св</w:t>
      </w:r>
      <w:r>
        <w:t>ојим</w:t>
      </w:r>
      <w:r w:rsidR="00673515" w:rsidRPr="00F6340E">
        <w:t xml:space="preserve"> </w:t>
      </w:r>
      <w:r w:rsidR="0071360A">
        <w:t>сп</w:t>
      </w:r>
      <w:r w:rsidR="00EE6AA2">
        <w:t>е</w:t>
      </w:r>
      <w:r>
        <w:t>цифично</w:t>
      </w:r>
      <w:r w:rsidR="0071360A">
        <w:t>ст</w:t>
      </w:r>
      <w:r>
        <w:t>има</w:t>
      </w:r>
      <w:r w:rsidR="00673515" w:rsidRPr="00F6340E">
        <w:t xml:space="preserve"> </w:t>
      </w:r>
      <w:r w:rsidR="0071360A">
        <w:t>у</w:t>
      </w:r>
      <w:r w:rsidR="00673515" w:rsidRPr="00F6340E">
        <w:t xml:space="preserve"> </w:t>
      </w:r>
      <w:r w:rsidR="00171F00">
        <w:t>з</w:t>
      </w:r>
      <w:r>
        <w:t>акон</w:t>
      </w:r>
      <w:r w:rsidR="0071360A">
        <w:t>с</w:t>
      </w:r>
      <w:r>
        <w:t>ком</w:t>
      </w:r>
      <w:r w:rsidR="00673515" w:rsidRPr="00F6340E">
        <w:t xml:space="preserve"> </w:t>
      </w:r>
      <w:r>
        <w:t>и</w:t>
      </w:r>
      <w:r w:rsidR="00673515" w:rsidRPr="00F6340E">
        <w:t xml:space="preserve"> </w:t>
      </w:r>
      <w:r w:rsidR="0071360A">
        <w:t>п</w:t>
      </w:r>
      <w:r>
        <w:t>од</w:t>
      </w:r>
      <w:r w:rsidR="00171F00">
        <w:t>з</w:t>
      </w:r>
      <w:r>
        <w:t>акон</w:t>
      </w:r>
      <w:r w:rsidR="0071360A">
        <w:t>с</w:t>
      </w:r>
      <w:r>
        <w:t>ком</w:t>
      </w:r>
      <w:r w:rsidR="00673515" w:rsidRPr="00F6340E">
        <w:t xml:space="preserve"> </w:t>
      </w:r>
      <w:r>
        <w:t>но</w:t>
      </w:r>
      <w:r w:rsidR="0071360A">
        <w:t>р</w:t>
      </w:r>
      <w:r>
        <w:t>ма</w:t>
      </w:r>
      <w:r w:rsidR="0071360A">
        <w:t>т</w:t>
      </w:r>
      <w:r>
        <w:t>и</w:t>
      </w:r>
      <w:r w:rsidR="0071360A">
        <w:t>ву</w:t>
      </w:r>
      <w:r w:rsidR="00673515" w:rsidRPr="00F6340E">
        <w:t xml:space="preserve">. </w:t>
      </w:r>
      <w:r w:rsidR="0071360A">
        <w:t>У</w:t>
      </w:r>
      <w:r w:rsidR="00673515" w:rsidRPr="00F6340E">
        <w:t xml:space="preserve"> </w:t>
      </w:r>
      <w:r>
        <w:t>д</w:t>
      </w:r>
      <w:r w:rsidR="0071360A">
        <w:t>ру</w:t>
      </w:r>
      <w:r>
        <w:t>гим</w:t>
      </w:r>
      <w:r w:rsidR="00673515" w:rsidRPr="00F6340E">
        <w:t xml:space="preserve"> </w:t>
      </w:r>
      <w:r>
        <w:t>админи</w:t>
      </w:r>
      <w:r w:rsidR="0071360A">
        <w:t>стр</w:t>
      </w:r>
      <w:r>
        <w:t>а</w:t>
      </w:r>
      <w:r w:rsidR="0071360A">
        <w:t>т</w:t>
      </w:r>
      <w:r>
        <w:t>и</w:t>
      </w:r>
      <w:r w:rsidR="0071360A">
        <w:t>в</w:t>
      </w:r>
      <w:r>
        <w:t>ним</w:t>
      </w:r>
      <w:r w:rsidR="00673515" w:rsidRPr="00F6340E">
        <w:t xml:space="preserve"> </w:t>
      </w:r>
      <w:r>
        <w:t>ј</w:t>
      </w:r>
      <w:r w:rsidR="00EE6AA2">
        <w:t>е</w:t>
      </w:r>
      <w:r>
        <w:t>диницама</w:t>
      </w:r>
      <w:r w:rsidR="00673515" w:rsidRPr="00F6340E">
        <w:t xml:space="preserve"> </w:t>
      </w:r>
      <w:r>
        <w:t>и</w:t>
      </w:r>
      <w:r w:rsidR="0071360A">
        <w:t>с</w:t>
      </w:r>
      <w:r>
        <w:t>к</w:t>
      </w:r>
      <w:r w:rsidR="0071360A">
        <w:t>уств</w:t>
      </w:r>
      <w:r>
        <w:t>а</w:t>
      </w:r>
      <w:r w:rsidR="00673515" w:rsidRPr="00F6340E">
        <w:t xml:space="preserve"> </w:t>
      </w:r>
      <w:r w:rsidR="0071360A">
        <w:t>су</w:t>
      </w:r>
      <w:r w:rsidR="00673515" w:rsidRPr="00F6340E">
        <w:t xml:space="preserve"> </w:t>
      </w:r>
      <w:r w:rsidR="0071360A">
        <w:t>р</w:t>
      </w:r>
      <w:r>
        <w:t>а</w:t>
      </w:r>
      <w:r w:rsidR="00171F00">
        <w:t>з</w:t>
      </w:r>
      <w:r>
        <w:t>личи</w:t>
      </w:r>
      <w:r w:rsidR="0071360A">
        <w:t>т</w:t>
      </w:r>
      <w:r>
        <w:t>а</w:t>
      </w:r>
      <w:r w:rsidR="00673515" w:rsidRPr="00F6340E">
        <w:t xml:space="preserve"> </w:t>
      </w:r>
      <w:r>
        <w:t>и</w:t>
      </w:r>
      <w:r w:rsidR="00673515" w:rsidRPr="00F6340E">
        <w:t xml:space="preserve"> </w:t>
      </w:r>
      <w:r w:rsidR="0071360A">
        <w:t>р</w:t>
      </w:r>
      <w:r>
        <w:t>ади</w:t>
      </w:r>
      <w:r w:rsidR="00673515" w:rsidRPr="00F6340E">
        <w:t xml:space="preserve"> </w:t>
      </w:r>
      <w:r w:rsidR="0071360A">
        <w:t>с</w:t>
      </w:r>
      <w:r w:rsidR="00EE6AA2">
        <w:t>е</w:t>
      </w:r>
      <w:r w:rsidR="00673515" w:rsidRPr="00F6340E">
        <w:t xml:space="preserve">, </w:t>
      </w:r>
      <w:r w:rsidR="0071360A">
        <w:t>у</w:t>
      </w:r>
      <w:r>
        <w:t>гла</w:t>
      </w:r>
      <w:r w:rsidR="0071360A">
        <w:t>в</w:t>
      </w:r>
      <w:r>
        <w:t>ном</w:t>
      </w:r>
      <w:r w:rsidR="00BB7BF1" w:rsidRPr="00F6340E">
        <w:t>,</w:t>
      </w:r>
      <w:r w:rsidR="00673515" w:rsidRPr="00F6340E">
        <w:t xml:space="preserve"> </w:t>
      </w:r>
      <w:r>
        <w:t>о</w:t>
      </w:r>
      <w:r w:rsidR="00673515" w:rsidRPr="00F6340E">
        <w:t xml:space="preserve"> </w:t>
      </w:r>
      <w:r w:rsidR="0071360A">
        <w:t>пр</w:t>
      </w:r>
      <w:r w:rsidR="00EE6AA2">
        <w:t>е</w:t>
      </w:r>
      <w:r w:rsidR="0071360A">
        <w:t>п</w:t>
      </w:r>
      <w:r>
        <w:t>о</w:t>
      </w:r>
      <w:r w:rsidR="0071360A">
        <w:t>ру</w:t>
      </w:r>
      <w:r>
        <w:t>кама</w:t>
      </w:r>
      <w:r w:rsidR="00673515" w:rsidRPr="00F6340E">
        <w:t xml:space="preserve">, </w:t>
      </w:r>
      <w:r>
        <w:t>до</w:t>
      </w:r>
      <w:r w:rsidR="0071360A">
        <w:t>п</w:t>
      </w:r>
      <w:r>
        <w:t>и</w:t>
      </w:r>
      <w:r w:rsidR="0071360A">
        <w:t>с</w:t>
      </w:r>
      <w:r>
        <w:t>има</w:t>
      </w:r>
      <w:r w:rsidR="00673515" w:rsidRPr="00F6340E">
        <w:t xml:space="preserve">, </w:t>
      </w:r>
      <w:r w:rsidR="0071360A">
        <w:t>упутств</w:t>
      </w:r>
      <w:r>
        <w:t>има</w:t>
      </w:r>
      <w:r w:rsidR="00673515" w:rsidRPr="00F6340E">
        <w:t>.</w:t>
      </w:r>
      <w:r w:rsidR="00871E7C" w:rsidRPr="00F6340E">
        <w:rPr>
          <w:rStyle w:val="FootnoteReference"/>
          <w:rFonts w:cs="Arial"/>
          <w:noProof w:val="0"/>
          <w:szCs w:val="24"/>
        </w:rPr>
        <w:footnoteReference w:id="15"/>
      </w:r>
      <w:r w:rsidR="00673515" w:rsidRPr="00F6340E">
        <w:t xml:space="preserve"> </w:t>
      </w:r>
    </w:p>
    <w:p w14:paraId="06F3B8E3" w14:textId="464998FA" w:rsidR="00853528" w:rsidRPr="00F6340E" w:rsidRDefault="00A56E08" w:rsidP="00FA4DC9">
      <w:pPr>
        <w:pStyle w:val="Body"/>
      </w:pPr>
      <w:r>
        <w:t>М</w:t>
      </w:r>
      <w:r w:rsidR="00EE6AA2">
        <w:t>е</w:t>
      </w:r>
      <w:r>
        <w:t>ђ</w:t>
      </w:r>
      <w:r w:rsidR="0071360A">
        <w:t>ут</w:t>
      </w:r>
      <w:r>
        <w:t>им</w:t>
      </w:r>
      <w:r w:rsidR="00BB7BF1" w:rsidRPr="00F6340E">
        <w:t xml:space="preserve">, </w:t>
      </w:r>
      <w:r w:rsidR="0071360A">
        <w:t>у</w:t>
      </w:r>
      <w:r w:rsidR="00C85FBE" w:rsidRPr="00F6340E">
        <w:t xml:space="preserve"> </w:t>
      </w:r>
      <w:r>
        <w:t>на</w:t>
      </w:r>
      <w:r w:rsidR="0071360A">
        <w:t>ст</w:t>
      </w:r>
      <w:r>
        <w:t>а</w:t>
      </w:r>
      <w:r w:rsidR="0071360A">
        <w:t>в</w:t>
      </w:r>
      <w:r>
        <w:t>ној</w:t>
      </w:r>
      <w:r w:rsidR="00C85FBE" w:rsidRPr="00F6340E">
        <w:t xml:space="preserve"> </w:t>
      </w:r>
      <w:r w:rsidR="0071360A">
        <w:t>пр</w:t>
      </w:r>
      <w:r>
        <w:t>ак</w:t>
      </w:r>
      <w:r w:rsidR="0071360A">
        <w:t>с</w:t>
      </w:r>
      <w:r>
        <w:t>и</w:t>
      </w:r>
      <w:r w:rsidR="00C85FBE" w:rsidRPr="00F6340E">
        <w:t xml:space="preserve"> </w:t>
      </w:r>
      <w:r>
        <w:t>и</w:t>
      </w:r>
      <w:r w:rsidR="00C85FBE" w:rsidRPr="00F6340E">
        <w:t xml:space="preserve"> </w:t>
      </w:r>
      <w:r>
        <w:t>даљ</w:t>
      </w:r>
      <w:r w:rsidR="00EE6AA2">
        <w:t>е</w:t>
      </w:r>
      <w:r w:rsidR="00C85FBE" w:rsidRPr="00F6340E">
        <w:t xml:space="preserve"> </w:t>
      </w:r>
      <w:r w:rsidR="0071360A">
        <w:t>п</w:t>
      </w:r>
      <w:r>
        <w:t>о</w:t>
      </w:r>
      <w:r w:rsidR="0071360A">
        <w:t>ст</w:t>
      </w:r>
      <w:r>
        <w:t>ој</w:t>
      </w:r>
      <w:r w:rsidR="00EE6AA2">
        <w:t>е</w:t>
      </w:r>
      <w:r w:rsidR="00C85FBE" w:rsidRPr="00F6340E">
        <w:t xml:space="preserve"> </w:t>
      </w:r>
      <w:r>
        <w:t>б</w:t>
      </w:r>
      <w:r w:rsidR="0071360A">
        <w:t>р</w:t>
      </w:r>
      <w:r>
        <w:t>ојн</w:t>
      </w:r>
      <w:r w:rsidR="00EE6AA2">
        <w:t>е</w:t>
      </w:r>
      <w:r w:rsidR="00C85FBE" w:rsidRPr="00F6340E">
        <w:t xml:space="preserve"> </w:t>
      </w:r>
      <w:r>
        <w:t>н</w:t>
      </w:r>
      <w:r w:rsidR="00EE6AA2">
        <w:t>е</w:t>
      </w:r>
      <w:r w:rsidR="0071360A">
        <w:t>с</w:t>
      </w:r>
      <w:r>
        <w:t>иг</w:t>
      </w:r>
      <w:r w:rsidR="0071360A">
        <w:t>ур</w:t>
      </w:r>
      <w:r>
        <w:t>но</w:t>
      </w:r>
      <w:r w:rsidR="0071360A">
        <w:t>ст</w:t>
      </w:r>
      <w:r>
        <w:t>и</w:t>
      </w:r>
      <w:r w:rsidR="00C85FBE" w:rsidRPr="00F6340E">
        <w:t xml:space="preserve"> </w:t>
      </w:r>
      <w:r>
        <w:t>и</w:t>
      </w:r>
      <w:r w:rsidR="00C85FBE" w:rsidRPr="00F6340E">
        <w:t xml:space="preserve"> </w:t>
      </w:r>
      <w:r>
        <w:t>н</w:t>
      </w:r>
      <w:r w:rsidR="00EE6AA2">
        <w:t>е</w:t>
      </w:r>
      <w:r>
        <w:t>до</w:t>
      </w:r>
      <w:r w:rsidR="0071360A">
        <w:t>ст</w:t>
      </w:r>
      <w:r>
        <w:t>аци</w:t>
      </w:r>
      <w:r w:rsidR="004B0FCD" w:rsidRPr="00F6340E">
        <w:t xml:space="preserve"> </w:t>
      </w:r>
      <w:r w:rsidR="0071360A">
        <w:t>у</w:t>
      </w:r>
      <w:r w:rsidR="00C85FBE" w:rsidRPr="00F6340E">
        <w:t xml:space="preserve"> </w:t>
      </w:r>
      <w:r w:rsidR="0071360A">
        <w:t>р</w:t>
      </w:r>
      <w:r>
        <w:t>а</w:t>
      </w:r>
      <w:r w:rsidR="00171F00">
        <w:t>з</w:t>
      </w:r>
      <w:r w:rsidR="0071360A">
        <w:t>у</w:t>
      </w:r>
      <w:r>
        <w:t>миј</w:t>
      </w:r>
      <w:r w:rsidR="00EE6AA2">
        <w:t>е</w:t>
      </w:r>
      <w:r w:rsidR="0071360A">
        <w:t>в</w:t>
      </w:r>
      <w:r>
        <w:t>ањ</w:t>
      </w:r>
      <w:r w:rsidR="0071360A">
        <w:t>у</w:t>
      </w:r>
      <w:r w:rsidR="00C85FBE" w:rsidRPr="00F6340E">
        <w:t xml:space="preserve"> </w:t>
      </w:r>
      <w:r w:rsidR="0071360A">
        <w:t>св</w:t>
      </w:r>
      <w:r>
        <w:t>их</w:t>
      </w:r>
      <w:r w:rsidR="00C85FBE" w:rsidRPr="00F6340E">
        <w:t xml:space="preserve"> </w:t>
      </w:r>
      <w:r w:rsidR="00EE6AA2">
        <w:t>е</w:t>
      </w:r>
      <w:r>
        <w:t>л</w:t>
      </w:r>
      <w:r w:rsidR="00EE6AA2">
        <w:t>е</w:t>
      </w:r>
      <w:r>
        <w:t>м</w:t>
      </w:r>
      <w:r w:rsidR="00EE6AA2">
        <w:t>е</w:t>
      </w:r>
      <w:r>
        <w:t>на</w:t>
      </w:r>
      <w:r w:rsidR="0071360A">
        <w:t>т</w:t>
      </w:r>
      <w:r>
        <w:t>а</w:t>
      </w:r>
      <w:r w:rsidR="00C85FBE" w:rsidRPr="00F6340E">
        <w:t xml:space="preserve"> </w:t>
      </w:r>
      <w:r>
        <w:t>на</w:t>
      </w:r>
      <w:r w:rsidR="0071360A">
        <w:t>ст</w:t>
      </w:r>
      <w:r>
        <w:t>а</w:t>
      </w:r>
      <w:r w:rsidR="0071360A">
        <w:t>в</w:t>
      </w:r>
      <w:r w:rsidR="00EE6AA2">
        <w:t>е</w:t>
      </w:r>
      <w:r w:rsidR="005D2DE6" w:rsidRPr="00F6340E">
        <w:t xml:space="preserve"> </w:t>
      </w:r>
      <w:r w:rsidR="0071360A">
        <w:t>у</w:t>
      </w:r>
      <w:r w:rsidR="00C85FBE" w:rsidRPr="00F6340E">
        <w:t xml:space="preserve"> </w:t>
      </w:r>
      <w:r>
        <w:t>кон</w:t>
      </w:r>
      <w:r w:rsidR="0071360A">
        <w:t>т</w:t>
      </w:r>
      <w:r w:rsidR="00EE6AA2">
        <w:t>е</w:t>
      </w:r>
      <w:r>
        <w:t>к</w:t>
      </w:r>
      <w:r w:rsidR="0071360A">
        <w:t>сту</w:t>
      </w:r>
      <w:r w:rsidR="00C85FBE" w:rsidRPr="00F6340E">
        <w:t xml:space="preserve"> </w:t>
      </w:r>
      <w:r>
        <w:t>њ</w:t>
      </w:r>
      <w:r w:rsidR="00EE6AA2">
        <w:t>е</w:t>
      </w:r>
      <w:r>
        <w:t>н</w:t>
      </w:r>
      <w:r w:rsidR="00EE6AA2">
        <w:t>е</w:t>
      </w:r>
      <w:r w:rsidR="000B6FFF" w:rsidRPr="00F6340E">
        <w:t xml:space="preserve"> </w:t>
      </w:r>
      <w:r>
        <w:t>и</w:t>
      </w:r>
      <w:r w:rsidR="00171F00">
        <w:t>з</w:t>
      </w:r>
      <w:r w:rsidR="0071360A">
        <w:t>в</w:t>
      </w:r>
      <w:r w:rsidR="00EE6AA2">
        <w:t>е</w:t>
      </w:r>
      <w:r>
        <w:t>дб</w:t>
      </w:r>
      <w:r w:rsidR="00EE6AA2">
        <w:t>е</w:t>
      </w:r>
      <w:r w:rsidR="00F22500" w:rsidRPr="00F6340E">
        <w:t xml:space="preserve"> </w:t>
      </w:r>
      <w:r w:rsidR="0071360A">
        <w:t>пут</w:t>
      </w:r>
      <w:r w:rsidR="00EE6AA2">
        <w:t>е</w:t>
      </w:r>
      <w:r>
        <w:t>м</w:t>
      </w:r>
      <w:r w:rsidR="00F22500" w:rsidRPr="00F6340E">
        <w:t xml:space="preserve"> </w:t>
      </w:r>
      <w:r>
        <w:t>ин</w:t>
      </w:r>
      <w:r w:rsidR="0071360A">
        <w:t>т</w:t>
      </w:r>
      <w:r w:rsidR="00EE6AA2">
        <w:t>е</w:t>
      </w:r>
      <w:r w:rsidR="0071360A">
        <w:t>р</w:t>
      </w:r>
      <w:r>
        <w:t>н</w:t>
      </w:r>
      <w:r w:rsidR="00EE6AA2">
        <w:t>е</w:t>
      </w:r>
      <w:r w:rsidR="0071360A">
        <w:t>т</w:t>
      </w:r>
      <w:r>
        <w:t>а</w:t>
      </w:r>
      <w:r w:rsidR="00A72625" w:rsidRPr="00F6340E">
        <w:t xml:space="preserve"> </w:t>
      </w:r>
      <w:r>
        <w:t>и</w:t>
      </w:r>
      <w:r w:rsidR="00A72625" w:rsidRPr="00F6340E">
        <w:t xml:space="preserve"> </w:t>
      </w:r>
      <w:r>
        <w:t>комбино</w:t>
      </w:r>
      <w:r w:rsidR="0071360A">
        <w:t>в</w:t>
      </w:r>
      <w:r>
        <w:t>ан</w:t>
      </w:r>
      <w:r w:rsidR="00EE6AA2">
        <w:t>е</w:t>
      </w:r>
      <w:r w:rsidR="00C85FBE" w:rsidRPr="00F6340E">
        <w:t xml:space="preserve"> </w:t>
      </w:r>
      <w:r>
        <w:t>и</w:t>
      </w:r>
      <w:r w:rsidR="00171F00">
        <w:t>з</w:t>
      </w:r>
      <w:r w:rsidR="0071360A">
        <w:t>в</w:t>
      </w:r>
      <w:r w:rsidR="00EE6AA2">
        <w:t>е</w:t>
      </w:r>
      <w:r>
        <w:t>дб</w:t>
      </w:r>
      <w:r w:rsidR="00EE6AA2">
        <w:t>е</w:t>
      </w:r>
      <w:r w:rsidR="00C85FBE" w:rsidRPr="00F6340E">
        <w:t xml:space="preserve">. </w:t>
      </w:r>
      <w:r>
        <w:t>И</w:t>
      </w:r>
      <w:r w:rsidR="0071360A">
        <w:t>с</w:t>
      </w:r>
      <w:r>
        <w:t>ка</w:t>
      </w:r>
      <w:r w:rsidR="00171F00">
        <w:t>з</w:t>
      </w:r>
      <w:r>
        <w:t>ана</w:t>
      </w:r>
      <w:r w:rsidR="002F52B3" w:rsidRPr="00F6340E">
        <w:t xml:space="preserve"> </w:t>
      </w:r>
      <w:r>
        <w:t>ј</w:t>
      </w:r>
      <w:r w:rsidR="00EE6AA2">
        <w:t>е</w:t>
      </w:r>
      <w:r w:rsidR="002F52B3" w:rsidRPr="00F6340E">
        <w:t xml:space="preserve"> </w:t>
      </w:r>
      <w:r w:rsidR="0071360A">
        <w:t>п</w:t>
      </w:r>
      <w:r>
        <w:t>о</w:t>
      </w:r>
      <w:r w:rsidR="0071360A">
        <w:t>тр</w:t>
      </w:r>
      <w:r w:rsidR="00EE6AA2">
        <w:t>е</w:t>
      </w:r>
      <w:r>
        <w:t>ба</w:t>
      </w:r>
      <w:r w:rsidR="002F52B3" w:rsidRPr="00F6340E">
        <w:t xml:space="preserve"> </w:t>
      </w:r>
      <w:r>
        <w:t>да</w:t>
      </w:r>
      <w:r w:rsidR="002F52B3" w:rsidRPr="00F6340E">
        <w:t xml:space="preserve"> </w:t>
      </w:r>
      <w:r w:rsidR="0071360A">
        <w:t>пр</w:t>
      </w:r>
      <w:r>
        <w:t>а</w:t>
      </w:r>
      <w:r w:rsidR="0071360A">
        <w:t>в</w:t>
      </w:r>
      <w:r>
        <w:t>илници</w:t>
      </w:r>
      <w:r w:rsidR="002F52B3" w:rsidRPr="00F6340E">
        <w:t xml:space="preserve"> </w:t>
      </w:r>
      <w:r>
        <w:t>ја</w:t>
      </w:r>
      <w:r w:rsidR="0071360A">
        <w:t>с</w:t>
      </w:r>
      <w:r>
        <w:t>ниј</w:t>
      </w:r>
      <w:r w:rsidR="00EE6AA2">
        <w:t>е</w:t>
      </w:r>
      <w:r w:rsidR="002F52B3" w:rsidRPr="00F6340E">
        <w:t xml:space="preserve"> </w:t>
      </w:r>
      <w:r>
        <w:t>д</w:t>
      </w:r>
      <w:r w:rsidR="00EE6AA2">
        <w:t>е</w:t>
      </w:r>
      <w:r>
        <w:t>фини</w:t>
      </w:r>
      <w:r w:rsidR="0071360A">
        <w:t>шу</w:t>
      </w:r>
      <w:r w:rsidR="002F52B3" w:rsidRPr="00F6340E">
        <w:t xml:space="preserve"> </w:t>
      </w:r>
      <w:r w:rsidR="0071360A">
        <w:t>п</w:t>
      </w:r>
      <w:r>
        <w:t>ојмо</w:t>
      </w:r>
      <w:r w:rsidR="0071360A">
        <w:t>в</w:t>
      </w:r>
      <w:r w:rsidR="00EE6AA2">
        <w:t>е</w:t>
      </w:r>
      <w:r w:rsidR="00A221EF" w:rsidRPr="00F6340E">
        <w:t xml:space="preserve"> </w:t>
      </w:r>
      <w:r>
        <w:t>који</w:t>
      </w:r>
      <w:r w:rsidR="00A221EF" w:rsidRPr="00F6340E">
        <w:t xml:space="preserve"> </w:t>
      </w:r>
      <w:r w:rsidR="0071360A">
        <w:t>с</w:t>
      </w:r>
      <w:r w:rsidR="00EE6AA2">
        <w:t>е</w:t>
      </w:r>
      <w:r w:rsidR="00A221EF" w:rsidRPr="00F6340E">
        <w:t xml:space="preserve"> </w:t>
      </w:r>
      <w:r>
        <w:t>одно</w:t>
      </w:r>
      <w:r w:rsidR="0071360A">
        <w:t>с</w:t>
      </w:r>
      <w:r w:rsidR="00EE6AA2">
        <w:t>е</w:t>
      </w:r>
      <w:r w:rsidR="00A221EF" w:rsidRPr="00F6340E">
        <w:t xml:space="preserve"> </w:t>
      </w:r>
      <w:r>
        <w:t>на</w:t>
      </w:r>
      <w:r w:rsidR="00A221EF" w:rsidRPr="00F6340E">
        <w:t xml:space="preserve"> </w:t>
      </w:r>
      <w:r w:rsidR="0071360A">
        <w:t>пр</w:t>
      </w:r>
      <w:r>
        <w:t>имј</w:t>
      </w:r>
      <w:r w:rsidR="00EE6AA2">
        <w:t>е</w:t>
      </w:r>
      <w:r>
        <w:t>н</w:t>
      </w:r>
      <w:r w:rsidR="0071360A">
        <w:t>у</w:t>
      </w:r>
      <w:r w:rsidR="00A221EF" w:rsidRPr="00F6340E">
        <w:t xml:space="preserve"> </w:t>
      </w:r>
      <w:r>
        <w:t>ИК</w:t>
      </w:r>
      <w:r w:rsidR="0071360A">
        <w:t>Т</w:t>
      </w:r>
      <w:r w:rsidR="00A221EF" w:rsidRPr="00F6340E">
        <w:t>-</w:t>
      </w:r>
      <w:r>
        <w:t>а</w:t>
      </w:r>
      <w:r w:rsidR="00A221EF" w:rsidRPr="00F6340E">
        <w:t xml:space="preserve"> </w:t>
      </w:r>
      <w:r w:rsidR="0071360A">
        <w:t>у</w:t>
      </w:r>
      <w:r w:rsidR="00A221EF" w:rsidRPr="00F6340E">
        <w:t xml:space="preserve"> </w:t>
      </w:r>
      <w:r>
        <w:t>об</w:t>
      </w:r>
      <w:r w:rsidR="0071360A">
        <w:t>р</w:t>
      </w:r>
      <w:r>
        <w:t>а</w:t>
      </w:r>
      <w:r w:rsidR="00171F00">
        <w:t>з</w:t>
      </w:r>
      <w:r>
        <w:t>о</w:t>
      </w:r>
      <w:r w:rsidR="0071360A">
        <w:t>в</w:t>
      </w:r>
      <w:r>
        <w:t>ањ</w:t>
      </w:r>
      <w:r w:rsidR="0071360A">
        <w:t>у</w:t>
      </w:r>
      <w:r w:rsidR="00B04FA8">
        <w:t xml:space="preserve"> </w:t>
      </w:r>
      <w:r w:rsidR="001F2F40">
        <w:t>с обзиром</w:t>
      </w:r>
      <w:r w:rsidR="00A221EF" w:rsidRPr="00F6340E">
        <w:t xml:space="preserve"> </w:t>
      </w:r>
      <w:r>
        <w:t>на</w:t>
      </w:r>
      <w:r w:rsidR="00A221EF" w:rsidRPr="00F6340E">
        <w:t xml:space="preserve"> </w:t>
      </w:r>
      <w:r w:rsidR="0071360A">
        <w:t>пр</w:t>
      </w:r>
      <w:r>
        <w:t>имиј</w:t>
      </w:r>
      <w:r w:rsidR="00EE6AA2">
        <w:t>е</w:t>
      </w:r>
      <w:r>
        <w:t>ћ</w:t>
      </w:r>
      <w:r w:rsidR="00EE6AA2">
        <w:t>е</w:t>
      </w:r>
      <w:r>
        <w:t>н</w:t>
      </w:r>
      <w:r w:rsidR="0071360A">
        <w:t>у</w:t>
      </w:r>
      <w:r w:rsidR="00A221EF" w:rsidRPr="00F6340E">
        <w:t xml:space="preserve"> </w:t>
      </w:r>
      <w:r>
        <w:t>н</w:t>
      </w:r>
      <w:r w:rsidR="00EE6AA2">
        <w:t>е</w:t>
      </w:r>
      <w:r w:rsidR="0071360A">
        <w:t>у</w:t>
      </w:r>
      <w:r>
        <w:t>ј</w:t>
      </w:r>
      <w:r w:rsidR="00EE6AA2">
        <w:t>е</w:t>
      </w:r>
      <w:r>
        <w:t>днач</w:t>
      </w:r>
      <w:r w:rsidR="00EE6AA2">
        <w:t>е</w:t>
      </w:r>
      <w:r>
        <w:t>но</w:t>
      </w:r>
      <w:r w:rsidR="0071360A">
        <w:t>ст</w:t>
      </w:r>
      <w:r w:rsidR="00A221EF" w:rsidRPr="00F6340E">
        <w:t xml:space="preserve"> </w:t>
      </w:r>
      <w:r w:rsidR="0071360A">
        <w:t>п</w:t>
      </w:r>
      <w:r>
        <w:t>ојмо</w:t>
      </w:r>
      <w:r w:rsidR="0071360A">
        <w:t>в</w:t>
      </w:r>
      <w:r>
        <w:t>а</w:t>
      </w:r>
      <w:r w:rsidR="004C2646" w:rsidRPr="00F6340E">
        <w:t xml:space="preserve"> </w:t>
      </w:r>
      <w:r>
        <w:t>и</w:t>
      </w:r>
      <w:r w:rsidR="004C2646" w:rsidRPr="00F6340E">
        <w:t xml:space="preserve"> </w:t>
      </w:r>
      <w:r>
        <w:t>конц</w:t>
      </w:r>
      <w:r w:rsidR="00EE6AA2">
        <w:t>е</w:t>
      </w:r>
      <w:r w:rsidR="0071360A">
        <w:t>пт</w:t>
      </w:r>
      <w:r>
        <w:t>а</w:t>
      </w:r>
      <w:r w:rsidR="004C2646" w:rsidRPr="00F6340E">
        <w:t xml:space="preserve"> </w:t>
      </w:r>
      <w:r>
        <w:t>на</w:t>
      </w:r>
      <w:r w:rsidR="0071360A">
        <w:t>ст</w:t>
      </w:r>
      <w:r>
        <w:t>а</w:t>
      </w:r>
      <w:r w:rsidR="0071360A">
        <w:t>в</w:t>
      </w:r>
      <w:r w:rsidR="00EE6AA2">
        <w:t>е</w:t>
      </w:r>
      <w:r w:rsidR="00F22500" w:rsidRPr="00F6340E">
        <w:t xml:space="preserve"> </w:t>
      </w:r>
      <w:r w:rsidR="0071360A">
        <w:t>пут</w:t>
      </w:r>
      <w:r w:rsidR="00EE6AA2">
        <w:t>е</w:t>
      </w:r>
      <w:r>
        <w:t>м</w:t>
      </w:r>
      <w:r w:rsidR="00F22500" w:rsidRPr="00F6340E">
        <w:t xml:space="preserve"> </w:t>
      </w:r>
      <w:r>
        <w:t>ин</w:t>
      </w:r>
      <w:r w:rsidR="0071360A">
        <w:t>т</w:t>
      </w:r>
      <w:r w:rsidR="00EE6AA2">
        <w:t>е</w:t>
      </w:r>
      <w:r w:rsidR="0071360A">
        <w:t>р</w:t>
      </w:r>
      <w:r>
        <w:t>н</w:t>
      </w:r>
      <w:r w:rsidR="00EE6AA2">
        <w:t>е</w:t>
      </w:r>
      <w:r w:rsidR="0071360A">
        <w:t>т</w:t>
      </w:r>
      <w:r>
        <w:t>а</w:t>
      </w:r>
      <w:r w:rsidR="004C2646" w:rsidRPr="00F6340E">
        <w:t xml:space="preserve"> </w:t>
      </w:r>
      <w:r>
        <w:t>и</w:t>
      </w:r>
      <w:r w:rsidR="00A72625" w:rsidRPr="00F6340E">
        <w:t xml:space="preserve"> </w:t>
      </w:r>
      <w:r>
        <w:t>комбино</w:t>
      </w:r>
      <w:r w:rsidR="0071360A">
        <w:t>в</w:t>
      </w:r>
      <w:r>
        <w:t>ан</w:t>
      </w:r>
      <w:r w:rsidR="00EE6AA2">
        <w:t>е</w:t>
      </w:r>
      <w:r w:rsidR="00A72625" w:rsidRPr="00F6340E">
        <w:t xml:space="preserve"> </w:t>
      </w:r>
      <w:r>
        <w:t>на</w:t>
      </w:r>
      <w:r w:rsidR="0071360A">
        <w:t>ст</w:t>
      </w:r>
      <w:r>
        <w:t>а</w:t>
      </w:r>
      <w:r w:rsidR="0071360A">
        <w:t>в</w:t>
      </w:r>
      <w:r w:rsidR="00EE6AA2">
        <w:t>е</w:t>
      </w:r>
      <w:r w:rsidR="00A221EF" w:rsidRPr="00F6340E">
        <w:t xml:space="preserve">, </w:t>
      </w:r>
      <w:r>
        <w:t>која</w:t>
      </w:r>
      <w:r w:rsidR="00A221EF" w:rsidRPr="00F6340E">
        <w:t xml:space="preserve"> </w:t>
      </w:r>
      <w:r>
        <w:t>н</w:t>
      </w:r>
      <w:r w:rsidR="00EE6AA2">
        <w:t>е</w:t>
      </w:r>
      <w:r w:rsidR="0071360A">
        <w:t>р</w:t>
      </w:r>
      <w:r>
        <w:t>иј</w:t>
      </w:r>
      <w:r w:rsidR="00EE6AA2">
        <w:t>е</w:t>
      </w:r>
      <w:r w:rsidR="0071360A">
        <w:t>т</w:t>
      </w:r>
      <w:r>
        <w:t>ко</w:t>
      </w:r>
      <w:r w:rsidR="00A221EF" w:rsidRPr="00F6340E">
        <w:t xml:space="preserve"> </w:t>
      </w:r>
      <w:r w:rsidR="0071360A">
        <w:t>в</w:t>
      </w:r>
      <w:r>
        <w:t>оди</w:t>
      </w:r>
      <w:r w:rsidR="00A221EF" w:rsidRPr="00F6340E">
        <w:t xml:space="preserve"> </w:t>
      </w:r>
      <w:r w:rsidR="0071360A">
        <w:t>п</w:t>
      </w:r>
      <w:r>
        <w:t>ог</w:t>
      </w:r>
      <w:r w:rsidR="0071360A">
        <w:t>р</w:t>
      </w:r>
      <w:r w:rsidR="00EE6AA2">
        <w:t>е</w:t>
      </w:r>
      <w:r w:rsidR="0071360A">
        <w:t>ш</w:t>
      </w:r>
      <w:r>
        <w:t>ном</w:t>
      </w:r>
      <w:r w:rsidR="00A221EF" w:rsidRPr="00F6340E">
        <w:t xml:space="preserve"> </w:t>
      </w:r>
      <w:r w:rsidR="0071360A">
        <w:t>р</w:t>
      </w:r>
      <w:r>
        <w:t>а</w:t>
      </w:r>
      <w:r w:rsidR="00171F00">
        <w:t>з</w:t>
      </w:r>
      <w:r w:rsidR="0071360A">
        <w:t>у</w:t>
      </w:r>
      <w:r>
        <w:t>миј</w:t>
      </w:r>
      <w:r w:rsidR="00EE6AA2">
        <w:t>е</w:t>
      </w:r>
      <w:r w:rsidR="0071360A">
        <w:t>в</w:t>
      </w:r>
      <w:r>
        <w:t>ањ</w:t>
      </w:r>
      <w:r w:rsidR="0071360A">
        <w:t>у</w:t>
      </w:r>
      <w:r w:rsidR="00A221EF" w:rsidRPr="00F6340E">
        <w:t xml:space="preserve">, </w:t>
      </w:r>
      <w:r>
        <w:t>али</w:t>
      </w:r>
      <w:r w:rsidR="00A221EF" w:rsidRPr="00F6340E">
        <w:t xml:space="preserve"> </w:t>
      </w:r>
      <w:r>
        <w:t>и</w:t>
      </w:r>
      <w:r w:rsidR="00A221EF" w:rsidRPr="00F6340E">
        <w:t xml:space="preserve"> </w:t>
      </w:r>
      <w:r>
        <w:t>њихо</w:t>
      </w:r>
      <w:r w:rsidR="0071360A">
        <w:t>в</w:t>
      </w:r>
      <w:r>
        <w:t>ом</w:t>
      </w:r>
      <w:r w:rsidR="00A72625" w:rsidRPr="00F6340E">
        <w:t xml:space="preserve"> </w:t>
      </w:r>
      <w:r>
        <w:t>и</w:t>
      </w:r>
      <w:r w:rsidR="00171F00">
        <w:t>з</w:t>
      </w:r>
      <w:r w:rsidR="0071360A">
        <w:t>в</w:t>
      </w:r>
      <w:r>
        <w:t>ођ</w:t>
      </w:r>
      <w:r w:rsidR="00EE6AA2">
        <w:t>е</w:t>
      </w:r>
      <w:r>
        <w:t>њ</w:t>
      </w:r>
      <w:r w:rsidR="0071360A">
        <w:t>у</w:t>
      </w:r>
      <w:r w:rsidR="00A221EF" w:rsidRPr="00F6340E">
        <w:t xml:space="preserve">. </w:t>
      </w:r>
      <w:r w:rsidR="0071360A">
        <w:t>Т</w:t>
      </w:r>
      <w:r>
        <w:t>ако</w:t>
      </w:r>
      <w:r w:rsidR="00A221EF" w:rsidRPr="00F6340E">
        <w:t xml:space="preserve">, </w:t>
      </w:r>
      <w:r>
        <w:t>н</w:t>
      </w:r>
      <w:r w:rsidR="0071360A">
        <w:t>пр</w:t>
      </w:r>
      <w:r w:rsidR="00A221EF" w:rsidRPr="00F6340E">
        <w:t xml:space="preserve">., </w:t>
      </w:r>
      <w:r>
        <w:t>на</w:t>
      </w:r>
      <w:r w:rsidR="0071360A">
        <w:t>ст</w:t>
      </w:r>
      <w:r>
        <w:t>а</w:t>
      </w:r>
      <w:r w:rsidR="0071360A">
        <w:t>в</w:t>
      </w:r>
      <w:r>
        <w:t>ници</w:t>
      </w:r>
      <w:r w:rsidR="00A221EF" w:rsidRPr="00F6340E">
        <w:t xml:space="preserve"> </w:t>
      </w:r>
      <w:r>
        <w:t>и</w:t>
      </w:r>
      <w:r w:rsidR="00171F00">
        <w:t>з</w:t>
      </w:r>
      <w:r w:rsidR="0071360A">
        <w:t>р</w:t>
      </w:r>
      <w:r>
        <w:t>а</w:t>
      </w:r>
      <w:r w:rsidR="00171F00">
        <w:t>ж</w:t>
      </w:r>
      <w:r>
        <w:t>а</w:t>
      </w:r>
      <w:r w:rsidR="0071360A">
        <w:t>в</w:t>
      </w:r>
      <w:r>
        <w:t>ај</w:t>
      </w:r>
      <w:r w:rsidR="0071360A">
        <w:t>у</w:t>
      </w:r>
      <w:r w:rsidR="00B540B5" w:rsidRPr="00F6340E">
        <w:t xml:space="preserve"> </w:t>
      </w:r>
      <w:r>
        <w:t>н</w:t>
      </w:r>
      <w:r w:rsidR="00EE6AA2">
        <w:t>е</w:t>
      </w:r>
      <w:r w:rsidR="0071360A">
        <w:t>с</w:t>
      </w:r>
      <w:r>
        <w:t>иг</w:t>
      </w:r>
      <w:r w:rsidR="0071360A">
        <w:t>ур</w:t>
      </w:r>
      <w:r>
        <w:t>но</w:t>
      </w:r>
      <w:r w:rsidR="0071360A">
        <w:t>ст</w:t>
      </w:r>
      <w:r w:rsidR="00B540B5" w:rsidRPr="00F6340E">
        <w:t xml:space="preserve"> </w:t>
      </w:r>
      <w:r w:rsidR="0071360A">
        <w:t>у</w:t>
      </w:r>
      <w:r w:rsidR="00B540B5" w:rsidRPr="00F6340E">
        <w:t xml:space="preserve"> </w:t>
      </w:r>
      <w:r w:rsidR="0071360A">
        <w:t>п</w:t>
      </w:r>
      <w:r>
        <w:t>огл</w:t>
      </w:r>
      <w:r w:rsidR="00EE6AA2">
        <w:t>е</w:t>
      </w:r>
      <w:r>
        <w:t>д</w:t>
      </w:r>
      <w:r w:rsidR="0071360A">
        <w:t>у</w:t>
      </w:r>
      <w:r w:rsidR="00B540B5" w:rsidRPr="00F6340E">
        <w:t xml:space="preserve"> </w:t>
      </w:r>
      <w:r w:rsidR="0071360A">
        <w:t>р</w:t>
      </w:r>
      <w:r w:rsidR="00EE6AA2">
        <w:t>е</w:t>
      </w:r>
      <w:r>
        <w:t>али</w:t>
      </w:r>
      <w:r w:rsidR="00171F00">
        <w:t>з</w:t>
      </w:r>
      <w:r>
        <w:t>ациј</w:t>
      </w:r>
      <w:r w:rsidR="00EE6AA2">
        <w:t>е</w:t>
      </w:r>
      <w:r w:rsidR="00B540B5" w:rsidRPr="00F6340E">
        <w:t xml:space="preserve"> </w:t>
      </w:r>
      <w:r>
        <w:t>на</w:t>
      </w:r>
      <w:r w:rsidR="0071360A">
        <w:t>ст</w:t>
      </w:r>
      <w:r>
        <w:t>а</w:t>
      </w:r>
      <w:r w:rsidR="0071360A">
        <w:t>в</w:t>
      </w:r>
      <w:r>
        <w:t>них</w:t>
      </w:r>
      <w:r w:rsidR="00B540B5" w:rsidRPr="00F6340E">
        <w:t xml:space="preserve"> </w:t>
      </w:r>
      <w:r w:rsidR="0071360A">
        <w:t>с</w:t>
      </w:r>
      <w:r>
        <w:t>ад</w:t>
      </w:r>
      <w:r w:rsidR="0071360A">
        <w:t>р</w:t>
      </w:r>
      <w:r w:rsidR="00171F00">
        <w:t>ж</w:t>
      </w:r>
      <w:r>
        <w:t>аја</w:t>
      </w:r>
      <w:r w:rsidR="00800E71" w:rsidRPr="00F6340E">
        <w:t>/</w:t>
      </w:r>
      <w:r>
        <w:t>ча</w:t>
      </w:r>
      <w:r w:rsidR="0071360A">
        <w:t>с</w:t>
      </w:r>
      <w:r>
        <w:t>о</w:t>
      </w:r>
      <w:r w:rsidR="0071360A">
        <w:t>в</w:t>
      </w:r>
      <w:r>
        <w:t>а</w:t>
      </w:r>
      <w:r w:rsidR="004B0FCD" w:rsidRPr="00F6340E">
        <w:t xml:space="preserve"> </w:t>
      </w:r>
      <w:r>
        <w:t>к</w:t>
      </w:r>
      <w:r w:rsidR="0071360A">
        <w:t>р</w:t>
      </w:r>
      <w:r>
        <w:t>о</w:t>
      </w:r>
      <w:r w:rsidR="00171F00">
        <w:t>з</w:t>
      </w:r>
      <w:r w:rsidR="00B540B5" w:rsidRPr="00F6340E">
        <w:t xml:space="preserve"> </w:t>
      </w:r>
      <w:r w:rsidR="0071360A">
        <w:t>пр</w:t>
      </w:r>
      <w:r>
        <w:t>имј</w:t>
      </w:r>
      <w:r w:rsidR="00EE6AA2">
        <w:t>е</w:t>
      </w:r>
      <w:r>
        <w:t>н</w:t>
      </w:r>
      <w:r w:rsidR="0071360A">
        <w:t>у</w:t>
      </w:r>
      <w:r w:rsidR="00B540B5" w:rsidRPr="00F6340E">
        <w:t xml:space="preserve"> </w:t>
      </w:r>
      <w:r>
        <w:t>диги</w:t>
      </w:r>
      <w:r w:rsidR="0071360A">
        <w:t>т</w:t>
      </w:r>
      <w:r>
        <w:t>алних</w:t>
      </w:r>
      <w:r w:rsidR="00B540B5" w:rsidRPr="00F6340E">
        <w:t xml:space="preserve"> </w:t>
      </w:r>
      <w:r>
        <w:t>ала</w:t>
      </w:r>
      <w:r w:rsidR="0071360A">
        <w:t>т</w:t>
      </w:r>
      <w:r>
        <w:t>а</w:t>
      </w:r>
      <w:r w:rsidR="00B540B5" w:rsidRPr="00F6340E">
        <w:t xml:space="preserve"> </w:t>
      </w:r>
      <w:r>
        <w:t>и</w:t>
      </w:r>
      <w:r w:rsidR="00B540B5" w:rsidRPr="00F6340E">
        <w:t xml:space="preserve"> </w:t>
      </w:r>
      <w:r w:rsidR="0071360A">
        <w:lastRenderedPageBreak/>
        <w:t>п</w:t>
      </w:r>
      <w:r>
        <w:t>ла</w:t>
      </w:r>
      <w:r w:rsidR="0071360A">
        <w:t>т</w:t>
      </w:r>
      <w:r>
        <w:t>фо</w:t>
      </w:r>
      <w:r w:rsidR="0071360A">
        <w:t>р</w:t>
      </w:r>
      <w:r>
        <w:t>ми</w:t>
      </w:r>
      <w:r w:rsidR="00B540B5" w:rsidRPr="00F6340E">
        <w:t xml:space="preserve">, </w:t>
      </w:r>
      <w:r>
        <w:t>који</w:t>
      </w:r>
      <w:r w:rsidR="00B540B5" w:rsidRPr="00F6340E">
        <w:t xml:space="preserve"> </w:t>
      </w:r>
      <w:r>
        <w:t>о</w:t>
      </w:r>
      <w:r w:rsidR="0071360A">
        <w:t>с</w:t>
      </w:r>
      <w:r>
        <w:t>иг</w:t>
      </w:r>
      <w:r w:rsidR="0071360A">
        <w:t>ур</w:t>
      </w:r>
      <w:r>
        <w:t>а</w:t>
      </w:r>
      <w:r w:rsidR="0071360A">
        <w:t>в</w:t>
      </w:r>
      <w:r>
        <w:t>ај</w:t>
      </w:r>
      <w:r w:rsidR="0071360A">
        <w:t>у</w:t>
      </w:r>
      <w:r w:rsidR="00B540B5" w:rsidRPr="00F6340E">
        <w:t xml:space="preserve"> </w:t>
      </w:r>
      <w:r>
        <w:t>ин</w:t>
      </w:r>
      <w:r w:rsidR="0071360A">
        <w:t>т</w:t>
      </w:r>
      <w:r w:rsidR="00EE6AA2">
        <w:t>е</w:t>
      </w:r>
      <w:r w:rsidR="0071360A">
        <w:t>р</w:t>
      </w:r>
      <w:r>
        <w:t>ак</w:t>
      </w:r>
      <w:r w:rsidR="0071360A">
        <w:t>т</w:t>
      </w:r>
      <w:r>
        <w:t>и</w:t>
      </w:r>
      <w:r w:rsidR="0071360A">
        <w:t>в</w:t>
      </w:r>
      <w:r>
        <w:t>ни</w:t>
      </w:r>
      <w:r w:rsidR="00B540B5" w:rsidRPr="00F6340E">
        <w:t xml:space="preserve"> </w:t>
      </w:r>
      <w:r w:rsidR="0071360A">
        <w:t>пр</w:t>
      </w:r>
      <w:r>
        <w:t>оц</w:t>
      </w:r>
      <w:r w:rsidR="00EE6AA2">
        <w:t>е</w:t>
      </w:r>
      <w:r w:rsidR="0071360A">
        <w:t>с</w:t>
      </w:r>
      <w:r w:rsidR="00B540B5" w:rsidRPr="00F6340E">
        <w:t xml:space="preserve"> </w:t>
      </w:r>
      <w:r w:rsidR="0071360A">
        <w:t>у</w:t>
      </w:r>
      <w:r>
        <w:t>ч</w:t>
      </w:r>
      <w:r w:rsidR="00EE6AA2">
        <w:t>е</w:t>
      </w:r>
      <w:r>
        <w:t>ња</w:t>
      </w:r>
      <w:r w:rsidR="00B540B5" w:rsidRPr="00F6340E">
        <w:t xml:space="preserve"> </w:t>
      </w:r>
      <w:r>
        <w:t>и</w:t>
      </w:r>
      <w:r w:rsidR="00B540B5" w:rsidRPr="00F6340E">
        <w:t xml:space="preserve"> </w:t>
      </w:r>
      <w:r w:rsidR="0071360A">
        <w:t>п</w:t>
      </w:r>
      <w:r>
        <w:t>од</w:t>
      </w:r>
      <w:r w:rsidR="0071360A">
        <w:t>у</w:t>
      </w:r>
      <w:r>
        <w:t>ча</w:t>
      </w:r>
      <w:r w:rsidR="0071360A">
        <w:t>в</w:t>
      </w:r>
      <w:r>
        <w:t>ања</w:t>
      </w:r>
      <w:r w:rsidR="004B0FCD" w:rsidRPr="00F6340E">
        <w:t>,</w:t>
      </w:r>
      <w:r w:rsidR="00B540B5" w:rsidRPr="00F6340E">
        <w:t xml:space="preserve"> </w:t>
      </w:r>
      <w:r>
        <w:t>а</w:t>
      </w:r>
      <w:r w:rsidR="00B540B5" w:rsidRPr="00F6340E">
        <w:t xml:space="preserve"> </w:t>
      </w:r>
      <w:r>
        <w:t>н</w:t>
      </w:r>
      <w:r w:rsidR="00EE6AA2">
        <w:t>е</w:t>
      </w:r>
      <w:r w:rsidR="00B540B5" w:rsidRPr="00F6340E">
        <w:t xml:space="preserve"> </w:t>
      </w:r>
      <w:r w:rsidR="0071360A">
        <w:t>у</w:t>
      </w:r>
      <w:r>
        <w:t>кљ</w:t>
      </w:r>
      <w:r w:rsidR="0071360A">
        <w:t>у</w:t>
      </w:r>
      <w:r>
        <w:t>ч</w:t>
      </w:r>
      <w:r w:rsidR="0071360A">
        <w:t>у</w:t>
      </w:r>
      <w:r>
        <w:t>ј</w:t>
      </w:r>
      <w:r w:rsidR="0071360A">
        <w:t>у</w:t>
      </w:r>
      <w:r w:rsidR="00B540B5" w:rsidRPr="00F6340E">
        <w:t xml:space="preserve"> </w:t>
      </w:r>
      <w:r>
        <w:t>н</w:t>
      </w:r>
      <w:r w:rsidR="00EE6AA2">
        <w:t>е</w:t>
      </w:r>
      <w:r>
        <w:t>о</w:t>
      </w:r>
      <w:r w:rsidR="0071360A">
        <w:t>п</w:t>
      </w:r>
      <w:r>
        <w:t>ходно</w:t>
      </w:r>
      <w:r w:rsidR="00B540B5" w:rsidRPr="00F6340E">
        <w:t xml:space="preserve"> </w:t>
      </w:r>
      <w:r w:rsidR="0071360A">
        <w:t>пр</w:t>
      </w:r>
      <w:r w:rsidR="00EE6AA2">
        <w:t>е</w:t>
      </w:r>
      <w:r>
        <w:t>да</w:t>
      </w:r>
      <w:r w:rsidR="0071360A">
        <w:t>в</w:t>
      </w:r>
      <w:r>
        <w:t>ања</w:t>
      </w:r>
      <w:r w:rsidR="00B540B5" w:rsidRPr="00F6340E">
        <w:t xml:space="preserve"> </w:t>
      </w:r>
      <w:r>
        <w:t>од</w:t>
      </w:r>
      <w:r w:rsidR="00B540B5" w:rsidRPr="00F6340E">
        <w:t xml:space="preserve"> </w:t>
      </w:r>
      <w:r w:rsidR="0071360A">
        <w:t>стр</w:t>
      </w:r>
      <w:r>
        <w:t>ан</w:t>
      </w:r>
      <w:r w:rsidR="00EE6AA2">
        <w:t>е</w:t>
      </w:r>
      <w:r w:rsidR="00B540B5" w:rsidRPr="00F6340E">
        <w:t xml:space="preserve"> </w:t>
      </w:r>
      <w:r>
        <w:t>на</w:t>
      </w:r>
      <w:r w:rsidR="0071360A">
        <w:t>ст</w:t>
      </w:r>
      <w:r>
        <w:t>а</w:t>
      </w:r>
      <w:r w:rsidR="0071360A">
        <w:t>в</w:t>
      </w:r>
      <w:r>
        <w:t>ника</w:t>
      </w:r>
      <w:r w:rsidR="00B540B5" w:rsidRPr="00F6340E">
        <w:t xml:space="preserve">. </w:t>
      </w:r>
      <w:r w:rsidR="0071360A">
        <w:t>П</w:t>
      </w:r>
      <w:r>
        <w:t>о</w:t>
      </w:r>
      <w:r w:rsidR="0071360A">
        <w:t>ст</w:t>
      </w:r>
      <w:r>
        <w:t>а</w:t>
      </w:r>
      <w:r w:rsidR="0071360A">
        <w:t>в</w:t>
      </w:r>
      <w:r>
        <w:t>ља</w:t>
      </w:r>
      <w:r w:rsidR="00046A63" w:rsidRPr="00F6340E">
        <w:t xml:space="preserve"> </w:t>
      </w:r>
      <w:r w:rsidR="0071360A">
        <w:t>с</w:t>
      </w:r>
      <w:r w:rsidR="00EE6AA2">
        <w:t>е</w:t>
      </w:r>
      <w:r w:rsidR="00046A63" w:rsidRPr="00F6340E">
        <w:t xml:space="preserve"> </w:t>
      </w:r>
      <w:r w:rsidR="0071360A">
        <w:t>п</w:t>
      </w:r>
      <w:r>
        <w:t>и</w:t>
      </w:r>
      <w:r w:rsidR="0071360A">
        <w:t>т</w:t>
      </w:r>
      <w:r>
        <w:t>ањ</w:t>
      </w:r>
      <w:r w:rsidR="00EE6AA2">
        <w:t>е</w:t>
      </w:r>
      <w:r w:rsidR="00046A63" w:rsidRPr="00F6340E">
        <w:t xml:space="preserve"> </w:t>
      </w:r>
      <w:r>
        <w:t>да</w:t>
      </w:r>
      <w:r w:rsidR="00CE613A" w:rsidRPr="00F6340E">
        <w:t xml:space="preserve"> </w:t>
      </w:r>
      <w:r>
        <w:t>ли</w:t>
      </w:r>
      <w:r w:rsidR="00CE613A" w:rsidRPr="00F6340E">
        <w:t xml:space="preserve"> </w:t>
      </w:r>
      <w:r>
        <w:t>и</w:t>
      </w:r>
      <w:r w:rsidR="0071360A">
        <w:t>сп</w:t>
      </w:r>
      <w:r>
        <w:t>и</w:t>
      </w:r>
      <w:r w:rsidR="0071360A">
        <w:t>т</w:t>
      </w:r>
      <w:r w:rsidR="002578D5" w:rsidRPr="00F6340E">
        <w:t xml:space="preserve">, </w:t>
      </w:r>
      <w:r>
        <w:t>кон</w:t>
      </w:r>
      <w:r w:rsidR="0071360A">
        <w:t>су</w:t>
      </w:r>
      <w:r>
        <w:t>л</w:t>
      </w:r>
      <w:r w:rsidR="0071360A">
        <w:t>т</w:t>
      </w:r>
      <w:r>
        <w:t>а</w:t>
      </w:r>
      <w:r w:rsidR="0071360A">
        <w:t>т</w:t>
      </w:r>
      <w:r>
        <w:t>и</w:t>
      </w:r>
      <w:r w:rsidR="0071360A">
        <w:t>в</w:t>
      </w:r>
      <w:r>
        <w:t>ни</w:t>
      </w:r>
      <w:r w:rsidR="002578D5" w:rsidRPr="00F6340E">
        <w:t xml:space="preserve"> </w:t>
      </w:r>
      <w:r w:rsidR="0071360A">
        <w:t>р</w:t>
      </w:r>
      <w:r>
        <w:t>ад</w:t>
      </w:r>
      <w:r w:rsidR="002578D5" w:rsidRPr="00F6340E">
        <w:t xml:space="preserve"> </w:t>
      </w:r>
      <w:r w:rsidR="0071360A">
        <w:t>с</w:t>
      </w:r>
      <w:r>
        <w:t>а</w:t>
      </w:r>
      <w:r w:rsidR="002578D5" w:rsidRPr="00F6340E">
        <w:t xml:space="preserve"> </w:t>
      </w:r>
      <w:r w:rsidR="0071360A">
        <w:t>сту</w:t>
      </w:r>
      <w:r>
        <w:t>д</w:t>
      </w:r>
      <w:r w:rsidR="00EE6AA2">
        <w:t>е</w:t>
      </w:r>
      <w:r>
        <w:t>н</w:t>
      </w:r>
      <w:r w:rsidR="0071360A">
        <w:t>т</w:t>
      </w:r>
      <w:r>
        <w:t>има</w:t>
      </w:r>
      <w:r w:rsidR="002578D5" w:rsidRPr="00F6340E">
        <w:t xml:space="preserve">, </w:t>
      </w:r>
      <w:r w:rsidR="0071360A">
        <w:t>п</w:t>
      </w:r>
      <w:r>
        <w:t>и</w:t>
      </w:r>
      <w:r w:rsidR="0071360A">
        <w:t>с</w:t>
      </w:r>
      <w:r>
        <w:t>м</w:t>
      </w:r>
      <w:r w:rsidR="00EE6AA2">
        <w:t>е</w:t>
      </w:r>
      <w:r>
        <w:t>н</w:t>
      </w:r>
      <w:r w:rsidR="00EE6AA2">
        <w:t>е</w:t>
      </w:r>
      <w:r w:rsidR="002578D5" w:rsidRPr="00F6340E">
        <w:t xml:space="preserve"> </w:t>
      </w:r>
      <w:r>
        <w:t>ин</w:t>
      </w:r>
      <w:r w:rsidR="0071360A">
        <w:t>стру</w:t>
      </w:r>
      <w:r>
        <w:t>кциј</w:t>
      </w:r>
      <w:r w:rsidR="00EE6AA2">
        <w:t>е</w:t>
      </w:r>
      <w:r w:rsidR="004B0FCD" w:rsidRPr="00F6340E">
        <w:t xml:space="preserve"> </w:t>
      </w:r>
      <w:r w:rsidR="0071360A">
        <w:t>у</w:t>
      </w:r>
      <w:r>
        <w:t>ч</w:t>
      </w:r>
      <w:r w:rsidR="00EE6AA2">
        <w:t>е</w:t>
      </w:r>
      <w:r>
        <w:t>ницима</w:t>
      </w:r>
      <w:r w:rsidR="002578D5" w:rsidRPr="00F6340E">
        <w:t xml:space="preserve"> </w:t>
      </w:r>
      <w:r w:rsidR="00171F00">
        <w:t>з</w:t>
      </w:r>
      <w:r>
        <w:t>а</w:t>
      </w:r>
      <w:r w:rsidR="002578D5" w:rsidRPr="00F6340E">
        <w:t xml:space="preserve"> </w:t>
      </w:r>
      <w:r>
        <w:t>им</w:t>
      </w:r>
      <w:r w:rsidR="0071360A">
        <w:t>п</w:t>
      </w:r>
      <w:r>
        <w:t>л</w:t>
      </w:r>
      <w:r w:rsidR="00EE6AA2">
        <w:t>е</w:t>
      </w:r>
      <w:r>
        <w:t>м</w:t>
      </w:r>
      <w:r w:rsidR="00EE6AA2">
        <w:t>е</w:t>
      </w:r>
      <w:r>
        <w:t>н</w:t>
      </w:r>
      <w:r w:rsidR="0071360A">
        <w:t>т</w:t>
      </w:r>
      <w:r>
        <w:t>ациј</w:t>
      </w:r>
      <w:r w:rsidR="0071360A">
        <w:t>у</w:t>
      </w:r>
      <w:r w:rsidR="002578D5" w:rsidRPr="00F6340E">
        <w:t xml:space="preserve"> </w:t>
      </w:r>
      <w:r>
        <w:t>личних</w:t>
      </w:r>
      <w:r w:rsidR="002578D5" w:rsidRPr="00F6340E">
        <w:t xml:space="preserve"> </w:t>
      </w:r>
      <w:r>
        <w:t>и</w:t>
      </w:r>
      <w:r w:rsidR="002578D5" w:rsidRPr="00F6340E">
        <w:t>/</w:t>
      </w:r>
      <w:r>
        <w:t>или</w:t>
      </w:r>
      <w:r w:rsidR="002578D5" w:rsidRPr="00F6340E">
        <w:t xml:space="preserve"> </w:t>
      </w:r>
      <w:r>
        <w:t>г</w:t>
      </w:r>
      <w:r w:rsidR="0071360A">
        <w:t>руп</w:t>
      </w:r>
      <w:r>
        <w:t>них</w:t>
      </w:r>
      <w:r w:rsidR="002578D5" w:rsidRPr="00F6340E">
        <w:t xml:space="preserve"> </w:t>
      </w:r>
      <w:r w:rsidR="00171F00">
        <w:t>з</w:t>
      </w:r>
      <w:r>
        <w:t>ада</w:t>
      </w:r>
      <w:r w:rsidR="0071360A">
        <w:t>т</w:t>
      </w:r>
      <w:r>
        <w:t>ака</w:t>
      </w:r>
      <w:r w:rsidR="00356B83" w:rsidRPr="00F6340E">
        <w:t xml:space="preserve">, </w:t>
      </w:r>
      <w:r>
        <w:t>на</w:t>
      </w:r>
      <w:r w:rsidR="0071360A">
        <w:t>ст</w:t>
      </w:r>
      <w:r>
        <w:t>а</w:t>
      </w:r>
      <w:r w:rsidR="0071360A">
        <w:t>в</w:t>
      </w:r>
      <w:r>
        <w:t>н</w:t>
      </w:r>
      <w:r w:rsidR="00EE6AA2">
        <w:t>е</w:t>
      </w:r>
      <w:r w:rsidR="00342E4C" w:rsidRPr="00F6340E">
        <w:t xml:space="preserve"> </w:t>
      </w:r>
      <w:r w:rsidR="0071360A">
        <w:t>пр</w:t>
      </w:r>
      <w:r>
        <w:t>и</w:t>
      </w:r>
      <w:r w:rsidR="0071360A">
        <w:t>пр</w:t>
      </w:r>
      <w:r w:rsidR="00EE6AA2">
        <w:t>е</w:t>
      </w:r>
      <w:r>
        <w:t>м</w:t>
      </w:r>
      <w:r w:rsidR="00EE6AA2">
        <w:t>е</w:t>
      </w:r>
      <w:r w:rsidR="002578D5" w:rsidRPr="00F6340E">
        <w:t xml:space="preserve"> </w:t>
      </w:r>
      <w:r>
        <w:t>и</w:t>
      </w:r>
      <w:r w:rsidR="002578D5" w:rsidRPr="00F6340E">
        <w:t xml:space="preserve"> </w:t>
      </w:r>
      <w:r>
        <w:t>д</w:t>
      </w:r>
      <w:r w:rsidR="0071360A">
        <w:t>р</w:t>
      </w:r>
      <w:r w:rsidR="002578D5" w:rsidRPr="00F6340E">
        <w:t>.</w:t>
      </w:r>
      <w:r w:rsidR="00356B83" w:rsidRPr="00F6340E">
        <w:t xml:space="preserve"> </w:t>
      </w:r>
      <w:r>
        <w:t>мог</w:t>
      </w:r>
      <w:r w:rsidR="0071360A">
        <w:t>у</w:t>
      </w:r>
      <w:r w:rsidR="00CE613A" w:rsidRPr="00F6340E">
        <w:t xml:space="preserve"> </w:t>
      </w:r>
      <w:r>
        <w:t>би</w:t>
      </w:r>
      <w:r w:rsidR="0071360A">
        <w:t>т</w:t>
      </w:r>
      <w:r>
        <w:t>и</w:t>
      </w:r>
      <w:r w:rsidR="00CE613A" w:rsidRPr="00F6340E">
        <w:t xml:space="preserve"> </w:t>
      </w:r>
      <w:r w:rsidR="0071360A">
        <w:t>с</w:t>
      </w:r>
      <w:r>
        <w:t>а</w:t>
      </w:r>
      <w:r w:rsidR="0071360A">
        <w:t>ст</w:t>
      </w:r>
      <w:r>
        <w:t>а</w:t>
      </w:r>
      <w:r w:rsidR="0071360A">
        <w:t>в</w:t>
      </w:r>
      <w:r>
        <w:t>ни</w:t>
      </w:r>
      <w:r w:rsidR="004B0FCD" w:rsidRPr="00F6340E">
        <w:t xml:space="preserve"> </w:t>
      </w:r>
      <w:r>
        <w:t>дио</w:t>
      </w:r>
      <w:r w:rsidR="004B0FCD" w:rsidRPr="00F6340E">
        <w:t xml:space="preserve"> </w:t>
      </w:r>
      <w:r>
        <w:t>но</w:t>
      </w:r>
      <w:r w:rsidR="0071360A">
        <w:t>р</w:t>
      </w:r>
      <w:r>
        <w:t>м</w:t>
      </w:r>
      <w:r w:rsidR="00EE6AA2">
        <w:t>е</w:t>
      </w:r>
      <w:r w:rsidR="00DA2821" w:rsidRPr="00F6340E">
        <w:t xml:space="preserve"> </w:t>
      </w:r>
      <w:r>
        <w:t>на</w:t>
      </w:r>
      <w:r w:rsidR="0071360A">
        <w:t>ст</w:t>
      </w:r>
      <w:r>
        <w:t>а</w:t>
      </w:r>
      <w:r w:rsidR="0071360A">
        <w:t>в</w:t>
      </w:r>
      <w:r>
        <w:t>ника</w:t>
      </w:r>
      <w:r w:rsidR="00DA2821" w:rsidRPr="00F6340E">
        <w:t xml:space="preserve"> </w:t>
      </w:r>
      <w:r w:rsidR="0071360A">
        <w:t>у</w:t>
      </w:r>
      <w:r w:rsidR="00DA2821" w:rsidRPr="00F6340E">
        <w:t xml:space="preserve"> </w:t>
      </w:r>
      <w:r>
        <w:t>кон</w:t>
      </w:r>
      <w:r w:rsidR="0071360A">
        <w:t>т</w:t>
      </w:r>
      <w:r w:rsidR="00EE6AA2">
        <w:t>е</w:t>
      </w:r>
      <w:r>
        <w:t>к</w:t>
      </w:r>
      <w:r w:rsidR="0071360A">
        <w:t>сту</w:t>
      </w:r>
      <w:r w:rsidR="00947928" w:rsidRPr="00F6340E">
        <w:t xml:space="preserve"> </w:t>
      </w:r>
      <w:r>
        <w:t>на</w:t>
      </w:r>
      <w:r w:rsidR="0071360A">
        <w:t>ст</w:t>
      </w:r>
      <w:r>
        <w:t>а</w:t>
      </w:r>
      <w:r w:rsidR="0071360A">
        <w:t>в</w:t>
      </w:r>
      <w:r w:rsidR="00EE6AA2">
        <w:t>е</w:t>
      </w:r>
      <w:r w:rsidR="00947928" w:rsidRPr="00F6340E">
        <w:t xml:space="preserve"> </w:t>
      </w:r>
      <w:r w:rsidR="0071360A">
        <w:t>пут</w:t>
      </w:r>
      <w:r w:rsidR="00EE6AA2">
        <w:t>е</w:t>
      </w:r>
      <w:r>
        <w:t>м</w:t>
      </w:r>
      <w:r w:rsidR="00947928" w:rsidRPr="00F6340E">
        <w:t xml:space="preserve"> </w:t>
      </w:r>
      <w:r>
        <w:t>ин</w:t>
      </w:r>
      <w:r w:rsidR="0071360A">
        <w:t>т</w:t>
      </w:r>
      <w:r w:rsidR="00EE6AA2">
        <w:t>е</w:t>
      </w:r>
      <w:r w:rsidR="0071360A">
        <w:t>р</w:t>
      </w:r>
      <w:r>
        <w:t>н</w:t>
      </w:r>
      <w:r w:rsidR="00EE6AA2">
        <w:t>е</w:t>
      </w:r>
      <w:r w:rsidR="0071360A">
        <w:t>т</w:t>
      </w:r>
      <w:r>
        <w:t>а</w:t>
      </w:r>
      <w:r w:rsidR="00947928" w:rsidRPr="00F6340E">
        <w:t xml:space="preserve"> </w:t>
      </w:r>
      <w:r>
        <w:t>и</w:t>
      </w:r>
      <w:r w:rsidR="00DA2821" w:rsidRPr="00F6340E">
        <w:t xml:space="preserve"> </w:t>
      </w:r>
      <w:r>
        <w:t>комбино</w:t>
      </w:r>
      <w:r w:rsidR="0071360A">
        <w:t>в</w:t>
      </w:r>
      <w:r>
        <w:t>ан</w:t>
      </w:r>
      <w:r w:rsidR="00EE6AA2">
        <w:t>е</w:t>
      </w:r>
      <w:r w:rsidR="00DA2821" w:rsidRPr="00F6340E">
        <w:t xml:space="preserve"> </w:t>
      </w:r>
      <w:r>
        <w:t>на</w:t>
      </w:r>
      <w:r w:rsidR="0071360A">
        <w:t>ст</w:t>
      </w:r>
      <w:r>
        <w:t>а</w:t>
      </w:r>
      <w:r w:rsidR="0071360A">
        <w:t>в</w:t>
      </w:r>
      <w:r w:rsidR="00EE6AA2">
        <w:t>е</w:t>
      </w:r>
      <w:r w:rsidR="00DA2821" w:rsidRPr="00F6340E">
        <w:t xml:space="preserve">. </w:t>
      </w:r>
      <w:r>
        <w:t>Н</w:t>
      </w:r>
      <w:r w:rsidR="00EE6AA2">
        <w:t>е</w:t>
      </w:r>
      <w:r w:rsidR="0071360A">
        <w:t>с</w:t>
      </w:r>
      <w:r>
        <w:t>иг</w:t>
      </w:r>
      <w:r w:rsidR="0071360A">
        <w:t>ур</w:t>
      </w:r>
      <w:r>
        <w:t>но</w:t>
      </w:r>
      <w:r w:rsidR="0071360A">
        <w:t>ст</w:t>
      </w:r>
      <w:r w:rsidR="004B0FCD" w:rsidRPr="00F6340E">
        <w:t xml:space="preserve"> </w:t>
      </w:r>
      <w:r w:rsidR="0071360A">
        <w:t>с</w:t>
      </w:r>
      <w:r w:rsidR="00EE6AA2">
        <w:t>е</w:t>
      </w:r>
      <w:r w:rsidR="00B540B5" w:rsidRPr="00F6340E">
        <w:t xml:space="preserve"> </w:t>
      </w:r>
      <w:r>
        <w:t>ја</w:t>
      </w:r>
      <w:r w:rsidR="0071360A">
        <w:t>в</w:t>
      </w:r>
      <w:r>
        <w:t>ља</w:t>
      </w:r>
      <w:r w:rsidR="00B540B5" w:rsidRPr="00F6340E">
        <w:t xml:space="preserve"> </w:t>
      </w:r>
      <w:r w:rsidR="0071360A">
        <w:t>у</w:t>
      </w:r>
      <w:r w:rsidR="00B540B5" w:rsidRPr="00F6340E">
        <w:t xml:space="preserve"> </w:t>
      </w:r>
      <w:r>
        <w:t>кон</w:t>
      </w:r>
      <w:r w:rsidR="0071360A">
        <w:t>т</w:t>
      </w:r>
      <w:r w:rsidR="00EE6AA2">
        <w:t>е</w:t>
      </w:r>
      <w:r>
        <w:t>к</w:t>
      </w:r>
      <w:r w:rsidR="0071360A">
        <w:t>сту</w:t>
      </w:r>
      <w:r w:rsidR="00B540B5" w:rsidRPr="00F6340E">
        <w:t xml:space="preserve"> </w:t>
      </w:r>
      <w:r w:rsidR="0071360A">
        <w:t>пр</w:t>
      </w:r>
      <w:r w:rsidR="00EE6AA2">
        <w:t>е</w:t>
      </w:r>
      <w:r w:rsidR="0071360A">
        <w:t>п</w:t>
      </w:r>
      <w:r>
        <w:t>о</w:t>
      </w:r>
      <w:r w:rsidR="00171F00">
        <w:t>з</w:t>
      </w:r>
      <w:r>
        <w:t>на</w:t>
      </w:r>
      <w:r w:rsidR="0071360A">
        <w:t>т</w:t>
      </w:r>
      <w:r>
        <w:t>о</w:t>
      </w:r>
      <w:r w:rsidR="0071360A">
        <w:t>ст</w:t>
      </w:r>
      <w:r>
        <w:t>и</w:t>
      </w:r>
      <w:r w:rsidR="00B540B5" w:rsidRPr="00F6340E">
        <w:t xml:space="preserve"> </w:t>
      </w:r>
      <w:r>
        <w:t>ак</w:t>
      </w:r>
      <w:r w:rsidR="0071360A">
        <w:t>т</w:t>
      </w:r>
      <w:r>
        <w:t>и</w:t>
      </w:r>
      <w:r w:rsidR="0071360A">
        <w:t>в</w:t>
      </w:r>
      <w:r>
        <w:t>но</w:t>
      </w:r>
      <w:r w:rsidR="0071360A">
        <w:t>ст</w:t>
      </w:r>
      <w:r>
        <w:t>и</w:t>
      </w:r>
      <w:r w:rsidR="00B540B5" w:rsidRPr="00F6340E">
        <w:t xml:space="preserve"> </w:t>
      </w:r>
      <w:r>
        <w:t>и</w:t>
      </w:r>
      <w:r w:rsidR="00B540B5" w:rsidRPr="00F6340E">
        <w:t xml:space="preserve"> </w:t>
      </w:r>
      <w:r w:rsidR="0071360A">
        <w:t>р</w:t>
      </w:r>
      <w:r>
        <w:t>ада</w:t>
      </w:r>
      <w:r w:rsidR="00B540B5" w:rsidRPr="00F6340E">
        <w:t xml:space="preserve"> </w:t>
      </w:r>
      <w:r>
        <w:t>на</w:t>
      </w:r>
      <w:r w:rsidR="0071360A">
        <w:t>ст</w:t>
      </w:r>
      <w:r>
        <w:t>а</w:t>
      </w:r>
      <w:r w:rsidR="0071360A">
        <w:t>в</w:t>
      </w:r>
      <w:r>
        <w:t>ника</w:t>
      </w:r>
      <w:r w:rsidR="00B540B5" w:rsidRPr="00F6340E">
        <w:t xml:space="preserve"> </w:t>
      </w:r>
      <w:r w:rsidR="0071360A">
        <w:t>у</w:t>
      </w:r>
      <w:r w:rsidR="00947928" w:rsidRPr="00F6340E">
        <w:t xml:space="preserve"> </w:t>
      </w:r>
      <w:r>
        <w:t>на</w:t>
      </w:r>
      <w:r w:rsidR="0071360A">
        <w:t>ст</w:t>
      </w:r>
      <w:r>
        <w:t>а</w:t>
      </w:r>
      <w:r w:rsidR="0071360A">
        <w:t>в</w:t>
      </w:r>
      <w:r>
        <w:t>и</w:t>
      </w:r>
      <w:r w:rsidR="00947928" w:rsidRPr="00F6340E">
        <w:t xml:space="preserve"> </w:t>
      </w:r>
      <w:r w:rsidR="0071360A">
        <w:t>пут</w:t>
      </w:r>
      <w:r w:rsidR="00EE6AA2">
        <w:t>е</w:t>
      </w:r>
      <w:r>
        <w:t>м</w:t>
      </w:r>
      <w:r w:rsidR="00947928" w:rsidRPr="00F6340E">
        <w:t xml:space="preserve"> </w:t>
      </w:r>
      <w:r>
        <w:t>ин</w:t>
      </w:r>
      <w:r w:rsidR="0071360A">
        <w:t>т</w:t>
      </w:r>
      <w:r w:rsidR="00EE6AA2">
        <w:t>е</w:t>
      </w:r>
      <w:r w:rsidR="0071360A">
        <w:t>р</w:t>
      </w:r>
      <w:r>
        <w:t>н</w:t>
      </w:r>
      <w:r w:rsidR="00EE6AA2">
        <w:t>е</w:t>
      </w:r>
      <w:r w:rsidR="0071360A">
        <w:t>т</w:t>
      </w:r>
      <w:r>
        <w:t>а</w:t>
      </w:r>
      <w:r w:rsidR="00947928" w:rsidRPr="00F6340E">
        <w:t xml:space="preserve"> </w:t>
      </w:r>
      <w:r>
        <w:t>и</w:t>
      </w:r>
      <w:r w:rsidR="00566335" w:rsidRPr="00F6340E">
        <w:t>/</w:t>
      </w:r>
      <w:r>
        <w:t>или</w:t>
      </w:r>
      <w:r w:rsidR="00566335" w:rsidRPr="00F6340E">
        <w:t xml:space="preserve"> </w:t>
      </w:r>
      <w:r>
        <w:t>комбино</w:t>
      </w:r>
      <w:r w:rsidR="0071360A">
        <w:t>в</w:t>
      </w:r>
      <w:r>
        <w:t>аном</w:t>
      </w:r>
      <w:r w:rsidR="00566335" w:rsidRPr="00F6340E">
        <w:t xml:space="preserve"> </w:t>
      </w:r>
      <w:r>
        <w:t>мод</w:t>
      </w:r>
      <w:r w:rsidR="00EE6AA2">
        <w:t>е</w:t>
      </w:r>
      <w:r>
        <w:t>л</w:t>
      </w:r>
      <w:r w:rsidR="0071360A">
        <w:t>у</w:t>
      </w:r>
      <w:r w:rsidR="00B540B5" w:rsidRPr="00F6340E">
        <w:t xml:space="preserve"> </w:t>
      </w:r>
      <w:r>
        <w:t>иако</w:t>
      </w:r>
      <w:r w:rsidR="00B540B5" w:rsidRPr="00F6340E">
        <w:t xml:space="preserve"> </w:t>
      </w:r>
      <w:r w:rsidR="0071360A">
        <w:t>с</w:t>
      </w:r>
      <w:r w:rsidR="00EE6AA2">
        <w:t>е</w:t>
      </w:r>
      <w:r w:rsidR="00B540B5" w:rsidRPr="00F6340E">
        <w:t xml:space="preserve"> </w:t>
      </w:r>
      <w:r>
        <w:t>н</w:t>
      </w:r>
      <w:r w:rsidR="00EE6AA2">
        <w:t>е</w:t>
      </w:r>
      <w:r w:rsidR="00B540B5" w:rsidRPr="00F6340E">
        <w:t xml:space="preserve"> </w:t>
      </w:r>
      <w:r w:rsidR="0071360A">
        <w:t>р</w:t>
      </w:r>
      <w:r>
        <w:t>ади</w:t>
      </w:r>
      <w:r w:rsidR="00B540B5" w:rsidRPr="00F6340E">
        <w:t xml:space="preserve"> </w:t>
      </w:r>
      <w:r>
        <w:t>о</w:t>
      </w:r>
      <w:r w:rsidR="00B540B5" w:rsidRPr="00F6340E">
        <w:t xml:space="preserve"> </w:t>
      </w:r>
      <w:r w:rsidR="0071360A">
        <w:t>с</w:t>
      </w:r>
      <w:r>
        <w:t>инх</w:t>
      </w:r>
      <w:r w:rsidR="0071360A">
        <w:t>р</w:t>
      </w:r>
      <w:r>
        <w:t>они</w:t>
      </w:r>
      <w:r w:rsidR="00171F00">
        <w:t>з</w:t>
      </w:r>
      <w:r>
        <w:t>о</w:t>
      </w:r>
      <w:r w:rsidR="0071360A">
        <w:t>в</w:t>
      </w:r>
      <w:r>
        <w:t>аним</w:t>
      </w:r>
      <w:r w:rsidR="00B540B5" w:rsidRPr="00F6340E">
        <w:t xml:space="preserve"> </w:t>
      </w:r>
      <w:r>
        <w:t>ак</w:t>
      </w:r>
      <w:r w:rsidR="0071360A">
        <w:t>т</w:t>
      </w:r>
      <w:r>
        <w:t>и</w:t>
      </w:r>
      <w:r w:rsidR="0071360A">
        <w:t>в</w:t>
      </w:r>
      <w:r>
        <w:t>но</w:t>
      </w:r>
      <w:r w:rsidR="0071360A">
        <w:t>ст</w:t>
      </w:r>
      <w:r>
        <w:t>има</w:t>
      </w:r>
      <w:r w:rsidR="00B540B5" w:rsidRPr="00F6340E">
        <w:t xml:space="preserve"> </w:t>
      </w:r>
      <w:r>
        <w:t>на</w:t>
      </w:r>
      <w:r w:rsidR="0071360A">
        <w:t>ст</w:t>
      </w:r>
      <w:r>
        <w:t>а</w:t>
      </w:r>
      <w:r w:rsidR="0071360A">
        <w:t>в</w:t>
      </w:r>
      <w:r>
        <w:t>ника</w:t>
      </w:r>
      <w:r w:rsidR="00B540B5" w:rsidRPr="00F6340E">
        <w:t xml:space="preserve"> </w:t>
      </w:r>
      <w:r>
        <w:t>и</w:t>
      </w:r>
      <w:r w:rsidR="00B540B5" w:rsidRPr="00F6340E">
        <w:t xml:space="preserve"> </w:t>
      </w:r>
      <w:r w:rsidR="0071360A">
        <w:t>у</w:t>
      </w:r>
      <w:r>
        <w:t>ч</w:t>
      </w:r>
      <w:r w:rsidR="00EE6AA2">
        <w:t>е</w:t>
      </w:r>
      <w:r>
        <w:t>ника</w:t>
      </w:r>
      <w:r w:rsidR="00B540B5" w:rsidRPr="00F6340E">
        <w:t>/</w:t>
      </w:r>
      <w:r w:rsidR="0071360A">
        <w:t>сту</w:t>
      </w:r>
      <w:r>
        <w:t>д</w:t>
      </w:r>
      <w:r w:rsidR="00EE6AA2">
        <w:t>е</w:t>
      </w:r>
      <w:r>
        <w:t>н</w:t>
      </w:r>
      <w:r w:rsidR="0071360A">
        <w:t>т</w:t>
      </w:r>
      <w:r>
        <w:t>а</w:t>
      </w:r>
      <w:r w:rsidR="00B540B5" w:rsidRPr="00F6340E">
        <w:t xml:space="preserve">. </w:t>
      </w:r>
      <w:r>
        <w:t>На</w:t>
      </w:r>
      <w:r w:rsidR="0071360A">
        <w:t>ст</w:t>
      </w:r>
      <w:r>
        <w:t>а</w:t>
      </w:r>
      <w:r w:rsidR="0071360A">
        <w:t>в</w:t>
      </w:r>
      <w:r>
        <w:t>ници</w:t>
      </w:r>
      <w:r w:rsidR="00B540B5" w:rsidRPr="00F6340E">
        <w:t xml:space="preserve"> </w:t>
      </w:r>
      <w:r w:rsidR="0071360A">
        <w:t>т</w:t>
      </w:r>
      <w:r>
        <w:t>акођ</w:t>
      </w:r>
      <w:r w:rsidR="00EE6AA2">
        <w:t>е</w:t>
      </w:r>
      <w:r w:rsidR="00B540B5" w:rsidRPr="00F6340E">
        <w:t xml:space="preserve"> </w:t>
      </w:r>
      <w:r>
        <w:t>на</w:t>
      </w:r>
      <w:r w:rsidR="0071360A">
        <w:t>в</w:t>
      </w:r>
      <w:r>
        <w:t>од</w:t>
      </w:r>
      <w:r w:rsidR="00EE6AA2">
        <w:t>е</w:t>
      </w:r>
      <w:r w:rsidR="00E45758" w:rsidRPr="00F6340E">
        <w:t xml:space="preserve"> </w:t>
      </w:r>
      <w:r w:rsidR="0071360A">
        <w:t>п</w:t>
      </w:r>
      <w:r>
        <w:t>о</w:t>
      </w:r>
      <w:r w:rsidR="0071360A">
        <w:t>тр</w:t>
      </w:r>
      <w:r w:rsidR="00EE6AA2">
        <w:t>е</w:t>
      </w:r>
      <w:r>
        <w:t>б</w:t>
      </w:r>
      <w:r w:rsidR="0071360A">
        <w:t>у</w:t>
      </w:r>
      <w:r w:rsidR="00E45758" w:rsidRPr="00F6340E">
        <w:t xml:space="preserve"> </w:t>
      </w:r>
      <w:r w:rsidR="00171F00">
        <w:t>з</w:t>
      </w:r>
      <w:r>
        <w:t>а</w:t>
      </w:r>
      <w:r w:rsidR="00E45758" w:rsidRPr="00F6340E">
        <w:t xml:space="preserve"> </w:t>
      </w:r>
      <w:r>
        <w:t>ја</w:t>
      </w:r>
      <w:r w:rsidR="0071360A">
        <w:t>с</w:t>
      </w:r>
      <w:r>
        <w:t>нијим</w:t>
      </w:r>
      <w:r w:rsidR="00E45758" w:rsidRPr="00F6340E">
        <w:t xml:space="preserve"> </w:t>
      </w:r>
      <w:r>
        <w:t>ин</w:t>
      </w:r>
      <w:r w:rsidR="0071360A">
        <w:t>стру</w:t>
      </w:r>
      <w:r>
        <w:t>кцијама</w:t>
      </w:r>
      <w:r w:rsidR="00E45758" w:rsidRPr="00F6340E">
        <w:t xml:space="preserve"> </w:t>
      </w:r>
      <w:r w:rsidR="0071360A">
        <w:t>у</w:t>
      </w:r>
      <w:r w:rsidR="00E45758" w:rsidRPr="00F6340E">
        <w:t xml:space="preserve"> </w:t>
      </w:r>
      <w:r w:rsidR="0071360A">
        <w:t>п</w:t>
      </w:r>
      <w:r>
        <w:t>огл</w:t>
      </w:r>
      <w:r w:rsidR="00EE6AA2">
        <w:t>е</w:t>
      </w:r>
      <w:r>
        <w:t>д</w:t>
      </w:r>
      <w:r w:rsidR="0071360A">
        <w:t>у</w:t>
      </w:r>
      <w:r w:rsidR="00E45758" w:rsidRPr="00F6340E">
        <w:t xml:space="preserve"> </w:t>
      </w:r>
      <w:r w:rsidR="0071360A">
        <w:t>пр</w:t>
      </w:r>
      <w:r>
        <w:t>аћ</w:t>
      </w:r>
      <w:r w:rsidR="00EE6AA2">
        <w:t>е</w:t>
      </w:r>
      <w:r>
        <w:t>ња</w:t>
      </w:r>
      <w:r w:rsidR="00E45758" w:rsidRPr="00F6340E">
        <w:t xml:space="preserve"> </w:t>
      </w:r>
      <w:r>
        <w:t>и</w:t>
      </w:r>
      <w:r w:rsidR="00E45758" w:rsidRPr="00F6340E">
        <w:t xml:space="preserve"> </w:t>
      </w:r>
      <w:r w:rsidR="0071360A">
        <w:t>вр</w:t>
      </w:r>
      <w:r w:rsidR="00EE6AA2">
        <w:t>е</w:t>
      </w:r>
      <w:r>
        <w:t>дно</w:t>
      </w:r>
      <w:r w:rsidR="0071360A">
        <w:t>в</w:t>
      </w:r>
      <w:r>
        <w:t>ања</w:t>
      </w:r>
      <w:r w:rsidR="00E45758" w:rsidRPr="00F6340E">
        <w:t xml:space="preserve"> </w:t>
      </w:r>
      <w:r w:rsidR="0071360A">
        <w:t>п</w:t>
      </w:r>
      <w:r>
        <w:t>о</w:t>
      </w:r>
      <w:r w:rsidR="0071360A">
        <w:t>ст</w:t>
      </w:r>
      <w:r>
        <w:t>игн</w:t>
      </w:r>
      <w:r w:rsidR="0071360A">
        <w:t>у</w:t>
      </w:r>
      <w:r>
        <w:t>ћа</w:t>
      </w:r>
      <w:r w:rsidR="00E45758" w:rsidRPr="00F6340E">
        <w:t xml:space="preserve"> </w:t>
      </w:r>
      <w:r w:rsidR="0071360A">
        <w:t>у</w:t>
      </w:r>
      <w:r>
        <w:t>ч</w:t>
      </w:r>
      <w:r w:rsidR="00EE6AA2">
        <w:t>е</w:t>
      </w:r>
      <w:r>
        <w:t>ника</w:t>
      </w:r>
      <w:r w:rsidR="00E45758" w:rsidRPr="00F6340E">
        <w:t xml:space="preserve">, </w:t>
      </w:r>
      <w:r>
        <w:t>а</w:t>
      </w:r>
      <w:r w:rsidR="000726A2" w:rsidRPr="00F6340E">
        <w:t xml:space="preserve"> </w:t>
      </w:r>
      <w:r w:rsidR="0071360A">
        <w:t>п</w:t>
      </w:r>
      <w:r>
        <w:t>о</w:t>
      </w:r>
      <w:r w:rsidR="0071360A">
        <w:t>с</w:t>
      </w:r>
      <w:r w:rsidR="00EE6AA2">
        <w:t>е</w:t>
      </w:r>
      <w:r>
        <w:t>бно</w:t>
      </w:r>
      <w:r w:rsidR="00E45758" w:rsidRPr="00F6340E">
        <w:t xml:space="preserve"> </w:t>
      </w:r>
      <w:r>
        <w:t>фо</w:t>
      </w:r>
      <w:r w:rsidR="0071360A">
        <w:t>р</w:t>
      </w:r>
      <w:r>
        <w:t>ма</w:t>
      </w:r>
      <w:r w:rsidR="0071360A">
        <w:t>т</w:t>
      </w:r>
      <w:r>
        <w:t>и</w:t>
      </w:r>
      <w:r w:rsidR="0071360A">
        <w:t>в</w:t>
      </w:r>
      <w:r>
        <w:t>ног</w:t>
      </w:r>
      <w:r w:rsidR="00E45758" w:rsidRPr="00F6340E">
        <w:t xml:space="preserve">. </w:t>
      </w:r>
      <w:r>
        <w:t>Као</w:t>
      </w:r>
      <w:r w:rsidR="00853528" w:rsidRPr="00F6340E">
        <w:t xml:space="preserve"> </w:t>
      </w:r>
      <w:r>
        <w:t>ј</w:t>
      </w:r>
      <w:r w:rsidR="00EE6AA2">
        <w:t>е</w:t>
      </w:r>
      <w:r>
        <w:t>дан</w:t>
      </w:r>
      <w:r w:rsidR="00853528" w:rsidRPr="00F6340E">
        <w:t xml:space="preserve"> </w:t>
      </w:r>
      <w:r>
        <w:t>од</w:t>
      </w:r>
      <w:r w:rsidR="00853528" w:rsidRPr="00F6340E">
        <w:t xml:space="preserve"> </w:t>
      </w:r>
      <w:r>
        <w:t>н</w:t>
      </w:r>
      <w:r w:rsidR="00EE6AA2">
        <w:t>е</w:t>
      </w:r>
      <w:r>
        <w:t>до</w:t>
      </w:r>
      <w:r w:rsidR="0071360A">
        <w:t>ст</w:t>
      </w:r>
      <w:r>
        <w:t>а</w:t>
      </w:r>
      <w:r w:rsidR="0071360A">
        <w:t>т</w:t>
      </w:r>
      <w:r>
        <w:t>ака</w:t>
      </w:r>
      <w:r w:rsidR="00853528" w:rsidRPr="00F6340E">
        <w:t xml:space="preserve"> </w:t>
      </w:r>
      <w:r>
        <w:t>и</w:t>
      </w:r>
      <w:r w:rsidR="0071360A">
        <w:t>ст</w:t>
      </w:r>
      <w:r>
        <w:t>ич</w:t>
      </w:r>
      <w:r w:rsidR="00EE6AA2">
        <w:t>е</w:t>
      </w:r>
      <w:r w:rsidR="00853528" w:rsidRPr="00F6340E">
        <w:t xml:space="preserve"> </w:t>
      </w:r>
      <w:r w:rsidR="0071360A">
        <w:t>с</w:t>
      </w:r>
      <w:r w:rsidR="00EE6AA2">
        <w:t>е</w:t>
      </w:r>
      <w:r w:rsidR="00853528" w:rsidRPr="00F6340E">
        <w:t xml:space="preserve"> </w:t>
      </w:r>
      <w:r>
        <w:t>и</w:t>
      </w:r>
      <w:r w:rsidR="00853528" w:rsidRPr="00F6340E">
        <w:t xml:space="preserve"> </w:t>
      </w:r>
      <w:r>
        <w:t>н</w:t>
      </w:r>
      <w:r w:rsidR="00EE6AA2">
        <w:t>е</w:t>
      </w:r>
      <w:r w:rsidR="0071360A">
        <w:t>п</w:t>
      </w:r>
      <w:r>
        <w:t>о</w:t>
      </w:r>
      <w:r w:rsidR="0071360A">
        <w:t>ст</w:t>
      </w:r>
      <w:r>
        <w:t>ојањ</w:t>
      </w:r>
      <w:r w:rsidR="00EE6AA2">
        <w:t>е</w:t>
      </w:r>
      <w:r w:rsidR="00853528" w:rsidRPr="00F6340E">
        <w:t xml:space="preserve"> </w:t>
      </w:r>
      <w:r>
        <w:t>индика</w:t>
      </w:r>
      <w:r w:rsidR="0071360A">
        <w:t>т</w:t>
      </w:r>
      <w:r>
        <w:t>о</w:t>
      </w:r>
      <w:r w:rsidR="0071360A">
        <w:t>р</w:t>
      </w:r>
      <w:r>
        <w:t>а</w:t>
      </w:r>
      <w:r w:rsidR="00853528" w:rsidRPr="00F6340E">
        <w:t xml:space="preserve"> </w:t>
      </w:r>
      <w:r>
        <w:t>анали</w:t>
      </w:r>
      <w:r w:rsidR="00171F00">
        <w:t>з</w:t>
      </w:r>
      <w:r w:rsidR="00EE6AA2">
        <w:t>е</w:t>
      </w:r>
      <w:r w:rsidR="00853528" w:rsidRPr="00F6340E">
        <w:t xml:space="preserve"> </w:t>
      </w:r>
      <w:r w:rsidR="0071360A">
        <w:t>ст</w:t>
      </w:r>
      <w:r>
        <w:t>ања</w:t>
      </w:r>
      <w:r w:rsidR="00853528" w:rsidRPr="00F6340E">
        <w:t xml:space="preserve"> </w:t>
      </w:r>
      <w:r w:rsidR="0071360A">
        <w:t>у</w:t>
      </w:r>
      <w:r w:rsidR="00853528" w:rsidRPr="00F6340E">
        <w:t xml:space="preserve"> </w:t>
      </w:r>
      <w:r>
        <w:t>им</w:t>
      </w:r>
      <w:r w:rsidR="0071360A">
        <w:t>п</w:t>
      </w:r>
      <w:r>
        <w:t>л</w:t>
      </w:r>
      <w:r w:rsidR="00EE6AA2">
        <w:t>е</w:t>
      </w:r>
      <w:r>
        <w:t>м</w:t>
      </w:r>
      <w:r w:rsidR="00EE6AA2">
        <w:t>е</w:t>
      </w:r>
      <w:r>
        <w:t>н</w:t>
      </w:r>
      <w:r w:rsidR="0071360A">
        <w:t>т</w:t>
      </w:r>
      <w:r>
        <w:t>ацији</w:t>
      </w:r>
      <w:r w:rsidR="00853528" w:rsidRPr="00F6340E">
        <w:t xml:space="preserve"> </w:t>
      </w:r>
      <w:r>
        <w:t>на</w:t>
      </w:r>
      <w:r w:rsidR="0071360A">
        <w:t>ст</w:t>
      </w:r>
      <w:r>
        <w:t>а</w:t>
      </w:r>
      <w:r w:rsidR="0071360A">
        <w:t>в</w:t>
      </w:r>
      <w:r w:rsidR="00EE6AA2">
        <w:t>е</w:t>
      </w:r>
      <w:r w:rsidR="008424F0" w:rsidRPr="00F6340E">
        <w:t xml:space="preserve"> </w:t>
      </w:r>
      <w:r w:rsidR="0071360A">
        <w:t>пут</w:t>
      </w:r>
      <w:r w:rsidR="00EE6AA2">
        <w:t>е</w:t>
      </w:r>
      <w:r>
        <w:t>м</w:t>
      </w:r>
      <w:r w:rsidR="008424F0" w:rsidRPr="00F6340E">
        <w:t xml:space="preserve"> </w:t>
      </w:r>
      <w:r>
        <w:t>ин</w:t>
      </w:r>
      <w:r w:rsidR="0071360A">
        <w:t>т</w:t>
      </w:r>
      <w:r w:rsidR="00EE6AA2">
        <w:t>е</w:t>
      </w:r>
      <w:r w:rsidR="0071360A">
        <w:t>р</w:t>
      </w:r>
      <w:r>
        <w:t>н</w:t>
      </w:r>
      <w:r w:rsidR="00EE6AA2">
        <w:t>е</w:t>
      </w:r>
      <w:r w:rsidR="0071360A">
        <w:t>т</w:t>
      </w:r>
      <w:r>
        <w:t>а</w:t>
      </w:r>
      <w:r w:rsidR="00853528" w:rsidRPr="00F6340E">
        <w:t xml:space="preserve"> </w:t>
      </w:r>
      <w:r>
        <w:t>и</w:t>
      </w:r>
      <w:r w:rsidR="00853528" w:rsidRPr="00F6340E">
        <w:t xml:space="preserve"> </w:t>
      </w:r>
      <w:r>
        <w:t>комбино</w:t>
      </w:r>
      <w:r w:rsidR="0071360A">
        <w:t>в</w:t>
      </w:r>
      <w:r>
        <w:t>ан</w:t>
      </w:r>
      <w:r w:rsidR="00EE6AA2">
        <w:t>е</w:t>
      </w:r>
      <w:r w:rsidR="00853528" w:rsidRPr="00F6340E">
        <w:t xml:space="preserve"> </w:t>
      </w:r>
      <w:r>
        <w:t>на</w:t>
      </w:r>
      <w:r w:rsidR="0071360A">
        <w:t>ст</w:t>
      </w:r>
      <w:r>
        <w:t>а</w:t>
      </w:r>
      <w:r w:rsidR="0071360A">
        <w:t>в</w:t>
      </w:r>
      <w:r w:rsidR="00EE6AA2">
        <w:t>е</w:t>
      </w:r>
      <w:r w:rsidR="00853528" w:rsidRPr="00F6340E">
        <w:t xml:space="preserve"> </w:t>
      </w:r>
      <w:r>
        <w:t>на</w:t>
      </w:r>
      <w:r w:rsidR="00CC6DE1" w:rsidRPr="00F6340E">
        <w:t xml:space="preserve"> </w:t>
      </w:r>
      <w:r>
        <w:t>о</w:t>
      </w:r>
      <w:r w:rsidR="0071360A">
        <w:t>с</w:t>
      </w:r>
      <w:r>
        <w:t>но</w:t>
      </w:r>
      <w:r w:rsidR="0071360A">
        <w:t>ву</w:t>
      </w:r>
      <w:r w:rsidR="00CC6DE1" w:rsidRPr="00F6340E">
        <w:t xml:space="preserve"> </w:t>
      </w:r>
      <w:r>
        <w:t>којих</w:t>
      </w:r>
      <w:r w:rsidR="00CC6DE1" w:rsidRPr="00F6340E">
        <w:t xml:space="preserve"> </w:t>
      </w:r>
      <w:r>
        <w:t>би</w:t>
      </w:r>
      <w:r w:rsidR="00CC6DE1" w:rsidRPr="00F6340E">
        <w:t xml:space="preserve"> </w:t>
      </w:r>
      <w:r w:rsidR="0071360A">
        <w:t>с</w:t>
      </w:r>
      <w:r w:rsidR="00EE6AA2">
        <w:t>е</w:t>
      </w:r>
      <w:r w:rsidR="00CC6DE1" w:rsidRPr="00F6340E">
        <w:t xml:space="preserve"> </w:t>
      </w:r>
      <w:r>
        <w:t>к</w:t>
      </w:r>
      <w:r w:rsidR="0071360A">
        <w:t>р</w:t>
      </w:r>
      <w:r w:rsidR="00EE6AA2">
        <w:t>е</w:t>
      </w:r>
      <w:r>
        <w:t>и</w:t>
      </w:r>
      <w:r w:rsidR="0071360A">
        <w:t>р</w:t>
      </w:r>
      <w:r>
        <w:t>ал</w:t>
      </w:r>
      <w:r w:rsidR="00EE6AA2">
        <w:t>е</w:t>
      </w:r>
      <w:r w:rsidR="00CC6DE1" w:rsidRPr="00F6340E">
        <w:t xml:space="preserve"> </w:t>
      </w:r>
      <w:r w:rsidR="0071360A">
        <w:t>с</w:t>
      </w:r>
      <w:r>
        <w:t>мј</w:t>
      </w:r>
      <w:r w:rsidR="00EE6AA2">
        <w:t>е</w:t>
      </w:r>
      <w:r w:rsidR="0071360A">
        <w:t>р</w:t>
      </w:r>
      <w:r>
        <w:t>ниц</w:t>
      </w:r>
      <w:r w:rsidR="00EE6AA2">
        <w:t>е</w:t>
      </w:r>
      <w:r w:rsidR="00CC6DE1" w:rsidRPr="00F6340E">
        <w:t xml:space="preserve"> </w:t>
      </w:r>
      <w:r>
        <w:t>дј</w:t>
      </w:r>
      <w:r w:rsidR="00EE6AA2">
        <w:t>е</w:t>
      </w:r>
      <w:r>
        <w:t>ло</w:t>
      </w:r>
      <w:r w:rsidR="0071360A">
        <w:t>в</w:t>
      </w:r>
      <w:r>
        <w:t>ања</w:t>
      </w:r>
      <w:r w:rsidR="00CC6DE1" w:rsidRPr="00F6340E">
        <w:t xml:space="preserve">. </w:t>
      </w:r>
      <w:r w:rsidR="0071360A">
        <w:t>Пр</w:t>
      </w:r>
      <w:r w:rsidR="00EE6AA2">
        <w:t>е</w:t>
      </w:r>
      <w:r w:rsidR="0071360A">
        <w:t>п</w:t>
      </w:r>
      <w:r>
        <w:t>о</w:t>
      </w:r>
      <w:r w:rsidR="00171F00">
        <w:t>з</w:t>
      </w:r>
      <w:r>
        <w:t>на</w:t>
      </w:r>
      <w:r w:rsidR="0071360A">
        <w:t>т</w:t>
      </w:r>
      <w:r>
        <w:t>о</w:t>
      </w:r>
      <w:r w:rsidR="00CC6DE1" w:rsidRPr="00F6340E">
        <w:t xml:space="preserve"> </w:t>
      </w:r>
      <w:r>
        <w:t>ј</w:t>
      </w:r>
      <w:r w:rsidR="00EE6AA2">
        <w:t>е</w:t>
      </w:r>
      <w:r w:rsidR="00CC6DE1" w:rsidRPr="00F6340E">
        <w:t xml:space="preserve"> </w:t>
      </w:r>
      <w:r>
        <w:t>и</w:t>
      </w:r>
      <w:r w:rsidR="00CC6DE1" w:rsidRPr="00F6340E">
        <w:t xml:space="preserve"> </w:t>
      </w:r>
      <w:r>
        <w:t>да</w:t>
      </w:r>
      <w:r w:rsidR="00CC6DE1" w:rsidRPr="00F6340E">
        <w:t xml:space="preserve"> </w:t>
      </w:r>
      <w:r>
        <w:t>ј</w:t>
      </w:r>
      <w:r w:rsidR="00EE6AA2">
        <w:t>е</w:t>
      </w:r>
      <w:r w:rsidR="00CC6DE1" w:rsidRPr="00F6340E">
        <w:t xml:space="preserve"> </w:t>
      </w:r>
      <w:r>
        <w:t>н</w:t>
      </w:r>
      <w:r w:rsidR="00EE6AA2">
        <w:t>е</w:t>
      </w:r>
      <w:r>
        <w:t>о</w:t>
      </w:r>
      <w:r w:rsidR="0071360A">
        <w:t>п</w:t>
      </w:r>
      <w:r>
        <w:t>ходно</w:t>
      </w:r>
      <w:r w:rsidR="000726A2" w:rsidRPr="00F6340E">
        <w:t xml:space="preserve"> </w:t>
      </w:r>
      <w:r w:rsidR="0071360A">
        <w:t>у</w:t>
      </w:r>
      <w:r>
        <w:t>кљ</w:t>
      </w:r>
      <w:r w:rsidR="0071360A">
        <w:t>у</w:t>
      </w:r>
      <w:r>
        <w:t>чи</w:t>
      </w:r>
      <w:r w:rsidR="0071360A">
        <w:t>в</w:t>
      </w:r>
      <w:r>
        <w:t>ањ</w:t>
      </w:r>
      <w:r w:rsidR="00EE6AA2">
        <w:t>е</w:t>
      </w:r>
      <w:r w:rsidR="00CC6DE1" w:rsidRPr="00F6340E">
        <w:rPr>
          <w:iCs/>
        </w:rPr>
        <w:t xml:space="preserve"> </w:t>
      </w:r>
      <w:r>
        <w:rPr>
          <w:iCs/>
        </w:rPr>
        <w:t>на</w:t>
      </w:r>
      <w:r w:rsidR="0071360A">
        <w:rPr>
          <w:iCs/>
        </w:rPr>
        <w:t>ст</w:t>
      </w:r>
      <w:r>
        <w:rPr>
          <w:iCs/>
        </w:rPr>
        <w:t>а</w:t>
      </w:r>
      <w:r w:rsidR="0071360A">
        <w:rPr>
          <w:iCs/>
        </w:rPr>
        <w:t>в</w:t>
      </w:r>
      <w:r w:rsidR="00EE6AA2">
        <w:rPr>
          <w:iCs/>
        </w:rPr>
        <w:t>е</w:t>
      </w:r>
      <w:r w:rsidR="008424F0" w:rsidRPr="00F6340E">
        <w:rPr>
          <w:iCs/>
        </w:rPr>
        <w:t xml:space="preserve"> </w:t>
      </w:r>
      <w:r w:rsidR="0071360A">
        <w:rPr>
          <w:iCs/>
        </w:rPr>
        <w:t>пут</w:t>
      </w:r>
      <w:r w:rsidR="00EE6AA2">
        <w:rPr>
          <w:iCs/>
        </w:rPr>
        <w:t>е</w:t>
      </w:r>
      <w:r>
        <w:rPr>
          <w:iCs/>
        </w:rPr>
        <w:t>м</w:t>
      </w:r>
      <w:r w:rsidR="008424F0" w:rsidRPr="00F6340E">
        <w:rPr>
          <w:iCs/>
        </w:rPr>
        <w:t xml:space="preserve"> </w:t>
      </w:r>
      <w:r>
        <w:rPr>
          <w:iCs/>
        </w:rPr>
        <w:t>ин</w:t>
      </w:r>
      <w:r w:rsidR="0071360A">
        <w:rPr>
          <w:iCs/>
        </w:rPr>
        <w:t>т</w:t>
      </w:r>
      <w:r w:rsidR="00EE6AA2">
        <w:rPr>
          <w:iCs/>
        </w:rPr>
        <w:t>е</w:t>
      </w:r>
      <w:r w:rsidR="0071360A">
        <w:rPr>
          <w:iCs/>
        </w:rPr>
        <w:t>р</w:t>
      </w:r>
      <w:r>
        <w:rPr>
          <w:iCs/>
        </w:rPr>
        <w:t>н</w:t>
      </w:r>
      <w:r w:rsidR="00EE6AA2">
        <w:rPr>
          <w:iCs/>
        </w:rPr>
        <w:t>е</w:t>
      </w:r>
      <w:r w:rsidR="0071360A">
        <w:rPr>
          <w:iCs/>
        </w:rPr>
        <w:t>т</w:t>
      </w:r>
      <w:r>
        <w:rPr>
          <w:iCs/>
        </w:rPr>
        <w:t>а</w:t>
      </w:r>
      <w:r w:rsidR="00CC6DE1" w:rsidRPr="00F6340E">
        <w:rPr>
          <w:iCs/>
        </w:rPr>
        <w:t xml:space="preserve"> </w:t>
      </w:r>
      <w:r>
        <w:rPr>
          <w:iCs/>
        </w:rPr>
        <w:t>и</w:t>
      </w:r>
      <w:r w:rsidR="00CC6DE1" w:rsidRPr="00F6340E">
        <w:rPr>
          <w:iCs/>
        </w:rPr>
        <w:t xml:space="preserve"> </w:t>
      </w:r>
      <w:r>
        <w:rPr>
          <w:iCs/>
        </w:rPr>
        <w:t>комбино</w:t>
      </w:r>
      <w:r w:rsidR="0071360A">
        <w:rPr>
          <w:iCs/>
        </w:rPr>
        <w:t>в</w:t>
      </w:r>
      <w:r>
        <w:rPr>
          <w:iCs/>
        </w:rPr>
        <w:t>ан</w:t>
      </w:r>
      <w:r w:rsidR="00EE6AA2">
        <w:rPr>
          <w:iCs/>
        </w:rPr>
        <w:t>е</w:t>
      </w:r>
      <w:r w:rsidR="00CC6DE1" w:rsidRPr="00F6340E">
        <w:rPr>
          <w:iCs/>
        </w:rPr>
        <w:t xml:space="preserve"> </w:t>
      </w:r>
      <w:r>
        <w:rPr>
          <w:iCs/>
        </w:rPr>
        <w:t>на</w:t>
      </w:r>
      <w:r w:rsidR="0071360A">
        <w:rPr>
          <w:iCs/>
        </w:rPr>
        <w:t>ст</w:t>
      </w:r>
      <w:r>
        <w:rPr>
          <w:iCs/>
        </w:rPr>
        <w:t>а</w:t>
      </w:r>
      <w:r w:rsidR="0071360A">
        <w:rPr>
          <w:iCs/>
        </w:rPr>
        <w:t>в</w:t>
      </w:r>
      <w:r w:rsidR="00EE6AA2">
        <w:rPr>
          <w:iCs/>
        </w:rPr>
        <w:t>е</w:t>
      </w:r>
      <w:r w:rsidR="00CC6DE1" w:rsidRPr="00F6340E">
        <w:rPr>
          <w:iCs/>
        </w:rPr>
        <w:t xml:space="preserve"> </w:t>
      </w:r>
      <w:r w:rsidR="0071360A">
        <w:rPr>
          <w:iCs/>
        </w:rPr>
        <w:t>с</w:t>
      </w:r>
      <w:r>
        <w:rPr>
          <w:iCs/>
        </w:rPr>
        <w:t>а</w:t>
      </w:r>
      <w:r w:rsidR="00CC6DE1" w:rsidRPr="00F6340E">
        <w:rPr>
          <w:iCs/>
        </w:rPr>
        <w:t xml:space="preserve"> </w:t>
      </w:r>
      <w:r w:rsidR="0071360A">
        <w:rPr>
          <w:iCs/>
        </w:rPr>
        <w:t>св</w:t>
      </w:r>
      <w:r>
        <w:rPr>
          <w:iCs/>
        </w:rPr>
        <w:t>ојим</w:t>
      </w:r>
      <w:r w:rsidR="00CC6DE1" w:rsidRPr="00F6340E">
        <w:rPr>
          <w:iCs/>
        </w:rPr>
        <w:t xml:space="preserve"> </w:t>
      </w:r>
      <w:r w:rsidR="0071360A">
        <w:rPr>
          <w:iCs/>
        </w:rPr>
        <w:t>сп</w:t>
      </w:r>
      <w:r w:rsidR="00EE6AA2">
        <w:rPr>
          <w:iCs/>
        </w:rPr>
        <w:t>е</w:t>
      </w:r>
      <w:r>
        <w:rPr>
          <w:iCs/>
        </w:rPr>
        <w:t>цифично</w:t>
      </w:r>
      <w:r w:rsidR="0071360A">
        <w:rPr>
          <w:iCs/>
        </w:rPr>
        <w:t>ст</w:t>
      </w:r>
      <w:r>
        <w:rPr>
          <w:iCs/>
        </w:rPr>
        <w:t>има</w:t>
      </w:r>
      <w:r w:rsidR="00CC6DE1" w:rsidRPr="00F6340E">
        <w:rPr>
          <w:iCs/>
        </w:rPr>
        <w:t xml:space="preserve"> </w:t>
      </w:r>
      <w:r w:rsidR="0071360A">
        <w:rPr>
          <w:iCs/>
        </w:rPr>
        <w:t>у</w:t>
      </w:r>
      <w:r w:rsidR="00CC6DE1" w:rsidRPr="00F6340E">
        <w:rPr>
          <w:iCs/>
        </w:rPr>
        <w:t xml:space="preserve"> </w:t>
      </w:r>
      <w:r>
        <w:rPr>
          <w:iCs/>
        </w:rPr>
        <w:t>годи</w:t>
      </w:r>
      <w:r w:rsidR="0071360A">
        <w:rPr>
          <w:iCs/>
        </w:rPr>
        <w:t>ш</w:t>
      </w:r>
      <w:r>
        <w:rPr>
          <w:iCs/>
        </w:rPr>
        <w:t>њ</w:t>
      </w:r>
      <w:r w:rsidR="00EE6AA2">
        <w:rPr>
          <w:iCs/>
        </w:rPr>
        <w:t>е</w:t>
      </w:r>
      <w:r w:rsidR="00342E4C" w:rsidRPr="00F6340E">
        <w:rPr>
          <w:iCs/>
        </w:rPr>
        <w:t xml:space="preserve"> </w:t>
      </w:r>
      <w:r w:rsidR="0071360A">
        <w:rPr>
          <w:iCs/>
        </w:rPr>
        <w:t>пр</w:t>
      </w:r>
      <w:r>
        <w:rPr>
          <w:iCs/>
        </w:rPr>
        <w:t>ог</w:t>
      </w:r>
      <w:r w:rsidR="0071360A">
        <w:rPr>
          <w:iCs/>
        </w:rPr>
        <w:t>р</w:t>
      </w:r>
      <w:r>
        <w:rPr>
          <w:iCs/>
        </w:rPr>
        <w:t>ам</w:t>
      </w:r>
      <w:r w:rsidR="00EE6AA2">
        <w:rPr>
          <w:iCs/>
        </w:rPr>
        <w:t>е</w:t>
      </w:r>
      <w:r w:rsidR="00342E4C" w:rsidRPr="00F6340E">
        <w:rPr>
          <w:iCs/>
        </w:rPr>
        <w:t xml:space="preserve"> </w:t>
      </w:r>
      <w:r w:rsidR="0071360A">
        <w:rPr>
          <w:iCs/>
        </w:rPr>
        <w:t>р</w:t>
      </w:r>
      <w:r>
        <w:rPr>
          <w:iCs/>
        </w:rPr>
        <w:t>ада</w:t>
      </w:r>
      <w:r w:rsidR="00CC6DE1" w:rsidRPr="00F6340E">
        <w:rPr>
          <w:iCs/>
        </w:rPr>
        <w:t xml:space="preserve"> </w:t>
      </w:r>
      <w:r>
        <w:rPr>
          <w:iCs/>
        </w:rPr>
        <w:t>и</w:t>
      </w:r>
      <w:r w:rsidR="00CC6DE1" w:rsidRPr="00F6340E">
        <w:rPr>
          <w:iCs/>
        </w:rPr>
        <w:t xml:space="preserve"> </w:t>
      </w:r>
      <w:r>
        <w:rPr>
          <w:iCs/>
        </w:rPr>
        <w:t>акад</w:t>
      </w:r>
      <w:r w:rsidR="00EE6AA2">
        <w:rPr>
          <w:iCs/>
        </w:rPr>
        <w:t>е</w:t>
      </w:r>
      <w:r>
        <w:rPr>
          <w:iCs/>
        </w:rPr>
        <w:t>м</w:t>
      </w:r>
      <w:r w:rsidR="0071360A">
        <w:rPr>
          <w:iCs/>
        </w:rPr>
        <w:t>с</w:t>
      </w:r>
      <w:r>
        <w:rPr>
          <w:iCs/>
        </w:rPr>
        <w:t>к</w:t>
      </w:r>
      <w:r w:rsidR="00EE6AA2">
        <w:rPr>
          <w:iCs/>
        </w:rPr>
        <w:t>е</w:t>
      </w:r>
      <w:r w:rsidR="00CC6DE1" w:rsidRPr="00F6340E">
        <w:rPr>
          <w:iCs/>
        </w:rPr>
        <w:t xml:space="preserve"> </w:t>
      </w:r>
      <w:r>
        <w:rPr>
          <w:iCs/>
        </w:rPr>
        <w:t>кал</w:t>
      </w:r>
      <w:r w:rsidR="00EE6AA2">
        <w:rPr>
          <w:iCs/>
        </w:rPr>
        <w:t>е</w:t>
      </w:r>
      <w:r>
        <w:rPr>
          <w:iCs/>
        </w:rPr>
        <w:t>нда</w:t>
      </w:r>
      <w:r w:rsidR="0071360A">
        <w:rPr>
          <w:iCs/>
        </w:rPr>
        <w:t>р</w:t>
      </w:r>
      <w:r w:rsidR="00EE6AA2">
        <w:rPr>
          <w:iCs/>
        </w:rPr>
        <w:t>е</w:t>
      </w:r>
      <w:r w:rsidR="00CC6DE1" w:rsidRPr="00F6340E">
        <w:rPr>
          <w:iCs/>
        </w:rPr>
        <w:t xml:space="preserve"> </w:t>
      </w:r>
      <w:r>
        <w:rPr>
          <w:iCs/>
        </w:rPr>
        <w:t>како</w:t>
      </w:r>
      <w:r w:rsidR="00CC6DE1" w:rsidRPr="00F6340E">
        <w:rPr>
          <w:iCs/>
        </w:rPr>
        <w:t xml:space="preserve"> </w:t>
      </w:r>
      <w:r>
        <w:rPr>
          <w:iCs/>
        </w:rPr>
        <w:t>би</w:t>
      </w:r>
      <w:r w:rsidR="00CC6DE1" w:rsidRPr="00F6340E">
        <w:rPr>
          <w:iCs/>
        </w:rPr>
        <w:t xml:space="preserve"> </w:t>
      </w:r>
      <w:r w:rsidR="0071360A">
        <w:rPr>
          <w:iCs/>
        </w:rPr>
        <w:t>с</w:t>
      </w:r>
      <w:r w:rsidR="00EE6AA2">
        <w:rPr>
          <w:iCs/>
        </w:rPr>
        <w:t>е</w:t>
      </w:r>
      <w:r w:rsidR="00CC6DE1" w:rsidRPr="00F6340E">
        <w:rPr>
          <w:iCs/>
        </w:rPr>
        <w:t xml:space="preserve"> </w:t>
      </w:r>
      <w:r>
        <w:rPr>
          <w:iCs/>
        </w:rPr>
        <w:t>о</w:t>
      </w:r>
      <w:r w:rsidR="0071360A">
        <w:rPr>
          <w:iCs/>
        </w:rPr>
        <w:t>с</w:t>
      </w:r>
      <w:r>
        <w:rPr>
          <w:iCs/>
        </w:rPr>
        <w:t>иг</w:t>
      </w:r>
      <w:r w:rsidR="0071360A">
        <w:rPr>
          <w:iCs/>
        </w:rPr>
        <w:t>ур</w:t>
      </w:r>
      <w:r>
        <w:rPr>
          <w:iCs/>
        </w:rPr>
        <w:t>ала</w:t>
      </w:r>
      <w:r w:rsidR="00CC6DE1" w:rsidRPr="00F6340E">
        <w:rPr>
          <w:iCs/>
        </w:rPr>
        <w:t xml:space="preserve"> </w:t>
      </w:r>
      <w:r>
        <w:rPr>
          <w:iCs/>
        </w:rPr>
        <w:t>кон</w:t>
      </w:r>
      <w:r w:rsidR="0071360A">
        <w:rPr>
          <w:iCs/>
        </w:rPr>
        <w:t>т</w:t>
      </w:r>
      <w:r>
        <w:rPr>
          <w:iCs/>
        </w:rPr>
        <w:t>ин</w:t>
      </w:r>
      <w:r w:rsidR="0071360A">
        <w:rPr>
          <w:iCs/>
        </w:rPr>
        <w:t>у</w:t>
      </w:r>
      <w:r>
        <w:rPr>
          <w:iCs/>
        </w:rPr>
        <w:t>ална</w:t>
      </w:r>
      <w:r w:rsidR="00CC6DE1" w:rsidRPr="00F6340E">
        <w:rPr>
          <w:iCs/>
        </w:rPr>
        <w:t xml:space="preserve"> </w:t>
      </w:r>
      <w:r w:rsidR="0071360A">
        <w:rPr>
          <w:iCs/>
        </w:rPr>
        <w:t>пр</w:t>
      </w:r>
      <w:r>
        <w:rPr>
          <w:iCs/>
        </w:rPr>
        <w:t>имј</w:t>
      </w:r>
      <w:r w:rsidR="00EE6AA2">
        <w:rPr>
          <w:iCs/>
        </w:rPr>
        <w:t>е</w:t>
      </w:r>
      <w:r>
        <w:rPr>
          <w:iCs/>
        </w:rPr>
        <w:t>на</w:t>
      </w:r>
      <w:r w:rsidR="00CC6DE1" w:rsidRPr="00F6340E">
        <w:rPr>
          <w:iCs/>
        </w:rPr>
        <w:t xml:space="preserve"> </w:t>
      </w:r>
      <w:r>
        <w:rPr>
          <w:iCs/>
        </w:rPr>
        <w:t>ИК</w:t>
      </w:r>
      <w:r w:rsidR="0071360A">
        <w:rPr>
          <w:iCs/>
        </w:rPr>
        <w:t>Т</w:t>
      </w:r>
      <w:r w:rsidR="008424F0" w:rsidRPr="00F6340E">
        <w:rPr>
          <w:iCs/>
        </w:rPr>
        <w:t>-</w:t>
      </w:r>
      <w:r>
        <w:rPr>
          <w:iCs/>
        </w:rPr>
        <w:t>а</w:t>
      </w:r>
      <w:r w:rsidR="00CC6DE1" w:rsidRPr="00F6340E">
        <w:rPr>
          <w:iCs/>
        </w:rPr>
        <w:t xml:space="preserve"> </w:t>
      </w:r>
      <w:r w:rsidR="0071360A">
        <w:rPr>
          <w:iCs/>
        </w:rPr>
        <w:t>у</w:t>
      </w:r>
      <w:r w:rsidR="00CC6DE1" w:rsidRPr="00F6340E">
        <w:rPr>
          <w:iCs/>
        </w:rPr>
        <w:t xml:space="preserve"> </w:t>
      </w:r>
      <w:r>
        <w:rPr>
          <w:iCs/>
        </w:rPr>
        <w:t>об</w:t>
      </w:r>
      <w:r w:rsidR="0071360A">
        <w:rPr>
          <w:iCs/>
        </w:rPr>
        <w:t>р</w:t>
      </w:r>
      <w:r>
        <w:rPr>
          <w:iCs/>
        </w:rPr>
        <w:t>а</w:t>
      </w:r>
      <w:r w:rsidR="00171F00">
        <w:rPr>
          <w:iCs/>
        </w:rPr>
        <w:t>з</w:t>
      </w:r>
      <w:r>
        <w:rPr>
          <w:iCs/>
        </w:rPr>
        <w:t>о</w:t>
      </w:r>
      <w:r w:rsidR="0071360A">
        <w:rPr>
          <w:iCs/>
        </w:rPr>
        <w:t>в</w:t>
      </w:r>
      <w:r>
        <w:rPr>
          <w:iCs/>
        </w:rPr>
        <w:t>ном</w:t>
      </w:r>
      <w:r w:rsidR="00CC6DE1" w:rsidRPr="00F6340E">
        <w:rPr>
          <w:iCs/>
        </w:rPr>
        <w:t xml:space="preserve"> </w:t>
      </w:r>
      <w:r w:rsidR="0071360A">
        <w:rPr>
          <w:iCs/>
        </w:rPr>
        <w:t>пр</w:t>
      </w:r>
      <w:r>
        <w:rPr>
          <w:iCs/>
        </w:rPr>
        <w:t>оц</w:t>
      </w:r>
      <w:r w:rsidR="00EE6AA2">
        <w:rPr>
          <w:iCs/>
        </w:rPr>
        <w:t>е</w:t>
      </w:r>
      <w:r w:rsidR="0071360A">
        <w:rPr>
          <w:iCs/>
        </w:rPr>
        <w:t>су</w:t>
      </w:r>
      <w:r w:rsidR="00CC6DE1" w:rsidRPr="00F6340E">
        <w:rPr>
          <w:iCs/>
        </w:rPr>
        <w:t xml:space="preserve">. </w:t>
      </w:r>
      <w:r w:rsidR="0071360A">
        <w:rPr>
          <w:iCs/>
        </w:rPr>
        <w:t>Стру</w:t>
      </w:r>
      <w:r>
        <w:rPr>
          <w:iCs/>
        </w:rPr>
        <w:t>чно</w:t>
      </w:r>
      <w:r w:rsidR="00CC6DE1" w:rsidRPr="00F6340E">
        <w:rPr>
          <w:iCs/>
        </w:rPr>
        <w:t xml:space="preserve"> </w:t>
      </w:r>
      <w:r w:rsidR="0071360A">
        <w:rPr>
          <w:iCs/>
        </w:rPr>
        <w:t>ус</w:t>
      </w:r>
      <w:r>
        <w:rPr>
          <w:iCs/>
        </w:rPr>
        <w:t>а</w:t>
      </w:r>
      <w:r w:rsidR="0071360A">
        <w:rPr>
          <w:iCs/>
        </w:rPr>
        <w:t>врш</w:t>
      </w:r>
      <w:r>
        <w:rPr>
          <w:iCs/>
        </w:rPr>
        <w:t>а</w:t>
      </w:r>
      <w:r w:rsidR="0071360A">
        <w:rPr>
          <w:iCs/>
        </w:rPr>
        <w:t>в</w:t>
      </w:r>
      <w:r>
        <w:rPr>
          <w:iCs/>
        </w:rPr>
        <w:t>ањ</w:t>
      </w:r>
      <w:r w:rsidR="00EE6AA2">
        <w:rPr>
          <w:iCs/>
        </w:rPr>
        <w:t>е</w:t>
      </w:r>
      <w:r w:rsidR="00CC6DE1" w:rsidRPr="00F6340E">
        <w:rPr>
          <w:iCs/>
        </w:rPr>
        <w:t xml:space="preserve"> </w:t>
      </w:r>
      <w:r>
        <w:rPr>
          <w:iCs/>
        </w:rPr>
        <w:t>на</w:t>
      </w:r>
      <w:r w:rsidR="0071360A">
        <w:rPr>
          <w:iCs/>
        </w:rPr>
        <w:t>ст</w:t>
      </w:r>
      <w:r>
        <w:rPr>
          <w:iCs/>
        </w:rPr>
        <w:t>а</w:t>
      </w:r>
      <w:r w:rsidR="0071360A">
        <w:rPr>
          <w:iCs/>
        </w:rPr>
        <w:t>в</w:t>
      </w:r>
      <w:r>
        <w:rPr>
          <w:iCs/>
        </w:rPr>
        <w:t>ника</w:t>
      </w:r>
      <w:r w:rsidR="00CC6DE1" w:rsidRPr="00F6340E">
        <w:rPr>
          <w:iCs/>
        </w:rPr>
        <w:t xml:space="preserve"> </w:t>
      </w:r>
      <w:r>
        <w:rPr>
          <w:iCs/>
        </w:rPr>
        <w:t>о</w:t>
      </w:r>
      <w:r w:rsidR="00CC6DE1" w:rsidRPr="00F6340E">
        <w:rPr>
          <w:iCs/>
        </w:rPr>
        <w:t xml:space="preserve"> </w:t>
      </w:r>
      <w:r w:rsidR="0071360A">
        <w:rPr>
          <w:iCs/>
        </w:rPr>
        <w:t>пр</w:t>
      </w:r>
      <w:r>
        <w:rPr>
          <w:iCs/>
        </w:rPr>
        <w:t>имј</w:t>
      </w:r>
      <w:r w:rsidR="00EE6AA2">
        <w:rPr>
          <w:iCs/>
        </w:rPr>
        <w:t>е</w:t>
      </w:r>
      <w:r>
        <w:rPr>
          <w:iCs/>
        </w:rPr>
        <w:t>ни</w:t>
      </w:r>
      <w:r w:rsidR="00CC6DE1" w:rsidRPr="00F6340E">
        <w:rPr>
          <w:iCs/>
        </w:rPr>
        <w:t xml:space="preserve"> </w:t>
      </w:r>
      <w:r>
        <w:rPr>
          <w:iCs/>
        </w:rPr>
        <w:t>ИК</w:t>
      </w:r>
      <w:r w:rsidR="0071360A">
        <w:rPr>
          <w:iCs/>
        </w:rPr>
        <w:t>Т</w:t>
      </w:r>
      <w:r w:rsidR="008424F0" w:rsidRPr="00F6340E">
        <w:rPr>
          <w:iCs/>
        </w:rPr>
        <w:t>-</w:t>
      </w:r>
      <w:r>
        <w:rPr>
          <w:iCs/>
        </w:rPr>
        <w:t>а</w:t>
      </w:r>
      <w:r w:rsidR="00CC6DE1" w:rsidRPr="00F6340E">
        <w:rPr>
          <w:iCs/>
        </w:rPr>
        <w:t xml:space="preserve"> </w:t>
      </w:r>
      <w:r w:rsidR="0071360A">
        <w:rPr>
          <w:iCs/>
        </w:rPr>
        <w:t>у</w:t>
      </w:r>
      <w:r w:rsidR="00CC6DE1" w:rsidRPr="00F6340E">
        <w:rPr>
          <w:iCs/>
        </w:rPr>
        <w:t xml:space="preserve"> </w:t>
      </w:r>
      <w:r>
        <w:rPr>
          <w:iCs/>
        </w:rPr>
        <w:t>на</w:t>
      </w:r>
      <w:r w:rsidR="0071360A">
        <w:rPr>
          <w:iCs/>
        </w:rPr>
        <w:t>ст</w:t>
      </w:r>
      <w:r>
        <w:rPr>
          <w:iCs/>
        </w:rPr>
        <w:t>а</w:t>
      </w:r>
      <w:r w:rsidR="0071360A">
        <w:rPr>
          <w:iCs/>
        </w:rPr>
        <w:t>в</w:t>
      </w:r>
      <w:r>
        <w:rPr>
          <w:iCs/>
        </w:rPr>
        <w:t>и</w:t>
      </w:r>
      <w:r w:rsidR="00CC6DE1" w:rsidRPr="00F6340E">
        <w:rPr>
          <w:iCs/>
        </w:rPr>
        <w:t xml:space="preserve"> </w:t>
      </w:r>
      <w:r w:rsidR="0071360A">
        <w:rPr>
          <w:iCs/>
        </w:rPr>
        <w:t>у</w:t>
      </w:r>
      <w:r w:rsidR="00CC6DE1" w:rsidRPr="00F6340E">
        <w:rPr>
          <w:iCs/>
        </w:rPr>
        <w:t xml:space="preserve"> </w:t>
      </w:r>
      <w:r>
        <w:rPr>
          <w:iCs/>
        </w:rPr>
        <w:t>кон</w:t>
      </w:r>
      <w:r w:rsidR="0071360A">
        <w:rPr>
          <w:iCs/>
        </w:rPr>
        <w:t>т</w:t>
      </w:r>
      <w:r w:rsidR="00EE6AA2">
        <w:rPr>
          <w:iCs/>
        </w:rPr>
        <w:t>е</w:t>
      </w:r>
      <w:r>
        <w:rPr>
          <w:iCs/>
        </w:rPr>
        <w:t>к</w:t>
      </w:r>
      <w:r w:rsidR="0071360A">
        <w:rPr>
          <w:iCs/>
        </w:rPr>
        <w:t>сту</w:t>
      </w:r>
      <w:r w:rsidR="00CC6DE1" w:rsidRPr="00F6340E">
        <w:rPr>
          <w:iCs/>
        </w:rPr>
        <w:t xml:space="preserve"> </w:t>
      </w:r>
      <w:r>
        <w:rPr>
          <w:iCs/>
        </w:rPr>
        <w:t>к</w:t>
      </w:r>
      <w:r w:rsidR="0071360A">
        <w:rPr>
          <w:iCs/>
        </w:rPr>
        <w:t>в</w:t>
      </w:r>
      <w:r>
        <w:rPr>
          <w:iCs/>
        </w:rPr>
        <w:t>али</w:t>
      </w:r>
      <w:r w:rsidR="0071360A">
        <w:rPr>
          <w:iCs/>
        </w:rPr>
        <w:t>т</w:t>
      </w:r>
      <w:r w:rsidR="00EE6AA2">
        <w:rPr>
          <w:iCs/>
        </w:rPr>
        <w:t>е</w:t>
      </w:r>
      <w:r w:rsidR="0071360A">
        <w:rPr>
          <w:iCs/>
        </w:rPr>
        <w:t>т</w:t>
      </w:r>
      <w:r>
        <w:rPr>
          <w:iCs/>
        </w:rPr>
        <w:t>ног</w:t>
      </w:r>
      <w:r w:rsidR="00CC6DE1" w:rsidRPr="00F6340E">
        <w:rPr>
          <w:iCs/>
        </w:rPr>
        <w:t xml:space="preserve"> </w:t>
      </w:r>
      <w:r>
        <w:rPr>
          <w:iCs/>
        </w:rPr>
        <w:t>инкл</w:t>
      </w:r>
      <w:r w:rsidR="0071360A">
        <w:rPr>
          <w:iCs/>
        </w:rPr>
        <w:t>у</w:t>
      </w:r>
      <w:r w:rsidR="00171F00">
        <w:rPr>
          <w:iCs/>
        </w:rPr>
        <w:t>з</w:t>
      </w:r>
      <w:r>
        <w:rPr>
          <w:iCs/>
        </w:rPr>
        <w:t>и</w:t>
      </w:r>
      <w:r w:rsidR="0071360A">
        <w:rPr>
          <w:iCs/>
        </w:rPr>
        <w:t>в</w:t>
      </w:r>
      <w:r>
        <w:rPr>
          <w:iCs/>
        </w:rPr>
        <w:t>ног</w:t>
      </w:r>
      <w:r w:rsidR="00CC6DE1" w:rsidRPr="00F6340E">
        <w:rPr>
          <w:iCs/>
        </w:rPr>
        <w:t xml:space="preserve"> </w:t>
      </w:r>
      <w:r>
        <w:rPr>
          <w:iCs/>
        </w:rPr>
        <w:t>об</w:t>
      </w:r>
      <w:r w:rsidR="0071360A">
        <w:rPr>
          <w:iCs/>
        </w:rPr>
        <w:t>р</w:t>
      </w:r>
      <w:r>
        <w:rPr>
          <w:iCs/>
        </w:rPr>
        <w:t>а</w:t>
      </w:r>
      <w:r w:rsidR="00171F00">
        <w:rPr>
          <w:iCs/>
        </w:rPr>
        <w:t>з</w:t>
      </w:r>
      <w:r>
        <w:rPr>
          <w:iCs/>
        </w:rPr>
        <w:t>о</w:t>
      </w:r>
      <w:r w:rsidR="0071360A">
        <w:rPr>
          <w:iCs/>
        </w:rPr>
        <w:t>в</w:t>
      </w:r>
      <w:r>
        <w:rPr>
          <w:iCs/>
        </w:rPr>
        <w:t>ања</w:t>
      </w:r>
      <w:r w:rsidR="00CC6DE1" w:rsidRPr="00F6340E">
        <w:rPr>
          <w:iCs/>
        </w:rPr>
        <w:t xml:space="preserve"> </w:t>
      </w:r>
      <w:r w:rsidR="0071360A">
        <w:rPr>
          <w:iCs/>
        </w:rPr>
        <w:t>т</w:t>
      </w:r>
      <w:r>
        <w:rPr>
          <w:iCs/>
        </w:rPr>
        <w:t>акођ</w:t>
      </w:r>
      <w:r w:rsidR="00EE6AA2">
        <w:rPr>
          <w:iCs/>
        </w:rPr>
        <w:t>е</w:t>
      </w:r>
      <w:r w:rsidR="00CC6DE1" w:rsidRPr="00F6340E">
        <w:rPr>
          <w:iCs/>
        </w:rPr>
        <w:t xml:space="preserve"> </w:t>
      </w:r>
      <w:r>
        <w:rPr>
          <w:iCs/>
        </w:rPr>
        <w:t>би</w:t>
      </w:r>
      <w:r w:rsidR="00CC6DE1" w:rsidRPr="00F6340E">
        <w:rPr>
          <w:iCs/>
        </w:rPr>
        <w:t xml:space="preserve"> </w:t>
      </w:r>
      <w:r w:rsidR="0071360A">
        <w:rPr>
          <w:iCs/>
        </w:rPr>
        <w:t>тр</w:t>
      </w:r>
      <w:r w:rsidR="00EE6AA2">
        <w:rPr>
          <w:iCs/>
        </w:rPr>
        <w:t>е</w:t>
      </w:r>
      <w:r>
        <w:rPr>
          <w:iCs/>
        </w:rPr>
        <w:t>бало</w:t>
      </w:r>
      <w:r w:rsidR="00CC6DE1" w:rsidRPr="00F6340E">
        <w:rPr>
          <w:iCs/>
        </w:rPr>
        <w:t xml:space="preserve"> </w:t>
      </w:r>
      <w:r>
        <w:rPr>
          <w:iCs/>
        </w:rPr>
        <w:t>би</w:t>
      </w:r>
      <w:r w:rsidR="0071360A">
        <w:rPr>
          <w:iCs/>
        </w:rPr>
        <w:t>т</w:t>
      </w:r>
      <w:r>
        <w:rPr>
          <w:iCs/>
        </w:rPr>
        <w:t>и</w:t>
      </w:r>
      <w:r w:rsidR="00CC6DE1" w:rsidRPr="00F6340E">
        <w:rPr>
          <w:iCs/>
        </w:rPr>
        <w:t xml:space="preserve"> </w:t>
      </w:r>
      <w:r w:rsidR="00171F00">
        <w:rPr>
          <w:iCs/>
        </w:rPr>
        <w:t>з</w:t>
      </w:r>
      <w:r>
        <w:rPr>
          <w:iCs/>
        </w:rPr>
        <w:t>акон</w:t>
      </w:r>
      <w:r w:rsidR="0071360A">
        <w:rPr>
          <w:iCs/>
        </w:rPr>
        <w:t>с</w:t>
      </w:r>
      <w:r>
        <w:rPr>
          <w:iCs/>
        </w:rPr>
        <w:t>ки</w:t>
      </w:r>
      <w:r w:rsidR="00CC6DE1" w:rsidRPr="00F6340E">
        <w:rPr>
          <w:iCs/>
        </w:rPr>
        <w:t xml:space="preserve"> </w:t>
      </w:r>
      <w:r w:rsidR="0071360A">
        <w:rPr>
          <w:iCs/>
        </w:rPr>
        <w:t>р</w:t>
      </w:r>
      <w:r w:rsidR="00EE6AA2">
        <w:rPr>
          <w:iCs/>
        </w:rPr>
        <w:t>е</w:t>
      </w:r>
      <w:r>
        <w:rPr>
          <w:iCs/>
        </w:rPr>
        <w:t>г</w:t>
      </w:r>
      <w:r w:rsidR="0071360A">
        <w:rPr>
          <w:iCs/>
        </w:rPr>
        <w:t>у</w:t>
      </w:r>
      <w:r>
        <w:rPr>
          <w:iCs/>
        </w:rPr>
        <w:t>ли</w:t>
      </w:r>
      <w:r w:rsidR="0071360A">
        <w:rPr>
          <w:iCs/>
        </w:rPr>
        <w:t>с</w:t>
      </w:r>
      <w:r>
        <w:rPr>
          <w:iCs/>
        </w:rPr>
        <w:t>ано</w:t>
      </w:r>
      <w:r w:rsidR="00CC6DE1" w:rsidRPr="00F6340E">
        <w:rPr>
          <w:iCs/>
        </w:rPr>
        <w:t xml:space="preserve">. </w:t>
      </w:r>
      <w:r>
        <w:t>На</w:t>
      </w:r>
      <w:r w:rsidR="0071360A">
        <w:t>в</w:t>
      </w:r>
      <w:r w:rsidR="00EE6AA2">
        <w:t>е</w:t>
      </w:r>
      <w:r>
        <w:t>д</w:t>
      </w:r>
      <w:r w:rsidR="00EE6AA2">
        <w:t>е</w:t>
      </w:r>
      <w:r>
        <w:t>но</w:t>
      </w:r>
      <w:r w:rsidR="008128DE" w:rsidRPr="00F6340E">
        <w:t xml:space="preserve"> </w:t>
      </w:r>
      <w:r>
        <w:t>ј</w:t>
      </w:r>
      <w:r w:rsidR="00EE6AA2">
        <w:t>е</w:t>
      </w:r>
      <w:r w:rsidR="00CC6DE1" w:rsidRPr="00F6340E">
        <w:t xml:space="preserve"> </w:t>
      </w:r>
      <w:r>
        <w:t>да</w:t>
      </w:r>
      <w:r w:rsidR="00CC6DE1" w:rsidRPr="00F6340E">
        <w:t xml:space="preserve"> </w:t>
      </w:r>
      <w:r>
        <w:t>ј</w:t>
      </w:r>
      <w:r w:rsidR="00EE6AA2">
        <w:t>е</w:t>
      </w:r>
      <w:r w:rsidR="00CC6DE1" w:rsidRPr="00F6340E">
        <w:t xml:space="preserve"> </w:t>
      </w:r>
      <w:r w:rsidR="0071360A">
        <w:t>ст</w:t>
      </w:r>
      <w:r>
        <w:t>анда</w:t>
      </w:r>
      <w:r w:rsidR="0071360A">
        <w:t>р</w:t>
      </w:r>
      <w:r>
        <w:t>ди</w:t>
      </w:r>
      <w:r w:rsidR="00171F00">
        <w:t>з</w:t>
      </w:r>
      <w:r>
        <w:t>ација</w:t>
      </w:r>
      <w:r w:rsidR="00CC6DE1" w:rsidRPr="00F6340E">
        <w:t xml:space="preserve"> (</w:t>
      </w:r>
      <w:r>
        <w:t>на</w:t>
      </w:r>
      <w:r w:rsidR="00CC6DE1" w:rsidRPr="00F6340E">
        <w:t xml:space="preserve"> </w:t>
      </w:r>
      <w:r>
        <w:t>ни</w:t>
      </w:r>
      <w:r w:rsidR="0071360A">
        <w:t>в</w:t>
      </w:r>
      <w:r>
        <w:t>о</w:t>
      </w:r>
      <w:r w:rsidR="0071360A">
        <w:t>у</w:t>
      </w:r>
      <w:r w:rsidR="00CC6DE1" w:rsidRPr="00F6340E">
        <w:t xml:space="preserve"> </w:t>
      </w:r>
      <w:r>
        <w:t>админи</w:t>
      </w:r>
      <w:r w:rsidR="0071360A">
        <w:t>стр</w:t>
      </w:r>
      <w:r>
        <w:t>а</w:t>
      </w:r>
      <w:r w:rsidR="0071360A">
        <w:t>т</w:t>
      </w:r>
      <w:r>
        <w:t>и</w:t>
      </w:r>
      <w:r w:rsidR="0071360A">
        <w:t>в</w:t>
      </w:r>
      <w:r>
        <w:t>них</w:t>
      </w:r>
      <w:r w:rsidR="00CC6DE1" w:rsidRPr="00F6340E">
        <w:t xml:space="preserve"> </w:t>
      </w:r>
      <w:r>
        <w:t>ј</w:t>
      </w:r>
      <w:r w:rsidR="00EE6AA2">
        <w:t>е</w:t>
      </w:r>
      <w:r>
        <w:t>диница</w:t>
      </w:r>
      <w:r w:rsidR="00CC6DE1" w:rsidRPr="00F6340E">
        <w:t xml:space="preserve">) </w:t>
      </w:r>
      <w:r>
        <w:t>на</w:t>
      </w:r>
      <w:r w:rsidR="0071360A">
        <w:t>ст</w:t>
      </w:r>
      <w:r>
        <w:t>а</w:t>
      </w:r>
      <w:r w:rsidR="0071360A">
        <w:t>в</w:t>
      </w:r>
      <w:r w:rsidR="00EE6AA2">
        <w:t>е</w:t>
      </w:r>
      <w:r w:rsidR="008424F0" w:rsidRPr="00F6340E">
        <w:t xml:space="preserve"> </w:t>
      </w:r>
      <w:r w:rsidR="0071360A">
        <w:t>пут</w:t>
      </w:r>
      <w:r w:rsidR="00EE6AA2">
        <w:t>е</w:t>
      </w:r>
      <w:r>
        <w:t>м</w:t>
      </w:r>
      <w:r w:rsidR="008424F0" w:rsidRPr="00F6340E">
        <w:t xml:space="preserve"> </w:t>
      </w:r>
      <w:r>
        <w:t>ин</w:t>
      </w:r>
      <w:r w:rsidR="0071360A">
        <w:t>т</w:t>
      </w:r>
      <w:r w:rsidR="00EE6AA2">
        <w:t>е</w:t>
      </w:r>
      <w:r w:rsidR="0071360A">
        <w:t>р</w:t>
      </w:r>
      <w:r>
        <w:t>н</w:t>
      </w:r>
      <w:r w:rsidR="00EE6AA2">
        <w:t>е</w:t>
      </w:r>
      <w:r w:rsidR="0071360A">
        <w:t>т</w:t>
      </w:r>
      <w:r>
        <w:t>а</w:t>
      </w:r>
      <w:r w:rsidR="00CC6DE1" w:rsidRPr="00F6340E">
        <w:t xml:space="preserve"> </w:t>
      </w:r>
      <w:r>
        <w:t>и</w:t>
      </w:r>
      <w:r w:rsidR="00CC6DE1" w:rsidRPr="00F6340E">
        <w:t xml:space="preserve"> </w:t>
      </w:r>
      <w:r>
        <w:t>комбино</w:t>
      </w:r>
      <w:r w:rsidR="0071360A">
        <w:t>в</w:t>
      </w:r>
      <w:r>
        <w:t>ан</w:t>
      </w:r>
      <w:r w:rsidR="00EE6AA2">
        <w:t>е</w:t>
      </w:r>
      <w:r w:rsidR="00CC6DE1" w:rsidRPr="00F6340E">
        <w:t xml:space="preserve"> </w:t>
      </w:r>
      <w:r>
        <w:t>на</w:t>
      </w:r>
      <w:r w:rsidR="0071360A">
        <w:t>ст</w:t>
      </w:r>
      <w:r>
        <w:t>а</w:t>
      </w:r>
      <w:r w:rsidR="0071360A">
        <w:t>в</w:t>
      </w:r>
      <w:r w:rsidR="00EE6AA2">
        <w:t>е</w:t>
      </w:r>
      <w:r w:rsidR="00CC6DE1" w:rsidRPr="00F6340E">
        <w:t xml:space="preserve"> </w:t>
      </w:r>
      <w:r w:rsidR="0071360A">
        <w:t>в</w:t>
      </w:r>
      <w:r>
        <w:t>а</w:t>
      </w:r>
      <w:r w:rsidR="00171F00">
        <w:t>ж</w:t>
      </w:r>
      <w:r>
        <w:t>на</w:t>
      </w:r>
      <w:r w:rsidR="00CC6DE1" w:rsidRPr="00F6340E">
        <w:t xml:space="preserve"> </w:t>
      </w:r>
      <w:r w:rsidR="0071360A">
        <w:t>у</w:t>
      </w:r>
      <w:r w:rsidR="00CC6DE1" w:rsidRPr="00F6340E">
        <w:t xml:space="preserve"> </w:t>
      </w:r>
      <w:r w:rsidR="0071360A">
        <w:t>св</w:t>
      </w:r>
      <w:r>
        <w:t>им</w:t>
      </w:r>
      <w:r w:rsidR="00CC6DE1" w:rsidRPr="00F6340E">
        <w:t xml:space="preserve"> </w:t>
      </w:r>
      <w:r>
        <w:t>фа</w:t>
      </w:r>
      <w:r w:rsidR="00171F00">
        <w:t>з</w:t>
      </w:r>
      <w:r>
        <w:t>ама</w:t>
      </w:r>
      <w:r w:rsidR="00CC6DE1" w:rsidRPr="00F6340E">
        <w:t xml:space="preserve"> </w:t>
      </w:r>
      <w:r>
        <w:t>на</w:t>
      </w:r>
      <w:r w:rsidR="0071360A">
        <w:t>ст</w:t>
      </w:r>
      <w:r>
        <w:t>а</w:t>
      </w:r>
      <w:r w:rsidR="0071360A">
        <w:t>в</w:t>
      </w:r>
      <w:r>
        <w:t>ног</w:t>
      </w:r>
      <w:r w:rsidR="00CC6DE1" w:rsidRPr="00F6340E">
        <w:t xml:space="preserve"> </w:t>
      </w:r>
      <w:r w:rsidR="0071360A">
        <w:t>пр</w:t>
      </w:r>
      <w:r>
        <w:t>оц</w:t>
      </w:r>
      <w:r w:rsidR="00EE6AA2">
        <w:t>е</w:t>
      </w:r>
      <w:r w:rsidR="0071360A">
        <w:t>с</w:t>
      </w:r>
      <w:r>
        <w:t>а</w:t>
      </w:r>
      <w:r w:rsidR="00CC6DE1" w:rsidRPr="00F6340E">
        <w:t xml:space="preserve"> - </w:t>
      </w:r>
      <w:r w:rsidR="0071360A">
        <w:t>п</w:t>
      </w:r>
      <w:r>
        <w:t>лани</w:t>
      </w:r>
      <w:r w:rsidR="0071360A">
        <w:t>р</w:t>
      </w:r>
      <w:r>
        <w:t>ања</w:t>
      </w:r>
      <w:r w:rsidR="00CC6DE1" w:rsidRPr="00F6340E">
        <w:t xml:space="preserve">, </w:t>
      </w:r>
      <w:r w:rsidR="0071360A">
        <w:t>пр</w:t>
      </w:r>
      <w:r>
        <w:t>и</w:t>
      </w:r>
      <w:r w:rsidR="0071360A">
        <w:t>пр</w:t>
      </w:r>
      <w:r w:rsidR="00EE6AA2">
        <w:t>е</w:t>
      </w:r>
      <w:r>
        <w:t>м</w:t>
      </w:r>
      <w:r w:rsidR="00EE6AA2">
        <w:t>е</w:t>
      </w:r>
      <w:r w:rsidR="00CC6DE1" w:rsidRPr="00F6340E">
        <w:t xml:space="preserve">, </w:t>
      </w:r>
      <w:r>
        <w:t>о</w:t>
      </w:r>
      <w:r w:rsidR="0071360A">
        <w:t>р</w:t>
      </w:r>
      <w:r>
        <w:t>гани</w:t>
      </w:r>
      <w:r w:rsidR="00171F00">
        <w:t>з</w:t>
      </w:r>
      <w:r>
        <w:t>ациј</w:t>
      </w:r>
      <w:r w:rsidR="00EE6AA2">
        <w:t>е</w:t>
      </w:r>
      <w:r w:rsidR="00CC6DE1" w:rsidRPr="00F6340E">
        <w:t xml:space="preserve"> </w:t>
      </w:r>
      <w:r>
        <w:t>и</w:t>
      </w:r>
      <w:r w:rsidR="00CC6DE1" w:rsidRPr="00F6340E">
        <w:t xml:space="preserve"> </w:t>
      </w:r>
      <w:r w:rsidR="0071360A">
        <w:t>р</w:t>
      </w:r>
      <w:r w:rsidR="00EE6AA2">
        <w:t>е</w:t>
      </w:r>
      <w:r>
        <w:t>али</w:t>
      </w:r>
      <w:r w:rsidR="00171F00">
        <w:t>з</w:t>
      </w:r>
      <w:r>
        <w:t>ациј</w:t>
      </w:r>
      <w:r w:rsidR="00EE6AA2">
        <w:t>е</w:t>
      </w:r>
      <w:r w:rsidR="00CC6DE1" w:rsidRPr="00F6340E">
        <w:t>.</w:t>
      </w:r>
      <w:r w:rsidR="00CC6DE1" w:rsidRPr="00F6340E">
        <w:rPr>
          <w:rStyle w:val="FootnoteReference"/>
          <w:rFonts w:cs="Arial"/>
          <w:noProof w:val="0"/>
          <w:szCs w:val="24"/>
        </w:rPr>
        <w:footnoteReference w:id="16"/>
      </w:r>
      <w:r w:rsidR="00CC6DE1" w:rsidRPr="00F6340E">
        <w:t xml:space="preserve">  </w:t>
      </w:r>
    </w:p>
    <w:p w14:paraId="3112705F" w14:textId="7339DE6C" w:rsidR="00417596" w:rsidRPr="00F6340E" w:rsidRDefault="0071360A" w:rsidP="00FA4DC9">
      <w:pPr>
        <w:pStyle w:val="Body"/>
      </w:pPr>
      <w:r>
        <w:t>П</w:t>
      </w:r>
      <w:r w:rsidR="00A56E08">
        <w:t>о</w:t>
      </w:r>
      <w:r>
        <w:t>тр</w:t>
      </w:r>
      <w:r w:rsidR="00EE6AA2">
        <w:t>е</w:t>
      </w:r>
      <w:r w:rsidR="00A56E08">
        <w:t>ба</w:t>
      </w:r>
      <w:r w:rsidR="00800E71" w:rsidRPr="00F6340E">
        <w:t xml:space="preserve"> </w:t>
      </w:r>
      <w:r w:rsidR="00A56E08">
        <w:t>да</w:t>
      </w:r>
      <w:r w:rsidR="00800E71" w:rsidRPr="00F6340E">
        <w:t xml:space="preserve"> </w:t>
      </w:r>
      <w:r>
        <w:t>с</w:t>
      </w:r>
      <w:r w:rsidR="00EE6AA2">
        <w:t>е</w:t>
      </w:r>
      <w:r w:rsidR="00800E71" w:rsidRPr="00F6340E">
        <w:t xml:space="preserve"> </w:t>
      </w:r>
      <w:r>
        <w:t>п</w:t>
      </w:r>
      <w:r w:rsidR="00A56E08">
        <w:t>о</w:t>
      </w:r>
      <w:r>
        <w:t>ст</w:t>
      </w:r>
      <w:r w:rsidR="00A56E08">
        <w:t>ој</w:t>
      </w:r>
      <w:r w:rsidR="00EE6AA2">
        <w:t>е</w:t>
      </w:r>
      <w:r w:rsidR="00A56E08">
        <w:t>ћ</w:t>
      </w:r>
      <w:r w:rsidR="00EE6AA2">
        <w:t>е</w:t>
      </w:r>
      <w:r w:rsidR="008424F0" w:rsidRPr="00F6340E">
        <w:t xml:space="preserve"> </w:t>
      </w:r>
      <w:r w:rsidR="00171F00">
        <w:t>з</w:t>
      </w:r>
      <w:r w:rsidR="00A56E08">
        <w:t>аконода</w:t>
      </w:r>
      <w:r>
        <w:t>вств</w:t>
      </w:r>
      <w:r w:rsidR="00A56E08">
        <w:t>о</w:t>
      </w:r>
      <w:r w:rsidR="008424F0" w:rsidRPr="00F6340E">
        <w:t xml:space="preserve"> </w:t>
      </w:r>
      <w:r w:rsidR="00A56E08">
        <w:t>до</w:t>
      </w:r>
      <w:r>
        <w:t>пу</w:t>
      </w:r>
      <w:r w:rsidR="00A56E08">
        <w:t>ни</w:t>
      </w:r>
      <w:r w:rsidR="0068278D" w:rsidRPr="00F6340E">
        <w:t xml:space="preserve"> </w:t>
      </w:r>
      <w:r>
        <w:t>с</w:t>
      </w:r>
      <w:r w:rsidR="00A56E08">
        <w:t>ад</w:t>
      </w:r>
      <w:r>
        <w:t>р</w:t>
      </w:r>
      <w:r w:rsidR="00171F00">
        <w:t>ж</w:t>
      </w:r>
      <w:r w:rsidR="00A56E08">
        <w:t>ајима</w:t>
      </w:r>
      <w:r w:rsidR="0068278D" w:rsidRPr="00F6340E">
        <w:t xml:space="preserve"> </w:t>
      </w:r>
      <w:r w:rsidR="00A56E08">
        <w:t>који</w:t>
      </w:r>
      <w:r w:rsidR="0068278D" w:rsidRPr="00F6340E">
        <w:t xml:space="preserve"> </w:t>
      </w:r>
      <w:r>
        <w:t>с</w:t>
      </w:r>
      <w:r w:rsidR="00EE6AA2">
        <w:t>е</w:t>
      </w:r>
      <w:r w:rsidR="0068278D" w:rsidRPr="00F6340E">
        <w:t xml:space="preserve"> </w:t>
      </w:r>
      <w:r w:rsidR="00A56E08">
        <w:t>одно</w:t>
      </w:r>
      <w:r>
        <w:t>с</w:t>
      </w:r>
      <w:r w:rsidR="00EE6AA2">
        <w:t>е</w:t>
      </w:r>
      <w:r w:rsidR="0068278D" w:rsidRPr="00F6340E">
        <w:t xml:space="preserve"> </w:t>
      </w:r>
      <w:r w:rsidR="00A56E08">
        <w:t>на</w:t>
      </w:r>
      <w:r w:rsidR="0068278D" w:rsidRPr="00F6340E">
        <w:t xml:space="preserve"> </w:t>
      </w:r>
      <w:r w:rsidR="00A56E08">
        <w:t>им</w:t>
      </w:r>
      <w:r>
        <w:t>п</w:t>
      </w:r>
      <w:r w:rsidR="00A56E08">
        <w:t>л</w:t>
      </w:r>
      <w:r w:rsidR="00EE6AA2">
        <w:t>е</w:t>
      </w:r>
      <w:r w:rsidR="00A56E08">
        <w:t>м</w:t>
      </w:r>
      <w:r w:rsidR="00EE6AA2">
        <w:t>е</w:t>
      </w:r>
      <w:r w:rsidR="00A56E08">
        <w:t>н</w:t>
      </w:r>
      <w:r>
        <w:t>т</w:t>
      </w:r>
      <w:r w:rsidR="00A56E08">
        <w:t>ациј</w:t>
      </w:r>
      <w:r>
        <w:t>у</w:t>
      </w:r>
      <w:r w:rsidR="00947928" w:rsidRPr="00F6340E">
        <w:t xml:space="preserve"> </w:t>
      </w:r>
      <w:r w:rsidR="00A56E08">
        <w:t>на</w:t>
      </w:r>
      <w:r>
        <w:t>ст</w:t>
      </w:r>
      <w:r w:rsidR="00A56E08">
        <w:t>а</w:t>
      </w:r>
      <w:r>
        <w:t>в</w:t>
      </w:r>
      <w:r w:rsidR="00EE6AA2">
        <w:t>е</w:t>
      </w:r>
      <w:r w:rsidR="00947928" w:rsidRPr="00F6340E">
        <w:t xml:space="preserve"> </w:t>
      </w:r>
      <w:r>
        <w:t>пут</w:t>
      </w:r>
      <w:r w:rsidR="00EE6AA2">
        <w:t>е</w:t>
      </w:r>
      <w:r w:rsidR="00A56E08">
        <w:t>м</w:t>
      </w:r>
      <w:r w:rsidR="00947928" w:rsidRPr="00F6340E">
        <w:t xml:space="preserve"> </w:t>
      </w:r>
      <w:r w:rsidR="00A56E08">
        <w:t>ин</w:t>
      </w:r>
      <w:r>
        <w:t>т</w:t>
      </w:r>
      <w:r w:rsidR="00EE6AA2">
        <w:t>е</w:t>
      </w:r>
      <w:r>
        <w:t>р</w:t>
      </w:r>
      <w:r w:rsidR="00A56E08">
        <w:t>н</w:t>
      </w:r>
      <w:r w:rsidR="00EE6AA2">
        <w:t>е</w:t>
      </w:r>
      <w:r>
        <w:t>т</w:t>
      </w:r>
      <w:r w:rsidR="00A56E08">
        <w:t>а</w:t>
      </w:r>
      <w:r w:rsidR="00947928" w:rsidRPr="00F6340E">
        <w:t xml:space="preserve"> </w:t>
      </w:r>
      <w:r w:rsidR="00A56E08">
        <w:t>и</w:t>
      </w:r>
      <w:r w:rsidR="0068278D" w:rsidRPr="00F6340E">
        <w:t>/</w:t>
      </w:r>
      <w:r w:rsidR="00A56E08">
        <w:t>или</w:t>
      </w:r>
      <w:r w:rsidR="0068278D" w:rsidRPr="00F6340E">
        <w:t xml:space="preserve"> </w:t>
      </w:r>
      <w:r w:rsidR="00A56E08">
        <w:t>комбино</w:t>
      </w:r>
      <w:r>
        <w:t>в</w:t>
      </w:r>
      <w:r w:rsidR="00A56E08">
        <w:t>ан</w:t>
      </w:r>
      <w:r w:rsidR="00EE6AA2">
        <w:t>е</w:t>
      </w:r>
      <w:r w:rsidR="0068278D" w:rsidRPr="00F6340E">
        <w:t xml:space="preserve"> </w:t>
      </w:r>
      <w:r w:rsidR="00A56E08">
        <w:t>на</w:t>
      </w:r>
      <w:r>
        <w:t>ст</w:t>
      </w:r>
      <w:r w:rsidR="00A56E08">
        <w:t>а</w:t>
      </w:r>
      <w:r>
        <w:t>в</w:t>
      </w:r>
      <w:r w:rsidR="00EE6AA2">
        <w:t>е</w:t>
      </w:r>
      <w:r w:rsidR="0068278D" w:rsidRPr="00F6340E">
        <w:t xml:space="preserve"> </w:t>
      </w:r>
      <w:r>
        <w:t>пр</w:t>
      </w:r>
      <w:r w:rsidR="00A56E08">
        <w:t>и</w:t>
      </w:r>
      <w:r>
        <w:t>сут</w:t>
      </w:r>
      <w:r w:rsidR="00A56E08">
        <w:t>на</w:t>
      </w:r>
      <w:r w:rsidR="00800E71" w:rsidRPr="00F6340E">
        <w:t xml:space="preserve"> </w:t>
      </w:r>
      <w:r w:rsidR="00A56E08">
        <w:t>ј</w:t>
      </w:r>
      <w:r w:rsidR="00EE6AA2">
        <w:t>е</w:t>
      </w:r>
      <w:r w:rsidR="00800E71" w:rsidRPr="00F6340E">
        <w:t xml:space="preserve">, </w:t>
      </w:r>
      <w:r w:rsidR="00A56E08">
        <w:t>али</w:t>
      </w:r>
      <w:r w:rsidR="0068278D" w:rsidRPr="00F6340E">
        <w:t xml:space="preserve"> </w:t>
      </w:r>
      <w:r w:rsidR="00A56E08">
        <w:t>и</w:t>
      </w:r>
      <w:r w:rsidR="0068278D" w:rsidRPr="00F6340E">
        <w:t xml:space="preserve"> </w:t>
      </w:r>
      <w:r w:rsidR="00A56E08">
        <w:t>а</w:t>
      </w:r>
      <w:r>
        <w:t>пс</w:t>
      </w:r>
      <w:r w:rsidR="00A56E08">
        <w:t>ол</w:t>
      </w:r>
      <w:r>
        <w:t>ут</w:t>
      </w:r>
      <w:r w:rsidR="00A56E08">
        <w:t>но</w:t>
      </w:r>
      <w:r w:rsidR="00800E71" w:rsidRPr="00F6340E">
        <w:t xml:space="preserve"> </w:t>
      </w:r>
      <w:r w:rsidR="00A56E08">
        <w:t>о</w:t>
      </w:r>
      <w:r>
        <w:t>пр</w:t>
      </w:r>
      <w:r w:rsidR="00A56E08">
        <w:t>а</w:t>
      </w:r>
      <w:r>
        <w:t>в</w:t>
      </w:r>
      <w:r w:rsidR="00A56E08">
        <w:t>дана</w:t>
      </w:r>
      <w:r w:rsidR="0068278D" w:rsidRPr="00F6340E">
        <w:t xml:space="preserve"> </w:t>
      </w:r>
      <w:r w:rsidR="00A56E08">
        <w:t>имај</w:t>
      </w:r>
      <w:r>
        <w:t>у</w:t>
      </w:r>
      <w:r w:rsidR="00A56E08">
        <w:t>ћи</w:t>
      </w:r>
      <w:r w:rsidR="0068278D" w:rsidRPr="00F6340E">
        <w:t xml:space="preserve"> </w:t>
      </w:r>
      <w:r>
        <w:t>у</w:t>
      </w:r>
      <w:r w:rsidR="0068278D" w:rsidRPr="00F6340E">
        <w:t xml:space="preserve"> </w:t>
      </w:r>
      <w:r>
        <w:t>в</w:t>
      </w:r>
      <w:r w:rsidR="00A56E08">
        <w:t>ид</w:t>
      </w:r>
      <w:r>
        <w:t>у</w:t>
      </w:r>
      <w:r w:rsidR="0068278D" w:rsidRPr="00F6340E">
        <w:t xml:space="preserve"> </w:t>
      </w:r>
      <w:r w:rsidR="00A56E08">
        <w:t>и</w:t>
      </w:r>
      <w:r w:rsidR="005103F5" w:rsidRPr="00F6340E">
        <w:t xml:space="preserve"> </w:t>
      </w:r>
      <w:r>
        <w:t>пр</w:t>
      </w:r>
      <w:r w:rsidR="00A56E08">
        <w:t>омј</w:t>
      </w:r>
      <w:r w:rsidR="00EE6AA2">
        <w:t>е</w:t>
      </w:r>
      <w:r w:rsidR="00A56E08">
        <w:t>н</w:t>
      </w:r>
      <w:r w:rsidR="00EE6AA2">
        <w:t>е</w:t>
      </w:r>
      <w:r w:rsidR="0068278D" w:rsidRPr="00F6340E">
        <w:t xml:space="preserve"> </w:t>
      </w:r>
      <w:r w:rsidR="00A56E08">
        <w:t>кој</w:t>
      </w:r>
      <w:r w:rsidR="00EE6AA2">
        <w:t>е</w:t>
      </w:r>
      <w:r w:rsidR="0068278D" w:rsidRPr="00F6340E">
        <w:t xml:space="preserve"> </w:t>
      </w:r>
      <w:r>
        <w:t>с</w:t>
      </w:r>
      <w:r w:rsidR="00EE6AA2">
        <w:t>е</w:t>
      </w:r>
      <w:r w:rsidR="0068278D" w:rsidRPr="00F6340E">
        <w:t xml:space="preserve"> </w:t>
      </w:r>
      <w:r w:rsidR="00A56E08">
        <w:t>д</w:t>
      </w:r>
      <w:r w:rsidR="00EE6AA2">
        <w:t>е</w:t>
      </w:r>
      <w:r>
        <w:t>ш</w:t>
      </w:r>
      <w:r w:rsidR="00A56E08">
        <w:t>а</w:t>
      </w:r>
      <w:r>
        <w:t>в</w:t>
      </w:r>
      <w:r w:rsidR="00A56E08">
        <w:t>ај</w:t>
      </w:r>
      <w:r>
        <w:t>у</w:t>
      </w:r>
      <w:r w:rsidR="0068278D" w:rsidRPr="00F6340E">
        <w:t xml:space="preserve"> </w:t>
      </w:r>
      <w:r w:rsidR="00A56E08">
        <w:t>на</w:t>
      </w:r>
      <w:r w:rsidR="0068278D" w:rsidRPr="00F6340E">
        <w:t xml:space="preserve"> </w:t>
      </w:r>
      <w:r w:rsidR="00A56E08">
        <w:t>глобалном</w:t>
      </w:r>
      <w:r w:rsidR="00C71DCF" w:rsidRPr="00F6340E">
        <w:t xml:space="preserve"> </w:t>
      </w:r>
      <w:r w:rsidR="00A56E08">
        <w:t>ни</w:t>
      </w:r>
      <w:r>
        <w:t>в</w:t>
      </w:r>
      <w:r w:rsidR="00A56E08">
        <w:t>о</w:t>
      </w:r>
      <w:r>
        <w:t>у</w:t>
      </w:r>
      <w:r w:rsidR="0068278D" w:rsidRPr="00F6340E">
        <w:t xml:space="preserve"> </w:t>
      </w:r>
      <w:r>
        <w:t>у</w:t>
      </w:r>
      <w:r w:rsidR="0068278D" w:rsidRPr="00F6340E">
        <w:t xml:space="preserve"> </w:t>
      </w:r>
      <w:r>
        <w:t>п</w:t>
      </w:r>
      <w:r w:rsidR="00A56E08">
        <w:t>од</w:t>
      </w:r>
      <w:r>
        <w:t>ру</w:t>
      </w:r>
      <w:r w:rsidR="00A56E08">
        <w:t>чј</w:t>
      </w:r>
      <w:r>
        <w:t>у</w:t>
      </w:r>
      <w:r w:rsidR="0068278D" w:rsidRPr="00F6340E">
        <w:t xml:space="preserve"> </w:t>
      </w:r>
      <w:r w:rsidR="00A56E08">
        <w:t>на</w:t>
      </w:r>
      <w:r>
        <w:t>у</w:t>
      </w:r>
      <w:r w:rsidR="00A56E08">
        <w:t>к</w:t>
      </w:r>
      <w:r w:rsidR="00EE6AA2">
        <w:t>е</w:t>
      </w:r>
      <w:r w:rsidR="0068278D" w:rsidRPr="00F6340E">
        <w:t xml:space="preserve">, </w:t>
      </w:r>
      <w:r>
        <w:t>т</w:t>
      </w:r>
      <w:r w:rsidR="00EE6AA2">
        <w:t>е</w:t>
      </w:r>
      <w:r w:rsidR="00A56E08">
        <w:t>хник</w:t>
      </w:r>
      <w:r w:rsidR="00EE6AA2">
        <w:t>е</w:t>
      </w:r>
      <w:r w:rsidR="0068278D" w:rsidRPr="00F6340E">
        <w:t xml:space="preserve"> </w:t>
      </w:r>
      <w:r w:rsidR="00A56E08">
        <w:t>и</w:t>
      </w:r>
      <w:r w:rsidR="0068278D" w:rsidRPr="00F6340E">
        <w:t xml:space="preserve"> </w:t>
      </w:r>
      <w:r>
        <w:t>т</w:t>
      </w:r>
      <w:r w:rsidR="00EE6AA2">
        <w:t>е</w:t>
      </w:r>
      <w:r w:rsidR="00A56E08">
        <w:t>хнологиј</w:t>
      </w:r>
      <w:r w:rsidR="00EE6AA2">
        <w:t>е</w:t>
      </w:r>
      <w:r w:rsidR="00800E71" w:rsidRPr="00F6340E">
        <w:t xml:space="preserve">, </w:t>
      </w:r>
      <w:r>
        <w:t>т</w:t>
      </w:r>
      <w:r w:rsidR="00EE6AA2">
        <w:t>е</w:t>
      </w:r>
      <w:r w:rsidR="00800E71" w:rsidRPr="00F6340E">
        <w:t xml:space="preserve">, </w:t>
      </w:r>
      <w:r>
        <w:t>у</w:t>
      </w:r>
      <w:r w:rsidR="00E864CA" w:rsidRPr="00F6340E">
        <w:t xml:space="preserve"> </w:t>
      </w:r>
      <w:r>
        <w:t>с</w:t>
      </w:r>
      <w:r w:rsidR="00A56E08">
        <w:t>клад</w:t>
      </w:r>
      <w:r>
        <w:t>у</w:t>
      </w:r>
      <w:r w:rsidR="00B04FA8">
        <w:t xml:space="preserve"> са </w:t>
      </w:r>
      <w:r>
        <w:t>т</w:t>
      </w:r>
      <w:r w:rsidR="00A56E08">
        <w:t>им</w:t>
      </w:r>
      <w:r w:rsidR="00800E71" w:rsidRPr="00F6340E">
        <w:t xml:space="preserve">, </w:t>
      </w:r>
      <w:r w:rsidR="00A56E08">
        <w:t>и</w:t>
      </w:r>
      <w:r w:rsidR="0068278D" w:rsidRPr="00F6340E">
        <w:t xml:space="preserve"> </w:t>
      </w:r>
      <w:r w:rsidR="00A56E08">
        <w:t>об</w:t>
      </w:r>
      <w:r>
        <w:t>р</w:t>
      </w:r>
      <w:r w:rsidR="00A56E08">
        <w:t>а</w:t>
      </w:r>
      <w:r w:rsidR="00171F00">
        <w:t>з</w:t>
      </w:r>
      <w:r w:rsidR="00A56E08">
        <w:t>о</w:t>
      </w:r>
      <w:r>
        <w:t>в</w:t>
      </w:r>
      <w:r w:rsidR="00A56E08">
        <w:t>ања</w:t>
      </w:r>
      <w:r w:rsidR="008424F0" w:rsidRPr="00F6340E">
        <w:t>,</w:t>
      </w:r>
      <w:r w:rsidR="00800E71" w:rsidRPr="00F6340E">
        <w:t xml:space="preserve"> </w:t>
      </w:r>
      <w:r w:rsidR="00A56E08">
        <w:t>и</w:t>
      </w:r>
      <w:r w:rsidR="00800E71" w:rsidRPr="00F6340E">
        <w:t xml:space="preserve"> </w:t>
      </w:r>
      <w:r w:rsidR="00A56E08">
        <w:t>и</w:t>
      </w:r>
      <w:r w:rsidR="00171F00">
        <w:t>з</w:t>
      </w:r>
      <w:r w:rsidR="00A56E08">
        <w:t>мј</w:t>
      </w:r>
      <w:r w:rsidR="00EE6AA2">
        <w:t>е</w:t>
      </w:r>
      <w:r w:rsidR="00A56E08">
        <w:t>њ</w:t>
      </w:r>
      <w:r w:rsidR="00EE6AA2">
        <w:t>е</w:t>
      </w:r>
      <w:r w:rsidR="00A56E08">
        <w:t>н</w:t>
      </w:r>
      <w:r w:rsidR="00EE6AA2">
        <w:t>е</w:t>
      </w:r>
      <w:r w:rsidR="00800E71" w:rsidRPr="00F6340E">
        <w:t xml:space="preserve"> </w:t>
      </w:r>
      <w:r>
        <w:t>у</w:t>
      </w:r>
      <w:r w:rsidR="00A56E08">
        <w:t>лог</w:t>
      </w:r>
      <w:r w:rsidR="00EE6AA2">
        <w:t>е</w:t>
      </w:r>
      <w:r w:rsidR="00800E71" w:rsidRPr="00F6340E">
        <w:t xml:space="preserve"> </w:t>
      </w:r>
      <w:r w:rsidR="00A56E08">
        <w:t>на</w:t>
      </w:r>
      <w:r>
        <w:t>ст</w:t>
      </w:r>
      <w:r w:rsidR="00A56E08">
        <w:t>а</w:t>
      </w:r>
      <w:r>
        <w:t>в</w:t>
      </w:r>
      <w:r w:rsidR="00A56E08">
        <w:t>ника</w:t>
      </w:r>
      <w:r w:rsidR="00800E71" w:rsidRPr="00F6340E">
        <w:t xml:space="preserve"> </w:t>
      </w:r>
      <w:r w:rsidR="00A56E08">
        <w:t>и</w:t>
      </w:r>
      <w:r w:rsidR="00800E71" w:rsidRPr="00F6340E">
        <w:t xml:space="preserve"> </w:t>
      </w:r>
      <w:r>
        <w:t>у</w:t>
      </w:r>
      <w:r w:rsidR="00A56E08">
        <w:t>ч</w:t>
      </w:r>
      <w:r w:rsidR="00EE6AA2">
        <w:t>е</w:t>
      </w:r>
      <w:r w:rsidR="00A56E08">
        <w:t>ника</w:t>
      </w:r>
      <w:r w:rsidR="00800E71" w:rsidRPr="00F6340E">
        <w:t>/</w:t>
      </w:r>
      <w:r>
        <w:t>сту</w:t>
      </w:r>
      <w:r w:rsidR="00A56E08">
        <w:t>д</w:t>
      </w:r>
      <w:r w:rsidR="00EE6AA2">
        <w:t>е</w:t>
      </w:r>
      <w:r w:rsidR="00A56E08">
        <w:t>н</w:t>
      </w:r>
      <w:r>
        <w:t>т</w:t>
      </w:r>
      <w:r w:rsidR="00A56E08">
        <w:t>а</w:t>
      </w:r>
      <w:r w:rsidR="00800E71" w:rsidRPr="00F6340E">
        <w:t xml:space="preserve">. </w:t>
      </w:r>
      <w:r w:rsidR="00171F00">
        <w:t>З</w:t>
      </w:r>
      <w:r w:rsidR="00A56E08">
        <w:t>а</w:t>
      </w:r>
      <w:r>
        <w:t>т</w:t>
      </w:r>
      <w:r w:rsidR="00A56E08">
        <w:t>о</w:t>
      </w:r>
      <w:r w:rsidR="00C60C54" w:rsidRPr="00F6340E">
        <w:t xml:space="preserve"> </w:t>
      </w:r>
      <w:r w:rsidR="00A56E08">
        <w:t>ј</w:t>
      </w:r>
      <w:r w:rsidR="00EE6AA2">
        <w:t>е</w:t>
      </w:r>
      <w:r w:rsidR="00C60C54" w:rsidRPr="00F6340E">
        <w:t xml:space="preserve"> </w:t>
      </w:r>
      <w:r>
        <w:t>п</w:t>
      </w:r>
      <w:r w:rsidR="00A56E08">
        <w:t>о</w:t>
      </w:r>
      <w:r>
        <w:t>тр</w:t>
      </w:r>
      <w:r w:rsidR="00EE6AA2">
        <w:t>е</w:t>
      </w:r>
      <w:r w:rsidR="00A56E08">
        <w:t>бно</w:t>
      </w:r>
      <w:r w:rsidR="00417596" w:rsidRPr="00F6340E">
        <w:t xml:space="preserve"> </w:t>
      </w:r>
      <w:r w:rsidR="00A56E08">
        <w:t>ја</w:t>
      </w:r>
      <w:r>
        <w:t>с</w:t>
      </w:r>
      <w:r w:rsidR="00A56E08">
        <w:t>ниј</w:t>
      </w:r>
      <w:r w:rsidR="00EE6AA2">
        <w:t>е</w:t>
      </w:r>
      <w:r w:rsidR="00417596" w:rsidRPr="00F6340E">
        <w:t xml:space="preserve"> </w:t>
      </w:r>
      <w:r w:rsidR="00A56E08">
        <w:t>д</w:t>
      </w:r>
      <w:r w:rsidR="00EE6AA2">
        <w:t>е</w:t>
      </w:r>
      <w:r w:rsidR="00A56E08">
        <w:t>фини</w:t>
      </w:r>
      <w:r>
        <w:t>с</w:t>
      </w:r>
      <w:r w:rsidR="00A56E08">
        <w:t>а</w:t>
      </w:r>
      <w:r>
        <w:t>т</w:t>
      </w:r>
      <w:r w:rsidR="00A56E08">
        <w:t>и</w:t>
      </w:r>
      <w:r w:rsidR="00417596" w:rsidRPr="00F6340E">
        <w:t xml:space="preserve"> </w:t>
      </w:r>
      <w:r w:rsidR="00A56E08">
        <w:t>мог</w:t>
      </w:r>
      <w:r>
        <w:t>у</w:t>
      </w:r>
      <w:r w:rsidR="00A56E08">
        <w:t>ћно</w:t>
      </w:r>
      <w:r>
        <w:t>ст</w:t>
      </w:r>
      <w:r w:rsidR="00417596" w:rsidRPr="00F6340E">
        <w:t xml:space="preserve"> </w:t>
      </w:r>
      <w:r>
        <w:t>р</w:t>
      </w:r>
      <w:r w:rsidR="00EE6AA2">
        <w:t>е</w:t>
      </w:r>
      <w:r w:rsidR="00A56E08">
        <w:t>али</w:t>
      </w:r>
      <w:r w:rsidR="00171F00">
        <w:t>з</w:t>
      </w:r>
      <w:r w:rsidR="00A56E08">
        <w:t>ациј</w:t>
      </w:r>
      <w:r w:rsidR="00EE6AA2">
        <w:t>е</w:t>
      </w:r>
      <w:r w:rsidR="00C60C54" w:rsidRPr="00F6340E">
        <w:t xml:space="preserve"> </w:t>
      </w:r>
      <w:r w:rsidR="00A56E08">
        <w:t>на</w:t>
      </w:r>
      <w:r>
        <w:t>ст</w:t>
      </w:r>
      <w:r w:rsidR="00A56E08">
        <w:t>а</w:t>
      </w:r>
      <w:r>
        <w:t>в</w:t>
      </w:r>
      <w:r w:rsidR="00EE6AA2">
        <w:t>е</w:t>
      </w:r>
      <w:r w:rsidR="008424F0" w:rsidRPr="00F6340E">
        <w:t xml:space="preserve"> </w:t>
      </w:r>
      <w:r>
        <w:t>пут</w:t>
      </w:r>
      <w:r w:rsidR="00EE6AA2">
        <w:t>е</w:t>
      </w:r>
      <w:r w:rsidR="00A56E08">
        <w:t>м</w:t>
      </w:r>
      <w:r w:rsidR="008424F0" w:rsidRPr="00F6340E">
        <w:t xml:space="preserve"> </w:t>
      </w:r>
      <w:r w:rsidR="00A56E08">
        <w:lastRenderedPageBreak/>
        <w:t>ин</w:t>
      </w:r>
      <w:r>
        <w:t>т</w:t>
      </w:r>
      <w:r w:rsidR="00EE6AA2">
        <w:t>е</w:t>
      </w:r>
      <w:r>
        <w:t>р</w:t>
      </w:r>
      <w:r w:rsidR="00A56E08">
        <w:t>н</w:t>
      </w:r>
      <w:r w:rsidR="00EE6AA2">
        <w:t>е</w:t>
      </w:r>
      <w:r>
        <w:t>т</w:t>
      </w:r>
      <w:r w:rsidR="00A56E08">
        <w:t>а</w:t>
      </w:r>
      <w:r w:rsidR="00C60C54" w:rsidRPr="00F6340E">
        <w:t xml:space="preserve"> </w:t>
      </w:r>
      <w:r w:rsidR="00A56E08">
        <w:t>и</w:t>
      </w:r>
      <w:r w:rsidR="00C60C54" w:rsidRPr="00F6340E">
        <w:t>/</w:t>
      </w:r>
      <w:r w:rsidR="00A56E08">
        <w:t>или</w:t>
      </w:r>
      <w:r w:rsidR="00C60C54" w:rsidRPr="00F6340E">
        <w:t xml:space="preserve"> </w:t>
      </w:r>
      <w:r w:rsidR="00A56E08">
        <w:t>комбино</w:t>
      </w:r>
      <w:r>
        <w:t>в</w:t>
      </w:r>
      <w:r w:rsidR="00A56E08">
        <w:t>ан</w:t>
      </w:r>
      <w:r w:rsidR="00EE6AA2">
        <w:t>е</w:t>
      </w:r>
      <w:r w:rsidR="00C60C54" w:rsidRPr="00F6340E">
        <w:t xml:space="preserve"> </w:t>
      </w:r>
      <w:r w:rsidR="00A56E08">
        <w:t>на</w:t>
      </w:r>
      <w:r>
        <w:t>ст</w:t>
      </w:r>
      <w:r w:rsidR="00A56E08">
        <w:t>а</w:t>
      </w:r>
      <w:r>
        <w:t>в</w:t>
      </w:r>
      <w:r w:rsidR="00EE6AA2">
        <w:t>е</w:t>
      </w:r>
      <w:r w:rsidR="00C60C54" w:rsidRPr="00F6340E">
        <w:t xml:space="preserve">, </w:t>
      </w:r>
      <w:r>
        <w:t>пр</w:t>
      </w:r>
      <w:r w:rsidR="00A56E08">
        <w:t>имј</w:t>
      </w:r>
      <w:r w:rsidR="00EE6AA2">
        <w:t>е</w:t>
      </w:r>
      <w:r w:rsidR="00A56E08">
        <w:t>н</w:t>
      </w:r>
      <w:r w:rsidR="00EE6AA2">
        <w:t>е</w:t>
      </w:r>
      <w:r w:rsidR="00C60C54" w:rsidRPr="00F6340E">
        <w:t xml:space="preserve"> </w:t>
      </w:r>
      <w:r w:rsidR="00A56E08">
        <w:t>диги</w:t>
      </w:r>
      <w:r>
        <w:t>т</w:t>
      </w:r>
      <w:r w:rsidR="00A56E08">
        <w:t>алних</w:t>
      </w:r>
      <w:r w:rsidR="00C60C54" w:rsidRPr="00F6340E">
        <w:t xml:space="preserve"> </w:t>
      </w:r>
      <w:r w:rsidR="00A56E08">
        <w:t>ала</w:t>
      </w:r>
      <w:r>
        <w:t>т</w:t>
      </w:r>
      <w:r w:rsidR="00A56E08">
        <w:t>а</w:t>
      </w:r>
      <w:r w:rsidR="00C60C54" w:rsidRPr="00F6340E">
        <w:t xml:space="preserve"> </w:t>
      </w:r>
      <w:r>
        <w:t>у</w:t>
      </w:r>
      <w:r w:rsidR="00C60C54" w:rsidRPr="00F6340E">
        <w:t xml:space="preserve"> </w:t>
      </w:r>
      <w:r w:rsidR="00A56E08">
        <w:t>на</w:t>
      </w:r>
      <w:r>
        <w:t>ст</w:t>
      </w:r>
      <w:r w:rsidR="00A56E08">
        <w:t>а</w:t>
      </w:r>
      <w:r>
        <w:t>в</w:t>
      </w:r>
      <w:r w:rsidR="00A56E08">
        <w:t>ном</w:t>
      </w:r>
      <w:r w:rsidR="00C60C54" w:rsidRPr="00F6340E">
        <w:t xml:space="preserve"> </w:t>
      </w:r>
      <w:r>
        <w:t>пр</w:t>
      </w:r>
      <w:r w:rsidR="00A56E08">
        <w:t>оц</w:t>
      </w:r>
      <w:r w:rsidR="00EE6AA2">
        <w:t>е</w:t>
      </w:r>
      <w:r>
        <w:t>су</w:t>
      </w:r>
      <w:r w:rsidR="00C60C54" w:rsidRPr="00F6340E">
        <w:t xml:space="preserve"> </w:t>
      </w:r>
      <w:r w:rsidR="00A56E08">
        <w:t>имај</w:t>
      </w:r>
      <w:r>
        <w:t>у</w:t>
      </w:r>
      <w:r w:rsidR="00A56E08">
        <w:t>ћи</w:t>
      </w:r>
      <w:r w:rsidR="00C60C54" w:rsidRPr="00F6340E">
        <w:t xml:space="preserve"> </w:t>
      </w:r>
      <w:r>
        <w:t>у</w:t>
      </w:r>
      <w:r w:rsidR="00C60C54" w:rsidRPr="00F6340E">
        <w:t xml:space="preserve"> </w:t>
      </w:r>
      <w:r>
        <w:t>в</w:t>
      </w:r>
      <w:r w:rsidR="00A56E08">
        <w:t>ид</w:t>
      </w:r>
      <w:r>
        <w:t>у</w:t>
      </w:r>
      <w:r w:rsidR="00C60C54" w:rsidRPr="00F6340E">
        <w:t xml:space="preserve"> </w:t>
      </w:r>
      <w:r>
        <w:t>сп</w:t>
      </w:r>
      <w:r w:rsidR="00EE6AA2">
        <w:t>е</w:t>
      </w:r>
      <w:r w:rsidR="00A56E08">
        <w:t>цифично</w:t>
      </w:r>
      <w:r>
        <w:t>ст</w:t>
      </w:r>
      <w:r w:rsidR="00A56E08">
        <w:t>и</w:t>
      </w:r>
      <w:r w:rsidR="00C60C54" w:rsidRPr="00F6340E">
        <w:t xml:space="preserve"> </w:t>
      </w:r>
      <w:r>
        <w:t>пр</w:t>
      </w:r>
      <w:r w:rsidR="00A56E08">
        <w:t>ог</w:t>
      </w:r>
      <w:r>
        <w:t>р</w:t>
      </w:r>
      <w:r w:rsidR="00A56E08">
        <w:t>ама</w:t>
      </w:r>
      <w:r w:rsidR="00C60C54" w:rsidRPr="00F6340E">
        <w:t xml:space="preserve"> </w:t>
      </w:r>
      <w:r w:rsidR="00A56E08">
        <w:t>и</w:t>
      </w:r>
      <w:r w:rsidR="00C60C54" w:rsidRPr="00F6340E">
        <w:t xml:space="preserve"> </w:t>
      </w:r>
      <w:r w:rsidR="00A56E08">
        <w:t>об</w:t>
      </w:r>
      <w:r>
        <w:t>р</w:t>
      </w:r>
      <w:r w:rsidR="00A56E08">
        <w:t>а</w:t>
      </w:r>
      <w:r w:rsidR="00171F00">
        <w:t>з</w:t>
      </w:r>
      <w:r w:rsidR="00A56E08">
        <w:t>о</w:t>
      </w:r>
      <w:r>
        <w:t>в</w:t>
      </w:r>
      <w:r w:rsidR="00A56E08">
        <w:t>н</w:t>
      </w:r>
      <w:r w:rsidR="00EE6AA2">
        <w:t>е</w:t>
      </w:r>
      <w:r w:rsidR="00C60C54" w:rsidRPr="00F6340E">
        <w:t xml:space="preserve"> </w:t>
      </w:r>
      <w:r w:rsidR="00A56E08">
        <w:t>ин</w:t>
      </w:r>
      <w:r>
        <w:t>ст</w:t>
      </w:r>
      <w:r w:rsidR="00A56E08">
        <w:t>и</w:t>
      </w:r>
      <w:r>
        <w:t>ту</w:t>
      </w:r>
      <w:r w:rsidR="00A56E08">
        <w:t>циј</w:t>
      </w:r>
      <w:r w:rsidR="00EE6AA2">
        <w:t>е</w:t>
      </w:r>
      <w:r w:rsidR="005103F5" w:rsidRPr="00F6340E">
        <w:t xml:space="preserve"> </w:t>
      </w:r>
      <w:r w:rsidR="00A56E08">
        <w:t>и</w:t>
      </w:r>
      <w:r w:rsidR="00C60C54" w:rsidRPr="00F6340E">
        <w:t xml:space="preserve"> </w:t>
      </w:r>
      <w:r>
        <w:t>стру</w:t>
      </w:r>
      <w:r w:rsidR="00A56E08">
        <w:t>чно</w:t>
      </w:r>
      <w:r w:rsidR="00417596" w:rsidRPr="00F6340E">
        <w:t xml:space="preserve"> </w:t>
      </w:r>
      <w:r>
        <w:t>ус</w:t>
      </w:r>
      <w:r w:rsidR="00A56E08">
        <w:t>а</w:t>
      </w:r>
      <w:r>
        <w:t>врш</w:t>
      </w:r>
      <w:r w:rsidR="00A56E08">
        <w:t>а</w:t>
      </w:r>
      <w:r>
        <w:t>в</w:t>
      </w:r>
      <w:r w:rsidR="00A56E08">
        <w:t>ањ</w:t>
      </w:r>
      <w:r w:rsidR="00EE6AA2">
        <w:t>е</w:t>
      </w:r>
      <w:r w:rsidR="00417596" w:rsidRPr="00F6340E">
        <w:t xml:space="preserve"> </w:t>
      </w:r>
      <w:r w:rsidR="00A56E08">
        <w:t>на</w:t>
      </w:r>
      <w:r>
        <w:t>ст</w:t>
      </w:r>
      <w:r w:rsidR="00A56E08">
        <w:t>а</w:t>
      </w:r>
      <w:r>
        <w:t>в</w:t>
      </w:r>
      <w:r w:rsidR="00A56E08">
        <w:t>ника</w:t>
      </w:r>
      <w:r w:rsidR="00C60C54" w:rsidRPr="00F6340E">
        <w:t xml:space="preserve"> </w:t>
      </w:r>
      <w:r w:rsidR="00171F00">
        <w:t>з</w:t>
      </w:r>
      <w:r w:rsidR="00A56E08">
        <w:t>а</w:t>
      </w:r>
      <w:r w:rsidR="00C60C54" w:rsidRPr="00F6340E">
        <w:t xml:space="preserve"> </w:t>
      </w:r>
      <w:r>
        <w:t>пр</w:t>
      </w:r>
      <w:r w:rsidR="00A56E08">
        <w:t>имј</w:t>
      </w:r>
      <w:r w:rsidR="00EE6AA2">
        <w:t>е</w:t>
      </w:r>
      <w:r w:rsidR="00A56E08">
        <w:t>н</w:t>
      </w:r>
      <w:r>
        <w:t>у</w:t>
      </w:r>
      <w:r w:rsidR="00C60C54" w:rsidRPr="00F6340E">
        <w:t xml:space="preserve"> </w:t>
      </w:r>
      <w:r w:rsidR="00A56E08">
        <w:t>ИК</w:t>
      </w:r>
      <w:r>
        <w:t>Т</w:t>
      </w:r>
      <w:r w:rsidR="008424F0" w:rsidRPr="00F6340E">
        <w:t>-</w:t>
      </w:r>
      <w:r w:rsidR="00A56E08">
        <w:t>а</w:t>
      </w:r>
      <w:r w:rsidR="00C60C54" w:rsidRPr="00F6340E">
        <w:t xml:space="preserve"> </w:t>
      </w:r>
      <w:r>
        <w:t>у</w:t>
      </w:r>
      <w:r w:rsidR="00C60C54" w:rsidRPr="00F6340E">
        <w:t xml:space="preserve"> </w:t>
      </w:r>
      <w:r w:rsidR="00A56E08">
        <w:t>на</w:t>
      </w:r>
      <w:r>
        <w:t>ст</w:t>
      </w:r>
      <w:r w:rsidR="00A56E08">
        <w:t>а</w:t>
      </w:r>
      <w:r>
        <w:t>в</w:t>
      </w:r>
      <w:r w:rsidR="00A56E08">
        <w:t>ном</w:t>
      </w:r>
      <w:r w:rsidR="00C60C54" w:rsidRPr="00F6340E">
        <w:t xml:space="preserve"> </w:t>
      </w:r>
      <w:r>
        <w:t>пр</w:t>
      </w:r>
      <w:r w:rsidR="00A56E08">
        <w:t>оц</w:t>
      </w:r>
      <w:r w:rsidR="00EE6AA2">
        <w:t>е</w:t>
      </w:r>
      <w:r>
        <w:t>су</w:t>
      </w:r>
      <w:r w:rsidR="00C60C54" w:rsidRPr="00F6340E">
        <w:t xml:space="preserve">. </w:t>
      </w:r>
    </w:p>
    <w:p w14:paraId="0000D867" w14:textId="1FCC32C0" w:rsidR="00855CC3" w:rsidRPr="00F6340E" w:rsidRDefault="00855CC3" w:rsidP="005103F5">
      <w:pPr>
        <w:pStyle w:val="NoSpacing"/>
        <w:spacing w:line="276" w:lineRule="auto"/>
        <w:rPr>
          <w:rFonts w:ascii="Arial" w:hAnsi="Arial" w:cs="Arial"/>
          <w:noProof w:val="0"/>
          <w:sz w:val="24"/>
          <w:szCs w:val="24"/>
          <w:lang w:val="sr-Cyrl-BA"/>
        </w:rPr>
      </w:pPr>
    </w:p>
    <w:p w14:paraId="6820B089" w14:textId="77777777" w:rsidR="00342E4C" w:rsidRPr="00F6340E" w:rsidRDefault="00342E4C" w:rsidP="00F83E0E">
      <w:pPr>
        <w:spacing w:line="276" w:lineRule="auto"/>
        <w:rPr>
          <w:rFonts w:ascii="Arial" w:hAnsi="Arial" w:cs="Arial"/>
          <w:color w:val="000000" w:themeColor="text1"/>
          <w:sz w:val="24"/>
          <w:szCs w:val="24"/>
          <w:lang w:val="sr-Cyrl-BA"/>
        </w:rPr>
      </w:pPr>
    </w:p>
    <w:p w14:paraId="5334F459" w14:textId="1C754B10" w:rsidR="00847B04" w:rsidRPr="00F6340E" w:rsidRDefault="0071360A" w:rsidP="000962EB">
      <w:pPr>
        <w:pStyle w:val="Heading1"/>
        <w:numPr>
          <w:ilvl w:val="0"/>
          <w:numId w:val="70"/>
        </w:numPr>
        <w:rPr>
          <w:lang w:val="sr-Cyrl-BA"/>
        </w:rPr>
      </w:pPr>
      <w:bookmarkStart w:id="34" w:name="_Toc119050316"/>
      <w:r>
        <w:rPr>
          <w:lang w:val="sr-Cyrl-BA"/>
        </w:rPr>
        <w:lastRenderedPageBreak/>
        <w:t>Р</w:t>
      </w:r>
      <w:r w:rsidR="00A56E08">
        <w:rPr>
          <w:lang w:val="sr-Cyrl-BA"/>
        </w:rPr>
        <w:t>а</w:t>
      </w:r>
      <w:r w:rsidR="00171F00">
        <w:rPr>
          <w:lang w:val="sr-Cyrl-BA"/>
        </w:rPr>
        <w:t>з</w:t>
      </w:r>
      <w:r>
        <w:rPr>
          <w:lang w:val="sr-Cyrl-BA"/>
        </w:rPr>
        <w:t>в</w:t>
      </w:r>
      <w:r w:rsidR="00A56E08">
        <w:rPr>
          <w:lang w:val="sr-Cyrl-BA"/>
        </w:rPr>
        <w:t>ијањ</w:t>
      </w:r>
      <w:r w:rsidR="00EE6AA2">
        <w:rPr>
          <w:lang w:val="sr-Cyrl-BA"/>
        </w:rPr>
        <w:t>е</w:t>
      </w:r>
      <w:r w:rsidR="00847B04" w:rsidRPr="00F6340E">
        <w:rPr>
          <w:lang w:val="sr-Cyrl-BA"/>
        </w:rPr>
        <w:t xml:space="preserve"> </w:t>
      </w:r>
      <w:r w:rsidR="00A56E08">
        <w:rPr>
          <w:lang w:val="sr-Cyrl-BA"/>
        </w:rPr>
        <w:t>конц</w:t>
      </w:r>
      <w:r w:rsidR="00EE6AA2">
        <w:rPr>
          <w:lang w:val="sr-Cyrl-BA"/>
        </w:rPr>
        <w:t>е</w:t>
      </w:r>
      <w:r>
        <w:rPr>
          <w:lang w:val="sr-Cyrl-BA"/>
        </w:rPr>
        <w:t>пт</w:t>
      </w:r>
      <w:r w:rsidR="00A56E08">
        <w:rPr>
          <w:lang w:val="sr-Cyrl-BA"/>
        </w:rPr>
        <w:t>а</w:t>
      </w:r>
      <w:r w:rsidR="00847B04" w:rsidRPr="00F6340E">
        <w:rPr>
          <w:lang w:val="sr-Cyrl-BA"/>
        </w:rPr>
        <w:t xml:space="preserve"> </w:t>
      </w:r>
      <w:r>
        <w:rPr>
          <w:lang w:val="sr-Cyrl-BA"/>
        </w:rPr>
        <w:t>стру</w:t>
      </w:r>
      <w:r w:rsidR="00A56E08">
        <w:rPr>
          <w:lang w:val="sr-Cyrl-BA"/>
        </w:rPr>
        <w:t>чног</w:t>
      </w:r>
      <w:r w:rsidR="00847B04" w:rsidRPr="00F6340E">
        <w:rPr>
          <w:lang w:val="sr-Cyrl-BA"/>
        </w:rPr>
        <w:t xml:space="preserve"> </w:t>
      </w:r>
      <w:r>
        <w:rPr>
          <w:lang w:val="sr-Cyrl-BA"/>
        </w:rPr>
        <w:t>ус</w:t>
      </w:r>
      <w:r w:rsidR="00A56E08">
        <w:rPr>
          <w:lang w:val="sr-Cyrl-BA"/>
        </w:rPr>
        <w:t>а</w:t>
      </w:r>
      <w:r>
        <w:rPr>
          <w:lang w:val="sr-Cyrl-BA"/>
        </w:rPr>
        <w:t>врш</w:t>
      </w:r>
      <w:r w:rsidR="00A56E08">
        <w:rPr>
          <w:lang w:val="sr-Cyrl-BA"/>
        </w:rPr>
        <w:t>а</w:t>
      </w:r>
      <w:r>
        <w:rPr>
          <w:lang w:val="sr-Cyrl-BA"/>
        </w:rPr>
        <w:t>в</w:t>
      </w:r>
      <w:r w:rsidR="00A56E08">
        <w:rPr>
          <w:lang w:val="sr-Cyrl-BA"/>
        </w:rPr>
        <w:t>ања</w:t>
      </w:r>
      <w:r w:rsidR="00847B04"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ника</w:t>
      </w:r>
      <w:bookmarkEnd w:id="34"/>
      <w:r w:rsidR="00847B04" w:rsidRPr="00F6340E">
        <w:rPr>
          <w:lang w:val="sr-Cyrl-BA"/>
        </w:rPr>
        <w:t xml:space="preserve">  </w:t>
      </w:r>
    </w:p>
    <w:p w14:paraId="3A9D237B" w14:textId="0E16DC09" w:rsidR="00847B04" w:rsidRPr="00F6340E" w:rsidRDefault="0071360A" w:rsidP="00FA4DC9">
      <w:pPr>
        <w:pStyle w:val="Body"/>
      </w:pPr>
      <w:r>
        <w:t>У</w:t>
      </w:r>
      <w:r w:rsidR="00847B04" w:rsidRPr="00F6340E">
        <w:t xml:space="preserve"> </w:t>
      </w:r>
      <w:r w:rsidR="00A56E08">
        <w:t>кон</w:t>
      </w:r>
      <w:r>
        <w:t>т</w:t>
      </w:r>
      <w:r w:rsidR="00EE6AA2">
        <w:t>е</w:t>
      </w:r>
      <w:r w:rsidR="00A56E08">
        <w:t>к</w:t>
      </w:r>
      <w:r>
        <w:t>сту</w:t>
      </w:r>
      <w:r w:rsidR="00847B04" w:rsidRPr="00F6340E">
        <w:t xml:space="preserve"> </w:t>
      </w:r>
      <w:r w:rsidR="00A56E08">
        <w:t>б</w:t>
      </w:r>
      <w:r>
        <w:t>р</w:t>
      </w:r>
      <w:r w:rsidR="00A56E08">
        <w:t>ојних</w:t>
      </w:r>
      <w:r w:rsidR="00847B04" w:rsidRPr="00F6340E">
        <w:t xml:space="preserve"> </w:t>
      </w:r>
      <w:r w:rsidR="00A56E08">
        <w:t>д</w:t>
      </w:r>
      <w:r>
        <w:t>руштв</w:t>
      </w:r>
      <w:r w:rsidR="00EE6AA2">
        <w:t>е</w:t>
      </w:r>
      <w:r w:rsidR="00A56E08">
        <w:t>них</w:t>
      </w:r>
      <w:r w:rsidR="00847B04" w:rsidRPr="00F6340E">
        <w:t xml:space="preserve"> </w:t>
      </w:r>
      <w:r>
        <w:t>пр</w:t>
      </w:r>
      <w:r w:rsidR="00A56E08">
        <w:t>омј</w:t>
      </w:r>
      <w:r w:rsidR="00EE6AA2">
        <w:t>е</w:t>
      </w:r>
      <w:r w:rsidR="00A56E08">
        <w:t>на</w:t>
      </w:r>
      <w:r w:rsidR="00847B04" w:rsidRPr="00F6340E">
        <w:t xml:space="preserve">, </w:t>
      </w:r>
      <w:r>
        <w:t>п</w:t>
      </w:r>
      <w:r w:rsidR="00A56E08">
        <w:t>о</w:t>
      </w:r>
      <w:r>
        <w:t>с</w:t>
      </w:r>
      <w:r w:rsidR="00EE6AA2">
        <w:t>е</w:t>
      </w:r>
      <w:r w:rsidR="00A56E08">
        <w:t>бно</w:t>
      </w:r>
      <w:r w:rsidR="00847B04" w:rsidRPr="00F6340E">
        <w:t xml:space="preserve"> </w:t>
      </w:r>
      <w:r w:rsidR="00A56E08">
        <w:t>имај</w:t>
      </w:r>
      <w:r>
        <w:t>у</w:t>
      </w:r>
      <w:r w:rsidR="00A56E08">
        <w:t>ћи</w:t>
      </w:r>
      <w:r w:rsidR="00847B04" w:rsidRPr="00F6340E">
        <w:t xml:space="preserve"> </w:t>
      </w:r>
      <w:r>
        <w:t>у</w:t>
      </w:r>
      <w:r w:rsidR="00847B04" w:rsidRPr="00F6340E">
        <w:t xml:space="preserve"> </w:t>
      </w:r>
      <w:r>
        <w:t>в</w:t>
      </w:r>
      <w:r w:rsidR="00A56E08">
        <w:t>ид</w:t>
      </w:r>
      <w:r>
        <w:t>у</w:t>
      </w:r>
      <w:r w:rsidR="00847B04" w:rsidRPr="00F6340E">
        <w:t xml:space="preserve"> </w:t>
      </w:r>
      <w:r>
        <w:t>с</w:t>
      </w:r>
      <w:r w:rsidR="00A56E08">
        <w:t>и</w:t>
      </w:r>
      <w:r>
        <w:t>ту</w:t>
      </w:r>
      <w:r w:rsidR="00A56E08">
        <w:t>ациј</w:t>
      </w:r>
      <w:r>
        <w:t>у</w:t>
      </w:r>
      <w:r w:rsidR="00847B04" w:rsidRPr="00F6340E">
        <w:t xml:space="preserve"> </w:t>
      </w:r>
      <w:r>
        <w:t>пр</w:t>
      </w:r>
      <w:r w:rsidR="00A56E08">
        <w:t>о</w:t>
      </w:r>
      <w:r>
        <w:t>у</w:t>
      </w:r>
      <w:r w:rsidR="00171F00">
        <w:t>з</w:t>
      </w:r>
      <w:r>
        <w:t>р</w:t>
      </w:r>
      <w:r w:rsidR="00A56E08">
        <w:t>око</w:t>
      </w:r>
      <w:r>
        <w:t>в</w:t>
      </w:r>
      <w:r w:rsidR="00A56E08">
        <w:t>ан</w:t>
      </w:r>
      <w:r>
        <w:t>у</w:t>
      </w:r>
      <w:r w:rsidR="00847B04" w:rsidRPr="00F6340E">
        <w:t xml:space="preserve"> </w:t>
      </w:r>
      <w:r>
        <w:t>п</w:t>
      </w:r>
      <w:r w:rsidR="00A56E08">
        <w:t>анд</w:t>
      </w:r>
      <w:r w:rsidR="00EE6AA2">
        <w:t>е</w:t>
      </w:r>
      <w:r w:rsidR="00A56E08">
        <w:t>мијом</w:t>
      </w:r>
      <w:r w:rsidR="00847B04" w:rsidRPr="00F6340E">
        <w:t xml:space="preserve"> </w:t>
      </w:r>
      <w:r w:rsidR="00A56E08">
        <w:t>Цо</w:t>
      </w:r>
      <w:r>
        <w:t>в</w:t>
      </w:r>
      <w:r w:rsidR="00A56E08">
        <w:t>ид</w:t>
      </w:r>
      <w:r w:rsidR="00847B04" w:rsidRPr="00F6340E">
        <w:t xml:space="preserve"> - 19 </w:t>
      </w:r>
      <w:r w:rsidR="00A56E08">
        <w:t>и</w:t>
      </w:r>
      <w:r w:rsidR="00847B04" w:rsidRPr="00F6340E">
        <w:t xml:space="preserve"> </w:t>
      </w:r>
      <w:r>
        <w:t>пр</w:t>
      </w:r>
      <w:r w:rsidR="00A56E08">
        <w:t>и</w:t>
      </w:r>
      <w:r>
        <w:t>вр</w:t>
      </w:r>
      <w:r w:rsidR="00EE6AA2">
        <w:t>е</w:t>
      </w:r>
      <w:r w:rsidR="00A56E08">
        <w:t>м</w:t>
      </w:r>
      <w:r w:rsidR="00EE6AA2">
        <w:t>е</w:t>
      </w:r>
      <w:r w:rsidR="00A56E08">
        <w:t>но</w:t>
      </w:r>
      <w:r w:rsidR="00847B04" w:rsidRPr="00F6340E">
        <w:t xml:space="preserve"> </w:t>
      </w:r>
      <w:r>
        <w:t>пр</w:t>
      </w:r>
      <w:r w:rsidR="00EE6AA2">
        <w:t>е</w:t>
      </w:r>
      <w:r w:rsidR="00A56E08">
        <w:t>мј</w:t>
      </w:r>
      <w:r w:rsidR="00EE6AA2">
        <w:t>е</w:t>
      </w:r>
      <w:r>
        <w:t>шт</w:t>
      </w:r>
      <w:r w:rsidR="00A56E08">
        <w:t>ањ</w:t>
      </w:r>
      <w:r w:rsidR="00EE6AA2">
        <w:t>е</w:t>
      </w:r>
      <w:r w:rsidR="00847B04" w:rsidRPr="00F6340E">
        <w:t xml:space="preserve"> </w:t>
      </w:r>
      <w:r>
        <w:t>пр</w:t>
      </w:r>
      <w:r w:rsidR="00A56E08">
        <w:t>оц</w:t>
      </w:r>
      <w:r w:rsidR="00EE6AA2">
        <w:t>е</w:t>
      </w:r>
      <w:r>
        <w:t>с</w:t>
      </w:r>
      <w:r w:rsidR="00A56E08">
        <w:t>а</w:t>
      </w:r>
      <w:r w:rsidR="00847B04" w:rsidRPr="00F6340E">
        <w:t xml:space="preserve"> </w:t>
      </w:r>
      <w:r w:rsidR="00A56E08">
        <w:t>фо</w:t>
      </w:r>
      <w:r>
        <w:t>р</w:t>
      </w:r>
      <w:r w:rsidR="00A56E08">
        <w:t>малног</w:t>
      </w:r>
      <w:r w:rsidR="00847B04" w:rsidRPr="00F6340E">
        <w:t xml:space="preserve"> </w:t>
      </w:r>
      <w:r w:rsidR="00A56E08">
        <w:t>об</w:t>
      </w:r>
      <w:r>
        <w:t>р</w:t>
      </w:r>
      <w:r w:rsidR="00A56E08">
        <w:t>а</w:t>
      </w:r>
      <w:r w:rsidR="00171F00">
        <w:t>з</w:t>
      </w:r>
      <w:r w:rsidR="00A56E08">
        <w:t>о</w:t>
      </w:r>
      <w:r>
        <w:t>в</w:t>
      </w:r>
      <w:r w:rsidR="00A56E08">
        <w:t>ања</w:t>
      </w:r>
      <w:r w:rsidR="00847B04" w:rsidRPr="00F6340E">
        <w:t xml:space="preserve"> </w:t>
      </w:r>
      <w:r>
        <w:t>у</w:t>
      </w:r>
      <w:r w:rsidR="00847B04" w:rsidRPr="00F6340E">
        <w:t xml:space="preserve"> </w:t>
      </w:r>
      <w:r>
        <w:t>в</w:t>
      </w:r>
      <w:r w:rsidR="00A56E08">
        <w:t>и</w:t>
      </w:r>
      <w:r>
        <w:t>рту</w:t>
      </w:r>
      <w:r w:rsidR="00EE6AA2">
        <w:t>е</w:t>
      </w:r>
      <w:r w:rsidR="00A56E08">
        <w:t>лно</w:t>
      </w:r>
      <w:r w:rsidR="00847B04" w:rsidRPr="00F6340E">
        <w:t xml:space="preserve"> </w:t>
      </w:r>
      <w:r w:rsidR="00A56E08">
        <w:t>ок</w:t>
      </w:r>
      <w:r>
        <w:t>ру</w:t>
      </w:r>
      <w:r w:rsidR="00171F00">
        <w:t>ж</w:t>
      </w:r>
      <w:r w:rsidR="00EE6AA2">
        <w:t>е</w:t>
      </w:r>
      <w:r w:rsidR="00A56E08">
        <w:t>њ</w:t>
      </w:r>
      <w:r w:rsidR="00EE6AA2">
        <w:t>е</w:t>
      </w:r>
      <w:r w:rsidR="00847B04" w:rsidRPr="00F6340E">
        <w:t xml:space="preserve">, </w:t>
      </w:r>
      <w:r w:rsidR="00A56E08">
        <w:t>ја</w:t>
      </w:r>
      <w:r>
        <w:t>в</w:t>
      </w:r>
      <w:r w:rsidR="00A56E08">
        <w:t>љај</w:t>
      </w:r>
      <w:r>
        <w:t>у</w:t>
      </w:r>
      <w:r w:rsidR="00847B04" w:rsidRPr="00F6340E">
        <w:t xml:space="preserve"> </w:t>
      </w:r>
      <w:r>
        <w:t>с</w:t>
      </w:r>
      <w:r w:rsidR="00EE6AA2">
        <w:t>е</w:t>
      </w:r>
      <w:r w:rsidR="00847B04" w:rsidRPr="00F6340E">
        <w:t xml:space="preserve"> </w:t>
      </w:r>
      <w:r w:rsidR="00A56E08">
        <w:t>б</w:t>
      </w:r>
      <w:r>
        <w:t>р</w:t>
      </w:r>
      <w:r w:rsidR="00A56E08">
        <w:t>ојни</w:t>
      </w:r>
      <w:r w:rsidR="00847B04" w:rsidRPr="00F6340E">
        <w:t xml:space="preserve"> </w:t>
      </w:r>
      <w:r w:rsidR="00A56E08">
        <w:t>и</w:t>
      </w:r>
      <w:r w:rsidR="00171F00">
        <w:t>з</w:t>
      </w:r>
      <w:r w:rsidR="00A56E08">
        <w:t>а</w:t>
      </w:r>
      <w:r w:rsidR="00171F00">
        <w:t>з</w:t>
      </w:r>
      <w:r w:rsidR="00A56E08">
        <w:t>о</w:t>
      </w:r>
      <w:r>
        <w:t>в</w:t>
      </w:r>
      <w:r w:rsidR="00A56E08">
        <w:t>и</w:t>
      </w:r>
      <w:r w:rsidR="00847B04" w:rsidRPr="00F6340E">
        <w:t xml:space="preserve"> </w:t>
      </w:r>
      <w:r w:rsidR="00A56E08">
        <w:t>на</w:t>
      </w:r>
      <w:r w:rsidR="00847B04" w:rsidRPr="00F6340E">
        <w:t xml:space="preserve"> </w:t>
      </w:r>
      <w:r w:rsidR="00A56E08">
        <w:t>кој</w:t>
      </w:r>
      <w:r w:rsidR="00EE6AA2">
        <w:t>е</w:t>
      </w:r>
      <w:r w:rsidR="00847B04" w:rsidRPr="00F6340E">
        <w:t xml:space="preserve"> </w:t>
      </w:r>
      <w:r w:rsidR="00A56E08">
        <w:t>ј</w:t>
      </w:r>
      <w:r w:rsidR="00EE6AA2">
        <w:t>е</w:t>
      </w:r>
      <w:r w:rsidR="00847B04" w:rsidRPr="00F6340E">
        <w:t xml:space="preserve"> </w:t>
      </w:r>
      <w:r>
        <w:t>п</w:t>
      </w:r>
      <w:r w:rsidR="00A56E08">
        <w:t>о</w:t>
      </w:r>
      <w:r>
        <w:t>тр</w:t>
      </w:r>
      <w:r w:rsidR="00EE6AA2">
        <w:t>е</w:t>
      </w:r>
      <w:r w:rsidR="00A56E08">
        <w:t>бно</w:t>
      </w:r>
      <w:r w:rsidR="00847B04" w:rsidRPr="00F6340E">
        <w:t xml:space="preserve"> </w:t>
      </w:r>
      <w:r w:rsidR="00A56E08">
        <w:t>одго</w:t>
      </w:r>
      <w:r>
        <w:t>в</w:t>
      </w:r>
      <w:r w:rsidR="00A56E08">
        <w:t>о</w:t>
      </w:r>
      <w:r>
        <w:t>р</w:t>
      </w:r>
      <w:r w:rsidR="00A56E08">
        <w:t>и</w:t>
      </w:r>
      <w:r>
        <w:t>т</w:t>
      </w:r>
      <w:r w:rsidR="00A56E08">
        <w:t>и</w:t>
      </w:r>
      <w:r w:rsidR="00847B04" w:rsidRPr="00F6340E">
        <w:t xml:space="preserve">. </w:t>
      </w:r>
      <w:r>
        <w:t>С</w:t>
      </w:r>
      <w:r w:rsidR="00B04FA8">
        <w:t>а</w:t>
      </w:r>
      <w:r w:rsidR="00847B04" w:rsidRPr="00F6340E">
        <w:t xml:space="preserve"> </w:t>
      </w:r>
      <w:r>
        <w:t>т</w:t>
      </w:r>
      <w:r w:rsidR="00A56E08">
        <w:t>им</w:t>
      </w:r>
      <w:r w:rsidR="00847B04" w:rsidRPr="00F6340E">
        <w:t xml:space="preserve"> </w:t>
      </w:r>
      <w:r>
        <w:t>у</w:t>
      </w:r>
      <w:r w:rsidR="00847B04" w:rsidRPr="00F6340E">
        <w:t xml:space="preserve"> </w:t>
      </w:r>
      <w:r>
        <w:t>в</w:t>
      </w:r>
      <w:r w:rsidR="00EE6AA2">
        <w:t>е</w:t>
      </w:r>
      <w:r w:rsidR="00171F00">
        <w:t>з</w:t>
      </w:r>
      <w:r w:rsidR="00A56E08">
        <w:t>и</w:t>
      </w:r>
      <w:r w:rsidR="00847B04" w:rsidRPr="00F6340E">
        <w:t xml:space="preserve"> </w:t>
      </w:r>
      <w:r w:rsidR="00A56E08">
        <w:t>го</w:t>
      </w:r>
      <w:r>
        <w:t>в</w:t>
      </w:r>
      <w:r w:rsidR="00A56E08">
        <w:t>о</w:t>
      </w:r>
      <w:r>
        <w:t>р</w:t>
      </w:r>
      <w:r w:rsidR="00A56E08">
        <w:t>имо</w:t>
      </w:r>
      <w:r w:rsidR="00847B04" w:rsidRPr="00F6340E">
        <w:t xml:space="preserve"> </w:t>
      </w:r>
      <w:r w:rsidR="00A56E08">
        <w:t>о</w:t>
      </w:r>
      <w:r w:rsidR="00847B04" w:rsidRPr="00F6340E">
        <w:t xml:space="preserve"> </w:t>
      </w:r>
      <w:r>
        <w:t>у</w:t>
      </w:r>
      <w:r w:rsidR="00A56E08">
        <w:t>на</w:t>
      </w:r>
      <w:r>
        <w:t>пр</w:t>
      </w:r>
      <w:r w:rsidR="00A56E08">
        <w:t>ј</w:t>
      </w:r>
      <w:r w:rsidR="00EE6AA2">
        <w:t>е</w:t>
      </w:r>
      <w:r w:rsidR="00A56E08">
        <w:t>ђ</w:t>
      </w:r>
      <w:r w:rsidR="00EE6AA2">
        <w:t>е</w:t>
      </w:r>
      <w:r w:rsidR="00A56E08">
        <w:t>њ</w:t>
      </w:r>
      <w:r>
        <w:t>у</w:t>
      </w:r>
      <w:r w:rsidR="00847B04" w:rsidRPr="00F6340E">
        <w:t xml:space="preserve"> </w:t>
      </w:r>
      <w:r>
        <w:t>п</w:t>
      </w:r>
      <w:r w:rsidR="00EE6AA2">
        <w:t>е</w:t>
      </w:r>
      <w:r w:rsidR="00A56E08">
        <w:t>даго</w:t>
      </w:r>
      <w:r>
        <w:t>ш</w:t>
      </w:r>
      <w:r w:rsidR="00A56E08">
        <w:t>ких</w:t>
      </w:r>
      <w:r w:rsidR="00847B04" w:rsidRPr="00F6340E">
        <w:t xml:space="preserve"> </w:t>
      </w:r>
      <w:r w:rsidR="00A56E08">
        <w:t>и</w:t>
      </w:r>
      <w:r w:rsidR="00847B04" w:rsidRPr="00F6340E">
        <w:t xml:space="preserve"> </w:t>
      </w:r>
      <w:r w:rsidR="00A56E08">
        <w:t>диги</w:t>
      </w:r>
      <w:r>
        <w:t>т</w:t>
      </w:r>
      <w:r w:rsidR="00A56E08">
        <w:t>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на</w:t>
      </w:r>
      <w:r>
        <w:t>ст</w:t>
      </w:r>
      <w:r w:rsidR="00A56E08">
        <w:t>а</w:t>
      </w:r>
      <w:r>
        <w:t>в</w:t>
      </w:r>
      <w:r w:rsidR="00A56E08">
        <w:t>ника</w:t>
      </w:r>
      <w:r w:rsidR="00847B04" w:rsidRPr="00F6340E">
        <w:t xml:space="preserve"> </w:t>
      </w:r>
      <w:r>
        <w:t>пр</w:t>
      </w:r>
      <w:r w:rsidR="00A56E08">
        <w:t>и</w:t>
      </w:r>
      <w:r w:rsidR="00847B04" w:rsidRPr="00F6340E">
        <w:t xml:space="preserve"> </w:t>
      </w:r>
      <w:r w:rsidR="00A56E08">
        <w:t>ч</w:t>
      </w:r>
      <w:r w:rsidR="00EE6AA2">
        <w:t>е</w:t>
      </w:r>
      <w:r w:rsidR="00A56E08">
        <w:t>м</w:t>
      </w:r>
      <w:r>
        <w:t>у</w:t>
      </w:r>
      <w:r w:rsidR="00847B04" w:rsidRPr="00F6340E">
        <w:t xml:space="preserve"> </w:t>
      </w:r>
      <w:r>
        <w:t>с</w:t>
      </w:r>
      <w:r w:rsidR="00EE6AA2">
        <w:t>е</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д</w:t>
      </w:r>
      <w:r w:rsidR="00EE6AA2">
        <w:t>е</w:t>
      </w:r>
      <w:r w:rsidR="00A56E08">
        <w:t>фини</w:t>
      </w:r>
      <w:r>
        <w:t>ш</w:t>
      </w:r>
      <w:r w:rsidR="00EE6AA2">
        <w:t>е</w:t>
      </w:r>
      <w:r w:rsidR="00743C0E" w:rsidRPr="00F6340E">
        <w:t xml:space="preserve"> </w:t>
      </w:r>
      <w:r w:rsidR="00A56E08">
        <w:t>као</w:t>
      </w:r>
      <w:r w:rsidR="00847B04" w:rsidRPr="00F6340E">
        <w:t xml:space="preserve"> </w:t>
      </w:r>
      <w:r>
        <w:t>с</w:t>
      </w:r>
      <w:r w:rsidR="00A56E08">
        <w:t>к</w:t>
      </w:r>
      <w:r>
        <w:t>уп</w:t>
      </w:r>
      <w:r w:rsidR="00847B04" w:rsidRPr="00F6340E">
        <w:t xml:space="preserve"> </w:t>
      </w:r>
      <w:r>
        <w:t>п</w:t>
      </w:r>
      <w:r w:rsidR="00A56E08">
        <w:t>о</w:t>
      </w:r>
      <w:r>
        <w:t>в</w:t>
      </w:r>
      <w:r w:rsidR="00EE6AA2">
        <w:t>е</w:t>
      </w:r>
      <w:r w:rsidR="00171F00">
        <w:t>з</w:t>
      </w:r>
      <w:r w:rsidR="00A56E08">
        <w:t>аног</w:t>
      </w:r>
      <w:r w:rsidR="00847B04" w:rsidRPr="00F6340E">
        <w:t xml:space="preserve"> </w:t>
      </w:r>
      <w:r w:rsidR="00171F00">
        <w:t>з</w:t>
      </w:r>
      <w:r w:rsidR="00A56E08">
        <w:t>нања</w:t>
      </w:r>
      <w:r w:rsidR="00847B04" w:rsidRPr="00F6340E">
        <w:t xml:space="preserve">, </w:t>
      </w:r>
      <w:r>
        <w:t>в</w:t>
      </w:r>
      <w:r w:rsidR="00A56E08">
        <w:t>ј</w:t>
      </w:r>
      <w:r w:rsidR="00EE6AA2">
        <w:t>е</w:t>
      </w:r>
      <w:r>
        <w:t>шт</w:t>
      </w:r>
      <w:r w:rsidR="00A56E08">
        <w:t>ина</w:t>
      </w:r>
      <w:r w:rsidR="00847B04" w:rsidRPr="00F6340E">
        <w:t xml:space="preserve"> </w:t>
      </w:r>
      <w:r w:rsidR="00A56E08">
        <w:t>и</w:t>
      </w:r>
      <w:r w:rsidR="00847B04" w:rsidRPr="00F6340E">
        <w:t xml:space="preserve"> </w:t>
      </w:r>
      <w:r>
        <w:t>ст</w:t>
      </w:r>
      <w:r w:rsidR="00A56E08">
        <w:t>а</w:t>
      </w:r>
      <w:r>
        <w:t>в</w:t>
      </w:r>
      <w:r w:rsidR="00A56E08">
        <w:t>о</w:t>
      </w:r>
      <w:r>
        <w:t>в</w:t>
      </w:r>
      <w:r w:rsidR="00A56E08">
        <w:t>а</w:t>
      </w:r>
      <w:r w:rsidR="00847B04" w:rsidRPr="00F6340E">
        <w:t xml:space="preserve"> </w:t>
      </w:r>
      <w:r>
        <w:t>т</w:t>
      </w:r>
      <w:r w:rsidR="00EE6AA2">
        <w:t>е</w:t>
      </w:r>
      <w:r w:rsidR="00847B04" w:rsidRPr="00F6340E">
        <w:t xml:space="preserve"> </w:t>
      </w:r>
      <w:r>
        <w:t>пр</w:t>
      </w:r>
      <w:r w:rsidR="00A56E08">
        <w:t>и</w:t>
      </w:r>
      <w:r>
        <w:t>п</w:t>
      </w:r>
      <w:r w:rsidR="00A56E08">
        <w:t>адај</w:t>
      </w:r>
      <w:r>
        <w:t>у</w:t>
      </w:r>
      <w:r w:rsidR="00A56E08">
        <w:t>ћ</w:t>
      </w:r>
      <w:r w:rsidR="00EE6AA2">
        <w:t>е</w:t>
      </w:r>
      <w:r w:rsidR="00847B04" w:rsidRPr="00F6340E">
        <w:t xml:space="preserve"> </w:t>
      </w:r>
      <w:r w:rsidR="00A56E08">
        <w:t>одго</w:t>
      </w:r>
      <w:r>
        <w:t>в</w:t>
      </w:r>
      <w:r w:rsidR="00A56E08">
        <w:t>о</w:t>
      </w:r>
      <w:r>
        <w:t>р</w:t>
      </w:r>
      <w:r w:rsidR="00A56E08">
        <w:t>но</w:t>
      </w:r>
      <w:r>
        <w:t>ст</w:t>
      </w:r>
      <w:r w:rsidR="00A56E08">
        <w:t>и</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171F00">
        <w:t>з</w:t>
      </w:r>
      <w:r w:rsidR="00A56E08">
        <w:t>а</w:t>
      </w:r>
      <w:r>
        <w:t>т</w:t>
      </w:r>
      <w:r w:rsidR="00A56E08">
        <w:t>о</w:t>
      </w:r>
      <w:r w:rsidR="00847B04" w:rsidRPr="00F6340E">
        <w:t xml:space="preserve">, </w:t>
      </w:r>
      <w:r w:rsidR="00A56E08">
        <w:t>н</w:t>
      </w:r>
      <w:r w:rsidR="00EE6AA2">
        <w:t>е</w:t>
      </w:r>
      <w:r w:rsidR="00847B04"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847B04" w:rsidRPr="00F6340E">
        <w:t xml:space="preserve"> </w:t>
      </w:r>
      <w:r>
        <w:t>с</w:t>
      </w:r>
      <w:r w:rsidR="00A56E08">
        <w:t>амо</w:t>
      </w:r>
      <w:r w:rsidR="00847B04" w:rsidRPr="00F6340E">
        <w:t xml:space="preserve"> </w:t>
      </w:r>
      <w:r w:rsidR="00171F00">
        <w:t>з</w:t>
      </w:r>
      <w:r w:rsidR="00A56E08">
        <w:t>нања</w:t>
      </w:r>
      <w:r w:rsidR="00847B04" w:rsidRPr="00F6340E">
        <w:t xml:space="preserve"> </w:t>
      </w:r>
      <w:r w:rsidR="00A56E08">
        <w:t>и</w:t>
      </w:r>
      <w:r w:rsidR="00847B04" w:rsidRPr="00F6340E">
        <w:t xml:space="preserve"> </w:t>
      </w:r>
      <w:r>
        <w:t>в</w:t>
      </w:r>
      <w:r w:rsidR="00A56E08">
        <w:t>ј</w:t>
      </w:r>
      <w:r w:rsidR="00EE6AA2">
        <w:t>е</w:t>
      </w:r>
      <w:r>
        <w:t>шт</w:t>
      </w:r>
      <w:r w:rsidR="00A56E08">
        <w:t>ин</w:t>
      </w:r>
      <w:r w:rsidR="00EE6AA2">
        <w:t>е</w:t>
      </w:r>
      <w:r w:rsidR="00847B04" w:rsidRPr="00F6340E">
        <w:t xml:space="preserve"> </w:t>
      </w:r>
      <w:r>
        <w:t>в</w:t>
      </w:r>
      <w:r w:rsidR="00EE6AA2">
        <w:t>е</w:t>
      </w:r>
      <w:r w:rsidR="00A56E08">
        <w:t>ћ</w:t>
      </w:r>
      <w:r w:rsidR="00847B04" w:rsidRPr="00F6340E">
        <w:t xml:space="preserve"> </w:t>
      </w:r>
      <w:r>
        <w:t>у</w:t>
      </w:r>
      <w:r w:rsidR="00A56E08">
        <w:t>кљ</w:t>
      </w:r>
      <w:r>
        <w:t>у</w:t>
      </w:r>
      <w:r w:rsidR="00A56E08">
        <w:t>ч</w:t>
      </w:r>
      <w:r>
        <w:t>у</w:t>
      </w:r>
      <w:r w:rsidR="00A56E08">
        <w:t>ј</w:t>
      </w:r>
      <w:r w:rsidR="00EE6AA2">
        <w:t>е</w:t>
      </w:r>
      <w:r w:rsidR="00847B04" w:rsidRPr="00F6340E">
        <w:t xml:space="preserve"> </w:t>
      </w:r>
      <w:r w:rsidR="00A56E08">
        <w:t>и</w:t>
      </w:r>
      <w:r w:rsidR="00847B04" w:rsidRPr="00F6340E">
        <w:t xml:space="preserve"> </w:t>
      </w:r>
      <w:r>
        <w:t>сп</w:t>
      </w:r>
      <w:r w:rsidR="00A56E08">
        <w:t>о</w:t>
      </w:r>
      <w:r>
        <w:t>с</w:t>
      </w:r>
      <w:r w:rsidR="00A56E08">
        <w:t>обно</w:t>
      </w:r>
      <w:r>
        <w:t>ст</w:t>
      </w:r>
      <w:r w:rsidR="00847B04" w:rsidRPr="00F6340E">
        <w:t xml:space="preserve"> </w:t>
      </w:r>
      <w:r w:rsidR="00A56E08">
        <w:t>одго</w:t>
      </w:r>
      <w:r>
        <w:t>в</w:t>
      </w:r>
      <w:r w:rsidR="00A56E08">
        <w:t>а</w:t>
      </w:r>
      <w:r>
        <w:t>р</w:t>
      </w:r>
      <w:r w:rsidR="00A56E08">
        <w:t>ања</w:t>
      </w:r>
      <w:r w:rsidR="00847B04" w:rsidRPr="00F6340E">
        <w:t xml:space="preserve"> </w:t>
      </w:r>
      <w:r w:rsidR="00A56E08">
        <w:t>на</w:t>
      </w:r>
      <w:r w:rsidR="00847B04" w:rsidRPr="00F6340E">
        <w:t xml:space="preserve"> </w:t>
      </w:r>
      <w:r w:rsidR="00A56E08">
        <w:t>ком</w:t>
      </w:r>
      <w:r>
        <w:t>п</w:t>
      </w:r>
      <w:r w:rsidR="00A56E08">
        <w:t>л</w:t>
      </w:r>
      <w:r w:rsidR="00EE6AA2">
        <w:t>е</w:t>
      </w:r>
      <w:r w:rsidR="00A56E08">
        <w:t>к</w:t>
      </w:r>
      <w:r>
        <w:t>с</w:t>
      </w:r>
      <w:r w:rsidR="00A56E08">
        <w:t>н</w:t>
      </w:r>
      <w:r w:rsidR="00EE6AA2">
        <w:t>е</w:t>
      </w:r>
      <w:r w:rsidR="00847B04" w:rsidRPr="00F6340E">
        <w:t xml:space="preserve"> </w:t>
      </w:r>
      <w:r w:rsidR="00171F00">
        <w:t>з</w:t>
      </w:r>
      <w:r w:rsidR="00A56E08">
        <w:t>ах</w:t>
      </w:r>
      <w:r>
        <w:t>т</w:t>
      </w:r>
      <w:r w:rsidR="00A56E08">
        <w:t>ј</w:t>
      </w:r>
      <w:r w:rsidR="00EE6AA2">
        <w:t>е</w:t>
      </w:r>
      <w:r>
        <w:t>в</w:t>
      </w:r>
      <w:r w:rsidR="00EE6AA2">
        <w:t>е</w:t>
      </w:r>
      <w:r w:rsidR="00847B04" w:rsidRPr="00F6340E">
        <w:t xml:space="preserve"> </w:t>
      </w:r>
      <w:r>
        <w:t>уп</w:t>
      </w:r>
      <w:r w:rsidR="00A56E08">
        <w:t>о</w:t>
      </w:r>
      <w:r>
        <w:t>тр</w:t>
      </w:r>
      <w:r w:rsidR="00EE6AA2">
        <w:t>е</w:t>
      </w:r>
      <w:r w:rsidR="00A56E08">
        <w:t>бом</w:t>
      </w:r>
      <w:r w:rsidR="00847B04" w:rsidRPr="00F6340E">
        <w:t xml:space="preserve"> </w:t>
      </w:r>
      <w:r w:rsidR="00A56E08">
        <w:t>и</w:t>
      </w:r>
      <w:r w:rsidR="00847B04" w:rsidRPr="00F6340E">
        <w:t xml:space="preserve"> </w:t>
      </w:r>
      <w:r w:rsidR="00A56E08">
        <w:t>мобили</w:t>
      </w:r>
      <w:r w:rsidR="00171F00">
        <w:t>з</w:t>
      </w:r>
      <w:r w:rsidR="00A56E08">
        <w:t>ацијом</w:t>
      </w:r>
      <w:r w:rsidR="00847B04" w:rsidRPr="00F6340E">
        <w:t xml:space="preserve"> </w:t>
      </w:r>
      <w:r>
        <w:t>пс</w:t>
      </w:r>
      <w:r w:rsidR="00A56E08">
        <w:t>ихоло</w:t>
      </w:r>
      <w:r>
        <w:t>ш</w:t>
      </w:r>
      <w:r w:rsidR="00A56E08">
        <w:t>ких</w:t>
      </w:r>
      <w:r w:rsidR="00847B04" w:rsidRPr="00F6340E">
        <w:t xml:space="preserve"> </w:t>
      </w:r>
      <w:r>
        <w:t>р</w:t>
      </w:r>
      <w:r w:rsidR="00EE6AA2">
        <w:t>е</w:t>
      </w:r>
      <w:r>
        <w:t>сурс</w:t>
      </w:r>
      <w:r w:rsidR="00A56E08">
        <w:t>а</w:t>
      </w:r>
      <w:r w:rsidR="00847B04" w:rsidRPr="00F6340E">
        <w:t xml:space="preserve"> (</w:t>
      </w:r>
      <w:r>
        <w:t>у</w:t>
      </w:r>
      <w:r w:rsidR="00A56E08">
        <w:t>кљ</w:t>
      </w:r>
      <w:r>
        <w:t>у</w:t>
      </w:r>
      <w:r w:rsidR="00A56E08">
        <w:t>ч</w:t>
      </w:r>
      <w:r>
        <w:t>у</w:t>
      </w:r>
      <w:r w:rsidR="00A56E08">
        <w:t>ј</w:t>
      </w:r>
      <w:r>
        <w:t>у</w:t>
      </w:r>
      <w:r w:rsidR="00A56E08">
        <w:t>ћи</w:t>
      </w:r>
      <w:r w:rsidR="00847B04" w:rsidRPr="00F6340E">
        <w:t xml:space="preserve"> </w:t>
      </w:r>
      <w:r>
        <w:t>в</w:t>
      </w:r>
      <w:r w:rsidR="00A56E08">
        <w:t>ј</w:t>
      </w:r>
      <w:r w:rsidR="00EE6AA2">
        <w:t>е</w:t>
      </w:r>
      <w:r>
        <w:t>шт</w:t>
      </w:r>
      <w:r w:rsidR="00A56E08">
        <w:t>ин</w:t>
      </w:r>
      <w:r w:rsidR="00EE6AA2">
        <w:t>е</w:t>
      </w:r>
      <w:r w:rsidR="00847B04" w:rsidRPr="00F6340E">
        <w:t xml:space="preserve"> </w:t>
      </w:r>
      <w:r w:rsidR="00A56E08">
        <w:t>и</w:t>
      </w:r>
      <w:r w:rsidR="00847B04" w:rsidRPr="00F6340E">
        <w:t xml:space="preserve"> </w:t>
      </w:r>
      <w:r>
        <w:t>ст</w:t>
      </w:r>
      <w:r w:rsidR="00A56E08">
        <w:t>а</w:t>
      </w:r>
      <w:r>
        <w:t>в</w:t>
      </w:r>
      <w:r w:rsidR="00A56E08">
        <w:t>о</w:t>
      </w:r>
      <w:r>
        <w:t>в</w:t>
      </w:r>
      <w:r w:rsidR="00EE6AA2">
        <w:t>е</w:t>
      </w:r>
      <w:r w:rsidR="00847B04" w:rsidRPr="00F6340E">
        <w:t xml:space="preserve">) </w:t>
      </w:r>
      <w:r>
        <w:t>у</w:t>
      </w:r>
      <w:r w:rsidR="00847B04" w:rsidRPr="00F6340E">
        <w:t xml:space="preserve"> </w:t>
      </w:r>
      <w:r w:rsidR="00A56E08">
        <w:t>од</w:t>
      </w:r>
      <w:r>
        <w:t>р</w:t>
      </w:r>
      <w:r w:rsidR="00EE6AA2">
        <w:t>е</w:t>
      </w:r>
      <w:r w:rsidR="00A56E08">
        <w:t>ђ</w:t>
      </w:r>
      <w:r w:rsidR="00EE6AA2">
        <w:t>е</w:t>
      </w:r>
      <w:r w:rsidR="00A56E08">
        <w:t>ном</w:t>
      </w:r>
      <w:r w:rsidR="00847B04" w:rsidRPr="00F6340E">
        <w:t xml:space="preserve"> </w:t>
      </w:r>
      <w:r w:rsidR="00A56E08">
        <w:t>кон</w:t>
      </w:r>
      <w:r>
        <w:t>т</w:t>
      </w:r>
      <w:r w:rsidR="00EE6AA2">
        <w:t>е</w:t>
      </w:r>
      <w:r w:rsidR="00A56E08">
        <w:t>к</w:t>
      </w:r>
      <w:r>
        <w:t>сту</w:t>
      </w:r>
      <w:r w:rsidR="00847B04" w:rsidRPr="00F6340E">
        <w:t xml:space="preserve"> (</w:t>
      </w:r>
      <w:r w:rsidR="00A56E08">
        <w:t>О</w:t>
      </w:r>
      <w:r w:rsidR="00EE6AA2">
        <w:t>Е</w:t>
      </w:r>
      <w:r w:rsidR="00A56E08">
        <w:t>ЦД</w:t>
      </w:r>
      <w:r w:rsidR="00847B04" w:rsidRPr="00F6340E">
        <w:t xml:space="preserve">, 2005). </w:t>
      </w:r>
    </w:p>
    <w:p w14:paraId="3966F170" w14:textId="62A9CF28" w:rsidR="00847B04" w:rsidRPr="00F6340E" w:rsidRDefault="0071360A" w:rsidP="00FA4DC9">
      <w:pPr>
        <w:pStyle w:val="Body"/>
        <w:rPr>
          <w:rStyle w:val="markedcontent"/>
          <w:rFonts w:cs="Arial"/>
          <w:color w:val="000000" w:themeColor="text1"/>
        </w:rPr>
      </w:pPr>
      <w:r>
        <w:t>С</w:t>
      </w:r>
      <w:r w:rsidR="00A56E08">
        <w:t>а</w:t>
      </w:r>
      <w:r>
        <w:t>вр</w:t>
      </w:r>
      <w:r w:rsidR="00EE6AA2">
        <w:t>е</w:t>
      </w:r>
      <w:r w:rsidR="00A56E08">
        <w:t>м</w:t>
      </w:r>
      <w:r w:rsidR="00EE6AA2">
        <w:t>е</w:t>
      </w:r>
      <w:r w:rsidR="00A56E08">
        <w:t>на</w:t>
      </w:r>
      <w:r w:rsidR="00847B04" w:rsidRPr="00F6340E">
        <w:t xml:space="preserve"> </w:t>
      </w:r>
      <w:r w:rsidR="00A56E08">
        <w:t>конц</w:t>
      </w:r>
      <w:r w:rsidR="00EE6AA2">
        <w:t>е</w:t>
      </w:r>
      <w:r>
        <w:t>п</w:t>
      </w:r>
      <w:r w:rsidR="00A56E08">
        <w:t>ција</w:t>
      </w:r>
      <w:r w:rsidR="00847B04" w:rsidRPr="00F6340E">
        <w:t xml:space="preserve"> </w:t>
      </w:r>
      <w:r w:rsidR="00A56E08">
        <w:t>одгоја</w:t>
      </w:r>
      <w:r w:rsidR="00847B04" w:rsidRPr="00F6340E">
        <w:t xml:space="preserve"> </w:t>
      </w:r>
      <w:r w:rsidR="00A56E08">
        <w:t>и</w:t>
      </w:r>
      <w:r w:rsidR="00847B04" w:rsidRPr="00F6340E">
        <w:t xml:space="preserve"> </w:t>
      </w:r>
      <w:r w:rsidR="00A56E08">
        <w:t>об</w:t>
      </w:r>
      <w:r>
        <w:t>р</w:t>
      </w:r>
      <w:r w:rsidR="00A56E08">
        <w:t>а</w:t>
      </w:r>
      <w:r w:rsidR="00171F00">
        <w:t>з</w:t>
      </w:r>
      <w:r w:rsidR="00A56E08">
        <w:t>о</w:t>
      </w:r>
      <w:r>
        <w:t>в</w:t>
      </w:r>
      <w:r w:rsidR="00A56E08">
        <w:t>ања</w:t>
      </w:r>
      <w:r w:rsidR="00847B04" w:rsidRPr="00F6340E">
        <w:t xml:space="preserve"> </w:t>
      </w:r>
      <w:r>
        <w:t>т</w:t>
      </w:r>
      <w:r w:rsidR="00EE6AA2">
        <w:t>е</w:t>
      </w:r>
      <w:r w:rsidR="00847B04" w:rsidRPr="00F6340E">
        <w:t xml:space="preserve"> </w:t>
      </w:r>
      <w:r>
        <w:t>пр</w:t>
      </w:r>
      <w:r w:rsidR="00A56E08">
        <w:t>имј</w:t>
      </w:r>
      <w:r w:rsidR="00EE6AA2">
        <w:t>е</w:t>
      </w:r>
      <w:r w:rsidR="00A56E08">
        <w:t>на</w:t>
      </w:r>
      <w:r w:rsidR="00847B04" w:rsidRPr="00F6340E">
        <w:t xml:space="preserve"> </w:t>
      </w:r>
      <w:r w:rsidR="00A56E08">
        <w:t>диги</w:t>
      </w:r>
      <w:r>
        <w:t>т</w:t>
      </w:r>
      <w:r w:rsidR="00A56E08">
        <w:t>алн</w:t>
      </w:r>
      <w:r w:rsidR="00EE6AA2">
        <w:t>е</w:t>
      </w:r>
      <w:r w:rsidR="00847B04" w:rsidRPr="00F6340E">
        <w:t xml:space="preserve"> </w:t>
      </w:r>
      <w:r>
        <w:t>т</w:t>
      </w:r>
      <w:r w:rsidR="00EE6AA2">
        <w:t>е</w:t>
      </w:r>
      <w:r w:rsidR="00A56E08">
        <w:t>хнологиј</w:t>
      </w:r>
      <w:r w:rsidR="00EE6AA2">
        <w:t>е</w:t>
      </w:r>
      <w:r w:rsidR="00847B04" w:rsidRPr="00F6340E">
        <w:t xml:space="preserve"> </w:t>
      </w:r>
      <w:r>
        <w:t>у</w:t>
      </w:r>
      <w:r w:rsidR="00847B04" w:rsidRPr="00F6340E">
        <w:t xml:space="preserve"> </w:t>
      </w:r>
      <w:r w:rsidR="00A56E08">
        <w:t>им</w:t>
      </w:r>
      <w:r>
        <w:t>п</w:t>
      </w:r>
      <w:r w:rsidR="00A56E08">
        <w:t>л</w:t>
      </w:r>
      <w:r w:rsidR="00EE6AA2">
        <w:t>е</w:t>
      </w:r>
      <w:r w:rsidR="00A56E08">
        <w:t>м</w:t>
      </w:r>
      <w:r w:rsidR="00EE6AA2">
        <w:t>е</w:t>
      </w:r>
      <w:r w:rsidR="00A56E08">
        <w:t>н</w:t>
      </w:r>
      <w:r>
        <w:t>т</w:t>
      </w:r>
      <w:r w:rsidR="00A56E08">
        <w:t>ацији</w:t>
      </w:r>
      <w:r w:rsidR="00847B04" w:rsidRPr="00F6340E">
        <w:t xml:space="preserve"> </w:t>
      </w:r>
      <w:r w:rsidR="00A56E08">
        <w:t>к</w:t>
      </w:r>
      <w:r>
        <w:t>в</w:t>
      </w:r>
      <w:r w:rsidR="00A56E08">
        <w:t>али</w:t>
      </w:r>
      <w:r>
        <w:t>т</w:t>
      </w:r>
      <w:r w:rsidR="00EE6AA2">
        <w:t>е</w:t>
      </w:r>
      <w:r>
        <w:t>т</w:t>
      </w:r>
      <w:r w:rsidR="00A56E08">
        <w:t>ног</w:t>
      </w:r>
      <w:r w:rsidR="00847B04" w:rsidRPr="00F6340E">
        <w:t xml:space="preserve"> </w:t>
      </w:r>
      <w:r w:rsidR="00A56E08">
        <w:t>инкл</w:t>
      </w:r>
      <w:r>
        <w:t>у</w:t>
      </w:r>
      <w:r w:rsidR="00171F00">
        <w:t>з</w:t>
      </w:r>
      <w:r w:rsidR="00A56E08">
        <w:t>и</w:t>
      </w:r>
      <w:r>
        <w:t>в</w:t>
      </w:r>
      <w:r w:rsidR="00A56E08">
        <w:t>ног</w:t>
      </w:r>
      <w:r w:rsidR="00847B04" w:rsidRPr="00F6340E">
        <w:t xml:space="preserve"> </w:t>
      </w:r>
      <w:r w:rsidR="00A56E08">
        <w:t>об</w:t>
      </w:r>
      <w:r>
        <w:t>р</w:t>
      </w:r>
      <w:r w:rsidR="00A56E08">
        <w:t>а</w:t>
      </w:r>
      <w:r w:rsidR="00171F00">
        <w:t>з</w:t>
      </w:r>
      <w:r w:rsidR="00A56E08">
        <w:t>о</w:t>
      </w:r>
      <w:r>
        <w:t>в</w:t>
      </w:r>
      <w:r w:rsidR="00A56E08">
        <w:t>ања</w:t>
      </w:r>
      <w:r w:rsidR="00847B04" w:rsidRPr="00F6340E">
        <w:t xml:space="preserve">, </w:t>
      </w:r>
      <w:r w:rsidR="00A56E08">
        <w:t>нам</w:t>
      </w:r>
      <w:r w:rsidR="00EE6AA2">
        <w:t>е</w:t>
      </w:r>
      <w:r w:rsidR="00A56E08">
        <w:t>ћ</w:t>
      </w:r>
      <w:r>
        <w:t>у</w:t>
      </w:r>
      <w:r w:rsidR="00847B04" w:rsidRPr="00F6340E">
        <w:t xml:space="preserve"> </w:t>
      </w:r>
      <w:r>
        <w:t>п</w:t>
      </w:r>
      <w:r w:rsidR="00A56E08">
        <w:t>о</w:t>
      </w:r>
      <w:r>
        <w:t>тр</w:t>
      </w:r>
      <w:r w:rsidR="00EE6AA2">
        <w:t>е</w:t>
      </w:r>
      <w:r w:rsidR="00A56E08">
        <w:t>б</w:t>
      </w:r>
      <w:r>
        <w:t>у</w:t>
      </w:r>
      <w:r w:rsidR="00847B04" w:rsidRPr="00F6340E">
        <w:t xml:space="preserve"> </w:t>
      </w:r>
      <w:r w:rsidR="00171F00">
        <w:t>з</w:t>
      </w:r>
      <w:r w:rsidR="00A56E08">
        <w:t>а</w:t>
      </w:r>
      <w:r w:rsidR="00847B04" w:rsidRPr="00F6340E">
        <w:t xml:space="preserve"> </w:t>
      </w:r>
      <w:r w:rsidR="00A56E08">
        <w:t>ино</w:t>
      </w:r>
      <w:r>
        <w:t>в</w:t>
      </w:r>
      <w:r w:rsidR="00A56E08">
        <w:t>и</w:t>
      </w:r>
      <w:r>
        <w:t>р</w:t>
      </w:r>
      <w:r w:rsidR="00A56E08">
        <w:t>ањ</w:t>
      </w:r>
      <w:r w:rsidR="00EE6AA2">
        <w:t>е</w:t>
      </w:r>
      <w:r w:rsidR="00A56E08">
        <w:t>м</w:t>
      </w:r>
      <w:r w:rsidR="00847B04" w:rsidRPr="00F6340E">
        <w:t xml:space="preserve"> </w:t>
      </w:r>
      <w:r w:rsidR="00A56E08">
        <w:t>и</w:t>
      </w:r>
      <w:r w:rsidR="00847B04" w:rsidRPr="00F6340E">
        <w:t>/</w:t>
      </w:r>
      <w:r w:rsidR="00A56E08">
        <w:t>или</w:t>
      </w:r>
      <w:r w:rsidR="00847B04" w:rsidRPr="00F6340E">
        <w:t xml:space="preserve"> </w:t>
      </w:r>
      <w:r w:rsidR="00A56E08">
        <w:t>к</w:t>
      </w:r>
      <w:r>
        <w:t>р</w:t>
      </w:r>
      <w:r w:rsidR="00EE6AA2">
        <w:t>е</w:t>
      </w:r>
      <w:r w:rsidR="00A56E08">
        <w:t>и</w:t>
      </w:r>
      <w:r>
        <w:t>р</w:t>
      </w:r>
      <w:r w:rsidR="00A56E08">
        <w:t>ањ</w:t>
      </w:r>
      <w:r w:rsidR="00EE6AA2">
        <w:t>е</w:t>
      </w:r>
      <w:r w:rsidR="00A56E08">
        <w:t>м</w:t>
      </w:r>
      <w:r w:rsidR="00847B04" w:rsidRPr="00F6340E">
        <w:t xml:space="preserve"> </w:t>
      </w:r>
      <w:r>
        <w:t>пр</w:t>
      </w:r>
      <w:r w:rsidR="00A56E08">
        <w:t>ог</w:t>
      </w:r>
      <w:r>
        <w:t>р</w:t>
      </w:r>
      <w:r w:rsidR="00A56E08">
        <w:t>ама</w:t>
      </w:r>
      <w:r w:rsidR="00847B04" w:rsidRPr="00F6340E">
        <w:t xml:space="preserve"> </w:t>
      </w:r>
      <w:r>
        <w:t>стру</w:t>
      </w:r>
      <w:r w:rsidR="00A56E08">
        <w:t>чног</w:t>
      </w:r>
      <w:r w:rsidR="00847B04" w:rsidRPr="00F6340E">
        <w:t xml:space="preserve"> </w:t>
      </w:r>
      <w:r>
        <w:t>ус</w:t>
      </w:r>
      <w:r w:rsidR="00A56E08">
        <w:t>а</w:t>
      </w:r>
      <w:r>
        <w:t>врш</w:t>
      </w:r>
      <w:r w:rsidR="00A56E08">
        <w:t>а</w:t>
      </w:r>
      <w:r>
        <w:t>в</w:t>
      </w:r>
      <w:r w:rsidR="00A56E08">
        <w:t>ања</w:t>
      </w:r>
      <w:r w:rsidR="00847B04" w:rsidRPr="00F6340E">
        <w:t xml:space="preserve"> </w:t>
      </w:r>
      <w:r w:rsidR="00A56E08">
        <w:t>на</w:t>
      </w:r>
      <w:r>
        <w:t>ст</w:t>
      </w:r>
      <w:r w:rsidR="00A56E08">
        <w:t>а</w:t>
      </w:r>
      <w:r>
        <w:t>в</w:t>
      </w:r>
      <w:r w:rsidR="00A56E08">
        <w:t>ника</w:t>
      </w:r>
      <w:r w:rsidR="00847B04" w:rsidRPr="00F6340E">
        <w:t xml:space="preserve"> </w:t>
      </w:r>
      <w:r w:rsidR="00A56E08">
        <w:t>на</w:t>
      </w:r>
      <w:r w:rsidR="00847B04" w:rsidRPr="00F6340E">
        <w:t xml:space="preserve"> </w:t>
      </w:r>
      <w:r>
        <w:t>св</w:t>
      </w:r>
      <w:r w:rsidR="00A56E08">
        <w:t>им</w:t>
      </w:r>
      <w:r w:rsidR="00847B04" w:rsidRPr="00F6340E">
        <w:t xml:space="preserve"> </w:t>
      </w:r>
      <w:r w:rsidR="00A56E08">
        <w:t>ни</w:t>
      </w:r>
      <w:r>
        <w:t>в</w:t>
      </w:r>
      <w:r w:rsidR="00A56E08">
        <w:t>оима</w:t>
      </w:r>
      <w:r w:rsidR="00847B04" w:rsidRPr="00F6340E">
        <w:t xml:space="preserve"> </w:t>
      </w:r>
      <w:r w:rsidR="00A56E08">
        <w:t>об</w:t>
      </w:r>
      <w:r>
        <w:t>р</w:t>
      </w:r>
      <w:r w:rsidR="00A56E08">
        <w:t>а</w:t>
      </w:r>
      <w:r w:rsidR="00171F00">
        <w:t>з</w:t>
      </w:r>
      <w:r w:rsidR="00A56E08">
        <w:t>о</w:t>
      </w:r>
      <w:r>
        <w:t>в</w:t>
      </w:r>
      <w:r w:rsidR="00A56E08">
        <w:t>ања</w:t>
      </w:r>
      <w:r w:rsidR="00847B04" w:rsidRPr="00F6340E">
        <w:t xml:space="preserve"> </w:t>
      </w:r>
      <w:r w:rsidR="00A56E08">
        <w:t>који</w:t>
      </w:r>
      <w:r w:rsidR="00847B04" w:rsidRPr="00F6340E">
        <w:t xml:space="preserve"> </w:t>
      </w:r>
      <w:r>
        <w:t>у</w:t>
      </w:r>
      <w:r w:rsidR="00847B04" w:rsidRPr="00F6340E">
        <w:t xml:space="preserve"> </w:t>
      </w:r>
      <w:r w:rsidR="00A56E08">
        <w:t>фок</w:t>
      </w:r>
      <w:r>
        <w:t>ус</w:t>
      </w:r>
      <w:r w:rsidR="00847B04" w:rsidRPr="00F6340E">
        <w:t xml:space="preserve"> </w:t>
      </w:r>
      <w:r>
        <w:t>ст</w:t>
      </w:r>
      <w:r w:rsidR="00A56E08">
        <w:t>а</w:t>
      </w:r>
      <w:r>
        <w:t>в</w:t>
      </w:r>
      <w:r w:rsidR="00A56E08">
        <w:t>љај</w:t>
      </w:r>
      <w:r>
        <w:t>у</w:t>
      </w:r>
      <w:r w:rsidR="00847B04"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847B04" w:rsidRPr="00F6340E">
        <w:t xml:space="preserve"> </w:t>
      </w:r>
      <w:r>
        <w:t>п</w:t>
      </w:r>
      <w:r w:rsidR="00EE6AA2">
        <w:t>е</w:t>
      </w:r>
      <w:r w:rsidR="00A56E08">
        <w:t>даго</w:t>
      </w:r>
      <w:r>
        <w:t>ш</w:t>
      </w:r>
      <w:r w:rsidR="00A56E08">
        <w:t>ких</w:t>
      </w:r>
      <w:r w:rsidR="00847B04" w:rsidRPr="00F6340E">
        <w:t xml:space="preserve"> </w:t>
      </w:r>
      <w:r w:rsidR="00A56E08">
        <w:t>и</w:t>
      </w:r>
      <w:r w:rsidR="00847B04" w:rsidRPr="00F6340E">
        <w:t xml:space="preserve"> </w:t>
      </w:r>
      <w:r w:rsidR="00A56E08">
        <w:t>диги</w:t>
      </w:r>
      <w:r>
        <w:t>т</w:t>
      </w:r>
      <w:r w:rsidR="00A56E08">
        <w:t>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на</w:t>
      </w:r>
      <w:r>
        <w:t>ст</w:t>
      </w:r>
      <w:r w:rsidR="00A56E08">
        <w:t>а</w:t>
      </w:r>
      <w:r>
        <w:t>в</w:t>
      </w:r>
      <w:r w:rsidR="00A56E08">
        <w:t>ника</w:t>
      </w:r>
      <w:r w:rsidR="00847B04" w:rsidRPr="00F6340E">
        <w:t xml:space="preserve">, </w:t>
      </w:r>
      <w:r w:rsidR="00A56E08">
        <w:t>али</w:t>
      </w:r>
      <w:r w:rsidR="00847B04" w:rsidRPr="00F6340E">
        <w:t xml:space="preserve"> </w:t>
      </w:r>
      <w:r w:rsidR="00A56E08">
        <w:t>и</w:t>
      </w:r>
      <w:r w:rsidR="00847B04" w:rsidRPr="00F6340E">
        <w:t xml:space="preserve"> </w:t>
      </w:r>
      <w:r>
        <w:t>пр</w:t>
      </w:r>
      <w:r w:rsidR="00A56E08">
        <w:t>аћ</w:t>
      </w:r>
      <w:r w:rsidR="00EE6AA2">
        <w:t>е</w:t>
      </w:r>
      <w:r w:rsidR="00A56E08">
        <w:t>ња</w:t>
      </w:r>
      <w:r w:rsidR="00847B04" w:rsidRPr="00F6340E">
        <w:t xml:space="preserve"> </w:t>
      </w:r>
      <w:r w:rsidR="00A56E08">
        <w:t>и</w:t>
      </w:r>
      <w:r w:rsidR="00847B04" w:rsidRPr="00F6340E">
        <w:t xml:space="preserve"> </w:t>
      </w:r>
      <w:r>
        <w:t>вр</w:t>
      </w:r>
      <w:r w:rsidR="00EE6AA2">
        <w:t>е</w:t>
      </w:r>
      <w:r w:rsidR="00A56E08">
        <w:t>дно</w:t>
      </w:r>
      <w:r>
        <w:t>в</w:t>
      </w:r>
      <w:r w:rsidR="00A56E08">
        <w:t>ања</w:t>
      </w:r>
      <w:r w:rsidR="00847B04" w:rsidRPr="00F6340E">
        <w:t xml:space="preserve"> </w:t>
      </w:r>
      <w:r w:rsidR="00A56E08">
        <w:t>њихо</w:t>
      </w:r>
      <w:r>
        <w:t>в</w:t>
      </w:r>
      <w:r w:rsidR="00A56E08">
        <w:t>ог</w:t>
      </w:r>
      <w:r w:rsidR="00847B04" w:rsidRPr="00F6340E">
        <w:t xml:space="preserve"> </w:t>
      </w:r>
      <w:r>
        <w:t>р</w:t>
      </w:r>
      <w:r w:rsidR="00A56E08">
        <w:t>ада</w:t>
      </w:r>
      <w:r w:rsidR="00847B04" w:rsidRPr="00F6340E">
        <w:t>.</w:t>
      </w:r>
    </w:p>
    <w:p w14:paraId="399D57A4" w14:textId="7F2B5D39" w:rsidR="00847B04" w:rsidRPr="00F6340E" w:rsidRDefault="0071360A" w:rsidP="000962EB">
      <w:pPr>
        <w:pStyle w:val="Heading2"/>
        <w:numPr>
          <w:ilvl w:val="1"/>
          <w:numId w:val="70"/>
        </w:numPr>
        <w:rPr>
          <w:lang w:val="sr-Cyrl-BA"/>
        </w:rPr>
      </w:pPr>
      <w:bookmarkStart w:id="35" w:name="_Toc119050317"/>
      <w:r>
        <w:rPr>
          <w:lang w:val="sr-Cyrl-BA"/>
        </w:rPr>
        <w:t>У</w:t>
      </w:r>
      <w:r w:rsidR="00A56E08">
        <w:rPr>
          <w:lang w:val="sr-Cyrl-BA"/>
        </w:rPr>
        <w:t>на</w:t>
      </w:r>
      <w:r>
        <w:rPr>
          <w:lang w:val="sr-Cyrl-BA"/>
        </w:rPr>
        <w:t>пр</w:t>
      </w:r>
      <w:r w:rsidR="00A56E08">
        <w:rPr>
          <w:lang w:val="sr-Cyrl-BA"/>
        </w:rPr>
        <w:t>ј</w:t>
      </w:r>
      <w:r w:rsidR="00EE6AA2">
        <w:rPr>
          <w:lang w:val="sr-Cyrl-BA"/>
        </w:rPr>
        <w:t>е</w:t>
      </w:r>
      <w:r w:rsidR="00A56E08">
        <w:rPr>
          <w:lang w:val="sr-Cyrl-BA"/>
        </w:rPr>
        <w:t>ђ</w:t>
      </w:r>
      <w:r w:rsidR="00EE6AA2">
        <w:rPr>
          <w:lang w:val="sr-Cyrl-BA"/>
        </w:rPr>
        <w:t>е</w:t>
      </w:r>
      <w:r w:rsidR="00A56E08">
        <w:rPr>
          <w:lang w:val="sr-Cyrl-BA"/>
        </w:rPr>
        <w:t>њ</w:t>
      </w:r>
      <w:r w:rsidR="00EE6AA2">
        <w:rPr>
          <w:lang w:val="sr-Cyrl-BA"/>
        </w:rPr>
        <w:t>е</w:t>
      </w:r>
      <w:r w:rsidR="00847B04" w:rsidRPr="00F6340E">
        <w:rPr>
          <w:lang w:val="sr-Cyrl-BA"/>
        </w:rPr>
        <w:t xml:space="preserve"> </w:t>
      </w:r>
      <w:r>
        <w:rPr>
          <w:lang w:val="sr-Cyrl-BA"/>
        </w:rPr>
        <w:t>п</w:t>
      </w:r>
      <w:r w:rsidR="00EE6AA2">
        <w:rPr>
          <w:lang w:val="sr-Cyrl-BA"/>
        </w:rPr>
        <w:t>е</w:t>
      </w:r>
      <w:r w:rsidR="00A56E08">
        <w:rPr>
          <w:lang w:val="sr-Cyrl-BA"/>
        </w:rPr>
        <w:t>даго</w:t>
      </w:r>
      <w:r>
        <w:rPr>
          <w:lang w:val="sr-Cyrl-BA"/>
        </w:rPr>
        <w:t>ш</w:t>
      </w:r>
      <w:r w:rsidR="00A56E08">
        <w:rPr>
          <w:lang w:val="sr-Cyrl-BA"/>
        </w:rPr>
        <w:t>ких</w:t>
      </w:r>
      <w:r w:rsidR="00847B04" w:rsidRPr="00F6340E">
        <w:rPr>
          <w:lang w:val="sr-Cyrl-BA"/>
        </w:rPr>
        <w:t xml:space="preserve"> </w:t>
      </w:r>
      <w:r w:rsidR="00A56E08">
        <w:rPr>
          <w:lang w:val="sr-Cyrl-BA"/>
        </w:rPr>
        <w:t>и</w:t>
      </w:r>
      <w:r w:rsidR="00847B04" w:rsidRPr="00F6340E">
        <w:rPr>
          <w:lang w:val="sr-Cyrl-BA"/>
        </w:rPr>
        <w:t xml:space="preserve"> </w:t>
      </w:r>
      <w:r w:rsidR="00A56E08">
        <w:rPr>
          <w:lang w:val="sr-Cyrl-BA"/>
        </w:rPr>
        <w:t>диги</w:t>
      </w:r>
      <w:r>
        <w:rPr>
          <w:lang w:val="sr-Cyrl-BA"/>
        </w:rPr>
        <w:t>т</w:t>
      </w:r>
      <w:r w:rsidR="00A56E08">
        <w:rPr>
          <w:lang w:val="sr-Cyrl-BA"/>
        </w:rPr>
        <w:t>алних</w:t>
      </w:r>
      <w:r w:rsidR="00847B04" w:rsidRPr="00F6340E">
        <w:rPr>
          <w:lang w:val="sr-Cyrl-BA"/>
        </w:rPr>
        <w:t xml:space="preserve"> </w:t>
      </w:r>
      <w:r w:rsidR="00A56E08">
        <w:rPr>
          <w:lang w:val="sr-Cyrl-BA"/>
        </w:rPr>
        <w:t>ком</w:t>
      </w:r>
      <w:r>
        <w:rPr>
          <w:lang w:val="sr-Cyrl-BA"/>
        </w:rPr>
        <w:t>п</w:t>
      </w:r>
      <w:r w:rsidR="00EE6AA2">
        <w:rPr>
          <w:lang w:val="sr-Cyrl-BA"/>
        </w:rPr>
        <w:t>е</w:t>
      </w:r>
      <w:r>
        <w:rPr>
          <w:lang w:val="sr-Cyrl-BA"/>
        </w:rPr>
        <w:t>т</w:t>
      </w:r>
      <w:r w:rsidR="00EE6AA2">
        <w:rPr>
          <w:lang w:val="sr-Cyrl-BA"/>
        </w:rPr>
        <w:t>е</w:t>
      </w:r>
      <w:r w:rsidR="00A56E08">
        <w:rPr>
          <w:lang w:val="sr-Cyrl-BA"/>
        </w:rPr>
        <w:t>нција</w:t>
      </w:r>
      <w:r w:rsidR="00847B04"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ника</w:t>
      </w:r>
      <w:bookmarkEnd w:id="35"/>
      <w:r w:rsidR="00847B04" w:rsidRPr="00F6340E">
        <w:rPr>
          <w:lang w:val="sr-Cyrl-BA"/>
        </w:rPr>
        <w:t xml:space="preserve"> </w:t>
      </w:r>
    </w:p>
    <w:p w14:paraId="47AD601D" w14:textId="1925A4D5" w:rsidR="0019451B" w:rsidRPr="00F6340E" w:rsidRDefault="0071360A" w:rsidP="00FA4DC9">
      <w:pPr>
        <w:pStyle w:val="Body"/>
      </w:pPr>
      <w:r>
        <w:t>П</w:t>
      </w:r>
      <w:r w:rsidR="00A56E08">
        <w:t>о</w:t>
      </w:r>
      <w:r>
        <w:t>тр</w:t>
      </w:r>
      <w:r w:rsidR="00EE6AA2">
        <w:t>е</w:t>
      </w:r>
      <w:r w:rsidR="00A56E08">
        <w:t>ба</w:t>
      </w:r>
      <w:r w:rsidR="00847B04" w:rsidRPr="00F6340E">
        <w:t xml:space="preserve"> </w:t>
      </w:r>
      <w:r w:rsidR="00171F00">
        <w:t>з</w:t>
      </w:r>
      <w:r w:rsidR="00A56E08">
        <w:t>а</w:t>
      </w:r>
      <w:r w:rsidR="00847B04" w:rsidRPr="00F6340E">
        <w:t xml:space="preserve"> </w:t>
      </w:r>
      <w:r>
        <w:t>р</w:t>
      </w:r>
      <w:r w:rsidR="00A56E08">
        <w:t>а</w:t>
      </w:r>
      <w:r w:rsidR="00171F00">
        <w:t>з</w:t>
      </w:r>
      <w:r>
        <w:t>в</w:t>
      </w:r>
      <w:r w:rsidR="00A56E08">
        <w:t>ој</w:t>
      </w:r>
      <w:r w:rsidR="00EE6AA2">
        <w:t>е</w:t>
      </w:r>
      <w:r w:rsidR="00A56E08">
        <w:t>м</w:t>
      </w:r>
      <w:r w:rsidR="00847B04" w:rsidRPr="00F6340E">
        <w:t xml:space="preserve"> </w:t>
      </w:r>
      <w:r w:rsidR="00A56E08">
        <w:t>и</w:t>
      </w:r>
      <w:r w:rsidR="00847B04" w:rsidRPr="00F6340E">
        <w:t>/</w:t>
      </w:r>
      <w:r w:rsidR="00A56E08">
        <w:t>или</w:t>
      </w:r>
      <w:r w:rsidR="00847B04"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A56E08">
        <w:t>м</w:t>
      </w:r>
      <w:r w:rsidR="00847B04" w:rsidRPr="00F6340E">
        <w:t xml:space="preserve"> </w:t>
      </w:r>
      <w:r>
        <w:t>п</w:t>
      </w:r>
      <w:r w:rsidR="00EE6AA2">
        <w:t>е</w:t>
      </w:r>
      <w:r w:rsidR="00A56E08">
        <w:t>даго</w:t>
      </w:r>
      <w:r>
        <w:t>ш</w:t>
      </w:r>
      <w:r w:rsidR="00A56E08">
        <w:t>ких</w:t>
      </w:r>
      <w:r w:rsidR="00847B04" w:rsidRPr="00F6340E">
        <w:t xml:space="preserve"> </w:t>
      </w:r>
      <w:r w:rsidR="00A56E08">
        <w:t>и</w:t>
      </w:r>
      <w:r w:rsidR="00847B04" w:rsidRPr="00F6340E">
        <w:t xml:space="preserve"> </w:t>
      </w:r>
      <w:r w:rsidR="00A56E08">
        <w:t>диги</w:t>
      </w:r>
      <w:r>
        <w:t>т</w:t>
      </w:r>
      <w:r w:rsidR="00A56E08">
        <w:t>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на</w:t>
      </w:r>
      <w:r>
        <w:t>ст</w:t>
      </w:r>
      <w:r w:rsidR="00A56E08">
        <w:t>а</w:t>
      </w:r>
      <w:r>
        <w:t>в</w:t>
      </w:r>
      <w:r w:rsidR="00A56E08">
        <w:t>ника</w:t>
      </w:r>
      <w:r w:rsidR="00847B04" w:rsidRPr="00F6340E">
        <w:t xml:space="preserve"> </w:t>
      </w:r>
      <w:r>
        <w:t>пр</w:t>
      </w:r>
      <w:r w:rsidR="00A56E08">
        <w:t>ои</w:t>
      </w:r>
      <w:r w:rsidR="00171F00">
        <w:t>з</w:t>
      </w:r>
      <w:r w:rsidR="00A56E08">
        <w:t>ла</w:t>
      </w:r>
      <w:r w:rsidR="00171F00">
        <w:t>з</w:t>
      </w:r>
      <w:r w:rsidR="00A56E08">
        <w:t>и</w:t>
      </w:r>
      <w:r w:rsidR="00847B04" w:rsidRPr="00F6340E">
        <w:t xml:space="preserve"> </w:t>
      </w:r>
      <w:r w:rsidR="00A56E08">
        <w:t>и</w:t>
      </w:r>
      <w:r w:rsidR="00171F00">
        <w:t>з</w:t>
      </w:r>
      <w:r w:rsidR="00847B04" w:rsidRPr="00F6340E">
        <w:t xml:space="preserve"> </w:t>
      </w:r>
      <w:r>
        <w:t>в</w:t>
      </w:r>
      <w:r w:rsidR="00A56E08">
        <w:t>а</w:t>
      </w:r>
      <w:r w:rsidR="00171F00">
        <w:t>ж</w:t>
      </w:r>
      <w:r w:rsidR="00A56E08">
        <w:t>но</w:t>
      </w:r>
      <w:r>
        <w:t>ст</w:t>
      </w:r>
      <w:r w:rsidR="00A56E08">
        <w:t>и</w:t>
      </w:r>
      <w:r w:rsidR="00847B04" w:rsidRPr="00F6340E">
        <w:t xml:space="preserve"> </w:t>
      </w:r>
      <w:r w:rsidR="00A56E08">
        <w:t>јачања</w:t>
      </w:r>
      <w:r w:rsidR="00847B04" w:rsidRPr="00F6340E">
        <w:t xml:space="preserve"> </w:t>
      </w:r>
      <w:r w:rsidR="00A56E08">
        <w:t>ка</w:t>
      </w:r>
      <w:r>
        <w:t>п</w:t>
      </w:r>
      <w:r w:rsidR="00A56E08">
        <w:t>аци</w:t>
      </w:r>
      <w:r>
        <w:t>т</w:t>
      </w:r>
      <w:r w:rsidR="00EE6AA2">
        <w:t>е</w:t>
      </w:r>
      <w:r>
        <w:t>т</w:t>
      </w:r>
      <w:r w:rsidR="00A56E08">
        <w:t>а</w:t>
      </w:r>
      <w:r w:rsidR="00847B04" w:rsidRPr="00F6340E">
        <w:t xml:space="preserve"> </w:t>
      </w:r>
      <w:r w:rsidR="00A56E08">
        <w:t>на</w:t>
      </w:r>
      <w:r>
        <w:t>ст</w:t>
      </w:r>
      <w:r w:rsidR="00A56E08">
        <w:t>а</w:t>
      </w:r>
      <w:r>
        <w:t>в</w:t>
      </w:r>
      <w:r w:rsidR="00A56E08">
        <w:t>ника</w:t>
      </w:r>
      <w:r w:rsidR="00847B04" w:rsidRPr="00F6340E">
        <w:t xml:space="preserve">, </w:t>
      </w:r>
      <w:r w:rsidR="00A56E08">
        <w:t>којима</w:t>
      </w:r>
      <w:r w:rsidR="00847B04" w:rsidRPr="00F6340E">
        <w:t xml:space="preserve"> </w:t>
      </w:r>
      <w:r w:rsidR="00A56E08">
        <w:t>они</w:t>
      </w:r>
      <w:r w:rsidR="00847B04" w:rsidRPr="00F6340E">
        <w:t xml:space="preserve"> </w:t>
      </w:r>
      <w:r w:rsidR="00A56E08">
        <w:t>мог</w:t>
      </w:r>
      <w:r>
        <w:t>у</w:t>
      </w:r>
      <w:r w:rsidR="00847B04" w:rsidRPr="00F6340E">
        <w:t xml:space="preserve"> </w:t>
      </w:r>
      <w:r>
        <w:t>п</w:t>
      </w:r>
      <w:r w:rsidR="00A56E08">
        <w:t>од</w:t>
      </w:r>
      <w:r>
        <w:t>р</w:t>
      </w:r>
      <w:r w:rsidR="00171F00">
        <w:t>ж</w:t>
      </w:r>
      <w:r w:rsidR="00A56E08">
        <w:t>а</w:t>
      </w:r>
      <w:r>
        <w:t>т</w:t>
      </w:r>
      <w:r w:rsidR="00A56E08">
        <w:t>и</w:t>
      </w:r>
      <w:r w:rsidR="00847B04" w:rsidRPr="00F6340E">
        <w:t xml:space="preserve"> </w:t>
      </w:r>
      <w:r>
        <w:t>р</w:t>
      </w:r>
      <w:r w:rsidR="00A56E08">
        <w:t>а</w:t>
      </w:r>
      <w:r w:rsidR="00171F00">
        <w:t>з</w:t>
      </w:r>
      <w:r>
        <w:t>в</w:t>
      </w:r>
      <w:r w:rsidR="00A56E08">
        <w:t>ој</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t>у</w:t>
      </w:r>
      <w:r w:rsidR="00A56E08">
        <w:t>ч</w:t>
      </w:r>
      <w:r w:rsidR="00EE6AA2">
        <w:t>е</w:t>
      </w:r>
      <w:r w:rsidR="00A56E08">
        <w:t>ника</w:t>
      </w:r>
      <w:r w:rsidR="00847B04" w:rsidRPr="00F6340E">
        <w:t xml:space="preserve">. </w:t>
      </w:r>
      <w:r>
        <w:t>С</w:t>
      </w:r>
      <w:r w:rsidR="00B04FA8">
        <w:t>а</w:t>
      </w:r>
      <w:r w:rsidR="00847B04" w:rsidRPr="00F6340E">
        <w:t xml:space="preserve"> </w:t>
      </w:r>
      <w:r w:rsidR="00A56E08">
        <w:t>ј</w:t>
      </w:r>
      <w:r w:rsidR="00EE6AA2">
        <w:t>е</w:t>
      </w:r>
      <w:r w:rsidR="00A56E08">
        <w:t>дн</w:t>
      </w:r>
      <w:r w:rsidR="00EE6AA2">
        <w:t>е</w:t>
      </w:r>
      <w:r w:rsidR="00847B04" w:rsidRPr="00F6340E">
        <w:t xml:space="preserve"> </w:t>
      </w:r>
      <w:r>
        <w:t>стр</w:t>
      </w:r>
      <w:r w:rsidR="00A56E08">
        <w:t>ан</w:t>
      </w:r>
      <w:r w:rsidR="00EE6AA2">
        <w:t>е</w:t>
      </w:r>
      <w:r w:rsidR="00847B04" w:rsidRPr="00F6340E">
        <w:t xml:space="preserve"> </w:t>
      </w:r>
      <w:r w:rsidR="00A56E08">
        <w:t>го</w:t>
      </w:r>
      <w:r>
        <w:t>в</w:t>
      </w:r>
      <w:r w:rsidR="00A56E08">
        <w:t>о</w:t>
      </w:r>
      <w:r>
        <w:t>р</w:t>
      </w:r>
      <w:r w:rsidR="00A56E08">
        <w:t>имо</w:t>
      </w:r>
      <w:r w:rsidR="00847B04" w:rsidRPr="00F6340E">
        <w:t xml:space="preserve"> </w:t>
      </w:r>
      <w:r w:rsidR="00A56E08">
        <w:t>о</w:t>
      </w:r>
      <w:r w:rsidR="00847B04" w:rsidRPr="00F6340E">
        <w:t xml:space="preserve"> </w:t>
      </w:r>
      <w:r w:rsidR="00A56E08">
        <w:t>мог</w:t>
      </w:r>
      <w:r>
        <w:t>у</w:t>
      </w:r>
      <w:r w:rsidR="00A56E08">
        <w:t>ћно</w:t>
      </w:r>
      <w:r>
        <w:t>ст</w:t>
      </w:r>
      <w:r w:rsidR="00A56E08">
        <w:t>и</w:t>
      </w:r>
      <w:r w:rsidR="00847B04" w:rsidRPr="00F6340E">
        <w:t xml:space="preserve"> </w:t>
      </w:r>
      <w:r w:rsidR="00A56E08">
        <w:t>и</w:t>
      </w:r>
      <w:r w:rsidR="00847B04" w:rsidRPr="00F6340E">
        <w:t xml:space="preserve"> </w:t>
      </w:r>
      <w:r w:rsidR="00171F00">
        <w:t>з</w:t>
      </w:r>
      <w:r w:rsidR="00A56E08">
        <w:t>начај</w:t>
      </w:r>
      <w:r>
        <w:t>у</w:t>
      </w:r>
      <w:r w:rsidR="00847B04" w:rsidRPr="00F6340E">
        <w:t xml:space="preserve"> </w:t>
      </w:r>
      <w:r>
        <w:t>пр</w:t>
      </w:r>
      <w:r w:rsidR="00A56E08">
        <w:t>имј</w:t>
      </w:r>
      <w:r w:rsidR="00EE6AA2">
        <w:t>е</w:t>
      </w:r>
      <w:r w:rsidR="00A56E08">
        <w:t>н</w:t>
      </w:r>
      <w:r w:rsidR="00EE6AA2">
        <w:t>е</w:t>
      </w:r>
      <w:r w:rsidR="00847B04" w:rsidRPr="00F6340E">
        <w:t xml:space="preserve"> </w:t>
      </w:r>
      <w:r w:rsidR="00A56E08">
        <w:t>до</w:t>
      </w:r>
      <w:r>
        <w:t>ступ</w:t>
      </w:r>
      <w:r w:rsidR="00A56E08">
        <w:t>них</w:t>
      </w:r>
      <w:r w:rsidR="00847B04" w:rsidRPr="00F6340E">
        <w:t xml:space="preserve"> </w:t>
      </w:r>
      <w:r w:rsidR="00A56E08">
        <w:t>диги</w:t>
      </w:r>
      <w:r>
        <w:t>т</w:t>
      </w:r>
      <w:r w:rsidR="00A56E08">
        <w:t>алних</w:t>
      </w:r>
      <w:r w:rsidR="00847B04" w:rsidRPr="00F6340E">
        <w:t xml:space="preserve"> </w:t>
      </w:r>
      <w:r w:rsidR="00A56E08">
        <w:t>ала</w:t>
      </w:r>
      <w:r>
        <w:t>т</w:t>
      </w:r>
      <w:r w:rsidR="00A56E08">
        <w:t>а</w:t>
      </w:r>
      <w:r w:rsidR="00847B04" w:rsidRPr="00F6340E">
        <w:t xml:space="preserve"> </w:t>
      </w:r>
      <w:r>
        <w:t>у</w:t>
      </w:r>
      <w:r w:rsidR="00847B04" w:rsidRPr="00F6340E">
        <w:t xml:space="preserve"> </w:t>
      </w:r>
      <w:r>
        <w:t>пр</w:t>
      </w:r>
      <w:r w:rsidR="00A56E08">
        <w:t>оц</w:t>
      </w:r>
      <w:r w:rsidR="00EE6AA2">
        <w:t>е</w:t>
      </w:r>
      <w:r>
        <w:t>су</w:t>
      </w:r>
      <w:r w:rsidR="00847B04" w:rsidRPr="00F6340E">
        <w:t xml:space="preserve"> </w:t>
      </w:r>
      <w:r>
        <w:t>у</w:t>
      </w:r>
      <w:r w:rsidR="00A56E08">
        <w:t>ч</w:t>
      </w:r>
      <w:r w:rsidR="00EE6AA2">
        <w:t>е</w:t>
      </w:r>
      <w:r w:rsidR="00A56E08">
        <w:t>ња</w:t>
      </w:r>
      <w:r w:rsidR="00847B04" w:rsidRPr="00F6340E">
        <w:t xml:space="preserve"> </w:t>
      </w:r>
      <w:r w:rsidR="00A56E08">
        <w:t>и</w:t>
      </w:r>
      <w:r w:rsidR="00847B04" w:rsidRPr="00F6340E">
        <w:t xml:space="preserve"> </w:t>
      </w:r>
      <w:r>
        <w:t>п</w:t>
      </w:r>
      <w:r w:rsidR="00A56E08">
        <w:t>од</w:t>
      </w:r>
      <w:r>
        <w:t>у</w:t>
      </w:r>
      <w:r w:rsidR="00A56E08">
        <w:t>ча</w:t>
      </w:r>
      <w:r>
        <w:t>в</w:t>
      </w:r>
      <w:r w:rsidR="00A56E08">
        <w:t>ања</w:t>
      </w:r>
      <w:r w:rsidR="00847B04" w:rsidRPr="00F6340E">
        <w:t xml:space="preserve"> </w:t>
      </w:r>
      <w:r>
        <w:t>у</w:t>
      </w:r>
      <w:r w:rsidR="00A56E08">
        <w:t>ч</w:t>
      </w:r>
      <w:r w:rsidR="00EE6AA2">
        <w:t>е</w:t>
      </w:r>
      <w:r w:rsidR="00A56E08">
        <w:t>ника</w:t>
      </w:r>
      <w:r w:rsidR="00847B04" w:rsidRPr="00F6340E">
        <w:t xml:space="preserve"> </w:t>
      </w:r>
      <w:r>
        <w:t>т</w:t>
      </w:r>
      <w:r w:rsidR="00EE6AA2">
        <w:t>е</w:t>
      </w:r>
      <w:r w:rsidR="00847B04" w:rsidRPr="00F6340E">
        <w:t xml:space="preserve">, </w:t>
      </w:r>
      <w:r>
        <w:t>у</w:t>
      </w:r>
      <w:r w:rsidR="00E864CA" w:rsidRPr="00F6340E">
        <w:t xml:space="preserve"> </w:t>
      </w:r>
      <w:r>
        <w:t>с</w:t>
      </w:r>
      <w:r w:rsidR="00A56E08">
        <w:t>клад</w:t>
      </w:r>
      <w:r>
        <w:t>у</w:t>
      </w:r>
      <w:r w:rsidR="00B04FA8">
        <w:t xml:space="preserve"> са </w:t>
      </w:r>
      <w:r>
        <w:t>т</w:t>
      </w:r>
      <w:r w:rsidR="00A56E08">
        <w:t>им</w:t>
      </w:r>
      <w:r w:rsidR="00847B04" w:rsidRPr="00F6340E">
        <w:t xml:space="preserve">, </w:t>
      </w:r>
      <w:r w:rsidR="00A56E08">
        <w:t>и</w:t>
      </w:r>
      <w:r w:rsidR="00847B04" w:rsidRPr="00F6340E">
        <w:t xml:space="preserve"> </w:t>
      </w:r>
      <w:r>
        <w:t>п</w:t>
      </w:r>
      <w:r w:rsidR="00A56E08">
        <w:t>од</w:t>
      </w:r>
      <w:r>
        <w:t>рш</w:t>
      </w:r>
      <w:r w:rsidR="00A56E08">
        <w:t>ци</w:t>
      </w:r>
      <w:r w:rsidR="00423AEA" w:rsidRPr="00F6340E">
        <w:t xml:space="preserve"> </w:t>
      </w:r>
      <w:r>
        <w:t>у</w:t>
      </w:r>
      <w:r w:rsidR="00A56E08">
        <w:t>ч</w:t>
      </w:r>
      <w:r w:rsidR="00EE6AA2">
        <w:t>е</w:t>
      </w:r>
      <w:r w:rsidR="00A56E08">
        <w:t>ницима</w:t>
      </w:r>
      <w:r w:rsidR="00847B04" w:rsidRPr="00F6340E">
        <w:t xml:space="preserve"> </w:t>
      </w:r>
      <w:r>
        <w:t>у</w:t>
      </w:r>
      <w:r w:rsidR="00847B04" w:rsidRPr="00F6340E">
        <w:t xml:space="preserve"> </w:t>
      </w:r>
      <w:r>
        <w:t>р</w:t>
      </w:r>
      <w:r w:rsidR="00A56E08">
        <w:t>а</w:t>
      </w:r>
      <w:r w:rsidR="00171F00">
        <w:t>з</w:t>
      </w:r>
      <w:r>
        <w:t>в</w:t>
      </w:r>
      <w:r w:rsidR="00A56E08">
        <w:t>ој</w:t>
      </w:r>
      <w:r>
        <w:t>у</w:t>
      </w:r>
      <w:r w:rsidR="00847B04" w:rsidRPr="00F6340E">
        <w:t xml:space="preserve"> </w:t>
      </w:r>
      <w:r>
        <w:t>в</w:t>
      </w:r>
      <w:r w:rsidR="00A56E08">
        <w:t>ла</w:t>
      </w:r>
      <w:r>
        <w:t>ст</w:t>
      </w:r>
      <w:r w:rsidR="00A56E08">
        <w:t>и</w:t>
      </w:r>
      <w:r>
        <w:t>т</w:t>
      </w:r>
      <w:r w:rsidR="00A56E08">
        <w:t>их</w:t>
      </w:r>
      <w:r w:rsidR="00847B04" w:rsidRPr="00F6340E">
        <w:t xml:space="preserve"> </w:t>
      </w:r>
      <w:r w:rsidR="00A56E08">
        <w:t>диги</w:t>
      </w:r>
      <w:r>
        <w:t>т</w:t>
      </w:r>
      <w:r w:rsidR="00A56E08">
        <w:t>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Док</w:t>
      </w:r>
      <w:r w:rsidR="00423AEA" w:rsidRPr="00F6340E">
        <w:t>,</w:t>
      </w:r>
      <w:r w:rsidR="00B04FA8">
        <w:t xml:space="preserve"> са </w:t>
      </w:r>
      <w:r w:rsidR="00A56E08">
        <w:t>д</w:t>
      </w:r>
      <w:r>
        <w:t>ру</w:t>
      </w:r>
      <w:r w:rsidR="00A56E08">
        <w:t>г</w:t>
      </w:r>
      <w:r w:rsidR="00EE6AA2">
        <w:t>е</w:t>
      </w:r>
      <w:r w:rsidR="00847B04" w:rsidRPr="00F6340E">
        <w:t xml:space="preserve"> </w:t>
      </w:r>
      <w:r>
        <w:t>стр</w:t>
      </w:r>
      <w:r w:rsidR="00A56E08">
        <w:t>ан</w:t>
      </w:r>
      <w:r w:rsidR="00EE6AA2">
        <w:t>е</w:t>
      </w:r>
      <w:r w:rsidR="00847B04" w:rsidRPr="00F6340E">
        <w:t xml:space="preserve">, </w:t>
      </w:r>
      <w:r w:rsidR="00A56E08">
        <w:t>диги</w:t>
      </w:r>
      <w:r>
        <w:t>т</w:t>
      </w:r>
      <w:r w:rsidR="00A56E08">
        <w:t>ална</w:t>
      </w:r>
      <w:r w:rsidR="00847B04" w:rsidRPr="00F6340E">
        <w:t xml:space="preserve"> </w:t>
      </w:r>
      <w:r>
        <w:lastRenderedPageBreak/>
        <w:t>тр</w:t>
      </w:r>
      <w:r w:rsidR="00A56E08">
        <w:t>ан</w:t>
      </w:r>
      <w:r>
        <w:t>с</w:t>
      </w:r>
      <w:r w:rsidR="00A56E08">
        <w:t>фо</w:t>
      </w:r>
      <w:r>
        <w:t>р</w:t>
      </w:r>
      <w:r w:rsidR="00A56E08">
        <w:t>мација</w:t>
      </w:r>
      <w:r w:rsidR="00847B04" w:rsidRPr="00F6340E">
        <w:t xml:space="preserve"> </w:t>
      </w:r>
      <w:r w:rsidR="00A56E08">
        <w:t>об</w:t>
      </w:r>
      <w:r>
        <w:t>р</w:t>
      </w:r>
      <w:r w:rsidR="00A56E08">
        <w:t>а</w:t>
      </w:r>
      <w:r w:rsidR="00171F00">
        <w:t>з</w:t>
      </w:r>
      <w:r w:rsidR="00A56E08">
        <w:t>о</w:t>
      </w:r>
      <w:r>
        <w:t>в</w:t>
      </w:r>
      <w:r w:rsidR="00A56E08">
        <w:t>ања</w:t>
      </w:r>
      <w:r w:rsidR="00847B04" w:rsidRPr="00F6340E">
        <w:t xml:space="preserve"> </w:t>
      </w:r>
      <w:r w:rsidR="00A56E08">
        <w:t>н</w:t>
      </w:r>
      <w:r w:rsidR="00EE6AA2">
        <w:t>е</w:t>
      </w:r>
      <w:r w:rsidR="00847B04" w:rsidRPr="00F6340E">
        <w:t xml:space="preserve"> </w:t>
      </w:r>
      <w:r>
        <w:t>с</w:t>
      </w:r>
      <w:r w:rsidR="00A56E08">
        <w:t>миј</w:t>
      </w:r>
      <w:r w:rsidR="00EE6AA2">
        <w:t>е</w:t>
      </w:r>
      <w:r w:rsidR="00847B04" w:rsidRPr="00F6340E">
        <w:t xml:space="preserve"> </w:t>
      </w:r>
      <w:r w:rsidR="00171F00">
        <w:t>з</w:t>
      </w:r>
      <w:r w:rsidR="00A56E08">
        <w:t>ан</w:t>
      </w:r>
      <w:r w:rsidR="00EE6AA2">
        <w:t>е</w:t>
      </w:r>
      <w:r w:rsidR="00A56E08">
        <w:t>ма</w:t>
      </w:r>
      <w:r>
        <w:t>р</w:t>
      </w:r>
      <w:r w:rsidR="00A56E08">
        <w:t>и</w:t>
      </w:r>
      <w:r>
        <w:t>т</w:t>
      </w:r>
      <w:r w:rsidR="00A56E08">
        <w:t>и</w:t>
      </w:r>
      <w:r w:rsidR="00847B04" w:rsidRPr="00F6340E">
        <w:t xml:space="preserve"> </w:t>
      </w:r>
      <w:r w:rsidR="00A56E08">
        <w:t>О</w:t>
      </w:r>
      <w:r>
        <w:t>с</w:t>
      </w:r>
      <w:r w:rsidR="00A56E08">
        <w:t>но</w:t>
      </w:r>
      <w:r>
        <w:t>в</w:t>
      </w:r>
      <w:r w:rsidR="00A56E08">
        <w:t>но</w:t>
      </w:r>
      <w:r w:rsidR="00847B04" w:rsidRPr="00F6340E">
        <w:t xml:space="preserve"> </w:t>
      </w:r>
      <w:r>
        <w:t>пр</w:t>
      </w:r>
      <w:r w:rsidR="00A56E08">
        <w:t>а</w:t>
      </w:r>
      <w:r>
        <w:t>в</w:t>
      </w:r>
      <w:r w:rsidR="00A56E08">
        <w:t>о</w:t>
      </w:r>
      <w:r w:rsidR="00847B04" w:rsidRPr="00F6340E">
        <w:t xml:space="preserve"> </w:t>
      </w:r>
      <w:r w:rsidR="00A56E08">
        <w:t>на</w:t>
      </w:r>
      <w:r w:rsidR="00847B04" w:rsidRPr="00F6340E">
        <w:t xml:space="preserve"> </w:t>
      </w:r>
      <w:r w:rsidR="00A56E08">
        <w:t>к</w:t>
      </w:r>
      <w:r>
        <w:t>в</w:t>
      </w:r>
      <w:r w:rsidR="00A56E08">
        <w:t>али</w:t>
      </w:r>
      <w:r>
        <w:t>т</w:t>
      </w:r>
      <w:r w:rsidR="00EE6AA2">
        <w:t>е</w:t>
      </w:r>
      <w:r>
        <w:t>т</w:t>
      </w:r>
      <w:r w:rsidR="00A56E08">
        <w:t>но</w:t>
      </w:r>
      <w:r w:rsidR="00847B04" w:rsidRPr="00F6340E">
        <w:t xml:space="preserve"> </w:t>
      </w:r>
      <w:r w:rsidR="00A56E08">
        <w:t>инкл</w:t>
      </w:r>
      <w:r>
        <w:t>у</w:t>
      </w:r>
      <w:r w:rsidR="00171F00">
        <w:t>з</w:t>
      </w:r>
      <w:r w:rsidR="00A56E08">
        <w:t>и</w:t>
      </w:r>
      <w:r>
        <w:t>в</w:t>
      </w:r>
      <w:r w:rsidR="00A56E08">
        <w:t>но</w:t>
      </w:r>
      <w:r w:rsidR="00847B04" w:rsidRPr="00F6340E">
        <w:t xml:space="preserve"> </w:t>
      </w:r>
      <w:r w:rsidR="00A56E08">
        <w:t>об</w:t>
      </w:r>
      <w:r>
        <w:t>р</w:t>
      </w:r>
      <w:r w:rsidR="00A56E08">
        <w:t>а</w:t>
      </w:r>
      <w:r w:rsidR="00171F00">
        <w:t>з</w:t>
      </w:r>
      <w:r w:rsidR="00A56E08">
        <w:t>о</w:t>
      </w:r>
      <w:r>
        <w:t>в</w:t>
      </w:r>
      <w:r w:rsidR="00A56E08">
        <w:t>ањ</w:t>
      </w:r>
      <w:r w:rsidR="00EE6AA2">
        <w:t>е</w:t>
      </w:r>
      <w:r w:rsidR="00847B04" w:rsidRPr="00F6340E">
        <w:t xml:space="preserve"> - </w:t>
      </w:r>
      <w:r w:rsidR="00A56E08">
        <w:t>об</w:t>
      </w:r>
      <w:r>
        <w:t>р</w:t>
      </w:r>
      <w:r w:rsidR="00A56E08">
        <w:t>а</w:t>
      </w:r>
      <w:r w:rsidR="00171F00">
        <w:t>з</w:t>
      </w:r>
      <w:r w:rsidR="00A56E08">
        <w:t>о</w:t>
      </w:r>
      <w:r>
        <w:t>в</w:t>
      </w:r>
      <w:r w:rsidR="00A56E08">
        <w:t>ањ</w:t>
      </w:r>
      <w:r w:rsidR="00EE6AA2">
        <w:t>е</w:t>
      </w:r>
      <w:r w:rsidR="00847B04" w:rsidRPr="00F6340E">
        <w:t xml:space="preserve"> </w:t>
      </w:r>
      <w:r w:rsidR="00171F00">
        <w:t>з</w:t>
      </w:r>
      <w:r w:rsidR="00A56E08">
        <w:t>а</w:t>
      </w:r>
      <w:r w:rsidR="00847B04" w:rsidRPr="00F6340E">
        <w:t xml:space="preserve"> </w:t>
      </w:r>
      <w:r>
        <w:t>св</w:t>
      </w:r>
      <w:r w:rsidR="00EE6AA2">
        <w:t>е</w:t>
      </w:r>
      <w:r w:rsidR="00847B04" w:rsidRPr="00F6340E">
        <w:t xml:space="preserve">. </w:t>
      </w:r>
      <w:r w:rsidR="00A56E08">
        <w:t>О</w:t>
      </w:r>
      <w:r w:rsidR="001F1070" w:rsidRPr="00F6340E">
        <w:t xml:space="preserve"> </w:t>
      </w:r>
      <w:r>
        <w:t>т</w:t>
      </w:r>
      <w:r w:rsidR="00A56E08">
        <w:t>ом</w:t>
      </w:r>
      <w:r w:rsidR="00EE6AA2">
        <w:t>е</w:t>
      </w:r>
      <w:r w:rsidR="001F1070" w:rsidRPr="00F6340E">
        <w:t xml:space="preserve"> </w:t>
      </w:r>
      <w:r w:rsidR="00A56E08">
        <w:t>го</w:t>
      </w:r>
      <w:r>
        <w:t>в</w:t>
      </w:r>
      <w:r w:rsidR="00A56E08">
        <w:t>о</w:t>
      </w:r>
      <w:r>
        <w:t>р</w:t>
      </w:r>
      <w:r w:rsidR="00A56E08">
        <w:t>и</w:t>
      </w:r>
      <w:r w:rsidR="001F1070" w:rsidRPr="00F6340E">
        <w:t xml:space="preserve"> </w:t>
      </w:r>
      <w:r w:rsidR="00A56E08">
        <w:t>и</w:t>
      </w:r>
      <w:r w:rsidR="001F1070" w:rsidRPr="00F6340E">
        <w:t xml:space="preserve"> </w:t>
      </w:r>
      <w:hyperlink r:id="rId18" w:history="1">
        <w:r w:rsidR="00A56E08">
          <w:rPr>
            <w:rStyle w:val="Hyperlink"/>
            <w:rFonts w:cs="Arial"/>
            <w:szCs w:val="24"/>
          </w:rPr>
          <w:t>Акциони</w:t>
        </w:r>
        <w:r w:rsidR="0019451B" w:rsidRPr="00F6340E">
          <w:rPr>
            <w:rStyle w:val="Hyperlink"/>
            <w:rFonts w:cs="Arial"/>
            <w:szCs w:val="24"/>
          </w:rPr>
          <w:t xml:space="preserve"> </w:t>
        </w:r>
        <w:r>
          <w:rPr>
            <w:rStyle w:val="Hyperlink"/>
            <w:rFonts w:cs="Arial"/>
            <w:szCs w:val="24"/>
          </w:rPr>
          <w:t>п</w:t>
        </w:r>
        <w:r w:rsidR="00A56E08">
          <w:rPr>
            <w:rStyle w:val="Hyperlink"/>
            <w:rFonts w:cs="Arial"/>
            <w:szCs w:val="24"/>
          </w:rPr>
          <w:t>лан</w:t>
        </w:r>
        <w:r w:rsidR="0019451B" w:rsidRPr="00F6340E">
          <w:rPr>
            <w:rStyle w:val="Hyperlink"/>
            <w:rFonts w:cs="Arial"/>
            <w:szCs w:val="24"/>
          </w:rPr>
          <w:t xml:space="preserve"> </w:t>
        </w:r>
        <w:r w:rsidR="00171F00">
          <w:rPr>
            <w:rStyle w:val="Hyperlink"/>
            <w:rFonts w:cs="Arial"/>
            <w:szCs w:val="24"/>
          </w:rPr>
          <w:t>з</w:t>
        </w:r>
        <w:r w:rsidR="00A56E08">
          <w:rPr>
            <w:rStyle w:val="Hyperlink"/>
            <w:rFonts w:cs="Arial"/>
            <w:szCs w:val="24"/>
          </w:rPr>
          <w:t>а</w:t>
        </w:r>
        <w:r w:rsidR="0019451B" w:rsidRPr="00F6340E">
          <w:rPr>
            <w:rStyle w:val="Hyperlink"/>
            <w:rFonts w:cs="Arial"/>
            <w:szCs w:val="24"/>
          </w:rPr>
          <w:t xml:space="preserve"> </w:t>
        </w:r>
        <w:r w:rsidR="00A56E08">
          <w:rPr>
            <w:rStyle w:val="Hyperlink"/>
            <w:rFonts w:cs="Arial"/>
            <w:szCs w:val="24"/>
          </w:rPr>
          <w:t>диги</w:t>
        </w:r>
        <w:r>
          <w:rPr>
            <w:rStyle w:val="Hyperlink"/>
            <w:rFonts w:cs="Arial"/>
            <w:szCs w:val="24"/>
          </w:rPr>
          <w:t>т</w:t>
        </w:r>
        <w:r w:rsidR="00A56E08">
          <w:rPr>
            <w:rStyle w:val="Hyperlink"/>
            <w:rFonts w:cs="Arial"/>
            <w:szCs w:val="24"/>
          </w:rPr>
          <w:t>ално</w:t>
        </w:r>
        <w:r w:rsidR="0019451B" w:rsidRPr="00F6340E">
          <w:rPr>
            <w:rStyle w:val="Hyperlink"/>
            <w:rFonts w:cs="Arial"/>
            <w:szCs w:val="24"/>
          </w:rPr>
          <w:t xml:space="preserve"> </w:t>
        </w:r>
        <w:r w:rsidR="00A56E08">
          <w:rPr>
            <w:rStyle w:val="Hyperlink"/>
            <w:rFonts w:cs="Arial"/>
            <w:szCs w:val="24"/>
          </w:rPr>
          <w:t>об</w:t>
        </w:r>
        <w:r>
          <w:rPr>
            <w:rStyle w:val="Hyperlink"/>
            <w:rFonts w:cs="Arial"/>
            <w:szCs w:val="24"/>
          </w:rPr>
          <w:t>р</w:t>
        </w:r>
        <w:r w:rsidR="00A56E08">
          <w:rPr>
            <w:rStyle w:val="Hyperlink"/>
            <w:rFonts w:cs="Arial"/>
            <w:szCs w:val="24"/>
          </w:rPr>
          <w:t>а</w:t>
        </w:r>
        <w:r w:rsidR="00171F00">
          <w:rPr>
            <w:rStyle w:val="Hyperlink"/>
            <w:rFonts w:cs="Arial"/>
            <w:szCs w:val="24"/>
          </w:rPr>
          <w:t>з</w:t>
        </w:r>
        <w:r w:rsidR="00A56E08">
          <w:rPr>
            <w:rStyle w:val="Hyperlink"/>
            <w:rFonts w:cs="Arial"/>
            <w:szCs w:val="24"/>
          </w:rPr>
          <w:t>о</w:t>
        </w:r>
        <w:r>
          <w:rPr>
            <w:rStyle w:val="Hyperlink"/>
            <w:rFonts w:cs="Arial"/>
            <w:szCs w:val="24"/>
          </w:rPr>
          <w:t>в</w:t>
        </w:r>
        <w:r w:rsidR="00A56E08">
          <w:rPr>
            <w:rStyle w:val="Hyperlink"/>
            <w:rFonts w:cs="Arial"/>
            <w:szCs w:val="24"/>
          </w:rPr>
          <w:t>ањ</w:t>
        </w:r>
        <w:r w:rsidR="00EE6AA2">
          <w:rPr>
            <w:rStyle w:val="Hyperlink"/>
            <w:rFonts w:cs="Arial"/>
            <w:szCs w:val="24"/>
          </w:rPr>
          <w:t>е</w:t>
        </w:r>
        <w:r w:rsidR="0019451B" w:rsidRPr="00F6340E">
          <w:rPr>
            <w:rStyle w:val="Hyperlink"/>
            <w:rFonts w:cs="Arial"/>
            <w:szCs w:val="24"/>
          </w:rPr>
          <w:t xml:space="preserve"> (2021-2027)</w:t>
        </w:r>
      </w:hyperlink>
      <w:r w:rsidR="001F1070" w:rsidRPr="00F6340E">
        <w:rPr>
          <w:rStyle w:val="y2iqfc"/>
          <w:rFonts w:cs="Arial"/>
          <w:color w:val="000000" w:themeColor="text1"/>
          <w:szCs w:val="24"/>
        </w:rPr>
        <w:t xml:space="preserve">, </w:t>
      </w:r>
      <w:r w:rsidR="00A56E08">
        <w:rPr>
          <w:rStyle w:val="y2iqfc"/>
          <w:rFonts w:cs="Arial"/>
          <w:color w:val="000000" w:themeColor="text1"/>
          <w:szCs w:val="24"/>
        </w:rPr>
        <w:t>који</w:t>
      </w:r>
      <w:r w:rsidR="001F1070" w:rsidRPr="00F6340E">
        <w:rPr>
          <w:rStyle w:val="y2iqfc"/>
          <w:rFonts w:cs="Arial"/>
          <w:color w:val="000000" w:themeColor="text1"/>
          <w:szCs w:val="24"/>
        </w:rPr>
        <w:t xml:space="preserve"> </w:t>
      </w:r>
      <w:r>
        <w:rPr>
          <w:rStyle w:val="y2iqfc"/>
          <w:rFonts w:cs="Arial"/>
          <w:color w:val="000000" w:themeColor="text1"/>
          <w:szCs w:val="24"/>
        </w:rPr>
        <w:t>пр</w:t>
      </w:r>
      <w:r w:rsidR="00EE6AA2">
        <w:rPr>
          <w:rStyle w:val="y2iqfc"/>
          <w:rFonts w:cs="Arial"/>
          <w:color w:val="000000" w:themeColor="text1"/>
          <w:szCs w:val="24"/>
        </w:rPr>
        <w:t>е</w:t>
      </w:r>
      <w:r w:rsidR="00A56E08">
        <w:rPr>
          <w:rStyle w:val="y2iqfc"/>
          <w:rFonts w:cs="Arial"/>
          <w:color w:val="000000" w:themeColor="text1"/>
          <w:szCs w:val="24"/>
        </w:rPr>
        <w:t>д</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ља</w:t>
      </w:r>
      <w:r w:rsidR="0019451B" w:rsidRPr="00F6340E">
        <w:rPr>
          <w:rStyle w:val="y2iqfc"/>
          <w:rFonts w:cs="Arial"/>
          <w:color w:val="000000" w:themeColor="text1"/>
          <w:szCs w:val="24"/>
        </w:rPr>
        <w:t xml:space="preserve"> </w:t>
      </w:r>
      <w:r w:rsidR="00A56E08">
        <w:rPr>
          <w:rStyle w:val="y2iqfc"/>
          <w:rFonts w:cs="Arial"/>
          <w:color w:val="000000" w:themeColor="text1"/>
          <w:szCs w:val="24"/>
        </w:rPr>
        <w:t>обно</w:t>
      </w:r>
      <w:r>
        <w:rPr>
          <w:rStyle w:val="y2iqfc"/>
          <w:rFonts w:cs="Arial"/>
          <w:color w:val="000000" w:themeColor="text1"/>
          <w:szCs w:val="24"/>
        </w:rPr>
        <w:t>в</w:t>
      </w:r>
      <w:r w:rsidR="00A56E08">
        <w:rPr>
          <w:rStyle w:val="y2iqfc"/>
          <w:rFonts w:cs="Arial"/>
          <w:color w:val="000000" w:themeColor="text1"/>
          <w:szCs w:val="24"/>
        </w:rPr>
        <w:t>љ</w:t>
      </w:r>
      <w:r w:rsidR="00EE6AA2">
        <w:rPr>
          <w:rStyle w:val="y2iqfc"/>
          <w:rFonts w:cs="Arial"/>
          <w:color w:val="000000" w:themeColor="text1"/>
          <w:szCs w:val="24"/>
        </w:rPr>
        <w:t>е</w:t>
      </w:r>
      <w:r w:rsidR="00A56E08">
        <w:rPr>
          <w:rStyle w:val="y2iqfc"/>
          <w:rFonts w:cs="Arial"/>
          <w:color w:val="000000" w:themeColor="text1"/>
          <w:szCs w:val="24"/>
        </w:rPr>
        <w:t>н</w:t>
      </w:r>
      <w:r>
        <w:rPr>
          <w:rStyle w:val="y2iqfc"/>
          <w:rFonts w:cs="Arial"/>
          <w:color w:val="000000" w:themeColor="text1"/>
          <w:szCs w:val="24"/>
        </w:rPr>
        <w:t>у</w:t>
      </w:r>
      <w:r w:rsidR="0019451B" w:rsidRPr="00F6340E">
        <w:rPr>
          <w:rStyle w:val="y2iqfc"/>
          <w:rFonts w:cs="Arial"/>
          <w:color w:val="000000" w:themeColor="text1"/>
          <w:szCs w:val="24"/>
        </w:rPr>
        <w:t xml:space="preserve"> </w:t>
      </w:r>
      <w:r w:rsidR="00A56E08">
        <w:rPr>
          <w:rStyle w:val="y2iqfc"/>
          <w:rFonts w:cs="Arial"/>
          <w:color w:val="000000" w:themeColor="text1"/>
          <w:szCs w:val="24"/>
        </w:rPr>
        <w:t>иниција</w:t>
      </w:r>
      <w:r>
        <w:rPr>
          <w:rStyle w:val="y2iqfc"/>
          <w:rFonts w:cs="Arial"/>
          <w:color w:val="000000" w:themeColor="text1"/>
          <w:szCs w:val="24"/>
        </w:rPr>
        <w:t>т</w:t>
      </w:r>
      <w:r w:rsidR="00A56E08">
        <w:rPr>
          <w:rStyle w:val="y2iqfc"/>
          <w:rFonts w:cs="Arial"/>
          <w:color w:val="000000" w:themeColor="text1"/>
          <w:szCs w:val="24"/>
        </w:rPr>
        <w:t>и</w:t>
      </w:r>
      <w:r>
        <w:rPr>
          <w:rStyle w:val="y2iqfc"/>
          <w:rFonts w:cs="Arial"/>
          <w:color w:val="000000" w:themeColor="text1"/>
          <w:szCs w:val="24"/>
        </w:rPr>
        <w:t>ву</w:t>
      </w:r>
      <w:r w:rsidR="0019451B"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оли</w:t>
      </w:r>
      <w:r>
        <w:rPr>
          <w:rStyle w:val="y2iqfc"/>
          <w:rFonts w:cs="Arial"/>
          <w:color w:val="000000" w:themeColor="text1"/>
          <w:szCs w:val="24"/>
        </w:rPr>
        <w:t>т</w:t>
      </w:r>
      <w:r w:rsidR="00A56E08">
        <w:rPr>
          <w:rStyle w:val="y2iqfc"/>
          <w:rFonts w:cs="Arial"/>
          <w:color w:val="000000" w:themeColor="text1"/>
          <w:szCs w:val="24"/>
        </w:rPr>
        <w:t>ик</w:t>
      </w:r>
      <w:r w:rsidR="00EE6AA2">
        <w:rPr>
          <w:rStyle w:val="y2iqfc"/>
          <w:rFonts w:cs="Arial"/>
          <w:color w:val="000000" w:themeColor="text1"/>
          <w:szCs w:val="24"/>
        </w:rPr>
        <w:t>е</w:t>
      </w:r>
      <w:r w:rsidR="0019451B" w:rsidRPr="00F6340E">
        <w:rPr>
          <w:rStyle w:val="y2iqfc"/>
          <w:rFonts w:cs="Arial"/>
          <w:color w:val="000000" w:themeColor="text1"/>
          <w:szCs w:val="24"/>
        </w:rPr>
        <w:t xml:space="preserve"> </w:t>
      </w:r>
      <w:r w:rsidR="00EE6AA2">
        <w:rPr>
          <w:rStyle w:val="y2iqfc"/>
          <w:rFonts w:cs="Arial"/>
          <w:color w:val="000000" w:themeColor="text1"/>
          <w:szCs w:val="24"/>
        </w:rPr>
        <w:t>Е</w:t>
      </w:r>
      <w:r>
        <w:rPr>
          <w:rStyle w:val="y2iqfc"/>
          <w:rFonts w:cs="Arial"/>
          <w:color w:val="000000" w:themeColor="text1"/>
          <w:szCs w:val="24"/>
        </w:rPr>
        <w:t>вр</w:t>
      </w:r>
      <w:r w:rsidR="00A56E08">
        <w:rPr>
          <w:rStyle w:val="y2iqfc"/>
          <w:rFonts w:cs="Arial"/>
          <w:color w:val="000000" w:themeColor="text1"/>
          <w:szCs w:val="24"/>
        </w:rPr>
        <w:t>о</w:t>
      </w:r>
      <w:r>
        <w:rPr>
          <w:rStyle w:val="y2iqfc"/>
          <w:rFonts w:cs="Arial"/>
          <w:color w:val="000000" w:themeColor="text1"/>
          <w:szCs w:val="24"/>
        </w:rPr>
        <w:t>пс</w:t>
      </w:r>
      <w:r w:rsidR="00A56E08">
        <w:rPr>
          <w:rStyle w:val="y2iqfc"/>
          <w:rFonts w:cs="Arial"/>
          <w:color w:val="000000" w:themeColor="text1"/>
          <w:szCs w:val="24"/>
        </w:rPr>
        <w:t>к</w:t>
      </w:r>
      <w:r w:rsidR="00EE6AA2">
        <w:rPr>
          <w:rStyle w:val="y2iqfc"/>
          <w:rFonts w:cs="Arial"/>
          <w:color w:val="000000" w:themeColor="text1"/>
          <w:szCs w:val="24"/>
        </w:rPr>
        <w:t>е</w:t>
      </w:r>
      <w:r w:rsidR="0019451B"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ниј</w:t>
      </w:r>
      <w:r w:rsidR="00EE6AA2">
        <w:rPr>
          <w:rStyle w:val="y2iqfc"/>
          <w:rFonts w:cs="Arial"/>
          <w:color w:val="000000" w:themeColor="text1"/>
          <w:szCs w:val="24"/>
        </w:rPr>
        <w:t>е</w:t>
      </w:r>
      <w:r w:rsidR="0019451B" w:rsidRPr="00F6340E">
        <w:rPr>
          <w:rStyle w:val="y2iqfc"/>
          <w:rFonts w:cs="Arial"/>
          <w:color w:val="000000" w:themeColor="text1"/>
          <w:szCs w:val="24"/>
        </w:rPr>
        <w:t xml:space="preserve"> (</w:t>
      </w:r>
      <w:r w:rsidR="00EE6AA2">
        <w:rPr>
          <w:rStyle w:val="y2iqfc"/>
          <w:rFonts w:cs="Arial"/>
          <w:color w:val="000000" w:themeColor="text1"/>
          <w:szCs w:val="24"/>
        </w:rPr>
        <w:t>Е</w:t>
      </w:r>
      <w:r>
        <w:rPr>
          <w:rStyle w:val="y2iqfc"/>
          <w:rFonts w:cs="Arial"/>
          <w:color w:val="000000" w:themeColor="text1"/>
          <w:szCs w:val="24"/>
        </w:rPr>
        <w:t>У</w:t>
      </w:r>
      <w:r w:rsidR="0019451B" w:rsidRPr="00F6340E">
        <w:rPr>
          <w:rStyle w:val="y2iqfc"/>
          <w:rFonts w:cs="Arial"/>
          <w:color w:val="000000" w:themeColor="text1"/>
          <w:szCs w:val="24"/>
        </w:rPr>
        <w:t xml:space="preserve">) </w:t>
      </w:r>
      <w:r w:rsidR="00A56E08">
        <w:rPr>
          <w:rStyle w:val="y2iqfc"/>
          <w:rFonts w:cs="Arial"/>
          <w:color w:val="000000" w:themeColor="text1"/>
          <w:szCs w:val="24"/>
        </w:rPr>
        <w:t>која</w:t>
      </w:r>
      <w:r w:rsidR="0019451B"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ља</w:t>
      </w:r>
      <w:r w:rsidR="0019451B"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ај</w:t>
      </w:r>
      <w:r w:rsidR="00EE6AA2">
        <w:rPr>
          <w:rStyle w:val="y2iqfc"/>
          <w:rFonts w:cs="Arial"/>
          <w:color w:val="000000" w:themeColor="text1"/>
          <w:szCs w:val="24"/>
        </w:rPr>
        <w:t>е</w:t>
      </w:r>
      <w:r w:rsidR="00A56E08">
        <w:rPr>
          <w:rStyle w:val="y2iqfc"/>
          <w:rFonts w:cs="Arial"/>
          <w:color w:val="000000" w:themeColor="text1"/>
          <w:szCs w:val="24"/>
        </w:rPr>
        <w:t>дничк</w:t>
      </w:r>
      <w:r>
        <w:rPr>
          <w:rStyle w:val="y2iqfc"/>
          <w:rFonts w:cs="Arial"/>
          <w:color w:val="000000" w:themeColor="text1"/>
          <w:szCs w:val="24"/>
        </w:rPr>
        <w:t>у</w:t>
      </w:r>
      <w:r w:rsidR="0019451B" w:rsidRPr="00F6340E">
        <w:rPr>
          <w:rStyle w:val="y2iqfc"/>
          <w:rFonts w:cs="Arial"/>
          <w:color w:val="000000" w:themeColor="text1"/>
          <w:szCs w:val="24"/>
        </w:rPr>
        <w:t xml:space="preserve"> </w:t>
      </w:r>
      <w:r>
        <w:rPr>
          <w:rStyle w:val="y2iqfc"/>
          <w:rFonts w:cs="Arial"/>
          <w:color w:val="000000" w:themeColor="text1"/>
          <w:szCs w:val="24"/>
        </w:rPr>
        <w:t>в</w:t>
      </w:r>
      <w:r w:rsidR="00A56E08">
        <w:rPr>
          <w:rStyle w:val="y2iqfc"/>
          <w:rFonts w:cs="Arial"/>
          <w:color w:val="000000" w:themeColor="text1"/>
          <w:szCs w:val="24"/>
        </w:rPr>
        <w:t>и</w:t>
      </w:r>
      <w:r w:rsidR="00171F00">
        <w:rPr>
          <w:rStyle w:val="y2iqfc"/>
          <w:rFonts w:cs="Arial"/>
          <w:color w:val="000000" w:themeColor="text1"/>
          <w:szCs w:val="24"/>
        </w:rPr>
        <w:t>з</w:t>
      </w:r>
      <w:r w:rsidR="00A56E08">
        <w:rPr>
          <w:rStyle w:val="y2iqfc"/>
          <w:rFonts w:cs="Arial"/>
          <w:color w:val="000000" w:themeColor="text1"/>
          <w:szCs w:val="24"/>
        </w:rPr>
        <w:t>иј</w:t>
      </w:r>
      <w:r>
        <w:rPr>
          <w:rStyle w:val="y2iqfc"/>
          <w:rFonts w:cs="Arial"/>
          <w:color w:val="000000" w:themeColor="text1"/>
          <w:szCs w:val="24"/>
        </w:rPr>
        <w:t>у</w:t>
      </w:r>
      <w:r w:rsidR="0019451B" w:rsidRPr="00F6340E">
        <w:rPr>
          <w:rStyle w:val="y2iqfc"/>
          <w:rFonts w:cs="Arial"/>
          <w:color w:val="000000" w:themeColor="text1"/>
          <w:szCs w:val="24"/>
        </w:rPr>
        <w:t xml:space="preserve"> </w:t>
      </w:r>
      <w:r>
        <w:rPr>
          <w:rStyle w:val="y2iqfc"/>
          <w:rFonts w:cs="Arial"/>
          <w:color w:val="000000" w:themeColor="text1"/>
          <w:szCs w:val="24"/>
        </w:rPr>
        <w:t>в</w:t>
      </w:r>
      <w:r w:rsidR="00A56E08">
        <w:rPr>
          <w:rStyle w:val="y2iqfc"/>
          <w:rFonts w:cs="Arial"/>
          <w:color w:val="000000" w:themeColor="text1"/>
          <w:szCs w:val="24"/>
        </w:rPr>
        <w:t>и</w:t>
      </w:r>
      <w:r>
        <w:rPr>
          <w:rStyle w:val="y2iqfc"/>
          <w:rFonts w:cs="Arial"/>
          <w:color w:val="000000" w:themeColor="text1"/>
          <w:szCs w:val="24"/>
        </w:rPr>
        <w:t>с</w:t>
      </w:r>
      <w:r w:rsidR="00A56E08">
        <w:rPr>
          <w:rStyle w:val="y2iqfc"/>
          <w:rFonts w:cs="Arial"/>
          <w:color w:val="000000" w:themeColor="text1"/>
          <w:szCs w:val="24"/>
        </w:rPr>
        <w:t>окок</w:t>
      </w:r>
      <w:r>
        <w:rPr>
          <w:rStyle w:val="y2iqfc"/>
          <w:rFonts w:cs="Arial"/>
          <w:color w:val="000000" w:themeColor="text1"/>
          <w:szCs w:val="24"/>
        </w:rPr>
        <w:t>в</w:t>
      </w:r>
      <w:r w:rsidR="00A56E08">
        <w:rPr>
          <w:rStyle w:val="y2iqfc"/>
          <w:rFonts w:cs="Arial"/>
          <w:color w:val="000000" w:themeColor="text1"/>
          <w:szCs w:val="24"/>
        </w:rPr>
        <w:t>али</w:t>
      </w:r>
      <w:r>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т</w:t>
      </w:r>
      <w:r w:rsidR="00A56E08">
        <w:rPr>
          <w:rStyle w:val="y2iqfc"/>
          <w:rFonts w:cs="Arial"/>
          <w:color w:val="000000" w:themeColor="text1"/>
          <w:szCs w:val="24"/>
        </w:rPr>
        <w:t>ног</w:t>
      </w:r>
      <w:r w:rsidR="0019451B" w:rsidRPr="00F6340E">
        <w:rPr>
          <w:rStyle w:val="y2iqfc"/>
          <w:rFonts w:cs="Arial"/>
          <w:color w:val="000000" w:themeColor="text1"/>
          <w:szCs w:val="24"/>
        </w:rPr>
        <w:t xml:space="preserve">, </w:t>
      </w:r>
      <w:r w:rsidR="00A56E08">
        <w:rPr>
          <w:rStyle w:val="y2iqfc"/>
          <w:rFonts w:cs="Arial"/>
          <w:color w:val="000000" w:themeColor="text1"/>
          <w:szCs w:val="24"/>
        </w:rPr>
        <w:t>инкл</w:t>
      </w:r>
      <w:r>
        <w:rPr>
          <w:rStyle w:val="y2iqfc"/>
          <w:rFonts w:cs="Arial"/>
          <w:color w:val="000000" w:themeColor="text1"/>
          <w:szCs w:val="24"/>
        </w:rPr>
        <w:t>у</w:t>
      </w:r>
      <w:r w:rsidR="00171F00">
        <w:rPr>
          <w:rStyle w:val="y2iqfc"/>
          <w:rFonts w:cs="Arial"/>
          <w:color w:val="000000" w:themeColor="text1"/>
          <w:szCs w:val="24"/>
        </w:rPr>
        <w:t>з</w:t>
      </w:r>
      <w:r w:rsidR="00A56E08">
        <w:rPr>
          <w:rStyle w:val="y2iqfc"/>
          <w:rFonts w:cs="Arial"/>
          <w:color w:val="000000" w:themeColor="text1"/>
          <w:szCs w:val="24"/>
        </w:rPr>
        <w:t>и</w:t>
      </w:r>
      <w:r>
        <w:rPr>
          <w:rStyle w:val="y2iqfc"/>
          <w:rFonts w:cs="Arial"/>
          <w:color w:val="000000" w:themeColor="text1"/>
          <w:szCs w:val="24"/>
        </w:rPr>
        <w:t>в</w:t>
      </w:r>
      <w:r w:rsidR="00A56E08">
        <w:rPr>
          <w:rStyle w:val="y2iqfc"/>
          <w:rFonts w:cs="Arial"/>
          <w:color w:val="000000" w:themeColor="text1"/>
          <w:szCs w:val="24"/>
        </w:rPr>
        <w:t>ног</w:t>
      </w:r>
      <w:r w:rsidR="0019451B" w:rsidRPr="00F6340E">
        <w:rPr>
          <w:rStyle w:val="y2iqfc"/>
          <w:rFonts w:cs="Arial"/>
          <w:color w:val="000000" w:themeColor="text1"/>
          <w:szCs w:val="24"/>
        </w:rPr>
        <w:t xml:space="preserve"> </w:t>
      </w:r>
      <w:r w:rsidR="00A56E08">
        <w:rPr>
          <w:rStyle w:val="y2iqfc"/>
          <w:rFonts w:cs="Arial"/>
          <w:color w:val="000000" w:themeColor="text1"/>
          <w:szCs w:val="24"/>
        </w:rPr>
        <w:t>и</w:t>
      </w:r>
      <w:r w:rsidR="0019451B"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и</w:t>
      </w:r>
      <w:r>
        <w:rPr>
          <w:rStyle w:val="y2iqfc"/>
          <w:rFonts w:cs="Arial"/>
          <w:color w:val="000000" w:themeColor="text1"/>
          <w:szCs w:val="24"/>
        </w:rPr>
        <w:t>ступ</w:t>
      </w:r>
      <w:r w:rsidR="00A56E08">
        <w:rPr>
          <w:rStyle w:val="y2iqfc"/>
          <w:rFonts w:cs="Arial"/>
          <w:color w:val="000000" w:themeColor="text1"/>
          <w:szCs w:val="24"/>
        </w:rPr>
        <w:t>ачног</w:t>
      </w:r>
      <w:r w:rsidR="0019451B"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алног</w:t>
      </w:r>
      <w:r w:rsidR="0019451B"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ања</w:t>
      </w:r>
      <w:r w:rsidR="0019451B" w:rsidRPr="00F6340E">
        <w:rPr>
          <w:rStyle w:val="y2iqfc"/>
          <w:rFonts w:cs="Arial"/>
          <w:color w:val="000000" w:themeColor="text1"/>
          <w:szCs w:val="24"/>
        </w:rPr>
        <w:t xml:space="preserve"> </w:t>
      </w:r>
      <w:r>
        <w:rPr>
          <w:rStyle w:val="y2iqfc"/>
          <w:rFonts w:cs="Arial"/>
          <w:color w:val="000000" w:themeColor="text1"/>
          <w:szCs w:val="24"/>
        </w:rPr>
        <w:t>у</w:t>
      </w:r>
      <w:r w:rsidR="0019451B" w:rsidRPr="00F6340E">
        <w:rPr>
          <w:rStyle w:val="y2iqfc"/>
          <w:rFonts w:cs="Arial"/>
          <w:color w:val="000000" w:themeColor="text1"/>
          <w:szCs w:val="24"/>
        </w:rPr>
        <w:t xml:space="preserve"> </w:t>
      </w:r>
      <w:r w:rsidR="00EE6AA2">
        <w:rPr>
          <w:rStyle w:val="y2iqfc"/>
          <w:rFonts w:cs="Arial"/>
          <w:color w:val="000000" w:themeColor="text1"/>
          <w:szCs w:val="24"/>
        </w:rPr>
        <w:t>Е</w:t>
      </w:r>
      <w:r>
        <w:rPr>
          <w:rStyle w:val="y2iqfc"/>
          <w:rFonts w:cs="Arial"/>
          <w:color w:val="000000" w:themeColor="text1"/>
          <w:szCs w:val="24"/>
        </w:rPr>
        <w:t>вр</w:t>
      </w:r>
      <w:r w:rsidR="00A56E08">
        <w:rPr>
          <w:rStyle w:val="y2iqfc"/>
          <w:rFonts w:cs="Arial"/>
          <w:color w:val="000000" w:themeColor="text1"/>
          <w:szCs w:val="24"/>
        </w:rPr>
        <w:t>о</w:t>
      </w:r>
      <w:r>
        <w:rPr>
          <w:rStyle w:val="y2iqfc"/>
          <w:rFonts w:cs="Arial"/>
          <w:color w:val="000000" w:themeColor="text1"/>
          <w:szCs w:val="24"/>
        </w:rPr>
        <w:t>п</w:t>
      </w:r>
      <w:r w:rsidR="00A56E08">
        <w:rPr>
          <w:rStyle w:val="y2iqfc"/>
          <w:rFonts w:cs="Arial"/>
          <w:color w:val="000000" w:themeColor="text1"/>
          <w:szCs w:val="24"/>
        </w:rPr>
        <w:t>и</w:t>
      </w:r>
      <w:r w:rsidR="0019451B" w:rsidRPr="00F6340E">
        <w:rPr>
          <w:rStyle w:val="y2iqfc"/>
          <w:rFonts w:cs="Arial"/>
          <w:color w:val="000000" w:themeColor="text1"/>
          <w:szCs w:val="24"/>
        </w:rPr>
        <w:t xml:space="preserve">, </w:t>
      </w:r>
      <w:r w:rsidR="00A56E08">
        <w:rPr>
          <w:rStyle w:val="y2iqfc"/>
          <w:rFonts w:cs="Arial"/>
          <w:color w:val="000000" w:themeColor="text1"/>
          <w:szCs w:val="24"/>
        </w:rPr>
        <w:t>а</w:t>
      </w:r>
      <w:r w:rsidR="0019451B" w:rsidRPr="00F6340E">
        <w:rPr>
          <w:rStyle w:val="y2iqfc"/>
          <w:rFonts w:cs="Arial"/>
          <w:color w:val="000000" w:themeColor="text1"/>
          <w:szCs w:val="24"/>
        </w:rPr>
        <w:t xml:space="preserve"> </w:t>
      </w:r>
      <w:r w:rsidR="00A56E08">
        <w:rPr>
          <w:rStyle w:val="y2iqfc"/>
          <w:rFonts w:cs="Arial"/>
          <w:color w:val="000000" w:themeColor="text1"/>
          <w:szCs w:val="24"/>
        </w:rPr>
        <w:t>има</w:t>
      </w:r>
      <w:r w:rsidR="0019451B"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19451B" w:rsidRPr="00F6340E">
        <w:rPr>
          <w:rStyle w:val="y2iqfc"/>
          <w:rFonts w:cs="Arial"/>
          <w:color w:val="000000" w:themeColor="text1"/>
          <w:szCs w:val="24"/>
        </w:rPr>
        <w:t xml:space="preserve"> </w:t>
      </w:r>
      <w:r w:rsidR="00A56E08">
        <w:rPr>
          <w:rStyle w:val="y2iqfc"/>
          <w:rFonts w:cs="Arial"/>
          <w:color w:val="000000" w:themeColor="text1"/>
          <w:szCs w:val="24"/>
        </w:rPr>
        <w:t>циљ</w:t>
      </w:r>
      <w:r w:rsidR="0019451B"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од</w:t>
      </w:r>
      <w:r>
        <w:rPr>
          <w:rStyle w:val="y2iqfc"/>
          <w:rFonts w:cs="Arial"/>
          <w:color w:val="000000" w:themeColor="text1"/>
          <w:szCs w:val="24"/>
        </w:rPr>
        <w:t>р</w:t>
      </w:r>
      <w:r w:rsidR="00171F00">
        <w:rPr>
          <w:rStyle w:val="y2iqfc"/>
          <w:rFonts w:cs="Arial"/>
          <w:color w:val="000000" w:themeColor="text1"/>
          <w:szCs w:val="24"/>
        </w:rPr>
        <w:t>ж</w:t>
      </w:r>
      <w:r w:rsidR="00A56E08">
        <w:rPr>
          <w:rStyle w:val="y2iqfc"/>
          <w:rFonts w:cs="Arial"/>
          <w:color w:val="000000" w:themeColor="text1"/>
          <w:szCs w:val="24"/>
        </w:rPr>
        <w:t>а</w:t>
      </w:r>
      <w:r>
        <w:rPr>
          <w:rStyle w:val="y2iqfc"/>
          <w:rFonts w:cs="Arial"/>
          <w:color w:val="000000" w:themeColor="text1"/>
          <w:szCs w:val="24"/>
        </w:rPr>
        <w:t>т</w:t>
      </w:r>
      <w:r w:rsidR="00A56E08">
        <w:rPr>
          <w:rStyle w:val="y2iqfc"/>
          <w:rFonts w:cs="Arial"/>
          <w:color w:val="000000" w:themeColor="text1"/>
          <w:szCs w:val="24"/>
        </w:rPr>
        <w:t>и</w:t>
      </w:r>
      <w:r w:rsidR="0019451B"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илагођа</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19451B"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них</w:t>
      </w:r>
      <w:r w:rsidR="001F1070" w:rsidRPr="00F6340E">
        <w:rPr>
          <w:rStyle w:val="y2iqfc"/>
          <w:rFonts w:cs="Arial"/>
          <w:color w:val="000000" w:themeColor="text1"/>
          <w:szCs w:val="24"/>
        </w:rPr>
        <w:t xml:space="preserve"> </w:t>
      </w:r>
      <w:r>
        <w:rPr>
          <w:rStyle w:val="y2iqfc"/>
          <w:rFonts w:cs="Arial"/>
          <w:color w:val="000000" w:themeColor="text1"/>
          <w:szCs w:val="24"/>
        </w:rPr>
        <w:t>с</w:t>
      </w:r>
      <w:r w:rsidR="00A56E08">
        <w:rPr>
          <w:rStyle w:val="y2iqfc"/>
          <w:rFonts w:cs="Arial"/>
          <w:color w:val="000000" w:themeColor="text1"/>
          <w:szCs w:val="24"/>
        </w:rPr>
        <w:t>и</w:t>
      </w:r>
      <w:r>
        <w:rPr>
          <w:rStyle w:val="y2iqfc"/>
          <w:rFonts w:cs="Arial"/>
          <w:color w:val="000000" w:themeColor="text1"/>
          <w:szCs w:val="24"/>
        </w:rPr>
        <w:t>ст</w:t>
      </w:r>
      <w:r w:rsidR="00EE6AA2">
        <w:rPr>
          <w:rStyle w:val="y2iqfc"/>
          <w:rFonts w:cs="Arial"/>
          <w:color w:val="000000" w:themeColor="text1"/>
          <w:szCs w:val="24"/>
        </w:rPr>
        <w:t>е</w:t>
      </w:r>
      <w:r w:rsidR="00A56E08">
        <w:rPr>
          <w:rStyle w:val="y2iqfc"/>
          <w:rFonts w:cs="Arial"/>
          <w:color w:val="000000" w:themeColor="text1"/>
          <w:szCs w:val="24"/>
        </w:rPr>
        <w:t>ма</w:t>
      </w:r>
      <w:r w:rsidR="0019451B" w:rsidRPr="00F6340E">
        <w:rPr>
          <w:rStyle w:val="y2iqfc"/>
          <w:rFonts w:cs="Arial"/>
          <w:color w:val="000000" w:themeColor="text1"/>
          <w:szCs w:val="24"/>
        </w:rPr>
        <w:t xml:space="preserve"> </w:t>
      </w:r>
      <w:r w:rsidR="00A56E08">
        <w:rPr>
          <w:rStyle w:val="y2iqfc"/>
          <w:rFonts w:cs="Arial"/>
          <w:color w:val="000000" w:themeColor="text1"/>
          <w:szCs w:val="24"/>
        </w:rPr>
        <w:t>д</w:t>
      </w:r>
      <w:r>
        <w:rPr>
          <w:rStyle w:val="y2iqfc"/>
          <w:rFonts w:cs="Arial"/>
          <w:color w:val="000000" w:themeColor="text1"/>
          <w:szCs w:val="24"/>
        </w:rPr>
        <w:t>р</w:t>
      </w:r>
      <w:r w:rsidR="00171F00">
        <w:rPr>
          <w:rStyle w:val="y2iqfc"/>
          <w:rFonts w:cs="Arial"/>
          <w:color w:val="000000" w:themeColor="text1"/>
          <w:szCs w:val="24"/>
        </w:rPr>
        <w:t>ж</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а</w:t>
      </w:r>
      <w:r w:rsidR="0019451B" w:rsidRPr="00F6340E">
        <w:rPr>
          <w:rStyle w:val="y2iqfc"/>
          <w:rFonts w:cs="Arial"/>
          <w:color w:val="000000" w:themeColor="text1"/>
          <w:szCs w:val="24"/>
        </w:rPr>
        <w:t xml:space="preserve"> </w:t>
      </w:r>
      <w:r w:rsidR="00A56E08">
        <w:rPr>
          <w:rStyle w:val="y2iqfc"/>
          <w:rFonts w:cs="Arial"/>
          <w:color w:val="000000" w:themeColor="text1"/>
          <w:szCs w:val="24"/>
        </w:rPr>
        <w:t>чланица</w:t>
      </w:r>
      <w:r w:rsidR="0019451B"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алном</w:t>
      </w:r>
      <w:r w:rsidR="0019451B" w:rsidRPr="00F6340E">
        <w:rPr>
          <w:rStyle w:val="y2iqfc"/>
          <w:rFonts w:cs="Arial"/>
          <w:color w:val="000000" w:themeColor="text1"/>
          <w:szCs w:val="24"/>
        </w:rPr>
        <w:t xml:space="preserve"> </w:t>
      </w:r>
      <w:r w:rsidR="00A56E08">
        <w:rPr>
          <w:rStyle w:val="y2iqfc"/>
          <w:rFonts w:cs="Arial"/>
          <w:color w:val="000000" w:themeColor="text1"/>
          <w:szCs w:val="24"/>
        </w:rPr>
        <w:t>доб</w:t>
      </w:r>
      <w:r>
        <w:rPr>
          <w:rStyle w:val="y2iqfc"/>
          <w:rFonts w:cs="Arial"/>
          <w:color w:val="000000" w:themeColor="text1"/>
          <w:szCs w:val="24"/>
        </w:rPr>
        <w:t>у</w:t>
      </w:r>
      <w:r w:rsidR="001F1070" w:rsidRPr="00F6340E">
        <w:rPr>
          <w:rStyle w:val="y2iqfc"/>
          <w:rFonts w:cs="Arial"/>
          <w:color w:val="000000" w:themeColor="text1"/>
          <w:szCs w:val="24"/>
        </w:rPr>
        <w:t>.</w:t>
      </w:r>
      <w:r w:rsidR="00FA578D" w:rsidRPr="00F6340E">
        <w:rPr>
          <w:rStyle w:val="FootnoteReference"/>
          <w:rFonts w:cs="Arial"/>
          <w:color w:val="000000" w:themeColor="text1"/>
          <w:szCs w:val="24"/>
        </w:rPr>
        <w:footnoteReference w:id="17"/>
      </w:r>
      <w:r w:rsidR="00EC1296" w:rsidRPr="00F6340E">
        <w:rPr>
          <w:rStyle w:val="y2iqfc"/>
          <w:rFonts w:cs="Arial"/>
          <w:color w:val="000000" w:themeColor="text1"/>
          <w:szCs w:val="24"/>
        </w:rPr>
        <w:t xml:space="preserve"> </w:t>
      </w:r>
      <w:r w:rsidR="00A56E08">
        <w:rPr>
          <w:rStyle w:val="y2iqfc"/>
          <w:rFonts w:cs="Arial"/>
          <w:color w:val="000000" w:themeColor="text1"/>
          <w:szCs w:val="24"/>
        </w:rPr>
        <w:t>Акционим</w:t>
      </w:r>
      <w:r w:rsidR="00EC1296"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ланом</w:t>
      </w:r>
      <w:r w:rsidR="00EC1296" w:rsidRPr="00F6340E">
        <w:rPr>
          <w:rStyle w:val="y2iqfc"/>
          <w:rFonts w:cs="Arial"/>
          <w:color w:val="000000" w:themeColor="text1"/>
          <w:szCs w:val="24"/>
        </w:rPr>
        <w:t xml:space="preserve"> </w:t>
      </w:r>
      <w:r w:rsidR="00A56E08">
        <w:rPr>
          <w:rStyle w:val="y2iqfc"/>
          <w:rFonts w:cs="Arial"/>
          <w:color w:val="000000" w:themeColor="text1"/>
          <w:szCs w:val="24"/>
        </w:rPr>
        <w:t>д</w:t>
      </w:r>
      <w:r w:rsidR="00EE6AA2">
        <w:rPr>
          <w:rStyle w:val="y2iqfc"/>
          <w:rFonts w:cs="Arial"/>
          <w:color w:val="000000" w:themeColor="text1"/>
          <w:szCs w:val="24"/>
        </w:rPr>
        <w:t>е</w:t>
      </w:r>
      <w:r w:rsidR="00A56E08">
        <w:rPr>
          <w:rStyle w:val="y2iqfc"/>
          <w:rFonts w:cs="Arial"/>
          <w:color w:val="000000" w:themeColor="text1"/>
          <w:szCs w:val="24"/>
        </w:rPr>
        <w:t>фини</w:t>
      </w:r>
      <w:r>
        <w:rPr>
          <w:rStyle w:val="y2iqfc"/>
          <w:rFonts w:cs="Arial"/>
          <w:color w:val="000000" w:themeColor="text1"/>
          <w:szCs w:val="24"/>
        </w:rPr>
        <w:t>с</w:t>
      </w:r>
      <w:r w:rsidR="00A56E08">
        <w:rPr>
          <w:rStyle w:val="y2iqfc"/>
          <w:rFonts w:cs="Arial"/>
          <w:color w:val="000000" w:themeColor="text1"/>
          <w:szCs w:val="24"/>
        </w:rPr>
        <w:t>ана</w:t>
      </w:r>
      <w:r w:rsidR="00EC1296" w:rsidRPr="00F6340E">
        <w:rPr>
          <w:rStyle w:val="y2iqfc"/>
          <w:rFonts w:cs="Arial"/>
          <w:color w:val="000000" w:themeColor="text1"/>
          <w:szCs w:val="24"/>
        </w:rPr>
        <w:t xml:space="preserve"> </w:t>
      </w:r>
      <w:r>
        <w:rPr>
          <w:rStyle w:val="y2iqfc"/>
          <w:rFonts w:cs="Arial"/>
          <w:color w:val="000000" w:themeColor="text1"/>
          <w:szCs w:val="24"/>
        </w:rPr>
        <w:t>су</w:t>
      </w:r>
      <w:r w:rsidR="00EC1296" w:rsidRPr="00F6340E">
        <w:rPr>
          <w:rStyle w:val="y2iqfc"/>
          <w:rFonts w:cs="Arial"/>
          <w:color w:val="000000" w:themeColor="text1"/>
          <w:szCs w:val="24"/>
        </w:rPr>
        <w:t xml:space="preserve"> </w:t>
      </w:r>
      <w:r w:rsidR="00A56E08">
        <w:rPr>
          <w:rStyle w:val="y2iqfc"/>
          <w:rFonts w:cs="Arial"/>
          <w:color w:val="000000" w:themeColor="text1"/>
          <w:szCs w:val="24"/>
        </w:rPr>
        <w:t>д</w:t>
      </w:r>
      <w:r>
        <w:rPr>
          <w:rStyle w:val="y2iqfc"/>
          <w:rFonts w:cs="Arial"/>
          <w:color w:val="000000" w:themeColor="text1"/>
          <w:szCs w:val="24"/>
        </w:rPr>
        <w:t>в</w:t>
      </w:r>
      <w:r w:rsidR="00A56E08">
        <w:rPr>
          <w:rStyle w:val="y2iqfc"/>
          <w:rFonts w:cs="Arial"/>
          <w:color w:val="000000" w:themeColor="text1"/>
          <w:szCs w:val="24"/>
        </w:rPr>
        <w:t>а</w:t>
      </w:r>
      <w:r w:rsidR="00EC1296" w:rsidRPr="00F6340E">
        <w:rPr>
          <w:rStyle w:val="y2iqfc"/>
          <w:rFonts w:cs="Arial"/>
          <w:color w:val="000000" w:themeColor="text1"/>
          <w:szCs w:val="24"/>
        </w:rPr>
        <w:t xml:space="preserve"> </w:t>
      </w:r>
      <w:r>
        <w:rPr>
          <w:rStyle w:val="y2iqfc"/>
          <w:rFonts w:cs="Arial"/>
          <w:color w:val="000000" w:themeColor="text1"/>
          <w:szCs w:val="24"/>
        </w:rPr>
        <w:t>стр</w:t>
      </w:r>
      <w:r w:rsidR="00A56E08">
        <w:rPr>
          <w:rStyle w:val="y2iqfc"/>
          <w:rFonts w:cs="Arial"/>
          <w:color w:val="000000" w:themeColor="text1"/>
          <w:szCs w:val="24"/>
        </w:rPr>
        <w:t>а</w:t>
      </w:r>
      <w:r>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ш</w:t>
      </w:r>
      <w:r w:rsidR="00A56E08">
        <w:rPr>
          <w:rStyle w:val="y2iqfc"/>
          <w:rFonts w:cs="Arial"/>
          <w:color w:val="000000" w:themeColor="text1"/>
          <w:szCs w:val="24"/>
        </w:rPr>
        <w:t>ка</w:t>
      </w:r>
      <w:r w:rsidR="00EC1296"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ио</w:t>
      </w:r>
      <w:r>
        <w:rPr>
          <w:rStyle w:val="y2iqfc"/>
          <w:rFonts w:cs="Arial"/>
          <w:color w:val="000000" w:themeColor="text1"/>
          <w:szCs w:val="24"/>
        </w:rPr>
        <w:t>р</w:t>
      </w:r>
      <w:r w:rsidR="00A56E08">
        <w:rPr>
          <w:rStyle w:val="y2iqfc"/>
          <w:rFonts w:cs="Arial"/>
          <w:color w:val="000000" w:themeColor="text1"/>
          <w:szCs w:val="24"/>
        </w:rPr>
        <w:t>и</w:t>
      </w:r>
      <w:r>
        <w:rPr>
          <w:rStyle w:val="y2iqfc"/>
          <w:rFonts w:cs="Arial"/>
          <w:color w:val="000000" w:themeColor="text1"/>
          <w:szCs w:val="24"/>
        </w:rPr>
        <w:t>т</w:t>
      </w:r>
      <w:r w:rsidR="00EE6AA2">
        <w:rPr>
          <w:rStyle w:val="y2iqfc"/>
          <w:rFonts w:cs="Arial"/>
          <w:color w:val="000000" w:themeColor="text1"/>
          <w:szCs w:val="24"/>
        </w:rPr>
        <w:t>е</w:t>
      </w:r>
      <w:r>
        <w:rPr>
          <w:rStyle w:val="y2iqfc"/>
          <w:rFonts w:cs="Arial"/>
          <w:color w:val="000000" w:themeColor="text1"/>
          <w:szCs w:val="24"/>
        </w:rPr>
        <w:t>т</w:t>
      </w:r>
      <w:r w:rsidR="00A56E08">
        <w:rPr>
          <w:rStyle w:val="y2iqfc"/>
          <w:rFonts w:cs="Arial"/>
          <w:color w:val="000000" w:themeColor="text1"/>
          <w:szCs w:val="24"/>
        </w:rPr>
        <w:t>а</w:t>
      </w:r>
      <w:r w:rsidR="00756E38"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w:t>
      </w:r>
      <w:r>
        <w:rPr>
          <w:rStyle w:val="y2iqfc"/>
          <w:rFonts w:cs="Arial"/>
          <w:color w:val="000000" w:themeColor="text1"/>
          <w:szCs w:val="24"/>
        </w:rPr>
        <w:t>т</w:t>
      </w:r>
      <w:r w:rsidR="00A56E08">
        <w:rPr>
          <w:rStyle w:val="y2iqfc"/>
          <w:rFonts w:cs="Arial"/>
          <w:color w:val="000000" w:themeColor="text1"/>
          <w:szCs w:val="24"/>
        </w:rPr>
        <w:t>ицањ</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Pr>
          <w:rStyle w:val="y2iqfc"/>
          <w:rFonts w:cs="Arial"/>
          <w:color w:val="000000" w:themeColor="text1"/>
          <w:szCs w:val="24"/>
        </w:rPr>
        <w:t>в</w:t>
      </w:r>
      <w:r w:rsidR="00A56E08">
        <w:rPr>
          <w:rStyle w:val="y2iqfc"/>
          <w:rFonts w:cs="Arial"/>
          <w:color w:val="000000" w:themeColor="text1"/>
          <w:szCs w:val="24"/>
        </w:rPr>
        <w:t>оја</w:t>
      </w:r>
      <w:r w:rsidR="00756E38" w:rsidRPr="00F6340E">
        <w:rPr>
          <w:rStyle w:val="y2iqfc"/>
          <w:rFonts w:cs="Arial"/>
          <w:color w:val="000000" w:themeColor="text1"/>
          <w:szCs w:val="24"/>
        </w:rPr>
        <w:t xml:space="preserve"> </w:t>
      </w:r>
      <w:r w:rsidR="00EE6AA2">
        <w:rPr>
          <w:rStyle w:val="y2iqfc"/>
          <w:rFonts w:cs="Arial"/>
          <w:color w:val="000000" w:themeColor="text1"/>
          <w:szCs w:val="24"/>
        </w:rPr>
        <w:t>е</w:t>
      </w:r>
      <w:r w:rsidR="00A56E08">
        <w:rPr>
          <w:rStyle w:val="y2iqfc"/>
          <w:rFonts w:cs="Arial"/>
          <w:color w:val="000000" w:themeColor="text1"/>
          <w:szCs w:val="24"/>
        </w:rPr>
        <w:t>ко</w:t>
      </w:r>
      <w:r>
        <w:rPr>
          <w:rStyle w:val="y2iqfc"/>
          <w:rFonts w:cs="Arial"/>
          <w:color w:val="000000" w:themeColor="text1"/>
          <w:szCs w:val="24"/>
        </w:rPr>
        <w:t>с</w:t>
      </w:r>
      <w:r w:rsidR="00A56E08">
        <w:rPr>
          <w:rStyle w:val="y2iqfc"/>
          <w:rFonts w:cs="Arial"/>
          <w:color w:val="000000" w:themeColor="text1"/>
          <w:szCs w:val="24"/>
        </w:rPr>
        <w:t>и</w:t>
      </w:r>
      <w:r>
        <w:rPr>
          <w:rStyle w:val="y2iqfc"/>
          <w:rFonts w:cs="Arial"/>
          <w:color w:val="000000" w:themeColor="text1"/>
          <w:szCs w:val="24"/>
        </w:rPr>
        <w:t>ст</w:t>
      </w:r>
      <w:r w:rsidR="00EE6AA2">
        <w:rPr>
          <w:rStyle w:val="y2iqfc"/>
          <w:rFonts w:cs="Arial"/>
          <w:color w:val="000000" w:themeColor="text1"/>
          <w:szCs w:val="24"/>
        </w:rPr>
        <w:t>е</w:t>
      </w:r>
      <w:r w:rsidR="00A56E08">
        <w:rPr>
          <w:rStyle w:val="y2iqfc"/>
          <w:rFonts w:cs="Arial"/>
          <w:color w:val="000000" w:themeColor="text1"/>
          <w:szCs w:val="24"/>
        </w:rPr>
        <w:t>ма</w:t>
      </w:r>
      <w:r w:rsidR="00756E38"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алног</w:t>
      </w:r>
      <w:r w:rsidR="00756E38"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ања</w:t>
      </w:r>
      <w:r w:rsidR="00756E38" w:rsidRPr="00F6340E">
        <w:rPr>
          <w:rStyle w:val="y2iqfc"/>
          <w:rFonts w:cs="Arial"/>
          <w:color w:val="000000" w:themeColor="text1"/>
          <w:szCs w:val="24"/>
        </w:rPr>
        <w:t xml:space="preserve"> </w:t>
      </w:r>
      <w:r>
        <w:rPr>
          <w:rStyle w:val="y2iqfc"/>
          <w:rFonts w:cs="Arial"/>
          <w:color w:val="000000" w:themeColor="text1"/>
          <w:szCs w:val="24"/>
        </w:rPr>
        <w:t>в</w:t>
      </w:r>
      <w:r w:rsidR="00A56E08">
        <w:rPr>
          <w:rStyle w:val="y2iqfc"/>
          <w:rFonts w:cs="Arial"/>
          <w:color w:val="000000" w:themeColor="text1"/>
          <w:szCs w:val="24"/>
        </w:rPr>
        <w:t>и</w:t>
      </w:r>
      <w:r>
        <w:rPr>
          <w:rStyle w:val="y2iqfc"/>
          <w:rFonts w:cs="Arial"/>
          <w:color w:val="000000" w:themeColor="text1"/>
          <w:szCs w:val="24"/>
        </w:rPr>
        <w:t>с</w:t>
      </w:r>
      <w:r w:rsidR="00A56E08">
        <w:rPr>
          <w:rStyle w:val="y2iqfc"/>
          <w:rFonts w:cs="Arial"/>
          <w:color w:val="000000" w:themeColor="text1"/>
          <w:szCs w:val="24"/>
        </w:rPr>
        <w:t>оких</w:t>
      </w:r>
      <w:r w:rsidR="00756E38" w:rsidRPr="00F6340E">
        <w:rPr>
          <w:rStyle w:val="y2iqfc"/>
          <w:rFonts w:cs="Arial"/>
          <w:color w:val="000000" w:themeColor="text1"/>
          <w:szCs w:val="24"/>
        </w:rPr>
        <w:t xml:space="preserve"> </w:t>
      </w:r>
      <w:r>
        <w:rPr>
          <w:rStyle w:val="y2iqfc"/>
          <w:rFonts w:cs="Arial"/>
          <w:color w:val="000000" w:themeColor="text1"/>
          <w:szCs w:val="24"/>
        </w:rPr>
        <w:t>п</w:t>
      </w:r>
      <w:r w:rsidR="00EE6AA2">
        <w:rPr>
          <w:rStyle w:val="y2iqfc"/>
          <w:rFonts w:cs="Arial"/>
          <w:color w:val="000000" w:themeColor="text1"/>
          <w:szCs w:val="24"/>
        </w:rPr>
        <w:t>е</w:t>
      </w:r>
      <w:r>
        <w:rPr>
          <w:rStyle w:val="y2iqfc"/>
          <w:rFonts w:cs="Arial"/>
          <w:color w:val="000000" w:themeColor="text1"/>
          <w:szCs w:val="24"/>
        </w:rPr>
        <w:t>р</w:t>
      </w:r>
      <w:r w:rsidR="00A56E08">
        <w:rPr>
          <w:rStyle w:val="y2iqfc"/>
          <w:rFonts w:cs="Arial"/>
          <w:color w:val="000000" w:themeColor="text1"/>
          <w:szCs w:val="24"/>
        </w:rPr>
        <w:t>фо</w:t>
      </w:r>
      <w:r>
        <w:rPr>
          <w:rStyle w:val="y2iqfc"/>
          <w:rFonts w:cs="Arial"/>
          <w:color w:val="000000" w:themeColor="text1"/>
          <w:szCs w:val="24"/>
        </w:rPr>
        <w:t>р</w:t>
      </w:r>
      <w:r w:rsidR="00A56E08">
        <w:rPr>
          <w:rStyle w:val="y2iqfc"/>
          <w:rFonts w:cs="Arial"/>
          <w:color w:val="000000" w:themeColor="text1"/>
          <w:szCs w:val="24"/>
        </w:rPr>
        <w:t>ман</w:t>
      </w:r>
      <w:r>
        <w:rPr>
          <w:rStyle w:val="y2iqfc"/>
          <w:rFonts w:cs="Arial"/>
          <w:color w:val="000000" w:themeColor="text1"/>
          <w:szCs w:val="24"/>
        </w:rPr>
        <w:t>с</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Pr>
          <w:rStyle w:val="y2iqfc"/>
          <w:rFonts w:cs="Arial"/>
          <w:color w:val="000000" w:themeColor="text1"/>
          <w:szCs w:val="24"/>
        </w:rPr>
        <w:t>у</w:t>
      </w:r>
      <w:r w:rsidR="00A56E08">
        <w:rPr>
          <w:rStyle w:val="y2iqfc"/>
          <w:rFonts w:cs="Arial"/>
          <w:color w:val="000000" w:themeColor="text1"/>
          <w:szCs w:val="24"/>
        </w:rPr>
        <w:t>на</w:t>
      </w:r>
      <w:r>
        <w:rPr>
          <w:rStyle w:val="y2iqfc"/>
          <w:rFonts w:cs="Arial"/>
          <w:color w:val="000000" w:themeColor="text1"/>
          <w:szCs w:val="24"/>
        </w:rPr>
        <w:t>пр</w:t>
      </w:r>
      <w:r w:rsidR="00A56E08">
        <w:rPr>
          <w:rStyle w:val="y2iqfc"/>
          <w:rFonts w:cs="Arial"/>
          <w:color w:val="000000" w:themeColor="text1"/>
          <w:szCs w:val="24"/>
        </w:rPr>
        <w:t>ј</w:t>
      </w:r>
      <w:r w:rsidR="00EE6AA2">
        <w:rPr>
          <w:rStyle w:val="y2iqfc"/>
          <w:rFonts w:cs="Arial"/>
          <w:color w:val="000000" w:themeColor="text1"/>
          <w:szCs w:val="24"/>
        </w:rPr>
        <w:t>е</w:t>
      </w:r>
      <w:r w:rsidR="00A56E08">
        <w:rPr>
          <w:rStyle w:val="y2iqfc"/>
          <w:rFonts w:cs="Arial"/>
          <w:color w:val="000000" w:themeColor="text1"/>
          <w:szCs w:val="24"/>
        </w:rPr>
        <w:t>ђ</w:t>
      </w:r>
      <w:r w:rsidR="00EE6AA2">
        <w:rPr>
          <w:rStyle w:val="y2iqfc"/>
          <w:rFonts w:cs="Arial"/>
          <w:color w:val="000000" w:themeColor="text1"/>
          <w:szCs w:val="24"/>
        </w:rPr>
        <w:t>е</w:t>
      </w:r>
      <w:r w:rsidR="00A56E08">
        <w:rPr>
          <w:rStyle w:val="y2iqfc"/>
          <w:rFonts w:cs="Arial"/>
          <w:color w:val="000000" w:themeColor="text1"/>
          <w:szCs w:val="24"/>
        </w:rPr>
        <w:t>њ</w:t>
      </w:r>
      <w:r w:rsidR="00EE6AA2">
        <w:rPr>
          <w:rStyle w:val="y2iqfc"/>
          <w:rFonts w:cs="Arial"/>
          <w:color w:val="000000" w:themeColor="text1"/>
          <w:szCs w:val="24"/>
        </w:rPr>
        <w:t>е</w:t>
      </w:r>
      <w:r w:rsidR="00423AEA"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алних</w:t>
      </w:r>
      <w:r w:rsidR="00756E38" w:rsidRPr="00F6340E">
        <w:rPr>
          <w:rStyle w:val="y2iqfc"/>
          <w:rFonts w:cs="Arial"/>
          <w:color w:val="000000" w:themeColor="text1"/>
          <w:szCs w:val="24"/>
        </w:rPr>
        <w:t xml:space="preserve"> </w:t>
      </w:r>
      <w:r>
        <w:rPr>
          <w:rStyle w:val="y2iqfc"/>
          <w:rFonts w:cs="Arial"/>
          <w:color w:val="000000" w:themeColor="text1"/>
          <w:szCs w:val="24"/>
        </w:rPr>
        <w:t>в</w:t>
      </w:r>
      <w:r w:rsidR="00A56E08">
        <w:rPr>
          <w:rStyle w:val="y2iqfc"/>
          <w:rFonts w:cs="Arial"/>
          <w:color w:val="000000" w:themeColor="text1"/>
          <w:szCs w:val="24"/>
        </w:rPr>
        <w:t>ј</w:t>
      </w:r>
      <w:r w:rsidR="00EE6AA2">
        <w:rPr>
          <w:rStyle w:val="y2iqfc"/>
          <w:rFonts w:cs="Arial"/>
          <w:color w:val="000000" w:themeColor="text1"/>
          <w:szCs w:val="24"/>
        </w:rPr>
        <w:t>е</w:t>
      </w:r>
      <w:r>
        <w:rPr>
          <w:rStyle w:val="y2iqfc"/>
          <w:rFonts w:cs="Arial"/>
          <w:color w:val="000000" w:themeColor="text1"/>
          <w:szCs w:val="24"/>
        </w:rPr>
        <w:t>шт</w:t>
      </w:r>
      <w:r w:rsidR="00A56E08">
        <w:rPr>
          <w:rStyle w:val="y2iqfc"/>
          <w:rFonts w:cs="Arial"/>
          <w:color w:val="000000" w:themeColor="text1"/>
          <w:szCs w:val="24"/>
        </w:rPr>
        <w:t>ина</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A56E08">
        <w:rPr>
          <w:rStyle w:val="y2iqfc"/>
          <w:rFonts w:cs="Arial"/>
          <w:color w:val="000000" w:themeColor="text1"/>
          <w:szCs w:val="24"/>
        </w:rPr>
        <w:t>ком</w:t>
      </w:r>
      <w:r>
        <w:rPr>
          <w:rStyle w:val="y2iqfc"/>
          <w:rFonts w:cs="Arial"/>
          <w:color w:val="000000" w:themeColor="text1"/>
          <w:szCs w:val="24"/>
        </w:rPr>
        <w:t>п</w:t>
      </w:r>
      <w:r w:rsidR="00EE6AA2">
        <w:rPr>
          <w:rStyle w:val="y2iqfc"/>
          <w:rFonts w:cs="Arial"/>
          <w:color w:val="000000" w:themeColor="text1"/>
          <w:szCs w:val="24"/>
        </w:rPr>
        <w:t>е</w:t>
      </w:r>
      <w:r>
        <w:rPr>
          <w:rStyle w:val="y2iqfc"/>
          <w:rFonts w:cs="Arial"/>
          <w:color w:val="000000" w:themeColor="text1"/>
          <w:szCs w:val="24"/>
        </w:rPr>
        <w:t>т</w:t>
      </w:r>
      <w:r w:rsidR="00EE6AA2">
        <w:rPr>
          <w:rStyle w:val="y2iqfc"/>
          <w:rFonts w:cs="Arial"/>
          <w:color w:val="000000" w:themeColor="text1"/>
          <w:szCs w:val="24"/>
        </w:rPr>
        <w:t>е</w:t>
      </w:r>
      <w:r w:rsidR="00A56E08">
        <w:rPr>
          <w:rStyle w:val="y2iqfc"/>
          <w:rFonts w:cs="Arial"/>
          <w:color w:val="000000" w:themeColor="text1"/>
          <w:szCs w:val="24"/>
        </w:rPr>
        <w:t>нција</w:t>
      </w:r>
      <w:r w:rsidR="00756E38"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756E38"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w:t>
      </w:r>
      <w:r>
        <w:rPr>
          <w:rStyle w:val="y2iqfc"/>
          <w:rFonts w:cs="Arial"/>
          <w:color w:val="000000" w:themeColor="text1"/>
          <w:szCs w:val="24"/>
        </w:rPr>
        <w:t>у</w:t>
      </w:r>
      <w:r w:rsidR="00756E38" w:rsidRPr="00F6340E">
        <w:rPr>
          <w:rStyle w:val="y2iqfc"/>
          <w:rFonts w:cs="Arial"/>
          <w:color w:val="000000" w:themeColor="text1"/>
          <w:szCs w:val="24"/>
        </w:rPr>
        <w:t xml:space="preserve"> </w:t>
      </w:r>
      <w:r>
        <w:rPr>
          <w:rStyle w:val="y2iqfc"/>
          <w:rFonts w:cs="Arial"/>
          <w:color w:val="000000" w:themeColor="text1"/>
          <w:szCs w:val="24"/>
        </w:rPr>
        <w:t>тр</w:t>
      </w:r>
      <w:r w:rsidR="00A56E08">
        <w:rPr>
          <w:rStyle w:val="y2iqfc"/>
          <w:rFonts w:cs="Arial"/>
          <w:color w:val="000000" w:themeColor="text1"/>
          <w:szCs w:val="24"/>
        </w:rPr>
        <w:t>ан</w:t>
      </w:r>
      <w:r>
        <w:rPr>
          <w:rStyle w:val="y2iqfc"/>
          <w:rFonts w:cs="Arial"/>
          <w:color w:val="000000" w:themeColor="text1"/>
          <w:szCs w:val="24"/>
        </w:rPr>
        <w:t>с</w:t>
      </w:r>
      <w:r w:rsidR="00A56E08">
        <w:rPr>
          <w:rStyle w:val="y2iqfc"/>
          <w:rFonts w:cs="Arial"/>
          <w:color w:val="000000" w:themeColor="text1"/>
          <w:szCs w:val="24"/>
        </w:rPr>
        <w:t>фо</w:t>
      </w:r>
      <w:r>
        <w:rPr>
          <w:rStyle w:val="y2iqfc"/>
          <w:rFonts w:cs="Arial"/>
          <w:color w:val="000000" w:themeColor="text1"/>
          <w:szCs w:val="24"/>
        </w:rPr>
        <w:t>р</w:t>
      </w:r>
      <w:r w:rsidR="00A56E08">
        <w:rPr>
          <w:rStyle w:val="y2iqfc"/>
          <w:rFonts w:cs="Arial"/>
          <w:color w:val="000000" w:themeColor="text1"/>
          <w:szCs w:val="24"/>
        </w:rPr>
        <w:t>мациј</w:t>
      </w:r>
      <w:r>
        <w:rPr>
          <w:rStyle w:val="y2iqfc"/>
          <w:rFonts w:cs="Arial"/>
          <w:color w:val="000000" w:themeColor="text1"/>
          <w:szCs w:val="24"/>
        </w:rPr>
        <w:t>у</w:t>
      </w:r>
      <w:r w:rsidR="00756E38" w:rsidRPr="00F6340E">
        <w:rPr>
          <w:rStyle w:val="y2iqfc"/>
          <w:rFonts w:cs="Arial"/>
          <w:color w:val="000000" w:themeColor="text1"/>
          <w:szCs w:val="24"/>
        </w:rPr>
        <w:t xml:space="preserve">, </w:t>
      </w:r>
      <w:r w:rsidR="00A56E08">
        <w:rPr>
          <w:rStyle w:val="y2iqfc"/>
          <w:rFonts w:cs="Arial"/>
          <w:color w:val="000000" w:themeColor="text1"/>
          <w:szCs w:val="24"/>
        </w:rPr>
        <w:t>који</w:t>
      </w:r>
      <w:r w:rsidR="00756E38" w:rsidRPr="00F6340E">
        <w:rPr>
          <w:rStyle w:val="y2iqfc"/>
          <w:rFonts w:cs="Arial"/>
          <w:color w:val="000000" w:themeColor="text1"/>
          <w:szCs w:val="24"/>
        </w:rPr>
        <w:t xml:space="preserve"> </w:t>
      </w:r>
      <w:r>
        <w:rPr>
          <w:rStyle w:val="y2iqfc"/>
          <w:rFonts w:cs="Arial"/>
          <w:color w:val="000000" w:themeColor="text1"/>
          <w:szCs w:val="24"/>
        </w:rPr>
        <w:t>су</w:t>
      </w:r>
      <w:r w:rsidR="00756E38" w:rsidRPr="00F6340E">
        <w:rPr>
          <w:rStyle w:val="y2iqfc"/>
          <w:rFonts w:cs="Arial"/>
          <w:color w:val="000000" w:themeColor="text1"/>
          <w:szCs w:val="24"/>
        </w:rPr>
        <w:t xml:space="preserve"> </w:t>
      </w:r>
      <w:r w:rsidR="00A56E08">
        <w:rPr>
          <w:rStyle w:val="y2iqfc"/>
          <w:rFonts w:cs="Arial"/>
          <w:color w:val="000000" w:themeColor="text1"/>
          <w:szCs w:val="24"/>
        </w:rPr>
        <w:t>даљ</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A56E08">
        <w:rPr>
          <w:rStyle w:val="y2iqfc"/>
          <w:rFonts w:cs="Arial"/>
          <w:color w:val="000000" w:themeColor="text1"/>
          <w:szCs w:val="24"/>
        </w:rPr>
        <w:t>о</w:t>
      </w:r>
      <w:r>
        <w:rPr>
          <w:rStyle w:val="y2iqfc"/>
          <w:rFonts w:cs="Arial"/>
          <w:color w:val="000000" w:themeColor="text1"/>
          <w:szCs w:val="24"/>
        </w:rPr>
        <w:t>п</w:t>
      </w:r>
      <w:r w:rsidR="00EE6AA2">
        <w:rPr>
          <w:rStyle w:val="y2iqfc"/>
          <w:rFonts w:cs="Arial"/>
          <w:color w:val="000000" w:themeColor="text1"/>
          <w:szCs w:val="24"/>
        </w:rPr>
        <w:t>е</w:t>
      </w:r>
      <w:r>
        <w:rPr>
          <w:rStyle w:val="y2iqfc"/>
          <w:rFonts w:cs="Arial"/>
          <w:color w:val="000000" w:themeColor="text1"/>
          <w:szCs w:val="24"/>
        </w:rPr>
        <w:t>р</w:t>
      </w:r>
      <w:r w:rsidR="00A56E08">
        <w:rPr>
          <w:rStyle w:val="y2iqfc"/>
          <w:rFonts w:cs="Arial"/>
          <w:color w:val="000000" w:themeColor="text1"/>
          <w:szCs w:val="24"/>
        </w:rPr>
        <w:t>ационали</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ани</w:t>
      </w:r>
      <w:r w:rsidR="00756E38" w:rsidRPr="00F6340E">
        <w:rPr>
          <w:rStyle w:val="y2iqfc"/>
          <w:rFonts w:cs="Arial"/>
          <w:color w:val="000000" w:themeColor="text1"/>
          <w:szCs w:val="24"/>
        </w:rPr>
        <w:t xml:space="preserve"> </w:t>
      </w:r>
      <w:r w:rsidR="00A56E08">
        <w:rPr>
          <w:rStyle w:val="y2iqfc"/>
          <w:rFonts w:cs="Arial"/>
          <w:color w:val="000000" w:themeColor="text1"/>
          <w:szCs w:val="24"/>
        </w:rPr>
        <w:t>к</w:t>
      </w:r>
      <w:r>
        <w:rPr>
          <w:rStyle w:val="y2iqfc"/>
          <w:rFonts w:cs="Arial"/>
          <w:color w:val="000000" w:themeColor="text1"/>
          <w:szCs w:val="24"/>
        </w:rPr>
        <w:t>р</w:t>
      </w:r>
      <w:r w:rsidR="00A56E08">
        <w:rPr>
          <w:rStyle w:val="y2iqfc"/>
          <w:rFonts w:cs="Arial"/>
          <w:color w:val="000000" w:themeColor="text1"/>
          <w:szCs w:val="24"/>
        </w:rPr>
        <w:t>о</w:t>
      </w:r>
      <w:r w:rsidR="00171F00">
        <w:rPr>
          <w:rStyle w:val="y2iqfc"/>
          <w:rFonts w:cs="Arial"/>
          <w:color w:val="000000" w:themeColor="text1"/>
          <w:szCs w:val="24"/>
        </w:rPr>
        <w:t>з</w:t>
      </w:r>
      <w:r w:rsidR="00756E38" w:rsidRPr="00F6340E">
        <w:rPr>
          <w:rStyle w:val="y2iqfc"/>
          <w:rFonts w:cs="Arial"/>
          <w:color w:val="000000" w:themeColor="text1"/>
          <w:szCs w:val="24"/>
        </w:rPr>
        <w:t xml:space="preserve"> 14 </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личи</w:t>
      </w:r>
      <w:r>
        <w:rPr>
          <w:rStyle w:val="y2iqfc"/>
          <w:rFonts w:cs="Arial"/>
          <w:color w:val="000000" w:themeColor="text1"/>
          <w:szCs w:val="24"/>
        </w:rPr>
        <w:t>т</w:t>
      </w:r>
      <w:r w:rsidR="00A56E08">
        <w:rPr>
          <w:rStyle w:val="y2iqfc"/>
          <w:rFonts w:cs="Arial"/>
          <w:color w:val="000000" w:themeColor="text1"/>
          <w:szCs w:val="24"/>
        </w:rPr>
        <w:t>их</w:t>
      </w:r>
      <w:r w:rsidR="00756E38" w:rsidRPr="00F6340E">
        <w:rPr>
          <w:rStyle w:val="y2iqfc"/>
          <w:rFonts w:cs="Arial"/>
          <w:color w:val="000000" w:themeColor="text1"/>
          <w:szCs w:val="24"/>
        </w:rPr>
        <w:t xml:space="preserve"> </w:t>
      </w:r>
      <w:r w:rsidR="00A56E08">
        <w:rPr>
          <w:rStyle w:val="y2iqfc"/>
          <w:rFonts w:cs="Arial"/>
          <w:color w:val="000000" w:themeColor="text1"/>
          <w:szCs w:val="24"/>
        </w:rPr>
        <w:t>акција</w:t>
      </w:r>
      <w:r w:rsidR="00756E38" w:rsidRPr="00F6340E">
        <w:rPr>
          <w:rStyle w:val="y2iqfc"/>
          <w:rFonts w:cs="Arial"/>
          <w:color w:val="000000" w:themeColor="text1"/>
          <w:szCs w:val="24"/>
        </w:rPr>
        <w:t xml:space="preserve">. </w:t>
      </w:r>
      <w:r w:rsidR="00A56E08">
        <w:rPr>
          <w:rStyle w:val="y2iqfc"/>
          <w:rFonts w:cs="Arial"/>
          <w:color w:val="000000" w:themeColor="text1"/>
          <w:szCs w:val="24"/>
        </w:rPr>
        <w:t>М</w:t>
      </w:r>
      <w:r w:rsidR="00EE6AA2">
        <w:rPr>
          <w:rStyle w:val="y2iqfc"/>
          <w:rFonts w:cs="Arial"/>
          <w:color w:val="000000" w:themeColor="text1"/>
          <w:szCs w:val="24"/>
        </w:rPr>
        <w:t>е</w:t>
      </w:r>
      <w:r w:rsidR="00A56E08">
        <w:rPr>
          <w:rStyle w:val="y2iqfc"/>
          <w:rFonts w:cs="Arial"/>
          <w:color w:val="000000" w:themeColor="text1"/>
          <w:szCs w:val="24"/>
        </w:rPr>
        <w:t>ђ</w:t>
      </w:r>
      <w:r>
        <w:rPr>
          <w:rStyle w:val="y2iqfc"/>
          <w:rFonts w:cs="Arial"/>
          <w:color w:val="000000" w:themeColor="text1"/>
          <w:szCs w:val="24"/>
        </w:rPr>
        <w:t>у</w:t>
      </w:r>
      <w:r w:rsidR="00756E38" w:rsidRPr="00F6340E">
        <w:rPr>
          <w:rStyle w:val="y2iqfc"/>
          <w:rFonts w:cs="Arial"/>
          <w:color w:val="000000" w:themeColor="text1"/>
          <w:szCs w:val="24"/>
        </w:rPr>
        <w:t xml:space="preserve"> </w:t>
      </w:r>
      <w:r w:rsidR="00A56E08">
        <w:rPr>
          <w:rStyle w:val="y2iqfc"/>
          <w:rFonts w:cs="Arial"/>
          <w:color w:val="000000" w:themeColor="text1"/>
          <w:szCs w:val="24"/>
        </w:rPr>
        <w:t>њима</w:t>
      </w:r>
      <w:r w:rsidR="00756E38" w:rsidRPr="00F6340E">
        <w:rPr>
          <w:rStyle w:val="y2iqfc"/>
          <w:rFonts w:cs="Arial"/>
          <w:color w:val="000000" w:themeColor="text1"/>
          <w:szCs w:val="24"/>
        </w:rPr>
        <w:t xml:space="preserve"> </w:t>
      </w:r>
      <w:r>
        <w:rPr>
          <w:rStyle w:val="y2iqfc"/>
          <w:rFonts w:cs="Arial"/>
          <w:color w:val="000000" w:themeColor="text1"/>
          <w:szCs w:val="24"/>
        </w:rPr>
        <w:t>с</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A56E08">
        <w:rPr>
          <w:rStyle w:val="y2iqfc"/>
          <w:rFonts w:cs="Arial"/>
          <w:color w:val="000000" w:themeColor="text1"/>
          <w:szCs w:val="24"/>
        </w:rPr>
        <w:t>ја</w:t>
      </w:r>
      <w:r>
        <w:rPr>
          <w:rStyle w:val="y2iqfc"/>
          <w:rFonts w:cs="Arial"/>
          <w:color w:val="000000" w:themeColor="text1"/>
          <w:szCs w:val="24"/>
        </w:rPr>
        <w:t>с</w:t>
      </w:r>
      <w:r w:rsidR="00A56E08">
        <w:rPr>
          <w:rStyle w:val="y2iqfc"/>
          <w:rFonts w:cs="Arial"/>
          <w:color w:val="000000" w:themeColor="text1"/>
          <w:szCs w:val="24"/>
        </w:rPr>
        <w:t>но</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Pr>
          <w:rStyle w:val="y2iqfc"/>
          <w:rFonts w:cs="Arial"/>
          <w:color w:val="000000" w:themeColor="text1"/>
          <w:szCs w:val="24"/>
        </w:rPr>
        <w:t>ст</w:t>
      </w:r>
      <w:r w:rsidR="00A56E08">
        <w:rPr>
          <w:rStyle w:val="y2iqfc"/>
          <w:rFonts w:cs="Arial"/>
          <w:color w:val="000000" w:themeColor="text1"/>
          <w:szCs w:val="24"/>
        </w:rPr>
        <w:t>ич</w:t>
      </w:r>
      <w:r>
        <w:rPr>
          <w:rStyle w:val="y2iqfc"/>
          <w:rFonts w:cs="Arial"/>
          <w:color w:val="000000" w:themeColor="text1"/>
          <w:szCs w:val="24"/>
        </w:rPr>
        <w:t>у</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ај</w:t>
      </w:r>
      <w:r w:rsidR="00EE6AA2">
        <w:rPr>
          <w:rStyle w:val="y2iqfc"/>
          <w:rFonts w:cs="Arial"/>
          <w:color w:val="000000" w:themeColor="text1"/>
          <w:szCs w:val="24"/>
        </w:rPr>
        <w:t>е</w:t>
      </w:r>
      <w:r w:rsidR="00A56E08">
        <w:rPr>
          <w:rStyle w:val="y2iqfc"/>
          <w:rFonts w:cs="Arial"/>
          <w:color w:val="000000" w:themeColor="text1"/>
          <w:szCs w:val="24"/>
        </w:rPr>
        <w:t>дничк</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Pr>
          <w:rStyle w:val="y2iqfc"/>
          <w:rFonts w:cs="Arial"/>
          <w:color w:val="000000" w:themeColor="text1"/>
          <w:szCs w:val="24"/>
        </w:rPr>
        <w:t>с</w:t>
      </w:r>
      <w:r w:rsidR="00A56E08">
        <w:rPr>
          <w:rStyle w:val="y2iqfc"/>
          <w:rFonts w:cs="Arial"/>
          <w:color w:val="000000" w:themeColor="text1"/>
          <w:szCs w:val="24"/>
        </w:rPr>
        <w:t>мј</w:t>
      </w:r>
      <w:r w:rsidR="00EE6AA2">
        <w:rPr>
          <w:rStyle w:val="y2iqfc"/>
          <w:rFonts w:cs="Arial"/>
          <w:color w:val="000000" w:themeColor="text1"/>
          <w:szCs w:val="24"/>
        </w:rPr>
        <w:t>е</w:t>
      </w:r>
      <w:r>
        <w:rPr>
          <w:rStyle w:val="y2iqfc"/>
          <w:rFonts w:cs="Arial"/>
          <w:color w:val="000000" w:themeColor="text1"/>
          <w:szCs w:val="24"/>
        </w:rPr>
        <w:t>р</w:t>
      </w:r>
      <w:r w:rsidR="00A56E08">
        <w:rPr>
          <w:rStyle w:val="y2iqfc"/>
          <w:rFonts w:cs="Arial"/>
          <w:color w:val="000000" w:themeColor="text1"/>
          <w:szCs w:val="24"/>
        </w:rPr>
        <w:t>ниц</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756E38" w:rsidRPr="00F6340E">
        <w:rPr>
          <w:rStyle w:val="y2iqfc"/>
          <w:rFonts w:cs="Arial"/>
          <w:color w:val="000000" w:themeColor="text1"/>
          <w:szCs w:val="24"/>
        </w:rPr>
        <w:t xml:space="preserve"> </w:t>
      </w:r>
      <w:r w:rsidR="00A56E08">
        <w:rPr>
          <w:rStyle w:val="y2iqfc"/>
          <w:rFonts w:cs="Arial"/>
          <w:color w:val="000000" w:themeColor="text1"/>
          <w:szCs w:val="24"/>
        </w:rPr>
        <w:t>на</w:t>
      </w:r>
      <w:r>
        <w:rPr>
          <w:rStyle w:val="y2iqfc"/>
          <w:rFonts w:cs="Arial"/>
          <w:color w:val="000000" w:themeColor="text1"/>
          <w:szCs w:val="24"/>
        </w:rPr>
        <w:t>ст</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ник</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EE6AA2">
        <w:rPr>
          <w:rStyle w:val="y2iqfc"/>
          <w:rFonts w:cs="Arial"/>
          <w:color w:val="000000" w:themeColor="text1"/>
          <w:szCs w:val="24"/>
        </w:rPr>
        <w:t>е</w:t>
      </w:r>
      <w:r w:rsidR="00A56E08">
        <w:rPr>
          <w:rStyle w:val="y2iqfc"/>
          <w:rFonts w:cs="Arial"/>
          <w:color w:val="000000" w:themeColor="text1"/>
          <w:szCs w:val="24"/>
        </w:rPr>
        <w:t>д</w:t>
      </w:r>
      <w:r>
        <w:rPr>
          <w:rStyle w:val="y2iqfc"/>
          <w:rFonts w:cs="Arial"/>
          <w:color w:val="000000" w:themeColor="text1"/>
          <w:szCs w:val="24"/>
        </w:rPr>
        <w:t>у</w:t>
      </w:r>
      <w:r w:rsidR="00A56E08">
        <w:rPr>
          <w:rStyle w:val="y2iqfc"/>
          <w:rFonts w:cs="Arial"/>
          <w:color w:val="000000" w:themeColor="text1"/>
          <w:szCs w:val="24"/>
        </w:rPr>
        <w:t>ка</w:t>
      </w:r>
      <w:r>
        <w:rPr>
          <w:rStyle w:val="y2iqfc"/>
          <w:rFonts w:cs="Arial"/>
          <w:color w:val="000000" w:themeColor="text1"/>
          <w:szCs w:val="24"/>
        </w:rPr>
        <w:t>т</w:t>
      </w:r>
      <w:r w:rsidR="00A56E08">
        <w:rPr>
          <w:rStyle w:val="y2iqfc"/>
          <w:rFonts w:cs="Arial"/>
          <w:color w:val="000000" w:themeColor="text1"/>
          <w:szCs w:val="24"/>
        </w:rPr>
        <w:t>о</w:t>
      </w:r>
      <w:r>
        <w:rPr>
          <w:rStyle w:val="y2iqfc"/>
          <w:rFonts w:cs="Arial"/>
          <w:color w:val="000000" w:themeColor="text1"/>
          <w:szCs w:val="24"/>
        </w:rPr>
        <w:t>р</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171F00">
        <w:rPr>
          <w:rStyle w:val="y2iqfc"/>
          <w:rFonts w:cs="Arial"/>
          <w:color w:val="000000" w:themeColor="text1"/>
          <w:szCs w:val="24"/>
        </w:rPr>
        <w:t>з</w:t>
      </w:r>
      <w:r w:rsidR="00A56E08">
        <w:rPr>
          <w:rStyle w:val="y2iqfc"/>
          <w:rFonts w:cs="Arial"/>
          <w:color w:val="000000" w:themeColor="text1"/>
          <w:szCs w:val="24"/>
        </w:rPr>
        <w:t>а</w:t>
      </w:r>
      <w:r w:rsidR="00756E38"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о</w:t>
      </w:r>
      <w:r>
        <w:rPr>
          <w:rStyle w:val="y2iqfc"/>
          <w:rFonts w:cs="Arial"/>
          <w:color w:val="000000" w:themeColor="text1"/>
          <w:szCs w:val="24"/>
        </w:rPr>
        <w:t>т</w:t>
      </w:r>
      <w:r w:rsidR="00A56E08">
        <w:rPr>
          <w:rStyle w:val="y2iqfc"/>
          <w:rFonts w:cs="Arial"/>
          <w:color w:val="000000" w:themeColor="text1"/>
          <w:szCs w:val="24"/>
        </w:rPr>
        <w:t>ицањ</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A56E08">
        <w:rPr>
          <w:rStyle w:val="y2iqfc"/>
          <w:rFonts w:cs="Arial"/>
          <w:color w:val="000000" w:themeColor="text1"/>
          <w:szCs w:val="24"/>
        </w:rPr>
        <w:t>диги</w:t>
      </w:r>
      <w:r>
        <w:rPr>
          <w:rStyle w:val="y2iqfc"/>
          <w:rFonts w:cs="Arial"/>
          <w:color w:val="000000" w:themeColor="text1"/>
          <w:szCs w:val="24"/>
        </w:rPr>
        <w:t>т</w:t>
      </w:r>
      <w:r w:rsidR="00A56E08">
        <w:rPr>
          <w:rStyle w:val="y2iqfc"/>
          <w:rFonts w:cs="Arial"/>
          <w:color w:val="000000" w:themeColor="text1"/>
          <w:szCs w:val="24"/>
        </w:rPr>
        <w:t>алн</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Pr>
          <w:rStyle w:val="y2iqfc"/>
          <w:rFonts w:cs="Arial"/>
          <w:color w:val="000000" w:themeColor="text1"/>
          <w:szCs w:val="24"/>
        </w:rPr>
        <w:t>п</w:t>
      </w:r>
      <w:r w:rsidR="00A56E08">
        <w:rPr>
          <w:rStyle w:val="y2iqfc"/>
          <w:rFonts w:cs="Arial"/>
          <w:color w:val="000000" w:themeColor="text1"/>
          <w:szCs w:val="24"/>
        </w:rPr>
        <w:t>и</w:t>
      </w:r>
      <w:r>
        <w:rPr>
          <w:rStyle w:val="y2iqfc"/>
          <w:rFonts w:cs="Arial"/>
          <w:color w:val="000000" w:themeColor="text1"/>
          <w:szCs w:val="24"/>
        </w:rPr>
        <w:t>с</w:t>
      </w:r>
      <w:r w:rsidR="00A56E08">
        <w:rPr>
          <w:rStyle w:val="y2iqfc"/>
          <w:rFonts w:cs="Arial"/>
          <w:color w:val="000000" w:themeColor="text1"/>
          <w:szCs w:val="24"/>
        </w:rPr>
        <w:t>м</w:t>
      </w:r>
      <w:r w:rsidR="00EE6AA2">
        <w:rPr>
          <w:rStyle w:val="y2iqfc"/>
          <w:rFonts w:cs="Arial"/>
          <w:color w:val="000000" w:themeColor="text1"/>
          <w:szCs w:val="24"/>
        </w:rPr>
        <w:t>е</w:t>
      </w:r>
      <w:r w:rsidR="00A56E08">
        <w:rPr>
          <w:rStyle w:val="y2iqfc"/>
          <w:rFonts w:cs="Arial"/>
          <w:color w:val="000000" w:themeColor="text1"/>
          <w:szCs w:val="24"/>
        </w:rPr>
        <w:t>но</w:t>
      </w:r>
      <w:r>
        <w:rPr>
          <w:rStyle w:val="y2iqfc"/>
          <w:rFonts w:cs="Arial"/>
          <w:color w:val="000000" w:themeColor="text1"/>
          <w:szCs w:val="24"/>
        </w:rPr>
        <w:t>ст</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Pr>
          <w:rStyle w:val="y2iqfc"/>
          <w:rFonts w:cs="Arial"/>
          <w:color w:val="000000" w:themeColor="text1"/>
          <w:szCs w:val="24"/>
        </w:rPr>
        <w:t>р</w:t>
      </w:r>
      <w:r w:rsidR="00A56E08">
        <w:rPr>
          <w:rStyle w:val="y2iqfc"/>
          <w:rFonts w:cs="Arial"/>
          <w:color w:val="000000" w:themeColor="text1"/>
          <w:szCs w:val="24"/>
        </w:rPr>
        <w:t>ј</w:t>
      </w:r>
      <w:r w:rsidR="00EE6AA2">
        <w:rPr>
          <w:rStyle w:val="y2iqfc"/>
          <w:rFonts w:cs="Arial"/>
          <w:color w:val="000000" w:themeColor="text1"/>
          <w:szCs w:val="24"/>
        </w:rPr>
        <w:t>е</w:t>
      </w:r>
      <w:r>
        <w:rPr>
          <w:rStyle w:val="y2iqfc"/>
          <w:rFonts w:cs="Arial"/>
          <w:color w:val="000000" w:themeColor="text1"/>
          <w:szCs w:val="24"/>
        </w:rPr>
        <w:t>ш</w:t>
      </w:r>
      <w:r w:rsidR="00A56E08">
        <w:rPr>
          <w:rStyle w:val="y2iqfc"/>
          <w:rFonts w:cs="Arial"/>
          <w:color w:val="000000" w:themeColor="text1"/>
          <w:szCs w:val="24"/>
        </w:rPr>
        <w:t>а</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Pr>
          <w:rStyle w:val="y2iqfc"/>
          <w:rFonts w:cs="Arial"/>
          <w:color w:val="000000" w:themeColor="text1"/>
          <w:szCs w:val="24"/>
        </w:rPr>
        <w:t>пр</w:t>
      </w:r>
      <w:r w:rsidR="00A56E08">
        <w:rPr>
          <w:rStyle w:val="y2iqfc"/>
          <w:rFonts w:cs="Arial"/>
          <w:color w:val="000000" w:themeColor="text1"/>
          <w:szCs w:val="24"/>
        </w:rPr>
        <w:t>обл</w:t>
      </w:r>
      <w:r w:rsidR="00EE6AA2">
        <w:rPr>
          <w:rStyle w:val="y2iqfc"/>
          <w:rFonts w:cs="Arial"/>
          <w:color w:val="000000" w:themeColor="text1"/>
          <w:szCs w:val="24"/>
        </w:rPr>
        <w:t>е</w:t>
      </w:r>
      <w:r w:rsidR="00A56E08">
        <w:rPr>
          <w:rStyle w:val="y2iqfc"/>
          <w:rFonts w:cs="Arial"/>
          <w:color w:val="000000" w:themeColor="text1"/>
          <w:szCs w:val="24"/>
        </w:rPr>
        <w:t>ма</w:t>
      </w:r>
      <w:r w:rsidR="000726A2" w:rsidRPr="00F6340E">
        <w:rPr>
          <w:rStyle w:val="y2iqfc"/>
          <w:rFonts w:cs="Arial"/>
          <w:color w:val="000000" w:themeColor="text1"/>
          <w:szCs w:val="24"/>
        </w:rPr>
        <w:t xml:space="preserve"> </w:t>
      </w:r>
      <w:r w:rsidR="00A56E08">
        <w:rPr>
          <w:rStyle w:val="y2iqfc"/>
          <w:rFonts w:cs="Arial"/>
          <w:color w:val="000000" w:themeColor="text1"/>
          <w:szCs w:val="24"/>
        </w:rPr>
        <w:t>д</w:t>
      </w:r>
      <w:r w:rsidR="00EE6AA2">
        <w:rPr>
          <w:rStyle w:val="y2iqfc"/>
          <w:rFonts w:cs="Arial"/>
          <w:color w:val="000000" w:themeColor="text1"/>
          <w:szCs w:val="24"/>
        </w:rPr>
        <w:t>е</w:t>
      </w:r>
      <w:r w:rsidR="00171F00">
        <w:rPr>
          <w:rStyle w:val="y2iqfc"/>
          <w:rFonts w:cs="Arial"/>
          <w:color w:val="000000" w:themeColor="text1"/>
          <w:szCs w:val="24"/>
        </w:rPr>
        <w:t>з</w:t>
      </w:r>
      <w:r w:rsidR="00A56E08">
        <w:rPr>
          <w:rStyle w:val="y2iqfc"/>
          <w:rFonts w:cs="Arial"/>
          <w:color w:val="000000" w:themeColor="text1"/>
          <w:szCs w:val="24"/>
        </w:rPr>
        <w:t>инфо</w:t>
      </w:r>
      <w:r>
        <w:rPr>
          <w:rStyle w:val="y2iqfc"/>
          <w:rFonts w:cs="Arial"/>
          <w:color w:val="000000" w:themeColor="text1"/>
          <w:szCs w:val="24"/>
        </w:rPr>
        <w:t>р</w:t>
      </w:r>
      <w:r w:rsidR="00A56E08">
        <w:rPr>
          <w:rStyle w:val="y2iqfc"/>
          <w:rFonts w:cs="Arial"/>
          <w:color w:val="000000" w:themeColor="text1"/>
          <w:szCs w:val="24"/>
        </w:rPr>
        <w:t>мација</w:t>
      </w:r>
      <w:r w:rsidR="00756E38" w:rsidRPr="00F6340E">
        <w:rPr>
          <w:rStyle w:val="y2iqfc"/>
          <w:rFonts w:cs="Arial"/>
          <w:color w:val="000000" w:themeColor="text1"/>
          <w:szCs w:val="24"/>
        </w:rPr>
        <w:t xml:space="preserve"> </w:t>
      </w:r>
      <w:r w:rsidR="00A56E08">
        <w:rPr>
          <w:rStyle w:val="y2iqfc"/>
          <w:rFonts w:cs="Arial"/>
          <w:color w:val="000000" w:themeColor="text1"/>
          <w:szCs w:val="24"/>
        </w:rPr>
        <w:t>к</w:t>
      </w:r>
      <w:r>
        <w:rPr>
          <w:rStyle w:val="y2iqfc"/>
          <w:rFonts w:cs="Arial"/>
          <w:color w:val="000000" w:themeColor="text1"/>
          <w:szCs w:val="24"/>
        </w:rPr>
        <w:t>р</w:t>
      </w:r>
      <w:r w:rsidR="00A56E08">
        <w:rPr>
          <w:rStyle w:val="y2iqfc"/>
          <w:rFonts w:cs="Arial"/>
          <w:color w:val="000000" w:themeColor="text1"/>
          <w:szCs w:val="24"/>
        </w:rPr>
        <w:t>о</w:t>
      </w:r>
      <w:r w:rsidR="00171F00">
        <w:rPr>
          <w:rStyle w:val="y2iqfc"/>
          <w:rFonts w:cs="Arial"/>
          <w:color w:val="000000" w:themeColor="text1"/>
          <w:szCs w:val="24"/>
        </w:rPr>
        <w:t>з</w:t>
      </w:r>
      <w:r w:rsidR="00756E38" w:rsidRPr="00F6340E">
        <w:rPr>
          <w:rStyle w:val="y2iqfc"/>
          <w:rFonts w:cs="Arial"/>
          <w:color w:val="000000" w:themeColor="text1"/>
          <w:szCs w:val="24"/>
        </w:rPr>
        <w:t xml:space="preserve"> </w:t>
      </w:r>
      <w:r w:rsidR="00A56E08">
        <w:rPr>
          <w:rStyle w:val="y2iqfc"/>
          <w:rFonts w:cs="Arial"/>
          <w:color w:val="000000" w:themeColor="text1"/>
          <w:szCs w:val="24"/>
        </w:rPr>
        <w:t>об</w:t>
      </w:r>
      <w:r>
        <w:rPr>
          <w:rStyle w:val="y2iqfc"/>
          <w:rFonts w:cs="Arial"/>
          <w:color w:val="000000" w:themeColor="text1"/>
          <w:szCs w:val="24"/>
        </w:rPr>
        <w:t>р</w:t>
      </w:r>
      <w:r w:rsidR="00A56E08">
        <w:rPr>
          <w:rStyle w:val="y2iqfc"/>
          <w:rFonts w:cs="Arial"/>
          <w:color w:val="000000" w:themeColor="text1"/>
          <w:szCs w:val="24"/>
        </w:rPr>
        <w:t>а</w:t>
      </w:r>
      <w:r w:rsidR="00171F00">
        <w:rPr>
          <w:rStyle w:val="y2iqfc"/>
          <w:rFonts w:cs="Arial"/>
          <w:color w:val="000000" w:themeColor="text1"/>
          <w:szCs w:val="24"/>
        </w:rPr>
        <w:t>з</w:t>
      </w:r>
      <w:r w:rsidR="00A56E08">
        <w:rPr>
          <w:rStyle w:val="y2iqfc"/>
          <w:rFonts w:cs="Arial"/>
          <w:color w:val="000000" w:themeColor="text1"/>
          <w:szCs w:val="24"/>
        </w:rPr>
        <w:t>о</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756E38" w:rsidRPr="00F6340E">
        <w:rPr>
          <w:rStyle w:val="y2iqfc"/>
          <w:rFonts w:cs="Arial"/>
          <w:color w:val="000000" w:themeColor="text1"/>
          <w:szCs w:val="24"/>
        </w:rPr>
        <w:t xml:space="preserve"> </w:t>
      </w:r>
      <w:r w:rsidR="00A56E08">
        <w:rPr>
          <w:rStyle w:val="y2iqfc"/>
          <w:rFonts w:cs="Arial"/>
          <w:color w:val="000000" w:themeColor="text1"/>
          <w:szCs w:val="24"/>
        </w:rPr>
        <w:t>и</w:t>
      </w:r>
      <w:r w:rsidR="00756E38" w:rsidRPr="00F6340E">
        <w:rPr>
          <w:rStyle w:val="y2iqfc"/>
          <w:rFonts w:cs="Arial"/>
          <w:color w:val="000000" w:themeColor="text1"/>
          <w:szCs w:val="24"/>
        </w:rPr>
        <w:t xml:space="preserve"> </w:t>
      </w:r>
      <w:r w:rsidR="00A56E08">
        <w:rPr>
          <w:rStyle w:val="y2iqfc"/>
          <w:rFonts w:cs="Arial"/>
          <w:color w:val="000000" w:themeColor="text1"/>
          <w:szCs w:val="24"/>
        </w:rPr>
        <w:t>о</w:t>
      </w:r>
      <w:r>
        <w:rPr>
          <w:rStyle w:val="y2iqfc"/>
          <w:rFonts w:cs="Arial"/>
          <w:color w:val="000000" w:themeColor="text1"/>
          <w:szCs w:val="24"/>
        </w:rPr>
        <w:t>сп</w:t>
      </w:r>
      <w:r w:rsidR="00A56E08">
        <w:rPr>
          <w:rStyle w:val="y2iqfc"/>
          <w:rFonts w:cs="Arial"/>
          <w:color w:val="000000" w:themeColor="text1"/>
          <w:szCs w:val="24"/>
        </w:rPr>
        <w:t>о</w:t>
      </w:r>
      <w:r>
        <w:rPr>
          <w:rStyle w:val="y2iqfc"/>
          <w:rFonts w:cs="Arial"/>
          <w:color w:val="000000" w:themeColor="text1"/>
          <w:szCs w:val="24"/>
        </w:rPr>
        <w:t>с</w:t>
      </w:r>
      <w:r w:rsidR="00A56E08">
        <w:rPr>
          <w:rStyle w:val="y2iqfc"/>
          <w:rFonts w:cs="Arial"/>
          <w:color w:val="000000" w:themeColor="text1"/>
          <w:szCs w:val="24"/>
        </w:rPr>
        <w:t>обља</w:t>
      </w:r>
      <w:r>
        <w:rPr>
          <w:rStyle w:val="y2iqfc"/>
          <w:rFonts w:cs="Arial"/>
          <w:color w:val="000000" w:themeColor="text1"/>
          <w:szCs w:val="24"/>
        </w:rPr>
        <w:t>в</w:t>
      </w:r>
      <w:r w:rsidR="00A56E08">
        <w:rPr>
          <w:rStyle w:val="y2iqfc"/>
          <w:rFonts w:cs="Arial"/>
          <w:color w:val="000000" w:themeColor="text1"/>
          <w:szCs w:val="24"/>
        </w:rPr>
        <w:t>ањ</w:t>
      </w:r>
      <w:r w:rsidR="00EE6AA2">
        <w:rPr>
          <w:rStyle w:val="y2iqfc"/>
          <w:rFonts w:cs="Arial"/>
          <w:color w:val="000000" w:themeColor="text1"/>
          <w:szCs w:val="24"/>
        </w:rPr>
        <w:t>е</w:t>
      </w:r>
      <w:r w:rsidR="00756E38" w:rsidRPr="00F6340E">
        <w:rPr>
          <w:rStyle w:val="y2iqfc"/>
          <w:rFonts w:cs="Arial"/>
          <w:color w:val="000000" w:themeColor="text1"/>
          <w:szCs w:val="24"/>
        </w:rPr>
        <w:t>.</w:t>
      </w:r>
    </w:p>
    <w:p w14:paraId="2D57C9A6" w14:textId="5F08BACD" w:rsidR="00847B04" w:rsidRPr="00F6340E" w:rsidRDefault="00171F00" w:rsidP="00FA4DC9">
      <w:pPr>
        <w:pStyle w:val="Body"/>
      </w:pPr>
      <w:r>
        <w:t>З</w:t>
      </w:r>
      <w:r w:rsidR="00A56E08">
        <w:t>а</w:t>
      </w:r>
      <w:r w:rsidR="00847B04" w:rsidRPr="00F6340E">
        <w:t xml:space="preserve"> </w:t>
      </w:r>
      <w:r w:rsidR="0071360A">
        <w:t>п</w:t>
      </w:r>
      <w:r w:rsidR="00A56E08">
        <w:t>о</w:t>
      </w:r>
      <w:r w:rsidR="0071360A">
        <w:t>тр</w:t>
      </w:r>
      <w:r w:rsidR="00EE6AA2">
        <w:t>е</w:t>
      </w:r>
      <w:r w:rsidR="00A56E08">
        <w:t>б</w:t>
      </w:r>
      <w:r w:rsidR="00EE6AA2">
        <w:t>е</w:t>
      </w:r>
      <w:r w:rsidR="00847B04" w:rsidRPr="00F6340E">
        <w:t xml:space="preserve"> </w:t>
      </w:r>
      <w:r w:rsidR="00A56E08">
        <w:t>и</w:t>
      </w:r>
      <w:r>
        <w:t>з</w:t>
      </w:r>
      <w:r w:rsidR="0071360A">
        <w:t>р</w:t>
      </w:r>
      <w:r w:rsidR="00A56E08">
        <w:t>ад</w:t>
      </w:r>
      <w:r w:rsidR="00EE6AA2">
        <w:t>е</w:t>
      </w:r>
      <w:r w:rsidR="00847B04" w:rsidRPr="00F6340E">
        <w:t xml:space="preserve"> </w:t>
      </w:r>
      <w:r w:rsidR="00A56E08">
        <w:t>о</w:t>
      </w:r>
      <w:r w:rsidR="0071360A">
        <w:t>в</w:t>
      </w:r>
      <w:r w:rsidR="00A56E08">
        <w:t>ог</w:t>
      </w:r>
      <w:r w:rsidR="00847B04" w:rsidRPr="00F6340E">
        <w:t xml:space="preserve"> </w:t>
      </w:r>
      <w:r w:rsidR="00A56E08">
        <w:t>док</w:t>
      </w:r>
      <w:r w:rsidR="0071360A">
        <w:t>у</w:t>
      </w:r>
      <w:r w:rsidR="00A56E08">
        <w:t>м</w:t>
      </w:r>
      <w:r w:rsidR="00EE6AA2">
        <w:t>е</w:t>
      </w:r>
      <w:r w:rsidR="00A56E08">
        <w:t>н</w:t>
      </w:r>
      <w:r w:rsidR="0071360A">
        <w:t>т</w:t>
      </w:r>
      <w:r w:rsidR="00A56E08">
        <w:t>а</w:t>
      </w:r>
      <w:r w:rsidR="00847B04" w:rsidRPr="00F6340E">
        <w:t xml:space="preserve"> </w:t>
      </w:r>
      <w:r w:rsidR="00A56E08">
        <w:t>о</w:t>
      </w:r>
      <w:r w:rsidR="0071360A">
        <w:t>с</w:t>
      </w:r>
      <w:r w:rsidR="00A56E08">
        <w:t>но</w:t>
      </w:r>
      <w:r w:rsidR="0071360A">
        <w:t>ву</w:t>
      </w:r>
      <w:r w:rsidR="00847B04" w:rsidRPr="00F6340E">
        <w:t xml:space="preserve"> </w:t>
      </w:r>
      <w:r w:rsidR="0071360A">
        <w:t>у</w:t>
      </w:r>
      <w:r w:rsidR="00847B04" w:rsidRPr="00F6340E">
        <w:t xml:space="preserve"> </w:t>
      </w:r>
      <w:r w:rsidR="0071360A">
        <w:t>р</w:t>
      </w:r>
      <w:r w:rsidR="00A56E08">
        <w:t>а</w:t>
      </w:r>
      <w:r>
        <w:t>з</w:t>
      </w:r>
      <w:r w:rsidR="00A56E08">
        <w:t>ми</w:t>
      </w:r>
      <w:r w:rsidR="0071360A">
        <w:t>ш</w:t>
      </w:r>
      <w:r w:rsidR="00A56E08">
        <w:t>љањ</w:t>
      </w:r>
      <w:r w:rsidR="0071360A">
        <w:t>у</w:t>
      </w:r>
      <w:r w:rsidR="00423AEA" w:rsidRPr="00F6340E">
        <w:t xml:space="preserve"> </w:t>
      </w:r>
      <w:r w:rsidR="00A56E08">
        <w:t>о</w:t>
      </w:r>
      <w:r w:rsidR="00423AEA" w:rsidRPr="00F6340E">
        <w:t xml:space="preserve"> </w:t>
      </w:r>
      <w:r w:rsidR="00A56E08">
        <w:t>ком</w:t>
      </w:r>
      <w:r w:rsidR="0071360A">
        <w:t>п</w:t>
      </w:r>
      <w:r w:rsidR="00EE6AA2">
        <w:t>е</w:t>
      </w:r>
      <w:r w:rsidR="0071360A">
        <w:t>т</w:t>
      </w:r>
      <w:r w:rsidR="00EE6AA2">
        <w:t>е</w:t>
      </w:r>
      <w:r w:rsidR="00A56E08">
        <w:t>нцијама</w:t>
      </w:r>
      <w:r w:rsidR="00847B04" w:rsidRPr="00F6340E">
        <w:t xml:space="preserve"> </w:t>
      </w:r>
      <w:r w:rsidR="00A56E08">
        <w:t>на</w:t>
      </w:r>
      <w:r w:rsidR="0071360A">
        <w:t>ст</w:t>
      </w:r>
      <w:r w:rsidR="00A56E08">
        <w:t>а</w:t>
      </w:r>
      <w:r w:rsidR="0071360A">
        <w:t>в</w:t>
      </w:r>
      <w:r w:rsidR="00A56E08">
        <w:t>ника</w:t>
      </w:r>
      <w:r w:rsidR="00847B04" w:rsidRPr="00F6340E">
        <w:t xml:space="preserve"> </w:t>
      </w:r>
      <w:r w:rsidR="00A56E08">
        <w:t>чини</w:t>
      </w:r>
      <w:r w:rsidR="00847B04" w:rsidRPr="00F6340E">
        <w:t xml:space="preserve"> </w:t>
      </w:r>
      <w:r w:rsidR="00A56E08">
        <w:t>Ок</w:t>
      </w:r>
      <w:r w:rsidR="0071360A">
        <w:t>в</w:t>
      </w:r>
      <w:r w:rsidR="00A56E08">
        <w:t>и</w:t>
      </w:r>
      <w:r w:rsidR="0071360A">
        <w:t>р</w:t>
      </w:r>
      <w:r w:rsidR="00847B04" w:rsidRPr="00F6340E">
        <w:t xml:space="preserve"> </w:t>
      </w:r>
      <w:r w:rsidR="00A56E08">
        <w:t>диги</w:t>
      </w:r>
      <w:r w:rsidR="0071360A">
        <w:t>т</w:t>
      </w:r>
      <w:r w:rsidR="00A56E08">
        <w:t>алних</w:t>
      </w:r>
      <w:r w:rsidR="00847B04" w:rsidRPr="00F6340E">
        <w:t xml:space="preserve"> </w:t>
      </w:r>
      <w:r w:rsidR="00A56E08">
        <w:t>ком</w:t>
      </w:r>
      <w:r w:rsidR="0071360A">
        <w:t>п</w:t>
      </w:r>
      <w:r w:rsidR="00EE6AA2">
        <w:t>е</w:t>
      </w:r>
      <w:r w:rsidR="0071360A">
        <w:t>т</w:t>
      </w:r>
      <w:r w:rsidR="00EE6AA2">
        <w:t>е</w:t>
      </w:r>
      <w:r w:rsidR="00A56E08">
        <w:t>нција</w:t>
      </w:r>
      <w:r w:rsidR="00847B04" w:rsidRPr="00F6340E">
        <w:t xml:space="preserve"> </w:t>
      </w:r>
      <w:r w:rsidR="00A56E08">
        <w:t>на</w:t>
      </w:r>
      <w:r w:rsidR="0071360A">
        <w:t>ст</w:t>
      </w:r>
      <w:r w:rsidR="00A56E08">
        <w:t>а</w:t>
      </w:r>
      <w:r w:rsidR="0071360A">
        <w:t>в</w:t>
      </w:r>
      <w:r w:rsidR="00A56E08">
        <w:t>ника</w:t>
      </w:r>
      <w:r w:rsidR="00847B04" w:rsidRPr="00F6340E">
        <w:t xml:space="preserve"> (</w:t>
      </w:r>
      <w:r w:rsidR="000010C5">
        <w:rPr>
          <w:lang w:val="hr-BA"/>
        </w:rPr>
        <w:t xml:space="preserve">Educator digital competency framework </w:t>
      </w:r>
      <w:r w:rsidR="00EE6AA2">
        <w:t>Е</w:t>
      </w:r>
      <w:r w:rsidR="00A56E08">
        <w:t>ДЦ</w:t>
      </w:r>
      <w:r w:rsidR="00847B04" w:rsidRPr="00F6340E">
        <w:t xml:space="preserve">, 2021) </w:t>
      </w:r>
      <w:r w:rsidR="00A56E08">
        <w:t>који</w:t>
      </w:r>
      <w:r w:rsidR="00847B04" w:rsidRPr="00F6340E">
        <w:t xml:space="preserve"> </w:t>
      </w:r>
      <w:r w:rsidR="00A56E08">
        <w:t>ј</w:t>
      </w:r>
      <w:r w:rsidR="00EE6AA2">
        <w:t>е</w:t>
      </w:r>
      <w:r w:rsidR="00847B04" w:rsidRPr="00F6340E">
        <w:t xml:space="preserve"> </w:t>
      </w:r>
      <w:r w:rsidR="00A56E08">
        <w:t>и</w:t>
      </w:r>
      <w:r>
        <w:t>з</w:t>
      </w:r>
      <w:r w:rsidR="0071360A">
        <w:t>р</w:t>
      </w:r>
      <w:r w:rsidR="00A56E08">
        <w:t>адио</w:t>
      </w:r>
      <w:r w:rsidR="00847B04" w:rsidRPr="00F6340E">
        <w:t xml:space="preserve"> </w:t>
      </w:r>
      <w:r w:rsidR="0071360A">
        <w:t>У</w:t>
      </w:r>
      <w:r w:rsidR="00A56E08">
        <w:t>НИЦ</w:t>
      </w:r>
      <w:r w:rsidR="00EE6AA2">
        <w:t>Е</w:t>
      </w:r>
      <w:r w:rsidR="00A56E08">
        <w:t>Ф</w:t>
      </w:r>
      <w:r w:rsidR="00847B04" w:rsidRPr="00F6340E">
        <w:t xml:space="preserve"> </w:t>
      </w:r>
      <w:r w:rsidR="0071360A">
        <w:t>у</w:t>
      </w:r>
      <w:r w:rsidR="00847B04" w:rsidRPr="00F6340E">
        <w:t xml:space="preserve"> </w:t>
      </w:r>
      <w:r w:rsidR="00EE6AA2">
        <w:t>Е</w:t>
      </w:r>
      <w:r w:rsidR="0071360A">
        <w:t>вр</w:t>
      </w:r>
      <w:r w:rsidR="00A56E08">
        <w:t>о</w:t>
      </w:r>
      <w:r w:rsidR="0071360A">
        <w:t>п</w:t>
      </w:r>
      <w:r w:rsidR="00A56E08">
        <w:t>и</w:t>
      </w:r>
      <w:r w:rsidR="00847B04" w:rsidRPr="00F6340E">
        <w:t xml:space="preserve"> </w:t>
      </w:r>
      <w:r w:rsidR="00A56E08">
        <w:t>и</w:t>
      </w:r>
      <w:r w:rsidR="00847B04" w:rsidRPr="00F6340E">
        <w:t xml:space="preserve"> </w:t>
      </w:r>
      <w:r w:rsidR="00A56E08">
        <w:t>Ц</w:t>
      </w:r>
      <w:r w:rsidR="00EE6AA2">
        <w:t>е</w:t>
      </w:r>
      <w:r w:rsidR="00A56E08">
        <w:t>н</w:t>
      </w:r>
      <w:r w:rsidR="0071360A">
        <w:t>тр</w:t>
      </w:r>
      <w:r w:rsidR="00A56E08">
        <w:t>алној</w:t>
      </w:r>
      <w:r w:rsidR="00847B04" w:rsidRPr="00F6340E">
        <w:t xml:space="preserve"> </w:t>
      </w:r>
      <w:r w:rsidR="00A56E08">
        <w:t>А</w:t>
      </w:r>
      <w:r>
        <w:t>з</w:t>
      </w:r>
      <w:r w:rsidR="00A56E08">
        <w:t>ији</w:t>
      </w:r>
      <w:r w:rsidR="00847B04" w:rsidRPr="00F6340E">
        <w:t xml:space="preserve">, </w:t>
      </w:r>
      <w:r w:rsidR="00A56E08">
        <w:t>док</w:t>
      </w:r>
      <w:r w:rsidR="0071360A">
        <w:t>у</w:t>
      </w:r>
      <w:r w:rsidR="00A56E08">
        <w:t>м</w:t>
      </w:r>
      <w:r w:rsidR="00EE6AA2">
        <w:t>е</w:t>
      </w:r>
      <w:r w:rsidR="00A56E08">
        <w:t>н</w:t>
      </w:r>
      <w:r w:rsidR="0071360A">
        <w:t>т</w:t>
      </w:r>
      <w:r w:rsidR="00847B04" w:rsidRPr="00F6340E">
        <w:t xml:space="preserve"> </w:t>
      </w:r>
      <w:r w:rsidR="00A56E08">
        <w:t>који</w:t>
      </w:r>
      <w:r w:rsidR="00847B04" w:rsidRPr="00F6340E">
        <w:t xml:space="preserve"> </w:t>
      </w:r>
      <w:r w:rsidR="0071360A">
        <w:t>у</w:t>
      </w:r>
      <w:r w:rsidR="00847B04" w:rsidRPr="00F6340E">
        <w:t xml:space="preserve"> </w:t>
      </w:r>
      <w:r w:rsidR="00A56E08">
        <w:t>об</w:t>
      </w:r>
      <w:r>
        <w:t>з</w:t>
      </w:r>
      <w:r w:rsidR="00A56E08">
        <w:t>и</w:t>
      </w:r>
      <w:r w:rsidR="0071360A">
        <w:t>р</w:t>
      </w:r>
      <w:r w:rsidR="00847B04" w:rsidRPr="00F6340E">
        <w:t xml:space="preserve"> </w:t>
      </w:r>
      <w:r w:rsidR="0071360A">
        <w:t>у</w:t>
      </w:r>
      <w:r>
        <w:t>з</w:t>
      </w:r>
      <w:r w:rsidR="00A56E08">
        <w:t>има</w:t>
      </w:r>
      <w:r w:rsidR="00847B04" w:rsidRPr="00F6340E">
        <w:t xml:space="preserve"> </w:t>
      </w:r>
      <w:r w:rsidR="00EE6AA2">
        <w:t>Е</w:t>
      </w:r>
      <w:r w:rsidR="0071360A">
        <w:t>вр</w:t>
      </w:r>
      <w:r w:rsidR="00A56E08">
        <w:t>о</w:t>
      </w:r>
      <w:r w:rsidR="0071360A">
        <w:t>пс</w:t>
      </w:r>
      <w:r w:rsidR="00A56E08">
        <w:t>ки</w:t>
      </w:r>
      <w:r w:rsidR="00847B04" w:rsidRPr="00F6340E">
        <w:t xml:space="preserve"> </w:t>
      </w:r>
      <w:r w:rsidR="00A56E08">
        <w:t>ок</w:t>
      </w:r>
      <w:r w:rsidR="0071360A">
        <w:t>в</w:t>
      </w:r>
      <w:r w:rsidR="00A56E08">
        <w:t>и</w:t>
      </w:r>
      <w:r w:rsidR="0071360A">
        <w:t>р</w:t>
      </w:r>
      <w:r w:rsidR="00847B04" w:rsidRPr="00F6340E">
        <w:t xml:space="preserve"> </w:t>
      </w:r>
      <w:r w:rsidR="00A56E08">
        <w:t>диги</w:t>
      </w:r>
      <w:r w:rsidR="0071360A">
        <w:t>т</w:t>
      </w:r>
      <w:r w:rsidR="00A56E08">
        <w:t>алних</w:t>
      </w:r>
      <w:r w:rsidR="00847B04" w:rsidRPr="00F6340E">
        <w:t xml:space="preserve"> </w:t>
      </w:r>
      <w:r w:rsidR="00A56E08">
        <w:t>ком</w:t>
      </w:r>
      <w:r w:rsidR="0071360A">
        <w:t>п</w:t>
      </w:r>
      <w:r w:rsidR="00EE6AA2">
        <w:t>е</w:t>
      </w:r>
      <w:r w:rsidR="0071360A">
        <w:t>т</w:t>
      </w:r>
      <w:r w:rsidR="00EE6AA2">
        <w:t>е</w:t>
      </w:r>
      <w:r w:rsidR="00A56E08">
        <w:t>нција</w:t>
      </w:r>
      <w:r w:rsidR="00847B04" w:rsidRPr="00F6340E">
        <w:t xml:space="preserve"> </w:t>
      </w:r>
      <w:r>
        <w:t>з</w:t>
      </w:r>
      <w:r w:rsidR="00A56E08">
        <w:t>а</w:t>
      </w:r>
      <w:r w:rsidR="00847B04" w:rsidRPr="00F6340E">
        <w:t xml:space="preserve"> </w:t>
      </w:r>
      <w:r w:rsidR="00A56E08">
        <w:t>на</w:t>
      </w:r>
      <w:r w:rsidR="0071360A">
        <w:t>ст</w:t>
      </w:r>
      <w:r w:rsidR="00A56E08">
        <w:t>а</w:t>
      </w:r>
      <w:r w:rsidR="0071360A">
        <w:t>в</w:t>
      </w:r>
      <w:r w:rsidR="00A56E08">
        <w:t>ник</w:t>
      </w:r>
      <w:r w:rsidR="00EE6AA2">
        <w:t>е</w:t>
      </w:r>
      <w:r w:rsidR="00847B04" w:rsidRPr="00F6340E">
        <w:t xml:space="preserve"> (</w:t>
      </w:r>
      <w:r w:rsidR="000010C5">
        <w:rPr>
          <w:lang w:val="hr-BA"/>
        </w:rPr>
        <w:t xml:space="preserve">European framework for the digital competence of educators </w:t>
      </w:r>
      <w:hyperlink r:id="rId19" w:history="1">
        <w:r w:rsidR="00847B04" w:rsidRPr="00F6340E">
          <w:rPr>
            <w:rStyle w:val="Hyperlink"/>
            <w:rFonts w:cs="Arial"/>
            <w:i/>
            <w:iCs/>
            <w:szCs w:val="24"/>
          </w:rPr>
          <w:t xml:space="preserve">: </w:t>
        </w:r>
        <w:r w:rsidR="00A56E08">
          <w:rPr>
            <w:rStyle w:val="Hyperlink"/>
            <w:rFonts w:cs="Arial"/>
            <w:szCs w:val="24"/>
          </w:rPr>
          <w:t>ДигЦом</w:t>
        </w:r>
        <w:r w:rsidR="0071360A">
          <w:rPr>
            <w:rStyle w:val="Hyperlink"/>
            <w:rFonts w:cs="Arial"/>
            <w:szCs w:val="24"/>
          </w:rPr>
          <w:t>п</w:t>
        </w:r>
        <w:r w:rsidR="00EE6AA2">
          <w:rPr>
            <w:rStyle w:val="Hyperlink"/>
            <w:rFonts w:cs="Arial"/>
            <w:szCs w:val="24"/>
          </w:rPr>
          <w:t>Е</w:t>
        </w:r>
        <w:r w:rsidR="00A56E08">
          <w:rPr>
            <w:rStyle w:val="Hyperlink"/>
            <w:rFonts w:cs="Arial"/>
            <w:szCs w:val="24"/>
          </w:rPr>
          <w:t>д</w:t>
        </w:r>
        <w:r w:rsidR="0071360A">
          <w:rPr>
            <w:rStyle w:val="Hyperlink"/>
            <w:rFonts w:cs="Arial"/>
            <w:szCs w:val="24"/>
          </w:rPr>
          <w:t>у</w:t>
        </w:r>
        <w:r w:rsidR="00847B04" w:rsidRPr="00F6340E">
          <w:rPr>
            <w:rStyle w:val="Hyperlink"/>
            <w:rFonts w:cs="Arial"/>
            <w:szCs w:val="24"/>
          </w:rPr>
          <w:t>, 2017</w:t>
        </w:r>
      </w:hyperlink>
      <w:r w:rsidR="00847B04" w:rsidRPr="00F6340E">
        <w:t xml:space="preserve">), </w:t>
      </w:r>
      <w:r w:rsidR="00A56E08">
        <w:t>Ок</w:t>
      </w:r>
      <w:r w:rsidR="0071360A">
        <w:t>в</w:t>
      </w:r>
      <w:r w:rsidR="00A56E08">
        <w:t>и</w:t>
      </w:r>
      <w:r w:rsidR="0071360A">
        <w:t>р</w:t>
      </w:r>
      <w:r w:rsidR="00847B04" w:rsidRPr="00F6340E">
        <w:t xml:space="preserve"> </w:t>
      </w:r>
      <w:r>
        <w:t>з</w:t>
      </w:r>
      <w:r w:rsidR="00A56E08">
        <w:t>а</w:t>
      </w:r>
      <w:r w:rsidR="00847B04" w:rsidRPr="00F6340E">
        <w:t xml:space="preserve"> </w:t>
      </w:r>
      <w:r w:rsidR="00A56E08">
        <w:t>ком</w:t>
      </w:r>
      <w:r w:rsidR="0071360A">
        <w:t>п</w:t>
      </w:r>
      <w:r w:rsidR="00EE6AA2">
        <w:t>е</w:t>
      </w:r>
      <w:r w:rsidR="0071360A">
        <w:t>т</w:t>
      </w:r>
      <w:r w:rsidR="00EE6AA2">
        <w:t>е</w:t>
      </w:r>
      <w:r w:rsidR="00A56E08">
        <w:t>нциј</w:t>
      </w:r>
      <w:r w:rsidR="00EE6AA2">
        <w:t>е</w:t>
      </w:r>
      <w:r w:rsidR="00847B04" w:rsidRPr="00F6340E">
        <w:t xml:space="preserve"> </w:t>
      </w:r>
      <w:r>
        <w:t>з</w:t>
      </w:r>
      <w:r w:rsidR="00A56E08">
        <w:t>а</w:t>
      </w:r>
      <w:r w:rsidR="000726A2" w:rsidRPr="00F6340E">
        <w:t xml:space="preserve"> </w:t>
      </w:r>
      <w:r w:rsidR="00A56E08">
        <w:t>ИК</w:t>
      </w:r>
      <w:r w:rsidR="0071360A">
        <w:t>Т</w:t>
      </w:r>
      <w:r w:rsidR="000726A2" w:rsidRPr="00F6340E">
        <w:t xml:space="preserve"> </w:t>
      </w:r>
      <w:r w:rsidR="00A56E08">
        <w:t>на</w:t>
      </w:r>
      <w:r w:rsidR="0071360A">
        <w:t>ст</w:t>
      </w:r>
      <w:r w:rsidR="00A56E08">
        <w:t>а</w:t>
      </w:r>
      <w:r w:rsidR="0071360A">
        <w:t>в</w:t>
      </w:r>
      <w:r w:rsidR="00A56E08">
        <w:t>ника</w:t>
      </w:r>
      <w:r w:rsidR="00847B04" w:rsidRPr="00F6340E">
        <w:t xml:space="preserve"> (</w:t>
      </w:r>
      <w:r w:rsidR="0071360A">
        <w:t>У</w:t>
      </w:r>
      <w:r w:rsidR="00A56E08">
        <w:t>Н</w:t>
      </w:r>
      <w:r w:rsidR="00EE6AA2">
        <w:t>Е</w:t>
      </w:r>
      <w:r w:rsidR="0071360A">
        <w:t>С</w:t>
      </w:r>
      <w:r w:rsidR="00A56E08">
        <w:t>ЦО</w:t>
      </w:r>
      <w:r w:rsidR="005549C9">
        <w:rPr>
          <w:lang w:val="hr-BA"/>
        </w:rPr>
        <w:t>-ov</w:t>
      </w:r>
      <w:r w:rsidR="00847B04" w:rsidRPr="00F6340E">
        <w:t xml:space="preserve"> </w:t>
      </w:r>
      <w:r w:rsidR="00A56E08">
        <w:t>ИЦ</w:t>
      </w:r>
      <w:r w:rsidR="0071360A">
        <w:t>Т</w:t>
      </w:r>
      <w:r w:rsidR="00847B04" w:rsidRPr="00F6340E">
        <w:t xml:space="preserve"> </w:t>
      </w:r>
      <w:r w:rsidR="005549C9">
        <w:rPr>
          <w:lang w:val="hr-BA"/>
        </w:rPr>
        <w:t>Competence framewok for teachers</w:t>
      </w:r>
      <w:r w:rsidR="00847B04" w:rsidRPr="00F6340E">
        <w:t xml:space="preserve">,) </w:t>
      </w:r>
      <w:r w:rsidR="00A56E08">
        <w:t>и</w:t>
      </w:r>
      <w:r w:rsidR="00847B04" w:rsidRPr="00F6340E">
        <w:t xml:space="preserve"> </w:t>
      </w:r>
      <w:r w:rsidR="00A56E08">
        <w:t>на</w:t>
      </w:r>
      <w:r w:rsidR="0071360A">
        <w:t>с</w:t>
      </w:r>
      <w:r w:rsidR="00A56E08">
        <w:t>лања</w:t>
      </w:r>
      <w:r w:rsidR="00847B04" w:rsidRPr="00F6340E">
        <w:t xml:space="preserve"> </w:t>
      </w:r>
      <w:r w:rsidR="0071360A">
        <w:t>с</w:t>
      </w:r>
      <w:r w:rsidR="00EE6AA2">
        <w:t>е</w:t>
      </w:r>
      <w:r w:rsidR="00847B04" w:rsidRPr="00F6340E">
        <w:t xml:space="preserve"> </w:t>
      </w:r>
      <w:r w:rsidR="00A56E08">
        <w:t>на</w:t>
      </w:r>
      <w:r w:rsidR="00847B04" w:rsidRPr="00F6340E">
        <w:t xml:space="preserve"> </w:t>
      </w:r>
      <w:r w:rsidR="00A56E08">
        <w:t>Од</w:t>
      </w:r>
      <w:r w:rsidR="0071360A">
        <w:t>р</w:t>
      </w:r>
      <w:r>
        <w:t>ж</w:t>
      </w:r>
      <w:r w:rsidR="00A56E08">
        <w:t>и</w:t>
      </w:r>
      <w:r w:rsidR="0071360A">
        <w:t>в</w:t>
      </w:r>
      <w:r w:rsidR="00EE6AA2">
        <w:t>е</w:t>
      </w:r>
      <w:r w:rsidR="00847B04" w:rsidRPr="00F6340E">
        <w:t xml:space="preserve"> </w:t>
      </w:r>
      <w:r w:rsidR="0071360A">
        <w:t>р</w:t>
      </w:r>
      <w:r w:rsidR="00A56E08">
        <w:t>а</w:t>
      </w:r>
      <w:r>
        <w:t>з</w:t>
      </w:r>
      <w:r w:rsidR="0071360A">
        <w:t>в</w:t>
      </w:r>
      <w:r w:rsidR="00A56E08">
        <w:t>ојн</w:t>
      </w:r>
      <w:r w:rsidR="00EE6AA2">
        <w:t>е</w:t>
      </w:r>
      <w:r w:rsidR="00847B04" w:rsidRPr="00F6340E">
        <w:t xml:space="preserve"> </w:t>
      </w:r>
      <w:r w:rsidR="00A56E08">
        <w:t>циљ</w:t>
      </w:r>
      <w:r w:rsidR="00EE6AA2">
        <w:t>е</w:t>
      </w:r>
      <w:r w:rsidR="0071360A">
        <w:t>в</w:t>
      </w:r>
      <w:r w:rsidR="00EE6AA2">
        <w:t>е</w:t>
      </w:r>
      <w:r w:rsidR="00847B04" w:rsidRPr="00F6340E">
        <w:t xml:space="preserve"> </w:t>
      </w:r>
      <w:r w:rsidR="0071360A">
        <w:t>у</w:t>
      </w:r>
      <w:r w:rsidR="00847B04" w:rsidRPr="00F6340E">
        <w:t xml:space="preserve"> </w:t>
      </w:r>
      <w:r w:rsidR="00A56E08">
        <w:t>Аг</w:t>
      </w:r>
      <w:r w:rsidR="00EE6AA2">
        <w:t>е</w:t>
      </w:r>
      <w:r w:rsidR="00A56E08">
        <w:t>нди</w:t>
      </w:r>
      <w:r w:rsidR="00847B04" w:rsidRPr="00F6340E">
        <w:t xml:space="preserve"> 2030. </w:t>
      </w:r>
      <w:r w:rsidR="00A56E08">
        <w:t>Као</w:t>
      </w:r>
      <w:r w:rsidR="00847B04" w:rsidRPr="00F6340E">
        <w:t xml:space="preserve"> </w:t>
      </w:r>
      <w:r w:rsidR="0071360A">
        <w:t>т</w:t>
      </w:r>
      <w:r w:rsidR="00A56E08">
        <w:t>ака</w:t>
      </w:r>
      <w:r w:rsidR="0071360A">
        <w:t>в</w:t>
      </w:r>
      <w:r w:rsidR="00847B04" w:rsidRPr="00F6340E">
        <w:t xml:space="preserve">, </w:t>
      </w:r>
      <w:r w:rsidR="00A56E08">
        <w:t>он</w:t>
      </w:r>
      <w:r w:rsidR="00847B04" w:rsidRPr="00F6340E">
        <w:t xml:space="preserve"> </w:t>
      </w:r>
      <w:r w:rsidR="00A56E08">
        <w:t>н</w:t>
      </w:r>
      <w:r w:rsidR="0071360A">
        <w:t>у</w:t>
      </w:r>
      <w:r w:rsidR="00A56E08">
        <w:t>ди</w:t>
      </w:r>
      <w:r w:rsidR="00847B04" w:rsidRPr="00F6340E">
        <w:t xml:space="preserve"> </w:t>
      </w:r>
      <w:r w:rsidR="00A56E08">
        <w:t>холи</w:t>
      </w:r>
      <w:r w:rsidR="0071360A">
        <w:t>ст</w:t>
      </w:r>
      <w:r w:rsidR="00A56E08">
        <w:t>ички</w:t>
      </w:r>
      <w:r w:rsidR="00847B04" w:rsidRPr="00F6340E">
        <w:t xml:space="preserve"> </w:t>
      </w:r>
      <w:r w:rsidR="0071360A">
        <w:t>пр</w:t>
      </w:r>
      <w:r w:rsidR="00A56E08">
        <w:t>и</w:t>
      </w:r>
      <w:r w:rsidR="0071360A">
        <w:t>ступ</w:t>
      </w:r>
      <w:r w:rsidR="00847B04" w:rsidRPr="00F6340E">
        <w:t xml:space="preserve"> </w:t>
      </w:r>
      <w:r w:rsidR="0071360A">
        <w:t>р</w:t>
      </w:r>
      <w:r w:rsidR="00A56E08">
        <w:t>а</w:t>
      </w:r>
      <w:r>
        <w:t>з</w:t>
      </w:r>
      <w:r w:rsidR="0071360A">
        <w:t>в</w:t>
      </w:r>
      <w:r w:rsidR="00A56E08">
        <w:t>ој</w:t>
      </w:r>
      <w:r w:rsidR="0071360A">
        <w:t>у</w:t>
      </w:r>
      <w:r w:rsidR="00847B04" w:rsidRPr="00F6340E">
        <w:t xml:space="preserve"> </w:t>
      </w:r>
      <w:r w:rsidR="00A56E08">
        <w:t>диги</w:t>
      </w:r>
      <w:r w:rsidR="0071360A">
        <w:t>т</w:t>
      </w:r>
      <w:r w:rsidR="00A56E08">
        <w:t>алних</w:t>
      </w:r>
      <w:r w:rsidR="00847B04" w:rsidRPr="00F6340E">
        <w:t xml:space="preserve"> </w:t>
      </w:r>
      <w:r w:rsidR="00A56E08">
        <w:t>ком</w:t>
      </w:r>
      <w:r w:rsidR="0071360A">
        <w:t>п</w:t>
      </w:r>
      <w:r w:rsidR="00EE6AA2">
        <w:t>е</w:t>
      </w:r>
      <w:r w:rsidR="0071360A">
        <w:t>т</w:t>
      </w:r>
      <w:r w:rsidR="00EE6AA2">
        <w:t>е</w:t>
      </w:r>
      <w:r w:rsidR="00A56E08">
        <w:t>нција</w:t>
      </w:r>
      <w:r w:rsidR="00847B04" w:rsidRPr="00F6340E">
        <w:t xml:space="preserve"> </w:t>
      </w:r>
      <w:r w:rsidR="00A56E08">
        <w:t>на</w:t>
      </w:r>
      <w:r w:rsidR="0071360A">
        <w:t>ст</w:t>
      </w:r>
      <w:r w:rsidR="00A56E08">
        <w:t>а</w:t>
      </w:r>
      <w:r w:rsidR="0071360A">
        <w:t>в</w:t>
      </w:r>
      <w:r w:rsidR="00A56E08">
        <w:t>ника</w:t>
      </w:r>
      <w:r w:rsidR="00847B04" w:rsidRPr="00F6340E">
        <w:t xml:space="preserve"> </w:t>
      </w:r>
      <w:r w:rsidR="0071360A">
        <w:t>у</w:t>
      </w:r>
      <w:r w:rsidR="00847B04" w:rsidRPr="00F6340E">
        <w:t xml:space="preserve"> </w:t>
      </w:r>
      <w:r w:rsidR="0071360A">
        <w:t>с</w:t>
      </w:r>
      <w:r w:rsidR="00A56E08">
        <w:t>љ</w:t>
      </w:r>
      <w:r w:rsidR="00EE6AA2">
        <w:t>е</w:t>
      </w:r>
      <w:r w:rsidR="00A56E08">
        <w:t>д</w:t>
      </w:r>
      <w:r w:rsidR="00EE6AA2">
        <w:t>е</w:t>
      </w:r>
      <w:r w:rsidR="00A56E08">
        <w:t>ћим</w:t>
      </w:r>
      <w:r w:rsidR="00847B04" w:rsidRPr="00F6340E">
        <w:t xml:space="preserve"> </w:t>
      </w:r>
      <w:r w:rsidR="0071360A">
        <w:t>п</w:t>
      </w:r>
      <w:r w:rsidR="00A56E08">
        <w:t>од</w:t>
      </w:r>
      <w:r w:rsidR="0071360A">
        <w:t>ру</w:t>
      </w:r>
      <w:r w:rsidR="00A56E08">
        <w:t>чјима</w:t>
      </w:r>
      <w:r w:rsidR="00847B04" w:rsidRPr="00F6340E">
        <w:t xml:space="preserve">: </w:t>
      </w:r>
      <w:r w:rsidR="00A56E08">
        <w:t>инкл</w:t>
      </w:r>
      <w:r w:rsidR="0071360A">
        <w:t>у</w:t>
      </w:r>
      <w:r>
        <w:t>з</w:t>
      </w:r>
      <w:r w:rsidR="00A56E08">
        <w:t>ија</w:t>
      </w:r>
      <w:r w:rsidR="00847B04" w:rsidRPr="00F6340E">
        <w:t xml:space="preserve">, </w:t>
      </w:r>
      <w:r w:rsidR="0071360A">
        <w:t>р</w:t>
      </w:r>
      <w:r w:rsidR="00A56E08">
        <w:t>а</w:t>
      </w:r>
      <w:r>
        <w:t>з</w:t>
      </w:r>
      <w:r w:rsidR="00A56E08">
        <w:t>личи</w:t>
      </w:r>
      <w:r w:rsidR="0071360A">
        <w:t>т</w:t>
      </w:r>
      <w:r w:rsidR="00A56E08">
        <w:t>о</w:t>
      </w:r>
      <w:r w:rsidR="0071360A">
        <w:t>ст</w:t>
      </w:r>
      <w:r w:rsidR="00847B04" w:rsidRPr="00F6340E">
        <w:t xml:space="preserve">, </w:t>
      </w:r>
      <w:r w:rsidR="0071360A">
        <w:t>п</w:t>
      </w:r>
      <w:r w:rsidR="00EE6AA2">
        <w:t>е</w:t>
      </w:r>
      <w:r w:rsidR="00A56E08">
        <w:t>дагогија</w:t>
      </w:r>
      <w:r w:rsidR="00847B04" w:rsidRPr="00F6340E">
        <w:t xml:space="preserve"> </w:t>
      </w:r>
      <w:r w:rsidR="00A56E08">
        <w:t>и</w:t>
      </w:r>
      <w:r w:rsidR="00847B04" w:rsidRPr="00F6340E">
        <w:t xml:space="preserve"> </w:t>
      </w:r>
      <w:r w:rsidR="00A56E08">
        <w:t>диги</w:t>
      </w:r>
      <w:r w:rsidR="0071360A">
        <w:t>т</w:t>
      </w:r>
      <w:r w:rsidR="00A56E08">
        <w:t>ална</w:t>
      </w:r>
      <w:r w:rsidR="00847B04" w:rsidRPr="00F6340E">
        <w:t xml:space="preserve"> </w:t>
      </w:r>
      <w:r w:rsidR="0071360A">
        <w:t>п</w:t>
      </w:r>
      <w:r w:rsidR="00A56E08">
        <w:t>и</w:t>
      </w:r>
      <w:r w:rsidR="0071360A">
        <w:t>с</w:t>
      </w:r>
      <w:r w:rsidR="00A56E08">
        <w:t>м</w:t>
      </w:r>
      <w:r w:rsidR="00EE6AA2">
        <w:t>е</w:t>
      </w:r>
      <w:r w:rsidR="00A56E08">
        <w:t>но</w:t>
      </w:r>
      <w:r w:rsidR="0071360A">
        <w:t>ст</w:t>
      </w:r>
      <w:r w:rsidR="00847B04" w:rsidRPr="00F6340E">
        <w:t xml:space="preserve"> (</w:t>
      </w:r>
      <w:r w:rsidR="0071360A">
        <w:t>У</w:t>
      </w:r>
      <w:r w:rsidR="00A56E08">
        <w:t>НИЦ</w:t>
      </w:r>
      <w:r w:rsidR="00EE6AA2">
        <w:t>Е</w:t>
      </w:r>
      <w:r w:rsidR="00A56E08">
        <w:t>Ф</w:t>
      </w:r>
      <w:r w:rsidR="00847B04" w:rsidRPr="00F6340E">
        <w:t xml:space="preserve"> </w:t>
      </w:r>
      <w:r w:rsidR="00EE6AA2">
        <w:t>Е</w:t>
      </w:r>
      <w:r w:rsidR="00A56E08">
        <w:t>ДЦ</w:t>
      </w:r>
      <w:r w:rsidR="00847B04" w:rsidRPr="00F6340E">
        <w:t xml:space="preserve">, 2021: 7). </w:t>
      </w:r>
      <w:r w:rsidR="00A56E08">
        <w:t>Очигл</w:t>
      </w:r>
      <w:r w:rsidR="00EE6AA2">
        <w:t>е</w:t>
      </w:r>
      <w:r w:rsidR="00A56E08">
        <w:t>дно</w:t>
      </w:r>
      <w:r w:rsidR="00847B04" w:rsidRPr="00F6340E">
        <w:t xml:space="preserve"> </w:t>
      </w:r>
      <w:r w:rsidR="00A56E08">
        <w:t>ј</w:t>
      </w:r>
      <w:r w:rsidR="00EE6AA2">
        <w:t>е</w:t>
      </w:r>
      <w:r w:rsidR="00847B04" w:rsidRPr="00F6340E">
        <w:t xml:space="preserve"> </w:t>
      </w:r>
      <w:r w:rsidR="00A56E08">
        <w:t>да</w:t>
      </w:r>
      <w:r w:rsidR="00847B04" w:rsidRPr="00F6340E">
        <w:t xml:space="preserve"> </w:t>
      </w:r>
      <w:r w:rsidR="00A56E08">
        <w:t>на</w:t>
      </w:r>
      <w:r w:rsidR="0071360A">
        <w:t>в</w:t>
      </w:r>
      <w:r w:rsidR="00EE6AA2">
        <w:t>е</w:t>
      </w:r>
      <w:r w:rsidR="00A56E08">
        <w:t>д</w:t>
      </w:r>
      <w:r w:rsidR="00EE6AA2">
        <w:t>е</w:t>
      </w:r>
      <w:r w:rsidR="00A56E08">
        <w:t>на</w:t>
      </w:r>
      <w:r w:rsidR="00847B04" w:rsidRPr="00F6340E">
        <w:t xml:space="preserve"> </w:t>
      </w:r>
      <w:r w:rsidR="0071360A">
        <w:t>п</w:t>
      </w:r>
      <w:r w:rsidR="00A56E08">
        <w:t>од</w:t>
      </w:r>
      <w:r w:rsidR="0071360A">
        <w:t>ру</w:t>
      </w:r>
      <w:r w:rsidR="00A56E08">
        <w:t>чја</w:t>
      </w:r>
      <w:r w:rsidR="00847B04" w:rsidRPr="00F6340E">
        <w:t xml:space="preserve"> </w:t>
      </w:r>
      <w:r w:rsidR="0071360A">
        <w:t>стру</w:t>
      </w:r>
      <w:r w:rsidR="00A56E08">
        <w:t>чног</w:t>
      </w:r>
      <w:r w:rsidR="00847B04" w:rsidRPr="00F6340E">
        <w:t xml:space="preserve"> </w:t>
      </w:r>
      <w:r w:rsidR="0071360A">
        <w:t>ус</w:t>
      </w:r>
      <w:r w:rsidR="00A56E08">
        <w:t>а</w:t>
      </w:r>
      <w:r w:rsidR="0071360A">
        <w:t>врш</w:t>
      </w:r>
      <w:r w:rsidR="00A56E08">
        <w:t>а</w:t>
      </w:r>
      <w:r w:rsidR="0071360A">
        <w:t>в</w:t>
      </w:r>
      <w:r w:rsidR="00A56E08">
        <w:t>ања</w:t>
      </w:r>
      <w:r w:rsidR="00847B04" w:rsidRPr="00F6340E">
        <w:t xml:space="preserve"> </w:t>
      </w:r>
      <w:r w:rsidR="00A56E08">
        <w:t>одго</w:t>
      </w:r>
      <w:r w:rsidR="0071360A">
        <w:t>в</w:t>
      </w:r>
      <w:r w:rsidR="00A56E08">
        <w:t>а</w:t>
      </w:r>
      <w:r w:rsidR="0071360A">
        <w:t>р</w:t>
      </w:r>
      <w:r w:rsidR="00A56E08">
        <w:t>ај</w:t>
      </w:r>
      <w:r w:rsidR="0071360A">
        <w:t>у</w:t>
      </w:r>
      <w:r w:rsidR="00847B04" w:rsidRPr="00F6340E">
        <w:t xml:space="preserve"> </w:t>
      </w:r>
      <w:r w:rsidR="00A56E08">
        <w:t>на</w:t>
      </w:r>
      <w:r w:rsidR="00847B04" w:rsidRPr="00F6340E">
        <w:t xml:space="preserve"> </w:t>
      </w:r>
      <w:r>
        <w:t>з</w:t>
      </w:r>
      <w:r w:rsidR="00A56E08">
        <w:t>ах</w:t>
      </w:r>
      <w:r w:rsidR="0071360A">
        <w:t>т</w:t>
      </w:r>
      <w:r w:rsidR="00A56E08">
        <w:t>ј</w:t>
      </w:r>
      <w:r w:rsidR="00EE6AA2">
        <w:t>е</w:t>
      </w:r>
      <w:r w:rsidR="0071360A">
        <w:t>в</w:t>
      </w:r>
      <w:r w:rsidR="00EE6AA2">
        <w:t>е</w:t>
      </w:r>
      <w:r w:rsidR="00847B04" w:rsidRPr="00F6340E">
        <w:t xml:space="preserve"> </w:t>
      </w:r>
      <w:r w:rsidR="0071360A">
        <w:t>пр</w:t>
      </w:r>
      <w:r w:rsidR="00A56E08">
        <w:t>ак</w:t>
      </w:r>
      <w:r w:rsidR="0071360A">
        <w:t>с</w:t>
      </w:r>
      <w:r w:rsidR="00EE6AA2">
        <w:t>е</w:t>
      </w:r>
      <w:r w:rsidR="00847B04" w:rsidRPr="00F6340E">
        <w:t xml:space="preserve"> </w:t>
      </w:r>
      <w:r w:rsidR="00A56E08">
        <w:t>к</w:t>
      </w:r>
      <w:r w:rsidR="0071360A">
        <w:t>в</w:t>
      </w:r>
      <w:r w:rsidR="00A56E08">
        <w:t>али</w:t>
      </w:r>
      <w:r w:rsidR="0071360A">
        <w:t>т</w:t>
      </w:r>
      <w:r w:rsidR="00EE6AA2">
        <w:t>е</w:t>
      </w:r>
      <w:r w:rsidR="0071360A">
        <w:t>т</w:t>
      </w:r>
      <w:r w:rsidR="00A56E08">
        <w:t>ног</w:t>
      </w:r>
      <w:r w:rsidR="00847B04" w:rsidRPr="00F6340E">
        <w:t xml:space="preserve"> </w:t>
      </w:r>
      <w:r w:rsidR="00A56E08">
        <w:t>инкл</w:t>
      </w:r>
      <w:r w:rsidR="0071360A">
        <w:t>у</w:t>
      </w:r>
      <w:r>
        <w:t>з</w:t>
      </w:r>
      <w:r w:rsidR="00A56E08">
        <w:t>и</w:t>
      </w:r>
      <w:r w:rsidR="0071360A">
        <w:t>в</w:t>
      </w:r>
      <w:r w:rsidR="00A56E08">
        <w:t>ног</w:t>
      </w:r>
      <w:r w:rsidR="00847B04" w:rsidRPr="00F6340E">
        <w:t xml:space="preserve"> </w:t>
      </w:r>
      <w:r w:rsidR="00A56E08">
        <w:t>об</w:t>
      </w:r>
      <w:r w:rsidR="0071360A">
        <w:t>р</w:t>
      </w:r>
      <w:r w:rsidR="00A56E08">
        <w:t>а</w:t>
      </w:r>
      <w:r>
        <w:t>з</w:t>
      </w:r>
      <w:r w:rsidR="00A56E08">
        <w:t>о</w:t>
      </w:r>
      <w:r w:rsidR="0071360A">
        <w:t>в</w:t>
      </w:r>
      <w:r w:rsidR="00A56E08">
        <w:t>ања</w:t>
      </w:r>
      <w:r w:rsidR="00847B04" w:rsidRPr="00F6340E">
        <w:t xml:space="preserve">. </w:t>
      </w:r>
      <w:r w:rsidR="00A56E08">
        <w:t>Дода</w:t>
      </w:r>
      <w:r w:rsidR="0071360A">
        <w:t>т</w:t>
      </w:r>
      <w:r w:rsidR="00A56E08">
        <w:t>н</w:t>
      </w:r>
      <w:r w:rsidR="0071360A">
        <w:t>у</w:t>
      </w:r>
      <w:r w:rsidR="00847B04" w:rsidRPr="00F6340E">
        <w:t xml:space="preserve"> </w:t>
      </w:r>
      <w:r w:rsidR="0071360A">
        <w:t>вр</w:t>
      </w:r>
      <w:r w:rsidR="00A56E08">
        <w:t>иј</w:t>
      </w:r>
      <w:r w:rsidR="00EE6AA2">
        <w:t>е</w:t>
      </w:r>
      <w:r w:rsidR="00A56E08">
        <w:t>дно</w:t>
      </w:r>
      <w:r w:rsidR="0071360A">
        <w:t>ст</w:t>
      </w:r>
      <w:r w:rsidR="00847B04" w:rsidRPr="00F6340E">
        <w:t xml:space="preserve"> </w:t>
      </w:r>
      <w:r w:rsidR="00A56E08">
        <w:t>има</w:t>
      </w:r>
      <w:r w:rsidR="00847B04" w:rsidRPr="00F6340E">
        <w:t xml:space="preserve"> </w:t>
      </w:r>
      <w:r w:rsidR="00A56E08">
        <w:t>и</w:t>
      </w:r>
      <w:r w:rsidR="00847B04" w:rsidRPr="00F6340E">
        <w:t xml:space="preserve"> </w:t>
      </w:r>
      <w:r w:rsidR="0071360A">
        <w:t>пр</w:t>
      </w:r>
      <w:r w:rsidR="00A56E08">
        <w:t>имј</w:t>
      </w:r>
      <w:r w:rsidR="00EE6AA2">
        <w:t>е</w:t>
      </w:r>
      <w:r w:rsidR="00A56E08">
        <w:t>на</w:t>
      </w:r>
      <w:r w:rsidR="00847B04" w:rsidRPr="00F6340E">
        <w:t xml:space="preserve"> </w:t>
      </w:r>
      <w:r w:rsidR="00A56E08">
        <w:t>диги</w:t>
      </w:r>
      <w:r w:rsidR="0071360A">
        <w:t>т</w:t>
      </w:r>
      <w:r w:rsidR="00A56E08">
        <w:t>алних</w:t>
      </w:r>
      <w:r w:rsidR="00847B04" w:rsidRPr="00F6340E">
        <w:t xml:space="preserve"> </w:t>
      </w:r>
      <w:r w:rsidR="00A56E08">
        <w:t>ала</w:t>
      </w:r>
      <w:r w:rsidR="0071360A">
        <w:t>т</w:t>
      </w:r>
      <w:r w:rsidR="00A56E08">
        <w:t>а</w:t>
      </w:r>
      <w:r w:rsidR="00847B04" w:rsidRPr="00F6340E">
        <w:t xml:space="preserve"> </w:t>
      </w:r>
      <w:r w:rsidR="00A56E08">
        <w:t>који</w:t>
      </w:r>
      <w:r w:rsidR="00847B04" w:rsidRPr="00F6340E">
        <w:t xml:space="preserve"> </w:t>
      </w:r>
      <w:r w:rsidR="0071360A">
        <w:t>пр</w:t>
      </w:r>
      <w:r w:rsidR="00A56E08">
        <w:t>оц</w:t>
      </w:r>
      <w:r w:rsidR="00EE6AA2">
        <w:t>е</w:t>
      </w:r>
      <w:r w:rsidR="0071360A">
        <w:t>с</w:t>
      </w:r>
      <w:r w:rsidR="00847B04" w:rsidRPr="00F6340E">
        <w:t xml:space="preserve"> </w:t>
      </w:r>
      <w:r w:rsidR="0071360A">
        <w:t>у</w:t>
      </w:r>
      <w:r w:rsidR="00A56E08">
        <w:t>ч</w:t>
      </w:r>
      <w:r w:rsidR="00EE6AA2">
        <w:t>е</w:t>
      </w:r>
      <w:r w:rsidR="00A56E08">
        <w:t>ња</w:t>
      </w:r>
      <w:r w:rsidR="00847B04" w:rsidRPr="00F6340E">
        <w:t xml:space="preserve"> </w:t>
      </w:r>
      <w:r w:rsidR="00A56E08">
        <w:t>и</w:t>
      </w:r>
      <w:r w:rsidR="00847B04" w:rsidRPr="00F6340E">
        <w:t xml:space="preserve"> </w:t>
      </w:r>
      <w:r w:rsidR="0071360A">
        <w:t>п</w:t>
      </w:r>
      <w:r w:rsidR="00A56E08">
        <w:t>од</w:t>
      </w:r>
      <w:r w:rsidR="0071360A">
        <w:t>у</w:t>
      </w:r>
      <w:r w:rsidR="00A56E08">
        <w:t>ча</w:t>
      </w:r>
      <w:r w:rsidR="0071360A">
        <w:t>в</w:t>
      </w:r>
      <w:r w:rsidR="00A56E08">
        <w:t>ања</w:t>
      </w:r>
      <w:r w:rsidR="00847B04" w:rsidRPr="00F6340E">
        <w:t xml:space="preserve"> </w:t>
      </w:r>
      <w:r w:rsidR="0071360A">
        <w:t>тр</w:t>
      </w:r>
      <w:r w:rsidR="00A56E08">
        <w:t>ан</w:t>
      </w:r>
      <w:r w:rsidR="0071360A">
        <w:t>с</w:t>
      </w:r>
      <w:r w:rsidR="00A56E08">
        <w:t>фо</w:t>
      </w:r>
      <w:r w:rsidR="0071360A">
        <w:t>р</w:t>
      </w:r>
      <w:r w:rsidR="00A56E08">
        <w:t>ми</w:t>
      </w:r>
      <w:r w:rsidR="0071360A">
        <w:t>р</w:t>
      </w:r>
      <w:r w:rsidR="00A56E08">
        <w:t>а</w:t>
      </w:r>
      <w:r w:rsidR="00847B04" w:rsidRPr="00F6340E">
        <w:t xml:space="preserve"> </w:t>
      </w:r>
      <w:r w:rsidR="00A56E08">
        <w:t>и</w:t>
      </w:r>
      <w:r w:rsidR="00847B04" w:rsidRPr="00F6340E">
        <w:t xml:space="preserve"> </w:t>
      </w:r>
      <w:r w:rsidR="00A56E08">
        <w:t>чини</w:t>
      </w:r>
      <w:r w:rsidR="00847B04" w:rsidRPr="00F6340E">
        <w:t xml:space="preserve"> </w:t>
      </w:r>
      <w:r w:rsidR="0071360A">
        <w:t>пр</w:t>
      </w:r>
      <w:r w:rsidR="00A56E08">
        <w:t>и</w:t>
      </w:r>
      <w:r w:rsidR="0071360A">
        <w:t>ступ</w:t>
      </w:r>
      <w:r w:rsidR="00A56E08">
        <w:t>ачнијим</w:t>
      </w:r>
      <w:r w:rsidR="00847B04" w:rsidRPr="00F6340E">
        <w:t xml:space="preserve"> </w:t>
      </w:r>
      <w:r w:rsidR="0071360A">
        <w:t>св</w:t>
      </w:r>
      <w:r w:rsidR="00A56E08">
        <w:t>им</w:t>
      </w:r>
      <w:r w:rsidR="00847B04" w:rsidRPr="00F6340E">
        <w:t xml:space="preserve"> </w:t>
      </w:r>
      <w:r w:rsidR="0071360A">
        <w:t>у</w:t>
      </w:r>
      <w:r w:rsidR="00A56E08">
        <w:t>ч</w:t>
      </w:r>
      <w:r w:rsidR="00EE6AA2">
        <w:t>е</w:t>
      </w:r>
      <w:r w:rsidR="00A56E08">
        <w:t>ницима</w:t>
      </w:r>
      <w:r w:rsidR="00847B04" w:rsidRPr="00F6340E">
        <w:t>/</w:t>
      </w:r>
      <w:r w:rsidR="0071360A">
        <w:t>сту</w:t>
      </w:r>
      <w:r w:rsidR="00A56E08">
        <w:t>д</w:t>
      </w:r>
      <w:r w:rsidR="00EE6AA2">
        <w:t>е</w:t>
      </w:r>
      <w:r w:rsidR="00A56E08">
        <w:t>н</w:t>
      </w:r>
      <w:r w:rsidR="0071360A">
        <w:t>т</w:t>
      </w:r>
      <w:r w:rsidR="00A56E08">
        <w:t>има</w:t>
      </w:r>
      <w:r w:rsidR="00E47419" w:rsidRPr="00F6340E">
        <w:t>,</w:t>
      </w:r>
      <w:r w:rsidR="00847B04" w:rsidRPr="00F6340E">
        <w:t xml:space="preserve"> </w:t>
      </w:r>
      <w:r w:rsidR="0071360A">
        <w:t>п</w:t>
      </w:r>
      <w:r w:rsidR="00A56E08">
        <w:t>о</w:t>
      </w:r>
      <w:r w:rsidR="0071360A">
        <w:t>с</w:t>
      </w:r>
      <w:r w:rsidR="00EE6AA2">
        <w:t>е</w:t>
      </w:r>
      <w:r w:rsidR="00A56E08">
        <w:t>бно</w:t>
      </w:r>
      <w:r w:rsidR="00847B04" w:rsidRPr="00F6340E">
        <w:t xml:space="preserve"> </w:t>
      </w:r>
      <w:r w:rsidR="00A56E08">
        <w:t>када</w:t>
      </w:r>
      <w:r w:rsidR="00847B04" w:rsidRPr="00F6340E">
        <w:t xml:space="preserve"> </w:t>
      </w:r>
      <w:r w:rsidR="00A56E08">
        <w:t>го</w:t>
      </w:r>
      <w:r w:rsidR="0071360A">
        <w:t>в</w:t>
      </w:r>
      <w:r w:rsidR="00A56E08">
        <w:t>о</w:t>
      </w:r>
      <w:r w:rsidR="0071360A">
        <w:t>р</w:t>
      </w:r>
      <w:r w:rsidR="00A56E08">
        <w:t>имо</w:t>
      </w:r>
      <w:r w:rsidR="00847B04" w:rsidRPr="00F6340E">
        <w:t xml:space="preserve"> </w:t>
      </w:r>
      <w:r w:rsidR="00A56E08">
        <w:t>о</w:t>
      </w:r>
      <w:r w:rsidR="00847B04" w:rsidRPr="00F6340E">
        <w:t xml:space="preserve"> </w:t>
      </w:r>
      <w:r w:rsidR="00A56E08">
        <w:t>мог</w:t>
      </w:r>
      <w:r w:rsidR="0071360A">
        <w:t>у</w:t>
      </w:r>
      <w:r w:rsidR="00A56E08">
        <w:t>ћно</w:t>
      </w:r>
      <w:r w:rsidR="0071360A">
        <w:t>ст</w:t>
      </w:r>
      <w:r w:rsidR="00A56E08">
        <w:t>и</w:t>
      </w:r>
      <w:r w:rsidR="00847B04" w:rsidRPr="00F6340E">
        <w:t xml:space="preserve"> </w:t>
      </w:r>
      <w:r w:rsidR="0071360A">
        <w:t>уп</w:t>
      </w:r>
      <w:r w:rsidR="00A56E08">
        <w:t>о</w:t>
      </w:r>
      <w:r w:rsidR="0071360A">
        <w:t>тр</w:t>
      </w:r>
      <w:r w:rsidR="00EE6AA2">
        <w:t>е</w:t>
      </w:r>
      <w:r w:rsidR="00A56E08">
        <w:t>б</w:t>
      </w:r>
      <w:r w:rsidR="00EE6AA2">
        <w:t>е</w:t>
      </w:r>
      <w:r w:rsidR="00847B04" w:rsidRPr="00F6340E">
        <w:t xml:space="preserve"> </w:t>
      </w:r>
      <w:r w:rsidR="00A56E08">
        <w:t>а</w:t>
      </w:r>
      <w:r w:rsidR="0071360A">
        <w:t>с</w:t>
      </w:r>
      <w:r w:rsidR="00A56E08">
        <w:t>и</w:t>
      </w:r>
      <w:r w:rsidR="0071360A">
        <w:t>ст</w:t>
      </w:r>
      <w:r w:rsidR="00A56E08">
        <w:t>и</w:t>
      </w:r>
      <w:r w:rsidR="0071360A">
        <w:t>в</w:t>
      </w:r>
      <w:r w:rsidR="00A56E08">
        <w:t>н</w:t>
      </w:r>
      <w:r w:rsidR="00EE6AA2">
        <w:t>е</w:t>
      </w:r>
      <w:r w:rsidR="00847B04" w:rsidRPr="00F6340E">
        <w:t xml:space="preserve"> </w:t>
      </w:r>
      <w:r w:rsidR="0071360A">
        <w:t>т</w:t>
      </w:r>
      <w:r w:rsidR="00EE6AA2">
        <w:t>е</w:t>
      </w:r>
      <w:r w:rsidR="00A56E08">
        <w:t>хнологиј</w:t>
      </w:r>
      <w:r w:rsidR="00EE6AA2">
        <w:t>е</w:t>
      </w:r>
      <w:r w:rsidR="00847B04" w:rsidRPr="00F6340E">
        <w:t xml:space="preserve">. </w:t>
      </w:r>
      <w:r w:rsidR="00A56E08">
        <w:t>Ок</w:t>
      </w:r>
      <w:r w:rsidR="0071360A">
        <w:t>в</w:t>
      </w:r>
      <w:r w:rsidR="00A56E08">
        <w:t>и</w:t>
      </w:r>
      <w:r w:rsidR="0071360A">
        <w:t>р</w:t>
      </w:r>
      <w:r w:rsidR="00847B04" w:rsidRPr="00F6340E">
        <w:t xml:space="preserve"> </w:t>
      </w:r>
      <w:r w:rsidR="00A56E08">
        <w:t>диги</w:t>
      </w:r>
      <w:r w:rsidR="0071360A">
        <w:t>т</w:t>
      </w:r>
      <w:r w:rsidR="00A56E08">
        <w:t>алних</w:t>
      </w:r>
      <w:r w:rsidR="00847B04" w:rsidRPr="00F6340E">
        <w:t xml:space="preserve"> </w:t>
      </w:r>
      <w:r w:rsidR="00A56E08">
        <w:t>ком</w:t>
      </w:r>
      <w:r w:rsidR="0071360A">
        <w:t>п</w:t>
      </w:r>
      <w:r w:rsidR="00EE6AA2">
        <w:t>е</w:t>
      </w:r>
      <w:r w:rsidR="0071360A">
        <w:t>т</w:t>
      </w:r>
      <w:r w:rsidR="00EE6AA2">
        <w:t>е</w:t>
      </w:r>
      <w:r w:rsidR="00A56E08">
        <w:t>нција</w:t>
      </w:r>
      <w:r w:rsidR="00847B04" w:rsidRPr="00F6340E">
        <w:t xml:space="preserve"> </w:t>
      </w:r>
      <w:r w:rsidR="00A56E08">
        <w:t>на</w:t>
      </w:r>
      <w:r w:rsidR="0071360A">
        <w:t>ст</w:t>
      </w:r>
      <w:r w:rsidR="00A56E08">
        <w:t>а</w:t>
      </w:r>
      <w:r w:rsidR="0071360A">
        <w:t>в</w:t>
      </w:r>
      <w:r w:rsidR="00A56E08">
        <w:t>ника</w:t>
      </w:r>
      <w:r w:rsidR="00847B04" w:rsidRPr="00F6340E">
        <w:t xml:space="preserve"> (</w:t>
      </w:r>
      <w:r w:rsidR="0071360A">
        <w:t>У</w:t>
      </w:r>
      <w:r w:rsidR="00A56E08">
        <w:t>НИЦ</w:t>
      </w:r>
      <w:r w:rsidR="00EE6AA2">
        <w:t>Е</w:t>
      </w:r>
      <w:r w:rsidR="00A56E08">
        <w:t>Ф</w:t>
      </w:r>
      <w:r w:rsidR="00847B04" w:rsidRPr="00F6340E">
        <w:t xml:space="preserve"> </w:t>
      </w:r>
      <w:r w:rsidR="00EE6AA2">
        <w:t>Е</w:t>
      </w:r>
      <w:r w:rsidR="00A56E08">
        <w:t>ДЦ</w:t>
      </w:r>
      <w:r w:rsidR="00847B04" w:rsidRPr="00F6340E">
        <w:t xml:space="preserve">, </w:t>
      </w:r>
      <w:r w:rsidR="00847B04" w:rsidRPr="00F6340E">
        <w:lastRenderedPageBreak/>
        <w:t xml:space="preserve">2021), </w:t>
      </w:r>
      <w:r>
        <w:t>з</w:t>
      </w:r>
      <w:r w:rsidR="00A56E08">
        <w:t>а</w:t>
      </w:r>
      <w:r w:rsidR="0071360A">
        <w:t>т</w:t>
      </w:r>
      <w:r w:rsidR="00A56E08">
        <w:t>о</w:t>
      </w:r>
      <w:r w:rsidR="00847B04" w:rsidRPr="00F6340E">
        <w:t xml:space="preserve"> </w:t>
      </w:r>
      <w:r w:rsidR="0071360A">
        <w:t>п</w:t>
      </w:r>
      <w:r w:rsidR="00A56E08">
        <w:t>ола</w:t>
      </w:r>
      <w:r>
        <w:t>з</w:t>
      </w:r>
      <w:r w:rsidR="00A56E08">
        <w:t>и</w:t>
      </w:r>
      <w:r w:rsidR="00847B04" w:rsidRPr="00F6340E">
        <w:t xml:space="preserve"> </w:t>
      </w:r>
      <w:r w:rsidR="00A56E08">
        <w:t>од</w:t>
      </w:r>
      <w:r w:rsidR="00847B04" w:rsidRPr="00F6340E">
        <w:t xml:space="preserve"> </w:t>
      </w:r>
      <w:r w:rsidR="0071360A">
        <w:t>п</w:t>
      </w:r>
      <w:r w:rsidR="00A56E08">
        <w:t>о</w:t>
      </w:r>
      <w:r w:rsidR="0071360A">
        <w:t>тр</w:t>
      </w:r>
      <w:r w:rsidR="00EE6AA2">
        <w:t>е</w:t>
      </w:r>
      <w:r w:rsidR="00A56E08">
        <w:t>б</w:t>
      </w:r>
      <w:r w:rsidR="00EE6AA2">
        <w:t>е</w:t>
      </w:r>
      <w:r w:rsidR="00847B04" w:rsidRPr="00F6340E">
        <w:t xml:space="preserve"> </w:t>
      </w:r>
      <w:r>
        <w:t>з</w:t>
      </w:r>
      <w:r w:rsidR="00A56E08">
        <w:t>а</w:t>
      </w:r>
      <w:r w:rsidR="00847B04" w:rsidRPr="00F6340E">
        <w:t xml:space="preserve"> </w:t>
      </w:r>
      <w:r w:rsidR="00A56E08">
        <w:t>ин</w:t>
      </w:r>
      <w:r w:rsidR="0071360A">
        <w:t>т</w:t>
      </w:r>
      <w:r w:rsidR="00EE6AA2">
        <w:t>е</w:t>
      </w:r>
      <w:r w:rsidR="00A56E08">
        <w:t>г</w:t>
      </w:r>
      <w:r w:rsidR="0071360A">
        <w:t>р</w:t>
      </w:r>
      <w:r w:rsidR="00A56E08">
        <w:t>и</w:t>
      </w:r>
      <w:r w:rsidR="0071360A">
        <w:t>с</w:t>
      </w:r>
      <w:r w:rsidR="00A56E08">
        <w:t>ањ</w:t>
      </w:r>
      <w:r w:rsidR="00EE6AA2">
        <w:t>е</w:t>
      </w:r>
      <w:r w:rsidR="00A56E08">
        <w:t>м</w:t>
      </w:r>
      <w:r w:rsidR="00847B04" w:rsidRPr="00F6340E">
        <w:t xml:space="preserve"> </w:t>
      </w:r>
      <w:r w:rsidR="00A56E08">
        <w:t>диги</w:t>
      </w:r>
      <w:r w:rsidR="0071360A">
        <w:t>т</w:t>
      </w:r>
      <w:r w:rsidR="00A56E08">
        <w:t>алних</w:t>
      </w:r>
      <w:r w:rsidR="00847B04" w:rsidRPr="00F6340E">
        <w:t xml:space="preserve"> </w:t>
      </w:r>
      <w:r w:rsidR="0071360A">
        <w:t>т</w:t>
      </w:r>
      <w:r w:rsidR="00EE6AA2">
        <w:t>е</w:t>
      </w:r>
      <w:r w:rsidR="00A56E08">
        <w:t>хнологија</w:t>
      </w:r>
      <w:r w:rsidR="00847B04" w:rsidRPr="00F6340E">
        <w:t xml:space="preserve"> </w:t>
      </w:r>
      <w:r w:rsidR="0071360A">
        <w:t>у</w:t>
      </w:r>
      <w:r w:rsidR="00847B04" w:rsidRPr="00F6340E">
        <w:t xml:space="preserve"> </w:t>
      </w:r>
      <w:r w:rsidR="0071360A">
        <w:t>пр</w:t>
      </w:r>
      <w:r w:rsidR="00A56E08">
        <w:t>оц</w:t>
      </w:r>
      <w:r w:rsidR="00EE6AA2">
        <w:t>е</w:t>
      </w:r>
      <w:r w:rsidR="0071360A">
        <w:t>с</w:t>
      </w:r>
      <w:r w:rsidR="00847B04" w:rsidRPr="00F6340E">
        <w:t xml:space="preserve"> </w:t>
      </w:r>
      <w:r w:rsidR="0071360A">
        <w:t>у</w:t>
      </w:r>
      <w:r w:rsidR="00A56E08">
        <w:t>ч</w:t>
      </w:r>
      <w:r w:rsidR="00EE6AA2">
        <w:t>е</w:t>
      </w:r>
      <w:r w:rsidR="00A56E08">
        <w:t>ња</w:t>
      </w:r>
      <w:r w:rsidR="00847B04" w:rsidRPr="00F6340E">
        <w:t xml:space="preserve"> </w:t>
      </w:r>
      <w:r w:rsidR="00A56E08">
        <w:t>и</w:t>
      </w:r>
      <w:r w:rsidR="00847B04" w:rsidRPr="00F6340E">
        <w:t xml:space="preserve"> </w:t>
      </w:r>
      <w:r w:rsidR="0071360A">
        <w:t>п</w:t>
      </w:r>
      <w:r w:rsidR="00A56E08">
        <w:t>од</w:t>
      </w:r>
      <w:r w:rsidR="0071360A">
        <w:t>у</w:t>
      </w:r>
      <w:r w:rsidR="00A56E08">
        <w:t>ча</w:t>
      </w:r>
      <w:r w:rsidR="0071360A">
        <w:t>в</w:t>
      </w:r>
      <w:r w:rsidR="00A56E08">
        <w:t>ања</w:t>
      </w:r>
      <w:r w:rsidR="00847B04" w:rsidRPr="00F6340E">
        <w:t xml:space="preserve"> </w:t>
      </w:r>
      <w:r w:rsidR="00A56E08">
        <w:t>о</w:t>
      </w:r>
      <w:r w:rsidR="0071360A">
        <w:t>с</w:t>
      </w:r>
      <w:r w:rsidR="00A56E08">
        <w:t>иг</w:t>
      </w:r>
      <w:r w:rsidR="0071360A">
        <w:t>ур</w:t>
      </w:r>
      <w:r w:rsidR="00A56E08">
        <w:t>а</w:t>
      </w:r>
      <w:r w:rsidR="0071360A">
        <w:t>в</w:t>
      </w:r>
      <w:r w:rsidR="00A56E08">
        <w:t>ај</w:t>
      </w:r>
      <w:r w:rsidR="0071360A">
        <w:t>у</w:t>
      </w:r>
      <w:r w:rsidR="00A56E08">
        <w:t>ћи</w:t>
      </w:r>
      <w:r w:rsidR="00847B04" w:rsidRPr="00F6340E">
        <w:t xml:space="preserve"> </w:t>
      </w:r>
      <w:r w:rsidR="00A56E08">
        <w:t>инкл</w:t>
      </w:r>
      <w:r w:rsidR="0071360A">
        <w:t>у</w:t>
      </w:r>
      <w:r>
        <w:t>з</w:t>
      </w:r>
      <w:r w:rsidR="00A56E08">
        <w:t>и</w:t>
      </w:r>
      <w:r w:rsidR="0071360A">
        <w:t>в</w:t>
      </w:r>
      <w:r w:rsidR="00A56E08">
        <w:t>ни</w:t>
      </w:r>
      <w:r w:rsidR="00847B04" w:rsidRPr="00F6340E">
        <w:t xml:space="preserve"> </w:t>
      </w:r>
      <w:r w:rsidR="0071360A">
        <w:t>пр</w:t>
      </w:r>
      <w:r w:rsidR="00A56E08">
        <w:t>и</w:t>
      </w:r>
      <w:r w:rsidR="0071360A">
        <w:t>ступ</w:t>
      </w:r>
      <w:r w:rsidR="00E47419" w:rsidRPr="00F6340E">
        <w:t>,</w:t>
      </w:r>
      <w:r w:rsidR="00847B04" w:rsidRPr="00F6340E">
        <w:t xml:space="preserve"> </w:t>
      </w:r>
      <w:r w:rsidR="00A56E08">
        <w:t>одно</w:t>
      </w:r>
      <w:r w:rsidR="0071360A">
        <w:t>с</w:t>
      </w:r>
      <w:r w:rsidR="00A56E08">
        <w:t>но</w:t>
      </w:r>
      <w:r w:rsidR="00847B04" w:rsidRPr="00F6340E">
        <w:t xml:space="preserve"> </w:t>
      </w:r>
      <w:r w:rsidR="0071360A">
        <w:t>у</w:t>
      </w:r>
      <w:r w:rsidR="00A56E08">
        <w:t>ч</w:t>
      </w:r>
      <w:r w:rsidR="00EE6AA2">
        <w:t>е</w:t>
      </w:r>
      <w:r w:rsidR="0071360A">
        <w:t>ств</w:t>
      </w:r>
      <w:r w:rsidR="00A56E08">
        <w:t>о</w:t>
      </w:r>
      <w:r w:rsidR="0071360A">
        <w:t>в</w:t>
      </w:r>
      <w:r w:rsidR="00A56E08">
        <w:t>ањ</w:t>
      </w:r>
      <w:r w:rsidR="00EE6AA2">
        <w:t>е</w:t>
      </w:r>
      <w:r w:rsidR="00847B04" w:rsidRPr="00F6340E">
        <w:t xml:space="preserve"> </w:t>
      </w:r>
      <w:r w:rsidR="00A56E08">
        <w:t>и</w:t>
      </w:r>
      <w:r w:rsidR="00847B04" w:rsidRPr="00F6340E">
        <w:t xml:space="preserve"> </w:t>
      </w:r>
      <w:r w:rsidR="0071360A">
        <w:t>п</w:t>
      </w:r>
      <w:r w:rsidR="00A56E08">
        <w:t>о</w:t>
      </w:r>
      <w:r w:rsidR="0071360A">
        <w:t>ст</w:t>
      </w:r>
      <w:r w:rsidR="00A56E08">
        <w:t>игн</w:t>
      </w:r>
      <w:r w:rsidR="0071360A">
        <w:t>у</w:t>
      </w:r>
      <w:r w:rsidR="00A56E08">
        <w:t>ћ</w:t>
      </w:r>
      <w:r w:rsidR="00EE6AA2">
        <w:t>е</w:t>
      </w:r>
      <w:r w:rsidR="00847B04" w:rsidRPr="00F6340E">
        <w:t xml:space="preserve"> </w:t>
      </w:r>
      <w:r w:rsidR="0071360A">
        <w:t>св</w:t>
      </w:r>
      <w:r w:rsidR="00A56E08">
        <w:t>их</w:t>
      </w:r>
      <w:r w:rsidR="00847B04" w:rsidRPr="00F6340E">
        <w:t xml:space="preserve"> </w:t>
      </w:r>
      <w:r w:rsidR="0071360A">
        <w:t>у</w:t>
      </w:r>
      <w:r w:rsidR="00A56E08">
        <w:t>ч</w:t>
      </w:r>
      <w:r w:rsidR="00EE6AA2">
        <w:t>е</w:t>
      </w:r>
      <w:r w:rsidR="00A56E08">
        <w:t>ника</w:t>
      </w:r>
      <w:r w:rsidR="00847B04" w:rsidRPr="00F6340E">
        <w:t>/</w:t>
      </w:r>
      <w:r w:rsidR="0071360A">
        <w:t>сту</w:t>
      </w:r>
      <w:r w:rsidR="00A56E08">
        <w:t>д</w:t>
      </w:r>
      <w:r w:rsidR="00EE6AA2">
        <w:t>е</w:t>
      </w:r>
      <w:r w:rsidR="00A56E08">
        <w:t>на</w:t>
      </w:r>
      <w:r w:rsidR="0071360A">
        <w:t>т</w:t>
      </w:r>
      <w:r w:rsidR="00A56E08">
        <w:t>а</w:t>
      </w:r>
      <w:r w:rsidR="00847B04" w:rsidRPr="00F6340E">
        <w:t xml:space="preserve">. </w:t>
      </w:r>
      <w:r>
        <w:t>З</w:t>
      </w:r>
      <w:r w:rsidR="00A56E08">
        <w:t>а</w:t>
      </w:r>
      <w:r w:rsidR="0071360A">
        <w:t>т</w:t>
      </w:r>
      <w:r w:rsidR="00A56E08">
        <w:t>о</w:t>
      </w:r>
      <w:r w:rsidR="00847B04" w:rsidRPr="00F6340E">
        <w:t xml:space="preserve"> </w:t>
      </w:r>
      <w:r w:rsidR="0071360A">
        <w:t>с</w:t>
      </w:r>
      <w:r w:rsidR="00EE6AA2">
        <w:t>е</w:t>
      </w:r>
      <w:r w:rsidR="00847B04" w:rsidRPr="00F6340E">
        <w:t xml:space="preserve"> </w:t>
      </w:r>
      <w:r w:rsidR="00A56E08">
        <w:t>мо</w:t>
      </w:r>
      <w:r>
        <w:t>ж</w:t>
      </w:r>
      <w:r w:rsidR="00EE6AA2">
        <w:t>е</w:t>
      </w:r>
      <w:r w:rsidR="00847B04" w:rsidRPr="00F6340E">
        <w:t xml:space="preserve"> </w:t>
      </w:r>
      <w:r w:rsidR="0071360A">
        <w:t>р</w:t>
      </w:r>
      <w:r w:rsidR="00EE6AA2">
        <w:t>е</w:t>
      </w:r>
      <w:r w:rsidR="00A56E08">
        <w:t>ћи</w:t>
      </w:r>
      <w:r w:rsidR="00847B04" w:rsidRPr="00F6340E">
        <w:t xml:space="preserve"> </w:t>
      </w:r>
      <w:r w:rsidR="00A56E08">
        <w:t>да</w:t>
      </w:r>
      <w:r w:rsidR="00847B04" w:rsidRPr="00F6340E">
        <w:t xml:space="preserve"> </w:t>
      </w:r>
      <w:r w:rsidR="0071360A">
        <w:t>с</w:t>
      </w:r>
      <w:r w:rsidR="00EE6AA2">
        <w:t>е</w:t>
      </w:r>
      <w:r w:rsidR="00847B04" w:rsidRPr="00F6340E">
        <w:t xml:space="preserve">, </w:t>
      </w:r>
      <w:r>
        <w:t>з</w:t>
      </w:r>
      <w:r w:rsidR="00A56E08">
        <w:t>а</w:t>
      </w:r>
      <w:r w:rsidR="0071360A">
        <w:t>пр</w:t>
      </w:r>
      <w:r w:rsidR="00A56E08">
        <w:t>а</w:t>
      </w:r>
      <w:r w:rsidR="0071360A">
        <w:t>в</w:t>
      </w:r>
      <w:r w:rsidR="00A56E08">
        <w:t>о</w:t>
      </w:r>
      <w:r w:rsidR="00847B04" w:rsidRPr="00F6340E">
        <w:t xml:space="preserve">, </w:t>
      </w:r>
      <w:r w:rsidR="0071360A">
        <w:t>р</w:t>
      </w:r>
      <w:r w:rsidR="00A56E08">
        <w:t>ади</w:t>
      </w:r>
      <w:r w:rsidR="00847B04" w:rsidRPr="00F6340E">
        <w:t xml:space="preserve"> </w:t>
      </w:r>
      <w:r w:rsidR="00A56E08">
        <w:t>о</w:t>
      </w:r>
      <w:r w:rsidR="00847B04" w:rsidRPr="00F6340E">
        <w:t xml:space="preserve"> </w:t>
      </w:r>
      <w:r w:rsidR="0071360A">
        <w:t>п</w:t>
      </w:r>
      <w:r w:rsidR="00EE6AA2">
        <w:t>е</w:t>
      </w:r>
      <w:r w:rsidR="00A56E08">
        <w:t>даго</w:t>
      </w:r>
      <w:r w:rsidR="0071360A">
        <w:t>ш</w:t>
      </w:r>
      <w:r w:rsidR="00A56E08">
        <w:t>кој</w:t>
      </w:r>
      <w:r w:rsidR="00847B04" w:rsidRPr="00F6340E">
        <w:t xml:space="preserve"> </w:t>
      </w:r>
      <w:r w:rsidR="0071360A">
        <w:t>уп</w:t>
      </w:r>
      <w:r w:rsidR="00A56E08">
        <w:t>о</w:t>
      </w:r>
      <w:r w:rsidR="0071360A">
        <w:t>тр</w:t>
      </w:r>
      <w:r w:rsidR="00EE6AA2">
        <w:t>е</w:t>
      </w:r>
      <w:r w:rsidR="00A56E08">
        <w:t>би</w:t>
      </w:r>
      <w:r w:rsidR="00847B04" w:rsidRPr="00F6340E">
        <w:t xml:space="preserve"> </w:t>
      </w:r>
      <w:r w:rsidR="00A56E08">
        <w:t>диги</w:t>
      </w:r>
      <w:r w:rsidR="0071360A">
        <w:t>т</w:t>
      </w:r>
      <w:r w:rsidR="00A56E08">
        <w:t>алн</w:t>
      </w:r>
      <w:r w:rsidR="00EE6AA2">
        <w:t>е</w:t>
      </w:r>
      <w:r w:rsidR="00847B04" w:rsidRPr="00F6340E">
        <w:t xml:space="preserve"> </w:t>
      </w:r>
      <w:r w:rsidR="0071360A">
        <w:t>т</w:t>
      </w:r>
      <w:r w:rsidR="00EE6AA2">
        <w:t>е</w:t>
      </w:r>
      <w:r w:rsidR="00A56E08">
        <w:t>хнологиј</w:t>
      </w:r>
      <w:r w:rsidR="00EE6AA2">
        <w:t>е</w:t>
      </w:r>
      <w:r w:rsidR="00847B04" w:rsidRPr="00F6340E">
        <w:t xml:space="preserve">. </w:t>
      </w:r>
      <w:r w:rsidR="00A56E08">
        <w:t>О</w:t>
      </w:r>
      <w:r w:rsidR="0071360A">
        <w:t>с</w:t>
      </w:r>
      <w:r w:rsidR="00A56E08">
        <w:t>им</w:t>
      </w:r>
      <w:r w:rsidR="00847B04" w:rsidRPr="00F6340E">
        <w:t xml:space="preserve"> </w:t>
      </w:r>
      <w:r w:rsidR="0071360A">
        <w:t>т</w:t>
      </w:r>
      <w:r w:rsidR="00A56E08">
        <w:t>ога</w:t>
      </w:r>
      <w:r w:rsidR="00847B04" w:rsidRPr="00F6340E">
        <w:t xml:space="preserve">, </w:t>
      </w:r>
      <w:r w:rsidR="00A56E08">
        <w:t>о</w:t>
      </w:r>
      <w:r w:rsidR="0071360A">
        <w:t>в</w:t>
      </w:r>
      <w:r w:rsidR="00A56E08">
        <w:t>ај</w:t>
      </w:r>
      <w:r w:rsidR="00847B04" w:rsidRPr="00F6340E">
        <w:t xml:space="preserve"> </w:t>
      </w:r>
      <w:r w:rsidR="00A56E08">
        <w:t>док</w:t>
      </w:r>
      <w:r w:rsidR="0071360A">
        <w:t>у</w:t>
      </w:r>
      <w:r w:rsidR="00A56E08">
        <w:t>м</w:t>
      </w:r>
      <w:r w:rsidR="00EE6AA2">
        <w:t>е</w:t>
      </w:r>
      <w:r w:rsidR="00A56E08">
        <w:t>н</w:t>
      </w:r>
      <w:r w:rsidR="0071360A">
        <w:t>т</w:t>
      </w:r>
      <w:r w:rsidR="00847B04" w:rsidRPr="00F6340E">
        <w:t xml:space="preserve"> </w:t>
      </w:r>
      <w:r w:rsidR="00A56E08">
        <w:t>ј</w:t>
      </w:r>
      <w:r w:rsidR="00EE6AA2">
        <w:t>е</w:t>
      </w:r>
      <w:r w:rsidR="00847B04" w:rsidRPr="00F6340E">
        <w:t xml:space="preserve"> </w:t>
      </w:r>
      <w:r w:rsidR="00A56E08">
        <w:t>на</w:t>
      </w:r>
      <w:r w:rsidR="0071360A">
        <w:t>ст</w:t>
      </w:r>
      <w:r w:rsidR="00A56E08">
        <w:t>ао</w:t>
      </w:r>
      <w:r w:rsidR="00847B04" w:rsidRPr="00F6340E">
        <w:t xml:space="preserve"> </w:t>
      </w:r>
      <w:r w:rsidR="00A56E08">
        <w:t>и</w:t>
      </w:r>
      <w:r w:rsidR="00847B04" w:rsidRPr="00F6340E">
        <w:t xml:space="preserve"> </w:t>
      </w:r>
      <w:r w:rsidR="00A56E08">
        <w:t>као</w:t>
      </w:r>
      <w:r w:rsidR="00847B04" w:rsidRPr="00F6340E">
        <w:t xml:space="preserve"> </w:t>
      </w:r>
      <w:r w:rsidR="0071360A">
        <w:t>р</w:t>
      </w:r>
      <w:r w:rsidR="00EE6AA2">
        <w:t>е</w:t>
      </w:r>
      <w:r>
        <w:t>з</w:t>
      </w:r>
      <w:r w:rsidR="0071360A">
        <w:t>у</w:t>
      </w:r>
      <w:r w:rsidR="00A56E08">
        <w:t>л</w:t>
      </w:r>
      <w:r w:rsidR="0071360A">
        <w:t>т</w:t>
      </w:r>
      <w:r w:rsidR="00A56E08">
        <w:t>а</w:t>
      </w:r>
      <w:r w:rsidR="0071360A">
        <w:t>т</w:t>
      </w:r>
      <w:r w:rsidR="00847B04" w:rsidRPr="00F6340E">
        <w:t xml:space="preserve"> </w:t>
      </w:r>
      <w:r w:rsidR="00A56E08">
        <w:t>анали</w:t>
      </w:r>
      <w:r>
        <w:t>з</w:t>
      </w:r>
      <w:r w:rsidR="00EE6AA2">
        <w:t>е</w:t>
      </w:r>
      <w:r w:rsidR="00847B04" w:rsidRPr="00F6340E">
        <w:t xml:space="preserve"> </w:t>
      </w:r>
      <w:r w:rsidR="0071360A">
        <w:t>ст</w:t>
      </w:r>
      <w:r w:rsidR="00A56E08">
        <w:t>ања</w:t>
      </w:r>
      <w:r w:rsidR="00847B04" w:rsidRPr="00F6340E">
        <w:t xml:space="preserve"> </w:t>
      </w:r>
      <w:r w:rsidR="00A56E08">
        <w:t>и</w:t>
      </w:r>
      <w:r w:rsidR="00847B04" w:rsidRPr="00F6340E">
        <w:t xml:space="preserve"> </w:t>
      </w:r>
      <w:r w:rsidR="0071360A">
        <w:t>п</w:t>
      </w:r>
      <w:r w:rsidR="00A56E08">
        <w:t>о</w:t>
      </w:r>
      <w:r w:rsidR="0071360A">
        <w:t>тр</w:t>
      </w:r>
      <w:r w:rsidR="00EE6AA2">
        <w:t>е</w:t>
      </w:r>
      <w:r w:rsidR="00A56E08">
        <w:t>ба</w:t>
      </w:r>
      <w:r w:rsidR="00847B04" w:rsidRPr="00F6340E">
        <w:t xml:space="preserve"> </w:t>
      </w:r>
      <w:r w:rsidR="0071360A">
        <w:t>р</w:t>
      </w:r>
      <w:r w:rsidR="00EE6AA2">
        <w:t>е</w:t>
      </w:r>
      <w:r w:rsidR="00A56E08">
        <w:t>гиј</w:t>
      </w:r>
      <w:r w:rsidR="00EE6AA2">
        <w:t>е</w:t>
      </w:r>
      <w:r w:rsidR="00847B04" w:rsidRPr="00F6340E">
        <w:t xml:space="preserve"> </w:t>
      </w:r>
      <w:r>
        <w:t>З</w:t>
      </w:r>
      <w:r w:rsidR="00A56E08">
        <w:t>а</w:t>
      </w:r>
      <w:r w:rsidR="0071360A">
        <w:t>п</w:t>
      </w:r>
      <w:r w:rsidR="00A56E08">
        <w:t>адног</w:t>
      </w:r>
      <w:r w:rsidR="00847B04" w:rsidRPr="00F6340E">
        <w:t xml:space="preserve"> </w:t>
      </w:r>
      <w:r w:rsidR="00A56E08">
        <w:t>Балкана</w:t>
      </w:r>
      <w:r w:rsidR="00847B04" w:rsidRPr="00F6340E">
        <w:t xml:space="preserve"> (</w:t>
      </w:r>
      <w:r w:rsidR="00A56E08">
        <w:t>Ц</w:t>
      </w:r>
      <w:r w:rsidR="0071360A">
        <w:t>р</w:t>
      </w:r>
      <w:r w:rsidR="00A56E08">
        <w:t>н</w:t>
      </w:r>
      <w:r w:rsidR="00EE6AA2">
        <w:t>е</w:t>
      </w:r>
      <w:r w:rsidR="00847B04" w:rsidRPr="00F6340E">
        <w:t xml:space="preserve"> </w:t>
      </w:r>
      <w:r w:rsidR="00A56E08">
        <w:t>Го</w:t>
      </w:r>
      <w:r w:rsidR="0071360A">
        <w:t>р</w:t>
      </w:r>
      <w:r w:rsidR="00EE6AA2">
        <w:t>е</w:t>
      </w:r>
      <w:r w:rsidR="00847B04" w:rsidRPr="00F6340E">
        <w:t xml:space="preserve">, </w:t>
      </w:r>
      <w:r w:rsidR="00A56E08">
        <w:t>Бо</w:t>
      </w:r>
      <w:r w:rsidR="0071360A">
        <w:t>с</w:t>
      </w:r>
      <w:r w:rsidR="00A56E08">
        <w:t>н</w:t>
      </w:r>
      <w:r w:rsidR="00EE6AA2">
        <w:t>е</w:t>
      </w:r>
      <w:r w:rsidR="00847B04" w:rsidRPr="00F6340E">
        <w:t xml:space="preserve"> </w:t>
      </w:r>
      <w:r w:rsidR="00A56E08">
        <w:t>и</w:t>
      </w:r>
      <w:r w:rsidR="00847B04" w:rsidRPr="00F6340E">
        <w:t xml:space="preserve"> </w:t>
      </w:r>
      <w:r w:rsidR="00A56E08">
        <w:t>Х</w:t>
      </w:r>
      <w:r w:rsidR="00EE6AA2">
        <w:t>е</w:t>
      </w:r>
      <w:r w:rsidR="0071360A">
        <w:t>р</w:t>
      </w:r>
      <w:r w:rsidR="00A56E08">
        <w:t>ц</w:t>
      </w:r>
      <w:r w:rsidR="00EE6AA2">
        <w:t>е</w:t>
      </w:r>
      <w:r w:rsidR="00A56E08">
        <w:t>го</w:t>
      </w:r>
      <w:r w:rsidR="0071360A">
        <w:t>в</w:t>
      </w:r>
      <w:r w:rsidR="00A56E08">
        <w:t>ин</w:t>
      </w:r>
      <w:r w:rsidR="00EE6AA2">
        <w:t>е</w:t>
      </w:r>
      <w:r w:rsidR="00847B04" w:rsidRPr="00F6340E">
        <w:t xml:space="preserve">, </w:t>
      </w:r>
      <w:r w:rsidR="0071360A">
        <w:t>Ср</w:t>
      </w:r>
      <w:r w:rsidR="00A56E08">
        <w:t>биј</w:t>
      </w:r>
      <w:r w:rsidR="00EE6AA2">
        <w:t>е</w:t>
      </w:r>
      <w:r w:rsidR="00847B04" w:rsidRPr="00F6340E">
        <w:t xml:space="preserve">, </w:t>
      </w:r>
      <w:r w:rsidR="00A56E08">
        <w:t>Ко</w:t>
      </w:r>
      <w:r w:rsidR="0071360A">
        <w:t>с</w:t>
      </w:r>
      <w:r w:rsidR="00A56E08">
        <w:t>о</w:t>
      </w:r>
      <w:r w:rsidR="0071360A">
        <w:t>в</w:t>
      </w:r>
      <w:r w:rsidR="00A56E08">
        <w:t>а</w:t>
      </w:r>
      <w:r w:rsidR="00A929D4" w:rsidRPr="00F6340E">
        <w:rPr>
          <w:rStyle w:val="FootnoteReference"/>
          <w:rFonts w:cs="Arial"/>
          <w:color w:val="000000" w:themeColor="text1"/>
          <w:szCs w:val="24"/>
        </w:rPr>
        <w:footnoteReference w:id="18"/>
      </w:r>
      <w:r w:rsidR="00847B04" w:rsidRPr="00F6340E">
        <w:t xml:space="preserve"> </w:t>
      </w:r>
      <w:r w:rsidR="00A56E08">
        <w:t>и</w:t>
      </w:r>
      <w:r w:rsidR="00847B04" w:rsidRPr="00F6340E">
        <w:t xml:space="preserve"> </w:t>
      </w:r>
      <w:r w:rsidR="0071360A">
        <w:t>С</w:t>
      </w:r>
      <w:r w:rsidR="00A56E08">
        <w:t>ј</w:t>
      </w:r>
      <w:r w:rsidR="00EE6AA2">
        <w:t>е</w:t>
      </w:r>
      <w:r w:rsidR="0071360A">
        <w:t>в</w:t>
      </w:r>
      <w:r w:rsidR="00EE6AA2">
        <w:t>е</w:t>
      </w:r>
      <w:r w:rsidR="0071360A">
        <w:t>р</w:t>
      </w:r>
      <w:r w:rsidR="00A56E08">
        <w:t>н</w:t>
      </w:r>
      <w:r w:rsidR="00EE6AA2">
        <w:t>е</w:t>
      </w:r>
      <w:r w:rsidR="00847B04" w:rsidRPr="00F6340E">
        <w:t xml:space="preserve"> </w:t>
      </w:r>
      <w:r w:rsidR="00A56E08">
        <w:t>Мак</w:t>
      </w:r>
      <w:r w:rsidR="00EE6AA2">
        <w:t>е</w:t>
      </w:r>
      <w:r w:rsidR="00A56E08">
        <w:t>дониј</w:t>
      </w:r>
      <w:r w:rsidR="00EE6AA2">
        <w:t>е</w:t>
      </w:r>
      <w:r w:rsidR="00847B04" w:rsidRPr="00F6340E">
        <w:t xml:space="preserve">) </w:t>
      </w:r>
      <w:r w:rsidR="0071360A">
        <w:t>шт</w:t>
      </w:r>
      <w:r w:rsidR="00A56E08">
        <w:t>о</w:t>
      </w:r>
      <w:r w:rsidR="00847B04" w:rsidRPr="00F6340E">
        <w:t xml:space="preserve"> </w:t>
      </w:r>
      <w:r w:rsidR="00A56E08">
        <w:t>га</w:t>
      </w:r>
      <w:r w:rsidR="00847B04" w:rsidRPr="00F6340E">
        <w:t xml:space="preserve"> </w:t>
      </w:r>
      <w:r w:rsidR="00A56E08">
        <w:t>чини</w:t>
      </w:r>
      <w:r w:rsidR="00847B04" w:rsidRPr="00F6340E">
        <w:t xml:space="preserve"> </w:t>
      </w:r>
      <w:r w:rsidR="00A56E08">
        <w:t>дода</w:t>
      </w:r>
      <w:r w:rsidR="0071360A">
        <w:t>т</w:t>
      </w:r>
      <w:r w:rsidR="00A56E08">
        <w:t>но</w:t>
      </w:r>
      <w:r w:rsidR="00847B04" w:rsidRPr="00F6340E">
        <w:t xml:space="preserve"> </w:t>
      </w:r>
      <w:r w:rsidR="0071360A">
        <w:t>вр</w:t>
      </w:r>
      <w:r w:rsidR="00A56E08">
        <w:t>иј</w:t>
      </w:r>
      <w:r w:rsidR="00EE6AA2">
        <w:t>е</w:t>
      </w:r>
      <w:r w:rsidR="00A56E08">
        <w:t>дним</w:t>
      </w:r>
      <w:r w:rsidR="00847B04" w:rsidRPr="00F6340E">
        <w:t xml:space="preserve"> </w:t>
      </w:r>
      <w:r w:rsidR="0071360A">
        <w:t>у</w:t>
      </w:r>
      <w:r w:rsidR="00847B04" w:rsidRPr="00F6340E">
        <w:t xml:space="preserve"> </w:t>
      </w:r>
      <w:r w:rsidR="00A56E08">
        <w:t>к</w:t>
      </w:r>
      <w:r w:rsidR="0071360A">
        <w:t>р</w:t>
      </w:r>
      <w:r w:rsidR="00EE6AA2">
        <w:t>е</w:t>
      </w:r>
      <w:r w:rsidR="00A56E08">
        <w:t>и</w:t>
      </w:r>
      <w:r w:rsidR="0071360A">
        <w:t>р</w:t>
      </w:r>
      <w:r w:rsidR="00A56E08">
        <w:t>ањ</w:t>
      </w:r>
      <w:r w:rsidR="0071360A">
        <w:t>у</w:t>
      </w:r>
      <w:r w:rsidR="00847B04" w:rsidRPr="00F6340E">
        <w:t xml:space="preserve"> </w:t>
      </w:r>
      <w:r w:rsidR="0071360A">
        <w:t>с</w:t>
      </w:r>
      <w:r w:rsidR="00A56E08">
        <w:t>мј</w:t>
      </w:r>
      <w:r w:rsidR="00EE6AA2">
        <w:t>е</w:t>
      </w:r>
      <w:r w:rsidR="0071360A">
        <w:t>р</w:t>
      </w:r>
      <w:r w:rsidR="00A56E08">
        <w:t>ница</w:t>
      </w:r>
      <w:r w:rsidR="00847B04" w:rsidRPr="00F6340E">
        <w:t xml:space="preserve"> </w:t>
      </w:r>
      <w:r>
        <w:t>з</w:t>
      </w:r>
      <w:r w:rsidR="00A56E08">
        <w:t>а</w:t>
      </w:r>
      <w:r w:rsidR="00847B04" w:rsidRPr="00F6340E">
        <w:t xml:space="preserve"> </w:t>
      </w:r>
      <w:r w:rsidR="0071360A">
        <w:t>у</w:t>
      </w:r>
      <w:r w:rsidR="00A56E08">
        <w:t>на</w:t>
      </w:r>
      <w:r w:rsidR="0071360A">
        <w:t>пр</w:t>
      </w:r>
      <w:r w:rsidR="00A56E08">
        <w:t>ј</w:t>
      </w:r>
      <w:r w:rsidR="00EE6AA2">
        <w:t>е</w:t>
      </w:r>
      <w:r w:rsidR="00A56E08">
        <w:t>ђ</w:t>
      </w:r>
      <w:r w:rsidR="00EE6AA2">
        <w:t>е</w:t>
      </w:r>
      <w:r w:rsidR="00A56E08">
        <w:t>њ</w:t>
      </w:r>
      <w:r w:rsidR="00EE6AA2">
        <w:t>е</w:t>
      </w:r>
      <w:r w:rsidR="00847B04" w:rsidRPr="00F6340E">
        <w:t xml:space="preserve"> </w:t>
      </w:r>
      <w:r w:rsidR="00A56E08">
        <w:t>на</w:t>
      </w:r>
      <w:r w:rsidR="0071360A">
        <w:t>ст</w:t>
      </w:r>
      <w:r w:rsidR="00A56E08">
        <w:t>а</w:t>
      </w:r>
      <w:r w:rsidR="0071360A">
        <w:t>в</w:t>
      </w:r>
      <w:r w:rsidR="00EE6AA2">
        <w:t>е</w:t>
      </w:r>
      <w:r w:rsidR="008424F0" w:rsidRPr="00F6340E">
        <w:t xml:space="preserve"> </w:t>
      </w:r>
      <w:r w:rsidR="0071360A">
        <w:t>пут</w:t>
      </w:r>
      <w:r w:rsidR="00EE6AA2">
        <w:t>е</w:t>
      </w:r>
      <w:r w:rsidR="00A56E08">
        <w:t>м</w:t>
      </w:r>
      <w:r w:rsidR="008424F0" w:rsidRPr="00F6340E">
        <w:t xml:space="preserve"> </w:t>
      </w:r>
      <w:r w:rsidR="00A56E08">
        <w:t>ин</w:t>
      </w:r>
      <w:r w:rsidR="0071360A">
        <w:t>т</w:t>
      </w:r>
      <w:r w:rsidR="00EE6AA2">
        <w:t>е</w:t>
      </w:r>
      <w:r w:rsidR="0071360A">
        <w:t>р</w:t>
      </w:r>
      <w:r w:rsidR="00A56E08">
        <w:t>н</w:t>
      </w:r>
      <w:r w:rsidR="00EE6AA2">
        <w:t>е</w:t>
      </w:r>
      <w:r w:rsidR="0071360A">
        <w:t>т</w:t>
      </w:r>
      <w:r w:rsidR="00A56E08">
        <w:t>а</w:t>
      </w:r>
      <w:r w:rsidR="00847B04" w:rsidRPr="00F6340E">
        <w:t xml:space="preserve"> </w:t>
      </w:r>
      <w:r w:rsidR="00A56E08">
        <w:t>и</w:t>
      </w:r>
      <w:r w:rsidR="00847B04" w:rsidRPr="00F6340E">
        <w:t xml:space="preserve"> </w:t>
      </w:r>
      <w:r w:rsidR="00A56E08">
        <w:t>комбино</w:t>
      </w:r>
      <w:r w:rsidR="0071360A">
        <w:t>в</w:t>
      </w:r>
      <w:r w:rsidR="00A56E08">
        <w:t>ан</w:t>
      </w:r>
      <w:r w:rsidR="00EE6AA2">
        <w:t>е</w:t>
      </w:r>
      <w:r w:rsidR="00847B04" w:rsidRPr="00F6340E">
        <w:t xml:space="preserve"> </w:t>
      </w:r>
      <w:r w:rsidR="00A56E08">
        <w:t>на</w:t>
      </w:r>
      <w:r w:rsidR="0071360A">
        <w:t>ст</w:t>
      </w:r>
      <w:r w:rsidR="00A56E08">
        <w:t>а</w:t>
      </w:r>
      <w:r w:rsidR="0071360A">
        <w:t>в</w:t>
      </w:r>
      <w:r w:rsidR="00EE6AA2">
        <w:t>е</w:t>
      </w:r>
      <w:r w:rsidR="00847B04" w:rsidRPr="00F6340E">
        <w:t xml:space="preserve"> </w:t>
      </w:r>
      <w:r w:rsidR="0071360A">
        <w:t>у</w:t>
      </w:r>
      <w:r w:rsidR="00847B04" w:rsidRPr="00F6340E">
        <w:t xml:space="preserve"> </w:t>
      </w:r>
      <w:r w:rsidR="0071360A">
        <w:t>св</w:t>
      </w:r>
      <w:r w:rsidR="00A56E08">
        <w:t>им</w:t>
      </w:r>
      <w:r w:rsidR="00847B04" w:rsidRPr="00F6340E">
        <w:t xml:space="preserve"> </w:t>
      </w:r>
      <w:r w:rsidR="00A56E08">
        <w:t>админи</w:t>
      </w:r>
      <w:r w:rsidR="0071360A">
        <w:t>стр</w:t>
      </w:r>
      <w:r w:rsidR="00A56E08">
        <w:t>а</w:t>
      </w:r>
      <w:r w:rsidR="0071360A">
        <w:t>т</w:t>
      </w:r>
      <w:r w:rsidR="00A56E08">
        <w:t>и</w:t>
      </w:r>
      <w:r w:rsidR="0071360A">
        <w:t>в</w:t>
      </w:r>
      <w:r w:rsidR="00A56E08">
        <w:t>ним</w:t>
      </w:r>
      <w:r w:rsidR="00847B04" w:rsidRPr="00F6340E">
        <w:t xml:space="preserve"> </w:t>
      </w:r>
      <w:r w:rsidR="00A56E08">
        <w:t>ј</w:t>
      </w:r>
      <w:r w:rsidR="00EE6AA2">
        <w:t>е</w:t>
      </w:r>
      <w:r w:rsidR="00A56E08">
        <w:t>диницама</w:t>
      </w:r>
      <w:r w:rsidR="00847B04" w:rsidRPr="00F6340E">
        <w:t xml:space="preserve"> </w:t>
      </w:r>
      <w:r w:rsidR="00A56E08">
        <w:t>Бо</w:t>
      </w:r>
      <w:r w:rsidR="0071360A">
        <w:t>с</w:t>
      </w:r>
      <w:r w:rsidR="00A56E08">
        <w:t>н</w:t>
      </w:r>
      <w:r w:rsidR="00EE6AA2">
        <w:t>е</w:t>
      </w:r>
      <w:r w:rsidR="00847B04" w:rsidRPr="00F6340E">
        <w:t xml:space="preserve"> </w:t>
      </w:r>
      <w:r w:rsidR="00A56E08">
        <w:t>и</w:t>
      </w:r>
      <w:r w:rsidR="00847B04" w:rsidRPr="00F6340E">
        <w:t xml:space="preserve"> </w:t>
      </w:r>
      <w:r w:rsidR="00A56E08">
        <w:t>Х</w:t>
      </w:r>
      <w:r w:rsidR="00EE6AA2">
        <w:t>е</w:t>
      </w:r>
      <w:r w:rsidR="0071360A">
        <w:t>р</w:t>
      </w:r>
      <w:r w:rsidR="00A56E08">
        <w:t>ц</w:t>
      </w:r>
      <w:r w:rsidR="00EE6AA2">
        <w:t>е</w:t>
      </w:r>
      <w:r w:rsidR="00A56E08">
        <w:t>го</w:t>
      </w:r>
      <w:r w:rsidR="0071360A">
        <w:t>в</w:t>
      </w:r>
      <w:r w:rsidR="00A56E08">
        <w:t>ин</w:t>
      </w:r>
      <w:r w:rsidR="00EE6AA2">
        <w:t>е</w:t>
      </w:r>
      <w:r w:rsidR="00847B04" w:rsidRPr="00F6340E">
        <w:t xml:space="preserve">.  </w:t>
      </w:r>
    </w:p>
    <w:p w14:paraId="1BDFBF4C" w14:textId="40DC6E3F" w:rsidR="00847B04" w:rsidRDefault="00A56E08" w:rsidP="00FA4DC9">
      <w:pPr>
        <w:pStyle w:val="Body"/>
      </w:pPr>
      <w:r>
        <w:t>Ок</w:t>
      </w:r>
      <w:r w:rsidR="0071360A">
        <w:t>в</w:t>
      </w:r>
      <w:r>
        <w:t>и</w:t>
      </w:r>
      <w:r w:rsidR="0071360A">
        <w:t>р</w:t>
      </w:r>
      <w:r w:rsidR="00847B04" w:rsidRPr="00F6340E">
        <w:t xml:space="preserve"> </w:t>
      </w:r>
      <w:r>
        <w:t>диги</w:t>
      </w:r>
      <w:r w:rsidR="0071360A">
        <w:t>т</w:t>
      </w:r>
      <w:r>
        <w:t>алних</w:t>
      </w:r>
      <w:r w:rsidR="00847B04" w:rsidRPr="00F6340E">
        <w:t xml:space="preserve"> </w:t>
      </w:r>
      <w:r>
        <w:t>ком</w:t>
      </w:r>
      <w:r w:rsidR="0071360A">
        <w:t>п</w:t>
      </w:r>
      <w:r w:rsidR="00EE6AA2">
        <w:t>е</w:t>
      </w:r>
      <w:r w:rsidR="0071360A">
        <w:t>т</w:t>
      </w:r>
      <w:r w:rsidR="00EE6AA2">
        <w:t>е</w:t>
      </w:r>
      <w:r>
        <w:t>нција</w:t>
      </w:r>
      <w:r w:rsidR="00847B04" w:rsidRPr="00F6340E">
        <w:t xml:space="preserve"> </w:t>
      </w:r>
      <w:r>
        <w:t>на</w:t>
      </w:r>
      <w:r w:rsidR="0071360A">
        <w:t>ст</w:t>
      </w:r>
      <w:r>
        <w:t>а</w:t>
      </w:r>
      <w:r w:rsidR="0071360A">
        <w:t>в</w:t>
      </w:r>
      <w:r>
        <w:t>ника</w:t>
      </w:r>
      <w:r w:rsidR="00847B04" w:rsidRPr="00F6340E">
        <w:t xml:space="preserve"> (</w:t>
      </w:r>
      <w:r w:rsidR="0071360A">
        <w:t>У</w:t>
      </w:r>
      <w:r>
        <w:t>НИЦ</w:t>
      </w:r>
      <w:r w:rsidR="00EE6AA2">
        <w:t>Е</w:t>
      </w:r>
      <w:r>
        <w:t>Ф</w:t>
      </w:r>
      <w:r w:rsidR="00847B04" w:rsidRPr="00F6340E">
        <w:t xml:space="preserve"> </w:t>
      </w:r>
      <w:r w:rsidR="00EE6AA2">
        <w:t>Е</w:t>
      </w:r>
      <w:r>
        <w:t>ДЦ</w:t>
      </w:r>
      <w:r w:rsidR="00847B04" w:rsidRPr="00F6340E">
        <w:t xml:space="preserve">, 2021: 5) </w:t>
      </w:r>
      <w:r>
        <w:t>об</w:t>
      </w:r>
      <w:r w:rsidR="0071360A">
        <w:t>у</w:t>
      </w:r>
      <w:r>
        <w:t>х</w:t>
      </w:r>
      <w:r w:rsidR="0071360A">
        <w:t>в</w:t>
      </w:r>
      <w:r>
        <w:t>а</w:t>
      </w:r>
      <w:r w:rsidR="0071360A">
        <w:t>т</w:t>
      </w:r>
      <w:r>
        <w:t>а</w:t>
      </w:r>
      <w:r w:rsidR="00847B04" w:rsidRPr="00F6340E">
        <w:t xml:space="preserve"> </w:t>
      </w:r>
      <w:r>
        <w:t>ком</w:t>
      </w:r>
      <w:r w:rsidR="0071360A">
        <w:t>п</w:t>
      </w:r>
      <w:r w:rsidR="00EE6AA2">
        <w:t>е</w:t>
      </w:r>
      <w:r w:rsidR="0071360A">
        <w:t>т</w:t>
      </w:r>
      <w:r w:rsidR="00EE6AA2">
        <w:t>е</w:t>
      </w:r>
      <w:r>
        <w:t>нциј</w:t>
      </w:r>
      <w:r w:rsidR="00EE6AA2">
        <w:t>е</w:t>
      </w:r>
      <w:r w:rsidR="00847B04" w:rsidRPr="00F6340E">
        <w:t xml:space="preserve"> </w:t>
      </w:r>
      <w:r>
        <w:t>о</w:t>
      </w:r>
      <w:r w:rsidR="0071360A">
        <w:t>р</w:t>
      </w:r>
      <w:r>
        <w:t>гани</w:t>
      </w:r>
      <w:r w:rsidR="00171F00">
        <w:t>з</w:t>
      </w:r>
      <w:r>
        <w:t>о</w:t>
      </w:r>
      <w:r w:rsidR="0071360A">
        <w:t>в</w:t>
      </w:r>
      <w:r>
        <w:t>ан</w:t>
      </w:r>
      <w:r w:rsidR="00EE6AA2">
        <w:t>е</w:t>
      </w:r>
      <w:r w:rsidR="00E47419" w:rsidRPr="00F6340E">
        <w:t xml:space="preserve"> </w:t>
      </w:r>
      <w:r w:rsidR="0071360A">
        <w:t>у</w:t>
      </w:r>
      <w:r w:rsidR="00847B04" w:rsidRPr="00F6340E">
        <w:t xml:space="preserve"> </w:t>
      </w:r>
      <w:r>
        <w:t>ч</w:t>
      </w:r>
      <w:r w:rsidR="00EE6AA2">
        <w:t>е</w:t>
      </w:r>
      <w:r w:rsidR="0071360A">
        <w:t>т</w:t>
      </w:r>
      <w:r>
        <w:t>и</w:t>
      </w:r>
      <w:r w:rsidR="0071360A">
        <w:t>р</w:t>
      </w:r>
      <w:r>
        <w:t>и</w:t>
      </w:r>
      <w:r w:rsidR="00847B04" w:rsidRPr="00F6340E">
        <w:t xml:space="preserve"> </w:t>
      </w:r>
      <w:r w:rsidR="0071360A">
        <w:t>п</w:t>
      </w:r>
      <w:r>
        <w:t>од</w:t>
      </w:r>
      <w:r w:rsidR="0071360A">
        <w:t>ру</w:t>
      </w:r>
      <w:r>
        <w:t>чја</w:t>
      </w:r>
      <w:r w:rsidR="00847B04" w:rsidRPr="00F6340E">
        <w:t xml:space="preserve"> </w:t>
      </w:r>
      <w:r>
        <w:t>одго</w:t>
      </w:r>
      <w:r w:rsidR="0071360A">
        <w:t>в</w:t>
      </w:r>
      <w:r>
        <w:t>а</w:t>
      </w:r>
      <w:r w:rsidR="0071360A">
        <w:t>р</w:t>
      </w:r>
      <w:r>
        <w:t>ај</w:t>
      </w:r>
      <w:r w:rsidR="0071360A">
        <w:t>у</w:t>
      </w:r>
      <w:r>
        <w:t>ћи</w:t>
      </w:r>
      <w:r w:rsidR="00847B04" w:rsidRPr="00F6340E">
        <w:t xml:space="preserve"> </w:t>
      </w:r>
      <w:r>
        <w:t>на</w:t>
      </w:r>
      <w:r w:rsidR="00847B04" w:rsidRPr="00F6340E">
        <w:t xml:space="preserve"> </w:t>
      </w:r>
      <w:r w:rsidR="0071360A">
        <w:t>п</w:t>
      </w:r>
      <w:r>
        <w:t>и</w:t>
      </w:r>
      <w:r w:rsidR="0071360A">
        <w:t>т</w:t>
      </w:r>
      <w:r>
        <w:t>ања</w:t>
      </w:r>
      <w:r w:rsidR="00423AEA" w:rsidRPr="00F6340E">
        <w:t>:</w:t>
      </w:r>
      <w:r w:rsidR="00847B04" w:rsidRPr="00F6340E">
        <w:t xml:space="preserve"> </w:t>
      </w:r>
      <w:r>
        <w:t>а</w:t>
      </w:r>
      <w:r w:rsidR="00847B04" w:rsidRPr="00F6340E">
        <w:t>) "</w:t>
      </w:r>
      <w:r w:rsidR="0071360A">
        <w:t>Шт</w:t>
      </w:r>
      <w:r>
        <w:t>а</w:t>
      </w:r>
      <w:r w:rsidR="00847B04" w:rsidRPr="00F6340E">
        <w:t xml:space="preserve">" </w:t>
      </w:r>
      <w:r w:rsidR="0071360A">
        <w:t>т</w:t>
      </w:r>
      <w:r>
        <w:t>ј</w:t>
      </w:r>
      <w:r w:rsidR="00847B04" w:rsidRPr="00F6340E">
        <w:t xml:space="preserve">. </w:t>
      </w:r>
      <w:r>
        <w:t>кој</w:t>
      </w:r>
      <w:r w:rsidR="00EE6AA2">
        <w:t>е</w:t>
      </w:r>
      <w:r w:rsidR="00847B04" w:rsidRPr="00F6340E">
        <w:t xml:space="preserve"> </w:t>
      </w:r>
      <w:r>
        <w:t>ком</w:t>
      </w:r>
      <w:r w:rsidR="0071360A">
        <w:t>п</w:t>
      </w:r>
      <w:r w:rsidR="00EE6AA2">
        <w:t>е</w:t>
      </w:r>
      <w:r w:rsidR="0071360A">
        <w:t>т</w:t>
      </w:r>
      <w:r w:rsidR="00EE6AA2">
        <w:t>е</w:t>
      </w:r>
      <w:r>
        <w:t>нциј</w:t>
      </w:r>
      <w:r w:rsidR="00EE6AA2">
        <w:t>е</w:t>
      </w:r>
      <w:r w:rsidR="00847B04" w:rsidRPr="00F6340E">
        <w:t xml:space="preserve"> </w:t>
      </w:r>
      <w:r>
        <w:t>на</w:t>
      </w:r>
      <w:r w:rsidR="0071360A">
        <w:t>ст</w:t>
      </w:r>
      <w:r>
        <w:t>а</w:t>
      </w:r>
      <w:r w:rsidR="0071360A">
        <w:t>в</w:t>
      </w:r>
      <w:r>
        <w:t>ника</w:t>
      </w:r>
      <w:r w:rsidR="00847B04" w:rsidRPr="00F6340E">
        <w:t xml:space="preserve"> </w:t>
      </w:r>
      <w:r w:rsidR="0071360A">
        <w:t>су</w:t>
      </w:r>
      <w:r w:rsidR="00847B04" w:rsidRPr="00F6340E">
        <w:t xml:space="preserve"> </w:t>
      </w:r>
      <w:r w:rsidR="0071360A">
        <w:t>п</w:t>
      </w:r>
      <w:r>
        <w:t>о</w:t>
      </w:r>
      <w:r w:rsidR="0071360A">
        <w:t>тр</w:t>
      </w:r>
      <w:r w:rsidR="00EE6AA2">
        <w:t>е</w:t>
      </w:r>
      <w:r>
        <w:t>бн</w:t>
      </w:r>
      <w:r w:rsidR="00EE6AA2">
        <w:t>е</w:t>
      </w:r>
      <w:r w:rsidR="00847B04" w:rsidRPr="00F6340E">
        <w:t xml:space="preserve"> </w:t>
      </w:r>
      <w:r w:rsidR="0071360A">
        <w:t>у</w:t>
      </w:r>
      <w:r w:rsidR="00847B04" w:rsidRPr="00F6340E">
        <w:t xml:space="preserve"> </w:t>
      </w:r>
      <w:r w:rsidR="0071360A">
        <w:t>пр</w:t>
      </w:r>
      <w:r>
        <w:t>имј</w:t>
      </w:r>
      <w:r w:rsidR="00EE6AA2">
        <w:t>е</w:t>
      </w:r>
      <w:r>
        <w:t>ни</w:t>
      </w:r>
      <w:r w:rsidR="00847B04" w:rsidRPr="00F6340E">
        <w:t xml:space="preserve"> </w:t>
      </w:r>
      <w:r>
        <w:t>диги</w:t>
      </w:r>
      <w:r w:rsidR="0071360A">
        <w:t>т</w:t>
      </w:r>
      <w:r>
        <w:t>алних</w:t>
      </w:r>
      <w:r w:rsidR="00847B04" w:rsidRPr="00F6340E">
        <w:t xml:space="preserve"> </w:t>
      </w:r>
      <w:r w:rsidR="0071360A">
        <w:t>т</w:t>
      </w:r>
      <w:r w:rsidR="00EE6AA2">
        <w:t>е</w:t>
      </w:r>
      <w:r>
        <w:t>хнологија</w:t>
      </w:r>
      <w:r w:rsidR="00847B04" w:rsidRPr="00F6340E">
        <w:t xml:space="preserve"> </w:t>
      </w:r>
      <w:r>
        <w:t>и</w:t>
      </w:r>
      <w:r w:rsidR="00847B04" w:rsidRPr="00F6340E">
        <w:t xml:space="preserve"> </w:t>
      </w:r>
      <w:r>
        <w:t>об</w:t>
      </w:r>
      <w:r w:rsidR="0071360A">
        <w:t>р</w:t>
      </w:r>
      <w:r>
        <w:t>а</w:t>
      </w:r>
      <w:r w:rsidR="00171F00">
        <w:t>з</w:t>
      </w:r>
      <w:r>
        <w:t>о</w:t>
      </w:r>
      <w:r w:rsidR="0071360A">
        <w:t>в</w:t>
      </w:r>
      <w:r>
        <w:t>них</w:t>
      </w:r>
      <w:r w:rsidR="00847B04" w:rsidRPr="00F6340E">
        <w:t xml:space="preserve"> </w:t>
      </w:r>
      <w:r>
        <w:t>ино</w:t>
      </w:r>
      <w:r w:rsidR="0071360A">
        <w:t>в</w:t>
      </w:r>
      <w:r>
        <w:t>ација</w:t>
      </w:r>
      <w:r w:rsidR="00847B04" w:rsidRPr="00F6340E">
        <w:t xml:space="preserve"> </w:t>
      </w:r>
      <w:r w:rsidR="0071360A">
        <w:t>у</w:t>
      </w:r>
      <w:r w:rsidR="00847B04" w:rsidRPr="00F6340E">
        <w:t xml:space="preserve"> </w:t>
      </w:r>
      <w:r w:rsidR="0071360A">
        <w:t>п</w:t>
      </w:r>
      <w:r>
        <w:t>ољ</w:t>
      </w:r>
      <w:r w:rsidR="0071360A">
        <w:t>у</w:t>
      </w:r>
      <w:r w:rsidR="00847B04" w:rsidRPr="00F6340E">
        <w:t xml:space="preserve"> </w:t>
      </w:r>
      <w:r>
        <w:t>инкл</w:t>
      </w:r>
      <w:r w:rsidR="0071360A">
        <w:t>у</w:t>
      </w:r>
      <w:r w:rsidR="00171F00">
        <w:t>з</w:t>
      </w:r>
      <w:r>
        <w:t>и</w:t>
      </w:r>
      <w:r w:rsidR="0071360A">
        <w:t>в</w:t>
      </w:r>
      <w:r>
        <w:t>ног</w:t>
      </w:r>
      <w:r w:rsidR="00847B04" w:rsidRPr="00F6340E">
        <w:t xml:space="preserve"> </w:t>
      </w:r>
      <w:r>
        <w:t>об</w:t>
      </w:r>
      <w:r w:rsidR="0071360A">
        <w:t>р</w:t>
      </w:r>
      <w:r>
        <w:t>а</w:t>
      </w:r>
      <w:r w:rsidR="00171F00">
        <w:t>з</w:t>
      </w:r>
      <w:r>
        <w:t>о</w:t>
      </w:r>
      <w:r w:rsidR="0071360A">
        <w:t>в</w:t>
      </w:r>
      <w:r>
        <w:t>ања</w:t>
      </w:r>
      <w:r w:rsidR="00847B04" w:rsidRPr="00F6340E">
        <w:t xml:space="preserve"> </w:t>
      </w:r>
      <w:r>
        <w:t>и</w:t>
      </w:r>
      <w:r w:rsidR="00847B04" w:rsidRPr="00F6340E">
        <w:t xml:space="preserve"> </w:t>
      </w:r>
      <w:r>
        <w:t>б</w:t>
      </w:r>
      <w:r w:rsidR="00847B04" w:rsidRPr="00F6340E">
        <w:t>) "</w:t>
      </w:r>
      <w:r>
        <w:t>Како</w:t>
      </w:r>
      <w:r w:rsidR="00847B04" w:rsidRPr="00F6340E">
        <w:t xml:space="preserve">" </w:t>
      </w:r>
      <w:r w:rsidR="0071360A">
        <w:t>т</w:t>
      </w:r>
      <w:r>
        <w:t>ј</w:t>
      </w:r>
      <w:r w:rsidR="00847B04" w:rsidRPr="00F6340E">
        <w:t xml:space="preserve">. </w:t>
      </w:r>
      <w:r>
        <w:t>како</w:t>
      </w:r>
      <w:r w:rsidR="00847B04" w:rsidRPr="00F6340E">
        <w:t xml:space="preserve"> </w:t>
      </w:r>
      <w:r w:rsidR="0071360A">
        <w:t>п</w:t>
      </w:r>
      <w:r>
        <w:t>он</w:t>
      </w:r>
      <w:r w:rsidR="0071360A">
        <w:t>у</w:t>
      </w:r>
      <w:r>
        <w:t>ди</w:t>
      </w:r>
      <w:r w:rsidR="0071360A">
        <w:t>т</w:t>
      </w:r>
      <w:r>
        <w:t>и</w:t>
      </w:r>
      <w:r w:rsidR="00847B04" w:rsidRPr="00F6340E">
        <w:t xml:space="preserve"> </w:t>
      </w:r>
      <w:r w:rsidR="0071360A">
        <w:t>пр</w:t>
      </w:r>
      <w:r>
        <w:t>ак</w:t>
      </w:r>
      <w:r w:rsidR="0071360A">
        <w:t>т</w:t>
      </w:r>
      <w:r>
        <w:t>ично</w:t>
      </w:r>
      <w:r w:rsidR="00847B04" w:rsidRPr="00F6340E">
        <w:t xml:space="preserve"> </w:t>
      </w:r>
      <w:r w:rsidR="00171F00">
        <w:t>з</w:t>
      </w:r>
      <w:r>
        <w:t>нањ</w:t>
      </w:r>
      <w:r w:rsidR="00EE6AA2">
        <w:t>е</w:t>
      </w:r>
      <w:r w:rsidR="00847B04" w:rsidRPr="00F6340E">
        <w:t xml:space="preserve"> </w:t>
      </w:r>
      <w:r>
        <w:t>о</w:t>
      </w:r>
      <w:r w:rsidR="00847B04" w:rsidRPr="00F6340E">
        <w:t xml:space="preserve"> </w:t>
      </w:r>
      <w:r>
        <w:t>к</w:t>
      </w:r>
      <w:r w:rsidR="0071360A">
        <w:t>р</w:t>
      </w:r>
      <w:r w:rsidR="00EE6AA2">
        <w:t>е</w:t>
      </w:r>
      <w:r>
        <w:t>и</w:t>
      </w:r>
      <w:r w:rsidR="0071360A">
        <w:t>р</w:t>
      </w:r>
      <w:r>
        <w:t>ањ</w:t>
      </w:r>
      <w:r w:rsidR="0071360A">
        <w:t>у</w:t>
      </w:r>
      <w:r w:rsidR="00847B04" w:rsidRPr="00F6340E">
        <w:t xml:space="preserve"> </w:t>
      </w:r>
      <w:r>
        <w:t>ок</w:t>
      </w:r>
      <w:r w:rsidR="0071360A">
        <w:t>ру</w:t>
      </w:r>
      <w:r w:rsidR="00171F00">
        <w:t>ж</w:t>
      </w:r>
      <w:r w:rsidR="00EE6AA2">
        <w:t>е</w:t>
      </w:r>
      <w:r>
        <w:t>ња</w:t>
      </w:r>
      <w:r w:rsidR="00847B04" w:rsidRPr="00F6340E">
        <w:t xml:space="preserve"> </w:t>
      </w:r>
      <w:r w:rsidR="00171F00">
        <w:t>з</w:t>
      </w:r>
      <w:r>
        <w:t>а</w:t>
      </w:r>
      <w:r w:rsidR="00847B04" w:rsidRPr="00F6340E">
        <w:t xml:space="preserve"> </w:t>
      </w:r>
      <w:r w:rsidR="0071360A">
        <w:t>у</w:t>
      </w:r>
      <w:r>
        <w:t>ч</w:t>
      </w:r>
      <w:r w:rsidR="00EE6AA2">
        <w:t>е</w:t>
      </w:r>
      <w:r>
        <w:t>њ</w:t>
      </w:r>
      <w:r w:rsidR="00EE6AA2">
        <w:t>е</w:t>
      </w:r>
      <w:r w:rsidR="00847B04" w:rsidRPr="00F6340E">
        <w:t xml:space="preserve"> </w:t>
      </w:r>
      <w:r>
        <w:t>кој</w:t>
      </w:r>
      <w:r w:rsidR="00EE6AA2">
        <w:t>е</w:t>
      </w:r>
      <w:r w:rsidR="00847B04" w:rsidRPr="00F6340E">
        <w:t xml:space="preserve"> </w:t>
      </w:r>
      <w:r>
        <w:t>мо</w:t>
      </w:r>
      <w:r w:rsidR="00171F00">
        <w:t>ж</w:t>
      </w:r>
      <w:r w:rsidR="00EE6AA2">
        <w:t>е</w:t>
      </w:r>
      <w:r w:rsidR="00847B04" w:rsidRPr="00F6340E">
        <w:t xml:space="preserve"> </w:t>
      </w:r>
      <w:r>
        <w:t>њ</w:t>
      </w:r>
      <w:r w:rsidR="00EE6AA2">
        <w:t>е</w:t>
      </w:r>
      <w:r>
        <w:t>го</w:t>
      </w:r>
      <w:r w:rsidR="0071360A">
        <w:t>в</w:t>
      </w:r>
      <w:r>
        <w:t>а</w:t>
      </w:r>
      <w:r w:rsidR="0071360A">
        <w:t>т</w:t>
      </w:r>
      <w:r>
        <w:t>и</w:t>
      </w:r>
      <w:r w:rsidR="00847B04" w:rsidRPr="00F6340E">
        <w:t xml:space="preserve"> </w:t>
      </w:r>
      <w:r>
        <w:t>ком</w:t>
      </w:r>
      <w:r w:rsidR="0071360A">
        <w:t>п</w:t>
      </w:r>
      <w:r w:rsidR="00EE6AA2">
        <w:t>е</w:t>
      </w:r>
      <w:r w:rsidR="0071360A">
        <w:t>т</w:t>
      </w:r>
      <w:r w:rsidR="00EE6AA2">
        <w:t>е</w:t>
      </w:r>
      <w:r>
        <w:t>нциј</w:t>
      </w:r>
      <w:r w:rsidR="00EE6AA2">
        <w:t>е</w:t>
      </w:r>
      <w:r w:rsidR="00847B04" w:rsidRPr="00F6340E">
        <w:t xml:space="preserve"> </w:t>
      </w:r>
      <w:r w:rsidR="0071360A">
        <w:t>у</w:t>
      </w:r>
      <w:r w:rsidR="00847B04" w:rsidRPr="00F6340E">
        <w:t xml:space="preserve"> </w:t>
      </w:r>
      <w:r>
        <w:t>ч</w:t>
      </w:r>
      <w:r w:rsidR="00EE6AA2">
        <w:t>е</w:t>
      </w:r>
      <w:r w:rsidR="0071360A">
        <w:t>т</w:t>
      </w:r>
      <w:r>
        <w:t>и</w:t>
      </w:r>
      <w:r w:rsidR="0071360A">
        <w:t>р</w:t>
      </w:r>
      <w:r>
        <w:t>и</w:t>
      </w:r>
      <w:r w:rsidR="00847B04" w:rsidRPr="00F6340E">
        <w:t xml:space="preserve"> </w:t>
      </w:r>
      <w:r w:rsidR="0071360A">
        <w:t>пр</w:t>
      </w:r>
      <w:r w:rsidR="00EE6AA2">
        <w:t>е</w:t>
      </w:r>
      <w:r>
        <w:t>дло</w:t>
      </w:r>
      <w:r w:rsidR="00171F00">
        <w:t>ж</w:t>
      </w:r>
      <w:r w:rsidR="00EE6AA2">
        <w:t>е</w:t>
      </w:r>
      <w:r>
        <w:t>на</w:t>
      </w:r>
      <w:r w:rsidR="00847B04" w:rsidRPr="00F6340E">
        <w:t xml:space="preserve"> </w:t>
      </w:r>
      <w:r w:rsidR="0071360A">
        <w:t>п</w:t>
      </w:r>
      <w:r>
        <w:t>од</w:t>
      </w:r>
      <w:r w:rsidR="0071360A">
        <w:t>ру</w:t>
      </w:r>
      <w:r>
        <w:t>чја</w:t>
      </w:r>
      <w:r w:rsidR="00847B04" w:rsidRPr="00F6340E">
        <w:t xml:space="preserve">: </w:t>
      </w:r>
      <w:r w:rsidR="0071360A">
        <w:t>р</w:t>
      </w:r>
      <w:r>
        <w:t>а</w:t>
      </w:r>
      <w:r w:rsidR="00171F00">
        <w:t>з</w:t>
      </w:r>
      <w:r w:rsidR="0071360A">
        <w:t>в</w:t>
      </w:r>
      <w:r>
        <w:t>ој</w:t>
      </w:r>
      <w:r w:rsidR="00847B04" w:rsidRPr="00F6340E">
        <w:t xml:space="preserve"> </w:t>
      </w:r>
      <w:r w:rsidR="00171F00">
        <w:t>з</w:t>
      </w:r>
      <w:r>
        <w:t>нања</w:t>
      </w:r>
      <w:r w:rsidR="00847B04" w:rsidRPr="00F6340E">
        <w:t xml:space="preserve">, </w:t>
      </w:r>
      <w:r w:rsidR="0071360A">
        <w:t>пр</w:t>
      </w:r>
      <w:r>
        <w:t>имј</w:t>
      </w:r>
      <w:r w:rsidR="00EE6AA2">
        <w:t>е</w:t>
      </w:r>
      <w:r>
        <w:t>на</w:t>
      </w:r>
      <w:r w:rsidR="00847B04" w:rsidRPr="00F6340E">
        <w:t xml:space="preserve"> </w:t>
      </w:r>
      <w:r w:rsidR="00171F00">
        <w:t>з</w:t>
      </w:r>
      <w:r>
        <w:t>нања</w:t>
      </w:r>
      <w:r w:rsidR="00847B04" w:rsidRPr="00F6340E">
        <w:t xml:space="preserve">, </w:t>
      </w:r>
      <w:r w:rsidR="0071360A">
        <w:t>р</w:t>
      </w:r>
      <w:r>
        <w:t>а</w:t>
      </w:r>
      <w:r w:rsidR="00171F00">
        <w:t>з</w:t>
      </w:r>
      <w:r>
        <w:t>мј</w:t>
      </w:r>
      <w:r w:rsidR="00EE6AA2">
        <w:t>е</w:t>
      </w:r>
      <w:r>
        <w:t>на</w:t>
      </w:r>
      <w:r w:rsidR="00847B04" w:rsidRPr="00F6340E">
        <w:t xml:space="preserve"> </w:t>
      </w:r>
      <w:r w:rsidR="00171F00">
        <w:t>з</w:t>
      </w:r>
      <w:r>
        <w:t>нања</w:t>
      </w:r>
      <w:r w:rsidR="00847B04" w:rsidRPr="00F6340E">
        <w:t xml:space="preserve"> </w:t>
      </w:r>
      <w:r>
        <w:t>и</w:t>
      </w:r>
      <w:r w:rsidR="00847B04" w:rsidRPr="00F6340E">
        <w:t xml:space="preserve"> </w:t>
      </w:r>
      <w:r w:rsidR="00171F00">
        <w:t>з</w:t>
      </w:r>
      <w:r>
        <w:t>нањ</w:t>
      </w:r>
      <w:r w:rsidR="00EE6AA2">
        <w:t>е</w:t>
      </w:r>
      <w:r w:rsidR="00847B04" w:rsidRPr="00F6340E">
        <w:t xml:space="preserve"> </w:t>
      </w:r>
      <w:r>
        <w:t>и</w:t>
      </w:r>
      <w:r w:rsidR="00847B04" w:rsidRPr="00F6340E">
        <w:t xml:space="preserve"> </w:t>
      </w:r>
      <w:r>
        <w:t>ком</w:t>
      </w:r>
      <w:r w:rsidR="0071360A">
        <w:t>у</w:t>
      </w:r>
      <w:r>
        <w:t>никација</w:t>
      </w:r>
      <w:r w:rsidR="00BE6A63" w:rsidRPr="00F6340E">
        <w:t xml:space="preserve"> (</w:t>
      </w:r>
      <w:r w:rsidR="0071360A">
        <w:t>С</w:t>
      </w:r>
      <w:r>
        <w:t>лика</w:t>
      </w:r>
      <w:r w:rsidR="00BE6A63" w:rsidRPr="00F6340E">
        <w:t>)</w:t>
      </w:r>
      <w:r w:rsidR="00847B04" w:rsidRPr="00F6340E">
        <w:t xml:space="preserve">. </w:t>
      </w:r>
    </w:p>
    <w:p w14:paraId="5F7B26D9" w14:textId="3FC38B29" w:rsidR="00972C81" w:rsidRPr="00FA4DC9" w:rsidRDefault="00FA4DC9" w:rsidP="00FA4DC9">
      <w:pPr>
        <w:pStyle w:val="Body"/>
        <w:jc w:val="center"/>
        <w:rPr>
          <w:rFonts w:cs="Arial"/>
          <w:color w:val="000000" w:themeColor="text1"/>
          <w:sz w:val="20"/>
          <w:szCs w:val="20"/>
        </w:rPr>
      </w:pPr>
      <w:r w:rsidRPr="001A3922">
        <w:rPr>
          <w:rFonts w:cs="Arial"/>
          <w:color w:val="000000" w:themeColor="text1"/>
          <w:lang w:val="en-US"/>
        </w:rPr>
        <w:drawing>
          <wp:inline distT="0" distB="0" distL="0" distR="0" wp14:anchorId="3184F220" wp14:editId="5D59962A">
            <wp:extent cx="5750061" cy="3902710"/>
            <wp:effectExtent l="3810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71360A" w:rsidRPr="00FA4DC9">
        <w:rPr>
          <w:rFonts w:cs="Arial"/>
          <w:color w:val="000000" w:themeColor="text1"/>
          <w:sz w:val="20"/>
          <w:szCs w:val="20"/>
        </w:rPr>
        <w:t>С</w:t>
      </w:r>
      <w:r w:rsidR="00A56E08" w:rsidRPr="00FA4DC9">
        <w:rPr>
          <w:rFonts w:cs="Arial"/>
          <w:color w:val="000000" w:themeColor="text1"/>
          <w:sz w:val="20"/>
          <w:szCs w:val="20"/>
        </w:rPr>
        <w:t>лика</w:t>
      </w:r>
      <w:r w:rsidR="00847B04" w:rsidRPr="00FA4DC9">
        <w:rPr>
          <w:rFonts w:cs="Arial"/>
          <w:color w:val="000000" w:themeColor="text1"/>
          <w:sz w:val="20"/>
          <w:szCs w:val="20"/>
        </w:rPr>
        <w:t xml:space="preserve">: </w:t>
      </w:r>
      <w:r w:rsidR="0071360A" w:rsidRPr="00FA4DC9">
        <w:rPr>
          <w:rFonts w:cs="Arial"/>
          <w:color w:val="000000" w:themeColor="text1"/>
          <w:sz w:val="20"/>
          <w:szCs w:val="20"/>
        </w:rPr>
        <w:t>П</w:t>
      </w:r>
      <w:r w:rsidR="00A56E08" w:rsidRPr="00FA4DC9">
        <w:rPr>
          <w:rFonts w:cs="Arial"/>
          <w:color w:val="000000" w:themeColor="text1"/>
          <w:sz w:val="20"/>
          <w:szCs w:val="20"/>
        </w:rPr>
        <w:t>од</w:t>
      </w:r>
      <w:r w:rsidR="0071360A" w:rsidRPr="00FA4DC9">
        <w:rPr>
          <w:rFonts w:cs="Arial"/>
          <w:color w:val="000000" w:themeColor="text1"/>
          <w:sz w:val="20"/>
          <w:szCs w:val="20"/>
        </w:rPr>
        <w:t>ру</w:t>
      </w:r>
      <w:r w:rsidR="00A56E08" w:rsidRPr="00FA4DC9">
        <w:rPr>
          <w:rFonts w:cs="Arial"/>
          <w:color w:val="000000" w:themeColor="text1"/>
          <w:sz w:val="20"/>
          <w:szCs w:val="20"/>
        </w:rPr>
        <w:t>чја</w:t>
      </w:r>
      <w:r w:rsidR="00847B04" w:rsidRPr="00FA4DC9">
        <w:rPr>
          <w:rFonts w:cs="Arial"/>
          <w:color w:val="000000" w:themeColor="text1"/>
          <w:sz w:val="20"/>
          <w:szCs w:val="20"/>
        </w:rPr>
        <w:t xml:space="preserve"> </w:t>
      </w:r>
      <w:r w:rsidR="00A56E08" w:rsidRPr="00FA4DC9">
        <w:rPr>
          <w:rFonts w:cs="Arial"/>
          <w:color w:val="000000" w:themeColor="text1"/>
          <w:sz w:val="20"/>
          <w:szCs w:val="20"/>
        </w:rPr>
        <w:t>диги</w:t>
      </w:r>
      <w:r w:rsidR="0071360A" w:rsidRPr="00FA4DC9">
        <w:rPr>
          <w:rFonts w:cs="Arial"/>
          <w:color w:val="000000" w:themeColor="text1"/>
          <w:sz w:val="20"/>
          <w:szCs w:val="20"/>
        </w:rPr>
        <w:t>т</w:t>
      </w:r>
      <w:r w:rsidR="00A56E08" w:rsidRPr="00FA4DC9">
        <w:rPr>
          <w:rFonts w:cs="Arial"/>
          <w:color w:val="000000" w:themeColor="text1"/>
          <w:sz w:val="20"/>
          <w:szCs w:val="20"/>
        </w:rPr>
        <w:t>алних</w:t>
      </w:r>
      <w:r w:rsidR="00847B04" w:rsidRPr="00FA4DC9">
        <w:rPr>
          <w:rFonts w:cs="Arial"/>
          <w:color w:val="000000" w:themeColor="text1"/>
          <w:sz w:val="20"/>
          <w:szCs w:val="20"/>
        </w:rPr>
        <w:t xml:space="preserve"> </w:t>
      </w:r>
      <w:r w:rsidR="00A56E08" w:rsidRPr="00FA4DC9">
        <w:rPr>
          <w:rFonts w:cs="Arial"/>
          <w:color w:val="000000" w:themeColor="text1"/>
          <w:sz w:val="20"/>
          <w:szCs w:val="20"/>
        </w:rPr>
        <w:t>ком</w:t>
      </w:r>
      <w:r w:rsidR="0071360A" w:rsidRPr="00FA4DC9">
        <w:rPr>
          <w:rFonts w:cs="Arial"/>
          <w:color w:val="000000" w:themeColor="text1"/>
          <w:sz w:val="20"/>
          <w:szCs w:val="20"/>
        </w:rPr>
        <w:t>п</w:t>
      </w:r>
      <w:r w:rsidR="00EE6AA2" w:rsidRPr="00FA4DC9">
        <w:rPr>
          <w:rFonts w:cs="Arial"/>
          <w:color w:val="000000" w:themeColor="text1"/>
          <w:sz w:val="20"/>
          <w:szCs w:val="20"/>
        </w:rPr>
        <w:t>е</w:t>
      </w:r>
      <w:r w:rsidR="0071360A" w:rsidRPr="00FA4DC9">
        <w:rPr>
          <w:rFonts w:cs="Arial"/>
          <w:color w:val="000000" w:themeColor="text1"/>
          <w:sz w:val="20"/>
          <w:szCs w:val="20"/>
        </w:rPr>
        <w:t>т</w:t>
      </w:r>
      <w:r w:rsidR="00EE6AA2" w:rsidRPr="00FA4DC9">
        <w:rPr>
          <w:rFonts w:cs="Arial"/>
          <w:color w:val="000000" w:themeColor="text1"/>
          <w:sz w:val="20"/>
          <w:szCs w:val="20"/>
        </w:rPr>
        <w:t>е</w:t>
      </w:r>
      <w:r w:rsidR="00A56E08" w:rsidRPr="00FA4DC9">
        <w:rPr>
          <w:rFonts w:cs="Arial"/>
          <w:color w:val="000000" w:themeColor="text1"/>
          <w:sz w:val="20"/>
          <w:szCs w:val="20"/>
        </w:rPr>
        <w:t>нција</w:t>
      </w:r>
      <w:r w:rsidR="00847B04" w:rsidRPr="00FA4DC9">
        <w:rPr>
          <w:rFonts w:cs="Arial"/>
          <w:color w:val="000000" w:themeColor="text1"/>
          <w:sz w:val="20"/>
          <w:szCs w:val="20"/>
        </w:rPr>
        <w:t xml:space="preserve"> </w:t>
      </w:r>
      <w:r w:rsidR="00A56E08" w:rsidRPr="00FA4DC9">
        <w:rPr>
          <w:rFonts w:cs="Arial"/>
          <w:color w:val="000000" w:themeColor="text1"/>
          <w:sz w:val="20"/>
          <w:szCs w:val="20"/>
        </w:rPr>
        <w:t>на</w:t>
      </w:r>
      <w:r w:rsidR="0071360A" w:rsidRPr="00FA4DC9">
        <w:rPr>
          <w:rFonts w:cs="Arial"/>
          <w:color w:val="000000" w:themeColor="text1"/>
          <w:sz w:val="20"/>
          <w:szCs w:val="20"/>
        </w:rPr>
        <w:t>ст</w:t>
      </w:r>
      <w:r w:rsidR="00A56E08" w:rsidRPr="00FA4DC9">
        <w:rPr>
          <w:rFonts w:cs="Arial"/>
          <w:color w:val="000000" w:themeColor="text1"/>
          <w:sz w:val="20"/>
          <w:szCs w:val="20"/>
        </w:rPr>
        <w:t>а</w:t>
      </w:r>
      <w:r w:rsidR="0071360A" w:rsidRPr="00FA4DC9">
        <w:rPr>
          <w:rFonts w:cs="Arial"/>
          <w:color w:val="000000" w:themeColor="text1"/>
          <w:sz w:val="20"/>
          <w:szCs w:val="20"/>
        </w:rPr>
        <w:t>в</w:t>
      </w:r>
      <w:r w:rsidR="00A56E08" w:rsidRPr="00FA4DC9">
        <w:rPr>
          <w:rFonts w:cs="Arial"/>
          <w:color w:val="000000" w:themeColor="text1"/>
          <w:sz w:val="20"/>
          <w:szCs w:val="20"/>
        </w:rPr>
        <w:t>ника</w:t>
      </w:r>
      <w:r w:rsidR="00847B04" w:rsidRPr="00FA4DC9">
        <w:rPr>
          <w:rFonts w:cs="Arial"/>
          <w:color w:val="000000" w:themeColor="text1"/>
          <w:sz w:val="20"/>
          <w:szCs w:val="20"/>
        </w:rPr>
        <w:t xml:space="preserve"> (</w:t>
      </w:r>
      <w:r w:rsidR="0071360A" w:rsidRPr="00FA4DC9">
        <w:rPr>
          <w:rFonts w:cs="Arial"/>
          <w:color w:val="000000" w:themeColor="text1"/>
          <w:sz w:val="20"/>
          <w:szCs w:val="20"/>
        </w:rPr>
        <w:t>У</w:t>
      </w:r>
      <w:r w:rsidR="00A56E08" w:rsidRPr="00FA4DC9">
        <w:rPr>
          <w:rFonts w:cs="Arial"/>
          <w:color w:val="000000" w:themeColor="text1"/>
          <w:sz w:val="20"/>
          <w:szCs w:val="20"/>
        </w:rPr>
        <w:t>НИЦ</w:t>
      </w:r>
      <w:r w:rsidR="00EE6AA2" w:rsidRPr="00FA4DC9">
        <w:rPr>
          <w:rFonts w:cs="Arial"/>
          <w:color w:val="000000" w:themeColor="text1"/>
          <w:sz w:val="20"/>
          <w:szCs w:val="20"/>
        </w:rPr>
        <w:t>Е</w:t>
      </w:r>
      <w:r w:rsidR="00A56E08" w:rsidRPr="00FA4DC9">
        <w:rPr>
          <w:rFonts w:cs="Arial"/>
          <w:color w:val="000000" w:themeColor="text1"/>
          <w:sz w:val="20"/>
          <w:szCs w:val="20"/>
        </w:rPr>
        <w:t>Ф</w:t>
      </w:r>
      <w:r w:rsidR="00847B04" w:rsidRPr="00FA4DC9">
        <w:rPr>
          <w:rFonts w:cs="Arial"/>
          <w:color w:val="000000" w:themeColor="text1"/>
          <w:sz w:val="20"/>
          <w:szCs w:val="20"/>
        </w:rPr>
        <w:t xml:space="preserve"> </w:t>
      </w:r>
      <w:r w:rsidR="00EE6AA2" w:rsidRPr="00FA4DC9">
        <w:rPr>
          <w:rFonts w:cs="Arial"/>
          <w:color w:val="000000" w:themeColor="text1"/>
          <w:sz w:val="20"/>
          <w:szCs w:val="20"/>
        </w:rPr>
        <w:t>Е</w:t>
      </w:r>
      <w:r w:rsidR="00A56E08" w:rsidRPr="00FA4DC9">
        <w:rPr>
          <w:rFonts w:cs="Arial"/>
          <w:color w:val="000000" w:themeColor="text1"/>
          <w:sz w:val="20"/>
          <w:szCs w:val="20"/>
        </w:rPr>
        <w:t>ДЦ</w:t>
      </w:r>
      <w:r w:rsidR="00847B04" w:rsidRPr="00FA4DC9">
        <w:rPr>
          <w:rFonts w:cs="Arial"/>
          <w:color w:val="000000" w:themeColor="text1"/>
          <w:sz w:val="20"/>
          <w:szCs w:val="20"/>
        </w:rPr>
        <w:t>, 2021)</w:t>
      </w:r>
    </w:p>
    <w:p w14:paraId="3440174C" w14:textId="58F42A26" w:rsidR="00BC4044" w:rsidRPr="00F6340E" w:rsidRDefault="00A56E08" w:rsidP="00FA4DC9">
      <w:pPr>
        <w:pStyle w:val="Body"/>
      </w:pPr>
      <w:r>
        <w:lastRenderedPageBreak/>
        <w:t>Ком</w:t>
      </w:r>
      <w:r w:rsidR="0071360A">
        <w:t>п</w:t>
      </w:r>
      <w:r w:rsidR="00EE6AA2">
        <w:t>е</w:t>
      </w:r>
      <w:r w:rsidR="0071360A">
        <w:t>т</w:t>
      </w:r>
      <w:r w:rsidR="00EE6AA2">
        <w:t>е</w:t>
      </w:r>
      <w:r>
        <w:t>нционо</w:t>
      </w:r>
      <w:r w:rsidR="002473FD" w:rsidRPr="00F6340E">
        <w:t xml:space="preserve"> </w:t>
      </w:r>
      <w:r w:rsidR="0071360A">
        <w:t>п</w:t>
      </w:r>
      <w:r>
        <w:t>од</w:t>
      </w:r>
      <w:r w:rsidR="0071360A">
        <w:t>ру</w:t>
      </w:r>
      <w:r>
        <w:t>чј</w:t>
      </w:r>
      <w:r w:rsidR="00EE6AA2">
        <w:t>е</w:t>
      </w:r>
      <w:r w:rsidR="00972C81" w:rsidRPr="00F6340E">
        <w:t xml:space="preserve"> </w:t>
      </w:r>
      <w:r w:rsidR="0071360A">
        <w:rPr>
          <w:b/>
        </w:rPr>
        <w:t>Р</w:t>
      </w:r>
      <w:r>
        <w:rPr>
          <w:b/>
        </w:rPr>
        <w:t>а</w:t>
      </w:r>
      <w:r w:rsidR="00171F00">
        <w:rPr>
          <w:b/>
        </w:rPr>
        <w:t>з</w:t>
      </w:r>
      <w:r w:rsidR="0071360A">
        <w:rPr>
          <w:b/>
        </w:rPr>
        <w:t>в</w:t>
      </w:r>
      <w:r>
        <w:rPr>
          <w:b/>
        </w:rPr>
        <w:t>ој</w:t>
      </w:r>
      <w:r w:rsidR="001D2358" w:rsidRPr="00F6340E">
        <w:rPr>
          <w:b/>
        </w:rPr>
        <w:t xml:space="preserve"> </w:t>
      </w:r>
      <w:r w:rsidR="00171F00">
        <w:rPr>
          <w:b/>
        </w:rPr>
        <w:t>з</w:t>
      </w:r>
      <w:r>
        <w:rPr>
          <w:b/>
        </w:rPr>
        <w:t>нања</w:t>
      </w:r>
      <w:r w:rsidR="00E8064C" w:rsidRPr="00F6340E">
        <w:t xml:space="preserve"> </w:t>
      </w:r>
      <w:r>
        <w:t>одно</w:t>
      </w:r>
      <w:r w:rsidR="0071360A">
        <w:t>с</w:t>
      </w:r>
      <w:r>
        <w:t>и</w:t>
      </w:r>
      <w:r w:rsidR="00E8064C" w:rsidRPr="00F6340E">
        <w:t xml:space="preserve"> </w:t>
      </w:r>
      <w:r w:rsidR="0071360A">
        <w:t>с</w:t>
      </w:r>
      <w:r w:rsidR="00EE6AA2">
        <w:t>е</w:t>
      </w:r>
      <w:r w:rsidR="00E8064C" w:rsidRPr="00F6340E">
        <w:t xml:space="preserve"> </w:t>
      </w:r>
      <w:r w:rsidR="0071360A">
        <w:t>п</w:t>
      </w:r>
      <w:r w:rsidR="00EE6AA2">
        <w:t>е</w:t>
      </w:r>
      <w:r>
        <w:t>даго</w:t>
      </w:r>
      <w:r w:rsidR="0071360A">
        <w:t>ш</w:t>
      </w:r>
      <w:r>
        <w:t>к</w:t>
      </w:r>
      <w:r w:rsidR="00EE6AA2">
        <w:t>е</w:t>
      </w:r>
      <w:r w:rsidR="00806F56" w:rsidRPr="00F6340E">
        <w:t xml:space="preserve"> </w:t>
      </w:r>
      <w:r>
        <w:t>ком</w:t>
      </w:r>
      <w:r w:rsidR="0071360A">
        <w:t>п</w:t>
      </w:r>
      <w:r w:rsidR="00EE6AA2">
        <w:t>е</w:t>
      </w:r>
      <w:r w:rsidR="0071360A">
        <w:t>т</w:t>
      </w:r>
      <w:r w:rsidR="00EE6AA2">
        <w:t>е</w:t>
      </w:r>
      <w:r>
        <w:t>нциј</w:t>
      </w:r>
      <w:r w:rsidR="00EE6AA2">
        <w:t>е</w:t>
      </w:r>
      <w:r w:rsidR="00456CDA" w:rsidRPr="00F6340E">
        <w:t xml:space="preserve"> </w:t>
      </w:r>
      <w:r>
        <w:t>на</w:t>
      </w:r>
      <w:r w:rsidR="0071360A">
        <w:t>ст</w:t>
      </w:r>
      <w:r>
        <w:t>а</w:t>
      </w:r>
      <w:r w:rsidR="0071360A">
        <w:t>в</w:t>
      </w:r>
      <w:r>
        <w:t>ника</w:t>
      </w:r>
      <w:r w:rsidR="00972C81" w:rsidRPr="00F6340E">
        <w:t xml:space="preserve"> </w:t>
      </w:r>
      <w:r w:rsidR="0071360A">
        <w:t>п</w:t>
      </w:r>
      <w:r>
        <w:t>о</w:t>
      </w:r>
      <w:r w:rsidR="0071360A">
        <w:t>в</w:t>
      </w:r>
      <w:r w:rsidR="00EE6AA2">
        <w:t>е</w:t>
      </w:r>
      <w:r w:rsidR="00171F00">
        <w:t>з</w:t>
      </w:r>
      <w:r>
        <w:t>ан</w:t>
      </w:r>
      <w:r w:rsidR="00EE6AA2">
        <w:t>е</w:t>
      </w:r>
      <w:r w:rsidR="00B04FA8">
        <w:t xml:space="preserve"> са </w:t>
      </w:r>
      <w:r>
        <w:t>диги</w:t>
      </w:r>
      <w:r w:rsidR="0071360A">
        <w:t>т</w:t>
      </w:r>
      <w:r>
        <w:t>алним</w:t>
      </w:r>
      <w:r w:rsidR="00DE0B84" w:rsidRPr="00F6340E">
        <w:t xml:space="preserve"> </w:t>
      </w:r>
      <w:r w:rsidR="0071360A">
        <w:t>у</w:t>
      </w:r>
      <w:r>
        <w:t>ч</w:t>
      </w:r>
      <w:r w:rsidR="00EE6AA2">
        <w:t>е</w:t>
      </w:r>
      <w:r>
        <w:t>њ</w:t>
      </w:r>
      <w:r w:rsidR="00EE6AA2">
        <w:t>е</w:t>
      </w:r>
      <w:r>
        <w:t>м</w:t>
      </w:r>
      <w:r w:rsidR="00DE0B84" w:rsidRPr="00F6340E">
        <w:t xml:space="preserve"> </w:t>
      </w:r>
      <w:r>
        <w:t>и</w:t>
      </w:r>
      <w:r w:rsidR="00DE0B84" w:rsidRPr="00F6340E">
        <w:t xml:space="preserve"> </w:t>
      </w:r>
      <w:r w:rsidR="0071360A">
        <w:t>п</w:t>
      </w:r>
      <w:r>
        <w:t>од</w:t>
      </w:r>
      <w:r w:rsidR="0071360A">
        <w:t>у</w:t>
      </w:r>
      <w:r>
        <w:t>ча</w:t>
      </w:r>
      <w:r w:rsidR="0071360A">
        <w:t>в</w:t>
      </w:r>
      <w:r>
        <w:t>ањ</w:t>
      </w:r>
      <w:r w:rsidR="00EE6AA2">
        <w:t>е</w:t>
      </w:r>
      <w:r>
        <w:t>м</w:t>
      </w:r>
      <w:r w:rsidR="00DE0B84" w:rsidRPr="00F6340E">
        <w:t xml:space="preserve"> </w:t>
      </w:r>
      <w:r w:rsidR="0071360A">
        <w:t>т</w:t>
      </w:r>
      <w:r w:rsidR="00EE6AA2">
        <w:t>е</w:t>
      </w:r>
      <w:r w:rsidR="00DE0B84" w:rsidRPr="00F6340E">
        <w:t xml:space="preserve"> </w:t>
      </w:r>
      <w:r>
        <w:t>њихо</w:t>
      </w:r>
      <w:r w:rsidR="0071360A">
        <w:t>в</w:t>
      </w:r>
      <w:r w:rsidR="00EE6AA2">
        <w:t>е</w:t>
      </w:r>
      <w:r w:rsidR="00DE0B84" w:rsidRPr="00F6340E">
        <w:t xml:space="preserve"> </w:t>
      </w:r>
      <w:r w:rsidR="0071360A">
        <w:t>п</w:t>
      </w:r>
      <w:r>
        <w:t>о</w:t>
      </w:r>
      <w:r w:rsidR="0071360A">
        <w:t>в</w:t>
      </w:r>
      <w:r w:rsidR="00EE6AA2">
        <w:t>е</w:t>
      </w:r>
      <w:r w:rsidR="00171F00">
        <w:t>з</w:t>
      </w:r>
      <w:r>
        <w:t>ано</w:t>
      </w:r>
      <w:r w:rsidR="0071360A">
        <w:t>ст</w:t>
      </w:r>
      <w:r>
        <w:t>и</w:t>
      </w:r>
      <w:r w:rsidR="00B04FA8">
        <w:t xml:space="preserve"> са </w:t>
      </w:r>
      <w:r>
        <w:t>об</w:t>
      </w:r>
      <w:r w:rsidR="0071360A">
        <w:t>р</w:t>
      </w:r>
      <w:r>
        <w:t>а</w:t>
      </w:r>
      <w:r w:rsidR="00171F00">
        <w:t>з</w:t>
      </w:r>
      <w:r>
        <w:t>о</w:t>
      </w:r>
      <w:r w:rsidR="0071360A">
        <w:t>в</w:t>
      </w:r>
      <w:r>
        <w:t>ном</w:t>
      </w:r>
      <w:r w:rsidR="00DE0B84" w:rsidRPr="00F6340E">
        <w:t xml:space="preserve"> </w:t>
      </w:r>
      <w:r w:rsidR="0071360A">
        <w:t>п</w:t>
      </w:r>
      <w:r>
        <w:t>оли</w:t>
      </w:r>
      <w:r w:rsidR="0071360A">
        <w:t>т</w:t>
      </w:r>
      <w:r>
        <w:t>иком</w:t>
      </w:r>
      <w:r w:rsidR="00DE0B84" w:rsidRPr="00F6340E">
        <w:t xml:space="preserve">, </w:t>
      </w:r>
      <w:r>
        <w:t>инкл</w:t>
      </w:r>
      <w:r w:rsidR="0071360A">
        <w:t>у</w:t>
      </w:r>
      <w:r w:rsidR="00171F00">
        <w:t>з</w:t>
      </w:r>
      <w:r>
        <w:t>и</w:t>
      </w:r>
      <w:r w:rsidR="0071360A">
        <w:t>в</w:t>
      </w:r>
      <w:r>
        <w:t>ним</w:t>
      </w:r>
      <w:r w:rsidR="006447FD" w:rsidRPr="00F6340E">
        <w:t xml:space="preserve"> </w:t>
      </w:r>
      <w:r w:rsidR="0071360A">
        <w:t>пр</w:t>
      </w:r>
      <w:r>
        <w:t>и</w:t>
      </w:r>
      <w:r w:rsidR="0071360A">
        <w:t>ступ</w:t>
      </w:r>
      <w:r>
        <w:t>ом</w:t>
      </w:r>
      <w:r w:rsidR="00DE0B84" w:rsidRPr="00F6340E">
        <w:t xml:space="preserve"> </w:t>
      </w:r>
      <w:r>
        <w:t>и</w:t>
      </w:r>
      <w:r w:rsidR="00DE0B84" w:rsidRPr="00F6340E">
        <w:t xml:space="preserve"> </w:t>
      </w:r>
      <w:r w:rsidR="0071360A">
        <w:t>вр</w:t>
      </w:r>
      <w:r w:rsidR="00EE6AA2">
        <w:t>е</w:t>
      </w:r>
      <w:r>
        <w:t>дно</w:t>
      </w:r>
      <w:r w:rsidR="0071360A">
        <w:t>в</w:t>
      </w:r>
      <w:r>
        <w:t>ањ</w:t>
      </w:r>
      <w:r w:rsidR="00EE6AA2">
        <w:t>е</w:t>
      </w:r>
      <w:r>
        <w:t>м</w:t>
      </w:r>
      <w:r w:rsidR="00DE0B84" w:rsidRPr="00F6340E">
        <w:t xml:space="preserve"> </w:t>
      </w:r>
      <w:r>
        <w:t>и</w:t>
      </w:r>
      <w:r w:rsidR="00DE0B84" w:rsidRPr="00F6340E">
        <w:t xml:space="preserve"> </w:t>
      </w:r>
      <w:r>
        <w:t>оцј</w:t>
      </w:r>
      <w:r w:rsidR="00EE6AA2">
        <w:t>е</w:t>
      </w:r>
      <w:r>
        <w:t>њи</w:t>
      </w:r>
      <w:r w:rsidR="0071360A">
        <w:t>в</w:t>
      </w:r>
      <w:r>
        <w:t>ањ</w:t>
      </w:r>
      <w:r w:rsidR="00EE6AA2">
        <w:t>е</w:t>
      </w:r>
      <w:r>
        <w:t>м</w:t>
      </w:r>
      <w:r w:rsidR="00DE0B84" w:rsidRPr="00F6340E">
        <w:t xml:space="preserve">. </w:t>
      </w:r>
    </w:p>
    <w:p w14:paraId="20BAAF73" w14:textId="2B136122" w:rsidR="00150694" w:rsidRPr="00F6340E" w:rsidRDefault="00A56E08" w:rsidP="00FA4DC9">
      <w:pPr>
        <w:pStyle w:val="Body"/>
      </w:pPr>
      <w:r>
        <w:t>Ком</w:t>
      </w:r>
      <w:r w:rsidR="0071360A">
        <w:t>п</w:t>
      </w:r>
      <w:r w:rsidR="00EE6AA2">
        <w:t>е</w:t>
      </w:r>
      <w:r w:rsidR="0071360A">
        <w:t>т</w:t>
      </w:r>
      <w:r w:rsidR="00EE6AA2">
        <w:t>е</w:t>
      </w:r>
      <w:r>
        <w:t>нционо</w:t>
      </w:r>
      <w:r w:rsidR="00854216" w:rsidRPr="00F6340E">
        <w:t xml:space="preserve"> </w:t>
      </w:r>
      <w:r w:rsidR="0071360A">
        <w:t>п</w:t>
      </w:r>
      <w:r>
        <w:t>од</w:t>
      </w:r>
      <w:r w:rsidR="0071360A">
        <w:t>ру</w:t>
      </w:r>
      <w:r>
        <w:t>чј</w:t>
      </w:r>
      <w:r w:rsidR="00EE6AA2">
        <w:t>е</w:t>
      </w:r>
      <w:r w:rsidR="00DE0B84" w:rsidRPr="00F6340E">
        <w:t xml:space="preserve"> </w:t>
      </w:r>
      <w:r w:rsidR="0071360A">
        <w:rPr>
          <w:b/>
        </w:rPr>
        <w:t>Пр</w:t>
      </w:r>
      <w:r>
        <w:rPr>
          <w:b/>
        </w:rPr>
        <w:t>имј</w:t>
      </w:r>
      <w:r w:rsidR="00EE6AA2">
        <w:rPr>
          <w:b/>
        </w:rPr>
        <w:t>е</w:t>
      </w:r>
      <w:r>
        <w:rPr>
          <w:b/>
        </w:rPr>
        <w:t>на</w:t>
      </w:r>
      <w:r w:rsidR="00456CDA" w:rsidRPr="00F6340E">
        <w:rPr>
          <w:b/>
        </w:rPr>
        <w:t xml:space="preserve"> </w:t>
      </w:r>
      <w:r w:rsidR="00171F00">
        <w:rPr>
          <w:b/>
        </w:rPr>
        <w:t>з</w:t>
      </w:r>
      <w:r>
        <w:rPr>
          <w:b/>
        </w:rPr>
        <w:t>нања</w:t>
      </w:r>
      <w:r w:rsidR="00456CDA" w:rsidRPr="00F6340E">
        <w:t xml:space="preserve"> </w:t>
      </w:r>
      <w:r>
        <w:t>одно</w:t>
      </w:r>
      <w:r w:rsidR="0071360A">
        <w:t>с</w:t>
      </w:r>
      <w:r>
        <w:t>и</w:t>
      </w:r>
      <w:r w:rsidR="00DE0B84" w:rsidRPr="00F6340E">
        <w:t xml:space="preserve"> </w:t>
      </w:r>
      <w:r w:rsidR="0071360A">
        <w:t>с</w:t>
      </w:r>
      <w:r w:rsidR="00EE6AA2">
        <w:t>е</w:t>
      </w:r>
      <w:r w:rsidR="00DE0B84" w:rsidRPr="00F6340E">
        <w:t xml:space="preserve"> </w:t>
      </w:r>
      <w:r>
        <w:t>на</w:t>
      </w:r>
      <w:r w:rsidR="00DE0B84" w:rsidRPr="00F6340E">
        <w:t xml:space="preserve"> </w:t>
      </w:r>
      <w:r w:rsidR="0071360A">
        <w:t>п</w:t>
      </w:r>
      <w:r w:rsidR="00EE6AA2">
        <w:t>е</w:t>
      </w:r>
      <w:r>
        <w:t>даго</w:t>
      </w:r>
      <w:r w:rsidR="0071360A">
        <w:t>ш</w:t>
      </w:r>
      <w:r>
        <w:t>к</w:t>
      </w:r>
      <w:r w:rsidR="00EE6AA2">
        <w:t>е</w:t>
      </w:r>
      <w:r w:rsidR="002473FD" w:rsidRPr="00F6340E">
        <w:t xml:space="preserve"> </w:t>
      </w:r>
      <w:r>
        <w:t>ком</w:t>
      </w:r>
      <w:r w:rsidR="0071360A">
        <w:t>п</w:t>
      </w:r>
      <w:r w:rsidR="00EE6AA2">
        <w:t>е</w:t>
      </w:r>
      <w:r w:rsidR="0071360A">
        <w:t>т</w:t>
      </w:r>
      <w:r w:rsidR="00EE6AA2">
        <w:t>е</w:t>
      </w:r>
      <w:r>
        <w:t>нциј</w:t>
      </w:r>
      <w:r w:rsidR="00EE6AA2">
        <w:t>е</w:t>
      </w:r>
      <w:r w:rsidR="002473FD" w:rsidRPr="00F6340E">
        <w:t xml:space="preserve"> </w:t>
      </w:r>
      <w:r>
        <w:t>на</w:t>
      </w:r>
      <w:r w:rsidR="0071360A">
        <w:t>ст</w:t>
      </w:r>
      <w:r>
        <w:t>а</w:t>
      </w:r>
      <w:r w:rsidR="0071360A">
        <w:t>в</w:t>
      </w:r>
      <w:r>
        <w:t>ника</w:t>
      </w:r>
      <w:r w:rsidR="002473FD" w:rsidRPr="00F6340E">
        <w:t xml:space="preserve"> </w:t>
      </w:r>
      <w:r>
        <w:t>кој</w:t>
      </w:r>
      <w:r w:rsidR="00EE6AA2">
        <w:t>е</w:t>
      </w:r>
      <w:r w:rsidR="002473FD" w:rsidRPr="00F6340E">
        <w:t xml:space="preserve"> </w:t>
      </w:r>
      <w:r>
        <w:t>о</w:t>
      </w:r>
      <w:r w:rsidR="0071360A">
        <w:t>с</w:t>
      </w:r>
      <w:r>
        <w:t>иг</w:t>
      </w:r>
      <w:r w:rsidR="0071360A">
        <w:t>ур</w:t>
      </w:r>
      <w:r>
        <w:t>а</w:t>
      </w:r>
      <w:r w:rsidR="0071360A">
        <w:t>в</w:t>
      </w:r>
      <w:r>
        <w:t>ај</w:t>
      </w:r>
      <w:r w:rsidR="0071360A">
        <w:t>у</w:t>
      </w:r>
      <w:r w:rsidR="002473FD" w:rsidRPr="00F6340E">
        <w:t xml:space="preserve"> </w:t>
      </w:r>
      <w:r w:rsidR="0071360A">
        <w:t>п</w:t>
      </w:r>
      <w:r>
        <w:t>о</w:t>
      </w:r>
      <w:r w:rsidR="0071360A">
        <w:t>т</w:t>
      </w:r>
      <w:r>
        <w:t>ицањ</w:t>
      </w:r>
      <w:r w:rsidR="00EE6AA2">
        <w:t>е</w:t>
      </w:r>
      <w:r w:rsidR="006447FD" w:rsidRPr="00F6340E">
        <w:t xml:space="preserve"> </w:t>
      </w:r>
      <w:r w:rsidR="0071360A">
        <w:t>р</w:t>
      </w:r>
      <w:r>
        <w:t>а</w:t>
      </w:r>
      <w:r w:rsidR="00171F00">
        <w:t>з</w:t>
      </w:r>
      <w:r w:rsidR="0071360A">
        <w:t>в</w:t>
      </w:r>
      <w:r>
        <w:t>оја</w:t>
      </w:r>
      <w:r w:rsidR="00854216" w:rsidRPr="00F6340E">
        <w:t xml:space="preserve"> </w:t>
      </w:r>
      <w:r>
        <w:t>диги</w:t>
      </w:r>
      <w:r w:rsidR="0071360A">
        <w:t>т</w:t>
      </w:r>
      <w:r>
        <w:t>алних</w:t>
      </w:r>
      <w:r w:rsidR="006447FD" w:rsidRPr="00F6340E">
        <w:t xml:space="preserve"> </w:t>
      </w:r>
      <w:r>
        <w:t>ком</w:t>
      </w:r>
      <w:r w:rsidR="0071360A">
        <w:t>п</w:t>
      </w:r>
      <w:r w:rsidR="00EE6AA2">
        <w:t>е</w:t>
      </w:r>
      <w:r w:rsidR="0071360A">
        <w:t>т</w:t>
      </w:r>
      <w:r w:rsidR="00EE6AA2">
        <w:t>е</w:t>
      </w:r>
      <w:r>
        <w:t>нција</w:t>
      </w:r>
      <w:r w:rsidR="006447FD" w:rsidRPr="00F6340E">
        <w:t xml:space="preserve"> </w:t>
      </w:r>
      <w:r w:rsidR="0071360A">
        <w:t>у</w:t>
      </w:r>
      <w:r>
        <w:t>ч</w:t>
      </w:r>
      <w:r w:rsidR="00EE6AA2">
        <w:t>е</w:t>
      </w:r>
      <w:r>
        <w:t>ника</w:t>
      </w:r>
      <w:r w:rsidR="006447FD" w:rsidRPr="00F6340E">
        <w:t>/</w:t>
      </w:r>
      <w:r w:rsidR="0071360A">
        <w:t>сту</w:t>
      </w:r>
      <w:r>
        <w:t>д</w:t>
      </w:r>
      <w:r w:rsidR="00EE6AA2">
        <w:t>е</w:t>
      </w:r>
      <w:r>
        <w:t>на</w:t>
      </w:r>
      <w:r w:rsidR="0071360A">
        <w:t>т</w:t>
      </w:r>
      <w:r>
        <w:t>а</w:t>
      </w:r>
      <w:r w:rsidR="002473FD" w:rsidRPr="00F6340E">
        <w:t xml:space="preserve">, </w:t>
      </w:r>
      <w:r>
        <w:t>одго</w:t>
      </w:r>
      <w:r w:rsidR="0071360A">
        <w:t>в</w:t>
      </w:r>
      <w:r>
        <w:t>о</w:t>
      </w:r>
      <w:r w:rsidR="0071360A">
        <w:t>р</w:t>
      </w:r>
      <w:r>
        <w:t>н</w:t>
      </w:r>
      <w:r w:rsidR="0071360A">
        <w:t>у</w:t>
      </w:r>
      <w:r w:rsidR="006447FD" w:rsidRPr="00F6340E">
        <w:t xml:space="preserve"> </w:t>
      </w:r>
      <w:r w:rsidR="0071360A">
        <w:t>уп</w:t>
      </w:r>
      <w:r>
        <w:t>о</w:t>
      </w:r>
      <w:r w:rsidR="0071360A">
        <w:t>тр</w:t>
      </w:r>
      <w:r w:rsidR="00EE6AA2">
        <w:t>е</w:t>
      </w:r>
      <w:r>
        <w:t>б</w:t>
      </w:r>
      <w:r w:rsidR="0071360A">
        <w:t>у</w:t>
      </w:r>
      <w:r w:rsidR="006447FD" w:rsidRPr="00F6340E">
        <w:t xml:space="preserve"> </w:t>
      </w:r>
      <w:r>
        <w:t>диги</w:t>
      </w:r>
      <w:r w:rsidR="0071360A">
        <w:t>т</w:t>
      </w:r>
      <w:r>
        <w:t>алн</w:t>
      </w:r>
      <w:r w:rsidR="00EE6AA2">
        <w:t>е</w:t>
      </w:r>
      <w:r w:rsidR="006447FD" w:rsidRPr="00F6340E">
        <w:t xml:space="preserve"> </w:t>
      </w:r>
      <w:r w:rsidR="0071360A">
        <w:t>т</w:t>
      </w:r>
      <w:r w:rsidR="00EE6AA2">
        <w:t>е</w:t>
      </w:r>
      <w:r>
        <w:t>хнологиј</w:t>
      </w:r>
      <w:r w:rsidR="00EE6AA2">
        <w:t>е</w:t>
      </w:r>
      <w:r w:rsidR="006447FD" w:rsidRPr="00F6340E">
        <w:t xml:space="preserve"> </w:t>
      </w:r>
      <w:r w:rsidR="0071360A">
        <w:t>т</w:t>
      </w:r>
      <w:r w:rsidR="00EE6AA2">
        <w:t>е</w:t>
      </w:r>
      <w:r w:rsidR="002473FD" w:rsidRPr="00F6340E">
        <w:t xml:space="preserve"> </w:t>
      </w:r>
      <w:r w:rsidR="0071360A">
        <w:t>р</w:t>
      </w:r>
      <w:r>
        <w:t>ј</w:t>
      </w:r>
      <w:r w:rsidR="00EE6AA2">
        <w:t>е</w:t>
      </w:r>
      <w:r w:rsidR="0071360A">
        <w:t>ш</w:t>
      </w:r>
      <w:r>
        <w:t>а</w:t>
      </w:r>
      <w:r w:rsidR="0071360A">
        <w:t>в</w:t>
      </w:r>
      <w:r>
        <w:t>ањ</w:t>
      </w:r>
      <w:r w:rsidR="00EE6AA2">
        <w:t>е</w:t>
      </w:r>
      <w:r w:rsidR="002473FD" w:rsidRPr="00F6340E">
        <w:t xml:space="preserve"> </w:t>
      </w:r>
      <w:r w:rsidR="0071360A">
        <w:t>пр</w:t>
      </w:r>
      <w:r>
        <w:t>обл</w:t>
      </w:r>
      <w:r w:rsidR="00EE6AA2">
        <w:t>е</w:t>
      </w:r>
      <w:r>
        <w:t>ма</w:t>
      </w:r>
      <w:r w:rsidR="002473FD" w:rsidRPr="00F6340E">
        <w:t xml:space="preserve">. </w:t>
      </w:r>
    </w:p>
    <w:p w14:paraId="273808B5" w14:textId="336BF5D2" w:rsidR="00150694" w:rsidRPr="00F6340E" w:rsidRDefault="00A56E08" w:rsidP="00FA4DC9">
      <w:pPr>
        <w:pStyle w:val="Body"/>
      </w:pPr>
      <w:r>
        <w:t>Ком</w:t>
      </w:r>
      <w:r w:rsidR="0071360A">
        <w:t>п</w:t>
      </w:r>
      <w:r w:rsidR="00EE6AA2">
        <w:t>е</w:t>
      </w:r>
      <w:r w:rsidR="0071360A">
        <w:t>т</w:t>
      </w:r>
      <w:r w:rsidR="00EE6AA2">
        <w:t>е</w:t>
      </w:r>
      <w:r>
        <w:t>нционо</w:t>
      </w:r>
      <w:r w:rsidR="002473FD" w:rsidRPr="00F6340E">
        <w:t xml:space="preserve"> </w:t>
      </w:r>
      <w:r w:rsidR="0071360A">
        <w:t>п</w:t>
      </w:r>
      <w:r>
        <w:t>од</w:t>
      </w:r>
      <w:r w:rsidR="0071360A">
        <w:t>ру</w:t>
      </w:r>
      <w:r>
        <w:t>чј</w:t>
      </w:r>
      <w:r w:rsidR="00EE6AA2">
        <w:t>е</w:t>
      </w:r>
      <w:r w:rsidR="002473FD" w:rsidRPr="00F6340E">
        <w:t xml:space="preserve"> </w:t>
      </w:r>
      <w:r w:rsidR="0071360A">
        <w:rPr>
          <w:b/>
        </w:rPr>
        <w:t>Р</w:t>
      </w:r>
      <w:r>
        <w:rPr>
          <w:b/>
        </w:rPr>
        <w:t>а</w:t>
      </w:r>
      <w:r w:rsidR="00171F00">
        <w:rPr>
          <w:b/>
        </w:rPr>
        <w:t>з</w:t>
      </w:r>
      <w:r>
        <w:rPr>
          <w:b/>
        </w:rPr>
        <w:t>мј</w:t>
      </w:r>
      <w:r w:rsidR="00EE6AA2">
        <w:rPr>
          <w:b/>
        </w:rPr>
        <w:t>е</w:t>
      </w:r>
      <w:r>
        <w:rPr>
          <w:b/>
        </w:rPr>
        <w:t>на</w:t>
      </w:r>
      <w:r w:rsidR="00456CDA" w:rsidRPr="00F6340E">
        <w:rPr>
          <w:b/>
        </w:rPr>
        <w:t xml:space="preserve"> </w:t>
      </w:r>
      <w:r w:rsidR="00171F00">
        <w:rPr>
          <w:b/>
        </w:rPr>
        <w:t>з</w:t>
      </w:r>
      <w:r>
        <w:rPr>
          <w:b/>
        </w:rPr>
        <w:t>нања</w:t>
      </w:r>
      <w:r w:rsidR="00456CDA" w:rsidRPr="00F6340E">
        <w:t xml:space="preserve"> </w:t>
      </w:r>
      <w:r>
        <w:t>одно</w:t>
      </w:r>
      <w:r w:rsidR="0071360A">
        <w:t>с</w:t>
      </w:r>
      <w:r>
        <w:t>и</w:t>
      </w:r>
      <w:r w:rsidR="00BE6A63" w:rsidRPr="00F6340E">
        <w:t xml:space="preserve"> </w:t>
      </w:r>
      <w:r w:rsidR="0071360A">
        <w:t>с</w:t>
      </w:r>
      <w:r w:rsidR="00EE6AA2">
        <w:t>е</w:t>
      </w:r>
      <w:r w:rsidR="00BE6A63" w:rsidRPr="00F6340E">
        <w:t xml:space="preserve"> </w:t>
      </w:r>
      <w:r>
        <w:t>на</w:t>
      </w:r>
      <w:r w:rsidR="00BE6A63" w:rsidRPr="00F6340E">
        <w:t xml:space="preserve"> </w:t>
      </w:r>
      <w:r w:rsidR="0071360A">
        <w:t>р</w:t>
      </w:r>
      <w:r>
        <w:t>а</w:t>
      </w:r>
      <w:r w:rsidR="00171F00">
        <w:t>з</w:t>
      </w:r>
      <w:r w:rsidR="0071360A">
        <w:t>в</w:t>
      </w:r>
      <w:r>
        <w:t>ој</w:t>
      </w:r>
      <w:r w:rsidR="00BE6A63" w:rsidRPr="00F6340E">
        <w:t xml:space="preserve"> </w:t>
      </w:r>
      <w:r w:rsidR="00171F00">
        <w:t>з</w:t>
      </w:r>
      <w:r>
        <w:t>ај</w:t>
      </w:r>
      <w:r w:rsidR="00EE6AA2">
        <w:t>е</w:t>
      </w:r>
      <w:r>
        <w:t>дница</w:t>
      </w:r>
      <w:r w:rsidR="002473FD" w:rsidRPr="00F6340E">
        <w:t xml:space="preserve"> </w:t>
      </w:r>
      <w:r w:rsidR="0071360A">
        <w:t>пр</w:t>
      </w:r>
      <w:r>
        <w:t>ак</w:t>
      </w:r>
      <w:r w:rsidR="0071360A">
        <w:t>с</w:t>
      </w:r>
      <w:r w:rsidR="00EE6AA2">
        <w:t>е</w:t>
      </w:r>
      <w:r w:rsidR="002473FD" w:rsidRPr="00F6340E">
        <w:t xml:space="preserve"> </w:t>
      </w:r>
      <w:r>
        <w:t>кој</w:t>
      </w:r>
      <w:r w:rsidR="00EE6AA2">
        <w:t>е</w:t>
      </w:r>
      <w:r w:rsidR="00BE6A63" w:rsidRPr="00F6340E">
        <w:t xml:space="preserve"> </w:t>
      </w:r>
      <w:r>
        <w:t>ћ</w:t>
      </w:r>
      <w:r w:rsidR="00EE6AA2">
        <w:t>е</w:t>
      </w:r>
      <w:r w:rsidR="00BE6A63" w:rsidRPr="00F6340E">
        <w:t xml:space="preserve"> </w:t>
      </w:r>
      <w:r>
        <w:t>омог</w:t>
      </w:r>
      <w:r w:rsidR="0071360A">
        <w:t>у</w:t>
      </w:r>
      <w:r>
        <w:t>ћи</w:t>
      </w:r>
      <w:r w:rsidR="0071360A">
        <w:t>т</w:t>
      </w:r>
      <w:r>
        <w:t>и</w:t>
      </w:r>
      <w:r w:rsidR="00BE6A63" w:rsidRPr="00F6340E">
        <w:t xml:space="preserve"> </w:t>
      </w:r>
      <w:r w:rsidR="0071360A">
        <w:t>пр</w:t>
      </w:r>
      <w:r>
        <w:t>оф</w:t>
      </w:r>
      <w:r w:rsidR="00EE6AA2">
        <w:t>е</w:t>
      </w:r>
      <w:r w:rsidR="0071360A">
        <w:t>с</w:t>
      </w:r>
      <w:r>
        <w:t>ионално</w:t>
      </w:r>
      <w:r w:rsidR="00030F45" w:rsidRPr="00F6340E">
        <w:t xml:space="preserve"> </w:t>
      </w:r>
      <w:r>
        <w:t>анга</w:t>
      </w:r>
      <w:r w:rsidR="00171F00">
        <w:t>ж</w:t>
      </w:r>
      <w:r>
        <w:t>о</w:t>
      </w:r>
      <w:r w:rsidR="0071360A">
        <w:t>в</w:t>
      </w:r>
      <w:r>
        <w:t>ањ</w:t>
      </w:r>
      <w:r w:rsidR="00EE6AA2">
        <w:t>е</w:t>
      </w:r>
      <w:r w:rsidR="00030F45" w:rsidRPr="00F6340E">
        <w:t xml:space="preserve"> </w:t>
      </w:r>
      <w:r>
        <w:t>и</w:t>
      </w:r>
      <w:r w:rsidR="006447FD" w:rsidRPr="00F6340E">
        <w:t xml:space="preserve"> </w:t>
      </w:r>
      <w:r>
        <w:t>кон</w:t>
      </w:r>
      <w:r w:rsidR="0071360A">
        <w:t>т</w:t>
      </w:r>
      <w:r>
        <w:t>ин</w:t>
      </w:r>
      <w:r w:rsidR="0071360A">
        <w:t>у</w:t>
      </w:r>
      <w:r>
        <w:t>ални</w:t>
      </w:r>
      <w:r w:rsidR="006447FD" w:rsidRPr="00F6340E">
        <w:t xml:space="preserve"> </w:t>
      </w:r>
      <w:r w:rsidR="0071360A">
        <w:t>пр</w:t>
      </w:r>
      <w:r>
        <w:t>оф</w:t>
      </w:r>
      <w:r w:rsidR="00EE6AA2">
        <w:t>е</w:t>
      </w:r>
      <w:r w:rsidR="0071360A">
        <w:t>с</w:t>
      </w:r>
      <w:r>
        <w:t>ионални</w:t>
      </w:r>
      <w:r w:rsidR="006447FD" w:rsidRPr="00F6340E">
        <w:t xml:space="preserve"> </w:t>
      </w:r>
      <w:r w:rsidR="0071360A">
        <w:t>р</w:t>
      </w:r>
      <w:r>
        <w:t>а</w:t>
      </w:r>
      <w:r w:rsidR="00171F00">
        <w:t>з</w:t>
      </w:r>
      <w:r w:rsidR="0071360A">
        <w:t>в</w:t>
      </w:r>
      <w:r>
        <w:t>ој</w:t>
      </w:r>
      <w:r w:rsidR="00BE6A63" w:rsidRPr="00F6340E">
        <w:t xml:space="preserve"> </w:t>
      </w:r>
      <w:r>
        <w:t>на</w:t>
      </w:r>
      <w:r w:rsidR="0071360A">
        <w:t>ст</w:t>
      </w:r>
      <w:r>
        <w:t>а</w:t>
      </w:r>
      <w:r w:rsidR="0071360A">
        <w:t>в</w:t>
      </w:r>
      <w:r>
        <w:t>ника</w:t>
      </w:r>
      <w:r w:rsidR="00BE6A63" w:rsidRPr="00F6340E">
        <w:t xml:space="preserve">, </w:t>
      </w:r>
      <w:r w:rsidR="0071360A">
        <w:t>р</w:t>
      </w:r>
      <w:r>
        <w:t>а</w:t>
      </w:r>
      <w:r w:rsidR="00171F00">
        <w:t>з</w:t>
      </w:r>
      <w:r>
        <w:t>ми</w:t>
      </w:r>
      <w:r w:rsidR="0071360A">
        <w:t>ш</w:t>
      </w:r>
      <w:r>
        <w:t>љањ</w:t>
      </w:r>
      <w:r w:rsidR="00EE6AA2">
        <w:t>е</w:t>
      </w:r>
      <w:r w:rsidR="00BE6A63" w:rsidRPr="00F6340E">
        <w:t xml:space="preserve"> </w:t>
      </w:r>
      <w:r>
        <w:t>о</w:t>
      </w:r>
      <w:r w:rsidR="00BE6A63" w:rsidRPr="00F6340E">
        <w:t xml:space="preserve"> </w:t>
      </w:r>
      <w:r w:rsidR="0071360A">
        <w:t>п</w:t>
      </w:r>
      <w:r>
        <w:t>о</w:t>
      </w:r>
      <w:r w:rsidR="0071360A">
        <w:t>ст</w:t>
      </w:r>
      <w:r>
        <w:t>ој</w:t>
      </w:r>
      <w:r w:rsidR="00EE6AA2">
        <w:t>е</w:t>
      </w:r>
      <w:r>
        <w:t>ћим</w:t>
      </w:r>
      <w:r w:rsidR="00BE6A63" w:rsidRPr="00F6340E">
        <w:t xml:space="preserve"> </w:t>
      </w:r>
      <w:r>
        <w:t>и</w:t>
      </w:r>
      <w:r w:rsidR="00BE6A63" w:rsidRPr="00F6340E">
        <w:t xml:space="preserve"> </w:t>
      </w:r>
      <w:r>
        <w:t>и</w:t>
      </w:r>
      <w:r w:rsidR="0071360A">
        <w:t>стр</w:t>
      </w:r>
      <w:r>
        <w:t>а</w:t>
      </w:r>
      <w:r w:rsidR="00171F00">
        <w:t>ж</w:t>
      </w:r>
      <w:r>
        <w:t>и</w:t>
      </w:r>
      <w:r w:rsidR="0071360A">
        <w:t>в</w:t>
      </w:r>
      <w:r>
        <w:t>ањ</w:t>
      </w:r>
      <w:r w:rsidR="00EE6AA2">
        <w:t>е</w:t>
      </w:r>
      <w:r w:rsidR="00BE6A63" w:rsidRPr="00F6340E">
        <w:t xml:space="preserve"> </w:t>
      </w:r>
      <w:r>
        <w:t>но</w:t>
      </w:r>
      <w:r w:rsidR="0071360A">
        <w:t>в</w:t>
      </w:r>
      <w:r>
        <w:t>их</w:t>
      </w:r>
      <w:r w:rsidR="00BE6A63" w:rsidRPr="00F6340E">
        <w:t xml:space="preserve"> </w:t>
      </w:r>
      <w:r w:rsidR="0071360A">
        <w:t>пр</w:t>
      </w:r>
      <w:r>
        <w:t>оф</w:t>
      </w:r>
      <w:r w:rsidR="00EE6AA2">
        <w:t>е</w:t>
      </w:r>
      <w:r w:rsidR="0071360A">
        <w:t>с</w:t>
      </w:r>
      <w:r>
        <w:t>ионалних</w:t>
      </w:r>
      <w:r w:rsidR="006447FD" w:rsidRPr="00F6340E">
        <w:t xml:space="preserve"> </w:t>
      </w:r>
      <w:r w:rsidR="00171F00">
        <w:t>з</w:t>
      </w:r>
      <w:r>
        <w:t>нања</w:t>
      </w:r>
      <w:r w:rsidR="006447FD" w:rsidRPr="00F6340E">
        <w:t xml:space="preserve"> </w:t>
      </w:r>
      <w:r w:rsidR="0071360A">
        <w:t>т</w:t>
      </w:r>
      <w:r w:rsidR="00EE6AA2">
        <w:t>е</w:t>
      </w:r>
      <w:r w:rsidR="00BE6A63" w:rsidRPr="00F6340E">
        <w:t xml:space="preserve"> </w:t>
      </w:r>
      <w:r>
        <w:t>об</w:t>
      </w:r>
      <w:r w:rsidR="0071360A">
        <w:t>у</w:t>
      </w:r>
      <w:r>
        <w:t>к</w:t>
      </w:r>
      <w:r w:rsidR="0071360A">
        <w:t>у</w:t>
      </w:r>
      <w:r w:rsidR="006447FD" w:rsidRPr="00F6340E">
        <w:t xml:space="preserve"> </w:t>
      </w:r>
      <w:r>
        <w:t>и</w:t>
      </w:r>
      <w:r w:rsidR="006447FD" w:rsidRPr="00F6340E">
        <w:t xml:space="preserve"> </w:t>
      </w:r>
      <w:r>
        <w:t>м</w:t>
      </w:r>
      <w:r w:rsidR="00EE6AA2">
        <w:t>е</w:t>
      </w:r>
      <w:r>
        <w:t>н</w:t>
      </w:r>
      <w:r w:rsidR="0071360A">
        <w:t>т</w:t>
      </w:r>
      <w:r>
        <w:t>о</w:t>
      </w:r>
      <w:r w:rsidR="0071360A">
        <w:t>рств</w:t>
      </w:r>
      <w:r>
        <w:t>о</w:t>
      </w:r>
      <w:r w:rsidR="00BE6A63" w:rsidRPr="00F6340E">
        <w:t xml:space="preserve">. </w:t>
      </w:r>
    </w:p>
    <w:p w14:paraId="2FADEB0A" w14:textId="37481EDE" w:rsidR="00150694" w:rsidRPr="00F6340E" w:rsidRDefault="00A56E08" w:rsidP="00FA4DC9">
      <w:pPr>
        <w:pStyle w:val="Body"/>
      </w:pPr>
      <w:r>
        <w:t>Ком</w:t>
      </w:r>
      <w:r w:rsidR="0071360A">
        <w:t>п</w:t>
      </w:r>
      <w:r w:rsidR="00EE6AA2">
        <w:t>е</w:t>
      </w:r>
      <w:r w:rsidR="0071360A">
        <w:t>т</w:t>
      </w:r>
      <w:r w:rsidR="00EE6AA2">
        <w:t>е</w:t>
      </w:r>
      <w:r>
        <w:t>нционо</w:t>
      </w:r>
      <w:r w:rsidR="002473FD" w:rsidRPr="00F6340E">
        <w:t xml:space="preserve"> </w:t>
      </w:r>
      <w:r w:rsidR="0071360A">
        <w:t>п</w:t>
      </w:r>
      <w:r>
        <w:t>од</w:t>
      </w:r>
      <w:r w:rsidR="0071360A">
        <w:t>ру</w:t>
      </w:r>
      <w:r>
        <w:t>чј</w:t>
      </w:r>
      <w:r w:rsidR="00EE6AA2">
        <w:t>е</w:t>
      </w:r>
      <w:r w:rsidR="002473FD" w:rsidRPr="00F6340E">
        <w:t xml:space="preserve"> </w:t>
      </w:r>
      <w:r w:rsidR="00171F00">
        <w:rPr>
          <w:b/>
        </w:rPr>
        <w:t>З</w:t>
      </w:r>
      <w:r>
        <w:rPr>
          <w:b/>
        </w:rPr>
        <w:t>нањ</w:t>
      </w:r>
      <w:r w:rsidR="00EE6AA2">
        <w:rPr>
          <w:b/>
        </w:rPr>
        <w:t>е</w:t>
      </w:r>
      <w:r w:rsidR="00456CDA" w:rsidRPr="00F6340E">
        <w:rPr>
          <w:b/>
        </w:rPr>
        <w:t xml:space="preserve"> </w:t>
      </w:r>
      <w:r>
        <w:rPr>
          <w:b/>
        </w:rPr>
        <w:t>и</w:t>
      </w:r>
      <w:r w:rsidR="00456CDA" w:rsidRPr="00F6340E">
        <w:rPr>
          <w:b/>
        </w:rPr>
        <w:t xml:space="preserve"> </w:t>
      </w:r>
      <w:r>
        <w:rPr>
          <w:b/>
        </w:rPr>
        <w:t>ком</w:t>
      </w:r>
      <w:r w:rsidR="0071360A">
        <w:rPr>
          <w:b/>
        </w:rPr>
        <w:t>у</w:t>
      </w:r>
      <w:r>
        <w:rPr>
          <w:b/>
        </w:rPr>
        <w:t>никација</w:t>
      </w:r>
      <w:r w:rsidR="00456CDA"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BE6A63" w:rsidRPr="00F6340E">
        <w:t xml:space="preserve"> </w:t>
      </w:r>
      <w:r>
        <w:t>диги</w:t>
      </w:r>
      <w:r w:rsidR="0071360A">
        <w:t>т</w:t>
      </w:r>
      <w:r>
        <w:t>алн</w:t>
      </w:r>
      <w:r w:rsidR="0071360A">
        <w:t>у</w:t>
      </w:r>
      <w:r w:rsidR="00BE6A63" w:rsidRPr="00F6340E">
        <w:t xml:space="preserve"> </w:t>
      </w:r>
      <w:r>
        <w:t>ком</w:t>
      </w:r>
      <w:r w:rsidR="0071360A">
        <w:t>у</w:t>
      </w:r>
      <w:r>
        <w:t>никациј</w:t>
      </w:r>
      <w:r w:rsidR="0071360A">
        <w:t>у</w:t>
      </w:r>
      <w:r w:rsidR="00BE6A63" w:rsidRPr="00F6340E">
        <w:t xml:space="preserve"> </w:t>
      </w:r>
      <w:r w:rsidR="00B04FA8">
        <w:t xml:space="preserve">са </w:t>
      </w:r>
      <w:r w:rsidR="0071360A">
        <w:t>у</w:t>
      </w:r>
      <w:r>
        <w:t>ч</w:t>
      </w:r>
      <w:r w:rsidR="00EE6AA2">
        <w:t>е</w:t>
      </w:r>
      <w:r>
        <w:t>ницима</w:t>
      </w:r>
      <w:r w:rsidR="006447FD" w:rsidRPr="00F6340E">
        <w:t>/</w:t>
      </w:r>
      <w:r w:rsidR="0071360A">
        <w:t>сту</w:t>
      </w:r>
      <w:r>
        <w:t>д</w:t>
      </w:r>
      <w:r w:rsidR="00EE6AA2">
        <w:t>е</w:t>
      </w:r>
      <w:r>
        <w:t>н</w:t>
      </w:r>
      <w:r w:rsidR="0071360A">
        <w:t>т</w:t>
      </w:r>
      <w:r>
        <w:t>има</w:t>
      </w:r>
      <w:r w:rsidR="00BE6A63" w:rsidRPr="00F6340E">
        <w:t xml:space="preserve"> </w:t>
      </w:r>
      <w:r>
        <w:t>и</w:t>
      </w:r>
      <w:r w:rsidR="00BE6A63" w:rsidRPr="00F6340E">
        <w:t xml:space="preserve"> </w:t>
      </w:r>
      <w:r>
        <w:t>д</w:t>
      </w:r>
      <w:r w:rsidR="0071360A">
        <w:t>ру</w:t>
      </w:r>
      <w:r>
        <w:t>гим</w:t>
      </w:r>
      <w:r w:rsidR="00BE6A63" w:rsidRPr="00F6340E">
        <w:t xml:space="preserve"> </w:t>
      </w:r>
      <w:r w:rsidR="0071360A">
        <w:t>у</w:t>
      </w:r>
      <w:r>
        <w:t>ч</w:t>
      </w:r>
      <w:r w:rsidR="00EE6AA2">
        <w:t>е</w:t>
      </w:r>
      <w:r w:rsidR="0071360A">
        <w:t>с</w:t>
      </w:r>
      <w:r>
        <w:t>ницима</w:t>
      </w:r>
      <w:r w:rsidR="00BE6A63" w:rsidRPr="00F6340E">
        <w:t xml:space="preserve"> </w:t>
      </w:r>
      <w:r>
        <w:t>об</w:t>
      </w:r>
      <w:r w:rsidR="0071360A">
        <w:t>р</w:t>
      </w:r>
      <w:r>
        <w:t>а</w:t>
      </w:r>
      <w:r w:rsidR="00171F00">
        <w:t>з</w:t>
      </w:r>
      <w:r>
        <w:t>о</w:t>
      </w:r>
      <w:r w:rsidR="0071360A">
        <w:t>в</w:t>
      </w:r>
      <w:r>
        <w:t>ања</w:t>
      </w:r>
      <w:r w:rsidR="00BE6A63" w:rsidRPr="00F6340E">
        <w:t xml:space="preserve"> </w:t>
      </w:r>
      <w:r w:rsidR="0071360A">
        <w:t>т</w:t>
      </w:r>
      <w:r w:rsidR="00EE6AA2">
        <w:t>е</w:t>
      </w:r>
      <w:r w:rsidR="00BE6A63" w:rsidRPr="00F6340E">
        <w:t xml:space="preserve"> </w:t>
      </w:r>
      <w:r w:rsidR="0071360A">
        <w:t>с</w:t>
      </w:r>
      <w:r>
        <w:t>иг</w:t>
      </w:r>
      <w:r w:rsidR="0071360A">
        <w:t>ур</w:t>
      </w:r>
      <w:r>
        <w:t>н</w:t>
      </w:r>
      <w:r w:rsidR="0071360A">
        <w:t>у</w:t>
      </w:r>
      <w:r w:rsidR="006447FD" w:rsidRPr="00F6340E">
        <w:t xml:space="preserve"> </w:t>
      </w:r>
      <w:r>
        <w:t>и</w:t>
      </w:r>
      <w:r w:rsidR="00BE6A63" w:rsidRPr="00F6340E">
        <w:t xml:space="preserve"> </w:t>
      </w:r>
      <w:r>
        <w:t>одго</w:t>
      </w:r>
      <w:r w:rsidR="0071360A">
        <w:t>в</w:t>
      </w:r>
      <w:r>
        <w:t>о</w:t>
      </w:r>
      <w:r w:rsidR="0071360A">
        <w:t>р</w:t>
      </w:r>
      <w:r>
        <w:t>н</w:t>
      </w:r>
      <w:r w:rsidR="0071360A">
        <w:t>у</w:t>
      </w:r>
      <w:r w:rsidR="00BE6A63" w:rsidRPr="00F6340E">
        <w:t xml:space="preserve"> </w:t>
      </w:r>
      <w:r w:rsidR="0071360A">
        <w:t>уп</w:t>
      </w:r>
      <w:r>
        <w:t>о</w:t>
      </w:r>
      <w:r w:rsidR="0071360A">
        <w:t>тр</w:t>
      </w:r>
      <w:r w:rsidR="00EE6AA2">
        <w:t>е</w:t>
      </w:r>
      <w:r>
        <w:t>б</w:t>
      </w:r>
      <w:r w:rsidR="0071360A">
        <w:t>у</w:t>
      </w:r>
      <w:r w:rsidR="00BE6A63" w:rsidRPr="00F6340E">
        <w:t xml:space="preserve"> </w:t>
      </w:r>
      <w:r>
        <w:t>диги</w:t>
      </w:r>
      <w:r w:rsidR="0071360A">
        <w:t>т</w:t>
      </w:r>
      <w:r>
        <w:t>алних</w:t>
      </w:r>
      <w:r w:rsidR="00BE6A63" w:rsidRPr="00F6340E">
        <w:t xml:space="preserve"> </w:t>
      </w:r>
      <w:r>
        <w:t>и</w:t>
      </w:r>
      <w:r w:rsidR="00171F00">
        <w:t>з</w:t>
      </w:r>
      <w:r w:rsidR="0071360A">
        <w:t>в</w:t>
      </w:r>
      <w:r>
        <w:t>о</w:t>
      </w:r>
      <w:r w:rsidR="0071360A">
        <w:t>р</w:t>
      </w:r>
      <w:r>
        <w:t>а</w:t>
      </w:r>
      <w:r w:rsidR="00BE6A63" w:rsidRPr="00F6340E">
        <w:t xml:space="preserve">. </w:t>
      </w:r>
    </w:p>
    <w:p w14:paraId="5BF6EAB7" w14:textId="3B84271D" w:rsidR="001D2358" w:rsidRPr="00F6340E" w:rsidRDefault="0071360A" w:rsidP="00FA4DC9">
      <w:pPr>
        <w:pStyle w:val="Body"/>
      </w:pPr>
      <w:r>
        <w:t>Ув</w:t>
      </w:r>
      <w:r w:rsidR="00A56E08">
        <w:t>идом</w:t>
      </w:r>
      <w:r w:rsidR="00854216" w:rsidRPr="00F6340E">
        <w:t xml:space="preserve"> </w:t>
      </w:r>
      <w:r>
        <w:t>у</w:t>
      </w:r>
      <w:r w:rsidR="00854216" w:rsidRPr="00F6340E">
        <w:t xml:space="preserve"> </w:t>
      </w:r>
      <w:r w:rsidR="00A56E08">
        <w:t>на</w:t>
      </w:r>
      <w:r>
        <w:t>в</w:t>
      </w:r>
      <w:r w:rsidR="00EE6AA2">
        <w:t>е</w:t>
      </w:r>
      <w:r w:rsidR="00A56E08">
        <w:t>д</w:t>
      </w:r>
      <w:r w:rsidR="00EE6AA2">
        <w:t>е</w:t>
      </w:r>
      <w:r w:rsidR="00A56E08">
        <w:t>на</w:t>
      </w:r>
      <w:r w:rsidR="00854216" w:rsidRPr="00F6340E">
        <w:t xml:space="preserve"> </w:t>
      </w:r>
      <w:r>
        <w:t>п</w:t>
      </w:r>
      <w:r w:rsidR="00A56E08">
        <w:t>од</w:t>
      </w:r>
      <w:r>
        <w:t>ру</w:t>
      </w:r>
      <w:r w:rsidR="00A56E08">
        <w:t>чја</w:t>
      </w:r>
      <w:r w:rsidR="00854216" w:rsidRPr="00F6340E">
        <w:t xml:space="preserve"> </w:t>
      </w:r>
      <w:r w:rsidR="00A56E08">
        <w:t>диги</w:t>
      </w:r>
      <w:r>
        <w:t>т</w:t>
      </w:r>
      <w:r w:rsidR="00A56E08">
        <w:t>алних</w:t>
      </w:r>
      <w:r w:rsidR="00854216" w:rsidRPr="00F6340E">
        <w:t xml:space="preserve"> </w:t>
      </w:r>
      <w:r w:rsidR="00A56E08">
        <w:t>ком</w:t>
      </w:r>
      <w:r>
        <w:t>п</w:t>
      </w:r>
      <w:r w:rsidR="00EE6AA2">
        <w:t>е</w:t>
      </w:r>
      <w:r>
        <w:t>т</w:t>
      </w:r>
      <w:r w:rsidR="00EE6AA2">
        <w:t>е</w:t>
      </w:r>
      <w:r w:rsidR="00A56E08">
        <w:t>нција</w:t>
      </w:r>
      <w:r w:rsidR="00854216" w:rsidRPr="00F6340E">
        <w:t xml:space="preserve"> </w:t>
      </w:r>
      <w:r w:rsidR="00A56E08">
        <w:t>на</w:t>
      </w:r>
      <w:r>
        <w:t>ст</w:t>
      </w:r>
      <w:r w:rsidR="00A56E08">
        <w:t>а</w:t>
      </w:r>
      <w:r>
        <w:t>в</w:t>
      </w:r>
      <w:r w:rsidR="00A56E08">
        <w:t>ника</w:t>
      </w:r>
      <w:r w:rsidR="003B5396" w:rsidRPr="00F6340E">
        <w:t xml:space="preserve"> </w:t>
      </w:r>
      <w:r w:rsidR="00A56E08">
        <w:t>мог</w:t>
      </w:r>
      <w:r>
        <w:t>у</w:t>
      </w:r>
      <w:r w:rsidR="00A56E08">
        <w:t>ћ</w:t>
      </w:r>
      <w:r w:rsidR="00EE6AA2">
        <w:t>е</w:t>
      </w:r>
      <w:r w:rsidR="00854216" w:rsidRPr="00F6340E">
        <w:t xml:space="preserve"> </w:t>
      </w:r>
      <w:r w:rsidR="00A56E08">
        <w:t>ј</w:t>
      </w:r>
      <w:r w:rsidR="00EE6AA2">
        <w:t>е</w:t>
      </w:r>
      <w:r w:rsidR="00854216" w:rsidRPr="00F6340E">
        <w:t xml:space="preserve"> </w:t>
      </w:r>
      <w:r>
        <w:t>пр</w:t>
      </w:r>
      <w:r w:rsidR="00A56E08">
        <w:t>имиј</w:t>
      </w:r>
      <w:r w:rsidR="00EE6AA2">
        <w:t>е</w:t>
      </w:r>
      <w:r>
        <w:t>т</w:t>
      </w:r>
      <w:r w:rsidR="00A56E08">
        <w:t>и</w:t>
      </w:r>
      <w:r>
        <w:t>т</w:t>
      </w:r>
      <w:r w:rsidR="00A56E08">
        <w:t>и</w:t>
      </w:r>
      <w:r w:rsidR="00854216" w:rsidRPr="00F6340E">
        <w:t xml:space="preserve"> </w:t>
      </w:r>
      <w:r w:rsidR="00A56E08">
        <w:t>њихо</w:t>
      </w:r>
      <w:r>
        <w:t>ву</w:t>
      </w:r>
      <w:r w:rsidR="00854216" w:rsidRPr="00F6340E">
        <w:t xml:space="preserve"> </w:t>
      </w:r>
      <w:r w:rsidR="00A56E08">
        <w:t>м</w:t>
      </w:r>
      <w:r w:rsidR="00EE6AA2">
        <w:t>е</w:t>
      </w:r>
      <w:r w:rsidR="00A56E08">
        <w:t>ђ</w:t>
      </w:r>
      <w:r>
        <w:t>ус</w:t>
      </w:r>
      <w:r w:rsidR="00A56E08">
        <w:t>обн</w:t>
      </w:r>
      <w:r>
        <w:t>у</w:t>
      </w:r>
      <w:r w:rsidR="00854216" w:rsidRPr="00F6340E">
        <w:t xml:space="preserve"> </w:t>
      </w:r>
      <w:r>
        <w:t>п</w:t>
      </w:r>
      <w:r w:rsidR="00A56E08">
        <w:t>о</w:t>
      </w:r>
      <w:r>
        <w:t>в</w:t>
      </w:r>
      <w:r w:rsidR="00EE6AA2">
        <w:t>е</w:t>
      </w:r>
      <w:r w:rsidR="00171F00">
        <w:t>з</w:t>
      </w:r>
      <w:r w:rsidR="00A56E08">
        <w:t>ано</w:t>
      </w:r>
      <w:r>
        <w:t>ст</w:t>
      </w:r>
      <w:r w:rsidR="00854216" w:rsidRPr="00F6340E">
        <w:t xml:space="preserve"> </w:t>
      </w:r>
      <w:r w:rsidR="00A56E08">
        <w:t>и</w:t>
      </w:r>
      <w:r w:rsidR="00854216" w:rsidRPr="00F6340E">
        <w:t xml:space="preserve"> </w:t>
      </w:r>
      <w:r>
        <w:t>пр</w:t>
      </w:r>
      <w:r w:rsidR="00A56E08">
        <w:t>о</w:t>
      </w:r>
      <w:r w:rsidR="00171F00">
        <w:t>ж</w:t>
      </w:r>
      <w:r w:rsidR="00A56E08">
        <w:t>имањ</w:t>
      </w:r>
      <w:r w:rsidR="00EE6AA2">
        <w:t>е</w:t>
      </w:r>
      <w:r w:rsidR="00854216" w:rsidRPr="00F6340E">
        <w:t xml:space="preserve"> </w:t>
      </w:r>
      <w:r>
        <w:t>пр</w:t>
      </w:r>
      <w:r w:rsidR="00A56E08">
        <w:t>и</w:t>
      </w:r>
      <w:r w:rsidR="00854216" w:rsidRPr="00F6340E">
        <w:t xml:space="preserve"> </w:t>
      </w:r>
      <w:r w:rsidR="00A56E08">
        <w:t>ч</w:t>
      </w:r>
      <w:r w:rsidR="00EE6AA2">
        <w:t>е</w:t>
      </w:r>
      <w:r w:rsidR="00A56E08">
        <w:t>м</w:t>
      </w:r>
      <w:r>
        <w:t>у</w:t>
      </w:r>
      <w:r w:rsidR="00854216" w:rsidRPr="00F6340E">
        <w:t xml:space="preserve"> </w:t>
      </w:r>
      <w:r w:rsidR="00A56E08">
        <w:t>ј</w:t>
      </w:r>
      <w:r w:rsidR="00EE6AA2">
        <w:t>е</w:t>
      </w:r>
      <w:r w:rsidR="00854216" w:rsidRPr="00F6340E">
        <w:t xml:space="preserve"> </w:t>
      </w:r>
      <w:r w:rsidR="00A56E08">
        <w:t>о</w:t>
      </w:r>
      <w:r>
        <w:t>с</w:t>
      </w:r>
      <w:r w:rsidR="00A56E08">
        <w:t>но</w:t>
      </w:r>
      <w:r>
        <w:t>в</w:t>
      </w:r>
      <w:r w:rsidR="00A56E08">
        <w:t>на</w:t>
      </w:r>
      <w:r w:rsidR="00593813" w:rsidRPr="00F6340E">
        <w:t xml:space="preserve"> </w:t>
      </w:r>
      <w:r>
        <w:t>п</w:t>
      </w:r>
      <w:r w:rsidR="00A56E08">
        <w:t>оч</w:t>
      </w:r>
      <w:r w:rsidR="00EE6AA2">
        <w:t>е</w:t>
      </w:r>
      <w:r>
        <w:t>т</w:t>
      </w:r>
      <w:r w:rsidR="00A56E08">
        <w:t>на</w:t>
      </w:r>
      <w:r w:rsidR="00593813" w:rsidRPr="00F6340E">
        <w:t xml:space="preserve"> </w:t>
      </w:r>
      <w:r>
        <w:t>т</w:t>
      </w:r>
      <w:r w:rsidR="00A56E08">
        <w:t>ачка</w:t>
      </w:r>
      <w:r w:rsidR="00593813" w:rsidRPr="00F6340E">
        <w:t xml:space="preserve"> </w:t>
      </w:r>
      <w:r>
        <w:t>р</w:t>
      </w:r>
      <w:r w:rsidR="00A56E08">
        <w:t>а</w:t>
      </w:r>
      <w:r w:rsidR="00171F00">
        <w:t>з</w:t>
      </w:r>
      <w:r>
        <w:t>в</w:t>
      </w:r>
      <w:r w:rsidR="00A56E08">
        <w:t>ој</w:t>
      </w:r>
      <w:r w:rsidR="00854216" w:rsidRPr="00F6340E">
        <w:t xml:space="preserve"> </w:t>
      </w:r>
      <w:r w:rsidR="00171F00">
        <w:t>з</w:t>
      </w:r>
      <w:r w:rsidR="00A56E08">
        <w:t>нања</w:t>
      </w:r>
      <w:r w:rsidR="00854216" w:rsidRPr="00F6340E">
        <w:t xml:space="preserve">. </w:t>
      </w:r>
      <w:r w:rsidR="00A56E08">
        <w:t>Наим</w:t>
      </w:r>
      <w:r w:rsidR="00EE6AA2">
        <w:t>е</w:t>
      </w:r>
      <w:r w:rsidR="00854216" w:rsidRPr="00F6340E">
        <w:t xml:space="preserve">, </w:t>
      </w:r>
      <w:r>
        <w:t>ст</w:t>
      </w:r>
      <w:r w:rsidR="00A56E08">
        <w:t>ицањ</w:t>
      </w:r>
      <w:r w:rsidR="00EE6AA2">
        <w:t>е</w:t>
      </w:r>
      <w:r w:rsidR="00854216" w:rsidRPr="00F6340E">
        <w:t xml:space="preserve"> </w:t>
      </w:r>
      <w:r w:rsidR="00171F00">
        <w:t>з</w:t>
      </w:r>
      <w:r w:rsidR="00A56E08">
        <w:t>нања</w:t>
      </w:r>
      <w:r w:rsidR="00854216" w:rsidRPr="00F6340E">
        <w:t xml:space="preserve">, </w:t>
      </w:r>
      <w:r>
        <w:t>в</w:t>
      </w:r>
      <w:r w:rsidR="00A56E08">
        <w:t>ј</w:t>
      </w:r>
      <w:r w:rsidR="00EE6AA2">
        <w:t>е</w:t>
      </w:r>
      <w:r>
        <w:t>шт</w:t>
      </w:r>
      <w:r w:rsidR="00A56E08">
        <w:t>ина</w:t>
      </w:r>
      <w:r w:rsidR="00030F45" w:rsidRPr="00F6340E">
        <w:t xml:space="preserve"> </w:t>
      </w:r>
      <w:r w:rsidR="00A56E08">
        <w:t>и</w:t>
      </w:r>
      <w:r w:rsidR="00854216" w:rsidRPr="00F6340E">
        <w:t xml:space="preserve"> </w:t>
      </w:r>
      <w:r>
        <w:t>ув</w:t>
      </w:r>
      <w:r w:rsidR="00A56E08">
        <w:t>ј</w:t>
      </w:r>
      <w:r w:rsidR="00EE6AA2">
        <w:t>е</w:t>
      </w:r>
      <w:r>
        <w:t>р</w:t>
      </w:r>
      <w:r w:rsidR="00EE6AA2">
        <w:t>е</w:t>
      </w:r>
      <w:r w:rsidR="00A56E08">
        <w:t>ња</w:t>
      </w:r>
      <w:r w:rsidR="00854216" w:rsidRPr="00F6340E">
        <w:t xml:space="preserve"> </w:t>
      </w:r>
      <w:r>
        <w:t>у</w:t>
      </w:r>
      <w:r w:rsidR="00854216" w:rsidRPr="00F6340E">
        <w:t xml:space="preserve"> </w:t>
      </w:r>
      <w:r>
        <w:t>п</w:t>
      </w:r>
      <w:r w:rsidR="00A56E08">
        <w:t>од</w:t>
      </w:r>
      <w:r>
        <w:t>ру</w:t>
      </w:r>
      <w:r w:rsidR="00A56E08">
        <w:t>чј</w:t>
      </w:r>
      <w:r>
        <w:t>у</w:t>
      </w:r>
      <w:r w:rsidR="00854216" w:rsidRPr="00F6340E">
        <w:t xml:space="preserve"> </w:t>
      </w:r>
      <w:r>
        <w:t>уп</w:t>
      </w:r>
      <w:r w:rsidR="00A56E08">
        <w:t>о</w:t>
      </w:r>
      <w:r>
        <w:t>тр</w:t>
      </w:r>
      <w:r w:rsidR="00EE6AA2">
        <w:t>е</w:t>
      </w:r>
      <w:r w:rsidR="00A56E08">
        <w:t>б</w:t>
      </w:r>
      <w:r w:rsidR="00EE6AA2">
        <w:t>е</w:t>
      </w:r>
      <w:r w:rsidR="00854216" w:rsidRPr="00F6340E">
        <w:t xml:space="preserve"> </w:t>
      </w:r>
      <w:r w:rsidR="00A56E08">
        <w:t>диги</w:t>
      </w:r>
      <w:r>
        <w:t>т</w:t>
      </w:r>
      <w:r w:rsidR="00A56E08">
        <w:t>алних</w:t>
      </w:r>
      <w:r w:rsidR="00854216" w:rsidRPr="00F6340E">
        <w:t xml:space="preserve"> </w:t>
      </w:r>
      <w:r w:rsidR="00A56E08">
        <w:t>ала</w:t>
      </w:r>
      <w:r>
        <w:t>т</w:t>
      </w:r>
      <w:r w:rsidR="00A56E08">
        <w:t>а</w:t>
      </w:r>
      <w:r w:rsidR="00854216" w:rsidRPr="00F6340E">
        <w:t xml:space="preserve"> (</w:t>
      </w:r>
      <w:r w:rsidR="00A56E08">
        <w:t>и</w:t>
      </w:r>
      <w:r w:rsidR="00854216" w:rsidRPr="00F6340E">
        <w:t xml:space="preserve"> </w:t>
      </w:r>
      <w:r w:rsidR="00A56E08">
        <w:t>г</w:t>
      </w:r>
      <w:r w:rsidR="00EE6AA2">
        <w:t>е</w:t>
      </w:r>
      <w:r w:rsidR="00A56E08">
        <w:t>н</w:t>
      </w:r>
      <w:r w:rsidR="00EE6AA2">
        <w:t>е</w:t>
      </w:r>
      <w:r>
        <w:t>р</w:t>
      </w:r>
      <w:r w:rsidR="00A56E08">
        <w:t>ално</w:t>
      </w:r>
      <w:r w:rsidR="00854216" w:rsidRPr="00F6340E">
        <w:t xml:space="preserve"> </w:t>
      </w:r>
      <w:r w:rsidR="00A56E08">
        <w:t>ИК</w:t>
      </w:r>
      <w:r>
        <w:t>Т</w:t>
      </w:r>
      <w:r w:rsidR="00854216" w:rsidRPr="00F6340E">
        <w:t>-</w:t>
      </w:r>
      <w:r w:rsidR="00A56E08">
        <w:t>а</w:t>
      </w:r>
      <w:r w:rsidR="0022553B" w:rsidRPr="00F6340E">
        <w:t xml:space="preserve">) </w:t>
      </w:r>
      <w:r>
        <w:t>у</w:t>
      </w:r>
      <w:r w:rsidR="0022553B" w:rsidRPr="00F6340E">
        <w:t xml:space="preserve"> </w:t>
      </w:r>
      <w:r w:rsidR="00A56E08">
        <w:t>об</w:t>
      </w:r>
      <w:r>
        <w:t>р</w:t>
      </w:r>
      <w:r w:rsidR="00A56E08">
        <w:t>а</w:t>
      </w:r>
      <w:r w:rsidR="00171F00">
        <w:t>з</w:t>
      </w:r>
      <w:r w:rsidR="00A56E08">
        <w:t>о</w:t>
      </w:r>
      <w:r>
        <w:t>в</w:t>
      </w:r>
      <w:r w:rsidR="00A56E08">
        <w:t>ањ</w:t>
      </w:r>
      <w:r>
        <w:t>у</w:t>
      </w:r>
      <w:r w:rsidR="0022553B" w:rsidRPr="00F6340E">
        <w:t xml:space="preserve"> </w:t>
      </w:r>
      <w:r w:rsidR="00A56E08">
        <w:t>омог</w:t>
      </w:r>
      <w:r>
        <w:t>у</w:t>
      </w:r>
      <w:r w:rsidR="00A56E08">
        <w:t>ћа</w:t>
      </w:r>
      <w:r>
        <w:t>в</w:t>
      </w:r>
      <w:r w:rsidR="00A56E08">
        <w:t>а</w:t>
      </w:r>
      <w:r w:rsidR="0022553B" w:rsidRPr="00F6340E">
        <w:t xml:space="preserve"> </w:t>
      </w:r>
      <w:r w:rsidR="00A56E08">
        <w:t>и</w:t>
      </w:r>
      <w:r w:rsidR="0022553B" w:rsidRPr="00F6340E">
        <w:t xml:space="preserve"> </w:t>
      </w:r>
      <w:r w:rsidR="00A56E08">
        <w:t>њихо</w:t>
      </w:r>
      <w:r>
        <w:t>ву</w:t>
      </w:r>
      <w:r w:rsidR="003B5396" w:rsidRPr="00F6340E">
        <w:t xml:space="preserve"> </w:t>
      </w:r>
      <w:r>
        <w:t>пр</w:t>
      </w:r>
      <w:r w:rsidR="00A56E08">
        <w:t>имј</w:t>
      </w:r>
      <w:r w:rsidR="00EE6AA2">
        <w:t>е</w:t>
      </w:r>
      <w:r w:rsidR="00A56E08">
        <w:t>н</w:t>
      </w:r>
      <w:r>
        <w:t>у</w:t>
      </w:r>
      <w:r w:rsidR="0022553B" w:rsidRPr="00F6340E">
        <w:t xml:space="preserve">. </w:t>
      </w:r>
      <w:r w:rsidR="00A56E08">
        <w:t>Диги</w:t>
      </w:r>
      <w:r>
        <w:t>т</w:t>
      </w:r>
      <w:r w:rsidR="00A56E08">
        <w:t>алн</w:t>
      </w:r>
      <w:r w:rsidR="00EE6AA2">
        <w:t>е</w:t>
      </w:r>
      <w:r w:rsidR="0022553B" w:rsidRPr="00F6340E">
        <w:t xml:space="preserve"> </w:t>
      </w:r>
      <w:r w:rsidR="00A56E08">
        <w:t>и</w:t>
      </w:r>
      <w:r w:rsidR="0022553B" w:rsidRPr="00F6340E">
        <w:t xml:space="preserve"> </w:t>
      </w:r>
      <w:r>
        <w:t>п</w:t>
      </w:r>
      <w:r w:rsidR="00EE6AA2">
        <w:t>е</w:t>
      </w:r>
      <w:r w:rsidR="00A56E08">
        <w:t>даго</w:t>
      </w:r>
      <w:r>
        <w:t>ш</w:t>
      </w:r>
      <w:r w:rsidR="00A56E08">
        <w:t>к</w:t>
      </w:r>
      <w:r w:rsidR="00EE6AA2">
        <w:t>е</w:t>
      </w:r>
      <w:r w:rsidR="0022553B" w:rsidRPr="00F6340E">
        <w:t xml:space="preserve"> </w:t>
      </w:r>
      <w:r w:rsidR="00A56E08">
        <w:t>ком</w:t>
      </w:r>
      <w:r>
        <w:t>п</w:t>
      </w:r>
      <w:r w:rsidR="00EE6AA2">
        <w:t>е</w:t>
      </w:r>
      <w:r>
        <w:t>т</w:t>
      </w:r>
      <w:r w:rsidR="00EE6AA2">
        <w:t>е</w:t>
      </w:r>
      <w:r w:rsidR="00A56E08">
        <w:t>нциј</w:t>
      </w:r>
      <w:r w:rsidR="00EE6AA2">
        <w:t>е</w:t>
      </w:r>
      <w:r w:rsidR="0022553B" w:rsidRPr="00F6340E">
        <w:t xml:space="preserve"> </w:t>
      </w:r>
      <w:r w:rsidR="00A56E08">
        <w:t>на</w:t>
      </w:r>
      <w:r>
        <w:t>ст</w:t>
      </w:r>
      <w:r w:rsidR="00A56E08">
        <w:t>а</w:t>
      </w:r>
      <w:r>
        <w:t>в</w:t>
      </w:r>
      <w:r w:rsidR="00A56E08">
        <w:t>ника</w:t>
      </w:r>
      <w:r w:rsidR="0022553B" w:rsidRPr="00F6340E">
        <w:t xml:space="preserve"> </w:t>
      </w:r>
      <w:r w:rsidR="00A56E08">
        <w:t>мо</w:t>
      </w:r>
      <w:r>
        <w:t>р</w:t>
      </w:r>
      <w:r w:rsidR="00A56E08">
        <w:t>ај</w:t>
      </w:r>
      <w:r>
        <w:t>у</w:t>
      </w:r>
      <w:r w:rsidR="0022553B" w:rsidRPr="00F6340E">
        <w:t xml:space="preserve"> </w:t>
      </w:r>
      <w:r w:rsidR="00A56E08">
        <w:t>би</w:t>
      </w:r>
      <w:r>
        <w:t>т</w:t>
      </w:r>
      <w:r w:rsidR="00A56E08">
        <w:t>и</w:t>
      </w:r>
      <w:r w:rsidR="0022553B" w:rsidRPr="00F6340E">
        <w:t xml:space="preserve"> </w:t>
      </w:r>
      <w:r>
        <w:t>ус</w:t>
      </w:r>
      <w:r w:rsidR="00A56E08">
        <w:t>мј</w:t>
      </w:r>
      <w:r w:rsidR="00EE6AA2">
        <w:t>е</w:t>
      </w:r>
      <w:r>
        <w:t>р</w:t>
      </w:r>
      <w:r w:rsidR="00EE6AA2">
        <w:t>е</w:t>
      </w:r>
      <w:r w:rsidR="00A56E08">
        <w:t>н</w:t>
      </w:r>
      <w:r w:rsidR="00EE6AA2">
        <w:t>е</w:t>
      </w:r>
      <w:r w:rsidR="0022553B" w:rsidRPr="00F6340E">
        <w:t xml:space="preserve"> </w:t>
      </w:r>
      <w:r w:rsidR="00A56E08">
        <w:t>и</w:t>
      </w:r>
      <w:r w:rsidR="0022553B" w:rsidRPr="00F6340E">
        <w:t xml:space="preserve"> </w:t>
      </w:r>
      <w:r>
        <w:t>п</w:t>
      </w:r>
      <w:r w:rsidR="00A56E08">
        <w:t>о</w:t>
      </w:r>
      <w:r>
        <w:t>в</w:t>
      </w:r>
      <w:r w:rsidR="00EE6AA2">
        <w:t>е</w:t>
      </w:r>
      <w:r w:rsidR="00171F00">
        <w:t>з</w:t>
      </w:r>
      <w:r w:rsidR="00A56E08">
        <w:t>ан</w:t>
      </w:r>
      <w:r w:rsidR="00EE6AA2">
        <w:t>е</w:t>
      </w:r>
      <w:r w:rsidR="0022553B" w:rsidRPr="00F6340E">
        <w:t xml:space="preserve"> </w:t>
      </w:r>
      <w:r>
        <w:t>с</w:t>
      </w:r>
      <w:r w:rsidR="00A56E08">
        <w:t>а</w:t>
      </w:r>
      <w:r w:rsidR="0022553B" w:rsidRPr="00F6340E">
        <w:t xml:space="preserve"> </w:t>
      </w:r>
      <w:r>
        <w:t>р</w:t>
      </w:r>
      <w:r w:rsidR="00A56E08">
        <w:t>а</w:t>
      </w:r>
      <w:r w:rsidR="00171F00">
        <w:t>з</w:t>
      </w:r>
      <w:r>
        <w:t>в</w:t>
      </w:r>
      <w:r w:rsidR="00A56E08">
        <w:t>ијањ</w:t>
      </w:r>
      <w:r w:rsidR="00EE6AA2">
        <w:t>е</w:t>
      </w:r>
      <w:r w:rsidR="00A56E08">
        <w:t>м</w:t>
      </w:r>
      <w:r w:rsidR="0022553B" w:rsidRPr="00F6340E">
        <w:t xml:space="preserve"> </w:t>
      </w:r>
      <w:r w:rsidR="00A56E08">
        <w:t>ком</w:t>
      </w:r>
      <w:r>
        <w:t>п</w:t>
      </w:r>
      <w:r w:rsidR="00EE6AA2">
        <w:t>е</w:t>
      </w:r>
      <w:r>
        <w:t>т</w:t>
      </w:r>
      <w:r w:rsidR="00EE6AA2">
        <w:t>е</w:t>
      </w:r>
      <w:r w:rsidR="00A56E08">
        <w:t>нција</w:t>
      </w:r>
      <w:r w:rsidR="0022553B" w:rsidRPr="00F6340E">
        <w:t xml:space="preserve"> </w:t>
      </w:r>
      <w:r>
        <w:t>у</w:t>
      </w:r>
      <w:r w:rsidR="00A56E08">
        <w:t>ч</w:t>
      </w:r>
      <w:r w:rsidR="00EE6AA2">
        <w:t>е</w:t>
      </w:r>
      <w:r w:rsidR="00A56E08">
        <w:t>ника</w:t>
      </w:r>
      <w:r w:rsidR="0022553B" w:rsidRPr="00F6340E">
        <w:t>/</w:t>
      </w:r>
      <w:r>
        <w:t>сту</w:t>
      </w:r>
      <w:r w:rsidR="00A56E08">
        <w:t>д</w:t>
      </w:r>
      <w:r w:rsidR="00EE6AA2">
        <w:t>е</w:t>
      </w:r>
      <w:r w:rsidR="00A56E08">
        <w:t>на</w:t>
      </w:r>
      <w:r>
        <w:t>т</w:t>
      </w:r>
      <w:r w:rsidR="00A56E08">
        <w:t>а</w:t>
      </w:r>
      <w:r w:rsidR="0022553B" w:rsidRPr="00F6340E">
        <w:t xml:space="preserve"> </w:t>
      </w:r>
      <w:r>
        <w:t>в</w:t>
      </w:r>
      <w:r w:rsidR="00EE6AA2">
        <w:t>е</w:t>
      </w:r>
      <w:r w:rsidR="00171F00">
        <w:t>з</w:t>
      </w:r>
      <w:r w:rsidR="00A56E08">
        <w:t>аним</w:t>
      </w:r>
      <w:r w:rsidR="0022553B" w:rsidRPr="00F6340E">
        <w:t xml:space="preserve"> </w:t>
      </w:r>
      <w:r w:rsidR="00171F00">
        <w:t>з</w:t>
      </w:r>
      <w:r w:rsidR="00A56E08">
        <w:t>а</w:t>
      </w:r>
      <w:r w:rsidR="0022553B" w:rsidRPr="00F6340E">
        <w:t xml:space="preserve"> </w:t>
      </w:r>
      <w:r w:rsidR="00A56E08">
        <w:t>и</w:t>
      </w:r>
      <w:r>
        <w:t>с</w:t>
      </w:r>
      <w:r w:rsidR="00A56E08">
        <w:t>ход</w:t>
      </w:r>
      <w:r w:rsidR="00EE6AA2">
        <w:t>е</w:t>
      </w:r>
      <w:r w:rsidR="0022553B" w:rsidRPr="00F6340E">
        <w:t xml:space="preserve"> </w:t>
      </w:r>
      <w:r>
        <w:t>у</w:t>
      </w:r>
      <w:r w:rsidR="00A56E08">
        <w:t>ч</w:t>
      </w:r>
      <w:r w:rsidR="00EE6AA2">
        <w:t>е</w:t>
      </w:r>
      <w:r w:rsidR="00A56E08">
        <w:t>ња</w:t>
      </w:r>
      <w:r w:rsidR="0022553B" w:rsidRPr="00F6340E">
        <w:t xml:space="preserve"> </w:t>
      </w:r>
      <w:r w:rsidR="00A56E08">
        <w:t>и</w:t>
      </w:r>
      <w:r w:rsidR="0022553B" w:rsidRPr="00F6340E">
        <w:t xml:space="preserve"> </w:t>
      </w:r>
      <w:r>
        <w:t>п</w:t>
      </w:r>
      <w:r w:rsidR="00A56E08">
        <w:t>од</w:t>
      </w:r>
      <w:r>
        <w:t>у</w:t>
      </w:r>
      <w:r w:rsidR="00A56E08">
        <w:t>ча</w:t>
      </w:r>
      <w:r>
        <w:t>в</w:t>
      </w:r>
      <w:r w:rsidR="00A56E08">
        <w:t>ања</w:t>
      </w:r>
      <w:r w:rsidR="0022553B" w:rsidRPr="00F6340E">
        <w:t xml:space="preserve">. </w:t>
      </w:r>
      <w:r>
        <w:t>Т</w:t>
      </w:r>
      <w:r w:rsidR="00A56E08">
        <w:t>о</w:t>
      </w:r>
      <w:r w:rsidR="0022553B" w:rsidRPr="00F6340E">
        <w:t xml:space="preserve"> </w:t>
      </w:r>
      <w:r w:rsidR="00171F00">
        <w:t>з</w:t>
      </w:r>
      <w:r w:rsidR="00A56E08">
        <w:t>начи</w:t>
      </w:r>
      <w:r w:rsidR="0022553B" w:rsidRPr="00F6340E">
        <w:t xml:space="preserve"> </w:t>
      </w:r>
      <w:r w:rsidR="00A56E08">
        <w:t>да</w:t>
      </w:r>
      <w:r w:rsidR="0022553B" w:rsidRPr="00F6340E">
        <w:t xml:space="preserve"> </w:t>
      </w:r>
      <w:r w:rsidR="00A56E08">
        <w:t>диги</w:t>
      </w:r>
      <w:r>
        <w:t>т</w:t>
      </w:r>
      <w:r w:rsidR="00A56E08">
        <w:t>ално</w:t>
      </w:r>
      <w:r w:rsidR="0022553B" w:rsidRPr="00F6340E">
        <w:t xml:space="preserve"> </w:t>
      </w:r>
      <w:r w:rsidR="00A56E08">
        <w:t>ком</w:t>
      </w:r>
      <w:r>
        <w:t>п</w:t>
      </w:r>
      <w:r w:rsidR="00EE6AA2">
        <w:t>е</w:t>
      </w:r>
      <w:r>
        <w:t>т</w:t>
      </w:r>
      <w:r w:rsidR="00EE6AA2">
        <w:t>е</w:t>
      </w:r>
      <w:r w:rsidR="00A56E08">
        <w:t>н</w:t>
      </w:r>
      <w:r>
        <w:t>т</w:t>
      </w:r>
      <w:r w:rsidR="00A56E08">
        <w:t>ан</w:t>
      </w:r>
      <w:r w:rsidR="0022553B" w:rsidRPr="00F6340E">
        <w:t xml:space="preserve"> </w:t>
      </w:r>
      <w:r w:rsidR="00A56E08">
        <w:t>на</w:t>
      </w:r>
      <w:r>
        <w:t>ст</w:t>
      </w:r>
      <w:r w:rsidR="00A56E08">
        <w:t>а</w:t>
      </w:r>
      <w:r>
        <w:t>в</w:t>
      </w:r>
      <w:r w:rsidR="00A56E08">
        <w:t>ник</w:t>
      </w:r>
      <w:r w:rsidR="0022553B" w:rsidRPr="00F6340E">
        <w:t xml:space="preserve"> </w:t>
      </w:r>
      <w:r>
        <w:t>ств</w:t>
      </w:r>
      <w:r w:rsidR="00A56E08">
        <w:t>а</w:t>
      </w:r>
      <w:r>
        <w:t>р</w:t>
      </w:r>
      <w:r w:rsidR="00A56E08">
        <w:t>а</w:t>
      </w:r>
      <w:r w:rsidR="001A3922" w:rsidRPr="00F6340E">
        <w:t xml:space="preserve"> </w:t>
      </w:r>
      <w:r>
        <w:t>ус</w:t>
      </w:r>
      <w:r w:rsidR="00A56E08">
        <w:t>ло</w:t>
      </w:r>
      <w:r>
        <w:t>в</w:t>
      </w:r>
      <w:r w:rsidR="00EE6AA2">
        <w:t>е</w:t>
      </w:r>
      <w:r w:rsidR="003B5396" w:rsidRPr="00F6340E">
        <w:t xml:space="preserve"> </w:t>
      </w:r>
      <w:r w:rsidR="00171F00">
        <w:t>з</w:t>
      </w:r>
      <w:r w:rsidR="00A56E08">
        <w:t>а</w:t>
      </w:r>
      <w:r w:rsidR="0022553B" w:rsidRPr="00F6340E">
        <w:t xml:space="preserve"> </w:t>
      </w:r>
      <w:r>
        <w:t>р</w:t>
      </w:r>
      <w:r w:rsidR="00A56E08">
        <w:t>а</w:t>
      </w:r>
      <w:r w:rsidR="00171F00">
        <w:t>з</w:t>
      </w:r>
      <w:r>
        <w:t>в</w:t>
      </w:r>
      <w:r w:rsidR="00A56E08">
        <w:t>ој</w:t>
      </w:r>
      <w:r w:rsidR="0022553B" w:rsidRPr="00F6340E">
        <w:t xml:space="preserve"> </w:t>
      </w:r>
      <w:r w:rsidR="00A56E08">
        <w:t>диги</w:t>
      </w:r>
      <w:r>
        <w:t>т</w:t>
      </w:r>
      <w:r w:rsidR="00A56E08">
        <w:t>алних</w:t>
      </w:r>
      <w:r w:rsidR="0022553B" w:rsidRPr="00F6340E">
        <w:t xml:space="preserve"> </w:t>
      </w:r>
      <w:r w:rsidR="00A56E08">
        <w:t>ком</w:t>
      </w:r>
      <w:r>
        <w:t>п</w:t>
      </w:r>
      <w:r w:rsidR="00EE6AA2">
        <w:t>е</w:t>
      </w:r>
      <w:r>
        <w:t>т</w:t>
      </w:r>
      <w:r w:rsidR="00EE6AA2">
        <w:t>е</w:t>
      </w:r>
      <w:r w:rsidR="00A56E08">
        <w:t>нција</w:t>
      </w:r>
      <w:r w:rsidR="0022553B" w:rsidRPr="00F6340E">
        <w:t xml:space="preserve"> </w:t>
      </w:r>
      <w:r>
        <w:t>у</w:t>
      </w:r>
      <w:r w:rsidR="00A56E08">
        <w:t>ч</w:t>
      </w:r>
      <w:r w:rsidR="00EE6AA2">
        <w:t>е</w:t>
      </w:r>
      <w:r w:rsidR="00A56E08">
        <w:t>ника</w:t>
      </w:r>
      <w:r w:rsidR="0022553B" w:rsidRPr="00F6340E">
        <w:t xml:space="preserve">. </w:t>
      </w:r>
      <w:r w:rsidR="001F2F40">
        <w:t>С обзиром</w:t>
      </w:r>
      <w:r w:rsidR="0022553B" w:rsidRPr="00F6340E">
        <w:t xml:space="preserve"> </w:t>
      </w:r>
      <w:r w:rsidR="00A56E08">
        <w:t>на</w:t>
      </w:r>
      <w:r w:rsidR="0022553B" w:rsidRPr="00F6340E">
        <w:t xml:space="preserve"> </w:t>
      </w:r>
      <w:r>
        <w:t>в</w:t>
      </w:r>
      <w:r w:rsidR="00A56E08">
        <w:t>а</w:t>
      </w:r>
      <w:r w:rsidR="00171F00">
        <w:t>ж</w:t>
      </w:r>
      <w:r w:rsidR="00A56E08">
        <w:t>но</w:t>
      </w:r>
      <w:r>
        <w:t>ст</w:t>
      </w:r>
      <w:r w:rsidR="0022553B" w:rsidRPr="00F6340E">
        <w:t xml:space="preserve"> </w:t>
      </w:r>
      <w:r w:rsidR="00A56E08">
        <w:t>м</w:t>
      </w:r>
      <w:r w:rsidR="00EE6AA2">
        <w:t>е</w:t>
      </w:r>
      <w:r w:rsidR="00A56E08">
        <w:t>ђ</w:t>
      </w:r>
      <w:r>
        <w:t>ус</w:t>
      </w:r>
      <w:r w:rsidR="00A56E08">
        <w:t>обн</w:t>
      </w:r>
      <w:r w:rsidR="00EE6AA2">
        <w:t>е</w:t>
      </w:r>
      <w:r w:rsidR="0022553B" w:rsidRPr="00F6340E">
        <w:t xml:space="preserve"> </w:t>
      </w:r>
      <w:r>
        <w:t>с</w:t>
      </w:r>
      <w:r w:rsidR="00A56E08">
        <w:t>а</w:t>
      </w:r>
      <w:r>
        <w:t>р</w:t>
      </w:r>
      <w:r w:rsidR="00A56E08">
        <w:t>адњ</w:t>
      </w:r>
      <w:r w:rsidR="00EE6AA2">
        <w:t>е</w:t>
      </w:r>
      <w:r w:rsidR="0022553B" w:rsidRPr="00F6340E">
        <w:t xml:space="preserve"> </w:t>
      </w:r>
      <w:r w:rsidR="00A56E08">
        <w:t>и</w:t>
      </w:r>
      <w:r w:rsidR="0022553B" w:rsidRPr="00F6340E">
        <w:t xml:space="preserve"> </w:t>
      </w:r>
      <w:r>
        <w:t>с</w:t>
      </w:r>
      <w:r w:rsidR="00A56E08">
        <w:t>а</w:t>
      </w:r>
      <w:r>
        <w:t>р</w:t>
      </w:r>
      <w:r w:rsidR="00A56E08">
        <w:t>адничког</w:t>
      </w:r>
      <w:r w:rsidR="0022553B" w:rsidRPr="00F6340E">
        <w:t xml:space="preserve"> </w:t>
      </w:r>
      <w:r>
        <w:t>у</w:t>
      </w:r>
      <w:r w:rsidR="00A56E08">
        <w:t>ч</w:t>
      </w:r>
      <w:r w:rsidR="00EE6AA2">
        <w:t>е</w:t>
      </w:r>
      <w:r w:rsidR="00A56E08">
        <w:t>ња</w:t>
      </w:r>
      <w:r w:rsidR="0022553B" w:rsidRPr="00F6340E">
        <w:t xml:space="preserve">, </w:t>
      </w:r>
      <w:r w:rsidR="00171F00">
        <w:t>з</w:t>
      </w:r>
      <w:r w:rsidR="00A56E08">
        <w:t>ај</w:t>
      </w:r>
      <w:r w:rsidR="00EE6AA2">
        <w:t>е</w:t>
      </w:r>
      <w:r w:rsidR="00A56E08">
        <w:t>дниц</w:t>
      </w:r>
      <w:r w:rsidR="00EE6AA2">
        <w:t>е</w:t>
      </w:r>
      <w:r w:rsidR="0022553B" w:rsidRPr="00F6340E">
        <w:t xml:space="preserve"> </w:t>
      </w:r>
      <w:r>
        <w:t>пр</w:t>
      </w:r>
      <w:r w:rsidR="00A56E08">
        <w:t>ак</w:t>
      </w:r>
      <w:r>
        <w:t>с</w:t>
      </w:r>
      <w:r w:rsidR="00EE6AA2">
        <w:t>е</w:t>
      </w:r>
      <w:r w:rsidR="0022553B" w:rsidRPr="00F6340E">
        <w:t xml:space="preserve"> </w:t>
      </w:r>
      <w:r w:rsidR="00A56E08">
        <w:t>на</w:t>
      </w:r>
      <w:r>
        <w:t>ст</w:t>
      </w:r>
      <w:r w:rsidR="00A56E08">
        <w:t>а</w:t>
      </w:r>
      <w:r>
        <w:t>в</w:t>
      </w:r>
      <w:r w:rsidR="00A56E08">
        <w:t>ника</w:t>
      </w:r>
      <w:r w:rsidR="0022553B" w:rsidRPr="00F6340E">
        <w:t xml:space="preserve"> </w:t>
      </w:r>
      <w:r w:rsidR="00A56E08">
        <w:t>омог</w:t>
      </w:r>
      <w:r>
        <w:t>у</w:t>
      </w:r>
      <w:r w:rsidR="00A56E08">
        <w:t>ћа</w:t>
      </w:r>
      <w:r>
        <w:t>в</w:t>
      </w:r>
      <w:r w:rsidR="00A56E08">
        <w:t>ај</w:t>
      </w:r>
      <w:r>
        <w:t>у</w:t>
      </w:r>
      <w:r w:rsidR="003B5396" w:rsidRPr="00F6340E">
        <w:t xml:space="preserve"> </w:t>
      </w:r>
      <w:r>
        <w:t>ств</w:t>
      </w:r>
      <w:r w:rsidR="00A56E08">
        <w:t>а</w:t>
      </w:r>
      <w:r>
        <w:t>р</w:t>
      </w:r>
      <w:r w:rsidR="00A56E08">
        <w:t>ањ</w:t>
      </w:r>
      <w:r w:rsidR="00EE6AA2">
        <w:t>е</w:t>
      </w:r>
      <w:r w:rsidR="003B5396" w:rsidRPr="00F6340E">
        <w:t xml:space="preserve"> </w:t>
      </w:r>
      <w:r>
        <w:t>п</w:t>
      </w:r>
      <w:r w:rsidR="00A56E08">
        <w:t>ла</w:t>
      </w:r>
      <w:r>
        <w:t>т</w:t>
      </w:r>
      <w:r w:rsidR="00A56E08">
        <w:t>фо</w:t>
      </w:r>
      <w:r>
        <w:t>р</w:t>
      </w:r>
      <w:r w:rsidR="00A56E08">
        <w:t>ми</w:t>
      </w:r>
      <w:r w:rsidR="0022553B" w:rsidRPr="00F6340E">
        <w:t xml:space="preserve"> </w:t>
      </w:r>
      <w:r w:rsidR="00171F00">
        <w:t>з</w:t>
      </w:r>
      <w:r w:rsidR="00A56E08">
        <w:t>а</w:t>
      </w:r>
      <w:r w:rsidR="0022553B" w:rsidRPr="00F6340E">
        <w:t xml:space="preserve"> </w:t>
      </w:r>
      <w:r>
        <w:t>р</w:t>
      </w:r>
      <w:r w:rsidR="00A56E08">
        <w:t>а</w:t>
      </w:r>
      <w:r w:rsidR="00171F00">
        <w:t>з</w:t>
      </w:r>
      <w:r w:rsidR="00A56E08">
        <w:t>мј</w:t>
      </w:r>
      <w:r w:rsidR="00EE6AA2">
        <w:t>е</w:t>
      </w:r>
      <w:r w:rsidR="00A56E08">
        <w:t>н</w:t>
      </w:r>
      <w:r>
        <w:t>у</w:t>
      </w:r>
      <w:r w:rsidR="0022553B" w:rsidRPr="00F6340E">
        <w:t xml:space="preserve"> </w:t>
      </w:r>
      <w:r w:rsidR="00A56E08">
        <w:t>и</w:t>
      </w:r>
      <w:r>
        <w:t>с</w:t>
      </w:r>
      <w:r w:rsidR="00A56E08">
        <w:t>к</w:t>
      </w:r>
      <w:r>
        <w:t>уст</w:t>
      </w:r>
      <w:r w:rsidR="00A56E08">
        <w:t>а</w:t>
      </w:r>
      <w:r>
        <w:t>в</w:t>
      </w:r>
      <w:r w:rsidR="00A56E08">
        <w:t>а</w:t>
      </w:r>
      <w:r w:rsidR="0022553B" w:rsidRPr="00F6340E">
        <w:t xml:space="preserve">, </w:t>
      </w:r>
      <w:r w:rsidR="00171F00">
        <w:t>з</w:t>
      </w:r>
      <w:r w:rsidR="00A56E08">
        <w:t>нања</w:t>
      </w:r>
      <w:r w:rsidR="0022553B" w:rsidRPr="00F6340E">
        <w:t xml:space="preserve">, </w:t>
      </w:r>
      <w:r w:rsidR="00A56E08">
        <w:t>ид</w:t>
      </w:r>
      <w:r w:rsidR="00EE6AA2">
        <w:t>е</w:t>
      </w:r>
      <w:r w:rsidR="00A56E08">
        <w:t>ја</w:t>
      </w:r>
      <w:r w:rsidR="0022553B" w:rsidRPr="00F6340E">
        <w:t xml:space="preserve"> </w:t>
      </w:r>
      <w:r>
        <w:t>с</w:t>
      </w:r>
      <w:r w:rsidR="00A56E08">
        <w:t>а</w:t>
      </w:r>
      <w:r w:rsidR="0022553B" w:rsidRPr="00F6340E">
        <w:t xml:space="preserve"> </w:t>
      </w:r>
      <w:r w:rsidR="00A56E08">
        <w:t>циљ</w:t>
      </w:r>
      <w:r w:rsidR="00EE6AA2">
        <w:t>е</w:t>
      </w:r>
      <w:r w:rsidR="00A56E08">
        <w:t>м</w:t>
      </w:r>
      <w:r w:rsidR="0022553B" w:rsidRPr="00F6340E">
        <w:t xml:space="preserve"> </w:t>
      </w:r>
      <w:r>
        <w:t>у</w:t>
      </w:r>
      <w:r w:rsidR="00A56E08">
        <w:t>на</w:t>
      </w:r>
      <w:r>
        <w:t>пр</w:t>
      </w:r>
      <w:r w:rsidR="00A56E08">
        <w:t>ј</w:t>
      </w:r>
      <w:r w:rsidR="00EE6AA2">
        <w:t>е</w:t>
      </w:r>
      <w:r w:rsidR="00A56E08">
        <w:t>ђ</w:t>
      </w:r>
      <w:r w:rsidR="00EE6AA2">
        <w:t>е</w:t>
      </w:r>
      <w:r w:rsidR="00A56E08">
        <w:t>ња</w:t>
      </w:r>
      <w:r w:rsidR="0022553B" w:rsidRPr="00F6340E">
        <w:t xml:space="preserve"> </w:t>
      </w:r>
      <w:r w:rsidR="00A56E08">
        <w:t>на</w:t>
      </w:r>
      <w:r>
        <w:t>ст</w:t>
      </w:r>
      <w:r w:rsidR="00A56E08">
        <w:t>а</w:t>
      </w:r>
      <w:r>
        <w:t>в</w:t>
      </w:r>
      <w:r w:rsidR="00A56E08">
        <w:t>ничких</w:t>
      </w:r>
      <w:r w:rsidR="0022553B" w:rsidRPr="00F6340E">
        <w:t xml:space="preserve"> </w:t>
      </w:r>
      <w:r w:rsidR="00A56E08">
        <w:t>ком</w:t>
      </w:r>
      <w:r>
        <w:t>п</w:t>
      </w:r>
      <w:r w:rsidR="00EE6AA2">
        <w:t>е</w:t>
      </w:r>
      <w:r>
        <w:t>т</w:t>
      </w:r>
      <w:r w:rsidR="00EE6AA2">
        <w:t>е</w:t>
      </w:r>
      <w:r w:rsidR="00A56E08">
        <w:t>нција</w:t>
      </w:r>
      <w:r w:rsidR="003B5396" w:rsidRPr="00F6340E">
        <w:t>,</w:t>
      </w:r>
      <w:r w:rsidR="0022553B" w:rsidRPr="00F6340E">
        <w:t xml:space="preserve"> </w:t>
      </w:r>
      <w:r w:rsidR="00A56E08">
        <w:t>али</w:t>
      </w:r>
      <w:r w:rsidR="0022553B" w:rsidRPr="00F6340E">
        <w:t xml:space="preserve"> </w:t>
      </w:r>
      <w:r w:rsidR="00A56E08">
        <w:t>и</w:t>
      </w:r>
      <w:r w:rsidR="0022553B" w:rsidRPr="00F6340E">
        <w:t xml:space="preserve"> </w:t>
      </w:r>
      <w:r>
        <w:t>пр</w:t>
      </w:r>
      <w:r w:rsidR="00A56E08">
        <w:t>ак</w:t>
      </w:r>
      <w:r>
        <w:t>с</w:t>
      </w:r>
      <w:r w:rsidR="00EE6AA2">
        <w:t>е</w:t>
      </w:r>
      <w:r w:rsidR="0022553B" w:rsidRPr="00F6340E">
        <w:t xml:space="preserve"> </w:t>
      </w:r>
      <w:r>
        <w:t>у</w:t>
      </w:r>
      <w:r w:rsidR="0022553B" w:rsidRPr="00F6340E">
        <w:t xml:space="preserve"> </w:t>
      </w:r>
      <w:r w:rsidR="00A56E08">
        <w:t>цј</w:t>
      </w:r>
      <w:r w:rsidR="00EE6AA2">
        <w:t>е</w:t>
      </w:r>
      <w:r w:rsidR="00A56E08">
        <w:t>лини</w:t>
      </w:r>
      <w:r w:rsidR="003B5396" w:rsidRPr="00F6340E">
        <w:t>,</w:t>
      </w:r>
      <w:r w:rsidR="0022553B" w:rsidRPr="00F6340E">
        <w:t xml:space="preserve"> </w:t>
      </w:r>
      <w:r w:rsidR="00A56E08">
        <w:t>како</w:t>
      </w:r>
      <w:r w:rsidR="003B5396" w:rsidRPr="00F6340E">
        <w:t xml:space="preserve"> </w:t>
      </w:r>
      <w:r w:rsidR="00A56E08">
        <w:t>на</w:t>
      </w:r>
      <w:r w:rsidR="003B5396" w:rsidRPr="00F6340E">
        <w:t xml:space="preserve"> </w:t>
      </w:r>
      <w:r w:rsidR="00A56E08">
        <w:t>личном</w:t>
      </w:r>
      <w:r w:rsidR="00C71DCF" w:rsidRPr="00F6340E">
        <w:t xml:space="preserve"> </w:t>
      </w:r>
      <w:r w:rsidR="00A56E08">
        <w:t>ни</w:t>
      </w:r>
      <w:r>
        <w:t>в</w:t>
      </w:r>
      <w:r w:rsidR="00A56E08">
        <w:t>о</w:t>
      </w:r>
      <w:r>
        <w:t>у</w:t>
      </w:r>
      <w:r w:rsidR="00030F45" w:rsidRPr="00F6340E">
        <w:t xml:space="preserve"> </w:t>
      </w:r>
      <w:r>
        <w:t>т</w:t>
      </w:r>
      <w:r w:rsidR="00A56E08">
        <w:t>ако</w:t>
      </w:r>
      <w:r w:rsidR="003B5396" w:rsidRPr="00F6340E">
        <w:t xml:space="preserve"> </w:t>
      </w:r>
      <w:r w:rsidR="00A56E08">
        <w:t>и</w:t>
      </w:r>
      <w:r w:rsidR="003B5396" w:rsidRPr="00F6340E">
        <w:t xml:space="preserve"> </w:t>
      </w:r>
      <w:r w:rsidR="00A56E08">
        <w:t>ни</w:t>
      </w:r>
      <w:r>
        <w:t>в</w:t>
      </w:r>
      <w:r w:rsidR="00A56E08">
        <w:t>о</w:t>
      </w:r>
      <w:r>
        <w:t>у</w:t>
      </w:r>
      <w:r w:rsidR="0022553B" w:rsidRPr="00F6340E">
        <w:t xml:space="preserve"> </w:t>
      </w:r>
      <w:r w:rsidR="00171F00">
        <w:t>з</w:t>
      </w:r>
      <w:r w:rsidR="00A56E08">
        <w:t>ај</w:t>
      </w:r>
      <w:r w:rsidR="00EE6AA2">
        <w:t>е</w:t>
      </w:r>
      <w:r w:rsidR="00A56E08">
        <w:t>дниц</w:t>
      </w:r>
      <w:r w:rsidR="00EE6AA2">
        <w:t>е</w:t>
      </w:r>
      <w:r w:rsidR="0022553B" w:rsidRPr="00F6340E">
        <w:t xml:space="preserve">. </w:t>
      </w:r>
      <w:r w:rsidR="00A56E08">
        <w:t>О</w:t>
      </w:r>
      <w:r>
        <w:t>с</w:t>
      </w:r>
      <w:r w:rsidR="00A56E08">
        <w:t>им</w:t>
      </w:r>
      <w:r w:rsidR="0022553B" w:rsidRPr="00F6340E">
        <w:t xml:space="preserve"> </w:t>
      </w:r>
      <w:r>
        <w:t>т</w:t>
      </w:r>
      <w:r w:rsidR="00A56E08">
        <w:t>ога</w:t>
      </w:r>
      <w:r w:rsidR="0022553B" w:rsidRPr="00F6340E">
        <w:t xml:space="preserve">, </w:t>
      </w:r>
      <w:r w:rsidR="00A56E08">
        <w:t>об</w:t>
      </w:r>
      <w:r>
        <w:t>р</w:t>
      </w:r>
      <w:r w:rsidR="00A56E08">
        <w:t>а</w:t>
      </w:r>
      <w:r w:rsidR="00171F00">
        <w:t>з</w:t>
      </w:r>
      <w:r w:rsidR="00A56E08">
        <w:t>о</w:t>
      </w:r>
      <w:r>
        <w:t>в</w:t>
      </w:r>
      <w:r w:rsidR="00A56E08">
        <w:t>ањ</w:t>
      </w:r>
      <w:r w:rsidR="00EE6AA2">
        <w:t>е</w:t>
      </w:r>
      <w:r w:rsidR="003B5396" w:rsidRPr="00F6340E">
        <w:t xml:space="preserve">, </w:t>
      </w:r>
      <w:r>
        <w:t>п</w:t>
      </w:r>
      <w:r w:rsidR="00A56E08">
        <w:t>о</w:t>
      </w:r>
      <w:r>
        <w:t>р</w:t>
      </w:r>
      <w:r w:rsidR="00EE6AA2">
        <w:t>е</w:t>
      </w:r>
      <w:r w:rsidR="00A56E08">
        <w:t>д</w:t>
      </w:r>
      <w:r w:rsidR="003B5396" w:rsidRPr="00F6340E">
        <w:t xml:space="preserve"> </w:t>
      </w:r>
      <w:r w:rsidR="00A56E08">
        <w:t>на</w:t>
      </w:r>
      <w:r>
        <w:t>ст</w:t>
      </w:r>
      <w:r w:rsidR="00A56E08">
        <w:t>а</w:t>
      </w:r>
      <w:r>
        <w:t>в</w:t>
      </w:r>
      <w:r w:rsidR="00A56E08">
        <w:t>ника</w:t>
      </w:r>
      <w:r w:rsidR="003B5396" w:rsidRPr="00F6340E">
        <w:t xml:space="preserve"> </w:t>
      </w:r>
      <w:r w:rsidR="00A56E08">
        <w:t>и</w:t>
      </w:r>
      <w:r w:rsidR="003B5396" w:rsidRPr="00F6340E">
        <w:t xml:space="preserve"> </w:t>
      </w:r>
      <w:r>
        <w:t>у</w:t>
      </w:r>
      <w:r w:rsidR="00A56E08">
        <w:t>ч</w:t>
      </w:r>
      <w:r w:rsidR="00EE6AA2">
        <w:t>е</w:t>
      </w:r>
      <w:r w:rsidR="00A56E08">
        <w:t>ника</w:t>
      </w:r>
      <w:r w:rsidR="003B5396" w:rsidRPr="00F6340E">
        <w:t>/</w:t>
      </w:r>
      <w:r>
        <w:t>сту</w:t>
      </w:r>
      <w:r w:rsidR="00A56E08">
        <w:t>д</w:t>
      </w:r>
      <w:r w:rsidR="00EE6AA2">
        <w:t>е</w:t>
      </w:r>
      <w:r w:rsidR="00A56E08">
        <w:t>на</w:t>
      </w:r>
      <w:r>
        <w:t>т</w:t>
      </w:r>
      <w:r w:rsidR="00A56E08">
        <w:t>а</w:t>
      </w:r>
      <w:r w:rsidR="003B5396" w:rsidRPr="00F6340E">
        <w:t xml:space="preserve">, </w:t>
      </w:r>
      <w:r w:rsidR="00A56E08">
        <w:t>об</w:t>
      </w:r>
      <w:r>
        <w:t>у</w:t>
      </w:r>
      <w:r w:rsidR="00A56E08">
        <w:t>х</w:t>
      </w:r>
      <w:r>
        <w:t>в</w:t>
      </w:r>
      <w:r w:rsidR="00A56E08">
        <w:t>а</w:t>
      </w:r>
      <w:r>
        <w:t>т</w:t>
      </w:r>
      <w:r w:rsidR="00A56E08">
        <w:t>а</w:t>
      </w:r>
      <w:r w:rsidR="003B5396" w:rsidRPr="00F6340E">
        <w:t xml:space="preserve"> </w:t>
      </w:r>
      <w:r w:rsidR="00A56E08">
        <w:t>и</w:t>
      </w:r>
      <w:r w:rsidR="003B5396" w:rsidRPr="00F6340E">
        <w:t xml:space="preserve"> </w:t>
      </w:r>
      <w:r w:rsidR="00A56E08">
        <w:t>д</w:t>
      </w:r>
      <w:r>
        <w:t>ру</w:t>
      </w:r>
      <w:r w:rsidR="00A56E08">
        <w:t>г</w:t>
      </w:r>
      <w:r w:rsidR="00EE6AA2">
        <w:t>е</w:t>
      </w:r>
      <w:r w:rsidR="003B5396" w:rsidRPr="00F6340E">
        <w:t xml:space="preserve"> </w:t>
      </w:r>
      <w:r w:rsidR="00171F00">
        <w:t>з</w:t>
      </w:r>
      <w:r w:rsidR="00A56E08">
        <w:t>аин</w:t>
      </w:r>
      <w:r>
        <w:t>т</w:t>
      </w:r>
      <w:r w:rsidR="00EE6AA2">
        <w:t>е</w:t>
      </w:r>
      <w:r>
        <w:t>р</w:t>
      </w:r>
      <w:r w:rsidR="00EE6AA2">
        <w:t>е</w:t>
      </w:r>
      <w:r>
        <w:t>с</w:t>
      </w:r>
      <w:r w:rsidR="00A56E08">
        <w:t>о</w:t>
      </w:r>
      <w:r>
        <w:t>в</w:t>
      </w:r>
      <w:r w:rsidR="00A56E08">
        <w:t>ан</w:t>
      </w:r>
      <w:r w:rsidR="00EE6AA2">
        <w:t>е</w:t>
      </w:r>
      <w:r w:rsidR="00AC604E" w:rsidRPr="00F6340E">
        <w:t xml:space="preserve"> </w:t>
      </w:r>
      <w:r>
        <w:t>стр</w:t>
      </w:r>
      <w:r w:rsidR="00A56E08">
        <w:t>ан</w:t>
      </w:r>
      <w:r w:rsidR="00EE6AA2">
        <w:t>е</w:t>
      </w:r>
      <w:r w:rsidR="00AC604E" w:rsidRPr="00F6340E">
        <w:t xml:space="preserve"> </w:t>
      </w:r>
      <w:r w:rsidR="00A56E08">
        <w:t>и</w:t>
      </w:r>
      <w:r w:rsidR="003B5396" w:rsidRPr="00F6340E">
        <w:t xml:space="preserve"> </w:t>
      </w:r>
      <w:r>
        <w:t>у</w:t>
      </w:r>
      <w:r w:rsidR="00A56E08">
        <w:t>ч</w:t>
      </w:r>
      <w:r w:rsidR="00EE6AA2">
        <w:t>е</w:t>
      </w:r>
      <w:r>
        <w:t>с</w:t>
      </w:r>
      <w:r w:rsidR="00A56E08">
        <w:t>ник</w:t>
      </w:r>
      <w:r w:rsidR="00EE6AA2">
        <w:t>е</w:t>
      </w:r>
      <w:r w:rsidR="003B5396" w:rsidRPr="00F6340E">
        <w:t xml:space="preserve"> </w:t>
      </w:r>
      <w:r w:rsidR="00A56E08">
        <w:t>који</w:t>
      </w:r>
      <w:r w:rsidR="003B5396" w:rsidRPr="00F6340E">
        <w:t xml:space="preserve"> </w:t>
      </w:r>
      <w:r w:rsidR="00A56E08">
        <w:t>ди</w:t>
      </w:r>
      <w:r>
        <w:t>р</w:t>
      </w:r>
      <w:r w:rsidR="00EE6AA2">
        <w:t>е</w:t>
      </w:r>
      <w:r w:rsidR="00A56E08">
        <w:t>к</w:t>
      </w:r>
      <w:r>
        <w:t>т</w:t>
      </w:r>
      <w:r w:rsidR="00A56E08">
        <w:t>но</w:t>
      </w:r>
      <w:r w:rsidR="003B5396" w:rsidRPr="00F6340E">
        <w:t xml:space="preserve"> </w:t>
      </w:r>
      <w:r w:rsidR="00A56E08">
        <w:t>и</w:t>
      </w:r>
      <w:r w:rsidR="003B5396" w:rsidRPr="00F6340E">
        <w:t>/</w:t>
      </w:r>
      <w:r w:rsidR="00A56E08">
        <w:t>или</w:t>
      </w:r>
      <w:r w:rsidR="003B5396" w:rsidRPr="00F6340E">
        <w:t xml:space="preserve"> </w:t>
      </w:r>
      <w:r w:rsidR="00A56E08">
        <w:t>инди</w:t>
      </w:r>
      <w:r>
        <w:t>р</w:t>
      </w:r>
      <w:r w:rsidR="00EE6AA2">
        <w:t>е</w:t>
      </w:r>
      <w:r w:rsidR="00A56E08">
        <w:t>к</w:t>
      </w:r>
      <w:r>
        <w:t>т</w:t>
      </w:r>
      <w:r w:rsidR="00A56E08">
        <w:t>но</w:t>
      </w:r>
      <w:r w:rsidR="003B5396" w:rsidRPr="00F6340E">
        <w:t xml:space="preserve"> </w:t>
      </w:r>
      <w:r w:rsidR="00A56E08">
        <w:t>до</w:t>
      </w:r>
      <w:r>
        <w:t>пр</w:t>
      </w:r>
      <w:r w:rsidR="00A56E08">
        <w:t>ино</w:t>
      </w:r>
      <w:r>
        <w:t>с</w:t>
      </w:r>
      <w:r w:rsidR="00EE6AA2">
        <w:t>е</w:t>
      </w:r>
      <w:r w:rsidR="003B5396" w:rsidRPr="00F6340E">
        <w:t xml:space="preserve"> </w:t>
      </w:r>
      <w:r w:rsidR="00A56E08">
        <w:t>об</w:t>
      </w:r>
      <w:r>
        <w:t>р</w:t>
      </w:r>
      <w:r w:rsidR="00A56E08">
        <w:t>а</w:t>
      </w:r>
      <w:r w:rsidR="00171F00">
        <w:t>з</w:t>
      </w:r>
      <w:r w:rsidR="00A56E08">
        <w:t>о</w:t>
      </w:r>
      <w:r>
        <w:t>в</w:t>
      </w:r>
      <w:r w:rsidR="00A56E08">
        <w:t>ном</w:t>
      </w:r>
      <w:r w:rsidR="003B5396" w:rsidRPr="00F6340E">
        <w:t xml:space="preserve"> </w:t>
      </w:r>
      <w:r>
        <w:t>пр</w:t>
      </w:r>
      <w:r w:rsidR="00A56E08">
        <w:t>оц</w:t>
      </w:r>
      <w:r w:rsidR="00EE6AA2">
        <w:t>е</w:t>
      </w:r>
      <w:r>
        <w:t>су</w:t>
      </w:r>
      <w:r w:rsidR="003B5396" w:rsidRPr="00F6340E">
        <w:t xml:space="preserve">. </w:t>
      </w:r>
      <w:r>
        <w:t>Т</w:t>
      </w:r>
      <w:r w:rsidR="00A56E08">
        <w:t>о</w:t>
      </w:r>
      <w:r w:rsidR="003B5396" w:rsidRPr="00F6340E">
        <w:t xml:space="preserve"> </w:t>
      </w:r>
      <w:r w:rsidR="00A56E08">
        <w:t>мог</w:t>
      </w:r>
      <w:r>
        <w:t>у</w:t>
      </w:r>
      <w:r w:rsidR="003B5396" w:rsidRPr="00F6340E">
        <w:t xml:space="preserve"> </w:t>
      </w:r>
      <w:r w:rsidR="00A56E08">
        <w:t>би</w:t>
      </w:r>
      <w:r>
        <w:t>т</w:t>
      </w:r>
      <w:r w:rsidR="00A56E08">
        <w:t>и</w:t>
      </w:r>
      <w:r w:rsidR="003B5396" w:rsidRPr="00F6340E">
        <w:t xml:space="preserve"> </w:t>
      </w:r>
      <w:r>
        <w:t>р</w:t>
      </w:r>
      <w:r w:rsidR="00A56E08">
        <w:t>оди</w:t>
      </w:r>
      <w:r>
        <w:t>т</w:t>
      </w:r>
      <w:r w:rsidR="00EE6AA2">
        <w:t>е</w:t>
      </w:r>
      <w:r w:rsidR="00A56E08">
        <w:t>љи</w:t>
      </w:r>
      <w:r w:rsidR="003B5396" w:rsidRPr="00F6340E">
        <w:t>,</w:t>
      </w:r>
      <w:r w:rsidR="00D57A41" w:rsidRPr="00F6340E">
        <w:t xml:space="preserve"> </w:t>
      </w:r>
      <w:r w:rsidR="00A56E08">
        <w:t>об</w:t>
      </w:r>
      <w:r>
        <w:t>р</w:t>
      </w:r>
      <w:r w:rsidR="00A56E08">
        <w:t>а</w:t>
      </w:r>
      <w:r w:rsidR="00171F00">
        <w:t>з</w:t>
      </w:r>
      <w:r w:rsidR="00A56E08">
        <w:t>о</w:t>
      </w:r>
      <w:r>
        <w:t>в</w:t>
      </w:r>
      <w:r w:rsidR="00A56E08">
        <w:t>н</w:t>
      </w:r>
      <w:r w:rsidR="00EE6AA2">
        <w:t>е</w:t>
      </w:r>
      <w:r w:rsidR="00D57A41" w:rsidRPr="00F6340E">
        <w:t xml:space="preserve"> </w:t>
      </w:r>
      <w:r>
        <w:t>в</w:t>
      </w:r>
      <w:r w:rsidR="00A56E08">
        <w:t>ла</w:t>
      </w:r>
      <w:r>
        <w:t>ст</w:t>
      </w:r>
      <w:r w:rsidR="00A56E08">
        <w:t>и</w:t>
      </w:r>
      <w:r w:rsidR="00D57A41" w:rsidRPr="00F6340E">
        <w:t xml:space="preserve">, </w:t>
      </w:r>
      <w:r>
        <w:t>п</w:t>
      </w:r>
      <w:r w:rsidR="00EE6AA2">
        <w:t>е</w:t>
      </w:r>
      <w:r w:rsidR="00A56E08">
        <w:t>даго</w:t>
      </w:r>
      <w:r>
        <w:t>ш</w:t>
      </w:r>
      <w:r w:rsidR="00A56E08">
        <w:t>ки</w:t>
      </w:r>
      <w:r w:rsidR="00D57A41" w:rsidRPr="00F6340E">
        <w:t xml:space="preserve"> </w:t>
      </w:r>
      <w:r w:rsidR="00171F00">
        <w:lastRenderedPageBreak/>
        <w:t>з</w:t>
      </w:r>
      <w:r w:rsidR="00A56E08">
        <w:t>а</w:t>
      </w:r>
      <w:r>
        <w:t>в</w:t>
      </w:r>
      <w:r w:rsidR="00A56E08">
        <w:t>оди</w:t>
      </w:r>
      <w:r w:rsidR="00D57A41" w:rsidRPr="00F6340E">
        <w:t xml:space="preserve">, </w:t>
      </w:r>
      <w:r w:rsidR="00A56E08">
        <w:t>н</w:t>
      </w:r>
      <w:r w:rsidR="00EE6AA2">
        <w:t>е</w:t>
      </w:r>
      <w:r>
        <w:t>в</w:t>
      </w:r>
      <w:r w:rsidR="00A56E08">
        <w:t>ладин</w:t>
      </w:r>
      <w:r w:rsidR="00EE6AA2">
        <w:t>е</w:t>
      </w:r>
      <w:r w:rsidR="003B5396" w:rsidRPr="00F6340E">
        <w:t xml:space="preserve"> </w:t>
      </w:r>
      <w:r w:rsidR="00A56E08">
        <w:t>о</w:t>
      </w:r>
      <w:r>
        <w:t>р</w:t>
      </w:r>
      <w:r w:rsidR="00A56E08">
        <w:t>гани</w:t>
      </w:r>
      <w:r w:rsidR="00171F00">
        <w:t>з</w:t>
      </w:r>
      <w:r w:rsidR="00A56E08">
        <w:t>ациј</w:t>
      </w:r>
      <w:r w:rsidR="00EE6AA2">
        <w:t>е</w:t>
      </w:r>
      <w:r w:rsidR="003B5396" w:rsidRPr="00F6340E">
        <w:t xml:space="preserve"> </w:t>
      </w:r>
      <w:r w:rsidR="00A56E08">
        <w:t>и</w:t>
      </w:r>
      <w:r w:rsidR="003B5396" w:rsidRPr="00F6340E">
        <w:t xml:space="preserve"> </w:t>
      </w:r>
      <w:r w:rsidR="00A56E08">
        <w:t>д</w:t>
      </w:r>
      <w:r>
        <w:t>р</w:t>
      </w:r>
      <w:r w:rsidR="003B5396" w:rsidRPr="00F6340E">
        <w:t xml:space="preserve">. </w:t>
      </w:r>
      <w:r w:rsidR="00171F00">
        <w:t>З</w:t>
      </w:r>
      <w:r w:rsidR="00A56E08">
        <w:t>а</w:t>
      </w:r>
      <w:r>
        <w:t>т</w:t>
      </w:r>
      <w:r w:rsidR="00A56E08">
        <w:t>о</w:t>
      </w:r>
      <w:r w:rsidR="00030F45" w:rsidRPr="00F6340E">
        <w:t xml:space="preserve"> </w:t>
      </w:r>
      <w:r w:rsidR="00A56E08">
        <w:t>ј</w:t>
      </w:r>
      <w:r w:rsidR="00EE6AA2">
        <w:t>е</w:t>
      </w:r>
      <w:r w:rsidR="003B5396" w:rsidRPr="00F6340E">
        <w:t xml:space="preserve"> </w:t>
      </w:r>
      <w:r>
        <w:t>в</w:t>
      </w:r>
      <w:r w:rsidR="00A56E08">
        <w:t>а</w:t>
      </w:r>
      <w:r w:rsidR="00171F00">
        <w:t>ж</w:t>
      </w:r>
      <w:r w:rsidR="00A56E08">
        <w:t>но</w:t>
      </w:r>
      <w:r w:rsidR="003B5396" w:rsidRPr="00F6340E">
        <w:t xml:space="preserve"> </w:t>
      </w:r>
      <w:r>
        <w:t>р</w:t>
      </w:r>
      <w:r w:rsidR="00A56E08">
        <w:t>а</w:t>
      </w:r>
      <w:r w:rsidR="00171F00">
        <w:t>з</w:t>
      </w:r>
      <w:r w:rsidR="00A56E08">
        <w:t>ми</w:t>
      </w:r>
      <w:r>
        <w:t>ш</w:t>
      </w:r>
      <w:r w:rsidR="00A56E08">
        <w:t>ља</w:t>
      </w:r>
      <w:r>
        <w:t>т</w:t>
      </w:r>
      <w:r w:rsidR="00A56E08">
        <w:t>и</w:t>
      </w:r>
      <w:r w:rsidR="003B5396" w:rsidRPr="00F6340E">
        <w:t xml:space="preserve"> </w:t>
      </w:r>
      <w:r w:rsidR="00A56E08">
        <w:t>о</w:t>
      </w:r>
      <w:r w:rsidR="003B5396" w:rsidRPr="00F6340E">
        <w:t xml:space="preserve"> </w:t>
      </w:r>
      <w:r w:rsidR="00A56E08">
        <w:t>ком</w:t>
      </w:r>
      <w:r>
        <w:t>п</w:t>
      </w:r>
      <w:r w:rsidR="00EE6AA2">
        <w:t>е</w:t>
      </w:r>
      <w:r>
        <w:t>т</w:t>
      </w:r>
      <w:r w:rsidR="00EE6AA2">
        <w:t>е</w:t>
      </w:r>
      <w:r w:rsidR="00A56E08">
        <w:t>нцијама</w:t>
      </w:r>
      <w:r w:rsidR="003B5396" w:rsidRPr="00F6340E">
        <w:t xml:space="preserve"> </w:t>
      </w:r>
      <w:r w:rsidR="00A56E08">
        <w:t>на</w:t>
      </w:r>
      <w:r>
        <w:t>ст</w:t>
      </w:r>
      <w:r w:rsidR="00A56E08">
        <w:t>а</w:t>
      </w:r>
      <w:r>
        <w:t>в</w:t>
      </w:r>
      <w:r w:rsidR="00A56E08">
        <w:t>ника</w:t>
      </w:r>
      <w:r w:rsidR="003B5396" w:rsidRPr="00F6340E">
        <w:t xml:space="preserve">, </w:t>
      </w:r>
      <w:r w:rsidR="00A56E08">
        <w:t>кој</w:t>
      </w:r>
      <w:r w:rsidR="00EE6AA2">
        <w:t>е</w:t>
      </w:r>
      <w:r w:rsidR="003B5396" w:rsidRPr="00F6340E">
        <w:t xml:space="preserve"> </w:t>
      </w:r>
      <w:r>
        <w:t>с</w:t>
      </w:r>
      <w:r w:rsidR="00EE6AA2">
        <w:t>е</w:t>
      </w:r>
      <w:r w:rsidR="003B5396" w:rsidRPr="00F6340E">
        <w:t xml:space="preserve"> </w:t>
      </w:r>
      <w:r w:rsidR="00A56E08">
        <w:t>одно</w:t>
      </w:r>
      <w:r>
        <w:t>с</w:t>
      </w:r>
      <w:r w:rsidR="00EE6AA2">
        <w:t>е</w:t>
      </w:r>
      <w:r w:rsidR="003B5396" w:rsidRPr="00F6340E">
        <w:t xml:space="preserve"> </w:t>
      </w:r>
      <w:r w:rsidR="00A56E08">
        <w:t>на</w:t>
      </w:r>
      <w:r w:rsidR="003B5396" w:rsidRPr="00F6340E">
        <w:t xml:space="preserve"> </w:t>
      </w:r>
      <w:r w:rsidR="00A56E08">
        <w:t>диги</w:t>
      </w:r>
      <w:r>
        <w:t>т</w:t>
      </w:r>
      <w:r w:rsidR="00A56E08">
        <w:t>алн</w:t>
      </w:r>
      <w:r>
        <w:t>у</w:t>
      </w:r>
      <w:r w:rsidR="003B5396" w:rsidRPr="00F6340E">
        <w:t xml:space="preserve"> </w:t>
      </w:r>
      <w:r w:rsidR="00A56E08">
        <w:t>ком</w:t>
      </w:r>
      <w:r>
        <w:t>у</w:t>
      </w:r>
      <w:r w:rsidR="00A56E08">
        <w:t>никациј</w:t>
      </w:r>
      <w:r>
        <w:t>у</w:t>
      </w:r>
      <w:r w:rsidR="003B5396" w:rsidRPr="00F6340E">
        <w:t xml:space="preserve"> </w:t>
      </w:r>
      <w:r>
        <w:t>с</w:t>
      </w:r>
      <w:r w:rsidR="00A56E08">
        <w:t>а</w:t>
      </w:r>
      <w:r w:rsidR="003B5396" w:rsidRPr="00F6340E">
        <w:t xml:space="preserve"> </w:t>
      </w:r>
      <w:r>
        <w:t>р</w:t>
      </w:r>
      <w:r w:rsidR="00A56E08">
        <w:t>а</w:t>
      </w:r>
      <w:r w:rsidR="00171F00">
        <w:t>з</w:t>
      </w:r>
      <w:r w:rsidR="00A56E08">
        <w:t>личи</w:t>
      </w:r>
      <w:r>
        <w:t>т</w:t>
      </w:r>
      <w:r w:rsidR="00A56E08">
        <w:t>им</w:t>
      </w:r>
      <w:r w:rsidR="003B5396" w:rsidRPr="00F6340E">
        <w:t xml:space="preserve"> </w:t>
      </w:r>
      <w:r>
        <w:t>у</w:t>
      </w:r>
      <w:r w:rsidR="00A56E08">
        <w:t>ч</w:t>
      </w:r>
      <w:r w:rsidR="00EE6AA2">
        <w:t>е</w:t>
      </w:r>
      <w:r>
        <w:t>с</w:t>
      </w:r>
      <w:r w:rsidR="00A56E08">
        <w:t>ницима</w:t>
      </w:r>
      <w:r w:rsidR="003B5396" w:rsidRPr="00F6340E">
        <w:t xml:space="preserve"> </w:t>
      </w:r>
      <w:r w:rsidR="00A56E08">
        <w:t>об</w:t>
      </w:r>
      <w:r>
        <w:t>р</w:t>
      </w:r>
      <w:r w:rsidR="00A56E08">
        <w:t>а</w:t>
      </w:r>
      <w:r w:rsidR="00171F00">
        <w:t>з</w:t>
      </w:r>
      <w:r w:rsidR="00A56E08">
        <w:t>о</w:t>
      </w:r>
      <w:r>
        <w:t>в</w:t>
      </w:r>
      <w:r w:rsidR="00A56E08">
        <w:t>ања</w:t>
      </w:r>
      <w:r w:rsidR="003B5396" w:rsidRPr="00F6340E">
        <w:t xml:space="preserve">.  </w:t>
      </w:r>
    </w:p>
    <w:p w14:paraId="28144B70" w14:textId="1BC94D60" w:rsidR="00847B04" w:rsidRPr="00F6340E" w:rsidRDefault="0071360A" w:rsidP="00FA4DC9">
      <w:pPr>
        <w:pStyle w:val="Body"/>
      </w:pPr>
      <w:r>
        <w:t>У</w:t>
      </w:r>
      <w:r w:rsidR="00847B04" w:rsidRPr="00F6340E">
        <w:t xml:space="preserve"> </w:t>
      </w:r>
      <w:r w:rsidR="00A56E08">
        <w:t>на</w:t>
      </w:r>
      <w:r>
        <w:t>ст</w:t>
      </w:r>
      <w:r w:rsidR="00A56E08">
        <w:t>а</w:t>
      </w:r>
      <w:r>
        <w:t>в</w:t>
      </w:r>
      <w:r w:rsidR="00A56E08">
        <w:t>к</w:t>
      </w:r>
      <w:r>
        <w:t>у</w:t>
      </w:r>
      <w:r w:rsidR="00847B04" w:rsidRPr="00F6340E">
        <w:t xml:space="preserve"> </w:t>
      </w:r>
      <w:r>
        <w:t>т</w:t>
      </w:r>
      <w:r w:rsidR="00EE6AA2">
        <w:t>е</w:t>
      </w:r>
      <w:r w:rsidR="00A56E08">
        <w:t>к</w:t>
      </w:r>
      <w:r>
        <w:t>ст</w:t>
      </w:r>
      <w:r w:rsidR="00A56E08">
        <w:t>а</w:t>
      </w:r>
      <w:r w:rsidR="00847B04" w:rsidRPr="00F6340E">
        <w:t xml:space="preserve"> </w:t>
      </w:r>
      <w:r w:rsidR="00A56E08">
        <w:t>да</w:t>
      </w:r>
      <w:r>
        <w:t>т</w:t>
      </w:r>
      <w:r w:rsidR="00847B04" w:rsidRPr="00F6340E">
        <w:t xml:space="preserve"> </w:t>
      </w:r>
      <w:r w:rsidR="00A56E08">
        <w:t>ј</w:t>
      </w:r>
      <w:r w:rsidR="00EE6AA2">
        <w:t>е</w:t>
      </w:r>
      <w:r w:rsidR="00847B04" w:rsidRPr="00F6340E">
        <w:t xml:space="preserve"> </w:t>
      </w:r>
      <w:r>
        <w:t>пр</w:t>
      </w:r>
      <w:r w:rsidR="00EE6AA2">
        <w:t>е</w:t>
      </w:r>
      <w:r w:rsidR="00A56E08">
        <w:t>гл</w:t>
      </w:r>
      <w:r w:rsidR="00EE6AA2">
        <w:t>е</w:t>
      </w:r>
      <w:r w:rsidR="00A56E08">
        <w:t>д</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t>у</w:t>
      </w:r>
      <w:r w:rsidR="00A56E08">
        <w:t>н</w:t>
      </w:r>
      <w:r>
        <w:t>ут</w:t>
      </w:r>
      <w:r w:rsidR="00A56E08">
        <w:t>а</w:t>
      </w:r>
      <w:r>
        <w:t>р</w:t>
      </w:r>
      <w:r w:rsidR="00847B04" w:rsidRPr="00F6340E">
        <w:t xml:space="preserve"> </w:t>
      </w:r>
      <w:r w:rsidR="00A56E08">
        <w:t>на</w:t>
      </w:r>
      <w:r>
        <w:t>в</w:t>
      </w:r>
      <w:r w:rsidR="00EE6AA2">
        <w:t>е</w:t>
      </w:r>
      <w:r w:rsidR="00A56E08">
        <w:t>д</w:t>
      </w:r>
      <w:r w:rsidR="00EE6AA2">
        <w:t>е</w:t>
      </w:r>
      <w:r w:rsidR="00A56E08">
        <w:t>на</w:t>
      </w:r>
      <w:r w:rsidR="00847B04" w:rsidRPr="00F6340E">
        <w:t xml:space="preserve"> </w:t>
      </w:r>
      <w:r w:rsidR="00A56E08">
        <w:t>ч</w:t>
      </w:r>
      <w:r w:rsidR="00EE6AA2">
        <w:t>е</w:t>
      </w:r>
      <w:r>
        <w:t>т</w:t>
      </w:r>
      <w:r w:rsidR="00A56E08">
        <w:t>и</w:t>
      </w:r>
      <w:r>
        <w:t>р</w:t>
      </w:r>
      <w:r w:rsidR="00A56E08">
        <w:t>и</w:t>
      </w:r>
      <w:r w:rsidR="00847B04" w:rsidRPr="00F6340E">
        <w:t xml:space="preserve"> </w:t>
      </w:r>
      <w:r>
        <w:t>п</w:t>
      </w:r>
      <w:r w:rsidR="00A56E08">
        <w:t>од</w:t>
      </w:r>
      <w:r>
        <w:t>ру</w:t>
      </w:r>
      <w:r w:rsidR="00A56E08">
        <w:t>чја</w:t>
      </w:r>
      <w:r w:rsidR="00847B04" w:rsidRPr="00F6340E">
        <w:t xml:space="preserve">, </w:t>
      </w:r>
      <w:r w:rsidR="00A56E08">
        <w:t>а</w:t>
      </w:r>
      <w:r w:rsidR="00847B04" w:rsidRPr="00F6340E">
        <w:t xml:space="preserve"> </w:t>
      </w:r>
      <w:r w:rsidR="00A56E08">
        <w:t>о</w:t>
      </w:r>
      <w:r>
        <w:t>п</w:t>
      </w:r>
      <w:r w:rsidR="00EE6AA2">
        <w:t>е</w:t>
      </w:r>
      <w:r>
        <w:t>р</w:t>
      </w:r>
      <w:r w:rsidR="00A56E08">
        <w:t>ационали</w:t>
      </w:r>
      <w:r w:rsidR="00171F00">
        <w:t>з</w:t>
      </w:r>
      <w:r w:rsidR="00A56E08">
        <w:t>о</w:t>
      </w:r>
      <w:r>
        <w:t>в</w:t>
      </w:r>
      <w:r w:rsidR="00A56E08">
        <w:t>ан</w:t>
      </w:r>
      <w:r w:rsidR="00EE6AA2">
        <w:t>е</w:t>
      </w:r>
      <w:r w:rsidR="00847B04" w:rsidRPr="00F6340E">
        <w:t xml:space="preserve"> </w:t>
      </w:r>
      <w:r>
        <w:t>су</w:t>
      </w:r>
      <w:r w:rsidR="00847B04" w:rsidRPr="00F6340E">
        <w:t xml:space="preserve"> </w:t>
      </w:r>
      <w:r w:rsidR="00A56E08">
        <w:t>к</w:t>
      </w:r>
      <w:r>
        <w:t>р</w:t>
      </w:r>
      <w:r w:rsidR="00A56E08">
        <w:t>о</w:t>
      </w:r>
      <w:r w:rsidR="00171F00">
        <w:t>з</w:t>
      </w:r>
      <w:r w:rsidR="00847B04" w:rsidRPr="00F6340E">
        <w:t xml:space="preserve"> </w:t>
      </w:r>
      <w:r w:rsidR="00A56E08">
        <w:t>д</w:t>
      </w:r>
      <w:r w:rsidR="00EE6AA2">
        <w:t>е</w:t>
      </w:r>
      <w:r w:rsidR="00A56E08">
        <w:t>фини</w:t>
      </w:r>
      <w:r>
        <w:t>с</w:t>
      </w:r>
      <w:r w:rsidR="00A56E08">
        <w:t>ан</w:t>
      </w:r>
      <w:r w:rsidR="00EE6AA2">
        <w:t>е</w:t>
      </w:r>
      <w:r w:rsidR="00847B04" w:rsidRPr="00F6340E">
        <w:t xml:space="preserve"> </w:t>
      </w:r>
      <w:r w:rsidR="00A56E08">
        <w:t>циљ</w:t>
      </w:r>
      <w:r w:rsidR="00EE6AA2">
        <w:t>е</w:t>
      </w:r>
      <w:r>
        <w:t>в</w:t>
      </w:r>
      <w:r w:rsidR="00EE6AA2">
        <w:t>е</w:t>
      </w:r>
      <w:r w:rsidR="00847B04" w:rsidRPr="00F6340E">
        <w:t xml:space="preserve"> </w:t>
      </w:r>
      <w:r>
        <w:t>пр</w:t>
      </w:r>
      <w:r w:rsidR="00EE6AA2">
        <w:t>е</w:t>
      </w:r>
      <w:r w:rsidR="00A56E08">
        <w:t>дло</w:t>
      </w:r>
      <w:r w:rsidR="00171F00">
        <w:t>ж</w:t>
      </w:r>
      <w:r w:rsidR="00EE6AA2">
        <w:t>е</w:t>
      </w:r>
      <w:r w:rsidR="00A56E08">
        <w:t>н</w:t>
      </w:r>
      <w:r w:rsidR="00EE6AA2">
        <w:t>е</w:t>
      </w:r>
      <w:r w:rsidR="00847B04" w:rsidRPr="00F6340E">
        <w:t xml:space="preserve"> </w:t>
      </w:r>
      <w:r>
        <w:t>у</w:t>
      </w:r>
      <w:r w:rsidR="00847B04" w:rsidRPr="00F6340E">
        <w:t xml:space="preserve"> </w:t>
      </w:r>
      <w:r w:rsidR="00A56E08">
        <w:t>Ок</w:t>
      </w:r>
      <w:r>
        <w:t>в</w:t>
      </w:r>
      <w:r w:rsidR="00A56E08">
        <w:t>и</w:t>
      </w:r>
      <w:r>
        <w:t>ру</w:t>
      </w:r>
      <w:r w:rsidR="00847B04" w:rsidRPr="00F6340E">
        <w:t xml:space="preserve"> </w:t>
      </w:r>
      <w:r w:rsidR="00A56E08">
        <w:t>диги</w:t>
      </w:r>
      <w:r>
        <w:t>т</w:t>
      </w:r>
      <w:r w:rsidR="00A56E08">
        <w:t>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на</w:t>
      </w:r>
      <w:r>
        <w:t>ст</w:t>
      </w:r>
      <w:r w:rsidR="00A56E08">
        <w:t>а</w:t>
      </w:r>
      <w:r>
        <w:t>в</w:t>
      </w:r>
      <w:r w:rsidR="00A56E08">
        <w:t>ника</w:t>
      </w:r>
      <w:r w:rsidR="00847B04" w:rsidRPr="00F6340E">
        <w:t xml:space="preserve"> (</w:t>
      </w:r>
      <w:r>
        <w:t>У</w:t>
      </w:r>
      <w:r w:rsidR="00A56E08">
        <w:t>НИЦ</w:t>
      </w:r>
      <w:r w:rsidR="00EE6AA2">
        <w:t>Е</w:t>
      </w:r>
      <w:r w:rsidR="00A56E08">
        <w:t>Ф</w:t>
      </w:r>
      <w:r w:rsidR="00847B04" w:rsidRPr="00F6340E">
        <w:t xml:space="preserve"> </w:t>
      </w:r>
      <w:r w:rsidR="00EE6AA2">
        <w:t>Е</w:t>
      </w:r>
      <w:r w:rsidR="00A56E08">
        <w:t>ДЦ</w:t>
      </w:r>
      <w:r w:rsidR="00847B04" w:rsidRPr="00F6340E">
        <w:t xml:space="preserve">, 2021). </w:t>
      </w:r>
    </w:p>
    <w:p w14:paraId="3E7429F9" w14:textId="522A5353" w:rsidR="00CE6CCD" w:rsidRPr="00F6340E" w:rsidRDefault="00A56E08" w:rsidP="00FA4DC9">
      <w:pPr>
        <w:pStyle w:val="Body"/>
      </w:pPr>
      <w:r>
        <w:t>Ни</w:t>
      </w:r>
      <w:r w:rsidR="0071360A">
        <w:t>в</w:t>
      </w:r>
      <w:r>
        <w:t>о</w:t>
      </w:r>
      <w:r w:rsidR="00CE6CCD" w:rsidRPr="00F6340E">
        <w:t xml:space="preserve"> </w:t>
      </w:r>
      <w:r>
        <w:rPr>
          <w:b/>
        </w:rPr>
        <w:t>ком</w:t>
      </w:r>
      <w:r w:rsidR="0071360A">
        <w:rPr>
          <w:b/>
        </w:rPr>
        <w:t>п</w:t>
      </w:r>
      <w:r w:rsidR="00EE6AA2">
        <w:rPr>
          <w:b/>
        </w:rPr>
        <w:t>е</w:t>
      </w:r>
      <w:r w:rsidR="0071360A">
        <w:rPr>
          <w:b/>
        </w:rPr>
        <w:t>т</w:t>
      </w:r>
      <w:r w:rsidR="00EE6AA2">
        <w:rPr>
          <w:b/>
        </w:rPr>
        <w:t>е</w:t>
      </w:r>
      <w:r>
        <w:rPr>
          <w:b/>
        </w:rPr>
        <w:t>нциј</w:t>
      </w:r>
      <w:r w:rsidR="00EE6AA2">
        <w:rPr>
          <w:b/>
        </w:rPr>
        <w:t>е</w:t>
      </w:r>
      <w:r w:rsidR="00CE6CCD" w:rsidRPr="00F6340E">
        <w:rPr>
          <w:b/>
        </w:rPr>
        <w:t xml:space="preserve"> </w:t>
      </w:r>
      <w:r>
        <w:t>одно</w:t>
      </w:r>
      <w:r w:rsidR="0071360A">
        <w:t>с</w:t>
      </w:r>
      <w:r>
        <w:t>и</w:t>
      </w:r>
      <w:r w:rsidR="00CE6CCD" w:rsidRPr="00F6340E">
        <w:t xml:space="preserve"> </w:t>
      </w:r>
      <w:r w:rsidR="0071360A">
        <w:t>с</w:t>
      </w:r>
      <w:r w:rsidR="00EE6AA2">
        <w:t>е</w:t>
      </w:r>
      <w:r w:rsidR="00CE6CCD" w:rsidRPr="00F6340E">
        <w:t xml:space="preserve"> </w:t>
      </w:r>
      <w:r>
        <w:t>на</w:t>
      </w:r>
      <w:r w:rsidR="00CE6CCD" w:rsidRPr="00F6340E">
        <w:t xml:space="preserve"> </w:t>
      </w:r>
      <w:r w:rsidR="0071360A">
        <w:t>с</w:t>
      </w:r>
      <w:r>
        <w:t>к</w:t>
      </w:r>
      <w:r w:rsidR="0071360A">
        <w:t>уп</w:t>
      </w:r>
      <w:r w:rsidR="00CE6CCD" w:rsidRPr="00F6340E">
        <w:t xml:space="preserve"> </w:t>
      </w:r>
      <w:r w:rsidR="00171F00">
        <w:t>з</w:t>
      </w:r>
      <w:r>
        <w:t>нања</w:t>
      </w:r>
      <w:r w:rsidR="00CE6CCD" w:rsidRPr="00F6340E">
        <w:t xml:space="preserve">, </w:t>
      </w:r>
      <w:r w:rsidR="0071360A">
        <w:t>в</w:t>
      </w:r>
      <w:r>
        <w:t>ј</w:t>
      </w:r>
      <w:r w:rsidR="00EE6AA2">
        <w:t>е</w:t>
      </w:r>
      <w:r w:rsidR="0071360A">
        <w:t>шт</w:t>
      </w:r>
      <w:r>
        <w:t>ина</w:t>
      </w:r>
      <w:r w:rsidR="00CE6CCD" w:rsidRPr="00F6340E">
        <w:t xml:space="preserve">, </w:t>
      </w:r>
      <w:r w:rsidR="0071360A">
        <w:t>ув</w:t>
      </w:r>
      <w:r>
        <w:t>ј</w:t>
      </w:r>
      <w:r w:rsidR="00EE6AA2">
        <w:t>е</w:t>
      </w:r>
      <w:r w:rsidR="0071360A">
        <w:t>р</w:t>
      </w:r>
      <w:r w:rsidR="00EE6AA2">
        <w:t>е</w:t>
      </w:r>
      <w:r>
        <w:t>ња</w:t>
      </w:r>
      <w:r w:rsidR="00CE6CCD" w:rsidRPr="00F6340E">
        <w:t xml:space="preserve"> </w:t>
      </w:r>
      <w:r>
        <w:t>и</w:t>
      </w:r>
      <w:r w:rsidR="00CE6CCD" w:rsidRPr="00F6340E">
        <w:t xml:space="preserve"> </w:t>
      </w:r>
      <w:r w:rsidR="0071360A">
        <w:t>пр</w:t>
      </w:r>
      <w:r>
        <w:t>и</w:t>
      </w:r>
      <w:r w:rsidR="0071360A">
        <w:t>п</w:t>
      </w:r>
      <w:r>
        <w:t>адај</w:t>
      </w:r>
      <w:r w:rsidR="0071360A">
        <w:t>у</w:t>
      </w:r>
      <w:r>
        <w:t>ћ</w:t>
      </w:r>
      <w:r w:rsidR="00EE6AA2">
        <w:t>е</w:t>
      </w:r>
      <w:r w:rsidR="00CE6CCD" w:rsidRPr="00F6340E">
        <w:t xml:space="preserve"> </w:t>
      </w:r>
      <w:r>
        <w:t>одго</w:t>
      </w:r>
      <w:r w:rsidR="0071360A">
        <w:t>в</w:t>
      </w:r>
      <w:r>
        <w:t>о</w:t>
      </w:r>
      <w:r w:rsidR="0071360A">
        <w:t>р</w:t>
      </w:r>
      <w:r>
        <w:t>но</w:t>
      </w:r>
      <w:r w:rsidR="0071360A">
        <w:t>ст</w:t>
      </w:r>
      <w:r>
        <w:t>и</w:t>
      </w:r>
      <w:r w:rsidR="00CE6CCD" w:rsidRPr="00F6340E">
        <w:t xml:space="preserve"> </w:t>
      </w:r>
      <w:r>
        <w:t>на</w:t>
      </w:r>
      <w:r w:rsidR="0071360A">
        <w:t>ст</w:t>
      </w:r>
      <w:r>
        <w:t>а</w:t>
      </w:r>
      <w:r w:rsidR="0071360A">
        <w:t>в</w:t>
      </w:r>
      <w:r>
        <w:t>ника</w:t>
      </w:r>
      <w:r w:rsidR="00B04FA8">
        <w:t xml:space="preserve"> </w:t>
      </w:r>
      <w:r w:rsidR="001F2F40">
        <w:t>с обзиром</w:t>
      </w:r>
      <w:r w:rsidR="00CE6CCD" w:rsidRPr="00F6340E">
        <w:t xml:space="preserve"> </w:t>
      </w:r>
      <w:r>
        <w:t>на</w:t>
      </w:r>
      <w:r w:rsidR="00CE6CCD" w:rsidRPr="00F6340E">
        <w:t xml:space="preserve"> </w:t>
      </w:r>
      <w:r w:rsidR="0071360A">
        <w:t>сп</w:t>
      </w:r>
      <w:r w:rsidR="00EE6AA2">
        <w:t>е</w:t>
      </w:r>
      <w:r>
        <w:t>цифично</w:t>
      </w:r>
      <w:r w:rsidR="00CE6CCD" w:rsidRPr="00F6340E">
        <w:t xml:space="preserve"> </w:t>
      </w:r>
      <w:r w:rsidR="0071360A">
        <w:t>п</w:t>
      </w:r>
      <w:r>
        <w:t>од</w:t>
      </w:r>
      <w:r w:rsidR="0071360A">
        <w:t>ру</w:t>
      </w:r>
      <w:r>
        <w:t>чј</w:t>
      </w:r>
      <w:r w:rsidR="00EE6AA2">
        <w:t>е</w:t>
      </w:r>
      <w:r w:rsidR="00E56584" w:rsidRPr="00F6340E">
        <w:t xml:space="preserve">, </w:t>
      </w:r>
      <w:r>
        <w:t>одно</w:t>
      </w:r>
      <w:r w:rsidR="0071360A">
        <w:t>с</w:t>
      </w:r>
      <w:r>
        <w:t>но</w:t>
      </w:r>
      <w:r w:rsidR="00E56584" w:rsidRPr="00F6340E">
        <w:t xml:space="preserve"> </w:t>
      </w:r>
      <w:r w:rsidR="0071360A">
        <w:t>п</w:t>
      </w:r>
      <w:r>
        <w:t>од</w:t>
      </w:r>
      <w:r w:rsidR="0071360A">
        <w:t>р</w:t>
      </w:r>
      <w:r>
        <w:t>а</w:t>
      </w:r>
      <w:r w:rsidR="00171F00">
        <w:t>з</w:t>
      </w:r>
      <w:r w:rsidR="0071360A">
        <w:t>у</w:t>
      </w:r>
      <w:r>
        <w:t>миј</w:t>
      </w:r>
      <w:r w:rsidR="00EE6AA2">
        <w:t>е</w:t>
      </w:r>
      <w:r w:rsidR="0071360A">
        <w:t>в</w:t>
      </w:r>
      <w:r>
        <w:t>а</w:t>
      </w:r>
      <w:r w:rsidR="00CE6CCD" w:rsidRPr="00F6340E">
        <w:t xml:space="preserve"> </w:t>
      </w:r>
      <w:r>
        <w:t>и</w:t>
      </w:r>
      <w:r w:rsidR="0071360A">
        <w:t>с</w:t>
      </w:r>
      <w:r>
        <w:t>ход</w:t>
      </w:r>
      <w:r w:rsidR="00CE6CCD" w:rsidRPr="00F6340E">
        <w:t xml:space="preserve"> </w:t>
      </w:r>
      <w:r>
        <w:t>об</w:t>
      </w:r>
      <w:r w:rsidR="0071360A">
        <w:t>р</w:t>
      </w:r>
      <w:r>
        <w:t>а</w:t>
      </w:r>
      <w:r w:rsidR="00171F00">
        <w:t>з</w:t>
      </w:r>
      <w:r>
        <w:t>о</w:t>
      </w:r>
      <w:r w:rsidR="0071360A">
        <w:t>в</w:t>
      </w:r>
      <w:r>
        <w:t>ања</w:t>
      </w:r>
      <w:r w:rsidR="00CE6CCD" w:rsidRPr="00F6340E">
        <w:t>/</w:t>
      </w:r>
      <w:r>
        <w:t>об</w:t>
      </w:r>
      <w:r w:rsidR="0071360A">
        <w:t>у</w:t>
      </w:r>
      <w:r>
        <w:t>к</w:t>
      </w:r>
      <w:r w:rsidR="00EE6AA2">
        <w:t>е</w:t>
      </w:r>
      <w:r w:rsidR="00CE6CCD" w:rsidRPr="00F6340E">
        <w:t>/</w:t>
      </w:r>
      <w:r>
        <w:t>о</w:t>
      </w:r>
      <w:r w:rsidR="0071360A">
        <w:t>сп</w:t>
      </w:r>
      <w:r>
        <w:t>о</w:t>
      </w:r>
      <w:r w:rsidR="0071360A">
        <w:t>с</w:t>
      </w:r>
      <w:r>
        <w:t>обља</w:t>
      </w:r>
      <w:r w:rsidR="0071360A">
        <w:t>в</w:t>
      </w:r>
      <w:r>
        <w:t>ања</w:t>
      </w:r>
      <w:r w:rsidR="00CE6CCD" w:rsidRPr="00F6340E">
        <w:t xml:space="preserve"> </w:t>
      </w:r>
      <w:r>
        <w:t>на</w:t>
      </w:r>
      <w:r w:rsidR="0071360A">
        <w:t>ст</w:t>
      </w:r>
      <w:r>
        <w:t>а</w:t>
      </w:r>
      <w:r w:rsidR="0071360A">
        <w:t>в</w:t>
      </w:r>
      <w:r>
        <w:t>ника</w:t>
      </w:r>
      <w:r w:rsidR="00CE6CCD" w:rsidRPr="00F6340E">
        <w:t xml:space="preserve">. </w:t>
      </w:r>
      <w:r>
        <w:rPr>
          <w:b/>
        </w:rPr>
        <w:t>Циљ</w:t>
      </w:r>
      <w:r w:rsidR="00EE6AA2">
        <w:rPr>
          <w:b/>
        </w:rPr>
        <w:t>е</w:t>
      </w:r>
      <w:r w:rsidR="0071360A">
        <w:rPr>
          <w:b/>
        </w:rPr>
        <w:t>в</w:t>
      </w:r>
      <w:r>
        <w:rPr>
          <w:b/>
        </w:rPr>
        <w:t>и</w:t>
      </w:r>
      <w:r w:rsidR="00CE6CCD" w:rsidRPr="00F6340E">
        <w:t xml:space="preserve"> </w:t>
      </w:r>
      <w:r>
        <w:t>д</w:t>
      </w:r>
      <w:r w:rsidR="00EE6AA2">
        <w:t>е</w:t>
      </w:r>
      <w:r>
        <w:t>фини</w:t>
      </w:r>
      <w:r w:rsidR="0071360A">
        <w:t>с</w:t>
      </w:r>
      <w:r>
        <w:t>ани</w:t>
      </w:r>
      <w:r w:rsidR="00CE6CCD" w:rsidRPr="00F6340E">
        <w:t xml:space="preserve"> </w:t>
      </w:r>
      <w:r w:rsidR="0071360A">
        <w:t>у</w:t>
      </w:r>
      <w:r>
        <w:t>н</w:t>
      </w:r>
      <w:r w:rsidR="0071360A">
        <w:t>ут</w:t>
      </w:r>
      <w:r>
        <w:t>а</w:t>
      </w:r>
      <w:r w:rsidR="0071360A">
        <w:t>р</w:t>
      </w:r>
      <w:r w:rsidR="00CE6CCD" w:rsidRPr="00F6340E">
        <w:t xml:space="preserve"> </w:t>
      </w:r>
      <w:r w:rsidR="0071360A">
        <w:t>св</w:t>
      </w:r>
      <w:r>
        <w:t>аког</w:t>
      </w:r>
      <w:r w:rsidR="00CE6CCD" w:rsidRPr="00F6340E">
        <w:t xml:space="preserve"> </w:t>
      </w:r>
      <w:r w:rsidR="0071360A">
        <w:t>с</w:t>
      </w:r>
      <w:r w:rsidR="00EE6AA2">
        <w:t>е</w:t>
      </w:r>
      <w:r w:rsidR="0071360A">
        <w:t>т</w:t>
      </w:r>
      <w:r>
        <w:t>а</w:t>
      </w:r>
      <w:r w:rsidR="00CE6CCD" w:rsidRPr="00F6340E">
        <w:t xml:space="preserve"> </w:t>
      </w:r>
      <w:r>
        <w:t>ком</w:t>
      </w:r>
      <w:r w:rsidR="0071360A">
        <w:t>п</w:t>
      </w:r>
      <w:r w:rsidR="00EE6AA2">
        <w:t>е</w:t>
      </w:r>
      <w:r w:rsidR="0071360A">
        <w:t>т</w:t>
      </w:r>
      <w:r w:rsidR="00EE6AA2">
        <w:t>е</w:t>
      </w:r>
      <w:r>
        <w:t>нција</w:t>
      </w:r>
      <w:r w:rsidR="00CE6CCD" w:rsidRPr="00F6340E">
        <w:t xml:space="preserve"> </w:t>
      </w:r>
      <w:r w:rsidR="0071360A">
        <w:t>у</w:t>
      </w:r>
      <w:r w:rsidR="00CE6CCD" w:rsidRPr="00F6340E">
        <w:t xml:space="preserve"> </w:t>
      </w:r>
      <w:r>
        <w:t>ок</w:t>
      </w:r>
      <w:r w:rsidR="0071360A">
        <w:t>в</w:t>
      </w:r>
      <w:r>
        <w:t>и</w:t>
      </w:r>
      <w:r w:rsidR="0071360A">
        <w:t>ру</w:t>
      </w:r>
      <w:r w:rsidR="00CE6CCD" w:rsidRPr="00F6340E">
        <w:t xml:space="preserve"> </w:t>
      </w:r>
      <w:r>
        <w:t>од</w:t>
      </w:r>
      <w:r w:rsidR="0071360A">
        <w:t>р</w:t>
      </w:r>
      <w:r w:rsidR="00EE6AA2">
        <w:t>е</w:t>
      </w:r>
      <w:r>
        <w:t>ђ</w:t>
      </w:r>
      <w:r w:rsidR="00EE6AA2">
        <w:t>е</w:t>
      </w:r>
      <w:r>
        <w:t>ног</w:t>
      </w:r>
      <w:r w:rsidR="00CE6CCD" w:rsidRPr="00F6340E">
        <w:t xml:space="preserve"> </w:t>
      </w:r>
      <w:r w:rsidR="0071360A">
        <w:t>п</w:t>
      </w:r>
      <w:r>
        <w:t>од</w:t>
      </w:r>
      <w:r w:rsidR="0071360A">
        <w:t>ру</w:t>
      </w:r>
      <w:r>
        <w:t>чја</w:t>
      </w:r>
      <w:r w:rsidR="00CE6CCD" w:rsidRPr="00F6340E">
        <w:t xml:space="preserve"> </w:t>
      </w:r>
      <w:r w:rsidR="0071360A">
        <w:t>пр</w:t>
      </w:r>
      <w:r w:rsidR="00EE6AA2">
        <w:t>е</w:t>
      </w:r>
      <w:r>
        <w:t>д</w:t>
      </w:r>
      <w:r w:rsidR="0071360A">
        <w:t>ст</w:t>
      </w:r>
      <w:r>
        <w:t>а</w:t>
      </w:r>
      <w:r w:rsidR="0071360A">
        <w:t>в</w:t>
      </w:r>
      <w:r>
        <w:t>љај</w:t>
      </w:r>
      <w:r w:rsidR="0071360A">
        <w:t>у</w:t>
      </w:r>
      <w:r w:rsidR="00CE6CCD" w:rsidRPr="00F6340E">
        <w:t xml:space="preserve"> </w:t>
      </w:r>
      <w:r w:rsidR="0071360A">
        <w:t>св</w:t>
      </w:r>
      <w:r>
        <w:t>ој</w:t>
      </w:r>
      <w:r w:rsidR="00EE6AA2">
        <w:t>е</w:t>
      </w:r>
      <w:r w:rsidR="0071360A">
        <w:t>врс</w:t>
      </w:r>
      <w:r>
        <w:t>н</w:t>
      </w:r>
      <w:r w:rsidR="00EE6AA2">
        <w:t>е</w:t>
      </w:r>
      <w:r w:rsidR="00CE6CCD" w:rsidRPr="00F6340E">
        <w:t xml:space="preserve"> </w:t>
      </w:r>
      <w:r w:rsidR="0071360A">
        <w:t>пр</w:t>
      </w:r>
      <w:r w:rsidR="00EE6AA2">
        <w:t>е</w:t>
      </w:r>
      <w:r>
        <w:t>д</w:t>
      </w:r>
      <w:r w:rsidR="0071360A">
        <w:t>ус</w:t>
      </w:r>
      <w:r>
        <w:t>ло</w:t>
      </w:r>
      <w:r w:rsidR="0071360A">
        <w:t>в</w:t>
      </w:r>
      <w:r w:rsidR="00EE6AA2">
        <w:t>е</w:t>
      </w:r>
      <w:r w:rsidR="00CE6CCD" w:rsidRPr="00F6340E">
        <w:t xml:space="preserve"> </w:t>
      </w:r>
      <w:r w:rsidR="00171F00">
        <w:t>з</w:t>
      </w:r>
      <w:r>
        <w:t>а</w:t>
      </w:r>
      <w:r w:rsidR="00CE6CCD" w:rsidRPr="00F6340E">
        <w:t xml:space="preserve"> </w:t>
      </w:r>
      <w:r w:rsidR="0071360A">
        <w:t>р</w:t>
      </w:r>
      <w:r>
        <w:t>а</w:t>
      </w:r>
      <w:r w:rsidR="00171F00">
        <w:t>з</w:t>
      </w:r>
      <w:r w:rsidR="0071360A">
        <w:t>в</w:t>
      </w:r>
      <w:r>
        <w:t>ој</w:t>
      </w:r>
      <w:r w:rsidR="00CE6CCD" w:rsidRPr="00F6340E">
        <w:t xml:space="preserve"> </w:t>
      </w:r>
      <w:r>
        <w:t>на</w:t>
      </w:r>
      <w:r w:rsidR="0071360A">
        <w:t>в</w:t>
      </w:r>
      <w:r w:rsidR="00EE6AA2">
        <w:t>е</w:t>
      </w:r>
      <w:r>
        <w:t>д</w:t>
      </w:r>
      <w:r w:rsidR="00EE6AA2">
        <w:t>е</w:t>
      </w:r>
      <w:r>
        <w:t>них</w:t>
      </w:r>
      <w:r w:rsidR="00CE6CCD" w:rsidRPr="00F6340E">
        <w:t xml:space="preserve"> </w:t>
      </w:r>
      <w:r>
        <w:t>ком</w:t>
      </w:r>
      <w:r w:rsidR="0071360A">
        <w:t>п</w:t>
      </w:r>
      <w:r w:rsidR="00EE6AA2">
        <w:t>е</w:t>
      </w:r>
      <w:r w:rsidR="0071360A">
        <w:t>т</w:t>
      </w:r>
      <w:r w:rsidR="00EE6AA2">
        <w:t>е</w:t>
      </w:r>
      <w:r>
        <w:t>нција</w:t>
      </w:r>
      <w:r w:rsidR="00CE6CCD" w:rsidRPr="00F6340E">
        <w:t xml:space="preserve">.  </w:t>
      </w:r>
    </w:p>
    <w:p w14:paraId="2BC688BE" w14:textId="33B0B7A3" w:rsidR="00CE6CCD" w:rsidRPr="00F6340E" w:rsidRDefault="0071360A" w:rsidP="00FA4DC9">
      <w:pPr>
        <w:pStyle w:val="Body"/>
      </w:pPr>
      <w:r>
        <w:t>У</w:t>
      </w:r>
      <w:r w:rsidR="00CE6CCD" w:rsidRPr="00F6340E">
        <w:t xml:space="preserve"> </w:t>
      </w:r>
      <w:r w:rsidR="00A56E08">
        <w:t>на</w:t>
      </w:r>
      <w:r>
        <w:t>ст</w:t>
      </w:r>
      <w:r w:rsidR="00A56E08">
        <w:t>а</w:t>
      </w:r>
      <w:r>
        <w:t>в</w:t>
      </w:r>
      <w:r w:rsidR="00A56E08">
        <w:t>к</w:t>
      </w:r>
      <w:r>
        <w:t>у</w:t>
      </w:r>
      <w:r w:rsidR="00CE6CCD" w:rsidRPr="00F6340E">
        <w:t xml:space="preserve"> </w:t>
      </w:r>
      <w:r w:rsidR="00A56E08">
        <w:t>ј</w:t>
      </w:r>
      <w:r w:rsidR="00EE6AA2">
        <w:t>е</w:t>
      </w:r>
      <w:r w:rsidR="00CE6CCD" w:rsidRPr="00F6340E">
        <w:t xml:space="preserve"> </w:t>
      </w:r>
      <w:r w:rsidR="00A56E08">
        <w:t>да</w:t>
      </w:r>
      <w:r>
        <w:t>т</w:t>
      </w:r>
      <w:r w:rsidR="00CE6CCD" w:rsidRPr="00F6340E">
        <w:t xml:space="preserve"> </w:t>
      </w:r>
      <w:r>
        <w:t>т</w:t>
      </w:r>
      <w:r w:rsidR="00A56E08">
        <w:t>аб</w:t>
      </w:r>
      <w:r w:rsidR="00EE6AA2">
        <w:t>е</w:t>
      </w:r>
      <w:r w:rsidR="00A56E08">
        <w:t>ла</w:t>
      </w:r>
      <w:r>
        <w:t>р</w:t>
      </w:r>
      <w:r w:rsidR="00A56E08">
        <w:t>ни</w:t>
      </w:r>
      <w:r w:rsidR="00CE6CCD" w:rsidRPr="00F6340E">
        <w:t xml:space="preserve"> </w:t>
      </w:r>
      <w:r>
        <w:t>пр</w:t>
      </w:r>
      <w:r w:rsidR="00EE6AA2">
        <w:t>е</w:t>
      </w:r>
      <w:r w:rsidR="00A56E08">
        <w:t>гл</w:t>
      </w:r>
      <w:r w:rsidR="00EE6AA2">
        <w:t>е</w:t>
      </w:r>
      <w:r w:rsidR="00A56E08">
        <w:t>д</w:t>
      </w:r>
      <w:r w:rsidR="00CE6CCD" w:rsidRPr="00F6340E">
        <w:t xml:space="preserve"> </w:t>
      </w:r>
      <w:r w:rsidR="00A56E08">
        <w:t>ком</w:t>
      </w:r>
      <w:r>
        <w:t>п</w:t>
      </w:r>
      <w:r w:rsidR="00EE6AA2">
        <w:t>е</w:t>
      </w:r>
      <w:r>
        <w:t>т</w:t>
      </w:r>
      <w:r w:rsidR="00EE6AA2">
        <w:t>е</w:t>
      </w:r>
      <w:r w:rsidR="00A56E08">
        <w:t>нција</w:t>
      </w:r>
      <w:r w:rsidR="00CE6CCD" w:rsidRPr="00F6340E">
        <w:t xml:space="preserve"> </w:t>
      </w:r>
      <w:r>
        <w:t>у</w:t>
      </w:r>
      <w:r w:rsidR="00A56E08">
        <w:t>н</w:t>
      </w:r>
      <w:r>
        <w:t>ут</w:t>
      </w:r>
      <w:r w:rsidR="00A56E08">
        <w:t>а</w:t>
      </w:r>
      <w:r>
        <w:t>р</w:t>
      </w:r>
      <w:r w:rsidR="00CE6CCD" w:rsidRPr="00F6340E">
        <w:t xml:space="preserve"> </w:t>
      </w:r>
      <w:r>
        <w:t>св</w:t>
      </w:r>
      <w:r w:rsidR="00A56E08">
        <w:t>а</w:t>
      </w:r>
      <w:r w:rsidR="00CE6CCD" w:rsidRPr="00F6340E">
        <w:t xml:space="preserve"> </w:t>
      </w:r>
      <w:r w:rsidR="00A56E08">
        <w:t>ч</w:t>
      </w:r>
      <w:r w:rsidR="00EE6AA2">
        <w:t>е</w:t>
      </w:r>
      <w:r>
        <w:t>т</w:t>
      </w:r>
      <w:r w:rsidR="00A56E08">
        <w:t>и</w:t>
      </w:r>
      <w:r>
        <w:t>р</w:t>
      </w:r>
      <w:r w:rsidR="00A56E08">
        <w:t>и</w:t>
      </w:r>
      <w:r w:rsidR="00CE6CCD" w:rsidRPr="00F6340E">
        <w:t xml:space="preserve"> </w:t>
      </w:r>
      <w:r>
        <w:t>п</w:t>
      </w:r>
      <w:r w:rsidR="00A56E08">
        <w:t>од</w:t>
      </w:r>
      <w:r>
        <w:t>ру</w:t>
      </w:r>
      <w:r w:rsidR="00A56E08">
        <w:t>чја</w:t>
      </w:r>
      <w:r w:rsidR="00CE6CCD" w:rsidRPr="00F6340E">
        <w:t xml:space="preserve"> </w:t>
      </w:r>
      <w:r>
        <w:t>с</w:t>
      </w:r>
      <w:r w:rsidR="00A56E08">
        <w:t>а</w:t>
      </w:r>
      <w:r w:rsidR="00CE6CCD" w:rsidRPr="00F6340E">
        <w:t xml:space="preserve"> </w:t>
      </w:r>
      <w:r>
        <w:t>пр</w:t>
      </w:r>
      <w:r w:rsidR="00A56E08">
        <w:t>и</w:t>
      </w:r>
      <w:r>
        <w:t>п</w:t>
      </w:r>
      <w:r w:rsidR="00A56E08">
        <w:t>адај</w:t>
      </w:r>
      <w:r>
        <w:t>у</w:t>
      </w:r>
      <w:r w:rsidR="00A56E08">
        <w:t>ћим</w:t>
      </w:r>
      <w:r w:rsidR="00CE6CCD" w:rsidRPr="00F6340E">
        <w:t xml:space="preserve"> </w:t>
      </w:r>
      <w:r w:rsidR="00A56E08">
        <w:t>циљ</w:t>
      </w:r>
      <w:r w:rsidR="00EE6AA2">
        <w:t>е</w:t>
      </w:r>
      <w:r>
        <w:t>в</w:t>
      </w:r>
      <w:r w:rsidR="00A56E08">
        <w:t>има</w:t>
      </w:r>
      <w:r w:rsidR="00CE6CCD" w:rsidRPr="00F6340E">
        <w:t xml:space="preserve">. </w:t>
      </w:r>
    </w:p>
    <w:p w14:paraId="0FE8B8D0" w14:textId="77777777" w:rsidR="00342E4C" w:rsidRPr="00F6340E" w:rsidRDefault="00342E4C" w:rsidP="00F83E0E">
      <w:pPr>
        <w:spacing w:line="276" w:lineRule="auto"/>
        <w:rPr>
          <w:rFonts w:ascii="Arial" w:hAnsi="Arial" w:cs="Arial"/>
          <w:color w:val="000000" w:themeColor="text1"/>
          <w:lang w:val="sr-Cyrl-BA"/>
        </w:rPr>
      </w:pPr>
    </w:p>
    <w:p w14:paraId="2230BD2F" w14:textId="77777777" w:rsidR="00342E4C" w:rsidRPr="00F6340E" w:rsidRDefault="00342E4C" w:rsidP="00F83E0E">
      <w:pPr>
        <w:spacing w:line="276" w:lineRule="auto"/>
        <w:rPr>
          <w:rFonts w:ascii="Arial" w:hAnsi="Arial" w:cs="Arial"/>
          <w:color w:val="000000" w:themeColor="text1"/>
          <w:lang w:val="sr-Cyrl-BA"/>
        </w:rPr>
      </w:pPr>
    </w:p>
    <w:p w14:paraId="42D68226" w14:textId="77777777" w:rsidR="00342E4C" w:rsidRPr="00F6340E" w:rsidRDefault="00342E4C" w:rsidP="00F83E0E">
      <w:pPr>
        <w:spacing w:line="276" w:lineRule="auto"/>
        <w:rPr>
          <w:rFonts w:ascii="Arial" w:hAnsi="Arial" w:cs="Arial"/>
          <w:color w:val="000000" w:themeColor="text1"/>
          <w:lang w:val="sr-Cyrl-BA"/>
        </w:rPr>
      </w:pPr>
    </w:p>
    <w:p w14:paraId="3A4BCFFC" w14:textId="0A36D9F8" w:rsidR="00F8633B" w:rsidRPr="00F6340E" w:rsidRDefault="00F8633B">
      <w:pPr>
        <w:spacing w:after="160" w:line="259" w:lineRule="auto"/>
        <w:jc w:val="left"/>
        <w:rPr>
          <w:rFonts w:ascii="Arial" w:hAnsi="Arial" w:cs="Arial"/>
          <w:color w:val="000000" w:themeColor="text1"/>
          <w:lang w:val="sr-Cyrl-BA"/>
        </w:rPr>
      </w:pPr>
      <w:r w:rsidRPr="00F6340E">
        <w:rPr>
          <w:rFonts w:ascii="Arial" w:hAnsi="Arial" w:cs="Arial"/>
          <w:color w:val="000000" w:themeColor="text1"/>
          <w:lang w:val="sr-Cyrl-BA"/>
        </w:rPr>
        <w:br w:type="page"/>
      </w:r>
    </w:p>
    <w:p w14:paraId="633C3942" w14:textId="2AA7F8CB" w:rsidR="00847B04" w:rsidRPr="00F6340E" w:rsidRDefault="0071360A" w:rsidP="000962EB">
      <w:pPr>
        <w:pStyle w:val="Heading3"/>
        <w:numPr>
          <w:ilvl w:val="2"/>
          <w:numId w:val="70"/>
        </w:numPr>
        <w:rPr>
          <w:lang w:val="sr-Cyrl-BA"/>
        </w:rPr>
      </w:pPr>
      <w:bookmarkStart w:id="36" w:name="_Toc119050318"/>
      <w:r>
        <w:rPr>
          <w:lang w:val="sr-Cyrl-BA"/>
        </w:rPr>
        <w:lastRenderedPageBreak/>
        <w:t>Р</w:t>
      </w:r>
      <w:r w:rsidR="00A56E08">
        <w:rPr>
          <w:lang w:val="sr-Cyrl-BA"/>
        </w:rPr>
        <w:t>а</w:t>
      </w:r>
      <w:r w:rsidR="00171F00">
        <w:rPr>
          <w:lang w:val="sr-Cyrl-BA"/>
        </w:rPr>
        <w:t>з</w:t>
      </w:r>
      <w:r>
        <w:rPr>
          <w:lang w:val="sr-Cyrl-BA"/>
        </w:rPr>
        <w:t>в</w:t>
      </w:r>
      <w:r w:rsidR="00A56E08">
        <w:rPr>
          <w:lang w:val="sr-Cyrl-BA"/>
        </w:rPr>
        <w:t>ој</w:t>
      </w:r>
      <w:r w:rsidR="00847B04" w:rsidRPr="00F6340E">
        <w:rPr>
          <w:lang w:val="sr-Cyrl-BA"/>
        </w:rPr>
        <w:t xml:space="preserve"> </w:t>
      </w:r>
      <w:r w:rsidR="00171F00">
        <w:rPr>
          <w:lang w:val="sr-Cyrl-BA"/>
        </w:rPr>
        <w:t>з</w:t>
      </w:r>
      <w:r w:rsidR="00A56E08">
        <w:rPr>
          <w:lang w:val="sr-Cyrl-BA"/>
        </w:rPr>
        <w:t>нања</w:t>
      </w:r>
      <w:r w:rsidR="00847B04" w:rsidRPr="00F6340E">
        <w:rPr>
          <w:lang w:val="sr-Cyrl-BA"/>
        </w:rPr>
        <w:t xml:space="preserve"> - </w:t>
      </w:r>
      <w:r>
        <w:rPr>
          <w:lang w:val="sr-Cyrl-BA"/>
        </w:rPr>
        <w:t>П</w:t>
      </w:r>
      <w:r w:rsidR="00EE6AA2">
        <w:rPr>
          <w:lang w:val="sr-Cyrl-BA"/>
        </w:rPr>
        <w:t>е</w:t>
      </w:r>
      <w:r w:rsidR="00A56E08">
        <w:rPr>
          <w:lang w:val="sr-Cyrl-BA"/>
        </w:rPr>
        <w:t>даго</w:t>
      </w:r>
      <w:r>
        <w:rPr>
          <w:lang w:val="sr-Cyrl-BA"/>
        </w:rPr>
        <w:t>ш</w:t>
      </w:r>
      <w:r w:rsidR="00A56E08">
        <w:rPr>
          <w:lang w:val="sr-Cyrl-BA"/>
        </w:rPr>
        <w:t>к</w:t>
      </w:r>
      <w:r w:rsidR="00EE6AA2">
        <w:rPr>
          <w:lang w:val="sr-Cyrl-BA"/>
        </w:rPr>
        <w:t>е</w:t>
      </w:r>
      <w:r w:rsidR="00847B04" w:rsidRPr="00F6340E">
        <w:rPr>
          <w:lang w:val="sr-Cyrl-BA"/>
        </w:rPr>
        <w:t xml:space="preserve"> </w:t>
      </w:r>
      <w:r w:rsidR="00A56E08">
        <w:rPr>
          <w:lang w:val="sr-Cyrl-BA"/>
        </w:rPr>
        <w:t>ком</w:t>
      </w:r>
      <w:r>
        <w:rPr>
          <w:lang w:val="sr-Cyrl-BA"/>
        </w:rPr>
        <w:t>п</w:t>
      </w:r>
      <w:r w:rsidR="00EE6AA2">
        <w:rPr>
          <w:lang w:val="sr-Cyrl-BA"/>
        </w:rPr>
        <w:t>е</w:t>
      </w:r>
      <w:r>
        <w:rPr>
          <w:lang w:val="sr-Cyrl-BA"/>
        </w:rPr>
        <w:t>т</w:t>
      </w:r>
      <w:r w:rsidR="00EE6AA2">
        <w:rPr>
          <w:lang w:val="sr-Cyrl-BA"/>
        </w:rPr>
        <w:t>е</w:t>
      </w:r>
      <w:r w:rsidR="00A56E08">
        <w:rPr>
          <w:lang w:val="sr-Cyrl-BA"/>
        </w:rPr>
        <w:t>нциј</w:t>
      </w:r>
      <w:r w:rsidR="00EE6AA2">
        <w:rPr>
          <w:lang w:val="sr-Cyrl-BA"/>
        </w:rPr>
        <w:t>е</w:t>
      </w:r>
      <w:r w:rsidR="00847B04"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ника</w:t>
      </w:r>
      <w:bookmarkEnd w:id="36"/>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54DAE2CF" w14:textId="77777777" w:rsidTr="000C2C63">
        <w:trPr>
          <w:trHeight w:val="481"/>
          <w:jc w:val="center"/>
        </w:trPr>
        <w:tc>
          <w:tcPr>
            <w:tcW w:w="9014" w:type="dxa"/>
            <w:tcBorders>
              <w:bottom w:val="single" w:sz="4" w:space="0" w:color="000000"/>
            </w:tcBorders>
            <w:shd w:val="clear" w:color="auto" w:fill="00B0F0"/>
            <w:vAlign w:val="center"/>
          </w:tcPr>
          <w:p w14:paraId="3D0DC8BE" w14:textId="75A3B967" w:rsidR="00847B04" w:rsidRPr="00F6340E" w:rsidRDefault="00A56E08" w:rsidP="000C2C63">
            <w:pPr>
              <w:spacing w:line="276" w:lineRule="auto"/>
              <w:contextualSpacing/>
              <w:jc w:val="center"/>
              <w:rPr>
                <w:rFonts w:ascii="Arial" w:hAnsi="Arial" w:cs="Arial"/>
                <w:b/>
                <w:color w:val="000000" w:themeColor="text1"/>
                <w:lang w:val="sr-Cyrl-BA"/>
              </w:rPr>
            </w:pPr>
            <w:r>
              <w:rPr>
                <w:rFonts w:ascii="Arial" w:hAnsi="Arial" w:cs="Arial"/>
                <w:b/>
                <w:color w:val="000000" w:themeColor="text1"/>
                <w:lang w:val="sr-Cyrl-BA"/>
              </w:rPr>
              <w:t>Диги</w:t>
            </w:r>
            <w:r w:rsidR="0071360A">
              <w:rPr>
                <w:rFonts w:ascii="Arial" w:hAnsi="Arial" w:cs="Arial"/>
                <w:b/>
                <w:color w:val="000000" w:themeColor="text1"/>
                <w:lang w:val="sr-Cyrl-BA"/>
              </w:rPr>
              <w:t>т</w:t>
            </w:r>
            <w:r>
              <w:rPr>
                <w:rFonts w:ascii="Arial" w:hAnsi="Arial" w:cs="Arial"/>
                <w:b/>
                <w:color w:val="000000" w:themeColor="text1"/>
                <w:lang w:val="sr-Cyrl-BA"/>
              </w:rPr>
              <w:t>ално</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Pr>
                <w:rFonts w:ascii="Arial" w:hAnsi="Arial" w:cs="Arial"/>
                <w:b/>
                <w:color w:val="000000" w:themeColor="text1"/>
                <w:lang w:val="sr-Cyrl-BA"/>
              </w:rPr>
              <w:t>ч</w:t>
            </w:r>
            <w:r w:rsidR="00EE6AA2">
              <w:rPr>
                <w:rFonts w:ascii="Arial" w:hAnsi="Arial" w:cs="Arial"/>
                <w:b/>
                <w:color w:val="000000" w:themeColor="text1"/>
                <w:lang w:val="sr-Cyrl-BA"/>
              </w:rPr>
              <w:t>е</w:t>
            </w:r>
            <w:r>
              <w:rPr>
                <w:rFonts w:ascii="Arial" w:hAnsi="Arial" w:cs="Arial"/>
                <w:b/>
                <w:color w:val="000000" w:themeColor="text1"/>
                <w:lang w:val="sr-Cyrl-BA"/>
              </w:rPr>
              <w:t>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од</w:t>
            </w:r>
            <w:r w:rsidR="0071360A">
              <w:rPr>
                <w:rFonts w:ascii="Arial" w:hAnsi="Arial" w:cs="Arial"/>
                <w:b/>
                <w:color w:val="000000" w:themeColor="text1"/>
                <w:lang w:val="sr-Cyrl-BA"/>
              </w:rPr>
              <w:t>у</w:t>
            </w:r>
            <w:r>
              <w:rPr>
                <w:rFonts w:ascii="Arial" w:hAnsi="Arial" w:cs="Arial"/>
                <w:b/>
                <w:color w:val="000000" w:themeColor="text1"/>
                <w:lang w:val="sr-Cyrl-BA"/>
              </w:rPr>
              <w:t>ча</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w:t>
            </w:r>
            <w:r w:rsidR="0071360A">
              <w:rPr>
                <w:rFonts w:ascii="Arial" w:hAnsi="Arial" w:cs="Arial"/>
                <w:b/>
                <w:color w:val="000000" w:themeColor="text1"/>
                <w:lang w:val="sr-Cyrl-BA"/>
              </w:rPr>
              <w:t>в</w:t>
            </w:r>
            <w:r w:rsidR="00EE6AA2">
              <w:rPr>
                <w:rFonts w:ascii="Arial" w:hAnsi="Arial" w:cs="Arial"/>
                <w:b/>
                <w:color w:val="000000" w:themeColor="text1"/>
                <w:lang w:val="sr-Cyrl-BA"/>
              </w:rPr>
              <w:t>е</w:t>
            </w:r>
            <w:r w:rsidR="00171F00">
              <w:rPr>
                <w:rFonts w:ascii="Arial" w:hAnsi="Arial" w:cs="Arial"/>
                <w:b/>
                <w:color w:val="000000" w:themeColor="text1"/>
                <w:lang w:val="sr-Cyrl-BA"/>
              </w:rPr>
              <w:t>з</w:t>
            </w:r>
            <w:r>
              <w:rPr>
                <w:rFonts w:ascii="Arial" w:hAnsi="Arial" w:cs="Arial"/>
                <w:b/>
                <w:color w:val="000000" w:themeColor="text1"/>
                <w:lang w:val="sr-Cyrl-BA"/>
              </w:rPr>
              <w:t>ано</w:t>
            </w:r>
            <w:r w:rsidR="0071360A">
              <w:rPr>
                <w:rFonts w:ascii="Arial" w:hAnsi="Arial" w:cs="Arial"/>
                <w:b/>
                <w:color w:val="000000" w:themeColor="text1"/>
                <w:lang w:val="sr-Cyrl-BA"/>
              </w:rPr>
              <w:t>ст</w:t>
            </w:r>
            <w:r w:rsidR="00B04FA8">
              <w:rPr>
                <w:rFonts w:ascii="Arial" w:hAnsi="Arial" w:cs="Arial"/>
                <w:b/>
                <w:color w:val="000000" w:themeColor="text1"/>
                <w:lang w:val="sr-Cyrl-BA"/>
              </w:rPr>
              <w:t xml:space="preserve"> са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ним</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оли</w:t>
            </w:r>
            <w:r w:rsidR="0071360A">
              <w:rPr>
                <w:rFonts w:ascii="Arial" w:hAnsi="Arial" w:cs="Arial"/>
                <w:b/>
                <w:color w:val="000000" w:themeColor="text1"/>
                <w:lang w:val="sr-Cyrl-BA"/>
              </w:rPr>
              <w:t>т</w:t>
            </w:r>
            <w:r>
              <w:rPr>
                <w:rFonts w:ascii="Arial" w:hAnsi="Arial" w:cs="Arial"/>
                <w:b/>
                <w:color w:val="000000" w:themeColor="text1"/>
                <w:lang w:val="sr-Cyrl-BA"/>
              </w:rPr>
              <w:t>икама</w:t>
            </w:r>
          </w:p>
        </w:tc>
      </w:tr>
      <w:tr w:rsidR="00847B04" w:rsidRPr="00F6340E" w14:paraId="347BFAAD" w14:textId="77777777" w:rsidTr="005746C7">
        <w:trPr>
          <w:trHeight w:val="1476"/>
          <w:jc w:val="center"/>
        </w:trPr>
        <w:tc>
          <w:tcPr>
            <w:tcW w:w="9014" w:type="dxa"/>
            <w:tcBorders>
              <w:top w:val="single" w:sz="4" w:space="0" w:color="000000"/>
            </w:tcBorders>
            <w:shd w:val="clear" w:color="auto" w:fill="E3F4F9"/>
          </w:tcPr>
          <w:p w14:paraId="6C3C0B78" w14:textId="2329EC72" w:rsidR="00847B04" w:rsidRPr="00F6340E" w:rsidRDefault="00A56E08" w:rsidP="000C2C63">
            <w:pPr>
              <w:spacing w:line="276" w:lineRule="auto"/>
              <w:contextualSpacing/>
              <w:jc w:val="left"/>
              <w:rPr>
                <w:rFonts w:ascii="Arial" w:hAnsi="Arial" w:cs="Arial"/>
                <w:color w:val="00B0F0"/>
                <w:lang w:val="sr-Cyrl-BA"/>
              </w:rPr>
            </w:pPr>
            <w:r w:rsidRPr="000C2C63">
              <w:rPr>
                <w:rFonts w:ascii="Arial" w:hAnsi="Arial" w:cs="Arial"/>
                <w:b/>
                <w:bCs/>
                <w:color w:val="00B0F0"/>
                <w:lang w:val="sr-Cyrl-BA"/>
              </w:rPr>
              <w:t>Ком</w:t>
            </w:r>
            <w:r w:rsidR="0071360A" w:rsidRPr="000C2C63">
              <w:rPr>
                <w:rFonts w:ascii="Arial" w:hAnsi="Arial" w:cs="Arial"/>
                <w:b/>
                <w:bCs/>
                <w:color w:val="00B0F0"/>
                <w:lang w:val="sr-Cyrl-BA"/>
              </w:rPr>
              <w:t>п</w:t>
            </w:r>
            <w:r w:rsidR="00EE6AA2" w:rsidRPr="000C2C63">
              <w:rPr>
                <w:rFonts w:ascii="Arial" w:hAnsi="Arial" w:cs="Arial"/>
                <w:b/>
                <w:bCs/>
                <w:color w:val="00B0F0"/>
                <w:lang w:val="sr-Cyrl-BA"/>
              </w:rPr>
              <w:t>е</w:t>
            </w:r>
            <w:r w:rsidR="0071360A" w:rsidRPr="000C2C63">
              <w:rPr>
                <w:rFonts w:ascii="Arial" w:hAnsi="Arial" w:cs="Arial"/>
                <w:b/>
                <w:bCs/>
                <w:color w:val="00B0F0"/>
                <w:lang w:val="sr-Cyrl-BA"/>
              </w:rPr>
              <w:t>т</w:t>
            </w:r>
            <w:r w:rsidR="00EE6AA2" w:rsidRPr="000C2C63">
              <w:rPr>
                <w:rFonts w:ascii="Arial" w:hAnsi="Arial" w:cs="Arial"/>
                <w:b/>
                <w:bCs/>
                <w:color w:val="00B0F0"/>
                <w:lang w:val="sr-Cyrl-BA"/>
              </w:rPr>
              <w:t>е</w:t>
            </w:r>
            <w:r w:rsidRPr="000C2C63">
              <w:rPr>
                <w:rFonts w:ascii="Arial" w:hAnsi="Arial" w:cs="Arial"/>
                <w:b/>
                <w:bCs/>
                <w:color w:val="00B0F0"/>
                <w:lang w:val="sr-Cyrl-BA"/>
              </w:rPr>
              <w:t>нциј</w:t>
            </w:r>
            <w:r w:rsidR="00EE6AA2" w:rsidRPr="000C2C63">
              <w:rPr>
                <w:rFonts w:ascii="Arial" w:hAnsi="Arial" w:cs="Arial"/>
                <w:b/>
                <w:bCs/>
                <w:color w:val="00B0F0"/>
                <w:lang w:val="sr-Cyrl-BA"/>
              </w:rPr>
              <w:t>е</w:t>
            </w:r>
            <w:r w:rsidR="00847B04" w:rsidRPr="00F6340E">
              <w:rPr>
                <w:rFonts w:ascii="Arial" w:hAnsi="Arial" w:cs="Arial"/>
                <w:color w:val="00B0F0"/>
                <w:lang w:val="sr-Cyrl-BA"/>
              </w:rPr>
              <w:t>:</w:t>
            </w:r>
          </w:p>
          <w:p w14:paraId="5690E67D" w14:textId="4F70016B" w:rsidR="00847B04" w:rsidRPr="00F6340E" w:rsidRDefault="0071360A" w:rsidP="000C2C63">
            <w:pPr>
              <w:pStyle w:val="ListParagraph"/>
              <w:numPr>
                <w:ilvl w:val="0"/>
                <w:numId w:val="25"/>
              </w:numPr>
              <w:spacing w:line="276" w:lineRule="auto"/>
              <w:jc w:val="left"/>
              <w:rPr>
                <w:rFonts w:ascii="Arial" w:hAnsi="Arial" w:cs="Arial"/>
                <w:color w:val="000000" w:themeColor="text1"/>
                <w:lang w:val="sr-Cyrl-BA"/>
              </w:rPr>
            </w:pP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у</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начин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којима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ак</w:t>
            </w:r>
            <w:r>
              <w:rPr>
                <w:rFonts w:ascii="Arial" w:hAnsi="Arial" w:cs="Arial"/>
                <w:color w:val="000000" w:themeColor="text1"/>
                <w:lang w:val="sr-Cyrl-BA"/>
              </w:rPr>
              <w:t>с</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в</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A56E08">
              <w:rPr>
                <w:rFonts w:ascii="Arial" w:hAnsi="Arial" w:cs="Arial"/>
                <w:color w:val="000000" w:themeColor="text1"/>
                <w:lang w:val="sr-Cyrl-BA"/>
              </w:rPr>
              <w:t>ана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ним</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оли</w:t>
            </w:r>
            <w:r>
              <w:rPr>
                <w:rFonts w:ascii="Arial" w:hAnsi="Arial" w:cs="Arial"/>
                <w:color w:val="000000" w:themeColor="text1"/>
                <w:lang w:val="sr-Cyrl-BA"/>
              </w:rPr>
              <w:t>т</w:t>
            </w:r>
            <w:r w:rsidR="00A56E08">
              <w:rPr>
                <w:rFonts w:ascii="Arial" w:hAnsi="Arial" w:cs="Arial"/>
                <w:color w:val="000000" w:themeColor="text1"/>
                <w:lang w:val="sr-Cyrl-BA"/>
              </w:rPr>
              <w:t>икама</w:t>
            </w:r>
          </w:p>
          <w:p w14:paraId="0FE738D5" w14:textId="7067C144" w:rsidR="00847B04" w:rsidRPr="00F6340E" w:rsidRDefault="0071360A" w:rsidP="000C2C63">
            <w:pPr>
              <w:pStyle w:val="ListParagraph"/>
              <w:numPr>
                <w:ilvl w:val="0"/>
                <w:numId w:val="25"/>
              </w:numPr>
              <w:spacing w:line="276" w:lineRule="auto"/>
              <w:jc w:val="left"/>
              <w:rPr>
                <w:rFonts w:ascii="Arial" w:hAnsi="Arial" w:cs="Arial"/>
                <w:color w:val="00B0F0"/>
                <w:lang w:val="sr-Cyrl-BA"/>
              </w:rPr>
            </w:pP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у</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в</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ој</w:t>
            </w:r>
            <w:r w:rsidR="00EE6AA2">
              <w:rPr>
                <w:rFonts w:ascii="Arial" w:hAnsi="Arial" w:cs="Arial"/>
                <w:color w:val="000000" w:themeColor="text1"/>
                <w:lang w:val="sr-Cyrl-BA"/>
              </w:rPr>
              <w:t>е</w:t>
            </w:r>
            <w:r w:rsidR="00A56E08">
              <w:rPr>
                <w:rFonts w:ascii="Arial" w:hAnsi="Arial" w:cs="Arial"/>
                <w:color w:val="000000" w:themeColor="text1"/>
                <w:lang w:val="sr-Cyrl-BA"/>
              </w:rPr>
              <w:t>ћ</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ур</w:t>
            </w:r>
            <w:r w:rsidR="00A56E08">
              <w:rPr>
                <w:rFonts w:ascii="Arial" w:hAnsi="Arial" w:cs="Arial"/>
                <w:color w:val="000000" w:themeColor="text1"/>
                <w:lang w:val="sr-Cyrl-BA"/>
              </w:rPr>
              <w:t>ик</w:t>
            </w:r>
            <w:r>
              <w:rPr>
                <w:rFonts w:ascii="Arial" w:hAnsi="Arial" w:cs="Arial"/>
                <w:color w:val="000000" w:themeColor="text1"/>
                <w:lang w:val="sr-Cyrl-BA"/>
              </w:rPr>
              <w:t>у</w:t>
            </w:r>
            <w:r w:rsidR="00A56E08">
              <w:rPr>
                <w:rFonts w:ascii="Arial" w:hAnsi="Arial" w:cs="Arial"/>
                <w:color w:val="000000" w:themeColor="text1"/>
                <w:lang w:val="sr-Cyrl-BA"/>
              </w:rPr>
              <w:t>ла</w:t>
            </w:r>
            <w:r>
              <w:rPr>
                <w:rFonts w:ascii="Arial" w:hAnsi="Arial" w:cs="Arial"/>
                <w:color w:val="000000" w:themeColor="text1"/>
                <w:lang w:val="sr-Cyrl-BA"/>
              </w:rPr>
              <w:t>р</w:t>
            </w:r>
            <w:r w:rsidR="00A56E08">
              <w:rPr>
                <w:rFonts w:ascii="Arial" w:hAnsi="Arial" w:cs="Arial"/>
                <w:color w:val="000000" w:themeColor="text1"/>
                <w:lang w:val="sr-Cyrl-BA"/>
              </w:rPr>
              <w:t>ни</w:t>
            </w:r>
            <w:r w:rsidR="00C04EC1"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A56E08">
              <w:rPr>
                <w:rFonts w:ascii="Arial" w:hAnsi="Arial" w:cs="Arial"/>
                <w:color w:val="000000" w:themeColor="text1"/>
                <w:lang w:val="sr-Cyrl-BA"/>
              </w:rPr>
              <w:t>анда</w:t>
            </w:r>
            <w:r>
              <w:rPr>
                <w:rFonts w:ascii="Arial" w:hAnsi="Arial" w:cs="Arial"/>
                <w:color w:val="000000" w:themeColor="text1"/>
                <w:lang w:val="sr-Cyrl-BA"/>
              </w:rPr>
              <w:t>р</w:t>
            </w:r>
            <w:r w:rsidR="00A56E08">
              <w:rPr>
                <w:rFonts w:ascii="Arial" w:hAnsi="Arial" w:cs="Arial"/>
                <w:color w:val="000000" w:themeColor="text1"/>
                <w:lang w:val="sr-Cyrl-BA"/>
              </w:rPr>
              <w:t>ди</w:t>
            </w:r>
            <w:r w:rsidR="00B04FA8">
              <w:rPr>
                <w:rFonts w:ascii="Arial" w:hAnsi="Arial" w:cs="Arial"/>
                <w:color w:val="000000" w:themeColor="text1"/>
                <w:lang w:val="sr-Cyrl-BA"/>
              </w:rPr>
              <w:t xml:space="preserve"> са </w:t>
            </w:r>
            <w:r>
              <w:rPr>
                <w:rFonts w:ascii="Arial" w:hAnsi="Arial" w:cs="Arial"/>
                <w:color w:val="000000" w:themeColor="text1"/>
                <w:lang w:val="sr-Cyrl-BA"/>
              </w:rPr>
              <w:t>уп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бом</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рш</w:t>
            </w:r>
            <w:r w:rsidR="00A56E08">
              <w:rPr>
                <w:rFonts w:ascii="Arial" w:hAnsi="Arial" w:cs="Arial"/>
                <w:color w:val="000000" w:themeColor="text1"/>
                <w:lang w:val="sr-Cyrl-BA"/>
              </w:rPr>
              <w:t>к</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47B04"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на</w:t>
            </w:r>
            <w:r>
              <w:rPr>
                <w:rFonts w:ascii="Arial" w:hAnsi="Arial" w:cs="Arial"/>
                <w:color w:val="000000" w:themeColor="text1"/>
                <w:lang w:val="sr-Cyrl-BA"/>
              </w:rPr>
              <w:t>т</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w:t>
            </w:r>
          </w:p>
        </w:tc>
      </w:tr>
      <w:tr w:rsidR="00847B04" w:rsidRPr="00F6340E" w14:paraId="1D1C3EFF" w14:textId="77777777" w:rsidTr="005746C7">
        <w:trPr>
          <w:trHeight w:val="3951"/>
          <w:jc w:val="center"/>
        </w:trPr>
        <w:tc>
          <w:tcPr>
            <w:tcW w:w="9014" w:type="dxa"/>
            <w:shd w:val="clear" w:color="auto" w:fill="E3F4F9"/>
          </w:tcPr>
          <w:p w14:paraId="134C9AA3" w14:textId="1FECC7FE" w:rsidR="00847B04" w:rsidRPr="000C2C63" w:rsidRDefault="00A56E08" w:rsidP="000C2C63">
            <w:pPr>
              <w:spacing w:line="276" w:lineRule="auto"/>
              <w:ind w:right="113"/>
              <w:contextualSpacing/>
              <w:jc w:val="left"/>
              <w:rPr>
                <w:rFonts w:ascii="Arial" w:hAnsi="Arial" w:cs="Arial"/>
                <w:b/>
                <w:bCs/>
                <w:color w:val="00B0F0"/>
                <w:lang w:val="sr-Cyrl-BA"/>
              </w:rPr>
            </w:pPr>
            <w:r w:rsidRPr="000C2C63">
              <w:rPr>
                <w:rFonts w:ascii="Arial" w:hAnsi="Arial" w:cs="Arial"/>
                <w:b/>
                <w:bCs/>
                <w:color w:val="00B0F0"/>
                <w:lang w:val="sr-Cyrl-BA"/>
              </w:rPr>
              <w:t>Циљ</w:t>
            </w:r>
            <w:r w:rsidR="00EE6AA2" w:rsidRPr="000C2C63">
              <w:rPr>
                <w:rFonts w:ascii="Arial" w:hAnsi="Arial" w:cs="Arial"/>
                <w:b/>
                <w:bCs/>
                <w:color w:val="00B0F0"/>
                <w:lang w:val="sr-Cyrl-BA"/>
              </w:rPr>
              <w:t>е</w:t>
            </w:r>
            <w:r w:rsidR="0071360A" w:rsidRPr="000C2C63">
              <w:rPr>
                <w:rFonts w:ascii="Arial" w:hAnsi="Arial" w:cs="Arial"/>
                <w:b/>
                <w:bCs/>
                <w:color w:val="00B0F0"/>
                <w:lang w:val="sr-Cyrl-BA"/>
              </w:rPr>
              <w:t>в</w:t>
            </w:r>
            <w:r w:rsidRPr="000C2C63">
              <w:rPr>
                <w:rFonts w:ascii="Arial" w:hAnsi="Arial" w:cs="Arial"/>
                <w:b/>
                <w:bCs/>
                <w:color w:val="00B0F0"/>
                <w:lang w:val="sr-Cyrl-BA"/>
              </w:rPr>
              <w:t>и</w:t>
            </w:r>
            <w:r w:rsidR="00847B04" w:rsidRPr="000C2C63">
              <w:rPr>
                <w:rFonts w:ascii="Arial" w:hAnsi="Arial" w:cs="Arial"/>
                <w:b/>
                <w:bCs/>
                <w:color w:val="00B0F0"/>
                <w:lang w:val="sr-Cyrl-BA"/>
              </w:rPr>
              <w:t xml:space="preserve"> </w:t>
            </w:r>
          </w:p>
          <w:p w14:paraId="7CD5263E" w14:textId="7D8F84F3" w:rsidR="00847B04" w:rsidRPr="00F6340E" w:rsidRDefault="00A56E08"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ифико</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кљ</w:t>
            </w:r>
            <w:r w:rsidR="0071360A">
              <w:rPr>
                <w:rFonts w:ascii="Arial" w:hAnsi="Arial" w:cs="Arial"/>
                <w:color w:val="000000" w:themeColor="text1"/>
                <w:lang w:val="sr-Cyrl-BA"/>
              </w:rPr>
              <w:t>у</w:t>
            </w:r>
            <w:r>
              <w:rPr>
                <w:rFonts w:ascii="Arial" w:hAnsi="Arial" w:cs="Arial"/>
                <w:color w:val="000000" w:themeColor="text1"/>
                <w:lang w:val="sr-Cyrl-BA"/>
              </w:rPr>
              <w:t>чн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EE6AA2">
              <w:rPr>
                <w:rFonts w:ascii="Arial" w:hAnsi="Arial" w:cs="Arial"/>
                <w:color w:val="000000" w:themeColor="text1"/>
                <w:lang w:val="sr-Cyrl-BA"/>
              </w:rPr>
              <w:t>е</w:t>
            </w:r>
            <w:r>
              <w:rPr>
                <w:rFonts w:ascii="Arial" w:hAnsi="Arial" w:cs="Arial"/>
                <w:color w:val="000000" w:themeColor="text1"/>
                <w:lang w:val="sr-Cyrl-BA"/>
              </w:rPr>
              <w:t>л</w:t>
            </w:r>
            <w:r w:rsidR="00EE6AA2">
              <w:rPr>
                <w:rFonts w:ascii="Arial" w:hAnsi="Arial" w:cs="Arial"/>
                <w:color w:val="000000" w:themeColor="text1"/>
                <w:lang w:val="sr-Cyrl-BA"/>
              </w:rPr>
              <w:t>е</w:t>
            </w:r>
            <w:r>
              <w:rPr>
                <w:rFonts w:ascii="Arial" w:hAnsi="Arial" w:cs="Arial"/>
                <w:color w:val="000000" w:themeColor="text1"/>
                <w:lang w:val="sr-Cyrl-BA"/>
              </w:rPr>
              <w:t>м</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ИК</w:t>
            </w:r>
            <w:r w:rsidR="0071360A">
              <w:rPr>
                <w:rFonts w:ascii="Arial" w:hAnsi="Arial" w:cs="Arial"/>
                <w:color w:val="000000" w:themeColor="text1"/>
                <w:lang w:val="sr-Cyrl-BA"/>
              </w:rPr>
              <w:t>Т</w:t>
            </w:r>
            <w:r w:rsidR="00030F45" w:rsidRPr="00F6340E">
              <w:rPr>
                <w:rFonts w:ascii="Arial" w:hAnsi="Arial" w:cs="Arial"/>
                <w:color w:val="000000" w:themeColor="text1"/>
                <w:lang w:val="sr-Cyrl-BA"/>
              </w:rPr>
              <w:t>-</w:t>
            </w:r>
            <w:r>
              <w:rPr>
                <w:rFonts w:ascii="Arial" w:hAnsi="Arial" w:cs="Arial"/>
                <w:color w:val="000000" w:themeColor="text1"/>
                <w:lang w:val="sr-Cyrl-BA"/>
              </w:rPr>
              <w:t>а</w:t>
            </w:r>
            <w:r w:rsidR="00030F45"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них</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w:t>
            </w:r>
            <w:r w:rsidR="0071360A">
              <w:rPr>
                <w:rFonts w:ascii="Arial" w:hAnsi="Arial" w:cs="Arial"/>
                <w:color w:val="000000" w:themeColor="text1"/>
                <w:lang w:val="sr-Cyrl-BA"/>
              </w:rPr>
              <w:t>ст</w:t>
            </w:r>
            <w:r w:rsidR="00EE6AA2">
              <w:rPr>
                <w:rFonts w:ascii="Arial" w:hAnsi="Arial" w:cs="Arial"/>
                <w:color w:val="000000" w:themeColor="text1"/>
                <w:lang w:val="sr-Cyrl-BA"/>
              </w:rPr>
              <w:t>е</w:t>
            </w:r>
            <w:r>
              <w:rPr>
                <w:rFonts w:ascii="Arial" w:hAnsi="Arial" w:cs="Arial"/>
                <w:color w:val="000000" w:themeColor="text1"/>
                <w:lang w:val="sr-Cyrl-BA"/>
              </w:rPr>
              <w:t>ма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в</w:t>
            </w:r>
            <w:r w:rsidR="00EE6AA2">
              <w:rPr>
                <w:rFonts w:ascii="Arial" w:hAnsi="Arial" w:cs="Arial"/>
                <w:color w:val="000000" w:themeColor="text1"/>
                <w:lang w:val="sr-Cyrl-BA"/>
              </w:rPr>
              <w:t>е</w:t>
            </w:r>
            <w:r w:rsidR="0071360A">
              <w:rPr>
                <w:rFonts w:ascii="Arial" w:hAnsi="Arial" w:cs="Arial"/>
                <w:color w:val="000000" w:themeColor="text1"/>
                <w:lang w:val="sr-Cyrl-BA"/>
              </w:rPr>
              <w:t>ст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т</w:t>
            </w:r>
            <w:r>
              <w:rPr>
                <w:rFonts w:ascii="Arial" w:hAnsi="Arial" w:cs="Arial"/>
                <w:color w:val="000000" w:themeColor="text1"/>
                <w:lang w:val="sr-Cyrl-BA"/>
              </w:rPr>
              <w:t>ачк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кој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ут</w:t>
            </w:r>
            <w:r>
              <w:rPr>
                <w:rFonts w:ascii="Arial" w:hAnsi="Arial" w:cs="Arial"/>
                <w:color w:val="000000" w:themeColor="text1"/>
                <w:lang w:val="sr-Cyrl-BA"/>
              </w:rPr>
              <w:t>ич</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њихо</w:t>
            </w:r>
            <w:r w:rsidR="0071360A">
              <w:rPr>
                <w:rFonts w:ascii="Arial" w:hAnsi="Arial" w:cs="Arial"/>
                <w:color w:val="000000" w:themeColor="text1"/>
                <w:lang w:val="sr-Cyrl-BA"/>
              </w:rPr>
              <w:t>ву</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ак</w:t>
            </w:r>
            <w:r w:rsidR="0071360A">
              <w:rPr>
                <w:rFonts w:ascii="Arial" w:hAnsi="Arial" w:cs="Arial"/>
                <w:color w:val="000000" w:themeColor="text1"/>
                <w:lang w:val="sr-Cyrl-BA"/>
              </w:rPr>
              <w:t>су</w:t>
            </w:r>
          </w:p>
          <w:p w14:paraId="18292039" w14:textId="2764EC73" w:rsidR="00847B04" w:rsidRPr="00F6340E" w:rsidRDefault="00A56E08"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И</w:t>
            </w:r>
            <w:r w:rsidR="0071360A">
              <w:rPr>
                <w:rFonts w:ascii="Arial" w:hAnsi="Arial" w:cs="Arial"/>
                <w:color w:val="000000" w:themeColor="text1"/>
                <w:lang w:val="sr-Cyrl-BA"/>
              </w:rPr>
              <w:t>сп</w:t>
            </w:r>
            <w:r>
              <w:rPr>
                <w:rFonts w:ascii="Arial" w:hAnsi="Arial" w:cs="Arial"/>
                <w:color w:val="000000" w:themeColor="text1"/>
                <w:lang w:val="sr-Cyrl-BA"/>
              </w:rPr>
              <w:t>и</w:t>
            </w:r>
            <w:r w:rsidR="0071360A">
              <w:rPr>
                <w:rFonts w:ascii="Arial" w:hAnsi="Arial" w:cs="Arial"/>
                <w:color w:val="000000" w:themeColor="text1"/>
                <w:lang w:val="sr-Cyrl-BA"/>
              </w:rPr>
              <w:t>т</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ин</w:t>
            </w:r>
            <w:r w:rsidR="0071360A">
              <w:rPr>
                <w:rFonts w:ascii="Arial" w:hAnsi="Arial" w:cs="Arial"/>
                <w:color w:val="000000" w:themeColor="text1"/>
                <w:lang w:val="sr-Cyrl-BA"/>
              </w:rPr>
              <w:t>ст</w:t>
            </w:r>
            <w:r>
              <w:rPr>
                <w:rFonts w:ascii="Arial" w:hAnsi="Arial" w:cs="Arial"/>
                <w:color w:val="000000" w:themeColor="text1"/>
                <w:lang w:val="sr-Cyrl-BA"/>
              </w:rPr>
              <w:t>и</w:t>
            </w:r>
            <w:r w:rsidR="0071360A">
              <w:rPr>
                <w:rFonts w:ascii="Arial" w:hAnsi="Arial" w:cs="Arial"/>
                <w:color w:val="000000" w:themeColor="text1"/>
                <w:lang w:val="sr-Cyrl-BA"/>
              </w:rPr>
              <w:t>ту</w:t>
            </w:r>
            <w:r>
              <w:rPr>
                <w:rFonts w:ascii="Arial" w:hAnsi="Arial" w:cs="Arial"/>
                <w:color w:val="000000" w:themeColor="text1"/>
                <w:lang w:val="sr-Cyrl-BA"/>
              </w:rPr>
              <w:t>ционалн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оли</w:t>
            </w:r>
            <w:r w:rsidR="0071360A">
              <w:rPr>
                <w:rFonts w:ascii="Arial" w:hAnsi="Arial" w:cs="Arial"/>
                <w:color w:val="000000" w:themeColor="text1"/>
                <w:lang w:val="sr-Cyrl-BA"/>
              </w:rPr>
              <w:t>т</w:t>
            </w:r>
            <w:r>
              <w:rPr>
                <w:rFonts w:ascii="Arial" w:hAnsi="Arial" w:cs="Arial"/>
                <w:color w:val="000000" w:themeColor="text1"/>
                <w:lang w:val="sr-Cyrl-BA"/>
              </w:rPr>
              <w:t>ик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EE6AA2">
              <w:rPr>
                <w:rFonts w:ascii="Arial" w:hAnsi="Arial" w:cs="Arial"/>
                <w:color w:val="000000" w:themeColor="text1"/>
                <w:lang w:val="sr-Cyrl-BA"/>
              </w:rPr>
              <w:t>е</w:t>
            </w:r>
            <w:r>
              <w:rPr>
                <w:rFonts w:ascii="Arial" w:hAnsi="Arial" w:cs="Arial"/>
                <w:color w:val="000000" w:themeColor="text1"/>
                <w:lang w:val="sr-Cyrl-BA"/>
              </w:rPr>
              <w:t>длага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sidR="0071360A">
              <w:rPr>
                <w:rFonts w:ascii="Arial" w:hAnsi="Arial" w:cs="Arial"/>
                <w:color w:val="000000" w:themeColor="text1"/>
                <w:lang w:val="sr-Cyrl-BA"/>
              </w:rPr>
              <w:t>в</w:t>
            </w:r>
            <w:r>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ди</w:t>
            </w:r>
            <w:r w:rsidR="00171F00">
              <w:rPr>
                <w:rFonts w:ascii="Arial" w:hAnsi="Arial" w:cs="Arial"/>
                <w:color w:val="000000" w:themeColor="text1"/>
                <w:lang w:val="sr-Cyrl-BA"/>
              </w:rPr>
              <w:t>з</w:t>
            </w:r>
            <w:r>
              <w:rPr>
                <w:rFonts w:ascii="Arial" w:hAnsi="Arial" w:cs="Arial"/>
                <w:color w:val="000000" w:themeColor="text1"/>
                <w:lang w:val="sr-Cyrl-BA"/>
              </w:rPr>
              <w:t>ајни</w:t>
            </w:r>
            <w:r w:rsidR="0071360A">
              <w:rPr>
                <w:rFonts w:ascii="Arial" w:hAnsi="Arial" w:cs="Arial"/>
                <w:color w:val="000000" w:themeColor="text1"/>
                <w:lang w:val="sr-Cyrl-BA"/>
              </w:rPr>
              <w:t>р</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обољ</w:t>
            </w:r>
            <w:r w:rsidR="0071360A">
              <w:rPr>
                <w:rFonts w:ascii="Arial" w:hAnsi="Arial" w:cs="Arial"/>
                <w:color w:val="000000" w:themeColor="text1"/>
                <w:lang w:val="sr-Cyrl-BA"/>
              </w:rPr>
              <w:t>ш</w:t>
            </w:r>
            <w:r>
              <w:rPr>
                <w:rFonts w:ascii="Arial" w:hAnsi="Arial" w:cs="Arial"/>
                <w:color w:val="000000" w:themeColor="text1"/>
                <w:lang w:val="sr-Cyrl-BA"/>
              </w:rPr>
              <w:t>ања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мо</w:t>
            </w:r>
            <w:r w:rsidR="0071360A">
              <w:rPr>
                <w:rFonts w:ascii="Arial" w:hAnsi="Arial" w:cs="Arial"/>
                <w:color w:val="000000" w:themeColor="text1"/>
                <w:lang w:val="sr-Cyrl-BA"/>
              </w:rPr>
              <w:t>тр</w:t>
            </w:r>
            <w:r>
              <w:rPr>
                <w:rFonts w:ascii="Arial" w:hAnsi="Arial" w:cs="Arial"/>
                <w:color w:val="000000" w:themeColor="text1"/>
                <w:lang w:val="sr-Cyrl-BA"/>
              </w:rPr>
              <w:t>и</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ут</w:t>
            </w:r>
            <w:r>
              <w:rPr>
                <w:rFonts w:ascii="Arial" w:hAnsi="Arial" w:cs="Arial"/>
                <w:color w:val="000000" w:themeColor="text1"/>
                <w:lang w:val="sr-Cyrl-BA"/>
              </w:rPr>
              <w:t>ицај</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их</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омј</w:t>
            </w:r>
            <w:r w:rsidR="00EE6AA2">
              <w:rPr>
                <w:rFonts w:ascii="Arial" w:hAnsi="Arial" w:cs="Arial"/>
                <w:color w:val="000000" w:themeColor="text1"/>
                <w:lang w:val="sr-Cyrl-BA"/>
              </w:rPr>
              <w:t>е</w:t>
            </w:r>
            <w:r>
              <w:rPr>
                <w:rFonts w:ascii="Arial" w:hAnsi="Arial" w:cs="Arial"/>
                <w:color w:val="000000" w:themeColor="text1"/>
                <w:lang w:val="sr-Cyrl-BA"/>
              </w:rPr>
              <w:t>на</w:t>
            </w:r>
            <w:r w:rsidR="00847B04" w:rsidRPr="00F6340E">
              <w:rPr>
                <w:rFonts w:ascii="Arial" w:hAnsi="Arial" w:cs="Arial"/>
                <w:color w:val="000000" w:themeColor="text1"/>
                <w:lang w:val="sr-Cyrl-BA"/>
              </w:rPr>
              <w:t>.</w:t>
            </w:r>
          </w:p>
          <w:p w14:paraId="7CC5DC62" w14:textId="3AEAB67D" w:rsidR="00847B04" w:rsidRPr="00F6340E" w:rsidRDefault="00A56E08"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ифико</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ш</w:t>
            </w:r>
            <w:r>
              <w:rPr>
                <w:rFonts w:ascii="Arial" w:hAnsi="Arial" w:cs="Arial"/>
                <w:color w:val="000000" w:themeColor="text1"/>
                <w:lang w:val="sr-Cyrl-BA"/>
              </w:rPr>
              <w:t>и</w:t>
            </w:r>
            <w:r w:rsidR="0071360A">
              <w:rPr>
                <w:rFonts w:ascii="Arial" w:hAnsi="Arial" w:cs="Arial"/>
                <w:color w:val="000000" w:themeColor="text1"/>
                <w:lang w:val="sr-Cyrl-BA"/>
              </w:rPr>
              <w:t>р</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w:t>
            </w:r>
            <w:r w:rsidR="0071360A">
              <w:rPr>
                <w:rFonts w:ascii="Arial" w:hAnsi="Arial" w:cs="Arial"/>
                <w:color w:val="000000" w:themeColor="text1"/>
                <w:lang w:val="sr-Cyrl-BA"/>
              </w:rPr>
              <w:t>ст</w:t>
            </w:r>
            <w:r w:rsidR="00EE6AA2">
              <w:rPr>
                <w:rFonts w:ascii="Arial" w:hAnsi="Arial" w:cs="Arial"/>
                <w:color w:val="000000" w:themeColor="text1"/>
                <w:lang w:val="sr-Cyrl-BA"/>
              </w:rPr>
              <w:t>е</w:t>
            </w:r>
            <w:r>
              <w:rPr>
                <w:rFonts w:ascii="Arial" w:hAnsi="Arial" w:cs="Arial"/>
                <w:color w:val="000000" w:themeColor="text1"/>
                <w:lang w:val="sr-Cyrl-BA"/>
              </w:rPr>
              <w:t>м</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у</w:t>
            </w:r>
            <w:r>
              <w:rPr>
                <w:rFonts w:ascii="Arial" w:hAnsi="Arial" w:cs="Arial"/>
                <w:color w:val="000000" w:themeColor="text1"/>
                <w:lang w:val="sr-Cyrl-BA"/>
              </w:rPr>
              <w:t>л</w:t>
            </w:r>
            <w:r w:rsidR="0071360A">
              <w:rPr>
                <w:rFonts w:ascii="Arial" w:hAnsi="Arial" w:cs="Arial"/>
                <w:color w:val="000000" w:themeColor="text1"/>
                <w:lang w:val="sr-Cyrl-BA"/>
              </w:rPr>
              <w:t>тур</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оли</w:t>
            </w:r>
            <w:r w:rsidR="0071360A">
              <w:rPr>
                <w:rFonts w:ascii="Arial" w:hAnsi="Arial" w:cs="Arial"/>
                <w:color w:val="000000" w:themeColor="text1"/>
                <w:lang w:val="sr-Cyrl-BA"/>
              </w:rPr>
              <w:t>т</w:t>
            </w:r>
            <w:r>
              <w:rPr>
                <w:rFonts w:ascii="Arial" w:hAnsi="Arial" w:cs="Arial"/>
                <w:color w:val="000000" w:themeColor="text1"/>
                <w:lang w:val="sr-Cyrl-BA"/>
              </w:rPr>
              <w:t>ика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них</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ин</w:t>
            </w:r>
            <w:r w:rsidR="0071360A">
              <w:rPr>
                <w:rFonts w:ascii="Arial" w:hAnsi="Arial" w:cs="Arial"/>
                <w:color w:val="000000" w:themeColor="text1"/>
                <w:lang w:val="sr-Cyrl-BA"/>
              </w:rPr>
              <w:t>ст</w:t>
            </w:r>
            <w:r>
              <w:rPr>
                <w:rFonts w:ascii="Arial" w:hAnsi="Arial" w:cs="Arial"/>
                <w:color w:val="000000" w:themeColor="text1"/>
                <w:lang w:val="sr-Cyrl-BA"/>
              </w:rPr>
              <w:t>и</w:t>
            </w:r>
            <w:r w:rsidR="0071360A">
              <w:rPr>
                <w:rFonts w:ascii="Arial" w:hAnsi="Arial" w:cs="Arial"/>
                <w:color w:val="000000" w:themeColor="text1"/>
                <w:lang w:val="sr-Cyrl-BA"/>
              </w:rPr>
              <w:t>ту</w:t>
            </w:r>
            <w:r>
              <w:rPr>
                <w:rFonts w:ascii="Arial" w:hAnsi="Arial" w:cs="Arial"/>
                <w:color w:val="000000" w:themeColor="text1"/>
                <w:lang w:val="sr-Cyrl-BA"/>
              </w:rPr>
              <w:t>ција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им</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ни</w:t>
            </w:r>
            <w:r w:rsidR="0071360A">
              <w:rPr>
                <w:rFonts w:ascii="Arial" w:hAnsi="Arial" w:cs="Arial"/>
                <w:color w:val="000000" w:themeColor="text1"/>
                <w:lang w:val="sr-Cyrl-BA"/>
              </w:rPr>
              <w:t>в</w:t>
            </w:r>
            <w:r>
              <w:rPr>
                <w:rFonts w:ascii="Arial" w:hAnsi="Arial" w:cs="Arial"/>
                <w:color w:val="000000" w:themeColor="text1"/>
                <w:lang w:val="sr-Cyrl-BA"/>
              </w:rPr>
              <w:t>оима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кој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ут</w:t>
            </w:r>
            <w:r>
              <w:rPr>
                <w:rFonts w:ascii="Arial" w:hAnsi="Arial" w:cs="Arial"/>
                <w:color w:val="000000" w:themeColor="text1"/>
                <w:lang w:val="sr-Cyrl-BA"/>
              </w:rPr>
              <w:t>ич</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инкл</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w:t>
            </w:r>
          </w:p>
          <w:p w14:paraId="4DA485D9" w14:textId="1747FBDA" w:rsidR="00847B04" w:rsidRPr="00F6340E" w:rsidRDefault="0071360A"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У</w:t>
            </w:r>
            <w:r w:rsidR="00171F00">
              <w:rPr>
                <w:rFonts w:ascii="Arial" w:hAnsi="Arial" w:cs="Arial"/>
                <w:color w:val="000000" w:themeColor="text1"/>
                <w:lang w:val="sr-Cyrl-BA"/>
              </w:rPr>
              <w:t>з</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р</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сп</w:t>
            </w:r>
            <w:r w:rsidR="00EE6AA2">
              <w:rPr>
                <w:rFonts w:ascii="Arial" w:hAnsi="Arial" w:cs="Arial"/>
                <w:color w:val="000000" w:themeColor="text1"/>
                <w:lang w:val="sr-Cyrl-BA"/>
              </w:rPr>
              <w:t>е</w:t>
            </w:r>
            <w:r w:rsidR="00A56E08">
              <w:rPr>
                <w:rFonts w:ascii="Arial" w:hAnsi="Arial" w:cs="Arial"/>
                <w:color w:val="000000" w:themeColor="text1"/>
                <w:lang w:val="sr-Cyrl-BA"/>
              </w:rPr>
              <w:t>цифичан</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циљ</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кон</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к</w:t>
            </w:r>
            <w:r>
              <w:rPr>
                <w:rFonts w:ascii="Arial" w:hAnsi="Arial" w:cs="Arial"/>
                <w:color w:val="000000" w:themeColor="text1"/>
                <w:lang w:val="sr-Cyrl-BA"/>
              </w:rPr>
              <w:t>ст</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EE6AA2">
              <w:rPr>
                <w:rFonts w:ascii="Arial" w:hAnsi="Arial" w:cs="Arial"/>
                <w:color w:val="000000" w:themeColor="text1"/>
                <w:lang w:val="sr-Cyrl-BA"/>
              </w:rPr>
              <w:t>е</w:t>
            </w:r>
            <w:r w:rsidR="00A56E08">
              <w:rPr>
                <w:rFonts w:ascii="Arial" w:hAnsi="Arial" w:cs="Arial"/>
                <w:color w:val="000000" w:themeColor="text1"/>
                <w:lang w:val="sr-Cyrl-BA"/>
              </w:rPr>
              <w:t>даго</w:t>
            </w:r>
            <w:r>
              <w:rPr>
                <w:rFonts w:ascii="Arial" w:hAnsi="Arial" w:cs="Arial"/>
                <w:color w:val="000000" w:themeColor="text1"/>
                <w:lang w:val="sr-Cyrl-BA"/>
              </w:rPr>
              <w:t>ш</w:t>
            </w:r>
            <w:r w:rsidR="00A56E08">
              <w:rPr>
                <w:rFonts w:ascii="Arial" w:hAnsi="Arial" w:cs="Arial"/>
                <w:color w:val="000000" w:themeColor="text1"/>
                <w:lang w:val="sr-Cyrl-BA"/>
              </w:rPr>
              <w:t>ки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w:t>
            </w:r>
            <w:r>
              <w:rPr>
                <w:rFonts w:ascii="Arial" w:hAnsi="Arial" w:cs="Arial"/>
                <w:color w:val="000000" w:themeColor="text1"/>
                <w:lang w:val="sr-Cyrl-BA"/>
              </w:rPr>
              <w:t>ступ</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г</w:t>
            </w:r>
            <w:r>
              <w:rPr>
                <w:rFonts w:ascii="Arial" w:hAnsi="Arial" w:cs="Arial"/>
                <w:color w:val="000000" w:themeColor="text1"/>
                <w:lang w:val="sr-Cyrl-BA"/>
              </w:rPr>
              <w:t>рупу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иликом</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ди</w:t>
            </w:r>
            <w:r w:rsidR="00171F00">
              <w:rPr>
                <w:rFonts w:ascii="Arial" w:hAnsi="Arial" w:cs="Arial"/>
                <w:color w:val="000000" w:themeColor="text1"/>
                <w:lang w:val="sr-Cyrl-BA"/>
              </w:rPr>
              <w:t>з</w:t>
            </w:r>
            <w:r w:rsidR="00A56E08">
              <w:rPr>
                <w:rFonts w:ascii="Arial" w:hAnsi="Arial" w:cs="Arial"/>
                <w:color w:val="000000" w:themeColor="text1"/>
                <w:lang w:val="sr-Cyrl-BA"/>
              </w:rPr>
              <w:t>ајни</w:t>
            </w:r>
            <w:r>
              <w:rPr>
                <w:rFonts w:ascii="Arial" w:hAnsi="Arial" w:cs="Arial"/>
                <w:color w:val="000000" w:themeColor="text1"/>
                <w:lang w:val="sr-Cyrl-BA"/>
              </w:rPr>
              <w:t>р</w:t>
            </w:r>
            <w:r w:rsidR="00A56E08">
              <w:rPr>
                <w:rFonts w:ascii="Arial" w:hAnsi="Arial" w:cs="Arial"/>
                <w:color w:val="000000" w:themeColor="text1"/>
                <w:lang w:val="sr-Cyrl-BA"/>
              </w:rPr>
              <w:t>ања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алних</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сурс</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лани</w:t>
            </w:r>
            <w:r>
              <w:rPr>
                <w:rFonts w:ascii="Arial" w:hAnsi="Arial" w:cs="Arial"/>
                <w:color w:val="000000" w:themeColor="text1"/>
                <w:lang w:val="sr-Cyrl-BA"/>
              </w:rPr>
              <w:t>р</w:t>
            </w:r>
            <w:r w:rsidR="00A56E08">
              <w:rPr>
                <w:rFonts w:ascii="Arial" w:hAnsi="Arial" w:cs="Arial"/>
                <w:color w:val="000000" w:themeColor="text1"/>
                <w:lang w:val="sr-Cyrl-BA"/>
              </w:rPr>
              <w:t>ања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њихо</w:t>
            </w:r>
            <w:r>
              <w:rPr>
                <w:rFonts w:ascii="Arial" w:hAnsi="Arial" w:cs="Arial"/>
                <w:color w:val="000000" w:themeColor="text1"/>
                <w:lang w:val="sr-Cyrl-BA"/>
              </w:rPr>
              <w:t>в</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w:t>
            </w:r>
          </w:p>
          <w:p w14:paraId="3BAFC58D" w14:textId="724C989A" w:rsidR="00847B04" w:rsidRPr="00F6340E" w:rsidRDefault="00A56E08"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ифико</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оф</w:t>
            </w:r>
            <w:r w:rsidR="0071360A">
              <w:rPr>
                <w:rFonts w:ascii="Arial" w:hAnsi="Arial" w:cs="Arial"/>
                <w:color w:val="000000" w:themeColor="text1"/>
                <w:lang w:val="sr-Cyrl-BA"/>
              </w:rPr>
              <w:t>тв</w:t>
            </w:r>
            <w:r w:rsidR="00EE6AA2">
              <w:rPr>
                <w:rFonts w:ascii="Arial" w:hAnsi="Arial" w:cs="Arial"/>
                <w:color w:val="000000" w:themeColor="text1"/>
                <w:lang w:val="sr-Cyrl-BA"/>
              </w:rPr>
              <w:t>е</w:t>
            </w:r>
            <w:r w:rsidR="0071360A">
              <w:rPr>
                <w:rFonts w:ascii="Arial" w:hAnsi="Arial" w:cs="Arial"/>
                <w:color w:val="000000" w:themeColor="text1"/>
                <w:lang w:val="sr-Cyrl-BA"/>
              </w:rPr>
              <w:t>рс</w:t>
            </w:r>
            <w:r>
              <w:rPr>
                <w:rFonts w:ascii="Arial" w:hAnsi="Arial" w:cs="Arial"/>
                <w:color w:val="000000" w:themeColor="text1"/>
                <w:lang w:val="sr-Cyrl-BA"/>
              </w:rPr>
              <w:t>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ак</w:t>
            </w:r>
            <w:r w:rsidR="00EE6AA2">
              <w:rPr>
                <w:rFonts w:ascii="Arial" w:hAnsi="Arial" w:cs="Arial"/>
                <w:color w:val="000000" w:themeColor="text1"/>
                <w:lang w:val="sr-Cyrl-BA"/>
              </w:rPr>
              <w:t>е</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а</w:t>
            </w:r>
            <w:r w:rsidR="0071360A">
              <w:rPr>
                <w:rFonts w:ascii="Arial" w:hAnsi="Arial" w:cs="Arial"/>
                <w:color w:val="000000" w:themeColor="text1"/>
                <w:lang w:val="sr-Cyrl-BA"/>
              </w:rPr>
              <w:t>п</w:t>
            </w:r>
            <w:r>
              <w:rPr>
                <w:rFonts w:ascii="Arial" w:hAnsi="Arial" w:cs="Arial"/>
                <w:color w:val="000000" w:themeColor="text1"/>
                <w:lang w:val="sr-Cyrl-BA"/>
              </w:rPr>
              <w:t>ликациј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тв</w:t>
            </w:r>
            <w:r>
              <w:rPr>
                <w:rFonts w:ascii="Arial" w:hAnsi="Arial" w:cs="Arial"/>
                <w:color w:val="000000" w:themeColor="text1"/>
                <w:lang w:val="sr-Cyrl-BA"/>
              </w:rPr>
              <w:t>о</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sidR="0071360A">
              <w:rPr>
                <w:rFonts w:ascii="Arial" w:hAnsi="Arial" w:cs="Arial"/>
                <w:color w:val="000000" w:themeColor="text1"/>
                <w:lang w:val="sr-Cyrl-BA"/>
              </w:rPr>
              <w:t>сурс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w:t>
            </w:r>
            <w:r w:rsidR="00EE6AA2">
              <w:rPr>
                <w:rFonts w:ascii="Arial" w:hAnsi="Arial" w:cs="Arial"/>
                <w:color w:val="000000" w:themeColor="text1"/>
                <w:lang w:val="sr-Cyrl-BA"/>
              </w:rPr>
              <w:t>Е</w:t>
            </w:r>
            <w:r w:rsidR="0071360A">
              <w:rPr>
                <w:rFonts w:ascii="Arial" w:hAnsi="Arial" w:cs="Arial"/>
                <w:color w:val="000000" w:themeColor="text1"/>
                <w:lang w:val="sr-Cyrl-BA"/>
              </w:rPr>
              <w:t>Р</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који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одго</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р</w:t>
            </w:r>
            <w:r>
              <w:rPr>
                <w:rFonts w:ascii="Arial" w:hAnsi="Arial" w:cs="Arial"/>
                <w:color w:val="000000" w:themeColor="text1"/>
                <w:lang w:val="sr-Cyrl-BA"/>
              </w:rPr>
              <w:t>ај</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сп</w:t>
            </w:r>
            <w:r w:rsidR="00EE6AA2">
              <w:rPr>
                <w:rFonts w:ascii="Arial" w:hAnsi="Arial" w:cs="Arial"/>
                <w:color w:val="000000" w:themeColor="text1"/>
                <w:lang w:val="sr-Cyrl-BA"/>
              </w:rPr>
              <w:t>е</w:t>
            </w:r>
            <w:r>
              <w:rPr>
                <w:rFonts w:ascii="Arial" w:hAnsi="Arial" w:cs="Arial"/>
                <w:color w:val="000000" w:themeColor="text1"/>
                <w:lang w:val="sr-Cyrl-BA"/>
              </w:rPr>
              <w:t>цифичним</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ст</w:t>
            </w:r>
            <w:r>
              <w:rPr>
                <w:rFonts w:ascii="Arial" w:hAnsi="Arial" w:cs="Arial"/>
                <w:color w:val="000000" w:themeColor="text1"/>
                <w:lang w:val="sr-Cyrl-BA"/>
              </w:rPr>
              <w:t>анда</w:t>
            </w:r>
            <w:r w:rsidR="0071360A">
              <w:rPr>
                <w:rFonts w:ascii="Arial" w:hAnsi="Arial" w:cs="Arial"/>
                <w:color w:val="000000" w:themeColor="text1"/>
                <w:lang w:val="sr-Cyrl-BA"/>
              </w:rPr>
              <w:t>р</w:t>
            </w:r>
            <w:r>
              <w:rPr>
                <w:rFonts w:ascii="Arial" w:hAnsi="Arial" w:cs="Arial"/>
                <w:color w:val="000000" w:themeColor="text1"/>
                <w:lang w:val="sr-Cyrl-BA"/>
              </w:rPr>
              <w:t>дима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ног</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лана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ог</w:t>
            </w:r>
            <w:r w:rsidR="0071360A">
              <w:rPr>
                <w:rFonts w:ascii="Arial" w:hAnsi="Arial" w:cs="Arial"/>
                <w:color w:val="000000" w:themeColor="text1"/>
                <w:lang w:val="sr-Cyrl-BA"/>
              </w:rPr>
              <w:t>р</w:t>
            </w:r>
            <w:r>
              <w:rPr>
                <w:rFonts w:ascii="Arial" w:hAnsi="Arial" w:cs="Arial"/>
                <w:color w:val="000000" w:themeColor="text1"/>
                <w:lang w:val="sr-Cyrl-BA"/>
              </w:rPr>
              <w:t>ама</w:t>
            </w:r>
            <w:r w:rsidR="00847B04" w:rsidRPr="00F6340E">
              <w:rPr>
                <w:rFonts w:ascii="Arial" w:hAnsi="Arial" w:cs="Arial"/>
                <w:color w:val="000000" w:themeColor="text1"/>
                <w:lang w:val="sr-Cyrl-BA"/>
              </w:rPr>
              <w:t>.</w:t>
            </w:r>
          </w:p>
          <w:p w14:paraId="613A8564" w14:textId="129AFFE0" w:rsidR="00847B04" w:rsidRPr="00F6340E" w:rsidRDefault="00A56E08" w:rsidP="000C2C6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К</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и</w:t>
            </w:r>
            <w:r w:rsidR="0071360A">
              <w:rPr>
                <w:rFonts w:ascii="Arial" w:hAnsi="Arial" w:cs="Arial"/>
                <w:color w:val="000000" w:themeColor="text1"/>
                <w:lang w:val="sr-Cyrl-BA"/>
              </w:rPr>
              <w:t>р</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или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надог</w:t>
            </w:r>
            <w:r w:rsidR="0071360A">
              <w:rPr>
                <w:rFonts w:ascii="Arial" w:hAnsi="Arial" w:cs="Arial"/>
                <w:color w:val="000000" w:themeColor="text1"/>
                <w:lang w:val="sr-Cyrl-BA"/>
              </w:rPr>
              <w:t>р</w:t>
            </w:r>
            <w:r>
              <w:rPr>
                <w:rFonts w:ascii="Arial" w:hAnsi="Arial" w:cs="Arial"/>
                <w:color w:val="000000" w:themeColor="text1"/>
                <w:lang w:val="sr-Cyrl-BA"/>
              </w:rPr>
              <w:t>ади</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но</w:t>
            </w:r>
            <w:r w:rsidR="0071360A">
              <w:rPr>
                <w:rFonts w:ascii="Arial" w:hAnsi="Arial" w:cs="Arial"/>
                <w:color w:val="000000" w:themeColor="text1"/>
                <w:lang w:val="sr-Cyrl-BA"/>
              </w:rPr>
              <w:t>в</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диги</w:t>
            </w:r>
            <w:r w:rsidR="0071360A">
              <w:rPr>
                <w:rFonts w:ascii="Arial" w:hAnsi="Arial" w:cs="Arial"/>
                <w:color w:val="000000" w:themeColor="text1"/>
                <w:lang w:val="sr-Cyrl-BA"/>
              </w:rPr>
              <w:t>т</w:t>
            </w:r>
            <w:r>
              <w:rPr>
                <w:rFonts w:ascii="Arial" w:hAnsi="Arial" w:cs="Arial"/>
                <w:color w:val="000000" w:themeColor="text1"/>
                <w:lang w:val="sr-Cyrl-BA"/>
              </w:rPr>
              <w:t>алн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sidR="0071360A">
              <w:rPr>
                <w:rFonts w:ascii="Arial" w:hAnsi="Arial" w:cs="Arial"/>
                <w:color w:val="000000" w:themeColor="text1"/>
                <w:lang w:val="sr-Cyrl-BA"/>
              </w:rPr>
              <w:t>сурс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w:t>
            </w:r>
          </w:p>
        </w:tc>
      </w:tr>
    </w:tbl>
    <w:p w14:paraId="0F50CD3C" w14:textId="77777777" w:rsidR="00847B04" w:rsidRPr="00F6340E" w:rsidRDefault="00847B04" w:rsidP="005746C7">
      <w:pPr>
        <w:pStyle w:val="Body"/>
        <w:spacing w:before="0" w:after="0"/>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4CC8FCED" w14:textId="77777777" w:rsidTr="005746C7">
        <w:trPr>
          <w:trHeight w:val="454"/>
          <w:jc w:val="center"/>
        </w:trPr>
        <w:tc>
          <w:tcPr>
            <w:tcW w:w="9014" w:type="dxa"/>
            <w:tcBorders>
              <w:bottom w:val="single" w:sz="4" w:space="0" w:color="000000"/>
            </w:tcBorders>
            <w:shd w:val="clear" w:color="auto" w:fill="00B0F0"/>
            <w:vAlign w:val="center"/>
          </w:tcPr>
          <w:p w14:paraId="29DE35F7" w14:textId="3B794895" w:rsidR="00847B04" w:rsidRPr="00F6340E" w:rsidRDefault="00A56E08" w:rsidP="005746C7">
            <w:pPr>
              <w:spacing w:line="276" w:lineRule="auto"/>
              <w:ind w:left="720"/>
              <w:contextualSpacing/>
              <w:rPr>
                <w:rFonts w:ascii="Arial" w:hAnsi="Arial" w:cs="Arial"/>
                <w:b/>
                <w:color w:val="000000" w:themeColor="text1"/>
                <w:lang w:val="sr-Cyrl-BA"/>
              </w:rPr>
            </w:pPr>
            <w:r>
              <w:rPr>
                <w:rFonts w:ascii="Arial" w:hAnsi="Arial" w:cs="Arial"/>
                <w:b/>
                <w:color w:val="000000" w:themeColor="text1"/>
                <w:lang w:val="sr-Cyrl-BA"/>
              </w:rPr>
              <w:t>Диги</w:t>
            </w:r>
            <w:r w:rsidR="0071360A">
              <w:rPr>
                <w:rFonts w:ascii="Arial" w:hAnsi="Arial" w:cs="Arial"/>
                <w:b/>
                <w:color w:val="000000" w:themeColor="text1"/>
                <w:lang w:val="sr-Cyrl-BA"/>
              </w:rPr>
              <w:t>т</w:t>
            </w:r>
            <w:r>
              <w:rPr>
                <w:rFonts w:ascii="Arial" w:hAnsi="Arial" w:cs="Arial"/>
                <w:b/>
                <w:color w:val="000000" w:themeColor="text1"/>
                <w:lang w:val="sr-Cyrl-BA"/>
              </w:rPr>
              <w:t>ално</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Pr>
                <w:rFonts w:ascii="Arial" w:hAnsi="Arial" w:cs="Arial"/>
                <w:b/>
                <w:color w:val="000000" w:themeColor="text1"/>
                <w:lang w:val="sr-Cyrl-BA"/>
              </w:rPr>
              <w:t>ч</w:t>
            </w:r>
            <w:r w:rsidR="00EE6AA2">
              <w:rPr>
                <w:rFonts w:ascii="Arial" w:hAnsi="Arial" w:cs="Arial"/>
                <w:b/>
                <w:color w:val="000000" w:themeColor="text1"/>
                <w:lang w:val="sr-Cyrl-BA"/>
              </w:rPr>
              <w:t>е</w:t>
            </w:r>
            <w:r>
              <w:rPr>
                <w:rFonts w:ascii="Arial" w:hAnsi="Arial" w:cs="Arial"/>
                <w:b/>
                <w:color w:val="000000" w:themeColor="text1"/>
                <w:lang w:val="sr-Cyrl-BA"/>
              </w:rPr>
              <w:t>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од</w:t>
            </w:r>
            <w:r w:rsidR="0071360A">
              <w:rPr>
                <w:rFonts w:ascii="Arial" w:hAnsi="Arial" w:cs="Arial"/>
                <w:b/>
                <w:color w:val="000000" w:themeColor="text1"/>
                <w:lang w:val="sr-Cyrl-BA"/>
              </w:rPr>
              <w:t>у</w:t>
            </w:r>
            <w:r>
              <w:rPr>
                <w:rFonts w:ascii="Arial" w:hAnsi="Arial" w:cs="Arial"/>
                <w:b/>
                <w:color w:val="000000" w:themeColor="text1"/>
                <w:lang w:val="sr-Cyrl-BA"/>
              </w:rPr>
              <w:t>ча</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B04FA8">
              <w:rPr>
                <w:rFonts w:ascii="Arial" w:hAnsi="Arial" w:cs="Arial"/>
                <w:b/>
                <w:color w:val="000000" w:themeColor="text1"/>
                <w:lang w:val="sr-Cyrl-BA"/>
              </w:rPr>
              <w:t xml:space="preserve"> са </w:t>
            </w:r>
            <w:r>
              <w:rPr>
                <w:rFonts w:ascii="Arial" w:hAnsi="Arial" w:cs="Arial"/>
                <w:b/>
                <w:color w:val="000000" w:themeColor="text1"/>
                <w:lang w:val="sr-Cyrl-BA"/>
              </w:rPr>
              <w:t>инкл</w:t>
            </w:r>
            <w:r w:rsidR="0071360A">
              <w:rPr>
                <w:rFonts w:ascii="Arial" w:hAnsi="Arial" w:cs="Arial"/>
                <w:b/>
                <w:color w:val="000000" w:themeColor="text1"/>
                <w:lang w:val="sr-Cyrl-BA"/>
              </w:rPr>
              <w:t>у</w:t>
            </w:r>
            <w:r w:rsidR="00171F00">
              <w:rPr>
                <w:rFonts w:ascii="Arial" w:hAnsi="Arial" w:cs="Arial"/>
                <w:b/>
                <w:color w:val="000000" w:themeColor="text1"/>
                <w:lang w:val="sr-Cyrl-BA"/>
              </w:rPr>
              <w:t>з</w:t>
            </w:r>
            <w:r>
              <w:rPr>
                <w:rFonts w:ascii="Arial" w:hAnsi="Arial" w:cs="Arial"/>
                <w:b/>
                <w:color w:val="000000" w:themeColor="text1"/>
                <w:lang w:val="sr-Cyrl-BA"/>
              </w:rPr>
              <w:t>и</w:t>
            </w:r>
            <w:r w:rsidR="0071360A">
              <w:rPr>
                <w:rFonts w:ascii="Arial" w:hAnsi="Arial" w:cs="Arial"/>
                <w:b/>
                <w:color w:val="000000" w:themeColor="text1"/>
                <w:lang w:val="sr-Cyrl-BA"/>
              </w:rPr>
              <w:t>в</w:t>
            </w:r>
            <w:r>
              <w:rPr>
                <w:rFonts w:ascii="Arial" w:hAnsi="Arial" w:cs="Arial"/>
                <w:b/>
                <w:color w:val="000000" w:themeColor="text1"/>
                <w:lang w:val="sr-Cyrl-BA"/>
              </w:rPr>
              <w:t>ним</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и</w:t>
            </w:r>
            <w:r w:rsidR="0071360A">
              <w:rPr>
                <w:rFonts w:ascii="Arial" w:hAnsi="Arial" w:cs="Arial"/>
                <w:b/>
                <w:color w:val="000000" w:themeColor="text1"/>
                <w:lang w:val="sr-Cyrl-BA"/>
              </w:rPr>
              <w:t>ступ</w:t>
            </w:r>
            <w:r>
              <w:rPr>
                <w:rFonts w:ascii="Arial" w:hAnsi="Arial" w:cs="Arial"/>
                <w:b/>
                <w:color w:val="000000" w:themeColor="text1"/>
                <w:lang w:val="sr-Cyrl-BA"/>
              </w:rPr>
              <w:t>ом</w:t>
            </w:r>
          </w:p>
        </w:tc>
      </w:tr>
      <w:tr w:rsidR="00847B04" w:rsidRPr="00F6340E" w14:paraId="71C03060" w14:textId="77777777" w:rsidTr="005746C7">
        <w:trPr>
          <w:jc w:val="center"/>
        </w:trPr>
        <w:tc>
          <w:tcPr>
            <w:tcW w:w="9014" w:type="dxa"/>
            <w:tcBorders>
              <w:top w:val="single" w:sz="4" w:space="0" w:color="000000"/>
            </w:tcBorders>
            <w:shd w:val="clear" w:color="auto" w:fill="E3F4F9"/>
          </w:tcPr>
          <w:p w14:paraId="559BF2C7" w14:textId="5B25E894"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5ABD9E99" w14:textId="2F08BA8B" w:rsidR="00847B04" w:rsidRPr="00F6340E" w:rsidRDefault="00A56E08" w:rsidP="005746C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0000" w:themeColor="text1"/>
                <w:lang w:val="sr-Cyrl-BA"/>
              </w:rPr>
            </w:pPr>
            <w:r>
              <w:rPr>
                <w:rFonts w:ascii="Arial" w:hAnsi="Arial" w:cs="Arial"/>
                <w:color w:val="000000" w:themeColor="text1"/>
                <w:lang w:val="sr-Cyrl-BA"/>
              </w:rPr>
              <w:t>И</w:t>
            </w:r>
            <w:r w:rsidR="0071360A">
              <w:rPr>
                <w:rFonts w:ascii="Arial" w:hAnsi="Arial" w:cs="Arial"/>
                <w:color w:val="000000" w:themeColor="text1"/>
                <w:lang w:val="sr-Cyrl-BA"/>
              </w:rPr>
              <w:t>стр</w:t>
            </w:r>
            <w:r>
              <w:rPr>
                <w:rFonts w:ascii="Arial" w:hAnsi="Arial" w:cs="Arial"/>
                <w:color w:val="000000" w:themeColor="text1"/>
                <w:lang w:val="sr-Cyrl-BA"/>
              </w:rPr>
              <w:t>а</w:t>
            </w:r>
            <w:r w:rsidR="00171F00">
              <w:rPr>
                <w:rFonts w:ascii="Arial" w:hAnsi="Arial" w:cs="Arial"/>
                <w:color w:val="000000" w:themeColor="text1"/>
                <w:lang w:val="sr-Cyrl-BA"/>
              </w:rPr>
              <w:t>ж</w:t>
            </w:r>
            <w:r>
              <w:rPr>
                <w:rFonts w:ascii="Arial" w:hAnsi="Arial" w:cs="Arial"/>
                <w:color w:val="000000" w:themeColor="text1"/>
                <w:lang w:val="sr-Cyrl-BA"/>
              </w:rPr>
              <w:t>и</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лани</w:t>
            </w:r>
            <w:r w:rsidR="0071360A">
              <w:rPr>
                <w:rFonts w:ascii="Arial" w:hAnsi="Arial" w:cs="Arial"/>
                <w:color w:val="000000" w:themeColor="text1"/>
                <w:lang w:val="sr-Cyrl-BA"/>
              </w:rPr>
              <w:t>р</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ин</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г</w:t>
            </w:r>
            <w:r w:rsidR="0071360A">
              <w:rPr>
                <w:rFonts w:ascii="Arial" w:hAnsi="Arial" w:cs="Arial"/>
                <w:color w:val="000000" w:themeColor="text1"/>
                <w:lang w:val="sr-Cyrl-BA"/>
              </w:rPr>
              <w:t>р</w:t>
            </w:r>
            <w:r>
              <w:rPr>
                <w:rFonts w:ascii="Arial" w:hAnsi="Arial" w:cs="Arial"/>
                <w:color w:val="000000" w:themeColor="text1"/>
                <w:lang w:val="sr-Cyrl-BA"/>
              </w:rPr>
              <w:t>и</w:t>
            </w:r>
            <w:r w:rsidR="0071360A">
              <w:rPr>
                <w:rFonts w:ascii="Arial" w:hAnsi="Arial" w:cs="Arial"/>
                <w:color w:val="000000" w:themeColor="text1"/>
                <w:lang w:val="sr-Cyrl-BA"/>
              </w:rPr>
              <w:t>с</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личи</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диги</w:t>
            </w:r>
            <w:r w:rsidR="0071360A">
              <w:rPr>
                <w:rFonts w:ascii="Arial" w:hAnsi="Arial" w:cs="Arial"/>
                <w:color w:val="000000" w:themeColor="text1"/>
                <w:lang w:val="sr-Cyrl-BA"/>
              </w:rPr>
              <w:t>т</w:t>
            </w:r>
            <w:r>
              <w:rPr>
                <w:rFonts w:ascii="Arial" w:hAnsi="Arial" w:cs="Arial"/>
                <w:color w:val="000000" w:themeColor="text1"/>
                <w:lang w:val="sr-Cyrl-BA"/>
              </w:rPr>
              <w:t>алн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ала</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sidR="0071360A">
              <w:rPr>
                <w:rFonts w:ascii="Arial" w:hAnsi="Arial" w:cs="Arial"/>
                <w:color w:val="000000" w:themeColor="text1"/>
                <w:lang w:val="sr-Cyrl-BA"/>
              </w:rPr>
              <w:t>сурс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како</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би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обољ</w:t>
            </w:r>
            <w:r w:rsidR="0071360A">
              <w:rPr>
                <w:rFonts w:ascii="Arial" w:hAnsi="Arial" w:cs="Arial"/>
                <w:color w:val="000000" w:themeColor="text1"/>
                <w:lang w:val="sr-Cyrl-BA"/>
              </w:rPr>
              <w:t>ш</w:t>
            </w:r>
            <w:r>
              <w:rPr>
                <w:rFonts w:ascii="Arial" w:hAnsi="Arial" w:cs="Arial"/>
                <w:color w:val="000000" w:themeColor="text1"/>
                <w:lang w:val="sr-Cyrl-BA"/>
              </w:rPr>
              <w:t>ала</w:t>
            </w:r>
            <w:r w:rsidR="00847B04" w:rsidRPr="00F6340E">
              <w:rPr>
                <w:rFonts w:ascii="Arial" w:hAnsi="Arial" w:cs="Arial"/>
                <w:color w:val="000000" w:themeColor="text1"/>
                <w:lang w:val="sr-Cyrl-BA"/>
              </w:rPr>
              <w:t xml:space="preserve"> </w:t>
            </w:r>
            <w:r w:rsidR="00EE6AA2">
              <w:rPr>
                <w:rFonts w:ascii="Arial" w:hAnsi="Arial" w:cs="Arial"/>
                <w:color w:val="000000" w:themeColor="text1"/>
                <w:lang w:val="sr-Cyrl-BA"/>
              </w:rPr>
              <w:t>е</w:t>
            </w:r>
            <w:r>
              <w:rPr>
                <w:rFonts w:ascii="Arial" w:hAnsi="Arial" w:cs="Arial"/>
                <w:color w:val="000000" w:themeColor="text1"/>
                <w:lang w:val="sr-Cyrl-BA"/>
              </w:rPr>
              <w:t>ф</w:t>
            </w:r>
            <w:r w:rsidR="00EE6AA2">
              <w:rPr>
                <w:rFonts w:ascii="Arial" w:hAnsi="Arial" w:cs="Arial"/>
                <w:color w:val="000000" w:themeColor="text1"/>
                <w:lang w:val="sr-Cyrl-BA"/>
              </w:rPr>
              <w:t>е</w:t>
            </w:r>
            <w:r>
              <w:rPr>
                <w:rFonts w:ascii="Arial" w:hAnsi="Arial" w:cs="Arial"/>
                <w:color w:val="000000" w:themeColor="text1"/>
                <w:lang w:val="sr-Cyrl-BA"/>
              </w:rPr>
              <w:t>к</w:t>
            </w:r>
            <w:r w:rsidR="0071360A">
              <w:rPr>
                <w:rFonts w:ascii="Arial" w:hAnsi="Arial" w:cs="Arial"/>
                <w:color w:val="000000" w:themeColor="text1"/>
                <w:lang w:val="sr-Cyrl-BA"/>
              </w:rPr>
              <w:t>т</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w:t>
            </w:r>
            <w:r w:rsidR="0071360A">
              <w:rPr>
                <w:rFonts w:ascii="Arial" w:hAnsi="Arial" w:cs="Arial"/>
                <w:color w:val="000000" w:themeColor="text1"/>
                <w:lang w:val="sr-Cyrl-BA"/>
              </w:rPr>
              <w:t>ст</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инкл</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ак</w:t>
            </w:r>
            <w:r w:rsidR="0071360A">
              <w:rPr>
                <w:rFonts w:ascii="Arial" w:hAnsi="Arial" w:cs="Arial"/>
                <w:color w:val="000000" w:themeColor="text1"/>
                <w:lang w:val="sr-Cyrl-BA"/>
              </w:rPr>
              <w:t>с</w:t>
            </w:r>
            <w:r w:rsidR="00EE6AA2">
              <w:rPr>
                <w:rFonts w:ascii="Arial" w:hAnsi="Arial" w:cs="Arial"/>
                <w:color w:val="000000" w:themeColor="text1"/>
                <w:lang w:val="sr-Cyrl-BA"/>
              </w:rPr>
              <w:t>е</w:t>
            </w:r>
          </w:p>
          <w:p w14:paraId="377A3969" w14:textId="57CE2F54" w:rsidR="00847B04" w:rsidRPr="00F6340E" w:rsidRDefault="0071360A" w:rsidP="005746C7">
            <w:pPr>
              <w:pStyle w:val="ListParagraph"/>
              <w:numPr>
                <w:ilvl w:val="0"/>
                <w:numId w:val="26"/>
              </w:numPr>
              <w:spacing w:line="276" w:lineRule="auto"/>
              <w:jc w:val="left"/>
              <w:rPr>
                <w:rFonts w:ascii="Arial" w:hAnsi="Arial" w:cs="Arial"/>
                <w:color w:val="000000" w:themeColor="text1"/>
                <w:lang w:val="sr-Cyrl-BA"/>
              </w:rPr>
            </w:pP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у</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г</w:t>
            </w:r>
            <w:r>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с</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ус</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но</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47B04"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Pr>
                <w:rFonts w:ascii="Arial" w:hAnsi="Arial" w:cs="Arial"/>
                <w:color w:val="000000" w:themeColor="text1"/>
                <w:lang w:val="sr-Cyrl-BA"/>
              </w:rPr>
              <w:t>р</w:t>
            </w:r>
            <w:r w:rsidR="00A56E08">
              <w:rPr>
                <w:rFonts w:ascii="Arial" w:hAnsi="Arial" w:cs="Arial"/>
                <w:color w:val="000000" w:themeColor="text1"/>
                <w:lang w:val="sr-Cyrl-BA"/>
              </w:rPr>
              <w:t>адничко</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иг</w:t>
            </w:r>
            <w:r>
              <w:rPr>
                <w:rFonts w:ascii="Arial" w:hAnsi="Arial" w:cs="Arial"/>
                <w:color w:val="000000" w:themeColor="text1"/>
                <w:lang w:val="sr-Cyrl-BA"/>
              </w:rPr>
              <w:t>ур</w:t>
            </w:r>
            <w:r w:rsidR="00A56E08">
              <w:rPr>
                <w:rFonts w:ascii="Arial" w:hAnsi="Arial" w:cs="Arial"/>
                <w:color w:val="000000" w:themeColor="text1"/>
                <w:lang w:val="sr-Cyrl-BA"/>
              </w:rPr>
              <w:t>али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м</w:t>
            </w:r>
            <w:r>
              <w:rPr>
                <w:rFonts w:ascii="Arial" w:hAnsi="Arial" w:cs="Arial"/>
                <w:color w:val="000000" w:themeColor="text1"/>
                <w:lang w:val="sr-Cyrl-BA"/>
              </w:rPr>
              <w:t>у</w:t>
            </w:r>
            <w:r w:rsidR="00A56E08">
              <w:rPr>
                <w:rFonts w:ascii="Arial" w:hAnsi="Arial" w:cs="Arial"/>
                <w:color w:val="000000" w:themeColor="text1"/>
                <w:lang w:val="sr-Cyrl-BA"/>
              </w:rPr>
              <w:t>л</w:t>
            </w:r>
            <w:r>
              <w:rPr>
                <w:rFonts w:ascii="Arial" w:hAnsi="Arial" w:cs="Arial"/>
                <w:color w:val="000000" w:themeColor="text1"/>
                <w:lang w:val="sr-Cyrl-BA"/>
              </w:rPr>
              <w:t>т</w:t>
            </w:r>
            <w:r w:rsidR="00A56E08">
              <w:rPr>
                <w:rFonts w:ascii="Arial" w:hAnsi="Arial" w:cs="Arial"/>
                <w:color w:val="000000" w:themeColor="text1"/>
                <w:lang w:val="sr-Cyrl-BA"/>
              </w:rPr>
              <w:t>иди</w:t>
            </w:r>
            <w:r>
              <w:rPr>
                <w:rFonts w:ascii="Arial" w:hAnsi="Arial" w:cs="Arial"/>
                <w:color w:val="000000" w:themeColor="text1"/>
                <w:lang w:val="sr-Cyrl-BA"/>
              </w:rPr>
              <w:t>с</w:t>
            </w:r>
            <w:r w:rsidR="00A56E08">
              <w:rPr>
                <w:rFonts w:ascii="Arial" w:hAnsi="Arial" w:cs="Arial"/>
                <w:color w:val="000000" w:themeColor="text1"/>
                <w:lang w:val="sr-Cyrl-BA"/>
              </w:rPr>
              <w:t>ци</w:t>
            </w:r>
            <w:r>
              <w:rPr>
                <w:rFonts w:ascii="Arial" w:hAnsi="Arial" w:cs="Arial"/>
                <w:color w:val="000000" w:themeColor="text1"/>
                <w:lang w:val="sr-Cyrl-BA"/>
              </w:rPr>
              <w:t>п</w:t>
            </w:r>
            <w:r w:rsidR="00A56E08">
              <w:rPr>
                <w:rFonts w:ascii="Arial" w:hAnsi="Arial" w:cs="Arial"/>
                <w:color w:val="000000" w:themeColor="text1"/>
                <w:lang w:val="sr-Cyrl-BA"/>
              </w:rPr>
              <w:t>лина</w:t>
            </w:r>
            <w:r>
              <w:rPr>
                <w:rFonts w:ascii="Arial" w:hAnsi="Arial" w:cs="Arial"/>
                <w:color w:val="000000" w:themeColor="text1"/>
                <w:lang w:val="sr-Cyrl-BA"/>
              </w:rPr>
              <w:t>р</w:t>
            </w:r>
            <w:r w:rsidR="00A56E08">
              <w:rPr>
                <w:rFonts w:ascii="Arial" w:hAnsi="Arial" w:cs="Arial"/>
                <w:color w:val="000000" w:themeColor="text1"/>
                <w:lang w:val="sr-Cyrl-BA"/>
              </w:rPr>
              <w:t>ни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ур</w:t>
            </w:r>
            <w:r w:rsidR="00A56E08">
              <w:rPr>
                <w:rFonts w:ascii="Arial" w:hAnsi="Arial" w:cs="Arial"/>
                <w:color w:val="000000" w:themeColor="text1"/>
                <w:lang w:val="sr-Cyrl-BA"/>
              </w:rPr>
              <w:t>ик</w:t>
            </w:r>
            <w:r>
              <w:rPr>
                <w:rFonts w:ascii="Arial" w:hAnsi="Arial" w:cs="Arial"/>
                <w:color w:val="000000" w:themeColor="text1"/>
                <w:lang w:val="sr-Cyrl-BA"/>
              </w:rPr>
              <w:t>у</w:t>
            </w:r>
            <w:r w:rsidR="00A56E08">
              <w:rPr>
                <w:rFonts w:ascii="Arial" w:hAnsi="Arial" w:cs="Arial"/>
                <w:color w:val="000000" w:themeColor="text1"/>
                <w:lang w:val="sr-Cyrl-BA"/>
              </w:rPr>
              <w:t>ла</w:t>
            </w:r>
            <w:r>
              <w:rPr>
                <w:rFonts w:ascii="Arial" w:hAnsi="Arial" w:cs="Arial"/>
                <w:color w:val="000000" w:themeColor="text1"/>
                <w:lang w:val="sr-Cyrl-BA"/>
              </w:rPr>
              <w:t>р</w:t>
            </w:r>
            <w:r w:rsidR="00A56E08">
              <w:rPr>
                <w:rFonts w:ascii="Arial" w:hAnsi="Arial" w:cs="Arial"/>
                <w:color w:val="000000" w:themeColor="text1"/>
                <w:lang w:val="sr-Cyrl-BA"/>
              </w:rPr>
              <w:t>ни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A56E08">
              <w:rPr>
                <w:rFonts w:ascii="Arial" w:hAnsi="Arial" w:cs="Arial"/>
                <w:color w:val="000000" w:themeColor="text1"/>
                <w:lang w:val="sr-Cyrl-BA"/>
              </w:rPr>
              <w:t>анда</w:t>
            </w:r>
            <w:r>
              <w:rPr>
                <w:rFonts w:ascii="Arial" w:hAnsi="Arial" w:cs="Arial"/>
                <w:color w:val="000000" w:themeColor="text1"/>
                <w:lang w:val="sr-Cyrl-BA"/>
              </w:rPr>
              <w:t>р</w:t>
            </w:r>
            <w:r w:rsidR="00A56E08">
              <w:rPr>
                <w:rFonts w:ascii="Arial" w:hAnsi="Arial" w:cs="Arial"/>
                <w:color w:val="000000" w:themeColor="text1"/>
                <w:lang w:val="sr-Cyrl-BA"/>
              </w:rPr>
              <w:t>ди</w:t>
            </w:r>
            <w:r w:rsidR="00847B04" w:rsidRPr="00F6340E">
              <w:rPr>
                <w:rFonts w:ascii="Arial" w:hAnsi="Arial" w:cs="Arial"/>
                <w:color w:val="000000" w:themeColor="text1"/>
                <w:lang w:val="sr-Cyrl-BA"/>
              </w:rPr>
              <w:t xml:space="preserve">. </w:t>
            </w:r>
          </w:p>
          <w:p w14:paraId="66F94536" w14:textId="2A8E504F" w:rsidR="00847B04" w:rsidRPr="00F6340E" w:rsidRDefault="00A56E08" w:rsidP="005746C7">
            <w:pPr>
              <w:pStyle w:val="ListParagraph"/>
              <w:numPr>
                <w:ilvl w:val="0"/>
                <w:numId w:val="26"/>
              </w:numPr>
              <w:spacing w:line="276" w:lineRule="auto"/>
              <w:jc w:val="left"/>
              <w:rPr>
                <w:rFonts w:ascii="Arial" w:hAnsi="Arial" w:cs="Arial"/>
                <w:color w:val="000000" w:themeColor="text1"/>
                <w:lang w:val="sr-Cyrl-BA"/>
              </w:rPr>
            </w:pPr>
            <w:r>
              <w:rPr>
                <w:rFonts w:ascii="Arial" w:hAnsi="Arial" w:cs="Arial"/>
                <w:color w:val="000000" w:themeColor="text1"/>
                <w:lang w:val="sr-Cyrl-BA"/>
              </w:rPr>
              <w:t>Одаб</w:t>
            </w:r>
            <w:r w:rsidR="0071360A">
              <w:rPr>
                <w:rFonts w:ascii="Arial" w:hAnsi="Arial" w:cs="Arial"/>
                <w:color w:val="000000" w:themeColor="text1"/>
                <w:lang w:val="sr-Cyrl-BA"/>
              </w:rPr>
              <w:t>р</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диги</w:t>
            </w:r>
            <w:r w:rsidR="0071360A">
              <w:rPr>
                <w:rFonts w:ascii="Arial" w:hAnsi="Arial" w:cs="Arial"/>
                <w:color w:val="000000" w:themeColor="text1"/>
                <w:lang w:val="sr-Cyrl-BA"/>
              </w:rPr>
              <w:t>т</w:t>
            </w:r>
            <w:r>
              <w:rPr>
                <w:rFonts w:ascii="Arial" w:hAnsi="Arial" w:cs="Arial"/>
                <w:color w:val="000000" w:themeColor="text1"/>
                <w:lang w:val="sr-Cyrl-BA"/>
              </w:rPr>
              <w:t>алн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sidR="0071360A">
              <w:rPr>
                <w:rFonts w:ascii="Arial" w:hAnsi="Arial" w:cs="Arial"/>
                <w:color w:val="000000" w:themeColor="text1"/>
                <w:lang w:val="sr-Cyrl-BA"/>
              </w:rPr>
              <w:t>сурс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p>
          <w:p w14:paraId="03E1212E" w14:textId="54C049D7" w:rsidR="00847B04" w:rsidRPr="00F6340E" w:rsidRDefault="0071360A" w:rsidP="005746C7">
            <w:pPr>
              <w:pStyle w:val="ListParagraph"/>
              <w:numPr>
                <w:ilvl w:val="0"/>
                <w:numId w:val="26"/>
              </w:numPr>
              <w:spacing w:line="276" w:lineRule="auto"/>
              <w:jc w:val="left"/>
              <w:rPr>
                <w:rFonts w:ascii="Arial" w:hAnsi="Arial" w:cs="Arial"/>
                <w:color w:val="000000" w:themeColor="text1"/>
                <w:lang w:val="sr-Cyrl-BA"/>
              </w:rPr>
            </w:pPr>
            <w:r>
              <w:rPr>
                <w:rFonts w:ascii="Arial" w:hAnsi="Arial" w:cs="Arial"/>
                <w:color w:val="000000" w:themeColor="text1"/>
                <w:lang w:val="sr-Cyrl-BA"/>
              </w:rPr>
              <w:t>Уп</w:t>
            </w:r>
            <w:r w:rsidR="00A56E08">
              <w:rPr>
                <w:rFonts w:ascii="Arial" w:hAnsi="Arial" w:cs="Arial"/>
                <w:color w:val="000000" w:themeColor="text1"/>
                <w:lang w:val="sr-Cyrl-BA"/>
              </w:rPr>
              <w:t>о</w:t>
            </w:r>
            <w:r>
              <w:rPr>
                <w:rFonts w:ascii="Arial" w:hAnsi="Arial" w:cs="Arial"/>
                <w:color w:val="000000" w:themeColor="text1"/>
                <w:lang w:val="sr-Cyrl-BA"/>
              </w:rPr>
              <w:t>тр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би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да</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ница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ницима</w:t>
            </w:r>
            <w:r w:rsidR="00847B04"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A56E08">
              <w:rPr>
                <w:rFonts w:ascii="Arial" w:hAnsi="Arial" w:cs="Arial"/>
                <w:color w:val="000000" w:themeColor="text1"/>
                <w:lang w:val="sr-Cyrl-BA"/>
              </w:rPr>
              <w:t>има</w:t>
            </w:r>
            <w:r w:rsidR="00847B04" w:rsidRPr="00F6340E">
              <w:rPr>
                <w:rFonts w:ascii="Arial" w:hAnsi="Arial" w:cs="Arial"/>
                <w:color w:val="000000" w:themeColor="text1"/>
                <w:lang w:val="sr-Cyrl-BA"/>
              </w:rPr>
              <w:t xml:space="preserve"> </w:t>
            </w:r>
          </w:p>
          <w:p w14:paraId="6EC29F26" w14:textId="637F697B" w:rsidR="00847B04" w:rsidRPr="00F6340E" w:rsidRDefault="0071360A" w:rsidP="005746C7">
            <w:pPr>
              <w:pStyle w:val="ListParagraph"/>
              <w:numPr>
                <w:ilvl w:val="0"/>
                <w:numId w:val="26"/>
              </w:numPr>
              <w:spacing w:line="276" w:lineRule="auto"/>
              <w:jc w:val="left"/>
              <w:rPr>
                <w:rFonts w:ascii="Arial" w:hAnsi="Arial" w:cs="Arial"/>
                <w:color w:val="000000" w:themeColor="text1"/>
                <w:lang w:val="sr-Cyrl-BA"/>
              </w:rPr>
            </w:pPr>
            <w:r>
              <w:rPr>
                <w:rFonts w:ascii="Arial" w:hAnsi="Arial" w:cs="Arial"/>
                <w:color w:val="000000" w:themeColor="text1"/>
                <w:lang w:val="sr-Cyrl-BA"/>
              </w:rPr>
              <w:t>В</w:t>
            </w:r>
            <w:r w:rsidR="00A56E08">
              <w:rPr>
                <w:rFonts w:ascii="Arial" w:hAnsi="Arial" w:cs="Arial"/>
                <w:color w:val="000000" w:themeColor="text1"/>
                <w:lang w:val="sr-Cyrl-BA"/>
              </w:rPr>
              <w:t>оди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ој</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ј</w:t>
            </w:r>
            <w:r w:rsidR="00EE6AA2">
              <w:rPr>
                <w:rFonts w:ascii="Arial" w:hAnsi="Arial" w:cs="Arial"/>
                <w:color w:val="000000" w:themeColor="text1"/>
                <w:lang w:val="sr-Cyrl-BA"/>
              </w:rPr>
              <w:t>е</w:t>
            </w:r>
            <w:r>
              <w:rPr>
                <w:rFonts w:ascii="Arial" w:hAnsi="Arial" w:cs="Arial"/>
                <w:color w:val="000000" w:themeColor="text1"/>
                <w:lang w:val="sr-Cyrl-BA"/>
              </w:rPr>
              <w:t>шт</w:t>
            </w:r>
            <w:r w:rsidR="00A56E08">
              <w:rPr>
                <w:rFonts w:ascii="Arial" w:hAnsi="Arial" w:cs="Arial"/>
                <w:color w:val="000000" w:themeColor="text1"/>
                <w:lang w:val="sr-Cyrl-BA"/>
              </w:rPr>
              <w:t>ина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амо</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г</w:t>
            </w:r>
            <w:r>
              <w:rPr>
                <w:rFonts w:ascii="Arial" w:hAnsi="Arial" w:cs="Arial"/>
                <w:color w:val="000000" w:themeColor="text1"/>
                <w:lang w:val="sr-Cyrl-BA"/>
              </w:rPr>
              <w:t>у</w:t>
            </w:r>
            <w:r w:rsidR="00A56E08">
              <w:rPr>
                <w:rFonts w:ascii="Arial" w:hAnsi="Arial" w:cs="Arial"/>
                <w:color w:val="000000" w:themeColor="text1"/>
                <w:lang w:val="sr-Cyrl-BA"/>
              </w:rPr>
              <w:t>ли</w:t>
            </w:r>
            <w:r>
              <w:rPr>
                <w:rFonts w:ascii="Arial" w:hAnsi="Arial" w:cs="Arial"/>
                <w:color w:val="000000" w:themeColor="text1"/>
                <w:lang w:val="sr-Cyrl-BA"/>
              </w:rPr>
              <w:t>с</w:t>
            </w:r>
            <w:r w:rsidR="00A56E08">
              <w:rPr>
                <w:rFonts w:ascii="Arial" w:hAnsi="Arial" w:cs="Arial"/>
                <w:color w:val="000000" w:themeColor="text1"/>
                <w:lang w:val="sr-Cyrl-BA"/>
              </w:rPr>
              <w:t>аног</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њ</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Pr>
                <w:rFonts w:ascii="Arial" w:hAnsi="Arial" w:cs="Arial"/>
                <w:color w:val="000000" w:themeColor="text1"/>
                <w:lang w:val="sr-Cyrl-BA"/>
              </w:rPr>
              <w:t>р</w:t>
            </w:r>
            <w:r w:rsidR="00A56E08">
              <w:rPr>
                <w:rFonts w:ascii="Arial" w:hAnsi="Arial" w:cs="Arial"/>
                <w:color w:val="000000" w:themeColor="text1"/>
                <w:lang w:val="sr-Cyrl-BA"/>
              </w:rPr>
              <w:t>адничког</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ус</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ног</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47B04"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p>
          <w:p w14:paraId="3B6072E9" w14:textId="4202FB41" w:rsidR="00847B04" w:rsidRPr="00F6340E" w:rsidRDefault="0071360A" w:rsidP="005746C7">
            <w:pPr>
              <w:pStyle w:val="ListParagraph"/>
              <w:numPr>
                <w:ilvl w:val="0"/>
                <w:numId w:val="26"/>
              </w:numPr>
              <w:spacing w:line="276" w:lineRule="auto"/>
              <w:jc w:val="left"/>
              <w:rPr>
                <w:rFonts w:ascii="Arial" w:hAnsi="Arial" w:cs="Arial"/>
                <w:color w:val="000000" w:themeColor="text1"/>
                <w:lang w:val="sr-Cyrl-BA"/>
              </w:rPr>
            </w:pPr>
            <w:r>
              <w:rPr>
                <w:rFonts w:ascii="Arial" w:hAnsi="Arial" w:cs="Arial"/>
                <w:color w:val="000000" w:themeColor="text1"/>
                <w:lang w:val="sr-Cyrl-BA"/>
              </w:rPr>
              <w:t>Пр</w:t>
            </w:r>
            <w:r w:rsidR="00A56E08">
              <w:rPr>
                <w:rFonts w:ascii="Arial" w:hAnsi="Arial" w:cs="Arial"/>
                <w:color w:val="000000" w:themeColor="text1"/>
                <w:lang w:val="sr-Cyrl-BA"/>
              </w:rPr>
              <w:t>имиј</w:t>
            </w:r>
            <w:r w:rsidR="00EE6AA2">
              <w:rPr>
                <w:rFonts w:ascii="Arial" w:hAnsi="Arial" w:cs="Arial"/>
                <w:color w:val="000000" w:themeColor="text1"/>
                <w:lang w:val="sr-Cyrl-BA"/>
              </w:rPr>
              <w:t>е</w:t>
            </w:r>
            <w:r w:rsidR="00A56E08">
              <w:rPr>
                <w:rFonts w:ascii="Arial" w:hAnsi="Arial" w:cs="Arial"/>
                <w:color w:val="000000" w:themeColor="text1"/>
                <w:lang w:val="sr-Cyrl-BA"/>
              </w:rPr>
              <w:t>ни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инкл</w:t>
            </w:r>
            <w:r>
              <w:rPr>
                <w:rFonts w:ascii="Arial" w:hAnsi="Arial" w:cs="Arial"/>
                <w:color w:val="000000" w:themeColor="text1"/>
                <w:lang w:val="sr-Cyrl-BA"/>
              </w:rPr>
              <w:t>у</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w:t>
            </w:r>
            <w:r>
              <w:rPr>
                <w:rFonts w:ascii="Arial" w:hAnsi="Arial" w:cs="Arial"/>
                <w:color w:val="000000" w:themeColor="text1"/>
                <w:lang w:val="sr-Cyrl-BA"/>
              </w:rPr>
              <w:t>ступ</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у</w:t>
            </w:r>
            <w:r w:rsidR="00A56E08">
              <w:rPr>
                <w:rFonts w:ascii="Arial" w:hAnsi="Arial" w:cs="Arial"/>
                <w:color w:val="000000" w:themeColor="text1"/>
                <w:lang w:val="sr-Cyrl-BA"/>
              </w:rPr>
              <w:t>ча</w:t>
            </w:r>
            <w:r>
              <w:rPr>
                <w:rFonts w:ascii="Arial" w:hAnsi="Arial" w:cs="Arial"/>
                <w:color w:val="000000" w:themeColor="text1"/>
                <w:lang w:val="sr-Cyrl-BA"/>
              </w:rPr>
              <w:t>в</w:t>
            </w:r>
            <w:r w:rsidR="00A56E08">
              <w:rPr>
                <w:rFonts w:ascii="Arial" w:hAnsi="Arial" w:cs="Arial"/>
                <w:color w:val="000000" w:themeColor="text1"/>
                <w:lang w:val="sr-Cyrl-BA"/>
              </w:rPr>
              <w:t>ања</w:t>
            </w:r>
            <w:r w:rsidR="00847B04" w:rsidRPr="00F6340E">
              <w:rPr>
                <w:rFonts w:ascii="Arial" w:hAnsi="Arial" w:cs="Arial"/>
                <w:color w:val="000000" w:themeColor="text1"/>
                <w:lang w:val="sr-Cyrl-BA"/>
              </w:rPr>
              <w:t xml:space="preserve"> </w:t>
            </w:r>
          </w:p>
          <w:p w14:paraId="7E252317" w14:textId="6BAD815E" w:rsidR="00847B04" w:rsidRPr="00F6340E" w:rsidRDefault="0071360A" w:rsidP="005746C7">
            <w:pPr>
              <w:pStyle w:val="ListParagraph"/>
              <w:numPr>
                <w:ilvl w:val="0"/>
                <w:numId w:val="26"/>
              </w:numPr>
              <w:spacing w:line="276" w:lineRule="auto"/>
              <w:ind w:right="113"/>
              <w:jc w:val="left"/>
              <w:rPr>
                <w:rFonts w:ascii="Arial" w:hAnsi="Arial" w:cs="Arial"/>
                <w:color w:val="00B0F0"/>
                <w:lang w:val="sr-Cyrl-BA"/>
              </w:rPr>
            </w:pPr>
            <w:r>
              <w:rPr>
                <w:rFonts w:ascii="Arial" w:hAnsi="Arial" w:cs="Arial"/>
                <w:color w:val="000000" w:themeColor="text1"/>
                <w:lang w:val="sr-Cyrl-BA"/>
              </w:rPr>
              <w:t>Уп</w:t>
            </w:r>
            <w:r w:rsidR="00A56E08">
              <w:rPr>
                <w:rFonts w:ascii="Arial" w:hAnsi="Arial" w:cs="Arial"/>
                <w:color w:val="000000" w:themeColor="text1"/>
                <w:lang w:val="sr-Cyrl-BA"/>
              </w:rPr>
              <w:t>о</w:t>
            </w:r>
            <w:r>
              <w:rPr>
                <w:rFonts w:ascii="Arial" w:hAnsi="Arial" w:cs="Arial"/>
                <w:color w:val="000000" w:themeColor="text1"/>
                <w:lang w:val="sr-Cyrl-BA"/>
              </w:rPr>
              <w:t>тр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би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хник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амо</w:t>
            </w:r>
            <w:r>
              <w:rPr>
                <w:rFonts w:ascii="Arial" w:hAnsi="Arial" w:cs="Arial"/>
                <w:color w:val="000000" w:themeColor="text1"/>
                <w:lang w:val="sr-Cyrl-BA"/>
              </w:rPr>
              <w:t>пр</w:t>
            </w:r>
            <w:r w:rsidR="00A56E08">
              <w:rPr>
                <w:rFonts w:ascii="Arial" w:hAnsi="Arial" w:cs="Arial"/>
                <w:color w:val="000000" w:themeColor="text1"/>
                <w:lang w:val="sr-Cyrl-BA"/>
              </w:rPr>
              <w:t>оцј</w:t>
            </w:r>
            <w:r w:rsidR="00EE6AA2">
              <w:rPr>
                <w:rFonts w:ascii="Arial" w:hAnsi="Arial" w:cs="Arial"/>
                <w:color w:val="000000" w:themeColor="text1"/>
                <w:lang w:val="sr-Cyrl-BA"/>
              </w:rPr>
              <w:t>е</w:t>
            </w:r>
            <w:r w:rsidR="00A56E08">
              <w:rPr>
                <w:rFonts w:ascii="Arial" w:hAnsi="Arial" w:cs="Arial"/>
                <w:color w:val="000000" w:themeColor="text1"/>
                <w:lang w:val="sr-Cyrl-BA"/>
              </w:rPr>
              <w:t>н</w:t>
            </w:r>
            <w:r w:rsidR="00EE6AA2">
              <w:rPr>
                <w:rFonts w:ascii="Arial" w:hAnsi="Arial" w:cs="Arial"/>
                <w:color w:val="000000" w:themeColor="text1"/>
                <w:lang w:val="sr-Cyrl-BA"/>
              </w:rPr>
              <w:t>е</w:t>
            </w:r>
          </w:p>
        </w:tc>
      </w:tr>
      <w:tr w:rsidR="00847B04" w:rsidRPr="00F6340E" w14:paraId="46D89115" w14:textId="77777777" w:rsidTr="005746C7">
        <w:trPr>
          <w:jc w:val="center"/>
        </w:trPr>
        <w:tc>
          <w:tcPr>
            <w:tcW w:w="9014" w:type="dxa"/>
            <w:shd w:val="clear" w:color="auto" w:fill="E3F4F9"/>
          </w:tcPr>
          <w:p w14:paraId="750CB900" w14:textId="5B30FAED" w:rsidR="00847B04" w:rsidRPr="005746C7" w:rsidRDefault="00A56E08" w:rsidP="005746C7">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04222506" w14:textId="08EC62D8" w:rsidR="00847B04" w:rsidRPr="00F6340E" w:rsidRDefault="0071360A" w:rsidP="005746C7">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w:t>
            </w:r>
            <w:r w:rsidR="00A56E08">
              <w:rPr>
                <w:rFonts w:ascii="Arial" w:hAnsi="Arial" w:cs="Arial"/>
                <w:color w:val="202124"/>
                <w:lang w:val="sr-Cyrl-BA"/>
              </w:rPr>
              <w:t>лани</w:t>
            </w:r>
            <w:r>
              <w:rPr>
                <w:rFonts w:ascii="Arial" w:hAnsi="Arial" w:cs="Arial"/>
                <w:color w:val="202124"/>
                <w:lang w:val="sr-Cyrl-BA"/>
              </w:rPr>
              <w:t>р</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г</w:t>
            </w:r>
            <w:r>
              <w:rPr>
                <w:rFonts w:ascii="Arial" w:hAnsi="Arial" w:cs="Arial"/>
                <w:color w:val="202124"/>
                <w:lang w:val="sr-Cyrl-BA"/>
              </w:rPr>
              <w:t>р</w:t>
            </w:r>
            <w:r w:rsidR="00A56E08">
              <w:rPr>
                <w:rFonts w:ascii="Arial" w:hAnsi="Arial" w:cs="Arial"/>
                <w:color w:val="202124"/>
                <w:lang w:val="sr-Cyrl-BA"/>
              </w:rPr>
              <w:t>и</w:t>
            </w:r>
            <w:r>
              <w:rPr>
                <w:rFonts w:ascii="Arial" w:hAnsi="Arial" w:cs="Arial"/>
                <w:color w:val="202124"/>
                <w:lang w:val="sr-Cyrl-BA"/>
              </w:rPr>
              <w:t>с</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ур</w:t>
            </w:r>
            <w:r w:rsidR="00EE6AA2">
              <w:rPr>
                <w:rFonts w:ascii="Arial" w:hAnsi="Arial" w:cs="Arial"/>
                <w:color w:val="202124"/>
                <w:lang w:val="sr-Cyrl-BA"/>
              </w:rPr>
              <w:t>е</w:t>
            </w:r>
            <w:r w:rsidR="00A56E08">
              <w:rPr>
                <w:rFonts w:ascii="Arial" w:hAnsi="Arial" w:cs="Arial"/>
                <w:color w:val="202124"/>
                <w:lang w:val="sr-Cyrl-BA"/>
              </w:rPr>
              <w:t>ђај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ала</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оц</w:t>
            </w:r>
            <w:r w:rsidR="00EE6AA2">
              <w:rPr>
                <w:rFonts w:ascii="Arial" w:hAnsi="Arial" w:cs="Arial"/>
                <w:color w:val="202124"/>
                <w:lang w:val="sr-Cyrl-BA"/>
              </w:rPr>
              <w:t>е</w:t>
            </w:r>
            <w:r>
              <w:rPr>
                <w:rFonts w:ascii="Arial" w:hAnsi="Arial" w:cs="Arial"/>
                <w:color w:val="202124"/>
                <w:lang w:val="sr-Cyrl-BA"/>
              </w:rPr>
              <w:t>с</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sidR="00A56E08">
              <w:rPr>
                <w:rFonts w:ascii="Arial" w:hAnsi="Arial" w:cs="Arial"/>
                <w:color w:val="202124"/>
                <w:lang w:val="sr-Cyrl-BA"/>
              </w:rPr>
              <w:t>би</w:t>
            </w:r>
            <w:r w:rsidR="00847B04" w:rsidRPr="00F6340E">
              <w:rPr>
                <w:rFonts w:ascii="Arial" w:hAnsi="Arial" w:cs="Arial"/>
                <w:color w:val="202124"/>
                <w:lang w:val="sr-Cyrl-BA"/>
              </w:rPr>
              <w:t xml:space="preserve"> </w:t>
            </w:r>
            <w:r>
              <w:rPr>
                <w:rFonts w:ascii="Arial" w:hAnsi="Arial" w:cs="Arial"/>
                <w:color w:val="202124"/>
                <w:lang w:val="sr-Cyrl-BA"/>
              </w:rPr>
              <w:t>с</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обољ</w:t>
            </w:r>
            <w:r>
              <w:rPr>
                <w:rFonts w:ascii="Arial" w:hAnsi="Arial" w:cs="Arial"/>
                <w:color w:val="202124"/>
                <w:lang w:val="sr-Cyrl-BA"/>
              </w:rPr>
              <w:t>ш</w:t>
            </w:r>
            <w:r w:rsidR="00A56E08">
              <w:rPr>
                <w:rFonts w:ascii="Arial" w:hAnsi="Arial" w:cs="Arial"/>
                <w:color w:val="202124"/>
                <w:lang w:val="sr-Cyrl-BA"/>
              </w:rPr>
              <w:t>ала</w:t>
            </w:r>
            <w:r w:rsidR="00847B04" w:rsidRPr="00F6340E">
              <w:rPr>
                <w:rFonts w:ascii="Arial" w:hAnsi="Arial" w:cs="Arial"/>
                <w:color w:val="202124"/>
                <w:lang w:val="sr-Cyrl-BA"/>
              </w:rPr>
              <w:t xml:space="preserve"> </w:t>
            </w:r>
            <w:r w:rsidR="00EE6AA2">
              <w:rPr>
                <w:rFonts w:ascii="Arial" w:hAnsi="Arial" w:cs="Arial"/>
                <w:color w:val="202124"/>
                <w:lang w:val="sr-Cyrl-BA"/>
              </w:rPr>
              <w:t>е</w:t>
            </w:r>
            <w:r w:rsidR="00A56E08">
              <w:rPr>
                <w:rFonts w:ascii="Arial" w:hAnsi="Arial" w:cs="Arial"/>
                <w:color w:val="202124"/>
                <w:lang w:val="sr-Cyrl-BA"/>
              </w:rPr>
              <w:t>фика</w:t>
            </w:r>
            <w:r>
              <w:rPr>
                <w:rFonts w:ascii="Arial" w:hAnsi="Arial" w:cs="Arial"/>
                <w:color w:val="202124"/>
                <w:lang w:val="sr-Cyrl-BA"/>
              </w:rPr>
              <w:t>с</w:t>
            </w:r>
            <w:r w:rsidR="00A56E08">
              <w:rPr>
                <w:rFonts w:ascii="Arial" w:hAnsi="Arial" w:cs="Arial"/>
                <w:color w:val="202124"/>
                <w:lang w:val="sr-Cyrl-BA"/>
              </w:rPr>
              <w:t>но</w:t>
            </w:r>
            <w:r>
              <w:rPr>
                <w:rFonts w:ascii="Arial" w:hAnsi="Arial" w:cs="Arial"/>
                <w:color w:val="202124"/>
                <w:lang w:val="sr-Cyrl-BA"/>
              </w:rPr>
              <w:t>ст</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у</w:t>
            </w:r>
            <w:r w:rsidR="00A56E08">
              <w:rPr>
                <w:rFonts w:ascii="Arial" w:hAnsi="Arial" w:cs="Arial"/>
                <w:color w:val="202124"/>
                <w:lang w:val="sr-Cyrl-BA"/>
              </w:rPr>
              <w:t>ча</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w:t>
            </w:r>
          </w:p>
          <w:p w14:paraId="2CF2F993" w14:textId="44F7BE67"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К</w:t>
            </w:r>
            <w:r w:rsidR="0071360A">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и</w:t>
            </w:r>
            <w:r w:rsidR="0071360A">
              <w:rPr>
                <w:rFonts w:ascii="Arial" w:hAnsi="Arial" w:cs="Arial"/>
                <w:color w:val="202124"/>
                <w:lang w:val="sr-Cyrl-BA"/>
              </w:rPr>
              <w:t>р</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упр</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ља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алним</w:t>
            </w:r>
            <w:r w:rsidR="00847B04" w:rsidRPr="00F6340E">
              <w:rPr>
                <w:rFonts w:ascii="Arial" w:hAnsi="Arial" w:cs="Arial"/>
                <w:color w:val="202124"/>
                <w:lang w:val="sr-Cyrl-BA"/>
              </w:rPr>
              <w:t xml:space="preserve"> </w:t>
            </w:r>
            <w:r>
              <w:rPr>
                <w:rFonts w:ascii="Arial" w:hAnsi="Arial" w:cs="Arial"/>
                <w:color w:val="202124"/>
                <w:lang w:val="sr-Cyrl-BA"/>
              </w:rPr>
              <w:t>на</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ним</w:t>
            </w:r>
            <w:r w:rsidR="00847B04" w:rsidRPr="00F6340E">
              <w:rPr>
                <w:rFonts w:ascii="Arial" w:hAnsi="Arial" w:cs="Arial"/>
                <w:color w:val="202124"/>
                <w:lang w:val="sr-Cyrl-BA"/>
              </w:rPr>
              <w:t xml:space="preserve"> </w:t>
            </w:r>
            <w:r w:rsidR="0071360A">
              <w:rPr>
                <w:rFonts w:ascii="Arial" w:hAnsi="Arial" w:cs="Arial"/>
                <w:color w:val="202124"/>
                <w:lang w:val="sr-Cyrl-BA"/>
              </w:rPr>
              <w:t>стр</w:t>
            </w:r>
            <w:r>
              <w:rPr>
                <w:rFonts w:ascii="Arial" w:hAnsi="Arial" w:cs="Arial"/>
                <w:color w:val="202124"/>
                <w:lang w:val="sr-Cyrl-BA"/>
              </w:rPr>
              <w:t>а</w:t>
            </w:r>
            <w:r w:rsidR="0071360A">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гијама</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на</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в</w:t>
            </w:r>
            <w:r w:rsidR="00EE6AA2">
              <w:rPr>
                <w:rFonts w:ascii="Arial" w:hAnsi="Arial" w:cs="Arial"/>
                <w:color w:val="202124"/>
                <w:lang w:val="sr-Cyrl-BA"/>
              </w:rPr>
              <w:t>е</w:t>
            </w:r>
            <w:r w:rsidR="008424F0" w:rsidRPr="00F6340E">
              <w:rPr>
                <w:rFonts w:ascii="Arial" w:hAnsi="Arial" w:cs="Arial"/>
                <w:color w:val="202124"/>
                <w:lang w:val="sr-Cyrl-BA"/>
              </w:rPr>
              <w:t xml:space="preserve"> </w:t>
            </w:r>
            <w:r w:rsidR="0071360A">
              <w:rPr>
                <w:rFonts w:ascii="Arial" w:hAnsi="Arial" w:cs="Arial"/>
                <w:color w:val="202124"/>
                <w:lang w:val="sr-Cyrl-BA"/>
              </w:rPr>
              <w:t>пут</w:t>
            </w:r>
            <w:r w:rsidR="00EE6AA2">
              <w:rPr>
                <w:rFonts w:ascii="Arial" w:hAnsi="Arial" w:cs="Arial"/>
                <w:color w:val="202124"/>
                <w:lang w:val="sr-Cyrl-BA"/>
              </w:rPr>
              <w:t>е</w:t>
            </w:r>
            <w:r>
              <w:rPr>
                <w:rFonts w:ascii="Arial" w:hAnsi="Arial" w:cs="Arial"/>
                <w:color w:val="202124"/>
                <w:lang w:val="sr-Cyrl-BA"/>
              </w:rPr>
              <w:t>м</w:t>
            </w:r>
            <w:r w:rsidR="008424F0" w:rsidRPr="00F6340E">
              <w:rPr>
                <w:rFonts w:ascii="Arial" w:hAnsi="Arial" w:cs="Arial"/>
                <w:color w:val="202124"/>
                <w:lang w:val="sr-Cyrl-BA"/>
              </w:rPr>
              <w:t xml:space="preserve"> </w:t>
            </w:r>
            <w:r>
              <w:rPr>
                <w:rFonts w:ascii="Arial" w:hAnsi="Arial" w:cs="Arial"/>
                <w:color w:val="202124"/>
                <w:lang w:val="sr-Cyrl-BA"/>
              </w:rPr>
              <w:t>ин</w:t>
            </w:r>
            <w:r w:rsidR="0071360A">
              <w:rPr>
                <w:rFonts w:ascii="Arial" w:hAnsi="Arial" w:cs="Arial"/>
                <w:color w:val="202124"/>
                <w:lang w:val="sr-Cyrl-BA"/>
              </w:rPr>
              <w:t>т</w:t>
            </w:r>
            <w:r w:rsidR="00EE6AA2">
              <w:rPr>
                <w:rFonts w:ascii="Arial" w:hAnsi="Arial" w:cs="Arial"/>
                <w:color w:val="202124"/>
                <w:lang w:val="sr-Cyrl-BA"/>
              </w:rPr>
              <w:t>е</w:t>
            </w:r>
            <w:r w:rsidR="0071360A">
              <w:rPr>
                <w:rFonts w:ascii="Arial" w:hAnsi="Arial" w:cs="Arial"/>
                <w:color w:val="202124"/>
                <w:lang w:val="sr-Cyrl-BA"/>
              </w:rPr>
              <w:t>р</w:t>
            </w:r>
            <w:r>
              <w:rPr>
                <w:rFonts w:ascii="Arial" w:hAnsi="Arial" w:cs="Arial"/>
                <w:color w:val="202124"/>
                <w:lang w:val="sr-Cyrl-BA"/>
              </w:rPr>
              <w:t>н</w:t>
            </w:r>
            <w:r w:rsidR="00EE6AA2">
              <w:rPr>
                <w:rFonts w:ascii="Arial" w:hAnsi="Arial" w:cs="Arial"/>
                <w:color w:val="202124"/>
                <w:lang w:val="sr-Cyrl-BA"/>
              </w:rPr>
              <w:t>е</w:t>
            </w:r>
            <w:r w:rsidR="0071360A">
              <w:rPr>
                <w:rFonts w:ascii="Arial" w:hAnsi="Arial" w:cs="Arial"/>
                <w:color w:val="202124"/>
                <w:lang w:val="sr-Cyrl-BA"/>
              </w:rPr>
              <w:t>т</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чионици</w:t>
            </w:r>
            <w:r w:rsidR="00847B04" w:rsidRPr="00F6340E">
              <w:rPr>
                <w:rFonts w:ascii="Arial" w:hAnsi="Arial" w:cs="Arial"/>
                <w:color w:val="202124"/>
                <w:lang w:val="sr-Cyrl-BA"/>
              </w:rPr>
              <w:t>.</w:t>
            </w:r>
          </w:p>
          <w:p w14:paraId="005D3E32" w14:textId="60474C09" w:rsidR="00847B04" w:rsidRPr="00F6340E" w:rsidRDefault="00EE6AA2"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Е</w:t>
            </w:r>
            <w:r w:rsidR="00A56E08">
              <w:rPr>
                <w:rFonts w:ascii="Arial" w:hAnsi="Arial" w:cs="Arial"/>
                <w:color w:val="202124"/>
                <w:lang w:val="sr-Cyrl-BA"/>
              </w:rPr>
              <w:t>к</w:t>
            </w:r>
            <w:r w:rsidR="0071360A">
              <w:rPr>
                <w:rFonts w:ascii="Arial" w:hAnsi="Arial" w:cs="Arial"/>
                <w:color w:val="202124"/>
                <w:lang w:val="sr-Cyrl-BA"/>
              </w:rPr>
              <w:t>сп</w:t>
            </w:r>
            <w:r>
              <w:rPr>
                <w:rFonts w:ascii="Arial" w:hAnsi="Arial" w:cs="Arial"/>
                <w:color w:val="202124"/>
                <w:lang w:val="sr-Cyrl-BA"/>
              </w:rPr>
              <w:t>е</w:t>
            </w:r>
            <w:r w:rsidR="0071360A">
              <w:rPr>
                <w:rFonts w:ascii="Arial" w:hAnsi="Arial" w:cs="Arial"/>
                <w:color w:val="202124"/>
                <w:lang w:val="sr-Cyrl-BA"/>
              </w:rPr>
              <w:t>р</w:t>
            </w:r>
            <w:r w:rsidR="00A56E08">
              <w:rPr>
                <w:rFonts w:ascii="Arial" w:hAnsi="Arial" w:cs="Arial"/>
                <w:color w:val="202124"/>
                <w:lang w:val="sr-Cyrl-BA"/>
              </w:rPr>
              <w:t>им</w:t>
            </w:r>
            <w:r>
              <w:rPr>
                <w:rFonts w:ascii="Arial" w:hAnsi="Arial" w:cs="Arial"/>
                <w:color w:val="202124"/>
                <w:lang w:val="sr-Cyrl-BA"/>
              </w:rPr>
              <w:t>е</w:t>
            </w:r>
            <w:r w:rsidR="00A56E08">
              <w:rPr>
                <w:rFonts w:ascii="Arial" w:hAnsi="Arial" w:cs="Arial"/>
                <w:color w:val="202124"/>
                <w:lang w:val="sr-Cyrl-BA"/>
              </w:rPr>
              <w:t>н</w:t>
            </w:r>
            <w:r w:rsidR="0071360A">
              <w:rPr>
                <w:rFonts w:ascii="Arial" w:hAnsi="Arial" w:cs="Arial"/>
                <w:color w:val="202124"/>
                <w:lang w:val="sr-Cyrl-BA"/>
              </w:rPr>
              <w:t>т</w:t>
            </w:r>
            <w:r w:rsidR="00A56E08">
              <w:rPr>
                <w:rFonts w:ascii="Arial" w:hAnsi="Arial" w:cs="Arial"/>
                <w:color w:val="202124"/>
                <w:lang w:val="sr-Cyrl-BA"/>
              </w:rPr>
              <w:t>и</w:t>
            </w:r>
            <w:r w:rsidR="0071360A">
              <w:rPr>
                <w:rFonts w:ascii="Arial" w:hAnsi="Arial" w:cs="Arial"/>
                <w:color w:val="202124"/>
                <w:lang w:val="sr-Cyrl-BA"/>
              </w:rPr>
              <w:t>с</w:t>
            </w:r>
            <w:r w:rsidR="00A56E08">
              <w:rPr>
                <w:rFonts w:ascii="Arial" w:hAnsi="Arial" w:cs="Arial"/>
                <w:color w:val="202124"/>
                <w:lang w:val="sr-Cyrl-BA"/>
              </w:rPr>
              <w:t>а</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в</w:t>
            </w:r>
            <w:r w:rsidR="00A56E08">
              <w:rPr>
                <w:rFonts w:ascii="Arial" w:hAnsi="Arial" w:cs="Arial"/>
                <w:color w:val="202124"/>
                <w:lang w:val="sr-Cyrl-BA"/>
              </w:rPr>
              <w:t>и</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но</w:t>
            </w:r>
            <w:r w:rsidR="0071360A">
              <w:rPr>
                <w:rFonts w:ascii="Arial" w:hAnsi="Arial" w:cs="Arial"/>
                <w:color w:val="202124"/>
                <w:lang w:val="sr-Cyrl-BA"/>
              </w:rPr>
              <w:t>в</w:t>
            </w:r>
            <w:r>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м</w:t>
            </w:r>
            <w:r>
              <w:rPr>
                <w:rFonts w:ascii="Arial" w:hAnsi="Arial" w:cs="Arial"/>
                <w:color w:val="202124"/>
                <w:lang w:val="sr-Cyrl-BA"/>
              </w:rPr>
              <w:t>е</w:t>
            </w:r>
            <w:r w:rsidR="0071360A">
              <w:rPr>
                <w:rFonts w:ascii="Arial" w:hAnsi="Arial" w:cs="Arial"/>
                <w:color w:val="202124"/>
                <w:lang w:val="sr-Cyrl-BA"/>
              </w:rPr>
              <w:t>т</w:t>
            </w:r>
            <w:r w:rsidR="00A56E08">
              <w:rPr>
                <w:rFonts w:ascii="Arial" w:hAnsi="Arial" w:cs="Arial"/>
                <w:color w:val="202124"/>
                <w:lang w:val="sr-Cyrl-BA"/>
              </w:rPr>
              <w:t>од</w:t>
            </w:r>
            <w:r>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w:t>
            </w:r>
            <w:r w:rsidR="00A56E08">
              <w:rPr>
                <w:rFonts w:ascii="Arial" w:hAnsi="Arial" w:cs="Arial"/>
                <w:color w:val="202124"/>
                <w:lang w:val="sr-Cyrl-BA"/>
              </w:rPr>
              <w:t>од</w:t>
            </w:r>
            <w:r w:rsidR="0071360A">
              <w:rPr>
                <w:rFonts w:ascii="Arial" w:hAnsi="Arial" w:cs="Arial"/>
                <w:color w:val="202124"/>
                <w:lang w:val="sr-Cyrl-BA"/>
              </w:rPr>
              <w:t>у</w:t>
            </w:r>
            <w:r w:rsidR="00A56E08">
              <w:rPr>
                <w:rFonts w:ascii="Arial" w:hAnsi="Arial" w:cs="Arial"/>
                <w:color w:val="202124"/>
                <w:lang w:val="sr-Cyrl-BA"/>
              </w:rPr>
              <w:t>ча</w:t>
            </w:r>
            <w:r w:rsidR="0071360A">
              <w:rPr>
                <w:rFonts w:ascii="Arial" w:hAnsi="Arial" w:cs="Arial"/>
                <w:color w:val="202124"/>
                <w:lang w:val="sr-Cyrl-BA"/>
              </w:rPr>
              <w:t>в</w:t>
            </w:r>
            <w:r w:rsidR="00A56E08">
              <w:rPr>
                <w:rFonts w:ascii="Arial" w:hAnsi="Arial" w:cs="Arial"/>
                <w:color w:val="202124"/>
                <w:lang w:val="sr-Cyrl-BA"/>
              </w:rPr>
              <w:t>ања</w:t>
            </w:r>
          </w:p>
          <w:p w14:paraId="1427A3B6" w14:textId="18113968"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у</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личи</w:t>
            </w:r>
            <w:r>
              <w:rPr>
                <w:rFonts w:ascii="Arial" w:hAnsi="Arial" w:cs="Arial"/>
                <w:color w:val="202124"/>
                <w:lang w:val="sr-Cyrl-BA"/>
              </w:rPr>
              <w:t>т</w:t>
            </w:r>
            <w:r w:rsidR="00A56E08">
              <w:rPr>
                <w:rFonts w:ascii="Arial" w:hAnsi="Arial" w:cs="Arial"/>
                <w:color w:val="202124"/>
                <w:lang w:val="sr-Cyrl-BA"/>
              </w:rPr>
              <w:t>о</w:t>
            </w:r>
            <w:r>
              <w:rPr>
                <w:rFonts w:ascii="Arial" w:hAnsi="Arial" w:cs="Arial"/>
                <w:color w:val="202124"/>
                <w:lang w:val="sr-Cyrl-BA"/>
              </w:rPr>
              <w:t>ст</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ника</w:t>
            </w:r>
            <w:r w:rsidR="00847B04" w:rsidRPr="00F6340E">
              <w:rPr>
                <w:rFonts w:ascii="Arial" w:hAnsi="Arial" w:cs="Arial"/>
                <w:color w:val="202124"/>
                <w:lang w:val="sr-Cyrl-BA"/>
              </w:rPr>
              <w:t xml:space="preserve"> </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м</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од</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у</w:t>
            </w:r>
            <w:r w:rsidR="00A56E08">
              <w:rPr>
                <w:rFonts w:ascii="Arial" w:hAnsi="Arial" w:cs="Arial"/>
                <w:color w:val="202124"/>
                <w:lang w:val="sr-Cyrl-BA"/>
              </w:rPr>
              <w:t>ча</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илагоди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њихо</w:t>
            </w:r>
            <w:r>
              <w:rPr>
                <w:rFonts w:ascii="Arial" w:hAnsi="Arial" w:cs="Arial"/>
                <w:color w:val="202124"/>
                <w:lang w:val="sr-Cyrl-BA"/>
              </w:rPr>
              <w:t>в</w:t>
            </w:r>
            <w:r w:rsidR="00A56E08">
              <w:rPr>
                <w:rFonts w:ascii="Arial" w:hAnsi="Arial" w:cs="Arial"/>
                <w:color w:val="202124"/>
                <w:lang w:val="sr-Cyrl-BA"/>
              </w:rPr>
              <w:t>им</w:t>
            </w:r>
            <w:r w:rsidR="00847B04" w:rsidRPr="00F6340E">
              <w:rPr>
                <w:rFonts w:ascii="Arial" w:hAnsi="Arial" w:cs="Arial"/>
                <w:color w:val="202124"/>
                <w:lang w:val="sr-Cyrl-BA"/>
              </w:rPr>
              <w:t xml:space="preserve"> </w:t>
            </w:r>
            <w:r>
              <w:rPr>
                <w:rFonts w:ascii="Arial" w:hAnsi="Arial" w:cs="Arial"/>
                <w:color w:val="202124"/>
                <w:lang w:val="sr-Cyrl-BA"/>
              </w:rPr>
              <w:t>сп</w:t>
            </w:r>
            <w:r w:rsidR="00EE6AA2">
              <w:rPr>
                <w:rFonts w:ascii="Arial" w:hAnsi="Arial" w:cs="Arial"/>
                <w:color w:val="202124"/>
                <w:lang w:val="sr-Cyrl-BA"/>
              </w:rPr>
              <w:t>е</w:t>
            </w:r>
            <w:r w:rsidR="00A56E08">
              <w:rPr>
                <w:rFonts w:ascii="Arial" w:hAnsi="Arial" w:cs="Arial"/>
                <w:color w:val="202124"/>
                <w:lang w:val="sr-Cyrl-BA"/>
              </w:rPr>
              <w:t>цифичним</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w:t>
            </w:r>
            <w:r>
              <w:rPr>
                <w:rFonts w:ascii="Arial" w:hAnsi="Arial" w:cs="Arial"/>
                <w:color w:val="202124"/>
                <w:lang w:val="sr-Cyrl-BA"/>
              </w:rPr>
              <w:t>тр</w:t>
            </w:r>
            <w:r w:rsidR="00EE6AA2">
              <w:rPr>
                <w:rFonts w:ascii="Arial" w:hAnsi="Arial" w:cs="Arial"/>
                <w:color w:val="202124"/>
                <w:lang w:val="sr-Cyrl-BA"/>
              </w:rPr>
              <w:t>е</w:t>
            </w:r>
            <w:r w:rsidR="00A56E08">
              <w:rPr>
                <w:rFonts w:ascii="Arial" w:hAnsi="Arial" w:cs="Arial"/>
                <w:color w:val="202124"/>
                <w:lang w:val="sr-Cyrl-BA"/>
              </w:rPr>
              <w:t>бама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ком</w:t>
            </w:r>
            <w:r>
              <w:rPr>
                <w:rFonts w:ascii="Arial" w:hAnsi="Arial" w:cs="Arial"/>
                <w:color w:val="202124"/>
                <w:lang w:val="sr-Cyrl-BA"/>
              </w:rPr>
              <w:t>п</w:t>
            </w:r>
            <w:r w:rsidR="00EE6AA2">
              <w:rPr>
                <w:rFonts w:ascii="Arial" w:hAnsi="Arial" w:cs="Arial"/>
                <w:color w:val="202124"/>
                <w:lang w:val="sr-Cyrl-BA"/>
              </w:rPr>
              <w:t>е</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нцијама</w:t>
            </w:r>
          </w:p>
          <w:p w14:paraId="4FC042A7" w14:textId="6ADCDAE5" w:rsidR="00847B04" w:rsidRPr="00F6340E" w:rsidRDefault="00171F00"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З</w:t>
            </w:r>
            <w:r w:rsidR="00A56E08">
              <w:rPr>
                <w:rFonts w:ascii="Arial" w:hAnsi="Arial" w:cs="Arial"/>
                <w:color w:val="202124"/>
                <w:lang w:val="sr-Cyrl-BA"/>
              </w:rPr>
              <w:t>на</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w:t>
            </w:r>
            <w:r w:rsidR="00A56E08">
              <w:rPr>
                <w:rFonts w:ascii="Arial" w:hAnsi="Arial" w:cs="Arial"/>
                <w:color w:val="202124"/>
                <w:lang w:val="sr-Cyrl-BA"/>
              </w:rPr>
              <w:t>о</w:t>
            </w:r>
            <w:r w:rsidR="0071360A">
              <w:rPr>
                <w:rFonts w:ascii="Arial" w:hAnsi="Arial" w:cs="Arial"/>
                <w:color w:val="202124"/>
                <w:lang w:val="sr-Cyrl-BA"/>
              </w:rPr>
              <w:t>в</w:t>
            </w:r>
            <w:r w:rsidR="00EE6AA2">
              <w:rPr>
                <w:rFonts w:ascii="Arial" w:hAnsi="Arial" w:cs="Arial"/>
                <w:color w:val="202124"/>
                <w:lang w:val="sr-Cyrl-BA"/>
              </w:rPr>
              <w:t>е</w:t>
            </w:r>
            <w:r>
              <w:rPr>
                <w:rFonts w:ascii="Arial" w:hAnsi="Arial" w:cs="Arial"/>
                <w:color w:val="202124"/>
                <w:lang w:val="sr-Cyrl-BA"/>
              </w:rPr>
              <w:t>з</w:t>
            </w:r>
            <w:r w:rsidR="00A56E08">
              <w:rPr>
                <w:rFonts w:ascii="Arial" w:hAnsi="Arial" w:cs="Arial"/>
                <w:color w:val="202124"/>
                <w:lang w:val="sr-Cyrl-BA"/>
              </w:rPr>
              <w:t>а</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A56E08">
              <w:rPr>
                <w:rFonts w:ascii="Arial" w:hAnsi="Arial" w:cs="Arial"/>
                <w:color w:val="202124"/>
                <w:lang w:val="sr-Cyrl-BA"/>
              </w:rPr>
              <w:t>а</w:t>
            </w:r>
            <w:r>
              <w:rPr>
                <w:rFonts w:ascii="Arial" w:hAnsi="Arial" w:cs="Arial"/>
                <w:color w:val="202124"/>
                <w:lang w:val="sr-Cyrl-BA"/>
              </w:rPr>
              <w:t>з</w:t>
            </w:r>
            <w:r w:rsidR="00A56E08">
              <w:rPr>
                <w:rFonts w:ascii="Arial" w:hAnsi="Arial" w:cs="Arial"/>
                <w:color w:val="202124"/>
                <w:lang w:val="sr-Cyrl-BA"/>
              </w:rPr>
              <w:t>личи</w:t>
            </w:r>
            <w:r w:rsidR="0071360A">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sidR="0071360A">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ала</w:t>
            </w:r>
            <w:r w:rsidR="0071360A">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EE6AA2">
              <w:rPr>
                <w:rFonts w:ascii="Arial" w:hAnsi="Arial" w:cs="Arial"/>
                <w:color w:val="202124"/>
                <w:lang w:val="sr-Cyrl-BA"/>
              </w:rPr>
              <w:t>е</w:t>
            </w:r>
            <w:r w:rsidR="0071360A">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sidR="00A56E08">
              <w:rPr>
                <w:rFonts w:ascii="Arial" w:hAnsi="Arial" w:cs="Arial"/>
                <w:color w:val="202124"/>
                <w:lang w:val="sr-Cyrl-BA"/>
              </w:rPr>
              <w:t>би</w:t>
            </w:r>
            <w:r w:rsidR="00847B04" w:rsidRPr="00F6340E">
              <w:rPr>
                <w:rFonts w:ascii="Arial" w:hAnsi="Arial" w:cs="Arial"/>
                <w:color w:val="202124"/>
                <w:lang w:val="sr-Cyrl-BA"/>
              </w:rPr>
              <w:t xml:space="preserve"> </w:t>
            </w:r>
            <w:r w:rsidR="00A56E08">
              <w:rPr>
                <w:rFonts w:ascii="Arial" w:hAnsi="Arial" w:cs="Arial"/>
                <w:color w:val="202124"/>
                <w:lang w:val="sr-Cyrl-BA"/>
              </w:rPr>
              <w:t>к</w:t>
            </w:r>
            <w:r w:rsidR="0071360A">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и</w:t>
            </w:r>
            <w:r w:rsidR="0071360A">
              <w:rPr>
                <w:rFonts w:ascii="Arial" w:hAnsi="Arial" w:cs="Arial"/>
                <w:color w:val="202124"/>
                <w:lang w:val="sr-Cyrl-BA"/>
              </w:rPr>
              <w:t>р</w:t>
            </w:r>
            <w:r w:rsidR="00A56E08">
              <w:rPr>
                <w:rFonts w:ascii="Arial" w:hAnsi="Arial" w:cs="Arial"/>
                <w:color w:val="202124"/>
                <w:lang w:val="sr-Cyrl-BA"/>
              </w:rPr>
              <w:t>али</w:t>
            </w:r>
            <w:r w:rsidR="00847B04" w:rsidRPr="00F6340E">
              <w:rPr>
                <w:rFonts w:ascii="Arial" w:hAnsi="Arial" w:cs="Arial"/>
                <w:color w:val="202124"/>
                <w:lang w:val="sr-Cyrl-BA"/>
              </w:rPr>
              <w:t xml:space="preserve"> </w:t>
            </w:r>
            <w:r w:rsidR="00A56E08">
              <w:rPr>
                <w:rFonts w:ascii="Arial" w:hAnsi="Arial" w:cs="Arial"/>
                <w:color w:val="202124"/>
                <w:lang w:val="sr-Cyrl-BA"/>
              </w:rPr>
              <w:t>ин</w:t>
            </w:r>
            <w:r w:rsidR="0071360A">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г</w:t>
            </w:r>
            <w:r w:rsidR="0071360A">
              <w:rPr>
                <w:rFonts w:ascii="Arial" w:hAnsi="Arial" w:cs="Arial"/>
                <w:color w:val="202124"/>
                <w:lang w:val="sr-Cyrl-BA"/>
              </w:rPr>
              <w:t>р</w:t>
            </w:r>
            <w:r w:rsidR="00A56E08">
              <w:rPr>
                <w:rFonts w:ascii="Arial" w:hAnsi="Arial" w:cs="Arial"/>
                <w:color w:val="202124"/>
                <w:lang w:val="sr-Cyrl-BA"/>
              </w:rPr>
              <w:t>и</w:t>
            </w:r>
            <w:r w:rsidR="0071360A">
              <w:rPr>
                <w:rFonts w:ascii="Arial" w:hAnsi="Arial" w:cs="Arial"/>
                <w:color w:val="202124"/>
                <w:lang w:val="sr-Cyrl-BA"/>
              </w:rPr>
              <w:t>с</w:t>
            </w:r>
            <w:r w:rsidR="00A56E08">
              <w:rPr>
                <w:rFonts w:ascii="Arial" w:hAnsi="Arial" w:cs="Arial"/>
                <w:color w:val="202124"/>
                <w:lang w:val="sr-Cyrl-BA"/>
              </w:rPr>
              <w:t>ано</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sidR="0071360A">
              <w:rPr>
                <w:rFonts w:ascii="Arial" w:hAnsi="Arial" w:cs="Arial"/>
                <w:color w:val="202124"/>
                <w:lang w:val="sr-Cyrl-BA"/>
              </w:rPr>
              <w:t>т</w:t>
            </w:r>
            <w:r w:rsidR="00A56E08">
              <w:rPr>
                <w:rFonts w:ascii="Arial" w:hAnsi="Arial" w:cs="Arial"/>
                <w:color w:val="202124"/>
                <w:lang w:val="sr-Cyrl-BA"/>
              </w:rPr>
              <w:t>ално</w:t>
            </w:r>
            <w:r w:rsidR="00847B04" w:rsidRPr="00F6340E">
              <w:rPr>
                <w:rFonts w:ascii="Arial" w:hAnsi="Arial" w:cs="Arial"/>
                <w:color w:val="202124"/>
                <w:lang w:val="sr-Cyrl-BA"/>
              </w:rPr>
              <w:t xml:space="preserve"> </w:t>
            </w:r>
            <w:r w:rsidR="00A56E08">
              <w:rPr>
                <w:rFonts w:ascii="Arial" w:hAnsi="Arial" w:cs="Arial"/>
                <w:color w:val="202124"/>
                <w:lang w:val="sr-Cyrl-BA"/>
              </w:rPr>
              <w:t>ок</w:t>
            </w:r>
            <w:r w:rsidR="0071360A">
              <w:rPr>
                <w:rFonts w:ascii="Arial" w:hAnsi="Arial" w:cs="Arial"/>
                <w:color w:val="202124"/>
                <w:lang w:val="sr-Cyrl-BA"/>
              </w:rPr>
              <w:t>ру</w:t>
            </w:r>
            <w:r>
              <w:rPr>
                <w:rFonts w:ascii="Arial" w:hAnsi="Arial" w:cs="Arial"/>
                <w:color w:val="202124"/>
                <w:lang w:val="sr-Cyrl-BA"/>
              </w:rPr>
              <w:t>ж</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кој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w:t>
            </w:r>
            <w:r w:rsidR="00A56E08">
              <w:rPr>
                <w:rFonts w:ascii="Arial" w:hAnsi="Arial" w:cs="Arial"/>
                <w:color w:val="202124"/>
                <w:lang w:val="sr-Cyrl-BA"/>
              </w:rPr>
              <w:t>од</w:t>
            </w:r>
            <w:r w:rsidR="0071360A">
              <w:rPr>
                <w:rFonts w:ascii="Arial" w:hAnsi="Arial" w:cs="Arial"/>
                <w:color w:val="202124"/>
                <w:lang w:val="sr-Cyrl-BA"/>
              </w:rPr>
              <w:t>р</w:t>
            </w:r>
            <w:r>
              <w:rPr>
                <w:rFonts w:ascii="Arial" w:hAnsi="Arial" w:cs="Arial"/>
                <w:color w:val="202124"/>
                <w:lang w:val="sr-Cyrl-BA"/>
              </w:rPr>
              <w:t>ж</w:t>
            </w:r>
            <w:r w:rsidR="00A56E08">
              <w:rPr>
                <w:rFonts w:ascii="Arial" w:hAnsi="Arial" w:cs="Arial"/>
                <w:color w:val="202124"/>
                <w:lang w:val="sr-Cyrl-BA"/>
              </w:rPr>
              <w:t>а</w:t>
            </w:r>
            <w:r w:rsidR="0071360A">
              <w:rPr>
                <w:rFonts w:ascii="Arial" w:hAnsi="Arial" w:cs="Arial"/>
                <w:color w:val="202124"/>
                <w:lang w:val="sr-Cyrl-BA"/>
              </w:rPr>
              <w:t>в</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A56E08">
              <w:rPr>
                <w:rFonts w:ascii="Arial" w:hAnsi="Arial" w:cs="Arial"/>
                <w:color w:val="202124"/>
                <w:lang w:val="sr-Cyrl-BA"/>
              </w:rPr>
              <w:t>а</w:t>
            </w:r>
            <w:r>
              <w:rPr>
                <w:rFonts w:ascii="Arial" w:hAnsi="Arial" w:cs="Arial"/>
                <w:color w:val="202124"/>
                <w:lang w:val="sr-Cyrl-BA"/>
              </w:rPr>
              <w:t>з</w:t>
            </w:r>
            <w:r w:rsidR="0071360A">
              <w:rPr>
                <w:rFonts w:ascii="Arial" w:hAnsi="Arial" w:cs="Arial"/>
                <w:color w:val="202124"/>
                <w:lang w:val="sr-Cyrl-BA"/>
              </w:rPr>
              <w:t>в</w:t>
            </w:r>
            <w:r w:rsidR="00A56E08">
              <w:rPr>
                <w:rFonts w:ascii="Arial" w:hAnsi="Arial" w:cs="Arial"/>
                <w:color w:val="202124"/>
                <w:lang w:val="sr-Cyrl-BA"/>
              </w:rPr>
              <w:t>ој</w:t>
            </w:r>
            <w:r w:rsidR="00847B04" w:rsidRPr="00F6340E">
              <w:rPr>
                <w:rFonts w:ascii="Arial" w:hAnsi="Arial" w:cs="Arial"/>
                <w:color w:val="202124"/>
                <w:lang w:val="sr-Cyrl-BA"/>
              </w:rPr>
              <w:t xml:space="preserve"> </w:t>
            </w:r>
            <w:r w:rsidR="00A56E08">
              <w:rPr>
                <w:rFonts w:ascii="Arial" w:hAnsi="Arial" w:cs="Arial"/>
                <w:color w:val="202124"/>
                <w:lang w:val="sr-Cyrl-BA"/>
              </w:rPr>
              <w:t>ми</w:t>
            </w:r>
            <w:r w:rsidR="0071360A">
              <w:rPr>
                <w:rFonts w:ascii="Arial" w:hAnsi="Arial" w:cs="Arial"/>
                <w:color w:val="202124"/>
                <w:lang w:val="sr-Cyrl-BA"/>
              </w:rPr>
              <w:t>ш</w:t>
            </w:r>
            <w:r w:rsidR="00A56E08">
              <w:rPr>
                <w:rFonts w:ascii="Arial" w:hAnsi="Arial" w:cs="Arial"/>
                <w:color w:val="202124"/>
                <w:lang w:val="sr-Cyrl-BA"/>
              </w:rPr>
              <w:t>љ</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71360A">
              <w:rPr>
                <w:rFonts w:ascii="Arial" w:hAnsi="Arial" w:cs="Arial"/>
                <w:color w:val="202124"/>
                <w:lang w:val="sr-Cyrl-BA"/>
              </w:rPr>
              <w:t>в</w:t>
            </w:r>
            <w:r w:rsidR="00A56E08">
              <w:rPr>
                <w:rFonts w:ascii="Arial" w:hAnsi="Arial" w:cs="Arial"/>
                <w:color w:val="202124"/>
                <w:lang w:val="sr-Cyrl-BA"/>
              </w:rPr>
              <w:t>и</w:t>
            </w:r>
            <w:r w:rsidR="0071360A">
              <w:rPr>
                <w:rFonts w:ascii="Arial" w:hAnsi="Arial" w:cs="Arial"/>
                <w:color w:val="202124"/>
                <w:lang w:val="sr-Cyrl-BA"/>
              </w:rPr>
              <w:t>ш</w:t>
            </w:r>
            <w:r w:rsidR="00EE6AA2">
              <w:rPr>
                <w:rFonts w:ascii="Arial" w:hAnsi="Arial" w:cs="Arial"/>
                <w:color w:val="202124"/>
                <w:lang w:val="sr-Cyrl-BA"/>
              </w:rPr>
              <w:t>е</w:t>
            </w:r>
            <w:r w:rsidR="00A56E08">
              <w:rPr>
                <w:rFonts w:ascii="Arial" w:hAnsi="Arial" w:cs="Arial"/>
                <w:color w:val="202124"/>
                <w:lang w:val="sr-Cyrl-BA"/>
              </w:rPr>
              <w:t>г</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да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в</w:t>
            </w:r>
            <w:r w:rsidR="00A56E08">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шт</w:t>
            </w:r>
            <w:r w:rsidR="00A56E08">
              <w:rPr>
                <w:rFonts w:ascii="Arial" w:hAnsi="Arial" w:cs="Arial"/>
                <w:color w:val="202124"/>
                <w:lang w:val="sr-Cyrl-BA"/>
              </w:rPr>
              <w:t>ин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A56E08">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w:t>
            </w:r>
            <w:r w:rsidR="00A56E08">
              <w:rPr>
                <w:rFonts w:ascii="Arial" w:hAnsi="Arial" w:cs="Arial"/>
                <w:color w:val="202124"/>
                <w:lang w:val="sr-Cyrl-BA"/>
              </w:rPr>
              <w:t>а</w:t>
            </w:r>
            <w:r w:rsidR="0071360A">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sidR="0071360A">
              <w:rPr>
                <w:rFonts w:ascii="Arial" w:hAnsi="Arial" w:cs="Arial"/>
                <w:color w:val="202124"/>
                <w:lang w:val="sr-Cyrl-BA"/>
              </w:rPr>
              <w:t>пр</w:t>
            </w:r>
            <w:r w:rsidR="00A56E08">
              <w:rPr>
                <w:rFonts w:ascii="Arial" w:hAnsi="Arial" w:cs="Arial"/>
                <w:color w:val="202124"/>
                <w:lang w:val="sr-Cyrl-BA"/>
              </w:rPr>
              <w:t>обл</w:t>
            </w:r>
            <w:r w:rsidR="00EE6AA2">
              <w:rPr>
                <w:rFonts w:ascii="Arial" w:hAnsi="Arial" w:cs="Arial"/>
                <w:color w:val="202124"/>
                <w:lang w:val="sr-Cyrl-BA"/>
              </w:rPr>
              <w:t>е</w:t>
            </w:r>
            <w:r w:rsidR="00A56E08">
              <w:rPr>
                <w:rFonts w:ascii="Arial" w:hAnsi="Arial" w:cs="Arial"/>
                <w:color w:val="202124"/>
                <w:lang w:val="sr-Cyrl-BA"/>
              </w:rPr>
              <w:t>ма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ника</w:t>
            </w:r>
            <w:r w:rsidR="00847B04" w:rsidRPr="00F6340E">
              <w:rPr>
                <w:rFonts w:ascii="Arial" w:hAnsi="Arial" w:cs="Arial"/>
                <w:color w:val="202124"/>
                <w:lang w:val="sr-Cyrl-BA"/>
              </w:rPr>
              <w:t>.</w:t>
            </w:r>
          </w:p>
          <w:p w14:paraId="1DC9D818" w14:textId="293D0847"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A56E08">
              <w:rPr>
                <w:rFonts w:ascii="Arial" w:hAnsi="Arial" w:cs="Arial"/>
                <w:color w:val="202124"/>
                <w:lang w:val="sr-Cyrl-BA"/>
              </w:rPr>
              <w:t>иј</w:t>
            </w:r>
            <w:r w:rsidR="00EE6AA2">
              <w:rPr>
                <w:rFonts w:ascii="Arial" w:hAnsi="Arial" w:cs="Arial"/>
                <w:color w:val="202124"/>
                <w:lang w:val="sr-Cyrl-BA"/>
              </w:rPr>
              <w:t>е</w:t>
            </w:r>
            <w:r w:rsidR="00A56E08">
              <w:rPr>
                <w:rFonts w:ascii="Arial" w:hAnsi="Arial" w:cs="Arial"/>
                <w:color w:val="202124"/>
                <w:lang w:val="sr-Cyrl-BA"/>
              </w:rPr>
              <w:t>би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оф</w:t>
            </w:r>
            <w:r>
              <w:rPr>
                <w:rFonts w:ascii="Arial" w:hAnsi="Arial" w:cs="Arial"/>
                <w:color w:val="202124"/>
                <w:lang w:val="sr-Cyrl-BA"/>
              </w:rPr>
              <w:t>тв</w:t>
            </w:r>
            <w:r w:rsidR="00EE6AA2">
              <w:rPr>
                <w:rFonts w:ascii="Arial" w:hAnsi="Arial" w:cs="Arial"/>
                <w:color w:val="202124"/>
                <w:lang w:val="sr-Cyrl-BA"/>
              </w:rPr>
              <w:t>е</w:t>
            </w:r>
            <w:r>
              <w:rPr>
                <w:rFonts w:ascii="Arial" w:hAnsi="Arial" w:cs="Arial"/>
                <w:color w:val="202124"/>
                <w:lang w:val="sr-Cyrl-BA"/>
              </w:rPr>
              <w:t>р</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пр</w:t>
            </w:r>
            <w:r w:rsidR="00EE6AA2">
              <w:rPr>
                <w:rFonts w:ascii="Arial" w:hAnsi="Arial" w:cs="Arial"/>
                <w:color w:val="202124"/>
                <w:lang w:val="sr-Cyrl-BA"/>
              </w:rPr>
              <w:t>е</w:t>
            </w:r>
            <w:r w:rsidR="00171F00">
              <w:rPr>
                <w:rFonts w:ascii="Arial" w:hAnsi="Arial" w:cs="Arial"/>
                <w:color w:val="202124"/>
                <w:lang w:val="sr-Cyrl-BA"/>
              </w:rPr>
              <w:t>з</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т</w:t>
            </w:r>
            <w:r w:rsidR="00A56E08">
              <w:rPr>
                <w:rFonts w:ascii="Arial" w:hAnsi="Arial" w:cs="Arial"/>
                <w:color w:val="202124"/>
                <w:lang w:val="sr-Cyrl-BA"/>
              </w:rPr>
              <w:t>ациј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д</w:t>
            </w:r>
            <w:r>
              <w:rPr>
                <w:rFonts w:ascii="Arial" w:hAnsi="Arial" w:cs="Arial"/>
                <w:color w:val="202124"/>
                <w:lang w:val="sr-Cyrl-BA"/>
              </w:rPr>
              <w:t>ру</w:t>
            </w:r>
            <w:r w:rsidR="00A56E08">
              <w:rPr>
                <w:rFonts w:ascii="Arial" w:hAnsi="Arial" w:cs="Arial"/>
                <w:color w:val="202124"/>
                <w:lang w:val="sr-Cyrl-BA"/>
              </w:rPr>
              <w:t>г</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рш</w:t>
            </w:r>
            <w:r w:rsidR="00A56E08">
              <w:rPr>
                <w:rFonts w:ascii="Arial" w:hAnsi="Arial" w:cs="Arial"/>
                <w:color w:val="202124"/>
                <w:lang w:val="sr-Cyrl-BA"/>
              </w:rPr>
              <w:t>к</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ној</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ак</w:t>
            </w:r>
            <w:r>
              <w:rPr>
                <w:rFonts w:ascii="Arial" w:hAnsi="Arial" w:cs="Arial"/>
                <w:color w:val="202124"/>
                <w:lang w:val="sr-Cyrl-BA"/>
              </w:rPr>
              <w:t>с</w:t>
            </w:r>
            <w:r w:rsidR="00A56E08">
              <w:rPr>
                <w:rFonts w:ascii="Arial" w:hAnsi="Arial" w:cs="Arial"/>
                <w:color w:val="202124"/>
                <w:lang w:val="sr-Cyrl-BA"/>
              </w:rPr>
              <w:t>и</w:t>
            </w:r>
            <w:r w:rsidR="00847B04" w:rsidRPr="00F6340E">
              <w:rPr>
                <w:rFonts w:ascii="Arial" w:hAnsi="Arial" w:cs="Arial"/>
                <w:color w:val="202124"/>
                <w:lang w:val="sr-Cyrl-BA"/>
              </w:rPr>
              <w:t>.</w:t>
            </w:r>
          </w:p>
          <w:p w14:paraId="6373CB16" w14:textId="262BA3B9"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в</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сту</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док</w:t>
            </w:r>
            <w:r>
              <w:rPr>
                <w:rFonts w:ascii="Arial" w:hAnsi="Arial" w:cs="Arial"/>
                <w:color w:val="202124"/>
                <w:lang w:val="sr-Cyrl-BA"/>
              </w:rPr>
              <w:t>у</w:t>
            </w:r>
            <w:r w:rsidR="00A56E08">
              <w:rPr>
                <w:rFonts w:ascii="Arial" w:hAnsi="Arial" w:cs="Arial"/>
                <w:color w:val="202124"/>
                <w:lang w:val="sr-Cyrl-BA"/>
              </w:rPr>
              <w:t>м</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EE6AA2">
              <w:rPr>
                <w:rFonts w:ascii="Arial" w:hAnsi="Arial" w:cs="Arial"/>
                <w:color w:val="202124"/>
                <w:lang w:val="sr-Cyrl-BA"/>
              </w:rPr>
              <w:t>е</w:t>
            </w:r>
            <w:r w:rsidR="00A56E08">
              <w:rPr>
                <w:rFonts w:ascii="Arial" w:hAnsi="Arial" w:cs="Arial"/>
                <w:color w:val="202124"/>
                <w:lang w:val="sr-Cyrl-BA"/>
              </w:rPr>
              <w:t>бом</w:t>
            </w:r>
            <w:r w:rsidR="00847B04" w:rsidRPr="00F6340E">
              <w:rPr>
                <w:rFonts w:ascii="Arial" w:hAnsi="Arial" w:cs="Arial"/>
                <w:color w:val="202124"/>
                <w:lang w:val="sr-Cyrl-BA"/>
              </w:rPr>
              <w:t xml:space="preserve"> </w:t>
            </w:r>
            <w:r w:rsidR="005549C9">
              <w:rPr>
                <w:rFonts w:ascii="Arial" w:hAnsi="Arial" w:cs="Arial"/>
                <w:color w:val="202124"/>
                <w:lang w:val="sr-Cyrl-BA"/>
              </w:rPr>
              <w:t xml:space="preserve">Мајкрософт ворда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w:t>
            </w:r>
            <w:r>
              <w:rPr>
                <w:rFonts w:ascii="Arial" w:hAnsi="Arial" w:cs="Arial"/>
                <w:color w:val="202124"/>
                <w:lang w:val="sr-Cyrl-BA"/>
              </w:rPr>
              <w:t>пр</w:t>
            </w:r>
            <w:r w:rsidR="00EE6AA2">
              <w:rPr>
                <w:rFonts w:ascii="Arial" w:hAnsi="Arial" w:cs="Arial"/>
                <w:color w:val="202124"/>
                <w:lang w:val="sr-Cyrl-BA"/>
              </w:rPr>
              <w:t>е</w:t>
            </w:r>
            <w:r w:rsidR="00A56E08">
              <w:rPr>
                <w:rFonts w:ascii="Arial" w:hAnsi="Arial" w:cs="Arial"/>
                <w:color w:val="202124"/>
                <w:lang w:val="sr-Cyrl-BA"/>
              </w:rPr>
              <w:t>ма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EE6AA2">
              <w:rPr>
                <w:rFonts w:ascii="Arial" w:hAnsi="Arial" w:cs="Arial"/>
                <w:color w:val="202124"/>
                <w:lang w:val="sr-Cyrl-BA"/>
              </w:rPr>
              <w:t>е</w:t>
            </w:r>
            <w:r w:rsidR="00171F00">
              <w:rPr>
                <w:rFonts w:ascii="Arial" w:hAnsi="Arial" w:cs="Arial"/>
                <w:color w:val="202124"/>
                <w:lang w:val="sr-Cyrl-BA"/>
              </w:rPr>
              <w:t>з</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т</w:t>
            </w:r>
            <w:r w:rsidR="00A56E08">
              <w:rPr>
                <w:rFonts w:ascii="Arial" w:hAnsi="Arial" w:cs="Arial"/>
                <w:color w:val="202124"/>
                <w:lang w:val="sr-Cyrl-BA"/>
              </w:rPr>
              <w:t>ациј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EE6AA2">
              <w:rPr>
                <w:rFonts w:ascii="Arial" w:hAnsi="Arial" w:cs="Arial"/>
                <w:color w:val="202124"/>
                <w:lang w:val="sr-Cyrl-BA"/>
              </w:rPr>
              <w:t>е</w:t>
            </w:r>
            <w:r w:rsidR="00A56E08">
              <w:rPr>
                <w:rFonts w:ascii="Arial" w:hAnsi="Arial" w:cs="Arial"/>
                <w:color w:val="202124"/>
                <w:lang w:val="sr-Cyrl-BA"/>
              </w:rPr>
              <w:t>бом</w:t>
            </w:r>
            <w:r w:rsidR="00847B04" w:rsidRPr="00F6340E">
              <w:rPr>
                <w:rFonts w:ascii="Arial" w:hAnsi="Arial" w:cs="Arial"/>
                <w:color w:val="202124"/>
                <w:lang w:val="sr-Cyrl-BA"/>
              </w:rPr>
              <w:t xml:space="preserve"> </w:t>
            </w:r>
            <w:r w:rsidR="005549C9">
              <w:rPr>
                <w:rFonts w:ascii="Arial" w:hAnsi="Arial" w:cs="Arial"/>
                <w:color w:val="202124"/>
                <w:lang w:val="sr-Cyrl-BA"/>
              </w:rPr>
              <w:t>Мајкрософт</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w:t>
            </w:r>
            <w:r w:rsidR="00847B04" w:rsidRPr="00F6340E">
              <w:rPr>
                <w:rFonts w:ascii="Arial" w:hAnsi="Arial" w:cs="Arial"/>
                <w:color w:val="202124"/>
                <w:lang w:val="sr-Cyrl-BA"/>
              </w:rPr>
              <w:t>w</w:t>
            </w:r>
            <w:r w:rsidR="00EE6AA2">
              <w:rPr>
                <w:rFonts w:ascii="Arial" w:hAnsi="Arial" w:cs="Arial"/>
                <w:color w:val="202124"/>
                <w:lang w:val="sr-Cyrl-BA"/>
              </w:rPr>
              <w:t>е</w:t>
            </w:r>
            <w:r>
              <w:rPr>
                <w:rFonts w:ascii="Arial" w:hAnsi="Arial" w:cs="Arial"/>
                <w:color w:val="202124"/>
                <w:lang w:val="sr-Cyrl-BA"/>
              </w:rPr>
              <w:t>рП</w:t>
            </w:r>
            <w:r w:rsidR="00A56E08">
              <w:rPr>
                <w:rFonts w:ascii="Arial" w:hAnsi="Arial" w:cs="Arial"/>
                <w:color w:val="202124"/>
                <w:lang w:val="sr-Cyrl-BA"/>
              </w:rPr>
              <w:t>оин</w:t>
            </w:r>
            <w:r>
              <w:rPr>
                <w:rFonts w:ascii="Arial" w:hAnsi="Arial" w:cs="Arial"/>
                <w:color w:val="202124"/>
                <w:lang w:val="sr-Cyrl-BA"/>
              </w:rPr>
              <w:t>т</w:t>
            </w:r>
            <w:r w:rsidR="00496D98" w:rsidRPr="00F6340E">
              <w:rPr>
                <w:rFonts w:ascii="Arial" w:hAnsi="Arial" w:cs="Arial"/>
                <w:color w:val="202124"/>
                <w:lang w:val="sr-Cyrl-BA"/>
              </w:rPr>
              <w:t>-</w:t>
            </w:r>
            <w:r w:rsidR="005549C9">
              <w:rPr>
                <w:rFonts w:ascii="Arial" w:hAnsi="Arial" w:cs="Arial"/>
                <w:color w:val="202124"/>
                <w:lang w:val="sr-Cyrl-BA"/>
              </w:rPr>
              <w:t>у</w:t>
            </w:r>
            <w:r w:rsidR="00847B04" w:rsidRPr="00F6340E">
              <w:rPr>
                <w:rFonts w:ascii="Arial" w:hAnsi="Arial" w:cs="Arial"/>
                <w:color w:val="202124"/>
                <w:lang w:val="sr-Cyrl-BA"/>
              </w:rPr>
              <w:t>.</w:t>
            </w:r>
          </w:p>
          <w:p w14:paraId="6C42F7EF" w14:textId="344D565C"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Анали</w:t>
            </w:r>
            <w:r w:rsidR="00171F00">
              <w:rPr>
                <w:rFonts w:ascii="Arial" w:hAnsi="Arial" w:cs="Arial"/>
                <w:color w:val="202124"/>
                <w:lang w:val="sr-Cyrl-BA"/>
              </w:rPr>
              <w:t>з</w:t>
            </w:r>
            <w:r>
              <w:rPr>
                <w:rFonts w:ascii="Arial" w:hAnsi="Arial" w:cs="Arial"/>
                <w:color w:val="202124"/>
                <w:lang w:val="sr-Cyrl-BA"/>
              </w:rPr>
              <w:t>и</w:t>
            </w:r>
            <w:r w:rsidR="0071360A">
              <w:rPr>
                <w:rFonts w:ascii="Arial" w:hAnsi="Arial" w:cs="Arial"/>
                <w:color w:val="202124"/>
                <w:lang w:val="sr-Cyrl-BA"/>
              </w:rPr>
              <w:t>р</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ст</w:t>
            </w:r>
            <w:r>
              <w:rPr>
                <w:rFonts w:ascii="Arial" w:hAnsi="Arial" w:cs="Arial"/>
                <w:color w:val="202124"/>
                <w:lang w:val="sr-Cyrl-BA"/>
              </w:rPr>
              <w:t>анда</w:t>
            </w:r>
            <w:r w:rsidR="0071360A">
              <w:rPr>
                <w:rFonts w:ascii="Arial" w:hAnsi="Arial" w:cs="Arial"/>
                <w:color w:val="202124"/>
                <w:lang w:val="sr-Cyrl-BA"/>
              </w:rPr>
              <w:t>р</w:t>
            </w:r>
            <w:r>
              <w:rPr>
                <w:rFonts w:ascii="Arial" w:hAnsi="Arial" w:cs="Arial"/>
                <w:color w:val="202124"/>
                <w:lang w:val="sr-Cyrl-BA"/>
              </w:rPr>
              <w:t>д</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на</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ног</w:t>
            </w:r>
            <w:r w:rsidR="00847B04" w:rsidRPr="00F6340E">
              <w:rPr>
                <w:rFonts w:ascii="Arial" w:hAnsi="Arial" w:cs="Arial"/>
                <w:color w:val="202124"/>
                <w:lang w:val="sr-Cyrl-BA"/>
              </w:rPr>
              <w:t xml:space="preserve"> </w:t>
            </w:r>
            <w:r w:rsidR="0071360A">
              <w:rPr>
                <w:rFonts w:ascii="Arial" w:hAnsi="Arial" w:cs="Arial"/>
                <w:color w:val="202124"/>
                <w:lang w:val="sr-Cyrl-BA"/>
              </w:rPr>
              <w:t>п</w:t>
            </w:r>
            <w:r>
              <w:rPr>
                <w:rFonts w:ascii="Arial" w:hAnsi="Arial" w:cs="Arial"/>
                <w:color w:val="202124"/>
                <w:lang w:val="sr-Cyrl-BA"/>
              </w:rPr>
              <w:t>лана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ог</w:t>
            </w:r>
            <w:r w:rsidR="0071360A">
              <w:rPr>
                <w:rFonts w:ascii="Arial" w:hAnsi="Arial" w:cs="Arial"/>
                <w:color w:val="202124"/>
                <w:lang w:val="sr-Cyrl-BA"/>
              </w:rPr>
              <w:t>р</w:t>
            </w:r>
            <w:r>
              <w:rPr>
                <w:rFonts w:ascii="Arial" w:hAnsi="Arial" w:cs="Arial"/>
                <w:color w:val="202124"/>
                <w:lang w:val="sr-Cyrl-BA"/>
              </w:rPr>
              <w:t>ама</w:t>
            </w:r>
            <w:r w:rsidR="00847B04" w:rsidRPr="00F6340E">
              <w:rPr>
                <w:rFonts w:ascii="Arial" w:hAnsi="Arial" w:cs="Arial"/>
                <w:color w:val="202124"/>
                <w:lang w:val="sr-Cyrl-BA"/>
              </w:rPr>
              <w:t xml:space="preserve"> </w:t>
            </w:r>
            <w:r>
              <w:rPr>
                <w:rFonts w:ascii="Arial" w:hAnsi="Arial" w:cs="Arial"/>
                <w:color w:val="202124"/>
                <w:lang w:val="sr-Cyrl-BA"/>
              </w:rPr>
              <w:t>како</w:t>
            </w:r>
            <w:r w:rsidR="00847B04" w:rsidRPr="00F6340E">
              <w:rPr>
                <w:rFonts w:ascii="Arial" w:hAnsi="Arial" w:cs="Arial"/>
                <w:color w:val="202124"/>
                <w:lang w:val="sr-Cyrl-BA"/>
              </w:rPr>
              <w:t xml:space="preserve"> </w:t>
            </w:r>
            <w:r>
              <w:rPr>
                <w:rFonts w:ascii="Arial" w:hAnsi="Arial" w:cs="Arial"/>
                <w:color w:val="202124"/>
                <w:lang w:val="sr-Cyrl-BA"/>
              </w:rPr>
              <w:t>би</w:t>
            </w:r>
            <w:r w:rsidR="00847B04" w:rsidRPr="00F6340E">
              <w:rPr>
                <w:rFonts w:ascii="Arial" w:hAnsi="Arial" w:cs="Arial"/>
                <w:color w:val="202124"/>
                <w:lang w:val="sr-Cyrl-BA"/>
              </w:rPr>
              <w:t xml:space="preserve"> </w:t>
            </w:r>
            <w:r w:rsidR="0071360A">
              <w:rPr>
                <w:rFonts w:ascii="Arial" w:hAnsi="Arial" w:cs="Arial"/>
                <w:color w:val="202124"/>
                <w:lang w:val="sr-Cyrl-BA"/>
              </w:rPr>
              <w:t>с</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ид</w:t>
            </w:r>
            <w:r w:rsidR="00EE6AA2">
              <w:rPr>
                <w:rFonts w:ascii="Arial" w:hAnsi="Arial" w:cs="Arial"/>
                <w:color w:val="202124"/>
                <w:lang w:val="sr-Cyrl-BA"/>
              </w:rPr>
              <w:t>е</w:t>
            </w:r>
            <w:r>
              <w:rPr>
                <w:rFonts w:ascii="Arial" w:hAnsi="Arial" w:cs="Arial"/>
                <w:color w:val="202124"/>
                <w:lang w:val="sr-Cyrl-BA"/>
              </w:rPr>
              <w:t>н</w:t>
            </w:r>
            <w:r w:rsidR="0071360A">
              <w:rPr>
                <w:rFonts w:ascii="Arial" w:hAnsi="Arial" w:cs="Arial"/>
                <w:color w:val="202124"/>
                <w:lang w:val="sr-Cyrl-BA"/>
              </w:rPr>
              <w:t>т</w:t>
            </w:r>
            <w:r>
              <w:rPr>
                <w:rFonts w:ascii="Arial" w:hAnsi="Arial" w:cs="Arial"/>
                <w:color w:val="202124"/>
                <w:lang w:val="sr-Cyrl-BA"/>
              </w:rPr>
              <w:t>ифико</w:t>
            </w:r>
            <w:r w:rsidR="0071360A">
              <w:rPr>
                <w:rFonts w:ascii="Arial" w:hAnsi="Arial" w:cs="Arial"/>
                <w:color w:val="202124"/>
                <w:lang w:val="sr-Cyrl-BA"/>
              </w:rPr>
              <w:t>в</w:t>
            </w:r>
            <w:r>
              <w:rPr>
                <w:rFonts w:ascii="Arial" w:hAnsi="Arial" w:cs="Arial"/>
                <w:color w:val="202124"/>
                <w:lang w:val="sr-Cyrl-BA"/>
              </w:rPr>
              <w:t>ал</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мог</w:t>
            </w:r>
            <w:r w:rsidR="0071360A">
              <w:rPr>
                <w:rFonts w:ascii="Arial" w:hAnsi="Arial" w:cs="Arial"/>
                <w:color w:val="202124"/>
                <w:lang w:val="sr-Cyrl-BA"/>
              </w:rPr>
              <w:t>у</w:t>
            </w:r>
            <w:r>
              <w:rPr>
                <w:rFonts w:ascii="Arial" w:hAnsi="Arial" w:cs="Arial"/>
                <w:color w:val="202124"/>
                <w:lang w:val="sr-Cyrl-BA"/>
              </w:rPr>
              <w:t>ћно</w:t>
            </w:r>
            <w:r w:rsidR="0071360A">
              <w:rPr>
                <w:rFonts w:ascii="Arial" w:hAnsi="Arial" w:cs="Arial"/>
                <w:color w:val="202124"/>
                <w:lang w:val="sr-Cyrl-BA"/>
              </w:rPr>
              <w:t>ст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којима</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ници</w:t>
            </w:r>
            <w:r w:rsidR="00847B04" w:rsidRPr="00F6340E">
              <w:rPr>
                <w:rFonts w:ascii="Arial" w:hAnsi="Arial" w:cs="Arial"/>
                <w:color w:val="202124"/>
                <w:lang w:val="sr-Cyrl-BA"/>
              </w:rPr>
              <w:t xml:space="preserve"> </w:t>
            </w:r>
            <w:r>
              <w:rPr>
                <w:rFonts w:ascii="Arial" w:hAnsi="Arial" w:cs="Arial"/>
                <w:color w:val="202124"/>
                <w:lang w:val="sr-Cyrl-BA"/>
              </w:rPr>
              <w:t>мог</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о</w:t>
            </w:r>
            <w:r w:rsidR="0071360A">
              <w:rPr>
                <w:rFonts w:ascii="Arial" w:hAnsi="Arial" w:cs="Arial"/>
                <w:color w:val="202124"/>
                <w:lang w:val="sr-Cyrl-BA"/>
              </w:rPr>
              <w:t>в</w:t>
            </w:r>
            <w:r>
              <w:rPr>
                <w:rFonts w:ascii="Arial" w:hAnsi="Arial" w:cs="Arial"/>
                <w:color w:val="202124"/>
                <w:lang w:val="sr-Cyrl-BA"/>
              </w:rPr>
              <w:t>лада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в</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шт</w:t>
            </w:r>
            <w:r>
              <w:rPr>
                <w:rFonts w:ascii="Arial" w:hAnsi="Arial" w:cs="Arial"/>
                <w:color w:val="202124"/>
                <w:lang w:val="sr-Cyrl-BA"/>
              </w:rPr>
              <w:t>инама</w:t>
            </w:r>
            <w:r w:rsidR="00847B04" w:rsidRPr="00F6340E">
              <w:rPr>
                <w:rFonts w:ascii="Arial" w:hAnsi="Arial" w:cs="Arial"/>
                <w:color w:val="202124"/>
                <w:lang w:val="sr-Cyrl-BA"/>
              </w:rPr>
              <w:t xml:space="preserve">, </w:t>
            </w:r>
            <w:r>
              <w:rPr>
                <w:rFonts w:ascii="Arial" w:hAnsi="Arial" w:cs="Arial"/>
                <w:color w:val="202124"/>
                <w:lang w:val="sr-Cyrl-BA"/>
              </w:rPr>
              <w:t>као</w:t>
            </w:r>
            <w:r w:rsidR="00847B04" w:rsidRPr="00F6340E">
              <w:rPr>
                <w:rFonts w:ascii="Arial" w:hAnsi="Arial" w:cs="Arial"/>
                <w:color w:val="202124"/>
                <w:lang w:val="sr-Cyrl-BA"/>
              </w:rPr>
              <w:t xml:space="preserve"> </w:t>
            </w:r>
            <w:r w:rsidR="0071360A">
              <w:rPr>
                <w:rFonts w:ascii="Arial" w:hAnsi="Arial" w:cs="Arial"/>
                <w:color w:val="202124"/>
                <w:lang w:val="sr-Cyrl-BA"/>
              </w:rPr>
              <w:t>шт</w:t>
            </w:r>
            <w:r>
              <w:rPr>
                <w:rFonts w:ascii="Arial" w:hAnsi="Arial" w:cs="Arial"/>
                <w:color w:val="202124"/>
                <w:lang w:val="sr-Cyrl-BA"/>
              </w:rPr>
              <w:t>о</w:t>
            </w:r>
            <w:r w:rsidR="00847B04" w:rsidRPr="00F6340E">
              <w:rPr>
                <w:rFonts w:ascii="Arial" w:hAnsi="Arial" w:cs="Arial"/>
                <w:color w:val="202124"/>
                <w:lang w:val="sr-Cyrl-BA"/>
              </w:rPr>
              <w:t xml:space="preserve"> </w:t>
            </w:r>
            <w:r w:rsidR="0071360A">
              <w:rPr>
                <w:rFonts w:ascii="Arial" w:hAnsi="Arial" w:cs="Arial"/>
                <w:color w:val="202124"/>
                <w:lang w:val="sr-Cyrl-BA"/>
              </w:rPr>
              <w:t>су</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обл</w:t>
            </w:r>
            <w:r w:rsidR="00EE6AA2">
              <w:rPr>
                <w:rFonts w:ascii="Arial" w:hAnsi="Arial" w:cs="Arial"/>
                <w:color w:val="202124"/>
                <w:lang w:val="sr-Cyrl-BA"/>
              </w:rPr>
              <w:t>е</w:t>
            </w:r>
            <w:r>
              <w:rPr>
                <w:rFonts w:ascii="Arial" w:hAnsi="Arial" w:cs="Arial"/>
                <w:color w:val="202124"/>
                <w:lang w:val="sr-Cyrl-BA"/>
              </w:rPr>
              <w:t>ма</w:t>
            </w:r>
            <w:r w:rsidR="00847B04" w:rsidRPr="00F6340E">
              <w:rPr>
                <w:rFonts w:ascii="Arial" w:hAnsi="Arial" w:cs="Arial"/>
                <w:color w:val="202124"/>
                <w:lang w:val="sr-Cyrl-BA"/>
              </w:rPr>
              <w:t xml:space="preserve">, </w:t>
            </w:r>
            <w:r>
              <w:rPr>
                <w:rFonts w:ascii="Arial" w:hAnsi="Arial" w:cs="Arial"/>
                <w:color w:val="202124"/>
                <w:lang w:val="sr-Cyrl-BA"/>
              </w:rPr>
              <w:t>к</w:t>
            </w:r>
            <w:r w:rsidR="0071360A">
              <w:rPr>
                <w:rFonts w:ascii="Arial" w:hAnsi="Arial" w:cs="Arial"/>
                <w:color w:val="202124"/>
                <w:lang w:val="sr-Cyrl-BA"/>
              </w:rPr>
              <w:t>р</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ично</w:t>
            </w:r>
            <w:r w:rsidR="00847B04" w:rsidRPr="00F6340E">
              <w:rPr>
                <w:rFonts w:ascii="Arial" w:hAnsi="Arial" w:cs="Arial"/>
                <w:color w:val="202124"/>
                <w:lang w:val="sr-Cyrl-BA"/>
              </w:rPr>
              <w:t xml:space="preserve"> </w:t>
            </w:r>
            <w:r>
              <w:rPr>
                <w:rFonts w:ascii="Arial" w:hAnsi="Arial" w:cs="Arial"/>
                <w:color w:val="202124"/>
                <w:lang w:val="sr-Cyrl-BA"/>
              </w:rPr>
              <w:t>ми</w:t>
            </w:r>
            <w:r w:rsidR="0071360A">
              <w:rPr>
                <w:rFonts w:ascii="Arial" w:hAnsi="Arial" w:cs="Arial"/>
                <w:color w:val="202124"/>
                <w:lang w:val="sr-Cyrl-BA"/>
              </w:rPr>
              <w:t>ш</w:t>
            </w:r>
            <w:r>
              <w:rPr>
                <w:rFonts w:ascii="Arial" w:hAnsi="Arial" w:cs="Arial"/>
                <w:color w:val="202124"/>
                <w:lang w:val="sr-Cyrl-BA"/>
              </w:rPr>
              <w:t>љ</w:t>
            </w:r>
            <w:r w:rsidR="00EE6AA2">
              <w:rPr>
                <w:rFonts w:ascii="Arial" w:hAnsi="Arial" w:cs="Arial"/>
                <w:color w:val="202124"/>
                <w:lang w:val="sr-Cyrl-BA"/>
              </w:rPr>
              <w:t>е</w:t>
            </w:r>
            <w:r>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анали</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с</w:t>
            </w:r>
            <w:r>
              <w:rPr>
                <w:rFonts w:ascii="Arial" w:hAnsi="Arial" w:cs="Arial"/>
                <w:color w:val="202124"/>
                <w:lang w:val="sr-Cyrl-BA"/>
              </w:rPr>
              <w:t>а</w:t>
            </w:r>
            <w:r w:rsidR="0071360A">
              <w:rPr>
                <w:rFonts w:ascii="Arial" w:hAnsi="Arial" w:cs="Arial"/>
                <w:color w:val="202124"/>
                <w:lang w:val="sr-Cyrl-BA"/>
              </w:rPr>
              <w:t>р</w:t>
            </w:r>
            <w:r>
              <w:rPr>
                <w:rFonts w:ascii="Arial" w:hAnsi="Arial" w:cs="Arial"/>
                <w:color w:val="202124"/>
                <w:lang w:val="sr-Cyrl-BA"/>
              </w:rPr>
              <w:t>адња</w:t>
            </w:r>
            <w:r w:rsidR="00847B04" w:rsidRPr="00F6340E">
              <w:rPr>
                <w:rFonts w:ascii="Arial" w:hAnsi="Arial" w:cs="Arial"/>
                <w:color w:val="202124"/>
                <w:lang w:val="sr-Cyrl-BA"/>
              </w:rPr>
              <w:t xml:space="preserve">, </w:t>
            </w:r>
            <w:r>
              <w:rPr>
                <w:rFonts w:ascii="Arial" w:hAnsi="Arial" w:cs="Arial"/>
                <w:color w:val="202124"/>
                <w:lang w:val="sr-Cyrl-BA"/>
              </w:rPr>
              <w:t>ком</w:t>
            </w:r>
            <w:r w:rsidR="0071360A">
              <w:rPr>
                <w:rFonts w:ascii="Arial" w:hAnsi="Arial" w:cs="Arial"/>
                <w:color w:val="202124"/>
                <w:lang w:val="sr-Cyrl-BA"/>
              </w:rPr>
              <w:t>у</w:t>
            </w:r>
            <w:r>
              <w:rPr>
                <w:rFonts w:ascii="Arial" w:hAnsi="Arial" w:cs="Arial"/>
                <w:color w:val="202124"/>
                <w:lang w:val="sr-Cyrl-BA"/>
              </w:rPr>
              <w:t>никација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у</w:t>
            </w:r>
            <w:r>
              <w:rPr>
                <w:rFonts w:ascii="Arial" w:hAnsi="Arial" w:cs="Arial"/>
                <w:color w:val="202124"/>
                <w:lang w:val="sr-Cyrl-BA"/>
              </w:rPr>
              <w:t>миј</w:t>
            </w:r>
            <w:r w:rsidR="00EE6AA2">
              <w:rPr>
                <w:rFonts w:ascii="Arial" w:hAnsi="Arial" w:cs="Arial"/>
                <w:color w:val="202124"/>
                <w:lang w:val="sr-Cyrl-BA"/>
              </w:rPr>
              <w:t>е</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о</w:t>
            </w:r>
            <w:r w:rsidR="0071360A">
              <w:rPr>
                <w:rFonts w:ascii="Arial" w:hAnsi="Arial" w:cs="Arial"/>
                <w:color w:val="202124"/>
                <w:lang w:val="sr-Cyrl-BA"/>
              </w:rPr>
              <w:t>в</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д</w:t>
            </w:r>
            <w:r w:rsidR="0071360A">
              <w:rPr>
                <w:rFonts w:ascii="Arial" w:hAnsi="Arial" w:cs="Arial"/>
                <w:color w:val="202124"/>
                <w:lang w:val="sr-Cyrl-BA"/>
              </w:rPr>
              <w:t>ру</w:t>
            </w:r>
            <w:r>
              <w:rPr>
                <w:rFonts w:ascii="Arial" w:hAnsi="Arial" w:cs="Arial"/>
                <w:color w:val="202124"/>
                <w:lang w:val="sr-Cyrl-BA"/>
              </w:rPr>
              <w:t>гих</w:t>
            </w:r>
            <w:r w:rsidR="00847B04" w:rsidRPr="00F6340E">
              <w:rPr>
                <w:rFonts w:ascii="Arial" w:hAnsi="Arial" w:cs="Arial"/>
                <w:color w:val="202124"/>
                <w:lang w:val="sr-Cyrl-BA"/>
              </w:rPr>
              <w:t xml:space="preserve">. </w:t>
            </w:r>
            <w:r>
              <w:rPr>
                <w:rFonts w:ascii="Arial" w:hAnsi="Arial" w:cs="Arial"/>
                <w:color w:val="202124"/>
                <w:lang w:val="sr-Cyrl-BA"/>
              </w:rPr>
              <w:t>Као</w:t>
            </w:r>
            <w:r w:rsidR="00496D98" w:rsidRPr="00F6340E">
              <w:rPr>
                <w:rFonts w:ascii="Arial" w:hAnsi="Arial" w:cs="Arial"/>
                <w:color w:val="202124"/>
                <w:lang w:val="sr-Cyrl-BA"/>
              </w:rPr>
              <w:t xml:space="preserve"> </w:t>
            </w:r>
            <w:r>
              <w:rPr>
                <w:rFonts w:ascii="Arial" w:hAnsi="Arial" w:cs="Arial"/>
                <w:color w:val="202124"/>
                <w:lang w:val="sr-Cyrl-BA"/>
              </w:rPr>
              <w:t>дода</w:t>
            </w:r>
            <w:r w:rsidR="0071360A">
              <w:rPr>
                <w:rFonts w:ascii="Arial" w:hAnsi="Arial" w:cs="Arial"/>
                <w:color w:val="202124"/>
                <w:lang w:val="sr-Cyrl-BA"/>
              </w:rPr>
              <w:t>т</w:t>
            </w:r>
            <w:r>
              <w:rPr>
                <w:rFonts w:ascii="Arial" w:hAnsi="Arial" w:cs="Arial"/>
                <w:color w:val="202124"/>
                <w:lang w:val="sr-Cyrl-BA"/>
              </w:rPr>
              <w:t>ак</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в</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сп</w:t>
            </w:r>
            <w:r>
              <w:rPr>
                <w:rFonts w:ascii="Arial" w:hAnsi="Arial" w:cs="Arial"/>
                <w:color w:val="202124"/>
                <w:lang w:val="sr-Cyrl-BA"/>
              </w:rPr>
              <w:t>о</w:t>
            </w:r>
            <w:r w:rsidR="0071360A">
              <w:rPr>
                <w:rFonts w:ascii="Arial" w:hAnsi="Arial" w:cs="Arial"/>
                <w:color w:val="202124"/>
                <w:lang w:val="sr-Cyrl-BA"/>
              </w:rPr>
              <w:t>с</w:t>
            </w:r>
            <w:r>
              <w:rPr>
                <w:rFonts w:ascii="Arial" w:hAnsi="Arial" w:cs="Arial"/>
                <w:color w:val="202124"/>
                <w:lang w:val="sr-Cyrl-BA"/>
              </w:rPr>
              <w:t>обно</w:t>
            </w:r>
            <w:r w:rsidR="0071360A">
              <w:rPr>
                <w:rFonts w:ascii="Arial" w:hAnsi="Arial" w:cs="Arial"/>
                <w:color w:val="202124"/>
                <w:lang w:val="sr-Cyrl-BA"/>
              </w:rPr>
              <w:t>ст</w:t>
            </w:r>
            <w:r w:rsidR="00847B04" w:rsidRPr="00F6340E">
              <w:rPr>
                <w:rFonts w:ascii="Arial" w:hAnsi="Arial" w:cs="Arial"/>
                <w:color w:val="202124"/>
                <w:lang w:val="sr-Cyrl-BA"/>
              </w:rPr>
              <w:t xml:space="preserve"> </w:t>
            </w:r>
            <w:r w:rsidR="0071360A">
              <w:rPr>
                <w:rFonts w:ascii="Arial" w:hAnsi="Arial" w:cs="Arial"/>
                <w:color w:val="202124"/>
                <w:lang w:val="sr-Cyrl-BA"/>
              </w:rPr>
              <w:t>уп</w:t>
            </w:r>
            <w:r>
              <w:rPr>
                <w:rFonts w:ascii="Arial" w:hAnsi="Arial" w:cs="Arial"/>
                <w:color w:val="202124"/>
                <w:lang w:val="sr-Cyrl-BA"/>
              </w:rPr>
              <w:t>о</w:t>
            </w:r>
            <w:r w:rsidR="0071360A">
              <w:rPr>
                <w:rFonts w:ascii="Arial" w:hAnsi="Arial" w:cs="Arial"/>
                <w:color w:val="202124"/>
                <w:lang w:val="sr-Cyrl-BA"/>
              </w:rPr>
              <w:t>тр</w:t>
            </w:r>
            <w:r w:rsidR="00EE6AA2">
              <w:rPr>
                <w:rFonts w:ascii="Arial" w:hAnsi="Arial" w:cs="Arial"/>
                <w:color w:val="202124"/>
                <w:lang w:val="sr-Cyrl-BA"/>
              </w:rPr>
              <w:t>е</w:t>
            </w:r>
            <w:r>
              <w:rPr>
                <w:rFonts w:ascii="Arial" w:hAnsi="Arial" w:cs="Arial"/>
                <w:color w:val="202124"/>
                <w:lang w:val="sr-Cyrl-BA"/>
              </w:rPr>
              <w:t>б</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ИК</w:t>
            </w:r>
            <w:r w:rsidR="0071360A">
              <w:rPr>
                <w:rFonts w:ascii="Arial" w:hAnsi="Arial" w:cs="Arial"/>
                <w:color w:val="202124"/>
                <w:lang w:val="sr-Cyrl-BA"/>
              </w:rPr>
              <w:t>Т</w:t>
            </w:r>
            <w:r w:rsidR="00847B04" w:rsidRPr="00F6340E">
              <w:rPr>
                <w:rFonts w:ascii="Arial" w:hAnsi="Arial" w:cs="Arial"/>
                <w:color w:val="202124"/>
                <w:lang w:val="sr-Cyrl-BA"/>
              </w:rPr>
              <w:t>-</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који</w:t>
            </w:r>
            <w:r w:rsidR="00847B04" w:rsidRPr="00F6340E">
              <w:rPr>
                <w:rFonts w:ascii="Arial" w:hAnsi="Arial" w:cs="Arial"/>
                <w:color w:val="202124"/>
                <w:lang w:val="sr-Cyrl-BA"/>
              </w:rPr>
              <w:t xml:space="preserve"> </w:t>
            </w:r>
            <w:r>
              <w:rPr>
                <w:rFonts w:ascii="Arial" w:hAnsi="Arial" w:cs="Arial"/>
                <w:color w:val="202124"/>
                <w:lang w:val="sr-Cyrl-BA"/>
              </w:rPr>
              <w:t>ј</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кљ</w:t>
            </w:r>
            <w:r w:rsidR="0071360A">
              <w:rPr>
                <w:rFonts w:ascii="Arial" w:hAnsi="Arial" w:cs="Arial"/>
                <w:color w:val="202124"/>
                <w:lang w:val="sr-Cyrl-BA"/>
              </w:rPr>
              <w:t>у</w:t>
            </w:r>
            <w:r>
              <w:rPr>
                <w:rFonts w:ascii="Arial" w:hAnsi="Arial" w:cs="Arial"/>
                <w:color w:val="202124"/>
                <w:lang w:val="sr-Cyrl-BA"/>
              </w:rPr>
              <w:t>чно</w:t>
            </w:r>
            <w:r w:rsidR="00847B04" w:rsidRPr="00F6340E">
              <w:rPr>
                <w:rFonts w:ascii="Arial" w:hAnsi="Arial" w:cs="Arial"/>
                <w:color w:val="202124"/>
                <w:lang w:val="sr-Cyrl-BA"/>
              </w:rPr>
              <w:t xml:space="preserve"> </w:t>
            </w:r>
            <w:r w:rsidR="0071360A">
              <w:rPr>
                <w:rFonts w:ascii="Arial" w:hAnsi="Arial" w:cs="Arial"/>
                <w:color w:val="202124"/>
                <w:lang w:val="sr-Cyrl-BA"/>
              </w:rPr>
              <w:t>ср</w:t>
            </w:r>
            <w:r w:rsidR="00EE6AA2">
              <w:rPr>
                <w:rFonts w:ascii="Arial" w:hAnsi="Arial" w:cs="Arial"/>
                <w:color w:val="202124"/>
                <w:lang w:val="sr-Cyrl-BA"/>
              </w:rPr>
              <w:t>е</w:t>
            </w:r>
            <w:r>
              <w:rPr>
                <w:rFonts w:ascii="Arial" w:hAnsi="Arial" w:cs="Arial"/>
                <w:color w:val="202124"/>
                <w:lang w:val="sr-Cyrl-BA"/>
              </w:rPr>
              <w:t>д</w:t>
            </w:r>
            <w:r w:rsidR="0071360A">
              <w:rPr>
                <w:rFonts w:ascii="Arial" w:hAnsi="Arial" w:cs="Arial"/>
                <w:color w:val="202124"/>
                <w:lang w:val="sr-Cyrl-BA"/>
              </w:rPr>
              <w:t>ств</w:t>
            </w:r>
            <w:r>
              <w:rPr>
                <w:rFonts w:ascii="Arial" w:hAnsi="Arial" w:cs="Arial"/>
                <w:color w:val="202124"/>
                <w:lang w:val="sr-Cyrl-BA"/>
              </w:rPr>
              <w:t>о</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упр</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љањ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инфо</w:t>
            </w:r>
            <w:r w:rsidR="0071360A">
              <w:rPr>
                <w:rFonts w:ascii="Arial" w:hAnsi="Arial" w:cs="Arial"/>
                <w:color w:val="202124"/>
                <w:lang w:val="sr-Cyrl-BA"/>
              </w:rPr>
              <w:t>р</w:t>
            </w:r>
            <w:r>
              <w:rPr>
                <w:rFonts w:ascii="Arial" w:hAnsi="Arial" w:cs="Arial"/>
                <w:color w:val="202124"/>
                <w:lang w:val="sr-Cyrl-BA"/>
              </w:rPr>
              <w:t>мацијама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ком</w:t>
            </w:r>
            <w:r w:rsidR="0071360A">
              <w:rPr>
                <w:rFonts w:ascii="Arial" w:hAnsi="Arial" w:cs="Arial"/>
                <w:color w:val="202124"/>
                <w:lang w:val="sr-Cyrl-BA"/>
              </w:rPr>
              <w:t>п</w:t>
            </w:r>
            <w:r>
              <w:rPr>
                <w:rFonts w:ascii="Arial" w:hAnsi="Arial" w:cs="Arial"/>
                <w:color w:val="202124"/>
                <w:lang w:val="sr-Cyrl-BA"/>
              </w:rPr>
              <w:t>л</w:t>
            </w:r>
            <w:r w:rsidR="00EE6AA2">
              <w:rPr>
                <w:rFonts w:ascii="Arial" w:hAnsi="Arial" w:cs="Arial"/>
                <w:color w:val="202124"/>
                <w:lang w:val="sr-Cyrl-BA"/>
              </w:rPr>
              <w:t>е</w:t>
            </w:r>
            <w:r>
              <w:rPr>
                <w:rFonts w:ascii="Arial" w:hAnsi="Arial" w:cs="Arial"/>
                <w:color w:val="202124"/>
                <w:lang w:val="sr-Cyrl-BA"/>
              </w:rPr>
              <w:t>к</w:t>
            </w:r>
            <w:r w:rsidR="0071360A">
              <w:rPr>
                <w:rFonts w:ascii="Arial" w:hAnsi="Arial" w:cs="Arial"/>
                <w:color w:val="202124"/>
                <w:lang w:val="sr-Cyrl-BA"/>
              </w:rPr>
              <w:t>с</w:t>
            </w:r>
            <w:r>
              <w:rPr>
                <w:rFonts w:ascii="Arial" w:hAnsi="Arial" w:cs="Arial"/>
                <w:color w:val="202124"/>
                <w:lang w:val="sr-Cyrl-BA"/>
              </w:rPr>
              <w:t>ним</w:t>
            </w:r>
            <w:r w:rsidR="00847B04" w:rsidRPr="00F6340E">
              <w:rPr>
                <w:rFonts w:ascii="Arial" w:hAnsi="Arial" w:cs="Arial"/>
                <w:color w:val="202124"/>
                <w:lang w:val="sr-Cyrl-BA"/>
              </w:rPr>
              <w:t xml:space="preserve"> </w:t>
            </w:r>
            <w:r>
              <w:rPr>
                <w:rFonts w:ascii="Arial" w:hAnsi="Arial" w:cs="Arial"/>
                <w:color w:val="202124"/>
                <w:lang w:val="sr-Cyrl-BA"/>
              </w:rPr>
              <w:t>когни</w:t>
            </w:r>
            <w:r w:rsidR="0071360A">
              <w:rPr>
                <w:rFonts w:ascii="Arial" w:hAnsi="Arial" w:cs="Arial"/>
                <w:color w:val="202124"/>
                <w:lang w:val="sr-Cyrl-BA"/>
              </w:rPr>
              <w:t>т</w:t>
            </w:r>
            <w:r>
              <w:rPr>
                <w:rFonts w:ascii="Arial" w:hAnsi="Arial" w:cs="Arial"/>
                <w:color w:val="202124"/>
                <w:lang w:val="sr-Cyrl-BA"/>
              </w:rPr>
              <w:t>и</w:t>
            </w:r>
            <w:r w:rsidR="0071360A">
              <w:rPr>
                <w:rFonts w:ascii="Arial" w:hAnsi="Arial" w:cs="Arial"/>
                <w:color w:val="202124"/>
                <w:lang w:val="sr-Cyrl-BA"/>
              </w:rPr>
              <w:t>в</w:t>
            </w:r>
            <w:r>
              <w:rPr>
                <w:rFonts w:ascii="Arial" w:hAnsi="Arial" w:cs="Arial"/>
                <w:color w:val="202124"/>
                <w:lang w:val="sr-Cyrl-BA"/>
              </w:rPr>
              <w:t>ним</w:t>
            </w:r>
            <w:r w:rsidR="00847B04" w:rsidRPr="00F6340E">
              <w:rPr>
                <w:rFonts w:ascii="Arial" w:hAnsi="Arial" w:cs="Arial"/>
                <w:color w:val="202124"/>
                <w:lang w:val="sr-Cyrl-BA"/>
              </w:rPr>
              <w:t xml:space="preserve"> </w:t>
            </w:r>
            <w:r w:rsidR="0071360A">
              <w:rPr>
                <w:rFonts w:ascii="Arial" w:hAnsi="Arial" w:cs="Arial"/>
                <w:color w:val="202124"/>
                <w:lang w:val="sr-Cyrl-BA"/>
              </w:rPr>
              <w:t>в</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шт</w:t>
            </w:r>
            <w:r>
              <w:rPr>
                <w:rFonts w:ascii="Arial" w:hAnsi="Arial" w:cs="Arial"/>
                <w:color w:val="202124"/>
                <w:lang w:val="sr-Cyrl-BA"/>
              </w:rPr>
              <w:t>инама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171F00">
              <w:rPr>
                <w:rFonts w:ascii="Arial" w:hAnsi="Arial" w:cs="Arial"/>
                <w:color w:val="202124"/>
                <w:lang w:val="sr-Cyrl-BA"/>
              </w:rPr>
              <w:t>з</w:t>
            </w:r>
            <w:r>
              <w:rPr>
                <w:rFonts w:ascii="Arial" w:hAnsi="Arial" w:cs="Arial"/>
                <w:color w:val="202124"/>
                <w:lang w:val="sr-Cyrl-BA"/>
              </w:rPr>
              <w:t>имај</w:t>
            </w:r>
            <w:r w:rsidR="0071360A">
              <w:rPr>
                <w:rFonts w:ascii="Arial" w:hAnsi="Arial" w:cs="Arial"/>
                <w:color w:val="202124"/>
                <w:lang w:val="sr-Cyrl-BA"/>
              </w:rPr>
              <w:t>у</w:t>
            </w:r>
            <w:r>
              <w:rPr>
                <w:rFonts w:ascii="Arial" w:hAnsi="Arial" w:cs="Arial"/>
                <w:color w:val="202124"/>
                <w:lang w:val="sr-Cyrl-BA"/>
              </w:rPr>
              <w:t>ћи</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об</w:t>
            </w:r>
            <w:r w:rsidR="00171F00">
              <w:rPr>
                <w:rFonts w:ascii="Arial" w:hAnsi="Arial" w:cs="Arial"/>
                <w:color w:val="202124"/>
                <w:lang w:val="sr-Cyrl-BA"/>
              </w:rPr>
              <w:t>з</w:t>
            </w:r>
            <w:r>
              <w:rPr>
                <w:rFonts w:ascii="Arial" w:hAnsi="Arial" w:cs="Arial"/>
                <w:color w:val="202124"/>
                <w:lang w:val="sr-Cyrl-BA"/>
              </w:rPr>
              <w:t>и</w:t>
            </w:r>
            <w:r w:rsidR="0071360A">
              <w:rPr>
                <w:rFonts w:ascii="Arial" w:hAnsi="Arial" w:cs="Arial"/>
                <w:color w:val="202124"/>
                <w:lang w:val="sr-Cyrl-BA"/>
              </w:rPr>
              <w:t>р</w:t>
            </w:r>
            <w:r w:rsidR="00847B04" w:rsidRPr="00F6340E">
              <w:rPr>
                <w:rFonts w:ascii="Arial" w:hAnsi="Arial" w:cs="Arial"/>
                <w:color w:val="202124"/>
                <w:lang w:val="sr-Cyrl-BA"/>
              </w:rPr>
              <w:t xml:space="preserve"> </w:t>
            </w:r>
            <w:r w:rsidR="0071360A">
              <w:rPr>
                <w:rFonts w:ascii="Arial" w:hAnsi="Arial" w:cs="Arial"/>
                <w:color w:val="202124"/>
                <w:lang w:val="sr-Cyrl-BA"/>
              </w:rPr>
              <w:t>ст</w:t>
            </w:r>
            <w:r>
              <w:rPr>
                <w:rFonts w:ascii="Arial" w:hAnsi="Arial" w:cs="Arial"/>
                <w:color w:val="202124"/>
                <w:lang w:val="sr-Cyrl-BA"/>
              </w:rPr>
              <w:t>ило</w:t>
            </w:r>
            <w:r w:rsidR="0071360A">
              <w:rPr>
                <w:rFonts w:ascii="Arial" w:hAnsi="Arial" w:cs="Arial"/>
                <w:color w:val="202124"/>
                <w:lang w:val="sr-Cyrl-BA"/>
              </w:rPr>
              <w:t>в</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ња</w:t>
            </w:r>
            <w:r w:rsidR="00847B04" w:rsidRPr="00F6340E">
              <w:rPr>
                <w:rFonts w:ascii="Arial" w:hAnsi="Arial" w:cs="Arial"/>
                <w:color w:val="202124"/>
                <w:lang w:val="sr-Cyrl-BA"/>
              </w:rPr>
              <w:t xml:space="preserve">, </w:t>
            </w:r>
            <w:r w:rsidR="0071360A">
              <w:rPr>
                <w:rFonts w:ascii="Arial" w:hAnsi="Arial" w:cs="Arial"/>
                <w:color w:val="202124"/>
                <w:lang w:val="sr-Cyrl-BA"/>
              </w:rPr>
              <w:t>сп</w:t>
            </w:r>
            <w:r>
              <w:rPr>
                <w:rFonts w:ascii="Arial" w:hAnsi="Arial" w:cs="Arial"/>
                <w:color w:val="202124"/>
                <w:lang w:val="sr-Cyrl-BA"/>
              </w:rPr>
              <w:t>о</w:t>
            </w:r>
            <w:r w:rsidR="0071360A">
              <w:rPr>
                <w:rFonts w:ascii="Arial" w:hAnsi="Arial" w:cs="Arial"/>
                <w:color w:val="202124"/>
                <w:lang w:val="sr-Cyrl-BA"/>
              </w:rPr>
              <w:t>с</w:t>
            </w:r>
            <w:r>
              <w:rPr>
                <w:rFonts w:ascii="Arial" w:hAnsi="Arial" w:cs="Arial"/>
                <w:color w:val="202124"/>
                <w:lang w:val="sr-Cyrl-BA"/>
              </w:rPr>
              <w:t>обно</w:t>
            </w:r>
            <w:r w:rsidR="0071360A">
              <w:rPr>
                <w:rFonts w:ascii="Arial" w:hAnsi="Arial" w:cs="Arial"/>
                <w:color w:val="202124"/>
                <w:lang w:val="sr-Cyrl-BA"/>
              </w:rPr>
              <w:t>ст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д</w:t>
            </w:r>
            <w:r w:rsidR="0071360A">
              <w:rPr>
                <w:rFonts w:ascii="Arial" w:hAnsi="Arial" w:cs="Arial"/>
                <w:color w:val="202124"/>
                <w:lang w:val="sr-Cyrl-BA"/>
              </w:rPr>
              <w:t>руштв</w:t>
            </w:r>
            <w:r w:rsidR="00EE6AA2">
              <w:rPr>
                <w:rFonts w:ascii="Arial" w:hAnsi="Arial" w:cs="Arial"/>
                <w:color w:val="202124"/>
                <w:lang w:val="sr-Cyrl-BA"/>
              </w:rPr>
              <w:t>е</w:t>
            </w:r>
            <w:r>
              <w:rPr>
                <w:rFonts w:ascii="Arial" w:hAnsi="Arial" w:cs="Arial"/>
                <w:color w:val="202124"/>
                <w:lang w:val="sr-Cyrl-BA"/>
              </w:rPr>
              <w:t>но</w:t>
            </w:r>
            <w:r w:rsidR="00496D98" w:rsidRPr="00F6340E">
              <w:rPr>
                <w:rFonts w:ascii="Arial" w:hAnsi="Arial" w:cs="Arial"/>
                <w:color w:val="202124"/>
                <w:lang w:val="sr-Cyrl-BA"/>
              </w:rPr>
              <w:t>-</w:t>
            </w:r>
            <w:r>
              <w:rPr>
                <w:rFonts w:ascii="Arial" w:hAnsi="Arial" w:cs="Arial"/>
                <w:color w:val="202124"/>
                <w:lang w:val="sr-Cyrl-BA"/>
              </w:rPr>
              <w:t>ј</w:t>
            </w:r>
            <w:r w:rsidR="00EE6AA2">
              <w:rPr>
                <w:rFonts w:ascii="Arial" w:hAnsi="Arial" w:cs="Arial"/>
                <w:color w:val="202124"/>
                <w:lang w:val="sr-Cyrl-BA"/>
              </w:rPr>
              <w:t>е</w:t>
            </w:r>
            <w:r w:rsidR="00171F00">
              <w:rPr>
                <w:rFonts w:ascii="Arial" w:hAnsi="Arial" w:cs="Arial"/>
                <w:color w:val="202124"/>
                <w:lang w:val="sr-Cyrl-BA"/>
              </w:rPr>
              <w:t>з</w:t>
            </w:r>
            <w:r>
              <w:rPr>
                <w:rFonts w:ascii="Arial" w:hAnsi="Arial" w:cs="Arial"/>
                <w:color w:val="202124"/>
                <w:lang w:val="sr-Cyrl-BA"/>
              </w:rPr>
              <w:t>ичк</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в</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шт</w:t>
            </w:r>
            <w:r>
              <w:rPr>
                <w:rFonts w:ascii="Arial" w:hAnsi="Arial" w:cs="Arial"/>
                <w:color w:val="202124"/>
                <w:lang w:val="sr-Cyrl-BA"/>
              </w:rPr>
              <w:t>ин</w:t>
            </w:r>
            <w:r w:rsidR="00EE6AA2">
              <w:rPr>
                <w:rFonts w:ascii="Arial" w:hAnsi="Arial" w:cs="Arial"/>
                <w:color w:val="202124"/>
                <w:lang w:val="sr-Cyrl-BA"/>
              </w:rPr>
              <w:t>е</w:t>
            </w:r>
            <w:r w:rsidR="00847B04" w:rsidRPr="00F6340E">
              <w:rPr>
                <w:rFonts w:ascii="Arial" w:hAnsi="Arial" w:cs="Arial"/>
                <w:color w:val="202124"/>
                <w:lang w:val="sr-Cyrl-BA"/>
              </w:rPr>
              <w:t>.</w:t>
            </w:r>
          </w:p>
          <w:p w14:paraId="602E9012" w14:textId="6BA24B67"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Ид</w:t>
            </w:r>
            <w:r w:rsidR="00EE6AA2">
              <w:rPr>
                <w:rFonts w:ascii="Arial" w:hAnsi="Arial" w:cs="Arial"/>
                <w:color w:val="202124"/>
                <w:lang w:val="sr-Cyrl-BA"/>
              </w:rPr>
              <w:t>е</w:t>
            </w:r>
            <w:r>
              <w:rPr>
                <w:rFonts w:ascii="Arial" w:hAnsi="Arial" w:cs="Arial"/>
                <w:color w:val="202124"/>
                <w:lang w:val="sr-Cyrl-BA"/>
              </w:rPr>
              <w:t>н</w:t>
            </w:r>
            <w:r w:rsidR="0071360A">
              <w:rPr>
                <w:rFonts w:ascii="Arial" w:hAnsi="Arial" w:cs="Arial"/>
                <w:color w:val="202124"/>
                <w:lang w:val="sr-Cyrl-BA"/>
              </w:rPr>
              <w:t>т</w:t>
            </w:r>
            <w:r>
              <w:rPr>
                <w:rFonts w:ascii="Arial" w:hAnsi="Arial" w:cs="Arial"/>
                <w:color w:val="202124"/>
                <w:lang w:val="sr-Cyrl-BA"/>
              </w:rPr>
              <w:t>ифико</w:t>
            </w:r>
            <w:r w:rsidR="0071360A">
              <w:rPr>
                <w:rFonts w:ascii="Arial" w:hAnsi="Arial" w:cs="Arial"/>
                <w:color w:val="202124"/>
                <w:lang w:val="sr-Cyrl-BA"/>
              </w:rPr>
              <w:t>в</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оциј</w:t>
            </w:r>
            <w:r w:rsidR="00EE6AA2">
              <w:rPr>
                <w:rFonts w:ascii="Arial" w:hAnsi="Arial" w:cs="Arial"/>
                <w:color w:val="202124"/>
                <w:lang w:val="sr-Cyrl-BA"/>
              </w:rPr>
              <w:t>е</w:t>
            </w:r>
            <w:r>
              <w:rPr>
                <w:rFonts w:ascii="Arial" w:hAnsi="Arial" w:cs="Arial"/>
                <w:color w:val="202124"/>
                <w:lang w:val="sr-Cyrl-BA"/>
              </w:rPr>
              <w:t>ни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одаб</w:t>
            </w:r>
            <w:r w:rsidR="0071360A">
              <w:rPr>
                <w:rFonts w:ascii="Arial" w:hAnsi="Arial" w:cs="Arial"/>
                <w:color w:val="202124"/>
                <w:lang w:val="sr-Cyrl-BA"/>
              </w:rPr>
              <w:t>р</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EE6AA2">
              <w:rPr>
                <w:rFonts w:ascii="Arial" w:hAnsi="Arial" w:cs="Arial"/>
                <w:color w:val="202124"/>
                <w:lang w:val="sr-Cyrl-BA"/>
              </w:rPr>
              <w:t>е</w:t>
            </w:r>
            <w:r w:rsidR="0071360A">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оц</w:t>
            </w:r>
            <w:r w:rsidR="00EE6AA2">
              <w:rPr>
                <w:rFonts w:ascii="Arial" w:hAnsi="Arial" w:cs="Arial"/>
                <w:color w:val="202124"/>
                <w:lang w:val="sr-Cyrl-BA"/>
              </w:rPr>
              <w:t>е</w:t>
            </w:r>
            <w:r w:rsidR="0071360A">
              <w:rPr>
                <w:rFonts w:ascii="Arial" w:hAnsi="Arial" w:cs="Arial"/>
                <w:color w:val="202124"/>
                <w:lang w:val="sr-Cyrl-BA"/>
              </w:rPr>
              <w:t>с</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ња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w:t>
            </w:r>
            <w:r>
              <w:rPr>
                <w:rFonts w:ascii="Arial" w:hAnsi="Arial" w:cs="Arial"/>
                <w:color w:val="202124"/>
                <w:lang w:val="sr-Cyrl-BA"/>
              </w:rPr>
              <w:t>од</w:t>
            </w:r>
            <w:r w:rsidR="0071360A">
              <w:rPr>
                <w:rFonts w:ascii="Arial" w:hAnsi="Arial" w:cs="Arial"/>
                <w:color w:val="202124"/>
                <w:lang w:val="sr-Cyrl-BA"/>
              </w:rPr>
              <w:t>у</w:t>
            </w:r>
            <w:r>
              <w:rPr>
                <w:rFonts w:ascii="Arial" w:hAnsi="Arial" w:cs="Arial"/>
                <w:color w:val="202124"/>
                <w:lang w:val="sr-Cyrl-BA"/>
              </w:rPr>
              <w:t>ча</w:t>
            </w:r>
            <w:r w:rsidR="0071360A">
              <w:rPr>
                <w:rFonts w:ascii="Arial" w:hAnsi="Arial" w:cs="Arial"/>
                <w:color w:val="202124"/>
                <w:lang w:val="sr-Cyrl-BA"/>
              </w:rPr>
              <w:t>в</w:t>
            </w:r>
            <w:r>
              <w:rPr>
                <w:rFonts w:ascii="Arial" w:hAnsi="Arial" w:cs="Arial"/>
                <w:color w:val="202124"/>
                <w:lang w:val="sr-Cyrl-BA"/>
              </w:rPr>
              <w:t>ања</w:t>
            </w:r>
            <w:r w:rsidR="00847B04" w:rsidRPr="00F6340E">
              <w:rPr>
                <w:rFonts w:ascii="Arial" w:hAnsi="Arial" w:cs="Arial"/>
                <w:color w:val="202124"/>
                <w:lang w:val="sr-Cyrl-BA"/>
              </w:rPr>
              <w:t>.</w:t>
            </w:r>
          </w:p>
          <w:p w14:paraId="7559F34E" w14:textId="50345285"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Ид</w:t>
            </w:r>
            <w:r w:rsidR="00EE6AA2">
              <w:rPr>
                <w:rFonts w:ascii="Arial" w:hAnsi="Arial" w:cs="Arial"/>
                <w:color w:val="202124"/>
                <w:lang w:val="sr-Cyrl-BA"/>
              </w:rPr>
              <w:t>е</w:t>
            </w:r>
            <w:r>
              <w:rPr>
                <w:rFonts w:ascii="Arial" w:hAnsi="Arial" w:cs="Arial"/>
                <w:color w:val="202124"/>
                <w:lang w:val="sr-Cyrl-BA"/>
              </w:rPr>
              <w:t>н</w:t>
            </w:r>
            <w:r w:rsidR="0071360A">
              <w:rPr>
                <w:rFonts w:ascii="Arial" w:hAnsi="Arial" w:cs="Arial"/>
                <w:color w:val="202124"/>
                <w:lang w:val="sr-Cyrl-BA"/>
              </w:rPr>
              <w:t>т</w:t>
            </w:r>
            <w:r>
              <w:rPr>
                <w:rFonts w:ascii="Arial" w:hAnsi="Arial" w:cs="Arial"/>
                <w:color w:val="202124"/>
                <w:lang w:val="sr-Cyrl-BA"/>
              </w:rPr>
              <w:t>ифико</w:t>
            </w:r>
            <w:r w:rsidR="0071360A">
              <w:rPr>
                <w:rFonts w:ascii="Arial" w:hAnsi="Arial" w:cs="Arial"/>
                <w:color w:val="202124"/>
                <w:lang w:val="sr-Cyrl-BA"/>
              </w:rPr>
              <w:t>в</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w:t>
            </w:r>
            <w:r>
              <w:rPr>
                <w:rFonts w:ascii="Arial" w:hAnsi="Arial" w:cs="Arial"/>
                <w:color w:val="202124"/>
                <w:lang w:val="sr-Cyrl-BA"/>
              </w:rPr>
              <w:t>иг</w:t>
            </w:r>
            <w:r w:rsidR="0071360A">
              <w:rPr>
                <w:rFonts w:ascii="Arial" w:hAnsi="Arial" w:cs="Arial"/>
                <w:color w:val="202124"/>
                <w:lang w:val="sr-Cyrl-BA"/>
              </w:rPr>
              <w:t>ур</w:t>
            </w:r>
            <w:r>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и</w:t>
            </w:r>
            <w:r w:rsidR="0071360A">
              <w:rPr>
                <w:rFonts w:ascii="Arial" w:hAnsi="Arial" w:cs="Arial"/>
                <w:color w:val="202124"/>
                <w:lang w:val="sr-Cyrl-BA"/>
              </w:rPr>
              <w:t>ступ</w:t>
            </w:r>
            <w:r>
              <w:rPr>
                <w:rFonts w:ascii="Arial" w:hAnsi="Arial" w:cs="Arial"/>
                <w:color w:val="202124"/>
                <w:lang w:val="sr-Cyrl-BA"/>
              </w:rPr>
              <w:t>ачн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начин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уп</w:t>
            </w:r>
            <w:r>
              <w:rPr>
                <w:rFonts w:ascii="Arial" w:hAnsi="Arial" w:cs="Arial"/>
                <w:color w:val="202124"/>
                <w:lang w:val="sr-Cyrl-BA"/>
              </w:rPr>
              <w:t>о</w:t>
            </w:r>
            <w:r w:rsidR="0071360A">
              <w:rPr>
                <w:rFonts w:ascii="Arial" w:hAnsi="Arial" w:cs="Arial"/>
                <w:color w:val="202124"/>
                <w:lang w:val="sr-Cyrl-BA"/>
              </w:rPr>
              <w:t>тр</w:t>
            </w:r>
            <w:r w:rsidR="00EE6AA2">
              <w:rPr>
                <w:rFonts w:ascii="Arial" w:hAnsi="Arial" w:cs="Arial"/>
                <w:color w:val="202124"/>
                <w:lang w:val="sr-Cyrl-BA"/>
              </w:rPr>
              <w:t>е</w:t>
            </w:r>
            <w:r>
              <w:rPr>
                <w:rFonts w:ascii="Arial" w:hAnsi="Arial" w:cs="Arial"/>
                <w:color w:val="202124"/>
                <w:lang w:val="sr-Cyrl-BA"/>
              </w:rPr>
              <w:t>б</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ИК</w:t>
            </w:r>
            <w:r w:rsidR="0071360A">
              <w:rPr>
                <w:rFonts w:ascii="Arial" w:hAnsi="Arial" w:cs="Arial"/>
                <w:color w:val="202124"/>
                <w:lang w:val="sr-Cyrl-BA"/>
              </w:rPr>
              <w:t>Т</w:t>
            </w:r>
            <w:r w:rsidR="00847B04" w:rsidRPr="00F6340E">
              <w:rPr>
                <w:rFonts w:ascii="Arial" w:hAnsi="Arial" w:cs="Arial"/>
                <w:color w:val="202124"/>
                <w:lang w:val="sr-Cyrl-BA"/>
              </w:rPr>
              <w:t>-</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об</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о</w:t>
            </w:r>
            <w:r w:rsidR="0071360A">
              <w:rPr>
                <w:rFonts w:ascii="Arial" w:hAnsi="Arial" w:cs="Arial"/>
                <w:color w:val="202124"/>
                <w:lang w:val="sr-Cyrl-BA"/>
              </w:rPr>
              <w:t>в</w:t>
            </w:r>
            <w:r>
              <w:rPr>
                <w:rFonts w:ascii="Arial" w:hAnsi="Arial" w:cs="Arial"/>
                <w:color w:val="202124"/>
                <w:lang w:val="sr-Cyrl-BA"/>
              </w:rPr>
              <w:t>ањ</w:t>
            </w:r>
            <w:r w:rsidR="0071360A">
              <w:rPr>
                <w:rFonts w:ascii="Arial" w:hAnsi="Arial" w:cs="Arial"/>
                <w:color w:val="202124"/>
                <w:lang w:val="sr-Cyrl-BA"/>
              </w:rPr>
              <w:t>у</w:t>
            </w:r>
            <w:r w:rsidR="00847B04" w:rsidRPr="00F6340E">
              <w:rPr>
                <w:rFonts w:ascii="Arial" w:hAnsi="Arial" w:cs="Arial"/>
                <w:color w:val="202124"/>
                <w:lang w:val="sr-Cyrl-BA"/>
              </w:rPr>
              <w:t>.</w:t>
            </w:r>
          </w:p>
          <w:p w14:paraId="16D7DF57" w14:textId="48197EAF"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w:t>
            </w:r>
            <w:r w:rsidR="00171F00">
              <w:rPr>
                <w:rFonts w:ascii="Arial" w:hAnsi="Arial" w:cs="Arial"/>
                <w:color w:val="202124"/>
                <w:lang w:val="sr-Cyrl-BA"/>
              </w:rPr>
              <w:t>з</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об</w:t>
            </w:r>
            <w:r w:rsidR="00171F00">
              <w:rPr>
                <w:rFonts w:ascii="Arial" w:hAnsi="Arial" w:cs="Arial"/>
                <w:color w:val="202124"/>
                <w:lang w:val="sr-Cyrl-BA"/>
              </w:rPr>
              <w:t>з</w:t>
            </w:r>
            <w:r w:rsidR="00A56E08">
              <w:rPr>
                <w:rFonts w:ascii="Arial" w:hAnsi="Arial" w:cs="Arial"/>
                <w:color w:val="202124"/>
                <w:lang w:val="sr-Cyrl-BA"/>
              </w:rPr>
              <w:t>и</w:t>
            </w:r>
            <w:r>
              <w:rPr>
                <w:rFonts w:ascii="Arial" w:hAnsi="Arial" w:cs="Arial"/>
                <w:color w:val="202124"/>
                <w:lang w:val="sr-Cyrl-BA"/>
              </w:rPr>
              <w:t>р</w:t>
            </w:r>
            <w:r w:rsidR="00847B04" w:rsidRPr="00F6340E">
              <w:rPr>
                <w:rFonts w:ascii="Arial" w:hAnsi="Arial" w:cs="Arial"/>
                <w:color w:val="202124"/>
                <w:lang w:val="sr-Cyrl-BA"/>
              </w:rPr>
              <w:t xml:space="preserve"> </w:t>
            </w:r>
            <w:r>
              <w:rPr>
                <w:rFonts w:ascii="Arial" w:hAnsi="Arial" w:cs="Arial"/>
                <w:color w:val="202124"/>
                <w:lang w:val="sr-Cyrl-BA"/>
              </w:rPr>
              <w:t>сп</w:t>
            </w:r>
            <w:r w:rsidR="00EE6AA2">
              <w:rPr>
                <w:rFonts w:ascii="Arial" w:hAnsi="Arial" w:cs="Arial"/>
                <w:color w:val="202124"/>
                <w:lang w:val="sr-Cyrl-BA"/>
              </w:rPr>
              <w:t>е</w:t>
            </w:r>
            <w:r w:rsidR="00A56E08">
              <w:rPr>
                <w:rFonts w:ascii="Arial" w:hAnsi="Arial" w:cs="Arial"/>
                <w:color w:val="202124"/>
                <w:lang w:val="sr-Cyrl-BA"/>
              </w:rPr>
              <w:t>цифичн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циљ</w:t>
            </w:r>
            <w:r w:rsidR="00EE6AA2">
              <w:rPr>
                <w:rFonts w:ascii="Arial" w:hAnsi="Arial" w:cs="Arial"/>
                <w:color w:val="202124"/>
                <w:lang w:val="sr-Cyrl-BA"/>
              </w:rPr>
              <w:t>е</w:t>
            </w:r>
            <w:r>
              <w:rPr>
                <w:rFonts w:ascii="Arial" w:hAnsi="Arial" w:cs="Arial"/>
                <w:color w:val="202124"/>
                <w:lang w:val="sr-Cyrl-BA"/>
              </w:rPr>
              <w:t>в</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A56E08">
              <w:rPr>
                <w:rFonts w:ascii="Arial" w:hAnsi="Arial" w:cs="Arial"/>
                <w:color w:val="202124"/>
                <w:lang w:val="sr-Cyrl-BA"/>
              </w:rPr>
              <w:t>кон</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ст</w:t>
            </w:r>
            <w:r w:rsidR="00847B04" w:rsidRPr="00F6340E">
              <w:rPr>
                <w:rFonts w:ascii="Arial" w:hAnsi="Arial" w:cs="Arial"/>
                <w:color w:val="202124"/>
                <w:lang w:val="sr-Cyrl-BA"/>
              </w:rPr>
              <w:t xml:space="preserve">, </w:t>
            </w:r>
            <w:r>
              <w:rPr>
                <w:rFonts w:ascii="Arial" w:hAnsi="Arial" w:cs="Arial"/>
                <w:color w:val="202124"/>
                <w:lang w:val="sr-Cyrl-BA"/>
              </w:rPr>
              <w:t>п</w:t>
            </w:r>
            <w:r w:rsidR="00EE6AA2">
              <w:rPr>
                <w:rFonts w:ascii="Arial" w:hAnsi="Arial" w:cs="Arial"/>
                <w:color w:val="202124"/>
                <w:lang w:val="sr-Cyrl-BA"/>
              </w:rPr>
              <w:t>е</w:t>
            </w:r>
            <w:r w:rsidR="00A56E08">
              <w:rPr>
                <w:rFonts w:ascii="Arial" w:hAnsi="Arial" w:cs="Arial"/>
                <w:color w:val="202124"/>
                <w:lang w:val="sr-Cyrl-BA"/>
              </w:rPr>
              <w:t>даго</w:t>
            </w:r>
            <w:r>
              <w:rPr>
                <w:rFonts w:ascii="Arial" w:hAnsi="Arial" w:cs="Arial"/>
                <w:color w:val="202124"/>
                <w:lang w:val="sr-Cyrl-BA"/>
              </w:rPr>
              <w:t>ш</w:t>
            </w:r>
            <w:r w:rsidR="00A56E08">
              <w:rPr>
                <w:rFonts w:ascii="Arial" w:hAnsi="Arial" w:cs="Arial"/>
                <w:color w:val="202124"/>
                <w:lang w:val="sr-Cyrl-BA"/>
              </w:rPr>
              <w:t>к</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w:t>
            </w:r>
            <w:r>
              <w:rPr>
                <w:rFonts w:ascii="Arial" w:hAnsi="Arial" w:cs="Arial"/>
                <w:color w:val="202124"/>
                <w:lang w:val="sr-Cyrl-BA"/>
              </w:rPr>
              <w:t>ступ</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г</w:t>
            </w:r>
            <w:r>
              <w:rPr>
                <w:rFonts w:ascii="Arial" w:hAnsi="Arial" w:cs="Arial"/>
                <w:color w:val="202124"/>
                <w:lang w:val="sr-Cyrl-BA"/>
              </w:rPr>
              <w:t>руп</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иликом</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171F00">
              <w:rPr>
                <w:rFonts w:ascii="Arial" w:hAnsi="Arial" w:cs="Arial"/>
                <w:color w:val="202124"/>
                <w:lang w:val="sr-Cyrl-BA"/>
              </w:rPr>
              <w:t>з</w:t>
            </w:r>
            <w:r w:rsidR="00A56E08">
              <w:rPr>
                <w:rFonts w:ascii="Arial" w:hAnsi="Arial" w:cs="Arial"/>
                <w:color w:val="202124"/>
                <w:lang w:val="sr-Cyrl-BA"/>
              </w:rPr>
              <w:t>бо</w:t>
            </w:r>
            <w:r>
              <w:rPr>
                <w:rFonts w:ascii="Arial" w:hAnsi="Arial" w:cs="Arial"/>
                <w:color w:val="202124"/>
                <w:lang w:val="sr-Cyrl-BA"/>
              </w:rPr>
              <w:t>р</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алних</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сурс</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лани</w:t>
            </w:r>
            <w:r>
              <w:rPr>
                <w:rFonts w:ascii="Arial" w:hAnsi="Arial" w:cs="Arial"/>
                <w:color w:val="202124"/>
                <w:lang w:val="sr-Cyrl-BA"/>
              </w:rPr>
              <w:t>р</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sidR="00A56E08">
              <w:rPr>
                <w:rFonts w:ascii="Arial" w:hAnsi="Arial" w:cs="Arial"/>
                <w:color w:val="202124"/>
                <w:lang w:val="sr-Cyrl-BA"/>
              </w:rPr>
              <w:t>њихо</w:t>
            </w:r>
            <w:r>
              <w:rPr>
                <w:rFonts w:ascii="Arial" w:hAnsi="Arial" w:cs="Arial"/>
                <w:color w:val="202124"/>
                <w:lang w:val="sr-Cyrl-BA"/>
              </w:rPr>
              <w:t>в</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имј</w:t>
            </w:r>
            <w:r w:rsidR="00EE6AA2">
              <w:rPr>
                <w:rFonts w:ascii="Arial" w:hAnsi="Arial" w:cs="Arial"/>
                <w:color w:val="202124"/>
                <w:lang w:val="sr-Cyrl-BA"/>
              </w:rPr>
              <w:t>е</w:t>
            </w:r>
            <w:r w:rsidR="00A56E08">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w:t>
            </w:r>
          </w:p>
          <w:p w14:paraId="729FC493" w14:textId="15C038C3"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у</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A56E08">
              <w:rPr>
                <w:rFonts w:ascii="Arial" w:hAnsi="Arial" w:cs="Arial"/>
                <w:color w:val="202124"/>
                <w:lang w:val="sr-Cyrl-BA"/>
              </w:rPr>
              <w:t>иј</w:t>
            </w:r>
            <w:r w:rsidR="00EE6AA2">
              <w:rPr>
                <w:rFonts w:ascii="Arial" w:hAnsi="Arial" w:cs="Arial"/>
                <w:color w:val="202124"/>
                <w:lang w:val="sr-Cyrl-BA"/>
              </w:rPr>
              <w:t>е</w:t>
            </w:r>
            <w:r w:rsidR="00A56E08">
              <w:rPr>
                <w:rFonts w:ascii="Arial" w:hAnsi="Arial" w:cs="Arial"/>
                <w:color w:val="202124"/>
                <w:lang w:val="sr-Cyrl-BA"/>
              </w:rPr>
              <w:t>би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ала</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ус</w:t>
            </w:r>
            <w:r w:rsidR="00A56E08">
              <w:rPr>
                <w:rFonts w:ascii="Arial" w:hAnsi="Arial" w:cs="Arial"/>
                <w:color w:val="202124"/>
                <w:lang w:val="sr-Cyrl-BA"/>
              </w:rPr>
              <w:t>л</w:t>
            </w:r>
            <w:r>
              <w:rPr>
                <w:rFonts w:ascii="Arial" w:hAnsi="Arial" w:cs="Arial"/>
                <w:color w:val="202124"/>
                <w:lang w:val="sr-Cyrl-BA"/>
              </w:rPr>
              <w:t>у</w:t>
            </w:r>
            <w:r w:rsidR="00A56E08">
              <w:rPr>
                <w:rFonts w:ascii="Arial" w:hAnsi="Arial" w:cs="Arial"/>
                <w:color w:val="202124"/>
                <w:lang w:val="sr-Cyrl-BA"/>
              </w:rPr>
              <w:t>г</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обољ</w:t>
            </w:r>
            <w:r>
              <w:rPr>
                <w:rFonts w:ascii="Arial" w:hAnsi="Arial" w:cs="Arial"/>
                <w:color w:val="202124"/>
                <w:lang w:val="sr-Cyrl-BA"/>
              </w:rPr>
              <w:t>ш</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акциј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 xml:space="preserve"> – </w:t>
            </w:r>
            <w:r>
              <w:rPr>
                <w:rFonts w:ascii="Arial" w:hAnsi="Arial" w:cs="Arial"/>
                <w:color w:val="202124"/>
                <w:lang w:val="sr-Cyrl-BA"/>
              </w:rPr>
              <w:t>п</w:t>
            </w:r>
            <w:r w:rsidR="00A56E08">
              <w:rPr>
                <w:rFonts w:ascii="Arial" w:hAnsi="Arial" w:cs="Arial"/>
                <w:color w:val="202124"/>
                <w:lang w:val="sr-Cyrl-BA"/>
              </w:rPr>
              <w:t>ој</w:t>
            </w:r>
            <w:r w:rsidR="00EE6AA2">
              <w:rPr>
                <w:rFonts w:ascii="Arial" w:hAnsi="Arial" w:cs="Arial"/>
                <w:color w:val="202124"/>
                <w:lang w:val="sr-Cyrl-BA"/>
              </w:rPr>
              <w:t>е</w:t>
            </w:r>
            <w:r w:rsidR="00A56E08">
              <w:rPr>
                <w:rFonts w:ascii="Arial" w:hAnsi="Arial" w:cs="Arial"/>
                <w:color w:val="202124"/>
                <w:lang w:val="sr-Cyrl-BA"/>
              </w:rPr>
              <w:t>диначно</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кол</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т</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но</w:t>
            </w:r>
            <w:r w:rsidR="00847B04" w:rsidRPr="00F6340E">
              <w:rPr>
                <w:rFonts w:ascii="Arial" w:hAnsi="Arial" w:cs="Arial"/>
                <w:color w:val="202124"/>
                <w:lang w:val="sr-Cyrl-BA"/>
              </w:rPr>
              <w:t xml:space="preserve"> – </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ан</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ног</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оц</w:t>
            </w:r>
            <w:r w:rsidR="00EE6AA2">
              <w:rPr>
                <w:rFonts w:ascii="Arial" w:hAnsi="Arial" w:cs="Arial"/>
                <w:color w:val="202124"/>
                <w:lang w:val="sr-Cyrl-BA"/>
              </w:rPr>
              <w:t>е</w:t>
            </w:r>
            <w:r>
              <w:rPr>
                <w:rFonts w:ascii="Arial" w:hAnsi="Arial" w:cs="Arial"/>
                <w:color w:val="202124"/>
                <w:lang w:val="sr-Cyrl-BA"/>
              </w:rPr>
              <w:t>с</w:t>
            </w:r>
            <w:r w:rsidR="00A56E08">
              <w:rPr>
                <w:rFonts w:ascii="Arial" w:hAnsi="Arial" w:cs="Arial"/>
                <w:color w:val="202124"/>
                <w:lang w:val="sr-Cyrl-BA"/>
              </w:rPr>
              <w:t>а</w:t>
            </w:r>
            <w:r w:rsidR="00847B04" w:rsidRPr="00F6340E">
              <w:rPr>
                <w:rFonts w:ascii="Arial" w:hAnsi="Arial" w:cs="Arial"/>
                <w:color w:val="202124"/>
                <w:lang w:val="sr-Cyrl-BA"/>
              </w:rPr>
              <w:t xml:space="preserve"> </w:t>
            </w:r>
          </w:p>
          <w:p w14:paraId="76452F8A" w14:textId="3993E174"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A56E08">
              <w:rPr>
                <w:rFonts w:ascii="Arial" w:hAnsi="Arial" w:cs="Arial"/>
                <w:color w:val="202124"/>
                <w:lang w:val="sr-Cyrl-BA"/>
              </w:rPr>
              <w:t>иј</w:t>
            </w:r>
            <w:r w:rsidR="00EE6AA2">
              <w:rPr>
                <w:rFonts w:ascii="Arial" w:hAnsi="Arial" w:cs="Arial"/>
                <w:color w:val="202124"/>
                <w:lang w:val="sr-Cyrl-BA"/>
              </w:rPr>
              <w:t>е</w:t>
            </w:r>
            <w:r w:rsidR="00A56E08">
              <w:rPr>
                <w:rFonts w:ascii="Arial" w:hAnsi="Arial" w:cs="Arial"/>
                <w:color w:val="202124"/>
                <w:lang w:val="sr-Cyrl-BA"/>
              </w:rPr>
              <w:t>би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хнологиј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пру</w:t>
            </w:r>
            <w:r w:rsidR="00171F00">
              <w:rPr>
                <w:rFonts w:ascii="Arial" w:hAnsi="Arial" w:cs="Arial"/>
                <w:color w:val="202124"/>
                <w:lang w:val="sr-Cyrl-BA"/>
              </w:rPr>
              <w:t>ж</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о</w:t>
            </w:r>
            <w:r>
              <w:rPr>
                <w:rFonts w:ascii="Arial" w:hAnsi="Arial" w:cs="Arial"/>
                <w:color w:val="202124"/>
                <w:lang w:val="sr-Cyrl-BA"/>
              </w:rPr>
              <w:t>вр</w:t>
            </w:r>
            <w:r w:rsidR="00EE6AA2">
              <w:rPr>
                <w:rFonts w:ascii="Arial" w:hAnsi="Arial" w:cs="Arial"/>
                <w:color w:val="202124"/>
                <w:lang w:val="sr-Cyrl-BA"/>
              </w:rPr>
              <w:t>е</w:t>
            </w:r>
            <w:r w:rsidR="00A56E08">
              <w:rPr>
                <w:rFonts w:ascii="Arial" w:hAnsi="Arial" w:cs="Arial"/>
                <w:color w:val="202124"/>
                <w:lang w:val="sr-Cyrl-BA"/>
              </w:rPr>
              <w:t>м</w:t>
            </w:r>
            <w:r w:rsidR="00EE6AA2">
              <w:rPr>
                <w:rFonts w:ascii="Arial" w:hAnsi="Arial" w:cs="Arial"/>
                <w:color w:val="202124"/>
                <w:lang w:val="sr-Cyrl-BA"/>
              </w:rPr>
              <w:t>е</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ка</w:t>
            </w:r>
            <w:r w:rsidR="00496D98" w:rsidRPr="00F6340E">
              <w:rPr>
                <w:rFonts w:ascii="Arial" w:hAnsi="Arial" w:cs="Arial"/>
                <w:color w:val="202124"/>
                <w:lang w:val="sr-Cyrl-BA"/>
              </w:rPr>
              <w:t xml:space="preserve"> </w:t>
            </w:r>
            <w:r w:rsidR="00A56E08">
              <w:rPr>
                <w:rFonts w:ascii="Arial" w:hAnsi="Arial" w:cs="Arial"/>
                <w:color w:val="202124"/>
                <w:lang w:val="sr-Cyrl-BA"/>
              </w:rPr>
              <w:t>циљ</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ус</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стру</w:t>
            </w:r>
            <w:r w:rsidR="00A56E08">
              <w:rPr>
                <w:rFonts w:ascii="Arial" w:hAnsi="Arial" w:cs="Arial"/>
                <w:color w:val="202124"/>
                <w:lang w:val="sr-Cyrl-BA"/>
              </w:rPr>
              <w:t>кција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омоћи</w:t>
            </w:r>
            <w:r w:rsidR="00847B04" w:rsidRPr="00F6340E">
              <w:rPr>
                <w:rFonts w:ascii="Arial" w:hAnsi="Arial" w:cs="Arial"/>
                <w:color w:val="202124"/>
                <w:lang w:val="sr-Cyrl-BA"/>
              </w:rPr>
              <w:t>.</w:t>
            </w:r>
          </w:p>
          <w:p w14:paraId="573DAFF3" w14:textId="0F1AE401" w:rsidR="00847B04" w:rsidRPr="00F6340E" w:rsidRDefault="00EE6AA2"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Е</w:t>
            </w:r>
            <w:r w:rsidR="00A56E08">
              <w:rPr>
                <w:rFonts w:ascii="Arial" w:hAnsi="Arial" w:cs="Arial"/>
                <w:color w:val="202124"/>
                <w:lang w:val="sr-Cyrl-BA"/>
              </w:rPr>
              <w:t>к</w:t>
            </w:r>
            <w:r w:rsidR="0071360A">
              <w:rPr>
                <w:rFonts w:ascii="Arial" w:hAnsi="Arial" w:cs="Arial"/>
                <w:color w:val="202124"/>
                <w:lang w:val="sr-Cyrl-BA"/>
              </w:rPr>
              <w:t>сп</w:t>
            </w:r>
            <w:r>
              <w:rPr>
                <w:rFonts w:ascii="Arial" w:hAnsi="Arial" w:cs="Arial"/>
                <w:color w:val="202124"/>
                <w:lang w:val="sr-Cyrl-BA"/>
              </w:rPr>
              <w:t>е</w:t>
            </w:r>
            <w:r w:rsidR="0071360A">
              <w:rPr>
                <w:rFonts w:ascii="Arial" w:hAnsi="Arial" w:cs="Arial"/>
                <w:color w:val="202124"/>
                <w:lang w:val="sr-Cyrl-BA"/>
              </w:rPr>
              <w:t>р</w:t>
            </w:r>
            <w:r w:rsidR="00A56E08">
              <w:rPr>
                <w:rFonts w:ascii="Arial" w:hAnsi="Arial" w:cs="Arial"/>
                <w:color w:val="202124"/>
                <w:lang w:val="sr-Cyrl-BA"/>
              </w:rPr>
              <w:t>им</w:t>
            </w:r>
            <w:r>
              <w:rPr>
                <w:rFonts w:ascii="Arial" w:hAnsi="Arial" w:cs="Arial"/>
                <w:color w:val="202124"/>
                <w:lang w:val="sr-Cyrl-BA"/>
              </w:rPr>
              <w:t>е</w:t>
            </w:r>
            <w:r w:rsidR="00A56E08">
              <w:rPr>
                <w:rFonts w:ascii="Arial" w:hAnsi="Arial" w:cs="Arial"/>
                <w:color w:val="202124"/>
                <w:lang w:val="sr-Cyrl-BA"/>
              </w:rPr>
              <w:t>н</w:t>
            </w:r>
            <w:r w:rsidR="0071360A">
              <w:rPr>
                <w:rFonts w:ascii="Arial" w:hAnsi="Arial" w:cs="Arial"/>
                <w:color w:val="202124"/>
                <w:lang w:val="sr-Cyrl-BA"/>
              </w:rPr>
              <w:t>т</w:t>
            </w:r>
            <w:r w:rsidR="00A56E08">
              <w:rPr>
                <w:rFonts w:ascii="Arial" w:hAnsi="Arial" w:cs="Arial"/>
                <w:color w:val="202124"/>
                <w:lang w:val="sr-Cyrl-BA"/>
              </w:rPr>
              <w:t>и</w:t>
            </w:r>
            <w:r w:rsidR="0071360A">
              <w:rPr>
                <w:rFonts w:ascii="Arial" w:hAnsi="Arial" w:cs="Arial"/>
                <w:color w:val="202124"/>
                <w:lang w:val="sr-Cyrl-BA"/>
              </w:rPr>
              <w:t>с</w:t>
            </w:r>
            <w:r w:rsidR="00A56E08">
              <w:rPr>
                <w:rFonts w:ascii="Arial" w:hAnsi="Arial" w:cs="Arial"/>
                <w:color w:val="202124"/>
                <w:lang w:val="sr-Cyrl-BA"/>
              </w:rPr>
              <w:t>а</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в</w:t>
            </w:r>
            <w:r w:rsidR="00A56E08">
              <w:rPr>
                <w:rFonts w:ascii="Arial" w:hAnsi="Arial" w:cs="Arial"/>
                <w:color w:val="202124"/>
                <w:lang w:val="sr-Cyrl-BA"/>
              </w:rPr>
              <w:t>ија</w:t>
            </w:r>
            <w:r w:rsidR="0071360A">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но</w:t>
            </w:r>
            <w:r w:rsidR="0071360A">
              <w:rPr>
                <w:rFonts w:ascii="Arial" w:hAnsi="Arial" w:cs="Arial"/>
                <w:color w:val="202124"/>
                <w:lang w:val="sr-Cyrl-BA"/>
              </w:rPr>
              <w:t>в</w:t>
            </w:r>
            <w:r>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облик</w:t>
            </w:r>
            <w:r>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с</w:t>
            </w:r>
            <w:r w:rsidR="00A56E08">
              <w:rPr>
                <w:rFonts w:ascii="Arial" w:hAnsi="Arial" w:cs="Arial"/>
                <w:color w:val="202124"/>
                <w:lang w:val="sr-Cyrl-BA"/>
              </w:rPr>
              <w:t>мј</w:t>
            </w:r>
            <w:r>
              <w:rPr>
                <w:rFonts w:ascii="Arial" w:hAnsi="Arial" w:cs="Arial"/>
                <w:color w:val="202124"/>
                <w:lang w:val="sr-Cyrl-BA"/>
              </w:rPr>
              <w:t>е</w:t>
            </w:r>
            <w:r w:rsidR="0071360A">
              <w:rPr>
                <w:rFonts w:ascii="Arial" w:hAnsi="Arial" w:cs="Arial"/>
                <w:color w:val="202124"/>
                <w:lang w:val="sr-Cyrl-BA"/>
              </w:rPr>
              <w:t>р</w:t>
            </w:r>
            <w:r w:rsidR="00A56E08">
              <w:rPr>
                <w:rFonts w:ascii="Arial" w:hAnsi="Arial" w:cs="Arial"/>
                <w:color w:val="202124"/>
                <w:lang w:val="sr-Cyrl-BA"/>
              </w:rPr>
              <w:t>ница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w:t>
            </w:r>
            <w:r w:rsidR="00A56E08">
              <w:rPr>
                <w:rFonts w:ascii="Arial" w:hAnsi="Arial" w:cs="Arial"/>
                <w:color w:val="202124"/>
                <w:lang w:val="sr-Cyrl-BA"/>
              </w:rPr>
              <w:t>од</w:t>
            </w:r>
            <w:r w:rsidR="0071360A">
              <w:rPr>
                <w:rFonts w:ascii="Arial" w:hAnsi="Arial" w:cs="Arial"/>
                <w:color w:val="202124"/>
                <w:lang w:val="sr-Cyrl-BA"/>
              </w:rPr>
              <w:t>рш</w:t>
            </w:r>
            <w:r w:rsidR="00A56E08">
              <w:rPr>
                <w:rFonts w:ascii="Arial" w:hAnsi="Arial" w:cs="Arial"/>
                <w:color w:val="202124"/>
                <w:lang w:val="sr-Cyrl-BA"/>
              </w:rPr>
              <w:t>к</w:t>
            </w:r>
            <w:r>
              <w:rPr>
                <w:rFonts w:ascii="Arial" w:hAnsi="Arial" w:cs="Arial"/>
                <w:color w:val="202124"/>
                <w:lang w:val="sr-Cyrl-BA"/>
              </w:rPr>
              <w:t>е</w:t>
            </w:r>
            <w:r w:rsidR="00847B04" w:rsidRPr="00F6340E">
              <w:rPr>
                <w:rFonts w:ascii="Arial" w:hAnsi="Arial" w:cs="Arial"/>
                <w:color w:val="202124"/>
                <w:lang w:val="sr-Cyrl-BA"/>
              </w:rPr>
              <w:t>.</w:t>
            </w:r>
          </w:p>
          <w:p w14:paraId="7493EFFD" w14:textId="0914C7B4"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lastRenderedPageBreak/>
              <w:t>В</w:t>
            </w:r>
            <w:r w:rsidR="00A56E08">
              <w:rPr>
                <w:rFonts w:ascii="Arial" w:hAnsi="Arial" w:cs="Arial"/>
                <w:color w:val="202124"/>
                <w:lang w:val="sr-Cyrl-BA"/>
              </w:rPr>
              <w:t>оди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да</w:t>
            </w:r>
            <w:r w:rsidR="00847B04" w:rsidRPr="00F6340E">
              <w:rPr>
                <w:rFonts w:ascii="Arial" w:hAnsi="Arial" w:cs="Arial"/>
                <w:color w:val="202124"/>
                <w:lang w:val="sr-Cyrl-BA"/>
              </w:rPr>
              <w:t xml:space="preserve"> </w:t>
            </w:r>
            <w:r w:rsidR="00A56E08">
              <w:rPr>
                <w:rFonts w:ascii="Arial" w:hAnsi="Arial" w:cs="Arial"/>
                <w:color w:val="202124"/>
                <w:lang w:val="sr-Cyrl-BA"/>
              </w:rPr>
              <w:t>доно</w:t>
            </w:r>
            <w:r>
              <w:rPr>
                <w:rFonts w:ascii="Arial" w:hAnsi="Arial" w:cs="Arial"/>
                <w:color w:val="202124"/>
                <w:lang w:val="sr-Cyrl-BA"/>
              </w:rPr>
              <w:t>с</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логичн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171F00">
              <w:rPr>
                <w:rFonts w:ascii="Arial" w:hAnsi="Arial" w:cs="Arial"/>
                <w:color w:val="202124"/>
                <w:lang w:val="sr-Cyrl-BA"/>
              </w:rPr>
              <w:t>з</w:t>
            </w:r>
            <w:r w:rsidR="00A56E08">
              <w:rPr>
                <w:rFonts w:ascii="Arial" w:hAnsi="Arial" w:cs="Arial"/>
                <w:color w:val="202124"/>
                <w:lang w:val="sr-Cyrl-BA"/>
              </w:rPr>
              <w:t>бо</w:t>
            </w:r>
            <w:r>
              <w:rPr>
                <w:rFonts w:ascii="Arial" w:hAnsi="Arial" w:cs="Arial"/>
                <w:color w:val="202124"/>
                <w:lang w:val="sr-Cyrl-BA"/>
              </w:rPr>
              <w:t>р</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496D98" w:rsidRPr="00F6340E">
              <w:rPr>
                <w:rFonts w:ascii="Arial" w:hAnsi="Arial" w:cs="Arial"/>
                <w:color w:val="202124"/>
                <w:lang w:val="sr-Cyrl-BA"/>
              </w:rPr>
              <w:t xml:space="preserve"> </w:t>
            </w:r>
            <w:r w:rsidR="00A56E08">
              <w:rPr>
                <w:rFonts w:ascii="Arial" w:hAnsi="Arial" w:cs="Arial"/>
                <w:color w:val="202124"/>
                <w:lang w:val="sr-Cyrl-BA"/>
              </w:rPr>
              <w:t>ИК</w:t>
            </w:r>
            <w:r>
              <w:rPr>
                <w:rFonts w:ascii="Arial" w:hAnsi="Arial" w:cs="Arial"/>
                <w:color w:val="202124"/>
                <w:lang w:val="sr-Cyrl-BA"/>
              </w:rPr>
              <w:t>Т</w:t>
            </w:r>
            <w:r w:rsidR="00496D98"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ст</w:t>
            </w:r>
            <w:r w:rsidR="00EE6AA2">
              <w:rPr>
                <w:rFonts w:ascii="Arial" w:hAnsi="Arial" w:cs="Arial"/>
                <w:color w:val="202124"/>
                <w:lang w:val="sr-Cyrl-BA"/>
              </w:rPr>
              <w:t>е</w:t>
            </w:r>
            <w:r w:rsidR="00A56E08">
              <w:rPr>
                <w:rFonts w:ascii="Arial" w:hAnsi="Arial" w:cs="Arial"/>
                <w:color w:val="202124"/>
                <w:lang w:val="sr-Cyrl-BA"/>
              </w:rPr>
              <w:t>кн</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одго</w:t>
            </w:r>
            <w:r>
              <w:rPr>
                <w:rFonts w:ascii="Arial" w:hAnsi="Arial" w:cs="Arial"/>
                <w:color w:val="202124"/>
                <w:lang w:val="sr-Cyrl-BA"/>
              </w:rPr>
              <w:t>в</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ај</w:t>
            </w:r>
            <w:r>
              <w:rPr>
                <w:rFonts w:ascii="Arial" w:hAnsi="Arial" w:cs="Arial"/>
                <w:color w:val="202124"/>
                <w:lang w:val="sr-Cyrl-BA"/>
              </w:rPr>
              <w:t>у</w:t>
            </w:r>
            <w:r w:rsidR="00A56E08">
              <w:rPr>
                <w:rFonts w:ascii="Arial" w:hAnsi="Arial" w:cs="Arial"/>
                <w:color w:val="202124"/>
                <w:lang w:val="sr-Cyrl-BA"/>
              </w:rPr>
              <w:t>ћ</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шт</w:t>
            </w:r>
            <w:r w:rsidR="00A56E08">
              <w:rPr>
                <w:rFonts w:ascii="Arial" w:hAnsi="Arial" w:cs="Arial"/>
                <w:color w:val="202124"/>
                <w:lang w:val="sr-Cyrl-BA"/>
              </w:rPr>
              <w:t>ин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тр</w:t>
            </w:r>
            <w:r w:rsidR="00A56E08">
              <w:rPr>
                <w:rFonts w:ascii="Arial" w:hAnsi="Arial" w:cs="Arial"/>
                <w:color w:val="202124"/>
                <w:lang w:val="sr-Cyrl-BA"/>
              </w:rPr>
              <w:t>а</w:t>
            </w:r>
            <w:r w:rsidR="00171F00">
              <w:rPr>
                <w:rFonts w:ascii="Arial" w:hAnsi="Arial" w:cs="Arial"/>
                <w:color w:val="202124"/>
                <w:lang w:val="sr-Cyrl-BA"/>
              </w:rPr>
              <w:t>ж</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упр</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љањ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анали</w:t>
            </w:r>
            <w:r w:rsidR="00171F00">
              <w:rPr>
                <w:rFonts w:ascii="Arial" w:hAnsi="Arial" w:cs="Arial"/>
                <w:color w:val="202124"/>
                <w:lang w:val="sr-Cyrl-BA"/>
              </w:rPr>
              <w:t>з</w:t>
            </w:r>
            <w:r>
              <w:rPr>
                <w:rFonts w:ascii="Arial" w:hAnsi="Arial" w:cs="Arial"/>
                <w:color w:val="202124"/>
                <w:lang w:val="sr-Cyrl-BA"/>
              </w:rPr>
              <w:t>у</w:t>
            </w:r>
            <w:r w:rsidR="00847B04" w:rsidRPr="00F6340E">
              <w:rPr>
                <w:rFonts w:ascii="Arial" w:hAnsi="Arial" w:cs="Arial"/>
                <w:color w:val="202124"/>
                <w:lang w:val="sr-Cyrl-BA"/>
              </w:rPr>
              <w:t xml:space="preserve">, </w:t>
            </w:r>
            <w:r w:rsidR="00EE6AA2">
              <w:rPr>
                <w:rFonts w:ascii="Arial" w:hAnsi="Arial" w:cs="Arial"/>
                <w:color w:val="202124"/>
                <w:lang w:val="sr-Cyrl-BA"/>
              </w:rPr>
              <w:t>е</w:t>
            </w:r>
            <w:r>
              <w:rPr>
                <w:rFonts w:ascii="Arial" w:hAnsi="Arial" w:cs="Arial"/>
                <w:color w:val="202124"/>
                <w:lang w:val="sr-Cyrl-BA"/>
              </w:rPr>
              <w:t>в</w:t>
            </w:r>
            <w:r w:rsidR="00A56E08">
              <w:rPr>
                <w:rFonts w:ascii="Arial" w:hAnsi="Arial" w:cs="Arial"/>
                <w:color w:val="202124"/>
                <w:lang w:val="sr-Cyrl-BA"/>
              </w:rPr>
              <w:t>ал</w:t>
            </w:r>
            <w:r>
              <w:rPr>
                <w:rFonts w:ascii="Arial" w:hAnsi="Arial" w:cs="Arial"/>
                <w:color w:val="202124"/>
                <w:lang w:val="sr-Cyrl-BA"/>
              </w:rPr>
              <w:t>у</w:t>
            </w:r>
            <w:r w:rsidR="00A56E08">
              <w:rPr>
                <w:rFonts w:ascii="Arial" w:hAnsi="Arial" w:cs="Arial"/>
                <w:color w:val="202124"/>
                <w:lang w:val="sr-Cyrl-BA"/>
              </w:rPr>
              <w:t>ациј</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EE6AA2">
              <w:rPr>
                <w:rFonts w:ascii="Arial" w:hAnsi="Arial" w:cs="Arial"/>
                <w:color w:val="202124"/>
                <w:lang w:val="sr-Cyrl-BA"/>
              </w:rPr>
              <w:t>е</w:t>
            </w:r>
            <w:r w:rsidR="00A56E08">
              <w:rPr>
                <w:rFonts w:ascii="Arial" w:hAnsi="Arial" w:cs="Arial"/>
                <w:color w:val="202124"/>
                <w:lang w:val="sr-Cyrl-BA"/>
              </w:rPr>
              <w:t>б</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инфо</w:t>
            </w:r>
            <w:r>
              <w:rPr>
                <w:rFonts w:ascii="Arial" w:hAnsi="Arial" w:cs="Arial"/>
                <w:color w:val="202124"/>
                <w:lang w:val="sr-Cyrl-BA"/>
              </w:rPr>
              <w:t>р</w:t>
            </w:r>
            <w:r w:rsidR="00A56E08">
              <w:rPr>
                <w:rFonts w:ascii="Arial" w:hAnsi="Arial" w:cs="Arial"/>
                <w:color w:val="202124"/>
                <w:lang w:val="sr-Cyrl-BA"/>
              </w:rPr>
              <w:t>мација</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л</w:t>
            </w:r>
            <w:r w:rsidR="00EE6AA2">
              <w:rPr>
                <w:rFonts w:ascii="Arial" w:hAnsi="Arial" w:cs="Arial"/>
                <w:color w:val="202124"/>
                <w:lang w:val="sr-Cyrl-BA"/>
              </w:rPr>
              <w:t>е</w:t>
            </w:r>
            <w:r>
              <w:rPr>
                <w:rFonts w:ascii="Arial" w:hAnsi="Arial" w:cs="Arial"/>
                <w:color w:val="202124"/>
                <w:lang w:val="sr-Cyrl-BA"/>
              </w:rPr>
              <w:t>в</w:t>
            </w:r>
            <w:r w:rsidR="00A56E08">
              <w:rPr>
                <w:rFonts w:ascii="Arial" w:hAnsi="Arial" w:cs="Arial"/>
                <w:color w:val="202124"/>
                <w:lang w:val="sr-Cyrl-BA"/>
              </w:rPr>
              <w:t>ан</w:t>
            </w:r>
            <w:r>
              <w:rPr>
                <w:rFonts w:ascii="Arial" w:hAnsi="Arial" w:cs="Arial"/>
                <w:color w:val="202124"/>
                <w:lang w:val="sr-Cyrl-BA"/>
              </w:rPr>
              <w:t>т</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ог</w:t>
            </w:r>
            <w:r>
              <w:rPr>
                <w:rFonts w:ascii="Arial" w:hAnsi="Arial" w:cs="Arial"/>
                <w:color w:val="202124"/>
                <w:lang w:val="sr-Cyrl-BA"/>
              </w:rPr>
              <w:t>р</w:t>
            </w:r>
            <w:r w:rsidR="00A56E08">
              <w:rPr>
                <w:rFonts w:ascii="Arial" w:hAnsi="Arial" w:cs="Arial"/>
                <w:color w:val="202124"/>
                <w:lang w:val="sr-Cyrl-BA"/>
              </w:rPr>
              <w:t>ам</w:t>
            </w:r>
            <w:r w:rsidR="00847B04" w:rsidRPr="00F6340E">
              <w:rPr>
                <w:rFonts w:ascii="Arial" w:hAnsi="Arial" w:cs="Arial"/>
                <w:color w:val="202124"/>
                <w:lang w:val="sr-Cyrl-BA"/>
              </w:rPr>
              <w:t>.</w:t>
            </w:r>
          </w:p>
          <w:p w14:paraId="6A6AC0A2" w14:textId="213D1CF8"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Ус</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на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имј</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одго</w:t>
            </w:r>
            <w:r>
              <w:rPr>
                <w:rFonts w:ascii="Arial" w:hAnsi="Arial" w:cs="Arial"/>
                <w:color w:val="202124"/>
                <w:lang w:val="sr-Cyrl-BA"/>
              </w:rPr>
              <w:t>в</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ај</w:t>
            </w:r>
            <w:r>
              <w:rPr>
                <w:rFonts w:ascii="Arial" w:hAnsi="Arial" w:cs="Arial"/>
                <w:color w:val="202124"/>
                <w:lang w:val="sr-Cyrl-BA"/>
              </w:rPr>
              <w:t>у</w:t>
            </w:r>
            <w:r w:rsidR="00A56E08">
              <w:rPr>
                <w:rFonts w:ascii="Arial" w:hAnsi="Arial" w:cs="Arial"/>
                <w:color w:val="202124"/>
                <w:lang w:val="sr-Cyrl-BA"/>
              </w:rPr>
              <w:t>ћ</w:t>
            </w:r>
            <w:r w:rsidR="00EE6AA2">
              <w:rPr>
                <w:rFonts w:ascii="Arial" w:hAnsi="Arial" w:cs="Arial"/>
                <w:color w:val="202124"/>
                <w:lang w:val="sr-Cyrl-BA"/>
              </w:rPr>
              <w:t>е</w:t>
            </w:r>
            <w:r w:rsidR="00A56E08">
              <w:rPr>
                <w:rFonts w:ascii="Arial" w:hAnsi="Arial" w:cs="Arial"/>
                <w:color w:val="202124"/>
                <w:lang w:val="sr-Cyrl-BA"/>
              </w:rPr>
              <w:t>г</w:t>
            </w:r>
            <w:r w:rsidR="00847B04" w:rsidRPr="00F6340E">
              <w:rPr>
                <w:rFonts w:ascii="Arial" w:hAnsi="Arial" w:cs="Arial"/>
                <w:color w:val="202124"/>
                <w:lang w:val="sr-Cyrl-BA"/>
              </w:rPr>
              <w:t xml:space="preserve"> </w:t>
            </w:r>
            <w:r w:rsidR="00A56E08">
              <w:rPr>
                <w:rFonts w:ascii="Arial" w:hAnsi="Arial" w:cs="Arial"/>
                <w:color w:val="202124"/>
                <w:lang w:val="sr-Cyrl-BA"/>
              </w:rPr>
              <w:t>ИК</w:t>
            </w:r>
            <w:r>
              <w:rPr>
                <w:rFonts w:ascii="Arial" w:hAnsi="Arial" w:cs="Arial"/>
                <w:color w:val="202124"/>
                <w:lang w:val="sr-Cyrl-BA"/>
              </w:rPr>
              <w:t>Т</w:t>
            </w:r>
            <w:r w:rsidR="00496D98" w:rsidRPr="00F6340E">
              <w:rPr>
                <w:rFonts w:ascii="Arial" w:hAnsi="Arial" w:cs="Arial"/>
                <w:color w:val="202124"/>
                <w:lang w:val="sr-Cyrl-BA"/>
              </w:rPr>
              <w:t>-</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в</w:t>
            </w:r>
            <w:r w:rsidR="00A56E08">
              <w:rPr>
                <w:rFonts w:ascii="Arial" w:hAnsi="Arial" w:cs="Arial"/>
                <w:color w:val="202124"/>
                <w:lang w:val="sr-Cyrl-BA"/>
              </w:rPr>
              <w:t>ој</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шт</w:t>
            </w:r>
            <w:r w:rsidR="00A56E08">
              <w:rPr>
                <w:rFonts w:ascii="Arial" w:hAnsi="Arial" w:cs="Arial"/>
                <w:color w:val="202124"/>
                <w:lang w:val="sr-Cyrl-BA"/>
              </w:rPr>
              <w:t>ина</w:t>
            </w:r>
            <w:r w:rsidR="00B04FA8">
              <w:rPr>
                <w:rFonts w:ascii="Arial" w:hAnsi="Arial" w:cs="Arial"/>
                <w:color w:val="202124"/>
                <w:lang w:val="sr-Cyrl-BA"/>
              </w:rPr>
              <w:t xml:space="preserve"> са </w:t>
            </w:r>
            <w:r w:rsidR="00A56E08">
              <w:rPr>
                <w:rFonts w:ascii="Arial" w:hAnsi="Arial" w:cs="Arial"/>
                <w:color w:val="202124"/>
                <w:lang w:val="sr-Cyrl-BA"/>
              </w:rPr>
              <w:t>циљ</w:t>
            </w:r>
            <w:r w:rsidR="00EE6AA2">
              <w:rPr>
                <w:rFonts w:ascii="Arial" w:hAnsi="Arial" w:cs="Arial"/>
                <w:color w:val="202124"/>
                <w:lang w:val="sr-Cyrl-BA"/>
              </w:rPr>
              <w:t>е</w:t>
            </w:r>
            <w:r w:rsidR="00A56E08">
              <w:rPr>
                <w:rFonts w:ascii="Arial" w:hAnsi="Arial" w:cs="Arial"/>
                <w:color w:val="202124"/>
                <w:lang w:val="sr-Cyrl-BA"/>
              </w:rPr>
              <w:t>м</w:t>
            </w:r>
            <w:r w:rsidR="00847B04" w:rsidRPr="00F6340E">
              <w:rPr>
                <w:rFonts w:ascii="Arial" w:hAnsi="Arial" w:cs="Arial"/>
                <w:color w:val="202124"/>
                <w:lang w:val="sr-Cyrl-BA"/>
              </w:rPr>
              <w:t xml:space="preserve"> </w:t>
            </w:r>
            <w:r>
              <w:rPr>
                <w:rFonts w:ascii="Arial" w:hAnsi="Arial" w:cs="Arial"/>
                <w:color w:val="202124"/>
                <w:lang w:val="sr-Cyrl-BA"/>
              </w:rPr>
              <w:t>упр</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љања</w:t>
            </w:r>
            <w:r w:rsidR="00847B04" w:rsidRPr="00F6340E">
              <w:rPr>
                <w:rFonts w:ascii="Arial" w:hAnsi="Arial" w:cs="Arial"/>
                <w:color w:val="202124"/>
                <w:lang w:val="sr-Cyrl-BA"/>
              </w:rPr>
              <w:t xml:space="preserve">, </w:t>
            </w:r>
            <w:r w:rsidR="00A56E08">
              <w:rPr>
                <w:rFonts w:ascii="Arial" w:hAnsi="Arial" w:cs="Arial"/>
                <w:color w:val="202124"/>
                <w:lang w:val="sr-Cyrl-BA"/>
              </w:rPr>
              <w:t>анали</w:t>
            </w:r>
            <w:r w:rsidR="00171F00">
              <w:rPr>
                <w:rFonts w:ascii="Arial" w:hAnsi="Arial" w:cs="Arial"/>
                <w:color w:val="202124"/>
                <w:lang w:val="sr-Cyrl-BA"/>
              </w:rPr>
              <w:t>з</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вр</w:t>
            </w:r>
            <w:r w:rsidR="00EE6AA2">
              <w:rPr>
                <w:rFonts w:ascii="Arial" w:hAnsi="Arial" w:cs="Arial"/>
                <w:color w:val="202124"/>
                <w:lang w:val="sr-Cyrl-BA"/>
              </w:rPr>
              <w:t>е</w:t>
            </w:r>
            <w:r w:rsidR="00A56E08">
              <w:rPr>
                <w:rFonts w:ascii="Arial" w:hAnsi="Arial" w:cs="Arial"/>
                <w:color w:val="202124"/>
                <w:lang w:val="sr-Cyrl-BA"/>
              </w:rPr>
              <w:t>дно</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EE6AA2">
              <w:rPr>
                <w:rFonts w:ascii="Arial" w:hAnsi="Arial" w:cs="Arial"/>
                <w:color w:val="202124"/>
                <w:lang w:val="sr-Cyrl-BA"/>
              </w:rPr>
              <w:t>е</w:t>
            </w:r>
            <w:r w:rsidR="00A56E08">
              <w:rPr>
                <w:rFonts w:ascii="Arial" w:hAnsi="Arial" w:cs="Arial"/>
                <w:color w:val="202124"/>
                <w:lang w:val="sr-Cyrl-BA"/>
              </w:rPr>
              <w:t>б</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инфо</w:t>
            </w:r>
            <w:r>
              <w:rPr>
                <w:rFonts w:ascii="Arial" w:hAnsi="Arial" w:cs="Arial"/>
                <w:color w:val="202124"/>
                <w:lang w:val="sr-Cyrl-BA"/>
              </w:rPr>
              <w:t>р</w:t>
            </w:r>
            <w:r w:rsidR="00A56E08">
              <w:rPr>
                <w:rFonts w:ascii="Arial" w:hAnsi="Arial" w:cs="Arial"/>
                <w:color w:val="202124"/>
                <w:lang w:val="sr-Cyrl-BA"/>
              </w:rPr>
              <w:t>мација</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л</w:t>
            </w:r>
            <w:r w:rsidR="00EE6AA2">
              <w:rPr>
                <w:rFonts w:ascii="Arial" w:hAnsi="Arial" w:cs="Arial"/>
                <w:color w:val="202124"/>
                <w:lang w:val="sr-Cyrl-BA"/>
              </w:rPr>
              <w:t>е</w:t>
            </w:r>
            <w:r>
              <w:rPr>
                <w:rFonts w:ascii="Arial" w:hAnsi="Arial" w:cs="Arial"/>
                <w:color w:val="202124"/>
                <w:lang w:val="sr-Cyrl-BA"/>
              </w:rPr>
              <w:t>в</w:t>
            </w:r>
            <w:r w:rsidR="00A56E08">
              <w:rPr>
                <w:rFonts w:ascii="Arial" w:hAnsi="Arial" w:cs="Arial"/>
                <w:color w:val="202124"/>
                <w:lang w:val="sr-Cyrl-BA"/>
              </w:rPr>
              <w:t>ан</w:t>
            </w:r>
            <w:r>
              <w:rPr>
                <w:rFonts w:ascii="Arial" w:hAnsi="Arial" w:cs="Arial"/>
                <w:color w:val="202124"/>
                <w:lang w:val="sr-Cyrl-BA"/>
              </w:rPr>
              <w:t>т</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ад</w:t>
            </w:r>
            <w:r>
              <w:rPr>
                <w:rFonts w:ascii="Arial" w:hAnsi="Arial" w:cs="Arial"/>
                <w:color w:val="202124"/>
                <w:lang w:val="sr-Cyrl-BA"/>
              </w:rPr>
              <w:t>р</w:t>
            </w:r>
            <w:r w:rsidR="00171F00">
              <w:rPr>
                <w:rFonts w:ascii="Arial" w:hAnsi="Arial" w:cs="Arial"/>
                <w:color w:val="202124"/>
                <w:lang w:val="sr-Cyrl-BA"/>
              </w:rPr>
              <w:t>ж</w:t>
            </w:r>
            <w:r w:rsidR="00A56E08">
              <w:rPr>
                <w:rFonts w:ascii="Arial" w:hAnsi="Arial" w:cs="Arial"/>
                <w:color w:val="202124"/>
                <w:lang w:val="sr-Cyrl-BA"/>
              </w:rPr>
              <w:t>ај</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ног</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ог</w:t>
            </w:r>
            <w:r>
              <w:rPr>
                <w:rFonts w:ascii="Arial" w:hAnsi="Arial" w:cs="Arial"/>
                <w:color w:val="202124"/>
                <w:lang w:val="sr-Cyrl-BA"/>
              </w:rPr>
              <w:t>р</w:t>
            </w:r>
            <w:r w:rsidR="00A56E08">
              <w:rPr>
                <w:rFonts w:ascii="Arial" w:hAnsi="Arial" w:cs="Arial"/>
                <w:color w:val="202124"/>
                <w:lang w:val="sr-Cyrl-BA"/>
              </w:rPr>
              <w:t>ама</w:t>
            </w:r>
            <w:r w:rsidR="00847B04" w:rsidRPr="00F6340E">
              <w:rPr>
                <w:rFonts w:ascii="Arial" w:hAnsi="Arial" w:cs="Arial"/>
                <w:color w:val="202124"/>
                <w:lang w:val="sr-Cyrl-BA"/>
              </w:rPr>
              <w:t xml:space="preserve">. </w:t>
            </w:r>
          </w:p>
          <w:p w14:paraId="1C6CED48" w14:textId="6B7E0A55"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Ус</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на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имј</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одго</w:t>
            </w:r>
            <w:r>
              <w:rPr>
                <w:rFonts w:ascii="Arial" w:hAnsi="Arial" w:cs="Arial"/>
                <w:color w:val="202124"/>
                <w:lang w:val="sr-Cyrl-BA"/>
              </w:rPr>
              <w:t>в</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ај</w:t>
            </w:r>
            <w:r>
              <w:rPr>
                <w:rFonts w:ascii="Arial" w:hAnsi="Arial" w:cs="Arial"/>
                <w:color w:val="202124"/>
                <w:lang w:val="sr-Cyrl-BA"/>
              </w:rPr>
              <w:t>у</w:t>
            </w:r>
            <w:r w:rsidR="00A56E08">
              <w:rPr>
                <w:rFonts w:ascii="Arial" w:hAnsi="Arial" w:cs="Arial"/>
                <w:color w:val="202124"/>
                <w:lang w:val="sr-Cyrl-BA"/>
              </w:rPr>
              <w:t>ћ</w:t>
            </w:r>
            <w:r w:rsidR="00EE6AA2">
              <w:rPr>
                <w:rFonts w:ascii="Arial" w:hAnsi="Arial" w:cs="Arial"/>
                <w:color w:val="202124"/>
                <w:lang w:val="sr-Cyrl-BA"/>
              </w:rPr>
              <w:t>е</w:t>
            </w:r>
            <w:r w:rsidR="00A56E08">
              <w:rPr>
                <w:rFonts w:ascii="Arial" w:hAnsi="Arial" w:cs="Arial"/>
                <w:color w:val="202124"/>
                <w:lang w:val="sr-Cyrl-BA"/>
              </w:rPr>
              <w:t>г</w:t>
            </w:r>
            <w:r w:rsidR="00847B04" w:rsidRPr="00F6340E">
              <w:rPr>
                <w:rFonts w:ascii="Arial" w:hAnsi="Arial" w:cs="Arial"/>
                <w:color w:val="202124"/>
                <w:lang w:val="sr-Cyrl-BA"/>
              </w:rPr>
              <w:t xml:space="preserve"> </w:t>
            </w:r>
            <w:r w:rsidR="00A56E08">
              <w:rPr>
                <w:rFonts w:ascii="Arial" w:hAnsi="Arial" w:cs="Arial"/>
                <w:color w:val="202124"/>
                <w:lang w:val="sr-Cyrl-BA"/>
              </w:rPr>
              <w:t>ИК</w:t>
            </w:r>
            <w:r>
              <w:rPr>
                <w:rFonts w:ascii="Arial" w:hAnsi="Arial" w:cs="Arial"/>
                <w:color w:val="202124"/>
                <w:lang w:val="sr-Cyrl-BA"/>
              </w:rPr>
              <w:t>Т</w:t>
            </w:r>
            <w:r w:rsidR="00496D98" w:rsidRPr="00F6340E">
              <w:rPr>
                <w:rFonts w:ascii="Arial" w:hAnsi="Arial" w:cs="Arial"/>
                <w:color w:val="202124"/>
                <w:lang w:val="sr-Cyrl-BA"/>
              </w:rPr>
              <w:t>-</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sidR="00A56E08">
              <w:rPr>
                <w:rFonts w:ascii="Arial" w:hAnsi="Arial" w:cs="Arial"/>
                <w:color w:val="202124"/>
                <w:lang w:val="sr-Cyrl-BA"/>
              </w:rPr>
              <w:t>би</w:t>
            </w:r>
            <w:r w:rsidR="00847B04" w:rsidRPr="00F6340E">
              <w:rPr>
                <w:rFonts w:ascii="Arial" w:hAnsi="Arial" w:cs="Arial"/>
                <w:color w:val="202124"/>
                <w:lang w:val="sr-Cyrl-BA"/>
              </w:rPr>
              <w:t xml:space="preserve"> </w:t>
            </w:r>
            <w:r w:rsidR="00A56E08">
              <w:rPr>
                <w:rFonts w:ascii="Arial" w:hAnsi="Arial" w:cs="Arial"/>
                <w:color w:val="202124"/>
                <w:lang w:val="sr-Cyrl-BA"/>
              </w:rPr>
              <w:t>о</w:t>
            </w:r>
            <w:r>
              <w:rPr>
                <w:rFonts w:ascii="Arial" w:hAnsi="Arial" w:cs="Arial"/>
                <w:color w:val="202124"/>
                <w:lang w:val="sr-Cyrl-BA"/>
              </w:rPr>
              <w:t>ств</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или</w:t>
            </w:r>
            <w:r w:rsidR="00847B04" w:rsidRPr="00F6340E">
              <w:rPr>
                <w:rFonts w:ascii="Arial" w:hAnsi="Arial" w:cs="Arial"/>
                <w:color w:val="202124"/>
                <w:lang w:val="sr-Cyrl-BA"/>
              </w:rPr>
              <w:t xml:space="preserve"> </w:t>
            </w:r>
            <w:r>
              <w:rPr>
                <w:rFonts w:ascii="Arial" w:hAnsi="Arial" w:cs="Arial"/>
                <w:color w:val="202124"/>
                <w:lang w:val="sr-Cyrl-BA"/>
              </w:rPr>
              <w:t>ст</w:t>
            </w:r>
            <w:r w:rsidR="00A56E08">
              <w:rPr>
                <w:rFonts w:ascii="Arial" w:hAnsi="Arial" w:cs="Arial"/>
                <w:color w:val="202124"/>
                <w:lang w:val="sr-Cyrl-BA"/>
              </w:rPr>
              <w:t>анда</w:t>
            </w:r>
            <w:r>
              <w:rPr>
                <w:rFonts w:ascii="Arial" w:hAnsi="Arial" w:cs="Arial"/>
                <w:color w:val="202124"/>
                <w:lang w:val="sr-Cyrl-BA"/>
              </w:rPr>
              <w:t>р</w:t>
            </w:r>
            <w:r w:rsidR="00A56E08">
              <w:rPr>
                <w:rFonts w:ascii="Arial" w:hAnsi="Arial" w:cs="Arial"/>
                <w:color w:val="202124"/>
                <w:lang w:val="sr-Cyrl-BA"/>
              </w:rPr>
              <w:t>д</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ног</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ог</w:t>
            </w:r>
            <w:r>
              <w:rPr>
                <w:rFonts w:ascii="Arial" w:hAnsi="Arial" w:cs="Arial"/>
                <w:color w:val="202124"/>
                <w:lang w:val="sr-Cyrl-BA"/>
              </w:rPr>
              <w:t>р</w:t>
            </w:r>
            <w:r w:rsidR="00A56E08">
              <w:rPr>
                <w:rFonts w:ascii="Arial" w:hAnsi="Arial" w:cs="Arial"/>
                <w:color w:val="202124"/>
                <w:lang w:val="sr-Cyrl-BA"/>
              </w:rPr>
              <w:t>ама</w:t>
            </w:r>
            <w:r w:rsidR="00847B04" w:rsidRPr="00F6340E">
              <w:rPr>
                <w:rFonts w:ascii="Arial" w:hAnsi="Arial" w:cs="Arial"/>
                <w:color w:val="202124"/>
                <w:lang w:val="sr-Cyrl-BA"/>
              </w:rPr>
              <w:t xml:space="preserve"> </w:t>
            </w:r>
            <w:r w:rsidR="00A56E08">
              <w:rPr>
                <w:rFonts w:ascii="Arial" w:hAnsi="Arial" w:cs="Arial"/>
                <w:color w:val="202124"/>
                <w:lang w:val="sr-Cyrl-BA"/>
              </w:rPr>
              <w:t>који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р</w:t>
            </w:r>
            <w:r w:rsidR="00171F00">
              <w:rPr>
                <w:rFonts w:ascii="Arial" w:hAnsi="Arial" w:cs="Arial"/>
                <w:color w:val="202124"/>
                <w:lang w:val="sr-Cyrl-BA"/>
              </w:rPr>
              <w:t>ж</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ај</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ми</w:t>
            </w:r>
            <w:r>
              <w:rPr>
                <w:rFonts w:ascii="Arial" w:hAnsi="Arial" w:cs="Arial"/>
                <w:color w:val="202124"/>
                <w:lang w:val="sr-Cyrl-BA"/>
              </w:rPr>
              <w:t>ш</w:t>
            </w:r>
            <w:r w:rsidR="00A56E08">
              <w:rPr>
                <w:rFonts w:ascii="Arial" w:hAnsi="Arial" w:cs="Arial"/>
                <w:color w:val="202124"/>
                <w:lang w:val="sr-Cyrl-BA"/>
              </w:rPr>
              <w:t>љањ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лани</w:t>
            </w:r>
            <w:r>
              <w:rPr>
                <w:rFonts w:ascii="Arial" w:hAnsi="Arial" w:cs="Arial"/>
                <w:color w:val="202124"/>
                <w:lang w:val="sr-Cyrl-BA"/>
              </w:rPr>
              <w:t>р</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фл</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с</w:t>
            </w:r>
            <w:r w:rsidR="00A56E08">
              <w:rPr>
                <w:rFonts w:ascii="Arial" w:hAnsi="Arial" w:cs="Arial"/>
                <w:color w:val="202124"/>
                <w:lang w:val="sr-Cyrl-BA"/>
              </w:rPr>
              <w:t>иј</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ст</w:t>
            </w:r>
            <w:r w:rsidR="00A56E08">
              <w:rPr>
                <w:rFonts w:ascii="Arial" w:hAnsi="Arial" w:cs="Arial"/>
                <w:color w:val="202124"/>
                <w:lang w:val="sr-Cyrl-BA"/>
              </w:rPr>
              <w:t>ицањ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нања</w:t>
            </w:r>
            <w:r w:rsidR="00847B04" w:rsidRPr="00F6340E">
              <w:rPr>
                <w:rFonts w:ascii="Arial" w:hAnsi="Arial" w:cs="Arial"/>
                <w:color w:val="202124"/>
                <w:lang w:val="sr-Cyrl-BA"/>
              </w:rPr>
              <w:t xml:space="preserve">. </w:t>
            </w:r>
          </w:p>
          <w:p w14:paraId="19D7A240" w14:textId="402780A7"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Ус</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на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имј</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ИК</w:t>
            </w:r>
            <w:r>
              <w:rPr>
                <w:rFonts w:ascii="Arial" w:hAnsi="Arial" w:cs="Arial"/>
                <w:color w:val="202124"/>
                <w:lang w:val="sr-Cyrl-BA"/>
              </w:rPr>
              <w:t>Т</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в</w:t>
            </w:r>
            <w:r w:rsidR="00A56E08">
              <w:rPr>
                <w:rFonts w:ascii="Arial" w:hAnsi="Arial" w:cs="Arial"/>
                <w:color w:val="202124"/>
                <w:lang w:val="sr-Cyrl-BA"/>
              </w:rPr>
              <w:t>ој</w:t>
            </w:r>
            <w:r w:rsidR="00847B04" w:rsidRPr="00F6340E">
              <w:rPr>
                <w:rFonts w:ascii="Arial" w:hAnsi="Arial" w:cs="Arial"/>
                <w:color w:val="202124"/>
                <w:lang w:val="sr-Cyrl-BA"/>
              </w:rPr>
              <w:t xml:space="preserve"> </w:t>
            </w:r>
            <w:r w:rsidR="00A56E08">
              <w:rPr>
                <w:rFonts w:ascii="Arial" w:hAnsi="Arial" w:cs="Arial"/>
                <w:color w:val="202124"/>
                <w:lang w:val="sr-Cyrl-BA"/>
              </w:rPr>
              <w:t>ком</w:t>
            </w:r>
            <w:r>
              <w:rPr>
                <w:rFonts w:ascii="Arial" w:hAnsi="Arial" w:cs="Arial"/>
                <w:color w:val="202124"/>
                <w:lang w:val="sr-Cyrl-BA"/>
              </w:rPr>
              <w:t>у</w:t>
            </w:r>
            <w:r w:rsidR="00A56E08">
              <w:rPr>
                <w:rFonts w:ascii="Arial" w:hAnsi="Arial" w:cs="Arial"/>
                <w:color w:val="202124"/>
                <w:lang w:val="sr-Cyrl-BA"/>
              </w:rPr>
              <w:t>никационих</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шт</w:t>
            </w:r>
            <w:r w:rsidR="00A56E08">
              <w:rPr>
                <w:rFonts w:ascii="Arial" w:hAnsi="Arial" w:cs="Arial"/>
                <w:color w:val="202124"/>
                <w:lang w:val="sr-Cyrl-BA"/>
              </w:rPr>
              <w:t>ина</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адничког</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w:t>
            </w:r>
          </w:p>
          <w:p w14:paraId="0078227B" w14:textId="59FC300E"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w:t>
            </w:r>
            <w:r w:rsidR="00A56E08">
              <w:rPr>
                <w:rFonts w:ascii="Arial" w:hAnsi="Arial" w:cs="Arial"/>
                <w:color w:val="202124"/>
                <w:lang w:val="sr-Cyrl-BA"/>
              </w:rPr>
              <w:t>омоћи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w:t>
            </w:r>
            <w:r>
              <w:rPr>
                <w:rFonts w:ascii="Arial" w:hAnsi="Arial" w:cs="Arial"/>
                <w:color w:val="202124"/>
                <w:lang w:val="sr-Cyrl-BA"/>
              </w:rPr>
              <w:t>сту</w:t>
            </w:r>
            <w:r w:rsidR="00A56E08">
              <w:rPr>
                <w:rFonts w:ascii="Arial" w:hAnsi="Arial" w:cs="Arial"/>
                <w:color w:val="202124"/>
                <w:lang w:val="sr-Cyrl-BA"/>
              </w:rPr>
              <w:t>д</w:t>
            </w:r>
            <w:r w:rsidR="00EE6AA2">
              <w:rPr>
                <w:rFonts w:ascii="Arial" w:hAnsi="Arial" w:cs="Arial"/>
                <w:color w:val="202124"/>
                <w:lang w:val="sr-Cyrl-BA"/>
              </w:rPr>
              <w:t>е</w:t>
            </w:r>
            <w:r w:rsidR="00A56E08">
              <w:rPr>
                <w:rFonts w:ascii="Arial" w:hAnsi="Arial" w:cs="Arial"/>
                <w:color w:val="202124"/>
                <w:lang w:val="sr-Cyrl-BA"/>
              </w:rPr>
              <w:t>н</w:t>
            </w:r>
            <w:r>
              <w:rPr>
                <w:rFonts w:ascii="Arial" w:hAnsi="Arial" w:cs="Arial"/>
                <w:color w:val="202124"/>
                <w:lang w:val="sr-Cyrl-BA"/>
              </w:rPr>
              <w:t>т</w:t>
            </w:r>
            <w:r w:rsidR="00A56E08">
              <w:rPr>
                <w:rFonts w:ascii="Arial" w:hAnsi="Arial" w:cs="Arial"/>
                <w:color w:val="202124"/>
                <w:lang w:val="sr-Cyrl-BA"/>
              </w:rPr>
              <w:t>има</w:t>
            </w:r>
            <w:r w:rsidR="00847B04" w:rsidRPr="00F6340E">
              <w:rPr>
                <w:rFonts w:ascii="Arial" w:hAnsi="Arial" w:cs="Arial"/>
                <w:color w:val="202124"/>
                <w:lang w:val="sr-Cyrl-BA"/>
              </w:rPr>
              <w:t xml:space="preserve"> </w:t>
            </w:r>
            <w:r w:rsidR="00A56E08">
              <w:rPr>
                <w:rFonts w:ascii="Arial" w:hAnsi="Arial" w:cs="Arial"/>
                <w:color w:val="202124"/>
                <w:lang w:val="sr-Cyrl-BA"/>
              </w:rPr>
              <w:t>да</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в</w:t>
            </w:r>
            <w:r w:rsidR="00A56E08">
              <w:rPr>
                <w:rFonts w:ascii="Arial" w:hAnsi="Arial" w:cs="Arial"/>
                <w:color w:val="202124"/>
                <w:lang w:val="sr-Cyrl-BA"/>
              </w:rPr>
              <w:t>иј</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стр</w:t>
            </w:r>
            <w:r w:rsidR="00A56E08">
              <w:rPr>
                <w:rFonts w:ascii="Arial" w:hAnsi="Arial" w:cs="Arial"/>
                <w:color w:val="202124"/>
                <w:lang w:val="sr-Cyrl-BA"/>
              </w:rPr>
              <w:t>а</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гиј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оцј</w:t>
            </w:r>
            <w:r w:rsidR="00EE6AA2">
              <w:rPr>
                <w:rFonts w:ascii="Arial" w:hAnsi="Arial" w:cs="Arial"/>
                <w:color w:val="202124"/>
                <w:lang w:val="sr-Cyrl-BA"/>
              </w:rPr>
              <w:t>е</w:t>
            </w:r>
            <w:r w:rsidR="00A56E08">
              <w:rPr>
                <w:rFonts w:ascii="Arial" w:hAnsi="Arial" w:cs="Arial"/>
                <w:color w:val="202124"/>
                <w:lang w:val="sr-Cyrl-BA"/>
              </w:rPr>
              <w:t>њи</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sidR="00A56E08">
              <w:rPr>
                <w:rFonts w:ascii="Arial" w:hAnsi="Arial" w:cs="Arial"/>
                <w:color w:val="202124"/>
                <w:lang w:val="sr-Cyrl-BA"/>
              </w:rPr>
              <w:t>би</w:t>
            </w:r>
            <w:r w:rsidR="00847B04" w:rsidRPr="00F6340E">
              <w:rPr>
                <w:rFonts w:ascii="Arial" w:hAnsi="Arial" w:cs="Arial"/>
                <w:color w:val="202124"/>
                <w:lang w:val="sr-Cyrl-BA"/>
              </w:rPr>
              <w:t xml:space="preserve"> </w:t>
            </w:r>
            <w:r w:rsidR="00A56E08">
              <w:rPr>
                <w:rFonts w:ascii="Arial" w:hAnsi="Arial" w:cs="Arial"/>
                <w:color w:val="202124"/>
                <w:lang w:val="sr-Cyrl-BA"/>
              </w:rPr>
              <w:t>и</w:t>
            </w:r>
            <w:r>
              <w:rPr>
                <w:rFonts w:ascii="Arial" w:hAnsi="Arial" w:cs="Arial"/>
                <w:color w:val="202124"/>
                <w:lang w:val="sr-Cyrl-BA"/>
              </w:rPr>
              <w:t>сп</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али</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ла</w:t>
            </w:r>
            <w:r>
              <w:rPr>
                <w:rFonts w:ascii="Arial" w:hAnsi="Arial" w:cs="Arial"/>
                <w:color w:val="202124"/>
                <w:lang w:val="sr-Cyrl-BA"/>
              </w:rPr>
              <w:t>ст</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о</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у</w:t>
            </w:r>
            <w:r w:rsidR="00A56E08">
              <w:rPr>
                <w:rFonts w:ascii="Arial" w:hAnsi="Arial" w:cs="Arial"/>
                <w:color w:val="202124"/>
                <w:lang w:val="sr-Cyrl-BA"/>
              </w:rPr>
              <w:t>миј</w:t>
            </w:r>
            <w:r w:rsidR="00EE6AA2">
              <w:rPr>
                <w:rFonts w:ascii="Arial" w:hAnsi="Arial" w:cs="Arial"/>
                <w:color w:val="202124"/>
                <w:lang w:val="sr-Cyrl-BA"/>
              </w:rPr>
              <w:t>е</w:t>
            </w:r>
            <w:r>
              <w:rPr>
                <w:rFonts w:ascii="Arial" w:hAnsi="Arial" w:cs="Arial"/>
                <w:color w:val="202124"/>
                <w:lang w:val="sr-Cyrl-BA"/>
              </w:rPr>
              <w:t>в</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кљ</w:t>
            </w:r>
            <w:r>
              <w:rPr>
                <w:rFonts w:ascii="Arial" w:hAnsi="Arial" w:cs="Arial"/>
                <w:color w:val="202124"/>
                <w:lang w:val="sr-Cyrl-BA"/>
              </w:rPr>
              <w:t>у</w:t>
            </w:r>
            <w:r w:rsidR="00A56E08">
              <w:rPr>
                <w:rFonts w:ascii="Arial" w:hAnsi="Arial" w:cs="Arial"/>
                <w:color w:val="202124"/>
                <w:lang w:val="sr-Cyrl-BA"/>
              </w:rPr>
              <w:t>чних</w:t>
            </w:r>
            <w:r w:rsidR="00847B04" w:rsidRPr="00F6340E">
              <w:rPr>
                <w:rFonts w:ascii="Arial" w:hAnsi="Arial" w:cs="Arial"/>
                <w:color w:val="202124"/>
                <w:lang w:val="sr-Cyrl-BA"/>
              </w:rPr>
              <w:t xml:space="preserve"> </w:t>
            </w:r>
            <w:r>
              <w:rPr>
                <w:rFonts w:ascii="Arial" w:hAnsi="Arial" w:cs="Arial"/>
                <w:color w:val="202124"/>
                <w:lang w:val="sr-Cyrl-BA"/>
              </w:rPr>
              <w:t>т</w:t>
            </w:r>
            <w:r w:rsidR="00EE6AA2">
              <w:rPr>
                <w:rFonts w:ascii="Arial" w:hAnsi="Arial" w:cs="Arial"/>
                <w:color w:val="202124"/>
                <w:lang w:val="sr-Cyrl-BA"/>
              </w:rPr>
              <w:t>е</w:t>
            </w:r>
            <w:r w:rsidR="00A56E08">
              <w:rPr>
                <w:rFonts w:ascii="Arial" w:hAnsi="Arial" w:cs="Arial"/>
                <w:color w:val="202124"/>
                <w:lang w:val="sr-Cyrl-BA"/>
              </w:rPr>
              <w:t>ма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шт</w:t>
            </w:r>
            <w:r w:rsidR="00A56E08">
              <w:rPr>
                <w:rFonts w:ascii="Arial" w:hAnsi="Arial" w:cs="Arial"/>
                <w:color w:val="202124"/>
                <w:lang w:val="sr-Cyrl-BA"/>
              </w:rPr>
              <w:t>ина</w:t>
            </w:r>
            <w:r w:rsidR="00496D98" w:rsidRPr="00F6340E">
              <w:rPr>
                <w:rFonts w:ascii="Arial" w:hAnsi="Arial" w:cs="Arial"/>
                <w:color w:val="202124"/>
                <w:lang w:val="sr-Cyrl-BA"/>
              </w:rPr>
              <w:t xml:space="preserve"> </w:t>
            </w:r>
            <w:r w:rsidR="00A56E08">
              <w:rPr>
                <w:rFonts w:ascii="Arial" w:hAnsi="Arial" w:cs="Arial"/>
                <w:color w:val="202124"/>
                <w:lang w:val="sr-Cyrl-BA"/>
              </w:rPr>
              <w:t>ИК</w:t>
            </w:r>
            <w:r>
              <w:rPr>
                <w:rFonts w:ascii="Arial" w:hAnsi="Arial" w:cs="Arial"/>
                <w:color w:val="202124"/>
                <w:lang w:val="sr-Cyrl-BA"/>
              </w:rPr>
              <w:t>Т</w:t>
            </w:r>
            <w:r w:rsidR="00496D98" w:rsidRPr="00F6340E">
              <w:rPr>
                <w:rFonts w:ascii="Arial" w:hAnsi="Arial" w:cs="Arial"/>
                <w:color w:val="202124"/>
                <w:lang w:val="sr-Cyrl-BA"/>
              </w:rPr>
              <w:t>-</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кљ</w:t>
            </w:r>
            <w:r>
              <w:rPr>
                <w:rFonts w:ascii="Arial" w:hAnsi="Arial" w:cs="Arial"/>
                <w:color w:val="202124"/>
                <w:lang w:val="sr-Cyrl-BA"/>
              </w:rPr>
              <w:t>у</w:t>
            </w:r>
            <w:r w:rsidR="00A56E08">
              <w:rPr>
                <w:rFonts w:ascii="Arial" w:hAnsi="Arial" w:cs="Arial"/>
                <w:color w:val="202124"/>
                <w:lang w:val="sr-Cyrl-BA"/>
              </w:rPr>
              <w:t>ч</w:t>
            </w:r>
            <w:r>
              <w:rPr>
                <w:rFonts w:ascii="Arial" w:hAnsi="Arial" w:cs="Arial"/>
                <w:color w:val="202124"/>
                <w:lang w:val="sr-Cyrl-BA"/>
              </w:rPr>
              <w:t>у</w:t>
            </w:r>
            <w:r w:rsidR="00A56E08">
              <w:rPr>
                <w:rFonts w:ascii="Arial" w:hAnsi="Arial" w:cs="Arial"/>
                <w:color w:val="202124"/>
                <w:lang w:val="sr-Cyrl-BA"/>
              </w:rPr>
              <w:t>ј</w:t>
            </w:r>
            <w:r>
              <w:rPr>
                <w:rFonts w:ascii="Arial" w:hAnsi="Arial" w:cs="Arial"/>
                <w:color w:val="202124"/>
                <w:lang w:val="sr-Cyrl-BA"/>
              </w:rPr>
              <w:t>у</w:t>
            </w:r>
            <w:r w:rsidR="00A56E08">
              <w:rPr>
                <w:rFonts w:ascii="Arial" w:hAnsi="Arial" w:cs="Arial"/>
                <w:color w:val="202124"/>
                <w:lang w:val="sr-Cyrl-BA"/>
              </w:rPr>
              <w:t>ћи</w:t>
            </w:r>
            <w:r w:rsidR="00847B04" w:rsidRPr="00F6340E">
              <w:rPr>
                <w:rFonts w:ascii="Arial" w:hAnsi="Arial" w:cs="Arial"/>
                <w:color w:val="202124"/>
                <w:lang w:val="sr-Cyrl-BA"/>
              </w:rPr>
              <w:t xml:space="preserve"> </w:t>
            </w:r>
            <w:r w:rsidR="00A56E08">
              <w:rPr>
                <w:rFonts w:ascii="Arial" w:hAnsi="Arial" w:cs="Arial"/>
                <w:color w:val="202124"/>
                <w:lang w:val="sr-Cyrl-BA"/>
              </w:rPr>
              <w:t>м</w:t>
            </w:r>
            <w:r w:rsidR="00EE6AA2">
              <w:rPr>
                <w:rFonts w:ascii="Arial" w:hAnsi="Arial" w:cs="Arial"/>
                <w:color w:val="202124"/>
                <w:lang w:val="sr-Cyrl-BA"/>
              </w:rPr>
              <w:t>е</w:t>
            </w:r>
            <w:r w:rsidR="00A56E08">
              <w:rPr>
                <w:rFonts w:ascii="Arial" w:hAnsi="Arial" w:cs="Arial"/>
                <w:color w:val="202124"/>
                <w:lang w:val="sr-Cyrl-BA"/>
              </w:rPr>
              <w:t>ђ</w:t>
            </w:r>
            <w:r>
              <w:rPr>
                <w:rFonts w:ascii="Arial" w:hAnsi="Arial" w:cs="Arial"/>
                <w:color w:val="202124"/>
                <w:lang w:val="sr-Cyrl-BA"/>
              </w:rPr>
              <w:t>ус</w:t>
            </w:r>
            <w:r w:rsidR="00A56E08">
              <w:rPr>
                <w:rFonts w:ascii="Arial" w:hAnsi="Arial" w:cs="Arial"/>
                <w:color w:val="202124"/>
                <w:lang w:val="sr-Cyrl-BA"/>
              </w:rPr>
              <w:t>обно</w:t>
            </w:r>
            <w:r w:rsidR="00847B04" w:rsidRPr="00F6340E">
              <w:rPr>
                <w:rFonts w:ascii="Arial" w:hAnsi="Arial" w:cs="Arial"/>
                <w:color w:val="202124"/>
                <w:lang w:val="sr-Cyrl-BA"/>
              </w:rPr>
              <w:t xml:space="preserve"> </w:t>
            </w:r>
            <w:r w:rsidR="00A56E08">
              <w:rPr>
                <w:rFonts w:ascii="Arial" w:hAnsi="Arial" w:cs="Arial"/>
                <w:color w:val="202124"/>
                <w:lang w:val="sr-Cyrl-BA"/>
              </w:rPr>
              <w:t>оцј</w:t>
            </w:r>
            <w:r w:rsidR="00EE6AA2">
              <w:rPr>
                <w:rFonts w:ascii="Arial" w:hAnsi="Arial" w:cs="Arial"/>
                <w:color w:val="202124"/>
                <w:lang w:val="sr-Cyrl-BA"/>
              </w:rPr>
              <w:t>е</w:t>
            </w:r>
            <w:r w:rsidR="00A56E08">
              <w:rPr>
                <w:rFonts w:ascii="Arial" w:hAnsi="Arial" w:cs="Arial"/>
                <w:color w:val="202124"/>
                <w:lang w:val="sr-Cyrl-BA"/>
              </w:rPr>
              <w:t>њи</w:t>
            </w:r>
            <w:r>
              <w:rPr>
                <w:rFonts w:ascii="Arial" w:hAnsi="Arial" w:cs="Arial"/>
                <w:color w:val="202124"/>
                <w:lang w:val="sr-Cyrl-BA"/>
              </w:rPr>
              <w:t>в</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w:t>
            </w:r>
          </w:p>
          <w:p w14:paraId="1BCF8920" w14:textId="20FA71C0"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Комбино</w:t>
            </w:r>
            <w:r w:rsidR="0071360A">
              <w:rPr>
                <w:rFonts w:ascii="Arial" w:hAnsi="Arial" w:cs="Arial"/>
                <w:color w:val="202124"/>
                <w:lang w:val="sr-Cyrl-BA"/>
              </w:rPr>
              <w:t>в</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личи</w:t>
            </w:r>
            <w:r w:rsidR="0071360A">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ала</w:t>
            </w:r>
            <w:r w:rsidR="0071360A">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EE6AA2">
              <w:rPr>
                <w:rFonts w:ascii="Arial" w:hAnsi="Arial" w:cs="Arial"/>
                <w:color w:val="202124"/>
                <w:lang w:val="sr-Cyrl-BA"/>
              </w:rPr>
              <w:t>е</w:t>
            </w:r>
            <w:r w:rsidR="0071360A">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како</w:t>
            </w:r>
            <w:r w:rsidR="00847B04" w:rsidRPr="00F6340E">
              <w:rPr>
                <w:rFonts w:ascii="Arial" w:hAnsi="Arial" w:cs="Arial"/>
                <w:color w:val="202124"/>
                <w:lang w:val="sr-Cyrl-BA"/>
              </w:rPr>
              <w:t xml:space="preserve"> </w:t>
            </w:r>
            <w:r>
              <w:rPr>
                <w:rFonts w:ascii="Arial" w:hAnsi="Arial" w:cs="Arial"/>
                <w:color w:val="202124"/>
                <w:lang w:val="sr-Cyrl-BA"/>
              </w:rPr>
              <w:t>би</w:t>
            </w:r>
            <w:r w:rsidR="00847B04" w:rsidRPr="00F6340E">
              <w:rPr>
                <w:rFonts w:ascii="Arial" w:hAnsi="Arial" w:cs="Arial"/>
                <w:color w:val="202124"/>
                <w:lang w:val="sr-Cyrl-BA"/>
              </w:rPr>
              <w:t xml:space="preserve"> </w:t>
            </w:r>
            <w:r w:rsidR="0071360A">
              <w:rPr>
                <w:rFonts w:ascii="Arial" w:hAnsi="Arial" w:cs="Arial"/>
                <w:color w:val="202124"/>
                <w:lang w:val="sr-Cyrl-BA"/>
              </w:rPr>
              <w:t>ств</w:t>
            </w:r>
            <w:r>
              <w:rPr>
                <w:rFonts w:ascii="Arial" w:hAnsi="Arial" w:cs="Arial"/>
                <w:color w:val="202124"/>
                <w:lang w:val="sr-Cyrl-BA"/>
              </w:rPr>
              <w:t>о</w:t>
            </w:r>
            <w:r w:rsidR="0071360A">
              <w:rPr>
                <w:rFonts w:ascii="Arial" w:hAnsi="Arial" w:cs="Arial"/>
                <w:color w:val="202124"/>
                <w:lang w:val="sr-Cyrl-BA"/>
              </w:rPr>
              <w:t>р</w:t>
            </w:r>
            <w:r>
              <w:rPr>
                <w:rFonts w:ascii="Arial" w:hAnsi="Arial" w:cs="Arial"/>
                <w:color w:val="202124"/>
                <w:lang w:val="sr-Cyrl-BA"/>
              </w:rPr>
              <w:t>или</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ално</w:t>
            </w:r>
            <w:r w:rsidR="00847B04" w:rsidRPr="00F6340E">
              <w:rPr>
                <w:rFonts w:ascii="Arial" w:hAnsi="Arial" w:cs="Arial"/>
                <w:color w:val="202124"/>
                <w:lang w:val="sr-Cyrl-BA"/>
              </w:rPr>
              <w:t xml:space="preserve"> </w:t>
            </w:r>
            <w:r>
              <w:rPr>
                <w:rFonts w:ascii="Arial" w:hAnsi="Arial" w:cs="Arial"/>
                <w:color w:val="202124"/>
                <w:lang w:val="sr-Cyrl-BA"/>
              </w:rPr>
              <w:t>ок</w:t>
            </w:r>
            <w:r w:rsidR="0071360A">
              <w:rPr>
                <w:rFonts w:ascii="Arial" w:hAnsi="Arial" w:cs="Arial"/>
                <w:color w:val="202124"/>
                <w:lang w:val="sr-Cyrl-BA"/>
              </w:rPr>
              <w:t>ру</w:t>
            </w:r>
            <w:r w:rsidR="00171F00">
              <w:rPr>
                <w:rFonts w:ascii="Arial" w:hAnsi="Arial" w:cs="Arial"/>
                <w:color w:val="202124"/>
                <w:lang w:val="sr-Cyrl-BA"/>
              </w:rPr>
              <w:t>ж</w:t>
            </w:r>
            <w:r w:rsidR="00EE6AA2">
              <w:rPr>
                <w:rFonts w:ascii="Arial" w:hAnsi="Arial" w:cs="Arial"/>
                <w:color w:val="202124"/>
                <w:lang w:val="sr-Cyrl-BA"/>
              </w:rPr>
              <w:t>е</w:t>
            </w:r>
            <w:r>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кој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w:t>
            </w:r>
            <w:r>
              <w:rPr>
                <w:rFonts w:ascii="Arial" w:hAnsi="Arial" w:cs="Arial"/>
                <w:color w:val="202124"/>
                <w:lang w:val="sr-Cyrl-BA"/>
              </w:rPr>
              <w:t>од</w:t>
            </w:r>
            <w:r w:rsidR="0071360A">
              <w:rPr>
                <w:rFonts w:ascii="Arial" w:hAnsi="Arial" w:cs="Arial"/>
                <w:color w:val="202124"/>
                <w:lang w:val="sr-Cyrl-BA"/>
              </w:rPr>
              <w:t>р</w:t>
            </w:r>
            <w:r w:rsidR="00171F00">
              <w:rPr>
                <w:rFonts w:ascii="Arial" w:hAnsi="Arial" w:cs="Arial"/>
                <w:color w:val="202124"/>
                <w:lang w:val="sr-Cyrl-BA"/>
              </w:rPr>
              <w:t>ж</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ми</w:t>
            </w:r>
            <w:r w:rsidR="0071360A">
              <w:rPr>
                <w:rFonts w:ascii="Arial" w:hAnsi="Arial" w:cs="Arial"/>
                <w:color w:val="202124"/>
                <w:lang w:val="sr-Cyrl-BA"/>
              </w:rPr>
              <w:t>ш</w:t>
            </w:r>
            <w:r>
              <w:rPr>
                <w:rFonts w:ascii="Arial" w:hAnsi="Arial" w:cs="Arial"/>
                <w:color w:val="202124"/>
                <w:lang w:val="sr-Cyrl-BA"/>
              </w:rPr>
              <w:t>љ</w:t>
            </w:r>
            <w:r w:rsidR="00EE6AA2">
              <w:rPr>
                <w:rFonts w:ascii="Arial" w:hAnsi="Arial" w:cs="Arial"/>
                <w:color w:val="202124"/>
                <w:lang w:val="sr-Cyrl-BA"/>
              </w:rPr>
              <w:t>е</w:t>
            </w:r>
            <w:r>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обл</w:t>
            </w:r>
            <w:r w:rsidR="00EE6AA2">
              <w:rPr>
                <w:rFonts w:ascii="Arial" w:hAnsi="Arial" w:cs="Arial"/>
                <w:color w:val="202124"/>
                <w:lang w:val="sr-Cyrl-BA"/>
              </w:rPr>
              <w:t>е</w:t>
            </w:r>
            <w:r>
              <w:rPr>
                <w:rFonts w:ascii="Arial" w:hAnsi="Arial" w:cs="Arial"/>
                <w:color w:val="202124"/>
                <w:lang w:val="sr-Cyrl-BA"/>
              </w:rPr>
              <w:t>ма</w:t>
            </w:r>
            <w:r w:rsidR="00847B04" w:rsidRPr="00F6340E">
              <w:rPr>
                <w:rFonts w:ascii="Arial" w:hAnsi="Arial" w:cs="Arial"/>
                <w:color w:val="202124"/>
                <w:lang w:val="sr-Cyrl-BA"/>
              </w:rPr>
              <w:t xml:space="preserve"> </w:t>
            </w:r>
            <w:r w:rsidR="0071360A">
              <w:rPr>
                <w:rFonts w:ascii="Arial" w:hAnsi="Arial" w:cs="Arial"/>
                <w:color w:val="202124"/>
                <w:lang w:val="sr-Cyrl-BA"/>
              </w:rPr>
              <w:t>в</w:t>
            </w:r>
            <w:r>
              <w:rPr>
                <w:rFonts w:ascii="Arial" w:hAnsi="Arial" w:cs="Arial"/>
                <w:color w:val="202124"/>
                <w:lang w:val="sr-Cyrl-BA"/>
              </w:rPr>
              <w:t>и</w:t>
            </w:r>
            <w:r w:rsidR="0071360A">
              <w:rPr>
                <w:rFonts w:ascii="Arial" w:hAnsi="Arial" w:cs="Arial"/>
                <w:color w:val="202124"/>
                <w:lang w:val="sr-Cyrl-BA"/>
              </w:rPr>
              <w:t>ш</w:t>
            </w:r>
            <w:r w:rsidR="00EE6AA2">
              <w:rPr>
                <w:rFonts w:ascii="Arial" w:hAnsi="Arial" w:cs="Arial"/>
                <w:color w:val="202124"/>
                <w:lang w:val="sr-Cyrl-BA"/>
              </w:rPr>
              <w:t>е</w:t>
            </w:r>
            <w:r>
              <w:rPr>
                <w:rFonts w:ascii="Arial" w:hAnsi="Arial" w:cs="Arial"/>
                <w:color w:val="202124"/>
                <w:lang w:val="sr-Cyrl-BA"/>
              </w:rPr>
              <w:t>г</w:t>
            </w:r>
            <w:r w:rsidR="00847B04" w:rsidRPr="00F6340E">
              <w:rPr>
                <w:rFonts w:ascii="Arial" w:hAnsi="Arial" w:cs="Arial"/>
                <w:color w:val="202124"/>
                <w:lang w:val="sr-Cyrl-BA"/>
              </w:rPr>
              <w:t xml:space="preserve"> </w:t>
            </w:r>
            <w:r w:rsidR="0071360A">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да</w:t>
            </w:r>
            <w:r w:rsidR="00847B04" w:rsidRPr="00F6340E">
              <w:rPr>
                <w:rFonts w:ascii="Arial" w:hAnsi="Arial" w:cs="Arial"/>
                <w:color w:val="202124"/>
                <w:lang w:val="sr-Cyrl-BA"/>
              </w:rPr>
              <w:t xml:space="preserve"> </w:t>
            </w:r>
            <w:r w:rsidR="0071360A">
              <w:rPr>
                <w:rFonts w:ascii="Arial" w:hAnsi="Arial" w:cs="Arial"/>
                <w:color w:val="202124"/>
                <w:lang w:val="sr-Cyrl-BA"/>
              </w:rPr>
              <w:t>св</w:t>
            </w:r>
            <w:r>
              <w:rPr>
                <w:rFonts w:ascii="Arial" w:hAnsi="Arial" w:cs="Arial"/>
                <w:color w:val="202124"/>
                <w:lang w:val="sr-Cyrl-BA"/>
              </w:rPr>
              <w:t>их</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ника</w:t>
            </w:r>
            <w:r w:rsidR="00847B04" w:rsidRPr="00F6340E">
              <w:rPr>
                <w:rFonts w:ascii="Arial" w:hAnsi="Arial" w:cs="Arial"/>
                <w:color w:val="202124"/>
                <w:lang w:val="sr-Cyrl-BA"/>
              </w:rPr>
              <w:t>/</w:t>
            </w:r>
            <w:r w:rsidR="0071360A">
              <w:rPr>
                <w:rFonts w:ascii="Arial" w:hAnsi="Arial" w:cs="Arial"/>
                <w:color w:val="202124"/>
                <w:lang w:val="sr-Cyrl-BA"/>
              </w:rPr>
              <w:t>сту</w:t>
            </w:r>
            <w:r>
              <w:rPr>
                <w:rFonts w:ascii="Arial" w:hAnsi="Arial" w:cs="Arial"/>
                <w:color w:val="202124"/>
                <w:lang w:val="sr-Cyrl-BA"/>
              </w:rPr>
              <w:t>д</w:t>
            </w:r>
            <w:r w:rsidR="00EE6AA2">
              <w:rPr>
                <w:rFonts w:ascii="Arial" w:hAnsi="Arial" w:cs="Arial"/>
                <w:color w:val="202124"/>
                <w:lang w:val="sr-Cyrl-BA"/>
              </w:rPr>
              <w:t>е</w:t>
            </w:r>
            <w:r>
              <w:rPr>
                <w:rFonts w:ascii="Arial" w:hAnsi="Arial" w:cs="Arial"/>
                <w:color w:val="202124"/>
                <w:lang w:val="sr-Cyrl-BA"/>
              </w:rPr>
              <w:t>на</w:t>
            </w:r>
            <w:r w:rsidR="0071360A">
              <w:rPr>
                <w:rFonts w:ascii="Arial" w:hAnsi="Arial" w:cs="Arial"/>
                <w:color w:val="202124"/>
                <w:lang w:val="sr-Cyrl-BA"/>
              </w:rPr>
              <w:t>т</w:t>
            </w:r>
            <w:r>
              <w:rPr>
                <w:rFonts w:ascii="Arial" w:hAnsi="Arial" w:cs="Arial"/>
                <w:color w:val="202124"/>
                <w:lang w:val="sr-Cyrl-BA"/>
              </w:rPr>
              <w:t>а</w:t>
            </w:r>
            <w:r w:rsidR="00847B04" w:rsidRPr="00F6340E">
              <w:rPr>
                <w:rFonts w:ascii="Arial" w:hAnsi="Arial" w:cs="Arial"/>
                <w:color w:val="202124"/>
                <w:lang w:val="sr-Cyrl-BA"/>
              </w:rPr>
              <w:t>.</w:t>
            </w:r>
          </w:p>
          <w:p w14:paraId="03CC4C33" w14:textId="491FA2A6"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оц</w:t>
            </w:r>
            <w:r w:rsidR="00EE6AA2">
              <w:rPr>
                <w:rFonts w:ascii="Arial" w:hAnsi="Arial" w:cs="Arial"/>
                <w:color w:val="202124"/>
                <w:lang w:val="sr-Cyrl-BA"/>
              </w:rPr>
              <w:t>е</w:t>
            </w:r>
            <w:r>
              <w:rPr>
                <w:rFonts w:ascii="Arial" w:hAnsi="Arial" w:cs="Arial"/>
                <w:color w:val="202124"/>
                <w:lang w:val="sr-Cyrl-BA"/>
              </w:rPr>
              <w:t>су</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у</w:t>
            </w:r>
            <w:r w:rsidR="00A56E08">
              <w:rPr>
                <w:rFonts w:ascii="Arial" w:hAnsi="Arial" w:cs="Arial"/>
                <w:color w:val="202124"/>
                <w:lang w:val="sr-Cyrl-BA"/>
              </w:rPr>
              <w:t>ча</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 xml:space="preserve"> </w:t>
            </w:r>
            <w:r w:rsidR="00A56E08">
              <w:rPr>
                <w:rFonts w:ascii="Arial" w:hAnsi="Arial" w:cs="Arial"/>
                <w:color w:val="202124"/>
                <w:lang w:val="sr-Cyrl-BA"/>
              </w:rPr>
              <w:t>мод</w:t>
            </w:r>
            <w:r w:rsidR="00EE6AA2">
              <w:rPr>
                <w:rFonts w:ascii="Arial" w:hAnsi="Arial" w:cs="Arial"/>
                <w:color w:val="202124"/>
                <w:lang w:val="sr-Cyrl-BA"/>
              </w:rPr>
              <w:t>е</w:t>
            </w:r>
            <w:r w:rsidR="00A56E08">
              <w:rPr>
                <w:rFonts w:ascii="Arial" w:hAnsi="Arial" w:cs="Arial"/>
                <w:color w:val="202124"/>
                <w:lang w:val="sr-Cyrl-BA"/>
              </w:rPr>
              <w:t>ли</w:t>
            </w:r>
            <w:r>
              <w:rPr>
                <w:rFonts w:ascii="Arial" w:hAnsi="Arial" w:cs="Arial"/>
                <w:color w:val="202124"/>
                <w:lang w:val="sr-Cyrl-BA"/>
              </w:rPr>
              <w:t>р</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ми</w:t>
            </w:r>
            <w:r>
              <w:rPr>
                <w:rFonts w:ascii="Arial" w:hAnsi="Arial" w:cs="Arial"/>
                <w:color w:val="202124"/>
                <w:lang w:val="sr-Cyrl-BA"/>
              </w:rPr>
              <w:t>ш</w:t>
            </w:r>
            <w:r w:rsidR="00A56E08">
              <w:rPr>
                <w:rFonts w:ascii="Arial" w:hAnsi="Arial" w:cs="Arial"/>
                <w:color w:val="202124"/>
                <w:lang w:val="sr-Cyrl-BA"/>
              </w:rPr>
              <w:t>љањ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обл</w:t>
            </w:r>
            <w:r w:rsidR="00EE6AA2">
              <w:rPr>
                <w:rFonts w:ascii="Arial" w:hAnsi="Arial" w:cs="Arial"/>
                <w:color w:val="202124"/>
                <w:lang w:val="sr-Cyrl-BA"/>
              </w:rPr>
              <w:t>е</w:t>
            </w:r>
            <w:r w:rsidR="00A56E08">
              <w:rPr>
                <w:rFonts w:ascii="Arial" w:hAnsi="Arial" w:cs="Arial"/>
                <w:color w:val="202124"/>
                <w:lang w:val="sr-Cyrl-BA"/>
              </w:rPr>
              <w:t>ма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и</w:t>
            </w:r>
            <w:r>
              <w:rPr>
                <w:rFonts w:ascii="Arial" w:hAnsi="Arial" w:cs="Arial"/>
                <w:color w:val="202124"/>
                <w:lang w:val="sr-Cyrl-BA"/>
              </w:rPr>
              <w:t>р</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нања</w:t>
            </w:r>
            <w:r w:rsidR="00847B04" w:rsidRPr="00F6340E">
              <w:rPr>
                <w:rFonts w:ascii="Arial" w:hAnsi="Arial" w:cs="Arial"/>
                <w:color w:val="202124"/>
                <w:lang w:val="sr-Cyrl-BA"/>
              </w:rPr>
              <w:t>.</w:t>
            </w:r>
          </w:p>
          <w:p w14:paraId="4F93E8A7" w14:textId="655A3095" w:rsidR="00847B04" w:rsidRPr="00F6340E" w:rsidRDefault="00A56E08"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К</w:t>
            </w:r>
            <w:r w:rsidR="0071360A">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и</w:t>
            </w:r>
            <w:r w:rsidR="0071360A">
              <w:rPr>
                <w:rFonts w:ascii="Arial" w:hAnsi="Arial" w:cs="Arial"/>
                <w:color w:val="202124"/>
                <w:lang w:val="sr-Cyrl-BA"/>
              </w:rPr>
              <w:t>р</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на</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в</w:t>
            </w:r>
            <w:r w:rsidR="00EE6AA2">
              <w:rPr>
                <w:rFonts w:ascii="Arial" w:hAnsi="Arial" w:cs="Arial"/>
                <w:color w:val="202124"/>
                <w:lang w:val="sr-Cyrl-BA"/>
              </w:rPr>
              <w:t>е</w:t>
            </w:r>
            <w:r w:rsidR="008424F0" w:rsidRPr="00F6340E">
              <w:rPr>
                <w:rFonts w:ascii="Arial" w:hAnsi="Arial" w:cs="Arial"/>
                <w:color w:val="202124"/>
                <w:lang w:val="sr-Cyrl-BA"/>
              </w:rPr>
              <w:t xml:space="preserve"> </w:t>
            </w:r>
            <w:r w:rsidR="0071360A">
              <w:rPr>
                <w:rFonts w:ascii="Arial" w:hAnsi="Arial" w:cs="Arial"/>
                <w:color w:val="202124"/>
                <w:lang w:val="sr-Cyrl-BA"/>
              </w:rPr>
              <w:t>пут</w:t>
            </w:r>
            <w:r w:rsidR="00EE6AA2">
              <w:rPr>
                <w:rFonts w:ascii="Arial" w:hAnsi="Arial" w:cs="Arial"/>
                <w:color w:val="202124"/>
                <w:lang w:val="sr-Cyrl-BA"/>
              </w:rPr>
              <w:t>е</w:t>
            </w:r>
            <w:r>
              <w:rPr>
                <w:rFonts w:ascii="Arial" w:hAnsi="Arial" w:cs="Arial"/>
                <w:color w:val="202124"/>
                <w:lang w:val="sr-Cyrl-BA"/>
              </w:rPr>
              <w:t>м</w:t>
            </w:r>
            <w:r w:rsidR="008424F0" w:rsidRPr="00F6340E">
              <w:rPr>
                <w:rFonts w:ascii="Arial" w:hAnsi="Arial" w:cs="Arial"/>
                <w:color w:val="202124"/>
                <w:lang w:val="sr-Cyrl-BA"/>
              </w:rPr>
              <w:t xml:space="preserve"> </w:t>
            </w:r>
            <w:r>
              <w:rPr>
                <w:rFonts w:ascii="Arial" w:hAnsi="Arial" w:cs="Arial"/>
                <w:color w:val="202124"/>
                <w:lang w:val="sr-Cyrl-BA"/>
              </w:rPr>
              <w:t>ин</w:t>
            </w:r>
            <w:r w:rsidR="0071360A">
              <w:rPr>
                <w:rFonts w:ascii="Arial" w:hAnsi="Arial" w:cs="Arial"/>
                <w:color w:val="202124"/>
                <w:lang w:val="sr-Cyrl-BA"/>
              </w:rPr>
              <w:t>т</w:t>
            </w:r>
            <w:r w:rsidR="00EE6AA2">
              <w:rPr>
                <w:rFonts w:ascii="Arial" w:hAnsi="Arial" w:cs="Arial"/>
                <w:color w:val="202124"/>
                <w:lang w:val="sr-Cyrl-BA"/>
              </w:rPr>
              <w:t>е</w:t>
            </w:r>
            <w:r w:rsidR="0071360A">
              <w:rPr>
                <w:rFonts w:ascii="Arial" w:hAnsi="Arial" w:cs="Arial"/>
                <w:color w:val="202124"/>
                <w:lang w:val="sr-Cyrl-BA"/>
              </w:rPr>
              <w:t>р</w:t>
            </w:r>
            <w:r>
              <w:rPr>
                <w:rFonts w:ascii="Arial" w:hAnsi="Arial" w:cs="Arial"/>
                <w:color w:val="202124"/>
                <w:lang w:val="sr-Cyrl-BA"/>
              </w:rPr>
              <w:t>н</w:t>
            </w:r>
            <w:r w:rsidR="00EE6AA2">
              <w:rPr>
                <w:rFonts w:ascii="Arial" w:hAnsi="Arial" w:cs="Arial"/>
                <w:color w:val="202124"/>
                <w:lang w:val="sr-Cyrl-BA"/>
              </w:rPr>
              <w:t>е</w:t>
            </w:r>
            <w:r w:rsidR="0071360A">
              <w:rPr>
                <w:rFonts w:ascii="Arial" w:hAnsi="Arial" w:cs="Arial"/>
                <w:color w:val="202124"/>
                <w:lang w:val="sr-Cyrl-BA"/>
              </w:rPr>
              <w:t>т</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ма</w:t>
            </w:r>
            <w:r w:rsidR="0071360A">
              <w:rPr>
                <w:rFonts w:ascii="Arial" w:hAnsi="Arial" w:cs="Arial"/>
                <w:color w:val="202124"/>
                <w:lang w:val="sr-Cyrl-BA"/>
              </w:rPr>
              <w:t>т</w:t>
            </w:r>
            <w:r w:rsidR="00EE6AA2">
              <w:rPr>
                <w:rFonts w:ascii="Arial" w:hAnsi="Arial" w:cs="Arial"/>
                <w:color w:val="202124"/>
                <w:lang w:val="sr-Cyrl-BA"/>
              </w:rPr>
              <w:t>е</w:t>
            </w:r>
            <w:r w:rsidR="0071360A">
              <w:rPr>
                <w:rFonts w:ascii="Arial" w:hAnsi="Arial" w:cs="Arial"/>
                <w:color w:val="202124"/>
                <w:lang w:val="sr-Cyrl-BA"/>
              </w:rPr>
              <w:t>р</w:t>
            </w:r>
            <w:r>
              <w:rPr>
                <w:rFonts w:ascii="Arial" w:hAnsi="Arial" w:cs="Arial"/>
                <w:color w:val="202124"/>
                <w:lang w:val="sr-Cyrl-BA"/>
              </w:rPr>
              <w:t>ијал</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ак</w:t>
            </w:r>
            <w:r w:rsidR="0071360A">
              <w:rPr>
                <w:rFonts w:ascii="Arial" w:hAnsi="Arial" w:cs="Arial"/>
                <w:color w:val="202124"/>
                <w:lang w:val="sr-Cyrl-BA"/>
              </w:rPr>
              <w:t>т</w:t>
            </w:r>
            <w:r>
              <w:rPr>
                <w:rFonts w:ascii="Arial" w:hAnsi="Arial" w:cs="Arial"/>
                <w:color w:val="202124"/>
                <w:lang w:val="sr-Cyrl-BA"/>
              </w:rPr>
              <w:t>и</w:t>
            </w:r>
            <w:r w:rsidR="0071360A">
              <w:rPr>
                <w:rFonts w:ascii="Arial" w:hAnsi="Arial" w:cs="Arial"/>
                <w:color w:val="202124"/>
                <w:lang w:val="sr-Cyrl-BA"/>
              </w:rPr>
              <w:t>в</w:t>
            </w:r>
            <w:r>
              <w:rPr>
                <w:rFonts w:ascii="Arial" w:hAnsi="Arial" w:cs="Arial"/>
                <w:color w:val="202124"/>
                <w:lang w:val="sr-Cyrl-BA"/>
              </w:rPr>
              <w:t>но</w:t>
            </w:r>
            <w:r w:rsidR="0071360A">
              <w:rPr>
                <w:rFonts w:ascii="Arial" w:hAnsi="Arial" w:cs="Arial"/>
                <w:color w:val="202124"/>
                <w:lang w:val="sr-Cyrl-BA"/>
              </w:rPr>
              <w:t>ст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кој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кљ</w:t>
            </w:r>
            <w:r w:rsidR="0071360A">
              <w:rPr>
                <w:rFonts w:ascii="Arial" w:hAnsi="Arial" w:cs="Arial"/>
                <w:color w:val="202124"/>
                <w:lang w:val="sr-Cyrl-BA"/>
              </w:rPr>
              <w:t>у</w:t>
            </w:r>
            <w:r>
              <w:rPr>
                <w:rFonts w:ascii="Arial" w:hAnsi="Arial" w:cs="Arial"/>
                <w:color w:val="202124"/>
                <w:lang w:val="sr-Cyrl-BA"/>
              </w:rPr>
              <w:t>ч</w:t>
            </w:r>
            <w:r w:rsidR="0071360A">
              <w:rPr>
                <w:rFonts w:ascii="Arial" w:hAnsi="Arial" w:cs="Arial"/>
                <w:color w:val="202124"/>
                <w:lang w:val="sr-Cyrl-BA"/>
              </w:rPr>
              <w:t>у</w:t>
            </w:r>
            <w:r>
              <w:rPr>
                <w:rFonts w:ascii="Arial" w:hAnsi="Arial" w:cs="Arial"/>
                <w:color w:val="202124"/>
                <w:lang w:val="sr-Cyrl-BA"/>
              </w:rPr>
              <w:t>ј</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сту</w:t>
            </w:r>
            <w:r>
              <w:rPr>
                <w:rFonts w:ascii="Arial" w:hAnsi="Arial" w:cs="Arial"/>
                <w:color w:val="202124"/>
                <w:lang w:val="sr-Cyrl-BA"/>
              </w:rPr>
              <w:t>д</w:t>
            </w:r>
            <w:r w:rsidR="00EE6AA2">
              <w:rPr>
                <w:rFonts w:ascii="Arial" w:hAnsi="Arial" w:cs="Arial"/>
                <w:color w:val="202124"/>
                <w:lang w:val="sr-Cyrl-BA"/>
              </w:rPr>
              <w:t>е</w:t>
            </w:r>
            <w:r>
              <w:rPr>
                <w:rFonts w:ascii="Arial" w:hAnsi="Arial" w:cs="Arial"/>
                <w:color w:val="202124"/>
                <w:lang w:val="sr-Cyrl-BA"/>
              </w:rPr>
              <w:t>н</w:t>
            </w:r>
            <w:r w:rsidR="0071360A">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ај</w:t>
            </w:r>
            <w:r w:rsidR="00EE6AA2">
              <w:rPr>
                <w:rFonts w:ascii="Arial" w:hAnsi="Arial" w:cs="Arial"/>
                <w:color w:val="202124"/>
                <w:lang w:val="sr-Cyrl-BA"/>
              </w:rPr>
              <w:t>е</w:t>
            </w:r>
            <w:r>
              <w:rPr>
                <w:rFonts w:ascii="Arial" w:hAnsi="Arial" w:cs="Arial"/>
                <w:color w:val="202124"/>
                <w:lang w:val="sr-Cyrl-BA"/>
              </w:rPr>
              <w:t>дничко</w:t>
            </w:r>
            <w:r w:rsidR="00847B04" w:rsidRPr="00F6340E">
              <w:rPr>
                <w:rFonts w:ascii="Arial" w:hAnsi="Arial" w:cs="Arial"/>
                <w:color w:val="202124"/>
                <w:lang w:val="sr-Cyrl-BA"/>
              </w:rPr>
              <w:t xml:space="preserve"> </w:t>
            </w:r>
            <w:r>
              <w:rPr>
                <w:rFonts w:ascii="Arial" w:hAnsi="Arial" w:cs="Arial"/>
                <w:color w:val="202124"/>
                <w:lang w:val="sr-Cyrl-BA"/>
              </w:rPr>
              <w:t>и</w:t>
            </w:r>
            <w:r w:rsidR="0071360A">
              <w:rPr>
                <w:rFonts w:ascii="Arial" w:hAnsi="Arial" w:cs="Arial"/>
                <w:color w:val="202124"/>
                <w:lang w:val="sr-Cyrl-BA"/>
              </w:rPr>
              <w:t>стр</w:t>
            </w:r>
            <w:r>
              <w:rPr>
                <w:rFonts w:ascii="Arial" w:hAnsi="Arial" w:cs="Arial"/>
                <w:color w:val="202124"/>
                <w:lang w:val="sr-Cyrl-BA"/>
              </w:rPr>
              <w:t>а</w:t>
            </w:r>
            <w:r w:rsidR="00171F00">
              <w:rPr>
                <w:rFonts w:ascii="Arial" w:hAnsi="Arial" w:cs="Arial"/>
                <w:color w:val="202124"/>
                <w:lang w:val="sr-Cyrl-BA"/>
              </w:rPr>
              <w:t>ж</w:t>
            </w:r>
            <w:r>
              <w:rPr>
                <w:rFonts w:ascii="Arial" w:hAnsi="Arial" w:cs="Arial"/>
                <w:color w:val="202124"/>
                <w:lang w:val="sr-Cyrl-BA"/>
              </w:rPr>
              <w:t>и</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ус</w:t>
            </w:r>
            <w:r>
              <w:rPr>
                <w:rFonts w:ascii="Arial" w:hAnsi="Arial" w:cs="Arial"/>
                <w:color w:val="202124"/>
                <w:lang w:val="sr-Cyrl-BA"/>
              </w:rPr>
              <w:t>мј</w:t>
            </w:r>
            <w:r w:rsidR="00EE6AA2">
              <w:rPr>
                <w:rFonts w:ascii="Arial" w:hAnsi="Arial" w:cs="Arial"/>
                <w:color w:val="202124"/>
                <w:lang w:val="sr-Cyrl-BA"/>
              </w:rPr>
              <w:t>е</w:t>
            </w:r>
            <w:r w:rsidR="0071360A">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но</w:t>
            </w:r>
            <w:r w:rsidR="00847B04" w:rsidRPr="00F6340E">
              <w:rPr>
                <w:rFonts w:ascii="Arial" w:hAnsi="Arial" w:cs="Arial"/>
                <w:color w:val="202124"/>
                <w:lang w:val="sr-Cyrl-BA"/>
              </w:rPr>
              <w:t xml:space="preserve"> </w:t>
            </w:r>
            <w:r>
              <w:rPr>
                <w:rFonts w:ascii="Arial" w:hAnsi="Arial" w:cs="Arial"/>
                <w:color w:val="202124"/>
                <w:lang w:val="sr-Cyrl-BA"/>
              </w:rPr>
              <w:t>на</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ј</w:t>
            </w:r>
            <w:r w:rsidR="00EE6AA2">
              <w:rPr>
                <w:rFonts w:ascii="Arial" w:hAnsi="Arial" w:cs="Arial"/>
                <w:color w:val="202124"/>
                <w:lang w:val="sr-Cyrl-BA"/>
              </w:rPr>
              <w:t>е</w:t>
            </w:r>
            <w:r w:rsidR="0071360A">
              <w:rPr>
                <w:rFonts w:ascii="Arial" w:hAnsi="Arial" w:cs="Arial"/>
                <w:color w:val="202124"/>
                <w:lang w:val="sr-Cyrl-BA"/>
              </w:rPr>
              <w:t>ш</w:t>
            </w:r>
            <w:r>
              <w:rPr>
                <w:rFonts w:ascii="Arial" w:hAnsi="Arial" w:cs="Arial"/>
                <w:color w:val="202124"/>
                <w:lang w:val="sr-Cyrl-BA"/>
              </w:rPr>
              <w:t>а</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обл</w:t>
            </w:r>
            <w:r w:rsidR="00EE6AA2">
              <w:rPr>
                <w:rFonts w:ascii="Arial" w:hAnsi="Arial" w:cs="Arial"/>
                <w:color w:val="202124"/>
                <w:lang w:val="sr-Cyrl-BA"/>
              </w:rPr>
              <w:t>е</w:t>
            </w:r>
            <w:r>
              <w:rPr>
                <w:rFonts w:ascii="Arial" w:hAnsi="Arial" w:cs="Arial"/>
                <w:color w:val="202124"/>
                <w:lang w:val="sr-Cyrl-BA"/>
              </w:rPr>
              <w:t>ма</w:t>
            </w:r>
            <w:r w:rsidR="00847B04" w:rsidRPr="00F6340E">
              <w:rPr>
                <w:rFonts w:ascii="Arial" w:hAnsi="Arial" w:cs="Arial"/>
                <w:color w:val="202124"/>
                <w:lang w:val="sr-Cyrl-BA"/>
              </w:rPr>
              <w:t>.</w:t>
            </w:r>
          </w:p>
          <w:p w14:paraId="78511FA0" w14:textId="018FBAD0"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w:t>
            </w:r>
            <w:r w:rsidR="00A56E08">
              <w:rPr>
                <w:rFonts w:ascii="Arial" w:hAnsi="Arial" w:cs="Arial"/>
                <w:color w:val="202124"/>
                <w:lang w:val="sr-Cyrl-BA"/>
              </w:rPr>
              <w:t>омоћи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 xml:space="preserve"> </w:t>
            </w:r>
            <w:r w:rsidR="00A56E08">
              <w:rPr>
                <w:rFonts w:ascii="Arial" w:hAnsi="Arial" w:cs="Arial"/>
                <w:color w:val="202124"/>
                <w:lang w:val="sr-Cyrl-BA"/>
              </w:rPr>
              <w:t>да</w:t>
            </w:r>
            <w:r w:rsidR="00847B04" w:rsidRPr="00F6340E">
              <w:rPr>
                <w:rFonts w:ascii="Arial" w:hAnsi="Arial" w:cs="Arial"/>
                <w:color w:val="202124"/>
                <w:lang w:val="sr-Cyrl-BA"/>
              </w:rPr>
              <w:t xml:space="preserve"> </w:t>
            </w:r>
            <w:r w:rsidR="00A56E08">
              <w:rPr>
                <w:rFonts w:ascii="Arial" w:hAnsi="Arial" w:cs="Arial"/>
                <w:color w:val="202124"/>
                <w:lang w:val="sr-Cyrl-BA"/>
              </w:rPr>
              <w:t>о</w:t>
            </w:r>
            <w:r>
              <w:rPr>
                <w:rFonts w:ascii="Arial" w:hAnsi="Arial" w:cs="Arial"/>
                <w:color w:val="202124"/>
                <w:lang w:val="sr-Cyrl-BA"/>
              </w:rPr>
              <w:t>с</w:t>
            </w:r>
            <w:r w:rsidR="00A56E08">
              <w:rPr>
                <w:rFonts w:ascii="Arial" w:hAnsi="Arial" w:cs="Arial"/>
                <w:color w:val="202124"/>
                <w:lang w:val="sr-Cyrl-BA"/>
              </w:rPr>
              <w:t>ми</w:t>
            </w:r>
            <w:r>
              <w:rPr>
                <w:rFonts w:ascii="Arial" w:hAnsi="Arial" w:cs="Arial"/>
                <w:color w:val="202124"/>
                <w:lang w:val="sr-Cyrl-BA"/>
              </w:rPr>
              <w:t>с</w:t>
            </w:r>
            <w:r w:rsidR="00A56E08">
              <w:rPr>
                <w:rFonts w:ascii="Arial" w:hAnsi="Arial" w:cs="Arial"/>
                <w:color w:val="202124"/>
                <w:lang w:val="sr-Cyrl-BA"/>
              </w:rPr>
              <w:t>л</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ој</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т</w:t>
            </w:r>
            <w:r w:rsidR="00A56E08">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лано</w:t>
            </w:r>
            <w:r>
              <w:rPr>
                <w:rFonts w:ascii="Arial" w:hAnsi="Arial" w:cs="Arial"/>
                <w:color w:val="202124"/>
                <w:lang w:val="sr-Cyrl-BA"/>
              </w:rPr>
              <w:t>в</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ак</w:t>
            </w:r>
            <w:r>
              <w:rPr>
                <w:rFonts w:ascii="Arial" w:hAnsi="Arial" w:cs="Arial"/>
                <w:color w:val="202124"/>
                <w:lang w:val="sr-Cyrl-BA"/>
              </w:rPr>
              <w:t>т</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но</w:t>
            </w:r>
            <w:r>
              <w:rPr>
                <w:rFonts w:ascii="Arial" w:hAnsi="Arial" w:cs="Arial"/>
                <w:color w:val="202124"/>
                <w:lang w:val="sr-Cyrl-BA"/>
              </w:rPr>
              <w:t>ст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кој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их</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кљ</w:t>
            </w:r>
            <w:r>
              <w:rPr>
                <w:rFonts w:ascii="Arial" w:hAnsi="Arial" w:cs="Arial"/>
                <w:color w:val="202124"/>
                <w:lang w:val="sr-Cyrl-BA"/>
              </w:rPr>
              <w:t>у</w:t>
            </w:r>
            <w:r w:rsidR="00A56E08">
              <w:rPr>
                <w:rFonts w:ascii="Arial" w:hAnsi="Arial" w:cs="Arial"/>
                <w:color w:val="202124"/>
                <w:lang w:val="sr-Cyrl-BA"/>
              </w:rPr>
              <w:t>ч</w:t>
            </w:r>
            <w:r>
              <w:rPr>
                <w:rFonts w:ascii="Arial" w:hAnsi="Arial" w:cs="Arial"/>
                <w:color w:val="202124"/>
                <w:lang w:val="sr-Cyrl-BA"/>
              </w:rPr>
              <w:t>у</w:t>
            </w:r>
            <w:r w:rsidR="00A56E08">
              <w:rPr>
                <w:rFonts w:ascii="Arial" w:hAnsi="Arial" w:cs="Arial"/>
                <w:color w:val="202124"/>
                <w:lang w:val="sr-Cyrl-BA"/>
              </w:rPr>
              <w:t>ј</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у</w:t>
            </w:r>
            <w:r w:rsidR="00847B04" w:rsidRPr="00F6340E">
              <w:rPr>
                <w:rFonts w:ascii="Arial" w:hAnsi="Arial" w:cs="Arial"/>
                <w:color w:val="202124"/>
                <w:lang w:val="sr-Cyrl-BA"/>
              </w:rPr>
              <w:t xml:space="preserve"> </w:t>
            </w:r>
            <w:r w:rsidR="00171F00">
              <w:rPr>
                <w:rFonts w:ascii="Arial" w:hAnsi="Arial" w:cs="Arial"/>
                <w:color w:val="202124"/>
                <w:lang w:val="sr-Cyrl-BA"/>
              </w:rPr>
              <w:t>з</w:t>
            </w:r>
            <w:r w:rsidR="00A56E08">
              <w:rPr>
                <w:rFonts w:ascii="Arial" w:hAnsi="Arial" w:cs="Arial"/>
                <w:color w:val="202124"/>
                <w:lang w:val="sr-Cyrl-BA"/>
              </w:rPr>
              <w:t>ај</w:t>
            </w:r>
            <w:r w:rsidR="00EE6AA2">
              <w:rPr>
                <w:rFonts w:ascii="Arial" w:hAnsi="Arial" w:cs="Arial"/>
                <w:color w:val="202124"/>
                <w:lang w:val="sr-Cyrl-BA"/>
              </w:rPr>
              <w:t>е</w:t>
            </w:r>
            <w:r w:rsidR="00A56E08">
              <w:rPr>
                <w:rFonts w:ascii="Arial" w:hAnsi="Arial" w:cs="Arial"/>
                <w:color w:val="202124"/>
                <w:lang w:val="sr-Cyrl-BA"/>
              </w:rPr>
              <w:t>дничко</w:t>
            </w:r>
            <w:r w:rsidR="00847B04" w:rsidRPr="00F6340E">
              <w:rPr>
                <w:rFonts w:ascii="Arial" w:hAnsi="Arial" w:cs="Arial"/>
                <w:color w:val="202124"/>
                <w:lang w:val="sr-Cyrl-BA"/>
              </w:rPr>
              <w:t xml:space="preserve"> </w:t>
            </w:r>
            <w:r w:rsidR="00A56E08">
              <w:rPr>
                <w:rFonts w:ascii="Arial" w:hAnsi="Arial" w:cs="Arial"/>
                <w:color w:val="202124"/>
                <w:lang w:val="sr-Cyrl-BA"/>
              </w:rPr>
              <w:t>и</w:t>
            </w:r>
            <w:r>
              <w:rPr>
                <w:rFonts w:ascii="Arial" w:hAnsi="Arial" w:cs="Arial"/>
                <w:color w:val="202124"/>
                <w:lang w:val="sr-Cyrl-BA"/>
              </w:rPr>
              <w:t>стр</w:t>
            </w:r>
            <w:r w:rsidR="00A56E08">
              <w:rPr>
                <w:rFonts w:ascii="Arial" w:hAnsi="Arial" w:cs="Arial"/>
                <w:color w:val="202124"/>
                <w:lang w:val="sr-Cyrl-BA"/>
              </w:rPr>
              <w:t>а</w:t>
            </w:r>
            <w:r w:rsidR="00171F00">
              <w:rPr>
                <w:rFonts w:ascii="Arial" w:hAnsi="Arial" w:cs="Arial"/>
                <w:color w:val="202124"/>
                <w:lang w:val="sr-Cyrl-BA"/>
              </w:rPr>
              <w:t>ж</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ј</w:t>
            </w:r>
            <w:r w:rsidR="00EE6AA2">
              <w:rPr>
                <w:rFonts w:ascii="Arial" w:hAnsi="Arial" w:cs="Arial"/>
                <w:color w:val="202124"/>
                <w:lang w:val="sr-Cyrl-BA"/>
              </w:rPr>
              <w:t>е</w:t>
            </w:r>
            <w:r>
              <w:rPr>
                <w:rFonts w:ascii="Arial" w:hAnsi="Arial" w:cs="Arial"/>
                <w:color w:val="202124"/>
                <w:lang w:val="sr-Cyrl-BA"/>
              </w:rPr>
              <w:t>ш</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обл</w:t>
            </w:r>
            <w:r w:rsidR="00EE6AA2">
              <w:rPr>
                <w:rFonts w:ascii="Arial" w:hAnsi="Arial" w:cs="Arial"/>
                <w:color w:val="202124"/>
                <w:lang w:val="sr-Cyrl-BA"/>
              </w:rPr>
              <w:t>е</w:t>
            </w:r>
            <w:r w:rsidR="00A56E08">
              <w:rPr>
                <w:rFonts w:ascii="Arial" w:hAnsi="Arial" w:cs="Arial"/>
                <w:color w:val="202124"/>
                <w:lang w:val="sr-Cyrl-BA"/>
              </w:rPr>
              <w:t>ма</w:t>
            </w:r>
            <w:r w:rsidR="00847B04" w:rsidRPr="00F6340E">
              <w:rPr>
                <w:rFonts w:ascii="Arial" w:hAnsi="Arial" w:cs="Arial"/>
                <w:color w:val="202124"/>
                <w:lang w:val="sr-Cyrl-BA"/>
              </w:rPr>
              <w:t xml:space="preserve"> </w:t>
            </w:r>
            <w:r w:rsidR="00A56E08">
              <w:rPr>
                <w:rFonts w:ascii="Arial" w:hAnsi="Arial" w:cs="Arial"/>
                <w:color w:val="202124"/>
                <w:lang w:val="sr-Cyrl-BA"/>
              </w:rPr>
              <w:t>или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ничко</w:t>
            </w:r>
            <w:r w:rsidR="00847B04" w:rsidRPr="00F6340E">
              <w:rPr>
                <w:rFonts w:ascii="Arial" w:hAnsi="Arial" w:cs="Arial"/>
                <w:color w:val="202124"/>
                <w:lang w:val="sr-Cyrl-BA"/>
              </w:rPr>
              <w:t xml:space="preserve"> </w:t>
            </w:r>
            <w:r>
              <w:rPr>
                <w:rFonts w:ascii="Arial" w:hAnsi="Arial" w:cs="Arial"/>
                <w:color w:val="202124"/>
                <w:lang w:val="sr-Cyrl-BA"/>
              </w:rPr>
              <w:t>ств</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w:t>
            </w:r>
          </w:p>
          <w:p w14:paraId="5B373442" w14:textId="266C91D2"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w:t>
            </w:r>
            <w:r w:rsidR="00A56E08">
              <w:rPr>
                <w:rFonts w:ascii="Arial" w:hAnsi="Arial" w:cs="Arial"/>
                <w:color w:val="202124"/>
                <w:lang w:val="sr-Cyrl-BA"/>
              </w:rPr>
              <w:t>омоћи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 xml:space="preserve"> </w:t>
            </w:r>
            <w:r w:rsidR="00A56E08">
              <w:rPr>
                <w:rFonts w:ascii="Arial" w:hAnsi="Arial" w:cs="Arial"/>
                <w:color w:val="202124"/>
                <w:lang w:val="sr-Cyrl-BA"/>
              </w:rPr>
              <w:t>да</w:t>
            </w:r>
            <w:r w:rsidR="00847B04" w:rsidRPr="00F6340E">
              <w:rPr>
                <w:rFonts w:ascii="Arial" w:hAnsi="Arial" w:cs="Arial"/>
                <w:color w:val="202124"/>
                <w:lang w:val="sr-Cyrl-BA"/>
              </w:rPr>
              <w:t xml:space="preserve"> </w:t>
            </w:r>
            <w:r w:rsidR="00A56E08">
              <w:rPr>
                <w:rFonts w:ascii="Arial" w:hAnsi="Arial" w:cs="Arial"/>
                <w:color w:val="202124"/>
                <w:lang w:val="sr-Cyrl-BA"/>
              </w:rPr>
              <w:t>к</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и</w:t>
            </w:r>
            <w:r>
              <w:rPr>
                <w:rFonts w:ascii="Arial" w:hAnsi="Arial" w:cs="Arial"/>
                <w:color w:val="202124"/>
                <w:lang w:val="sr-Cyrl-BA"/>
              </w:rPr>
              <w:t>р</w:t>
            </w:r>
            <w:r w:rsidR="00A56E08">
              <w:rPr>
                <w:rFonts w:ascii="Arial" w:hAnsi="Arial" w:cs="Arial"/>
                <w:color w:val="202124"/>
                <w:lang w:val="sr-Cyrl-BA"/>
              </w:rPr>
              <w:t>ај</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м</w:t>
            </w:r>
            <w:r w:rsidR="00EE6AA2">
              <w:rPr>
                <w:rFonts w:ascii="Arial" w:hAnsi="Arial" w:cs="Arial"/>
                <w:color w:val="202124"/>
                <w:lang w:val="sr-Cyrl-BA"/>
              </w:rPr>
              <w:t>е</w:t>
            </w:r>
            <w:r w:rsidR="00A56E08">
              <w:rPr>
                <w:rFonts w:ascii="Arial" w:hAnsi="Arial" w:cs="Arial"/>
                <w:color w:val="202124"/>
                <w:lang w:val="sr-Cyrl-BA"/>
              </w:rPr>
              <w:t>диј</w:t>
            </w:r>
            <w:r>
              <w:rPr>
                <w:rFonts w:ascii="Arial" w:hAnsi="Arial" w:cs="Arial"/>
                <w:color w:val="202124"/>
                <w:lang w:val="sr-Cyrl-BA"/>
              </w:rPr>
              <w:t>с</w:t>
            </w:r>
            <w:r w:rsidR="00A56E08">
              <w:rPr>
                <w:rFonts w:ascii="Arial" w:hAnsi="Arial" w:cs="Arial"/>
                <w:color w:val="202124"/>
                <w:lang w:val="sr-Cyrl-BA"/>
              </w:rPr>
              <w:t>к</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Pr>
                <w:rFonts w:ascii="Arial" w:hAnsi="Arial" w:cs="Arial"/>
                <w:color w:val="202124"/>
                <w:lang w:val="sr-Cyrl-BA"/>
              </w:rPr>
              <w:t>сурс</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који</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w:t>
            </w:r>
            <w:r>
              <w:rPr>
                <w:rFonts w:ascii="Arial" w:hAnsi="Arial" w:cs="Arial"/>
                <w:color w:val="202124"/>
                <w:lang w:val="sr-Cyrl-BA"/>
              </w:rPr>
              <w:t>р</w:t>
            </w:r>
            <w:r w:rsidR="00171F00">
              <w:rPr>
                <w:rFonts w:ascii="Arial" w:hAnsi="Arial" w:cs="Arial"/>
                <w:color w:val="202124"/>
                <w:lang w:val="sr-Cyrl-BA"/>
              </w:rPr>
              <w:t>ж</w:t>
            </w:r>
            <w:r w:rsidR="00A56E08">
              <w:rPr>
                <w:rFonts w:ascii="Arial" w:hAnsi="Arial" w:cs="Arial"/>
                <w:color w:val="202124"/>
                <w:lang w:val="sr-Cyrl-BA"/>
              </w:rPr>
              <w:t>а</w:t>
            </w:r>
            <w:r>
              <w:rPr>
                <w:rFonts w:ascii="Arial" w:hAnsi="Arial" w:cs="Arial"/>
                <w:color w:val="202124"/>
                <w:lang w:val="sr-Cyrl-BA"/>
              </w:rPr>
              <w:t>в</w:t>
            </w:r>
            <w:r w:rsidR="00A56E08">
              <w:rPr>
                <w:rFonts w:ascii="Arial" w:hAnsi="Arial" w:cs="Arial"/>
                <w:color w:val="202124"/>
                <w:lang w:val="sr-Cyrl-BA"/>
              </w:rPr>
              <w:t>ај</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њихо</w:t>
            </w:r>
            <w:r>
              <w:rPr>
                <w:rFonts w:ascii="Arial" w:hAnsi="Arial" w:cs="Arial"/>
                <w:color w:val="202124"/>
                <w:lang w:val="sr-Cyrl-BA"/>
              </w:rPr>
              <w:t>в</w:t>
            </w:r>
            <w:r w:rsidR="00A56E08">
              <w:rPr>
                <w:rFonts w:ascii="Arial" w:hAnsi="Arial" w:cs="Arial"/>
                <w:color w:val="202124"/>
                <w:lang w:val="sr-Cyrl-BA"/>
              </w:rPr>
              <w:t>о</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акциј</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д</w:t>
            </w:r>
            <w:r>
              <w:rPr>
                <w:rFonts w:ascii="Arial" w:hAnsi="Arial" w:cs="Arial"/>
                <w:color w:val="202124"/>
                <w:lang w:val="sr-Cyrl-BA"/>
              </w:rPr>
              <w:t>ру</w:t>
            </w:r>
            <w:r w:rsidR="00A56E08">
              <w:rPr>
                <w:rFonts w:ascii="Arial" w:hAnsi="Arial" w:cs="Arial"/>
                <w:color w:val="202124"/>
                <w:lang w:val="sr-Cyrl-BA"/>
              </w:rPr>
              <w:t>гима</w:t>
            </w:r>
            <w:r w:rsidR="00847B04" w:rsidRPr="00F6340E">
              <w:rPr>
                <w:rFonts w:ascii="Arial" w:hAnsi="Arial" w:cs="Arial"/>
                <w:color w:val="202124"/>
                <w:lang w:val="sr-Cyrl-BA"/>
              </w:rPr>
              <w:t>.</w:t>
            </w:r>
          </w:p>
          <w:p w14:paraId="6FDCC0FC" w14:textId="01F0A6F6"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w:t>
            </w:r>
            <w:r w:rsidR="00A56E08">
              <w:rPr>
                <w:rFonts w:ascii="Arial" w:hAnsi="Arial" w:cs="Arial"/>
                <w:color w:val="202124"/>
                <w:lang w:val="sr-Cyrl-BA"/>
              </w:rPr>
              <w:t>омоћи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 xml:space="preserve"> </w:t>
            </w:r>
            <w:r w:rsidR="00A56E08">
              <w:rPr>
                <w:rFonts w:ascii="Arial" w:hAnsi="Arial" w:cs="Arial"/>
                <w:color w:val="202124"/>
                <w:lang w:val="sr-Cyrl-BA"/>
              </w:rPr>
              <w:t>да</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ми</w:t>
            </w:r>
            <w:r>
              <w:rPr>
                <w:rFonts w:ascii="Arial" w:hAnsi="Arial" w:cs="Arial"/>
                <w:color w:val="202124"/>
                <w:lang w:val="sr-Cyrl-BA"/>
              </w:rPr>
              <w:t>с</w:t>
            </w:r>
            <w:r w:rsidR="00A56E08">
              <w:rPr>
                <w:rFonts w:ascii="Arial" w:hAnsi="Arial" w:cs="Arial"/>
                <w:color w:val="202124"/>
                <w:lang w:val="sr-Cyrl-BA"/>
              </w:rPr>
              <w:t>л</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о</w:t>
            </w:r>
            <w:r w:rsidR="00847B04" w:rsidRPr="00F6340E">
              <w:rPr>
                <w:rFonts w:ascii="Arial" w:hAnsi="Arial" w:cs="Arial"/>
                <w:color w:val="202124"/>
                <w:lang w:val="sr-Cyrl-BA"/>
              </w:rPr>
              <w:t xml:space="preserve"> </w:t>
            </w:r>
            <w:r>
              <w:rPr>
                <w:rFonts w:ascii="Arial" w:hAnsi="Arial" w:cs="Arial"/>
                <w:color w:val="202124"/>
                <w:lang w:val="sr-Cyrl-BA"/>
              </w:rPr>
              <w:t>св</w:t>
            </w:r>
            <w:r w:rsidR="00A56E08">
              <w:rPr>
                <w:rFonts w:ascii="Arial" w:hAnsi="Arial" w:cs="Arial"/>
                <w:color w:val="202124"/>
                <w:lang w:val="sr-Cyrl-BA"/>
              </w:rPr>
              <w:t>ом</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пру</w:t>
            </w:r>
            <w:r w:rsidR="00171F00">
              <w:rPr>
                <w:rFonts w:ascii="Arial" w:hAnsi="Arial" w:cs="Arial"/>
                <w:color w:val="202124"/>
                <w:lang w:val="sr-Cyrl-BA"/>
              </w:rPr>
              <w:t>ж</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дока</w:t>
            </w:r>
            <w:r w:rsidR="00171F00">
              <w:rPr>
                <w:rFonts w:ascii="Arial" w:hAnsi="Arial" w:cs="Arial"/>
                <w:color w:val="202124"/>
                <w:lang w:val="sr-Cyrl-BA"/>
              </w:rPr>
              <w:t>з</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о</w:t>
            </w:r>
            <w:r w:rsidR="00847B0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пр</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к</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п</w:t>
            </w:r>
            <w:r w:rsidR="00A56E08">
              <w:rPr>
                <w:rFonts w:ascii="Arial" w:hAnsi="Arial" w:cs="Arial"/>
                <w:color w:val="202124"/>
                <w:lang w:val="sr-Cyrl-BA"/>
              </w:rPr>
              <w:t>одиј</w:t>
            </w:r>
            <w:r w:rsidR="00EE6AA2">
              <w:rPr>
                <w:rFonts w:ascii="Arial" w:hAnsi="Arial" w:cs="Arial"/>
                <w:color w:val="202124"/>
                <w:lang w:val="sr-Cyrl-BA"/>
              </w:rPr>
              <w:t>е</w:t>
            </w:r>
            <w:r w:rsidR="00A56E08">
              <w:rPr>
                <w:rFonts w:ascii="Arial" w:hAnsi="Arial" w:cs="Arial"/>
                <w:color w:val="202124"/>
                <w:lang w:val="sr-Cyrl-BA"/>
              </w:rPr>
              <w:t>л</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св</w:t>
            </w:r>
            <w:r w:rsidR="00A56E08">
              <w:rPr>
                <w:rFonts w:ascii="Arial" w:hAnsi="Arial" w:cs="Arial"/>
                <w:color w:val="202124"/>
                <w:lang w:val="sr-Cyrl-BA"/>
              </w:rPr>
              <w:t>ој</w:t>
            </w:r>
            <w:r w:rsidR="00EE6AA2">
              <w:rPr>
                <w:rFonts w:ascii="Arial" w:hAnsi="Arial" w:cs="Arial"/>
                <w:color w:val="202124"/>
                <w:lang w:val="sr-Cyrl-BA"/>
              </w:rPr>
              <w:t>е</w:t>
            </w:r>
            <w:r w:rsidR="00E56584" w:rsidRPr="00F6340E">
              <w:rPr>
                <w:rFonts w:ascii="Arial" w:hAnsi="Arial" w:cs="Arial"/>
                <w:color w:val="202124"/>
                <w:lang w:val="sr-Cyrl-BA"/>
              </w:rPr>
              <w:t xml:space="preserve"> </w:t>
            </w:r>
            <w:r>
              <w:rPr>
                <w:rFonts w:ascii="Arial" w:hAnsi="Arial" w:cs="Arial"/>
                <w:color w:val="202124"/>
                <w:lang w:val="sr-Cyrl-BA"/>
              </w:rPr>
              <w:t>ув</w:t>
            </w:r>
            <w:r w:rsidR="00A56E08">
              <w:rPr>
                <w:rFonts w:ascii="Arial" w:hAnsi="Arial" w:cs="Arial"/>
                <w:color w:val="202124"/>
                <w:lang w:val="sr-Cyrl-BA"/>
              </w:rPr>
              <w:t>ид</w:t>
            </w:r>
            <w:r w:rsidR="00EE6AA2">
              <w:rPr>
                <w:rFonts w:ascii="Arial" w:hAnsi="Arial" w:cs="Arial"/>
                <w:color w:val="202124"/>
                <w:lang w:val="sr-Cyrl-BA"/>
              </w:rPr>
              <w:t>е</w:t>
            </w:r>
            <w:r w:rsidR="00B04FA8">
              <w:rPr>
                <w:rFonts w:ascii="Arial" w:hAnsi="Arial" w:cs="Arial"/>
                <w:color w:val="202124"/>
                <w:lang w:val="sr-Cyrl-BA"/>
              </w:rPr>
              <w:t xml:space="preserve"> са </w:t>
            </w:r>
            <w:r w:rsidR="00A56E08">
              <w:rPr>
                <w:rFonts w:ascii="Arial" w:hAnsi="Arial" w:cs="Arial"/>
                <w:color w:val="202124"/>
                <w:lang w:val="sr-Cyrl-BA"/>
              </w:rPr>
              <w:t>д</w:t>
            </w:r>
            <w:r>
              <w:rPr>
                <w:rFonts w:ascii="Arial" w:hAnsi="Arial" w:cs="Arial"/>
                <w:color w:val="202124"/>
                <w:lang w:val="sr-Cyrl-BA"/>
              </w:rPr>
              <w:t>ру</w:t>
            </w:r>
            <w:r w:rsidR="00A56E08">
              <w:rPr>
                <w:rFonts w:ascii="Arial" w:hAnsi="Arial" w:cs="Arial"/>
                <w:color w:val="202124"/>
                <w:lang w:val="sr-Cyrl-BA"/>
              </w:rPr>
              <w:t>гима</w:t>
            </w:r>
            <w:r w:rsidR="00E5658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ои</w:t>
            </w:r>
            <w:r w:rsidR="00171F00">
              <w:rPr>
                <w:rFonts w:ascii="Arial" w:hAnsi="Arial" w:cs="Arial"/>
                <w:color w:val="202124"/>
                <w:lang w:val="sr-Cyrl-BA"/>
              </w:rPr>
              <w:t>з</w:t>
            </w:r>
            <w:r>
              <w:rPr>
                <w:rFonts w:ascii="Arial" w:hAnsi="Arial" w:cs="Arial"/>
                <w:color w:val="202124"/>
                <w:lang w:val="sr-Cyrl-BA"/>
              </w:rPr>
              <w:t>в</w:t>
            </w:r>
            <w:r w:rsidR="00EE6AA2">
              <w:rPr>
                <w:rFonts w:ascii="Arial" w:hAnsi="Arial" w:cs="Arial"/>
                <w:color w:val="202124"/>
                <w:lang w:val="sr-Cyrl-BA"/>
              </w:rPr>
              <w:t>е</w:t>
            </w:r>
            <w:r w:rsidR="00A56E08">
              <w:rPr>
                <w:rFonts w:ascii="Arial" w:hAnsi="Arial" w:cs="Arial"/>
                <w:color w:val="202124"/>
                <w:lang w:val="sr-Cyrl-BA"/>
              </w:rPr>
              <w:t>д</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к</w:t>
            </w:r>
            <w:r>
              <w:rPr>
                <w:rFonts w:ascii="Arial" w:hAnsi="Arial" w:cs="Arial"/>
                <w:color w:val="202124"/>
                <w:lang w:val="sr-Cyrl-BA"/>
              </w:rPr>
              <w:t>р</w:t>
            </w:r>
            <w:r w:rsidR="00EE6AA2">
              <w:rPr>
                <w:rFonts w:ascii="Arial" w:hAnsi="Arial" w:cs="Arial"/>
                <w:color w:val="202124"/>
                <w:lang w:val="sr-Cyrl-BA"/>
              </w:rPr>
              <w:t>е</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EE6AA2">
              <w:rPr>
                <w:rFonts w:ascii="Arial" w:hAnsi="Arial" w:cs="Arial"/>
                <w:color w:val="202124"/>
                <w:lang w:val="sr-Cyrl-BA"/>
              </w:rPr>
              <w:t>е</w:t>
            </w:r>
            <w:r w:rsidR="00171F00">
              <w:rPr>
                <w:rFonts w:ascii="Arial" w:hAnsi="Arial" w:cs="Arial"/>
                <w:color w:val="202124"/>
                <w:lang w:val="sr-Cyrl-BA"/>
              </w:rPr>
              <w:t>з</w:t>
            </w:r>
            <w:r>
              <w:rPr>
                <w:rFonts w:ascii="Arial" w:hAnsi="Arial" w:cs="Arial"/>
                <w:color w:val="202124"/>
                <w:lang w:val="sr-Cyrl-BA"/>
              </w:rPr>
              <w:t>у</w:t>
            </w:r>
            <w:r w:rsidR="00A56E08">
              <w:rPr>
                <w:rFonts w:ascii="Arial" w:hAnsi="Arial" w:cs="Arial"/>
                <w:color w:val="202124"/>
                <w:lang w:val="sr-Cyrl-BA"/>
              </w:rPr>
              <w:t>л</w:t>
            </w:r>
            <w:r>
              <w:rPr>
                <w:rFonts w:ascii="Arial" w:hAnsi="Arial" w:cs="Arial"/>
                <w:color w:val="202124"/>
                <w:lang w:val="sr-Cyrl-BA"/>
              </w:rPr>
              <w:t>т</w:t>
            </w:r>
            <w:r w:rsidR="00A56E08">
              <w:rPr>
                <w:rFonts w:ascii="Arial" w:hAnsi="Arial" w:cs="Arial"/>
                <w:color w:val="202124"/>
                <w:lang w:val="sr-Cyrl-BA"/>
              </w:rPr>
              <w:t>а</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w:t>
            </w:r>
          </w:p>
          <w:p w14:paraId="02E46ACD" w14:textId="5E1881A0"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у</w:t>
            </w:r>
            <w:r w:rsidR="00A56E08">
              <w:rPr>
                <w:rFonts w:ascii="Arial" w:hAnsi="Arial" w:cs="Arial"/>
                <w:color w:val="202124"/>
                <w:lang w:val="sr-Cyrl-BA"/>
              </w:rPr>
              <w:t>мј</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конц</w:t>
            </w:r>
            <w:r w:rsidR="00EE6AA2">
              <w:rPr>
                <w:rFonts w:ascii="Arial" w:hAnsi="Arial" w:cs="Arial"/>
                <w:color w:val="202124"/>
                <w:lang w:val="sr-Cyrl-BA"/>
              </w:rPr>
              <w:t>е</w:t>
            </w:r>
            <w:r>
              <w:rPr>
                <w:rFonts w:ascii="Arial" w:hAnsi="Arial" w:cs="Arial"/>
                <w:color w:val="202124"/>
                <w:lang w:val="sr-Cyrl-BA"/>
              </w:rPr>
              <w:t>пт</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инкл</w:t>
            </w:r>
            <w:r>
              <w:rPr>
                <w:rFonts w:ascii="Arial" w:hAnsi="Arial" w:cs="Arial"/>
                <w:color w:val="202124"/>
                <w:lang w:val="sr-Cyrl-BA"/>
              </w:rPr>
              <w:t>у</w:t>
            </w:r>
            <w:r w:rsidR="00171F00">
              <w:rPr>
                <w:rFonts w:ascii="Arial" w:hAnsi="Arial" w:cs="Arial"/>
                <w:color w:val="202124"/>
                <w:lang w:val="sr-Cyrl-BA"/>
              </w:rPr>
              <w:t>з</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ног</w:t>
            </w:r>
            <w:r w:rsidR="00847B04" w:rsidRPr="00F6340E">
              <w:rPr>
                <w:rFonts w:ascii="Arial" w:hAnsi="Arial" w:cs="Arial"/>
                <w:color w:val="202124"/>
                <w:lang w:val="sr-Cyrl-BA"/>
              </w:rPr>
              <w:t xml:space="preserve"> </w:t>
            </w:r>
            <w:r w:rsidR="00A56E08">
              <w:rPr>
                <w:rFonts w:ascii="Arial" w:hAnsi="Arial" w:cs="Arial"/>
                <w:color w:val="202124"/>
                <w:lang w:val="sr-Cyrl-BA"/>
              </w:rPr>
              <w:t>об</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о</w:t>
            </w:r>
            <w:r>
              <w:rPr>
                <w:rFonts w:ascii="Arial" w:hAnsi="Arial" w:cs="Arial"/>
                <w:color w:val="202124"/>
                <w:lang w:val="sr-Cyrl-BA"/>
              </w:rPr>
              <w:t>в</w:t>
            </w:r>
            <w:r w:rsidR="00A56E08">
              <w:rPr>
                <w:rFonts w:ascii="Arial" w:hAnsi="Arial" w:cs="Arial"/>
                <w:color w:val="202124"/>
                <w:lang w:val="sr-Cyrl-BA"/>
              </w:rPr>
              <w:t>ања</w:t>
            </w:r>
            <w:r w:rsidR="00847B04" w:rsidRPr="00F6340E">
              <w:rPr>
                <w:rFonts w:ascii="Arial" w:hAnsi="Arial" w:cs="Arial"/>
                <w:color w:val="202124"/>
                <w:lang w:val="sr-Cyrl-BA"/>
              </w:rPr>
              <w:t>.</w:t>
            </w:r>
          </w:p>
          <w:p w14:paraId="0FE1F9A4" w14:textId="00B10B38"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Пр</w:t>
            </w:r>
            <w:r w:rsidR="00A56E08">
              <w:rPr>
                <w:rFonts w:ascii="Arial" w:hAnsi="Arial" w:cs="Arial"/>
                <w:color w:val="202124"/>
                <w:lang w:val="sr-Cyrl-BA"/>
              </w:rPr>
              <w:t>о</w:t>
            </w:r>
            <w:r>
              <w:rPr>
                <w:rFonts w:ascii="Arial" w:hAnsi="Arial" w:cs="Arial"/>
                <w:color w:val="202124"/>
                <w:lang w:val="sr-Cyrl-BA"/>
              </w:rPr>
              <w:t>ш</w:t>
            </w:r>
            <w:r w:rsidR="00A56E08">
              <w:rPr>
                <w:rFonts w:ascii="Arial" w:hAnsi="Arial" w:cs="Arial"/>
                <w:color w:val="202124"/>
                <w:lang w:val="sr-Cyrl-BA"/>
              </w:rPr>
              <w:t>и</w:t>
            </w:r>
            <w:r>
              <w:rPr>
                <w:rFonts w:ascii="Arial" w:hAnsi="Arial" w:cs="Arial"/>
                <w:color w:val="202124"/>
                <w:lang w:val="sr-Cyrl-BA"/>
              </w:rPr>
              <w:t>р</w:t>
            </w:r>
            <w:r w:rsidR="00A56E08">
              <w:rPr>
                <w:rFonts w:ascii="Arial" w:hAnsi="Arial" w:cs="Arial"/>
                <w:color w:val="202124"/>
                <w:lang w:val="sr-Cyrl-BA"/>
              </w:rPr>
              <w:t>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св</w:t>
            </w:r>
            <w:r w:rsidR="00A56E08">
              <w:rPr>
                <w:rFonts w:ascii="Arial" w:hAnsi="Arial" w:cs="Arial"/>
                <w:color w:val="202124"/>
                <w:lang w:val="sr-Cyrl-BA"/>
              </w:rPr>
              <w:t>ој</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иђ</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лика</w:t>
            </w:r>
            <w:r w:rsidR="00847B04" w:rsidRPr="00F6340E">
              <w:rPr>
                <w:rFonts w:ascii="Arial" w:hAnsi="Arial" w:cs="Arial"/>
                <w:color w:val="202124"/>
                <w:lang w:val="sr-Cyrl-BA"/>
              </w:rPr>
              <w:t xml:space="preserve"> </w:t>
            </w:r>
            <w:r w:rsidR="00A56E08">
              <w:rPr>
                <w:rFonts w:ascii="Arial" w:hAnsi="Arial" w:cs="Arial"/>
                <w:color w:val="202124"/>
                <w:lang w:val="sr-Cyrl-BA"/>
              </w:rPr>
              <w:t>м</w:t>
            </w:r>
            <w:r w:rsidR="00EE6AA2">
              <w:rPr>
                <w:rFonts w:ascii="Arial" w:hAnsi="Arial" w:cs="Arial"/>
                <w:color w:val="202124"/>
                <w:lang w:val="sr-Cyrl-BA"/>
              </w:rPr>
              <w:t>е</w:t>
            </w:r>
            <w:r w:rsidR="00A56E08">
              <w:rPr>
                <w:rFonts w:ascii="Arial" w:hAnsi="Arial" w:cs="Arial"/>
                <w:color w:val="202124"/>
                <w:lang w:val="sr-Cyrl-BA"/>
              </w:rPr>
              <w:t>ђ</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ницима</w:t>
            </w:r>
            <w:r w:rsidR="00847B04" w:rsidRPr="00F6340E">
              <w:rPr>
                <w:rFonts w:ascii="Arial" w:hAnsi="Arial" w:cs="Arial"/>
                <w:color w:val="202124"/>
                <w:lang w:val="sr-Cyrl-BA"/>
              </w:rPr>
              <w:t>.</w:t>
            </w:r>
          </w:p>
          <w:p w14:paraId="6B32C0C6" w14:textId="0BD375E3"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Пр</w:t>
            </w:r>
            <w:r w:rsidR="00A56E08">
              <w:rPr>
                <w:rFonts w:ascii="Arial" w:hAnsi="Arial" w:cs="Arial"/>
                <w:color w:val="202124"/>
                <w:lang w:val="sr-Cyrl-BA"/>
              </w:rPr>
              <w:t>омо</w:t>
            </w:r>
            <w:r>
              <w:rPr>
                <w:rFonts w:ascii="Arial" w:hAnsi="Arial" w:cs="Arial"/>
                <w:color w:val="202124"/>
                <w:lang w:val="sr-Cyrl-BA"/>
              </w:rPr>
              <w:t>в</w:t>
            </w:r>
            <w:r w:rsidR="00A56E08">
              <w:rPr>
                <w:rFonts w:ascii="Arial" w:hAnsi="Arial" w:cs="Arial"/>
                <w:color w:val="202124"/>
                <w:lang w:val="sr-Cyrl-BA"/>
              </w:rPr>
              <w:t>и</w:t>
            </w:r>
            <w:r>
              <w:rPr>
                <w:rFonts w:ascii="Arial" w:hAnsi="Arial" w:cs="Arial"/>
                <w:color w:val="202124"/>
                <w:lang w:val="sr-Cyrl-BA"/>
              </w:rPr>
              <w:t>с</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акад</w:t>
            </w:r>
            <w:r w:rsidR="00EE6AA2">
              <w:rPr>
                <w:rFonts w:ascii="Arial" w:hAnsi="Arial" w:cs="Arial"/>
                <w:color w:val="202124"/>
                <w:lang w:val="sr-Cyrl-BA"/>
              </w:rPr>
              <w:t>е</w:t>
            </w:r>
            <w:r w:rsidR="00A56E08">
              <w:rPr>
                <w:rFonts w:ascii="Arial" w:hAnsi="Arial" w:cs="Arial"/>
                <w:color w:val="202124"/>
                <w:lang w:val="sr-Cyrl-BA"/>
              </w:rPr>
              <w:t>м</w:t>
            </w:r>
            <w:r>
              <w:rPr>
                <w:rFonts w:ascii="Arial" w:hAnsi="Arial" w:cs="Arial"/>
                <w:color w:val="202124"/>
                <w:lang w:val="sr-Cyrl-BA"/>
              </w:rPr>
              <w:t>с</w:t>
            </w:r>
            <w:r w:rsidR="00A56E08">
              <w:rPr>
                <w:rFonts w:ascii="Arial" w:hAnsi="Arial" w:cs="Arial"/>
                <w:color w:val="202124"/>
                <w:lang w:val="sr-Cyrl-BA"/>
              </w:rPr>
              <w:t>ко</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оцијално</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EE6AA2">
              <w:rPr>
                <w:rFonts w:ascii="Arial" w:hAnsi="Arial" w:cs="Arial"/>
                <w:color w:val="202124"/>
                <w:lang w:val="sr-Cyrl-BA"/>
              </w:rPr>
              <w:t>е</w:t>
            </w:r>
            <w:r w:rsidR="00A56E08">
              <w:rPr>
                <w:rFonts w:ascii="Arial" w:hAnsi="Arial" w:cs="Arial"/>
                <w:color w:val="202124"/>
                <w:lang w:val="sr-Cyrl-BA"/>
              </w:rPr>
              <w:t>моционално</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св</w:t>
            </w:r>
            <w:r w:rsidR="00A56E08">
              <w:rPr>
                <w:rFonts w:ascii="Arial" w:hAnsi="Arial" w:cs="Arial"/>
                <w:color w:val="202124"/>
                <w:lang w:val="sr-Cyrl-BA"/>
              </w:rPr>
              <w:t>их</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ника</w:t>
            </w:r>
            <w:r w:rsidR="00847B04" w:rsidRPr="00F6340E">
              <w:rPr>
                <w:rFonts w:ascii="Arial" w:hAnsi="Arial" w:cs="Arial"/>
                <w:color w:val="202124"/>
                <w:lang w:val="sr-Cyrl-BA"/>
              </w:rPr>
              <w:t>/</w:t>
            </w:r>
            <w:r>
              <w:rPr>
                <w:rFonts w:ascii="Arial" w:hAnsi="Arial" w:cs="Arial"/>
                <w:color w:val="202124"/>
                <w:lang w:val="sr-Cyrl-BA"/>
              </w:rPr>
              <w:t>сту</w:t>
            </w:r>
            <w:r w:rsidR="00A56E08">
              <w:rPr>
                <w:rFonts w:ascii="Arial" w:hAnsi="Arial" w:cs="Arial"/>
                <w:color w:val="202124"/>
                <w:lang w:val="sr-Cyrl-BA"/>
              </w:rPr>
              <w:t>д</w:t>
            </w:r>
            <w:r w:rsidR="00EE6AA2">
              <w:rPr>
                <w:rFonts w:ascii="Arial" w:hAnsi="Arial" w:cs="Arial"/>
                <w:color w:val="202124"/>
                <w:lang w:val="sr-Cyrl-BA"/>
              </w:rPr>
              <w:t>е</w:t>
            </w:r>
            <w:r w:rsidR="00A56E08">
              <w:rPr>
                <w:rFonts w:ascii="Arial" w:hAnsi="Arial" w:cs="Arial"/>
                <w:color w:val="202124"/>
                <w:lang w:val="sr-Cyrl-BA"/>
              </w:rPr>
              <w:t>на</w:t>
            </w:r>
            <w:r>
              <w:rPr>
                <w:rFonts w:ascii="Arial" w:hAnsi="Arial" w:cs="Arial"/>
                <w:color w:val="202124"/>
                <w:lang w:val="sr-Cyrl-BA"/>
              </w:rPr>
              <w:t>т</w:t>
            </w:r>
            <w:r w:rsidR="00A56E08">
              <w:rPr>
                <w:rFonts w:ascii="Arial" w:hAnsi="Arial" w:cs="Arial"/>
                <w:color w:val="202124"/>
                <w:lang w:val="sr-Cyrl-BA"/>
              </w:rPr>
              <w:t>а</w:t>
            </w:r>
            <w:r w:rsidR="00847B04" w:rsidRPr="00F6340E">
              <w:rPr>
                <w:rFonts w:ascii="Arial" w:hAnsi="Arial" w:cs="Arial"/>
                <w:color w:val="202124"/>
                <w:lang w:val="sr-Cyrl-BA"/>
              </w:rPr>
              <w:t>.</w:t>
            </w:r>
          </w:p>
          <w:p w14:paraId="151A659E" w14:textId="4A876DEC"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С</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ађи</w:t>
            </w:r>
            <w:r>
              <w:rPr>
                <w:rFonts w:ascii="Arial" w:hAnsi="Arial" w:cs="Arial"/>
                <w:color w:val="202124"/>
                <w:lang w:val="sr-Cyrl-BA"/>
              </w:rPr>
              <w:t>в</w:t>
            </w:r>
            <w:r w:rsidR="00A56E08">
              <w:rPr>
                <w:rFonts w:ascii="Arial" w:hAnsi="Arial" w:cs="Arial"/>
                <w:color w:val="202124"/>
                <w:lang w:val="sr-Cyrl-BA"/>
              </w:rPr>
              <w:t>а</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оф</w:t>
            </w:r>
            <w:r w:rsidR="00EE6AA2">
              <w:rPr>
                <w:rFonts w:ascii="Arial" w:hAnsi="Arial" w:cs="Arial"/>
                <w:color w:val="202124"/>
                <w:lang w:val="sr-Cyrl-BA"/>
              </w:rPr>
              <w:t>е</w:t>
            </w:r>
            <w:r>
              <w:rPr>
                <w:rFonts w:ascii="Arial" w:hAnsi="Arial" w:cs="Arial"/>
                <w:color w:val="202124"/>
                <w:lang w:val="sr-Cyrl-BA"/>
              </w:rPr>
              <w:t>с</w:t>
            </w:r>
            <w:r w:rsidR="00A56E08">
              <w:rPr>
                <w:rFonts w:ascii="Arial" w:hAnsi="Arial" w:cs="Arial"/>
                <w:color w:val="202124"/>
                <w:lang w:val="sr-Cyrl-BA"/>
              </w:rPr>
              <w:t>ионалцима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171F00">
              <w:rPr>
                <w:rFonts w:ascii="Arial" w:hAnsi="Arial" w:cs="Arial"/>
                <w:color w:val="202124"/>
                <w:lang w:val="sr-Cyrl-BA"/>
              </w:rPr>
              <w:t>з</w:t>
            </w:r>
            <w:r w:rsidR="00847B04" w:rsidRPr="00F6340E">
              <w:rPr>
                <w:rFonts w:ascii="Arial" w:hAnsi="Arial" w:cs="Arial"/>
                <w:color w:val="202124"/>
                <w:lang w:val="sr-Cyrl-BA"/>
              </w:rPr>
              <w:t xml:space="preserve"> </w:t>
            </w:r>
            <w:r w:rsidR="00A56E08">
              <w:rPr>
                <w:rFonts w:ascii="Arial" w:hAnsi="Arial" w:cs="Arial"/>
                <w:color w:val="202124"/>
                <w:lang w:val="sr-Cyrl-BA"/>
              </w:rPr>
              <w:t>д</w:t>
            </w:r>
            <w:r>
              <w:rPr>
                <w:rFonts w:ascii="Arial" w:hAnsi="Arial" w:cs="Arial"/>
                <w:color w:val="202124"/>
                <w:lang w:val="sr-Cyrl-BA"/>
              </w:rPr>
              <w:t>ру</w:t>
            </w:r>
            <w:r w:rsidR="00A56E08">
              <w:rPr>
                <w:rFonts w:ascii="Arial" w:hAnsi="Arial" w:cs="Arial"/>
                <w:color w:val="202124"/>
                <w:lang w:val="sr-Cyrl-BA"/>
              </w:rPr>
              <w:t>гих</w:t>
            </w:r>
            <w:r w:rsidR="00847B04" w:rsidRPr="00F6340E">
              <w:rPr>
                <w:rFonts w:ascii="Arial" w:hAnsi="Arial" w:cs="Arial"/>
                <w:color w:val="202124"/>
                <w:lang w:val="sr-Cyrl-BA"/>
              </w:rPr>
              <w:t xml:space="preserve"> </w:t>
            </w:r>
            <w:r w:rsidR="00A56E08">
              <w:rPr>
                <w:rFonts w:ascii="Arial" w:hAnsi="Arial" w:cs="Arial"/>
                <w:color w:val="202124"/>
                <w:lang w:val="sr-Cyrl-BA"/>
              </w:rPr>
              <w:t>об</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sidR="00A56E08">
              <w:rPr>
                <w:rFonts w:ascii="Arial" w:hAnsi="Arial" w:cs="Arial"/>
                <w:color w:val="202124"/>
                <w:lang w:val="sr-Cyrl-BA"/>
              </w:rPr>
              <w:t>о</w:t>
            </w:r>
            <w:r>
              <w:rPr>
                <w:rFonts w:ascii="Arial" w:hAnsi="Arial" w:cs="Arial"/>
                <w:color w:val="202124"/>
                <w:lang w:val="sr-Cyrl-BA"/>
              </w:rPr>
              <w:t>в</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ст</w:t>
            </w:r>
            <w:r w:rsidR="00A56E08">
              <w:rPr>
                <w:rFonts w:ascii="Arial" w:hAnsi="Arial" w:cs="Arial"/>
                <w:color w:val="202124"/>
                <w:lang w:val="sr-Cyrl-BA"/>
              </w:rPr>
              <w:t>и</w:t>
            </w:r>
            <w:r>
              <w:rPr>
                <w:rFonts w:ascii="Arial" w:hAnsi="Arial" w:cs="Arial"/>
                <w:color w:val="202124"/>
                <w:lang w:val="sr-Cyrl-BA"/>
              </w:rPr>
              <w:t>ту</w:t>
            </w:r>
            <w:r w:rsidR="00A56E08">
              <w:rPr>
                <w:rFonts w:ascii="Arial" w:hAnsi="Arial" w:cs="Arial"/>
                <w:color w:val="202124"/>
                <w:lang w:val="sr-Cyrl-BA"/>
              </w:rPr>
              <w:t>ција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171F00">
              <w:rPr>
                <w:rFonts w:ascii="Arial" w:hAnsi="Arial" w:cs="Arial"/>
                <w:color w:val="202124"/>
                <w:lang w:val="sr-Cyrl-BA"/>
              </w:rPr>
              <w:t>з</w:t>
            </w:r>
            <w:r w:rsidR="00847B04" w:rsidRPr="00F6340E">
              <w:rPr>
                <w:rFonts w:ascii="Arial" w:hAnsi="Arial" w:cs="Arial"/>
                <w:color w:val="202124"/>
                <w:lang w:val="sr-Cyrl-BA"/>
              </w:rPr>
              <w:t xml:space="preserve"> </w:t>
            </w:r>
            <w:r w:rsidR="00A56E08">
              <w:rPr>
                <w:rFonts w:ascii="Arial" w:hAnsi="Arial" w:cs="Arial"/>
                <w:color w:val="202124"/>
                <w:lang w:val="sr-Cyrl-BA"/>
              </w:rPr>
              <w:t>д</w:t>
            </w:r>
            <w:r>
              <w:rPr>
                <w:rFonts w:ascii="Arial" w:hAnsi="Arial" w:cs="Arial"/>
                <w:color w:val="202124"/>
                <w:lang w:val="sr-Cyrl-BA"/>
              </w:rPr>
              <w:t>ру</w:t>
            </w:r>
            <w:r w:rsidR="00A56E08">
              <w:rPr>
                <w:rFonts w:ascii="Arial" w:hAnsi="Arial" w:cs="Arial"/>
                <w:color w:val="202124"/>
                <w:lang w:val="sr-Cyrl-BA"/>
              </w:rPr>
              <w:t>гих</w:t>
            </w:r>
            <w:r w:rsidR="00847B04" w:rsidRPr="00F6340E">
              <w:rPr>
                <w:rFonts w:ascii="Arial" w:hAnsi="Arial" w:cs="Arial"/>
                <w:color w:val="202124"/>
                <w:lang w:val="sr-Cyrl-BA"/>
              </w:rPr>
              <w:t xml:space="preserve"> </w:t>
            </w:r>
            <w:r w:rsidR="00A56E08">
              <w:rPr>
                <w:rFonts w:ascii="Arial" w:hAnsi="Arial" w:cs="Arial"/>
                <w:color w:val="202124"/>
                <w:lang w:val="sr-Cyrl-BA"/>
              </w:rPr>
              <w:t>ди</w:t>
            </w:r>
            <w:r>
              <w:rPr>
                <w:rFonts w:ascii="Arial" w:hAnsi="Arial" w:cs="Arial"/>
                <w:color w:val="202124"/>
                <w:lang w:val="sr-Cyrl-BA"/>
              </w:rPr>
              <w:t>с</w:t>
            </w:r>
            <w:r w:rsidR="00A56E08">
              <w:rPr>
                <w:rFonts w:ascii="Arial" w:hAnsi="Arial" w:cs="Arial"/>
                <w:color w:val="202124"/>
                <w:lang w:val="sr-Cyrl-BA"/>
              </w:rPr>
              <w:t>ци</w:t>
            </w:r>
            <w:r>
              <w:rPr>
                <w:rFonts w:ascii="Arial" w:hAnsi="Arial" w:cs="Arial"/>
                <w:color w:val="202124"/>
                <w:lang w:val="sr-Cyrl-BA"/>
              </w:rPr>
              <w:t>п</w:t>
            </w:r>
            <w:r w:rsidR="00A56E08">
              <w:rPr>
                <w:rFonts w:ascii="Arial" w:hAnsi="Arial" w:cs="Arial"/>
                <w:color w:val="202124"/>
                <w:lang w:val="sr-Cyrl-BA"/>
              </w:rPr>
              <w:t>лина</w:t>
            </w:r>
            <w:r w:rsidR="00847B04" w:rsidRPr="00F6340E">
              <w:rPr>
                <w:rFonts w:ascii="Arial" w:hAnsi="Arial" w:cs="Arial"/>
                <w:color w:val="202124"/>
                <w:lang w:val="sr-Cyrl-BA"/>
              </w:rPr>
              <w:t xml:space="preserve"> </w:t>
            </w:r>
            <w:r w:rsidR="00A56E08">
              <w:rPr>
                <w:rFonts w:ascii="Arial" w:hAnsi="Arial" w:cs="Arial"/>
                <w:color w:val="202124"/>
                <w:lang w:val="sr-Cyrl-BA"/>
              </w:rPr>
              <w:t>како</w:t>
            </w:r>
            <w:r w:rsidR="00847B04" w:rsidRPr="00F6340E">
              <w:rPr>
                <w:rFonts w:ascii="Arial" w:hAnsi="Arial" w:cs="Arial"/>
                <w:color w:val="202124"/>
                <w:lang w:val="sr-Cyrl-BA"/>
              </w:rPr>
              <w:t xml:space="preserve"> </w:t>
            </w:r>
            <w:r w:rsidR="00A56E08">
              <w:rPr>
                <w:rFonts w:ascii="Arial" w:hAnsi="Arial" w:cs="Arial"/>
                <w:color w:val="202124"/>
                <w:lang w:val="sr-Cyrl-BA"/>
              </w:rPr>
              <w:t>би</w:t>
            </w:r>
            <w:r w:rsidR="00847B04" w:rsidRPr="00F6340E">
              <w:rPr>
                <w:rFonts w:ascii="Arial" w:hAnsi="Arial" w:cs="Arial"/>
                <w:color w:val="202124"/>
                <w:lang w:val="sr-Cyrl-BA"/>
              </w:rPr>
              <w:t xml:space="preserve"> </w:t>
            </w:r>
            <w:r>
              <w:rPr>
                <w:rFonts w:ascii="Arial" w:hAnsi="Arial" w:cs="Arial"/>
                <w:color w:val="202124"/>
                <w:lang w:val="sr-Cyrl-BA"/>
              </w:rPr>
              <w:t>с</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р</w:t>
            </w:r>
            <w:r w:rsidR="00A56E08">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в</w:t>
            </w:r>
            <w:r w:rsidR="00A56E08">
              <w:rPr>
                <w:rFonts w:ascii="Arial" w:hAnsi="Arial" w:cs="Arial"/>
                <w:color w:val="202124"/>
                <w:lang w:val="sr-Cyrl-BA"/>
              </w:rPr>
              <w:t>ила</w:t>
            </w:r>
            <w:r w:rsidR="00847B04" w:rsidRPr="00F6340E">
              <w:rPr>
                <w:rFonts w:ascii="Arial" w:hAnsi="Arial" w:cs="Arial"/>
                <w:color w:val="202124"/>
                <w:lang w:val="sr-Cyrl-BA"/>
              </w:rPr>
              <w:t xml:space="preserve"> </w:t>
            </w:r>
            <w:r>
              <w:rPr>
                <w:rFonts w:ascii="Arial" w:hAnsi="Arial" w:cs="Arial"/>
                <w:color w:val="202124"/>
                <w:lang w:val="sr-Cyrl-BA"/>
              </w:rPr>
              <w:t>в</w:t>
            </w:r>
            <w:r w:rsidR="00A56E08">
              <w:rPr>
                <w:rFonts w:ascii="Arial" w:hAnsi="Arial" w:cs="Arial"/>
                <w:color w:val="202124"/>
                <w:lang w:val="sr-Cyrl-BA"/>
              </w:rPr>
              <w:t>и</w:t>
            </w:r>
            <w:r>
              <w:rPr>
                <w:rFonts w:ascii="Arial" w:hAnsi="Arial" w:cs="Arial"/>
                <w:color w:val="202124"/>
                <w:lang w:val="sr-Cyrl-BA"/>
              </w:rPr>
              <w:t>ш</w:t>
            </w:r>
            <w:r w:rsidR="00EE6AA2">
              <w:rPr>
                <w:rFonts w:ascii="Arial" w:hAnsi="Arial" w:cs="Arial"/>
                <w:color w:val="202124"/>
                <w:lang w:val="sr-Cyrl-BA"/>
              </w:rPr>
              <w:t>е</w:t>
            </w:r>
            <w:r>
              <w:rPr>
                <w:rFonts w:ascii="Arial" w:hAnsi="Arial" w:cs="Arial"/>
                <w:color w:val="202124"/>
                <w:lang w:val="sr-Cyrl-BA"/>
              </w:rPr>
              <w:t>с</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т</w:t>
            </w:r>
            <w:r w:rsidR="00A56E08">
              <w:rPr>
                <w:rFonts w:ascii="Arial" w:hAnsi="Arial" w:cs="Arial"/>
                <w:color w:val="202124"/>
                <w:lang w:val="sr-Cyrl-BA"/>
              </w:rPr>
              <w:t>о</w:t>
            </w:r>
            <w:r>
              <w:rPr>
                <w:rFonts w:ascii="Arial" w:hAnsi="Arial" w:cs="Arial"/>
                <w:color w:val="202124"/>
                <w:lang w:val="sr-Cyrl-BA"/>
              </w:rPr>
              <w:t>рс</w:t>
            </w:r>
            <w:r w:rsidR="00A56E08">
              <w:rPr>
                <w:rFonts w:ascii="Arial" w:hAnsi="Arial" w:cs="Arial"/>
                <w:color w:val="202124"/>
                <w:lang w:val="sr-Cyrl-BA"/>
              </w:rPr>
              <w:t>ка</w:t>
            </w:r>
            <w:r w:rsidR="00847B04" w:rsidRPr="00F6340E">
              <w:rPr>
                <w:rFonts w:ascii="Arial" w:hAnsi="Arial" w:cs="Arial"/>
                <w:color w:val="202124"/>
                <w:lang w:val="sr-Cyrl-BA"/>
              </w:rPr>
              <w:t xml:space="preserve"> </w:t>
            </w:r>
            <w:r>
              <w:rPr>
                <w:rFonts w:ascii="Arial" w:hAnsi="Arial" w:cs="Arial"/>
                <w:color w:val="202124"/>
                <w:lang w:val="sr-Cyrl-BA"/>
              </w:rPr>
              <w:t>с</w:t>
            </w:r>
            <w:r w:rsidR="00A56E08">
              <w:rPr>
                <w:rFonts w:ascii="Arial" w:hAnsi="Arial" w:cs="Arial"/>
                <w:color w:val="202124"/>
                <w:lang w:val="sr-Cyrl-BA"/>
              </w:rPr>
              <w:t>а</w:t>
            </w:r>
            <w:r>
              <w:rPr>
                <w:rFonts w:ascii="Arial" w:hAnsi="Arial" w:cs="Arial"/>
                <w:color w:val="202124"/>
                <w:lang w:val="sr-Cyrl-BA"/>
              </w:rPr>
              <w:t>р</w:t>
            </w:r>
            <w:r w:rsidR="00A56E08">
              <w:rPr>
                <w:rFonts w:ascii="Arial" w:hAnsi="Arial" w:cs="Arial"/>
                <w:color w:val="202124"/>
                <w:lang w:val="sr-Cyrl-BA"/>
              </w:rPr>
              <w:t>адња</w:t>
            </w:r>
            <w:r w:rsidR="00847B04" w:rsidRPr="00F6340E">
              <w:rPr>
                <w:rFonts w:ascii="Arial" w:hAnsi="Arial" w:cs="Arial"/>
                <w:color w:val="202124"/>
                <w:lang w:val="sr-Cyrl-BA"/>
              </w:rPr>
              <w:t>.</w:t>
            </w:r>
          </w:p>
          <w:p w14:paraId="30B91147" w14:textId="46702CCF" w:rsidR="00847B04" w:rsidRPr="00F6340E" w:rsidRDefault="0071360A" w:rsidP="005746C7">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Пр</w:t>
            </w:r>
            <w:r w:rsidR="00A56E08">
              <w:rPr>
                <w:rFonts w:ascii="Arial" w:hAnsi="Arial" w:cs="Arial"/>
                <w:color w:val="202124"/>
                <w:lang w:val="sr-Cyrl-BA"/>
              </w:rPr>
              <w:t>имиј</w:t>
            </w:r>
            <w:r w:rsidR="00EE6AA2">
              <w:rPr>
                <w:rFonts w:ascii="Arial" w:hAnsi="Arial" w:cs="Arial"/>
                <w:color w:val="202124"/>
                <w:lang w:val="sr-Cyrl-BA"/>
              </w:rPr>
              <w:t>е</w:t>
            </w:r>
            <w:r w:rsidR="00A56E08">
              <w:rPr>
                <w:rFonts w:ascii="Arial" w:hAnsi="Arial" w:cs="Arial"/>
                <w:color w:val="202124"/>
                <w:lang w:val="sr-Cyrl-BA"/>
              </w:rPr>
              <w:t>ни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ала</w:t>
            </w:r>
            <w:r>
              <w:rPr>
                <w:rFonts w:ascii="Arial" w:hAnsi="Arial" w:cs="Arial"/>
                <w:color w:val="202124"/>
                <w:lang w:val="sr-Cyrl-BA"/>
              </w:rPr>
              <w:t>т</w:t>
            </w:r>
            <w:r w:rsidR="00EE6AA2">
              <w:rPr>
                <w:rFonts w:ascii="Arial" w:hAnsi="Arial" w:cs="Arial"/>
                <w:color w:val="202124"/>
                <w:lang w:val="sr-Cyrl-BA"/>
              </w:rPr>
              <w:t>е</w:t>
            </w:r>
            <w:r w:rsidR="006D1BD4" w:rsidRPr="00F6340E">
              <w:rPr>
                <w:rFonts w:ascii="Arial" w:hAnsi="Arial" w:cs="Arial"/>
                <w:color w:val="202124"/>
                <w:lang w:val="sr-Cyrl-BA"/>
              </w:rPr>
              <w:t xml:space="preserve"> </w:t>
            </w:r>
            <w:r w:rsidR="00A56E08">
              <w:rPr>
                <w:rFonts w:ascii="Arial" w:hAnsi="Arial" w:cs="Arial"/>
                <w:color w:val="202124"/>
                <w:lang w:val="sr-Cyrl-BA"/>
              </w:rPr>
              <w:t>на</w:t>
            </w:r>
            <w:r>
              <w:rPr>
                <w:rFonts w:ascii="Arial" w:hAnsi="Arial" w:cs="Arial"/>
                <w:color w:val="202124"/>
                <w:lang w:val="sr-Cyrl-BA"/>
              </w:rPr>
              <w:t>ст</w:t>
            </w:r>
            <w:r w:rsidR="00A56E08">
              <w:rPr>
                <w:rFonts w:ascii="Arial" w:hAnsi="Arial" w:cs="Arial"/>
                <w:color w:val="202124"/>
                <w:lang w:val="sr-Cyrl-BA"/>
              </w:rPr>
              <w:t>а</w:t>
            </w:r>
            <w:r>
              <w:rPr>
                <w:rFonts w:ascii="Arial" w:hAnsi="Arial" w:cs="Arial"/>
                <w:color w:val="202124"/>
                <w:lang w:val="sr-Cyrl-BA"/>
              </w:rPr>
              <w:t>в</w:t>
            </w:r>
            <w:r w:rsidR="00EE6AA2">
              <w:rPr>
                <w:rFonts w:ascii="Arial" w:hAnsi="Arial" w:cs="Arial"/>
                <w:color w:val="202124"/>
                <w:lang w:val="sr-Cyrl-BA"/>
              </w:rPr>
              <w:t>е</w:t>
            </w:r>
            <w:r w:rsidR="008424F0" w:rsidRPr="00F6340E">
              <w:rPr>
                <w:rFonts w:ascii="Arial" w:hAnsi="Arial" w:cs="Arial"/>
                <w:color w:val="202124"/>
                <w:lang w:val="sr-Cyrl-BA"/>
              </w:rPr>
              <w:t xml:space="preserve"> </w:t>
            </w:r>
            <w:r>
              <w:rPr>
                <w:rFonts w:ascii="Arial" w:hAnsi="Arial" w:cs="Arial"/>
                <w:color w:val="202124"/>
                <w:lang w:val="sr-Cyrl-BA"/>
              </w:rPr>
              <w:t>пут</w:t>
            </w:r>
            <w:r w:rsidR="00EE6AA2">
              <w:rPr>
                <w:rFonts w:ascii="Arial" w:hAnsi="Arial" w:cs="Arial"/>
                <w:color w:val="202124"/>
                <w:lang w:val="sr-Cyrl-BA"/>
              </w:rPr>
              <w:t>е</w:t>
            </w:r>
            <w:r w:rsidR="00A56E08">
              <w:rPr>
                <w:rFonts w:ascii="Arial" w:hAnsi="Arial" w:cs="Arial"/>
                <w:color w:val="202124"/>
                <w:lang w:val="sr-Cyrl-BA"/>
              </w:rPr>
              <w:t>м</w:t>
            </w:r>
            <w:r w:rsidR="008424F0" w:rsidRPr="00F6340E">
              <w:rPr>
                <w:rFonts w:ascii="Arial" w:hAnsi="Arial" w:cs="Arial"/>
                <w:color w:val="202124"/>
                <w:lang w:val="sr-Cyrl-BA"/>
              </w:rPr>
              <w:t xml:space="preserve"> </w:t>
            </w:r>
            <w:r w:rsidR="00A56E08">
              <w:rPr>
                <w:rFonts w:ascii="Arial" w:hAnsi="Arial" w:cs="Arial"/>
                <w:color w:val="202124"/>
                <w:lang w:val="sr-Cyrl-BA"/>
              </w:rPr>
              <w:t>ин</w:t>
            </w:r>
            <w:r>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р</w:t>
            </w:r>
            <w:r w:rsidR="00A56E08">
              <w:rPr>
                <w:rFonts w:ascii="Arial" w:hAnsi="Arial" w:cs="Arial"/>
                <w:color w:val="202124"/>
                <w:lang w:val="sr-Cyrl-BA"/>
              </w:rPr>
              <w:t>н</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а</w:t>
            </w:r>
            <w:r w:rsidR="00847B04" w:rsidRPr="00F6340E">
              <w:rPr>
                <w:rFonts w:ascii="Arial" w:hAnsi="Arial" w:cs="Arial"/>
                <w:color w:val="202124"/>
                <w:lang w:val="sr-Cyrl-BA"/>
              </w:rPr>
              <w:t xml:space="preserve"> </w:t>
            </w:r>
            <w:r w:rsidR="00A56E08">
              <w:rPr>
                <w:rFonts w:ascii="Arial" w:hAnsi="Arial" w:cs="Arial"/>
                <w:color w:val="202124"/>
                <w:lang w:val="sr-Cyrl-BA"/>
              </w:rPr>
              <w:t>који</w:t>
            </w:r>
            <w:r w:rsidR="00847B04" w:rsidRPr="00F6340E">
              <w:rPr>
                <w:rFonts w:ascii="Arial" w:hAnsi="Arial" w:cs="Arial"/>
                <w:color w:val="202124"/>
                <w:lang w:val="sr-Cyrl-BA"/>
              </w:rPr>
              <w:t xml:space="preserve"> </w:t>
            </w:r>
            <w:r w:rsidR="00A56E08">
              <w:rPr>
                <w:rFonts w:ascii="Arial" w:hAnsi="Arial" w:cs="Arial"/>
                <w:color w:val="202124"/>
                <w:lang w:val="sr-Cyrl-BA"/>
              </w:rPr>
              <w:t>ћ</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до</w:t>
            </w:r>
            <w:r>
              <w:rPr>
                <w:rFonts w:ascii="Arial" w:hAnsi="Arial" w:cs="Arial"/>
                <w:color w:val="202124"/>
                <w:lang w:val="sr-Cyrl-BA"/>
              </w:rPr>
              <w:t>пр</w:t>
            </w:r>
            <w:r w:rsidR="00A56E08">
              <w:rPr>
                <w:rFonts w:ascii="Arial" w:hAnsi="Arial" w:cs="Arial"/>
                <w:color w:val="202124"/>
                <w:lang w:val="sr-Cyrl-BA"/>
              </w:rPr>
              <w:t>иниј</w:t>
            </w:r>
            <w:r w:rsidR="00EE6AA2">
              <w:rPr>
                <w:rFonts w:ascii="Arial" w:hAnsi="Arial" w:cs="Arial"/>
                <w:color w:val="202124"/>
                <w:lang w:val="sr-Cyrl-BA"/>
              </w:rPr>
              <w:t>е</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на</w:t>
            </w:r>
            <w:r>
              <w:rPr>
                <w:rFonts w:ascii="Arial" w:hAnsi="Arial" w:cs="Arial"/>
                <w:color w:val="202124"/>
                <w:lang w:val="sr-Cyrl-BA"/>
              </w:rPr>
              <w:t>пр</w:t>
            </w:r>
            <w:r w:rsidR="00A56E08">
              <w:rPr>
                <w:rFonts w:ascii="Arial" w:hAnsi="Arial" w:cs="Arial"/>
                <w:color w:val="202124"/>
                <w:lang w:val="sr-Cyrl-BA"/>
              </w:rPr>
              <w:t>ј</w:t>
            </w:r>
            <w:r w:rsidR="00EE6AA2">
              <w:rPr>
                <w:rFonts w:ascii="Arial" w:hAnsi="Arial" w:cs="Arial"/>
                <w:color w:val="202124"/>
                <w:lang w:val="sr-Cyrl-BA"/>
              </w:rPr>
              <w:t>е</w:t>
            </w:r>
            <w:r w:rsidR="00A56E08">
              <w:rPr>
                <w:rFonts w:ascii="Arial" w:hAnsi="Arial" w:cs="Arial"/>
                <w:color w:val="202124"/>
                <w:lang w:val="sr-Cyrl-BA"/>
              </w:rPr>
              <w:t>ђ</w:t>
            </w:r>
            <w:r w:rsidR="00EE6AA2">
              <w:rPr>
                <w:rFonts w:ascii="Arial" w:hAnsi="Arial" w:cs="Arial"/>
                <w:color w:val="202124"/>
                <w:lang w:val="sr-Cyrl-BA"/>
              </w:rPr>
              <w:t>е</w:t>
            </w:r>
            <w:r w:rsidR="00A56E08">
              <w:rPr>
                <w:rFonts w:ascii="Arial" w:hAnsi="Arial" w:cs="Arial"/>
                <w:color w:val="202124"/>
                <w:lang w:val="sr-Cyrl-BA"/>
              </w:rPr>
              <w:t>њ</w:t>
            </w:r>
            <w:r>
              <w:rPr>
                <w:rFonts w:ascii="Arial" w:hAnsi="Arial" w:cs="Arial"/>
                <w:color w:val="202124"/>
                <w:lang w:val="sr-Cyrl-BA"/>
              </w:rPr>
              <w:t>у</w:t>
            </w:r>
            <w:r w:rsidR="00847B04" w:rsidRPr="00F6340E">
              <w:rPr>
                <w:rFonts w:ascii="Arial" w:hAnsi="Arial" w:cs="Arial"/>
                <w:color w:val="202124"/>
                <w:lang w:val="sr-Cyrl-BA"/>
              </w:rPr>
              <w:t xml:space="preserve"> </w:t>
            </w:r>
            <w:r w:rsidR="00A56E08">
              <w:rPr>
                <w:rFonts w:ascii="Arial" w:hAnsi="Arial" w:cs="Arial"/>
                <w:color w:val="202124"/>
                <w:lang w:val="sr-Cyrl-BA"/>
              </w:rPr>
              <w:t>инкл</w:t>
            </w:r>
            <w:r>
              <w:rPr>
                <w:rFonts w:ascii="Arial" w:hAnsi="Arial" w:cs="Arial"/>
                <w:color w:val="202124"/>
                <w:lang w:val="sr-Cyrl-BA"/>
              </w:rPr>
              <w:t>у</w:t>
            </w:r>
            <w:r w:rsidR="00171F00">
              <w:rPr>
                <w:rFonts w:ascii="Arial" w:hAnsi="Arial" w:cs="Arial"/>
                <w:color w:val="202124"/>
                <w:lang w:val="sr-Cyrl-BA"/>
              </w:rPr>
              <w:t>з</w:t>
            </w:r>
            <w:r w:rsidR="00A56E08">
              <w:rPr>
                <w:rFonts w:ascii="Arial" w:hAnsi="Arial" w:cs="Arial"/>
                <w:color w:val="202124"/>
                <w:lang w:val="sr-Cyrl-BA"/>
              </w:rPr>
              <w:t>и</w:t>
            </w:r>
            <w:r>
              <w:rPr>
                <w:rFonts w:ascii="Arial" w:hAnsi="Arial" w:cs="Arial"/>
                <w:color w:val="202124"/>
                <w:lang w:val="sr-Cyrl-BA"/>
              </w:rPr>
              <w:t>в</w:t>
            </w:r>
            <w:r w:rsidR="00A56E08">
              <w:rPr>
                <w:rFonts w:ascii="Arial" w:hAnsi="Arial" w:cs="Arial"/>
                <w:color w:val="202124"/>
                <w:lang w:val="sr-Cyrl-BA"/>
              </w:rPr>
              <w:t>них</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ак</w:t>
            </w:r>
            <w:r>
              <w:rPr>
                <w:rFonts w:ascii="Arial" w:hAnsi="Arial" w:cs="Arial"/>
                <w:color w:val="202124"/>
                <w:lang w:val="sr-Cyrl-BA"/>
              </w:rPr>
              <w:t>с</w:t>
            </w:r>
            <w:r w:rsidR="00A56E08">
              <w:rPr>
                <w:rFonts w:ascii="Arial" w:hAnsi="Arial" w:cs="Arial"/>
                <w:color w:val="202124"/>
                <w:lang w:val="sr-Cyrl-BA"/>
              </w:rPr>
              <w:t>и</w:t>
            </w:r>
            <w:r w:rsidR="00847B04" w:rsidRPr="00F6340E">
              <w:rPr>
                <w:rFonts w:ascii="Arial" w:hAnsi="Arial" w:cs="Arial"/>
                <w:color w:val="202124"/>
                <w:lang w:val="sr-Cyrl-BA"/>
              </w:rPr>
              <w:t>.</w:t>
            </w:r>
          </w:p>
        </w:tc>
      </w:tr>
    </w:tbl>
    <w:p w14:paraId="20236967" w14:textId="77777777" w:rsidR="00847B04" w:rsidRPr="00F6340E" w:rsidRDefault="00847B04" w:rsidP="00F83E0E">
      <w:pPr>
        <w:spacing w:line="276" w:lineRule="auto"/>
        <w:contextualSpacing/>
        <w:rPr>
          <w:rFonts w:ascii="Arial" w:hAnsi="Arial" w:cs="Arial"/>
          <w:color w:val="000000" w:themeColor="text1"/>
          <w:lang w:val="sr-Cyrl-BA"/>
        </w:rPr>
      </w:pPr>
    </w:p>
    <w:p w14:paraId="2C14819B" w14:textId="77777777" w:rsidR="00847B04" w:rsidRPr="00F6340E" w:rsidRDefault="00847B04" w:rsidP="00F83E0E">
      <w:pPr>
        <w:spacing w:line="276" w:lineRule="auto"/>
        <w:contextualSpacing/>
        <w:rPr>
          <w:rFonts w:ascii="Arial" w:hAnsi="Arial" w:cs="Arial"/>
          <w:color w:val="000000" w:themeColor="text1"/>
          <w:lang w:val="sr-Cyrl-BA"/>
        </w:rPr>
      </w:pPr>
    </w:p>
    <w:p w14:paraId="29BCEAC8" w14:textId="77777777" w:rsidR="00847B04" w:rsidRPr="00F6340E" w:rsidRDefault="00847B04" w:rsidP="00F83E0E">
      <w:pPr>
        <w:spacing w:line="276" w:lineRule="auto"/>
        <w:contextualSpacing/>
        <w:rPr>
          <w:rFonts w:ascii="Arial" w:hAnsi="Arial" w:cs="Arial"/>
          <w:color w:val="000000" w:themeColor="text1"/>
          <w:lang w:val="sr-Cyrl-BA"/>
        </w:rPr>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2AC69310" w14:textId="77777777" w:rsidTr="005746C7">
        <w:trPr>
          <w:trHeight w:val="454"/>
          <w:jc w:val="center"/>
        </w:trPr>
        <w:tc>
          <w:tcPr>
            <w:tcW w:w="9014" w:type="dxa"/>
            <w:tcBorders>
              <w:bottom w:val="single" w:sz="4" w:space="0" w:color="000000"/>
            </w:tcBorders>
            <w:shd w:val="clear" w:color="auto" w:fill="00B0F0"/>
            <w:vAlign w:val="center"/>
          </w:tcPr>
          <w:p w14:paraId="04AAE2AC" w14:textId="45A9E022" w:rsidR="00847B04" w:rsidRPr="00F6340E" w:rsidRDefault="00A56E08" w:rsidP="005746C7">
            <w:pPr>
              <w:spacing w:line="276" w:lineRule="auto"/>
              <w:jc w:val="center"/>
              <w:rPr>
                <w:rFonts w:ascii="Arial" w:hAnsi="Arial" w:cs="Arial"/>
                <w:b/>
                <w:color w:val="000000" w:themeColor="text1"/>
                <w:lang w:val="sr-Cyrl-BA"/>
              </w:rPr>
            </w:pPr>
            <w:r>
              <w:rPr>
                <w:rFonts w:ascii="Arial" w:hAnsi="Arial" w:cs="Arial"/>
                <w:b/>
                <w:color w:val="000000" w:themeColor="text1"/>
                <w:lang w:val="sr-Cyrl-BA"/>
              </w:rPr>
              <w:t>Диги</w:t>
            </w:r>
            <w:r w:rsidR="0071360A">
              <w:rPr>
                <w:rFonts w:ascii="Arial" w:hAnsi="Arial" w:cs="Arial"/>
                <w:b/>
                <w:color w:val="000000" w:themeColor="text1"/>
                <w:lang w:val="sr-Cyrl-BA"/>
              </w:rPr>
              <w:t>т</w:t>
            </w:r>
            <w:r>
              <w:rPr>
                <w:rFonts w:ascii="Arial" w:hAnsi="Arial" w:cs="Arial"/>
                <w:b/>
                <w:color w:val="000000" w:themeColor="text1"/>
                <w:lang w:val="sr-Cyrl-BA"/>
              </w:rPr>
              <w:t>ално</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оцј</w:t>
            </w:r>
            <w:r w:rsidR="00EE6AA2">
              <w:rPr>
                <w:rFonts w:ascii="Arial" w:hAnsi="Arial" w:cs="Arial"/>
                <w:b/>
                <w:color w:val="000000" w:themeColor="text1"/>
                <w:lang w:val="sr-Cyrl-BA"/>
              </w:rPr>
              <w:t>е</w:t>
            </w:r>
            <w:r>
              <w:rPr>
                <w:rFonts w:ascii="Arial" w:hAnsi="Arial" w:cs="Arial"/>
                <w:b/>
                <w:color w:val="000000" w:themeColor="text1"/>
                <w:lang w:val="sr-Cyrl-BA"/>
              </w:rPr>
              <w:t>њи</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вр</w:t>
            </w:r>
            <w:r w:rsidR="00EE6AA2">
              <w:rPr>
                <w:rFonts w:ascii="Arial" w:hAnsi="Arial" w:cs="Arial"/>
                <w:b/>
                <w:color w:val="000000" w:themeColor="text1"/>
                <w:lang w:val="sr-Cyrl-BA"/>
              </w:rPr>
              <w:t>е</w:t>
            </w:r>
            <w:r>
              <w:rPr>
                <w:rFonts w:ascii="Arial" w:hAnsi="Arial" w:cs="Arial"/>
                <w:b/>
                <w:color w:val="000000" w:themeColor="text1"/>
                <w:lang w:val="sr-Cyrl-BA"/>
              </w:rPr>
              <w:t>дно</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p>
        </w:tc>
      </w:tr>
      <w:tr w:rsidR="00847B04" w:rsidRPr="00F6340E" w14:paraId="23D48CF9" w14:textId="77777777" w:rsidTr="005746C7">
        <w:trPr>
          <w:trHeight w:val="772"/>
          <w:jc w:val="center"/>
        </w:trPr>
        <w:tc>
          <w:tcPr>
            <w:tcW w:w="9014" w:type="dxa"/>
            <w:tcBorders>
              <w:top w:val="single" w:sz="4" w:space="0" w:color="000000"/>
            </w:tcBorders>
            <w:shd w:val="clear" w:color="auto" w:fill="E3F4F9"/>
          </w:tcPr>
          <w:p w14:paraId="1F049798" w14:textId="560E17B1"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0E386056" w14:textId="7953F9A4" w:rsidR="00847B04" w:rsidRPr="00F6340E" w:rsidRDefault="0071360A" w:rsidP="005746C7">
            <w:pPr>
              <w:pStyle w:val="ListParagraph"/>
              <w:numPr>
                <w:ilvl w:val="0"/>
                <w:numId w:val="33"/>
              </w:numPr>
              <w:spacing w:line="276" w:lineRule="auto"/>
              <w:jc w:val="left"/>
              <w:rPr>
                <w:rFonts w:ascii="Arial" w:hAnsi="Arial" w:cs="Arial"/>
                <w:color w:val="00B0F0"/>
                <w:lang w:val="sr-Cyrl-BA"/>
              </w:rPr>
            </w:pPr>
            <w:r>
              <w:rPr>
                <w:rFonts w:ascii="Arial" w:hAnsi="Arial" w:cs="Arial"/>
                <w:color w:val="000000" w:themeColor="text1"/>
                <w:lang w:val="sr-Cyrl-BA"/>
              </w:rPr>
              <w:t>Пр</w:t>
            </w:r>
            <w:r w:rsidR="00A56E08">
              <w:rPr>
                <w:rFonts w:ascii="Arial" w:hAnsi="Arial" w:cs="Arial"/>
                <w:color w:val="000000" w:themeColor="text1"/>
                <w:lang w:val="sr-Cyrl-BA"/>
              </w:rPr>
              <w:t>имиј</w:t>
            </w:r>
            <w:r w:rsidR="00EE6AA2">
              <w:rPr>
                <w:rFonts w:ascii="Arial" w:hAnsi="Arial" w:cs="Arial"/>
                <w:color w:val="000000" w:themeColor="text1"/>
                <w:lang w:val="sr-Cyrl-BA"/>
              </w:rPr>
              <w:t>е</w:t>
            </w:r>
            <w:r w:rsidR="00A56E08">
              <w:rPr>
                <w:rFonts w:ascii="Arial" w:hAnsi="Arial" w:cs="Arial"/>
                <w:color w:val="000000" w:themeColor="text1"/>
                <w:lang w:val="sr-Cyrl-BA"/>
              </w:rPr>
              <w:t>ни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фо</w:t>
            </w:r>
            <w:r>
              <w:rPr>
                <w:rFonts w:ascii="Arial" w:hAnsi="Arial" w:cs="Arial"/>
                <w:color w:val="000000" w:themeColor="text1"/>
                <w:lang w:val="sr-Cyrl-BA"/>
              </w:rPr>
              <w:t>р</w:t>
            </w:r>
            <w:r w:rsidR="00A56E08">
              <w:rPr>
                <w:rFonts w:ascii="Arial" w:hAnsi="Arial" w:cs="Arial"/>
                <w:color w:val="000000" w:themeColor="text1"/>
                <w:lang w:val="sr-Cyrl-BA"/>
              </w:rPr>
              <w:t>ма</w:t>
            </w:r>
            <w:r>
              <w:rPr>
                <w:rFonts w:ascii="Arial" w:hAnsi="Arial" w:cs="Arial"/>
                <w:color w:val="000000" w:themeColor="text1"/>
                <w:lang w:val="sr-Cyrl-BA"/>
              </w:rPr>
              <w:t>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но</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су</w:t>
            </w:r>
            <w:r w:rsidR="00A56E08">
              <w:rPr>
                <w:rFonts w:ascii="Arial" w:hAnsi="Arial" w:cs="Arial"/>
                <w:color w:val="000000" w:themeColor="text1"/>
                <w:lang w:val="sr-Cyrl-BA"/>
              </w:rPr>
              <w:t>ма</w:t>
            </w:r>
            <w:r>
              <w:rPr>
                <w:rFonts w:ascii="Arial" w:hAnsi="Arial" w:cs="Arial"/>
                <w:color w:val="000000" w:themeColor="text1"/>
                <w:lang w:val="sr-Cyrl-BA"/>
              </w:rPr>
              <w:t>р</w:t>
            </w:r>
            <w:r w:rsidR="00A56E08">
              <w:rPr>
                <w:rFonts w:ascii="Arial" w:hAnsi="Arial" w:cs="Arial"/>
                <w:color w:val="000000" w:themeColor="text1"/>
                <w:lang w:val="sr-Cyrl-BA"/>
              </w:rPr>
              <w:t>но</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вр</w:t>
            </w:r>
            <w:r w:rsidR="00EE6AA2">
              <w:rPr>
                <w:rFonts w:ascii="Arial" w:hAnsi="Arial" w:cs="Arial"/>
                <w:color w:val="000000" w:themeColor="text1"/>
                <w:lang w:val="sr-Cyrl-BA"/>
              </w:rPr>
              <w:t>е</w:t>
            </w:r>
            <w:r w:rsidR="00A56E08">
              <w:rPr>
                <w:rFonts w:ascii="Arial" w:hAnsi="Arial" w:cs="Arial"/>
                <w:color w:val="000000" w:themeColor="text1"/>
                <w:lang w:val="sr-Cyrl-BA"/>
              </w:rPr>
              <w:t>дно</w:t>
            </w:r>
            <w:r>
              <w:rPr>
                <w:rFonts w:ascii="Arial" w:hAnsi="Arial" w:cs="Arial"/>
                <w:color w:val="000000" w:themeColor="text1"/>
                <w:lang w:val="sr-Cyrl-BA"/>
              </w:rPr>
              <w:t>в</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p>
        </w:tc>
      </w:tr>
      <w:tr w:rsidR="00847B04" w:rsidRPr="00F6340E" w14:paraId="52F977FB" w14:textId="77777777" w:rsidTr="005746C7">
        <w:trPr>
          <w:trHeight w:val="2676"/>
          <w:jc w:val="center"/>
        </w:trPr>
        <w:tc>
          <w:tcPr>
            <w:tcW w:w="9014" w:type="dxa"/>
            <w:shd w:val="clear" w:color="auto" w:fill="E3F4F9"/>
          </w:tcPr>
          <w:p w14:paraId="059ADDBF" w14:textId="1155F5C9" w:rsidR="00974108" w:rsidRPr="005746C7" w:rsidRDefault="00A56E08" w:rsidP="0057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b/>
                <w:bCs/>
                <w:color w:val="202124"/>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6E4474DE" w14:textId="57790A86" w:rsidR="00847B04" w:rsidRPr="00F6340E" w:rsidRDefault="00A56E08" w:rsidP="005746C7">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О</w:t>
            </w:r>
            <w:r w:rsidR="0071360A">
              <w:rPr>
                <w:rFonts w:ascii="Arial" w:hAnsi="Arial" w:cs="Arial"/>
                <w:color w:val="202124"/>
                <w:lang w:val="sr-Cyrl-BA"/>
              </w:rPr>
              <w:t>т</w:t>
            </w:r>
            <w:r>
              <w:rPr>
                <w:rFonts w:ascii="Arial" w:hAnsi="Arial" w:cs="Arial"/>
                <w:color w:val="202124"/>
                <w:lang w:val="sr-Cyrl-BA"/>
              </w:rPr>
              <w:t>к</w:t>
            </w:r>
            <w:r w:rsidR="0071360A">
              <w:rPr>
                <w:rFonts w:ascii="Arial" w:hAnsi="Arial" w:cs="Arial"/>
                <w:color w:val="202124"/>
                <w:lang w:val="sr-Cyrl-BA"/>
              </w:rPr>
              <w:t>р</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на</w:t>
            </w:r>
            <w:r w:rsidR="00847B04" w:rsidRPr="00F6340E">
              <w:rPr>
                <w:rFonts w:ascii="Arial" w:hAnsi="Arial" w:cs="Arial"/>
                <w:color w:val="202124"/>
                <w:lang w:val="sr-Cyrl-BA"/>
              </w:rPr>
              <w:t xml:space="preserve"> </w:t>
            </w:r>
            <w:r>
              <w:rPr>
                <w:rFonts w:ascii="Arial" w:hAnsi="Arial" w:cs="Arial"/>
                <w:color w:val="202124"/>
                <w:lang w:val="sr-Cyrl-BA"/>
              </w:rPr>
              <w:t>који</w:t>
            </w:r>
            <w:r w:rsidR="00847B04" w:rsidRPr="00F6340E">
              <w:rPr>
                <w:rFonts w:ascii="Arial" w:hAnsi="Arial" w:cs="Arial"/>
                <w:color w:val="202124"/>
                <w:lang w:val="sr-Cyrl-BA"/>
              </w:rPr>
              <w:t xml:space="preserve"> </w:t>
            </w:r>
            <w:r>
              <w:rPr>
                <w:rFonts w:ascii="Arial" w:hAnsi="Arial" w:cs="Arial"/>
                <w:color w:val="202124"/>
                <w:lang w:val="sr-Cyrl-BA"/>
              </w:rPr>
              <w:t>начин</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ални</w:t>
            </w:r>
            <w:r w:rsidR="00847B04" w:rsidRPr="00F6340E">
              <w:rPr>
                <w:rFonts w:ascii="Arial" w:hAnsi="Arial" w:cs="Arial"/>
                <w:color w:val="202124"/>
                <w:lang w:val="sr-Cyrl-BA"/>
              </w:rPr>
              <w:t xml:space="preserve"> </w:t>
            </w:r>
            <w:r>
              <w:rPr>
                <w:rFonts w:ascii="Arial" w:hAnsi="Arial" w:cs="Arial"/>
                <w:color w:val="202124"/>
                <w:lang w:val="sr-Cyrl-BA"/>
              </w:rPr>
              <w:t>ала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171F00">
              <w:rPr>
                <w:rFonts w:ascii="Arial" w:hAnsi="Arial" w:cs="Arial"/>
                <w:color w:val="202124"/>
                <w:lang w:val="sr-Cyrl-BA"/>
              </w:rPr>
              <w:t>з</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вр</w:t>
            </w:r>
            <w:r w:rsidR="00EE6AA2">
              <w:rPr>
                <w:rFonts w:ascii="Arial" w:hAnsi="Arial" w:cs="Arial"/>
                <w:color w:val="202124"/>
                <w:lang w:val="sr-Cyrl-BA"/>
              </w:rPr>
              <w:t>е</w:t>
            </w:r>
            <w:r>
              <w:rPr>
                <w:rFonts w:ascii="Arial" w:hAnsi="Arial" w:cs="Arial"/>
                <w:color w:val="202124"/>
                <w:lang w:val="sr-Cyrl-BA"/>
              </w:rPr>
              <w:t>дно</w:t>
            </w:r>
            <w:r w:rsidR="0071360A">
              <w:rPr>
                <w:rFonts w:ascii="Arial" w:hAnsi="Arial" w:cs="Arial"/>
                <w:color w:val="202124"/>
                <w:lang w:val="sr-Cyrl-BA"/>
              </w:rPr>
              <w:t>в</w:t>
            </w:r>
            <w:r>
              <w:rPr>
                <w:rFonts w:ascii="Arial" w:hAnsi="Arial" w:cs="Arial"/>
                <w:color w:val="202124"/>
                <w:lang w:val="sr-Cyrl-BA"/>
              </w:rPr>
              <w:t>ањ</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мог</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п</w:t>
            </w:r>
            <w:r>
              <w:rPr>
                <w:rFonts w:ascii="Arial" w:hAnsi="Arial" w:cs="Arial"/>
                <w:color w:val="202124"/>
                <w:lang w:val="sr-Cyrl-BA"/>
              </w:rPr>
              <w:t>обољ</w:t>
            </w:r>
            <w:r w:rsidR="0071360A">
              <w:rPr>
                <w:rFonts w:ascii="Arial" w:hAnsi="Arial" w:cs="Arial"/>
                <w:color w:val="202124"/>
                <w:lang w:val="sr-Cyrl-BA"/>
              </w:rPr>
              <w:t>ш</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стр</w:t>
            </w:r>
            <w:r>
              <w:rPr>
                <w:rFonts w:ascii="Arial" w:hAnsi="Arial" w:cs="Arial"/>
                <w:color w:val="202124"/>
                <w:lang w:val="sr-Cyrl-BA"/>
              </w:rPr>
              <w:t>а</w:t>
            </w:r>
            <w:r w:rsidR="0071360A">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гиј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фо</w:t>
            </w:r>
            <w:r w:rsidR="0071360A">
              <w:rPr>
                <w:rFonts w:ascii="Arial" w:hAnsi="Arial" w:cs="Arial"/>
                <w:color w:val="202124"/>
                <w:lang w:val="sr-Cyrl-BA"/>
              </w:rPr>
              <w:t>р</w:t>
            </w:r>
            <w:r>
              <w:rPr>
                <w:rFonts w:ascii="Arial" w:hAnsi="Arial" w:cs="Arial"/>
                <w:color w:val="202124"/>
                <w:lang w:val="sr-Cyrl-BA"/>
              </w:rPr>
              <w:t>ма</w:t>
            </w:r>
            <w:r w:rsidR="0071360A">
              <w:rPr>
                <w:rFonts w:ascii="Arial" w:hAnsi="Arial" w:cs="Arial"/>
                <w:color w:val="202124"/>
                <w:lang w:val="sr-Cyrl-BA"/>
              </w:rPr>
              <w:t>т</w:t>
            </w:r>
            <w:r>
              <w:rPr>
                <w:rFonts w:ascii="Arial" w:hAnsi="Arial" w:cs="Arial"/>
                <w:color w:val="202124"/>
                <w:lang w:val="sr-Cyrl-BA"/>
              </w:rPr>
              <w:t>и</w:t>
            </w:r>
            <w:r w:rsidR="0071360A">
              <w:rPr>
                <w:rFonts w:ascii="Arial" w:hAnsi="Arial" w:cs="Arial"/>
                <w:color w:val="202124"/>
                <w:lang w:val="sr-Cyrl-BA"/>
              </w:rPr>
              <w:t>в</w:t>
            </w:r>
            <w:r>
              <w:rPr>
                <w:rFonts w:ascii="Arial" w:hAnsi="Arial" w:cs="Arial"/>
                <w:color w:val="202124"/>
                <w:lang w:val="sr-Cyrl-BA"/>
              </w:rPr>
              <w:t>ног</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су</w:t>
            </w:r>
            <w:r>
              <w:rPr>
                <w:rFonts w:ascii="Arial" w:hAnsi="Arial" w:cs="Arial"/>
                <w:color w:val="202124"/>
                <w:lang w:val="sr-Cyrl-BA"/>
              </w:rPr>
              <w:t>ма</w:t>
            </w:r>
            <w:r w:rsidR="0071360A">
              <w:rPr>
                <w:rFonts w:ascii="Arial" w:hAnsi="Arial" w:cs="Arial"/>
                <w:color w:val="202124"/>
                <w:lang w:val="sr-Cyrl-BA"/>
              </w:rPr>
              <w:t>р</w:t>
            </w:r>
            <w:r>
              <w:rPr>
                <w:rFonts w:ascii="Arial" w:hAnsi="Arial" w:cs="Arial"/>
                <w:color w:val="202124"/>
                <w:lang w:val="sr-Cyrl-BA"/>
              </w:rPr>
              <w:t>ног</w:t>
            </w:r>
            <w:r w:rsidR="00847B04" w:rsidRPr="00F6340E">
              <w:rPr>
                <w:rFonts w:ascii="Arial" w:hAnsi="Arial" w:cs="Arial"/>
                <w:color w:val="202124"/>
                <w:lang w:val="sr-Cyrl-BA"/>
              </w:rPr>
              <w:t xml:space="preserve"> </w:t>
            </w:r>
            <w:r w:rsidR="0071360A">
              <w:rPr>
                <w:rFonts w:ascii="Arial" w:hAnsi="Arial" w:cs="Arial"/>
                <w:color w:val="202124"/>
                <w:lang w:val="sr-Cyrl-BA"/>
              </w:rPr>
              <w:t>вр</w:t>
            </w:r>
            <w:r w:rsidR="00EE6AA2">
              <w:rPr>
                <w:rFonts w:ascii="Arial" w:hAnsi="Arial" w:cs="Arial"/>
                <w:color w:val="202124"/>
                <w:lang w:val="sr-Cyrl-BA"/>
              </w:rPr>
              <w:t>е</w:t>
            </w:r>
            <w:r>
              <w:rPr>
                <w:rFonts w:ascii="Arial" w:hAnsi="Arial" w:cs="Arial"/>
                <w:color w:val="202124"/>
                <w:lang w:val="sr-Cyrl-BA"/>
              </w:rPr>
              <w:t>дно</w:t>
            </w:r>
            <w:r w:rsidR="0071360A">
              <w:rPr>
                <w:rFonts w:ascii="Arial" w:hAnsi="Arial" w:cs="Arial"/>
                <w:color w:val="202124"/>
                <w:lang w:val="sr-Cyrl-BA"/>
              </w:rPr>
              <w:t>в</w:t>
            </w:r>
            <w:r>
              <w:rPr>
                <w:rFonts w:ascii="Arial" w:hAnsi="Arial" w:cs="Arial"/>
                <w:color w:val="202124"/>
                <w:lang w:val="sr-Cyrl-BA"/>
              </w:rPr>
              <w:t>ања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в</w:t>
            </w:r>
            <w:r>
              <w:rPr>
                <w:rFonts w:ascii="Arial" w:hAnsi="Arial" w:cs="Arial"/>
                <w:color w:val="202124"/>
                <w:lang w:val="sr-Cyrl-BA"/>
              </w:rPr>
              <w:t>ој</w:t>
            </w:r>
            <w:r w:rsidR="00847B04" w:rsidRPr="00F6340E">
              <w:rPr>
                <w:rFonts w:ascii="Arial" w:hAnsi="Arial" w:cs="Arial"/>
                <w:color w:val="202124"/>
                <w:lang w:val="sr-Cyrl-BA"/>
              </w:rPr>
              <w:t>.</w:t>
            </w:r>
          </w:p>
          <w:p w14:paraId="5344596A" w14:textId="0C43627E" w:rsidR="00847B04" w:rsidRPr="00F6340E" w:rsidRDefault="0071360A" w:rsidP="005746C7">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Уп</w:t>
            </w:r>
            <w:r w:rsidR="00A56E08">
              <w:rPr>
                <w:rFonts w:ascii="Arial" w:hAnsi="Arial" w:cs="Arial"/>
                <w:color w:val="202124"/>
                <w:lang w:val="sr-Cyrl-BA"/>
              </w:rPr>
              <w:t>о</w:t>
            </w:r>
            <w:r>
              <w:rPr>
                <w:rFonts w:ascii="Arial" w:hAnsi="Arial" w:cs="Arial"/>
                <w:color w:val="202124"/>
                <w:lang w:val="sr-Cyrl-BA"/>
              </w:rPr>
              <w:t>тр</w:t>
            </w:r>
            <w:r w:rsidR="00A56E08">
              <w:rPr>
                <w:rFonts w:ascii="Arial" w:hAnsi="Arial" w:cs="Arial"/>
                <w:color w:val="202124"/>
                <w:lang w:val="sr-Cyrl-BA"/>
              </w:rPr>
              <w:t>иј</w:t>
            </w:r>
            <w:r w:rsidR="00EE6AA2">
              <w:rPr>
                <w:rFonts w:ascii="Arial" w:hAnsi="Arial" w:cs="Arial"/>
                <w:color w:val="202124"/>
                <w:lang w:val="sr-Cyrl-BA"/>
              </w:rPr>
              <w:t>е</w:t>
            </w:r>
            <w:r w:rsidR="00A56E08">
              <w:rPr>
                <w:rFonts w:ascii="Arial" w:hAnsi="Arial" w:cs="Arial"/>
                <w:color w:val="202124"/>
                <w:lang w:val="sr-Cyrl-BA"/>
              </w:rPr>
              <w:t>би</w:t>
            </w:r>
            <w:r>
              <w:rPr>
                <w:rFonts w:ascii="Arial" w:hAnsi="Arial" w:cs="Arial"/>
                <w:color w:val="202124"/>
                <w:lang w:val="sr-Cyrl-BA"/>
              </w:rPr>
              <w:t>т</w:t>
            </w:r>
            <w:r w:rsidR="00A56E08">
              <w:rPr>
                <w:rFonts w:ascii="Arial" w:hAnsi="Arial" w:cs="Arial"/>
                <w:color w:val="202124"/>
                <w:lang w:val="sr-Cyrl-BA"/>
              </w:rPr>
              <w:t>и</w:t>
            </w:r>
            <w:r w:rsidR="00847B04" w:rsidRPr="00F6340E">
              <w:rPr>
                <w:rFonts w:ascii="Arial" w:hAnsi="Arial" w:cs="Arial"/>
                <w:color w:val="202124"/>
                <w:lang w:val="sr-Cyrl-BA"/>
              </w:rPr>
              <w:t xml:space="preserve"> </w:t>
            </w:r>
            <w:r w:rsidR="00A56E08">
              <w:rPr>
                <w:rFonts w:ascii="Arial" w:hAnsi="Arial" w:cs="Arial"/>
                <w:color w:val="202124"/>
                <w:lang w:val="sr-Cyrl-BA"/>
              </w:rPr>
              <w:t>диги</w:t>
            </w:r>
            <w:r>
              <w:rPr>
                <w:rFonts w:ascii="Arial" w:hAnsi="Arial" w:cs="Arial"/>
                <w:color w:val="202124"/>
                <w:lang w:val="sr-Cyrl-BA"/>
              </w:rPr>
              <w:t>т</w:t>
            </w:r>
            <w:r w:rsidR="00A56E08">
              <w:rPr>
                <w:rFonts w:ascii="Arial" w:hAnsi="Arial" w:cs="Arial"/>
                <w:color w:val="202124"/>
                <w:lang w:val="sr-Cyrl-BA"/>
              </w:rPr>
              <w:t>алн</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A56E08">
              <w:rPr>
                <w:rFonts w:ascii="Arial" w:hAnsi="Arial" w:cs="Arial"/>
                <w:color w:val="202124"/>
                <w:lang w:val="sr-Cyrl-BA"/>
              </w:rPr>
              <w:t>ала</w:t>
            </w:r>
            <w:r>
              <w:rPr>
                <w:rFonts w:ascii="Arial" w:hAnsi="Arial" w:cs="Arial"/>
                <w:color w:val="202124"/>
                <w:lang w:val="sr-Cyrl-BA"/>
              </w:rPr>
              <w:t>т</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оцј</w:t>
            </w:r>
            <w:r w:rsidR="00EE6AA2">
              <w:rPr>
                <w:rFonts w:ascii="Arial" w:hAnsi="Arial" w:cs="Arial"/>
                <w:color w:val="202124"/>
                <w:lang w:val="sr-Cyrl-BA"/>
              </w:rPr>
              <w:t>е</w:t>
            </w:r>
            <w:r w:rsidR="00A56E08">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свр</w:t>
            </w:r>
            <w:r w:rsidR="00A56E08">
              <w:rPr>
                <w:rFonts w:ascii="Arial" w:hAnsi="Arial" w:cs="Arial"/>
                <w:color w:val="202124"/>
                <w:lang w:val="sr-Cyrl-BA"/>
              </w:rPr>
              <w:t>х</w:t>
            </w:r>
            <w:r>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пр</w:t>
            </w:r>
            <w:r w:rsidR="00A56E08">
              <w:rPr>
                <w:rFonts w:ascii="Arial" w:hAnsi="Arial" w:cs="Arial"/>
                <w:color w:val="202124"/>
                <w:lang w:val="sr-Cyrl-BA"/>
              </w:rPr>
              <w:t>аћ</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A56E08">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на</w:t>
            </w:r>
            <w:r>
              <w:rPr>
                <w:rFonts w:ascii="Arial" w:hAnsi="Arial" w:cs="Arial"/>
                <w:color w:val="202124"/>
                <w:lang w:val="sr-Cyrl-BA"/>
              </w:rPr>
              <w:t>пр</w:t>
            </w:r>
            <w:r w:rsidR="00A56E08">
              <w:rPr>
                <w:rFonts w:ascii="Arial" w:hAnsi="Arial" w:cs="Arial"/>
                <w:color w:val="202124"/>
                <w:lang w:val="sr-Cyrl-BA"/>
              </w:rPr>
              <w:t>ј</w:t>
            </w:r>
            <w:r w:rsidR="00EE6AA2">
              <w:rPr>
                <w:rFonts w:ascii="Arial" w:hAnsi="Arial" w:cs="Arial"/>
                <w:color w:val="202124"/>
                <w:lang w:val="sr-Cyrl-BA"/>
              </w:rPr>
              <w:t>е</w:t>
            </w:r>
            <w:r w:rsidR="00A56E08">
              <w:rPr>
                <w:rFonts w:ascii="Arial" w:hAnsi="Arial" w:cs="Arial"/>
                <w:color w:val="202124"/>
                <w:lang w:val="sr-Cyrl-BA"/>
              </w:rPr>
              <w:t>ђ</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r w:rsidR="00EE6AA2">
              <w:rPr>
                <w:rFonts w:ascii="Arial" w:hAnsi="Arial" w:cs="Arial"/>
                <w:color w:val="202124"/>
                <w:lang w:val="sr-Cyrl-BA"/>
              </w:rPr>
              <w:t>е</w:t>
            </w:r>
            <w:r w:rsidR="00A56E08">
              <w:rPr>
                <w:rFonts w:ascii="Arial" w:hAnsi="Arial" w:cs="Arial"/>
                <w:color w:val="202124"/>
                <w:lang w:val="sr-Cyrl-BA"/>
              </w:rPr>
              <w:t>ф</w:t>
            </w:r>
            <w:r w:rsidR="00EE6AA2">
              <w:rPr>
                <w:rFonts w:ascii="Arial" w:hAnsi="Arial" w:cs="Arial"/>
                <w:color w:val="202124"/>
                <w:lang w:val="sr-Cyrl-BA"/>
              </w:rPr>
              <w:t>е</w:t>
            </w:r>
            <w:r w:rsidR="00A56E08">
              <w:rPr>
                <w:rFonts w:ascii="Arial" w:hAnsi="Arial" w:cs="Arial"/>
                <w:color w:val="202124"/>
                <w:lang w:val="sr-Cyrl-BA"/>
              </w:rPr>
              <w:t>к</w:t>
            </w:r>
            <w:r>
              <w:rPr>
                <w:rFonts w:ascii="Arial" w:hAnsi="Arial" w:cs="Arial"/>
                <w:color w:val="202124"/>
                <w:lang w:val="sr-Cyrl-BA"/>
              </w:rPr>
              <w:t>т</w:t>
            </w:r>
            <w:r w:rsidR="00A56E08">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у</w:t>
            </w:r>
            <w:r w:rsidR="00A56E08">
              <w:rPr>
                <w:rFonts w:ascii="Arial" w:hAnsi="Arial" w:cs="Arial"/>
                <w:color w:val="202124"/>
                <w:lang w:val="sr-Cyrl-BA"/>
              </w:rPr>
              <w:t>ч</w:t>
            </w:r>
            <w:r w:rsidR="00EE6AA2">
              <w:rPr>
                <w:rFonts w:ascii="Arial" w:hAnsi="Arial" w:cs="Arial"/>
                <w:color w:val="202124"/>
                <w:lang w:val="sr-Cyrl-BA"/>
              </w:rPr>
              <w:t>е</w:t>
            </w:r>
            <w:r w:rsidR="00A56E08">
              <w:rPr>
                <w:rFonts w:ascii="Arial" w:hAnsi="Arial" w:cs="Arial"/>
                <w:color w:val="202124"/>
                <w:lang w:val="sr-Cyrl-BA"/>
              </w:rPr>
              <w:t>ња</w:t>
            </w:r>
            <w:r w:rsidR="00847B04" w:rsidRPr="00F6340E">
              <w:rPr>
                <w:rFonts w:ascii="Arial" w:hAnsi="Arial" w:cs="Arial"/>
                <w:color w:val="202124"/>
                <w:lang w:val="sr-Cyrl-BA"/>
              </w:rPr>
              <w:t xml:space="preserve">. </w:t>
            </w:r>
          </w:p>
          <w:p w14:paraId="00271F96" w14:textId="4EDCCE19" w:rsidR="00847B04" w:rsidRPr="00F6340E" w:rsidRDefault="00A56E08" w:rsidP="005746C7">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202124"/>
                <w:lang w:val="sr-Cyrl-BA"/>
              </w:rPr>
            </w:pPr>
            <w:r>
              <w:rPr>
                <w:rFonts w:ascii="Arial" w:hAnsi="Arial" w:cs="Arial"/>
                <w:color w:val="202124"/>
                <w:lang w:val="sr-Cyrl-BA"/>
              </w:rPr>
              <w:t>О</w:t>
            </w:r>
            <w:r w:rsidR="0071360A">
              <w:rPr>
                <w:rFonts w:ascii="Arial" w:hAnsi="Arial" w:cs="Arial"/>
                <w:color w:val="202124"/>
                <w:lang w:val="sr-Cyrl-BA"/>
              </w:rPr>
              <w:t>т</w:t>
            </w:r>
            <w:r>
              <w:rPr>
                <w:rFonts w:ascii="Arial" w:hAnsi="Arial" w:cs="Arial"/>
                <w:color w:val="202124"/>
                <w:lang w:val="sr-Cyrl-BA"/>
              </w:rPr>
              <w:t>к</w:t>
            </w:r>
            <w:r w:rsidR="0071360A">
              <w:rPr>
                <w:rFonts w:ascii="Arial" w:hAnsi="Arial" w:cs="Arial"/>
                <w:color w:val="202124"/>
                <w:lang w:val="sr-Cyrl-BA"/>
              </w:rPr>
              <w:t>р</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мог</w:t>
            </w:r>
            <w:r w:rsidR="0071360A">
              <w:rPr>
                <w:rFonts w:ascii="Arial" w:hAnsi="Arial" w:cs="Arial"/>
                <w:color w:val="202124"/>
                <w:lang w:val="sr-Cyrl-BA"/>
              </w:rPr>
              <w:t>у</w:t>
            </w:r>
            <w:r>
              <w:rPr>
                <w:rFonts w:ascii="Arial" w:hAnsi="Arial" w:cs="Arial"/>
                <w:color w:val="202124"/>
                <w:lang w:val="sr-Cyrl-BA"/>
              </w:rPr>
              <w:t>ћно</w:t>
            </w:r>
            <w:r w:rsidR="0071360A">
              <w:rPr>
                <w:rFonts w:ascii="Arial" w:hAnsi="Arial" w:cs="Arial"/>
                <w:color w:val="202124"/>
                <w:lang w:val="sr-Cyrl-BA"/>
              </w:rPr>
              <w:t>ст</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имј</w:t>
            </w:r>
            <w:r w:rsidR="00EE6AA2">
              <w:rPr>
                <w:rFonts w:ascii="Arial" w:hAnsi="Arial" w:cs="Arial"/>
                <w:color w:val="202124"/>
                <w:lang w:val="sr-Cyrl-BA"/>
              </w:rPr>
              <w:t>е</w:t>
            </w:r>
            <w:r>
              <w:rPr>
                <w:rFonts w:ascii="Arial" w:hAnsi="Arial" w:cs="Arial"/>
                <w:color w:val="202124"/>
                <w:lang w:val="sr-Cyrl-BA"/>
              </w:rPr>
              <w:t>н</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Pr>
                <w:rFonts w:ascii="Arial" w:hAnsi="Arial" w:cs="Arial"/>
                <w:color w:val="202124"/>
                <w:lang w:val="sr-Cyrl-BA"/>
              </w:rPr>
              <w:t>но</w:t>
            </w:r>
            <w:r w:rsidR="0071360A">
              <w:rPr>
                <w:rFonts w:ascii="Arial" w:hAnsi="Arial" w:cs="Arial"/>
                <w:color w:val="202124"/>
                <w:lang w:val="sr-Cyrl-BA"/>
              </w:rPr>
              <w:t>врс</w:t>
            </w:r>
            <w:r>
              <w:rPr>
                <w:rFonts w:ascii="Arial" w:hAnsi="Arial" w:cs="Arial"/>
                <w:color w:val="202124"/>
                <w:lang w:val="sr-Cyrl-BA"/>
              </w:rPr>
              <w:t>но</w:t>
            </w:r>
            <w:r w:rsidR="0071360A">
              <w:rPr>
                <w:rFonts w:ascii="Arial" w:hAnsi="Arial" w:cs="Arial"/>
                <w:color w:val="202124"/>
                <w:lang w:val="sr-Cyrl-BA"/>
              </w:rPr>
              <w:t>ст</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алних</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н</w:t>
            </w:r>
            <w:r w:rsidR="00EE6AA2">
              <w:rPr>
                <w:rFonts w:ascii="Arial" w:hAnsi="Arial" w:cs="Arial"/>
                <w:color w:val="202124"/>
                <w:lang w:val="sr-Cyrl-BA"/>
              </w:rPr>
              <w:t>е</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алних</w:t>
            </w:r>
            <w:r w:rsidR="00847B04" w:rsidRPr="00F6340E">
              <w:rPr>
                <w:rFonts w:ascii="Arial" w:hAnsi="Arial" w:cs="Arial"/>
                <w:color w:val="202124"/>
                <w:lang w:val="sr-Cyrl-BA"/>
              </w:rPr>
              <w:t xml:space="preserve"> </w:t>
            </w:r>
            <w:r>
              <w:rPr>
                <w:rFonts w:ascii="Arial" w:hAnsi="Arial" w:cs="Arial"/>
                <w:color w:val="202124"/>
                <w:lang w:val="sr-Cyrl-BA"/>
              </w:rPr>
              <w:t>облика</w:t>
            </w:r>
            <w:r w:rsidR="00847B04" w:rsidRPr="00F6340E">
              <w:rPr>
                <w:rFonts w:ascii="Arial" w:hAnsi="Arial" w:cs="Arial"/>
                <w:color w:val="202124"/>
                <w:lang w:val="sr-Cyrl-BA"/>
              </w:rPr>
              <w:t xml:space="preserve"> </w:t>
            </w:r>
            <w:r w:rsidR="0071360A">
              <w:rPr>
                <w:rFonts w:ascii="Arial" w:hAnsi="Arial" w:cs="Arial"/>
                <w:color w:val="202124"/>
                <w:lang w:val="sr-Cyrl-BA"/>
              </w:rPr>
              <w:t>вр</w:t>
            </w:r>
            <w:r w:rsidR="00EE6AA2">
              <w:rPr>
                <w:rFonts w:ascii="Arial" w:hAnsi="Arial" w:cs="Arial"/>
                <w:color w:val="202124"/>
                <w:lang w:val="sr-Cyrl-BA"/>
              </w:rPr>
              <w:t>е</w:t>
            </w:r>
            <w:r>
              <w:rPr>
                <w:rFonts w:ascii="Arial" w:hAnsi="Arial" w:cs="Arial"/>
                <w:color w:val="202124"/>
                <w:lang w:val="sr-Cyrl-BA"/>
              </w:rPr>
              <w:t>дно</w:t>
            </w:r>
            <w:r w:rsidR="0071360A">
              <w:rPr>
                <w:rFonts w:ascii="Arial" w:hAnsi="Arial" w:cs="Arial"/>
                <w:color w:val="202124"/>
                <w:lang w:val="sr-Cyrl-BA"/>
              </w:rPr>
              <w:t>в</w:t>
            </w:r>
            <w:r>
              <w:rPr>
                <w:rFonts w:ascii="Arial" w:hAnsi="Arial" w:cs="Arial"/>
                <w:color w:val="202124"/>
                <w:lang w:val="sr-Cyrl-BA"/>
              </w:rPr>
              <w:t>ања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р</w:t>
            </w:r>
            <w:r>
              <w:rPr>
                <w:rFonts w:ascii="Arial" w:hAnsi="Arial" w:cs="Arial"/>
                <w:color w:val="202124"/>
                <w:lang w:val="sr-Cyrl-BA"/>
              </w:rPr>
              <w:t>а</w:t>
            </w:r>
            <w:r w:rsidR="00171F00">
              <w:rPr>
                <w:rFonts w:ascii="Arial" w:hAnsi="Arial" w:cs="Arial"/>
                <w:color w:val="202124"/>
                <w:lang w:val="sr-Cyrl-BA"/>
              </w:rPr>
              <w:t>з</w:t>
            </w:r>
            <w:r w:rsidR="0071360A">
              <w:rPr>
                <w:rFonts w:ascii="Arial" w:hAnsi="Arial" w:cs="Arial"/>
                <w:color w:val="202124"/>
                <w:lang w:val="sr-Cyrl-BA"/>
              </w:rPr>
              <w:t>у</w:t>
            </w:r>
            <w:r>
              <w:rPr>
                <w:rFonts w:ascii="Arial" w:hAnsi="Arial" w:cs="Arial"/>
                <w:color w:val="202124"/>
                <w:lang w:val="sr-Cyrl-BA"/>
              </w:rPr>
              <w:t>мј</w:t>
            </w:r>
            <w:r w:rsidR="00EE6AA2">
              <w:rPr>
                <w:rFonts w:ascii="Arial" w:hAnsi="Arial" w:cs="Arial"/>
                <w:color w:val="202124"/>
                <w:lang w:val="sr-Cyrl-BA"/>
              </w:rPr>
              <w:t>е</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њихо</w:t>
            </w:r>
            <w:r w:rsidR="0071360A">
              <w:rPr>
                <w:rFonts w:ascii="Arial" w:hAnsi="Arial" w:cs="Arial"/>
                <w:color w:val="202124"/>
                <w:lang w:val="sr-Cyrl-BA"/>
              </w:rPr>
              <w:t>в</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пр</w:t>
            </w:r>
            <w:r w:rsidR="00EE6AA2">
              <w:rPr>
                <w:rFonts w:ascii="Arial" w:hAnsi="Arial" w:cs="Arial"/>
                <w:color w:val="202124"/>
                <w:lang w:val="sr-Cyrl-BA"/>
              </w:rPr>
              <w:t>е</w:t>
            </w:r>
            <w:r>
              <w:rPr>
                <w:rFonts w:ascii="Arial" w:hAnsi="Arial" w:cs="Arial"/>
                <w:color w:val="202124"/>
                <w:lang w:val="sr-Cyrl-BA"/>
              </w:rPr>
              <w:t>дно</w:t>
            </w:r>
            <w:r w:rsidR="0071360A">
              <w:rPr>
                <w:rFonts w:ascii="Arial" w:hAnsi="Arial" w:cs="Arial"/>
                <w:color w:val="202124"/>
                <w:lang w:val="sr-Cyrl-BA"/>
              </w:rPr>
              <w:t>ст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н</w:t>
            </w:r>
            <w:r w:rsidR="00EE6AA2">
              <w:rPr>
                <w:rFonts w:ascii="Arial" w:hAnsi="Arial" w:cs="Arial"/>
                <w:color w:val="202124"/>
                <w:lang w:val="sr-Cyrl-BA"/>
              </w:rPr>
              <w:t>е</w:t>
            </w:r>
            <w:r>
              <w:rPr>
                <w:rFonts w:ascii="Arial" w:hAnsi="Arial" w:cs="Arial"/>
                <w:color w:val="202124"/>
                <w:lang w:val="sr-Cyrl-BA"/>
              </w:rPr>
              <w:t>до</w:t>
            </w:r>
            <w:r w:rsidR="0071360A">
              <w:rPr>
                <w:rFonts w:ascii="Arial" w:hAnsi="Arial" w:cs="Arial"/>
                <w:color w:val="202124"/>
                <w:lang w:val="sr-Cyrl-BA"/>
              </w:rPr>
              <w:t>ст</w:t>
            </w:r>
            <w:r>
              <w:rPr>
                <w:rFonts w:ascii="Arial" w:hAnsi="Arial" w:cs="Arial"/>
                <w:color w:val="202124"/>
                <w:lang w:val="sr-Cyrl-BA"/>
              </w:rPr>
              <w:t>а</w:t>
            </w:r>
            <w:r w:rsidR="0071360A">
              <w:rPr>
                <w:rFonts w:ascii="Arial" w:hAnsi="Arial" w:cs="Arial"/>
                <w:color w:val="202124"/>
                <w:lang w:val="sr-Cyrl-BA"/>
              </w:rPr>
              <w:t>т</w:t>
            </w:r>
            <w:r>
              <w:rPr>
                <w:rFonts w:ascii="Arial" w:hAnsi="Arial" w:cs="Arial"/>
                <w:color w:val="202124"/>
                <w:lang w:val="sr-Cyrl-BA"/>
              </w:rPr>
              <w:t>к</w:t>
            </w:r>
            <w:r w:rsidR="00EE6AA2">
              <w:rPr>
                <w:rFonts w:ascii="Arial" w:hAnsi="Arial" w:cs="Arial"/>
                <w:color w:val="202124"/>
                <w:lang w:val="sr-Cyrl-BA"/>
              </w:rPr>
              <w:t>е</w:t>
            </w:r>
            <w:r w:rsidR="00847B04" w:rsidRPr="00F6340E">
              <w:rPr>
                <w:rFonts w:ascii="Arial" w:hAnsi="Arial" w:cs="Arial"/>
                <w:color w:val="202124"/>
                <w:lang w:val="sr-Cyrl-BA"/>
              </w:rPr>
              <w:t xml:space="preserve"> </w:t>
            </w:r>
            <w:r>
              <w:rPr>
                <w:rFonts w:ascii="Arial" w:hAnsi="Arial" w:cs="Arial"/>
                <w:color w:val="202124"/>
                <w:lang w:val="sr-Cyrl-BA"/>
              </w:rPr>
              <w:t>на</w:t>
            </w:r>
            <w:r w:rsidR="00847B04" w:rsidRPr="00F6340E">
              <w:rPr>
                <w:rFonts w:ascii="Arial" w:hAnsi="Arial" w:cs="Arial"/>
                <w:color w:val="202124"/>
                <w:lang w:val="sr-Cyrl-BA"/>
              </w:rPr>
              <w:t xml:space="preserve"> </w:t>
            </w:r>
            <w:r>
              <w:rPr>
                <w:rFonts w:ascii="Arial" w:hAnsi="Arial" w:cs="Arial"/>
                <w:color w:val="202124"/>
                <w:lang w:val="sr-Cyrl-BA"/>
              </w:rPr>
              <w:t>о</w:t>
            </w:r>
            <w:r w:rsidR="0071360A">
              <w:rPr>
                <w:rFonts w:ascii="Arial" w:hAnsi="Arial" w:cs="Arial"/>
                <w:color w:val="202124"/>
                <w:lang w:val="sr-Cyrl-BA"/>
              </w:rPr>
              <w:t>с</w:t>
            </w:r>
            <w:r>
              <w:rPr>
                <w:rFonts w:ascii="Arial" w:hAnsi="Arial" w:cs="Arial"/>
                <w:color w:val="202124"/>
                <w:lang w:val="sr-Cyrl-BA"/>
              </w:rPr>
              <w:t>но</w:t>
            </w:r>
            <w:r w:rsidR="0071360A">
              <w:rPr>
                <w:rFonts w:ascii="Arial" w:hAnsi="Arial" w:cs="Arial"/>
                <w:color w:val="202124"/>
                <w:lang w:val="sr-Cyrl-BA"/>
              </w:rPr>
              <w:t>ву</w:t>
            </w:r>
            <w:r w:rsidR="00847B04" w:rsidRPr="00F6340E">
              <w:rPr>
                <w:rFonts w:ascii="Arial" w:hAnsi="Arial" w:cs="Arial"/>
                <w:color w:val="202124"/>
                <w:lang w:val="sr-Cyrl-BA"/>
              </w:rPr>
              <w:t xml:space="preserve"> </w:t>
            </w:r>
            <w:r w:rsidR="0071360A">
              <w:rPr>
                <w:rFonts w:ascii="Arial" w:hAnsi="Arial" w:cs="Arial"/>
                <w:color w:val="202124"/>
                <w:lang w:val="sr-Cyrl-BA"/>
              </w:rPr>
              <w:t>с</w:t>
            </w:r>
            <w:r>
              <w:rPr>
                <w:rFonts w:ascii="Arial" w:hAnsi="Arial" w:cs="Arial"/>
                <w:color w:val="202124"/>
                <w:lang w:val="sr-Cyrl-BA"/>
              </w:rPr>
              <w:t>нага</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ог</w:t>
            </w:r>
            <w:r w:rsidR="0071360A">
              <w:rPr>
                <w:rFonts w:ascii="Arial" w:hAnsi="Arial" w:cs="Arial"/>
                <w:color w:val="202124"/>
                <w:lang w:val="sr-Cyrl-BA"/>
              </w:rPr>
              <w:t>р</w:t>
            </w:r>
            <w:r>
              <w:rPr>
                <w:rFonts w:ascii="Arial" w:hAnsi="Arial" w:cs="Arial"/>
                <w:color w:val="202124"/>
                <w:lang w:val="sr-Cyrl-BA"/>
              </w:rPr>
              <w:t>анич</w:t>
            </w:r>
            <w:r w:rsidR="00EE6AA2">
              <w:rPr>
                <w:rFonts w:ascii="Arial" w:hAnsi="Arial" w:cs="Arial"/>
                <w:color w:val="202124"/>
                <w:lang w:val="sr-Cyrl-BA"/>
              </w:rPr>
              <w:t>е</w:t>
            </w:r>
            <w:r>
              <w:rPr>
                <w:rFonts w:ascii="Arial" w:hAnsi="Arial" w:cs="Arial"/>
                <w:color w:val="202124"/>
                <w:lang w:val="sr-Cyrl-BA"/>
              </w:rPr>
              <w:t>ња</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ника</w:t>
            </w:r>
            <w:r w:rsidR="00847B04" w:rsidRPr="00F6340E">
              <w:rPr>
                <w:rFonts w:ascii="Arial" w:hAnsi="Arial" w:cs="Arial"/>
                <w:color w:val="202124"/>
                <w:lang w:val="sr-Cyrl-BA"/>
              </w:rPr>
              <w:t>/</w:t>
            </w:r>
            <w:r w:rsidR="0071360A">
              <w:rPr>
                <w:rFonts w:ascii="Arial" w:hAnsi="Arial" w:cs="Arial"/>
                <w:color w:val="202124"/>
                <w:lang w:val="sr-Cyrl-BA"/>
              </w:rPr>
              <w:t>сту</w:t>
            </w:r>
            <w:r>
              <w:rPr>
                <w:rFonts w:ascii="Arial" w:hAnsi="Arial" w:cs="Arial"/>
                <w:color w:val="202124"/>
                <w:lang w:val="sr-Cyrl-BA"/>
              </w:rPr>
              <w:t>д</w:t>
            </w:r>
            <w:r w:rsidR="00EE6AA2">
              <w:rPr>
                <w:rFonts w:ascii="Arial" w:hAnsi="Arial" w:cs="Arial"/>
                <w:color w:val="202124"/>
                <w:lang w:val="sr-Cyrl-BA"/>
              </w:rPr>
              <w:t>е</w:t>
            </w:r>
            <w:r>
              <w:rPr>
                <w:rFonts w:ascii="Arial" w:hAnsi="Arial" w:cs="Arial"/>
                <w:color w:val="202124"/>
                <w:lang w:val="sr-Cyrl-BA"/>
              </w:rPr>
              <w:t>н</w:t>
            </w:r>
            <w:r w:rsidR="0071360A">
              <w:rPr>
                <w:rFonts w:ascii="Arial" w:hAnsi="Arial" w:cs="Arial"/>
                <w:color w:val="202124"/>
                <w:lang w:val="sr-Cyrl-BA"/>
              </w:rPr>
              <w:t>т</w:t>
            </w:r>
            <w:r>
              <w:rPr>
                <w:rFonts w:ascii="Arial" w:hAnsi="Arial" w:cs="Arial"/>
                <w:color w:val="202124"/>
                <w:lang w:val="sr-Cyrl-BA"/>
              </w:rPr>
              <w:t>а</w:t>
            </w:r>
            <w:r w:rsidR="00847B04" w:rsidRPr="00F6340E">
              <w:rPr>
                <w:rFonts w:ascii="Arial" w:hAnsi="Arial" w:cs="Arial"/>
                <w:color w:val="202124"/>
                <w:lang w:val="sr-Cyrl-BA"/>
              </w:rPr>
              <w:t>.</w:t>
            </w:r>
          </w:p>
          <w:p w14:paraId="77F37C6E" w14:textId="0B689C15" w:rsidR="00847B04" w:rsidRPr="00F6340E" w:rsidRDefault="00A56E08" w:rsidP="005746C7">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Arial" w:hAnsi="Arial" w:cs="Arial"/>
                <w:color w:val="00B0F0"/>
                <w:lang w:val="sr-Cyrl-BA"/>
              </w:rPr>
            </w:pPr>
            <w:r>
              <w:rPr>
                <w:rFonts w:ascii="Arial" w:hAnsi="Arial" w:cs="Arial"/>
                <w:color w:val="202124"/>
                <w:lang w:val="sr-Cyrl-BA"/>
              </w:rPr>
              <w:t>Има</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Pr>
                <w:rFonts w:ascii="Arial" w:hAnsi="Arial" w:cs="Arial"/>
                <w:color w:val="202124"/>
                <w:lang w:val="sr-Cyrl-BA"/>
              </w:rPr>
              <w:t>к</w:t>
            </w:r>
            <w:r w:rsidR="0071360A">
              <w:rPr>
                <w:rFonts w:ascii="Arial" w:hAnsi="Arial" w:cs="Arial"/>
                <w:color w:val="202124"/>
                <w:lang w:val="sr-Cyrl-BA"/>
              </w:rPr>
              <w:t>р</w:t>
            </w:r>
            <w:r>
              <w:rPr>
                <w:rFonts w:ascii="Arial" w:hAnsi="Arial" w:cs="Arial"/>
                <w:color w:val="202124"/>
                <w:lang w:val="sr-Cyrl-BA"/>
              </w:rPr>
              <w:t>и</w:t>
            </w:r>
            <w:r w:rsidR="0071360A">
              <w:rPr>
                <w:rFonts w:ascii="Arial" w:hAnsi="Arial" w:cs="Arial"/>
                <w:color w:val="202124"/>
                <w:lang w:val="sr-Cyrl-BA"/>
              </w:rPr>
              <w:t>т</w:t>
            </w:r>
            <w:r>
              <w:rPr>
                <w:rFonts w:ascii="Arial" w:hAnsi="Arial" w:cs="Arial"/>
                <w:color w:val="202124"/>
                <w:lang w:val="sr-Cyrl-BA"/>
              </w:rPr>
              <w:t>ичан</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и</w:t>
            </w:r>
            <w:r w:rsidR="0071360A">
              <w:rPr>
                <w:rFonts w:ascii="Arial" w:hAnsi="Arial" w:cs="Arial"/>
                <w:color w:val="202124"/>
                <w:lang w:val="sr-Cyrl-BA"/>
              </w:rPr>
              <w:t>ступ</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имј</w:t>
            </w:r>
            <w:r w:rsidR="00EE6AA2">
              <w:rPr>
                <w:rFonts w:ascii="Arial" w:hAnsi="Arial" w:cs="Arial"/>
                <w:color w:val="202124"/>
                <w:lang w:val="sr-Cyrl-BA"/>
              </w:rPr>
              <w:t>е</w:t>
            </w:r>
            <w:r>
              <w:rPr>
                <w:rFonts w:ascii="Arial" w:hAnsi="Arial" w:cs="Arial"/>
                <w:color w:val="202124"/>
                <w:lang w:val="sr-Cyrl-BA"/>
              </w:rPr>
              <w:t>ни</w:t>
            </w:r>
            <w:r w:rsidR="00847B04" w:rsidRPr="00F6340E">
              <w:rPr>
                <w:rFonts w:ascii="Arial" w:hAnsi="Arial" w:cs="Arial"/>
                <w:color w:val="202124"/>
                <w:lang w:val="sr-Cyrl-BA"/>
              </w:rPr>
              <w:t xml:space="preserve"> </w:t>
            </w:r>
            <w:r>
              <w:rPr>
                <w:rFonts w:ascii="Arial" w:hAnsi="Arial" w:cs="Arial"/>
                <w:color w:val="202124"/>
                <w:lang w:val="sr-Cyrl-BA"/>
              </w:rPr>
              <w:t>диги</w:t>
            </w:r>
            <w:r w:rsidR="0071360A">
              <w:rPr>
                <w:rFonts w:ascii="Arial" w:hAnsi="Arial" w:cs="Arial"/>
                <w:color w:val="202124"/>
                <w:lang w:val="sr-Cyrl-BA"/>
              </w:rPr>
              <w:t>т</w:t>
            </w:r>
            <w:r>
              <w:rPr>
                <w:rFonts w:ascii="Arial" w:hAnsi="Arial" w:cs="Arial"/>
                <w:color w:val="202124"/>
                <w:lang w:val="sr-Cyrl-BA"/>
              </w:rPr>
              <w:t>алних</w:t>
            </w:r>
            <w:r w:rsidR="00847B04" w:rsidRPr="00F6340E">
              <w:rPr>
                <w:rFonts w:ascii="Arial" w:hAnsi="Arial" w:cs="Arial"/>
                <w:color w:val="202124"/>
                <w:lang w:val="sr-Cyrl-BA"/>
              </w:rPr>
              <w:t xml:space="preserve"> </w:t>
            </w:r>
            <w:r>
              <w:rPr>
                <w:rFonts w:ascii="Arial" w:hAnsi="Arial" w:cs="Arial"/>
                <w:color w:val="202124"/>
                <w:lang w:val="sr-Cyrl-BA"/>
              </w:rPr>
              <w:t>ала</w:t>
            </w:r>
            <w:r w:rsidR="0071360A">
              <w:rPr>
                <w:rFonts w:ascii="Arial" w:hAnsi="Arial" w:cs="Arial"/>
                <w:color w:val="202124"/>
                <w:lang w:val="sr-Cyrl-BA"/>
              </w:rPr>
              <w:t>т</w:t>
            </w:r>
            <w:r>
              <w:rPr>
                <w:rFonts w:ascii="Arial" w:hAnsi="Arial" w:cs="Arial"/>
                <w:color w:val="202124"/>
                <w:lang w:val="sr-Cyrl-BA"/>
              </w:rPr>
              <w:t>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вр</w:t>
            </w:r>
            <w:r w:rsidR="00EE6AA2">
              <w:rPr>
                <w:rFonts w:ascii="Arial" w:hAnsi="Arial" w:cs="Arial"/>
                <w:color w:val="202124"/>
                <w:lang w:val="sr-Cyrl-BA"/>
              </w:rPr>
              <w:t>е</w:t>
            </w:r>
            <w:r>
              <w:rPr>
                <w:rFonts w:ascii="Arial" w:hAnsi="Arial" w:cs="Arial"/>
                <w:color w:val="202124"/>
                <w:lang w:val="sr-Cyrl-BA"/>
              </w:rPr>
              <w:t>дно</w:t>
            </w:r>
            <w:r w:rsidR="0071360A">
              <w:rPr>
                <w:rFonts w:ascii="Arial" w:hAnsi="Arial" w:cs="Arial"/>
                <w:color w:val="202124"/>
                <w:lang w:val="sr-Cyrl-BA"/>
              </w:rPr>
              <w:t>в</w:t>
            </w:r>
            <w:r>
              <w:rPr>
                <w:rFonts w:ascii="Arial" w:hAnsi="Arial" w:cs="Arial"/>
                <w:color w:val="202124"/>
                <w:lang w:val="sr-Cyrl-BA"/>
              </w:rPr>
              <w:t>ањ</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пр</w:t>
            </w:r>
            <w:r>
              <w:rPr>
                <w:rFonts w:ascii="Arial" w:hAnsi="Arial" w:cs="Arial"/>
                <w:color w:val="202124"/>
                <w:lang w:val="sr-Cyrl-BA"/>
              </w:rPr>
              <w:t>илагоди</w:t>
            </w:r>
            <w:r w:rsidR="0071360A">
              <w:rPr>
                <w:rFonts w:ascii="Arial" w:hAnsi="Arial" w:cs="Arial"/>
                <w:color w:val="202124"/>
                <w:lang w:val="sr-Cyrl-BA"/>
              </w:rPr>
              <w:t>т</w:t>
            </w:r>
            <w:r>
              <w:rPr>
                <w:rFonts w:ascii="Arial" w:hAnsi="Arial" w:cs="Arial"/>
                <w:color w:val="202124"/>
                <w:lang w:val="sr-Cyrl-BA"/>
              </w:rPr>
              <w:t>и</w:t>
            </w:r>
            <w:r w:rsidR="00847B04" w:rsidRPr="00F6340E">
              <w:rPr>
                <w:rFonts w:ascii="Arial" w:hAnsi="Arial" w:cs="Arial"/>
                <w:color w:val="202124"/>
                <w:lang w:val="sr-Cyrl-BA"/>
              </w:rPr>
              <w:t xml:space="preserve"> </w:t>
            </w:r>
            <w:r w:rsidR="0071360A">
              <w:rPr>
                <w:rFonts w:ascii="Arial" w:hAnsi="Arial" w:cs="Arial"/>
                <w:color w:val="202124"/>
                <w:lang w:val="sr-Cyrl-BA"/>
              </w:rPr>
              <w:t>стр</w:t>
            </w:r>
            <w:r>
              <w:rPr>
                <w:rFonts w:ascii="Arial" w:hAnsi="Arial" w:cs="Arial"/>
                <w:color w:val="202124"/>
                <w:lang w:val="sr-Cyrl-BA"/>
              </w:rPr>
              <w:t>а</w:t>
            </w:r>
            <w:r w:rsidR="0071360A">
              <w:rPr>
                <w:rFonts w:ascii="Arial" w:hAnsi="Arial" w:cs="Arial"/>
                <w:color w:val="202124"/>
                <w:lang w:val="sr-Cyrl-BA"/>
              </w:rPr>
              <w:t>т</w:t>
            </w:r>
            <w:r w:rsidR="00EE6AA2">
              <w:rPr>
                <w:rFonts w:ascii="Arial" w:hAnsi="Arial" w:cs="Arial"/>
                <w:color w:val="202124"/>
                <w:lang w:val="sr-Cyrl-BA"/>
              </w:rPr>
              <w:t>е</w:t>
            </w:r>
            <w:r>
              <w:rPr>
                <w:rFonts w:ascii="Arial" w:hAnsi="Arial" w:cs="Arial"/>
                <w:color w:val="202124"/>
                <w:lang w:val="sr-Cyrl-BA"/>
              </w:rPr>
              <w:t>гиј</w:t>
            </w:r>
            <w:r w:rsidR="00EE6AA2">
              <w:rPr>
                <w:rFonts w:ascii="Arial" w:hAnsi="Arial" w:cs="Arial"/>
                <w:color w:val="202124"/>
                <w:lang w:val="sr-Cyrl-BA"/>
              </w:rPr>
              <w:t>е</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E864CA" w:rsidRPr="00F6340E">
              <w:rPr>
                <w:rFonts w:ascii="Arial" w:hAnsi="Arial" w:cs="Arial"/>
                <w:color w:val="202124"/>
                <w:lang w:val="sr-Cyrl-BA"/>
              </w:rPr>
              <w:t xml:space="preserve"> </w:t>
            </w:r>
            <w:r w:rsidR="0071360A">
              <w:rPr>
                <w:rFonts w:ascii="Arial" w:hAnsi="Arial" w:cs="Arial"/>
                <w:color w:val="202124"/>
                <w:lang w:val="sr-Cyrl-BA"/>
              </w:rPr>
              <w:t>с</w:t>
            </w:r>
            <w:r>
              <w:rPr>
                <w:rFonts w:ascii="Arial" w:hAnsi="Arial" w:cs="Arial"/>
                <w:color w:val="202124"/>
                <w:lang w:val="sr-Cyrl-BA"/>
              </w:rPr>
              <w:t>клад</w:t>
            </w:r>
            <w:r w:rsidR="0071360A">
              <w:rPr>
                <w:rFonts w:ascii="Arial" w:hAnsi="Arial" w:cs="Arial"/>
                <w:color w:val="202124"/>
                <w:lang w:val="sr-Cyrl-BA"/>
              </w:rPr>
              <w:t>у</w:t>
            </w:r>
            <w:r w:rsidR="00847B04" w:rsidRPr="00F6340E">
              <w:rPr>
                <w:rFonts w:ascii="Arial" w:hAnsi="Arial" w:cs="Arial"/>
                <w:color w:val="202124"/>
                <w:lang w:val="sr-Cyrl-BA"/>
              </w:rPr>
              <w:t xml:space="preserve"> </w:t>
            </w:r>
            <w:r w:rsidR="0071360A">
              <w:rPr>
                <w:rFonts w:ascii="Arial" w:hAnsi="Arial" w:cs="Arial"/>
                <w:color w:val="202124"/>
                <w:lang w:val="sr-Cyrl-BA"/>
              </w:rPr>
              <w:t>с</w:t>
            </w:r>
            <w:r>
              <w:rPr>
                <w:rFonts w:ascii="Arial" w:hAnsi="Arial" w:cs="Arial"/>
                <w:color w:val="202124"/>
                <w:lang w:val="sr-Cyrl-BA"/>
              </w:rPr>
              <w:t>а</w:t>
            </w:r>
            <w:r w:rsidR="00847B04" w:rsidRPr="00F6340E">
              <w:rPr>
                <w:rFonts w:ascii="Arial" w:hAnsi="Arial" w:cs="Arial"/>
                <w:color w:val="202124"/>
                <w:lang w:val="sr-Cyrl-BA"/>
              </w:rPr>
              <w:t xml:space="preserve"> </w:t>
            </w:r>
            <w:r>
              <w:rPr>
                <w:rFonts w:ascii="Arial" w:hAnsi="Arial" w:cs="Arial"/>
                <w:color w:val="202124"/>
                <w:lang w:val="sr-Cyrl-BA"/>
              </w:rPr>
              <w:t>ка</w:t>
            </w:r>
            <w:r w:rsidR="0071360A">
              <w:rPr>
                <w:rFonts w:ascii="Arial" w:hAnsi="Arial" w:cs="Arial"/>
                <w:color w:val="202124"/>
                <w:lang w:val="sr-Cyrl-BA"/>
              </w:rPr>
              <w:t>р</w:t>
            </w:r>
            <w:r>
              <w:rPr>
                <w:rFonts w:ascii="Arial" w:hAnsi="Arial" w:cs="Arial"/>
                <w:color w:val="202124"/>
                <w:lang w:val="sr-Cyrl-BA"/>
              </w:rPr>
              <w:t>ак</w:t>
            </w:r>
            <w:r w:rsidR="0071360A">
              <w:rPr>
                <w:rFonts w:ascii="Arial" w:hAnsi="Arial" w:cs="Arial"/>
                <w:color w:val="202124"/>
                <w:lang w:val="sr-Cyrl-BA"/>
              </w:rPr>
              <w:t>т</w:t>
            </w:r>
            <w:r w:rsidR="00EE6AA2">
              <w:rPr>
                <w:rFonts w:ascii="Arial" w:hAnsi="Arial" w:cs="Arial"/>
                <w:color w:val="202124"/>
                <w:lang w:val="sr-Cyrl-BA"/>
              </w:rPr>
              <w:t>е</w:t>
            </w:r>
            <w:r w:rsidR="0071360A">
              <w:rPr>
                <w:rFonts w:ascii="Arial" w:hAnsi="Arial" w:cs="Arial"/>
                <w:color w:val="202124"/>
                <w:lang w:val="sr-Cyrl-BA"/>
              </w:rPr>
              <w:t>р</w:t>
            </w:r>
            <w:r>
              <w:rPr>
                <w:rFonts w:ascii="Arial" w:hAnsi="Arial" w:cs="Arial"/>
                <w:color w:val="202124"/>
                <w:lang w:val="sr-Cyrl-BA"/>
              </w:rPr>
              <w:t>и</w:t>
            </w:r>
            <w:r w:rsidR="0071360A">
              <w:rPr>
                <w:rFonts w:ascii="Arial" w:hAnsi="Arial" w:cs="Arial"/>
                <w:color w:val="202124"/>
                <w:lang w:val="sr-Cyrl-BA"/>
              </w:rPr>
              <w:t>ст</w:t>
            </w:r>
            <w:r>
              <w:rPr>
                <w:rFonts w:ascii="Arial" w:hAnsi="Arial" w:cs="Arial"/>
                <w:color w:val="202124"/>
                <w:lang w:val="sr-Cyrl-BA"/>
              </w:rPr>
              <w:t>икама</w:t>
            </w:r>
            <w:r w:rsidR="00847B04" w:rsidRPr="00F6340E">
              <w:rPr>
                <w:rFonts w:ascii="Arial" w:hAnsi="Arial" w:cs="Arial"/>
                <w:color w:val="202124"/>
                <w:lang w:val="sr-Cyrl-BA"/>
              </w:rPr>
              <w:t xml:space="preserve"> </w:t>
            </w:r>
            <w:r w:rsidR="0071360A">
              <w:rPr>
                <w:rFonts w:ascii="Arial" w:hAnsi="Arial" w:cs="Arial"/>
                <w:color w:val="202124"/>
                <w:lang w:val="sr-Cyrl-BA"/>
              </w:rPr>
              <w:t>п</w:t>
            </w:r>
            <w:r w:rsidR="00EE6AA2">
              <w:rPr>
                <w:rFonts w:ascii="Arial" w:hAnsi="Arial" w:cs="Arial"/>
                <w:color w:val="202124"/>
                <w:lang w:val="sr-Cyrl-BA"/>
              </w:rPr>
              <w:t>е</w:t>
            </w:r>
            <w:r w:rsidR="0071360A">
              <w:rPr>
                <w:rFonts w:ascii="Arial" w:hAnsi="Arial" w:cs="Arial"/>
                <w:color w:val="202124"/>
                <w:lang w:val="sr-Cyrl-BA"/>
              </w:rPr>
              <w:t>рс</w:t>
            </w:r>
            <w:r>
              <w:rPr>
                <w:rFonts w:ascii="Arial" w:hAnsi="Arial" w:cs="Arial"/>
                <w:color w:val="202124"/>
                <w:lang w:val="sr-Cyrl-BA"/>
              </w:rPr>
              <w:t>онали</w:t>
            </w:r>
            <w:r w:rsidR="00171F00">
              <w:rPr>
                <w:rFonts w:ascii="Arial" w:hAnsi="Arial" w:cs="Arial"/>
                <w:color w:val="202124"/>
                <w:lang w:val="sr-Cyrl-BA"/>
              </w:rPr>
              <w:t>з</w:t>
            </w:r>
            <w:r>
              <w:rPr>
                <w:rFonts w:ascii="Arial" w:hAnsi="Arial" w:cs="Arial"/>
                <w:color w:val="202124"/>
                <w:lang w:val="sr-Cyrl-BA"/>
              </w:rPr>
              <w:t>о</w:t>
            </w:r>
            <w:r w:rsidR="0071360A">
              <w:rPr>
                <w:rFonts w:ascii="Arial" w:hAnsi="Arial" w:cs="Arial"/>
                <w:color w:val="202124"/>
                <w:lang w:val="sr-Cyrl-BA"/>
              </w:rPr>
              <w:t>в</w:t>
            </w:r>
            <w:r>
              <w:rPr>
                <w:rFonts w:ascii="Arial" w:hAnsi="Arial" w:cs="Arial"/>
                <w:color w:val="202124"/>
                <w:lang w:val="sr-Cyrl-BA"/>
              </w:rPr>
              <w:t>аног</w:t>
            </w:r>
            <w:r w:rsidR="00847B04" w:rsidRPr="00F6340E">
              <w:rPr>
                <w:rFonts w:ascii="Arial" w:hAnsi="Arial" w:cs="Arial"/>
                <w:color w:val="202124"/>
                <w:lang w:val="sr-Cyrl-BA"/>
              </w:rPr>
              <w:t xml:space="preserve"> </w:t>
            </w:r>
            <w:r w:rsidR="0071360A">
              <w:rPr>
                <w:rFonts w:ascii="Arial" w:hAnsi="Arial" w:cs="Arial"/>
                <w:color w:val="202124"/>
                <w:lang w:val="sr-Cyrl-BA"/>
              </w:rPr>
              <w:t>у</w:t>
            </w:r>
            <w:r>
              <w:rPr>
                <w:rFonts w:ascii="Arial" w:hAnsi="Arial" w:cs="Arial"/>
                <w:color w:val="202124"/>
                <w:lang w:val="sr-Cyrl-BA"/>
              </w:rPr>
              <w:t>ч</w:t>
            </w:r>
            <w:r w:rsidR="00EE6AA2">
              <w:rPr>
                <w:rFonts w:ascii="Arial" w:hAnsi="Arial" w:cs="Arial"/>
                <w:color w:val="202124"/>
                <w:lang w:val="sr-Cyrl-BA"/>
              </w:rPr>
              <w:t>е</w:t>
            </w:r>
            <w:r>
              <w:rPr>
                <w:rFonts w:ascii="Arial" w:hAnsi="Arial" w:cs="Arial"/>
                <w:color w:val="202124"/>
                <w:lang w:val="sr-Cyrl-BA"/>
              </w:rPr>
              <w:t>ња</w:t>
            </w:r>
            <w:r w:rsidR="00847B04" w:rsidRPr="00F6340E">
              <w:rPr>
                <w:rFonts w:ascii="Arial" w:hAnsi="Arial" w:cs="Arial"/>
                <w:color w:val="202124"/>
                <w:lang w:val="sr-Cyrl-BA"/>
              </w:rPr>
              <w:t xml:space="preserve"> </w:t>
            </w:r>
            <w:r w:rsidR="0071360A">
              <w:rPr>
                <w:rFonts w:ascii="Arial" w:hAnsi="Arial" w:cs="Arial"/>
                <w:color w:val="202124"/>
                <w:lang w:val="sr-Cyrl-BA"/>
              </w:rPr>
              <w:t>у</w:t>
            </w:r>
            <w:r w:rsidR="00847B04" w:rsidRPr="00F6340E">
              <w:rPr>
                <w:rFonts w:ascii="Arial" w:hAnsi="Arial" w:cs="Arial"/>
                <w:color w:val="202124"/>
                <w:lang w:val="sr-Cyrl-BA"/>
              </w:rPr>
              <w:t xml:space="preserve"> </w:t>
            </w:r>
            <w:r>
              <w:rPr>
                <w:rFonts w:ascii="Arial" w:hAnsi="Arial" w:cs="Arial"/>
                <w:color w:val="202124"/>
                <w:lang w:val="sr-Cyrl-BA"/>
              </w:rPr>
              <w:t>инкл</w:t>
            </w:r>
            <w:r w:rsidR="0071360A">
              <w:rPr>
                <w:rFonts w:ascii="Arial" w:hAnsi="Arial" w:cs="Arial"/>
                <w:color w:val="202124"/>
                <w:lang w:val="sr-Cyrl-BA"/>
              </w:rPr>
              <w:t>у</w:t>
            </w:r>
            <w:r w:rsidR="00171F00">
              <w:rPr>
                <w:rFonts w:ascii="Arial" w:hAnsi="Arial" w:cs="Arial"/>
                <w:color w:val="202124"/>
                <w:lang w:val="sr-Cyrl-BA"/>
              </w:rPr>
              <w:t>з</w:t>
            </w:r>
            <w:r>
              <w:rPr>
                <w:rFonts w:ascii="Arial" w:hAnsi="Arial" w:cs="Arial"/>
                <w:color w:val="202124"/>
                <w:lang w:val="sr-Cyrl-BA"/>
              </w:rPr>
              <w:t>и</w:t>
            </w:r>
            <w:r w:rsidR="0071360A">
              <w:rPr>
                <w:rFonts w:ascii="Arial" w:hAnsi="Arial" w:cs="Arial"/>
                <w:color w:val="202124"/>
                <w:lang w:val="sr-Cyrl-BA"/>
              </w:rPr>
              <w:t>в</w:t>
            </w:r>
            <w:r>
              <w:rPr>
                <w:rFonts w:ascii="Arial" w:hAnsi="Arial" w:cs="Arial"/>
                <w:color w:val="202124"/>
                <w:lang w:val="sr-Cyrl-BA"/>
              </w:rPr>
              <w:t>ним</w:t>
            </w:r>
            <w:r w:rsidR="00847B04" w:rsidRPr="00F6340E">
              <w:rPr>
                <w:rFonts w:ascii="Arial" w:hAnsi="Arial" w:cs="Arial"/>
                <w:color w:val="202124"/>
                <w:lang w:val="sr-Cyrl-BA"/>
              </w:rPr>
              <w:t xml:space="preserve"> </w:t>
            </w:r>
            <w:r>
              <w:rPr>
                <w:rFonts w:ascii="Arial" w:hAnsi="Arial" w:cs="Arial"/>
                <w:color w:val="202124"/>
                <w:lang w:val="sr-Cyrl-BA"/>
              </w:rPr>
              <w:t>ок</w:t>
            </w:r>
            <w:r w:rsidR="0071360A">
              <w:rPr>
                <w:rFonts w:ascii="Arial" w:hAnsi="Arial" w:cs="Arial"/>
                <w:color w:val="202124"/>
                <w:lang w:val="sr-Cyrl-BA"/>
              </w:rPr>
              <w:t>ру</w:t>
            </w:r>
            <w:r w:rsidR="00171F00">
              <w:rPr>
                <w:rFonts w:ascii="Arial" w:hAnsi="Arial" w:cs="Arial"/>
                <w:color w:val="202124"/>
                <w:lang w:val="sr-Cyrl-BA"/>
              </w:rPr>
              <w:t>ж</w:t>
            </w:r>
            <w:r w:rsidR="00EE6AA2">
              <w:rPr>
                <w:rFonts w:ascii="Arial" w:hAnsi="Arial" w:cs="Arial"/>
                <w:color w:val="202124"/>
                <w:lang w:val="sr-Cyrl-BA"/>
              </w:rPr>
              <w:t>е</w:t>
            </w:r>
            <w:r>
              <w:rPr>
                <w:rFonts w:ascii="Arial" w:hAnsi="Arial" w:cs="Arial"/>
                <w:color w:val="202124"/>
                <w:lang w:val="sr-Cyrl-BA"/>
              </w:rPr>
              <w:t>њима</w:t>
            </w:r>
            <w:r w:rsidR="00847B04" w:rsidRPr="00F6340E">
              <w:rPr>
                <w:rFonts w:ascii="Arial" w:hAnsi="Arial" w:cs="Arial"/>
                <w:color w:val="202124"/>
                <w:lang w:val="sr-Cyrl-BA"/>
              </w:rPr>
              <w:t>.</w:t>
            </w:r>
          </w:p>
        </w:tc>
      </w:tr>
    </w:tbl>
    <w:p w14:paraId="4A14DFB5" w14:textId="64E0B250" w:rsidR="00971865" w:rsidRPr="005746C7" w:rsidRDefault="0071360A" w:rsidP="005746C7">
      <w:pPr>
        <w:pStyle w:val="Heading3"/>
        <w:numPr>
          <w:ilvl w:val="2"/>
          <w:numId w:val="70"/>
        </w:numPr>
        <w:rPr>
          <w:lang w:val="sr-Cyrl-BA"/>
        </w:rPr>
      </w:pPr>
      <w:bookmarkStart w:id="37" w:name="_Toc119050319"/>
      <w:r>
        <w:rPr>
          <w:lang w:val="sr-Cyrl-BA"/>
        </w:rPr>
        <w:t>Пр</w:t>
      </w:r>
      <w:r w:rsidR="00A56E08">
        <w:rPr>
          <w:lang w:val="sr-Cyrl-BA"/>
        </w:rPr>
        <w:t>имј</w:t>
      </w:r>
      <w:r w:rsidR="00EE6AA2">
        <w:rPr>
          <w:lang w:val="sr-Cyrl-BA"/>
        </w:rPr>
        <w:t>е</w:t>
      </w:r>
      <w:r w:rsidR="00A56E08">
        <w:rPr>
          <w:lang w:val="sr-Cyrl-BA"/>
        </w:rPr>
        <w:t>на</w:t>
      </w:r>
      <w:r w:rsidR="00847B04" w:rsidRPr="00F6340E">
        <w:rPr>
          <w:lang w:val="sr-Cyrl-BA"/>
        </w:rPr>
        <w:t xml:space="preserve"> </w:t>
      </w:r>
      <w:r w:rsidR="00171F00">
        <w:rPr>
          <w:lang w:val="sr-Cyrl-BA"/>
        </w:rPr>
        <w:t>з</w:t>
      </w:r>
      <w:r w:rsidR="00A56E08">
        <w:rPr>
          <w:lang w:val="sr-Cyrl-BA"/>
        </w:rPr>
        <w:t>нања</w:t>
      </w:r>
      <w:r w:rsidR="00847B04" w:rsidRPr="00F6340E">
        <w:rPr>
          <w:lang w:val="sr-Cyrl-BA"/>
        </w:rPr>
        <w:t xml:space="preserve"> – </w:t>
      </w:r>
      <w:r w:rsidR="00A56E08">
        <w:rPr>
          <w:lang w:val="sr-Cyrl-BA"/>
        </w:rPr>
        <w:t>Ком</w:t>
      </w:r>
      <w:r>
        <w:rPr>
          <w:lang w:val="sr-Cyrl-BA"/>
        </w:rPr>
        <w:t>п</w:t>
      </w:r>
      <w:r w:rsidR="00EE6AA2">
        <w:rPr>
          <w:lang w:val="sr-Cyrl-BA"/>
        </w:rPr>
        <w:t>е</w:t>
      </w:r>
      <w:r>
        <w:rPr>
          <w:lang w:val="sr-Cyrl-BA"/>
        </w:rPr>
        <w:t>т</w:t>
      </w:r>
      <w:r w:rsidR="00EE6AA2">
        <w:rPr>
          <w:lang w:val="sr-Cyrl-BA"/>
        </w:rPr>
        <w:t>е</w:t>
      </w:r>
      <w:r w:rsidR="00A56E08">
        <w:rPr>
          <w:lang w:val="sr-Cyrl-BA"/>
        </w:rPr>
        <w:t>нциј</w:t>
      </w:r>
      <w:r w:rsidR="00EE6AA2">
        <w:rPr>
          <w:lang w:val="sr-Cyrl-BA"/>
        </w:rPr>
        <w:t>е</w:t>
      </w:r>
      <w:r w:rsidR="00847B04" w:rsidRPr="00F6340E">
        <w:rPr>
          <w:lang w:val="sr-Cyrl-BA"/>
        </w:rPr>
        <w:t xml:space="preserve"> </w:t>
      </w:r>
      <w:r>
        <w:rPr>
          <w:lang w:val="sr-Cyrl-BA"/>
        </w:rPr>
        <w:t>у</w:t>
      </w:r>
      <w:r w:rsidR="00A56E08">
        <w:rPr>
          <w:lang w:val="sr-Cyrl-BA"/>
        </w:rPr>
        <w:t>ч</w:t>
      </w:r>
      <w:r w:rsidR="00EE6AA2">
        <w:rPr>
          <w:lang w:val="sr-Cyrl-BA"/>
        </w:rPr>
        <w:t>е</w:t>
      </w:r>
      <w:r w:rsidR="00A56E08">
        <w:rPr>
          <w:lang w:val="sr-Cyrl-BA"/>
        </w:rPr>
        <w:t>ника</w:t>
      </w:r>
      <w:r w:rsidR="00847B04" w:rsidRPr="00F6340E">
        <w:rPr>
          <w:lang w:val="sr-Cyrl-BA"/>
        </w:rPr>
        <w:t>/</w:t>
      </w:r>
      <w:r>
        <w:rPr>
          <w:lang w:val="sr-Cyrl-BA"/>
        </w:rPr>
        <w:t>сту</w:t>
      </w:r>
      <w:r w:rsidR="00A56E08">
        <w:rPr>
          <w:lang w:val="sr-Cyrl-BA"/>
        </w:rPr>
        <w:t>д</w:t>
      </w:r>
      <w:r w:rsidR="00EE6AA2">
        <w:rPr>
          <w:lang w:val="sr-Cyrl-BA"/>
        </w:rPr>
        <w:t>е</w:t>
      </w:r>
      <w:r w:rsidR="00A56E08">
        <w:rPr>
          <w:lang w:val="sr-Cyrl-BA"/>
        </w:rPr>
        <w:t>н</w:t>
      </w:r>
      <w:r>
        <w:rPr>
          <w:lang w:val="sr-Cyrl-BA"/>
        </w:rPr>
        <w:t>т</w:t>
      </w:r>
      <w:r w:rsidR="00A56E08">
        <w:rPr>
          <w:lang w:val="sr-Cyrl-BA"/>
        </w:rPr>
        <w:t>а</w:t>
      </w:r>
      <w:bookmarkEnd w:id="37"/>
    </w:p>
    <w:tbl>
      <w:tblPr>
        <w:tblStyle w:val="TableGrid"/>
        <w:tblpPr w:leftFromText="180" w:rightFromText="180" w:vertAnchor="text" w:horzAnchor="page" w:tblpX="1602" w:tblpY="48"/>
        <w:tblW w:w="9014" w:type="dxa"/>
        <w:tblCellMar>
          <w:top w:w="113" w:type="dxa"/>
          <w:bottom w:w="113" w:type="dxa"/>
        </w:tblCellMar>
        <w:tblLook w:val="04A0" w:firstRow="1" w:lastRow="0" w:firstColumn="1" w:lastColumn="0" w:noHBand="0" w:noVBand="1"/>
      </w:tblPr>
      <w:tblGrid>
        <w:gridCol w:w="9014"/>
      </w:tblGrid>
      <w:tr w:rsidR="00655BE9" w:rsidRPr="00F6340E" w14:paraId="0721C96A" w14:textId="77777777" w:rsidTr="005746C7">
        <w:trPr>
          <w:trHeight w:val="454"/>
        </w:trPr>
        <w:tc>
          <w:tcPr>
            <w:tcW w:w="9014" w:type="dxa"/>
            <w:tcBorders>
              <w:bottom w:val="single" w:sz="4" w:space="0" w:color="000000"/>
            </w:tcBorders>
            <w:shd w:val="clear" w:color="auto" w:fill="00B0F0"/>
            <w:vAlign w:val="center"/>
          </w:tcPr>
          <w:p w14:paraId="1D815EE2" w14:textId="5A679797" w:rsidR="00655BE9" w:rsidRPr="005746C7" w:rsidRDefault="0071360A" w:rsidP="005746C7">
            <w:pPr>
              <w:spacing w:line="276" w:lineRule="auto"/>
              <w:jc w:val="center"/>
              <w:rPr>
                <w:rFonts w:ascii="Arial" w:hAnsi="Arial" w:cs="Arial"/>
                <w:b/>
                <w:color w:val="000000" w:themeColor="text1"/>
                <w:lang w:val="sr-Cyrl-BA"/>
              </w:rPr>
            </w:pPr>
            <w:r w:rsidRPr="005746C7">
              <w:rPr>
                <w:rFonts w:ascii="Arial" w:hAnsi="Arial" w:cs="Arial"/>
                <w:b/>
                <w:color w:val="000000" w:themeColor="text1"/>
                <w:lang w:val="sr-Cyrl-BA"/>
              </w:rPr>
              <w:t>У</w:t>
            </w:r>
            <w:r w:rsidR="00A56E08" w:rsidRPr="005746C7">
              <w:rPr>
                <w:rFonts w:ascii="Arial" w:hAnsi="Arial" w:cs="Arial"/>
                <w:b/>
                <w:color w:val="000000" w:themeColor="text1"/>
                <w:lang w:val="sr-Cyrl-BA"/>
              </w:rPr>
              <w:t>на</w:t>
            </w:r>
            <w:r w:rsidRPr="005746C7">
              <w:rPr>
                <w:rFonts w:ascii="Arial" w:hAnsi="Arial" w:cs="Arial"/>
                <w:b/>
                <w:color w:val="000000" w:themeColor="text1"/>
                <w:lang w:val="sr-Cyrl-BA"/>
              </w:rPr>
              <w:t>пр</w:t>
            </w:r>
            <w:r w:rsidR="00A56E08" w:rsidRPr="005746C7">
              <w:rPr>
                <w:rFonts w:ascii="Arial" w:hAnsi="Arial" w:cs="Arial"/>
                <w:b/>
                <w:color w:val="000000" w:themeColor="text1"/>
                <w:lang w:val="sr-Cyrl-BA"/>
              </w:rPr>
              <w:t>ј</w:t>
            </w:r>
            <w:r w:rsidR="00EE6AA2" w:rsidRPr="005746C7">
              <w:rPr>
                <w:rFonts w:ascii="Arial" w:hAnsi="Arial" w:cs="Arial"/>
                <w:b/>
                <w:color w:val="000000" w:themeColor="text1"/>
                <w:lang w:val="sr-Cyrl-BA"/>
              </w:rPr>
              <w:t>е</w:t>
            </w:r>
            <w:r w:rsidR="00A56E08" w:rsidRPr="005746C7">
              <w:rPr>
                <w:rFonts w:ascii="Arial" w:hAnsi="Arial" w:cs="Arial"/>
                <w:b/>
                <w:color w:val="000000" w:themeColor="text1"/>
                <w:lang w:val="sr-Cyrl-BA"/>
              </w:rPr>
              <w:t>ђ</w:t>
            </w:r>
            <w:r w:rsidR="00EE6AA2" w:rsidRPr="005746C7">
              <w:rPr>
                <w:rFonts w:ascii="Arial" w:hAnsi="Arial" w:cs="Arial"/>
                <w:b/>
                <w:color w:val="000000" w:themeColor="text1"/>
                <w:lang w:val="sr-Cyrl-BA"/>
              </w:rPr>
              <w:t>е</w:t>
            </w:r>
            <w:r w:rsidR="00A56E08" w:rsidRPr="005746C7">
              <w:rPr>
                <w:rFonts w:ascii="Arial" w:hAnsi="Arial" w:cs="Arial"/>
                <w:b/>
                <w:color w:val="000000" w:themeColor="text1"/>
                <w:lang w:val="sr-Cyrl-BA"/>
              </w:rPr>
              <w:t>ња</w:t>
            </w:r>
            <w:r w:rsidR="00655BE9"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р</w:t>
            </w:r>
            <w:r w:rsidR="00A56E08" w:rsidRPr="005746C7">
              <w:rPr>
                <w:rFonts w:ascii="Arial" w:hAnsi="Arial" w:cs="Arial"/>
                <w:b/>
                <w:color w:val="000000" w:themeColor="text1"/>
                <w:lang w:val="sr-Cyrl-BA"/>
              </w:rPr>
              <w:t>а</w:t>
            </w:r>
            <w:r w:rsidR="00171F00" w:rsidRPr="005746C7">
              <w:rPr>
                <w:rFonts w:ascii="Arial" w:hAnsi="Arial" w:cs="Arial"/>
                <w:b/>
                <w:color w:val="000000" w:themeColor="text1"/>
                <w:lang w:val="sr-Cyrl-BA"/>
              </w:rPr>
              <w:t>з</w:t>
            </w:r>
            <w:r w:rsidRPr="005746C7">
              <w:rPr>
                <w:rFonts w:ascii="Arial" w:hAnsi="Arial" w:cs="Arial"/>
                <w:b/>
                <w:color w:val="000000" w:themeColor="text1"/>
                <w:lang w:val="sr-Cyrl-BA"/>
              </w:rPr>
              <w:t>в</w:t>
            </w:r>
            <w:r w:rsidR="00A56E08" w:rsidRPr="005746C7">
              <w:rPr>
                <w:rFonts w:ascii="Arial" w:hAnsi="Arial" w:cs="Arial"/>
                <w:b/>
                <w:color w:val="000000" w:themeColor="text1"/>
                <w:lang w:val="sr-Cyrl-BA"/>
              </w:rPr>
              <w:t>оја</w:t>
            </w:r>
            <w:r w:rsidR="00655BE9" w:rsidRPr="005746C7">
              <w:rPr>
                <w:rFonts w:ascii="Arial" w:hAnsi="Arial" w:cs="Arial"/>
                <w:b/>
                <w:color w:val="000000" w:themeColor="text1"/>
                <w:lang w:val="sr-Cyrl-BA"/>
              </w:rPr>
              <w:t xml:space="preserve"> </w:t>
            </w:r>
            <w:r w:rsidR="00A56E08" w:rsidRPr="005746C7">
              <w:rPr>
                <w:rFonts w:ascii="Arial" w:hAnsi="Arial" w:cs="Arial"/>
                <w:b/>
                <w:color w:val="000000" w:themeColor="text1"/>
                <w:lang w:val="sr-Cyrl-BA"/>
              </w:rPr>
              <w:t>диги</w:t>
            </w:r>
            <w:r w:rsidRPr="005746C7">
              <w:rPr>
                <w:rFonts w:ascii="Arial" w:hAnsi="Arial" w:cs="Arial"/>
                <w:b/>
                <w:color w:val="000000" w:themeColor="text1"/>
                <w:lang w:val="sr-Cyrl-BA"/>
              </w:rPr>
              <w:t>т</w:t>
            </w:r>
            <w:r w:rsidR="00A56E08" w:rsidRPr="005746C7">
              <w:rPr>
                <w:rFonts w:ascii="Arial" w:hAnsi="Arial" w:cs="Arial"/>
                <w:b/>
                <w:color w:val="000000" w:themeColor="text1"/>
                <w:lang w:val="sr-Cyrl-BA"/>
              </w:rPr>
              <w:t>алних</w:t>
            </w:r>
            <w:r w:rsidR="00655BE9" w:rsidRPr="005746C7">
              <w:rPr>
                <w:rFonts w:ascii="Arial" w:hAnsi="Arial" w:cs="Arial"/>
                <w:b/>
                <w:color w:val="000000" w:themeColor="text1"/>
                <w:lang w:val="sr-Cyrl-BA"/>
              </w:rPr>
              <w:t xml:space="preserve"> </w:t>
            </w:r>
            <w:r w:rsidR="00A56E08" w:rsidRPr="005746C7">
              <w:rPr>
                <w:rFonts w:ascii="Arial" w:hAnsi="Arial" w:cs="Arial"/>
                <w:b/>
                <w:color w:val="000000" w:themeColor="text1"/>
                <w:lang w:val="sr-Cyrl-BA"/>
              </w:rPr>
              <w:t>ком</w:t>
            </w:r>
            <w:r w:rsidRPr="005746C7">
              <w:rPr>
                <w:rFonts w:ascii="Arial" w:hAnsi="Arial" w:cs="Arial"/>
                <w:b/>
                <w:color w:val="000000" w:themeColor="text1"/>
                <w:lang w:val="sr-Cyrl-BA"/>
              </w:rPr>
              <w:t>п</w:t>
            </w:r>
            <w:r w:rsidR="00EE6AA2" w:rsidRPr="005746C7">
              <w:rPr>
                <w:rFonts w:ascii="Arial" w:hAnsi="Arial" w:cs="Arial"/>
                <w:b/>
                <w:color w:val="000000" w:themeColor="text1"/>
                <w:lang w:val="sr-Cyrl-BA"/>
              </w:rPr>
              <w:t>е</w:t>
            </w:r>
            <w:r w:rsidRPr="005746C7">
              <w:rPr>
                <w:rFonts w:ascii="Arial" w:hAnsi="Arial" w:cs="Arial"/>
                <w:b/>
                <w:color w:val="000000" w:themeColor="text1"/>
                <w:lang w:val="sr-Cyrl-BA"/>
              </w:rPr>
              <w:t>т</w:t>
            </w:r>
            <w:r w:rsidR="00EE6AA2" w:rsidRPr="005746C7">
              <w:rPr>
                <w:rFonts w:ascii="Arial" w:hAnsi="Arial" w:cs="Arial"/>
                <w:b/>
                <w:color w:val="000000" w:themeColor="text1"/>
                <w:lang w:val="sr-Cyrl-BA"/>
              </w:rPr>
              <w:t>е</w:t>
            </w:r>
            <w:r w:rsidR="00A56E08" w:rsidRPr="005746C7">
              <w:rPr>
                <w:rFonts w:ascii="Arial" w:hAnsi="Arial" w:cs="Arial"/>
                <w:b/>
                <w:color w:val="000000" w:themeColor="text1"/>
                <w:lang w:val="sr-Cyrl-BA"/>
              </w:rPr>
              <w:t>нција</w:t>
            </w:r>
            <w:r w:rsidR="00655BE9"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у</w:t>
            </w:r>
            <w:r w:rsidR="00A56E08" w:rsidRPr="005746C7">
              <w:rPr>
                <w:rFonts w:ascii="Arial" w:hAnsi="Arial" w:cs="Arial"/>
                <w:b/>
                <w:color w:val="000000" w:themeColor="text1"/>
                <w:lang w:val="sr-Cyrl-BA"/>
              </w:rPr>
              <w:t>ч</w:t>
            </w:r>
            <w:r w:rsidR="00EE6AA2" w:rsidRPr="005746C7">
              <w:rPr>
                <w:rFonts w:ascii="Arial" w:hAnsi="Arial" w:cs="Arial"/>
                <w:b/>
                <w:color w:val="000000" w:themeColor="text1"/>
                <w:lang w:val="sr-Cyrl-BA"/>
              </w:rPr>
              <w:t>е</w:t>
            </w:r>
            <w:r w:rsidR="00A56E08" w:rsidRPr="005746C7">
              <w:rPr>
                <w:rFonts w:ascii="Arial" w:hAnsi="Arial" w:cs="Arial"/>
                <w:b/>
                <w:color w:val="000000" w:themeColor="text1"/>
                <w:lang w:val="sr-Cyrl-BA"/>
              </w:rPr>
              <w:t>ника</w:t>
            </w:r>
            <w:r w:rsidR="00655BE9" w:rsidRPr="005746C7">
              <w:rPr>
                <w:rFonts w:ascii="Arial" w:hAnsi="Arial" w:cs="Arial"/>
                <w:b/>
                <w:color w:val="000000" w:themeColor="text1"/>
                <w:lang w:val="sr-Cyrl-BA"/>
              </w:rPr>
              <w:t>/</w:t>
            </w:r>
            <w:r w:rsidRPr="005746C7">
              <w:rPr>
                <w:rFonts w:ascii="Arial" w:hAnsi="Arial" w:cs="Arial"/>
                <w:b/>
                <w:color w:val="000000" w:themeColor="text1"/>
                <w:lang w:val="sr-Cyrl-BA"/>
              </w:rPr>
              <w:t>сту</w:t>
            </w:r>
            <w:r w:rsidR="00A56E08" w:rsidRPr="005746C7">
              <w:rPr>
                <w:rFonts w:ascii="Arial" w:hAnsi="Arial" w:cs="Arial"/>
                <w:b/>
                <w:color w:val="000000" w:themeColor="text1"/>
                <w:lang w:val="sr-Cyrl-BA"/>
              </w:rPr>
              <w:t>д</w:t>
            </w:r>
            <w:r w:rsidR="00EE6AA2" w:rsidRPr="005746C7">
              <w:rPr>
                <w:rFonts w:ascii="Arial" w:hAnsi="Arial" w:cs="Arial"/>
                <w:b/>
                <w:color w:val="000000" w:themeColor="text1"/>
                <w:lang w:val="sr-Cyrl-BA"/>
              </w:rPr>
              <w:t>е</w:t>
            </w:r>
            <w:r w:rsidR="00A56E08" w:rsidRPr="005746C7">
              <w:rPr>
                <w:rFonts w:ascii="Arial" w:hAnsi="Arial" w:cs="Arial"/>
                <w:b/>
                <w:color w:val="000000" w:themeColor="text1"/>
                <w:lang w:val="sr-Cyrl-BA"/>
              </w:rPr>
              <w:t>н</w:t>
            </w:r>
            <w:r w:rsidRPr="005746C7">
              <w:rPr>
                <w:rFonts w:ascii="Arial" w:hAnsi="Arial" w:cs="Arial"/>
                <w:b/>
                <w:color w:val="000000" w:themeColor="text1"/>
                <w:lang w:val="sr-Cyrl-BA"/>
              </w:rPr>
              <w:t>т</w:t>
            </w:r>
            <w:r w:rsidR="00A56E08" w:rsidRPr="005746C7">
              <w:rPr>
                <w:rFonts w:ascii="Arial" w:hAnsi="Arial" w:cs="Arial"/>
                <w:b/>
                <w:color w:val="000000" w:themeColor="text1"/>
                <w:lang w:val="sr-Cyrl-BA"/>
              </w:rPr>
              <w:t>а</w:t>
            </w:r>
          </w:p>
        </w:tc>
      </w:tr>
      <w:tr w:rsidR="00655BE9" w:rsidRPr="00F6340E" w14:paraId="640DCCC0" w14:textId="77777777" w:rsidTr="005746C7">
        <w:trPr>
          <w:trHeight w:val="2548"/>
        </w:trPr>
        <w:tc>
          <w:tcPr>
            <w:tcW w:w="9014" w:type="dxa"/>
            <w:tcBorders>
              <w:top w:val="single" w:sz="4" w:space="0" w:color="000000"/>
            </w:tcBorders>
            <w:shd w:val="clear" w:color="auto" w:fill="E3F4F9"/>
          </w:tcPr>
          <w:p w14:paraId="36389BA9" w14:textId="1330C259" w:rsidR="00655BE9"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34B8660E" w14:textId="1DC498BC" w:rsidR="00655BE9" w:rsidRPr="00F6340E" w:rsidRDefault="0071360A" w:rsidP="005746C7">
            <w:pPr>
              <w:pStyle w:val="HTMLPreformatted"/>
              <w:numPr>
                <w:ilvl w:val="0"/>
                <w:numId w:val="27"/>
              </w:numPr>
              <w:spacing w:line="276" w:lineRule="auto"/>
              <w:rPr>
                <w:rStyle w:val="y2iqfc"/>
                <w:rFonts w:ascii="Arial" w:hAnsi="Arial" w:cs="Arial"/>
                <w:color w:val="000000" w:themeColor="text1"/>
                <w:sz w:val="24"/>
                <w:szCs w:val="24"/>
                <w:lang w:val="sr-Cyrl-BA"/>
              </w:rPr>
            </w:pP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кљ</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чи</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ак</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и</w:t>
            </w:r>
            <w:r>
              <w:rPr>
                <w:rStyle w:val="y2iqfc"/>
                <w:rFonts w:ascii="Arial" w:hAnsi="Arial" w:cs="Arial"/>
                <w:color w:val="000000" w:themeColor="text1"/>
                <w:sz w:val="24"/>
                <w:szCs w:val="24"/>
                <w:lang w:val="sr-Cyrl-BA"/>
              </w:rPr>
              <w:t>в</w:t>
            </w:r>
            <w:r w:rsidR="00A56E08">
              <w:rPr>
                <w:rStyle w:val="y2iqfc"/>
                <w:rFonts w:ascii="Arial" w:hAnsi="Arial" w:cs="Arial"/>
                <w:color w:val="000000" w:themeColor="text1"/>
                <w:sz w:val="24"/>
                <w:szCs w:val="24"/>
                <w:lang w:val="sr-Cyrl-BA"/>
              </w:rPr>
              <w:t>но</w:t>
            </w:r>
            <w:r>
              <w:rPr>
                <w:rStyle w:val="y2iqfc"/>
                <w:rFonts w:ascii="Arial" w:hAnsi="Arial" w:cs="Arial"/>
                <w:color w:val="000000" w:themeColor="text1"/>
                <w:sz w:val="24"/>
                <w:szCs w:val="24"/>
                <w:lang w:val="sr-Cyrl-BA"/>
              </w:rPr>
              <w:t>ст</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ч</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ња</w:t>
            </w:r>
            <w:r w:rsidR="00655BE9" w:rsidRPr="00F6340E">
              <w:rPr>
                <w:rStyle w:val="y2iqfc"/>
                <w:rFonts w:ascii="Arial" w:hAnsi="Arial" w:cs="Arial"/>
                <w:color w:val="000000" w:themeColor="text1"/>
                <w:sz w:val="24"/>
                <w:szCs w:val="24"/>
                <w:lang w:val="sr-Cyrl-BA"/>
              </w:rPr>
              <w:t xml:space="preserve">, </w:t>
            </w:r>
            <w:r w:rsidR="00171F00">
              <w:rPr>
                <w:rStyle w:val="y2iqfc"/>
                <w:rFonts w:ascii="Arial" w:hAnsi="Arial" w:cs="Arial"/>
                <w:color w:val="000000" w:themeColor="text1"/>
                <w:sz w:val="24"/>
                <w:szCs w:val="24"/>
                <w:lang w:val="sr-Cyrl-BA"/>
              </w:rPr>
              <w:t>з</w:t>
            </w:r>
            <w:r w:rsidR="00A56E08">
              <w:rPr>
                <w:rStyle w:val="y2iqfc"/>
                <w:rFonts w:ascii="Arial" w:hAnsi="Arial" w:cs="Arial"/>
                <w:color w:val="000000" w:themeColor="text1"/>
                <w:sz w:val="24"/>
                <w:szCs w:val="24"/>
                <w:lang w:val="sr-Cyrl-BA"/>
              </w:rPr>
              <w:t>ада</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к</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пр</w:t>
            </w:r>
            <w:r w:rsidR="00A56E08">
              <w:rPr>
                <w:rStyle w:val="y2iqfc"/>
                <w:rFonts w:ascii="Arial" w:hAnsi="Arial" w:cs="Arial"/>
                <w:color w:val="000000" w:themeColor="text1"/>
                <w:sz w:val="24"/>
                <w:szCs w:val="24"/>
                <w:lang w:val="sr-Cyrl-BA"/>
              </w:rPr>
              <w:t>оцј</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н</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кој</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п</w:t>
            </w:r>
            <w:r w:rsidR="00A56E08">
              <w:rPr>
                <w:rStyle w:val="y2iqfc"/>
                <w:rFonts w:ascii="Arial" w:hAnsi="Arial" w:cs="Arial"/>
                <w:color w:val="000000" w:themeColor="text1"/>
                <w:sz w:val="24"/>
                <w:szCs w:val="24"/>
                <w:lang w:val="sr-Cyrl-BA"/>
              </w:rPr>
              <w:t>о</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ич</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ч</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ник</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w:t>
            </w:r>
            <w:r>
              <w:rPr>
                <w:rStyle w:val="y2iqfc"/>
                <w:rFonts w:ascii="Arial" w:hAnsi="Arial" w:cs="Arial"/>
                <w:color w:val="000000" w:themeColor="text1"/>
                <w:sz w:val="24"/>
                <w:szCs w:val="24"/>
                <w:lang w:val="sr-Cyrl-BA"/>
              </w:rPr>
              <w:t>сту</w:t>
            </w:r>
            <w:r w:rsidR="00A56E08">
              <w:rPr>
                <w:rStyle w:val="y2iqfc"/>
                <w:rFonts w:ascii="Arial" w:hAnsi="Arial" w:cs="Arial"/>
                <w:color w:val="000000" w:themeColor="text1"/>
                <w:sz w:val="24"/>
                <w:szCs w:val="24"/>
                <w:lang w:val="sr-Cyrl-BA"/>
              </w:rPr>
              <w:t>д</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н</w:t>
            </w:r>
            <w:r>
              <w:rPr>
                <w:rStyle w:val="y2iqfc"/>
                <w:rFonts w:ascii="Arial" w:hAnsi="Arial" w:cs="Arial"/>
                <w:color w:val="000000" w:themeColor="text1"/>
                <w:sz w:val="24"/>
                <w:szCs w:val="24"/>
                <w:lang w:val="sr-Cyrl-BA"/>
              </w:rPr>
              <w:t>т</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да</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а</w:t>
            </w:r>
            <w:r>
              <w:rPr>
                <w:rStyle w:val="y2iqfc"/>
                <w:rFonts w:ascii="Arial" w:hAnsi="Arial" w:cs="Arial"/>
                <w:color w:val="000000" w:themeColor="text1"/>
                <w:sz w:val="24"/>
                <w:szCs w:val="24"/>
                <w:lang w:val="sr-Cyrl-BA"/>
              </w:rPr>
              <w:t>рт</w:t>
            </w:r>
            <w:r w:rsidR="00A56E08">
              <w:rPr>
                <w:rStyle w:val="y2iqfc"/>
                <w:rFonts w:ascii="Arial" w:hAnsi="Arial" w:cs="Arial"/>
                <w:color w:val="000000" w:themeColor="text1"/>
                <w:sz w:val="24"/>
                <w:szCs w:val="24"/>
                <w:lang w:val="sr-Cyrl-BA"/>
              </w:rPr>
              <w:t>ик</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ли</w:t>
            </w:r>
            <w:r>
              <w:rPr>
                <w:rStyle w:val="y2iqfc"/>
                <w:rFonts w:ascii="Arial" w:hAnsi="Arial" w:cs="Arial"/>
                <w:color w:val="000000" w:themeColor="text1"/>
                <w:sz w:val="24"/>
                <w:szCs w:val="24"/>
                <w:lang w:val="sr-Cyrl-BA"/>
              </w:rPr>
              <w:t>шу</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п</w:t>
            </w:r>
            <w:r w:rsidR="00A56E08">
              <w:rPr>
                <w:rStyle w:val="y2iqfc"/>
                <w:rFonts w:ascii="Arial" w:hAnsi="Arial" w:cs="Arial"/>
                <w:color w:val="000000" w:themeColor="text1"/>
                <w:sz w:val="24"/>
                <w:szCs w:val="24"/>
                <w:lang w:val="sr-Cyrl-BA"/>
              </w:rPr>
              <w:t>о</w:t>
            </w:r>
            <w:r>
              <w:rPr>
                <w:rStyle w:val="y2iqfc"/>
                <w:rFonts w:ascii="Arial" w:hAnsi="Arial" w:cs="Arial"/>
                <w:color w:val="000000" w:themeColor="text1"/>
                <w:sz w:val="24"/>
                <w:szCs w:val="24"/>
                <w:lang w:val="sr-Cyrl-BA"/>
              </w:rPr>
              <w:t>тр</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б</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ид</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н</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ифик</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ј</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р</w:t>
            </w:r>
            <w:r w:rsidR="00EE6AA2">
              <w:rPr>
                <w:rStyle w:val="y2iqfc"/>
                <w:rFonts w:ascii="Arial" w:hAnsi="Arial" w:cs="Arial"/>
                <w:color w:val="000000" w:themeColor="text1"/>
                <w:sz w:val="24"/>
                <w:szCs w:val="24"/>
                <w:lang w:val="sr-Cyrl-BA"/>
              </w:rPr>
              <w:t>е</w:t>
            </w:r>
            <w:r>
              <w:rPr>
                <w:rStyle w:val="y2iqfc"/>
                <w:rFonts w:ascii="Arial" w:hAnsi="Arial" w:cs="Arial"/>
                <w:color w:val="000000" w:themeColor="text1"/>
                <w:sz w:val="24"/>
                <w:szCs w:val="24"/>
                <w:lang w:val="sr-Cyrl-BA"/>
              </w:rPr>
              <w:t>сурс</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диги</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алном</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ок</w:t>
            </w:r>
            <w:r>
              <w:rPr>
                <w:rStyle w:val="y2iqfc"/>
                <w:rFonts w:ascii="Arial" w:hAnsi="Arial" w:cs="Arial"/>
                <w:color w:val="000000" w:themeColor="text1"/>
                <w:sz w:val="24"/>
                <w:szCs w:val="24"/>
                <w:lang w:val="sr-Cyrl-BA"/>
              </w:rPr>
              <w:t>ру</w:t>
            </w:r>
            <w:r w:rsidR="00171F00">
              <w:rPr>
                <w:rStyle w:val="y2iqfc"/>
                <w:rFonts w:ascii="Arial" w:hAnsi="Arial" w:cs="Arial"/>
                <w:color w:val="000000" w:themeColor="text1"/>
                <w:sz w:val="24"/>
                <w:szCs w:val="24"/>
                <w:lang w:val="sr-Cyrl-BA"/>
              </w:rPr>
              <w:t>ж</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њ</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као</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о</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гани</w:t>
            </w:r>
            <w:r w:rsidR="00171F00">
              <w:rPr>
                <w:rStyle w:val="y2iqfc"/>
                <w:rFonts w:ascii="Arial" w:hAnsi="Arial" w:cs="Arial"/>
                <w:color w:val="000000" w:themeColor="text1"/>
                <w:sz w:val="24"/>
                <w:szCs w:val="24"/>
                <w:lang w:val="sr-Cyrl-BA"/>
              </w:rPr>
              <w:t>з</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ј</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об</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ађ</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ј</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анали</w:t>
            </w:r>
            <w:r w:rsidR="00171F00">
              <w:rPr>
                <w:rStyle w:val="y2iqfc"/>
                <w:rFonts w:ascii="Arial" w:hAnsi="Arial" w:cs="Arial"/>
                <w:color w:val="000000" w:themeColor="text1"/>
                <w:sz w:val="24"/>
                <w:szCs w:val="24"/>
                <w:lang w:val="sr-Cyrl-BA"/>
              </w:rPr>
              <w:t>з</w:t>
            </w:r>
            <w:r w:rsidR="00A56E08">
              <w:rPr>
                <w:rStyle w:val="y2iqfc"/>
                <w:rFonts w:ascii="Arial" w:hAnsi="Arial" w:cs="Arial"/>
                <w:color w:val="000000" w:themeColor="text1"/>
                <w:sz w:val="24"/>
                <w:szCs w:val="24"/>
                <w:lang w:val="sr-Cyrl-BA"/>
              </w:rPr>
              <w:t>и</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ај</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ту</w:t>
            </w:r>
            <w:r w:rsidR="00A56E08">
              <w:rPr>
                <w:rStyle w:val="y2iqfc"/>
                <w:rFonts w:ascii="Arial" w:hAnsi="Arial" w:cs="Arial"/>
                <w:color w:val="000000" w:themeColor="text1"/>
                <w:sz w:val="24"/>
                <w:szCs w:val="24"/>
                <w:lang w:val="sr-Cyrl-BA"/>
              </w:rPr>
              <w:t>мач</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к</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и</w:t>
            </w:r>
            <w:r>
              <w:rPr>
                <w:rStyle w:val="y2iqfc"/>
                <w:rFonts w:ascii="Arial" w:hAnsi="Arial" w:cs="Arial"/>
                <w:color w:val="000000" w:themeColor="text1"/>
                <w:sz w:val="24"/>
                <w:szCs w:val="24"/>
                <w:lang w:val="sr-Cyrl-BA"/>
              </w:rPr>
              <w:t>т</w:t>
            </w:r>
            <w:r w:rsidR="00A56E08">
              <w:rPr>
                <w:rStyle w:val="y2iqfc"/>
                <w:rFonts w:ascii="Arial" w:hAnsi="Arial" w:cs="Arial"/>
                <w:color w:val="000000" w:themeColor="text1"/>
                <w:sz w:val="24"/>
                <w:szCs w:val="24"/>
                <w:lang w:val="sr-Cyrl-BA"/>
              </w:rPr>
              <w:t>ички</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пр</w:t>
            </w:r>
            <w:r w:rsidR="00A56E08">
              <w:rPr>
                <w:rStyle w:val="y2iqfc"/>
                <w:rFonts w:ascii="Arial" w:hAnsi="Arial" w:cs="Arial"/>
                <w:color w:val="000000" w:themeColor="text1"/>
                <w:sz w:val="24"/>
                <w:szCs w:val="24"/>
                <w:lang w:val="sr-Cyrl-BA"/>
              </w:rPr>
              <w:t>оцј</w:t>
            </w:r>
            <w:r w:rsidR="00EE6AA2">
              <w:rPr>
                <w:rStyle w:val="y2iqfc"/>
                <w:rFonts w:ascii="Arial" w:hAnsi="Arial" w:cs="Arial"/>
                <w:color w:val="000000" w:themeColor="text1"/>
                <w:sz w:val="24"/>
                <w:szCs w:val="24"/>
                <w:lang w:val="sr-Cyrl-BA"/>
              </w:rPr>
              <w:t>е</w:t>
            </w:r>
            <w:r w:rsidR="00A56E08">
              <w:rPr>
                <w:rStyle w:val="y2iqfc"/>
                <w:rFonts w:ascii="Arial" w:hAnsi="Arial" w:cs="Arial"/>
                <w:color w:val="000000" w:themeColor="text1"/>
                <w:sz w:val="24"/>
                <w:szCs w:val="24"/>
                <w:lang w:val="sr-Cyrl-BA"/>
              </w:rPr>
              <w:t>њ</w:t>
            </w:r>
            <w:r>
              <w:rPr>
                <w:rStyle w:val="y2iqfc"/>
                <w:rFonts w:ascii="Arial" w:hAnsi="Arial" w:cs="Arial"/>
                <w:color w:val="000000" w:themeColor="text1"/>
                <w:sz w:val="24"/>
                <w:szCs w:val="24"/>
                <w:lang w:val="sr-Cyrl-BA"/>
              </w:rPr>
              <w:t>у</w:t>
            </w:r>
            <w:r w:rsidR="00A56E08">
              <w:rPr>
                <w:rStyle w:val="y2iqfc"/>
                <w:rFonts w:ascii="Arial" w:hAnsi="Arial" w:cs="Arial"/>
                <w:color w:val="000000" w:themeColor="text1"/>
                <w:sz w:val="24"/>
                <w:szCs w:val="24"/>
                <w:lang w:val="sr-Cyrl-BA"/>
              </w:rPr>
              <w:t>ј</w:t>
            </w:r>
            <w:r>
              <w:rPr>
                <w:rStyle w:val="y2iqfc"/>
                <w:rFonts w:ascii="Arial" w:hAnsi="Arial" w:cs="Arial"/>
                <w:color w:val="000000" w:themeColor="text1"/>
                <w:sz w:val="24"/>
                <w:szCs w:val="24"/>
                <w:lang w:val="sr-Cyrl-BA"/>
              </w:rPr>
              <w:t>у</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инфо</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мациј</w:t>
            </w:r>
            <w:r w:rsidR="00EE6AA2">
              <w:rPr>
                <w:rStyle w:val="y2iqfc"/>
                <w:rFonts w:ascii="Arial" w:hAnsi="Arial" w:cs="Arial"/>
                <w:color w:val="000000" w:themeColor="text1"/>
                <w:sz w:val="24"/>
                <w:szCs w:val="24"/>
                <w:lang w:val="sr-Cyrl-BA"/>
              </w:rPr>
              <w:t>е</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w:t>
            </w:r>
            <w:r w:rsidR="00655BE9" w:rsidRPr="00F6340E">
              <w:rPr>
                <w:rStyle w:val="y2iqfc"/>
                <w:rFonts w:ascii="Arial" w:hAnsi="Arial" w:cs="Arial"/>
                <w:color w:val="000000" w:themeColor="text1"/>
                <w:sz w:val="24"/>
                <w:szCs w:val="24"/>
                <w:lang w:val="sr-Cyrl-BA"/>
              </w:rPr>
              <w:t xml:space="preserve"> </w:t>
            </w:r>
            <w:r>
              <w:rPr>
                <w:rStyle w:val="y2iqfc"/>
                <w:rFonts w:ascii="Arial" w:hAnsi="Arial" w:cs="Arial"/>
                <w:color w:val="000000" w:themeColor="text1"/>
                <w:sz w:val="24"/>
                <w:szCs w:val="24"/>
                <w:lang w:val="sr-Cyrl-BA"/>
              </w:rPr>
              <w:t>п</w:t>
            </w:r>
            <w:r w:rsidR="00A56E08">
              <w:rPr>
                <w:rStyle w:val="y2iqfc"/>
                <w:rFonts w:ascii="Arial" w:hAnsi="Arial" w:cs="Arial"/>
                <w:color w:val="000000" w:themeColor="text1"/>
                <w:sz w:val="24"/>
                <w:szCs w:val="24"/>
                <w:lang w:val="sr-Cyrl-BA"/>
              </w:rPr>
              <w:t>о</w:t>
            </w:r>
            <w:r>
              <w:rPr>
                <w:rStyle w:val="y2iqfc"/>
                <w:rFonts w:ascii="Arial" w:hAnsi="Arial" w:cs="Arial"/>
                <w:color w:val="000000" w:themeColor="text1"/>
                <w:sz w:val="24"/>
                <w:szCs w:val="24"/>
                <w:lang w:val="sr-Cyrl-BA"/>
              </w:rPr>
              <w:t>у</w:t>
            </w:r>
            <w:r w:rsidR="00171F00">
              <w:rPr>
                <w:rStyle w:val="y2iqfc"/>
                <w:rFonts w:ascii="Arial" w:hAnsi="Arial" w:cs="Arial"/>
                <w:color w:val="000000" w:themeColor="text1"/>
                <w:sz w:val="24"/>
                <w:szCs w:val="24"/>
                <w:lang w:val="sr-Cyrl-BA"/>
              </w:rPr>
              <w:t>з</w:t>
            </w:r>
            <w:r w:rsidR="00A56E08">
              <w:rPr>
                <w:rStyle w:val="y2iqfc"/>
                <w:rFonts w:ascii="Arial" w:hAnsi="Arial" w:cs="Arial"/>
                <w:color w:val="000000" w:themeColor="text1"/>
                <w:sz w:val="24"/>
                <w:szCs w:val="24"/>
                <w:lang w:val="sr-Cyrl-BA"/>
              </w:rPr>
              <w:t>дано</w:t>
            </w:r>
            <w:r>
              <w:rPr>
                <w:rStyle w:val="y2iqfc"/>
                <w:rFonts w:ascii="Arial" w:hAnsi="Arial" w:cs="Arial"/>
                <w:color w:val="000000" w:themeColor="text1"/>
                <w:sz w:val="24"/>
                <w:szCs w:val="24"/>
                <w:lang w:val="sr-Cyrl-BA"/>
              </w:rPr>
              <w:t>ст</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њихо</w:t>
            </w:r>
            <w:r>
              <w:rPr>
                <w:rStyle w:val="y2iqfc"/>
                <w:rFonts w:ascii="Arial" w:hAnsi="Arial" w:cs="Arial"/>
                <w:color w:val="000000" w:themeColor="text1"/>
                <w:sz w:val="24"/>
                <w:szCs w:val="24"/>
                <w:lang w:val="sr-Cyrl-BA"/>
              </w:rPr>
              <w:t>в</w:t>
            </w:r>
            <w:r w:rsidR="00A56E08">
              <w:rPr>
                <w:rStyle w:val="y2iqfc"/>
                <w:rFonts w:ascii="Arial" w:hAnsi="Arial" w:cs="Arial"/>
                <w:color w:val="000000" w:themeColor="text1"/>
                <w:sz w:val="24"/>
                <w:szCs w:val="24"/>
                <w:lang w:val="sr-Cyrl-BA"/>
              </w:rPr>
              <w:t>их</w:t>
            </w:r>
            <w:r w:rsidR="00655BE9" w:rsidRPr="00F6340E">
              <w:rPr>
                <w:rStyle w:val="y2iqfc"/>
                <w:rFonts w:ascii="Arial" w:hAnsi="Arial" w:cs="Arial"/>
                <w:color w:val="000000" w:themeColor="text1"/>
                <w:sz w:val="24"/>
                <w:szCs w:val="24"/>
                <w:lang w:val="sr-Cyrl-BA"/>
              </w:rPr>
              <w:t xml:space="preserve"> </w:t>
            </w:r>
            <w:r w:rsidR="00A56E08">
              <w:rPr>
                <w:rStyle w:val="y2iqfc"/>
                <w:rFonts w:ascii="Arial" w:hAnsi="Arial" w:cs="Arial"/>
                <w:color w:val="000000" w:themeColor="text1"/>
                <w:sz w:val="24"/>
                <w:szCs w:val="24"/>
                <w:lang w:val="sr-Cyrl-BA"/>
              </w:rPr>
              <w:t>и</w:t>
            </w:r>
            <w:r w:rsidR="00171F00">
              <w:rPr>
                <w:rStyle w:val="y2iqfc"/>
                <w:rFonts w:ascii="Arial" w:hAnsi="Arial" w:cs="Arial"/>
                <w:color w:val="000000" w:themeColor="text1"/>
                <w:sz w:val="24"/>
                <w:szCs w:val="24"/>
                <w:lang w:val="sr-Cyrl-BA"/>
              </w:rPr>
              <w:t>з</w:t>
            </w:r>
            <w:r>
              <w:rPr>
                <w:rStyle w:val="y2iqfc"/>
                <w:rFonts w:ascii="Arial" w:hAnsi="Arial" w:cs="Arial"/>
                <w:color w:val="000000" w:themeColor="text1"/>
                <w:sz w:val="24"/>
                <w:szCs w:val="24"/>
                <w:lang w:val="sr-Cyrl-BA"/>
              </w:rPr>
              <w:t>в</w:t>
            </w:r>
            <w:r w:rsidR="00A56E08">
              <w:rPr>
                <w:rStyle w:val="y2iqfc"/>
                <w:rFonts w:ascii="Arial" w:hAnsi="Arial" w:cs="Arial"/>
                <w:color w:val="000000" w:themeColor="text1"/>
                <w:sz w:val="24"/>
                <w:szCs w:val="24"/>
                <w:lang w:val="sr-Cyrl-BA"/>
              </w:rPr>
              <w:t>о</w:t>
            </w:r>
            <w:r>
              <w:rPr>
                <w:rStyle w:val="y2iqfc"/>
                <w:rFonts w:ascii="Arial" w:hAnsi="Arial" w:cs="Arial"/>
                <w:color w:val="000000" w:themeColor="text1"/>
                <w:sz w:val="24"/>
                <w:szCs w:val="24"/>
                <w:lang w:val="sr-Cyrl-BA"/>
              </w:rPr>
              <w:t>р</w:t>
            </w:r>
            <w:r w:rsidR="00A56E08">
              <w:rPr>
                <w:rStyle w:val="y2iqfc"/>
                <w:rFonts w:ascii="Arial" w:hAnsi="Arial" w:cs="Arial"/>
                <w:color w:val="000000" w:themeColor="text1"/>
                <w:sz w:val="24"/>
                <w:szCs w:val="24"/>
                <w:lang w:val="sr-Cyrl-BA"/>
              </w:rPr>
              <w:t>а</w:t>
            </w:r>
          </w:p>
          <w:p w14:paraId="213001C0" w14:textId="0F7F340E" w:rsidR="00655BE9" w:rsidRPr="00F6340E" w:rsidRDefault="0071360A" w:rsidP="005746C7">
            <w:pPr>
              <w:pStyle w:val="HTMLPreformatted"/>
              <w:numPr>
                <w:ilvl w:val="0"/>
                <w:numId w:val="27"/>
              </w:numPr>
              <w:spacing w:line="276" w:lineRule="auto"/>
              <w:rPr>
                <w:rFonts w:ascii="Arial" w:hAnsi="Arial" w:cs="Arial"/>
                <w:color w:val="000000" w:themeColor="text1"/>
                <w:sz w:val="24"/>
                <w:szCs w:val="24"/>
                <w:lang w:val="sr-Cyrl-BA"/>
              </w:rPr>
            </w:pP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w:t>
            </w:r>
            <w:r w:rsidR="00171F00">
              <w:rPr>
                <w:rFonts w:ascii="Arial" w:hAnsi="Arial" w:cs="Arial"/>
                <w:color w:val="000000" w:themeColor="text1"/>
                <w:sz w:val="24"/>
                <w:szCs w:val="24"/>
                <w:lang w:val="sr-Cyrl-BA"/>
              </w:rPr>
              <w:t>з</w:t>
            </w:r>
            <w:r>
              <w:rPr>
                <w:rFonts w:ascii="Arial" w:hAnsi="Arial" w:cs="Arial"/>
                <w:color w:val="000000" w:themeColor="text1"/>
                <w:sz w:val="24"/>
                <w:szCs w:val="24"/>
                <w:lang w:val="sr-Cyrl-BA"/>
              </w:rPr>
              <w:t>в</w:t>
            </w:r>
            <w:r w:rsidR="00A56E08">
              <w:rPr>
                <w:rFonts w:ascii="Arial" w:hAnsi="Arial" w:cs="Arial"/>
                <w:color w:val="000000" w:themeColor="text1"/>
                <w:sz w:val="24"/>
                <w:szCs w:val="24"/>
                <w:lang w:val="sr-Cyrl-BA"/>
              </w:rPr>
              <w:t>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п</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даго</w:t>
            </w:r>
            <w:r>
              <w:rPr>
                <w:rFonts w:ascii="Arial" w:hAnsi="Arial" w:cs="Arial"/>
                <w:color w:val="000000" w:themeColor="text1"/>
                <w:sz w:val="24"/>
                <w:szCs w:val="24"/>
                <w:lang w:val="sr-Cyrl-BA"/>
              </w:rPr>
              <w:t>ш</w:t>
            </w:r>
            <w:r w:rsidR="00A56E08">
              <w:rPr>
                <w:rFonts w:ascii="Arial" w:hAnsi="Arial" w:cs="Arial"/>
                <w:color w:val="000000" w:themeColor="text1"/>
                <w:sz w:val="24"/>
                <w:szCs w:val="24"/>
                <w:lang w:val="sr-Cyrl-BA"/>
              </w:rPr>
              <w:t>ки</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пр</w:t>
            </w:r>
            <w:r w:rsidR="00A56E08">
              <w:rPr>
                <w:rFonts w:ascii="Arial" w:hAnsi="Arial" w:cs="Arial"/>
                <w:color w:val="000000" w:themeColor="text1"/>
                <w:sz w:val="24"/>
                <w:szCs w:val="24"/>
                <w:lang w:val="sr-Cyrl-BA"/>
              </w:rPr>
              <w:t>и</w:t>
            </w:r>
            <w:r>
              <w:rPr>
                <w:rFonts w:ascii="Arial" w:hAnsi="Arial" w:cs="Arial"/>
                <w:color w:val="000000" w:themeColor="text1"/>
                <w:sz w:val="24"/>
                <w:szCs w:val="24"/>
                <w:lang w:val="sr-Cyrl-BA"/>
              </w:rPr>
              <w:t>ступ</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који</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ох</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аб</w:t>
            </w:r>
            <w:r>
              <w:rPr>
                <w:rFonts w:ascii="Arial" w:hAnsi="Arial" w:cs="Arial"/>
                <w:color w:val="000000" w:themeColor="text1"/>
                <w:sz w:val="24"/>
                <w:szCs w:val="24"/>
                <w:lang w:val="sr-Cyrl-BA"/>
              </w:rPr>
              <w:t>ру</w:t>
            </w:r>
            <w:r w:rsidR="00A56E08">
              <w:rPr>
                <w:rFonts w:ascii="Arial" w:hAnsi="Arial" w:cs="Arial"/>
                <w:color w:val="000000" w:themeColor="text1"/>
                <w:sz w:val="24"/>
                <w:szCs w:val="24"/>
                <w:lang w:val="sr-Cyrl-BA"/>
              </w:rPr>
              <w:t>ј</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A56E08">
              <w:rPr>
                <w:rFonts w:ascii="Arial" w:hAnsi="Arial" w:cs="Arial"/>
                <w:color w:val="000000" w:themeColor="text1"/>
                <w:sz w:val="24"/>
                <w:szCs w:val="24"/>
                <w:lang w:val="sr-Cyrl-BA"/>
              </w:rPr>
              <w:t>ч</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ник</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w:t>
            </w:r>
            <w:r>
              <w:rPr>
                <w:rFonts w:ascii="Arial" w:hAnsi="Arial" w:cs="Arial"/>
                <w:color w:val="000000" w:themeColor="text1"/>
                <w:sz w:val="24"/>
                <w:szCs w:val="24"/>
                <w:lang w:val="sr-Cyrl-BA"/>
              </w:rPr>
              <w:t>сту</w:t>
            </w:r>
            <w:r w:rsidR="00A56E08">
              <w:rPr>
                <w:rFonts w:ascii="Arial" w:hAnsi="Arial" w:cs="Arial"/>
                <w:color w:val="000000" w:themeColor="text1"/>
                <w:sz w:val="24"/>
                <w:szCs w:val="24"/>
                <w:lang w:val="sr-Cyrl-BA"/>
              </w:rPr>
              <w:t>д</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н</w:t>
            </w:r>
            <w:r>
              <w:rPr>
                <w:rFonts w:ascii="Arial" w:hAnsi="Arial" w:cs="Arial"/>
                <w:color w:val="000000" w:themeColor="text1"/>
                <w:sz w:val="24"/>
                <w:szCs w:val="24"/>
                <w:lang w:val="sr-Cyrl-BA"/>
              </w:rPr>
              <w:t>т</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да</w:t>
            </w:r>
            <w:r w:rsidR="00655BE9" w:rsidRPr="00F6340E">
              <w:rPr>
                <w:rFonts w:ascii="Arial" w:hAnsi="Arial" w:cs="Arial"/>
                <w:color w:val="000000" w:themeColor="text1"/>
                <w:sz w:val="24"/>
                <w:szCs w:val="24"/>
                <w:lang w:val="sr-Cyrl-BA"/>
              </w:rPr>
              <w:t xml:space="preserve"> </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фика</w:t>
            </w:r>
            <w:r>
              <w:rPr>
                <w:rFonts w:ascii="Arial" w:hAnsi="Arial" w:cs="Arial"/>
                <w:color w:val="000000" w:themeColor="text1"/>
                <w:sz w:val="24"/>
                <w:szCs w:val="24"/>
                <w:lang w:val="sr-Cyrl-BA"/>
              </w:rPr>
              <w:t>с</w:t>
            </w:r>
            <w:r w:rsidR="00A56E08">
              <w:rPr>
                <w:rFonts w:ascii="Arial" w:hAnsi="Arial" w:cs="Arial"/>
                <w:color w:val="000000" w:themeColor="text1"/>
                <w:sz w:val="24"/>
                <w:szCs w:val="24"/>
                <w:lang w:val="sr-Cyrl-BA"/>
              </w:rPr>
              <w:t>но</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ко</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и</w:t>
            </w:r>
            <w:r>
              <w:rPr>
                <w:rFonts w:ascii="Arial" w:hAnsi="Arial" w:cs="Arial"/>
                <w:color w:val="000000" w:themeColor="text1"/>
                <w:sz w:val="24"/>
                <w:szCs w:val="24"/>
                <w:lang w:val="sr-Cyrl-BA"/>
              </w:rPr>
              <w:t>ст</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диги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алн</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т</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хнологиј</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sidR="00171F00">
              <w:rPr>
                <w:rFonts w:ascii="Arial" w:hAnsi="Arial" w:cs="Arial"/>
                <w:color w:val="000000" w:themeColor="text1"/>
                <w:sz w:val="24"/>
                <w:szCs w:val="24"/>
                <w:lang w:val="sr-Cyrl-BA"/>
              </w:rPr>
              <w:t>з</w:t>
            </w:r>
            <w:r w:rsidR="00A56E08">
              <w:rPr>
                <w:rFonts w:ascii="Arial" w:hAnsi="Arial" w:cs="Arial"/>
                <w:color w:val="000000" w:themeColor="text1"/>
                <w:sz w:val="24"/>
                <w:szCs w:val="24"/>
                <w:lang w:val="sr-Cyrl-BA"/>
              </w:rPr>
              <w:t>а</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ком</w:t>
            </w:r>
            <w:r>
              <w:rPr>
                <w:rFonts w:ascii="Arial" w:hAnsi="Arial" w:cs="Arial"/>
                <w:color w:val="000000" w:themeColor="text1"/>
                <w:sz w:val="24"/>
                <w:szCs w:val="24"/>
                <w:lang w:val="sr-Cyrl-BA"/>
              </w:rPr>
              <w:t>у</w:t>
            </w:r>
            <w:r w:rsidR="00A56E08">
              <w:rPr>
                <w:rFonts w:ascii="Arial" w:hAnsi="Arial" w:cs="Arial"/>
                <w:color w:val="000000" w:themeColor="text1"/>
                <w:sz w:val="24"/>
                <w:szCs w:val="24"/>
                <w:lang w:val="sr-Cyrl-BA"/>
              </w:rPr>
              <w:t>никациј</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с</w:t>
            </w:r>
            <w:r w:rsidR="00A56E08">
              <w:rPr>
                <w:rFonts w:ascii="Arial" w:hAnsi="Arial" w:cs="Arial"/>
                <w:color w:val="000000" w:themeColor="text1"/>
                <w:sz w:val="24"/>
                <w:szCs w:val="24"/>
                <w:lang w:val="sr-Cyrl-BA"/>
              </w:rPr>
              <w:t>а</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адњ</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и</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A56E08">
              <w:rPr>
                <w:rFonts w:ascii="Arial" w:hAnsi="Arial" w:cs="Arial"/>
                <w:color w:val="000000" w:themeColor="text1"/>
                <w:sz w:val="24"/>
                <w:szCs w:val="24"/>
                <w:lang w:val="sr-Cyrl-BA"/>
              </w:rPr>
              <w:t>ч</w:t>
            </w:r>
            <w:r w:rsidR="00EE6AA2">
              <w:rPr>
                <w:rFonts w:ascii="Arial" w:hAnsi="Arial" w:cs="Arial"/>
                <w:color w:val="000000" w:themeColor="text1"/>
                <w:sz w:val="24"/>
                <w:szCs w:val="24"/>
                <w:lang w:val="sr-Cyrl-BA"/>
              </w:rPr>
              <w:t>е</w:t>
            </w:r>
            <w:r>
              <w:rPr>
                <w:rFonts w:ascii="Arial" w:hAnsi="Arial" w:cs="Arial"/>
                <w:color w:val="000000" w:themeColor="text1"/>
                <w:sz w:val="24"/>
                <w:szCs w:val="24"/>
                <w:lang w:val="sr-Cyrl-BA"/>
              </w:rPr>
              <w:t>ств</w:t>
            </w:r>
            <w:r w:rsidR="00A56E08">
              <w:rPr>
                <w:rFonts w:ascii="Arial" w:hAnsi="Arial" w:cs="Arial"/>
                <w:color w:val="000000" w:themeColor="text1"/>
                <w:sz w:val="24"/>
                <w:szCs w:val="24"/>
                <w:lang w:val="sr-Cyrl-BA"/>
              </w:rPr>
              <w:t>о</w:t>
            </w:r>
            <w:r>
              <w:rPr>
                <w:rFonts w:ascii="Arial" w:hAnsi="Arial" w:cs="Arial"/>
                <w:color w:val="000000" w:themeColor="text1"/>
                <w:sz w:val="24"/>
                <w:szCs w:val="24"/>
                <w:lang w:val="sr-Cyrl-BA"/>
              </w:rPr>
              <w:t>в</w:t>
            </w:r>
            <w:r w:rsidR="00A56E08">
              <w:rPr>
                <w:rFonts w:ascii="Arial" w:hAnsi="Arial" w:cs="Arial"/>
                <w:color w:val="000000" w:themeColor="text1"/>
                <w:sz w:val="24"/>
                <w:szCs w:val="24"/>
                <w:lang w:val="sr-Cyrl-BA"/>
              </w:rPr>
              <w:t>ањ</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sidR="00171F00">
              <w:rPr>
                <w:rFonts w:ascii="Arial" w:hAnsi="Arial" w:cs="Arial"/>
                <w:color w:val="000000" w:themeColor="text1"/>
                <w:sz w:val="24"/>
                <w:szCs w:val="24"/>
                <w:lang w:val="sr-Cyrl-BA"/>
              </w:rPr>
              <w:t>з</w:t>
            </w:r>
            <w:r w:rsidR="00A56E08">
              <w:rPr>
                <w:rFonts w:ascii="Arial" w:hAnsi="Arial" w:cs="Arial"/>
                <w:color w:val="000000" w:themeColor="text1"/>
                <w:sz w:val="24"/>
                <w:szCs w:val="24"/>
                <w:lang w:val="sr-Cyrl-BA"/>
              </w:rPr>
              <w:t>ај</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дници</w:t>
            </w:r>
            <w:r w:rsidR="00655BE9" w:rsidRPr="00F6340E">
              <w:rPr>
                <w:rFonts w:ascii="Arial" w:hAnsi="Arial" w:cs="Arial"/>
                <w:color w:val="000000" w:themeColor="text1"/>
                <w:sz w:val="24"/>
                <w:szCs w:val="24"/>
                <w:lang w:val="sr-Cyrl-BA"/>
              </w:rPr>
              <w:t>.</w:t>
            </w:r>
          </w:p>
          <w:p w14:paraId="49BFF459" w14:textId="4B155BD2" w:rsidR="00655BE9" w:rsidRPr="00F6340E" w:rsidRDefault="0071360A" w:rsidP="005746C7">
            <w:pPr>
              <w:pStyle w:val="HTMLPreformatted"/>
              <w:numPr>
                <w:ilvl w:val="0"/>
                <w:numId w:val="27"/>
              </w:numPr>
              <w:spacing w:line="276" w:lineRule="auto"/>
              <w:rPr>
                <w:rFonts w:ascii="Arial" w:hAnsi="Arial" w:cs="Arial"/>
                <w:color w:val="00B0F0"/>
                <w:lang w:val="sr-Cyrl-BA"/>
              </w:rPr>
            </w:pP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w:t>
            </w:r>
            <w:r w:rsidR="00171F00">
              <w:rPr>
                <w:rFonts w:ascii="Arial" w:hAnsi="Arial" w:cs="Arial"/>
                <w:color w:val="000000" w:themeColor="text1"/>
                <w:sz w:val="24"/>
                <w:szCs w:val="24"/>
                <w:lang w:val="sr-Cyrl-BA"/>
              </w:rPr>
              <w:t>з</w:t>
            </w:r>
            <w:r>
              <w:rPr>
                <w:rFonts w:ascii="Arial" w:hAnsi="Arial" w:cs="Arial"/>
                <w:color w:val="000000" w:themeColor="text1"/>
                <w:sz w:val="24"/>
                <w:szCs w:val="24"/>
                <w:lang w:val="sr-Cyrl-BA"/>
              </w:rPr>
              <w:t>в</w:t>
            </w:r>
            <w:r w:rsidR="00A56E08">
              <w:rPr>
                <w:rFonts w:ascii="Arial" w:hAnsi="Arial" w:cs="Arial"/>
                <w:color w:val="000000" w:themeColor="text1"/>
                <w:sz w:val="24"/>
                <w:szCs w:val="24"/>
                <w:lang w:val="sr-Cyrl-BA"/>
              </w:rPr>
              <w:t>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ма</w:t>
            </w:r>
            <w:r>
              <w:rPr>
                <w:rFonts w:ascii="Arial" w:hAnsi="Arial" w:cs="Arial"/>
                <w:color w:val="000000" w:themeColor="text1"/>
                <w:sz w:val="24"/>
                <w:szCs w:val="24"/>
                <w:lang w:val="sr-Cyrl-BA"/>
              </w:rPr>
              <w:t>т</w:t>
            </w:r>
            <w:r w:rsidR="00EE6AA2">
              <w:rPr>
                <w:rFonts w:ascii="Arial" w:hAnsi="Arial" w:cs="Arial"/>
                <w:color w:val="000000" w:themeColor="text1"/>
                <w:sz w:val="24"/>
                <w:szCs w:val="24"/>
                <w:lang w:val="sr-Cyrl-BA"/>
              </w:rPr>
              <w:t>е</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ијал</w:t>
            </w:r>
            <w:r w:rsidR="00655BE9" w:rsidRPr="00F6340E">
              <w:rPr>
                <w:rFonts w:ascii="Arial" w:hAnsi="Arial" w:cs="Arial"/>
                <w:color w:val="000000" w:themeColor="text1"/>
                <w:sz w:val="24"/>
                <w:szCs w:val="24"/>
                <w:lang w:val="sr-Cyrl-BA"/>
              </w:rPr>
              <w:t xml:space="preserve"> </w:t>
            </w:r>
            <w:r w:rsidR="00171F00">
              <w:rPr>
                <w:rFonts w:ascii="Arial" w:hAnsi="Arial" w:cs="Arial"/>
                <w:color w:val="000000" w:themeColor="text1"/>
                <w:sz w:val="24"/>
                <w:szCs w:val="24"/>
                <w:lang w:val="sr-Cyrl-BA"/>
              </w:rPr>
              <w:t>з</w:t>
            </w:r>
            <w:r w:rsidR="00A56E08">
              <w:rPr>
                <w:rFonts w:ascii="Arial" w:hAnsi="Arial" w:cs="Arial"/>
                <w:color w:val="000000" w:themeColor="text1"/>
                <w:sz w:val="24"/>
                <w:szCs w:val="24"/>
                <w:lang w:val="sr-Cyrl-BA"/>
              </w:rPr>
              <w:t>а</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A56E08">
              <w:rPr>
                <w:rFonts w:ascii="Arial" w:hAnsi="Arial" w:cs="Arial"/>
                <w:color w:val="000000" w:themeColor="text1"/>
                <w:sz w:val="24"/>
                <w:szCs w:val="24"/>
                <w:lang w:val="sr-Cyrl-BA"/>
              </w:rPr>
              <w:t>ч</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њ</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и</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пр</w:t>
            </w:r>
            <w:r w:rsidR="00A56E08">
              <w:rPr>
                <w:rFonts w:ascii="Arial" w:hAnsi="Arial" w:cs="Arial"/>
                <w:color w:val="000000" w:themeColor="text1"/>
                <w:sz w:val="24"/>
                <w:szCs w:val="24"/>
                <w:lang w:val="sr-Cyrl-BA"/>
              </w:rPr>
              <w:t>имиј</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ни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на</w:t>
            </w:r>
            <w:r>
              <w:rPr>
                <w:rFonts w:ascii="Arial" w:hAnsi="Arial" w:cs="Arial"/>
                <w:color w:val="000000" w:themeColor="text1"/>
                <w:sz w:val="24"/>
                <w:szCs w:val="24"/>
                <w:lang w:val="sr-Cyrl-BA"/>
              </w:rPr>
              <w:t>ст</w:t>
            </w:r>
            <w:r w:rsidR="00A56E08">
              <w:rPr>
                <w:rFonts w:ascii="Arial" w:hAnsi="Arial" w:cs="Arial"/>
                <w:color w:val="000000" w:themeColor="text1"/>
                <w:sz w:val="24"/>
                <w:szCs w:val="24"/>
                <w:lang w:val="sr-Cyrl-BA"/>
              </w:rPr>
              <w:t>а</w:t>
            </w:r>
            <w:r>
              <w:rPr>
                <w:rFonts w:ascii="Arial" w:hAnsi="Arial" w:cs="Arial"/>
                <w:color w:val="000000" w:themeColor="text1"/>
                <w:sz w:val="24"/>
                <w:szCs w:val="24"/>
                <w:lang w:val="sr-Cyrl-BA"/>
              </w:rPr>
              <w:t>в</w:t>
            </w:r>
            <w:r w:rsidR="00A56E08">
              <w:rPr>
                <w:rFonts w:ascii="Arial" w:hAnsi="Arial" w:cs="Arial"/>
                <w:color w:val="000000" w:themeColor="text1"/>
                <w:sz w:val="24"/>
                <w:szCs w:val="24"/>
                <w:lang w:val="sr-Cyrl-BA"/>
              </w:rPr>
              <w:t>н</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пр</w:t>
            </w:r>
            <w:r w:rsidR="00A56E08">
              <w:rPr>
                <w:rFonts w:ascii="Arial" w:hAnsi="Arial" w:cs="Arial"/>
                <w:color w:val="000000" w:themeColor="text1"/>
                <w:sz w:val="24"/>
                <w:szCs w:val="24"/>
                <w:lang w:val="sr-Cyrl-BA"/>
              </w:rPr>
              <w:t>ак</w:t>
            </w:r>
            <w:r>
              <w:rPr>
                <w:rFonts w:ascii="Arial" w:hAnsi="Arial" w:cs="Arial"/>
                <w:color w:val="000000" w:themeColor="text1"/>
                <w:sz w:val="24"/>
                <w:szCs w:val="24"/>
                <w:lang w:val="sr-Cyrl-BA"/>
              </w:rPr>
              <w:t>с</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кој</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п</w:t>
            </w:r>
            <w:r w:rsidR="00A56E08">
              <w:rPr>
                <w:rFonts w:ascii="Arial" w:hAnsi="Arial" w:cs="Arial"/>
                <w:color w:val="000000" w:themeColor="text1"/>
                <w:sz w:val="24"/>
                <w:szCs w:val="24"/>
                <w:lang w:val="sr-Cyrl-BA"/>
              </w:rPr>
              <w:t>ома</w:t>
            </w:r>
            <w:r w:rsidR="00171F00">
              <w:rPr>
                <w:rFonts w:ascii="Arial" w:hAnsi="Arial" w:cs="Arial"/>
                <w:color w:val="000000" w:themeColor="text1"/>
                <w:sz w:val="24"/>
                <w:szCs w:val="24"/>
                <w:lang w:val="sr-Cyrl-BA"/>
              </w:rPr>
              <w:t>ж</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A56E08">
              <w:rPr>
                <w:rFonts w:ascii="Arial" w:hAnsi="Arial" w:cs="Arial"/>
                <w:color w:val="000000" w:themeColor="text1"/>
                <w:sz w:val="24"/>
                <w:szCs w:val="24"/>
                <w:lang w:val="sr-Cyrl-BA"/>
              </w:rPr>
              <w:t>ч</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ницима</w:t>
            </w:r>
            <w:r w:rsidR="00655BE9" w:rsidRPr="00F6340E">
              <w:rPr>
                <w:rFonts w:ascii="Arial" w:hAnsi="Arial" w:cs="Arial"/>
                <w:color w:val="000000" w:themeColor="text1"/>
                <w:sz w:val="24"/>
                <w:szCs w:val="24"/>
                <w:lang w:val="sr-Cyrl-BA"/>
              </w:rPr>
              <w:t>/</w:t>
            </w:r>
            <w:r>
              <w:rPr>
                <w:rFonts w:ascii="Arial" w:hAnsi="Arial" w:cs="Arial"/>
                <w:color w:val="000000" w:themeColor="text1"/>
                <w:sz w:val="24"/>
                <w:szCs w:val="24"/>
                <w:lang w:val="sr-Cyrl-BA"/>
              </w:rPr>
              <w:t>сту</w:t>
            </w:r>
            <w:r w:rsidR="00A56E08">
              <w:rPr>
                <w:rFonts w:ascii="Arial" w:hAnsi="Arial" w:cs="Arial"/>
                <w:color w:val="000000" w:themeColor="text1"/>
                <w:sz w:val="24"/>
                <w:szCs w:val="24"/>
                <w:lang w:val="sr-Cyrl-BA"/>
              </w:rPr>
              <w:t>д</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н</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има</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да</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с</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и</w:t>
            </w:r>
            <w:r w:rsidR="00171F00">
              <w:rPr>
                <w:rFonts w:ascii="Arial" w:hAnsi="Arial" w:cs="Arial"/>
                <w:color w:val="000000" w:themeColor="text1"/>
                <w:sz w:val="24"/>
                <w:szCs w:val="24"/>
                <w:lang w:val="sr-Cyrl-BA"/>
              </w:rPr>
              <w:t>з</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w:t>
            </w:r>
            <w:r w:rsidR="00171F00">
              <w:rPr>
                <w:rFonts w:ascii="Arial" w:hAnsi="Arial" w:cs="Arial"/>
                <w:color w:val="000000" w:themeColor="text1"/>
                <w:sz w:val="24"/>
                <w:szCs w:val="24"/>
                <w:lang w:val="sr-Cyrl-BA"/>
              </w:rPr>
              <w:t>з</w:t>
            </w:r>
            <w:r w:rsidR="00EE6AA2">
              <w:rPr>
                <w:rFonts w:ascii="Arial" w:hAnsi="Arial" w:cs="Arial"/>
                <w:color w:val="000000" w:themeColor="text1"/>
                <w:sz w:val="24"/>
                <w:szCs w:val="24"/>
                <w:lang w:val="sr-Cyrl-BA"/>
              </w:rPr>
              <w:t>е</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к</w:t>
            </w:r>
            <w:r>
              <w:rPr>
                <w:rFonts w:ascii="Arial" w:hAnsi="Arial" w:cs="Arial"/>
                <w:color w:val="000000" w:themeColor="text1"/>
                <w:sz w:val="24"/>
                <w:szCs w:val="24"/>
                <w:lang w:val="sr-Cyrl-BA"/>
              </w:rPr>
              <w:t>р</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и</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ањ</w:t>
            </w:r>
            <w:r w:rsidR="00EE6AA2">
              <w:rPr>
                <w:rFonts w:ascii="Arial" w:hAnsi="Arial" w:cs="Arial"/>
                <w:color w:val="000000" w:themeColor="text1"/>
                <w:sz w:val="24"/>
                <w:szCs w:val="24"/>
                <w:lang w:val="sr-Cyrl-BA"/>
              </w:rPr>
              <w:t>е</w:t>
            </w:r>
            <w:r w:rsidR="00A56E08">
              <w:rPr>
                <w:rFonts w:ascii="Arial" w:hAnsi="Arial" w:cs="Arial"/>
                <w:color w:val="000000" w:themeColor="text1"/>
                <w:sz w:val="24"/>
                <w:szCs w:val="24"/>
                <w:lang w:val="sr-Cyrl-BA"/>
              </w:rPr>
              <w:t>м</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диги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алног</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с</w:t>
            </w:r>
            <w:r w:rsidR="00A56E08">
              <w:rPr>
                <w:rFonts w:ascii="Arial" w:hAnsi="Arial" w:cs="Arial"/>
                <w:color w:val="000000" w:themeColor="text1"/>
                <w:sz w:val="24"/>
                <w:szCs w:val="24"/>
                <w:lang w:val="sr-Cyrl-BA"/>
              </w:rPr>
              <w:t>ад</w:t>
            </w:r>
            <w:r>
              <w:rPr>
                <w:rFonts w:ascii="Arial" w:hAnsi="Arial" w:cs="Arial"/>
                <w:color w:val="000000" w:themeColor="text1"/>
                <w:sz w:val="24"/>
                <w:szCs w:val="24"/>
                <w:lang w:val="sr-Cyrl-BA"/>
              </w:rPr>
              <w:t>р</w:t>
            </w:r>
            <w:r w:rsidR="00171F00">
              <w:rPr>
                <w:rFonts w:ascii="Arial" w:hAnsi="Arial" w:cs="Arial"/>
                <w:color w:val="000000" w:themeColor="text1"/>
                <w:sz w:val="24"/>
                <w:szCs w:val="24"/>
                <w:lang w:val="sr-Cyrl-BA"/>
              </w:rPr>
              <w:t>ж</w:t>
            </w:r>
            <w:r w:rsidR="00A56E08">
              <w:rPr>
                <w:rFonts w:ascii="Arial" w:hAnsi="Arial" w:cs="Arial"/>
                <w:color w:val="000000" w:themeColor="text1"/>
                <w:sz w:val="24"/>
                <w:szCs w:val="24"/>
                <w:lang w:val="sr-Cyrl-BA"/>
              </w:rPr>
              <w:t>аја</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у</w:t>
            </w:r>
            <w:r w:rsidR="00655BE9" w:rsidRPr="00F6340E">
              <w:rPr>
                <w:rFonts w:ascii="Arial" w:hAnsi="Arial" w:cs="Arial"/>
                <w:color w:val="000000" w:themeColor="text1"/>
                <w:sz w:val="24"/>
                <w:szCs w:val="24"/>
                <w:lang w:val="sr-Cyrl-BA"/>
              </w:rPr>
              <w:t xml:space="preserve"> </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а</w:t>
            </w:r>
            <w:r w:rsidR="00171F00">
              <w:rPr>
                <w:rFonts w:ascii="Arial" w:hAnsi="Arial" w:cs="Arial"/>
                <w:color w:val="000000" w:themeColor="text1"/>
                <w:sz w:val="24"/>
                <w:szCs w:val="24"/>
                <w:lang w:val="sr-Cyrl-BA"/>
              </w:rPr>
              <w:t>з</w:t>
            </w:r>
            <w:r w:rsidR="00A56E08">
              <w:rPr>
                <w:rFonts w:ascii="Arial" w:hAnsi="Arial" w:cs="Arial"/>
                <w:color w:val="000000" w:themeColor="text1"/>
                <w:sz w:val="24"/>
                <w:szCs w:val="24"/>
                <w:lang w:val="sr-Cyrl-BA"/>
              </w:rPr>
              <w:t>личи</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им</w:t>
            </w:r>
            <w:r w:rsidR="00655BE9" w:rsidRPr="00F6340E">
              <w:rPr>
                <w:rFonts w:ascii="Arial" w:hAnsi="Arial" w:cs="Arial"/>
                <w:color w:val="000000" w:themeColor="text1"/>
                <w:sz w:val="24"/>
                <w:szCs w:val="24"/>
                <w:lang w:val="sr-Cyrl-BA"/>
              </w:rPr>
              <w:t xml:space="preserve"> </w:t>
            </w:r>
            <w:r w:rsidR="00A56E08">
              <w:rPr>
                <w:rFonts w:ascii="Arial" w:hAnsi="Arial" w:cs="Arial"/>
                <w:color w:val="000000" w:themeColor="text1"/>
                <w:sz w:val="24"/>
                <w:szCs w:val="24"/>
                <w:lang w:val="sr-Cyrl-BA"/>
              </w:rPr>
              <w:t>фо</w:t>
            </w:r>
            <w:r>
              <w:rPr>
                <w:rFonts w:ascii="Arial" w:hAnsi="Arial" w:cs="Arial"/>
                <w:color w:val="000000" w:themeColor="text1"/>
                <w:sz w:val="24"/>
                <w:szCs w:val="24"/>
                <w:lang w:val="sr-Cyrl-BA"/>
              </w:rPr>
              <w:t>р</w:t>
            </w:r>
            <w:r w:rsidR="00A56E08">
              <w:rPr>
                <w:rFonts w:ascii="Arial" w:hAnsi="Arial" w:cs="Arial"/>
                <w:color w:val="000000" w:themeColor="text1"/>
                <w:sz w:val="24"/>
                <w:szCs w:val="24"/>
                <w:lang w:val="sr-Cyrl-BA"/>
              </w:rPr>
              <w:t>ма</w:t>
            </w:r>
            <w:r>
              <w:rPr>
                <w:rFonts w:ascii="Arial" w:hAnsi="Arial" w:cs="Arial"/>
                <w:color w:val="000000" w:themeColor="text1"/>
                <w:sz w:val="24"/>
                <w:szCs w:val="24"/>
                <w:lang w:val="sr-Cyrl-BA"/>
              </w:rPr>
              <w:t>т</w:t>
            </w:r>
            <w:r w:rsidR="00A56E08">
              <w:rPr>
                <w:rFonts w:ascii="Arial" w:hAnsi="Arial" w:cs="Arial"/>
                <w:color w:val="000000" w:themeColor="text1"/>
                <w:sz w:val="24"/>
                <w:szCs w:val="24"/>
                <w:lang w:val="sr-Cyrl-BA"/>
              </w:rPr>
              <w:t>има</w:t>
            </w:r>
            <w:r w:rsidR="00655BE9" w:rsidRPr="00F6340E">
              <w:rPr>
                <w:rFonts w:ascii="Arial" w:hAnsi="Arial" w:cs="Arial"/>
                <w:color w:val="000000" w:themeColor="text1"/>
                <w:sz w:val="24"/>
                <w:szCs w:val="24"/>
                <w:lang w:val="sr-Cyrl-BA"/>
              </w:rPr>
              <w:t xml:space="preserve">. </w:t>
            </w:r>
          </w:p>
        </w:tc>
      </w:tr>
      <w:tr w:rsidR="00655BE9" w:rsidRPr="00F6340E" w14:paraId="1B7C8C28" w14:textId="77777777" w:rsidTr="005746C7">
        <w:trPr>
          <w:trHeight w:val="380"/>
        </w:trPr>
        <w:tc>
          <w:tcPr>
            <w:tcW w:w="9014" w:type="dxa"/>
            <w:tcBorders>
              <w:bottom w:val="single" w:sz="4" w:space="0" w:color="000000"/>
            </w:tcBorders>
            <w:shd w:val="clear" w:color="auto" w:fill="E3F4F9"/>
          </w:tcPr>
          <w:p w14:paraId="0074DA77" w14:textId="29B5B2E6" w:rsidR="00655BE9"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1DEDAC3F" w14:textId="3D436722"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кљ</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ак</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ах</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ника</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х</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ком</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ници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адо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ољ</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593813"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мацијама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ајима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пут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алног</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ок</w:t>
            </w:r>
            <w:r>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p>
          <w:p w14:paraId="41F5BC63" w14:textId="291720E8"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начин</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мог</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ми</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гиј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EE6AA2">
              <w:rPr>
                <w:rStyle w:val="y2iqfc"/>
                <w:rFonts w:ascii="Arial" w:hAnsi="Arial" w:cs="Arial"/>
                <w:color w:val="202124"/>
                <w:sz w:val="24"/>
                <w:szCs w:val="24"/>
                <w:lang w:val="sr-Cyrl-BA"/>
              </w:rPr>
              <w:t>е</w:t>
            </w:r>
            <w:r w:rsidR="008424F0"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пут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w:t>
            </w:r>
            <w:r w:rsidR="008424F0" w:rsidRPr="00F6340E">
              <w:rPr>
                <w:rStyle w:val="y2iqfc"/>
                <w:rFonts w:ascii="Arial" w:hAnsi="Arial" w:cs="Arial"/>
                <w:color w:val="202124"/>
                <w:sz w:val="24"/>
                <w:szCs w:val="24"/>
                <w:lang w:val="sr-Cyrl-BA"/>
              </w:rPr>
              <w:t xml:space="preserve"> </w:t>
            </w:r>
            <w:r w:rsidR="006D1BD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ања</w:t>
            </w:r>
            <w:r w:rsidR="006D1BD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но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али</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онађ</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них</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мација</w:t>
            </w:r>
          </w:p>
          <w:p w14:paraId="0B48FC98" w14:textId="09762B89"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омоћи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миј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анали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усп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ички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одо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ојно</w:t>
            </w:r>
            <w:r>
              <w:rPr>
                <w:rStyle w:val="y2iqfc"/>
                <w:rFonts w:ascii="Arial" w:hAnsi="Arial" w:cs="Arial"/>
                <w:color w:val="202124"/>
                <w:sz w:val="24"/>
                <w:szCs w:val="24"/>
                <w:lang w:val="sr-Cyrl-BA"/>
              </w:rPr>
              <w:t>ст</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дано</w:t>
            </w:r>
            <w:r>
              <w:rPr>
                <w:rStyle w:val="y2iqfc"/>
                <w:rFonts w:ascii="Arial" w:hAnsi="Arial" w:cs="Arial"/>
                <w:color w:val="202124"/>
                <w:sz w:val="24"/>
                <w:szCs w:val="24"/>
                <w:lang w:val="sr-Cyrl-BA"/>
              </w:rPr>
              <w:t>ст</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ака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алног</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аја</w:t>
            </w:r>
          </w:p>
          <w:p w14:paraId="0A0F0E1E" w14:textId="3804D585"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Style w:val="y2iqfc"/>
                <w:rFonts w:ascii="Arial" w:hAnsi="Arial" w:cs="Arial"/>
                <w:color w:val="202124"/>
                <w:sz w:val="24"/>
                <w:szCs w:val="24"/>
                <w:lang w:val="sr-Cyrl-BA"/>
              </w:rPr>
              <w:lastRenderedPageBreak/>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ох</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ани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алном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ок</w:t>
            </w:r>
            <w:r>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Pr>
                <w:rStyle w:val="y2iqfc"/>
                <w:rFonts w:ascii="Arial" w:hAnsi="Arial" w:cs="Arial"/>
                <w:color w:val="202124"/>
                <w:sz w:val="24"/>
                <w:szCs w:val="24"/>
                <w:lang w:val="sr-Cyrl-BA"/>
              </w:rPr>
              <w:t>у</w:t>
            </w:r>
          </w:p>
          <w:p w14:paraId="7E9D3F87" w14:textId="7D6D1CCB"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стру</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тур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аном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ок</w:t>
            </w:r>
            <w:r>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w:t>
            </w:r>
          </w:p>
          <w:p w14:paraId="719B2BCE" w14:textId="7EFE9A9C" w:rsidR="00655BE9" w:rsidRPr="00F6340E" w:rsidRDefault="0071360A" w:rsidP="005746C7">
            <w:pPr>
              <w:pStyle w:val="HTMLPreformatted"/>
              <w:numPr>
                <w:ilvl w:val="0"/>
                <w:numId w:val="28"/>
              </w:numPr>
              <w:spacing w:line="276" w:lineRule="auto"/>
              <w:contextualSpacing/>
              <w:rPr>
                <w:rStyle w:val="y2iqfc"/>
                <w:rFonts w:ascii="Arial" w:hAnsi="Arial" w:cs="Arial"/>
                <w:color w:val="202124"/>
                <w:sz w:val="24"/>
                <w:szCs w:val="24"/>
                <w:lang w:val="sr-Cyrl-BA"/>
              </w:rPr>
            </w:pP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мог</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ћно</w:t>
            </w:r>
            <w:r>
              <w:rPr>
                <w:rStyle w:val="y2iqfc"/>
                <w:rFonts w:ascii="Arial" w:hAnsi="Arial" w:cs="Arial"/>
                <w:color w:val="202124"/>
                <w:sz w:val="24"/>
                <w:szCs w:val="24"/>
                <w:lang w:val="sr-Cyrl-BA"/>
              </w:rPr>
              <w:t>ст</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ств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акциј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пут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EE6AA2">
              <w:rPr>
                <w:rStyle w:val="y2iqfc"/>
                <w:rFonts w:ascii="Arial" w:hAnsi="Arial" w:cs="Arial"/>
                <w:color w:val="202124"/>
                <w:sz w:val="24"/>
                <w:szCs w:val="24"/>
                <w:lang w:val="sr-Cyrl-BA"/>
              </w:rPr>
              <w:t>е</w:t>
            </w:r>
            <w:r w:rsidR="008424F0"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пут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w:t>
            </w:r>
            <w:r w:rsidR="008424F0"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ок</w:t>
            </w:r>
            <w:r>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r w:rsidR="004D0F21"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sidR="004D0F21"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ту</w:t>
            </w:r>
            <w:r w:rsidR="00655BE9" w:rsidRPr="00F6340E">
              <w:rPr>
                <w:rStyle w:val="y2iqfc"/>
                <w:rFonts w:ascii="Arial" w:hAnsi="Arial" w:cs="Arial"/>
                <w:color w:val="202124"/>
                <w:sz w:val="24"/>
                <w:szCs w:val="24"/>
                <w:lang w:val="sr-Cyrl-BA"/>
              </w:rPr>
              <w:t>.</w:t>
            </w:r>
          </w:p>
          <w:p w14:paraId="68EC7126" w14:textId="5F2097E5" w:rsidR="00655BE9" w:rsidRPr="00F6340E" w:rsidRDefault="0071360A" w:rsidP="005746C7">
            <w:pPr>
              <w:pStyle w:val="HTMLPreformatted"/>
              <w:numPr>
                <w:ilvl w:val="0"/>
                <w:numId w:val="28"/>
              </w:numPr>
              <w:spacing w:line="276" w:lineRule="auto"/>
              <w:contextualSpacing/>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омоћи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миј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ком</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ници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ом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сту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ли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B04FA8">
              <w:rPr>
                <w:rStyle w:val="y2iqfc"/>
                <w:rFonts w:ascii="Arial" w:hAnsi="Arial" w:cs="Arial"/>
                <w:color w:val="202124"/>
                <w:sz w:val="24"/>
                <w:szCs w:val="24"/>
                <w:lang w:val="sr-Cyrl-BA"/>
              </w:rPr>
              <w:t xml:space="preserve"> са </w:t>
            </w:r>
            <w:r w:rsidR="00A56E08">
              <w:rPr>
                <w:rStyle w:val="y2iqfc"/>
                <w:rFonts w:ascii="Arial" w:hAnsi="Arial" w:cs="Arial"/>
                <w:color w:val="202124"/>
                <w:sz w:val="24"/>
                <w:szCs w:val="24"/>
                <w:lang w:val="sr-Cyrl-BA"/>
              </w:rPr>
              <w:t>д</w:t>
            </w:r>
            <w:r>
              <w:rPr>
                <w:rStyle w:val="y2iqfc"/>
                <w:rFonts w:ascii="Arial" w:hAnsi="Arial" w:cs="Arial"/>
                <w:color w:val="202124"/>
                <w:sz w:val="24"/>
                <w:szCs w:val="24"/>
                <w:lang w:val="sr-Cyrl-BA"/>
              </w:rPr>
              <w:t>ру</w:t>
            </w:r>
            <w:r w:rsidR="00A56E08">
              <w:rPr>
                <w:rStyle w:val="y2iqfc"/>
                <w:rFonts w:ascii="Arial" w:hAnsi="Arial" w:cs="Arial"/>
                <w:color w:val="202124"/>
                <w:sz w:val="24"/>
                <w:szCs w:val="24"/>
                <w:lang w:val="sr-Cyrl-BA"/>
              </w:rPr>
              <w:t>гима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пут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алних</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хнологија</w:t>
            </w:r>
            <w:r w:rsidR="00655BE9" w:rsidRPr="00F6340E">
              <w:rPr>
                <w:rStyle w:val="y2iqfc"/>
                <w:rFonts w:ascii="Arial" w:hAnsi="Arial" w:cs="Arial"/>
                <w:color w:val="202124"/>
                <w:sz w:val="24"/>
                <w:szCs w:val="24"/>
                <w:lang w:val="sr-Cyrl-BA"/>
              </w:rPr>
              <w:t>.</w:t>
            </w:r>
          </w:p>
          <w:p w14:paraId="51BDAD9F" w14:textId="7D7F0430" w:rsidR="00655BE9" w:rsidRPr="00F6340E" w:rsidRDefault="0071360A" w:rsidP="005746C7">
            <w:pPr>
              <w:pStyle w:val="HTMLPreformatted"/>
              <w:numPr>
                <w:ilvl w:val="0"/>
                <w:numId w:val="28"/>
              </w:numPr>
              <w:spacing w:line="276" w:lineRule="auto"/>
              <w:contextualSpacing/>
              <w:rPr>
                <w:rFonts w:ascii="Arial" w:hAnsi="Arial" w:cs="Arial"/>
                <w:color w:val="202124"/>
                <w:sz w:val="24"/>
                <w:szCs w:val="24"/>
                <w:lang w:val="sr-Cyrl-BA"/>
              </w:rPr>
            </w:pPr>
            <w:r>
              <w:rPr>
                <w:rFonts w:ascii="Arial" w:hAnsi="Arial" w:cs="Arial"/>
                <w:sz w:val="24"/>
                <w:szCs w:val="24"/>
                <w:lang w:val="sr-Cyrl-BA"/>
              </w:rPr>
              <w:t>П</w:t>
            </w:r>
            <w:r w:rsidR="00A56E08">
              <w:rPr>
                <w:rFonts w:ascii="Arial" w:hAnsi="Arial" w:cs="Arial"/>
                <w:sz w:val="24"/>
                <w:szCs w:val="24"/>
                <w:lang w:val="sr-Cyrl-BA"/>
              </w:rPr>
              <w:t>омоћи</w:t>
            </w:r>
            <w:r w:rsidR="00655BE9" w:rsidRPr="00F6340E">
              <w:rPr>
                <w:rFonts w:ascii="Arial" w:hAnsi="Arial" w:cs="Arial"/>
                <w:sz w:val="24"/>
                <w:szCs w:val="24"/>
                <w:lang w:val="sr-Cyrl-BA"/>
              </w:rPr>
              <w:t xml:space="preserve"> </w:t>
            </w:r>
            <w:r>
              <w:rPr>
                <w:rFonts w:ascii="Arial" w:hAnsi="Arial" w:cs="Arial"/>
                <w:sz w:val="24"/>
                <w:szCs w:val="24"/>
                <w:lang w:val="sr-Cyrl-BA"/>
              </w:rPr>
              <w:t>у</w:t>
            </w:r>
            <w:r w:rsidR="00A56E08">
              <w:rPr>
                <w:rFonts w:ascii="Arial" w:hAnsi="Arial" w:cs="Arial"/>
                <w:sz w:val="24"/>
                <w:szCs w:val="24"/>
                <w:lang w:val="sr-Cyrl-BA"/>
              </w:rPr>
              <w:t>ч</w:t>
            </w:r>
            <w:r w:rsidR="00EE6AA2">
              <w:rPr>
                <w:rFonts w:ascii="Arial" w:hAnsi="Arial" w:cs="Arial"/>
                <w:sz w:val="24"/>
                <w:szCs w:val="24"/>
                <w:lang w:val="sr-Cyrl-BA"/>
              </w:rPr>
              <w:t>е</w:t>
            </w:r>
            <w:r w:rsidR="00A56E08">
              <w:rPr>
                <w:rFonts w:ascii="Arial" w:hAnsi="Arial" w:cs="Arial"/>
                <w:sz w:val="24"/>
                <w:szCs w:val="24"/>
                <w:lang w:val="sr-Cyrl-BA"/>
              </w:rPr>
              <w:t>ницима</w:t>
            </w:r>
            <w:r w:rsidR="00655BE9" w:rsidRPr="00F6340E">
              <w:rPr>
                <w:rFonts w:ascii="Arial" w:hAnsi="Arial" w:cs="Arial"/>
                <w:sz w:val="24"/>
                <w:szCs w:val="24"/>
                <w:lang w:val="sr-Cyrl-BA"/>
              </w:rPr>
              <w:t>/</w:t>
            </w:r>
            <w:r>
              <w:rPr>
                <w:rFonts w:ascii="Arial" w:hAnsi="Arial" w:cs="Arial"/>
                <w:sz w:val="24"/>
                <w:szCs w:val="24"/>
                <w:lang w:val="sr-Cyrl-BA"/>
              </w:rPr>
              <w:t>сту</w:t>
            </w:r>
            <w:r w:rsidR="00A56E08">
              <w:rPr>
                <w:rFonts w:ascii="Arial" w:hAnsi="Arial" w:cs="Arial"/>
                <w:sz w:val="24"/>
                <w:szCs w:val="24"/>
                <w:lang w:val="sr-Cyrl-BA"/>
              </w:rPr>
              <w:t>д</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т</w:t>
            </w:r>
            <w:r w:rsidR="00A56E08">
              <w:rPr>
                <w:rFonts w:ascii="Arial" w:hAnsi="Arial" w:cs="Arial"/>
                <w:sz w:val="24"/>
                <w:szCs w:val="24"/>
                <w:lang w:val="sr-Cyrl-BA"/>
              </w:rPr>
              <w:t>има</w:t>
            </w:r>
            <w:r w:rsidR="00655BE9" w:rsidRPr="00F6340E">
              <w:rPr>
                <w:rFonts w:ascii="Arial" w:hAnsi="Arial" w:cs="Arial"/>
                <w:sz w:val="24"/>
                <w:szCs w:val="24"/>
                <w:lang w:val="sr-Cyrl-BA"/>
              </w:rPr>
              <w:t xml:space="preserve"> </w:t>
            </w:r>
            <w:r w:rsidR="00A56E08">
              <w:rPr>
                <w:rFonts w:ascii="Arial" w:hAnsi="Arial" w:cs="Arial"/>
                <w:sz w:val="24"/>
                <w:szCs w:val="24"/>
                <w:lang w:val="sr-Cyrl-BA"/>
              </w:rPr>
              <w:t>да</w:t>
            </w:r>
            <w:r w:rsidR="00655BE9" w:rsidRPr="00F6340E">
              <w:rPr>
                <w:rFonts w:ascii="Arial" w:hAnsi="Arial" w:cs="Arial"/>
                <w:sz w:val="24"/>
                <w:szCs w:val="24"/>
                <w:lang w:val="sr-Cyrl-BA"/>
              </w:rPr>
              <w:t xml:space="preserve"> </w:t>
            </w:r>
            <w:r>
              <w:rPr>
                <w:rFonts w:ascii="Arial" w:hAnsi="Arial" w:cs="Arial"/>
                <w:sz w:val="24"/>
                <w:szCs w:val="24"/>
                <w:lang w:val="sr-Cyrl-BA"/>
              </w:rPr>
              <w:t>р</w:t>
            </w:r>
            <w:r w:rsidR="00A56E08">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у</w:t>
            </w:r>
            <w:r w:rsidR="00A56E08">
              <w:rPr>
                <w:rFonts w:ascii="Arial" w:hAnsi="Arial" w:cs="Arial"/>
                <w:sz w:val="24"/>
                <w:szCs w:val="24"/>
                <w:lang w:val="sr-Cyrl-BA"/>
              </w:rPr>
              <w:t>миј</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в</w:t>
            </w:r>
            <w:r w:rsidR="00A56E08">
              <w:rPr>
                <w:rFonts w:ascii="Arial" w:hAnsi="Arial" w:cs="Arial"/>
                <w:sz w:val="24"/>
                <w:szCs w:val="24"/>
                <w:lang w:val="sr-Cyrl-BA"/>
              </w:rPr>
              <w:t>а</w:t>
            </w:r>
            <w:r w:rsidR="00171F00">
              <w:rPr>
                <w:rFonts w:ascii="Arial" w:hAnsi="Arial" w:cs="Arial"/>
                <w:sz w:val="24"/>
                <w:szCs w:val="24"/>
                <w:lang w:val="sr-Cyrl-BA"/>
              </w:rPr>
              <w:t>ж</w:t>
            </w:r>
            <w:r w:rsidR="00A56E08">
              <w:rPr>
                <w:rFonts w:ascii="Arial" w:hAnsi="Arial" w:cs="Arial"/>
                <w:sz w:val="24"/>
                <w:szCs w:val="24"/>
                <w:lang w:val="sr-Cyrl-BA"/>
              </w:rPr>
              <w:t>но</w:t>
            </w:r>
            <w:r>
              <w:rPr>
                <w:rFonts w:ascii="Arial" w:hAnsi="Arial" w:cs="Arial"/>
                <w:sz w:val="24"/>
                <w:szCs w:val="24"/>
                <w:lang w:val="sr-Cyrl-BA"/>
              </w:rPr>
              <w:t>ст</w:t>
            </w:r>
            <w:r w:rsidR="00655BE9" w:rsidRPr="00F6340E">
              <w:rPr>
                <w:rFonts w:ascii="Arial" w:hAnsi="Arial" w:cs="Arial"/>
                <w:sz w:val="24"/>
                <w:szCs w:val="24"/>
                <w:lang w:val="sr-Cyrl-BA"/>
              </w:rPr>
              <w:t xml:space="preserve"> </w:t>
            </w:r>
            <w:r w:rsidR="00A56E08">
              <w:rPr>
                <w:rFonts w:ascii="Arial" w:hAnsi="Arial" w:cs="Arial"/>
                <w:sz w:val="24"/>
                <w:szCs w:val="24"/>
                <w:lang w:val="sr-Cyrl-BA"/>
              </w:rPr>
              <w:t>ад</w:t>
            </w:r>
            <w:r w:rsidR="00EE6AA2">
              <w:rPr>
                <w:rFonts w:ascii="Arial" w:hAnsi="Arial" w:cs="Arial"/>
                <w:sz w:val="24"/>
                <w:szCs w:val="24"/>
                <w:lang w:val="sr-Cyrl-BA"/>
              </w:rPr>
              <w:t>е</w:t>
            </w:r>
            <w:r w:rsidR="00A56E08">
              <w:rPr>
                <w:rFonts w:ascii="Arial" w:hAnsi="Arial" w:cs="Arial"/>
                <w:sz w:val="24"/>
                <w:szCs w:val="24"/>
                <w:lang w:val="sr-Cyrl-BA"/>
              </w:rPr>
              <w:t>к</w:t>
            </w:r>
            <w:r>
              <w:rPr>
                <w:rFonts w:ascii="Arial" w:hAnsi="Arial" w:cs="Arial"/>
                <w:sz w:val="24"/>
                <w:szCs w:val="24"/>
                <w:lang w:val="sr-Cyrl-BA"/>
              </w:rPr>
              <w:t>в</w:t>
            </w:r>
            <w:r w:rsidR="00A56E08">
              <w:rPr>
                <w:rFonts w:ascii="Arial" w:hAnsi="Arial" w:cs="Arial"/>
                <w:sz w:val="24"/>
                <w:szCs w:val="24"/>
                <w:lang w:val="sr-Cyrl-BA"/>
              </w:rPr>
              <w:t>а</w:t>
            </w:r>
            <w:r>
              <w:rPr>
                <w:rFonts w:ascii="Arial" w:hAnsi="Arial" w:cs="Arial"/>
                <w:sz w:val="24"/>
                <w:szCs w:val="24"/>
                <w:lang w:val="sr-Cyrl-BA"/>
              </w:rPr>
              <w:t>т</w:t>
            </w:r>
            <w:r w:rsidR="00A56E08">
              <w:rPr>
                <w:rFonts w:ascii="Arial" w:hAnsi="Arial" w:cs="Arial"/>
                <w:sz w:val="24"/>
                <w:szCs w:val="24"/>
                <w:lang w:val="sr-Cyrl-BA"/>
              </w:rPr>
              <w:t>ног</w:t>
            </w:r>
            <w:r w:rsidR="00655BE9" w:rsidRPr="00F6340E">
              <w:rPr>
                <w:rFonts w:ascii="Arial" w:hAnsi="Arial" w:cs="Arial"/>
                <w:sz w:val="24"/>
                <w:szCs w:val="24"/>
                <w:lang w:val="sr-Cyrl-BA"/>
              </w:rPr>
              <w:t xml:space="preserve"> </w:t>
            </w:r>
            <w:r>
              <w:rPr>
                <w:rFonts w:ascii="Arial" w:hAnsi="Arial" w:cs="Arial"/>
                <w:sz w:val="24"/>
                <w:szCs w:val="24"/>
                <w:lang w:val="sr-Cyrl-BA"/>
              </w:rPr>
              <w:t>р</w:t>
            </w:r>
            <w:r w:rsidR="00EE6AA2">
              <w:rPr>
                <w:rFonts w:ascii="Arial" w:hAnsi="Arial" w:cs="Arial"/>
                <w:sz w:val="24"/>
                <w:szCs w:val="24"/>
                <w:lang w:val="sr-Cyrl-BA"/>
              </w:rPr>
              <w:t>е</w:t>
            </w:r>
            <w:r w:rsidR="00A56E08">
              <w:rPr>
                <w:rFonts w:ascii="Arial" w:hAnsi="Arial" w:cs="Arial"/>
                <w:sz w:val="24"/>
                <w:szCs w:val="24"/>
                <w:lang w:val="sr-Cyrl-BA"/>
              </w:rPr>
              <w:t>ф</w:t>
            </w:r>
            <w:r w:rsidR="00EE6AA2">
              <w:rPr>
                <w:rFonts w:ascii="Arial" w:hAnsi="Arial" w:cs="Arial"/>
                <w:sz w:val="24"/>
                <w:szCs w:val="24"/>
                <w:lang w:val="sr-Cyrl-BA"/>
              </w:rPr>
              <w:t>е</w:t>
            </w:r>
            <w:r>
              <w:rPr>
                <w:rFonts w:ascii="Arial" w:hAnsi="Arial" w:cs="Arial"/>
                <w:sz w:val="24"/>
                <w:szCs w:val="24"/>
                <w:lang w:val="sr-Cyrl-BA"/>
              </w:rPr>
              <w:t>р</w:t>
            </w:r>
            <w:r w:rsidR="00EE6AA2">
              <w:rPr>
                <w:rFonts w:ascii="Arial" w:hAnsi="Arial" w:cs="Arial"/>
                <w:sz w:val="24"/>
                <w:szCs w:val="24"/>
                <w:lang w:val="sr-Cyrl-BA"/>
              </w:rPr>
              <w:t>е</w:t>
            </w:r>
            <w:r w:rsidR="00A56E08">
              <w:rPr>
                <w:rFonts w:ascii="Arial" w:hAnsi="Arial" w:cs="Arial"/>
                <w:sz w:val="24"/>
                <w:szCs w:val="24"/>
                <w:lang w:val="sr-Cyrl-BA"/>
              </w:rPr>
              <w:t>нци</w:t>
            </w:r>
            <w:r>
              <w:rPr>
                <w:rFonts w:ascii="Arial" w:hAnsi="Arial" w:cs="Arial"/>
                <w:sz w:val="24"/>
                <w:szCs w:val="24"/>
                <w:lang w:val="sr-Cyrl-BA"/>
              </w:rPr>
              <w:t>р</w:t>
            </w:r>
            <w:r w:rsidR="00A56E08">
              <w:rPr>
                <w:rFonts w:ascii="Arial" w:hAnsi="Arial" w:cs="Arial"/>
                <w:sz w:val="24"/>
                <w:szCs w:val="24"/>
                <w:lang w:val="sr-Cyrl-BA"/>
              </w:rPr>
              <w:t>ања</w:t>
            </w:r>
            <w:r w:rsidR="00655BE9" w:rsidRPr="00F6340E">
              <w:rPr>
                <w:rFonts w:ascii="Arial" w:hAnsi="Arial" w:cs="Arial"/>
                <w:sz w:val="24"/>
                <w:szCs w:val="24"/>
                <w:lang w:val="sr-Cyrl-BA"/>
              </w:rPr>
              <w:t>.</w:t>
            </w:r>
          </w:p>
          <w:p w14:paraId="74BA9F66" w14:textId="1D075616" w:rsidR="00655BE9" w:rsidRPr="00F6340E" w:rsidRDefault="0071360A" w:rsidP="005746C7">
            <w:pPr>
              <w:pStyle w:val="HTMLPreformatted"/>
              <w:numPr>
                <w:ilvl w:val="0"/>
                <w:numId w:val="15"/>
              </w:numPr>
              <w:spacing w:line="276" w:lineRule="auto"/>
              <w:contextualSpacing/>
              <w:rPr>
                <w:rFonts w:ascii="Arial" w:hAnsi="Arial" w:cs="Arial"/>
                <w:color w:val="202124"/>
                <w:sz w:val="24"/>
                <w:szCs w:val="24"/>
                <w:lang w:val="sr-Cyrl-BA"/>
              </w:rPr>
            </w:pPr>
            <w:r>
              <w:rPr>
                <w:rFonts w:ascii="Arial" w:hAnsi="Arial" w:cs="Arial"/>
                <w:sz w:val="24"/>
                <w:szCs w:val="24"/>
                <w:lang w:val="sr-Cyrl-BA"/>
              </w:rPr>
              <w:t>Ус</w:t>
            </w:r>
            <w:r w:rsidR="00A56E08">
              <w:rPr>
                <w:rFonts w:ascii="Arial" w:hAnsi="Arial" w:cs="Arial"/>
                <w:sz w:val="24"/>
                <w:szCs w:val="24"/>
                <w:lang w:val="sr-Cyrl-BA"/>
              </w:rPr>
              <w:t>мј</w:t>
            </w:r>
            <w:r w:rsidR="00EE6AA2">
              <w:rPr>
                <w:rFonts w:ascii="Arial" w:hAnsi="Arial" w:cs="Arial"/>
                <w:sz w:val="24"/>
                <w:szCs w:val="24"/>
                <w:lang w:val="sr-Cyrl-BA"/>
              </w:rPr>
              <w:t>е</w:t>
            </w:r>
            <w:r>
              <w:rPr>
                <w:rFonts w:ascii="Arial" w:hAnsi="Arial" w:cs="Arial"/>
                <w:sz w:val="24"/>
                <w:szCs w:val="24"/>
                <w:lang w:val="sr-Cyrl-BA"/>
              </w:rPr>
              <w:t>р</w:t>
            </w:r>
            <w:r w:rsidR="00A56E08">
              <w:rPr>
                <w:rFonts w:ascii="Arial" w:hAnsi="Arial" w:cs="Arial"/>
                <w:sz w:val="24"/>
                <w:szCs w:val="24"/>
                <w:lang w:val="sr-Cyrl-BA"/>
              </w:rPr>
              <w:t>и</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у</w:t>
            </w:r>
            <w:r w:rsidR="00A56E08">
              <w:rPr>
                <w:rFonts w:ascii="Arial" w:hAnsi="Arial" w:cs="Arial"/>
                <w:sz w:val="24"/>
                <w:szCs w:val="24"/>
                <w:lang w:val="sr-Cyrl-BA"/>
              </w:rPr>
              <w:t>ч</w:t>
            </w:r>
            <w:r w:rsidR="00EE6AA2">
              <w:rPr>
                <w:rFonts w:ascii="Arial" w:hAnsi="Arial" w:cs="Arial"/>
                <w:sz w:val="24"/>
                <w:szCs w:val="24"/>
                <w:lang w:val="sr-Cyrl-BA"/>
              </w:rPr>
              <w:t>е</w:t>
            </w:r>
            <w:r w:rsidR="00A56E08">
              <w:rPr>
                <w:rFonts w:ascii="Arial" w:hAnsi="Arial" w:cs="Arial"/>
                <w:sz w:val="24"/>
                <w:szCs w:val="24"/>
                <w:lang w:val="sr-Cyrl-BA"/>
              </w:rPr>
              <w:t>ник</w:t>
            </w:r>
            <w:r w:rsidR="00EE6AA2">
              <w:rPr>
                <w:rFonts w:ascii="Arial" w:hAnsi="Arial" w:cs="Arial"/>
                <w:sz w:val="24"/>
                <w:szCs w:val="24"/>
                <w:lang w:val="sr-Cyrl-BA"/>
              </w:rPr>
              <w:t>е</w:t>
            </w:r>
            <w:r w:rsidR="00655BE9" w:rsidRPr="00F6340E">
              <w:rPr>
                <w:rFonts w:ascii="Arial" w:hAnsi="Arial" w:cs="Arial"/>
                <w:sz w:val="24"/>
                <w:szCs w:val="24"/>
                <w:lang w:val="sr-Cyrl-BA"/>
              </w:rPr>
              <w:t>/</w:t>
            </w:r>
            <w:r>
              <w:rPr>
                <w:rFonts w:ascii="Arial" w:hAnsi="Arial" w:cs="Arial"/>
                <w:sz w:val="24"/>
                <w:szCs w:val="24"/>
                <w:lang w:val="sr-Cyrl-BA"/>
              </w:rPr>
              <w:t>сту</w:t>
            </w:r>
            <w:r w:rsidR="00A56E08">
              <w:rPr>
                <w:rFonts w:ascii="Arial" w:hAnsi="Arial" w:cs="Arial"/>
                <w:sz w:val="24"/>
                <w:szCs w:val="24"/>
                <w:lang w:val="sr-Cyrl-BA"/>
              </w:rPr>
              <w:t>д</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т</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A56E08">
              <w:rPr>
                <w:rFonts w:ascii="Arial" w:hAnsi="Arial" w:cs="Arial"/>
                <w:sz w:val="24"/>
                <w:szCs w:val="24"/>
                <w:lang w:val="sr-Cyrl-BA"/>
              </w:rPr>
              <w:t>на</w:t>
            </w:r>
            <w:r w:rsidR="00655BE9"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имј</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у</w:t>
            </w:r>
            <w:r w:rsidR="00655BE9" w:rsidRPr="00F6340E">
              <w:rPr>
                <w:rFonts w:ascii="Arial" w:hAnsi="Arial" w:cs="Arial"/>
                <w:sz w:val="24"/>
                <w:szCs w:val="24"/>
                <w:lang w:val="sr-Cyrl-BA"/>
              </w:rPr>
              <w:t xml:space="preserve"> </w:t>
            </w:r>
            <w:r w:rsidR="00A56E08">
              <w:rPr>
                <w:rFonts w:ascii="Arial" w:hAnsi="Arial" w:cs="Arial"/>
                <w:sz w:val="24"/>
                <w:szCs w:val="24"/>
                <w:lang w:val="sr-Cyrl-BA"/>
              </w:rPr>
              <w:t>диги</w:t>
            </w:r>
            <w:r>
              <w:rPr>
                <w:rFonts w:ascii="Arial" w:hAnsi="Arial" w:cs="Arial"/>
                <w:sz w:val="24"/>
                <w:szCs w:val="24"/>
                <w:lang w:val="sr-Cyrl-BA"/>
              </w:rPr>
              <w:t>т</w:t>
            </w:r>
            <w:r w:rsidR="00A56E08">
              <w:rPr>
                <w:rFonts w:ascii="Arial" w:hAnsi="Arial" w:cs="Arial"/>
                <w:sz w:val="24"/>
                <w:szCs w:val="24"/>
                <w:lang w:val="sr-Cyrl-BA"/>
              </w:rPr>
              <w:t>алн</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т</w:t>
            </w:r>
            <w:r w:rsidR="00EE6AA2">
              <w:rPr>
                <w:rFonts w:ascii="Arial" w:hAnsi="Arial" w:cs="Arial"/>
                <w:sz w:val="24"/>
                <w:szCs w:val="24"/>
                <w:lang w:val="sr-Cyrl-BA"/>
              </w:rPr>
              <w:t>е</w:t>
            </w:r>
            <w:r w:rsidR="00A56E08">
              <w:rPr>
                <w:rFonts w:ascii="Arial" w:hAnsi="Arial" w:cs="Arial"/>
                <w:sz w:val="24"/>
                <w:szCs w:val="24"/>
                <w:lang w:val="sr-Cyrl-BA"/>
              </w:rPr>
              <w:t>хнологиј</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с</w:t>
            </w:r>
            <w:r w:rsidR="00A56E08">
              <w:rPr>
                <w:rFonts w:ascii="Arial" w:hAnsi="Arial" w:cs="Arial"/>
                <w:sz w:val="24"/>
                <w:szCs w:val="24"/>
                <w:lang w:val="sr-Cyrl-BA"/>
              </w:rPr>
              <w:t>а</w:t>
            </w:r>
            <w:r>
              <w:rPr>
                <w:rFonts w:ascii="Arial" w:hAnsi="Arial" w:cs="Arial"/>
                <w:sz w:val="24"/>
                <w:szCs w:val="24"/>
                <w:lang w:val="sr-Cyrl-BA"/>
              </w:rPr>
              <w:t>р</w:t>
            </w:r>
            <w:r w:rsidR="00A56E08">
              <w:rPr>
                <w:rFonts w:ascii="Arial" w:hAnsi="Arial" w:cs="Arial"/>
                <w:sz w:val="24"/>
                <w:szCs w:val="24"/>
                <w:lang w:val="sr-Cyrl-BA"/>
              </w:rPr>
              <w:t>адничк</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свр</w:t>
            </w:r>
            <w:r w:rsidR="00A56E08">
              <w:rPr>
                <w:rFonts w:ascii="Arial" w:hAnsi="Arial" w:cs="Arial"/>
                <w:sz w:val="24"/>
                <w:szCs w:val="24"/>
                <w:lang w:val="sr-Cyrl-BA"/>
              </w:rPr>
              <w:t>х</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p>
          <w:p w14:paraId="368208D0" w14:textId="24B021BA" w:rsidR="00655BE9" w:rsidRPr="00F6340E" w:rsidRDefault="0071360A" w:rsidP="005746C7">
            <w:pPr>
              <w:pStyle w:val="HTMLPreformatted"/>
              <w:numPr>
                <w:ilvl w:val="0"/>
                <w:numId w:val="15"/>
              </w:numPr>
              <w:spacing w:line="276" w:lineRule="auto"/>
              <w:contextualSpacing/>
              <w:rPr>
                <w:rFonts w:ascii="Arial" w:hAnsi="Arial" w:cs="Arial"/>
                <w:sz w:val="24"/>
                <w:szCs w:val="24"/>
                <w:lang w:val="sr-Cyrl-BA"/>
              </w:rPr>
            </w:pPr>
            <w:r>
              <w:rPr>
                <w:rFonts w:ascii="Arial" w:hAnsi="Arial" w:cs="Arial"/>
                <w:sz w:val="24"/>
                <w:szCs w:val="24"/>
                <w:lang w:val="sr-Cyrl-BA"/>
              </w:rPr>
              <w:t>Р</w:t>
            </w:r>
            <w:r w:rsidR="00A56E08">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у</w:t>
            </w:r>
            <w:r w:rsidR="00A56E08">
              <w:rPr>
                <w:rFonts w:ascii="Arial" w:hAnsi="Arial" w:cs="Arial"/>
                <w:sz w:val="24"/>
                <w:szCs w:val="24"/>
                <w:lang w:val="sr-Cyrl-BA"/>
              </w:rPr>
              <w:t>мј</w:t>
            </w:r>
            <w:r w:rsidR="00EE6AA2">
              <w:rPr>
                <w:rFonts w:ascii="Arial" w:hAnsi="Arial" w:cs="Arial"/>
                <w:sz w:val="24"/>
                <w:szCs w:val="24"/>
                <w:lang w:val="sr-Cyrl-BA"/>
              </w:rPr>
              <w:t>е</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sidR="00A56E08">
              <w:rPr>
                <w:rFonts w:ascii="Arial" w:hAnsi="Arial" w:cs="Arial"/>
                <w:sz w:val="24"/>
                <w:szCs w:val="24"/>
                <w:lang w:val="sr-Cyrl-BA"/>
              </w:rPr>
              <w:t>како</w:t>
            </w:r>
            <w:r w:rsidR="00655BE9" w:rsidRPr="00F6340E">
              <w:rPr>
                <w:rFonts w:ascii="Arial" w:hAnsi="Arial" w:cs="Arial"/>
                <w:sz w:val="24"/>
                <w:szCs w:val="24"/>
                <w:lang w:val="sr-Cyrl-BA"/>
              </w:rPr>
              <w:t xml:space="preserve"> </w:t>
            </w:r>
            <w:r>
              <w:rPr>
                <w:rFonts w:ascii="Arial" w:hAnsi="Arial" w:cs="Arial"/>
                <w:sz w:val="24"/>
                <w:szCs w:val="24"/>
                <w:lang w:val="sr-Cyrl-BA"/>
              </w:rPr>
              <w:t>у</w:t>
            </w:r>
            <w:r w:rsidR="00A56E08">
              <w:rPr>
                <w:rFonts w:ascii="Arial" w:hAnsi="Arial" w:cs="Arial"/>
                <w:sz w:val="24"/>
                <w:szCs w:val="24"/>
                <w:lang w:val="sr-Cyrl-BA"/>
              </w:rPr>
              <w:t>ч</w:t>
            </w:r>
            <w:r w:rsidR="00EE6AA2">
              <w:rPr>
                <w:rFonts w:ascii="Arial" w:hAnsi="Arial" w:cs="Arial"/>
                <w:sz w:val="24"/>
                <w:szCs w:val="24"/>
                <w:lang w:val="sr-Cyrl-BA"/>
              </w:rPr>
              <w:t>е</w:t>
            </w:r>
            <w:r w:rsidR="00A56E08">
              <w:rPr>
                <w:rFonts w:ascii="Arial" w:hAnsi="Arial" w:cs="Arial"/>
                <w:sz w:val="24"/>
                <w:szCs w:val="24"/>
                <w:lang w:val="sr-Cyrl-BA"/>
              </w:rPr>
              <w:t>ници</w:t>
            </w:r>
            <w:r w:rsidR="00655BE9" w:rsidRPr="00F6340E">
              <w:rPr>
                <w:rFonts w:ascii="Arial" w:hAnsi="Arial" w:cs="Arial"/>
                <w:sz w:val="24"/>
                <w:szCs w:val="24"/>
                <w:lang w:val="sr-Cyrl-BA"/>
              </w:rPr>
              <w:t>/</w:t>
            </w:r>
            <w:r>
              <w:rPr>
                <w:rFonts w:ascii="Arial" w:hAnsi="Arial" w:cs="Arial"/>
                <w:sz w:val="24"/>
                <w:szCs w:val="24"/>
                <w:lang w:val="sr-Cyrl-BA"/>
              </w:rPr>
              <w:t>сту</w:t>
            </w:r>
            <w:r w:rsidR="00A56E08">
              <w:rPr>
                <w:rFonts w:ascii="Arial" w:hAnsi="Arial" w:cs="Arial"/>
                <w:sz w:val="24"/>
                <w:szCs w:val="24"/>
                <w:lang w:val="sr-Cyrl-BA"/>
              </w:rPr>
              <w:t>д</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sidR="00A56E08">
              <w:rPr>
                <w:rFonts w:ascii="Arial" w:hAnsi="Arial" w:cs="Arial"/>
                <w:sz w:val="24"/>
                <w:szCs w:val="24"/>
                <w:lang w:val="sr-Cyrl-BA"/>
              </w:rPr>
              <w:t>мог</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уп</w:t>
            </w:r>
            <w:r w:rsidR="00A56E08">
              <w:rPr>
                <w:rFonts w:ascii="Arial" w:hAnsi="Arial" w:cs="Arial"/>
                <w:sz w:val="24"/>
                <w:szCs w:val="24"/>
                <w:lang w:val="sr-Cyrl-BA"/>
              </w:rPr>
              <w:t>о</w:t>
            </w:r>
            <w:r>
              <w:rPr>
                <w:rFonts w:ascii="Arial" w:hAnsi="Arial" w:cs="Arial"/>
                <w:sz w:val="24"/>
                <w:szCs w:val="24"/>
                <w:lang w:val="sr-Cyrl-BA"/>
              </w:rPr>
              <w:t>тр</w:t>
            </w:r>
            <w:r w:rsidR="00A56E08">
              <w:rPr>
                <w:rFonts w:ascii="Arial" w:hAnsi="Arial" w:cs="Arial"/>
                <w:sz w:val="24"/>
                <w:szCs w:val="24"/>
                <w:lang w:val="sr-Cyrl-BA"/>
              </w:rPr>
              <w:t>иј</w:t>
            </w:r>
            <w:r w:rsidR="00EE6AA2">
              <w:rPr>
                <w:rFonts w:ascii="Arial" w:hAnsi="Arial" w:cs="Arial"/>
                <w:sz w:val="24"/>
                <w:szCs w:val="24"/>
                <w:lang w:val="sr-Cyrl-BA"/>
              </w:rPr>
              <w:t>е</w:t>
            </w:r>
            <w:r w:rsidR="00A56E08">
              <w:rPr>
                <w:rFonts w:ascii="Arial" w:hAnsi="Arial" w:cs="Arial"/>
                <w:sz w:val="24"/>
                <w:szCs w:val="24"/>
                <w:lang w:val="sr-Cyrl-BA"/>
              </w:rPr>
              <w:t>би</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sidR="00A56E08">
              <w:rPr>
                <w:rFonts w:ascii="Arial" w:hAnsi="Arial" w:cs="Arial"/>
                <w:sz w:val="24"/>
                <w:szCs w:val="24"/>
                <w:lang w:val="sr-Cyrl-BA"/>
              </w:rPr>
              <w:t>диги</w:t>
            </w:r>
            <w:r>
              <w:rPr>
                <w:rFonts w:ascii="Arial" w:hAnsi="Arial" w:cs="Arial"/>
                <w:sz w:val="24"/>
                <w:szCs w:val="24"/>
                <w:lang w:val="sr-Cyrl-BA"/>
              </w:rPr>
              <w:t>т</w:t>
            </w:r>
            <w:r w:rsidR="00A56E08">
              <w:rPr>
                <w:rFonts w:ascii="Arial" w:hAnsi="Arial" w:cs="Arial"/>
                <w:sz w:val="24"/>
                <w:szCs w:val="24"/>
                <w:lang w:val="sr-Cyrl-BA"/>
              </w:rPr>
              <w:t>алн</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т</w:t>
            </w:r>
            <w:r w:rsidR="00EE6AA2">
              <w:rPr>
                <w:rFonts w:ascii="Arial" w:hAnsi="Arial" w:cs="Arial"/>
                <w:sz w:val="24"/>
                <w:szCs w:val="24"/>
                <w:lang w:val="sr-Cyrl-BA"/>
              </w:rPr>
              <w:t>е</w:t>
            </w:r>
            <w:r w:rsidR="00A56E08">
              <w:rPr>
                <w:rFonts w:ascii="Arial" w:hAnsi="Arial" w:cs="Arial"/>
                <w:sz w:val="24"/>
                <w:szCs w:val="24"/>
                <w:lang w:val="sr-Cyrl-BA"/>
              </w:rPr>
              <w:t>хнологиј</w:t>
            </w:r>
            <w:r>
              <w:rPr>
                <w:rFonts w:ascii="Arial" w:hAnsi="Arial" w:cs="Arial"/>
                <w:sz w:val="24"/>
                <w:szCs w:val="24"/>
                <w:lang w:val="sr-Cyrl-BA"/>
              </w:rPr>
              <w:t>у</w:t>
            </w:r>
            <w:r w:rsidR="00655BE9"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w:t>
            </w:r>
            <w:r w:rsidR="00655BE9"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ај</w:t>
            </w:r>
            <w:r w:rsidR="00EE6AA2">
              <w:rPr>
                <w:rFonts w:ascii="Arial" w:hAnsi="Arial" w:cs="Arial"/>
                <w:sz w:val="24"/>
                <w:szCs w:val="24"/>
                <w:lang w:val="sr-Cyrl-BA"/>
              </w:rPr>
              <w:t>е</w:t>
            </w:r>
            <w:r w:rsidR="00A56E08">
              <w:rPr>
                <w:rFonts w:ascii="Arial" w:hAnsi="Arial" w:cs="Arial"/>
                <w:sz w:val="24"/>
                <w:szCs w:val="24"/>
                <w:lang w:val="sr-Cyrl-BA"/>
              </w:rPr>
              <w:t>дничк</w:t>
            </w:r>
            <w:r>
              <w:rPr>
                <w:rFonts w:ascii="Arial" w:hAnsi="Arial" w:cs="Arial"/>
                <w:sz w:val="24"/>
                <w:szCs w:val="24"/>
                <w:lang w:val="sr-Cyrl-BA"/>
              </w:rPr>
              <w:t>у</w:t>
            </w:r>
            <w:r w:rsidR="00655BE9" w:rsidRPr="00F6340E">
              <w:rPr>
                <w:rFonts w:ascii="Arial" w:hAnsi="Arial" w:cs="Arial"/>
                <w:sz w:val="24"/>
                <w:szCs w:val="24"/>
                <w:lang w:val="sr-Cyrl-BA"/>
              </w:rPr>
              <w:t xml:space="preserve"> </w:t>
            </w:r>
            <w:r w:rsidR="00A56E08">
              <w:rPr>
                <w:rFonts w:ascii="Arial" w:hAnsi="Arial" w:cs="Arial"/>
                <w:sz w:val="24"/>
                <w:szCs w:val="24"/>
                <w:lang w:val="sr-Cyrl-BA"/>
              </w:rPr>
              <w:t>кон</w:t>
            </w:r>
            <w:r>
              <w:rPr>
                <w:rFonts w:ascii="Arial" w:hAnsi="Arial" w:cs="Arial"/>
                <w:sz w:val="24"/>
                <w:szCs w:val="24"/>
                <w:lang w:val="sr-Cyrl-BA"/>
              </w:rPr>
              <w:t>стру</w:t>
            </w:r>
            <w:r w:rsidR="00A56E08">
              <w:rPr>
                <w:rFonts w:ascii="Arial" w:hAnsi="Arial" w:cs="Arial"/>
                <w:sz w:val="24"/>
                <w:szCs w:val="24"/>
                <w:lang w:val="sr-Cyrl-BA"/>
              </w:rPr>
              <w:t>кциј</w:t>
            </w:r>
            <w:r>
              <w:rPr>
                <w:rFonts w:ascii="Arial" w:hAnsi="Arial" w:cs="Arial"/>
                <w:sz w:val="24"/>
                <w:szCs w:val="24"/>
                <w:lang w:val="sr-Cyrl-BA"/>
              </w:rPr>
              <w:t>у</w:t>
            </w:r>
            <w:r w:rsidR="00655BE9" w:rsidRPr="00F6340E">
              <w:rPr>
                <w:rFonts w:ascii="Arial" w:hAnsi="Arial" w:cs="Arial"/>
                <w:sz w:val="24"/>
                <w:szCs w:val="24"/>
                <w:lang w:val="sr-Cyrl-BA"/>
              </w:rPr>
              <w:t xml:space="preserve"> </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ств</w:t>
            </w:r>
            <w:r w:rsidR="00A56E08">
              <w:rPr>
                <w:rFonts w:ascii="Arial" w:hAnsi="Arial" w:cs="Arial"/>
                <w:sz w:val="24"/>
                <w:szCs w:val="24"/>
                <w:lang w:val="sr-Cyrl-BA"/>
              </w:rPr>
              <w:t>а</w:t>
            </w:r>
            <w:r>
              <w:rPr>
                <w:rFonts w:ascii="Arial" w:hAnsi="Arial" w:cs="Arial"/>
                <w:sz w:val="24"/>
                <w:szCs w:val="24"/>
                <w:lang w:val="sr-Cyrl-BA"/>
              </w:rPr>
              <w:t>р</w:t>
            </w:r>
            <w:r w:rsidR="00A56E08">
              <w:rPr>
                <w:rFonts w:ascii="Arial" w:hAnsi="Arial" w:cs="Arial"/>
                <w:sz w:val="24"/>
                <w:szCs w:val="24"/>
                <w:lang w:val="sr-Cyrl-BA"/>
              </w:rPr>
              <w:t>ањ</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р</w:t>
            </w:r>
            <w:r w:rsidR="00EE6AA2">
              <w:rPr>
                <w:rFonts w:ascii="Arial" w:hAnsi="Arial" w:cs="Arial"/>
                <w:sz w:val="24"/>
                <w:szCs w:val="24"/>
                <w:lang w:val="sr-Cyrl-BA"/>
              </w:rPr>
              <w:t>е</w:t>
            </w:r>
            <w:r>
              <w:rPr>
                <w:rFonts w:ascii="Arial" w:hAnsi="Arial" w:cs="Arial"/>
                <w:sz w:val="24"/>
                <w:szCs w:val="24"/>
                <w:lang w:val="sr-Cyrl-BA"/>
              </w:rPr>
              <w:t>сурс</w:t>
            </w:r>
            <w:r w:rsidR="00A56E08">
              <w:rPr>
                <w:rFonts w:ascii="Arial" w:hAnsi="Arial" w:cs="Arial"/>
                <w:sz w:val="24"/>
                <w:szCs w:val="24"/>
                <w:lang w:val="sr-Cyrl-BA"/>
              </w:rPr>
              <w:t>а</w:t>
            </w:r>
            <w:r w:rsidR="00655BE9" w:rsidRPr="00F6340E">
              <w:rPr>
                <w:rFonts w:ascii="Arial" w:hAnsi="Arial" w:cs="Arial"/>
                <w:sz w:val="24"/>
                <w:szCs w:val="24"/>
                <w:lang w:val="sr-Cyrl-BA"/>
              </w:rPr>
              <w:t xml:space="preserve"> </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нања</w:t>
            </w:r>
            <w:r w:rsidR="00655BE9" w:rsidRPr="00F6340E">
              <w:rPr>
                <w:rFonts w:ascii="Arial" w:hAnsi="Arial" w:cs="Arial"/>
                <w:sz w:val="24"/>
                <w:szCs w:val="24"/>
                <w:lang w:val="sr-Cyrl-BA"/>
              </w:rPr>
              <w:t>.</w:t>
            </w:r>
          </w:p>
          <w:p w14:paraId="3598D7AC" w14:textId="01C3500F" w:rsidR="00655BE9" w:rsidRPr="00F6340E" w:rsidRDefault="00A56E08" w:rsidP="005746C7">
            <w:pPr>
              <w:pStyle w:val="HTMLPreformatted"/>
              <w:numPr>
                <w:ilvl w:val="0"/>
                <w:numId w:val="15"/>
              </w:numPr>
              <w:spacing w:line="276" w:lineRule="auto"/>
              <w:contextualSpacing/>
              <w:rPr>
                <w:rFonts w:ascii="Arial" w:hAnsi="Arial" w:cs="Arial"/>
                <w:sz w:val="24"/>
                <w:szCs w:val="24"/>
                <w:lang w:val="sr-Cyrl-BA"/>
              </w:rPr>
            </w:pPr>
            <w:r>
              <w:rPr>
                <w:rFonts w:ascii="Arial" w:hAnsi="Arial" w:cs="Arial"/>
                <w:sz w:val="24"/>
                <w:szCs w:val="24"/>
                <w:lang w:val="sr-Cyrl-BA"/>
              </w:rPr>
              <w:t>Обја</w:t>
            </w:r>
            <w:r w:rsidR="0071360A">
              <w:rPr>
                <w:rFonts w:ascii="Arial" w:hAnsi="Arial" w:cs="Arial"/>
                <w:sz w:val="24"/>
                <w:szCs w:val="24"/>
                <w:lang w:val="sr-Cyrl-BA"/>
              </w:rPr>
              <w:t>с</w:t>
            </w:r>
            <w:r>
              <w:rPr>
                <w:rFonts w:ascii="Arial" w:hAnsi="Arial" w:cs="Arial"/>
                <w:sz w:val="24"/>
                <w:szCs w:val="24"/>
                <w:lang w:val="sr-Cyrl-BA"/>
              </w:rPr>
              <w:t>ни</w:t>
            </w:r>
            <w:r w:rsidR="0071360A">
              <w:rPr>
                <w:rFonts w:ascii="Arial" w:hAnsi="Arial" w:cs="Arial"/>
                <w:sz w:val="24"/>
                <w:szCs w:val="24"/>
                <w:lang w:val="sr-Cyrl-BA"/>
              </w:rPr>
              <w:t>т</w:t>
            </w:r>
            <w:r>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ко</w:t>
            </w:r>
            <w:r w:rsidR="0071360A">
              <w:rPr>
                <w:rFonts w:ascii="Arial" w:hAnsi="Arial" w:cs="Arial"/>
                <w:sz w:val="24"/>
                <w:szCs w:val="24"/>
                <w:lang w:val="sr-Cyrl-BA"/>
              </w:rPr>
              <w:t>р</w:t>
            </w:r>
            <w:r>
              <w:rPr>
                <w:rFonts w:ascii="Arial" w:hAnsi="Arial" w:cs="Arial"/>
                <w:sz w:val="24"/>
                <w:szCs w:val="24"/>
                <w:lang w:val="sr-Cyrl-BA"/>
              </w:rPr>
              <w:t>и</w:t>
            </w:r>
            <w:r w:rsidR="0071360A">
              <w:rPr>
                <w:rFonts w:ascii="Arial" w:hAnsi="Arial" w:cs="Arial"/>
                <w:sz w:val="24"/>
                <w:szCs w:val="24"/>
                <w:lang w:val="sr-Cyrl-BA"/>
              </w:rPr>
              <w:t>с</w:t>
            </w:r>
            <w:r>
              <w:rPr>
                <w:rFonts w:ascii="Arial" w:hAnsi="Arial" w:cs="Arial"/>
                <w:sz w:val="24"/>
                <w:szCs w:val="24"/>
                <w:lang w:val="sr-Cyrl-BA"/>
              </w:rPr>
              <w:t>ницима</w:t>
            </w:r>
            <w:r w:rsidR="00655BE9" w:rsidRPr="00F6340E">
              <w:rPr>
                <w:rFonts w:ascii="Arial" w:hAnsi="Arial" w:cs="Arial"/>
                <w:sz w:val="24"/>
                <w:szCs w:val="24"/>
                <w:lang w:val="sr-Cyrl-BA"/>
              </w:rPr>
              <w:t xml:space="preserve"> </w:t>
            </w:r>
            <w:r>
              <w:rPr>
                <w:rFonts w:ascii="Arial" w:hAnsi="Arial" w:cs="Arial"/>
                <w:sz w:val="24"/>
                <w:szCs w:val="24"/>
                <w:lang w:val="sr-Cyrl-BA"/>
              </w:rPr>
              <w:t>како</w:t>
            </w:r>
            <w:r w:rsidR="00655BE9" w:rsidRPr="00F6340E">
              <w:rPr>
                <w:rFonts w:ascii="Arial" w:hAnsi="Arial" w:cs="Arial"/>
                <w:sz w:val="24"/>
                <w:szCs w:val="24"/>
                <w:lang w:val="sr-Cyrl-BA"/>
              </w:rPr>
              <w:t xml:space="preserve"> </w:t>
            </w:r>
            <w:r w:rsidR="0071360A">
              <w:rPr>
                <w:rFonts w:ascii="Arial" w:hAnsi="Arial" w:cs="Arial"/>
                <w:sz w:val="24"/>
                <w:szCs w:val="24"/>
                <w:lang w:val="sr-Cyrl-BA"/>
              </w:rPr>
              <w:t>уп</w:t>
            </w:r>
            <w:r>
              <w:rPr>
                <w:rFonts w:ascii="Arial" w:hAnsi="Arial" w:cs="Arial"/>
                <w:sz w:val="24"/>
                <w:szCs w:val="24"/>
                <w:lang w:val="sr-Cyrl-BA"/>
              </w:rPr>
              <w:t>о</w:t>
            </w:r>
            <w:r w:rsidR="0071360A">
              <w:rPr>
                <w:rFonts w:ascii="Arial" w:hAnsi="Arial" w:cs="Arial"/>
                <w:sz w:val="24"/>
                <w:szCs w:val="24"/>
                <w:lang w:val="sr-Cyrl-BA"/>
              </w:rPr>
              <w:t>тр</w:t>
            </w:r>
            <w:r>
              <w:rPr>
                <w:rFonts w:ascii="Arial" w:hAnsi="Arial" w:cs="Arial"/>
                <w:sz w:val="24"/>
                <w:szCs w:val="24"/>
                <w:lang w:val="sr-Cyrl-BA"/>
              </w:rPr>
              <w:t>иј</w:t>
            </w:r>
            <w:r w:rsidR="00EE6AA2">
              <w:rPr>
                <w:rFonts w:ascii="Arial" w:hAnsi="Arial" w:cs="Arial"/>
                <w:sz w:val="24"/>
                <w:szCs w:val="24"/>
                <w:lang w:val="sr-Cyrl-BA"/>
              </w:rPr>
              <w:t>е</w:t>
            </w:r>
            <w:r>
              <w:rPr>
                <w:rFonts w:ascii="Arial" w:hAnsi="Arial" w:cs="Arial"/>
                <w:sz w:val="24"/>
                <w:szCs w:val="24"/>
                <w:lang w:val="sr-Cyrl-BA"/>
              </w:rPr>
              <w:t>би</w:t>
            </w:r>
            <w:r w:rsidR="0071360A">
              <w:rPr>
                <w:rFonts w:ascii="Arial" w:hAnsi="Arial" w:cs="Arial"/>
                <w:sz w:val="24"/>
                <w:szCs w:val="24"/>
                <w:lang w:val="sr-Cyrl-BA"/>
              </w:rPr>
              <w:t>т</w:t>
            </w:r>
            <w:r>
              <w:rPr>
                <w:rFonts w:ascii="Arial" w:hAnsi="Arial" w:cs="Arial"/>
                <w:sz w:val="24"/>
                <w:szCs w:val="24"/>
                <w:lang w:val="sr-Cyrl-BA"/>
              </w:rPr>
              <w:t>и</w:t>
            </w:r>
            <w:r w:rsidR="00655BE9" w:rsidRPr="00F6340E">
              <w:rPr>
                <w:rFonts w:ascii="Arial" w:hAnsi="Arial" w:cs="Arial"/>
                <w:sz w:val="24"/>
                <w:szCs w:val="24"/>
                <w:lang w:val="sr-Cyrl-BA"/>
              </w:rPr>
              <w:t xml:space="preserve"> </w:t>
            </w:r>
            <w:r w:rsidR="0071360A">
              <w:rPr>
                <w:rFonts w:ascii="Arial" w:hAnsi="Arial" w:cs="Arial"/>
                <w:sz w:val="24"/>
                <w:szCs w:val="24"/>
                <w:lang w:val="sr-Cyrl-BA"/>
              </w:rPr>
              <w:t>п</w:t>
            </w:r>
            <w:r>
              <w:rPr>
                <w:rFonts w:ascii="Arial" w:hAnsi="Arial" w:cs="Arial"/>
                <w:sz w:val="24"/>
                <w:szCs w:val="24"/>
                <w:lang w:val="sr-Cyrl-BA"/>
              </w:rPr>
              <w:t>ода</w:t>
            </w:r>
            <w:r w:rsidR="0071360A">
              <w:rPr>
                <w:rFonts w:ascii="Arial" w:hAnsi="Arial" w:cs="Arial"/>
                <w:sz w:val="24"/>
                <w:szCs w:val="24"/>
                <w:lang w:val="sr-Cyrl-BA"/>
              </w:rPr>
              <w:t>т</w:t>
            </w:r>
            <w:r>
              <w:rPr>
                <w:rFonts w:ascii="Arial" w:hAnsi="Arial" w:cs="Arial"/>
                <w:sz w:val="24"/>
                <w:szCs w:val="24"/>
                <w:lang w:val="sr-Cyrl-BA"/>
              </w:rPr>
              <w:t>к</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на</w:t>
            </w:r>
            <w:r w:rsidR="0071360A">
              <w:rPr>
                <w:rFonts w:ascii="Arial" w:hAnsi="Arial" w:cs="Arial"/>
                <w:sz w:val="24"/>
                <w:szCs w:val="24"/>
                <w:lang w:val="sr-Cyrl-BA"/>
              </w:rPr>
              <w:t>ст</w:t>
            </w:r>
            <w:r>
              <w:rPr>
                <w:rFonts w:ascii="Arial" w:hAnsi="Arial" w:cs="Arial"/>
                <w:sz w:val="24"/>
                <w:szCs w:val="24"/>
                <w:lang w:val="sr-Cyrl-BA"/>
              </w:rPr>
              <w:t>ал</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к</w:t>
            </w:r>
            <w:r w:rsidR="0071360A">
              <w:rPr>
                <w:rFonts w:ascii="Arial" w:hAnsi="Arial" w:cs="Arial"/>
                <w:sz w:val="24"/>
                <w:szCs w:val="24"/>
                <w:lang w:val="sr-Cyrl-BA"/>
              </w:rPr>
              <w:t>р</w:t>
            </w:r>
            <w:r>
              <w:rPr>
                <w:rFonts w:ascii="Arial" w:hAnsi="Arial" w:cs="Arial"/>
                <w:sz w:val="24"/>
                <w:szCs w:val="24"/>
                <w:lang w:val="sr-Cyrl-BA"/>
              </w:rPr>
              <w:t>о</w:t>
            </w:r>
            <w:r w:rsidR="00171F00">
              <w:rPr>
                <w:rFonts w:ascii="Arial" w:hAnsi="Arial" w:cs="Arial"/>
                <w:sz w:val="24"/>
                <w:szCs w:val="24"/>
                <w:lang w:val="sr-Cyrl-BA"/>
              </w:rPr>
              <w:t>з</w:t>
            </w:r>
            <w:r w:rsidR="00655BE9" w:rsidRPr="00F6340E">
              <w:rPr>
                <w:rFonts w:ascii="Arial" w:hAnsi="Arial" w:cs="Arial"/>
                <w:sz w:val="24"/>
                <w:szCs w:val="24"/>
                <w:lang w:val="sr-Cyrl-BA"/>
              </w:rPr>
              <w:t xml:space="preserve"> </w:t>
            </w:r>
            <w:r w:rsidR="0071360A">
              <w:rPr>
                <w:rFonts w:ascii="Arial" w:hAnsi="Arial" w:cs="Arial"/>
                <w:sz w:val="24"/>
                <w:szCs w:val="24"/>
                <w:lang w:val="sr-Cyrl-BA"/>
              </w:rPr>
              <w:t>р</w:t>
            </w:r>
            <w:r>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личи</w:t>
            </w:r>
            <w:r w:rsidR="0071360A">
              <w:rPr>
                <w:rFonts w:ascii="Arial" w:hAnsi="Arial" w:cs="Arial"/>
                <w:sz w:val="24"/>
                <w:szCs w:val="24"/>
                <w:lang w:val="sr-Cyrl-BA"/>
              </w:rPr>
              <w:t>т</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диги</w:t>
            </w:r>
            <w:r w:rsidR="0071360A">
              <w:rPr>
                <w:rFonts w:ascii="Arial" w:hAnsi="Arial" w:cs="Arial"/>
                <w:sz w:val="24"/>
                <w:szCs w:val="24"/>
                <w:lang w:val="sr-Cyrl-BA"/>
              </w:rPr>
              <w:t>т</w:t>
            </w:r>
            <w:r>
              <w:rPr>
                <w:rFonts w:ascii="Arial" w:hAnsi="Arial" w:cs="Arial"/>
                <w:sz w:val="24"/>
                <w:szCs w:val="24"/>
                <w:lang w:val="sr-Cyrl-BA"/>
              </w:rPr>
              <w:t>алн</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71360A">
              <w:rPr>
                <w:rFonts w:ascii="Arial" w:hAnsi="Arial" w:cs="Arial"/>
                <w:sz w:val="24"/>
                <w:szCs w:val="24"/>
                <w:lang w:val="sr-Cyrl-BA"/>
              </w:rPr>
              <w:t>т</w:t>
            </w:r>
            <w:r w:rsidR="00EE6AA2">
              <w:rPr>
                <w:rFonts w:ascii="Arial" w:hAnsi="Arial" w:cs="Arial"/>
                <w:sz w:val="24"/>
                <w:szCs w:val="24"/>
                <w:lang w:val="sr-Cyrl-BA"/>
              </w:rPr>
              <w:t>е</w:t>
            </w:r>
            <w:r>
              <w:rPr>
                <w:rFonts w:ascii="Arial" w:hAnsi="Arial" w:cs="Arial"/>
                <w:sz w:val="24"/>
                <w:szCs w:val="24"/>
                <w:lang w:val="sr-Cyrl-BA"/>
              </w:rPr>
              <w:t>хнологиј</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ок</w:t>
            </w:r>
            <w:r w:rsidR="0071360A">
              <w:rPr>
                <w:rFonts w:ascii="Arial" w:hAnsi="Arial" w:cs="Arial"/>
                <w:sz w:val="24"/>
                <w:szCs w:val="24"/>
                <w:lang w:val="sr-Cyrl-BA"/>
              </w:rPr>
              <w:t>ру</w:t>
            </w:r>
            <w:r w:rsidR="00171F00">
              <w:rPr>
                <w:rFonts w:ascii="Arial" w:hAnsi="Arial" w:cs="Arial"/>
                <w:sz w:val="24"/>
                <w:szCs w:val="24"/>
                <w:lang w:val="sr-Cyrl-BA"/>
              </w:rPr>
              <w:t>ж</w:t>
            </w:r>
            <w:r w:rsidR="00EE6AA2">
              <w:rPr>
                <w:rFonts w:ascii="Arial" w:hAnsi="Arial" w:cs="Arial"/>
                <w:sz w:val="24"/>
                <w:szCs w:val="24"/>
                <w:lang w:val="sr-Cyrl-BA"/>
              </w:rPr>
              <w:t>е</w:t>
            </w:r>
            <w:r>
              <w:rPr>
                <w:rFonts w:ascii="Arial" w:hAnsi="Arial" w:cs="Arial"/>
                <w:sz w:val="24"/>
                <w:szCs w:val="24"/>
                <w:lang w:val="sr-Cyrl-BA"/>
              </w:rPr>
              <w:t>ња</w:t>
            </w:r>
            <w:r w:rsidR="00655BE9" w:rsidRPr="00F6340E">
              <w:rPr>
                <w:rFonts w:ascii="Arial" w:hAnsi="Arial" w:cs="Arial"/>
                <w:sz w:val="24"/>
                <w:szCs w:val="24"/>
                <w:lang w:val="sr-Cyrl-BA"/>
              </w:rPr>
              <w:t xml:space="preserve"> </w:t>
            </w:r>
            <w:r>
              <w:rPr>
                <w:rFonts w:ascii="Arial" w:hAnsi="Arial" w:cs="Arial"/>
                <w:sz w:val="24"/>
                <w:szCs w:val="24"/>
                <w:lang w:val="sr-Cyrl-BA"/>
              </w:rPr>
              <w:t>и</w:t>
            </w:r>
            <w:r w:rsidR="00655BE9" w:rsidRPr="00F6340E">
              <w:rPr>
                <w:rFonts w:ascii="Arial" w:hAnsi="Arial" w:cs="Arial"/>
                <w:sz w:val="24"/>
                <w:szCs w:val="24"/>
                <w:lang w:val="sr-Cyrl-BA"/>
              </w:rPr>
              <w:t xml:space="preserve"> </w:t>
            </w:r>
            <w:r w:rsidR="0071360A">
              <w:rPr>
                <w:rFonts w:ascii="Arial" w:hAnsi="Arial" w:cs="Arial"/>
                <w:sz w:val="24"/>
                <w:szCs w:val="24"/>
                <w:lang w:val="sr-Cyrl-BA"/>
              </w:rPr>
              <w:t>ус</w:t>
            </w:r>
            <w:r>
              <w:rPr>
                <w:rFonts w:ascii="Arial" w:hAnsi="Arial" w:cs="Arial"/>
                <w:sz w:val="24"/>
                <w:szCs w:val="24"/>
                <w:lang w:val="sr-Cyrl-BA"/>
              </w:rPr>
              <w:t>л</w:t>
            </w:r>
            <w:r w:rsidR="0071360A">
              <w:rPr>
                <w:rFonts w:ascii="Arial" w:hAnsi="Arial" w:cs="Arial"/>
                <w:sz w:val="24"/>
                <w:szCs w:val="24"/>
                <w:lang w:val="sr-Cyrl-BA"/>
              </w:rPr>
              <w:t>у</w:t>
            </w:r>
            <w:r>
              <w:rPr>
                <w:rFonts w:ascii="Arial" w:hAnsi="Arial" w:cs="Arial"/>
                <w:sz w:val="24"/>
                <w:szCs w:val="24"/>
                <w:lang w:val="sr-Cyrl-BA"/>
              </w:rPr>
              <w:t>г</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p>
          <w:p w14:paraId="4396BF98" w14:textId="10840696" w:rsidR="00655BE9" w:rsidRPr="00F6340E" w:rsidRDefault="0071360A" w:rsidP="005746C7">
            <w:pPr>
              <w:pStyle w:val="HTMLPreformatted"/>
              <w:numPr>
                <w:ilvl w:val="0"/>
                <w:numId w:val="15"/>
              </w:numPr>
              <w:spacing w:line="276" w:lineRule="auto"/>
              <w:contextualSpacing/>
              <w:rPr>
                <w:rFonts w:ascii="Arial" w:hAnsi="Arial" w:cs="Arial"/>
                <w:sz w:val="24"/>
                <w:szCs w:val="24"/>
                <w:lang w:val="sr-Cyrl-BA"/>
              </w:rPr>
            </w:pPr>
            <w:r>
              <w:rPr>
                <w:rFonts w:ascii="Arial" w:hAnsi="Arial" w:cs="Arial"/>
                <w:sz w:val="24"/>
                <w:szCs w:val="24"/>
                <w:lang w:val="sr-Cyrl-BA"/>
              </w:rPr>
              <w:t>П</w:t>
            </w:r>
            <w:r w:rsidR="00A56E08">
              <w:rPr>
                <w:rFonts w:ascii="Arial" w:hAnsi="Arial" w:cs="Arial"/>
                <w:sz w:val="24"/>
                <w:szCs w:val="24"/>
                <w:lang w:val="sr-Cyrl-BA"/>
              </w:rPr>
              <w:t>омоћи</w:t>
            </w:r>
            <w:r w:rsidR="00655BE9" w:rsidRPr="00F6340E">
              <w:rPr>
                <w:rFonts w:ascii="Arial" w:hAnsi="Arial" w:cs="Arial"/>
                <w:sz w:val="24"/>
                <w:szCs w:val="24"/>
                <w:lang w:val="sr-Cyrl-BA"/>
              </w:rPr>
              <w:t xml:space="preserve"> </w:t>
            </w:r>
            <w:r>
              <w:rPr>
                <w:rFonts w:ascii="Arial" w:hAnsi="Arial" w:cs="Arial"/>
                <w:sz w:val="24"/>
                <w:szCs w:val="24"/>
                <w:lang w:val="sr-Cyrl-BA"/>
              </w:rPr>
              <w:t>р</w:t>
            </w:r>
            <w:r w:rsidR="00A56E08">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в</w:t>
            </w:r>
            <w:r w:rsidR="00A56E08">
              <w:rPr>
                <w:rFonts w:ascii="Arial" w:hAnsi="Arial" w:cs="Arial"/>
                <w:sz w:val="24"/>
                <w:szCs w:val="24"/>
                <w:lang w:val="sr-Cyrl-BA"/>
              </w:rPr>
              <w:t>ој</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р</w:t>
            </w:r>
            <w:r w:rsidR="00A56E08">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у</w:t>
            </w:r>
            <w:r w:rsidR="00A56E08">
              <w:rPr>
                <w:rFonts w:ascii="Arial" w:hAnsi="Arial" w:cs="Arial"/>
                <w:sz w:val="24"/>
                <w:szCs w:val="24"/>
                <w:lang w:val="sr-Cyrl-BA"/>
              </w:rPr>
              <w:t>миј</w:t>
            </w:r>
            <w:r w:rsidR="00EE6AA2">
              <w:rPr>
                <w:rFonts w:ascii="Arial" w:hAnsi="Arial" w:cs="Arial"/>
                <w:sz w:val="24"/>
                <w:szCs w:val="24"/>
                <w:lang w:val="sr-Cyrl-BA"/>
              </w:rPr>
              <w:t>е</w:t>
            </w:r>
            <w:r>
              <w:rPr>
                <w:rFonts w:ascii="Arial" w:hAnsi="Arial" w:cs="Arial"/>
                <w:sz w:val="24"/>
                <w:szCs w:val="24"/>
                <w:lang w:val="sr-Cyrl-BA"/>
              </w:rPr>
              <w:t>в</w:t>
            </w:r>
            <w:r w:rsidR="00A56E08">
              <w:rPr>
                <w:rFonts w:ascii="Arial" w:hAnsi="Arial" w:cs="Arial"/>
                <w:sz w:val="24"/>
                <w:szCs w:val="24"/>
                <w:lang w:val="sr-Cyrl-BA"/>
              </w:rPr>
              <w:t>ања</w:t>
            </w:r>
            <w:r w:rsidR="00655BE9" w:rsidRPr="00F6340E">
              <w:rPr>
                <w:rFonts w:ascii="Arial" w:hAnsi="Arial" w:cs="Arial"/>
                <w:sz w:val="24"/>
                <w:szCs w:val="24"/>
                <w:lang w:val="sr-Cyrl-BA"/>
              </w:rPr>
              <w:t xml:space="preserve"> </w:t>
            </w:r>
            <w:r w:rsidR="00A56E08">
              <w:rPr>
                <w:rFonts w:ascii="Arial" w:hAnsi="Arial" w:cs="Arial"/>
                <w:sz w:val="24"/>
                <w:szCs w:val="24"/>
                <w:lang w:val="sr-Cyrl-BA"/>
              </w:rPr>
              <w:t>о</w:t>
            </w:r>
            <w:r w:rsidR="00655BE9" w:rsidRPr="00F6340E">
              <w:rPr>
                <w:rFonts w:ascii="Arial" w:hAnsi="Arial" w:cs="Arial"/>
                <w:sz w:val="24"/>
                <w:szCs w:val="24"/>
                <w:lang w:val="sr-Cyrl-BA"/>
              </w:rPr>
              <w:t xml:space="preserve"> </w:t>
            </w:r>
            <w:r>
              <w:rPr>
                <w:rFonts w:ascii="Arial" w:hAnsi="Arial" w:cs="Arial"/>
                <w:sz w:val="24"/>
                <w:szCs w:val="24"/>
                <w:lang w:val="sr-Cyrl-BA"/>
              </w:rPr>
              <w:t>т</w:t>
            </w:r>
            <w:r w:rsidR="00A56E08">
              <w:rPr>
                <w:rFonts w:ascii="Arial" w:hAnsi="Arial" w:cs="Arial"/>
                <w:sz w:val="24"/>
                <w:szCs w:val="24"/>
                <w:lang w:val="sr-Cyrl-BA"/>
              </w:rPr>
              <w:t>ом</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A56E08">
              <w:rPr>
                <w:rFonts w:ascii="Arial" w:hAnsi="Arial" w:cs="Arial"/>
                <w:sz w:val="24"/>
                <w:szCs w:val="24"/>
                <w:lang w:val="sr-Cyrl-BA"/>
              </w:rPr>
              <w:t>како</w:t>
            </w:r>
            <w:r w:rsidR="00655BE9"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од</w:t>
            </w:r>
            <w:r>
              <w:rPr>
                <w:rFonts w:ascii="Arial" w:hAnsi="Arial" w:cs="Arial"/>
                <w:sz w:val="24"/>
                <w:szCs w:val="24"/>
                <w:lang w:val="sr-Cyrl-BA"/>
              </w:rPr>
              <w:t>р</w:t>
            </w:r>
            <w:r w:rsidR="00171F00">
              <w:rPr>
                <w:rFonts w:ascii="Arial" w:hAnsi="Arial" w:cs="Arial"/>
                <w:sz w:val="24"/>
                <w:szCs w:val="24"/>
                <w:lang w:val="sr-Cyrl-BA"/>
              </w:rPr>
              <w:t>ж</w:t>
            </w:r>
            <w:r w:rsidR="00A56E08">
              <w:rPr>
                <w:rFonts w:ascii="Arial" w:hAnsi="Arial" w:cs="Arial"/>
                <w:sz w:val="24"/>
                <w:szCs w:val="24"/>
                <w:lang w:val="sr-Cyrl-BA"/>
              </w:rPr>
              <w:t>а</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р</w:t>
            </w:r>
            <w:r w:rsidR="00A56E08">
              <w:rPr>
                <w:rFonts w:ascii="Arial" w:hAnsi="Arial" w:cs="Arial"/>
                <w:sz w:val="24"/>
                <w:szCs w:val="24"/>
                <w:lang w:val="sr-Cyrl-BA"/>
              </w:rPr>
              <w:t>ањи</w:t>
            </w:r>
            <w:r>
              <w:rPr>
                <w:rFonts w:ascii="Arial" w:hAnsi="Arial" w:cs="Arial"/>
                <w:sz w:val="24"/>
                <w:szCs w:val="24"/>
                <w:lang w:val="sr-Cyrl-BA"/>
              </w:rPr>
              <w:t>в</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у</w:t>
            </w:r>
            <w:r w:rsidR="00A56E08">
              <w:rPr>
                <w:rFonts w:ascii="Arial" w:hAnsi="Arial" w:cs="Arial"/>
                <w:sz w:val="24"/>
                <w:szCs w:val="24"/>
                <w:lang w:val="sr-Cyrl-BA"/>
              </w:rPr>
              <w:t>ч</w:t>
            </w:r>
            <w:r w:rsidR="00EE6AA2">
              <w:rPr>
                <w:rFonts w:ascii="Arial" w:hAnsi="Arial" w:cs="Arial"/>
                <w:sz w:val="24"/>
                <w:szCs w:val="24"/>
                <w:lang w:val="sr-Cyrl-BA"/>
              </w:rPr>
              <w:t>е</w:t>
            </w:r>
            <w:r w:rsidR="00A56E08">
              <w:rPr>
                <w:rFonts w:ascii="Arial" w:hAnsi="Arial" w:cs="Arial"/>
                <w:sz w:val="24"/>
                <w:szCs w:val="24"/>
                <w:lang w:val="sr-Cyrl-BA"/>
              </w:rPr>
              <w:t>ник</w:t>
            </w:r>
            <w:r w:rsidR="00EE6AA2">
              <w:rPr>
                <w:rFonts w:ascii="Arial" w:hAnsi="Arial" w:cs="Arial"/>
                <w:sz w:val="24"/>
                <w:szCs w:val="24"/>
                <w:lang w:val="sr-Cyrl-BA"/>
              </w:rPr>
              <w:t>е</w:t>
            </w:r>
            <w:r w:rsidR="00655BE9" w:rsidRPr="00F6340E">
              <w:rPr>
                <w:rFonts w:ascii="Arial" w:hAnsi="Arial" w:cs="Arial"/>
                <w:sz w:val="24"/>
                <w:szCs w:val="24"/>
                <w:lang w:val="sr-Cyrl-BA"/>
              </w:rPr>
              <w:t>/</w:t>
            </w:r>
            <w:r>
              <w:rPr>
                <w:rFonts w:ascii="Arial" w:hAnsi="Arial" w:cs="Arial"/>
                <w:sz w:val="24"/>
                <w:szCs w:val="24"/>
                <w:lang w:val="sr-Cyrl-BA"/>
              </w:rPr>
              <w:t>сту</w:t>
            </w:r>
            <w:r w:rsidR="00A56E08">
              <w:rPr>
                <w:rFonts w:ascii="Arial" w:hAnsi="Arial" w:cs="Arial"/>
                <w:sz w:val="24"/>
                <w:szCs w:val="24"/>
                <w:lang w:val="sr-Cyrl-BA"/>
              </w:rPr>
              <w:t>д</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т</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он</w:t>
            </w:r>
            <w:r>
              <w:rPr>
                <w:rFonts w:ascii="Arial" w:hAnsi="Arial" w:cs="Arial"/>
                <w:sz w:val="24"/>
                <w:szCs w:val="24"/>
                <w:lang w:val="sr-Cyrl-BA"/>
              </w:rPr>
              <w:t>у</w:t>
            </w:r>
            <w:r w:rsidR="00A56E08">
              <w:rPr>
                <w:rFonts w:ascii="Arial" w:hAnsi="Arial" w:cs="Arial"/>
                <w:sz w:val="24"/>
                <w:szCs w:val="24"/>
                <w:lang w:val="sr-Cyrl-BA"/>
              </w:rPr>
              <w:t>ди</w:t>
            </w:r>
            <w:r>
              <w:rPr>
                <w:rFonts w:ascii="Arial" w:hAnsi="Arial" w:cs="Arial"/>
                <w:sz w:val="24"/>
                <w:szCs w:val="24"/>
                <w:lang w:val="sr-Cyrl-BA"/>
              </w:rPr>
              <w:t>т</w:t>
            </w:r>
            <w:r w:rsidR="00A56E08">
              <w:rPr>
                <w:rFonts w:ascii="Arial" w:hAnsi="Arial" w:cs="Arial"/>
                <w:sz w:val="24"/>
                <w:szCs w:val="24"/>
                <w:lang w:val="sr-Cyrl-BA"/>
              </w:rPr>
              <w:t>и</w:t>
            </w:r>
            <w:r w:rsidR="00655BE9" w:rsidRPr="00F6340E">
              <w:rPr>
                <w:rFonts w:ascii="Arial" w:hAnsi="Arial" w:cs="Arial"/>
                <w:sz w:val="24"/>
                <w:szCs w:val="24"/>
                <w:lang w:val="sr-Cyrl-BA"/>
              </w:rPr>
              <w:t xml:space="preserve"> </w:t>
            </w:r>
            <w:r>
              <w:rPr>
                <w:rFonts w:ascii="Arial" w:hAnsi="Arial" w:cs="Arial"/>
                <w:sz w:val="24"/>
                <w:szCs w:val="24"/>
                <w:lang w:val="sr-Cyrl-BA"/>
              </w:rPr>
              <w:t>с</w:t>
            </w:r>
            <w:r w:rsidR="00A56E08">
              <w:rPr>
                <w:rFonts w:ascii="Arial" w:hAnsi="Arial" w:cs="Arial"/>
                <w:sz w:val="24"/>
                <w:szCs w:val="24"/>
                <w:lang w:val="sr-Cyrl-BA"/>
              </w:rPr>
              <w:t>мј</w:t>
            </w:r>
            <w:r w:rsidR="00EE6AA2">
              <w:rPr>
                <w:rFonts w:ascii="Arial" w:hAnsi="Arial" w:cs="Arial"/>
                <w:sz w:val="24"/>
                <w:szCs w:val="24"/>
                <w:lang w:val="sr-Cyrl-BA"/>
              </w:rPr>
              <w:t>е</w:t>
            </w:r>
            <w:r>
              <w:rPr>
                <w:rFonts w:ascii="Arial" w:hAnsi="Arial" w:cs="Arial"/>
                <w:sz w:val="24"/>
                <w:szCs w:val="24"/>
                <w:lang w:val="sr-Cyrl-BA"/>
              </w:rPr>
              <w:t>р</w:t>
            </w:r>
            <w:r w:rsidR="00A56E08">
              <w:rPr>
                <w:rFonts w:ascii="Arial" w:hAnsi="Arial" w:cs="Arial"/>
                <w:sz w:val="24"/>
                <w:szCs w:val="24"/>
                <w:lang w:val="sr-Cyrl-BA"/>
              </w:rPr>
              <w:t>ниц</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A56E08">
              <w:rPr>
                <w:rFonts w:ascii="Arial" w:hAnsi="Arial" w:cs="Arial"/>
                <w:sz w:val="24"/>
                <w:szCs w:val="24"/>
                <w:lang w:val="sr-Cyrl-BA"/>
              </w:rPr>
              <w:t>или</w:t>
            </w:r>
            <w:r w:rsidR="00655BE9" w:rsidRPr="00F6340E">
              <w:rPr>
                <w:rFonts w:ascii="Arial" w:hAnsi="Arial" w:cs="Arial"/>
                <w:sz w:val="24"/>
                <w:szCs w:val="24"/>
                <w:lang w:val="sr-Cyrl-BA"/>
              </w:rPr>
              <w:t xml:space="preserve"> </w:t>
            </w:r>
            <w:r>
              <w:rPr>
                <w:rFonts w:ascii="Arial" w:hAnsi="Arial" w:cs="Arial"/>
                <w:sz w:val="24"/>
                <w:szCs w:val="24"/>
                <w:lang w:val="sr-Cyrl-BA"/>
              </w:rPr>
              <w:t>р</w:t>
            </w:r>
            <w:r w:rsidR="00EE6AA2">
              <w:rPr>
                <w:rFonts w:ascii="Arial" w:hAnsi="Arial" w:cs="Arial"/>
                <w:sz w:val="24"/>
                <w:szCs w:val="24"/>
                <w:lang w:val="sr-Cyrl-BA"/>
              </w:rPr>
              <w:t>е</w:t>
            </w:r>
            <w:r>
              <w:rPr>
                <w:rFonts w:ascii="Arial" w:hAnsi="Arial" w:cs="Arial"/>
                <w:sz w:val="24"/>
                <w:szCs w:val="24"/>
                <w:lang w:val="sr-Cyrl-BA"/>
              </w:rPr>
              <w:t>сурс</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w:t>
            </w:r>
            <w:r w:rsidR="00655BE9"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имј</w:t>
            </w:r>
            <w:r w:rsidR="00EE6AA2">
              <w:rPr>
                <w:rFonts w:ascii="Arial" w:hAnsi="Arial" w:cs="Arial"/>
                <w:sz w:val="24"/>
                <w:szCs w:val="24"/>
                <w:lang w:val="sr-Cyrl-BA"/>
              </w:rPr>
              <w:t>е</w:t>
            </w:r>
            <w:r w:rsidR="00A56E08">
              <w:rPr>
                <w:rFonts w:ascii="Arial" w:hAnsi="Arial" w:cs="Arial"/>
                <w:sz w:val="24"/>
                <w:szCs w:val="24"/>
                <w:lang w:val="sr-Cyrl-BA"/>
              </w:rPr>
              <w:t>н</w:t>
            </w:r>
            <w:r>
              <w:rPr>
                <w:rFonts w:ascii="Arial" w:hAnsi="Arial" w:cs="Arial"/>
                <w:sz w:val="24"/>
                <w:szCs w:val="24"/>
                <w:lang w:val="sr-Cyrl-BA"/>
              </w:rPr>
              <w:t>у</w:t>
            </w:r>
            <w:r w:rsidR="00655BE9" w:rsidRPr="00F6340E">
              <w:rPr>
                <w:rFonts w:ascii="Arial" w:hAnsi="Arial" w:cs="Arial"/>
                <w:sz w:val="24"/>
                <w:szCs w:val="24"/>
                <w:lang w:val="sr-Cyrl-BA"/>
              </w:rPr>
              <w:t xml:space="preserve"> </w:t>
            </w:r>
            <w:r w:rsidR="00A56E08">
              <w:rPr>
                <w:rFonts w:ascii="Arial" w:hAnsi="Arial" w:cs="Arial"/>
                <w:sz w:val="24"/>
                <w:szCs w:val="24"/>
                <w:lang w:val="sr-Cyrl-BA"/>
              </w:rPr>
              <w:t>ИК</w:t>
            </w:r>
            <w:r>
              <w:rPr>
                <w:rFonts w:ascii="Arial" w:hAnsi="Arial" w:cs="Arial"/>
                <w:sz w:val="24"/>
                <w:szCs w:val="24"/>
                <w:lang w:val="sr-Cyrl-BA"/>
              </w:rPr>
              <w:t>Т</w:t>
            </w:r>
            <w:r w:rsidR="006D1BD4" w:rsidRPr="00F6340E">
              <w:rPr>
                <w:rFonts w:ascii="Arial" w:hAnsi="Arial" w:cs="Arial"/>
                <w:sz w:val="24"/>
                <w:szCs w:val="24"/>
                <w:lang w:val="sr-Cyrl-BA"/>
              </w:rPr>
              <w:t>-</w:t>
            </w:r>
            <w:r w:rsidR="00A56E08">
              <w:rPr>
                <w:rFonts w:ascii="Arial" w:hAnsi="Arial" w:cs="Arial"/>
                <w:sz w:val="24"/>
                <w:szCs w:val="24"/>
                <w:lang w:val="sr-Cyrl-BA"/>
              </w:rPr>
              <w:t>а</w:t>
            </w:r>
            <w:r w:rsidR="00655BE9" w:rsidRPr="00F6340E">
              <w:rPr>
                <w:rFonts w:ascii="Arial" w:hAnsi="Arial" w:cs="Arial"/>
                <w:sz w:val="24"/>
                <w:szCs w:val="24"/>
                <w:lang w:val="sr-Cyrl-BA"/>
              </w:rPr>
              <w:t xml:space="preserve"> </w:t>
            </w:r>
            <w:r>
              <w:rPr>
                <w:rFonts w:ascii="Arial" w:hAnsi="Arial" w:cs="Arial"/>
                <w:sz w:val="24"/>
                <w:szCs w:val="24"/>
                <w:lang w:val="sr-Cyrl-BA"/>
              </w:rPr>
              <w:t>у</w:t>
            </w:r>
            <w:r w:rsidR="00655BE9" w:rsidRPr="00F6340E">
              <w:rPr>
                <w:rFonts w:ascii="Arial" w:hAnsi="Arial" w:cs="Arial"/>
                <w:sz w:val="24"/>
                <w:szCs w:val="24"/>
                <w:lang w:val="sr-Cyrl-BA"/>
              </w:rPr>
              <w:t xml:space="preserve"> </w:t>
            </w:r>
            <w:r>
              <w:rPr>
                <w:rFonts w:ascii="Arial" w:hAnsi="Arial" w:cs="Arial"/>
                <w:sz w:val="24"/>
                <w:szCs w:val="24"/>
                <w:lang w:val="sr-Cyrl-BA"/>
              </w:rPr>
              <w:t>т</w:t>
            </w:r>
            <w:r w:rsidR="00EE6AA2">
              <w:rPr>
                <w:rFonts w:ascii="Arial" w:hAnsi="Arial" w:cs="Arial"/>
                <w:sz w:val="24"/>
                <w:szCs w:val="24"/>
                <w:lang w:val="sr-Cyrl-BA"/>
              </w:rPr>
              <w:t>е</w:t>
            </w:r>
            <w:r w:rsidR="00655BE9" w:rsidRPr="00F6340E">
              <w:rPr>
                <w:rFonts w:ascii="Arial" w:hAnsi="Arial" w:cs="Arial"/>
                <w:sz w:val="24"/>
                <w:szCs w:val="24"/>
                <w:lang w:val="sr-Cyrl-BA"/>
              </w:rPr>
              <w:t xml:space="preserve"> </w:t>
            </w:r>
            <w:r>
              <w:rPr>
                <w:rFonts w:ascii="Arial" w:hAnsi="Arial" w:cs="Arial"/>
                <w:sz w:val="24"/>
                <w:szCs w:val="24"/>
                <w:lang w:val="sr-Cyrl-BA"/>
              </w:rPr>
              <w:t>свр</w:t>
            </w:r>
            <w:r w:rsidR="00A56E08">
              <w:rPr>
                <w:rFonts w:ascii="Arial" w:hAnsi="Arial" w:cs="Arial"/>
                <w:sz w:val="24"/>
                <w:szCs w:val="24"/>
                <w:lang w:val="sr-Cyrl-BA"/>
              </w:rPr>
              <w:t>х</w:t>
            </w:r>
            <w:r w:rsidR="00EE6AA2">
              <w:rPr>
                <w:rFonts w:ascii="Arial" w:hAnsi="Arial" w:cs="Arial"/>
                <w:sz w:val="24"/>
                <w:szCs w:val="24"/>
                <w:lang w:val="sr-Cyrl-BA"/>
              </w:rPr>
              <w:t>е</w:t>
            </w:r>
          </w:p>
          <w:p w14:paraId="09410975" w14:textId="07AEE710" w:rsidR="00655BE9" w:rsidRPr="00F6340E" w:rsidRDefault="0071360A" w:rsidP="005746C7">
            <w:pPr>
              <w:pStyle w:val="HTMLPreformatted"/>
              <w:numPr>
                <w:ilvl w:val="0"/>
                <w:numId w:val="15"/>
              </w:numPr>
              <w:spacing w:line="276" w:lineRule="auto"/>
              <w:contextualSpacing/>
              <w:rPr>
                <w:rStyle w:val="y2iqfc"/>
                <w:rFonts w:ascii="Arial" w:hAnsi="Arial" w:cs="Arial"/>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ијал</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ич</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ђ</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обољ</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личи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p>
          <w:p w14:paraId="1F147BD0" w14:textId="5F29C0C3" w:rsidR="00655BE9" w:rsidRPr="00F6340E" w:rsidRDefault="00A56E08" w:rsidP="005746C7">
            <w:pPr>
              <w:pStyle w:val="HTMLPreformatted"/>
              <w:numPr>
                <w:ilvl w:val="0"/>
                <w:numId w:val="15"/>
              </w:numPr>
              <w:spacing w:line="276" w:lineRule="auto"/>
              <w:contextualSpacing/>
              <w:rPr>
                <w:rFonts w:ascii="Arial" w:hAnsi="Arial" w:cs="Arial"/>
                <w:sz w:val="24"/>
                <w:szCs w:val="24"/>
                <w:lang w:val="sr-Cyrl-BA"/>
              </w:rPr>
            </w:pPr>
            <w:r>
              <w:rPr>
                <w:rStyle w:val="y2iqfc"/>
                <w:rFonts w:ascii="Arial" w:hAnsi="Arial" w:cs="Arial"/>
                <w:color w:val="202124"/>
                <w:sz w:val="24"/>
                <w:szCs w:val="24"/>
                <w:lang w:val="sr-Cyrl-BA"/>
              </w:rPr>
              <w:t>Ох</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аб</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алним</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д</w:t>
            </w:r>
            <w:r w:rsidR="0071360A">
              <w:rPr>
                <w:rStyle w:val="y2iqfc"/>
                <w:rFonts w:ascii="Arial" w:hAnsi="Arial" w:cs="Arial"/>
                <w:color w:val="202124"/>
                <w:sz w:val="24"/>
                <w:szCs w:val="24"/>
                <w:lang w:val="sr-Cyrl-BA"/>
              </w:rPr>
              <w:t>ств</w:t>
            </w:r>
            <w:r>
              <w:rPr>
                <w:rStyle w:val="y2iqfc"/>
                <w:rFonts w:ascii="Arial" w:hAnsi="Arial" w:cs="Arial"/>
                <w:color w:val="202124"/>
                <w:sz w:val="24"/>
                <w:szCs w:val="24"/>
                <w:lang w:val="sr-Cyrl-BA"/>
              </w:rPr>
              <w:t>има</w:t>
            </w:r>
            <w:r w:rsidR="00655BE9" w:rsidRPr="00F6340E">
              <w:rPr>
                <w:rStyle w:val="y2iqfc"/>
                <w:rFonts w:ascii="Arial" w:hAnsi="Arial" w:cs="Arial"/>
                <w:color w:val="202124"/>
                <w:sz w:val="24"/>
                <w:szCs w:val="24"/>
                <w:lang w:val="sr-Cyrl-BA"/>
              </w:rPr>
              <w:t>.</w:t>
            </w:r>
            <w:r w:rsidR="00655BE9" w:rsidRPr="00F6340E">
              <w:rPr>
                <w:rFonts w:ascii="Arial" w:hAnsi="Arial" w:cs="Arial"/>
                <w:sz w:val="24"/>
                <w:szCs w:val="24"/>
                <w:lang w:val="sr-Cyrl-BA"/>
              </w:rPr>
              <w:t xml:space="preserve"> </w:t>
            </w:r>
          </w:p>
          <w:p w14:paraId="6FDE97C7" w14:textId="57396E02" w:rsidR="00655BE9" w:rsidRPr="00F6340E" w:rsidRDefault="0071360A" w:rsidP="005746C7">
            <w:pPr>
              <w:pStyle w:val="HTMLPreformatted"/>
              <w:numPr>
                <w:ilvl w:val="0"/>
                <w:numId w:val="15"/>
              </w:numPr>
              <w:spacing w:line="276" w:lineRule="auto"/>
              <w:contextualSpacing/>
              <w:rPr>
                <w:rFonts w:ascii="Arial" w:hAnsi="Arial" w:cs="Arial"/>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оди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игиналног</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нања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као</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модифико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врш</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обољ</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ацији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ој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ћ</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нањ</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p>
          <w:p w14:paraId="4971967E" w14:textId="38F45427" w:rsidR="00655BE9" w:rsidRPr="00F6340E" w:rsidRDefault="0071360A" w:rsidP="005746C7">
            <w:pPr>
              <w:pStyle w:val="HTMLPreformatted"/>
              <w:numPr>
                <w:ilvl w:val="0"/>
                <w:numId w:val="15"/>
              </w:numPr>
              <w:spacing w:line="276" w:lineRule="auto"/>
              <w:contextualSpacing/>
              <w:rPr>
                <w:rStyle w:val="y2iqfc"/>
                <w:rFonts w:ascii="Arial" w:hAnsi="Arial" w:cs="Arial"/>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акн</w:t>
            </w:r>
            <w:r>
              <w:rPr>
                <w:rStyle w:val="y2iqfc"/>
                <w:rFonts w:ascii="Arial" w:hAnsi="Arial" w:cs="Arial"/>
                <w:color w:val="202124"/>
                <w:sz w:val="24"/>
                <w:szCs w:val="24"/>
                <w:lang w:val="sr-Cyrl-BA"/>
              </w:rPr>
              <w:t>ут</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лани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иј</w:t>
            </w:r>
            <w:r>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лиј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мљи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их</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стру</w:t>
            </w:r>
            <w:r w:rsidR="00A56E08">
              <w:rPr>
                <w:rStyle w:val="y2iqfc"/>
                <w:rFonts w:ascii="Arial" w:hAnsi="Arial" w:cs="Arial"/>
                <w:color w:val="202124"/>
                <w:sz w:val="24"/>
                <w:szCs w:val="24"/>
                <w:lang w:val="sr-Cyrl-BA"/>
              </w:rPr>
              <w:t>кција</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аданог</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обл</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ма</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или</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ођ</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ђ</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ног</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ка</w:t>
            </w:r>
            <w:r w:rsidR="00655BE9" w:rsidRPr="00F6340E">
              <w:rPr>
                <w:rStyle w:val="y2iqfc"/>
                <w:rFonts w:ascii="Arial" w:hAnsi="Arial" w:cs="Arial"/>
                <w:color w:val="202124"/>
                <w:sz w:val="24"/>
                <w:szCs w:val="24"/>
                <w:lang w:val="sr-Cyrl-BA"/>
              </w:rPr>
              <w:t>.</w:t>
            </w:r>
          </w:p>
          <w:p w14:paraId="25A73A83" w14:textId="273B6A1F" w:rsidR="00655BE9" w:rsidRPr="00F6340E" w:rsidRDefault="00A56E08" w:rsidP="005746C7">
            <w:pPr>
              <w:pStyle w:val="HTMLPreformatted"/>
              <w:numPr>
                <w:ilvl w:val="0"/>
                <w:numId w:val="15"/>
              </w:numPr>
              <w:spacing w:line="276" w:lineRule="auto"/>
              <w:contextualSpacing/>
              <w:rPr>
                <w:rFonts w:ascii="Arial" w:hAnsi="Arial" w:cs="Arial"/>
                <w:sz w:val="24"/>
                <w:szCs w:val="24"/>
                <w:lang w:val="sr-Cyrl-BA"/>
              </w:rPr>
            </w:pPr>
            <w:r>
              <w:rPr>
                <w:rStyle w:val="y2iqfc"/>
                <w:rFonts w:ascii="Arial" w:hAnsi="Arial" w:cs="Arial"/>
                <w:color w:val="202124"/>
                <w:sz w:val="24"/>
                <w:szCs w:val="24"/>
                <w:lang w:val="sr-Cyrl-BA"/>
              </w:rPr>
              <w:t>Омог</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ћи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655BE9"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тр</w:t>
            </w:r>
            <w:r>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илик</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w:t>
            </w:r>
            <w:r w:rsidR="0071360A">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ај</w:t>
            </w:r>
            <w:r w:rsidR="0071360A">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стр</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гиј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амо</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оја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како</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би</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или</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w:t>
            </w:r>
            <w:r w:rsidR="0071360A">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ол</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циј</w:t>
            </w:r>
            <w:r w:rsidR="0071360A">
              <w:rPr>
                <w:rStyle w:val="y2iqfc"/>
                <w:rFonts w:ascii="Arial" w:hAnsi="Arial" w:cs="Arial"/>
                <w:color w:val="202124"/>
                <w:sz w:val="24"/>
                <w:szCs w:val="24"/>
                <w:lang w:val="sr-Cyrl-BA"/>
              </w:rPr>
              <w:t>у</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496D98"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уп</w:t>
            </w: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тр</w:t>
            </w:r>
            <w:r>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били</w:t>
            </w:r>
            <w:r w:rsidR="00496D98"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а</w:t>
            </w:r>
            <w:r w:rsidR="00655BE9"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личн</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б</w:t>
            </w:r>
            <w:r w:rsidR="00EE6AA2">
              <w:rPr>
                <w:rStyle w:val="y2iqfc"/>
                <w:rFonts w:ascii="Arial" w:hAnsi="Arial" w:cs="Arial"/>
                <w:color w:val="202124"/>
                <w:sz w:val="24"/>
                <w:szCs w:val="24"/>
                <w:lang w:val="sr-Cyrl-BA"/>
              </w:rPr>
              <w:t>е</w:t>
            </w:r>
            <w:r w:rsidR="00655BE9" w:rsidRPr="00F6340E">
              <w:rPr>
                <w:rStyle w:val="y2iqfc"/>
                <w:rFonts w:ascii="Arial" w:hAnsi="Arial" w:cs="Arial"/>
                <w:color w:val="202124"/>
                <w:sz w:val="24"/>
                <w:szCs w:val="24"/>
                <w:lang w:val="sr-Cyrl-BA"/>
              </w:rPr>
              <w:t>.</w:t>
            </w:r>
            <w:r w:rsidR="00655BE9" w:rsidRPr="00F6340E">
              <w:rPr>
                <w:rStyle w:val="y2iqfc"/>
                <w:rFonts w:ascii="Arial" w:hAnsi="Arial" w:cs="Arial"/>
                <w:color w:val="202124"/>
                <w:lang w:val="sr-Cyrl-BA"/>
              </w:rPr>
              <w:t xml:space="preserve">  </w:t>
            </w:r>
          </w:p>
        </w:tc>
      </w:tr>
    </w:tbl>
    <w:p w14:paraId="23CD9EF8" w14:textId="77777777" w:rsidR="00850DB1" w:rsidRPr="00F6340E" w:rsidRDefault="00850DB1" w:rsidP="00F83E0E">
      <w:pPr>
        <w:spacing w:line="276" w:lineRule="auto"/>
        <w:rPr>
          <w:rFonts w:ascii="Arial" w:hAnsi="Arial" w:cs="Arial"/>
          <w:color w:val="000000" w:themeColor="text1"/>
          <w:lang w:val="sr-Cyrl-BA"/>
        </w:rPr>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05FC543F" w14:textId="77777777" w:rsidTr="005746C7">
        <w:trPr>
          <w:trHeight w:val="454"/>
          <w:jc w:val="center"/>
        </w:trPr>
        <w:tc>
          <w:tcPr>
            <w:tcW w:w="9014" w:type="dxa"/>
            <w:tcBorders>
              <w:bottom w:val="single" w:sz="4" w:space="0" w:color="000000"/>
            </w:tcBorders>
            <w:shd w:val="clear" w:color="auto" w:fill="00B0F0"/>
            <w:vAlign w:val="center"/>
          </w:tcPr>
          <w:p w14:paraId="5AC300A3" w14:textId="1228A754" w:rsidR="00847B04" w:rsidRPr="00F6340E" w:rsidRDefault="00A56E08" w:rsidP="005746C7">
            <w:pPr>
              <w:spacing w:line="276" w:lineRule="auto"/>
              <w:contextualSpacing/>
              <w:jc w:val="center"/>
              <w:rPr>
                <w:rFonts w:ascii="Arial" w:hAnsi="Arial" w:cs="Arial"/>
                <w:b/>
                <w:color w:val="000000" w:themeColor="text1"/>
                <w:lang w:val="sr-Cyrl-BA"/>
              </w:rPr>
            </w:pPr>
            <w:r>
              <w:rPr>
                <w:rFonts w:ascii="Arial" w:hAnsi="Arial" w:cs="Arial"/>
                <w:b/>
                <w:color w:val="000000" w:themeColor="text1"/>
                <w:lang w:val="sr-Cyrl-BA"/>
              </w:rPr>
              <w:t>Одго</w:t>
            </w:r>
            <w:r w:rsidR="0071360A">
              <w:rPr>
                <w:rFonts w:ascii="Arial" w:hAnsi="Arial" w:cs="Arial"/>
                <w:b/>
                <w:color w:val="000000" w:themeColor="text1"/>
                <w:lang w:val="sr-Cyrl-BA"/>
              </w:rPr>
              <w:t>в</w:t>
            </w:r>
            <w:r>
              <w:rPr>
                <w:rFonts w:ascii="Arial" w:hAnsi="Arial" w:cs="Arial"/>
                <w:b/>
                <w:color w:val="000000" w:themeColor="text1"/>
                <w:lang w:val="sr-Cyrl-BA"/>
              </w:rPr>
              <w:t>о</w:t>
            </w:r>
            <w:r w:rsidR="0071360A">
              <w:rPr>
                <w:rFonts w:ascii="Arial" w:hAnsi="Arial" w:cs="Arial"/>
                <w:b/>
                <w:color w:val="000000" w:themeColor="text1"/>
                <w:lang w:val="sr-Cyrl-BA"/>
              </w:rPr>
              <w:t>р</w:t>
            </w:r>
            <w:r>
              <w:rPr>
                <w:rFonts w:ascii="Arial" w:hAnsi="Arial" w:cs="Arial"/>
                <w:b/>
                <w:color w:val="000000" w:themeColor="text1"/>
                <w:lang w:val="sr-Cyrl-BA"/>
              </w:rPr>
              <w:t>на</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уп</w:t>
            </w:r>
            <w:r>
              <w:rPr>
                <w:rFonts w:ascii="Arial" w:hAnsi="Arial" w:cs="Arial"/>
                <w:b/>
                <w:color w:val="000000" w:themeColor="text1"/>
                <w:lang w:val="sr-Cyrl-BA"/>
              </w:rPr>
              <w:t>о</w:t>
            </w:r>
            <w:r w:rsidR="0071360A">
              <w:rPr>
                <w:rFonts w:ascii="Arial" w:hAnsi="Arial" w:cs="Arial"/>
                <w:b/>
                <w:color w:val="000000" w:themeColor="text1"/>
                <w:lang w:val="sr-Cyrl-BA"/>
              </w:rPr>
              <w:t>тр</w:t>
            </w:r>
            <w:r w:rsidR="00EE6AA2">
              <w:rPr>
                <w:rFonts w:ascii="Arial" w:hAnsi="Arial" w:cs="Arial"/>
                <w:b/>
                <w:color w:val="000000" w:themeColor="text1"/>
                <w:lang w:val="sr-Cyrl-BA"/>
              </w:rPr>
              <w:t>е</w:t>
            </w:r>
            <w:r>
              <w:rPr>
                <w:rFonts w:ascii="Arial" w:hAnsi="Arial" w:cs="Arial"/>
                <w:b/>
                <w:color w:val="000000" w:themeColor="text1"/>
                <w:lang w:val="sr-Cyrl-BA"/>
              </w:rPr>
              <w:t>ба</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диги</w:t>
            </w:r>
            <w:r w:rsidR="0071360A">
              <w:rPr>
                <w:rFonts w:ascii="Arial" w:hAnsi="Arial" w:cs="Arial"/>
                <w:b/>
                <w:color w:val="000000" w:themeColor="text1"/>
                <w:lang w:val="sr-Cyrl-BA"/>
              </w:rPr>
              <w:t>т</w:t>
            </w:r>
            <w:r>
              <w:rPr>
                <w:rFonts w:ascii="Arial" w:hAnsi="Arial" w:cs="Arial"/>
                <w:b/>
                <w:color w:val="000000" w:themeColor="text1"/>
                <w:lang w:val="sr-Cyrl-BA"/>
              </w:rPr>
              <w:t>алн</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хнологиј</w:t>
            </w:r>
            <w:r w:rsidR="00EE6AA2">
              <w:rPr>
                <w:rFonts w:ascii="Arial" w:hAnsi="Arial" w:cs="Arial"/>
                <w:b/>
                <w:color w:val="000000" w:themeColor="text1"/>
                <w:lang w:val="sr-Cyrl-BA"/>
              </w:rPr>
              <w:t>е</w:t>
            </w:r>
          </w:p>
        </w:tc>
      </w:tr>
      <w:tr w:rsidR="00847B04" w:rsidRPr="00F6340E" w14:paraId="089EB290" w14:textId="77777777" w:rsidTr="005746C7">
        <w:trPr>
          <w:trHeight w:val="748"/>
          <w:jc w:val="center"/>
        </w:trPr>
        <w:tc>
          <w:tcPr>
            <w:tcW w:w="9014" w:type="dxa"/>
            <w:tcBorders>
              <w:top w:val="single" w:sz="4" w:space="0" w:color="000000"/>
            </w:tcBorders>
            <w:shd w:val="clear" w:color="auto" w:fill="E3F4F9"/>
          </w:tcPr>
          <w:p w14:paraId="3C389EFF" w14:textId="447B315B"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6338799F" w14:textId="783F0F5A" w:rsidR="00847B04" w:rsidRPr="00F6340E" w:rsidRDefault="00A56E08" w:rsidP="005746C7">
            <w:pPr>
              <w:pStyle w:val="ListParagraph"/>
              <w:numPr>
                <w:ilvl w:val="0"/>
                <w:numId w:val="13"/>
              </w:numPr>
              <w:spacing w:line="276" w:lineRule="auto"/>
              <w:jc w:val="left"/>
              <w:rPr>
                <w:rFonts w:ascii="Arial" w:hAnsi="Arial" w:cs="Arial"/>
                <w:color w:val="00B0F0"/>
                <w:lang w:val="sr-Cyrl-BA"/>
              </w:rPr>
            </w:pPr>
            <w:r>
              <w:rPr>
                <w:rFonts w:ascii="Arial" w:hAnsi="Arial" w:cs="Arial"/>
                <w:color w:val="000000" w:themeColor="text1"/>
                <w:lang w:val="sr-Cyrl-BA"/>
              </w:rPr>
              <w:t>О</w:t>
            </w:r>
            <w:r w:rsidR="0071360A">
              <w:rPr>
                <w:rFonts w:ascii="Arial" w:hAnsi="Arial" w:cs="Arial"/>
                <w:color w:val="000000" w:themeColor="text1"/>
                <w:lang w:val="sr-Cyrl-BA"/>
              </w:rPr>
              <w:t>с</w:t>
            </w:r>
            <w:r>
              <w:rPr>
                <w:rFonts w:ascii="Arial" w:hAnsi="Arial" w:cs="Arial"/>
                <w:color w:val="000000" w:themeColor="text1"/>
                <w:lang w:val="sr-Cyrl-BA"/>
              </w:rPr>
              <w:t>иг</w:t>
            </w:r>
            <w:r w:rsidR="0071360A">
              <w:rPr>
                <w:rFonts w:ascii="Arial" w:hAnsi="Arial" w:cs="Arial"/>
                <w:color w:val="000000" w:themeColor="text1"/>
                <w:lang w:val="sr-Cyrl-BA"/>
              </w:rPr>
              <w:t>ур</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иг</w:t>
            </w:r>
            <w:r w:rsidR="0071360A">
              <w:rPr>
                <w:rFonts w:ascii="Arial" w:hAnsi="Arial" w:cs="Arial"/>
                <w:color w:val="000000" w:themeColor="text1"/>
                <w:lang w:val="sr-Cyrl-BA"/>
              </w:rPr>
              <w:t>ур</w:t>
            </w:r>
            <w:r>
              <w:rPr>
                <w:rFonts w:ascii="Arial" w:hAnsi="Arial" w:cs="Arial"/>
                <w:color w:val="000000" w:themeColor="text1"/>
                <w:lang w:val="sr-Cyrl-BA"/>
              </w:rPr>
              <w:t>н</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уп</w:t>
            </w:r>
            <w:r>
              <w:rPr>
                <w:rFonts w:ascii="Arial" w:hAnsi="Arial" w:cs="Arial"/>
                <w:color w:val="000000" w:themeColor="text1"/>
                <w:lang w:val="sr-Cyrl-BA"/>
              </w:rPr>
              <w:t>о</w:t>
            </w:r>
            <w:r w:rsidR="0071360A">
              <w:rPr>
                <w:rFonts w:ascii="Arial" w:hAnsi="Arial" w:cs="Arial"/>
                <w:color w:val="000000" w:themeColor="text1"/>
                <w:lang w:val="sr-Cyrl-BA"/>
              </w:rPr>
              <w:t>тр</w:t>
            </w:r>
            <w:r w:rsidR="00EE6AA2">
              <w:rPr>
                <w:rFonts w:ascii="Arial" w:hAnsi="Arial" w:cs="Arial"/>
                <w:color w:val="000000" w:themeColor="text1"/>
                <w:lang w:val="sr-Cyrl-BA"/>
              </w:rPr>
              <w:t>е</w:t>
            </w:r>
            <w:r>
              <w:rPr>
                <w:rFonts w:ascii="Arial" w:hAnsi="Arial" w:cs="Arial"/>
                <w:color w:val="000000" w:themeColor="text1"/>
                <w:lang w:val="sr-Cyrl-BA"/>
              </w:rPr>
              <w:t>б</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ИК</w:t>
            </w:r>
            <w:r w:rsidR="0071360A">
              <w:rPr>
                <w:rFonts w:ascii="Arial" w:hAnsi="Arial" w:cs="Arial"/>
                <w:color w:val="000000" w:themeColor="text1"/>
                <w:lang w:val="sr-Cyrl-BA"/>
              </w:rPr>
              <w:t>Т</w:t>
            </w:r>
            <w:r w:rsidR="006D1BD4" w:rsidRPr="00F6340E">
              <w:rPr>
                <w:rFonts w:ascii="Arial" w:hAnsi="Arial" w:cs="Arial"/>
                <w:color w:val="000000" w:themeColor="text1"/>
                <w:lang w:val="sr-Cyrl-BA"/>
              </w:rPr>
              <w:t>-</w:t>
            </w:r>
            <w:r>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од</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стр</w:t>
            </w:r>
            <w:r>
              <w:rPr>
                <w:rFonts w:ascii="Arial" w:hAnsi="Arial" w:cs="Arial"/>
                <w:color w:val="000000" w:themeColor="text1"/>
                <w:lang w:val="sr-Cyrl-BA"/>
              </w:rPr>
              <w:t>ан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ника</w:t>
            </w:r>
            <w:r w:rsidR="00847B04" w:rsidRPr="00F6340E">
              <w:rPr>
                <w:rFonts w:ascii="Arial" w:hAnsi="Arial" w:cs="Arial"/>
                <w:color w:val="000000" w:themeColor="text1"/>
                <w:lang w:val="sr-Cyrl-BA"/>
              </w:rPr>
              <w:t>/</w:t>
            </w:r>
            <w:r w:rsidR="0071360A">
              <w:rPr>
                <w:rFonts w:ascii="Arial" w:hAnsi="Arial" w:cs="Arial"/>
                <w:color w:val="000000" w:themeColor="text1"/>
                <w:lang w:val="sr-Cyrl-BA"/>
              </w:rPr>
              <w:t>сту</w:t>
            </w:r>
            <w:r>
              <w:rPr>
                <w:rFonts w:ascii="Arial" w:hAnsi="Arial" w:cs="Arial"/>
                <w:color w:val="000000" w:themeColor="text1"/>
                <w:lang w:val="sr-Cyrl-BA"/>
              </w:rPr>
              <w:t>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p>
        </w:tc>
      </w:tr>
      <w:tr w:rsidR="00847B04" w:rsidRPr="00F6340E" w14:paraId="241E6237" w14:textId="77777777" w:rsidTr="005746C7">
        <w:trPr>
          <w:trHeight w:val="5248"/>
          <w:jc w:val="center"/>
        </w:trPr>
        <w:tc>
          <w:tcPr>
            <w:tcW w:w="9014" w:type="dxa"/>
            <w:shd w:val="clear" w:color="auto" w:fill="E3F4F9"/>
          </w:tcPr>
          <w:p w14:paraId="4B350412" w14:textId="0BB7D1B3" w:rsidR="00847B04" w:rsidRPr="005746C7" w:rsidRDefault="00A56E08" w:rsidP="005746C7">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4BEA0480" w14:textId="03DBBD42" w:rsidR="00847B04" w:rsidRPr="00F6340E" w:rsidRDefault="0071360A"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х</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ија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ин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ника</w:t>
            </w:r>
            <w:r w:rsidR="00847B04"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одго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бј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гли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ици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пр</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sz w:val="24"/>
                <w:szCs w:val="24"/>
                <w:lang w:val="sr-Cyrl-BA"/>
              </w:rPr>
              <w:t>ло</w:t>
            </w:r>
            <w:r>
              <w:rPr>
                <w:rStyle w:val="y2iqfc"/>
                <w:rFonts w:ascii="Arial" w:hAnsi="Arial" w:cs="Arial"/>
                <w:sz w:val="24"/>
                <w:szCs w:val="24"/>
                <w:lang w:val="sr-Cyrl-BA"/>
              </w:rPr>
              <w:t>ст</w:t>
            </w:r>
            <w:r w:rsidR="00A56E08">
              <w:rPr>
                <w:rStyle w:val="y2iqfc"/>
                <w:rFonts w:ascii="Arial" w:hAnsi="Arial" w:cs="Arial"/>
                <w:sz w:val="24"/>
                <w:szCs w:val="24"/>
                <w:lang w:val="sr-Cyrl-BA"/>
              </w:rPr>
              <w:t>а</w:t>
            </w:r>
            <w:r>
              <w:rPr>
                <w:rStyle w:val="y2iqfc"/>
                <w:rFonts w:ascii="Arial" w:hAnsi="Arial" w:cs="Arial"/>
                <w:sz w:val="24"/>
                <w:szCs w:val="24"/>
                <w:lang w:val="sr-Cyrl-BA"/>
              </w:rPr>
              <w:t>в</w:t>
            </w:r>
            <w:r w:rsidR="00A56E08">
              <w:rPr>
                <w:rStyle w:val="y2iqfc"/>
                <w:rFonts w:ascii="Arial" w:hAnsi="Arial" w:cs="Arial"/>
                <w:sz w:val="24"/>
                <w:szCs w:val="24"/>
                <w:lang w:val="sr-Cyrl-BA"/>
              </w:rPr>
              <w:t>љањ</w:t>
            </w:r>
            <w:r w:rsidR="00EE6AA2">
              <w:rPr>
                <w:rStyle w:val="y2iqfc"/>
                <w:rFonts w:ascii="Arial" w:hAnsi="Arial" w:cs="Arial"/>
                <w:sz w:val="24"/>
                <w:szCs w:val="24"/>
                <w:lang w:val="sr-Cyrl-BA"/>
              </w:rPr>
              <w:t>е</w:t>
            </w:r>
            <w:r w:rsidR="006D1BD4" w:rsidRPr="00F6340E">
              <w:rPr>
                <w:rStyle w:val="y2iqfc"/>
                <w:rFonts w:ascii="Arial" w:hAnsi="Arial" w:cs="Arial"/>
                <w:sz w:val="24"/>
                <w:szCs w:val="24"/>
                <w:lang w:val="sr-Cyrl-BA"/>
              </w:rPr>
              <w:t xml:space="preserve"> </w:t>
            </w:r>
            <w:r w:rsidR="00A56E08">
              <w:rPr>
                <w:rStyle w:val="y2iqfc"/>
                <w:rFonts w:ascii="Arial" w:hAnsi="Arial" w:cs="Arial"/>
                <w:sz w:val="24"/>
                <w:szCs w:val="24"/>
                <w:lang w:val="sr-Cyrl-BA"/>
              </w:rPr>
              <w:t>на</w:t>
            </w:r>
            <w:r w:rsidR="006D1BD4" w:rsidRPr="00F6340E">
              <w:rPr>
                <w:rStyle w:val="y2iqfc"/>
                <w:rFonts w:ascii="Arial" w:hAnsi="Arial" w:cs="Arial"/>
                <w:sz w:val="24"/>
                <w:szCs w:val="24"/>
                <w:lang w:val="sr-Cyrl-BA"/>
              </w:rPr>
              <w:t xml:space="preserve"> </w:t>
            </w:r>
            <w:r w:rsidR="00A56E08">
              <w:rPr>
                <w:rStyle w:val="y2iqfc"/>
                <w:rFonts w:ascii="Arial" w:hAnsi="Arial" w:cs="Arial"/>
                <w:sz w:val="24"/>
                <w:szCs w:val="24"/>
                <w:lang w:val="sr-Cyrl-BA"/>
              </w:rPr>
              <w:t>ин</w:t>
            </w:r>
            <w:r>
              <w:rPr>
                <w:rStyle w:val="y2iqfc"/>
                <w:rFonts w:ascii="Arial" w:hAnsi="Arial" w:cs="Arial"/>
                <w:sz w:val="24"/>
                <w:szCs w:val="24"/>
                <w:lang w:val="sr-Cyrl-BA"/>
              </w:rPr>
              <w:t>т</w:t>
            </w:r>
            <w:r w:rsidR="00EE6AA2">
              <w:rPr>
                <w:rStyle w:val="y2iqfc"/>
                <w:rFonts w:ascii="Arial" w:hAnsi="Arial" w:cs="Arial"/>
                <w:sz w:val="24"/>
                <w:szCs w:val="24"/>
                <w:lang w:val="sr-Cyrl-BA"/>
              </w:rPr>
              <w:t>е</w:t>
            </w:r>
            <w:r>
              <w:rPr>
                <w:rStyle w:val="y2iqfc"/>
                <w:rFonts w:ascii="Arial" w:hAnsi="Arial" w:cs="Arial"/>
                <w:sz w:val="24"/>
                <w:szCs w:val="24"/>
                <w:lang w:val="sr-Cyrl-BA"/>
              </w:rPr>
              <w:t>р</w:t>
            </w:r>
            <w:r w:rsidR="00A56E08">
              <w:rPr>
                <w:rStyle w:val="y2iqfc"/>
                <w:rFonts w:ascii="Arial" w:hAnsi="Arial" w:cs="Arial"/>
                <w:sz w:val="24"/>
                <w:szCs w:val="24"/>
                <w:lang w:val="sr-Cyrl-BA"/>
              </w:rPr>
              <w:t>н</w:t>
            </w:r>
            <w:r w:rsidR="00EE6AA2">
              <w:rPr>
                <w:rStyle w:val="y2iqfc"/>
                <w:rFonts w:ascii="Arial" w:hAnsi="Arial" w:cs="Arial"/>
                <w:sz w:val="24"/>
                <w:szCs w:val="24"/>
                <w:lang w:val="sr-Cyrl-BA"/>
              </w:rPr>
              <w:t>е</w:t>
            </w:r>
            <w:r>
              <w:rPr>
                <w:rStyle w:val="y2iqfc"/>
                <w:rFonts w:ascii="Arial" w:hAnsi="Arial" w:cs="Arial"/>
                <w:sz w:val="24"/>
                <w:szCs w:val="24"/>
                <w:lang w:val="sr-Cyrl-BA"/>
              </w:rPr>
              <w:t>ту</w:t>
            </w:r>
            <w:r w:rsidR="006D1BD4" w:rsidRPr="00F6340E">
              <w:rPr>
                <w:rStyle w:val="y2iqfc"/>
                <w:rFonts w:ascii="Arial" w:hAnsi="Arial" w:cs="Arial"/>
                <w:sz w:val="24"/>
                <w:szCs w:val="24"/>
                <w:lang w:val="sr-Cyrl-BA"/>
              </w:rPr>
              <w:t xml:space="preserve"> </w:t>
            </w:r>
            <w:r w:rsidR="005549C9">
              <w:rPr>
                <w:rStyle w:val="y2iqfc"/>
                <w:rFonts w:ascii="Arial" w:hAnsi="Arial" w:cs="Arial"/>
                <w:sz w:val="24"/>
                <w:szCs w:val="24"/>
                <w:lang w:val="sr-Cyrl-BA"/>
              </w:rPr>
              <w:t>–</w:t>
            </w:r>
            <w:r w:rsidR="006D1BD4" w:rsidRPr="00F6340E">
              <w:rPr>
                <w:rStyle w:val="y2iqfc"/>
                <w:rFonts w:ascii="Arial" w:hAnsi="Arial" w:cs="Arial"/>
                <w:sz w:val="24"/>
                <w:szCs w:val="24"/>
                <w:lang w:val="sr-Cyrl-BA"/>
              </w:rPr>
              <w:t xml:space="preserve"> </w:t>
            </w:r>
            <w:r w:rsidR="005549C9" w:rsidRPr="005549C9">
              <w:rPr>
                <w:rStyle w:val="y2iqfc"/>
                <w:rFonts w:ascii="Arial" w:hAnsi="Arial" w:cs="Arial"/>
                <w:color w:val="202124"/>
                <w:sz w:val="24"/>
                <w:szCs w:val="24"/>
                <w:lang w:val="hr-BA"/>
              </w:rPr>
              <w:t>c</w:t>
            </w:r>
            <w:r w:rsidR="005549C9" w:rsidRPr="005549C9">
              <w:rPr>
                <w:rStyle w:val="y2iqfc"/>
                <w:rFonts w:ascii="Arial" w:hAnsi="Arial" w:cs="Arial"/>
                <w:sz w:val="24"/>
                <w:szCs w:val="24"/>
                <w:lang w:val="hr-BA"/>
              </w:rPr>
              <w:t>yber bul</w:t>
            </w:r>
            <w:r w:rsidR="005549C9">
              <w:rPr>
                <w:rStyle w:val="y2iqfc"/>
                <w:rFonts w:ascii="Arial" w:hAnsi="Arial" w:cs="Arial"/>
                <w:sz w:val="24"/>
                <w:szCs w:val="24"/>
                <w:lang w:val="hr-BA"/>
              </w:rPr>
              <w:t>l</w:t>
            </w:r>
            <w:r w:rsidR="005549C9" w:rsidRPr="005549C9">
              <w:rPr>
                <w:rStyle w:val="y2iqfc"/>
                <w:rFonts w:ascii="Arial" w:hAnsi="Arial" w:cs="Arial"/>
                <w:sz w:val="24"/>
                <w:szCs w:val="24"/>
                <w:lang w:val="hr-BA"/>
              </w:rPr>
              <w:t>ying</w:t>
            </w:r>
            <w:r w:rsidR="00847B04" w:rsidRPr="005549C9">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ила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њихо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фи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ичка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пс</w:t>
            </w:r>
            <w:r w:rsidR="00A56E08">
              <w:rPr>
                <w:rStyle w:val="y2iqfc"/>
                <w:rFonts w:ascii="Arial" w:hAnsi="Arial" w:cs="Arial"/>
                <w:color w:val="202124"/>
                <w:sz w:val="24"/>
                <w:szCs w:val="24"/>
                <w:lang w:val="sr-Cyrl-BA"/>
              </w:rPr>
              <w:t>ихоло</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оби</w:t>
            </w:r>
            <w:r>
              <w:rPr>
                <w:rStyle w:val="y2iqfc"/>
                <w:rFonts w:ascii="Arial" w:hAnsi="Arial" w:cs="Arial"/>
                <w:color w:val="202124"/>
                <w:sz w:val="24"/>
                <w:szCs w:val="24"/>
                <w:lang w:val="sr-Cyrl-BA"/>
              </w:rPr>
              <w:t>т</w:t>
            </w:r>
            <w:r w:rsidR="00847B04" w:rsidRPr="00F6340E">
              <w:rPr>
                <w:rStyle w:val="y2iqfc"/>
                <w:rFonts w:ascii="Arial" w:hAnsi="Arial" w:cs="Arial"/>
                <w:color w:val="202124"/>
                <w:sz w:val="24"/>
                <w:szCs w:val="24"/>
                <w:lang w:val="sr-Cyrl-BA"/>
              </w:rPr>
              <w:t xml:space="preserve">. </w:t>
            </w:r>
          </w:p>
          <w:p w14:paraId="6BBB73CB" w14:textId="60029754" w:rsidR="00847B04" w:rsidRPr="00F6340E" w:rsidRDefault="00A56E08"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Обја</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ни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илагоди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стр</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ком</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никациј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сп</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цифичном</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пу</w:t>
            </w:r>
            <w:r>
              <w:rPr>
                <w:rStyle w:val="y2iqfc"/>
                <w:rFonts w:ascii="Arial" w:hAnsi="Arial" w:cs="Arial"/>
                <w:color w:val="202124"/>
                <w:sz w:val="24"/>
                <w:szCs w:val="24"/>
                <w:lang w:val="sr-Cyrl-BA"/>
              </w:rPr>
              <w:t>бликом</w:t>
            </w:r>
            <w:r w:rsidR="00847B04" w:rsidRPr="00F6340E">
              <w:rPr>
                <w:rStyle w:val="y2iqfc"/>
                <w:rFonts w:ascii="Arial" w:hAnsi="Arial" w:cs="Arial"/>
                <w:color w:val="202124"/>
                <w:sz w:val="24"/>
                <w:szCs w:val="24"/>
                <w:lang w:val="sr-Cyrl-BA"/>
              </w:rPr>
              <w:t xml:space="preserve">. </w:t>
            </w:r>
          </w:p>
          <w:p w14:paraId="11563606" w14:textId="7AA37F06" w:rsidR="00847B04" w:rsidRPr="00F6340E" w:rsidRDefault="00A56E08"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шт</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св</w:t>
            </w:r>
            <w:r>
              <w:rPr>
                <w:rStyle w:val="y2iqfc"/>
                <w:rFonts w:ascii="Arial" w:hAnsi="Arial" w:cs="Arial"/>
                <w:color w:val="202124"/>
                <w:sz w:val="24"/>
                <w:szCs w:val="24"/>
                <w:lang w:val="sr-Cyrl-BA"/>
              </w:rPr>
              <w:t>ој</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гл</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д</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личн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ода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но</w:t>
            </w:r>
            <w:r w:rsidR="0071360A">
              <w:rPr>
                <w:rStyle w:val="y2iqfc"/>
                <w:rFonts w:ascii="Arial" w:hAnsi="Arial" w:cs="Arial"/>
                <w:color w:val="202124"/>
                <w:sz w:val="24"/>
                <w:szCs w:val="24"/>
                <w:lang w:val="sr-Cyrl-BA"/>
              </w:rPr>
              <w:t>ст</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алном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ок</w:t>
            </w:r>
            <w:r w:rsidR="0071360A">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њ</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p>
          <w:p w14:paraId="336340A6" w14:textId="440A6C2B" w:rsidR="00847B04" w:rsidRPr="00F6340E" w:rsidRDefault="0071360A"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омоћи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миј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ут</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рс</w:t>
            </w:r>
            <w:r w:rsidR="00A56E08">
              <w:rPr>
                <w:rStyle w:val="y2iqfc"/>
                <w:rFonts w:ascii="Arial" w:hAnsi="Arial" w:cs="Arial"/>
                <w:color w:val="202124"/>
                <w:sz w:val="24"/>
                <w:szCs w:val="24"/>
                <w:lang w:val="sr-Cyrl-BA"/>
              </w:rPr>
              <w:t>ка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лиц</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нц</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имј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847B04" w:rsidRPr="00F6340E">
              <w:rPr>
                <w:rStyle w:val="y2iqfc"/>
                <w:rFonts w:ascii="Arial" w:hAnsi="Arial" w:cs="Arial"/>
                <w:color w:val="202124"/>
                <w:sz w:val="24"/>
                <w:szCs w:val="24"/>
                <w:lang w:val="sr-Cyrl-BA"/>
              </w:rPr>
              <w:t>.</w:t>
            </w:r>
          </w:p>
          <w:p w14:paraId="01B3EA30" w14:textId="5484A236" w:rsidR="00847B04" w:rsidRPr="00F6340E" w:rsidRDefault="00A56E08"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Омог</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ћи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шт</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св</w:t>
            </w:r>
            <w:r>
              <w:rPr>
                <w:rStyle w:val="y2iqfc"/>
                <w:rFonts w:ascii="Arial" w:hAnsi="Arial" w:cs="Arial"/>
                <w:color w:val="202124"/>
                <w:sz w:val="24"/>
                <w:szCs w:val="24"/>
                <w:lang w:val="sr-Cyrl-BA"/>
              </w:rPr>
              <w:t>ој</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ад</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ад</w:t>
            </w:r>
            <w:r w:rsidR="0071360A">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Pr>
                <w:rStyle w:val="y2iqfc"/>
                <w:rFonts w:ascii="Arial" w:hAnsi="Arial" w:cs="Arial"/>
                <w:color w:val="202124"/>
                <w:sz w:val="24"/>
                <w:szCs w:val="24"/>
                <w:lang w:val="sr-Cyrl-BA"/>
              </w:rPr>
              <w:t>ај</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миј</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ик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алном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ок</w:t>
            </w:r>
            <w:r w:rsidR="0071360A">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њ</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p>
          <w:p w14:paraId="7C2FE14C" w14:textId="4E66D310" w:rsidR="00847B04" w:rsidRPr="00F6340E" w:rsidRDefault="00A56E08" w:rsidP="005746C7">
            <w:pPr>
              <w:pStyle w:val="HTMLPreformatted"/>
              <w:numPr>
                <w:ilvl w:val="0"/>
                <w:numId w:val="16"/>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одиј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ли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личн</w:t>
            </w:r>
            <w:r w:rsidR="00EE6AA2">
              <w:rPr>
                <w:rStyle w:val="y2iqfc"/>
                <w:rFonts w:ascii="Arial" w:hAnsi="Arial" w:cs="Arial"/>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инфо</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мациј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а</w:t>
            </w:r>
            <w:r w:rsidR="006D1BD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ом</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шт</w:t>
            </w:r>
            <w:r>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б</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w:t>
            </w:r>
            <w:r w:rsidR="0071360A">
              <w:rPr>
                <w:rStyle w:val="y2iqfc"/>
                <w:rFonts w:ascii="Arial" w:hAnsi="Arial" w:cs="Arial"/>
                <w:color w:val="202124"/>
                <w:sz w:val="24"/>
                <w:szCs w:val="24"/>
                <w:lang w:val="sr-Cyrl-BA"/>
              </w:rPr>
              <w:t>ру</w:t>
            </w:r>
            <w:r>
              <w:rPr>
                <w:rStyle w:val="y2iqfc"/>
                <w:rFonts w:ascii="Arial" w:hAnsi="Arial" w:cs="Arial"/>
                <w:color w:val="202124"/>
                <w:sz w:val="24"/>
                <w:szCs w:val="24"/>
                <w:lang w:val="sr-Cyrl-BA"/>
              </w:rPr>
              <w:t>г</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p>
          <w:p w14:paraId="25D62A38" w14:textId="46B997D1" w:rsidR="00847B04" w:rsidRPr="00F6340E" w:rsidRDefault="00A56E08" w:rsidP="005746C7">
            <w:pPr>
              <w:pStyle w:val="HTMLPreformatted"/>
              <w:numPr>
                <w:ilvl w:val="0"/>
                <w:numId w:val="16"/>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Омог</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ћи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х</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хнологиј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мог</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ут</w:t>
            </w:r>
            <w:r>
              <w:rPr>
                <w:rStyle w:val="y2iqfc"/>
                <w:rFonts w:ascii="Arial" w:hAnsi="Arial" w:cs="Arial"/>
                <w:color w:val="202124"/>
                <w:sz w:val="24"/>
                <w:szCs w:val="24"/>
                <w:lang w:val="sr-Cyrl-BA"/>
              </w:rPr>
              <w:t>ица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на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w:t>
            </w:r>
            <w:r w:rsidR="0071360A">
              <w:rPr>
                <w:rStyle w:val="y2iqfc"/>
                <w:rFonts w:ascii="Arial" w:hAnsi="Arial" w:cs="Arial"/>
                <w:color w:val="202124"/>
                <w:sz w:val="24"/>
                <w:szCs w:val="24"/>
                <w:lang w:val="sr-Cyrl-BA"/>
              </w:rPr>
              <w:t>руштв</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благо</w:t>
            </w:r>
            <w:r w:rsidR="0071360A">
              <w:rPr>
                <w:rStyle w:val="y2iqfc"/>
                <w:rFonts w:ascii="Arial" w:hAnsi="Arial" w:cs="Arial"/>
                <w:color w:val="202124"/>
                <w:sz w:val="24"/>
                <w:szCs w:val="24"/>
                <w:lang w:val="sr-Cyrl-BA"/>
              </w:rPr>
              <w:t>ст</w:t>
            </w:r>
            <w:r>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оцијалн</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инкл</w:t>
            </w:r>
            <w:r w:rsidR="0071360A">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иј</w:t>
            </w:r>
            <w:r w:rsidR="0071360A">
              <w:rPr>
                <w:rStyle w:val="y2iqfc"/>
                <w:rFonts w:ascii="Arial" w:hAnsi="Arial" w:cs="Arial"/>
                <w:color w:val="202124"/>
                <w:sz w:val="24"/>
                <w:szCs w:val="24"/>
                <w:lang w:val="sr-Cyrl-BA"/>
              </w:rPr>
              <w:t>у</w:t>
            </w:r>
          </w:p>
        </w:tc>
      </w:tr>
    </w:tbl>
    <w:p w14:paraId="36F27F0E" w14:textId="77777777" w:rsidR="00847B04" w:rsidRPr="00F6340E" w:rsidRDefault="00847B04" w:rsidP="005746C7">
      <w:pPr>
        <w:pStyle w:val="Body"/>
        <w:spacing w:before="0" w:after="0"/>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1190FADB" w14:textId="77777777" w:rsidTr="005746C7">
        <w:trPr>
          <w:trHeight w:val="454"/>
          <w:jc w:val="center"/>
        </w:trPr>
        <w:tc>
          <w:tcPr>
            <w:tcW w:w="9014" w:type="dxa"/>
            <w:tcBorders>
              <w:bottom w:val="single" w:sz="4" w:space="0" w:color="000000"/>
            </w:tcBorders>
            <w:shd w:val="clear" w:color="auto" w:fill="00B0F0"/>
            <w:vAlign w:val="center"/>
          </w:tcPr>
          <w:p w14:paraId="10010106" w14:textId="258C398C" w:rsidR="00847B04" w:rsidRPr="00F6340E" w:rsidRDefault="0071360A" w:rsidP="005746C7">
            <w:pPr>
              <w:spacing w:line="276" w:lineRule="auto"/>
              <w:contextualSpacing/>
              <w:jc w:val="center"/>
              <w:rPr>
                <w:rFonts w:ascii="Arial" w:hAnsi="Arial" w:cs="Arial"/>
                <w:b/>
                <w:color w:val="000000" w:themeColor="text1"/>
                <w:lang w:val="sr-Cyrl-BA"/>
              </w:rPr>
            </w:pPr>
            <w:r>
              <w:rPr>
                <w:rFonts w:ascii="Arial" w:hAnsi="Arial" w:cs="Arial"/>
                <w:b/>
                <w:color w:val="000000" w:themeColor="text1"/>
                <w:lang w:val="sr-Cyrl-BA"/>
              </w:rPr>
              <w:t>Р</w:t>
            </w:r>
            <w:r w:rsidR="00A56E08">
              <w:rPr>
                <w:rFonts w:ascii="Arial" w:hAnsi="Arial" w:cs="Arial"/>
                <w:b/>
                <w:color w:val="000000" w:themeColor="text1"/>
                <w:lang w:val="sr-Cyrl-BA"/>
              </w:rPr>
              <w:t>ј</w:t>
            </w:r>
            <w:r w:rsidR="00EE6AA2">
              <w:rPr>
                <w:rFonts w:ascii="Arial" w:hAnsi="Arial" w:cs="Arial"/>
                <w:b/>
                <w:color w:val="000000" w:themeColor="text1"/>
                <w:lang w:val="sr-Cyrl-BA"/>
              </w:rPr>
              <w:t>е</w:t>
            </w:r>
            <w:r>
              <w:rPr>
                <w:rFonts w:ascii="Arial" w:hAnsi="Arial" w:cs="Arial"/>
                <w:b/>
                <w:color w:val="000000" w:themeColor="text1"/>
                <w:lang w:val="sr-Cyrl-BA"/>
              </w:rPr>
              <w:t>ш</w:t>
            </w:r>
            <w:r w:rsidR="00A56E08">
              <w:rPr>
                <w:rFonts w:ascii="Arial" w:hAnsi="Arial" w:cs="Arial"/>
                <w:b/>
                <w:color w:val="000000" w:themeColor="text1"/>
                <w:lang w:val="sr-Cyrl-BA"/>
              </w:rPr>
              <w:t>а</w:t>
            </w:r>
            <w:r>
              <w:rPr>
                <w:rFonts w:ascii="Arial" w:hAnsi="Arial" w:cs="Arial"/>
                <w:b/>
                <w:color w:val="000000" w:themeColor="text1"/>
                <w:lang w:val="sr-Cyrl-BA"/>
              </w:rPr>
              <w:t>в</w:t>
            </w:r>
            <w:r w:rsidR="00A56E08">
              <w:rPr>
                <w:rFonts w:ascii="Arial" w:hAnsi="Arial" w:cs="Arial"/>
                <w:b/>
                <w:color w:val="000000" w:themeColor="text1"/>
                <w:lang w:val="sr-Cyrl-BA"/>
              </w:rPr>
              <w:t>ањ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пр</w:t>
            </w:r>
            <w:r w:rsidR="00A56E08">
              <w:rPr>
                <w:rFonts w:ascii="Arial" w:hAnsi="Arial" w:cs="Arial"/>
                <w:b/>
                <w:color w:val="000000" w:themeColor="text1"/>
                <w:lang w:val="sr-Cyrl-BA"/>
              </w:rPr>
              <w:t>обл</w:t>
            </w:r>
            <w:r w:rsidR="00EE6AA2">
              <w:rPr>
                <w:rFonts w:ascii="Arial" w:hAnsi="Arial" w:cs="Arial"/>
                <w:b/>
                <w:color w:val="000000" w:themeColor="text1"/>
                <w:lang w:val="sr-Cyrl-BA"/>
              </w:rPr>
              <w:t>е</w:t>
            </w:r>
            <w:r w:rsidR="00A56E08">
              <w:rPr>
                <w:rFonts w:ascii="Arial" w:hAnsi="Arial" w:cs="Arial"/>
                <w:b/>
                <w:color w:val="000000" w:themeColor="text1"/>
                <w:lang w:val="sr-Cyrl-BA"/>
              </w:rPr>
              <w:t>ма</w:t>
            </w:r>
          </w:p>
        </w:tc>
      </w:tr>
      <w:tr w:rsidR="00847B04" w:rsidRPr="00F6340E" w14:paraId="53DED83D" w14:textId="77777777" w:rsidTr="005746C7">
        <w:trPr>
          <w:trHeight w:val="962"/>
          <w:jc w:val="center"/>
        </w:trPr>
        <w:tc>
          <w:tcPr>
            <w:tcW w:w="9014" w:type="dxa"/>
            <w:tcBorders>
              <w:top w:val="single" w:sz="4" w:space="0" w:color="000000"/>
            </w:tcBorders>
            <w:shd w:val="clear" w:color="auto" w:fill="E3F4F9"/>
          </w:tcPr>
          <w:p w14:paraId="01F45577" w14:textId="3E926F76"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157F68A9" w14:textId="0859392B" w:rsidR="00847B04" w:rsidRPr="00F6340E" w:rsidRDefault="00A56E08" w:rsidP="005746C7">
            <w:pPr>
              <w:pStyle w:val="ListParagraph"/>
              <w:numPr>
                <w:ilvl w:val="0"/>
                <w:numId w:val="29"/>
              </w:numPr>
              <w:spacing w:line="276" w:lineRule="auto"/>
              <w:jc w:val="left"/>
              <w:rPr>
                <w:rFonts w:ascii="Arial" w:hAnsi="Arial" w:cs="Arial"/>
                <w:color w:val="00B0F0"/>
                <w:lang w:val="sr-Cyrl-BA"/>
              </w:rPr>
            </w:pPr>
            <w:r>
              <w:rPr>
                <w:rFonts w:ascii="Arial" w:hAnsi="Arial" w:cs="Arial"/>
                <w:color w:val="000000" w:themeColor="text1"/>
                <w:lang w:val="sr-Cyrl-BA"/>
              </w:rPr>
              <w:t>Омог</w:t>
            </w:r>
            <w:r w:rsidR="0071360A">
              <w:rPr>
                <w:rFonts w:ascii="Arial" w:hAnsi="Arial" w:cs="Arial"/>
                <w:color w:val="000000" w:themeColor="text1"/>
                <w:lang w:val="sr-Cyrl-BA"/>
              </w:rPr>
              <w:t>у</w:t>
            </w:r>
            <w:r>
              <w:rPr>
                <w:rFonts w:ascii="Arial" w:hAnsi="Arial" w:cs="Arial"/>
                <w:color w:val="000000" w:themeColor="text1"/>
                <w:lang w:val="sr-Cyrl-BA"/>
              </w:rPr>
              <w:t>ћи</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ницима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ифик</w:t>
            </w:r>
            <w:r w:rsidR="0071360A">
              <w:rPr>
                <w:rFonts w:ascii="Arial" w:hAnsi="Arial" w:cs="Arial"/>
                <w:color w:val="000000" w:themeColor="text1"/>
                <w:lang w:val="sr-Cyrl-BA"/>
              </w:rPr>
              <w:t>у</w:t>
            </w:r>
            <w:r>
              <w:rPr>
                <w:rFonts w:ascii="Arial" w:hAnsi="Arial" w:cs="Arial"/>
                <w:color w:val="000000" w:themeColor="text1"/>
                <w:lang w:val="sr-Cyrl-BA"/>
              </w:rPr>
              <w:t>ј</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иј</w:t>
            </w:r>
            <w:r w:rsidR="00EE6AA2">
              <w:rPr>
                <w:rFonts w:ascii="Arial" w:hAnsi="Arial" w:cs="Arial"/>
                <w:color w:val="000000" w:themeColor="text1"/>
                <w:lang w:val="sr-Cyrl-BA"/>
              </w:rPr>
              <w:t>е</w:t>
            </w:r>
            <w:r w:rsidR="0071360A">
              <w:rPr>
                <w:rFonts w:ascii="Arial" w:hAnsi="Arial" w:cs="Arial"/>
                <w:color w:val="000000" w:themeColor="text1"/>
                <w:lang w:val="sr-Cyrl-BA"/>
              </w:rPr>
              <w:t>ш</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хничк</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обл</w:t>
            </w:r>
            <w:r w:rsidR="00EE6AA2">
              <w:rPr>
                <w:rFonts w:ascii="Arial" w:hAnsi="Arial" w:cs="Arial"/>
                <w:color w:val="000000" w:themeColor="text1"/>
                <w:lang w:val="sr-Cyrl-BA"/>
              </w:rPr>
              <w:t>е</w:t>
            </w:r>
            <w:r>
              <w:rPr>
                <w:rFonts w:ascii="Arial" w:hAnsi="Arial" w:cs="Arial"/>
                <w:color w:val="000000" w:themeColor="text1"/>
                <w:lang w:val="sr-Cyrl-BA"/>
              </w:rPr>
              <w:t>м</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или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EE6AA2">
              <w:rPr>
                <w:rFonts w:ascii="Arial" w:hAnsi="Arial" w:cs="Arial"/>
                <w:color w:val="000000" w:themeColor="text1"/>
                <w:lang w:val="sr-Cyrl-BA"/>
              </w:rPr>
              <w:t>е</w:t>
            </w:r>
            <w:r>
              <w:rPr>
                <w:rFonts w:ascii="Arial" w:hAnsi="Arial" w:cs="Arial"/>
                <w:color w:val="000000" w:themeColor="text1"/>
                <w:lang w:val="sr-Cyrl-BA"/>
              </w:rPr>
              <w:t>н</w:t>
            </w:r>
            <w:r w:rsidR="00EE6AA2">
              <w:rPr>
                <w:rFonts w:ascii="Arial" w:hAnsi="Arial" w:cs="Arial"/>
                <w:color w:val="000000" w:themeColor="text1"/>
                <w:lang w:val="sr-Cyrl-BA"/>
              </w:rPr>
              <w:t>е</w:t>
            </w:r>
            <w:r w:rsidR="0071360A">
              <w:rPr>
                <w:rFonts w:ascii="Arial" w:hAnsi="Arial" w:cs="Arial"/>
                <w:color w:val="000000" w:themeColor="text1"/>
                <w:lang w:val="sr-Cyrl-BA"/>
              </w:rPr>
              <w:t>су</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хноло</w:t>
            </w:r>
            <w:r w:rsidR="0071360A">
              <w:rPr>
                <w:rFonts w:ascii="Arial" w:hAnsi="Arial" w:cs="Arial"/>
                <w:color w:val="000000" w:themeColor="text1"/>
                <w:lang w:val="sr-Cyrl-BA"/>
              </w:rPr>
              <w:t>ш</w:t>
            </w:r>
            <w:r>
              <w:rPr>
                <w:rFonts w:ascii="Arial" w:hAnsi="Arial" w:cs="Arial"/>
                <w:color w:val="000000" w:themeColor="text1"/>
                <w:lang w:val="sr-Cyrl-BA"/>
              </w:rPr>
              <w:t>ко</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нањ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но</w:t>
            </w:r>
            <w:r w:rsidR="0071360A">
              <w:rPr>
                <w:rFonts w:ascii="Arial" w:hAnsi="Arial" w:cs="Arial"/>
                <w:color w:val="000000" w:themeColor="text1"/>
                <w:lang w:val="sr-Cyrl-BA"/>
              </w:rPr>
              <w:t>в</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w:t>
            </w:r>
            <w:r w:rsidR="0071360A">
              <w:rPr>
                <w:rFonts w:ascii="Arial" w:hAnsi="Arial" w:cs="Arial"/>
                <w:color w:val="000000" w:themeColor="text1"/>
                <w:lang w:val="sr-Cyrl-BA"/>
              </w:rPr>
              <w:t>ту</w:t>
            </w:r>
            <w:r>
              <w:rPr>
                <w:rFonts w:ascii="Arial" w:hAnsi="Arial" w:cs="Arial"/>
                <w:color w:val="000000" w:themeColor="text1"/>
                <w:lang w:val="sr-Cyrl-BA"/>
              </w:rPr>
              <w:t>ациј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w:t>
            </w:r>
          </w:p>
        </w:tc>
      </w:tr>
      <w:tr w:rsidR="00847B04" w:rsidRPr="00F6340E" w14:paraId="7E497B9B" w14:textId="77777777" w:rsidTr="005746C7">
        <w:trPr>
          <w:trHeight w:val="2756"/>
          <w:jc w:val="center"/>
        </w:trPr>
        <w:tc>
          <w:tcPr>
            <w:tcW w:w="9014" w:type="dxa"/>
            <w:shd w:val="clear" w:color="auto" w:fill="E3F4F9"/>
          </w:tcPr>
          <w:p w14:paraId="271A7986" w14:textId="3C63A5BB" w:rsidR="00847B04" w:rsidRPr="005746C7" w:rsidRDefault="00A56E08" w:rsidP="005746C7">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3DB4C998" w14:textId="2C39C0AC" w:rsidR="00847B04" w:rsidRPr="00F6340E" w:rsidRDefault="00A56E08" w:rsidP="005746C7">
            <w:pPr>
              <w:pStyle w:val="HTMLPreformatted"/>
              <w:numPr>
                <w:ilvl w:val="0"/>
                <w:numId w:val="17"/>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Омог</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ћи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о</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нај</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хничк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обл</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м</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иликом</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уп</w:t>
            </w: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б</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ђаја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ок</w:t>
            </w:r>
            <w:r w:rsidR="0071360A">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ња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ш</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ања</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обл</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ма</w:t>
            </w:r>
            <w:r w:rsidR="00847B04" w:rsidRPr="00F6340E">
              <w:rPr>
                <w:rStyle w:val="y2iqfc"/>
                <w:rFonts w:ascii="Arial" w:hAnsi="Arial" w:cs="Arial"/>
                <w:color w:val="202124"/>
                <w:sz w:val="24"/>
                <w:szCs w:val="24"/>
                <w:lang w:val="sr-Cyrl-BA"/>
              </w:rPr>
              <w:t>.</w:t>
            </w:r>
          </w:p>
          <w:p w14:paraId="5BA6A3BC" w14:textId="38E9083F" w:rsidR="00847B04" w:rsidRPr="00F6340E" w:rsidRDefault="0071360A" w:rsidP="005746C7">
            <w:pPr>
              <w:pStyle w:val="HTMLPreformatted"/>
              <w:numPr>
                <w:ilvl w:val="0"/>
                <w:numId w:val="17"/>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омоћи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ифико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бо</w:t>
            </w:r>
            <w:r>
              <w:rPr>
                <w:rStyle w:val="y2iqfc"/>
                <w:rFonts w:ascii="Arial" w:hAnsi="Arial" w:cs="Arial"/>
                <w:color w:val="202124"/>
                <w:sz w:val="24"/>
                <w:szCs w:val="24"/>
                <w:lang w:val="sr-Cyrl-BA"/>
              </w:rPr>
              <w:t>ру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хнологија</w:t>
            </w:r>
            <w:r w:rsidR="00847B04" w:rsidRPr="00F6340E">
              <w:rPr>
                <w:rStyle w:val="y2iqfc"/>
                <w:rFonts w:ascii="Arial" w:hAnsi="Arial" w:cs="Arial"/>
                <w:color w:val="202124"/>
                <w:sz w:val="24"/>
                <w:szCs w:val="24"/>
                <w:lang w:val="sr-Cyrl-BA"/>
              </w:rPr>
              <w:t>.</w:t>
            </w:r>
          </w:p>
          <w:p w14:paraId="22E44322" w14:textId="41C0DD15" w:rsidR="00847B04" w:rsidRPr="00F6340E" w:rsidRDefault="0071360A" w:rsidP="005746C7">
            <w:pPr>
              <w:pStyle w:val="HTMLPreformatted"/>
              <w:numPr>
                <w:ilvl w:val="0"/>
                <w:numId w:val="17"/>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илагоди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ок</w:t>
            </w:r>
            <w:r>
              <w:rPr>
                <w:rStyle w:val="y2iqfc"/>
                <w:rFonts w:ascii="Arial" w:hAnsi="Arial" w:cs="Arial"/>
                <w:color w:val="202124"/>
                <w:sz w:val="24"/>
                <w:szCs w:val="24"/>
                <w:lang w:val="sr-Cyrl-BA"/>
              </w:rPr>
              <w:t>ру</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личним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бама</w:t>
            </w:r>
            <w:r w:rsidR="00847B04" w:rsidRPr="00F6340E">
              <w:rPr>
                <w:rStyle w:val="y2iqfc"/>
                <w:rFonts w:ascii="Arial" w:hAnsi="Arial" w:cs="Arial"/>
                <w:color w:val="202124"/>
                <w:sz w:val="24"/>
                <w:szCs w:val="24"/>
                <w:lang w:val="sr-Cyrl-BA"/>
              </w:rPr>
              <w:t>.</w:t>
            </w:r>
          </w:p>
          <w:p w14:paraId="29F02F0B" w14:textId="19070A0D" w:rsidR="00847B04" w:rsidRPr="00F6340E" w:rsidRDefault="0071360A" w:rsidP="005746C7">
            <w:pPr>
              <w:pStyle w:val="HTMLPreformatted"/>
              <w:numPr>
                <w:ilvl w:val="0"/>
                <w:numId w:val="17"/>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амо</w:t>
            </w:r>
            <w:r w:rsidR="006D1BD4"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вр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ли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ру</w:t>
            </w:r>
            <w:r w:rsidR="00A56E08">
              <w:rPr>
                <w:rStyle w:val="y2iqfc"/>
                <w:rFonts w:ascii="Arial" w:hAnsi="Arial" w:cs="Arial"/>
                <w:color w:val="202124"/>
                <w:sz w:val="24"/>
                <w:szCs w:val="24"/>
                <w:lang w:val="sr-Cyrl-BA"/>
              </w:rPr>
              <w:t>чја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мог</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ах</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њих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обољ</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или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ж</w:t>
            </w:r>
            <w:r>
              <w:rPr>
                <w:rStyle w:val="y2iqfc"/>
                <w:rFonts w:ascii="Arial" w:hAnsi="Arial" w:cs="Arial"/>
                <w:color w:val="202124"/>
                <w:sz w:val="24"/>
                <w:szCs w:val="24"/>
                <w:lang w:val="sr-Cyrl-BA"/>
              </w:rPr>
              <w:t>ур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св</w:t>
            </w:r>
            <w:r w:rsidR="00A56E08">
              <w:rPr>
                <w:rStyle w:val="y2iqfc"/>
                <w:rFonts w:ascii="Arial" w:hAnsi="Arial" w:cs="Arial"/>
                <w:color w:val="202124"/>
                <w:sz w:val="24"/>
                <w:szCs w:val="24"/>
                <w:lang w:val="sr-Cyrl-BA"/>
              </w:rPr>
              <w:t>ој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ин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w:t>
            </w:r>
          </w:p>
        </w:tc>
      </w:tr>
    </w:tbl>
    <w:p w14:paraId="10155B7B" w14:textId="30BE6E77" w:rsidR="00847B04" w:rsidRPr="00F6340E" w:rsidRDefault="0071360A" w:rsidP="000962EB">
      <w:pPr>
        <w:pStyle w:val="Heading3"/>
        <w:numPr>
          <w:ilvl w:val="2"/>
          <w:numId w:val="70"/>
        </w:numPr>
        <w:rPr>
          <w:lang w:val="sr-Cyrl-BA"/>
        </w:rPr>
      </w:pPr>
      <w:bookmarkStart w:id="38" w:name="_Toc119050320"/>
      <w:r>
        <w:rPr>
          <w:lang w:val="sr-Cyrl-BA"/>
        </w:rPr>
        <w:lastRenderedPageBreak/>
        <w:t>Р</w:t>
      </w:r>
      <w:r w:rsidR="00A56E08">
        <w:rPr>
          <w:lang w:val="sr-Cyrl-BA"/>
        </w:rPr>
        <w:t>а</w:t>
      </w:r>
      <w:r w:rsidR="00171F00">
        <w:rPr>
          <w:lang w:val="sr-Cyrl-BA"/>
        </w:rPr>
        <w:t>з</w:t>
      </w:r>
      <w:r w:rsidR="00A56E08">
        <w:rPr>
          <w:lang w:val="sr-Cyrl-BA"/>
        </w:rPr>
        <w:t>мј</w:t>
      </w:r>
      <w:r w:rsidR="00EE6AA2">
        <w:rPr>
          <w:lang w:val="sr-Cyrl-BA"/>
        </w:rPr>
        <w:t>е</w:t>
      </w:r>
      <w:r w:rsidR="00A56E08">
        <w:rPr>
          <w:lang w:val="sr-Cyrl-BA"/>
        </w:rPr>
        <w:t>на</w:t>
      </w:r>
      <w:r w:rsidR="00847B04" w:rsidRPr="00F6340E">
        <w:rPr>
          <w:lang w:val="sr-Cyrl-BA"/>
        </w:rPr>
        <w:t xml:space="preserve"> </w:t>
      </w:r>
      <w:r w:rsidR="00171F00">
        <w:rPr>
          <w:lang w:val="sr-Cyrl-BA"/>
        </w:rPr>
        <w:t>з</w:t>
      </w:r>
      <w:r w:rsidR="00A56E08">
        <w:rPr>
          <w:lang w:val="sr-Cyrl-BA"/>
        </w:rPr>
        <w:t>нања</w:t>
      </w:r>
      <w:r w:rsidR="00847B04" w:rsidRPr="00F6340E">
        <w:rPr>
          <w:lang w:val="sr-Cyrl-BA"/>
        </w:rPr>
        <w:t xml:space="preserve"> – </w:t>
      </w:r>
      <w:r w:rsidR="00171F00">
        <w:rPr>
          <w:lang w:val="sr-Cyrl-BA"/>
        </w:rPr>
        <w:t>З</w:t>
      </w:r>
      <w:r w:rsidR="00A56E08">
        <w:rPr>
          <w:lang w:val="sr-Cyrl-BA"/>
        </w:rPr>
        <w:t>ај</w:t>
      </w:r>
      <w:r w:rsidR="00EE6AA2">
        <w:rPr>
          <w:lang w:val="sr-Cyrl-BA"/>
        </w:rPr>
        <w:t>е</w:t>
      </w:r>
      <w:r w:rsidR="00A56E08">
        <w:rPr>
          <w:lang w:val="sr-Cyrl-BA"/>
        </w:rPr>
        <w:t>дниц</w:t>
      </w:r>
      <w:r w:rsidR="00EE6AA2">
        <w:rPr>
          <w:lang w:val="sr-Cyrl-BA"/>
        </w:rPr>
        <w:t>е</w:t>
      </w:r>
      <w:r w:rsidR="00847B04" w:rsidRPr="00F6340E">
        <w:rPr>
          <w:lang w:val="sr-Cyrl-BA"/>
        </w:rPr>
        <w:t xml:space="preserve"> </w:t>
      </w:r>
      <w:r>
        <w:rPr>
          <w:lang w:val="sr-Cyrl-BA"/>
        </w:rPr>
        <w:t>пр</w:t>
      </w:r>
      <w:r w:rsidR="00A56E08">
        <w:rPr>
          <w:lang w:val="sr-Cyrl-BA"/>
        </w:rPr>
        <w:t>ак</w:t>
      </w:r>
      <w:r>
        <w:rPr>
          <w:lang w:val="sr-Cyrl-BA"/>
        </w:rPr>
        <w:t>с</w:t>
      </w:r>
      <w:r w:rsidR="00EE6AA2">
        <w:rPr>
          <w:lang w:val="sr-Cyrl-BA"/>
        </w:rPr>
        <w:t>е</w:t>
      </w:r>
      <w:bookmarkEnd w:id="38"/>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7531DB63" w14:textId="77777777" w:rsidTr="005746C7">
        <w:trPr>
          <w:trHeight w:val="454"/>
          <w:jc w:val="center"/>
        </w:trPr>
        <w:tc>
          <w:tcPr>
            <w:tcW w:w="9014" w:type="dxa"/>
            <w:tcBorders>
              <w:bottom w:val="single" w:sz="4" w:space="0" w:color="000000"/>
            </w:tcBorders>
            <w:shd w:val="clear" w:color="auto" w:fill="00B0F0"/>
            <w:vAlign w:val="center"/>
          </w:tcPr>
          <w:p w14:paraId="26E33340" w14:textId="17447F4B" w:rsidR="00847B04" w:rsidRPr="00F6340E" w:rsidRDefault="0071360A" w:rsidP="005746C7">
            <w:pPr>
              <w:spacing w:line="276" w:lineRule="auto"/>
              <w:jc w:val="center"/>
              <w:rPr>
                <w:rFonts w:ascii="Arial" w:hAnsi="Arial" w:cs="Arial"/>
                <w:b/>
                <w:color w:val="000000" w:themeColor="text1"/>
                <w:lang w:val="sr-Cyrl-BA"/>
              </w:rPr>
            </w:pPr>
            <w:r>
              <w:rPr>
                <w:rFonts w:ascii="Arial" w:hAnsi="Arial" w:cs="Arial"/>
                <w:b/>
                <w:color w:val="000000" w:themeColor="text1"/>
                <w:lang w:val="sr-Cyrl-BA"/>
              </w:rPr>
              <w:t>Пр</w:t>
            </w:r>
            <w:r w:rsidR="00A56E08">
              <w:rPr>
                <w:rFonts w:ascii="Arial" w:hAnsi="Arial" w:cs="Arial"/>
                <w:b/>
                <w:color w:val="000000" w:themeColor="text1"/>
                <w:lang w:val="sr-Cyrl-BA"/>
              </w:rPr>
              <w:t>оф</w:t>
            </w:r>
            <w:r w:rsidR="00EE6AA2">
              <w:rPr>
                <w:rFonts w:ascii="Arial" w:hAnsi="Arial" w:cs="Arial"/>
                <w:b/>
                <w:color w:val="000000" w:themeColor="text1"/>
                <w:lang w:val="sr-Cyrl-BA"/>
              </w:rPr>
              <w:t>е</w:t>
            </w:r>
            <w:r>
              <w:rPr>
                <w:rFonts w:ascii="Arial" w:hAnsi="Arial" w:cs="Arial"/>
                <w:b/>
                <w:color w:val="000000" w:themeColor="text1"/>
                <w:lang w:val="sr-Cyrl-BA"/>
              </w:rPr>
              <w:t>с</w:t>
            </w:r>
            <w:r w:rsidR="00A56E08">
              <w:rPr>
                <w:rFonts w:ascii="Arial" w:hAnsi="Arial" w:cs="Arial"/>
                <w:b/>
                <w:color w:val="000000" w:themeColor="text1"/>
                <w:lang w:val="sr-Cyrl-BA"/>
              </w:rPr>
              <w:t>ионални</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анга</w:t>
            </w:r>
            <w:r w:rsidR="00171F00">
              <w:rPr>
                <w:rFonts w:ascii="Arial" w:hAnsi="Arial" w:cs="Arial"/>
                <w:b/>
                <w:color w:val="000000" w:themeColor="text1"/>
                <w:lang w:val="sr-Cyrl-BA"/>
              </w:rPr>
              <w:t>ж</w:t>
            </w:r>
            <w:r w:rsidR="00A56E08">
              <w:rPr>
                <w:rFonts w:ascii="Arial" w:hAnsi="Arial" w:cs="Arial"/>
                <w:b/>
                <w:color w:val="000000" w:themeColor="text1"/>
                <w:lang w:val="sr-Cyrl-BA"/>
              </w:rPr>
              <w:t>ман</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кон</w:t>
            </w:r>
            <w:r>
              <w:rPr>
                <w:rFonts w:ascii="Arial" w:hAnsi="Arial" w:cs="Arial"/>
                <w:b/>
                <w:color w:val="000000" w:themeColor="text1"/>
                <w:lang w:val="sr-Cyrl-BA"/>
              </w:rPr>
              <w:t>т</w:t>
            </w:r>
            <w:r w:rsidR="00A56E08">
              <w:rPr>
                <w:rFonts w:ascii="Arial" w:hAnsi="Arial" w:cs="Arial"/>
                <w:b/>
                <w:color w:val="000000" w:themeColor="text1"/>
                <w:lang w:val="sr-Cyrl-BA"/>
              </w:rPr>
              <w:t>ин</w:t>
            </w:r>
            <w:r>
              <w:rPr>
                <w:rFonts w:ascii="Arial" w:hAnsi="Arial" w:cs="Arial"/>
                <w:b/>
                <w:color w:val="000000" w:themeColor="text1"/>
                <w:lang w:val="sr-Cyrl-BA"/>
              </w:rPr>
              <w:t>у</w:t>
            </w:r>
            <w:r w:rsidR="00A56E08">
              <w:rPr>
                <w:rFonts w:ascii="Arial" w:hAnsi="Arial" w:cs="Arial"/>
                <w:b/>
                <w:color w:val="000000" w:themeColor="text1"/>
                <w:lang w:val="sr-Cyrl-BA"/>
              </w:rPr>
              <w:t>ални</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пр</w:t>
            </w:r>
            <w:r w:rsidR="00A56E08">
              <w:rPr>
                <w:rFonts w:ascii="Arial" w:hAnsi="Arial" w:cs="Arial"/>
                <w:b/>
                <w:color w:val="000000" w:themeColor="text1"/>
                <w:lang w:val="sr-Cyrl-BA"/>
              </w:rPr>
              <w:t>оф</w:t>
            </w:r>
            <w:r w:rsidR="00EE6AA2">
              <w:rPr>
                <w:rFonts w:ascii="Arial" w:hAnsi="Arial" w:cs="Arial"/>
                <w:b/>
                <w:color w:val="000000" w:themeColor="text1"/>
                <w:lang w:val="sr-Cyrl-BA"/>
              </w:rPr>
              <w:t>е</w:t>
            </w:r>
            <w:r>
              <w:rPr>
                <w:rFonts w:ascii="Arial" w:hAnsi="Arial" w:cs="Arial"/>
                <w:b/>
                <w:color w:val="000000" w:themeColor="text1"/>
                <w:lang w:val="sr-Cyrl-BA"/>
              </w:rPr>
              <w:t>с</w:t>
            </w:r>
            <w:r w:rsidR="00A56E08">
              <w:rPr>
                <w:rFonts w:ascii="Arial" w:hAnsi="Arial" w:cs="Arial"/>
                <w:b/>
                <w:color w:val="000000" w:themeColor="text1"/>
                <w:lang w:val="sr-Cyrl-BA"/>
              </w:rPr>
              <w:t>ионални</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в</w:t>
            </w:r>
            <w:r w:rsidR="00A56E08">
              <w:rPr>
                <w:rFonts w:ascii="Arial" w:hAnsi="Arial" w:cs="Arial"/>
                <w:b/>
                <w:color w:val="000000" w:themeColor="text1"/>
                <w:lang w:val="sr-Cyrl-BA"/>
              </w:rPr>
              <w:t>ој</w:t>
            </w:r>
          </w:p>
        </w:tc>
      </w:tr>
      <w:tr w:rsidR="00847B04" w:rsidRPr="00F6340E" w14:paraId="49C4EE43" w14:textId="77777777" w:rsidTr="00A94F64">
        <w:trPr>
          <w:trHeight w:val="962"/>
          <w:jc w:val="center"/>
        </w:trPr>
        <w:tc>
          <w:tcPr>
            <w:tcW w:w="9014" w:type="dxa"/>
            <w:tcBorders>
              <w:top w:val="single" w:sz="4" w:space="0" w:color="000000"/>
            </w:tcBorders>
            <w:shd w:val="clear" w:color="auto" w:fill="E3F4F9"/>
          </w:tcPr>
          <w:p w14:paraId="14BA6D90" w14:textId="2F4CB965"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4F09E5E2" w14:textId="683BAD2E" w:rsidR="00847B04" w:rsidRPr="00F6340E" w:rsidRDefault="0071360A" w:rsidP="005746C7">
            <w:pPr>
              <w:pStyle w:val="ListParagraph"/>
              <w:numPr>
                <w:ilvl w:val="0"/>
                <w:numId w:val="29"/>
              </w:numPr>
              <w:spacing w:line="276" w:lineRule="auto"/>
              <w:jc w:val="left"/>
              <w:rPr>
                <w:rFonts w:ascii="Arial" w:hAnsi="Arial" w:cs="Arial"/>
                <w:color w:val="00B0F0"/>
                <w:lang w:val="sr-Cyrl-BA"/>
              </w:rPr>
            </w:pP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в</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B04FA8">
              <w:rPr>
                <w:rFonts w:ascii="Arial" w:hAnsi="Arial" w:cs="Arial"/>
                <w:color w:val="000000" w:themeColor="text1"/>
                <w:lang w:val="sr-Cyrl-BA"/>
              </w:rPr>
              <w:t xml:space="preserve"> са </w:t>
            </w:r>
            <w:r w:rsidR="00A56E08">
              <w:rPr>
                <w:rFonts w:ascii="Arial" w:hAnsi="Arial" w:cs="Arial"/>
                <w:color w:val="000000" w:themeColor="text1"/>
                <w:lang w:val="sr-Cyrl-BA"/>
              </w:rPr>
              <w:t>д</w:t>
            </w:r>
            <w:r>
              <w:rPr>
                <w:rFonts w:ascii="Arial" w:hAnsi="Arial" w:cs="Arial"/>
                <w:color w:val="000000" w:themeColor="text1"/>
                <w:lang w:val="sr-Cyrl-BA"/>
              </w:rPr>
              <w:t>ру</w:t>
            </w:r>
            <w:r w:rsidR="00A56E08">
              <w:rPr>
                <w:rFonts w:ascii="Arial" w:hAnsi="Arial" w:cs="Arial"/>
                <w:color w:val="000000" w:themeColor="text1"/>
                <w:lang w:val="sr-Cyrl-BA"/>
              </w:rPr>
              <w:t>гим</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ницима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миј</w:t>
            </w:r>
            <w:r w:rsidR="00EE6AA2">
              <w:rPr>
                <w:rFonts w:ascii="Arial" w:hAnsi="Arial" w:cs="Arial"/>
                <w:color w:val="000000" w:themeColor="text1"/>
                <w:lang w:val="sr-Cyrl-BA"/>
              </w:rPr>
              <w:t>е</w:t>
            </w:r>
            <w:r w:rsidR="00A56E08">
              <w:rPr>
                <w:rFonts w:ascii="Arial" w:hAnsi="Arial" w:cs="Arial"/>
                <w:color w:val="000000" w:themeColor="text1"/>
                <w:lang w:val="sr-Cyrl-BA"/>
              </w:rPr>
              <w:t>нила</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нања</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ид</w:t>
            </w:r>
            <w:r w:rsidR="00EE6AA2">
              <w:rPr>
                <w:rFonts w:ascii="Arial" w:hAnsi="Arial" w:cs="Arial"/>
                <w:color w:val="000000" w:themeColor="text1"/>
                <w:lang w:val="sr-Cyrl-BA"/>
              </w:rPr>
              <w:t>е</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у</w:t>
            </w:r>
            <w:r w:rsidR="00A56E08">
              <w:rPr>
                <w:rFonts w:ascii="Arial" w:hAnsi="Arial" w:cs="Arial"/>
                <w:color w:val="000000" w:themeColor="text1"/>
                <w:lang w:val="sr-Cyrl-BA"/>
              </w:rPr>
              <w:t>ници</w:t>
            </w:r>
            <w:r>
              <w:rPr>
                <w:rFonts w:ascii="Arial" w:hAnsi="Arial" w:cs="Arial"/>
                <w:color w:val="000000" w:themeColor="text1"/>
                <w:lang w:val="sr-Cyrl-BA"/>
              </w:rPr>
              <w:t>р</w:t>
            </w:r>
            <w:r w:rsidR="00A56E08">
              <w:rPr>
                <w:rFonts w:ascii="Arial" w:hAnsi="Arial" w:cs="Arial"/>
                <w:color w:val="000000" w:themeColor="text1"/>
                <w:lang w:val="sr-Cyrl-BA"/>
              </w:rPr>
              <w:t>али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т</w:t>
            </w:r>
            <w:r w:rsidR="00A56E08">
              <w:rPr>
                <w:rFonts w:ascii="Arial" w:hAnsi="Arial" w:cs="Arial"/>
                <w:color w:val="000000" w:themeColor="text1"/>
                <w:lang w:val="sr-Cyrl-BA"/>
              </w:rPr>
              <w:t>к</w:t>
            </w:r>
            <w:r>
              <w:rPr>
                <w:rFonts w:ascii="Arial" w:hAnsi="Arial" w:cs="Arial"/>
                <w:color w:val="000000" w:themeColor="text1"/>
                <w:lang w:val="sr-Cyrl-BA"/>
              </w:rPr>
              <w:t>р</w:t>
            </w:r>
            <w:r w:rsidR="00A56E08">
              <w:rPr>
                <w:rFonts w:ascii="Arial" w:hAnsi="Arial" w:cs="Arial"/>
                <w:color w:val="000000" w:themeColor="text1"/>
                <w:lang w:val="sr-Cyrl-BA"/>
              </w:rPr>
              <w:t>или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но</w:t>
            </w:r>
            <w:r>
              <w:rPr>
                <w:rFonts w:ascii="Arial" w:hAnsi="Arial" w:cs="Arial"/>
                <w:color w:val="000000" w:themeColor="text1"/>
                <w:lang w:val="sr-Cyrl-BA"/>
              </w:rPr>
              <w:t>в</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начини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оф</w:t>
            </w:r>
            <w:r w:rsidR="00EE6AA2">
              <w:rPr>
                <w:rFonts w:ascii="Arial" w:hAnsi="Arial" w:cs="Arial"/>
                <w:color w:val="000000" w:themeColor="text1"/>
                <w:lang w:val="sr-Cyrl-BA"/>
              </w:rPr>
              <w:t>е</w:t>
            </w:r>
            <w:r>
              <w:rPr>
                <w:rFonts w:ascii="Arial" w:hAnsi="Arial" w:cs="Arial"/>
                <w:color w:val="000000" w:themeColor="text1"/>
                <w:lang w:val="sr-Cyrl-BA"/>
              </w:rPr>
              <w:t>с</w:t>
            </w:r>
            <w:r w:rsidR="00A56E08">
              <w:rPr>
                <w:rFonts w:ascii="Arial" w:hAnsi="Arial" w:cs="Arial"/>
                <w:color w:val="000000" w:themeColor="text1"/>
                <w:lang w:val="sr-Cyrl-BA"/>
              </w:rPr>
              <w:t>ионалног</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оја</w:t>
            </w:r>
            <w:r w:rsidR="00847B04" w:rsidRPr="00F6340E">
              <w:rPr>
                <w:rFonts w:ascii="Arial" w:hAnsi="Arial" w:cs="Arial"/>
                <w:color w:val="000000" w:themeColor="text1"/>
                <w:lang w:val="sr-Cyrl-BA"/>
              </w:rPr>
              <w:t xml:space="preserve"> </w:t>
            </w:r>
          </w:p>
        </w:tc>
      </w:tr>
      <w:tr w:rsidR="00847B04" w:rsidRPr="00F6340E" w14:paraId="6FA3E01A" w14:textId="77777777" w:rsidTr="00A94F64">
        <w:trPr>
          <w:trHeight w:val="79"/>
          <w:jc w:val="center"/>
        </w:trPr>
        <w:tc>
          <w:tcPr>
            <w:tcW w:w="9014" w:type="dxa"/>
            <w:tcBorders>
              <w:top w:val="single" w:sz="4" w:space="0" w:color="000000"/>
              <w:bottom w:val="single" w:sz="4" w:space="0" w:color="000000"/>
            </w:tcBorders>
            <w:shd w:val="clear" w:color="auto" w:fill="E3F4F9"/>
          </w:tcPr>
          <w:p w14:paraId="3A5D402B" w14:textId="267386F7" w:rsidR="005746C7" w:rsidRPr="005746C7" w:rsidRDefault="005746C7" w:rsidP="005746C7">
            <w:pPr>
              <w:spacing w:line="276" w:lineRule="auto"/>
              <w:jc w:val="left"/>
              <w:rPr>
                <w:rStyle w:val="y2iqfc"/>
                <w:rFonts w:ascii="Arial" w:hAnsi="Arial" w:cs="Arial"/>
                <w:color w:val="202124"/>
                <w:lang w:val="sr-Cyrl-BA"/>
              </w:rPr>
            </w:pPr>
            <w:r w:rsidRPr="005746C7">
              <w:rPr>
                <w:rFonts w:ascii="Arial" w:hAnsi="Arial" w:cs="Arial"/>
                <w:b/>
                <w:bCs/>
                <w:color w:val="00B0F0"/>
                <w:lang w:val="sr-Cyrl-BA"/>
              </w:rPr>
              <w:t>Циљеви</w:t>
            </w:r>
          </w:p>
          <w:p w14:paraId="51CF4EB4" w14:textId="47239022" w:rsidR="00847B04" w:rsidRPr="00F6340E" w:rsidRDefault="0071360A" w:rsidP="005746C7">
            <w:pPr>
              <w:pStyle w:val="ListParagraph"/>
              <w:numPr>
                <w:ilvl w:val="0"/>
                <w:numId w:val="19"/>
              </w:numPr>
              <w:spacing w:line="276" w:lineRule="auto"/>
              <w:jc w:val="left"/>
              <w:rPr>
                <w:rStyle w:val="y2iqfc"/>
                <w:rFonts w:ascii="Arial" w:hAnsi="Arial" w:cs="Arial"/>
                <w:color w:val="202124"/>
                <w:lang w:val="sr-Cyrl-BA"/>
              </w:rPr>
            </w:pPr>
            <w:r>
              <w:rPr>
                <w:rStyle w:val="y2iqfc"/>
                <w:rFonts w:ascii="Arial" w:hAnsi="Arial" w:cs="Arial"/>
                <w:color w:val="202124"/>
                <w:lang w:val="sr-Cyrl-BA"/>
              </w:rPr>
              <w:t>Уп</w:t>
            </w:r>
            <w:r w:rsidR="00A56E08">
              <w:rPr>
                <w:rStyle w:val="y2iqfc"/>
                <w:rFonts w:ascii="Arial" w:hAnsi="Arial" w:cs="Arial"/>
                <w:color w:val="202124"/>
                <w:lang w:val="sr-Cyrl-BA"/>
              </w:rPr>
              <w:t>о</w:t>
            </w:r>
            <w:r>
              <w:rPr>
                <w:rStyle w:val="y2iqfc"/>
                <w:rFonts w:ascii="Arial" w:hAnsi="Arial" w:cs="Arial"/>
                <w:color w:val="202124"/>
                <w:lang w:val="sr-Cyrl-BA"/>
              </w:rPr>
              <w:t>тр</w:t>
            </w:r>
            <w:r w:rsidR="00A56E08">
              <w:rPr>
                <w:rStyle w:val="y2iqfc"/>
                <w:rFonts w:ascii="Arial" w:hAnsi="Arial" w:cs="Arial"/>
                <w:color w:val="202124"/>
                <w:lang w:val="sr-Cyrl-BA"/>
              </w:rPr>
              <w:t>иј</w:t>
            </w:r>
            <w:r w:rsidR="00EE6AA2">
              <w:rPr>
                <w:rStyle w:val="y2iqfc"/>
                <w:rFonts w:ascii="Arial" w:hAnsi="Arial" w:cs="Arial"/>
                <w:color w:val="202124"/>
                <w:lang w:val="sr-Cyrl-BA"/>
              </w:rPr>
              <w:t>е</w:t>
            </w:r>
            <w:r w:rsidR="00A56E08">
              <w:rPr>
                <w:rStyle w:val="y2iqfc"/>
                <w:rFonts w:ascii="Arial" w:hAnsi="Arial" w:cs="Arial"/>
                <w:color w:val="202124"/>
                <w:lang w:val="sr-Cyrl-BA"/>
              </w:rPr>
              <w:t>би</w:t>
            </w:r>
            <w:r>
              <w:rPr>
                <w:rStyle w:val="y2iqfc"/>
                <w:rFonts w:ascii="Arial" w:hAnsi="Arial" w:cs="Arial"/>
                <w:color w:val="202124"/>
                <w:lang w:val="sr-Cyrl-BA"/>
              </w:rPr>
              <w:t>т</w:t>
            </w:r>
            <w:r w:rsidR="00A56E08">
              <w:rPr>
                <w:rStyle w:val="y2iqfc"/>
                <w:rFonts w:ascii="Arial" w:hAnsi="Arial" w:cs="Arial"/>
                <w:color w:val="202124"/>
                <w:lang w:val="sr-Cyrl-BA"/>
              </w:rPr>
              <w:t>и</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диги</w:t>
            </w:r>
            <w:r>
              <w:rPr>
                <w:rStyle w:val="y2iqfc"/>
                <w:rFonts w:ascii="Arial" w:hAnsi="Arial" w:cs="Arial"/>
                <w:color w:val="202124"/>
                <w:lang w:val="sr-Cyrl-BA"/>
              </w:rPr>
              <w:t>т</w:t>
            </w:r>
            <w:r w:rsidR="00A56E08">
              <w:rPr>
                <w:rStyle w:val="y2iqfc"/>
                <w:rFonts w:ascii="Arial" w:hAnsi="Arial" w:cs="Arial"/>
                <w:color w:val="202124"/>
                <w:lang w:val="sr-Cyrl-BA"/>
              </w:rPr>
              <w:t>алн</w:t>
            </w:r>
            <w:r>
              <w:rPr>
                <w:rStyle w:val="y2iqfc"/>
                <w:rFonts w:ascii="Arial" w:hAnsi="Arial" w:cs="Arial"/>
                <w:color w:val="202124"/>
                <w:lang w:val="sr-Cyrl-BA"/>
              </w:rPr>
              <w:t>у</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т</w:t>
            </w:r>
            <w:r w:rsidR="00EE6AA2">
              <w:rPr>
                <w:rStyle w:val="y2iqfc"/>
                <w:rFonts w:ascii="Arial" w:hAnsi="Arial" w:cs="Arial"/>
                <w:color w:val="202124"/>
                <w:lang w:val="sr-Cyrl-BA"/>
              </w:rPr>
              <w:t>е</w:t>
            </w:r>
            <w:r w:rsidR="00A56E08">
              <w:rPr>
                <w:rStyle w:val="y2iqfc"/>
                <w:rFonts w:ascii="Arial" w:hAnsi="Arial" w:cs="Arial"/>
                <w:color w:val="202124"/>
                <w:lang w:val="sr-Cyrl-BA"/>
              </w:rPr>
              <w:t>хнологиј</w:t>
            </w:r>
            <w:r>
              <w:rPr>
                <w:rStyle w:val="y2iqfc"/>
                <w:rFonts w:ascii="Arial" w:hAnsi="Arial" w:cs="Arial"/>
                <w:color w:val="202124"/>
                <w:lang w:val="sr-Cyrl-BA"/>
              </w:rPr>
              <w:t>у</w:t>
            </w:r>
            <w:r w:rsidR="00847B04" w:rsidRPr="00F6340E">
              <w:rPr>
                <w:rStyle w:val="y2iqfc"/>
                <w:rFonts w:ascii="Arial" w:hAnsi="Arial" w:cs="Arial"/>
                <w:color w:val="202124"/>
                <w:lang w:val="sr-Cyrl-BA"/>
              </w:rPr>
              <w:t xml:space="preserve"> </w:t>
            </w:r>
            <w:r w:rsidR="00171F00">
              <w:rPr>
                <w:rStyle w:val="y2iqfc"/>
                <w:rFonts w:ascii="Arial" w:hAnsi="Arial" w:cs="Arial"/>
                <w:color w:val="202124"/>
                <w:lang w:val="sr-Cyrl-BA"/>
              </w:rPr>
              <w:t>з</w:t>
            </w:r>
            <w:r w:rsidR="00A56E08">
              <w:rPr>
                <w:rStyle w:val="y2iqfc"/>
                <w:rFonts w:ascii="Arial" w:hAnsi="Arial" w:cs="Arial"/>
                <w:color w:val="202124"/>
                <w:lang w:val="sr-Cyrl-BA"/>
              </w:rPr>
              <w:t>а</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с</w:t>
            </w:r>
            <w:r w:rsidR="00A56E08">
              <w:rPr>
                <w:rStyle w:val="y2iqfc"/>
                <w:rFonts w:ascii="Arial" w:hAnsi="Arial" w:cs="Arial"/>
                <w:color w:val="202124"/>
                <w:lang w:val="sr-Cyrl-BA"/>
              </w:rPr>
              <w:t>а</w:t>
            </w:r>
            <w:r>
              <w:rPr>
                <w:rStyle w:val="y2iqfc"/>
                <w:rFonts w:ascii="Arial" w:hAnsi="Arial" w:cs="Arial"/>
                <w:color w:val="202124"/>
                <w:lang w:val="sr-Cyrl-BA"/>
              </w:rPr>
              <w:t>р</w:t>
            </w:r>
            <w:r w:rsidR="00A56E08">
              <w:rPr>
                <w:rStyle w:val="y2iqfc"/>
                <w:rFonts w:ascii="Arial" w:hAnsi="Arial" w:cs="Arial"/>
                <w:color w:val="202124"/>
                <w:lang w:val="sr-Cyrl-BA"/>
              </w:rPr>
              <w:t>адњ</w:t>
            </w:r>
            <w:r>
              <w:rPr>
                <w:rStyle w:val="y2iqfc"/>
                <w:rFonts w:ascii="Arial" w:hAnsi="Arial" w:cs="Arial"/>
                <w:color w:val="202124"/>
                <w:lang w:val="sr-Cyrl-BA"/>
              </w:rPr>
              <w:t>у</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с</w:t>
            </w:r>
            <w:r w:rsidR="00A56E08">
              <w:rPr>
                <w:rStyle w:val="y2iqfc"/>
                <w:rFonts w:ascii="Arial" w:hAnsi="Arial" w:cs="Arial"/>
                <w:color w:val="202124"/>
                <w:lang w:val="sr-Cyrl-BA"/>
              </w:rPr>
              <w:t>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кол</w:t>
            </w:r>
            <w:r w:rsidR="00EE6AA2">
              <w:rPr>
                <w:rStyle w:val="y2iqfc"/>
                <w:rFonts w:ascii="Arial" w:hAnsi="Arial" w:cs="Arial"/>
                <w:color w:val="202124"/>
                <w:lang w:val="sr-Cyrl-BA"/>
              </w:rPr>
              <w:t>е</w:t>
            </w:r>
            <w:r w:rsidR="00A56E08">
              <w:rPr>
                <w:rStyle w:val="y2iqfc"/>
                <w:rFonts w:ascii="Arial" w:hAnsi="Arial" w:cs="Arial"/>
                <w:color w:val="202124"/>
                <w:lang w:val="sr-Cyrl-BA"/>
              </w:rPr>
              <w:t>гама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на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локалном</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и</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ин</w:t>
            </w:r>
            <w:r>
              <w:rPr>
                <w:rStyle w:val="y2iqfc"/>
                <w:rFonts w:ascii="Arial" w:hAnsi="Arial" w:cs="Arial"/>
                <w:color w:val="202124"/>
                <w:lang w:val="sr-Cyrl-BA"/>
              </w:rPr>
              <w:t>т</w:t>
            </w:r>
            <w:r w:rsidR="00EE6AA2">
              <w:rPr>
                <w:rStyle w:val="y2iqfc"/>
                <w:rFonts w:ascii="Arial" w:hAnsi="Arial" w:cs="Arial"/>
                <w:color w:val="202124"/>
                <w:lang w:val="sr-Cyrl-BA"/>
              </w:rPr>
              <w:t>е</w:t>
            </w:r>
            <w:r>
              <w:rPr>
                <w:rStyle w:val="y2iqfc"/>
                <w:rFonts w:ascii="Arial" w:hAnsi="Arial" w:cs="Arial"/>
                <w:color w:val="202124"/>
                <w:lang w:val="sr-Cyrl-BA"/>
              </w:rPr>
              <w:t>р</w:t>
            </w:r>
            <w:r w:rsidR="00A56E08">
              <w:rPr>
                <w:rStyle w:val="y2iqfc"/>
                <w:rFonts w:ascii="Arial" w:hAnsi="Arial" w:cs="Arial"/>
                <w:color w:val="202124"/>
                <w:lang w:val="sr-Cyrl-BA"/>
              </w:rPr>
              <w:t>националном</w:t>
            </w:r>
            <w:r w:rsidR="00C71DCF" w:rsidRPr="00F6340E">
              <w:rPr>
                <w:rStyle w:val="y2iqfc"/>
                <w:rFonts w:ascii="Arial" w:hAnsi="Arial" w:cs="Arial"/>
                <w:color w:val="202124"/>
                <w:lang w:val="sr-Cyrl-BA"/>
              </w:rPr>
              <w:t xml:space="preserve"> </w:t>
            </w:r>
            <w:r w:rsidR="00A56E08">
              <w:rPr>
                <w:rStyle w:val="y2iqfc"/>
                <w:rFonts w:ascii="Arial" w:hAnsi="Arial" w:cs="Arial"/>
                <w:color w:val="202124"/>
                <w:lang w:val="sr-Cyrl-BA"/>
              </w:rPr>
              <w:t>ни</w:t>
            </w:r>
            <w:r>
              <w:rPr>
                <w:rStyle w:val="y2iqfc"/>
                <w:rFonts w:ascii="Arial" w:hAnsi="Arial" w:cs="Arial"/>
                <w:color w:val="202124"/>
                <w:lang w:val="sr-Cyrl-BA"/>
              </w:rPr>
              <w:t>в</w:t>
            </w:r>
            <w:r w:rsidR="00A56E08">
              <w:rPr>
                <w:rStyle w:val="y2iqfc"/>
                <w:rFonts w:ascii="Arial" w:hAnsi="Arial" w:cs="Arial"/>
                <w:color w:val="202124"/>
                <w:lang w:val="sr-Cyrl-BA"/>
              </w:rPr>
              <w:t>о</w:t>
            </w:r>
            <w:r>
              <w:rPr>
                <w:rStyle w:val="y2iqfc"/>
                <w:rFonts w:ascii="Arial" w:hAnsi="Arial" w:cs="Arial"/>
                <w:color w:val="202124"/>
                <w:lang w:val="sr-Cyrl-BA"/>
              </w:rPr>
              <w:t>у</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на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од</w:t>
            </w:r>
            <w:r>
              <w:rPr>
                <w:rStyle w:val="y2iqfc"/>
                <w:rFonts w:ascii="Arial" w:hAnsi="Arial" w:cs="Arial"/>
                <w:color w:val="202124"/>
                <w:lang w:val="sr-Cyrl-BA"/>
              </w:rPr>
              <w:t>р</w:t>
            </w:r>
            <w:r w:rsidR="00EE6AA2">
              <w:rPr>
                <w:rStyle w:val="y2iqfc"/>
                <w:rFonts w:ascii="Arial" w:hAnsi="Arial" w:cs="Arial"/>
                <w:color w:val="202124"/>
                <w:lang w:val="sr-Cyrl-BA"/>
              </w:rPr>
              <w:t>е</w:t>
            </w:r>
            <w:r w:rsidR="00A56E08">
              <w:rPr>
                <w:rStyle w:val="y2iqfc"/>
                <w:rFonts w:ascii="Arial" w:hAnsi="Arial" w:cs="Arial"/>
                <w:color w:val="202124"/>
                <w:lang w:val="sr-Cyrl-BA"/>
              </w:rPr>
              <w:t>ђ</w:t>
            </w:r>
            <w:r w:rsidR="00EE6AA2">
              <w:rPr>
                <w:rStyle w:val="y2iqfc"/>
                <w:rFonts w:ascii="Arial" w:hAnsi="Arial" w:cs="Arial"/>
                <w:color w:val="202124"/>
                <w:lang w:val="sr-Cyrl-BA"/>
              </w:rPr>
              <w:t>е</w:t>
            </w:r>
            <w:r w:rsidR="00A56E08">
              <w:rPr>
                <w:rStyle w:val="y2iqfc"/>
                <w:rFonts w:ascii="Arial" w:hAnsi="Arial" w:cs="Arial"/>
                <w:color w:val="202124"/>
                <w:lang w:val="sr-Cyrl-BA"/>
              </w:rPr>
              <w:t>ним</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с</w:t>
            </w:r>
            <w:r w:rsidR="00A56E08">
              <w:rPr>
                <w:rStyle w:val="y2iqfc"/>
                <w:rFonts w:ascii="Arial" w:hAnsi="Arial" w:cs="Arial"/>
                <w:color w:val="202124"/>
                <w:lang w:val="sr-Cyrl-BA"/>
              </w:rPr>
              <w:t>ад</w:t>
            </w:r>
            <w:r>
              <w:rPr>
                <w:rStyle w:val="y2iqfc"/>
                <w:rFonts w:ascii="Arial" w:hAnsi="Arial" w:cs="Arial"/>
                <w:color w:val="202124"/>
                <w:lang w:val="sr-Cyrl-BA"/>
              </w:rPr>
              <w:t>р</w:t>
            </w:r>
            <w:r w:rsidR="00171F00">
              <w:rPr>
                <w:rStyle w:val="y2iqfc"/>
                <w:rFonts w:ascii="Arial" w:hAnsi="Arial" w:cs="Arial"/>
                <w:color w:val="202124"/>
                <w:lang w:val="sr-Cyrl-BA"/>
              </w:rPr>
              <w:t>ж</w:t>
            </w:r>
            <w:r w:rsidR="00A56E08">
              <w:rPr>
                <w:rStyle w:val="y2iqfc"/>
                <w:rFonts w:ascii="Arial" w:hAnsi="Arial" w:cs="Arial"/>
                <w:color w:val="202124"/>
                <w:lang w:val="sr-Cyrl-BA"/>
              </w:rPr>
              <w:t>ајима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или</w:t>
            </w:r>
            <w:r w:rsidR="00847B04" w:rsidRPr="00F6340E">
              <w:rPr>
                <w:rStyle w:val="y2iqfc"/>
                <w:rFonts w:ascii="Arial" w:hAnsi="Arial" w:cs="Arial"/>
                <w:color w:val="202124"/>
                <w:lang w:val="sr-Cyrl-BA"/>
              </w:rPr>
              <w:t xml:space="preserve"> </w:t>
            </w:r>
            <w:r w:rsidR="00171F00">
              <w:rPr>
                <w:rStyle w:val="y2iqfc"/>
                <w:rFonts w:ascii="Arial" w:hAnsi="Arial" w:cs="Arial"/>
                <w:color w:val="202124"/>
                <w:lang w:val="sr-Cyrl-BA"/>
              </w:rPr>
              <w:t>з</w:t>
            </w:r>
            <w:r w:rsidR="00A56E08">
              <w:rPr>
                <w:rStyle w:val="y2iqfc"/>
                <w:rFonts w:ascii="Arial" w:hAnsi="Arial" w:cs="Arial"/>
                <w:color w:val="202124"/>
                <w:lang w:val="sr-Cyrl-BA"/>
              </w:rPr>
              <w:t>адацима</w:t>
            </w:r>
            <w:r w:rsidR="00847B04" w:rsidRPr="00F6340E">
              <w:rPr>
                <w:rStyle w:val="y2iqfc"/>
                <w:rFonts w:ascii="Arial" w:hAnsi="Arial" w:cs="Arial"/>
                <w:color w:val="202124"/>
                <w:lang w:val="sr-Cyrl-BA"/>
              </w:rPr>
              <w:t>.</w:t>
            </w:r>
          </w:p>
          <w:p w14:paraId="190B2DA7" w14:textId="7C22B0ED" w:rsidR="00847B04" w:rsidRPr="00F6340E" w:rsidRDefault="0071360A" w:rsidP="005746C7">
            <w:pPr>
              <w:pStyle w:val="HTMLPreformatted"/>
              <w:numPr>
                <w:ilvl w:val="0"/>
                <w:numId w:val="18"/>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хнологиј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нања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ја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спр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иб</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циј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сурс</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ијала</w:t>
            </w:r>
            <w:r w:rsidR="00847B04" w:rsidRPr="00F6340E">
              <w:rPr>
                <w:rStyle w:val="y2iqfc"/>
                <w:rFonts w:ascii="Arial" w:hAnsi="Arial" w:cs="Arial"/>
                <w:color w:val="202124"/>
                <w:sz w:val="24"/>
                <w:szCs w:val="24"/>
                <w:lang w:val="sr-Cyrl-BA"/>
              </w:rPr>
              <w:t>.</w:t>
            </w:r>
          </w:p>
          <w:p w14:paraId="5CE32679" w14:textId="24F4283A" w:rsidR="00847B04" w:rsidRPr="00F6340E" w:rsidRDefault="0071360A" w:rsidP="005746C7">
            <w:pPr>
              <w:pStyle w:val="HTMLPreformatted"/>
              <w:numPr>
                <w:ilvl w:val="0"/>
                <w:numId w:val="18"/>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дниц</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ак</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ли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св</w:t>
            </w:r>
            <w:r w:rsidR="00A56E08">
              <w:rPr>
                <w:rStyle w:val="y2iqfc"/>
                <w:rFonts w:ascii="Arial" w:hAnsi="Arial" w:cs="Arial"/>
                <w:color w:val="202124"/>
                <w:sz w:val="24"/>
                <w:szCs w:val="24"/>
                <w:lang w:val="sr-Cyrl-BA"/>
              </w:rPr>
              <w:t>ој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уств</w:t>
            </w:r>
            <w:r w:rsidR="00A56E08">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кол</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гама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днички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али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847B04" w:rsidRPr="00F6340E">
              <w:rPr>
                <w:rStyle w:val="y2iqfc"/>
                <w:rFonts w:ascii="Arial" w:hAnsi="Arial" w:cs="Arial"/>
                <w:color w:val="202124"/>
                <w:sz w:val="24"/>
                <w:szCs w:val="24"/>
                <w:lang w:val="sr-Cyrl-BA"/>
              </w:rPr>
              <w:t>.</w:t>
            </w:r>
          </w:p>
          <w:p w14:paraId="1147E2C0" w14:textId="1B004DBA" w:rsidR="00847B04" w:rsidRPr="00F6340E" w:rsidRDefault="0071360A" w:rsidP="005746C7">
            <w:pPr>
              <w:pStyle w:val="HTMLPreformatted"/>
              <w:numPr>
                <w:ilvl w:val="0"/>
                <w:numId w:val="18"/>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рш</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w:t>
            </w:r>
          </w:p>
          <w:p w14:paraId="0DD29DB8" w14:textId="728E3520" w:rsidR="00847B04" w:rsidRPr="00F6340E" w:rsidRDefault="0071360A" w:rsidP="005746C7">
            <w:pPr>
              <w:pStyle w:val="HTMLPreformatted"/>
              <w:numPr>
                <w:ilvl w:val="0"/>
                <w:numId w:val="18"/>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ил</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в</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илик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ој</w:t>
            </w:r>
            <w:r w:rsidR="00847B04" w:rsidRPr="00F6340E">
              <w:rPr>
                <w:rStyle w:val="y2iqfc"/>
                <w:rFonts w:ascii="Arial" w:hAnsi="Arial" w:cs="Arial"/>
                <w:color w:val="202124"/>
                <w:sz w:val="24"/>
                <w:szCs w:val="24"/>
                <w:lang w:val="sr-Cyrl-BA"/>
              </w:rPr>
              <w:t>.</w:t>
            </w:r>
          </w:p>
          <w:p w14:paraId="63F957A2" w14:textId="5BFFF208" w:rsidR="00847B04" w:rsidRPr="00F6340E" w:rsidRDefault="0071360A" w:rsidP="005746C7">
            <w:pPr>
              <w:pStyle w:val="HTMLPreformatted"/>
              <w:numPr>
                <w:ilvl w:val="0"/>
                <w:numId w:val="18"/>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ж</w:t>
            </w:r>
            <w:r>
              <w:rPr>
                <w:rStyle w:val="y2iqfc"/>
                <w:rFonts w:ascii="Arial" w:hAnsi="Arial" w:cs="Arial"/>
                <w:color w:val="202124"/>
                <w:sz w:val="24"/>
                <w:szCs w:val="24"/>
                <w:lang w:val="sr-Cyrl-BA"/>
              </w:rPr>
              <w:t>ур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нања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ина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сп</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цифичних</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дм</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847B04" w:rsidRPr="00F6340E">
              <w:rPr>
                <w:rStyle w:val="y2iqfc"/>
                <w:rFonts w:ascii="Arial" w:hAnsi="Arial" w:cs="Arial"/>
                <w:color w:val="202124"/>
                <w:sz w:val="24"/>
                <w:szCs w:val="24"/>
                <w:lang w:val="sr-Cyrl-BA"/>
              </w:rPr>
              <w:t>.</w:t>
            </w:r>
          </w:p>
        </w:tc>
      </w:tr>
    </w:tbl>
    <w:p w14:paraId="454BE1F7" w14:textId="77777777" w:rsidR="00CE3E8F" w:rsidRPr="00F6340E" w:rsidRDefault="00CE3E8F" w:rsidP="005746C7">
      <w:pPr>
        <w:pStyle w:val="Body"/>
        <w:spacing w:before="0" w:after="0"/>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02ACAB65" w14:textId="77777777" w:rsidTr="005746C7">
        <w:trPr>
          <w:jc w:val="center"/>
        </w:trPr>
        <w:tc>
          <w:tcPr>
            <w:tcW w:w="9014" w:type="dxa"/>
            <w:tcBorders>
              <w:bottom w:val="single" w:sz="4" w:space="0" w:color="000000"/>
            </w:tcBorders>
            <w:shd w:val="clear" w:color="auto" w:fill="00B0F0"/>
            <w:vAlign w:val="center"/>
          </w:tcPr>
          <w:p w14:paraId="412D51EC" w14:textId="0304F6C4" w:rsidR="00847B04" w:rsidRPr="00F6340E" w:rsidRDefault="0071360A" w:rsidP="005746C7">
            <w:pPr>
              <w:spacing w:line="276" w:lineRule="auto"/>
              <w:jc w:val="center"/>
              <w:rPr>
                <w:rFonts w:ascii="Arial" w:hAnsi="Arial" w:cs="Arial"/>
                <w:b/>
                <w:color w:val="000000" w:themeColor="text1"/>
                <w:lang w:val="sr-Cyrl-BA"/>
              </w:rPr>
            </w:pP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ми</w:t>
            </w:r>
            <w:r>
              <w:rPr>
                <w:rFonts w:ascii="Arial" w:hAnsi="Arial" w:cs="Arial"/>
                <w:b/>
                <w:color w:val="000000" w:themeColor="text1"/>
                <w:lang w:val="sr-Cyrl-BA"/>
              </w:rPr>
              <w:t>ш</w:t>
            </w:r>
            <w:r w:rsidR="00A56E08">
              <w:rPr>
                <w:rFonts w:ascii="Arial" w:hAnsi="Arial" w:cs="Arial"/>
                <w:b/>
                <w:color w:val="000000" w:themeColor="text1"/>
                <w:lang w:val="sr-Cyrl-BA"/>
              </w:rPr>
              <w:t>љањ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п</w:t>
            </w:r>
            <w:r w:rsidR="00A56E08">
              <w:rPr>
                <w:rFonts w:ascii="Arial" w:hAnsi="Arial" w:cs="Arial"/>
                <w:b/>
                <w:color w:val="000000" w:themeColor="text1"/>
                <w:lang w:val="sr-Cyrl-BA"/>
              </w:rPr>
              <w:t>о</w:t>
            </w:r>
            <w:r>
              <w:rPr>
                <w:rFonts w:ascii="Arial" w:hAnsi="Arial" w:cs="Arial"/>
                <w:b/>
                <w:color w:val="000000" w:themeColor="text1"/>
                <w:lang w:val="sr-Cyrl-BA"/>
              </w:rPr>
              <w:t>ст</w:t>
            </w:r>
            <w:r w:rsidR="00A56E08">
              <w:rPr>
                <w:rFonts w:ascii="Arial" w:hAnsi="Arial" w:cs="Arial"/>
                <w:b/>
                <w:color w:val="000000" w:themeColor="text1"/>
                <w:lang w:val="sr-Cyrl-BA"/>
              </w:rPr>
              <w:t>ој</w:t>
            </w:r>
            <w:r w:rsidR="00EE6AA2">
              <w:rPr>
                <w:rFonts w:ascii="Arial" w:hAnsi="Arial" w:cs="Arial"/>
                <w:b/>
                <w:color w:val="000000" w:themeColor="text1"/>
                <w:lang w:val="sr-Cyrl-BA"/>
              </w:rPr>
              <w:t>е</w:t>
            </w:r>
            <w:r w:rsidR="00A56E08">
              <w:rPr>
                <w:rFonts w:ascii="Arial" w:hAnsi="Arial" w:cs="Arial"/>
                <w:b/>
                <w:color w:val="000000" w:themeColor="text1"/>
                <w:lang w:val="sr-Cyrl-BA"/>
              </w:rPr>
              <w:t>ћим</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Pr>
                <w:rFonts w:ascii="Arial" w:hAnsi="Arial" w:cs="Arial"/>
                <w:b/>
                <w:color w:val="000000" w:themeColor="text1"/>
                <w:lang w:val="sr-Cyrl-BA"/>
              </w:rPr>
              <w:t>стр</w:t>
            </w:r>
            <w:r w:rsidR="00A56E08">
              <w:rPr>
                <w:rFonts w:ascii="Arial" w:hAnsi="Arial" w:cs="Arial"/>
                <w:b/>
                <w:color w:val="000000" w:themeColor="text1"/>
                <w:lang w:val="sr-Cyrl-BA"/>
              </w:rPr>
              <w:t>а</w:t>
            </w:r>
            <w:r w:rsidR="00171F00">
              <w:rPr>
                <w:rFonts w:ascii="Arial" w:hAnsi="Arial" w:cs="Arial"/>
                <w:b/>
                <w:color w:val="000000" w:themeColor="text1"/>
                <w:lang w:val="sr-Cyrl-BA"/>
              </w:rPr>
              <w:t>ж</w:t>
            </w:r>
            <w:r w:rsidR="00A56E08">
              <w:rPr>
                <w:rFonts w:ascii="Arial" w:hAnsi="Arial" w:cs="Arial"/>
                <w:b/>
                <w:color w:val="000000" w:themeColor="text1"/>
                <w:lang w:val="sr-Cyrl-BA"/>
              </w:rPr>
              <w:t>и</w:t>
            </w:r>
            <w:r>
              <w:rPr>
                <w:rFonts w:ascii="Arial" w:hAnsi="Arial" w:cs="Arial"/>
                <w:b/>
                <w:color w:val="000000" w:themeColor="text1"/>
                <w:lang w:val="sr-Cyrl-BA"/>
              </w:rPr>
              <w:t>в</w:t>
            </w:r>
            <w:r w:rsidR="00A56E08">
              <w:rPr>
                <w:rFonts w:ascii="Arial" w:hAnsi="Arial" w:cs="Arial"/>
                <w:b/>
                <w:color w:val="000000" w:themeColor="text1"/>
                <w:lang w:val="sr-Cyrl-BA"/>
              </w:rPr>
              <w:t>ањ</w:t>
            </w:r>
            <w:r w:rsidR="00EE6AA2">
              <w:rPr>
                <w:rFonts w:ascii="Arial" w:hAnsi="Arial" w:cs="Arial"/>
                <w:b/>
                <w:color w:val="000000" w:themeColor="text1"/>
                <w:lang w:val="sr-Cyrl-BA"/>
              </w:rPr>
              <w:t>е</w:t>
            </w:r>
            <w:r w:rsidR="00847B04"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но</w:t>
            </w:r>
            <w:r>
              <w:rPr>
                <w:rFonts w:ascii="Arial" w:hAnsi="Arial" w:cs="Arial"/>
                <w:b/>
                <w:color w:val="000000" w:themeColor="text1"/>
                <w:lang w:val="sr-Cyrl-BA"/>
              </w:rPr>
              <w:t>в</w:t>
            </w:r>
            <w:r w:rsidR="00A56E08">
              <w:rPr>
                <w:rFonts w:ascii="Arial" w:hAnsi="Arial" w:cs="Arial"/>
                <w:b/>
                <w:color w:val="000000" w:themeColor="text1"/>
                <w:lang w:val="sr-Cyrl-BA"/>
              </w:rPr>
              <w:t>их</w:t>
            </w:r>
            <w:r w:rsidR="00847B04" w:rsidRPr="00F6340E">
              <w:rPr>
                <w:rFonts w:ascii="Arial" w:hAnsi="Arial" w:cs="Arial"/>
                <w:b/>
                <w:color w:val="000000" w:themeColor="text1"/>
                <w:lang w:val="sr-Cyrl-BA"/>
              </w:rPr>
              <w:t xml:space="preserve"> </w:t>
            </w:r>
            <w:r>
              <w:rPr>
                <w:rFonts w:ascii="Arial" w:hAnsi="Arial" w:cs="Arial"/>
                <w:b/>
                <w:color w:val="000000" w:themeColor="text1"/>
                <w:lang w:val="sr-Cyrl-BA"/>
              </w:rPr>
              <w:t>пр</w:t>
            </w:r>
            <w:r w:rsidR="00A56E08">
              <w:rPr>
                <w:rFonts w:ascii="Arial" w:hAnsi="Arial" w:cs="Arial"/>
                <w:b/>
                <w:color w:val="000000" w:themeColor="text1"/>
                <w:lang w:val="sr-Cyrl-BA"/>
              </w:rPr>
              <w:t>оф</w:t>
            </w:r>
            <w:r w:rsidR="00EE6AA2">
              <w:rPr>
                <w:rFonts w:ascii="Arial" w:hAnsi="Arial" w:cs="Arial"/>
                <w:b/>
                <w:color w:val="000000" w:themeColor="text1"/>
                <w:lang w:val="sr-Cyrl-BA"/>
              </w:rPr>
              <w:t>е</w:t>
            </w:r>
            <w:r>
              <w:rPr>
                <w:rFonts w:ascii="Arial" w:hAnsi="Arial" w:cs="Arial"/>
                <w:b/>
                <w:color w:val="000000" w:themeColor="text1"/>
                <w:lang w:val="sr-Cyrl-BA"/>
              </w:rPr>
              <w:t>с</w:t>
            </w:r>
            <w:r w:rsidR="00A56E08">
              <w:rPr>
                <w:rFonts w:ascii="Arial" w:hAnsi="Arial" w:cs="Arial"/>
                <w:b/>
                <w:color w:val="000000" w:themeColor="text1"/>
                <w:lang w:val="sr-Cyrl-BA"/>
              </w:rPr>
              <w:t>ионалних</w:t>
            </w:r>
            <w:r w:rsidR="00847B04"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sidR="00A56E08">
              <w:rPr>
                <w:rFonts w:ascii="Arial" w:hAnsi="Arial" w:cs="Arial"/>
                <w:b/>
                <w:color w:val="000000" w:themeColor="text1"/>
                <w:lang w:val="sr-Cyrl-BA"/>
              </w:rPr>
              <w:t>нања</w:t>
            </w:r>
          </w:p>
        </w:tc>
      </w:tr>
      <w:tr w:rsidR="00847B04" w:rsidRPr="00F6340E" w14:paraId="7968E3EC" w14:textId="77777777" w:rsidTr="005746C7">
        <w:trPr>
          <w:jc w:val="center"/>
        </w:trPr>
        <w:tc>
          <w:tcPr>
            <w:tcW w:w="9014" w:type="dxa"/>
            <w:tcBorders>
              <w:top w:val="single" w:sz="4" w:space="0" w:color="000000"/>
            </w:tcBorders>
            <w:shd w:val="clear" w:color="auto" w:fill="E3F4F9"/>
          </w:tcPr>
          <w:p w14:paraId="3538014E" w14:textId="5C03E945"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4096EF58" w14:textId="08B8C04E" w:rsidR="00847B04" w:rsidRPr="00F6340E" w:rsidRDefault="0071360A" w:rsidP="005746C7">
            <w:pPr>
              <w:pStyle w:val="ListParagraph"/>
              <w:numPr>
                <w:ilvl w:val="0"/>
                <w:numId w:val="31"/>
              </w:numPr>
              <w:spacing w:line="276" w:lineRule="auto"/>
              <w:jc w:val="left"/>
              <w:rPr>
                <w:rFonts w:ascii="Arial" w:hAnsi="Arial" w:cs="Arial"/>
                <w:color w:val="000000" w:themeColor="text1"/>
                <w:lang w:val="sr-Cyrl-BA"/>
              </w:rPr>
            </w:pPr>
            <w:r>
              <w:rPr>
                <w:rFonts w:ascii="Arial" w:hAnsi="Arial" w:cs="Arial"/>
                <w:color w:val="000000" w:themeColor="text1"/>
                <w:lang w:val="sr-Cyrl-BA"/>
              </w:rPr>
              <w:t>Уп</w:t>
            </w:r>
            <w:r w:rsidR="00A56E08">
              <w:rPr>
                <w:rFonts w:ascii="Arial" w:hAnsi="Arial" w:cs="Arial"/>
                <w:color w:val="000000" w:themeColor="text1"/>
                <w:lang w:val="sr-Cyrl-BA"/>
              </w:rPr>
              <w:t>о</w:t>
            </w:r>
            <w:r>
              <w:rPr>
                <w:rFonts w:ascii="Arial" w:hAnsi="Arial" w:cs="Arial"/>
                <w:color w:val="000000" w:themeColor="text1"/>
                <w:lang w:val="sr-Cyrl-BA"/>
              </w:rPr>
              <w:t>тр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би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BB77A9"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424F0"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фл</w:t>
            </w:r>
            <w:r w:rsidR="00EE6AA2">
              <w:rPr>
                <w:rFonts w:ascii="Arial" w:hAnsi="Arial" w:cs="Arial"/>
                <w:color w:val="000000" w:themeColor="text1"/>
                <w:lang w:val="sr-Cyrl-BA"/>
              </w:rPr>
              <w:t>е</w:t>
            </w:r>
            <w:r w:rsidR="00A56E08">
              <w:rPr>
                <w:rFonts w:ascii="Arial" w:hAnsi="Arial" w:cs="Arial"/>
                <w:color w:val="000000" w:themeColor="text1"/>
                <w:lang w:val="sr-Cyrl-BA"/>
              </w:rPr>
              <w:t>к</w:t>
            </w:r>
            <w:r>
              <w:rPr>
                <w:rFonts w:ascii="Arial" w:hAnsi="Arial" w:cs="Arial"/>
                <w:color w:val="000000" w:themeColor="text1"/>
                <w:lang w:val="sr-Cyrl-BA"/>
              </w:rPr>
              <w:t>с</w:t>
            </w:r>
            <w:r w:rsidR="00A56E08">
              <w:rPr>
                <w:rFonts w:ascii="Arial" w:hAnsi="Arial" w:cs="Arial"/>
                <w:color w:val="000000" w:themeColor="text1"/>
                <w:lang w:val="sr-Cyrl-BA"/>
              </w:rPr>
              <w:t>иј</w:t>
            </w:r>
            <w:r>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Pr>
                <w:rFonts w:ascii="Arial" w:hAnsi="Arial" w:cs="Arial"/>
                <w:color w:val="000000" w:themeColor="text1"/>
                <w:lang w:val="sr-Cyrl-BA"/>
              </w:rPr>
              <w:t>стр</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w:t>
            </w:r>
            <w:r w:rsidR="00EE6AA2">
              <w:rPr>
                <w:rFonts w:ascii="Arial" w:hAnsi="Arial" w:cs="Arial"/>
                <w:color w:val="000000" w:themeColor="text1"/>
                <w:lang w:val="sr-Cyrl-BA"/>
              </w:rPr>
              <w:t>е</w:t>
            </w:r>
            <w:r w:rsidR="00A56E08">
              <w:rPr>
                <w:rFonts w:ascii="Arial" w:hAnsi="Arial" w:cs="Arial"/>
                <w:color w:val="000000" w:themeColor="text1"/>
                <w:lang w:val="sr-Cyrl-BA"/>
              </w:rPr>
              <w:t>даго</w:t>
            </w:r>
            <w:r>
              <w:rPr>
                <w:rFonts w:ascii="Arial" w:hAnsi="Arial" w:cs="Arial"/>
                <w:color w:val="000000" w:themeColor="text1"/>
                <w:lang w:val="sr-Cyrl-BA"/>
              </w:rPr>
              <w:t>ш</w:t>
            </w:r>
            <w:r w:rsidR="00A56E08">
              <w:rPr>
                <w:rFonts w:ascii="Arial" w:hAnsi="Arial" w:cs="Arial"/>
                <w:color w:val="000000" w:themeColor="text1"/>
                <w:lang w:val="sr-Cyrl-BA"/>
              </w:rPr>
              <w:t>ких</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ак</w:t>
            </w:r>
            <w:r>
              <w:rPr>
                <w:rFonts w:ascii="Arial" w:hAnsi="Arial" w:cs="Arial"/>
                <w:color w:val="000000" w:themeColor="text1"/>
                <w:lang w:val="sr-Cyrl-BA"/>
              </w:rPr>
              <w:t>с</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ој</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оф</w:t>
            </w:r>
            <w:r w:rsidR="00EE6AA2">
              <w:rPr>
                <w:rFonts w:ascii="Arial" w:hAnsi="Arial" w:cs="Arial"/>
                <w:color w:val="000000" w:themeColor="text1"/>
                <w:lang w:val="sr-Cyrl-BA"/>
              </w:rPr>
              <w:t>е</w:t>
            </w:r>
            <w:r>
              <w:rPr>
                <w:rFonts w:ascii="Arial" w:hAnsi="Arial" w:cs="Arial"/>
                <w:color w:val="000000" w:themeColor="text1"/>
                <w:lang w:val="sr-Cyrl-BA"/>
              </w:rPr>
              <w:t>с</w:t>
            </w:r>
            <w:r w:rsidR="00A56E08">
              <w:rPr>
                <w:rFonts w:ascii="Arial" w:hAnsi="Arial" w:cs="Arial"/>
                <w:color w:val="000000" w:themeColor="text1"/>
                <w:lang w:val="sr-Cyrl-BA"/>
              </w:rPr>
              <w:t>ионалног</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нања</w:t>
            </w:r>
            <w:r w:rsidR="00847B04" w:rsidRPr="00F6340E">
              <w:rPr>
                <w:rFonts w:ascii="Arial" w:hAnsi="Arial" w:cs="Arial"/>
                <w:color w:val="000000" w:themeColor="text1"/>
                <w:lang w:val="sr-Cyrl-BA"/>
              </w:rPr>
              <w:t xml:space="preserve"> </w:t>
            </w:r>
          </w:p>
        </w:tc>
      </w:tr>
      <w:tr w:rsidR="00847B04" w:rsidRPr="00F6340E" w14:paraId="5D6599FC" w14:textId="77777777" w:rsidTr="005746C7">
        <w:trPr>
          <w:jc w:val="center"/>
        </w:trPr>
        <w:tc>
          <w:tcPr>
            <w:tcW w:w="9014" w:type="dxa"/>
            <w:shd w:val="clear" w:color="auto" w:fill="E3F4F9"/>
          </w:tcPr>
          <w:p w14:paraId="47FCD696" w14:textId="0F7A8065" w:rsidR="00847B04" w:rsidRPr="005746C7" w:rsidRDefault="00A56E08" w:rsidP="005746C7">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49C10A17" w14:textId="04C9279E" w:rsidR="00847B04" w:rsidRPr="00F6340E" w:rsidRDefault="0071360A" w:rsidP="005746C7">
            <w:pPr>
              <w:pStyle w:val="HTMLPreformatted"/>
              <w:numPr>
                <w:ilvl w:val="0"/>
                <w:numId w:val="21"/>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ми</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љањ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даго</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ак</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одама</w:t>
            </w:r>
            <w:r w:rsidR="00847B04" w:rsidRPr="00F6340E">
              <w:rPr>
                <w:rStyle w:val="y2iqfc"/>
                <w:rFonts w:ascii="Arial" w:hAnsi="Arial" w:cs="Arial"/>
                <w:color w:val="202124"/>
                <w:sz w:val="24"/>
                <w:szCs w:val="24"/>
                <w:lang w:val="sr-Cyrl-BA"/>
              </w:rPr>
              <w:t>.</w:t>
            </w:r>
          </w:p>
          <w:p w14:paraId="0DACE6C8" w14:textId="54D3092E" w:rsidR="00847B04" w:rsidRPr="00F6340E" w:rsidRDefault="0071360A" w:rsidP="005746C7">
            <w:pPr>
              <w:pStyle w:val="HTMLPreformatted"/>
              <w:numPr>
                <w:ilvl w:val="0"/>
                <w:numId w:val="21"/>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ично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ми</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љањ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личних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даго</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инкл</w:t>
            </w:r>
            <w:r>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ак</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w:t>
            </w:r>
          </w:p>
          <w:p w14:paraId="3D1E32A4" w14:textId="22AED13F" w:rsidR="00847B04" w:rsidRPr="00F6340E" w:rsidRDefault="0071360A" w:rsidP="005746C7">
            <w:pPr>
              <w:pStyle w:val="HTMLPreformatted"/>
              <w:numPr>
                <w:ilvl w:val="0"/>
                <w:numId w:val="21"/>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дничко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даго</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ступ</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ак</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w:t>
            </w:r>
          </w:p>
          <w:p w14:paraId="4A8988F5" w14:textId="2304B9E1" w:rsidR="00847B04" w:rsidRPr="00F6340E" w:rsidRDefault="0071360A" w:rsidP="005746C7">
            <w:pPr>
              <w:pStyle w:val="HTMLPreformatted"/>
              <w:numPr>
                <w:ilvl w:val="0"/>
                <w:numId w:val="21"/>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ифико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ала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ру</w:t>
            </w:r>
            <w:r w:rsidR="00A56E08">
              <w:rPr>
                <w:rStyle w:val="y2iqfc"/>
                <w:rFonts w:ascii="Arial" w:hAnsi="Arial" w:cs="Arial"/>
                <w:color w:val="202124"/>
                <w:sz w:val="24"/>
                <w:szCs w:val="24"/>
                <w:lang w:val="sr-Cyrl-BA"/>
              </w:rPr>
              <w:t>чја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даљњ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стру</w:t>
            </w:r>
            <w:r w:rsidR="00A56E08">
              <w:rPr>
                <w:rStyle w:val="y2iqfc"/>
                <w:rFonts w:ascii="Arial" w:hAnsi="Arial" w:cs="Arial"/>
                <w:color w:val="202124"/>
                <w:sz w:val="24"/>
                <w:szCs w:val="24"/>
                <w:lang w:val="sr-Cyrl-BA"/>
              </w:rPr>
              <w:t>чно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врш</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w:t>
            </w:r>
          </w:p>
          <w:p w14:paraId="1957EE81" w14:textId="4894BFD9" w:rsidR="00847B04" w:rsidRPr="00F6340E" w:rsidRDefault="0071360A" w:rsidP="005746C7">
            <w:pPr>
              <w:pStyle w:val="HTMLPreformatted"/>
              <w:numPr>
                <w:ilvl w:val="0"/>
                <w:numId w:val="21"/>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оф</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ионалн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адничк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171F00">
              <w:rPr>
                <w:rStyle w:val="y2iqfc"/>
                <w:rFonts w:ascii="Arial" w:hAnsi="Arial" w:cs="Arial"/>
                <w:color w:val="202124"/>
                <w:sz w:val="24"/>
                <w:szCs w:val="24"/>
                <w:lang w:val="sr-Cyrl-BA"/>
              </w:rPr>
              <w:t>ж</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ми</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љањ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оли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икама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пру</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ичних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мација</w:t>
            </w:r>
            <w:r w:rsidR="00847B04" w:rsidRPr="00F6340E">
              <w:rPr>
                <w:rStyle w:val="y2iqfc"/>
                <w:rFonts w:ascii="Arial" w:hAnsi="Arial" w:cs="Arial"/>
                <w:color w:val="202124"/>
                <w:sz w:val="24"/>
                <w:szCs w:val="24"/>
                <w:lang w:val="sr-Cyrl-BA"/>
              </w:rPr>
              <w:t>.</w:t>
            </w:r>
          </w:p>
        </w:tc>
      </w:tr>
    </w:tbl>
    <w:p w14:paraId="634AF002" w14:textId="086DB21D" w:rsidR="00847B04" w:rsidRPr="00F6340E" w:rsidRDefault="00171F00" w:rsidP="000962EB">
      <w:pPr>
        <w:pStyle w:val="Heading3"/>
        <w:numPr>
          <w:ilvl w:val="2"/>
          <w:numId w:val="70"/>
        </w:numPr>
        <w:rPr>
          <w:lang w:val="sr-Cyrl-BA"/>
        </w:rPr>
      </w:pPr>
      <w:bookmarkStart w:id="39" w:name="_Toc119050321"/>
      <w:r>
        <w:rPr>
          <w:lang w:val="sr-Cyrl-BA"/>
        </w:rPr>
        <w:t>З</w:t>
      </w:r>
      <w:r w:rsidR="00A56E08">
        <w:rPr>
          <w:lang w:val="sr-Cyrl-BA"/>
        </w:rPr>
        <w:t>нањ</w:t>
      </w:r>
      <w:r w:rsidR="00EE6AA2">
        <w:rPr>
          <w:lang w:val="sr-Cyrl-BA"/>
        </w:rPr>
        <w:t>е</w:t>
      </w:r>
      <w:r w:rsidR="00847B04" w:rsidRPr="00F6340E">
        <w:rPr>
          <w:lang w:val="sr-Cyrl-BA"/>
        </w:rPr>
        <w:t xml:space="preserve"> </w:t>
      </w:r>
      <w:r w:rsidR="00A56E08">
        <w:rPr>
          <w:lang w:val="sr-Cyrl-BA"/>
        </w:rPr>
        <w:t>и</w:t>
      </w:r>
      <w:r w:rsidR="00847B04" w:rsidRPr="00F6340E">
        <w:rPr>
          <w:lang w:val="sr-Cyrl-BA"/>
        </w:rPr>
        <w:t xml:space="preserve"> </w:t>
      </w:r>
      <w:r w:rsidR="00A56E08">
        <w:rPr>
          <w:lang w:val="sr-Cyrl-BA"/>
        </w:rPr>
        <w:t>ком</w:t>
      </w:r>
      <w:r w:rsidR="0071360A">
        <w:rPr>
          <w:lang w:val="sr-Cyrl-BA"/>
        </w:rPr>
        <w:t>у</w:t>
      </w:r>
      <w:r w:rsidR="00A56E08">
        <w:rPr>
          <w:lang w:val="sr-Cyrl-BA"/>
        </w:rPr>
        <w:t>никација</w:t>
      </w:r>
      <w:r w:rsidR="00847B04" w:rsidRPr="00F6340E">
        <w:rPr>
          <w:lang w:val="sr-Cyrl-BA"/>
        </w:rPr>
        <w:t xml:space="preserve">  - </w:t>
      </w:r>
      <w:r w:rsidR="00A56E08">
        <w:rPr>
          <w:lang w:val="sr-Cyrl-BA"/>
        </w:rPr>
        <w:t>О</w:t>
      </w:r>
      <w:r w:rsidR="0071360A">
        <w:rPr>
          <w:lang w:val="sr-Cyrl-BA"/>
        </w:rPr>
        <w:t>р</w:t>
      </w:r>
      <w:r w:rsidR="00A56E08">
        <w:rPr>
          <w:lang w:val="sr-Cyrl-BA"/>
        </w:rPr>
        <w:t>гани</w:t>
      </w:r>
      <w:r>
        <w:rPr>
          <w:lang w:val="sr-Cyrl-BA"/>
        </w:rPr>
        <w:t>з</w:t>
      </w:r>
      <w:r w:rsidR="00A56E08">
        <w:rPr>
          <w:lang w:val="sr-Cyrl-BA"/>
        </w:rPr>
        <w:t>ациона</w:t>
      </w:r>
      <w:r w:rsidR="00847B04" w:rsidRPr="00F6340E">
        <w:rPr>
          <w:lang w:val="sr-Cyrl-BA"/>
        </w:rPr>
        <w:t xml:space="preserve"> </w:t>
      </w:r>
      <w:r w:rsidR="00A56E08">
        <w:rPr>
          <w:lang w:val="sr-Cyrl-BA"/>
        </w:rPr>
        <w:t>ком</w:t>
      </w:r>
      <w:r w:rsidR="0071360A">
        <w:rPr>
          <w:lang w:val="sr-Cyrl-BA"/>
        </w:rPr>
        <w:t>у</w:t>
      </w:r>
      <w:r w:rsidR="00A56E08">
        <w:rPr>
          <w:lang w:val="sr-Cyrl-BA"/>
        </w:rPr>
        <w:t>никација</w:t>
      </w:r>
      <w:bookmarkEnd w:id="39"/>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66EA85CE" w14:textId="77777777" w:rsidTr="005746C7">
        <w:trPr>
          <w:trHeight w:val="293"/>
          <w:jc w:val="center"/>
        </w:trPr>
        <w:tc>
          <w:tcPr>
            <w:tcW w:w="9014" w:type="dxa"/>
            <w:tcBorders>
              <w:bottom w:val="single" w:sz="4" w:space="0" w:color="000000"/>
            </w:tcBorders>
            <w:shd w:val="clear" w:color="auto" w:fill="00B0F0"/>
            <w:vAlign w:val="center"/>
          </w:tcPr>
          <w:p w14:paraId="05F0188D" w14:textId="6126C100" w:rsidR="00847B04" w:rsidRPr="005746C7" w:rsidRDefault="00A56E08" w:rsidP="005746C7">
            <w:pPr>
              <w:spacing w:line="276" w:lineRule="auto"/>
              <w:jc w:val="center"/>
              <w:rPr>
                <w:rFonts w:ascii="Arial" w:hAnsi="Arial" w:cs="Arial"/>
                <w:b/>
                <w:color w:val="000000" w:themeColor="text1"/>
                <w:lang w:val="sr-Cyrl-BA"/>
              </w:rPr>
            </w:pPr>
            <w:r w:rsidRPr="005746C7">
              <w:rPr>
                <w:rFonts w:ascii="Arial" w:hAnsi="Arial" w:cs="Arial"/>
                <w:b/>
                <w:color w:val="000000" w:themeColor="text1"/>
                <w:lang w:val="sr-Cyrl-BA"/>
              </w:rPr>
              <w:t>Диги</w:t>
            </w:r>
            <w:r w:rsidR="0071360A" w:rsidRPr="005746C7">
              <w:rPr>
                <w:rFonts w:ascii="Arial" w:hAnsi="Arial" w:cs="Arial"/>
                <w:b/>
                <w:color w:val="000000" w:themeColor="text1"/>
                <w:lang w:val="sr-Cyrl-BA"/>
              </w:rPr>
              <w:t>т</w:t>
            </w:r>
            <w:r w:rsidRPr="005746C7">
              <w:rPr>
                <w:rFonts w:ascii="Arial" w:hAnsi="Arial" w:cs="Arial"/>
                <w:b/>
                <w:color w:val="000000" w:themeColor="text1"/>
                <w:lang w:val="sr-Cyrl-BA"/>
              </w:rPr>
              <w:t>ална</w:t>
            </w:r>
            <w:r w:rsidR="00847B04"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о</w:t>
            </w:r>
            <w:r w:rsidR="0071360A" w:rsidRPr="005746C7">
              <w:rPr>
                <w:rFonts w:ascii="Arial" w:hAnsi="Arial" w:cs="Arial"/>
                <w:b/>
                <w:color w:val="000000" w:themeColor="text1"/>
                <w:lang w:val="sr-Cyrl-BA"/>
              </w:rPr>
              <w:t>р</w:t>
            </w:r>
            <w:r w:rsidRPr="005746C7">
              <w:rPr>
                <w:rFonts w:ascii="Arial" w:hAnsi="Arial" w:cs="Arial"/>
                <w:b/>
                <w:color w:val="000000" w:themeColor="text1"/>
                <w:lang w:val="sr-Cyrl-BA"/>
              </w:rPr>
              <w:t>гани</w:t>
            </w:r>
            <w:r w:rsidR="00171F00" w:rsidRPr="005746C7">
              <w:rPr>
                <w:rFonts w:ascii="Arial" w:hAnsi="Arial" w:cs="Arial"/>
                <w:b/>
                <w:color w:val="000000" w:themeColor="text1"/>
                <w:lang w:val="sr-Cyrl-BA"/>
              </w:rPr>
              <w:t>з</w:t>
            </w:r>
            <w:r w:rsidRPr="005746C7">
              <w:rPr>
                <w:rFonts w:ascii="Arial" w:hAnsi="Arial" w:cs="Arial"/>
                <w:b/>
                <w:color w:val="000000" w:themeColor="text1"/>
                <w:lang w:val="sr-Cyrl-BA"/>
              </w:rPr>
              <w:t>ациона</w:t>
            </w:r>
            <w:r w:rsidR="00847B04"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ком</w:t>
            </w:r>
            <w:r w:rsidR="0071360A" w:rsidRPr="005746C7">
              <w:rPr>
                <w:rFonts w:ascii="Arial" w:hAnsi="Arial" w:cs="Arial"/>
                <w:b/>
                <w:color w:val="000000" w:themeColor="text1"/>
                <w:lang w:val="sr-Cyrl-BA"/>
              </w:rPr>
              <w:t>у</w:t>
            </w:r>
            <w:r w:rsidRPr="005746C7">
              <w:rPr>
                <w:rFonts w:ascii="Arial" w:hAnsi="Arial" w:cs="Arial"/>
                <w:b/>
                <w:color w:val="000000" w:themeColor="text1"/>
                <w:lang w:val="sr-Cyrl-BA"/>
              </w:rPr>
              <w:t>никација</w:t>
            </w:r>
            <w:r w:rsidR="00847B04" w:rsidRPr="005746C7">
              <w:rPr>
                <w:rFonts w:ascii="Arial" w:hAnsi="Arial" w:cs="Arial"/>
                <w:b/>
                <w:color w:val="000000" w:themeColor="text1"/>
                <w:lang w:val="sr-Cyrl-BA"/>
              </w:rPr>
              <w:t xml:space="preserve"> </w:t>
            </w:r>
            <w:r w:rsidR="0071360A" w:rsidRPr="005746C7">
              <w:rPr>
                <w:rFonts w:ascii="Arial" w:hAnsi="Arial" w:cs="Arial"/>
                <w:b/>
                <w:color w:val="000000" w:themeColor="text1"/>
                <w:lang w:val="sr-Cyrl-BA"/>
              </w:rPr>
              <w:t>с</w:t>
            </w:r>
            <w:r w:rsidRPr="005746C7">
              <w:rPr>
                <w:rFonts w:ascii="Arial" w:hAnsi="Arial" w:cs="Arial"/>
                <w:b/>
                <w:color w:val="000000" w:themeColor="text1"/>
                <w:lang w:val="sr-Cyrl-BA"/>
              </w:rPr>
              <w:t>а</w:t>
            </w:r>
            <w:r w:rsidR="00847B04" w:rsidRPr="005746C7">
              <w:rPr>
                <w:rFonts w:ascii="Arial" w:hAnsi="Arial" w:cs="Arial"/>
                <w:b/>
                <w:color w:val="000000" w:themeColor="text1"/>
                <w:lang w:val="sr-Cyrl-BA"/>
              </w:rPr>
              <w:t xml:space="preserve"> </w:t>
            </w:r>
            <w:r w:rsidR="0071360A" w:rsidRPr="005746C7">
              <w:rPr>
                <w:rFonts w:ascii="Arial" w:hAnsi="Arial" w:cs="Arial"/>
                <w:b/>
                <w:color w:val="000000" w:themeColor="text1"/>
                <w:lang w:val="sr-Cyrl-BA"/>
              </w:rPr>
              <w:t>у</w:t>
            </w:r>
            <w:r w:rsidRPr="005746C7">
              <w:rPr>
                <w:rFonts w:ascii="Arial" w:hAnsi="Arial" w:cs="Arial"/>
                <w:b/>
                <w:color w:val="000000" w:themeColor="text1"/>
                <w:lang w:val="sr-Cyrl-BA"/>
              </w:rPr>
              <w:t>ч</w:t>
            </w:r>
            <w:r w:rsidR="00EE6AA2" w:rsidRPr="005746C7">
              <w:rPr>
                <w:rFonts w:ascii="Arial" w:hAnsi="Arial" w:cs="Arial"/>
                <w:b/>
                <w:color w:val="000000" w:themeColor="text1"/>
                <w:lang w:val="sr-Cyrl-BA"/>
              </w:rPr>
              <w:t>е</w:t>
            </w:r>
            <w:r w:rsidRPr="005746C7">
              <w:rPr>
                <w:rFonts w:ascii="Arial" w:hAnsi="Arial" w:cs="Arial"/>
                <w:b/>
                <w:color w:val="000000" w:themeColor="text1"/>
                <w:lang w:val="sr-Cyrl-BA"/>
              </w:rPr>
              <w:t>ницима</w:t>
            </w:r>
            <w:r w:rsidR="00847B04" w:rsidRPr="005746C7">
              <w:rPr>
                <w:rFonts w:ascii="Arial" w:hAnsi="Arial" w:cs="Arial"/>
                <w:b/>
                <w:color w:val="000000" w:themeColor="text1"/>
                <w:lang w:val="sr-Cyrl-BA"/>
              </w:rPr>
              <w:t>/</w:t>
            </w:r>
            <w:r w:rsidR="0071360A" w:rsidRPr="005746C7">
              <w:rPr>
                <w:rFonts w:ascii="Arial" w:hAnsi="Arial" w:cs="Arial"/>
                <w:b/>
                <w:color w:val="000000" w:themeColor="text1"/>
                <w:lang w:val="sr-Cyrl-BA"/>
              </w:rPr>
              <w:t>сту</w:t>
            </w:r>
            <w:r w:rsidRPr="005746C7">
              <w:rPr>
                <w:rFonts w:ascii="Arial" w:hAnsi="Arial" w:cs="Arial"/>
                <w:b/>
                <w:color w:val="000000" w:themeColor="text1"/>
                <w:lang w:val="sr-Cyrl-BA"/>
              </w:rPr>
              <w:t>д</w:t>
            </w:r>
            <w:r w:rsidR="00EE6AA2" w:rsidRPr="005746C7">
              <w:rPr>
                <w:rFonts w:ascii="Arial" w:hAnsi="Arial" w:cs="Arial"/>
                <w:b/>
                <w:color w:val="000000" w:themeColor="text1"/>
                <w:lang w:val="sr-Cyrl-BA"/>
              </w:rPr>
              <w:t>е</w:t>
            </w:r>
            <w:r w:rsidRPr="005746C7">
              <w:rPr>
                <w:rFonts w:ascii="Arial" w:hAnsi="Arial" w:cs="Arial"/>
                <w:b/>
                <w:color w:val="000000" w:themeColor="text1"/>
                <w:lang w:val="sr-Cyrl-BA"/>
              </w:rPr>
              <w:t>н</w:t>
            </w:r>
            <w:r w:rsidR="0071360A" w:rsidRPr="005746C7">
              <w:rPr>
                <w:rFonts w:ascii="Arial" w:hAnsi="Arial" w:cs="Arial"/>
                <w:b/>
                <w:color w:val="000000" w:themeColor="text1"/>
                <w:lang w:val="sr-Cyrl-BA"/>
              </w:rPr>
              <w:t>т</w:t>
            </w:r>
            <w:r w:rsidRPr="005746C7">
              <w:rPr>
                <w:rFonts w:ascii="Arial" w:hAnsi="Arial" w:cs="Arial"/>
                <w:b/>
                <w:color w:val="000000" w:themeColor="text1"/>
                <w:lang w:val="sr-Cyrl-BA"/>
              </w:rPr>
              <w:t>има</w:t>
            </w:r>
            <w:r w:rsidR="00847B04"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и</w:t>
            </w:r>
            <w:r w:rsidR="00847B04"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д</w:t>
            </w:r>
            <w:r w:rsidR="0071360A" w:rsidRPr="005746C7">
              <w:rPr>
                <w:rFonts w:ascii="Arial" w:hAnsi="Arial" w:cs="Arial"/>
                <w:b/>
                <w:color w:val="000000" w:themeColor="text1"/>
                <w:lang w:val="sr-Cyrl-BA"/>
              </w:rPr>
              <w:t>ру</w:t>
            </w:r>
            <w:r w:rsidRPr="005746C7">
              <w:rPr>
                <w:rFonts w:ascii="Arial" w:hAnsi="Arial" w:cs="Arial"/>
                <w:b/>
                <w:color w:val="000000" w:themeColor="text1"/>
                <w:lang w:val="sr-Cyrl-BA"/>
              </w:rPr>
              <w:t>гим</w:t>
            </w:r>
            <w:r w:rsidR="00847B04" w:rsidRPr="005746C7">
              <w:rPr>
                <w:rFonts w:ascii="Arial" w:hAnsi="Arial" w:cs="Arial"/>
                <w:b/>
                <w:color w:val="000000" w:themeColor="text1"/>
                <w:lang w:val="sr-Cyrl-BA"/>
              </w:rPr>
              <w:t xml:space="preserve"> </w:t>
            </w:r>
            <w:r w:rsidR="0071360A" w:rsidRPr="005746C7">
              <w:rPr>
                <w:rFonts w:ascii="Arial" w:hAnsi="Arial" w:cs="Arial"/>
                <w:b/>
                <w:color w:val="000000" w:themeColor="text1"/>
                <w:lang w:val="sr-Cyrl-BA"/>
              </w:rPr>
              <w:t>у</w:t>
            </w:r>
            <w:r w:rsidRPr="005746C7">
              <w:rPr>
                <w:rFonts w:ascii="Arial" w:hAnsi="Arial" w:cs="Arial"/>
                <w:b/>
                <w:color w:val="000000" w:themeColor="text1"/>
                <w:lang w:val="sr-Cyrl-BA"/>
              </w:rPr>
              <w:t>ч</w:t>
            </w:r>
            <w:r w:rsidR="00EE6AA2" w:rsidRPr="005746C7">
              <w:rPr>
                <w:rFonts w:ascii="Arial" w:hAnsi="Arial" w:cs="Arial"/>
                <w:b/>
                <w:color w:val="000000" w:themeColor="text1"/>
                <w:lang w:val="sr-Cyrl-BA"/>
              </w:rPr>
              <w:t>е</w:t>
            </w:r>
            <w:r w:rsidR="0071360A" w:rsidRPr="005746C7">
              <w:rPr>
                <w:rFonts w:ascii="Arial" w:hAnsi="Arial" w:cs="Arial"/>
                <w:b/>
                <w:color w:val="000000" w:themeColor="text1"/>
                <w:lang w:val="sr-Cyrl-BA"/>
              </w:rPr>
              <w:t>с</w:t>
            </w:r>
            <w:r w:rsidRPr="005746C7">
              <w:rPr>
                <w:rFonts w:ascii="Arial" w:hAnsi="Arial" w:cs="Arial"/>
                <w:b/>
                <w:color w:val="000000" w:themeColor="text1"/>
                <w:lang w:val="sr-Cyrl-BA"/>
              </w:rPr>
              <w:t>ницима</w:t>
            </w:r>
            <w:r w:rsidR="00847B04" w:rsidRPr="005746C7">
              <w:rPr>
                <w:rFonts w:ascii="Arial" w:hAnsi="Arial" w:cs="Arial"/>
                <w:b/>
                <w:color w:val="000000" w:themeColor="text1"/>
                <w:lang w:val="sr-Cyrl-BA"/>
              </w:rPr>
              <w:t xml:space="preserve"> </w:t>
            </w:r>
            <w:r w:rsidR="0071360A" w:rsidRPr="005746C7">
              <w:rPr>
                <w:rFonts w:ascii="Arial" w:hAnsi="Arial" w:cs="Arial"/>
                <w:b/>
                <w:color w:val="000000" w:themeColor="text1"/>
                <w:lang w:val="sr-Cyrl-BA"/>
              </w:rPr>
              <w:t>у</w:t>
            </w:r>
            <w:r w:rsidR="00847B04" w:rsidRPr="005746C7">
              <w:rPr>
                <w:rFonts w:ascii="Arial" w:hAnsi="Arial" w:cs="Arial"/>
                <w:b/>
                <w:color w:val="000000" w:themeColor="text1"/>
                <w:lang w:val="sr-Cyrl-BA"/>
              </w:rPr>
              <w:t xml:space="preserve"> </w:t>
            </w:r>
            <w:r w:rsidRPr="005746C7">
              <w:rPr>
                <w:rFonts w:ascii="Arial" w:hAnsi="Arial" w:cs="Arial"/>
                <w:b/>
                <w:color w:val="000000" w:themeColor="text1"/>
                <w:lang w:val="sr-Cyrl-BA"/>
              </w:rPr>
              <w:t>об</w:t>
            </w:r>
            <w:r w:rsidR="0071360A" w:rsidRPr="005746C7">
              <w:rPr>
                <w:rFonts w:ascii="Arial" w:hAnsi="Arial" w:cs="Arial"/>
                <w:b/>
                <w:color w:val="000000" w:themeColor="text1"/>
                <w:lang w:val="sr-Cyrl-BA"/>
              </w:rPr>
              <w:t>р</w:t>
            </w:r>
            <w:r w:rsidRPr="005746C7">
              <w:rPr>
                <w:rFonts w:ascii="Arial" w:hAnsi="Arial" w:cs="Arial"/>
                <w:b/>
                <w:color w:val="000000" w:themeColor="text1"/>
                <w:lang w:val="sr-Cyrl-BA"/>
              </w:rPr>
              <w:t>а</w:t>
            </w:r>
            <w:r w:rsidR="00171F00" w:rsidRPr="005746C7">
              <w:rPr>
                <w:rFonts w:ascii="Arial" w:hAnsi="Arial" w:cs="Arial"/>
                <w:b/>
                <w:color w:val="000000" w:themeColor="text1"/>
                <w:lang w:val="sr-Cyrl-BA"/>
              </w:rPr>
              <w:t>з</w:t>
            </w:r>
            <w:r w:rsidRPr="005746C7">
              <w:rPr>
                <w:rFonts w:ascii="Arial" w:hAnsi="Arial" w:cs="Arial"/>
                <w:b/>
                <w:color w:val="000000" w:themeColor="text1"/>
                <w:lang w:val="sr-Cyrl-BA"/>
              </w:rPr>
              <w:t>о</w:t>
            </w:r>
            <w:r w:rsidR="0071360A" w:rsidRPr="005746C7">
              <w:rPr>
                <w:rFonts w:ascii="Arial" w:hAnsi="Arial" w:cs="Arial"/>
                <w:b/>
                <w:color w:val="000000" w:themeColor="text1"/>
                <w:lang w:val="sr-Cyrl-BA"/>
              </w:rPr>
              <w:t>в</w:t>
            </w:r>
            <w:r w:rsidRPr="005746C7">
              <w:rPr>
                <w:rFonts w:ascii="Arial" w:hAnsi="Arial" w:cs="Arial"/>
                <w:b/>
                <w:color w:val="000000" w:themeColor="text1"/>
                <w:lang w:val="sr-Cyrl-BA"/>
              </w:rPr>
              <w:t>ањ</w:t>
            </w:r>
            <w:r w:rsidR="0071360A" w:rsidRPr="005746C7">
              <w:rPr>
                <w:rFonts w:ascii="Arial" w:hAnsi="Arial" w:cs="Arial"/>
                <w:b/>
                <w:color w:val="000000" w:themeColor="text1"/>
                <w:lang w:val="sr-Cyrl-BA"/>
              </w:rPr>
              <w:t>у</w:t>
            </w:r>
          </w:p>
        </w:tc>
      </w:tr>
      <w:tr w:rsidR="00847B04" w:rsidRPr="00F6340E" w14:paraId="42CA0071" w14:textId="77777777" w:rsidTr="005746C7">
        <w:trPr>
          <w:trHeight w:val="966"/>
          <w:jc w:val="center"/>
        </w:trPr>
        <w:tc>
          <w:tcPr>
            <w:tcW w:w="9014" w:type="dxa"/>
            <w:tcBorders>
              <w:top w:val="single" w:sz="4" w:space="0" w:color="000000"/>
            </w:tcBorders>
            <w:shd w:val="clear" w:color="auto" w:fill="E3F4F9"/>
          </w:tcPr>
          <w:p w14:paraId="4E1C0C99" w14:textId="3FB5E58B" w:rsidR="00847B04" w:rsidRPr="005746C7" w:rsidRDefault="00A56E08" w:rsidP="005746C7">
            <w:pPr>
              <w:spacing w:line="276" w:lineRule="auto"/>
              <w:contextualSpacing/>
              <w:jc w:val="left"/>
              <w:rPr>
                <w:rFonts w:ascii="Arial" w:hAnsi="Arial" w:cs="Arial"/>
                <w:b/>
                <w:bCs/>
                <w:color w:val="00B0F0"/>
                <w:lang w:val="sr-Cyrl-BA"/>
              </w:rPr>
            </w:pPr>
            <w:r w:rsidRPr="005746C7">
              <w:rPr>
                <w:rFonts w:ascii="Arial" w:hAnsi="Arial" w:cs="Arial"/>
                <w:b/>
                <w:bCs/>
                <w:color w:val="00B0F0"/>
                <w:lang w:val="sr-Cyrl-BA"/>
              </w:rPr>
              <w:t>Ком</w:t>
            </w:r>
            <w:r w:rsidR="0071360A" w:rsidRPr="005746C7">
              <w:rPr>
                <w:rFonts w:ascii="Arial" w:hAnsi="Arial" w:cs="Arial"/>
                <w:b/>
                <w:bCs/>
                <w:color w:val="00B0F0"/>
                <w:lang w:val="sr-Cyrl-BA"/>
              </w:rPr>
              <w:t>п</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т</w:t>
            </w:r>
            <w:r w:rsidR="00EE6AA2" w:rsidRPr="005746C7">
              <w:rPr>
                <w:rFonts w:ascii="Arial" w:hAnsi="Arial" w:cs="Arial"/>
                <w:b/>
                <w:bCs/>
                <w:color w:val="00B0F0"/>
                <w:lang w:val="sr-Cyrl-BA"/>
              </w:rPr>
              <w:t>е</w:t>
            </w:r>
            <w:r w:rsidRPr="005746C7">
              <w:rPr>
                <w:rFonts w:ascii="Arial" w:hAnsi="Arial" w:cs="Arial"/>
                <w:b/>
                <w:bCs/>
                <w:color w:val="00B0F0"/>
                <w:lang w:val="sr-Cyrl-BA"/>
              </w:rPr>
              <w:t>нциј</w:t>
            </w:r>
            <w:r w:rsidR="00EE6AA2" w:rsidRPr="005746C7">
              <w:rPr>
                <w:rFonts w:ascii="Arial" w:hAnsi="Arial" w:cs="Arial"/>
                <w:b/>
                <w:bCs/>
                <w:color w:val="00B0F0"/>
                <w:lang w:val="sr-Cyrl-BA"/>
              </w:rPr>
              <w:t>е</w:t>
            </w:r>
          </w:p>
          <w:p w14:paraId="251C1E7A" w14:textId="3126A29A" w:rsidR="00847B04" w:rsidRPr="00F6340E" w:rsidRDefault="00A56E08" w:rsidP="005746C7">
            <w:pPr>
              <w:pStyle w:val="ListParagraph"/>
              <w:numPr>
                <w:ilvl w:val="0"/>
                <w:numId w:val="29"/>
              </w:numPr>
              <w:spacing w:line="276" w:lineRule="auto"/>
              <w:jc w:val="left"/>
              <w:rPr>
                <w:rFonts w:ascii="Arial" w:hAnsi="Arial" w:cs="Arial"/>
                <w:color w:val="00B0F0"/>
                <w:lang w:val="sr-Cyrl-BA"/>
              </w:rPr>
            </w:pPr>
            <w:r>
              <w:rPr>
                <w:rFonts w:ascii="Arial" w:hAnsi="Arial" w:cs="Arial"/>
                <w:color w:val="000000" w:themeColor="text1"/>
                <w:lang w:val="sr-Cyrl-BA"/>
              </w:rPr>
              <w:t>До</w:t>
            </w:r>
            <w:r w:rsidR="0071360A">
              <w:rPr>
                <w:rFonts w:ascii="Arial" w:hAnsi="Arial" w:cs="Arial"/>
                <w:color w:val="000000" w:themeColor="text1"/>
                <w:lang w:val="sr-Cyrl-BA"/>
              </w:rPr>
              <w:t>пр</w:t>
            </w:r>
            <w:r>
              <w:rPr>
                <w:rFonts w:ascii="Arial" w:hAnsi="Arial" w:cs="Arial"/>
                <w:color w:val="000000" w:themeColor="text1"/>
                <w:lang w:val="sr-Cyrl-BA"/>
              </w:rPr>
              <w:t>иниј</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sidR="0071360A">
              <w:rPr>
                <w:rFonts w:ascii="Arial" w:hAnsi="Arial" w:cs="Arial"/>
                <w:color w:val="000000" w:themeColor="text1"/>
                <w:lang w:val="sr-Cyrl-BA"/>
              </w:rPr>
              <w:t>в</w:t>
            </w:r>
            <w:r>
              <w:rPr>
                <w:rFonts w:ascii="Arial" w:hAnsi="Arial" w:cs="Arial"/>
                <w:color w:val="000000" w:themeColor="text1"/>
                <w:lang w:val="sr-Cyrl-BA"/>
              </w:rPr>
              <w:t>ој</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имј</w:t>
            </w:r>
            <w:r w:rsidR="00EE6AA2">
              <w:rPr>
                <w:rFonts w:ascii="Arial" w:hAnsi="Arial" w:cs="Arial"/>
                <w:color w:val="000000" w:themeColor="text1"/>
                <w:lang w:val="sr-Cyrl-BA"/>
              </w:rPr>
              <w:t>е</w:t>
            </w:r>
            <w:r>
              <w:rPr>
                <w:rFonts w:ascii="Arial" w:hAnsi="Arial" w:cs="Arial"/>
                <w:color w:val="000000" w:themeColor="text1"/>
                <w:lang w:val="sr-Cyrl-BA"/>
              </w:rPr>
              <w:t>ни</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хнологиј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на</w:t>
            </w:r>
            <w:r w:rsidR="0071360A">
              <w:rPr>
                <w:rFonts w:ascii="Arial" w:hAnsi="Arial" w:cs="Arial"/>
                <w:color w:val="000000" w:themeColor="text1"/>
                <w:lang w:val="sr-Cyrl-BA"/>
              </w:rPr>
              <w:t>пр</w:t>
            </w:r>
            <w:r>
              <w:rPr>
                <w:rFonts w:ascii="Arial" w:hAnsi="Arial" w:cs="Arial"/>
                <w:color w:val="000000" w:themeColor="text1"/>
                <w:lang w:val="sr-Cyrl-BA"/>
              </w:rPr>
              <w:t>ј</w:t>
            </w:r>
            <w:r w:rsidR="00EE6AA2">
              <w:rPr>
                <w:rFonts w:ascii="Arial" w:hAnsi="Arial" w:cs="Arial"/>
                <w:color w:val="000000" w:themeColor="text1"/>
                <w:lang w:val="sr-Cyrl-BA"/>
              </w:rPr>
              <w:t>е</w:t>
            </w:r>
            <w:r>
              <w:rPr>
                <w:rFonts w:ascii="Arial" w:hAnsi="Arial" w:cs="Arial"/>
                <w:color w:val="000000" w:themeColor="text1"/>
                <w:lang w:val="sr-Cyrl-BA"/>
              </w:rPr>
              <w:t>ђ</w:t>
            </w:r>
            <w:r w:rsidR="00EE6AA2">
              <w:rPr>
                <w:rFonts w:ascii="Arial" w:hAnsi="Arial" w:cs="Arial"/>
                <w:color w:val="000000" w:themeColor="text1"/>
                <w:lang w:val="sr-Cyrl-BA"/>
              </w:rPr>
              <w:t>е</w:t>
            </w:r>
            <w:r>
              <w:rPr>
                <w:rFonts w:ascii="Arial" w:hAnsi="Arial" w:cs="Arial"/>
                <w:color w:val="000000" w:themeColor="text1"/>
                <w:lang w:val="sr-Cyrl-BA"/>
              </w:rPr>
              <w:t>њ</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ком</w:t>
            </w:r>
            <w:r w:rsidR="0071360A">
              <w:rPr>
                <w:rFonts w:ascii="Arial" w:hAnsi="Arial" w:cs="Arial"/>
                <w:color w:val="000000" w:themeColor="text1"/>
                <w:lang w:val="sr-Cyrl-BA"/>
              </w:rPr>
              <w:t>у</w:t>
            </w:r>
            <w:r>
              <w:rPr>
                <w:rFonts w:ascii="Arial" w:hAnsi="Arial" w:cs="Arial"/>
                <w:color w:val="000000" w:themeColor="text1"/>
                <w:lang w:val="sr-Cyrl-BA"/>
              </w:rPr>
              <w:t>никациј</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а</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ницима</w:t>
            </w:r>
            <w:r w:rsidR="00847B04" w:rsidRPr="00F6340E">
              <w:rPr>
                <w:rFonts w:ascii="Arial" w:hAnsi="Arial" w:cs="Arial"/>
                <w:color w:val="000000" w:themeColor="text1"/>
                <w:lang w:val="sr-Cyrl-BA"/>
              </w:rPr>
              <w:t>/</w:t>
            </w:r>
            <w:r w:rsidR="0071360A">
              <w:rPr>
                <w:rFonts w:ascii="Arial" w:hAnsi="Arial" w:cs="Arial"/>
                <w:color w:val="000000" w:themeColor="text1"/>
                <w:lang w:val="sr-Cyrl-BA"/>
              </w:rPr>
              <w:t>сту</w:t>
            </w:r>
            <w:r>
              <w:rPr>
                <w:rFonts w:ascii="Arial" w:hAnsi="Arial" w:cs="Arial"/>
                <w:color w:val="000000" w:themeColor="text1"/>
                <w:lang w:val="sr-Cyrl-BA"/>
              </w:rPr>
              <w:t>д</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има</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д</w:t>
            </w:r>
            <w:r w:rsidR="0071360A">
              <w:rPr>
                <w:rFonts w:ascii="Arial" w:hAnsi="Arial" w:cs="Arial"/>
                <w:color w:val="000000" w:themeColor="text1"/>
                <w:lang w:val="sr-Cyrl-BA"/>
              </w:rPr>
              <w:t>ру</w:t>
            </w:r>
            <w:r>
              <w:rPr>
                <w:rFonts w:ascii="Arial" w:hAnsi="Arial" w:cs="Arial"/>
                <w:color w:val="000000" w:themeColor="text1"/>
                <w:lang w:val="sr-Cyrl-BA"/>
              </w:rPr>
              <w:t>гим</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sidR="0071360A">
              <w:rPr>
                <w:rFonts w:ascii="Arial" w:hAnsi="Arial" w:cs="Arial"/>
                <w:color w:val="000000" w:themeColor="text1"/>
                <w:lang w:val="sr-Cyrl-BA"/>
              </w:rPr>
              <w:t>с</w:t>
            </w:r>
            <w:r>
              <w:rPr>
                <w:rFonts w:ascii="Arial" w:hAnsi="Arial" w:cs="Arial"/>
                <w:color w:val="000000" w:themeColor="text1"/>
                <w:lang w:val="sr-Cyrl-BA"/>
              </w:rPr>
              <w:t>ницима</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ном</w:t>
            </w:r>
            <w:r w:rsidR="00847B04"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оц</w:t>
            </w:r>
            <w:r w:rsidR="00EE6AA2">
              <w:rPr>
                <w:rFonts w:ascii="Arial" w:hAnsi="Arial" w:cs="Arial"/>
                <w:color w:val="000000" w:themeColor="text1"/>
                <w:lang w:val="sr-Cyrl-BA"/>
              </w:rPr>
              <w:t>е</w:t>
            </w:r>
            <w:r w:rsidR="0071360A">
              <w:rPr>
                <w:rFonts w:ascii="Arial" w:hAnsi="Arial" w:cs="Arial"/>
                <w:color w:val="000000" w:themeColor="text1"/>
                <w:lang w:val="sr-Cyrl-BA"/>
              </w:rPr>
              <w:t>су</w:t>
            </w:r>
            <w:r w:rsidR="00847B04" w:rsidRPr="00F6340E">
              <w:rPr>
                <w:rFonts w:ascii="Arial" w:hAnsi="Arial" w:cs="Arial"/>
                <w:color w:val="000000" w:themeColor="text1"/>
                <w:lang w:val="sr-Cyrl-BA"/>
              </w:rPr>
              <w:t xml:space="preserve">. </w:t>
            </w:r>
          </w:p>
        </w:tc>
      </w:tr>
      <w:tr w:rsidR="00847B04" w:rsidRPr="00F6340E" w14:paraId="7532B185" w14:textId="77777777" w:rsidTr="005746C7">
        <w:trPr>
          <w:trHeight w:val="6266"/>
          <w:jc w:val="center"/>
        </w:trPr>
        <w:tc>
          <w:tcPr>
            <w:tcW w:w="9014" w:type="dxa"/>
            <w:shd w:val="clear" w:color="auto" w:fill="E3F4F9"/>
          </w:tcPr>
          <w:p w14:paraId="5A7FCBE3" w14:textId="46B73131" w:rsidR="00847B04" w:rsidRPr="005746C7" w:rsidRDefault="00A56E08" w:rsidP="005746C7">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lastRenderedPageBreak/>
              <w:t>Циљ</w:t>
            </w:r>
            <w:r w:rsidR="00EE6AA2" w:rsidRPr="005746C7">
              <w:rPr>
                <w:rFonts w:ascii="Arial" w:hAnsi="Arial" w:cs="Arial"/>
                <w:b/>
                <w:bCs/>
                <w:color w:val="00B0F0"/>
                <w:lang w:val="sr-Cyrl-BA"/>
              </w:rPr>
              <w:t>е</w:t>
            </w:r>
            <w:r w:rsidR="0071360A" w:rsidRPr="005746C7">
              <w:rPr>
                <w:rFonts w:ascii="Arial" w:hAnsi="Arial" w:cs="Arial"/>
                <w:b/>
                <w:bCs/>
                <w:color w:val="00B0F0"/>
                <w:lang w:val="sr-Cyrl-BA"/>
              </w:rPr>
              <w:t>в</w:t>
            </w:r>
            <w:r w:rsidRPr="005746C7">
              <w:rPr>
                <w:rFonts w:ascii="Arial" w:hAnsi="Arial" w:cs="Arial"/>
                <w:b/>
                <w:bCs/>
                <w:color w:val="00B0F0"/>
                <w:lang w:val="sr-Cyrl-BA"/>
              </w:rPr>
              <w:t>и</w:t>
            </w:r>
          </w:p>
          <w:p w14:paraId="73BD9F53" w14:textId="52CA8C87" w:rsidR="00847B04" w:rsidRPr="00F6340E" w:rsidRDefault="0071360A" w:rsidP="005746C7">
            <w:pPr>
              <w:pStyle w:val="ListParagraph"/>
              <w:numPr>
                <w:ilvl w:val="0"/>
                <w:numId w:val="24"/>
              </w:numPr>
              <w:spacing w:line="276" w:lineRule="auto"/>
              <w:jc w:val="left"/>
              <w:rPr>
                <w:rStyle w:val="y2iqfc"/>
                <w:rFonts w:ascii="Arial" w:hAnsi="Arial" w:cs="Arial"/>
                <w:color w:val="202124"/>
                <w:lang w:val="sr-Cyrl-BA"/>
              </w:rPr>
            </w:pPr>
            <w:r>
              <w:rPr>
                <w:rStyle w:val="y2iqfc"/>
                <w:rFonts w:ascii="Arial" w:hAnsi="Arial" w:cs="Arial"/>
                <w:color w:val="202124"/>
                <w:lang w:val="sr-Cyrl-BA"/>
              </w:rPr>
              <w:t>С</w:t>
            </w:r>
            <w:r w:rsidR="00A56E08">
              <w:rPr>
                <w:rStyle w:val="y2iqfc"/>
                <w:rFonts w:ascii="Arial" w:hAnsi="Arial" w:cs="Arial"/>
                <w:color w:val="202124"/>
                <w:lang w:val="sr-Cyrl-BA"/>
              </w:rPr>
              <w:t>х</w:t>
            </w:r>
            <w:r>
              <w:rPr>
                <w:rStyle w:val="y2iqfc"/>
                <w:rFonts w:ascii="Arial" w:hAnsi="Arial" w:cs="Arial"/>
                <w:color w:val="202124"/>
                <w:lang w:val="sr-Cyrl-BA"/>
              </w:rPr>
              <w:t>в</w:t>
            </w:r>
            <w:r w:rsidR="00A56E08">
              <w:rPr>
                <w:rStyle w:val="y2iqfc"/>
                <w:rFonts w:ascii="Arial" w:hAnsi="Arial" w:cs="Arial"/>
                <w:color w:val="202124"/>
                <w:lang w:val="sr-Cyrl-BA"/>
              </w:rPr>
              <w:t>а</w:t>
            </w:r>
            <w:r>
              <w:rPr>
                <w:rStyle w:val="y2iqfc"/>
                <w:rFonts w:ascii="Arial" w:hAnsi="Arial" w:cs="Arial"/>
                <w:color w:val="202124"/>
                <w:lang w:val="sr-Cyrl-BA"/>
              </w:rPr>
              <w:t>т</w:t>
            </w:r>
            <w:r w:rsidR="00A56E08">
              <w:rPr>
                <w:rStyle w:val="y2iqfc"/>
                <w:rFonts w:ascii="Arial" w:hAnsi="Arial" w:cs="Arial"/>
                <w:color w:val="202124"/>
                <w:lang w:val="sr-Cyrl-BA"/>
              </w:rPr>
              <w:t>и</w:t>
            </w:r>
            <w:r>
              <w:rPr>
                <w:rStyle w:val="y2iqfc"/>
                <w:rFonts w:ascii="Arial" w:hAnsi="Arial" w:cs="Arial"/>
                <w:color w:val="202124"/>
                <w:lang w:val="sr-Cyrl-BA"/>
              </w:rPr>
              <w:t>т</w:t>
            </w:r>
            <w:r w:rsidR="00A56E08">
              <w:rPr>
                <w:rStyle w:val="y2iqfc"/>
                <w:rFonts w:ascii="Arial" w:hAnsi="Arial" w:cs="Arial"/>
                <w:color w:val="202124"/>
                <w:lang w:val="sr-Cyrl-BA"/>
              </w:rPr>
              <w:t>и</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пр</w:t>
            </w:r>
            <w:r w:rsidR="00EE6AA2">
              <w:rPr>
                <w:rStyle w:val="y2iqfc"/>
                <w:rFonts w:ascii="Arial" w:hAnsi="Arial" w:cs="Arial"/>
                <w:color w:val="202124"/>
                <w:lang w:val="sr-Cyrl-BA"/>
              </w:rPr>
              <w:t>е</w:t>
            </w:r>
            <w:r w:rsidR="00A56E08">
              <w:rPr>
                <w:rStyle w:val="y2iqfc"/>
                <w:rFonts w:ascii="Arial" w:hAnsi="Arial" w:cs="Arial"/>
                <w:color w:val="202124"/>
                <w:lang w:val="sr-Cyrl-BA"/>
              </w:rPr>
              <w:t>дно</w:t>
            </w:r>
            <w:r>
              <w:rPr>
                <w:rStyle w:val="y2iqfc"/>
                <w:rFonts w:ascii="Arial" w:hAnsi="Arial" w:cs="Arial"/>
                <w:color w:val="202124"/>
                <w:lang w:val="sr-Cyrl-BA"/>
              </w:rPr>
              <w:t>ст</w:t>
            </w:r>
            <w:r w:rsidR="00A56E08">
              <w:rPr>
                <w:rStyle w:val="y2iqfc"/>
                <w:rFonts w:ascii="Arial" w:hAnsi="Arial" w:cs="Arial"/>
                <w:color w:val="202124"/>
                <w:lang w:val="sr-Cyrl-BA"/>
              </w:rPr>
              <w:t>и</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диј</w:t>
            </w:r>
            <w:r w:rsidR="00EE6AA2">
              <w:rPr>
                <w:rStyle w:val="y2iqfc"/>
                <w:rFonts w:ascii="Arial" w:hAnsi="Arial" w:cs="Arial"/>
                <w:color w:val="202124"/>
                <w:lang w:val="sr-Cyrl-BA"/>
              </w:rPr>
              <w:t>е</w:t>
            </w:r>
            <w:r w:rsidR="00A56E08">
              <w:rPr>
                <w:rStyle w:val="y2iqfc"/>
                <w:rFonts w:ascii="Arial" w:hAnsi="Arial" w:cs="Arial"/>
                <w:color w:val="202124"/>
                <w:lang w:val="sr-Cyrl-BA"/>
              </w:rPr>
              <w:t>љ</w:t>
            </w:r>
            <w:r w:rsidR="00EE6AA2">
              <w:rPr>
                <w:rStyle w:val="y2iqfc"/>
                <w:rFonts w:ascii="Arial" w:hAnsi="Arial" w:cs="Arial"/>
                <w:color w:val="202124"/>
                <w:lang w:val="sr-Cyrl-BA"/>
              </w:rPr>
              <w:t>е</w:t>
            </w:r>
            <w:r w:rsidR="00A56E08">
              <w:rPr>
                <w:rStyle w:val="y2iqfc"/>
                <w:rFonts w:ascii="Arial" w:hAnsi="Arial" w:cs="Arial"/>
                <w:color w:val="202124"/>
                <w:lang w:val="sr-Cyrl-BA"/>
              </w:rPr>
              <w:t>ња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о</w:t>
            </w:r>
            <w:r>
              <w:rPr>
                <w:rStyle w:val="y2iqfc"/>
                <w:rFonts w:ascii="Arial" w:hAnsi="Arial" w:cs="Arial"/>
                <w:color w:val="202124"/>
                <w:lang w:val="sr-Cyrl-BA"/>
              </w:rPr>
              <w:t>р</w:t>
            </w:r>
            <w:r w:rsidR="00A56E08">
              <w:rPr>
                <w:rStyle w:val="y2iqfc"/>
                <w:rFonts w:ascii="Arial" w:hAnsi="Arial" w:cs="Arial"/>
                <w:color w:val="202124"/>
                <w:lang w:val="sr-Cyrl-BA"/>
              </w:rPr>
              <w:t>гани</w:t>
            </w:r>
            <w:r w:rsidR="00171F00">
              <w:rPr>
                <w:rStyle w:val="y2iqfc"/>
                <w:rFonts w:ascii="Arial" w:hAnsi="Arial" w:cs="Arial"/>
                <w:color w:val="202124"/>
                <w:lang w:val="sr-Cyrl-BA"/>
              </w:rPr>
              <w:t>з</w:t>
            </w:r>
            <w:r w:rsidR="00A56E08">
              <w:rPr>
                <w:rStyle w:val="y2iqfc"/>
                <w:rFonts w:ascii="Arial" w:hAnsi="Arial" w:cs="Arial"/>
                <w:color w:val="202124"/>
                <w:lang w:val="sr-Cyrl-BA"/>
              </w:rPr>
              <w:t>ационих</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пр</w:t>
            </w:r>
            <w:r w:rsidR="00A56E08">
              <w:rPr>
                <w:rStyle w:val="y2iqfc"/>
                <w:rFonts w:ascii="Arial" w:hAnsi="Arial" w:cs="Arial"/>
                <w:color w:val="202124"/>
                <w:lang w:val="sr-Cyrl-BA"/>
              </w:rPr>
              <w:t>оц</w:t>
            </w:r>
            <w:r w:rsidR="00EE6AA2">
              <w:rPr>
                <w:rStyle w:val="y2iqfc"/>
                <w:rFonts w:ascii="Arial" w:hAnsi="Arial" w:cs="Arial"/>
                <w:color w:val="202124"/>
                <w:lang w:val="sr-Cyrl-BA"/>
              </w:rPr>
              <w:t>е</w:t>
            </w:r>
            <w:r w:rsidR="00A56E08">
              <w:rPr>
                <w:rStyle w:val="y2iqfc"/>
                <w:rFonts w:ascii="Arial" w:hAnsi="Arial" w:cs="Arial"/>
                <w:color w:val="202124"/>
                <w:lang w:val="sr-Cyrl-BA"/>
              </w:rPr>
              <w:t>д</w:t>
            </w:r>
            <w:r>
              <w:rPr>
                <w:rStyle w:val="y2iqfc"/>
                <w:rFonts w:ascii="Arial" w:hAnsi="Arial" w:cs="Arial"/>
                <w:color w:val="202124"/>
                <w:lang w:val="sr-Cyrl-BA"/>
              </w:rPr>
              <w:t>ур</w:t>
            </w:r>
            <w:r w:rsidR="00A56E08">
              <w:rPr>
                <w:rStyle w:val="y2iqfc"/>
                <w:rFonts w:ascii="Arial" w:hAnsi="Arial" w:cs="Arial"/>
                <w:color w:val="202124"/>
                <w:lang w:val="sr-Cyrl-BA"/>
              </w:rPr>
              <w:t>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н</w:t>
            </w:r>
            <w:r>
              <w:rPr>
                <w:rStyle w:val="y2iqfc"/>
                <w:rFonts w:ascii="Arial" w:hAnsi="Arial" w:cs="Arial"/>
                <w:color w:val="202124"/>
                <w:lang w:val="sr-Cyrl-BA"/>
              </w:rPr>
              <w:t>пр</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пр</w:t>
            </w:r>
            <w:r w:rsidR="00A56E08">
              <w:rPr>
                <w:rStyle w:val="y2iqfc"/>
                <w:rFonts w:ascii="Arial" w:hAnsi="Arial" w:cs="Arial"/>
                <w:color w:val="202124"/>
                <w:lang w:val="sr-Cyrl-BA"/>
              </w:rPr>
              <w:t>а</w:t>
            </w:r>
            <w:r>
              <w:rPr>
                <w:rStyle w:val="y2iqfc"/>
                <w:rFonts w:ascii="Arial" w:hAnsi="Arial" w:cs="Arial"/>
                <w:color w:val="202124"/>
                <w:lang w:val="sr-Cyrl-BA"/>
              </w:rPr>
              <w:t>в</w:t>
            </w:r>
            <w:r w:rsidR="00A56E08">
              <w:rPr>
                <w:rStyle w:val="y2iqfc"/>
                <w:rFonts w:ascii="Arial" w:hAnsi="Arial" w:cs="Arial"/>
                <w:color w:val="202124"/>
                <w:lang w:val="sr-Cyrl-BA"/>
              </w:rPr>
              <w:t>ила</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да</w:t>
            </w:r>
            <w:r>
              <w:rPr>
                <w:rStyle w:val="y2iqfc"/>
                <w:rFonts w:ascii="Arial" w:hAnsi="Arial" w:cs="Arial"/>
                <w:color w:val="202124"/>
                <w:lang w:val="sr-Cyrl-BA"/>
              </w:rPr>
              <w:t>ту</w:t>
            </w:r>
            <w:r w:rsidR="00A56E08">
              <w:rPr>
                <w:rStyle w:val="y2iqfc"/>
                <w:rFonts w:ascii="Arial" w:hAnsi="Arial" w:cs="Arial"/>
                <w:color w:val="202124"/>
                <w:lang w:val="sr-Cyrl-BA"/>
              </w:rPr>
              <w:t>ми</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р</w:t>
            </w:r>
            <w:r w:rsidR="00EE6AA2">
              <w:rPr>
                <w:rStyle w:val="y2iqfc"/>
                <w:rFonts w:ascii="Arial" w:hAnsi="Arial" w:cs="Arial"/>
                <w:color w:val="202124"/>
                <w:lang w:val="sr-Cyrl-BA"/>
              </w:rPr>
              <w:t>е</w:t>
            </w:r>
            <w:r w:rsidR="00A56E08">
              <w:rPr>
                <w:rStyle w:val="y2iqfc"/>
                <w:rFonts w:ascii="Arial" w:hAnsi="Arial" w:cs="Arial"/>
                <w:color w:val="202124"/>
                <w:lang w:val="sr-Cyrl-BA"/>
              </w:rPr>
              <w:t>ги</w:t>
            </w:r>
            <w:r>
              <w:rPr>
                <w:rStyle w:val="y2iqfc"/>
                <w:rFonts w:ascii="Arial" w:hAnsi="Arial" w:cs="Arial"/>
                <w:color w:val="202124"/>
                <w:lang w:val="sr-Cyrl-BA"/>
              </w:rPr>
              <w:t>стр</w:t>
            </w:r>
            <w:r w:rsidR="00A56E08">
              <w:rPr>
                <w:rStyle w:val="y2iqfc"/>
                <w:rFonts w:ascii="Arial" w:hAnsi="Arial" w:cs="Arial"/>
                <w:color w:val="202124"/>
                <w:lang w:val="sr-Cyrl-BA"/>
              </w:rPr>
              <w:t>ациј</w:t>
            </w:r>
            <w:r w:rsidR="00EE6AA2">
              <w:rPr>
                <w:rStyle w:val="y2iqfc"/>
                <w:rFonts w:ascii="Arial" w:hAnsi="Arial" w:cs="Arial"/>
                <w:color w:val="202124"/>
                <w:lang w:val="sr-Cyrl-BA"/>
              </w:rPr>
              <w:t>е</w:t>
            </w:r>
            <w:r w:rsidR="00847B04" w:rsidRPr="00F6340E">
              <w:rPr>
                <w:rStyle w:val="y2iqfc"/>
                <w:rFonts w:ascii="Arial" w:hAnsi="Arial" w:cs="Arial"/>
                <w:color w:val="202124"/>
                <w:lang w:val="sr-Cyrl-BA"/>
              </w:rPr>
              <w:t xml:space="preserve">, </w:t>
            </w:r>
            <w:r w:rsidR="00A56E08">
              <w:rPr>
                <w:rStyle w:val="y2iqfc"/>
                <w:rFonts w:ascii="Arial" w:hAnsi="Arial" w:cs="Arial"/>
                <w:color w:val="202124"/>
                <w:lang w:val="sr-Cyrl-BA"/>
              </w:rPr>
              <w:t>догађаји</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с</w:t>
            </w:r>
            <w:r w:rsidR="00A56E08">
              <w:rPr>
                <w:rStyle w:val="y2iqfc"/>
                <w:rFonts w:ascii="Arial" w:hAnsi="Arial" w:cs="Arial"/>
                <w:color w:val="202124"/>
                <w:lang w:val="sr-Cyrl-BA"/>
              </w:rPr>
              <w:t>а</w:t>
            </w:r>
            <w:r>
              <w:rPr>
                <w:rStyle w:val="y2iqfc"/>
                <w:rFonts w:ascii="Arial" w:hAnsi="Arial" w:cs="Arial"/>
                <w:color w:val="202124"/>
                <w:lang w:val="sr-Cyrl-BA"/>
              </w:rPr>
              <w:t>ст</w:t>
            </w:r>
            <w:r w:rsidR="00A56E08">
              <w:rPr>
                <w:rStyle w:val="y2iqfc"/>
                <w:rFonts w:ascii="Arial" w:hAnsi="Arial" w:cs="Arial"/>
                <w:color w:val="202124"/>
                <w:lang w:val="sr-Cyrl-BA"/>
              </w:rPr>
              <w:t>анци</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пут</w:t>
            </w:r>
            <w:r w:rsidR="00EE6AA2">
              <w:rPr>
                <w:rStyle w:val="y2iqfc"/>
                <w:rFonts w:ascii="Arial" w:hAnsi="Arial" w:cs="Arial"/>
                <w:color w:val="202124"/>
                <w:lang w:val="sr-Cyrl-BA"/>
              </w:rPr>
              <w:t>е</w:t>
            </w:r>
            <w:r w:rsidR="00A56E08">
              <w:rPr>
                <w:rStyle w:val="y2iqfc"/>
                <w:rFonts w:ascii="Arial" w:hAnsi="Arial" w:cs="Arial"/>
                <w:color w:val="202124"/>
                <w:lang w:val="sr-Cyrl-BA"/>
              </w:rPr>
              <w:t>м</w:t>
            </w:r>
            <w:r w:rsidR="00847B04" w:rsidRPr="00F6340E">
              <w:rPr>
                <w:rStyle w:val="y2iqfc"/>
                <w:rFonts w:ascii="Arial" w:hAnsi="Arial" w:cs="Arial"/>
                <w:color w:val="202124"/>
                <w:lang w:val="sr-Cyrl-BA"/>
              </w:rPr>
              <w:t xml:space="preserve"> </w:t>
            </w:r>
            <w:r>
              <w:rPr>
                <w:rStyle w:val="y2iqfc"/>
                <w:rFonts w:ascii="Arial" w:hAnsi="Arial" w:cs="Arial"/>
                <w:color w:val="202124"/>
                <w:lang w:val="sr-Cyrl-BA"/>
              </w:rPr>
              <w:t>т</w:t>
            </w:r>
            <w:r w:rsidR="00EE6AA2">
              <w:rPr>
                <w:rStyle w:val="y2iqfc"/>
                <w:rFonts w:ascii="Arial" w:hAnsi="Arial" w:cs="Arial"/>
                <w:color w:val="202124"/>
                <w:lang w:val="sr-Cyrl-BA"/>
              </w:rPr>
              <w:t>е</w:t>
            </w:r>
            <w:r w:rsidR="00A56E08">
              <w:rPr>
                <w:rStyle w:val="y2iqfc"/>
                <w:rFonts w:ascii="Arial" w:hAnsi="Arial" w:cs="Arial"/>
                <w:color w:val="202124"/>
                <w:lang w:val="sr-Cyrl-BA"/>
              </w:rPr>
              <w:t>хнологиј</w:t>
            </w:r>
            <w:r w:rsidR="00EE6AA2">
              <w:rPr>
                <w:rStyle w:val="y2iqfc"/>
                <w:rFonts w:ascii="Arial" w:hAnsi="Arial" w:cs="Arial"/>
                <w:color w:val="202124"/>
                <w:lang w:val="sr-Cyrl-BA"/>
              </w:rPr>
              <w:t>е</w:t>
            </w:r>
            <w:r w:rsidR="00847B04" w:rsidRPr="00F6340E">
              <w:rPr>
                <w:rStyle w:val="y2iqfc"/>
                <w:rFonts w:ascii="Arial" w:hAnsi="Arial" w:cs="Arial"/>
                <w:color w:val="202124"/>
                <w:lang w:val="sr-Cyrl-BA"/>
              </w:rPr>
              <w:t>.</w:t>
            </w:r>
          </w:p>
          <w:p w14:paraId="4C962784" w14:textId="5B4BF45F" w:rsidR="00847B04" w:rsidRPr="00F6340E" w:rsidRDefault="00171F00"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би</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BB77A9"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хнологиј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или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т</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аниц</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ком</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никациј</w:t>
            </w:r>
            <w:r w:rsidR="0071360A">
              <w:rPr>
                <w:rStyle w:val="y2iqfc"/>
                <w:rFonts w:ascii="Arial" w:hAnsi="Arial" w:cs="Arial"/>
                <w:color w:val="202124"/>
                <w:sz w:val="24"/>
                <w:szCs w:val="24"/>
                <w:lang w:val="sr-Cyrl-BA"/>
              </w:rPr>
              <w:t>у</w:t>
            </w:r>
            <w:r w:rsidR="00B04FA8">
              <w:rPr>
                <w:rStyle w:val="y2iqfc"/>
                <w:rFonts w:ascii="Arial" w:hAnsi="Arial" w:cs="Arial"/>
                <w:color w:val="202124"/>
                <w:sz w:val="24"/>
                <w:szCs w:val="24"/>
                <w:lang w:val="sr-Cyrl-BA"/>
              </w:rPr>
              <w:t xml:space="preserve"> са </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члано</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обља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w:t>
            </w:r>
            <w:r w:rsidR="0071360A">
              <w:rPr>
                <w:rStyle w:val="y2iqfc"/>
                <w:rFonts w:ascii="Arial" w:hAnsi="Arial" w:cs="Arial"/>
                <w:color w:val="202124"/>
                <w:sz w:val="24"/>
                <w:szCs w:val="24"/>
                <w:lang w:val="sr-Cyrl-BA"/>
              </w:rPr>
              <w:t>ру</w:t>
            </w:r>
            <w:r w:rsidR="00A56E08">
              <w:rPr>
                <w:rStyle w:val="y2iqfc"/>
                <w:rFonts w:ascii="Arial" w:hAnsi="Arial" w:cs="Arial"/>
                <w:color w:val="202124"/>
                <w:sz w:val="24"/>
                <w:szCs w:val="24"/>
                <w:lang w:val="sr-Cyrl-BA"/>
              </w:rPr>
              <w:t>гим</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sidR="0071360A">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ног</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оц</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оди</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љима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гдј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имј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њи</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како</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би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з</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ио</w:t>
            </w:r>
            <w:r w:rsidR="00847B04" w:rsidRPr="00F6340E">
              <w:rPr>
                <w:rStyle w:val="y2iqfc"/>
                <w:rFonts w:ascii="Arial" w:hAnsi="Arial" w:cs="Arial"/>
                <w:color w:val="202124"/>
                <w:sz w:val="24"/>
                <w:szCs w:val="24"/>
                <w:lang w:val="sr-Cyrl-BA"/>
              </w:rPr>
              <w:t xml:space="preserve"> </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ф</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к</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ан</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кон</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ин</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ални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дијалог</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кон</w:t>
            </w:r>
            <w:r w:rsidR="0071360A">
              <w:rPr>
                <w:rStyle w:val="y2iqfc"/>
                <w:rFonts w:ascii="Arial" w:hAnsi="Arial" w:cs="Arial"/>
                <w:color w:val="202124"/>
                <w:sz w:val="24"/>
                <w:szCs w:val="24"/>
                <w:lang w:val="sr-Cyrl-BA"/>
              </w:rPr>
              <w:t>су</w:t>
            </w:r>
            <w:r w:rsidR="00A56E08">
              <w:rPr>
                <w:rStyle w:val="y2iqfc"/>
                <w:rFonts w:ascii="Arial" w:hAnsi="Arial" w:cs="Arial"/>
                <w:color w:val="202124"/>
                <w:sz w:val="24"/>
                <w:szCs w:val="24"/>
                <w:lang w:val="sr-Cyrl-BA"/>
              </w:rPr>
              <w:t>л</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кљ</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71360A">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ј</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св</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w:t>
            </w:r>
          </w:p>
          <w:p w14:paraId="3776D03D" w14:textId="22E8E83B" w:rsidR="00847B04" w:rsidRPr="00F6340E" w:rsidRDefault="00A56E08"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Инфо</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ми</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оди</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љ</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гдј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пр</w:t>
            </w:r>
            <w:r>
              <w:rPr>
                <w:rStyle w:val="y2iqfc"/>
                <w:rFonts w:ascii="Arial" w:hAnsi="Arial" w:cs="Arial"/>
                <w:color w:val="202124"/>
                <w:sz w:val="24"/>
                <w:szCs w:val="24"/>
                <w:lang w:val="sr-Cyrl-BA"/>
              </w:rPr>
              <w:t>имј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њи</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на</w:t>
            </w:r>
            <w:r w:rsidR="0071360A">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к</w:t>
            </w:r>
            <w:r w:rsidR="0071360A">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w:t>
            </w:r>
          </w:p>
          <w:p w14:paraId="641F9378" w14:textId="2F622040" w:rsidR="00847B04" w:rsidRPr="00F6340E" w:rsidRDefault="0071360A"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начин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љ</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сурс</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мација</w:t>
            </w:r>
            <w:r w:rsidR="00847B04" w:rsidRPr="00F6340E">
              <w:rPr>
                <w:rStyle w:val="y2iqfc"/>
                <w:rFonts w:ascii="Arial" w:hAnsi="Arial" w:cs="Arial"/>
                <w:color w:val="202124"/>
                <w:sz w:val="24"/>
                <w:szCs w:val="24"/>
                <w:lang w:val="sr-Cyrl-BA"/>
              </w:rPr>
              <w:t>.</w:t>
            </w:r>
          </w:p>
          <w:p w14:paraId="2A693E3C" w14:textId="1906D9D3" w:rsidR="00847B04" w:rsidRPr="00F6340E" w:rsidRDefault="0071360A"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х</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пру</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ања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обимног</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ступ</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им</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сурс</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инкл</w:t>
            </w:r>
            <w:r>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ним</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ала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рш</w:t>
            </w:r>
            <w:r w:rsidR="00A56E08">
              <w:rPr>
                <w:rStyle w:val="y2iqfc"/>
                <w:rFonts w:ascii="Arial" w:hAnsi="Arial" w:cs="Arial"/>
                <w:color w:val="202124"/>
                <w:sz w:val="24"/>
                <w:szCs w:val="24"/>
                <w:lang w:val="sr-Cyrl-BA"/>
              </w:rPr>
              <w:t>ци</w:t>
            </w:r>
            <w:r w:rsidR="00BB77A9"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њихо</w:t>
            </w:r>
            <w:r>
              <w:rPr>
                <w:rStyle w:val="y2iqfc"/>
                <w:rFonts w:ascii="Arial" w:hAnsi="Arial" w:cs="Arial"/>
                <w:color w:val="202124"/>
                <w:sz w:val="24"/>
                <w:szCs w:val="24"/>
                <w:lang w:val="sr-Cyrl-BA"/>
              </w:rPr>
              <w:t>в</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одиц</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св</w:t>
            </w:r>
            <w:r w:rsidR="00A56E08">
              <w:rPr>
                <w:rStyle w:val="y2iqfc"/>
                <w:rFonts w:ascii="Arial" w:hAnsi="Arial" w:cs="Arial"/>
                <w:color w:val="202124"/>
                <w:sz w:val="24"/>
                <w:szCs w:val="24"/>
                <w:lang w:val="sr-Cyrl-BA"/>
              </w:rPr>
              <w:t>им</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малним</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малним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ту</w:t>
            </w:r>
            <w:r w:rsidR="00A56E08">
              <w:rPr>
                <w:rStyle w:val="y2iqfc"/>
                <w:rFonts w:ascii="Arial" w:hAnsi="Arial" w:cs="Arial"/>
                <w:color w:val="202124"/>
                <w:sz w:val="24"/>
                <w:szCs w:val="24"/>
                <w:lang w:val="sr-Cyrl-BA"/>
              </w:rPr>
              <w:t>ацијама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r w:rsidR="00847B04" w:rsidRPr="00F6340E">
              <w:rPr>
                <w:rStyle w:val="y2iqfc"/>
                <w:rFonts w:ascii="Arial" w:hAnsi="Arial" w:cs="Arial"/>
                <w:color w:val="202124"/>
                <w:sz w:val="24"/>
                <w:szCs w:val="24"/>
                <w:lang w:val="sr-Cyrl-BA"/>
              </w:rPr>
              <w:t>.</w:t>
            </w:r>
          </w:p>
          <w:p w14:paraId="22853CE5" w14:textId="5A9EA89B" w:rsidR="00847B04" w:rsidRPr="00F6340E" w:rsidRDefault="0071360A"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омоћ</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обољ</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ањ</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ационих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ком</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никационих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гија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пру</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днак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од</w:t>
            </w:r>
            <w:r>
              <w:rPr>
                <w:rStyle w:val="y2iqfc"/>
                <w:rFonts w:ascii="Arial" w:hAnsi="Arial" w:cs="Arial"/>
                <w:color w:val="202124"/>
                <w:sz w:val="24"/>
                <w:szCs w:val="24"/>
                <w:lang w:val="sr-Cyrl-BA"/>
              </w:rPr>
              <w:t>рш</w:t>
            </w:r>
            <w:r w:rsidR="00A56E08">
              <w:rPr>
                <w:rStyle w:val="y2iqfc"/>
                <w:rFonts w:ascii="Arial" w:hAnsi="Arial" w:cs="Arial"/>
                <w:color w:val="202124"/>
                <w:sz w:val="24"/>
                <w:szCs w:val="24"/>
                <w:lang w:val="sr-Cyrl-BA"/>
              </w:rPr>
              <w:t>к</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св</w:t>
            </w:r>
            <w:r w:rsidR="00A56E08">
              <w:rPr>
                <w:rStyle w:val="y2iqfc"/>
                <w:rFonts w:ascii="Arial" w:hAnsi="Arial" w:cs="Arial"/>
                <w:color w:val="202124"/>
                <w:sz w:val="24"/>
                <w:szCs w:val="24"/>
                <w:lang w:val="sr-Cyrl-BA"/>
              </w:rPr>
              <w:t>им</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Pr>
                <w:rStyle w:val="y2iqfc"/>
                <w:rFonts w:ascii="Arial" w:hAnsi="Arial" w:cs="Arial"/>
                <w:color w:val="202124"/>
                <w:sz w:val="24"/>
                <w:szCs w:val="24"/>
                <w:lang w:val="sr-Cyrl-BA"/>
              </w:rPr>
              <w:t>сту</w:t>
            </w:r>
            <w:r w:rsidR="00A56E08">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w:t>
            </w:r>
          </w:p>
          <w:p w14:paraId="6C7DE066" w14:textId="437303CE" w:rsidR="00847B04" w:rsidRPr="00F6340E" w:rsidRDefault="0071360A"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од</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ћ</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лог</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ој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хнологиј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тр</w:t>
            </w:r>
            <w:r w:rsidR="00A56E08">
              <w:rPr>
                <w:rStyle w:val="y2iqfc"/>
                <w:rFonts w:ascii="Arial" w:hAnsi="Arial" w:cs="Arial"/>
                <w:color w:val="202124"/>
                <w:sz w:val="24"/>
                <w:szCs w:val="24"/>
                <w:lang w:val="sr-Cyrl-BA"/>
              </w:rPr>
              <w:t>ан</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фо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мациј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ин</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ту</w:t>
            </w:r>
            <w:r w:rsidR="00A56E08">
              <w:rPr>
                <w:rStyle w:val="y2iqfc"/>
                <w:rFonts w:ascii="Arial" w:hAnsi="Arial" w:cs="Arial"/>
                <w:color w:val="202124"/>
                <w:sz w:val="24"/>
                <w:szCs w:val="24"/>
                <w:lang w:val="sr-Cyrl-BA"/>
              </w:rPr>
              <w:t>циј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кол</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w:t>
            </w:r>
            <w:r w:rsidR="00A56E08">
              <w:rPr>
                <w:rStyle w:val="y2iqfc"/>
                <w:rFonts w:ascii="Arial" w:hAnsi="Arial" w:cs="Arial"/>
                <w:color w:val="202124"/>
                <w:sz w:val="24"/>
                <w:szCs w:val="24"/>
                <w:lang w:val="sr-Cyrl-BA"/>
              </w:rPr>
              <w:t>фак</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л</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ациј</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чи</w:t>
            </w:r>
            <w:r w:rsidR="00847B04" w:rsidRPr="00F6340E">
              <w:rPr>
                <w:rStyle w:val="y2iqfc"/>
                <w:rFonts w:ascii="Arial" w:hAnsi="Arial" w:cs="Arial"/>
                <w:color w:val="202124"/>
                <w:sz w:val="24"/>
                <w:szCs w:val="24"/>
                <w:lang w:val="sr-Cyrl-BA"/>
              </w:rPr>
              <w:t>.</w:t>
            </w:r>
          </w:p>
          <w:p w14:paraId="3416A6A3" w14:textId="2ED6207D" w:rsidR="00847B04" w:rsidRPr="00F6340E" w:rsidRDefault="0071360A" w:rsidP="005746C7">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Сп</w:t>
            </w:r>
            <w:r w:rsidR="00A56E08">
              <w:rPr>
                <w:rStyle w:val="y2iqfc"/>
                <w:rFonts w:ascii="Arial" w:hAnsi="Arial" w:cs="Arial"/>
                <w:color w:val="202124"/>
                <w:sz w:val="24"/>
                <w:szCs w:val="24"/>
                <w:lang w:val="sr-Cyrl-BA"/>
              </w:rPr>
              <w:t>о</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на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л</w:t>
            </w:r>
            <w:r>
              <w:rPr>
                <w:rStyle w:val="y2iqfc"/>
                <w:rFonts w:ascii="Arial" w:hAnsi="Arial" w:cs="Arial"/>
                <w:color w:val="202124"/>
                <w:sz w:val="24"/>
                <w:szCs w:val="24"/>
                <w:lang w:val="sr-Cyrl-BA"/>
              </w:rPr>
              <w:t>тур</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w:t>
            </w:r>
            <w:r>
              <w:rPr>
                <w:rStyle w:val="y2iqfc"/>
                <w:rFonts w:ascii="Arial" w:hAnsi="Arial" w:cs="Arial"/>
                <w:color w:val="202124"/>
                <w:sz w:val="24"/>
                <w:szCs w:val="24"/>
                <w:lang w:val="sr-Cyrl-BA"/>
              </w:rPr>
              <w:t>руштв</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адин</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рсп</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к</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оди</w:t>
            </w:r>
            <w:r>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ља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одица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ника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дњих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ш</w:t>
            </w:r>
            <w:r w:rsidR="00A56E08">
              <w:rPr>
                <w:rStyle w:val="y2iqfc"/>
                <w:rFonts w:ascii="Arial" w:hAnsi="Arial" w:cs="Arial"/>
                <w:color w:val="202124"/>
                <w:sz w:val="24"/>
                <w:szCs w:val="24"/>
                <w:lang w:val="sr-Cyrl-BA"/>
              </w:rPr>
              <w:t>кола</w:t>
            </w:r>
            <w:r w:rsidR="00847B04" w:rsidRPr="00F6340E">
              <w:rPr>
                <w:rStyle w:val="y2iqfc"/>
                <w:rFonts w:ascii="Arial" w:hAnsi="Arial" w:cs="Arial"/>
                <w:color w:val="202124"/>
                <w:sz w:val="24"/>
                <w:szCs w:val="24"/>
                <w:lang w:val="sr-Cyrl-BA"/>
              </w:rPr>
              <w:t>.</w:t>
            </w:r>
          </w:p>
          <w:p w14:paraId="64037F2C" w14:textId="7CB5E9A1" w:rsidR="00847B04" w:rsidRPr="00F6340E" w:rsidRDefault="0071360A" w:rsidP="005746C7">
            <w:pPr>
              <w:pStyle w:val="HTMLPreformatted"/>
              <w:numPr>
                <w:ilvl w:val="0"/>
                <w:numId w:val="23"/>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х</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начин</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кој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м</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ђ</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љ</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д</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ки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одно</w:t>
            </w:r>
            <w:r>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ут</w:t>
            </w:r>
            <w:r w:rsidR="00A56E08">
              <w:rPr>
                <w:rStyle w:val="y2iqfc"/>
                <w:rFonts w:ascii="Arial" w:hAnsi="Arial" w:cs="Arial"/>
                <w:color w:val="202124"/>
                <w:sz w:val="24"/>
                <w:szCs w:val="24"/>
                <w:lang w:val="sr-Cyrl-BA"/>
              </w:rPr>
              <w:t>ич</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на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и</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циљ</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ња</w:t>
            </w:r>
            <w:r w:rsidR="00847B04" w:rsidRPr="00F6340E">
              <w:rPr>
                <w:rStyle w:val="y2iqfc"/>
                <w:rFonts w:ascii="Arial" w:hAnsi="Arial" w:cs="Arial"/>
                <w:color w:val="202124"/>
                <w:sz w:val="24"/>
                <w:szCs w:val="24"/>
                <w:lang w:val="sr-Cyrl-BA"/>
              </w:rPr>
              <w:t>.</w:t>
            </w:r>
          </w:p>
        </w:tc>
      </w:tr>
    </w:tbl>
    <w:p w14:paraId="5206865D" w14:textId="509A2945" w:rsidR="00850DB1" w:rsidRDefault="00850DB1" w:rsidP="005746C7">
      <w:pPr>
        <w:pStyle w:val="Body"/>
      </w:pPr>
    </w:p>
    <w:tbl>
      <w:tblPr>
        <w:tblStyle w:val="TableGrid"/>
        <w:tblW w:w="0" w:type="auto"/>
        <w:tblInd w:w="137" w:type="dxa"/>
        <w:tblCellMar>
          <w:top w:w="113" w:type="dxa"/>
          <w:bottom w:w="113" w:type="dxa"/>
        </w:tblCellMar>
        <w:tblLook w:val="04A0" w:firstRow="1" w:lastRow="0" w:firstColumn="1" w:lastColumn="0" w:noHBand="0" w:noVBand="1"/>
      </w:tblPr>
      <w:tblGrid>
        <w:gridCol w:w="9016"/>
      </w:tblGrid>
      <w:tr w:rsidR="00A542A6" w14:paraId="567B3C29" w14:textId="77777777" w:rsidTr="00A542A6">
        <w:trPr>
          <w:trHeight w:val="454"/>
        </w:trPr>
        <w:tc>
          <w:tcPr>
            <w:tcW w:w="9016" w:type="dxa"/>
            <w:shd w:val="clear" w:color="auto" w:fill="00B0F0"/>
            <w:vAlign w:val="center"/>
          </w:tcPr>
          <w:p w14:paraId="3DD95AC0" w14:textId="10D5E3DF" w:rsidR="00A542A6" w:rsidRDefault="00A542A6" w:rsidP="005F649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pPr>
            <w:r w:rsidRPr="00A542A6">
              <w:rPr>
                <w:rFonts w:eastAsia="Cambria" w:cs="Arial"/>
                <w:b/>
                <w:bdr w:val="none" w:sz="0" w:space="0" w:color="auto"/>
                <w:lang w:val="hr-BA" w:eastAsia="en-GB"/>
                <w14:textOutline w14:w="0" w14:cap="rnd" w14:cmpd="sng" w14:algn="ctr">
                  <w14:noFill/>
                  <w14:prstDash w14:val="solid"/>
                  <w14:bevel/>
                </w14:textOutline>
              </w:rPr>
              <w:t>Обука и менторство</w:t>
            </w:r>
          </w:p>
        </w:tc>
      </w:tr>
      <w:tr w:rsidR="00A542A6" w14:paraId="02873190" w14:textId="77777777" w:rsidTr="00A542A6">
        <w:tc>
          <w:tcPr>
            <w:tcW w:w="9016" w:type="dxa"/>
            <w:shd w:val="clear" w:color="auto" w:fill="E3F4F9"/>
          </w:tcPr>
          <w:p w14:paraId="490E9D9F" w14:textId="77777777" w:rsidR="00A542A6" w:rsidRPr="00A542A6" w:rsidRDefault="00A542A6" w:rsidP="00A542A6">
            <w:pPr>
              <w:spacing w:line="276" w:lineRule="auto"/>
              <w:jc w:val="left"/>
            </w:pPr>
            <w:r w:rsidRPr="00A542A6">
              <w:rPr>
                <w:rFonts w:ascii="Arial" w:hAnsi="Arial" w:cs="Arial"/>
                <w:b/>
                <w:bCs/>
                <w:color w:val="00B0F0"/>
                <w:lang w:val="hr-BA"/>
              </w:rPr>
              <w:t>Компетенције</w:t>
            </w:r>
          </w:p>
          <w:p w14:paraId="67E2CAB3" w14:textId="5F762066" w:rsidR="00A542A6" w:rsidRDefault="00A542A6" w:rsidP="00A542A6">
            <w:pPr>
              <w:pStyle w:val="ListParagraph"/>
              <w:numPr>
                <w:ilvl w:val="0"/>
                <w:numId w:val="29"/>
              </w:numPr>
              <w:spacing w:line="276" w:lineRule="auto"/>
              <w:jc w:val="left"/>
            </w:pPr>
            <w:r w:rsidRPr="00A542A6">
              <w:rPr>
                <w:rFonts w:ascii="Arial" w:hAnsi="Arial" w:cs="Arial"/>
                <w:color w:val="000000" w:themeColor="text1"/>
                <w:lang w:val="hr-BA"/>
              </w:rPr>
              <w:t>Употријебити заједнице праксе како би се добиле смјернице и понудила подршка другима</w:t>
            </w:r>
          </w:p>
        </w:tc>
      </w:tr>
      <w:tr w:rsidR="00A542A6" w14:paraId="22AAC016" w14:textId="77777777" w:rsidTr="00A542A6">
        <w:tc>
          <w:tcPr>
            <w:tcW w:w="9016" w:type="dxa"/>
            <w:shd w:val="clear" w:color="auto" w:fill="E3F4F9"/>
          </w:tcPr>
          <w:p w14:paraId="52A9B190" w14:textId="77777777" w:rsidR="00A542A6" w:rsidRPr="005746C7" w:rsidRDefault="00A542A6" w:rsidP="00A542A6">
            <w:pPr>
              <w:spacing w:line="276" w:lineRule="auto"/>
              <w:ind w:right="113"/>
              <w:contextualSpacing/>
              <w:jc w:val="left"/>
              <w:rPr>
                <w:rFonts w:ascii="Arial" w:hAnsi="Arial" w:cs="Arial"/>
                <w:b/>
                <w:bCs/>
                <w:color w:val="00B0F0"/>
                <w:lang w:val="sr-Cyrl-BA"/>
              </w:rPr>
            </w:pPr>
            <w:r w:rsidRPr="005746C7">
              <w:rPr>
                <w:rFonts w:ascii="Arial" w:hAnsi="Arial" w:cs="Arial"/>
                <w:b/>
                <w:bCs/>
                <w:color w:val="00B0F0"/>
                <w:lang w:val="sr-Cyrl-BA"/>
              </w:rPr>
              <w:t>Циљеви</w:t>
            </w:r>
          </w:p>
          <w:p w14:paraId="14C050CD" w14:textId="77777777" w:rsidR="00A542A6" w:rsidRPr="00F6340E" w:rsidRDefault="00A542A6" w:rsidP="00A542A6">
            <w:pPr>
              <w:pStyle w:val="HTMLPreformatted"/>
              <w:numPr>
                <w:ilvl w:val="0"/>
                <w:numId w:val="23"/>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Употријебити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професионалне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сарадничке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мреже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за</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тражење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помоћи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од</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других</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одржавање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висококвалитетних</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наставних</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пракси</w:t>
            </w:r>
            <w:r w:rsidRPr="00F6340E">
              <w:rPr>
                <w:rStyle w:val="y2iqfc"/>
                <w:rFonts w:ascii="Arial" w:hAnsi="Arial" w:cs="Arial"/>
                <w:color w:val="202124"/>
                <w:sz w:val="24"/>
                <w:szCs w:val="24"/>
                <w:lang w:val="sr-Cyrl-BA"/>
              </w:rPr>
              <w:t>.</w:t>
            </w:r>
          </w:p>
          <w:p w14:paraId="066D1AD3" w14:textId="30E89533" w:rsidR="00A542A6" w:rsidRDefault="00A542A6" w:rsidP="00A542A6">
            <w:pPr>
              <w:pStyle w:val="HTMLPreformatted"/>
              <w:numPr>
                <w:ilvl w:val="0"/>
                <w:numId w:val="23"/>
              </w:numPr>
              <w:spacing w:line="276" w:lineRule="auto"/>
            </w:pPr>
            <w:r>
              <w:rPr>
                <w:rStyle w:val="y2iqfc"/>
                <w:rFonts w:ascii="Arial" w:hAnsi="Arial" w:cs="Arial"/>
                <w:color w:val="202124"/>
                <w:sz w:val="24"/>
                <w:szCs w:val="24"/>
                <w:lang w:val="sr-Cyrl-BA"/>
              </w:rPr>
              <w:t>Употријебити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професионалне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сарадничке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мреже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за</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моделирање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помоћ</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другима</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да</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развију</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своје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дигиталне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инклузивне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педагошке</w:t>
            </w:r>
            <w:r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праксе</w:t>
            </w:r>
            <w:r w:rsidRPr="00F6340E">
              <w:rPr>
                <w:rStyle w:val="y2iqfc"/>
                <w:rFonts w:ascii="Arial" w:hAnsi="Arial" w:cs="Arial"/>
                <w:color w:val="202124"/>
                <w:sz w:val="24"/>
                <w:szCs w:val="24"/>
                <w:lang w:val="sr-Cyrl-BA"/>
              </w:rPr>
              <w:t>.</w:t>
            </w:r>
          </w:p>
        </w:tc>
      </w:tr>
    </w:tbl>
    <w:p w14:paraId="72462143" w14:textId="77777777" w:rsidR="00847B04" w:rsidRPr="00F6340E" w:rsidRDefault="00847B04" w:rsidP="00A542A6">
      <w:pPr>
        <w:pStyle w:val="Body"/>
        <w:spacing w:before="0" w:after="0"/>
      </w:pPr>
    </w:p>
    <w:tbl>
      <w:tblPr>
        <w:tblStyle w:val="TableGrid"/>
        <w:tblW w:w="9014" w:type="dxa"/>
        <w:jc w:val="center"/>
        <w:tblCellMar>
          <w:top w:w="113" w:type="dxa"/>
          <w:bottom w:w="113" w:type="dxa"/>
        </w:tblCellMar>
        <w:tblLook w:val="04A0" w:firstRow="1" w:lastRow="0" w:firstColumn="1" w:lastColumn="0" w:noHBand="0" w:noVBand="1"/>
      </w:tblPr>
      <w:tblGrid>
        <w:gridCol w:w="9014"/>
      </w:tblGrid>
      <w:tr w:rsidR="00847B04" w:rsidRPr="00F6340E" w14:paraId="77DA25BF" w14:textId="77777777" w:rsidTr="00A542A6">
        <w:trPr>
          <w:trHeight w:val="454"/>
          <w:jc w:val="center"/>
        </w:trPr>
        <w:tc>
          <w:tcPr>
            <w:tcW w:w="9014" w:type="dxa"/>
            <w:tcBorders>
              <w:bottom w:val="single" w:sz="4" w:space="0" w:color="000000"/>
            </w:tcBorders>
            <w:shd w:val="clear" w:color="auto" w:fill="00B0F0"/>
            <w:vAlign w:val="center"/>
          </w:tcPr>
          <w:p w14:paraId="0776E920" w14:textId="2EDA20FC" w:rsidR="00847B04" w:rsidRPr="00A542A6" w:rsidRDefault="0071360A" w:rsidP="00A542A6">
            <w:pPr>
              <w:spacing w:line="276" w:lineRule="auto"/>
              <w:jc w:val="center"/>
              <w:rPr>
                <w:rFonts w:ascii="Arial" w:hAnsi="Arial" w:cs="Arial"/>
                <w:b/>
                <w:color w:val="000000" w:themeColor="text1"/>
                <w:lang w:val="sr-Cyrl-BA"/>
              </w:rPr>
            </w:pPr>
            <w:r w:rsidRPr="00A542A6">
              <w:rPr>
                <w:rFonts w:ascii="Arial" w:hAnsi="Arial" w:cs="Arial"/>
                <w:b/>
                <w:color w:val="000000" w:themeColor="text1"/>
                <w:lang w:val="sr-Cyrl-BA"/>
              </w:rPr>
              <w:t>С</w:t>
            </w:r>
            <w:r w:rsidR="00A56E08" w:rsidRPr="00A542A6">
              <w:rPr>
                <w:rFonts w:ascii="Arial" w:hAnsi="Arial" w:cs="Arial"/>
                <w:b/>
                <w:color w:val="000000" w:themeColor="text1"/>
                <w:lang w:val="sr-Cyrl-BA"/>
              </w:rPr>
              <w:t>иг</w:t>
            </w:r>
            <w:r w:rsidRPr="00A542A6">
              <w:rPr>
                <w:rFonts w:ascii="Arial" w:hAnsi="Arial" w:cs="Arial"/>
                <w:b/>
                <w:color w:val="000000" w:themeColor="text1"/>
                <w:lang w:val="sr-Cyrl-BA"/>
              </w:rPr>
              <w:t>ур</w:t>
            </w:r>
            <w:r w:rsidR="00A56E08" w:rsidRPr="00A542A6">
              <w:rPr>
                <w:rFonts w:ascii="Arial" w:hAnsi="Arial" w:cs="Arial"/>
                <w:b/>
                <w:color w:val="000000" w:themeColor="text1"/>
                <w:lang w:val="sr-Cyrl-BA"/>
              </w:rPr>
              <w:t>на</w:t>
            </w:r>
            <w:r w:rsidR="00847B04" w:rsidRPr="00A542A6">
              <w:rPr>
                <w:rFonts w:ascii="Arial" w:hAnsi="Arial" w:cs="Arial"/>
                <w:b/>
                <w:color w:val="000000" w:themeColor="text1"/>
                <w:lang w:val="sr-Cyrl-BA"/>
              </w:rPr>
              <w:t xml:space="preserve"> </w:t>
            </w:r>
            <w:r w:rsidR="00A56E08" w:rsidRPr="00A542A6">
              <w:rPr>
                <w:rFonts w:ascii="Arial" w:hAnsi="Arial" w:cs="Arial"/>
                <w:b/>
                <w:color w:val="000000" w:themeColor="text1"/>
                <w:lang w:val="sr-Cyrl-BA"/>
              </w:rPr>
              <w:t>и</w:t>
            </w:r>
            <w:r w:rsidR="00847B04" w:rsidRPr="00A542A6">
              <w:rPr>
                <w:rFonts w:ascii="Arial" w:hAnsi="Arial" w:cs="Arial"/>
                <w:b/>
                <w:color w:val="000000" w:themeColor="text1"/>
                <w:lang w:val="sr-Cyrl-BA"/>
              </w:rPr>
              <w:t xml:space="preserve"> </w:t>
            </w:r>
            <w:r w:rsidR="00A56E08" w:rsidRPr="00A542A6">
              <w:rPr>
                <w:rFonts w:ascii="Arial" w:hAnsi="Arial" w:cs="Arial"/>
                <w:b/>
                <w:color w:val="000000" w:themeColor="text1"/>
                <w:lang w:val="sr-Cyrl-BA"/>
              </w:rPr>
              <w:t>одго</w:t>
            </w:r>
            <w:r w:rsidRPr="00A542A6">
              <w:rPr>
                <w:rFonts w:ascii="Arial" w:hAnsi="Arial" w:cs="Arial"/>
                <w:b/>
                <w:color w:val="000000" w:themeColor="text1"/>
                <w:lang w:val="sr-Cyrl-BA"/>
              </w:rPr>
              <w:t>в</w:t>
            </w:r>
            <w:r w:rsidR="00A56E08" w:rsidRPr="00A542A6">
              <w:rPr>
                <w:rFonts w:ascii="Arial" w:hAnsi="Arial" w:cs="Arial"/>
                <w:b/>
                <w:color w:val="000000" w:themeColor="text1"/>
                <w:lang w:val="sr-Cyrl-BA"/>
              </w:rPr>
              <w:t>о</w:t>
            </w:r>
            <w:r w:rsidRPr="00A542A6">
              <w:rPr>
                <w:rFonts w:ascii="Arial" w:hAnsi="Arial" w:cs="Arial"/>
                <w:b/>
                <w:color w:val="000000" w:themeColor="text1"/>
                <w:lang w:val="sr-Cyrl-BA"/>
              </w:rPr>
              <w:t>р</w:t>
            </w:r>
            <w:r w:rsidR="00A56E08" w:rsidRPr="00A542A6">
              <w:rPr>
                <w:rFonts w:ascii="Arial" w:hAnsi="Arial" w:cs="Arial"/>
                <w:b/>
                <w:color w:val="000000" w:themeColor="text1"/>
                <w:lang w:val="sr-Cyrl-BA"/>
              </w:rPr>
              <w:t>на</w:t>
            </w:r>
            <w:r w:rsidR="00847B04" w:rsidRPr="00A542A6">
              <w:rPr>
                <w:rFonts w:ascii="Arial" w:hAnsi="Arial" w:cs="Arial"/>
                <w:b/>
                <w:color w:val="000000" w:themeColor="text1"/>
                <w:lang w:val="sr-Cyrl-BA"/>
              </w:rPr>
              <w:t xml:space="preserve"> </w:t>
            </w:r>
            <w:r w:rsidRPr="00A542A6">
              <w:rPr>
                <w:rFonts w:ascii="Arial" w:hAnsi="Arial" w:cs="Arial"/>
                <w:b/>
                <w:color w:val="000000" w:themeColor="text1"/>
                <w:lang w:val="sr-Cyrl-BA"/>
              </w:rPr>
              <w:t>уп</w:t>
            </w:r>
            <w:r w:rsidR="00A56E08" w:rsidRPr="00A542A6">
              <w:rPr>
                <w:rFonts w:ascii="Arial" w:hAnsi="Arial" w:cs="Arial"/>
                <w:b/>
                <w:color w:val="000000" w:themeColor="text1"/>
                <w:lang w:val="sr-Cyrl-BA"/>
              </w:rPr>
              <w:t>о</w:t>
            </w:r>
            <w:r w:rsidRPr="00A542A6">
              <w:rPr>
                <w:rFonts w:ascii="Arial" w:hAnsi="Arial" w:cs="Arial"/>
                <w:b/>
                <w:color w:val="000000" w:themeColor="text1"/>
                <w:lang w:val="sr-Cyrl-BA"/>
              </w:rPr>
              <w:t>тр</w:t>
            </w:r>
            <w:r w:rsidR="00EE6AA2" w:rsidRPr="00A542A6">
              <w:rPr>
                <w:rFonts w:ascii="Arial" w:hAnsi="Arial" w:cs="Arial"/>
                <w:b/>
                <w:color w:val="000000" w:themeColor="text1"/>
                <w:lang w:val="sr-Cyrl-BA"/>
              </w:rPr>
              <w:t>е</w:t>
            </w:r>
            <w:r w:rsidR="00A56E08" w:rsidRPr="00A542A6">
              <w:rPr>
                <w:rFonts w:ascii="Arial" w:hAnsi="Arial" w:cs="Arial"/>
                <w:b/>
                <w:color w:val="000000" w:themeColor="text1"/>
                <w:lang w:val="sr-Cyrl-BA"/>
              </w:rPr>
              <w:t>ба</w:t>
            </w:r>
            <w:r w:rsidR="00847B04" w:rsidRPr="00A542A6">
              <w:rPr>
                <w:rFonts w:ascii="Arial" w:hAnsi="Arial" w:cs="Arial"/>
                <w:b/>
                <w:color w:val="000000" w:themeColor="text1"/>
                <w:lang w:val="sr-Cyrl-BA"/>
              </w:rPr>
              <w:t xml:space="preserve"> </w:t>
            </w:r>
            <w:r w:rsidR="00A56E08" w:rsidRPr="00A542A6">
              <w:rPr>
                <w:rFonts w:ascii="Arial" w:hAnsi="Arial" w:cs="Arial"/>
                <w:b/>
                <w:color w:val="000000" w:themeColor="text1"/>
                <w:lang w:val="sr-Cyrl-BA"/>
              </w:rPr>
              <w:t>диги</w:t>
            </w:r>
            <w:r w:rsidRPr="00A542A6">
              <w:rPr>
                <w:rFonts w:ascii="Arial" w:hAnsi="Arial" w:cs="Arial"/>
                <w:b/>
                <w:color w:val="000000" w:themeColor="text1"/>
                <w:lang w:val="sr-Cyrl-BA"/>
              </w:rPr>
              <w:t>т</w:t>
            </w:r>
            <w:r w:rsidR="00A56E08" w:rsidRPr="00A542A6">
              <w:rPr>
                <w:rFonts w:ascii="Arial" w:hAnsi="Arial" w:cs="Arial"/>
                <w:b/>
                <w:color w:val="000000" w:themeColor="text1"/>
                <w:lang w:val="sr-Cyrl-BA"/>
              </w:rPr>
              <w:t>алних</w:t>
            </w:r>
            <w:r w:rsidR="00847B04" w:rsidRPr="00A542A6">
              <w:rPr>
                <w:rFonts w:ascii="Arial" w:hAnsi="Arial" w:cs="Arial"/>
                <w:b/>
                <w:color w:val="000000" w:themeColor="text1"/>
                <w:lang w:val="sr-Cyrl-BA"/>
              </w:rPr>
              <w:t xml:space="preserve"> </w:t>
            </w:r>
            <w:r w:rsidR="00A56E08" w:rsidRPr="00A542A6">
              <w:rPr>
                <w:rFonts w:ascii="Arial" w:hAnsi="Arial" w:cs="Arial"/>
                <w:b/>
                <w:color w:val="000000" w:themeColor="text1"/>
                <w:lang w:val="sr-Cyrl-BA"/>
              </w:rPr>
              <w:t>и</w:t>
            </w:r>
            <w:r w:rsidR="00171F00" w:rsidRPr="00A542A6">
              <w:rPr>
                <w:rFonts w:ascii="Arial" w:hAnsi="Arial" w:cs="Arial"/>
                <w:b/>
                <w:color w:val="000000" w:themeColor="text1"/>
                <w:lang w:val="sr-Cyrl-BA"/>
              </w:rPr>
              <w:t>з</w:t>
            </w:r>
            <w:r w:rsidRPr="00A542A6">
              <w:rPr>
                <w:rFonts w:ascii="Arial" w:hAnsi="Arial" w:cs="Arial"/>
                <w:b/>
                <w:color w:val="000000" w:themeColor="text1"/>
                <w:lang w:val="sr-Cyrl-BA"/>
              </w:rPr>
              <w:t>в</w:t>
            </w:r>
            <w:r w:rsidR="00A56E08" w:rsidRPr="00A542A6">
              <w:rPr>
                <w:rFonts w:ascii="Arial" w:hAnsi="Arial" w:cs="Arial"/>
                <w:b/>
                <w:color w:val="000000" w:themeColor="text1"/>
                <w:lang w:val="sr-Cyrl-BA"/>
              </w:rPr>
              <w:t>о</w:t>
            </w:r>
            <w:r w:rsidRPr="00A542A6">
              <w:rPr>
                <w:rFonts w:ascii="Arial" w:hAnsi="Arial" w:cs="Arial"/>
                <w:b/>
                <w:color w:val="000000" w:themeColor="text1"/>
                <w:lang w:val="sr-Cyrl-BA"/>
              </w:rPr>
              <w:t>р</w:t>
            </w:r>
            <w:r w:rsidR="00A56E08" w:rsidRPr="00A542A6">
              <w:rPr>
                <w:rFonts w:ascii="Arial" w:hAnsi="Arial" w:cs="Arial"/>
                <w:b/>
                <w:color w:val="000000" w:themeColor="text1"/>
                <w:lang w:val="sr-Cyrl-BA"/>
              </w:rPr>
              <w:t>а</w:t>
            </w:r>
          </w:p>
        </w:tc>
      </w:tr>
      <w:tr w:rsidR="00847B04" w:rsidRPr="00F6340E" w14:paraId="5BA12491" w14:textId="77777777" w:rsidTr="00A542A6">
        <w:trPr>
          <w:trHeight w:val="722"/>
          <w:jc w:val="center"/>
        </w:trPr>
        <w:tc>
          <w:tcPr>
            <w:tcW w:w="9014" w:type="dxa"/>
            <w:tcBorders>
              <w:top w:val="single" w:sz="4" w:space="0" w:color="000000"/>
            </w:tcBorders>
            <w:shd w:val="clear" w:color="auto" w:fill="E3F4F9"/>
          </w:tcPr>
          <w:p w14:paraId="06E70847" w14:textId="23B4E3B7" w:rsidR="00847B04" w:rsidRPr="00A542A6" w:rsidRDefault="00A56E08" w:rsidP="00A542A6">
            <w:pPr>
              <w:spacing w:line="276" w:lineRule="auto"/>
              <w:contextualSpacing/>
              <w:jc w:val="left"/>
              <w:rPr>
                <w:rFonts w:ascii="Arial" w:hAnsi="Arial" w:cs="Arial"/>
                <w:b/>
                <w:bCs/>
                <w:color w:val="00B0F0"/>
                <w:lang w:val="sr-Cyrl-BA"/>
              </w:rPr>
            </w:pPr>
            <w:r w:rsidRPr="00A542A6">
              <w:rPr>
                <w:rFonts w:ascii="Arial" w:hAnsi="Arial" w:cs="Arial"/>
                <w:b/>
                <w:bCs/>
                <w:color w:val="00B0F0"/>
                <w:lang w:val="sr-Cyrl-BA"/>
              </w:rPr>
              <w:t>Ком</w:t>
            </w:r>
            <w:r w:rsidR="0071360A" w:rsidRPr="00A542A6">
              <w:rPr>
                <w:rFonts w:ascii="Arial" w:hAnsi="Arial" w:cs="Arial"/>
                <w:b/>
                <w:bCs/>
                <w:color w:val="00B0F0"/>
                <w:lang w:val="sr-Cyrl-BA"/>
              </w:rPr>
              <w:t>п</w:t>
            </w:r>
            <w:r w:rsidR="00EE6AA2" w:rsidRPr="00A542A6">
              <w:rPr>
                <w:rFonts w:ascii="Arial" w:hAnsi="Arial" w:cs="Arial"/>
                <w:b/>
                <w:bCs/>
                <w:color w:val="00B0F0"/>
                <w:lang w:val="sr-Cyrl-BA"/>
              </w:rPr>
              <w:t>е</w:t>
            </w:r>
            <w:r w:rsidR="0071360A" w:rsidRPr="00A542A6">
              <w:rPr>
                <w:rFonts w:ascii="Arial" w:hAnsi="Arial" w:cs="Arial"/>
                <w:b/>
                <w:bCs/>
                <w:color w:val="00B0F0"/>
                <w:lang w:val="sr-Cyrl-BA"/>
              </w:rPr>
              <w:t>т</w:t>
            </w:r>
            <w:r w:rsidR="00EE6AA2" w:rsidRPr="00A542A6">
              <w:rPr>
                <w:rFonts w:ascii="Arial" w:hAnsi="Arial" w:cs="Arial"/>
                <w:b/>
                <w:bCs/>
                <w:color w:val="00B0F0"/>
                <w:lang w:val="sr-Cyrl-BA"/>
              </w:rPr>
              <w:t>е</w:t>
            </w:r>
            <w:r w:rsidRPr="00A542A6">
              <w:rPr>
                <w:rFonts w:ascii="Arial" w:hAnsi="Arial" w:cs="Arial"/>
                <w:b/>
                <w:bCs/>
                <w:color w:val="00B0F0"/>
                <w:lang w:val="sr-Cyrl-BA"/>
              </w:rPr>
              <w:t>нциј</w:t>
            </w:r>
            <w:r w:rsidR="00EE6AA2" w:rsidRPr="00A542A6">
              <w:rPr>
                <w:rFonts w:ascii="Arial" w:hAnsi="Arial" w:cs="Arial"/>
                <w:b/>
                <w:bCs/>
                <w:color w:val="00B0F0"/>
                <w:lang w:val="sr-Cyrl-BA"/>
              </w:rPr>
              <w:t>е</w:t>
            </w:r>
          </w:p>
          <w:p w14:paraId="683530E1" w14:textId="6C5916A7" w:rsidR="00847B04" w:rsidRPr="00F6340E" w:rsidRDefault="0071360A" w:rsidP="00A542A6">
            <w:pPr>
              <w:pStyle w:val="ListParagraph"/>
              <w:numPr>
                <w:ilvl w:val="0"/>
                <w:numId w:val="29"/>
              </w:numPr>
              <w:spacing w:line="276" w:lineRule="auto"/>
              <w:jc w:val="left"/>
              <w:rPr>
                <w:rFonts w:ascii="Arial" w:hAnsi="Arial" w:cs="Arial"/>
                <w:color w:val="00B0F0"/>
                <w:lang w:val="sr-Cyrl-BA"/>
              </w:rPr>
            </w:pPr>
            <w:r>
              <w:rPr>
                <w:rFonts w:ascii="Arial" w:hAnsi="Arial" w:cs="Arial"/>
                <w:color w:val="000000" w:themeColor="text1"/>
                <w:lang w:val="sr-Cyrl-BA"/>
              </w:rPr>
              <w:t>Упр</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ља</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гани</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Pr>
                <w:rFonts w:ascii="Arial" w:hAnsi="Arial" w:cs="Arial"/>
                <w:color w:val="000000" w:themeColor="text1"/>
                <w:lang w:val="sr-Cyrl-BA"/>
              </w:rPr>
              <w:t>шт</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диј</w:t>
            </w:r>
            <w:r w:rsidR="00EE6AA2">
              <w:rPr>
                <w:rFonts w:ascii="Arial" w:hAnsi="Arial" w:cs="Arial"/>
                <w:color w:val="000000" w:themeColor="text1"/>
                <w:lang w:val="sr-Cyrl-BA"/>
              </w:rPr>
              <w:t>е</w:t>
            </w:r>
            <w:r w:rsidR="00A56E08">
              <w:rPr>
                <w:rFonts w:ascii="Arial" w:hAnsi="Arial" w:cs="Arial"/>
                <w:color w:val="000000" w:themeColor="text1"/>
                <w:lang w:val="sr-Cyrl-BA"/>
              </w:rPr>
              <w:t>ли</w:t>
            </w:r>
            <w:r>
              <w:rPr>
                <w:rFonts w:ascii="Arial" w:hAnsi="Arial" w:cs="Arial"/>
                <w:color w:val="000000" w:themeColor="text1"/>
                <w:lang w:val="sr-Cyrl-BA"/>
              </w:rPr>
              <w:t>т</w:t>
            </w:r>
            <w:r w:rsidR="00A56E08">
              <w:rPr>
                <w:rFonts w:ascii="Arial" w:hAnsi="Arial" w:cs="Arial"/>
                <w:color w:val="000000" w:themeColor="text1"/>
                <w:lang w:val="sr-Cyrl-BA"/>
              </w:rPr>
              <w:t>и</w:t>
            </w:r>
            <w:r w:rsidR="00847B04"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w:t>
            </w:r>
            <w:r w:rsidR="00EE6AA2">
              <w:rPr>
                <w:rFonts w:ascii="Arial" w:hAnsi="Arial" w:cs="Arial"/>
                <w:color w:val="000000" w:themeColor="text1"/>
                <w:lang w:val="sr-Cyrl-BA"/>
              </w:rPr>
              <w:t>е</w:t>
            </w:r>
            <w:r w:rsidR="00847B04"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сурс</w:t>
            </w:r>
            <w:r w:rsidR="00EE6AA2">
              <w:rPr>
                <w:rFonts w:ascii="Arial" w:hAnsi="Arial" w:cs="Arial"/>
                <w:color w:val="000000" w:themeColor="text1"/>
                <w:lang w:val="sr-Cyrl-BA"/>
              </w:rPr>
              <w:t>е</w:t>
            </w:r>
          </w:p>
        </w:tc>
      </w:tr>
      <w:tr w:rsidR="00847B04" w:rsidRPr="00F6340E" w14:paraId="3892F7D5" w14:textId="77777777" w:rsidTr="00A542A6">
        <w:trPr>
          <w:trHeight w:val="2380"/>
          <w:jc w:val="center"/>
        </w:trPr>
        <w:tc>
          <w:tcPr>
            <w:tcW w:w="9014" w:type="dxa"/>
            <w:shd w:val="clear" w:color="auto" w:fill="E3F4F9"/>
          </w:tcPr>
          <w:p w14:paraId="5004C00B" w14:textId="5A415CBA" w:rsidR="00847B04" w:rsidRPr="00A542A6" w:rsidRDefault="00A56E08" w:rsidP="00A542A6">
            <w:pPr>
              <w:spacing w:line="276" w:lineRule="auto"/>
              <w:ind w:right="113"/>
              <w:contextualSpacing/>
              <w:jc w:val="left"/>
              <w:rPr>
                <w:rFonts w:ascii="Arial" w:hAnsi="Arial" w:cs="Arial"/>
                <w:b/>
                <w:bCs/>
                <w:color w:val="00B0F0"/>
                <w:lang w:val="sr-Cyrl-BA"/>
              </w:rPr>
            </w:pPr>
            <w:r w:rsidRPr="00A542A6">
              <w:rPr>
                <w:rFonts w:ascii="Arial" w:hAnsi="Arial" w:cs="Arial"/>
                <w:b/>
                <w:bCs/>
                <w:color w:val="00B0F0"/>
                <w:lang w:val="sr-Cyrl-BA"/>
              </w:rPr>
              <w:t>Циљ</w:t>
            </w:r>
            <w:r w:rsidR="00EE6AA2" w:rsidRPr="00A542A6">
              <w:rPr>
                <w:rFonts w:ascii="Arial" w:hAnsi="Arial" w:cs="Arial"/>
                <w:b/>
                <w:bCs/>
                <w:color w:val="00B0F0"/>
                <w:lang w:val="sr-Cyrl-BA"/>
              </w:rPr>
              <w:t>е</w:t>
            </w:r>
            <w:r w:rsidR="0071360A" w:rsidRPr="00A542A6">
              <w:rPr>
                <w:rFonts w:ascii="Arial" w:hAnsi="Arial" w:cs="Arial"/>
                <w:b/>
                <w:bCs/>
                <w:color w:val="00B0F0"/>
                <w:lang w:val="sr-Cyrl-BA"/>
              </w:rPr>
              <w:t>в</w:t>
            </w:r>
            <w:r w:rsidRPr="00A542A6">
              <w:rPr>
                <w:rFonts w:ascii="Arial" w:hAnsi="Arial" w:cs="Arial"/>
                <w:b/>
                <w:bCs/>
                <w:color w:val="00B0F0"/>
                <w:lang w:val="sr-Cyrl-BA"/>
              </w:rPr>
              <w:t>и</w:t>
            </w:r>
          </w:p>
          <w:p w14:paraId="61483904" w14:textId="481862C6" w:rsidR="00847B04" w:rsidRPr="00F6340E" w:rsidRDefault="00A56E08" w:rsidP="00A542A6">
            <w:pPr>
              <w:pStyle w:val="HTMLPreformatted"/>
              <w:numPr>
                <w:ilvl w:val="0"/>
                <w:numId w:val="20"/>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гани</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в</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ални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ад</w:t>
            </w:r>
            <w:r w:rsidR="0071360A">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Pr>
                <w:rStyle w:val="y2iqfc"/>
                <w:rFonts w:ascii="Arial" w:hAnsi="Arial" w:cs="Arial"/>
                <w:color w:val="202124"/>
                <w:sz w:val="24"/>
                <w:szCs w:val="24"/>
                <w:lang w:val="sr-Cyrl-BA"/>
              </w:rPr>
              <w:t>ај</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чини</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га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до</w:t>
            </w:r>
            <w:r w:rsidR="0071360A">
              <w:rPr>
                <w:rStyle w:val="y2iqfc"/>
                <w:rFonts w:ascii="Arial" w:hAnsi="Arial" w:cs="Arial"/>
                <w:color w:val="202124"/>
                <w:sz w:val="24"/>
                <w:szCs w:val="24"/>
                <w:lang w:val="sr-Cyrl-BA"/>
              </w:rPr>
              <w:t>ступ</w:t>
            </w:r>
            <w:r>
              <w:rPr>
                <w:rStyle w:val="y2iqfc"/>
                <w:rFonts w:ascii="Arial" w:hAnsi="Arial" w:cs="Arial"/>
                <w:color w:val="202124"/>
                <w:sz w:val="24"/>
                <w:szCs w:val="24"/>
                <w:lang w:val="sr-Cyrl-BA"/>
              </w:rPr>
              <w:t>ним</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ч</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ницима</w:t>
            </w:r>
            <w:r w:rsidR="00847B04" w:rsidRPr="00F6340E">
              <w:rPr>
                <w:rStyle w:val="y2iqfc"/>
                <w:rFonts w:ascii="Arial" w:hAnsi="Arial" w:cs="Arial"/>
                <w:color w:val="202124"/>
                <w:sz w:val="24"/>
                <w:szCs w:val="24"/>
                <w:lang w:val="sr-Cyrl-BA"/>
              </w:rPr>
              <w:t>/</w:t>
            </w:r>
            <w:r w:rsidR="0071360A">
              <w:rPr>
                <w:rStyle w:val="y2iqfc"/>
                <w:rFonts w:ascii="Arial" w:hAnsi="Arial" w:cs="Arial"/>
                <w:color w:val="202124"/>
                <w:sz w:val="24"/>
                <w:szCs w:val="24"/>
                <w:lang w:val="sr-Cyrl-BA"/>
              </w:rPr>
              <w:t>сту</w:t>
            </w:r>
            <w:r>
              <w:rPr>
                <w:rStyle w:val="y2iqfc"/>
                <w:rFonts w:ascii="Arial" w:hAnsi="Arial" w:cs="Arial"/>
                <w:color w:val="202124"/>
                <w:sz w:val="24"/>
                <w:szCs w:val="24"/>
                <w:lang w:val="sr-Cyrl-BA"/>
              </w:rPr>
              <w:t>д</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н</w:t>
            </w:r>
            <w:r w:rsidR="0071360A">
              <w:rPr>
                <w:rStyle w:val="y2iqfc"/>
                <w:rFonts w:ascii="Arial" w:hAnsi="Arial" w:cs="Arial"/>
                <w:color w:val="202124"/>
                <w:sz w:val="24"/>
                <w:szCs w:val="24"/>
                <w:lang w:val="sr-Cyrl-BA"/>
              </w:rPr>
              <w:t>т</w:t>
            </w:r>
            <w:r>
              <w:rPr>
                <w:rStyle w:val="y2iqfc"/>
                <w:rFonts w:ascii="Arial" w:hAnsi="Arial" w:cs="Arial"/>
                <w:color w:val="202124"/>
                <w:sz w:val="24"/>
                <w:szCs w:val="24"/>
                <w:lang w:val="sr-Cyrl-BA"/>
              </w:rPr>
              <w:t>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Pr>
                <w:rStyle w:val="y2iqfc"/>
                <w:rFonts w:ascii="Arial" w:hAnsi="Arial" w:cs="Arial"/>
                <w:color w:val="202124"/>
                <w:sz w:val="24"/>
                <w:szCs w:val="24"/>
                <w:lang w:val="sr-Cyrl-BA"/>
              </w:rPr>
              <w:t>колико</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ј</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п</w:t>
            </w:r>
            <w:r>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бно</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оди</w:t>
            </w:r>
            <w:r w:rsidR="0071360A">
              <w:rPr>
                <w:rStyle w:val="y2iqfc"/>
                <w:rFonts w:ascii="Arial" w:hAnsi="Arial" w:cs="Arial"/>
                <w:color w:val="202124"/>
                <w:sz w:val="24"/>
                <w:szCs w:val="24"/>
                <w:lang w:val="sr-Cyrl-BA"/>
              </w:rPr>
              <w:t>т</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љима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дј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ц</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ш</w:t>
            </w:r>
            <w:r>
              <w:rPr>
                <w:rStyle w:val="y2iqfc"/>
                <w:rFonts w:ascii="Arial" w:hAnsi="Arial" w:cs="Arial"/>
                <w:color w:val="202124"/>
                <w:sz w:val="24"/>
                <w:szCs w:val="24"/>
                <w:lang w:val="sr-Cyrl-BA"/>
              </w:rPr>
              <w:t>кол</w:t>
            </w:r>
            <w:r w:rsidR="0071360A">
              <w:rPr>
                <w:rStyle w:val="y2iqfc"/>
                <w:rFonts w:ascii="Arial" w:hAnsi="Arial" w:cs="Arial"/>
                <w:color w:val="202124"/>
                <w:sz w:val="24"/>
                <w:szCs w:val="24"/>
                <w:lang w:val="sr-Cyrl-BA"/>
              </w:rPr>
              <w:t>с</w:t>
            </w:r>
            <w:r>
              <w:rPr>
                <w:rStyle w:val="y2iqfc"/>
                <w:rFonts w:ascii="Arial" w:hAnsi="Arial" w:cs="Arial"/>
                <w:color w:val="202124"/>
                <w:sz w:val="24"/>
                <w:szCs w:val="24"/>
                <w:lang w:val="sr-Cyrl-BA"/>
              </w:rPr>
              <w:t>ког</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у</w:t>
            </w:r>
            <w:r w:rsidR="00171F00">
              <w:rPr>
                <w:rStyle w:val="y2iqfc"/>
                <w:rFonts w:ascii="Arial" w:hAnsi="Arial" w:cs="Arial"/>
                <w:color w:val="202124"/>
                <w:sz w:val="24"/>
                <w:szCs w:val="24"/>
                <w:lang w:val="sr-Cyrl-BA"/>
              </w:rPr>
              <w:t>з</w:t>
            </w:r>
            <w:r w:rsidR="0071360A">
              <w:rPr>
                <w:rStyle w:val="y2iqfc"/>
                <w:rFonts w:ascii="Arial" w:hAnsi="Arial" w:cs="Arial"/>
                <w:color w:val="202124"/>
                <w:sz w:val="24"/>
                <w:szCs w:val="24"/>
                <w:lang w:val="sr-Cyrl-BA"/>
              </w:rPr>
              <w:t>р</w:t>
            </w:r>
            <w:r>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ст</w:t>
            </w:r>
            <w:r>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w:t>
            </w:r>
          </w:p>
          <w:p w14:paraId="2AC0322F" w14:textId="00624A0E" w:rsidR="00847B04" w:rsidRPr="00F6340E" w:rsidRDefault="00EE6AA2" w:rsidP="00A542A6">
            <w:pPr>
              <w:pStyle w:val="HTMLPreformatted"/>
              <w:numPr>
                <w:ilvl w:val="0"/>
                <w:numId w:val="20"/>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ф</w:t>
            </w:r>
            <w:r>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к</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но</w:t>
            </w:r>
            <w:r w:rsidR="00847B04" w:rsidRPr="00F6340E">
              <w:rPr>
                <w:rStyle w:val="y2iqfc"/>
                <w:rFonts w:ascii="Arial" w:hAnsi="Arial" w:cs="Arial"/>
                <w:color w:val="202124"/>
                <w:sz w:val="24"/>
                <w:szCs w:val="24"/>
                <w:lang w:val="sr-Cyrl-BA"/>
              </w:rPr>
              <w:t xml:space="preserve"> </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а</w:t>
            </w:r>
            <w:r w:rsidR="0071360A">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sidR="0071360A">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ј</w:t>
            </w:r>
            <w:r>
              <w:rPr>
                <w:rStyle w:val="y2iqfc"/>
                <w:rFonts w:ascii="Arial" w:hAnsi="Arial" w:cs="Arial"/>
                <w:color w:val="202124"/>
                <w:sz w:val="24"/>
                <w:szCs w:val="24"/>
                <w:lang w:val="sr-Cyrl-BA"/>
              </w:rPr>
              <w:t>е</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љи</w:t>
            </w:r>
            <w:r w:rsidR="0071360A">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диги</w:t>
            </w:r>
            <w:r w:rsidR="0071360A">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ални</w:t>
            </w:r>
            <w:r w:rsidR="00847B04" w:rsidRPr="00F6340E">
              <w:rPr>
                <w:rStyle w:val="y2iqfc"/>
                <w:rFonts w:ascii="Arial" w:hAnsi="Arial" w:cs="Arial"/>
                <w:color w:val="202124"/>
                <w:sz w:val="24"/>
                <w:szCs w:val="24"/>
                <w:lang w:val="sr-Cyrl-BA"/>
              </w:rPr>
              <w:t xml:space="preserve"> </w:t>
            </w:r>
            <w:r w:rsidR="0071360A">
              <w:rPr>
                <w:rStyle w:val="y2iqfc"/>
                <w:rFonts w:ascii="Arial" w:hAnsi="Arial" w:cs="Arial"/>
                <w:color w:val="202124"/>
                <w:sz w:val="24"/>
                <w:szCs w:val="24"/>
                <w:lang w:val="sr-Cyrl-BA"/>
              </w:rPr>
              <w:t>с</w:t>
            </w:r>
            <w:r w:rsidR="00A56E08">
              <w:rPr>
                <w:rStyle w:val="y2iqfc"/>
                <w:rFonts w:ascii="Arial" w:hAnsi="Arial" w:cs="Arial"/>
                <w:color w:val="202124"/>
                <w:sz w:val="24"/>
                <w:szCs w:val="24"/>
                <w:lang w:val="sr-Cyrl-BA"/>
              </w:rPr>
              <w:t>ад</w:t>
            </w:r>
            <w:r w:rsidR="0071360A">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ај</w:t>
            </w:r>
            <w:r w:rsidR="00847B04" w:rsidRPr="00F6340E">
              <w:rPr>
                <w:rStyle w:val="y2iqfc"/>
                <w:rFonts w:ascii="Arial" w:hAnsi="Arial" w:cs="Arial"/>
                <w:color w:val="202124"/>
                <w:sz w:val="24"/>
                <w:szCs w:val="24"/>
                <w:lang w:val="sr-Cyrl-BA"/>
              </w:rPr>
              <w:t>.</w:t>
            </w:r>
          </w:p>
          <w:p w14:paraId="2A5205D9" w14:textId="34EF039E" w:rsidR="00847B04" w:rsidRPr="00F6340E" w:rsidRDefault="0071360A" w:rsidP="00A542A6">
            <w:pPr>
              <w:pStyle w:val="HTMLPreformatted"/>
              <w:numPr>
                <w:ilvl w:val="0"/>
                <w:numId w:val="20"/>
              </w:numPr>
              <w:spacing w:line="276" w:lineRule="auto"/>
              <w:rPr>
                <w:rStyle w:val="y2iqfc"/>
                <w:rFonts w:ascii="Arial" w:hAnsi="Arial" w:cs="Arial"/>
                <w:color w:val="202124"/>
                <w:sz w:val="24"/>
                <w:szCs w:val="24"/>
                <w:lang w:val="sr-Cyrl-BA"/>
              </w:rPr>
            </w:pPr>
            <w:r>
              <w:rPr>
                <w:rStyle w:val="y2iqfc"/>
                <w:rFonts w:ascii="Arial" w:hAnsi="Arial" w:cs="Arial"/>
                <w:color w:val="202124"/>
                <w:sz w:val="24"/>
                <w:szCs w:val="24"/>
                <w:lang w:val="sr-Cyrl-BA"/>
              </w:rPr>
              <w:t>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шт</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ид</w:t>
            </w:r>
            <w:r>
              <w:rPr>
                <w:rStyle w:val="y2iqfc"/>
                <w:rFonts w:ascii="Arial" w:hAnsi="Arial" w:cs="Arial"/>
                <w:color w:val="202124"/>
                <w:sz w:val="24"/>
                <w:szCs w:val="24"/>
                <w:lang w:val="sr-Cyrl-BA"/>
              </w:rPr>
              <w:t>р</w:t>
            </w:r>
            <w:r w:rsidR="00171F00">
              <w:rPr>
                <w:rStyle w:val="y2iqfc"/>
                <w:rFonts w:ascii="Arial" w:hAnsi="Arial" w:cs="Arial"/>
                <w:color w:val="202124"/>
                <w:sz w:val="24"/>
                <w:szCs w:val="24"/>
                <w:lang w:val="sr-Cyrl-BA"/>
              </w:rPr>
              <w:t>ж</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ила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и</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но</w:t>
            </w:r>
            <w:r>
              <w:rPr>
                <w:rStyle w:val="y2iqfc"/>
                <w:rFonts w:ascii="Arial" w:hAnsi="Arial" w:cs="Arial"/>
                <w:color w:val="202124"/>
                <w:sz w:val="24"/>
                <w:szCs w:val="24"/>
                <w:lang w:val="sr-Cyrl-BA"/>
              </w:rPr>
              <w:t>ст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ут</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рс</w:t>
            </w:r>
            <w:r w:rsidR="00A56E08">
              <w:rPr>
                <w:rStyle w:val="y2iqfc"/>
                <w:rFonts w:ascii="Arial" w:hAnsi="Arial" w:cs="Arial"/>
                <w:color w:val="202124"/>
                <w:sz w:val="24"/>
                <w:szCs w:val="24"/>
                <w:lang w:val="sr-Cyrl-BA"/>
              </w:rPr>
              <w:t>ких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пр</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w:t>
            </w:r>
          </w:p>
          <w:p w14:paraId="27B72854" w14:textId="1F720709" w:rsidR="00847B04" w:rsidRPr="00F6340E" w:rsidRDefault="0071360A" w:rsidP="00A542A6">
            <w:pPr>
              <w:pStyle w:val="HTMLPreformatted"/>
              <w:numPr>
                <w:ilvl w:val="0"/>
                <w:numId w:val="20"/>
              </w:numPr>
              <w:spacing w:line="276" w:lineRule="auto"/>
              <w:rPr>
                <w:rFonts w:ascii="Arial" w:hAnsi="Arial" w:cs="Arial"/>
                <w:color w:val="202124"/>
                <w:sz w:val="24"/>
                <w:szCs w:val="24"/>
                <w:lang w:val="sr-Cyrl-BA"/>
              </w:rPr>
            </w:pP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мј</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т</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уп</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б</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ств</w:t>
            </w:r>
            <w:r w:rsidR="00A56E08">
              <w:rPr>
                <w:rStyle w:val="y2iqfc"/>
                <w:rFonts w:ascii="Arial" w:hAnsi="Arial" w:cs="Arial"/>
                <w:color w:val="202124"/>
                <w:sz w:val="24"/>
                <w:szCs w:val="24"/>
                <w:lang w:val="sr-Cyrl-BA"/>
              </w:rPr>
              <w:t>а</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ањ</w:t>
            </w:r>
            <w:r w:rsidR="00EE6AA2">
              <w:rPr>
                <w:rStyle w:val="y2iqfc"/>
                <w:rFonts w:ascii="Arial" w:hAnsi="Arial" w:cs="Arial"/>
                <w:color w:val="202124"/>
                <w:sz w:val="24"/>
                <w:szCs w:val="24"/>
                <w:lang w:val="sr-Cyrl-BA"/>
              </w:rPr>
              <w:t>е</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тв</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лиц</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нци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тв</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об</w:t>
            </w:r>
            <w:r>
              <w:rPr>
                <w:rStyle w:val="y2iqfc"/>
                <w:rFonts w:ascii="Arial" w:hAnsi="Arial" w:cs="Arial"/>
                <w:color w:val="202124"/>
                <w:sz w:val="24"/>
                <w:szCs w:val="24"/>
                <w:lang w:val="sr-Cyrl-BA"/>
              </w:rPr>
              <w:t>р</w:t>
            </w:r>
            <w:r w:rsidR="00A56E08">
              <w:rPr>
                <w:rStyle w:val="y2iqfc"/>
                <w:rFonts w:ascii="Arial" w:hAnsi="Arial" w:cs="Arial"/>
                <w:color w:val="202124"/>
                <w:sz w:val="24"/>
                <w:szCs w:val="24"/>
                <w:lang w:val="sr-Cyrl-BA"/>
              </w:rPr>
              <w:t>а</w:t>
            </w:r>
            <w:r w:rsidR="00171F00">
              <w:rPr>
                <w:rStyle w:val="y2iqfc"/>
                <w:rFonts w:ascii="Arial" w:hAnsi="Arial" w:cs="Arial"/>
                <w:color w:val="202124"/>
                <w:sz w:val="24"/>
                <w:szCs w:val="24"/>
                <w:lang w:val="sr-Cyrl-BA"/>
              </w:rPr>
              <w:t>з</w:t>
            </w:r>
            <w:r w:rsidR="00A56E08">
              <w:rPr>
                <w:rStyle w:val="y2iqfc"/>
                <w:rFonts w:ascii="Arial" w:hAnsi="Arial" w:cs="Arial"/>
                <w:color w:val="202124"/>
                <w:sz w:val="24"/>
                <w:szCs w:val="24"/>
                <w:lang w:val="sr-Cyrl-BA"/>
              </w:rPr>
              <w:t>о</w:t>
            </w:r>
            <w:r>
              <w:rPr>
                <w:rStyle w:val="y2iqfc"/>
                <w:rFonts w:ascii="Arial" w:hAnsi="Arial" w:cs="Arial"/>
                <w:color w:val="202124"/>
                <w:sz w:val="24"/>
                <w:szCs w:val="24"/>
                <w:lang w:val="sr-Cyrl-BA"/>
              </w:rPr>
              <w:t>в</w:t>
            </w:r>
            <w:r w:rsidR="00A56E08">
              <w:rPr>
                <w:rStyle w:val="y2iqfc"/>
                <w:rFonts w:ascii="Arial" w:hAnsi="Arial" w:cs="Arial"/>
                <w:color w:val="202124"/>
                <w:sz w:val="24"/>
                <w:szCs w:val="24"/>
                <w:lang w:val="sr-Cyrl-BA"/>
              </w:rPr>
              <w:t>них</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р</w:t>
            </w:r>
            <w:r w:rsidR="00EE6AA2">
              <w:rPr>
                <w:rStyle w:val="y2iqfc"/>
                <w:rFonts w:ascii="Arial" w:hAnsi="Arial" w:cs="Arial"/>
                <w:color w:val="202124"/>
                <w:sz w:val="24"/>
                <w:szCs w:val="24"/>
                <w:lang w:val="sr-Cyrl-BA"/>
              </w:rPr>
              <w:t>е</w:t>
            </w:r>
            <w:r>
              <w:rPr>
                <w:rStyle w:val="y2iqfc"/>
                <w:rFonts w:ascii="Arial" w:hAnsi="Arial" w:cs="Arial"/>
                <w:color w:val="202124"/>
                <w:sz w:val="24"/>
                <w:szCs w:val="24"/>
                <w:lang w:val="sr-Cyrl-BA"/>
              </w:rPr>
              <w:t>сурс</w:t>
            </w:r>
            <w:r w:rsidR="00A56E08">
              <w:rPr>
                <w:rStyle w:val="y2iqfc"/>
                <w:rFonts w:ascii="Arial" w:hAnsi="Arial" w:cs="Arial"/>
                <w:color w:val="202124"/>
                <w:sz w:val="24"/>
                <w:szCs w:val="24"/>
                <w:lang w:val="sr-Cyrl-BA"/>
              </w:rPr>
              <w:t>а</w:t>
            </w:r>
            <w:r w:rsidR="00847B04" w:rsidRPr="00F6340E">
              <w:rPr>
                <w:rStyle w:val="y2iqfc"/>
                <w:rFonts w:ascii="Arial" w:hAnsi="Arial" w:cs="Arial"/>
                <w:color w:val="202124"/>
                <w:sz w:val="24"/>
                <w:szCs w:val="24"/>
                <w:lang w:val="sr-Cyrl-BA"/>
              </w:rPr>
              <w:t xml:space="preserve">, </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кљ</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ч</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ј</w:t>
            </w:r>
            <w:r>
              <w:rPr>
                <w:rStyle w:val="y2iqfc"/>
                <w:rFonts w:ascii="Arial" w:hAnsi="Arial" w:cs="Arial"/>
                <w:color w:val="202124"/>
                <w:sz w:val="24"/>
                <w:szCs w:val="24"/>
                <w:lang w:val="sr-Cyrl-BA"/>
              </w:rPr>
              <w:t>у</w:t>
            </w:r>
            <w:r w:rsidR="00A56E08">
              <w:rPr>
                <w:rStyle w:val="y2iqfc"/>
                <w:rFonts w:ascii="Arial" w:hAnsi="Arial" w:cs="Arial"/>
                <w:color w:val="202124"/>
                <w:sz w:val="24"/>
                <w:szCs w:val="24"/>
                <w:lang w:val="sr-Cyrl-BA"/>
              </w:rPr>
              <w:t>ћи</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њихо</w:t>
            </w:r>
            <w:r>
              <w:rPr>
                <w:rStyle w:val="y2iqfc"/>
                <w:rFonts w:ascii="Arial" w:hAnsi="Arial" w:cs="Arial"/>
                <w:color w:val="202124"/>
                <w:sz w:val="24"/>
                <w:szCs w:val="24"/>
                <w:lang w:val="sr-Cyrl-BA"/>
              </w:rPr>
              <w:t>ву</w:t>
            </w:r>
            <w:r w:rsidR="00847B04" w:rsidRPr="00F6340E">
              <w:rPr>
                <w:rStyle w:val="y2iqfc"/>
                <w:rFonts w:ascii="Arial" w:hAnsi="Arial" w:cs="Arial"/>
                <w:color w:val="202124"/>
                <w:sz w:val="24"/>
                <w:szCs w:val="24"/>
                <w:lang w:val="sr-Cyrl-BA"/>
              </w:rPr>
              <w:t xml:space="preserve"> </w:t>
            </w:r>
            <w:r w:rsidR="00A56E08">
              <w:rPr>
                <w:rStyle w:val="y2iqfc"/>
                <w:rFonts w:ascii="Arial" w:hAnsi="Arial" w:cs="Arial"/>
                <w:color w:val="202124"/>
                <w:sz w:val="24"/>
                <w:szCs w:val="24"/>
                <w:lang w:val="sr-Cyrl-BA"/>
              </w:rPr>
              <w:t>додј</w:t>
            </w:r>
            <w:r w:rsidR="00EE6AA2">
              <w:rPr>
                <w:rStyle w:val="y2iqfc"/>
                <w:rFonts w:ascii="Arial" w:hAnsi="Arial" w:cs="Arial"/>
                <w:color w:val="202124"/>
                <w:sz w:val="24"/>
                <w:szCs w:val="24"/>
                <w:lang w:val="sr-Cyrl-BA"/>
              </w:rPr>
              <w:t>е</w:t>
            </w:r>
            <w:r w:rsidR="00A56E08">
              <w:rPr>
                <w:rStyle w:val="y2iqfc"/>
                <w:rFonts w:ascii="Arial" w:hAnsi="Arial" w:cs="Arial"/>
                <w:color w:val="202124"/>
                <w:sz w:val="24"/>
                <w:szCs w:val="24"/>
                <w:lang w:val="sr-Cyrl-BA"/>
              </w:rPr>
              <w:t>л</w:t>
            </w:r>
            <w:r>
              <w:rPr>
                <w:rStyle w:val="y2iqfc"/>
                <w:rFonts w:ascii="Arial" w:hAnsi="Arial" w:cs="Arial"/>
                <w:color w:val="202124"/>
                <w:sz w:val="24"/>
                <w:szCs w:val="24"/>
                <w:lang w:val="sr-Cyrl-BA"/>
              </w:rPr>
              <w:t>у</w:t>
            </w:r>
            <w:r w:rsidR="00847B04" w:rsidRPr="00F6340E">
              <w:rPr>
                <w:rStyle w:val="y2iqfc"/>
                <w:rFonts w:ascii="Arial" w:hAnsi="Arial" w:cs="Arial"/>
                <w:color w:val="202124"/>
                <w:sz w:val="24"/>
                <w:szCs w:val="24"/>
                <w:lang w:val="sr-Cyrl-BA"/>
              </w:rPr>
              <w:t>.</w:t>
            </w:r>
          </w:p>
        </w:tc>
      </w:tr>
    </w:tbl>
    <w:p w14:paraId="3C070AF0" w14:textId="190C2529" w:rsidR="00847B04" w:rsidRPr="00F6340E" w:rsidRDefault="0071360A" w:rsidP="000962EB">
      <w:pPr>
        <w:pStyle w:val="Heading2"/>
        <w:numPr>
          <w:ilvl w:val="1"/>
          <w:numId w:val="70"/>
        </w:numPr>
        <w:rPr>
          <w:lang w:val="sr-Cyrl-BA"/>
        </w:rPr>
      </w:pPr>
      <w:bookmarkStart w:id="40" w:name="_Toc119050322"/>
      <w:r>
        <w:rPr>
          <w:lang w:val="sr-Cyrl-BA"/>
        </w:rPr>
        <w:t>Пр</w:t>
      </w:r>
      <w:r w:rsidR="00A56E08">
        <w:rPr>
          <w:lang w:val="sr-Cyrl-BA"/>
        </w:rPr>
        <w:t>аћ</w:t>
      </w:r>
      <w:r w:rsidR="00EE6AA2">
        <w:rPr>
          <w:lang w:val="sr-Cyrl-BA"/>
        </w:rPr>
        <w:t>е</w:t>
      </w:r>
      <w:r w:rsidR="00A56E08">
        <w:rPr>
          <w:lang w:val="sr-Cyrl-BA"/>
        </w:rPr>
        <w:t>њ</w:t>
      </w:r>
      <w:r w:rsidR="00EE6AA2">
        <w:rPr>
          <w:lang w:val="sr-Cyrl-BA"/>
        </w:rPr>
        <w:t>е</w:t>
      </w:r>
      <w:r w:rsidR="00847B04" w:rsidRPr="00F6340E">
        <w:rPr>
          <w:lang w:val="sr-Cyrl-BA"/>
        </w:rPr>
        <w:t xml:space="preserve">, </w:t>
      </w:r>
      <w:r>
        <w:rPr>
          <w:lang w:val="sr-Cyrl-BA"/>
        </w:rPr>
        <w:t>вр</w:t>
      </w:r>
      <w:r w:rsidR="00EE6AA2">
        <w:rPr>
          <w:lang w:val="sr-Cyrl-BA"/>
        </w:rPr>
        <w:t>е</w:t>
      </w:r>
      <w:r w:rsidR="00A56E08">
        <w:rPr>
          <w:lang w:val="sr-Cyrl-BA"/>
        </w:rPr>
        <w:t>дно</w:t>
      </w:r>
      <w:r>
        <w:rPr>
          <w:lang w:val="sr-Cyrl-BA"/>
        </w:rPr>
        <w:t>в</w:t>
      </w:r>
      <w:r w:rsidR="00A56E08">
        <w:rPr>
          <w:lang w:val="sr-Cyrl-BA"/>
        </w:rPr>
        <w:t>ањ</w:t>
      </w:r>
      <w:r w:rsidR="00EE6AA2">
        <w:rPr>
          <w:lang w:val="sr-Cyrl-BA"/>
        </w:rPr>
        <w:t>е</w:t>
      </w:r>
      <w:r w:rsidR="00847B04" w:rsidRPr="00F6340E">
        <w:rPr>
          <w:lang w:val="sr-Cyrl-BA"/>
        </w:rPr>
        <w:t xml:space="preserve"> </w:t>
      </w:r>
      <w:r w:rsidR="00A56E08">
        <w:rPr>
          <w:lang w:val="sr-Cyrl-BA"/>
        </w:rPr>
        <w:t>и</w:t>
      </w:r>
      <w:r w:rsidR="00847B04" w:rsidRPr="00F6340E">
        <w:rPr>
          <w:lang w:val="sr-Cyrl-BA"/>
        </w:rPr>
        <w:t xml:space="preserve"> </w:t>
      </w:r>
      <w:r>
        <w:rPr>
          <w:lang w:val="sr-Cyrl-BA"/>
        </w:rPr>
        <w:t>стру</w:t>
      </w:r>
      <w:r w:rsidR="00A56E08">
        <w:rPr>
          <w:lang w:val="sr-Cyrl-BA"/>
        </w:rPr>
        <w:t>чно</w:t>
      </w:r>
      <w:r w:rsidR="00847B04" w:rsidRPr="00F6340E">
        <w:rPr>
          <w:lang w:val="sr-Cyrl-BA"/>
        </w:rPr>
        <w:t xml:space="preserve"> </w:t>
      </w:r>
      <w:r>
        <w:rPr>
          <w:lang w:val="sr-Cyrl-BA"/>
        </w:rPr>
        <w:t>ус</w:t>
      </w:r>
      <w:r w:rsidR="00A56E08">
        <w:rPr>
          <w:lang w:val="sr-Cyrl-BA"/>
        </w:rPr>
        <w:t>а</w:t>
      </w:r>
      <w:r>
        <w:rPr>
          <w:lang w:val="sr-Cyrl-BA"/>
        </w:rPr>
        <w:t>врш</w:t>
      </w:r>
      <w:r w:rsidR="00A56E08">
        <w:rPr>
          <w:lang w:val="sr-Cyrl-BA"/>
        </w:rPr>
        <w:t>а</w:t>
      </w:r>
      <w:r>
        <w:rPr>
          <w:lang w:val="sr-Cyrl-BA"/>
        </w:rPr>
        <w:t>в</w:t>
      </w:r>
      <w:r w:rsidR="00A56E08">
        <w:rPr>
          <w:lang w:val="sr-Cyrl-BA"/>
        </w:rPr>
        <w:t>ањ</w:t>
      </w:r>
      <w:r w:rsidR="00EE6AA2">
        <w:rPr>
          <w:lang w:val="sr-Cyrl-BA"/>
        </w:rPr>
        <w:t>е</w:t>
      </w:r>
      <w:r w:rsidR="00847B04" w:rsidRPr="00F6340E">
        <w:rPr>
          <w:lang w:val="sr-Cyrl-BA"/>
        </w:rPr>
        <w:t xml:space="preserve"> </w:t>
      </w:r>
      <w:r w:rsidR="00A56E08">
        <w:rPr>
          <w:lang w:val="sr-Cyrl-BA"/>
        </w:rPr>
        <w:t>на</w:t>
      </w:r>
      <w:r>
        <w:rPr>
          <w:lang w:val="sr-Cyrl-BA"/>
        </w:rPr>
        <w:t>ст</w:t>
      </w:r>
      <w:r w:rsidR="00A56E08">
        <w:rPr>
          <w:lang w:val="sr-Cyrl-BA"/>
        </w:rPr>
        <w:t>а</w:t>
      </w:r>
      <w:r>
        <w:rPr>
          <w:lang w:val="sr-Cyrl-BA"/>
        </w:rPr>
        <w:t>в</w:t>
      </w:r>
      <w:r w:rsidR="00A56E08">
        <w:rPr>
          <w:lang w:val="sr-Cyrl-BA"/>
        </w:rPr>
        <w:t>ника</w:t>
      </w:r>
      <w:bookmarkEnd w:id="40"/>
      <w:r w:rsidR="00847B04" w:rsidRPr="00F6340E">
        <w:rPr>
          <w:lang w:val="sr-Cyrl-BA"/>
        </w:rPr>
        <w:t xml:space="preserve"> </w:t>
      </w:r>
    </w:p>
    <w:p w14:paraId="753B6EE7" w14:textId="3D41656B" w:rsidR="00847B04" w:rsidRPr="00F6340E" w:rsidRDefault="00A56E08" w:rsidP="00D976C8">
      <w:pPr>
        <w:pStyle w:val="Body"/>
      </w:pPr>
      <w:r>
        <w:t>Б</w:t>
      </w:r>
      <w:r w:rsidR="0071360A">
        <w:t>р</w:t>
      </w:r>
      <w:r>
        <w:t>ојн</w:t>
      </w:r>
      <w:r w:rsidR="00EE6AA2">
        <w:t>е</w:t>
      </w:r>
      <w:r w:rsidR="00847B04" w:rsidRPr="00F6340E">
        <w:t xml:space="preserve"> </w:t>
      </w:r>
      <w:r w:rsidR="0071360A">
        <w:t>пр</w:t>
      </w:r>
      <w:r>
        <w:t>омј</w:t>
      </w:r>
      <w:r w:rsidR="00EE6AA2">
        <w:t>е</w:t>
      </w:r>
      <w:r>
        <w:t>н</w:t>
      </w:r>
      <w:r w:rsidR="00EE6AA2">
        <w:t>е</w:t>
      </w:r>
      <w:r w:rsidR="00847B04" w:rsidRPr="00F6340E">
        <w:t xml:space="preserve"> </w:t>
      </w:r>
      <w:r w:rsidR="0071360A">
        <w:t>у</w:t>
      </w:r>
      <w:r w:rsidR="00847B04" w:rsidRPr="00F6340E">
        <w:t xml:space="preserve"> </w:t>
      </w:r>
      <w:r>
        <w:t>на</w:t>
      </w:r>
      <w:r w:rsidR="0071360A">
        <w:t>у</w:t>
      </w:r>
      <w:r>
        <w:t>ци</w:t>
      </w:r>
      <w:r w:rsidR="00847B04" w:rsidRPr="00F6340E">
        <w:t xml:space="preserve">, </w:t>
      </w:r>
      <w:r w:rsidR="0071360A">
        <w:t>т</w:t>
      </w:r>
      <w:r w:rsidR="00EE6AA2">
        <w:t>е</w:t>
      </w:r>
      <w:r>
        <w:t>хници</w:t>
      </w:r>
      <w:r w:rsidR="00847B04" w:rsidRPr="00F6340E">
        <w:t xml:space="preserve"> </w:t>
      </w:r>
      <w:r>
        <w:t>и</w:t>
      </w:r>
      <w:r w:rsidR="00847B04" w:rsidRPr="00F6340E">
        <w:t xml:space="preserve"> </w:t>
      </w:r>
      <w:r w:rsidR="0071360A">
        <w:t>т</w:t>
      </w:r>
      <w:r w:rsidR="00EE6AA2">
        <w:t>е</w:t>
      </w:r>
      <w:r>
        <w:t>хнологији</w:t>
      </w:r>
      <w:r w:rsidR="00847B04" w:rsidRPr="00F6340E">
        <w:t xml:space="preserve"> </w:t>
      </w:r>
      <w:r w:rsidR="0071360A">
        <w:t>пр</w:t>
      </w:r>
      <w:r w:rsidR="00EE6AA2">
        <w:t>е</w:t>
      </w:r>
      <w:r>
        <w:t>д</w:t>
      </w:r>
      <w:r w:rsidR="00847B04" w:rsidRPr="00F6340E">
        <w:t xml:space="preserve"> </w:t>
      </w:r>
      <w:r>
        <w:t>фо</w:t>
      </w:r>
      <w:r w:rsidR="0071360A">
        <w:t>р</w:t>
      </w:r>
      <w:r>
        <w:t>мално</w:t>
      </w:r>
      <w:r w:rsidR="00847B04" w:rsidRPr="00F6340E">
        <w:t xml:space="preserve"> </w:t>
      </w:r>
      <w:r>
        <w:t>об</w:t>
      </w:r>
      <w:r w:rsidR="0071360A">
        <w:t>р</w:t>
      </w:r>
      <w:r>
        <w:t>а</w:t>
      </w:r>
      <w:r w:rsidR="00171F00">
        <w:t>з</w:t>
      </w:r>
      <w:r>
        <w:t>о</w:t>
      </w:r>
      <w:r w:rsidR="0071360A">
        <w:t>в</w:t>
      </w:r>
      <w:r>
        <w:t>ањ</w:t>
      </w:r>
      <w:r w:rsidR="00EE6AA2">
        <w:t>е</w:t>
      </w:r>
      <w:r w:rsidR="00847B04" w:rsidRPr="00F6340E">
        <w:t xml:space="preserve"> </w:t>
      </w:r>
      <w:r w:rsidR="0071360A">
        <w:t>ст</w:t>
      </w:r>
      <w:r>
        <w:t>а</w:t>
      </w:r>
      <w:r w:rsidR="0071360A">
        <w:t>в</w:t>
      </w:r>
      <w:r>
        <w:t>љај</w:t>
      </w:r>
      <w:r w:rsidR="0071360A">
        <w:t>у</w:t>
      </w:r>
      <w:r w:rsidR="00847B04" w:rsidRPr="00F6340E">
        <w:t xml:space="preserve"> </w:t>
      </w:r>
      <w:r>
        <w:t>но</w:t>
      </w:r>
      <w:r w:rsidR="0071360A">
        <w:t>в</w:t>
      </w:r>
      <w:r w:rsidR="00EE6AA2">
        <w:t>е</w:t>
      </w:r>
      <w:r w:rsidR="00847B04" w:rsidRPr="00F6340E">
        <w:t xml:space="preserve"> </w:t>
      </w:r>
      <w:r w:rsidR="00171F00">
        <w:t>з</w:t>
      </w:r>
      <w:r>
        <w:t>ада</w:t>
      </w:r>
      <w:r w:rsidR="0071360A">
        <w:t>т</w:t>
      </w:r>
      <w:r>
        <w:t>к</w:t>
      </w:r>
      <w:r w:rsidR="00EE6AA2">
        <w:t>е</w:t>
      </w:r>
      <w:r w:rsidR="00847B04" w:rsidRPr="00F6340E">
        <w:t xml:space="preserve"> </w:t>
      </w:r>
      <w:r w:rsidR="0071360A">
        <w:t>у</w:t>
      </w:r>
      <w:r w:rsidR="00847B04" w:rsidRPr="00F6340E">
        <w:t xml:space="preserve"> </w:t>
      </w:r>
      <w:r w:rsidR="0071360A">
        <w:t>с</w:t>
      </w:r>
      <w:r>
        <w:t>ми</w:t>
      </w:r>
      <w:r w:rsidR="0071360A">
        <w:t>с</w:t>
      </w:r>
      <w:r>
        <w:t>л</w:t>
      </w:r>
      <w:r w:rsidR="0071360A">
        <w:t>у</w:t>
      </w:r>
      <w:r w:rsidR="00847B04" w:rsidRPr="00F6340E">
        <w:t xml:space="preserve"> </w:t>
      </w:r>
      <w:r w:rsidR="0071360A">
        <w:t>пр</w:t>
      </w:r>
      <w:r>
        <w:t>и</w:t>
      </w:r>
      <w:r w:rsidR="0071360A">
        <w:t>пр</w:t>
      </w:r>
      <w:r w:rsidR="00EE6AA2">
        <w:t>е</w:t>
      </w:r>
      <w:r>
        <w:t>м</w:t>
      </w:r>
      <w:r w:rsidR="00EE6AA2">
        <w:t>е</w:t>
      </w:r>
      <w:r w:rsidR="00847B04" w:rsidRPr="00F6340E">
        <w:t xml:space="preserve"> </w:t>
      </w:r>
      <w:r>
        <w:t>б</w:t>
      </w:r>
      <w:r w:rsidR="0071360A">
        <w:t>у</w:t>
      </w:r>
      <w:r>
        <w:t>д</w:t>
      </w:r>
      <w:r w:rsidR="0071360A">
        <w:t>у</w:t>
      </w:r>
      <w:r>
        <w:t>ћих</w:t>
      </w:r>
      <w:r w:rsidR="00847B04" w:rsidRPr="00F6340E">
        <w:t xml:space="preserve"> </w:t>
      </w:r>
      <w:r>
        <w:t>г</w:t>
      </w:r>
      <w:r w:rsidR="00EE6AA2">
        <w:t>е</w:t>
      </w:r>
      <w:r>
        <w:t>н</w:t>
      </w:r>
      <w:r w:rsidR="00EE6AA2">
        <w:t>е</w:t>
      </w:r>
      <w:r w:rsidR="0071360A">
        <w:t>р</w:t>
      </w:r>
      <w:r>
        <w:t>ација</w:t>
      </w:r>
      <w:r w:rsidR="00847B04" w:rsidRPr="00F6340E">
        <w:t xml:space="preserve"> </w:t>
      </w:r>
      <w:r w:rsidR="00171F00">
        <w:t>з</w:t>
      </w:r>
      <w:r>
        <w:t>а</w:t>
      </w:r>
      <w:r w:rsidR="00847B04" w:rsidRPr="00F6340E">
        <w:t xml:space="preserve"> </w:t>
      </w:r>
      <w:r>
        <w:t>ак</w:t>
      </w:r>
      <w:r w:rsidR="0071360A">
        <w:t>т</w:t>
      </w:r>
      <w:r>
        <w:t>и</w:t>
      </w:r>
      <w:r w:rsidR="0071360A">
        <w:t>в</w:t>
      </w:r>
      <w:r>
        <w:t>но</w:t>
      </w:r>
      <w:r w:rsidR="00E74448" w:rsidRPr="00F6340E">
        <w:t xml:space="preserve"> </w:t>
      </w:r>
      <w:r w:rsidR="0071360A">
        <w:t>у</w:t>
      </w:r>
      <w:r>
        <w:t>ч</w:t>
      </w:r>
      <w:r w:rsidR="00EE6AA2">
        <w:t>е</w:t>
      </w:r>
      <w:r w:rsidR="0071360A">
        <w:t>ств</w:t>
      </w:r>
      <w:r>
        <w:t>о</w:t>
      </w:r>
      <w:r w:rsidR="0071360A">
        <w:t>в</w:t>
      </w:r>
      <w:r>
        <w:t>ањ</w:t>
      </w:r>
      <w:r w:rsidR="00EE6AA2">
        <w:t>е</w:t>
      </w:r>
      <w:r w:rsidR="00E74448" w:rsidRPr="00F6340E">
        <w:t xml:space="preserve"> </w:t>
      </w:r>
      <w:r w:rsidR="0071360A">
        <w:t>у</w:t>
      </w:r>
      <w:r w:rsidR="00E74448" w:rsidRPr="00F6340E">
        <w:t xml:space="preserve"> </w:t>
      </w:r>
      <w:r>
        <w:t>д</w:t>
      </w:r>
      <w:r w:rsidR="0071360A">
        <w:t>руштву</w:t>
      </w:r>
      <w:r w:rsidR="00847B04" w:rsidRPr="00F6340E">
        <w:t xml:space="preserve">. </w:t>
      </w:r>
      <w:r w:rsidR="0071360A">
        <w:t>У</w:t>
      </w:r>
      <w:r w:rsidR="00847B04" w:rsidRPr="00F6340E">
        <w:t xml:space="preserve"> </w:t>
      </w:r>
      <w:r w:rsidR="0071360A">
        <w:t>т</w:t>
      </w:r>
      <w:r>
        <w:t>ом</w:t>
      </w:r>
      <w:r w:rsidR="00847B04" w:rsidRPr="00F6340E">
        <w:t xml:space="preserve"> </w:t>
      </w:r>
      <w:r w:rsidR="0071360A">
        <w:t>с</w:t>
      </w:r>
      <w:r>
        <w:t>ми</w:t>
      </w:r>
      <w:r w:rsidR="0071360A">
        <w:t>с</w:t>
      </w:r>
      <w:r>
        <w:t>л</w:t>
      </w:r>
      <w:r w:rsidR="0071360A">
        <w:t>у</w:t>
      </w:r>
      <w:r w:rsidR="00847B04" w:rsidRPr="00F6340E">
        <w:t xml:space="preserve">, </w:t>
      </w:r>
      <w:r>
        <w:t>ја</w:t>
      </w:r>
      <w:r w:rsidR="0071360A">
        <w:t>с</w:t>
      </w:r>
      <w:r>
        <w:t>но</w:t>
      </w:r>
      <w:r w:rsidR="00847B04" w:rsidRPr="00F6340E">
        <w:t xml:space="preserve"> </w:t>
      </w:r>
      <w:r>
        <w:t>ј</w:t>
      </w:r>
      <w:r w:rsidR="00EE6AA2">
        <w:t>е</w:t>
      </w:r>
      <w:r w:rsidR="00847B04" w:rsidRPr="00F6340E">
        <w:t xml:space="preserve"> </w:t>
      </w:r>
      <w:r>
        <w:t>да</w:t>
      </w:r>
      <w:r w:rsidR="00847B04" w:rsidRPr="00F6340E">
        <w:t xml:space="preserve"> </w:t>
      </w:r>
      <w:r w:rsidR="0071360A">
        <w:t>су</w:t>
      </w:r>
      <w:r w:rsidR="00847B04" w:rsidRPr="00F6340E">
        <w:t xml:space="preserve"> </w:t>
      </w:r>
      <w:r>
        <w:t>и</w:t>
      </w:r>
      <w:r w:rsidR="00847B04" w:rsidRPr="00F6340E">
        <w:t xml:space="preserve"> </w:t>
      </w:r>
      <w:r>
        <w:t>на</w:t>
      </w:r>
      <w:r w:rsidR="0071360A">
        <w:t>ст</w:t>
      </w:r>
      <w:r>
        <w:t>а</w:t>
      </w:r>
      <w:r w:rsidR="0071360A">
        <w:t>в</w:t>
      </w:r>
      <w:r>
        <w:t>ници</w:t>
      </w:r>
      <w:r w:rsidR="00847B04" w:rsidRPr="00F6340E">
        <w:t xml:space="preserve"> </w:t>
      </w:r>
      <w:r w:rsidR="0071360A">
        <w:t>ст</w:t>
      </w:r>
      <w:r>
        <w:t>ално</w:t>
      </w:r>
      <w:r w:rsidR="00847B04" w:rsidRPr="00F6340E">
        <w:t xml:space="preserve"> </w:t>
      </w:r>
      <w:r>
        <w:t>и</w:t>
      </w:r>
      <w:r w:rsidR="00171F00">
        <w:t>з</w:t>
      </w:r>
      <w:r>
        <w:t>ло</w:t>
      </w:r>
      <w:r w:rsidR="00171F00">
        <w:t>ж</w:t>
      </w:r>
      <w:r w:rsidR="00EE6AA2">
        <w:t>е</w:t>
      </w:r>
      <w:r>
        <w:t>ни</w:t>
      </w:r>
      <w:r w:rsidR="00847B04" w:rsidRPr="00F6340E">
        <w:t xml:space="preserve"> </w:t>
      </w:r>
      <w:r>
        <w:t>и</w:t>
      </w:r>
      <w:r w:rsidR="00171F00">
        <w:t>з</w:t>
      </w:r>
      <w:r>
        <w:t>а</w:t>
      </w:r>
      <w:r w:rsidR="00171F00">
        <w:t>з</w:t>
      </w:r>
      <w:r>
        <w:t>о</w:t>
      </w:r>
      <w:r w:rsidR="0071360A">
        <w:t>в</w:t>
      </w:r>
      <w:r>
        <w:t>има</w:t>
      </w:r>
      <w:r w:rsidR="00847B04" w:rsidRPr="00F6340E">
        <w:t xml:space="preserve"> </w:t>
      </w:r>
      <w:r w:rsidR="0071360A">
        <w:t>стру</w:t>
      </w:r>
      <w:r>
        <w:t>чног</w:t>
      </w:r>
      <w:r w:rsidR="00847B04" w:rsidRPr="00F6340E">
        <w:t xml:space="preserve"> </w:t>
      </w:r>
      <w:r w:rsidR="0071360A">
        <w:t>ус</w:t>
      </w:r>
      <w:r>
        <w:t>а</w:t>
      </w:r>
      <w:r w:rsidR="0071360A">
        <w:t>врш</w:t>
      </w:r>
      <w:r>
        <w:t>а</w:t>
      </w:r>
      <w:r w:rsidR="0071360A">
        <w:t>в</w:t>
      </w:r>
      <w:r>
        <w:t>ања</w:t>
      </w:r>
      <w:r w:rsidR="00847B04" w:rsidRPr="00F6340E">
        <w:t xml:space="preserve"> </w:t>
      </w:r>
      <w:r w:rsidR="0071360A">
        <w:t>у</w:t>
      </w:r>
      <w:r w:rsidR="00847B04" w:rsidRPr="00F6340E">
        <w:t xml:space="preserve"> </w:t>
      </w:r>
      <w:r w:rsidR="0071360A">
        <w:t>р</w:t>
      </w:r>
      <w:r>
        <w:t>а</w:t>
      </w:r>
      <w:r w:rsidR="00171F00">
        <w:t>з</w:t>
      </w:r>
      <w:r>
        <w:t>личи</w:t>
      </w:r>
      <w:r w:rsidR="0071360A">
        <w:t>т</w:t>
      </w:r>
      <w:r>
        <w:t>им</w:t>
      </w:r>
      <w:r w:rsidR="00847B04" w:rsidRPr="00F6340E">
        <w:t xml:space="preserve"> </w:t>
      </w:r>
      <w:r w:rsidR="0071360A">
        <w:t>п</w:t>
      </w:r>
      <w:r>
        <w:t>од</w:t>
      </w:r>
      <w:r w:rsidR="0071360A">
        <w:t>ру</w:t>
      </w:r>
      <w:r>
        <w:t>чјима</w:t>
      </w:r>
      <w:r w:rsidR="00847B04" w:rsidRPr="00F6340E">
        <w:t xml:space="preserve">, </w:t>
      </w:r>
      <w:r>
        <w:t>како</w:t>
      </w:r>
      <w:r w:rsidR="00847B04" w:rsidRPr="00F6340E">
        <w:t xml:space="preserve"> </w:t>
      </w:r>
      <w:r>
        <w:t>оним</w:t>
      </w:r>
      <w:r w:rsidR="00847B04" w:rsidRPr="00F6340E">
        <w:t xml:space="preserve"> </w:t>
      </w:r>
      <w:r w:rsidR="0071360A">
        <w:t>у</w:t>
      </w:r>
      <w:r w:rsidR="00171F00">
        <w:t>ж</w:t>
      </w:r>
      <w:r>
        <w:t>им</w:t>
      </w:r>
      <w:r w:rsidR="00847B04" w:rsidRPr="00F6340E">
        <w:t xml:space="preserve"> </w:t>
      </w:r>
      <w:r w:rsidR="0071360A">
        <w:t>стру</w:t>
      </w:r>
      <w:r>
        <w:t>чним</w:t>
      </w:r>
      <w:r w:rsidR="00847B04" w:rsidRPr="00F6340E">
        <w:t xml:space="preserve"> </w:t>
      </w:r>
      <w:r w:rsidR="0071360A">
        <w:t>т</w:t>
      </w:r>
      <w:r>
        <w:t>ако</w:t>
      </w:r>
      <w:r w:rsidR="00847B04" w:rsidRPr="00F6340E">
        <w:t xml:space="preserve"> </w:t>
      </w:r>
      <w:r>
        <w:t>и</w:t>
      </w:r>
      <w:r w:rsidR="00847B04" w:rsidRPr="00F6340E">
        <w:t xml:space="preserve"> </w:t>
      </w:r>
      <w:r>
        <w:t>оним</w:t>
      </w:r>
      <w:r w:rsidR="00847B04" w:rsidRPr="00F6340E">
        <w:t xml:space="preserve"> </w:t>
      </w:r>
      <w:r>
        <w:t>г</w:t>
      </w:r>
      <w:r w:rsidR="00EE6AA2">
        <w:t>е</w:t>
      </w:r>
      <w:r>
        <w:t>н</w:t>
      </w:r>
      <w:r w:rsidR="00EE6AA2">
        <w:t>е</w:t>
      </w:r>
      <w:r w:rsidR="0071360A">
        <w:t>р</w:t>
      </w:r>
      <w:r>
        <w:t>ичким</w:t>
      </w:r>
      <w:r w:rsidR="00847B04" w:rsidRPr="00F6340E">
        <w:t xml:space="preserve">, </w:t>
      </w:r>
      <w:r>
        <w:t>о</w:t>
      </w:r>
      <w:r w:rsidR="0071360A">
        <w:t>пшт</w:t>
      </w:r>
      <w:r>
        <w:t>им</w:t>
      </w:r>
      <w:r w:rsidR="00847B04" w:rsidRPr="00F6340E">
        <w:t xml:space="preserve">. </w:t>
      </w:r>
      <w:r>
        <w:t>Њихо</w:t>
      </w:r>
      <w:r w:rsidR="0071360A">
        <w:t>в</w:t>
      </w:r>
      <w:r>
        <w:t>о</w:t>
      </w:r>
      <w:r w:rsidR="00847B04" w:rsidRPr="00F6340E">
        <w:t xml:space="preserve"> </w:t>
      </w:r>
      <w:r w:rsidR="0071360A">
        <w:t>стру</w:t>
      </w:r>
      <w:r>
        <w:t>чно</w:t>
      </w:r>
      <w:r w:rsidR="00847B04" w:rsidRPr="00F6340E">
        <w:t xml:space="preserve"> </w:t>
      </w:r>
      <w:r w:rsidR="0071360A">
        <w:t>ус</w:t>
      </w:r>
      <w:r>
        <w:t>а</w:t>
      </w:r>
      <w:r w:rsidR="0071360A">
        <w:t>врш</w:t>
      </w:r>
      <w:r>
        <w:t>а</w:t>
      </w:r>
      <w:r w:rsidR="0071360A">
        <w:t>в</w:t>
      </w:r>
      <w:r>
        <w:t>ањ</w:t>
      </w:r>
      <w:r w:rsidR="00EE6AA2">
        <w:t>е</w:t>
      </w:r>
      <w:r w:rsidR="00847B04" w:rsidRPr="00F6340E">
        <w:t xml:space="preserve"> </w:t>
      </w:r>
      <w:r w:rsidR="0071360A">
        <w:t>пр</w:t>
      </w:r>
      <w:r>
        <w:t>аћ</w:t>
      </w:r>
      <w:r w:rsidR="00EE6AA2">
        <w:t>е</w:t>
      </w:r>
      <w:r>
        <w:t>но</w:t>
      </w:r>
      <w:r w:rsidR="00847B04" w:rsidRPr="00F6340E">
        <w:t xml:space="preserve"> </w:t>
      </w:r>
      <w:r>
        <w:lastRenderedPageBreak/>
        <w:t>ј</w:t>
      </w:r>
      <w:r w:rsidR="00EE6AA2">
        <w:t>е</w:t>
      </w:r>
      <w:r w:rsidR="00847B04" w:rsidRPr="00F6340E">
        <w:t xml:space="preserve"> </w:t>
      </w:r>
      <w:r>
        <w:t>и</w:t>
      </w:r>
      <w:r w:rsidR="00847B04" w:rsidRPr="00F6340E">
        <w:t xml:space="preserve"> </w:t>
      </w:r>
      <w:r w:rsidR="0071360A">
        <w:t>вр</w:t>
      </w:r>
      <w:r w:rsidR="00EE6AA2">
        <w:t>е</w:t>
      </w:r>
      <w:r>
        <w:t>дно</w:t>
      </w:r>
      <w:r w:rsidR="0071360A">
        <w:t>в</w:t>
      </w:r>
      <w:r>
        <w:t>ањ</w:t>
      </w:r>
      <w:r w:rsidR="00EE6AA2">
        <w:t>е</w:t>
      </w:r>
      <w:r>
        <w:t>м</w:t>
      </w:r>
      <w:r w:rsidR="00847B04" w:rsidRPr="00F6340E">
        <w:t xml:space="preserve"> </w:t>
      </w:r>
      <w:r>
        <w:t>њихо</w:t>
      </w:r>
      <w:r w:rsidR="0071360A">
        <w:t>в</w:t>
      </w:r>
      <w:r>
        <w:t>ог</w:t>
      </w:r>
      <w:r w:rsidR="00847B04" w:rsidRPr="00F6340E">
        <w:t xml:space="preserve"> </w:t>
      </w:r>
      <w:r w:rsidR="0071360A">
        <w:t>р</w:t>
      </w:r>
      <w:r>
        <w:t>ада</w:t>
      </w:r>
      <w:r w:rsidR="00847B04" w:rsidRPr="00F6340E">
        <w:t xml:space="preserve"> </w:t>
      </w:r>
      <w:r w:rsidR="0071360A">
        <w:t>т</w:t>
      </w:r>
      <w:r w:rsidR="00EE6AA2">
        <w:t>е</w:t>
      </w:r>
      <w:r w:rsidR="00847B04" w:rsidRPr="00F6340E">
        <w:t xml:space="preserve"> </w:t>
      </w:r>
      <w:r>
        <w:t>ј</w:t>
      </w:r>
      <w:r w:rsidR="00EE6AA2">
        <w:t>е</w:t>
      </w:r>
      <w:r w:rsidR="00E74448" w:rsidRPr="00F6340E">
        <w:t>,</w:t>
      </w:r>
      <w:r w:rsidR="00847B04" w:rsidRPr="00F6340E">
        <w:t xml:space="preserve"> </w:t>
      </w:r>
      <w:r>
        <w:t>као</w:t>
      </w:r>
      <w:r w:rsidR="00847B04" w:rsidRPr="00F6340E">
        <w:t xml:space="preserve"> </w:t>
      </w:r>
      <w:r w:rsidR="0071360A">
        <w:t>т</w:t>
      </w:r>
      <w:r>
        <w:t>ак</w:t>
      </w:r>
      <w:r w:rsidR="0071360A">
        <w:t>в</w:t>
      </w:r>
      <w:r>
        <w:t>о</w:t>
      </w:r>
      <w:r w:rsidR="00847B04" w:rsidRPr="00F6340E">
        <w:t xml:space="preserve">, </w:t>
      </w:r>
      <w:r w:rsidR="0071360A">
        <w:t>вр</w:t>
      </w:r>
      <w:r w:rsidR="00EE6AA2">
        <w:t>е</w:t>
      </w:r>
      <w:r>
        <w:t>дно</w:t>
      </w:r>
      <w:r w:rsidR="0071360A">
        <w:t>в</w:t>
      </w:r>
      <w:r>
        <w:t>ано</w:t>
      </w:r>
      <w:r w:rsidR="00E74448" w:rsidRPr="00F6340E">
        <w:t xml:space="preserve"> </w:t>
      </w:r>
      <w:r>
        <w:t>и</w:t>
      </w:r>
      <w:r w:rsidR="00847B04" w:rsidRPr="00F6340E">
        <w:t xml:space="preserve"> </w:t>
      </w:r>
      <w:r w:rsidR="0071360A">
        <w:t>с</w:t>
      </w:r>
      <w:r>
        <w:t>а</w:t>
      </w:r>
      <w:r w:rsidR="0071360A">
        <w:t>ст</w:t>
      </w:r>
      <w:r>
        <w:t>а</w:t>
      </w:r>
      <w:r w:rsidR="0071360A">
        <w:t>в</w:t>
      </w:r>
      <w:r>
        <w:t>ни</w:t>
      </w:r>
      <w:r w:rsidR="00847B04" w:rsidRPr="00F6340E">
        <w:t xml:space="preserve"> </w:t>
      </w:r>
      <w:r>
        <w:t>дио</w:t>
      </w:r>
      <w:r w:rsidR="00E74448" w:rsidRPr="00F6340E">
        <w:t xml:space="preserve"> </w:t>
      </w:r>
      <w:r>
        <w:t>њихо</w:t>
      </w:r>
      <w:r w:rsidR="0071360A">
        <w:t>в</w:t>
      </w:r>
      <w:r>
        <w:t>ог</w:t>
      </w:r>
      <w:r w:rsidR="00847B04" w:rsidRPr="00F6340E">
        <w:t xml:space="preserve"> </w:t>
      </w:r>
      <w:r w:rsidR="0071360A">
        <w:t>пр</w:t>
      </w:r>
      <w:r>
        <w:t>оф</w:t>
      </w:r>
      <w:r w:rsidR="00EE6AA2">
        <w:t>е</w:t>
      </w:r>
      <w:r w:rsidR="0071360A">
        <w:t>с</w:t>
      </w:r>
      <w:r>
        <w:t>ионалног</w:t>
      </w:r>
      <w:r w:rsidR="00847B04" w:rsidRPr="00F6340E">
        <w:t xml:space="preserve"> </w:t>
      </w:r>
      <w:r w:rsidR="0071360A">
        <w:t>р</w:t>
      </w:r>
      <w:r>
        <w:t>а</w:t>
      </w:r>
      <w:r w:rsidR="00171F00">
        <w:t>з</w:t>
      </w:r>
      <w:r w:rsidR="0071360A">
        <w:t>в</w:t>
      </w:r>
      <w:r>
        <w:t>оја</w:t>
      </w:r>
      <w:r w:rsidR="00847B04" w:rsidRPr="00F6340E">
        <w:t xml:space="preserve">. </w:t>
      </w:r>
    </w:p>
    <w:p w14:paraId="041A8C55" w14:textId="615B0BFB" w:rsidR="00847B04" w:rsidRPr="00F6340E" w:rsidRDefault="0071360A" w:rsidP="00D976C8">
      <w:pPr>
        <w:pStyle w:val="Body"/>
        <w:rPr>
          <w:rFonts w:eastAsia="Times New Roman"/>
        </w:rPr>
      </w:pPr>
      <w:r>
        <w:t>У</w:t>
      </w:r>
      <w:r w:rsidR="00847B04" w:rsidRPr="00F6340E">
        <w:t xml:space="preserve"> </w:t>
      </w:r>
      <w:r w:rsidR="00A56E08">
        <w:t>Бо</w:t>
      </w:r>
      <w:r>
        <w:t>с</w:t>
      </w:r>
      <w:r w:rsidR="00A56E08">
        <w:t>ни</w:t>
      </w:r>
      <w:r w:rsidR="00847B04" w:rsidRPr="00F6340E">
        <w:t xml:space="preserve"> </w:t>
      </w:r>
      <w:r w:rsidR="00A56E08">
        <w:t>и</w:t>
      </w:r>
      <w:r w:rsidR="00847B04" w:rsidRPr="00F6340E">
        <w:t xml:space="preserve"> </w:t>
      </w:r>
      <w:r w:rsidR="00A56E08">
        <w:t>Х</w:t>
      </w:r>
      <w:r w:rsidR="00EE6AA2">
        <w:t>е</w:t>
      </w:r>
      <w:r>
        <w:t>р</w:t>
      </w:r>
      <w:r w:rsidR="00A56E08">
        <w:t>ц</w:t>
      </w:r>
      <w:r w:rsidR="00EE6AA2">
        <w:t>е</w:t>
      </w:r>
      <w:r w:rsidR="00A56E08">
        <w:t>го</w:t>
      </w:r>
      <w:r>
        <w:t>в</w:t>
      </w:r>
      <w:r w:rsidR="00A56E08">
        <w:t>ини</w:t>
      </w:r>
      <w:r w:rsidR="00847B04" w:rsidRPr="00F6340E">
        <w:t xml:space="preserve"> </w:t>
      </w:r>
      <w:r>
        <w:t>вр</w:t>
      </w:r>
      <w:r w:rsidR="00EE6AA2">
        <w:t>е</w:t>
      </w:r>
      <w:r w:rsidR="00A56E08">
        <w:t>дно</w:t>
      </w:r>
      <w:r>
        <w:t>в</w:t>
      </w:r>
      <w:r w:rsidR="00A56E08">
        <w:t>ањ</w:t>
      </w:r>
      <w:r w:rsidR="00EE6AA2">
        <w:t>е</w:t>
      </w:r>
      <w:r w:rsidR="008133F5" w:rsidRPr="00F6340E">
        <w:t xml:space="preserve"> </w:t>
      </w:r>
      <w:r w:rsidR="00A56E08">
        <w:t>и</w:t>
      </w:r>
      <w:r w:rsidR="008133F5" w:rsidRPr="00F6340E">
        <w:t xml:space="preserve"> </w:t>
      </w:r>
      <w:r>
        <w:t>пр</w:t>
      </w:r>
      <w:r w:rsidR="00A56E08">
        <w:t>аћ</w:t>
      </w:r>
      <w:r w:rsidR="00EE6AA2">
        <w:t>е</w:t>
      </w:r>
      <w:r w:rsidR="00A56E08">
        <w:t>њ</w:t>
      </w:r>
      <w:r w:rsidR="00EE6AA2">
        <w:t>е</w:t>
      </w:r>
      <w:r w:rsidR="00847B04" w:rsidRPr="00F6340E">
        <w:t xml:space="preserve"> </w:t>
      </w:r>
      <w:r>
        <w:t>р</w:t>
      </w:r>
      <w:r w:rsidR="00A56E08">
        <w:t>ада</w:t>
      </w:r>
      <w:r w:rsidR="00847B04" w:rsidRPr="00F6340E">
        <w:t xml:space="preserve"> </w:t>
      </w:r>
      <w:r w:rsidR="00A56E08">
        <w:t>на</w:t>
      </w:r>
      <w:r>
        <w:t>ст</w:t>
      </w:r>
      <w:r w:rsidR="00A56E08">
        <w:t>а</w:t>
      </w:r>
      <w:r>
        <w:t>в</w:t>
      </w:r>
      <w:r w:rsidR="00A56E08">
        <w:t>ника</w:t>
      </w:r>
      <w:r w:rsidR="00847B04" w:rsidRPr="00F6340E">
        <w:t xml:space="preserve"> </w:t>
      </w:r>
      <w:r>
        <w:t>пр</w:t>
      </w:r>
      <w:r w:rsidR="00A56E08">
        <w:t>о</w:t>
      </w:r>
      <w:r>
        <w:t>в</w:t>
      </w:r>
      <w:r w:rsidR="00A56E08">
        <w:t>од</w:t>
      </w:r>
      <w:r w:rsidR="00EE6AA2">
        <w:t>е</w:t>
      </w:r>
      <w:r w:rsidR="00847B04" w:rsidRPr="00F6340E">
        <w:t xml:space="preserve"> </w:t>
      </w:r>
      <w:r w:rsidR="00A56E08">
        <w:t>надл</w:t>
      </w:r>
      <w:r w:rsidR="00EE6AA2">
        <w:t>е</w:t>
      </w:r>
      <w:r w:rsidR="00171F00">
        <w:t>ж</w:t>
      </w:r>
      <w:r w:rsidR="00A56E08">
        <w:t>н</w:t>
      </w:r>
      <w:r w:rsidR="00EE6AA2">
        <w:t>е</w:t>
      </w:r>
      <w:r w:rsidR="00593A8E" w:rsidRPr="00F6340E">
        <w:t xml:space="preserve"> </w:t>
      </w:r>
      <w:r w:rsidR="00A56E08">
        <w:t>об</w:t>
      </w:r>
      <w:r>
        <w:t>р</w:t>
      </w:r>
      <w:r w:rsidR="00A56E08">
        <w:t>а</w:t>
      </w:r>
      <w:r w:rsidR="00171F00">
        <w:t>з</w:t>
      </w:r>
      <w:r w:rsidR="00A56E08">
        <w:t>о</w:t>
      </w:r>
      <w:r>
        <w:t>в</w:t>
      </w:r>
      <w:r w:rsidR="00A56E08">
        <w:t>н</w:t>
      </w:r>
      <w:r w:rsidR="00EE6AA2">
        <w:t>е</w:t>
      </w:r>
      <w:r w:rsidR="00847B04" w:rsidRPr="00F6340E">
        <w:t xml:space="preserve"> </w:t>
      </w:r>
      <w:r>
        <w:t>в</w:t>
      </w:r>
      <w:r w:rsidR="00A56E08">
        <w:t>ла</w:t>
      </w:r>
      <w:r>
        <w:t>ст</w:t>
      </w:r>
      <w:r w:rsidR="00A56E08">
        <w:t>и</w:t>
      </w:r>
      <w:r w:rsidR="00847B04" w:rsidRPr="00F6340E">
        <w:t xml:space="preserve">. </w:t>
      </w:r>
      <w:r w:rsidR="00A56E08">
        <w:t>М</w:t>
      </w:r>
      <w:r w:rsidR="00EE6AA2">
        <w:t>е</w:t>
      </w:r>
      <w:r w:rsidR="00A56E08">
        <w:t>ђ</w:t>
      </w:r>
      <w:r>
        <w:t>ут</w:t>
      </w:r>
      <w:r w:rsidR="00A56E08">
        <w:t>им</w:t>
      </w:r>
      <w:r w:rsidR="00847B04" w:rsidRPr="00F6340E">
        <w:t xml:space="preserve">, </w:t>
      </w:r>
      <w:r>
        <w:t>пр</w:t>
      </w:r>
      <w:r w:rsidR="00A56E08">
        <w:t>имј</w:t>
      </w:r>
      <w:r w:rsidR="00EE6AA2">
        <w:t>е</w:t>
      </w:r>
      <w:r>
        <w:t>т</w:t>
      </w:r>
      <w:r w:rsidR="00A56E08">
        <w:t>но</w:t>
      </w:r>
      <w:r w:rsidR="00847B04" w:rsidRPr="00F6340E">
        <w:t xml:space="preserve"> </w:t>
      </w:r>
      <w:r w:rsidR="00A56E08">
        <w:t>ј</w:t>
      </w:r>
      <w:r w:rsidR="00EE6AA2">
        <w:t>е</w:t>
      </w:r>
      <w:r w:rsidR="00847B04" w:rsidRPr="00F6340E">
        <w:t xml:space="preserve"> </w:t>
      </w:r>
      <w:r w:rsidR="00A56E08">
        <w:t>да</w:t>
      </w:r>
      <w:r w:rsidR="00847B04" w:rsidRPr="00F6340E">
        <w:t xml:space="preserve"> </w:t>
      </w:r>
      <w:r>
        <w:t>с</w:t>
      </w:r>
      <w:r w:rsidR="00EE6AA2">
        <w:t>е</w:t>
      </w:r>
      <w:r w:rsidR="00847B04" w:rsidRPr="00F6340E">
        <w:t xml:space="preserve"> </w:t>
      </w:r>
      <w:r>
        <w:t>р</w:t>
      </w:r>
      <w:r w:rsidR="00EE6AA2">
        <w:t>е</w:t>
      </w:r>
      <w:r w:rsidR="00A56E08">
        <w:t>до</w:t>
      </w:r>
      <w:r>
        <w:t>в</w:t>
      </w:r>
      <w:r w:rsidR="00A56E08">
        <w:t>но</w:t>
      </w:r>
      <w:r w:rsidR="00847B04" w:rsidRPr="00F6340E">
        <w:t xml:space="preserve"> </w:t>
      </w:r>
      <w:r>
        <w:t>вр</w:t>
      </w:r>
      <w:r w:rsidR="00EE6AA2">
        <w:t>е</w:t>
      </w:r>
      <w:r w:rsidR="00A56E08">
        <w:t>дно</w:t>
      </w:r>
      <w:r>
        <w:t>в</w:t>
      </w:r>
      <w:r w:rsidR="00A56E08">
        <w:t>ањ</w:t>
      </w:r>
      <w:r w:rsidR="00EE6AA2">
        <w:t>е</w:t>
      </w:r>
      <w:r w:rsidR="00847B04" w:rsidRPr="00F6340E">
        <w:t xml:space="preserve"> </w:t>
      </w:r>
      <w:r>
        <w:t>врш</w:t>
      </w:r>
      <w:r w:rsidR="00A56E08">
        <w:t>и</w:t>
      </w:r>
      <w:r w:rsidR="00847B04" w:rsidRPr="00F6340E">
        <w:t xml:space="preserve"> </w:t>
      </w:r>
      <w:r>
        <w:t>у</w:t>
      </w:r>
      <w:r w:rsidR="00A56E08">
        <w:t>гла</w:t>
      </w:r>
      <w:r>
        <w:t>в</w:t>
      </w:r>
      <w:r w:rsidR="00A56E08">
        <w:t>ном</w:t>
      </w:r>
      <w:r w:rsidR="00847B04" w:rsidRPr="00F6340E">
        <w:t xml:space="preserve"> </w:t>
      </w:r>
      <w:r>
        <w:t>с</w:t>
      </w:r>
      <w:r w:rsidR="00A56E08">
        <w:t>а</w:t>
      </w:r>
      <w:r w:rsidR="00847B04" w:rsidRPr="00F6340E">
        <w:t xml:space="preserve"> </w:t>
      </w:r>
      <w:r w:rsidR="00A56E08">
        <w:t>циљ</w:t>
      </w:r>
      <w:r w:rsidR="00EE6AA2">
        <w:t>е</w:t>
      </w:r>
      <w:r w:rsidR="00A56E08">
        <w:t>м</w:t>
      </w:r>
      <w:r w:rsidR="00847B04" w:rsidRPr="00F6340E">
        <w:t xml:space="preserve"> </w:t>
      </w:r>
      <w:r w:rsidR="00A56E08">
        <w:t>на</w:t>
      </w:r>
      <w:r>
        <w:t>пр</w:t>
      </w:r>
      <w:r w:rsidR="00EE6AA2">
        <w:t>е</w:t>
      </w:r>
      <w:r w:rsidR="00A56E08">
        <w:t>до</w:t>
      </w:r>
      <w:r>
        <w:t>в</w:t>
      </w:r>
      <w:r w:rsidR="00A56E08">
        <w:t>ања</w:t>
      </w:r>
      <w:r w:rsidR="00847B04" w:rsidRPr="00F6340E">
        <w:t xml:space="preserve"> </w:t>
      </w:r>
      <w:r>
        <w:t>у</w:t>
      </w:r>
      <w:r w:rsidR="00847B04" w:rsidRPr="00F6340E">
        <w:t xml:space="preserve"> </w:t>
      </w:r>
      <w:r w:rsidR="00A56E08">
        <w:t>ка</w:t>
      </w:r>
      <w:r>
        <w:t>р</w:t>
      </w:r>
      <w:r w:rsidR="00A56E08">
        <w:t>иј</w:t>
      </w:r>
      <w:r w:rsidR="00EE6AA2">
        <w:t>е</w:t>
      </w:r>
      <w:r>
        <w:t>р</w:t>
      </w:r>
      <w:r w:rsidR="00A56E08">
        <w:t>и</w:t>
      </w:r>
      <w:r w:rsidR="00847B04" w:rsidRPr="00F6340E">
        <w:t xml:space="preserve"> </w:t>
      </w:r>
      <w:r w:rsidR="00171F00">
        <w:t>з</w:t>
      </w:r>
      <w:r w:rsidR="00A56E08">
        <w:t>а</w:t>
      </w:r>
      <w:r w:rsidR="00847B04" w:rsidRPr="00F6340E">
        <w:t xml:space="preserve"> </w:t>
      </w:r>
      <w:r>
        <w:t>р</w:t>
      </w:r>
      <w:r w:rsidR="00A56E08">
        <w:t>а</w:t>
      </w:r>
      <w:r w:rsidR="00171F00">
        <w:t>з</w:t>
      </w:r>
      <w:r w:rsidR="00A56E08">
        <w:t>лик</w:t>
      </w:r>
      <w:r>
        <w:t>у</w:t>
      </w:r>
      <w:r w:rsidR="00847B04" w:rsidRPr="00F6340E">
        <w:t xml:space="preserve"> </w:t>
      </w:r>
      <w:r w:rsidR="00A56E08">
        <w:t>од</w:t>
      </w:r>
      <w:r w:rsidR="00847B04" w:rsidRPr="00F6340E">
        <w:t xml:space="preserve"> </w:t>
      </w:r>
      <w:r w:rsidR="00171F00">
        <w:rPr>
          <w:rFonts w:eastAsia="Times New Roman"/>
        </w:rPr>
        <w:t>з</w:t>
      </w:r>
      <w:r w:rsidR="00EE6AA2">
        <w:rPr>
          <w:rFonts w:eastAsia="Times New Roman"/>
        </w:rPr>
        <w:t>е</w:t>
      </w:r>
      <w:r w:rsidR="00A56E08">
        <w:rPr>
          <w:rFonts w:eastAsia="Times New Roman"/>
        </w:rPr>
        <w:t>маља</w:t>
      </w:r>
      <w:r w:rsidR="00847B04" w:rsidRPr="00F6340E">
        <w:rPr>
          <w:rFonts w:eastAsia="Times New Roman"/>
        </w:rPr>
        <w:t xml:space="preserve"> </w:t>
      </w:r>
      <w:r w:rsidR="00A56E08">
        <w:rPr>
          <w:rFonts w:eastAsia="Times New Roman"/>
        </w:rPr>
        <w:t>О</w:t>
      </w:r>
      <w:r w:rsidR="00EE6AA2">
        <w:rPr>
          <w:rFonts w:eastAsia="Times New Roman"/>
        </w:rPr>
        <w:t>Е</w:t>
      </w:r>
      <w:r w:rsidR="00A56E08">
        <w:rPr>
          <w:rFonts w:eastAsia="Times New Roman"/>
        </w:rPr>
        <w:t>ЦД</w:t>
      </w:r>
      <w:r w:rsidR="00847B04" w:rsidRPr="00F6340E">
        <w:rPr>
          <w:rFonts w:eastAsia="Times New Roman"/>
        </w:rPr>
        <w:t>-</w:t>
      </w:r>
      <w:r w:rsidR="00A56E08">
        <w:rPr>
          <w:rFonts w:eastAsia="Times New Roman"/>
        </w:rPr>
        <w:t>а</w:t>
      </w:r>
      <w:r w:rsidR="00847B04" w:rsidRPr="00F6340E">
        <w:rPr>
          <w:rFonts w:eastAsia="Times New Roman"/>
        </w:rPr>
        <w:t xml:space="preserve"> </w:t>
      </w:r>
      <w:r w:rsidR="00A56E08">
        <w:rPr>
          <w:rFonts w:eastAsia="Times New Roman"/>
        </w:rPr>
        <w:t>кој</w:t>
      </w:r>
      <w:r w:rsidR="00EE6AA2">
        <w:rPr>
          <w:rFonts w:eastAsia="Times New Roman"/>
        </w:rPr>
        <w:t>е</w:t>
      </w:r>
      <w:r w:rsidR="00847B04" w:rsidRPr="00F6340E">
        <w:rPr>
          <w:rFonts w:eastAsia="Times New Roman"/>
        </w:rPr>
        <w:t xml:space="preserve"> </w:t>
      </w:r>
      <w:r w:rsidR="00A56E08">
        <w:rPr>
          <w:rFonts w:eastAsia="Times New Roman"/>
        </w:rPr>
        <w:t>ко</w:t>
      </w:r>
      <w:r>
        <w:rPr>
          <w:rFonts w:eastAsia="Times New Roman"/>
        </w:rPr>
        <w:t>р</w:t>
      </w:r>
      <w:r w:rsidR="00A56E08">
        <w:rPr>
          <w:rFonts w:eastAsia="Times New Roman"/>
        </w:rPr>
        <w:t>и</w:t>
      </w:r>
      <w:r>
        <w:rPr>
          <w:rFonts w:eastAsia="Times New Roman"/>
        </w:rPr>
        <w:t>ст</w:t>
      </w:r>
      <w:r w:rsidR="00EE6AA2">
        <w:rPr>
          <w:rFonts w:eastAsia="Times New Roman"/>
        </w:rPr>
        <w:t>е</w:t>
      </w:r>
      <w:r w:rsidR="00847B04" w:rsidRPr="00F6340E">
        <w:rPr>
          <w:rFonts w:eastAsia="Times New Roman"/>
        </w:rPr>
        <w:t xml:space="preserve"> </w:t>
      </w:r>
      <w:r>
        <w:rPr>
          <w:rFonts w:eastAsia="Times New Roman"/>
        </w:rPr>
        <w:t>р</w:t>
      </w:r>
      <w:r w:rsidR="00EE6AA2">
        <w:rPr>
          <w:rFonts w:eastAsia="Times New Roman"/>
        </w:rPr>
        <w:t>е</w:t>
      </w:r>
      <w:r w:rsidR="00A56E08">
        <w:rPr>
          <w:rFonts w:eastAsia="Times New Roman"/>
        </w:rPr>
        <w:t>до</w:t>
      </w:r>
      <w:r>
        <w:rPr>
          <w:rFonts w:eastAsia="Times New Roman"/>
        </w:rPr>
        <w:t>в</w:t>
      </w:r>
      <w:r w:rsidR="00A56E08">
        <w:rPr>
          <w:rFonts w:eastAsia="Times New Roman"/>
        </w:rPr>
        <w:t>но</w:t>
      </w:r>
      <w:r w:rsidR="00847B04" w:rsidRPr="00F6340E">
        <w:rPr>
          <w:rFonts w:eastAsia="Times New Roman"/>
        </w:rPr>
        <w:t xml:space="preserve"> </w:t>
      </w:r>
      <w:r w:rsidR="00A56E08">
        <w:rPr>
          <w:rFonts w:eastAsia="Times New Roman"/>
        </w:rPr>
        <w:t>фо</w:t>
      </w:r>
      <w:r>
        <w:rPr>
          <w:rFonts w:eastAsia="Times New Roman"/>
        </w:rPr>
        <w:t>р</w:t>
      </w:r>
      <w:r w:rsidR="00A56E08">
        <w:rPr>
          <w:rFonts w:eastAsia="Times New Roman"/>
        </w:rPr>
        <w:t>ма</w:t>
      </w:r>
      <w:r>
        <w:rPr>
          <w:rFonts w:eastAsia="Times New Roman"/>
        </w:rPr>
        <w:t>т</w:t>
      </w:r>
      <w:r w:rsidR="00A56E08">
        <w:rPr>
          <w:rFonts w:eastAsia="Times New Roman"/>
        </w:rPr>
        <w:t>и</w:t>
      </w:r>
      <w:r>
        <w:rPr>
          <w:rFonts w:eastAsia="Times New Roman"/>
        </w:rPr>
        <w:t>в</w:t>
      </w:r>
      <w:r w:rsidR="00A56E08">
        <w:rPr>
          <w:rFonts w:eastAsia="Times New Roman"/>
        </w:rPr>
        <w:t>но</w:t>
      </w:r>
      <w:r w:rsidR="00847B04" w:rsidRPr="00F6340E">
        <w:rPr>
          <w:rFonts w:eastAsia="Times New Roman"/>
        </w:rPr>
        <w:t xml:space="preserve"> </w:t>
      </w:r>
      <w:r>
        <w:rPr>
          <w:rFonts w:eastAsia="Times New Roman"/>
        </w:rPr>
        <w:t>вр</w:t>
      </w:r>
      <w:r w:rsidR="00EE6AA2">
        <w:rPr>
          <w:rFonts w:eastAsia="Times New Roman"/>
        </w:rPr>
        <w:t>е</w:t>
      </w:r>
      <w:r w:rsidR="00A56E08">
        <w:rPr>
          <w:rFonts w:eastAsia="Times New Roman"/>
        </w:rPr>
        <w:t>дно</w:t>
      </w:r>
      <w:r>
        <w:rPr>
          <w:rFonts w:eastAsia="Times New Roman"/>
        </w:rPr>
        <w:t>в</w:t>
      </w:r>
      <w:r w:rsidR="00A56E08">
        <w:rPr>
          <w:rFonts w:eastAsia="Times New Roman"/>
        </w:rPr>
        <w:t>ањ</w:t>
      </w:r>
      <w:r w:rsidR="00EE6AA2">
        <w:rPr>
          <w:rFonts w:eastAsia="Times New Roman"/>
        </w:rPr>
        <w:t>е</w:t>
      </w:r>
      <w:r w:rsidR="00847B04" w:rsidRPr="00F6340E">
        <w:rPr>
          <w:rFonts w:eastAsia="Times New Roman"/>
        </w:rPr>
        <w:t xml:space="preserve"> </w:t>
      </w:r>
      <w:r w:rsidR="00A56E08">
        <w:rPr>
          <w:rFonts w:eastAsia="Times New Roman"/>
        </w:rPr>
        <w:t>како</w:t>
      </w:r>
      <w:r w:rsidR="00847B04" w:rsidRPr="00F6340E">
        <w:rPr>
          <w:rFonts w:eastAsia="Times New Roman"/>
        </w:rPr>
        <w:t xml:space="preserve"> </w:t>
      </w:r>
      <w:r w:rsidR="00A56E08">
        <w:rPr>
          <w:rFonts w:eastAsia="Times New Roman"/>
        </w:rPr>
        <w:t>би</w:t>
      </w:r>
      <w:r w:rsidR="00847B04" w:rsidRPr="00F6340E">
        <w:rPr>
          <w:rFonts w:eastAsia="Times New Roman"/>
        </w:rPr>
        <w:t xml:space="preserve"> </w:t>
      </w:r>
      <w:r w:rsidR="00A56E08">
        <w:rPr>
          <w:rFonts w:eastAsia="Times New Roman"/>
        </w:rPr>
        <w:t>на</w:t>
      </w:r>
      <w:r>
        <w:rPr>
          <w:rFonts w:eastAsia="Times New Roman"/>
        </w:rPr>
        <w:t>ст</w:t>
      </w:r>
      <w:r w:rsidR="00A56E08">
        <w:rPr>
          <w:rFonts w:eastAsia="Times New Roman"/>
        </w:rPr>
        <w:t>а</w:t>
      </w:r>
      <w:r>
        <w:rPr>
          <w:rFonts w:eastAsia="Times New Roman"/>
        </w:rPr>
        <w:t>в</w:t>
      </w:r>
      <w:r w:rsidR="00A56E08">
        <w:rPr>
          <w:rFonts w:eastAsia="Times New Roman"/>
        </w:rPr>
        <w:t>ницима</w:t>
      </w:r>
      <w:r w:rsidR="00847B04" w:rsidRPr="00F6340E">
        <w:rPr>
          <w:rFonts w:eastAsia="Times New Roman"/>
        </w:rPr>
        <w:t xml:space="preserve"> </w:t>
      </w:r>
      <w:r w:rsidR="00A56E08">
        <w:rPr>
          <w:rFonts w:eastAsia="Times New Roman"/>
        </w:rPr>
        <w:t>бил</w:t>
      </w:r>
      <w:r w:rsidR="00EE6AA2">
        <w:rPr>
          <w:rFonts w:eastAsia="Times New Roman"/>
        </w:rPr>
        <w:t>е</w:t>
      </w:r>
      <w:r w:rsidR="00847B04" w:rsidRPr="00F6340E">
        <w:rPr>
          <w:rFonts w:eastAsia="Times New Roman"/>
        </w:rPr>
        <w:t xml:space="preserve"> </w:t>
      </w:r>
      <w:r>
        <w:rPr>
          <w:rFonts w:eastAsia="Times New Roman"/>
        </w:rPr>
        <w:t>пру</w:t>
      </w:r>
      <w:r w:rsidR="00171F00">
        <w:rPr>
          <w:rFonts w:eastAsia="Times New Roman"/>
        </w:rPr>
        <w:t>ж</w:t>
      </w:r>
      <w:r w:rsidR="00EE6AA2">
        <w:rPr>
          <w:rFonts w:eastAsia="Times New Roman"/>
        </w:rPr>
        <w:t>е</w:t>
      </w:r>
      <w:r w:rsidR="00A56E08">
        <w:rPr>
          <w:rFonts w:eastAsia="Times New Roman"/>
        </w:rPr>
        <w:t>н</w:t>
      </w:r>
      <w:r w:rsidR="00EE6AA2">
        <w:rPr>
          <w:rFonts w:eastAsia="Times New Roman"/>
        </w:rPr>
        <w:t>е</w:t>
      </w:r>
      <w:r w:rsidR="00847B04" w:rsidRPr="00F6340E">
        <w:rPr>
          <w:rFonts w:eastAsia="Times New Roman"/>
        </w:rPr>
        <w:t xml:space="preserve"> </w:t>
      </w:r>
      <w:r w:rsidR="00A56E08">
        <w:rPr>
          <w:rFonts w:eastAsia="Times New Roman"/>
        </w:rPr>
        <w:t>би</w:t>
      </w:r>
      <w:r>
        <w:rPr>
          <w:rFonts w:eastAsia="Times New Roman"/>
        </w:rPr>
        <w:t>т</w:t>
      </w:r>
      <w:r w:rsidR="00A56E08">
        <w:rPr>
          <w:rFonts w:eastAsia="Times New Roman"/>
        </w:rPr>
        <w:t>н</w:t>
      </w:r>
      <w:r w:rsidR="00EE6AA2">
        <w:rPr>
          <w:rFonts w:eastAsia="Times New Roman"/>
        </w:rPr>
        <w:t>е</w:t>
      </w:r>
      <w:r w:rsidR="00847B04" w:rsidRPr="00F6340E">
        <w:rPr>
          <w:rFonts w:eastAsia="Times New Roman"/>
        </w:rPr>
        <w:t xml:space="preserve"> </w:t>
      </w:r>
      <w:r>
        <w:rPr>
          <w:rFonts w:eastAsia="Times New Roman"/>
        </w:rPr>
        <w:t>п</w:t>
      </w:r>
      <w:r w:rsidR="00A56E08">
        <w:rPr>
          <w:rFonts w:eastAsia="Times New Roman"/>
        </w:rPr>
        <w:t>о</w:t>
      </w:r>
      <w:r>
        <w:rPr>
          <w:rFonts w:eastAsia="Times New Roman"/>
        </w:rPr>
        <w:t>вр</w:t>
      </w:r>
      <w:r w:rsidR="00A56E08">
        <w:rPr>
          <w:rFonts w:eastAsia="Times New Roman"/>
        </w:rPr>
        <w:t>а</w:t>
      </w:r>
      <w:r>
        <w:rPr>
          <w:rFonts w:eastAsia="Times New Roman"/>
        </w:rPr>
        <w:t>т</w:t>
      </w:r>
      <w:r w:rsidR="00A56E08">
        <w:rPr>
          <w:rFonts w:eastAsia="Times New Roman"/>
        </w:rPr>
        <w:t>н</w:t>
      </w:r>
      <w:r w:rsidR="00EE6AA2">
        <w:rPr>
          <w:rFonts w:eastAsia="Times New Roman"/>
        </w:rPr>
        <w:t>е</w:t>
      </w:r>
      <w:r w:rsidR="00847B04" w:rsidRPr="00F6340E">
        <w:rPr>
          <w:rFonts w:eastAsia="Times New Roman"/>
        </w:rPr>
        <w:t xml:space="preserve"> </w:t>
      </w:r>
      <w:r w:rsidR="00A56E08">
        <w:rPr>
          <w:rFonts w:eastAsia="Times New Roman"/>
        </w:rPr>
        <w:t>инфо</w:t>
      </w:r>
      <w:r>
        <w:rPr>
          <w:rFonts w:eastAsia="Times New Roman"/>
        </w:rPr>
        <w:t>р</w:t>
      </w:r>
      <w:r w:rsidR="00A56E08">
        <w:rPr>
          <w:rFonts w:eastAsia="Times New Roman"/>
        </w:rPr>
        <w:t>мациј</w:t>
      </w:r>
      <w:r w:rsidR="00EE6AA2">
        <w:rPr>
          <w:rFonts w:eastAsia="Times New Roman"/>
        </w:rPr>
        <w:t>е</w:t>
      </w:r>
      <w:r w:rsidR="00847B04" w:rsidRPr="00F6340E">
        <w:rPr>
          <w:rFonts w:eastAsia="Times New Roman"/>
        </w:rPr>
        <w:t xml:space="preserve"> </w:t>
      </w:r>
      <w:r w:rsidR="00A56E08">
        <w:rPr>
          <w:rFonts w:eastAsia="Times New Roman"/>
        </w:rPr>
        <w:t>о</w:t>
      </w:r>
      <w:r w:rsidR="00847B04" w:rsidRPr="00F6340E">
        <w:rPr>
          <w:rFonts w:eastAsia="Times New Roman"/>
        </w:rPr>
        <w:t xml:space="preserve"> </w:t>
      </w:r>
      <w:r w:rsidR="00A56E08">
        <w:rPr>
          <w:rFonts w:eastAsia="Times New Roman"/>
        </w:rPr>
        <w:t>ком</w:t>
      </w:r>
      <w:r>
        <w:rPr>
          <w:rFonts w:eastAsia="Times New Roman"/>
        </w:rPr>
        <w:t>п</w:t>
      </w:r>
      <w:r w:rsidR="00EE6AA2">
        <w:rPr>
          <w:rFonts w:eastAsia="Times New Roman"/>
        </w:rPr>
        <w:t>е</w:t>
      </w:r>
      <w:r>
        <w:rPr>
          <w:rFonts w:eastAsia="Times New Roman"/>
        </w:rPr>
        <w:t>т</w:t>
      </w:r>
      <w:r w:rsidR="00EE6AA2">
        <w:rPr>
          <w:rFonts w:eastAsia="Times New Roman"/>
        </w:rPr>
        <w:t>е</w:t>
      </w:r>
      <w:r w:rsidR="00A56E08">
        <w:rPr>
          <w:rFonts w:eastAsia="Times New Roman"/>
        </w:rPr>
        <w:t>нцијама</w:t>
      </w:r>
      <w:r w:rsidR="00847B04" w:rsidRPr="00F6340E">
        <w:rPr>
          <w:rFonts w:eastAsia="Times New Roman"/>
        </w:rPr>
        <w:t xml:space="preserve"> </w:t>
      </w:r>
      <w:r w:rsidR="00A56E08">
        <w:rPr>
          <w:rFonts w:eastAsia="Times New Roman"/>
        </w:rPr>
        <w:t>кој</w:t>
      </w:r>
      <w:r w:rsidR="00EE6AA2">
        <w:rPr>
          <w:rFonts w:eastAsia="Times New Roman"/>
        </w:rPr>
        <w:t>е</w:t>
      </w:r>
      <w:r w:rsidR="00847B04" w:rsidRPr="00F6340E">
        <w:rPr>
          <w:rFonts w:eastAsia="Times New Roman"/>
        </w:rPr>
        <w:t xml:space="preserve"> </w:t>
      </w:r>
      <w:r>
        <w:rPr>
          <w:rFonts w:eastAsia="Times New Roman"/>
        </w:rPr>
        <w:t>су</w:t>
      </w:r>
      <w:r w:rsidR="00847B04" w:rsidRPr="00F6340E">
        <w:rPr>
          <w:rFonts w:eastAsia="Times New Roman"/>
        </w:rPr>
        <w:t xml:space="preserve"> </w:t>
      </w:r>
      <w:r>
        <w:rPr>
          <w:rFonts w:eastAsia="Times New Roman"/>
        </w:rPr>
        <w:t>ст</w:t>
      </w:r>
      <w:r w:rsidR="00EE6AA2">
        <w:rPr>
          <w:rFonts w:eastAsia="Times New Roman"/>
        </w:rPr>
        <w:t>е</w:t>
      </w:r>
      <w:r w:rsidR="00A56E08">
        <w:rPr>
          <w:rFonts w:eastAsia="Times New Roman"/>
        </w:rPr>
        <w:t>кли</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sidR="00A56E08">
        <w:rPr>
          <w:rFonts w:eastAsia="Times New Roman"/>
        </w:rPr>
        <w:t>онима</w:t>
      </w:r>
      <w:r w:rsidR="00847B04" w:rsidRPr="00F6340E">
        <w:rPr>
          <w:rFonts w:eastAsia="Times New Roman"/>
        </w:rPr>
        <w:t xml:space="preserve"> </w:t>
      </w:r>
      <w:r w:rsidR="00A56E08">
        <w:rPr>
          <w:rFonts w:eastAsia="Times New Roman"/>
        </w:rPr>
        <w:t>кој</w:t>
      </w:r>
      <w:r w:rsidR="00EE6AA2">
        <w:rPr>
          <w:rFonts w:eastAsia="Times New Roman"/>
        </w:rPr>
        <w:t>е</w:t>
      </w:r>
      <w:r w:rsidR="00847B04" w:rsidRPr="00F6340E">
        <w:rPr>
          <w:rFonts w:eastAsia="Times New Roman"/>
        </w:rPr>
        <w:t xml:space="preserve"> </w:t>
      </w:r>
      <w:r>
        <w:rPr>
          <w:rFonts w:eastAsia="Times New Roman"/>
        </w:rPr>
        <w:t>тр</w:t>
      </w:r>
      <w:r w:rsidR="00EE6AA2">
        <w:rPr>
          <w:rFonts w:eastAsia="Times New Roman"/>
        </w:rPr>
        <w:t>е</w:t>
      </w:r>
      <w:r w:rsidR="00A56E08">
        <w:rPr>
          <w:rFonts w:eastAsia="Times New Roman"/>
        </w:rPr>
        <w:t>бај</w:t>
      </w:r>
      <w:r>
        <w:rPr>
          <w:rFonts w:eastAsia="Times New Roman"/>
        </w:rPr>
        <w:t>у</w:t>
      </w:r>
      <w:r w:rsidR="008C29E8" w:rsidRPr="00F6340E">
        <w:rPr>
          <w:rFonts w:eastAsia="Times New Roman"/>
        </w:rPr>
        <w:t xml:space="preserve"> </w:t>
      </w:r>
      <w:r w:rsidR="00A56E08">
        <w:rPr>
          <w:rFonts w:eastAsia="Times New Roman"/>
        </w:rPr>
        <w:t>даљ</w:t>
      </w:r>
      <w:r w:rsidR="00EE6AA2">
        <w:rPr>
          <w:rFonts w:eastAsia="Times New Roman"/>
        </w:rPr>
        <w:t>е</w:t>
      </w:r>
      <w:r w:rsidR="008C29E8" w:rsidRPr="00F6340E">
        <w:rPr>
          <w:rFonts w:eastAsia="Times New Roman"/>
        </w:rPr>
        <w:t xml:space="preserve"> </w:t>
      </w:r>
      <w:r>
        <w:rPr>
          <w:rFonts w:eastAsia="Times New Roman"/>
        </w:rPr>
        <w:t>р</w:t>
      </w:r>
      <w:r w:rsidR="00A56E08">
        <w:rPr>
          <w:rFonts w:eastAsia="Times New Roman"/>
        </w:rPr>
        <w:t>а</w:t>
      </w:r>
      <w:r w:rsidR="00171F00">
        <w:rPr>
          <w:rFonts w:eastAsia="Times New Roman"/>
        </w:rPr>
        <w:t>з</w:t>
      </w:r>
      <w:r>
        <w:rPr>
          <w:rFonts w:eastAsia="Times New Roman"/>
        </w:rPr>
        <w:t>в</w:t>
      </w:r>
      <w:r w:rsidR="00A56E08">
        <w:rPr>
          <w:rFonts w:eastAsia="Times New Roman"/>
        </w:rPr>
        <w:t>ија</w:t>
      </w:r>
      <w:r>
        <w:rPr>
          <w:rFonts w:eastAsia="Times New Roman"/>
        </w:rPr>
        <w:t>т</w:t>
      </w:r>
      <w:r w:rsidR="00A56E08">
        <w:rPr>
          <w:rFonts w:eastAsia="Times New Roman"/>
        </w:rPr>
        <w:t>и</w:t>
      </w:r>
      <w:r w:rsidR="00847B04" w:rsidRPr="00F6340E">
        <w:rPr>
          <w:rFonts w:eastAsia="Times New Roman"/>
        </w:rPr>
        <w:t xml:space="preserve">. </w:t>
      </w:r>
      <w:r>
        <w:rPr>
          <w:rFonts w:eastAsia="Times New Roman"/>
        </w:rPr>
        <w:t>Т</w:t>
      </w:r>
      <w:r w:rsidR="00A56E08">
        <w:rPr>
          <w:rFonts w:eastAsia="Times New Roman"/>
        </w:rPr>
        <w:t>ака</w:t>
      </w:r>
      <w:r>
        <w:rPr>
          <w:rFonts w:eastAsia="Times New Roman"/>
        </w:rPr>
        <w:t>в</w:t>
      </w:r>
      <w:r w:rsidR="00847B04" w:rsidRPr="00F6340E">
        <w:rPr>
          <w:rFonts w:eastAsia="Times New Roman"/>
        </w:rPr>
        <w:t xml:space="preserve"> </w:t>
      </w:r>
      <w:r>
        <w:rPr>
          <w:rFonts w:eastAsia="Times New Roman"/>
        </w:rPr>
        <w:t>пр</w:t>
      </w:r>
      <w:r w:rsidR="00A56E08">
        <w:rPr>
          <w:rFonts w:eastAsia="Times New Roman"/>
        </w:rPr>
        <w:t>и</w:t>
      </w:r>
      <w:r>
        <w:rPr>
          <w:rFonts w:eastAsia="Times New Roman"/>
        </w:rPr>
        <w:t>ступ</w:t>
      </w:r>
      <w:r w:rsidR="00847B04" w:rsidRPr="00F6340E">
        <w:rPr>
          <w:rFonts w:eastAsia="Times New Roman"/>
        </w:rPr>
        <w:t xml:space="preserve"> </w:t>
      </w:r>
      <w:r w:rsidR="00A56E08">
        <w:rPr>
          <w:rFonts w:eastAsia="Times New Roman"/>
        </w:rPr>
        <w:t>на</w:t>
      </w:r>
      <w:r>
        <w:rPr>
          <w:rFonts w:eastAsia="Times New Roman"/>
        </w:rPr>
        <w:t>ст</w:t>
      </w:r>
      <w:r w:rsidR="00A56E08">
        <w:rPr>
          <w:rFonts w:eastAsia="Times New Roman"/>
        </w:rPr>
        <w:t>а</w:t>
      </w:r>
      <w:r>
        <w:rPr>
          <w:rFonts w:eastAsia="Times New Roman"/>
        </w:rPr>
        <w:t>в</w:t>
      </w:r>
      <w:r w:rsidR="00A56E08">
        <w:rPr>
          <w:rFonts w:eastAsia="Times New Roman"/>
        </w:rPr>
        <w:t>ницима</w:t>
      </w:r>
      <w:r w:rsidR="00847B04" w:rsidRPr="00F6340E">
        <w:rPr>
          <w:rFonts w:eastAsia="Times New Roman"/>
        </w:rPr>
        <w:t xml:space="preserve"> </w:t>
      </w:r>
      <w:r w:rsidR="00A56E08">
        <w:rPr>
          <w:rFonts w:eastAsia="Times New Roman"/>
        </w:rPr>
        <w:t>омог</w:t>
      </w:r>
      <w:r>
        <w:rPr>
          <w:rFonts w:eastAsia="Times New Roman"/>
        </w:rPr>
        <w:t>у</w:t>
      </w:r>
      <w:r w:rsidR="00A56E08">
        <w:rPr>
          <w:rFonts w:eastAsia="Times New Roman"/>
        </w:rPr>
        <w:t>ћа</w:t>
      </w:r>
      <w:r>
        <w:rPr>
          <w:rFonts w:eastAsia="Times New Roman"/>
        </w:rPr>
        <w:t>в</w:t>
      </w:r>
      <w:r w:rsidR="00A56E08">
        <w:rPr>
          <w:rFonts w:eastAsia="Times New Roman"/>
        </w:rPr>
        <w:t>а</w:t>
      </w:r>
      <w:r w:rsidR="00847B04" w:rsidRPr="00F6340E">
        <w:rPr>
          <w:rFonts w:eastAsia="Times New Roman"/>
        </w:rPr>
        <w:t xml:space="preserve"> </w:t>
      </w:r>
      <w:r w:rsidR="00A56E08">
        <w:rPr>
          <w:rFonts w:eastAsia="Times New Roman"/>
        </w:rPr>
        <w:t>да</w:t>
      </w:r>
      <w:r w:rsidR="00847B04" w:rsidRPr="00F6340E">
        <w:rPr>
          <w:rFonts w:eastAsia="Times New Roman"/>
        </w:rPr>
        <w:t xml:space="preserve"> </w:t>
      </w:r>
      <w:r>
        <w:rPr>
          <w:rFonts w:eastAsia="Times New Roman"/>
        </w:rPr>
        <w:t>р</w:t>
      </w:r>
      <w:r w:rsidR="00A56E08">
        <w:rPr>
          <w:rFonts w:eastAsia="Times New Roman"/>
        </w:rPr>
        <w:t>а</w:t>
      </w:r>
      <w:r w:rsidR="00171F00">
        <w:rPr>
          <w:rFonts w:eastAsia="Times New Roman"/>
        </w:rPr>
        <w:t>з</w:t>
      </w:r>
      <w:r w:rsidR="00A56E08">
        <w:rPr>
          <w:rFonts w:eastAsia="Times New Roman"/>
        </w:rPr>
        <w:t>ми</w:t>
      </w:r>
      <w:r>
        <w:rPr>
          <w:rFonts w:eastAsia="Times New Roman"/>
        </w:rPr>
        <w:t>с</w:t>
      </w:r>
      <w:r w:rsidR="00A56E08">
        <w:rPr>
          <w:rFonts w:eastAsia="Times New Roman"/>
        </w:rPr>
        <w:t>л</w:t>
      </w:r>
      <w:r w:rsidR="00EE6AA2">
        <w:rPr>
          <w:rFonts w:eastAsia="Times New Roman"/>
        </w:rPr>
        <w:t>е</w:t>
      </w:r>
      <w:r w:rsidR="00847B04" w:rsidRPr="00F6340E">
        <w:rPr>
          <w:rFonts w:eastAsia="Times New Roman"/>
        </w:rPr>
        <w:t xml:space="preserve"> </w:t>
      </w:r>
      <w:r w:rsidR="00A56E08">
        <w:rPr>
          <w:rFonts w:eastAsia="Times New Roman"/>
        </w:rPr>
        <w:t>о</w:t>
      </w:r>
      <w:r w:rsidR="00847B04" w:rsidRPr="00F6340E">
        <w:rPr>
          <w:rFonts w:eastAsia="Times New Roman"/>
        </w:rPr>
        <w:t xml:space="preserve"> </w:t>
      </w:r>
      <w:r>
        <w:rPr>
          <w:rFonts w:eastAsia="Times New Roman"/>
        </w:rPr>
        <w:t>пр</w:t>
      </w:r>
      <w:r w:rsidR="00A56E08">
        <w:rPr>
          <w:rFonts w:eastAsia="Times New Roman"/>
        </w:rPr>
        <w:t>оц</w:t>
      </w:r>
      <w:r w:rsidR="00EE6AA2">
        <w:rPr>
          <w:rFonts w:eastAsia="Times New Roman"/>
        </w:rPr>
        <w:t>е</w:t>
      </w:r>
      <w:r>
        <w:rPr>
          <w:rFonts w:eastAsia="Times New Roman"/>
        </w:rPr>
        <w:t>су</w:t>
      </w:r>
      <w:r w:rsidR="00847B04" w:rsidRPr="00F6340E">
        <w:rPr>
          <w:rFonts w:eastAsia="Times New Roman"/>
        </w:rPr>
        <w:t xml:space="preserve"> </w:t>
      </w:r>
      <w:r>
        <w:rPr>
          <w:rFonts w:eastAsia="Times New Roman"/>
        </w:rPr>
        <w:t>у</w:t>
      </w:r>
      <w:r w:rsidR="00A56E08">
        <w:rPr>
          <w:rFonts w:eastAsia="Times New Roman"/>
        </w:rPr>
        <w:t>ч</w:t>
      </w:r>
      <w:r w:rsidR="00EE6AA2">
        <w:rPr>
          <w:rFonts w:eastAsia="Times New Roman"/>
        </w:rPr>
        <w:t>е</w:t>
      </w:r>
      <w:r w:rsidR="00A56E08">
        <w:rPr>
          <w:rFonts w:eastAsia="Times New Roman"/>
        </w:rPr>
        <w:t>ња</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Pr>
          <w:rFonts w:eastAsia="Times New Roman"/>
        </w:rPr>
        <w:t>п</w:t>
      </w:r>
      <w:r w:rsidR="00A56E08">
        <w:rPr>
          <w:rFonts w:eastAsia="Times New Roman"/>
        </w:rPr>
        <w:t>од</w:t>
      </w:r>
      <w:r>
        <w:rPr>
          <w:rFonts w:eastAsia="Times New Roman"/>
        </w:rPr>
        <w:t>у</w:t>
      </w:r>
      <w:r w:rsidR="00A56E08">
        <w:rPr>
          <w:rFonts w:eastAsia="Times New Roman"/>
        </w:rPr>
        <w:t>ча</w:t>
      </w:r>
      <w:r>
        <w:rPr>
          <w:rFonts w:eastAsia="Times New Roman"/>
        </w:rPr>
        <w:t>в</w:t>
      </w:r>
      <w:r w:rsidR="00A56E08">
        <w:rPr>
          <w:rFonts w:eastAsia="Times New Roman"/>
        </w:rPr>
        <w:t>ања</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Pr>
          <w:rFonts w:eastAsia="Times New Roman"/>
        </w:rPr>
        <w:t>п</w:t>
      </w:r>
      <w:r w:rsidR="00A56E08">
        <w:rPr>
          <w:rFonts w:eastAsia="Times New Roman"/>
        </w:rPr>
        <w:t>о</w:t>
      </w:r>
      <w:r>
        <w:rPr>
          <w:rFonts w:eastAsia="Times New Roman"/>
        </w:rPr>
        <w:t>т</w:t>
      </w:r>
      <w:r w:rsidR="00A56E08">
        <w:rPr>
          <w:rFonts w:eastAsia="Times New Roman"/>
        </w:rPr>
        <w:t>ич</w:t>
      </w:r>
      <w:r w:rsidR="00EE6AA2">
        <w:rPr>
          <w:rFonts w:eastAsia="Times New Roman"/>
        </w:rPr>
        <w:t>е</w:t>
      </w:r>
      <w:r w:rsidR="00847B04" w:rsidRPr="00F6340E">
        <w:rPr>
          <w:rFonts w:eastAsia="Times New Roman"/>
        </w:rPr>
        <w:t xml:space="preserve"> </w:t>
      </w:r>
      <w:r w:rsidR="00A56E08">
        <w:rPr>
          <w:rFonts w:eastAsia="Times New Roman"/>
        </w:rPr>
        <w:t>их</w:t>
      </w:r>
      <w:r w:rsidR="00847B04" w:rsidRPr="00F6340E">
        <w:rPr>
          <w:rFonts w:eastAsia="Times New Roman"/>
        </w:rPr>
        <w:t xml:space="preserve"> </w:t>
      </w:r>
      <w:r w:rsidR="00A56E08">
        <w:rPr>
          <w:rFonts w:eastAsia="Times New Roman"/>
        </w:rPr>
        <w:t>да</w:t>
      </w:r>
      <w:r w:rsidR="00847B04" w:rsidRPr="00F6340E">
        <w:rPr>
          <w:rFonts w:eastAsia="Times New Roman"/>
        </w:rPr>
        <w:t xml:space="preserve"> </w:t>
      </w:r>
      <w:r>
        <w:rPr>
          <w:rFonts w:eastAsia="Times New Roman"/>
        </w:rPr>
        <w:t>пр</w:t>
      </w:r>
      <w:r w:rsidR="00EE6AA2">
        <w:rPr>
          <w:rFonts w:eastAsia="Times New Roman"/>
        </w:rPr>
        <w:t>е</w:t>
      </w:r>
      <w:r>
        <w:rPr>
          <w:rFonts w:eastAsia="Times New Roman"/>
        </w:rPr>
        <w:t>у</w:t>
      </w:r>
      <w:r w:rsidR="00171F00">
        <w:rPr>
          <w:rFonts w:eastAsia="Times New Roman"/>
        </w:rPr>
        <w:t>з</w:t>
      </w:r>
      <w:r w:rsidR="00A56E08">
        <w:rPr>
          <w:rFonts w:eastAsia="Times New Roman"/>
        </w:rPr>
        <w:t>м</w:t>
      </w:r>
      <w:r>
        <w:rPr>
          <w:rFonts w:eastAsia="Times New Roman"/>
        </w:rPr>
        <w:t>у</w:t>
      </w:r>
      <w:r w:rsidR="00847B04" w:rsidRPr="00F6340E">
        <w:rPr>
          <w:rFonts w:eastAsia="Times New Roman"/>
        </w:rPr>
        <w:t xml:space="preserve"> </w:t>
      </w:r>
      <w:r w:rsidR="00A56E08">
        <w:rPr>
          <w:rFonts w:eastAsia="Times New Roman"/>
        </w:rPr>
        <w:t>одго</w:t>
      </w:r>
      <w:r>
        <w:rPr>
          <w:rFonts w:eastAsia="Times New Roman"/>
        </w:rPr>
        <w:t>в</w:t>
      </w:r>
      <w:r w:rsidR="00A56E08">
        <w:rPr>
          <w:rFonts w:eastAsia="Times New Roman"/>
        </w:rPr>
        <w:t>о</w:t>
      </w:r>
      <w:r>
        <w:rPr>
          <w:rFonts w:eastAsia="Times New Roman"/>
        </w:rPr>
        <w:t>р</w:t>
      </w:r>
      <w:r w:rsidR="00A56E08">
        <w:rPr>
          <w:rFonts w:eastAsia="Times New Roman"/>
        </w:rPr>
        <w:t>но</w:t>
      </w:r>
      <w:r>
        <w:rPr>
          <w:rFonts w:eastAsia="Times New Roman"/>
        </w:rPr>
        <w:t>ст</w:t>
      </w:r>
      <w:r w:rsidR="00847B04" w:rsidRPr="00F6340E">
        <w:rPr>
          <w:rFonts w:eastAsia="Times New Roman"/>
        </w:rPr>
        <w:t xml:space="preserve"> </w:t>
      </w:r>
      <w:r w:rsidR="00A56E08">
        <w:rPr>
          <w:rFonts w:eastAsia="Times New Roman"/>
        </w:rPr>
        <w:t>над</w:t>
      </w:r>
      <w:r w:rsidR="00847B04" w:rsidRPr="00F6340E">
        <w:rPr>
          <w:rFonts w:eastAsia="Times New Roman"/>
        </w:rPr>
        <w:t xml:space="preserve"> </w:t>
      </w:r>
      <w:r>
        <w:rPr>
          <w:rFonts w:eastAsia="Times New Roman"/>
        </w:rPr>
        <w:t>св</w:t>
      </w:r>
      <w:r w:rsidR="00A56E08">
        <w:rPr>
          <w:rFonts w:eastAsia="Times New Roman"/>
        </w:rPr>
        <w:t>ојим</w:t>
      </w:r>
      <w:r w:rsidR="00847B04" w:rsidRPr="00F6340E">
        <w:rPr>
          <w:rFonts w:eastAsia="Times New Roman"/>
        </w:rPr>
        <w:t xml:space="preserve"> </w:t>
      </w:r>
      <w:r>
        <w:rPr>
          <w:rFonts w:eastAsia="Times New Roman"/>
        </w:rPr>
        <w:t>стру</w:t>
      </w:r>
      <w:r w:rsidR="00A56E08">
        <w:rPr>
          <w:rFonts w:eastAsia="Times New Roman"/>
        </w:rPr>
        <w:t>чним</w:t>
      </w:r>
      <w:r w:rsidR="00847B04" w:rsidRPr="00F6340E">
        <w:rPr>
          <w:rFonts w:eastAsia="Times New Roman"/>
        </w:rPr>
        <w:t xml:space="preserve"> </w:t>
      </w:r>
      <w:r>
        <w:rPr>
          <w:rFonts w:eastAsia="Times New Roman"/>
        </w:rPr>
        <w:t>ус</w:t>
      </w:r>
      <w:r w:rsidR="00A56E08">
        <w:rPr>
          <w:rFonts w:eastAsia="Times New Roman"/>
        </w:rPr>
        <w:t>а</w:t>
      </w:r>
      <w:r>
        <w:rPr>
          <w:rFonts w:eastAsia="Times New Roman"/>
        </w:rPr>
        <w:t>врш</w:t>
      </w:r>
      <w:r w:rsidR="00A56E08">
        <w:rPr>
          <w:rFonts w:eastAsia="Times New Roman"/>
        </w:rPr>
        <w:t>а</w:t>
      </w:r>
      <w:r>
        <w:rPr>
          <w:rFonts w:eastAsia="Times New Roman"/>
        </w:rPr>
        <w:t>в</w:t>
      </w:r>
      <w:r w:rsidR="00A56E08">
        <w:rPr>
          <w:rFonts w:eastAsia="Times New Roman"/>
        </w:rPr>
        <w:t>ањ</w:t>
      </w:r>
      <w:r w:rsidR="00EE6AA2">
        <w:rPr>
          <w:rFonts w:eastAsia="Times New Roman"/>
        </w:rPr>
        <w:t>е</w:t>
      </w:r>
      <w:r w:rsidR="00A56E08">
        <w:rPr>
          <w:rFonts w:eastAsia="Times New Roman"/>
        </w:rPr>
        <w:t>м</w:t>
      </w:r>
      <w:r w:rsidR="00847B04" w:rsidRPr="00F6340E">
        <w:rPr>
          <w:rFonts w:eastAsia="Times New Roman"/>
        </w:rPr>
        <w:t xml:space="preserve">. </w:t>
      </w:r>
      <w:r>
        <w:rPr>
          <w:rFonts w:eastAsia="Times New Roman"/>
        </w:rPr>
        <w:t>В</w:t>
      </w:r>
      <w:r w:rsidR="00EE6AA2">
        <w:rPr>
          <w:rFonts w:eastAsia="Times New Roman"/>
        </w:rPr>
        <w:t>е</w:t>
      </w:r>
      <w:r w:rsidR="00A56E08">
        <w:rPr>
          <w:rFonts w:eastAsia="Times New Roman"/>
        </w:rPr>
        <w:t>лика</w:t>
      </w:r>
      <w:r w:rsidR="00847B04" w:rsidRPr="00F6340E">
        <w:rPr>
          <w:rFonts w:eastAsia="Times New Roman"/>
        </w:rPr>
        <w:t xml:space="preserve"> </w:t>
      </w:r>
      <w:r>
        <w:rPr>
          <w:rFonts w:eastAsia="Times New Roman"/>
        </w:rPr>
        <w:t>пр</w:t>
      </w:r>
      <w:r w:rsidR="00EE6AA2">
        <w:rPr>
          <w:rFonts w:eastAsia="Times New Roman"/>
        </w:rPr>
        <w:t>е</w:t>
      </w:r>
      <w:r>
        <w:rPr>
          <w:rFonts w:eastAsia="Times New Roman"/>
        </w:rPr>
        <w:t>пр</w:t>
      </w:r>
      <w:r w:rsidR="00EE6AA2">
        <w:rPr>
          <w:rFonts w:eastAsia="Times New Roman"/>
        </w:rPr>
        <w:t>е</w:t>
      </w:r>
      <w:r w:rsidR="00A56E08">
        <w:rPr>
          <w:rFonts w:eastAsia="Times New Roman"/>
        </w:rPr>
        <w:t>ка</w:t>
      </w:r>
      <w:r w:rsidR="00847B04" w:rsidRPr="00F6340E">
        <w:rPr>
          <w:rFonts w:eastAsia="Times New Roman"/>
        </w:rPr>
        <w:t xml:space="preserve"> </w:t>
      </w:r>
      <w:r>
        <w:rPr>
          <w:rFonts w:eastAsia="Times New Roman"/>
        </w:rPr>
        <w:t>у</w:t>
      </w:r>
      <w:r w:rsidR="00847B04" w:rsidRPr="00F6340E">
        <w:rPr>
          <w:rFonts w:eastAsia="Times New Roman"/>
        </w:rPr>
        <w:t xml:space="preserve"> </w:t>
      </w:r>
      <w:r>
        <w:rPr>
          <w:rFonts w:eastAsia="Times New Roman"/>
        </w:rPr>
        <w:t>пр</w:t>
      </w:r>
      <w:r w:rsidR="00A56E08">
        <w:rPr>
          <w:rFonts w:eastAsia="Times New Roman"/>
        </w:rPr>
        <w:t>о</w:t>
      </w:r>
      <w:r>
        <w:rPr>
          <w:rFonts w:eastAsia="Times New Roman"/>
        </w:rPr>
        <w:t>в</w:t>
      </w:r>
      <w:r w:rsidR="00A56E08">
        <w:rPr>
          <w:rFonts w:eastAsia="Times New Roman"/>
        </w:rPr>
        <w:t>ођ</w:t>
      </w:r>
      <w:r w:rsidR="00EE6AA2">
        <w:rPr>
          <w:rFonts w:eastAsia="Times New Roman"/>
        </w:rPr>
        <w:t>е</w:t>
      </w:r>
      <w:r w:rsidR="00A56E08">
        <w:rPr>
          <w:rFonts w:eastAsia="Times New Roman"/>
        </w:rPr>
        <w:t>њ</w:t>
      </w:r>
      <w:r>
        <w:rPr>
          <w:rFonts w:eastAsia="Times New Roman"/>
        </w:rPr>
        <w:t>у</w:t>
      </w:r>
      <w:r w:rsidR="00847B04" w:rsidRPr="00F6340E">
        <w:rPr>
          <w:rFonts w:eastAsia="Times New Roman"/>
        </w:rPr>
        <w:t xml:space="preserve"> </w:t>
      </w:r>
      <w:r>
        <w:rPr>
          <w:rFonts w:eastAsia="Times New Roman"/>
        </w:rPr>
        <w:t>вр</w:t>
      </w:r>
      <w:r w:rsidR="00EE6AA2">
        <w:rPr>
          <w:rFonts w:eastAsia="Times New Roman"/>
        </w:rPr>
        <w:t>е</w:t>
      </w:r>
      <w:r w:rsidR="00A56E08">
        <w:rPr>
          <w:rFonts w:eastAsia="Times New Roman"/>
        </w:rPr>
        <w:t>дно</w:t>
      </w:r>
      <w:r>
        <w:rPr>
          <w:rFonts w:eastAsia="Times New Roman"/>
        </w:rPr>
        <w:t>в</w:t>
      </w:r>
      <w:r w:rsidR="00A56E08">
        <w:rPr>
          <w:rFonts w:eastAsia="Times New Roman"/>
        </w:rPr>
        <w:t>ања</w:t>
      </w:r>
      <w:r w:rsidR="00847B04" w:rsidRPr="00F6340E">
        <w:rPr>
          <w:rFonts w:eastAsia="Times New Roman"/>
        </w:rPr>
        <w:t xml:space="preserve"> </w:t>
      </w:r>
      <w:r>
        <w:rPr>
          <w:rFonts w:eastAsia="Times New Roman"/>
        </w:rPr>
        <w:t>р</w:t>
      </w:r>
      <w:r w:rsidR="00A56E08">
        <w:rPr>
          <w:rFonts w:eastAsia="Times New Roman"/>
        </w:rPr>
        <w:t>ада</w:t>
      </w:r>
      <w:r w:rsidR="00847B04" w:rsidRPr="00F6340E">
        <w:rPr>
          <w:rFonts w:eastAsia="Times New Roman"/>
        </w:rPr>
        <w:t xml:space="preserve"> </w:t>
      </w:r>
      <w:r w:rsidR="00A56E08">
        <w:rPr>
          <w:rFonts w:eastAsia="Times New Roman"/>
        </w:rPr>
        <w:t>на</w:t>
      </w:r>
      <w:r>
        <w:rPr>
          <w:rFonts w:eastAsia="Times New Roman"/>
        </w:rPr>
        <w:t>ст</w:t>
      </w:r>
      <w:r w:rsidR="00A56E08">
        <w:rPr>
          <w:rFonts w:eastAsia="Times New Roman"/>
        </w:rPr>
        <w:t>а</w:t>
      </w:r>
      <w:r>
        <w:rPr>
          <w:rFonts w:eastAsia="Times New Roman"/>
        </w:rPr>
        <w:t>в</w:t>
      </w:r>
      <w:r w:rsidR="00A56E08">
        <w:rPr>
          <w:rFonts w:eastAsia="Times New Roman"/>
        </w:rPr>
        <w:t>ника</w:t>
      </w:r>
      <w:r w:rsidR="00847B04" w:rsidRPr="00F6340E">
        <w:rPr>
          <w:rFonts w:eastAsia="Times New Roman"/>
        </w:rPr>
        <w:t xml:space="preserve"> </w:t>
      </w:r>
      <w:r>
        <w:rPr>
          <w:rFonts w:eastAsia="Times New Roman"/>
        </w:rPr>
        <w:t>у</w:t>
      </w:r>
      <w:r w:rsidR="00847B04" w:rsidRPr="00F6340E">
        <w:rPr>
          <w:rFonts w:eastAsia="Times New Roman"/>
        </w:rPr>
        <w:t xml:space="preserve"> </w:t>
      </w:r>
      <w:r w:rsidR="00A56E08">
        <w:rPr>
          <w:rFonts w:eastAsia="Times New Roman"/>
        </w:rPr>
        <w:t>Бо</w:t>
      </w:r>
      <w:r>
        <w:rPr>
          <w:rFonts w:eastAsia="Times New Roman"/>
        </w:rPr>
        <w:t>с</w:t>
      </w:r>
      <w:r w:rsidR="00A56E08">
        <w:rPr>
          <w:rFonts w:eastAsia="Times New Roman"/>
        </w:rPr>
        <w:t>ни</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sidR="00A56E08">
        <w:rPr>
          <w:rFonts w:eastAsia="Times New Roman"/>
        </w:rPr>
        <w:t>Х</w:t>
      </w:r>
      <w:r w:rsidR="00EE6AA2">
        <w:rPr>
          <w:rFonts w:eastAsia="Times New Roman"/>
        </w:rPr>
        <w:t>е</w:t>
      </w:r>
      <w:r>
        <w:rPr>
          <w:rFonts w:eastAsia="Times New Roman"/>
        </w:rPr>
        <w:t>р</w:t>
      </w:r>
      <w:r w:rsidR="00A56E08">
        <w:rPr>
          <w:rFonts w:eastAsia="Times New Roman"/>
        </w:rPr>
        <w:t>ц</w:t>
      </w:r>
      <w:r w:rsidR="00EE6AA2">
        <w:rPr>
          <w:rFonts w:eastAsia="Times New Roman"/>
        </w:rPr>
        <w:t>е</w:t>
      </w:r>
      <w:r w:rsidR="00A56E08">
        <w:rPr>
          <w:rFonts w:eastAsia="Times New Roman"/>
        </w:rPr>
        <w:t>го</w:t>
      </w:r>
      <w:r>
        <w:rPr>
          <w:rFonts w:eastAsia="Times New Roman"/>
        </w:rPr>
        <w:t>в</w:t>
      </w:r>
      <w:r w:rsidR="00A56E08">
        <w:rPr>
          <w:rFonts w:eastAsia="Times New Roman"/>
        </w:rPr>
        <w:t>ини</w:t>
      </w:r>
      <w:r w:rsidR="00847B04" w:rsidRPr="00F6340E">
        <w:rPr>
          <w:rFonts w:eastAsia="Times New Roman"/>
        </w:rPr>
        <w:t xml:space="preserve"> </w:t>
      </w:r>
      <w:r w:rsidR="00A56E08">
        <w:rPr>
          <w:rFonts w:eastAsia="Times New Roman"/>
        </w:rPr>
        <w:t>ј</w:t>
      </w:r>
      <w:r w:rsidR="00EE6AA2">
        <w:rPr>
          <w:rFonts w:eastAsia="Times New Roman"/>
        </w:rPr>
        <w:t>е</w:t>
      </w:r>
      <w:r>
        <w:rPr>
          <w:rFonts w:eastAsia="Times New Roman"/>
        </w:rPr>
        <w:t>ст</w:t>
      </w:r>
      <w:r w:rsidR="00EE6AA2">
        <w:rPr>
          <w:rFonts w:eastAsia="Times New Roman"/>
        </w:rPr>
        <w:t>е</w:t>
      </w:r>
      <w:r w:rsidR="00847B04" w:rsidRPr="00F6340E">
        <w:rPr>
          <w:rFonts w:eastAsia="Times New Roman"/>
        </w:rPr>
        <w:t xml:space="preserve"> </w:t>
      </w:r>
      <w:r w:rsidR="00A56E08">
        <w:rPr>
          <w:rFonts w:eastAsia="Times New Roman"/>
        </w:rPr>
        <w:t>н</w:t>
      </w:r>
      <w:r w:rsidR="00EE6AA2">
        <w:rPr>
          <w:rFonts w:eastAsia="Times New Roman"/>
        </w:rPr>
        <w:t>е</w:t>
      </w:r>
      <w:r>
        <w:rPr>
          <w:rFonts w:eastAsia="Times New Roman"/>
        </w:rPr>
        <w:t>п</w:t>
      </w:r>
      <w:r w:rsidR="00A56E08">
        <w:rPr>
          <w:rFonts w:eastAsia="Times New Roman"/>
        </w:rPr>
        <w:t>о</w:t>
      </w:r>
      <w:r>
        <w:rPr>
          <w:rFonts w:eastAsia="Times New Roman"/>
        </w:rPr>
        <w:t>ст</w:t>
      </w:r>
      <w:r w:rsidR="00A56E08">
        <w:rPr>
          <w:rFonts w:eastAsia="Times New Roman"/>
        </w:rPr>
        <w:t>ојањ</w:t>
      </w:r>
      <w:r w:rsidR="00EE6AA2">
        <w:rPr>
          <w:rFonts w:eastAsia="Times New Roman"/>
        </w:rPr>
        <w:t>е</w:t>
      </w:r>
      <w:r w:rsidR="00847B04" w:rsidRPr="00F6340E">
        <w:rPr>
          <w:rFonts w:eastAsia="Times New Roman"/>
        </w:rPr>
        <w:t xml:space="preserve"> </w:t>
      </w:r>
      <w:r>
        <w:rPr>
          <w:rFonts w:eastAsia="Times New Roman"/>
        </w:rPr>
        <w:t>ст</w:t>
      </w:r>
      <w:r w:rsidR="00A56E08">
        <w:rPr>
          <w:rFonts w:eastAsia="Times New Roman"/>
        </w:rPr>
        <w:t>анда</w:t>
      </w:r>
      <w:r>
        <w:rPr>
          <w:rFonts w:eastAsia="Times New Roman"/>
        </w:rPr>
        <w:t>р</w:t>
      </w:r>
      <w:r w:rsidR="00A56E08">
        <w:rPr>
          <w:rFonts w:eastAsia="Times New Roman"/>
        </w:rPr>
        <w:t>да</w:t>
      </w:r>
      <w:r w:rsidR="00847B04" w:rsidRPr="00F6340E">
        <w:rPr>
          <w:rFonts w:eastAsia="Times New Roman"/>
        </w:rPr>
        <w:t xml:space="preserve"> </w:t>
      </w:r>
      <w:r w:rsidR="00171F00">
        <w:rPr>
          <w:rFonts w:eastAsia="Times New Roman"/>
        </w:rPr>
        <w:t>з</w:t>
      </w:r>
      <w:r w:rsidR="00A56E08">
        <w:rPr>
          <w:rFonts w:eastAsia="Times New Roman"/>
        </w:rPr>
        <w:t>а</w:t>
      </w:r>
      <w:r w:rsidR="00847B04" w:rsidRPr="00F6340E">
        <w:rPr>
          <w:rFonts w:eastAsia="Times New Roman"/>
        </w:rPr>
        <w:t xml:space="preserve"> </w:t>
      </w:r>
      <w:r w:rsidR="00A56E08">
        <w:rPr>
          <w:rFonts w:eastAsia="Times New Roman"/>
        </w:rPr>
        <w:t>на</w:t>
      </w:r>
      <w:r>
        <w:rPr>
          <w:rFonts w:eastAsia="Times New Roman"/>
        </w:rPr>
        <w:t>ст</w:t>
      </w:r>
      <w:r w:rsidR="00A56E08">
        <w:rPr>
          <w:rFonts w:eastAsia="Times New Roman"/>
        </w:rPr>
        <w:t>а</w:t>
      </w:r>
      <w:r>
        <w:rPr>
          <w:rFonts w:eastAsia="Times New Roman"/>
        </w:rPr>
        <w:t>в</w:t>
      </w:r>
      <w:r w:rsidR="00A56E08">
        <w:rPr>
          <w:rFonts w:eastAsia="Times New Roman"/>
        </w:rPr>
        <w:t>ник</w:t>
      </w:r>
      <w:r w:rsidR="00EE6AA2">
        <w:rPr>
          <w:rFonts w:eastAsia="Times New Roman"/>
        </w:rPr>
        <w:t>е</w:t>
      </w:r>
      <w:r w:rsidR="00847B04" w:rsidRPr="00F6340E">
        <w:rPr>
          <w:rFonts w:eastAsia="Times New Roman"/>
        </w:rPr>
        <w:t xml:space="preserve"> </w:t>
      </w:r>
      <w:r w:rsidR="00171F00">
        <w:rPr>
          <w:rFonts w:eastAsia="Times New Roman"/>
        </w:rPr>
        <w:t>з</w:t>
      </w:r>
      <w:r w:rsidR="00A56E08">
        <w:rPr>
          <w:rFonts w:eastAsia="Times New Roman"/>
        </w:rPr>
        <w:t>а</w:t>
      </w:r>
      <w:r>
        <w:rPr>
          <w:rFonts w:eastAsia="Times New Roman"/>
        </w:rPr>
        <w:t>с</w:t>
      </w:r>
      <w:r w:rsidR="00A56E08">
        <w:rPr>
          <w:rFonts w:eastAsia="Times New Roman"/>
        </w:rPr>
        <w:t>но</w:t>
      </w:r>
      <w:r>
        <w:rPr>
          <w:rFonts w:eastAsia="Times New Roman"/>
        </w:rPr>
        <w:t>в</w:t>
      </w:r>
      <w:r w:rsidR="00A56E08">
        <w:rPr>
          <w:rFonts w:eastAsia="Times New Roman"/>
        </w:rPr>
        <w:t>аних</w:t>
      </w:r>
      <w:r w:rsidR="00E74448" w:rsidRPr="00F6340E">
        <w:rPr>
          <w:rFonts w:eastAsia="Times New Roman"/>
        </w:rPr>
        <w:t xml:space="preserve"> </w:t>
      </w:r>
      <w:r w:rsidR="00A56E08">
        <w:rPr>
          <w:rFonts w:eastAsia="Times New Roman"/>
        </w:rPr>
        <w:t>на</w:t>
      </w:r>
      <w:r w:rsidR="00847B04" w:rsidRPr="00F6340E">
        <w:rPr>
          <w:rFonts w:eastAsia="Times New Roman"/>
        </w:rPr>
        <w:t xml:space="preserve"> </w:t>
      </w:r>
      <w:r>
        <w:rPr>
          <w:rFonts w:eastAsia="Times New Roman"/>
        </w:rPr>
        <w:t>с</w:t>
      </w:r>
      <w:r w:rsidR="00A56E08">
        <w:rPr>
          <w:rFonts w:eastAsia="Times New Roman"/>
        </w:rPr>
        <w:t>а</w:t>
      </w:r>
      <w:r>
        <w:rPr>
          <w:rFonts w:eastAsia="Times New Roman"/>
        </w:rPr>
        <w:t>вр</w:t>
      </w:r>
      <w:r w:rsidR="00EE6AA2">
        <w:rPr>
          <w:rFonts w:eastAsia="Times New Roman"/>
        </w:rPr>
        <w:t>е</w:t>
      </w:r>
      <w:r w:rsidR="00A56E08">
        <w:rPr>
          <w:rFonts w:eastAsia="Times New Roman"/>
        </w:rPr>
        <w:t>м</w:t>
      </w:r>
      <w:r w:rsidR="00EE6AA2">
        <w:rPr>
          <w:rFonts w:eastAsia="Times New Roman"/>
        </w:rPr>
        <w:t>е</w:t>
      </w:r>
      <w:r w:rsidR="00A56E08">
        <w:rPr>
          <w:rFonts w:eastAsia="Times New Roman"/>
        </w:rPr>
        <w:t>ним</w:t>
      </w:r>
      <w:r w:rsidR="00847B04" w:rsidRPr="00F6340E">
        <w:rPr>
          <w:rFonts w:eastAsia="Times New Roman"/>
        </w:rPr>
        <w:t xml:space="preserve"> </w:t>
      </w:r>
      <w:r w:rsidR="00171F00">
        <w:rPr>
          <w:rFonts w:eastAsia="Times New Roman"/>
        </w:rPr>
        <w:t>з</w:t>
      </w:r>
      <w:r w:rsidR="00A56E08">
        <w:rPr>
          <w:rFonts w:eastAsia="Times New Roman"/>
        </w:rPr>
        <w:t>ах</w:t>
      </w:r>
      <w:r>
        <w:rPr>
          <w:rFonts w:eastAsia="Times New Roman"/>
        </w:rPr>
        <w:t>т</w:t>
      </w:r>
      <w:r w:rsidR="00A56E08">
        <w:rPr>
          <w:rFonts w:eastAsia="Times New Roman"/>
        </w:rPr>
        <w:t>ј</w:t>
      </w:r>
      <w:r w:rsidR="00EE6AA2">
        <w:rPr>
          <w:rFonts w:eastAsia="Times New Roman"/>
        </w:rPr>
        <w:t>е</w:t>
      </w:r>
      <w:r>
        <w:rPr>
          <w:rFonts w:eastAsia="Times New Roman"/>
        </w:rPr>
        <w:t>в</w:t>
      </w:r>
      <w:r w:rsidR="00A56E08">
        <w:rPr>
          <w:rFonts w:eastAsia="Times New Roman"/>
        </w:rPr>
        <w:t>има</w:t>
      </w:r>
      <w:r w:rsidR="00847B04" w:rsidRPr="00F6340E">
        <w:rPr>
          <w:rFonts w:eastAsia="Times New Roman"/>
        </w:rPr>
        <w:t xml:space="preserve"> </w:t>
      </w:r>
      <w:r w:rsidR="00A56E08">
        <w:rPr>
          <w:rFonts w:eastAsia="Times New Roman"/>
        </w:rPr>
        <w:t>на</w:t>
      </w:r>
      <w:r>
        <w:rPr>
          <w:rFonts w:eastAsia="Times New Roman"/>
        </w:rPr>
        <w:t>ст</w:t>
      </w:r>
      <w:r w:rsidR="00A56E08">
        <w:rPr>
          <w:rFonts w:eastAsia="Times New Roman"/>
        </w:rPr>
        <w:t>а</w:t>
      </w:r>
      <w:r>
        <w:rPr>
          <w:rFonts w:eastAsia="Times New Roman"/>
        </w:rPr>
        <w:t>в</w:t>
      </w:r>
      <w:r w:rsidR="00A56E08">
        <w:rPr>
          <w:rFonts w:eastAsia="Times New Roman"/>
        </w:rPr>
        <w:t>ничк</w:t>
      </w:r>
      <w:r w:rsidR="00EE6AA2">
        <w:rPr>
          <w:rFonts w:eastAsia="Times New Roman"/>
        </w:rPr>
        <w:t>е</w:t>
      </w:r>
      <w:r w:rsidR="00847B04" w:rsidRPr="00F6340E">
        <w:rPr>
          <w:rFonts w:eastAsia="Times New Roman"/>
        </w:rPr>
        <w:t xml:space="preserve"> </w:t>
      </w:r>
      <w:r w:rsidR="00A56E08">
        <w:rPr>
          <w:rFonts w:eastAsia="Times New Roman"/>
        </w:rPr>
        <w:t>ка</w:t>
      </w:r>
      <w:r>
        <w:rPr>
          <w:rFonts w:eastAsia="Times New Roman"/>
        </w:rPr>
        <w:t>р</w:t>
      </w:r>
      <w:r w:rsidR="00A56E08">
        <w:rPr>
          <w:rFonts w:eastAsia="Times New Roman"/>
        </w:rPr>
        <w:t>иј</w:t>
      </w:r>
      <w:r w:rsidR="00EE6AA2">
        <w:rPr>
          <w:rFonts w:eastAsia="Times New Roman"/>
        </w:rPr>
        <w:t>е</w:t>
      </w:r>
      <w:r>
        <w:rPr>
          <w:rFonts w:eastAsia="Times New Roman"/>
        </w:rPr>
        <w:t>р</w:t>
      </w:r>
      <w:r w:rsidR="00EE6AA2">
        <w:rPr>
          <w:rFonts w:eastAsia="Times New Roman"/>
        </w:rPr>
        <w:t>е</w:t>
      </w:r>
      <w:r w:rsidR="00847B04" w:rsidRPr="00F6340E">
        <w:rPr>
          <w:rFonts w:eastAsia="Times New Roman"/>
        </w:rPr>
        <w:t xml:space="preserve"> </w:t>
      </w:r>
      <w:r>
        <w:rPr>
          <w:rFonts w:eastAsia="Times New Roman"/>
        </w:rPr>
        <w:t>шт</w:t>
      </w:r>
      <w:r w:rsidR="00A56E08">
        <w:rPr>
          <w:rFonts w:eastAsia="Times New Roman"/>
        </w:rPr>
        <w:t>о</w:t>
      </w:r>
      <w:r w:rsidR="00847B04" w:rsidRPr="00F6340E">
        <w:rPr>
          <w:rFonts w:eastAsia="Times New Roman"/>
        </w:rPr>
        <w:t xml:space="preserve"> </w:t>
      </w:r>
      <w:r w:rsidR="00A56E08">
        <w:rPr>
          <w:rFonts w:eastAsia="Times New Roman"/>
        </w:rPr>
        <w:t>ди</w:t>
      </w:r>
      <w:r>
        <w:rPr>
          <w:rFonts w:eastAsia="Times New Roman"/>
        </w:rPr>
        <w:t>р</w:t>
      </w:r>
      <w:r w:rsidR="00EE6AA2">
        <w:rPr>
          <w:rFonts w:eastAsia="Times New Roman"/>
        </w:rPr>
        <w:t>е</w:t>
      </w:r>
      <w:r w:rsidR="00A56E08">
        <w:rPr>
          <w:rFonts w:eastAsia="Times New Roman"/>
        </w:rPr>
        <w:t>к</w:t>
      </w:r>
      <w:r>
        <w:rPr>
          <w:rFonts w:eastAsia="Times New Roman"/>
        </w:rPr>
        <w:t>т</w:t>
      </w:r>
      <w:r w:rsidR="00A56E08">
        <w:rPr>
          <w:rFonts w:eastAsia="Times New Roman"/>
        </w:rPr>
        <w:t>но</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sidR="00A56E08">
        <w:rPr>
          <w:rFonts w:eastAsia="Times New Roman"/>
        </w:rPr>
        <w:t>инди</w:t>
      </w:r>
      <w:r>
        <w:rPr>
          <w:rFonts w:eastAsia="Times New Roman"/>
        </w:rPr>
        <w:t>р</w:t>
      </w:r>
      <w:r w:rsidR="00EE6AA2">
        <w:rPr>
          <w:rFonts w:eastAsia="Times New Roman"/>
        </w:rPr>
        <w:t>е</w:t>
      </w:r>
      <w:r w:rsidR="00A56E08">
        <w:rPr>
          <w:rFonts w:eastAsia="Times New Roman"/>
        </w:rPr>
        <w:t>к</w:t>
      </w:r>
      <w:r>
        <w:rPr>
          <w:rFonts w:eastAsia="Times New Roman"/>
        </w:rPr>
        <w:t>т</w:t>
      </w:r>
      <w:r w:rsidR="00A56E08">
        <w:rPr>
          <w:rFonts w:eastAsia="Times New Roman"/>
        </w:rPr>
        <w:t>но</w:t>
      </w:r>
      <w:r w:rsidR="00847B04" w:rsidRPr="00F6340E">
        <w:rPr>
          <w:rFonts w:eastAsia="Times New Roman"/>
        </w:rPr>
        <w:t xml:space="preserve"> </w:t>
      </w:r>
      <w:r>
        <w:rPr>
          <w:rFonts w:eastAsia="Times New Roman"/>
        </w:rPr>
        <w:t>ут</w:t>
      </w:r>
      <w:r w:rsidR="00A56E08">
        <w:rPr>
          <w:rFonts w:eastAsia="Times New Roman"/>
        </w:rPr>
        <w:t>ич</w:t>
      </w:r>
      <w:r w:rsidR="00EE6AA2">
        <w:rPr>
          <w:rFonts w:eastAsia="Times New Roman"/>
        </w:rPr>
        <w:t>е</w:t>
      </w:r>
      <w:r w:rsidR="00847B04" w:rsidRPr="00F6340E">
        <w:rPr>
          <w:rFonts w:eastAsia="Times New Roman"/>
        </w:rPr>
        <w:t xml:space="preserve"> </w:t>
      </w:r>
      <w:r w:rsidR="00A56E08">
        <w:rPr>
          <w:rFonts w:eastAsia="Times New Roman"/>
        </w:rPr>
        <w:t>на</w:t>
      </w:r>
      <w:r w:rsidR="00847B04" w:rsidRPr="00F6340E">
        <w:rPr>
          <w:rFonts w:eastAsia="Times New Roman"/>
        </w:rPr>
        <w:t xml:space="preserve"> </w:t>
      </w:r>
      <w:r w:rsidR="00A56E08">
        <w:rPr>
          <w:rFonts w:eastAsia="Times New Roman"/>
        </w:rPr>
        <w:t>к</w:t>
      </w:r>
      <w:r>
        <w:rPr>
          <w:rFonts w:eastAsia="Times New Roman"/>
        </w:rPr>
        <w:t>в</w:t>
      </w:r>
      <w:r w:rsidR="00A56E08">
        <w:rPr>
          <w:rFonts w:eastAsia="Times New Roman"/>
        </w:rPr>
        <w:t>али</w:t>
      </w:r>
      <w:r>
        <w:rPr>
          <w:rFonts w:eastAsia="Times New Roman"/>
        </w:rPr>
        <w:t>т</w:t>
      </w:r>
      <w:r w:rsidR="00EE6AA2">
        <w:rPr>
          <w:rFonts w:eastAsia="Times New Roman"/>
        </w:rPr>
        <w:t>е</w:t>
      </w:r>
      <w:r>
        <w:rPr>
          <w:rFonts w:eastAsia="Times New Roman"/>
        </w:rPr>
        <w:t>ту</w:t>
      </w:r>
      <w:r w:rsidR="00847B04" w:rsidRPr="00F6340E">
        <w:rPr>
          <w:rFonts w:eastAsia="Times New Roman"/>
        </w:rPr>
        <w:t xml:space="preserve"> </w:t>
      </w:r>
      <w:r w:rsidR="00A56E08">
        <w:rPr>
          <w:rFonts w:eastAsia="Times New Roman"/>
        </w:rPr>
        <w:t>одгојно</w:t>
      </w:r>
      <w:r w:rsidR="00847B04" w:rsidRPr="00F6340E">
        <w:rPr>
          <w:rFonts w:eastAsia="Times New Roman"/>
        </w:rPr>
        <w:t xml:space="preserve"> – </w:t>
      </w:r>
      <w:r w:rsidR="00A56E08">
        <w:rPr>
          <w:rFonts w:eastAsia="Times New Roman"/>
        </w:rPr>
        <w:t>об</w:t>
      </w:r>
      <w:r>
        <w:rPr>
          <w:rFonts w:eastAsia="Times New Roman"/>
        </w:rPr>
        <w:t>р</w:t>
      </w:r>
      <w:r w:rsidR="00A56E08">
        <w:rPr>
          <w:rFonts w:eastAsia="Times New Roman"/>
        </w:rPr>
        <w:t>а</w:t>
      </w:r>
      <w:r w:rsidR="00171F00">
        <w:rPr>
          <w:rFonts w:eastAsia="Times New Roman"/>
        </w:rPr>
        <w:t>з</w:t>
      </w:r>
      <w:r w:rsidR="00A56E08">
        <w:rPr>
          <w:rFonts w:eastAsia="Times New Roman"/>
        </w:rPr>
        <w:t>о</w:t>
      </w:r>
      <w:r>
        <w:rPr>
          <w:rFonts w:eastAsia="Times New Roman"/>
        </w:rPr>
        <w:t>в</w:t>
      </w:r>
      <w:r w:rsidR="00A56E08">
        <w:rPr>
          <w:rFonts w:eastAsia="Times New Roman"/>
        </w:rPr>
        <w:t>ног</w:t>
      </w:r>
      <w:r w:rsidR="00847B04" w:rsidRPr="00F6340E">
        <w:rPr>
          <w:rFonts w:eastAsia="Times New Roman"/>
        </w:rPr>
        <w:t xml:space="preserve"> </w:t>
      </w:r>
      <w:r>
        <w:rPr>
          <w:rFonts w:eastAsia="Times New Roman"/>
        </w:rPr>
        <w:t>р</w:t>
      </w:r>
      <w:r w:rsidR="00A56E08">
        <w:rPr>
          <w:rFonts w:eastAsia="Times New Roman"/>
        </w:rPr>
        <w:t>ада</w:t>
      </w:r>
      <w:r w:rsidR="00847B04" w:rsidRPr="00F6340E">
        <w:rPr>
          <w:rFonts w:eastAsia="Times New Roman"/>
        </w:rPr>
        <w:t xml:space="preserve"> </w:t>
      </w:r>
      <w:r>
        <w:rPr>
          <w:rFonts w:eastAsia="Times New Roman"/>
        </w:rPr>
        <w:t>у</w:t>
      </w:r>
      <w:r w:rsidR="00847B04" w:rsidRPr="00F6340E">
        <w:rPr>
          <w:rFonts w:eastAsia="Times New Roman"/>
        </w:rPr>
        <w:t xml:space="preserve"> </w:t>
      </w:r>
      <w:r w:rsidR="00A56E08">
        <w:rPr>
          <w:rFonts w:eastAsia="Times New Roman"/>
        </w:rPr>
        <w:t>о</w:t>
      </w:r>
      <w:r>
        <w:rPr>
          <w:rFonts w:eastAsia="Times New Roman"/>
        </w:rPr>
        <w:t>с</w:t>
      </w:r>
      <w:r w:rsidR="00A56E08">
        <w:rPr>
          <w:rFonts w:eastAsia="Times New Roman"/>
        </w:rPr>
        <w:t>но</w:t>
      </w:r>
      <w:r>
        <w:rPr>
          <w:rFonts w:eastAsia="Times New Roman"/>
        </w:rPr>
        <w:t>в</w:t>
      </w:r>
      <w:r w:rsidR="00A56E08">
        <w:rPr>
          <w:rFonts w:eastAsia="Times New Roman"/>
        </w:rPr>
        <w:t>ним</w:t>
      </w:r>
      <w:r w:rsidR="00847B04" w:rsidRPr="00F6340E">
        <w:rPr>
          <w:rFonts w:eastAsia="Times New Roman"/>
        </w:rPr>
        <w:t xml:space="preserve"> </w:t>
      </w:r>
      <w:r w:rsidR="00A56E08">
        <w:rPr>
          <w:rFonts w:eastAsia="Times New Roman"/>
        </w:rPr>
        <w:t>и</w:t>
      </w:r>
      <w:r w:rsidR="00847B04" w:rsidRPr="00F6340E">
        <w:rPr>
          <w:rFonts w:eastAsia="Times New Roman"/>
        </w:rPr>
        <w:t xml:space="preserve"> </w:t>
      </w:r>
      <w:r>
        <w:rPr>
          <w:rFonts w:eastAsia="Times New Roman"/>
        </w:rPr>
        <w:t>ср</w:t>
      </w:r>
      <w:r w:rsidR="00EE6AA2">
        <w:rPr>
          <w:rFonts w:eastAsia="Times New Roman"/>
        </w:rPr>
        <w:t>е</w:t>
      </w:r>
      <w:r w:rsidR="00A56E08">
        <w:rPr>
          <w:rFonts w:eastAsia="Times New Roman"/>
        </w:rPr>
        <w:t>дњим</w:t>
      </w:r>
      <w:r w:rsidR="00847B04" w:rsidRPr="00F6340E">
        <w:rPr>
          <w:rFonts w:eastAsia="Times New Roman"/>
        </w:rPr>
        <w:t xml:space="preserve"> </w:t>
      </w:r>
      <w:r>
        <w:rPr>
          <w:rFonts w:eastAsia="Times New Roman"/>
        </w:rPr>
        <w:t>ш</w:t>
      </w:r>
      <w:r w:rsidR="00A56E08">
        <w:rPr>
          <w:rFonts w:eastAsia="Times New Roman"/>
        </w:rPr>
        <w:t>колама</w:t>
      </w:r>
      <w:r w:rsidR="00847B04" w:rsidRPr="00F6340E">
        <w:rPr>
          <w:rFonts w:eastAsia="Times New Roman"/>
        </w:rPr>
        <w:t xml:space="preserve">. </w:t>
      </w:r>
    </w:p>
    <w:p w14:paraId="09864876" w14:textId="51FDC5BA" w:rsidR="00847B04" w:rsidRPr="00D976C8" w:rsidRDefault="0071360A" w:rsidP="00D976C8">
      <w:pPr>
        <w:pStyle w:val="NormalWeb"/>
        <w:spacing w:line="276" w:lineRule="auto"/>
        <w:rPr>
          <w:rFonts w:ascii="Arial" w:hAnsi="Arial" w:cs="Arial"/>
          <w:b/>
          <w:bCs/>
          <w:color w:val="00B0F0"/>
          <w:lang w:val="sr-Cyrl-BA"/>
        </w:rPr>
      </w:pPr>
      <w:r w:rsidRPr="00D976C8">
        <w:rPr>
          <w:rFonts w:ascii="Arial" w:hAnsi="Arial" w:cs="Arial"/>
          <w:b/>
          <w:bCs/>
          <w:color w:val="00B0F0"/>
          <w:lang w:val="sr-Cyrl-BA"/>
        </w:rPr>
        <w:t>Стру</w:t>
      </w:r>
      <w:r w:rsidR="00A56E08" w:rsidRPr="00D976C8">
        <w:rPr>
          <w:rFonts w:ascii="Arial" w:hAnsi="Arial" w:cs="Arial"/>
          <w:b/>
          <w:bCs/>
          <w:color w:val="00B0F0"/>
          <w:lang w:val="sr-Cyrl-BA"/>
        </w:rPr>
        <w:t>чно</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ус</w:t>
      </w:r>
      <w:r w:rsidR="00A56E08" w:rsidRPr="00D976C8">
        <w:rPr>
          <w:rFonts w:ascii="Arial" w:hAnsi="Arial" w:cs="Arial"/>
          <w:b/>
          <w:bCs/>
          <w:color w:val="00B0F0"/>
          <w:lang w:val="sr-Cyrl-BA"/>
        </w:rPr>
        <w:t>а</w:t>
      </w:r>
      <w:r w:rsidRPr="00D976C8">
        <w:rPr>
          <w:rFonts w:ascii="Arial" w:hAnsi="Arial" w:cs="Arial"/>
          <w:b/>
          <w:bCs/>
          <w:color w:val="00B0F0"/>
          <w:lang w:val="sr-Cyrl-BA"/>
        </w:rPr>
        <w:t>врш</w:t>
      </w:r>
      <w:r w:rsidR="00A56E08" w:rsidRPr="00D976C8">
        <w:rPr>
          <w:rFonts w:ascii="Arial" w:hAnsi="Arial" w:cs="Arial"/>
          <w:b/>
          <w:bCs/>
          <w:color w:val="00B0F0"/>
          <w:lang w:val="sr-Cyrl-BA"/>
        </w:rPr>
        <w:t>а</w:t>
      </w:r>
      <w:r w:rsidRPr="00D976C8">
        <w:rPr>
          <w:rFonts w:ascii="Arial" w:hAnsi="Arial" w:cs="Arial"/>
          <w:b/>
          <w:bCs/>
          <w:color w:val="00B0F0"/>
          <w:lang w:val="sr-Cyrl-BA"/>
        </w:rPr>
        <w:t>в</w:t>
      </w:r>
      <w:r w:rsidR="00A56E08" w:rsidRPr="00D976C8">
        <w:rPr>
          <w:rFonts w:ascii="Arial" w:hAnsi="Arial" w:cs="Arial"/>
          <w:b/>
          <w:bCs/>
          <w:color w:val="00B0F0"/>
          <w:lang w:val="sr-Cyrl-BA"/>
        </w:rPr>
        <w:t>ањ</w:t>
      </w:r>
      <w:r w:rsidR="00EE6AA2" w:rsidRPr="00D976C8">
        <w:rPr>
          <w:rFonts w:ascii="Arial" w:hAnsi="Arial" w:cs="Arial"/>
          <w:b/>
          <w:bCs/>
          <w:color w:val="00B0F0"/>
          <w:lang w:val="sr-Cyrl-BA"/>
        </w:rPr>
        <w:t>е</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и</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на</w:t>
      </w:r>
      <w:r w:rsidRPr="00D976C8">
        <w:rPr>
          <w:rFonts w:ascii="Arial" w:hAnsi="Arial" w:cs="Arial"/>
          <w:b/>
          <w:bCs/>
          <w:color w:val="00B0F0"/>
          <w:lang w:val="sr-Cyrl-BA"/>
        </w:rPr>
        <w:t>пр</w:t>
      </w:r>
      <w:r w:rsidR="00EE6AA2" w:rsidRPr="00D976C8">
        <w:rPr>
          <w:rFonts w:ascii="Arial" w:hAnsi="Arial" w:cs="Arial"/>
          <w:b/>
          <w:bCs/>
          <w:color w:val="00B0F0"/>
          <w:lang w:val="sr-Cyrl-BA"/>
        </w:rPr>
        <w:t>е</w:t>
      </w:r>
      <w:r w:rsidR="00A56E08" w:rsidRPr="00D976C8">
        <w:rPr>
          <w:rFonts w:ascii="Arial" w:hAnsi="Arial" w:cs="Arial"/>
          <w:b/>
          <w:bCs/>
          <w:color w:val="00B0F0"/>
          <w:lang w:val="sr-Cyrl-BA"/>
        </w:rPr>
        <w:t>до</w:t>
      </w:r>
      <w:r w:rsidRPr="00D976C8">
        <w:rPr>
          <w:rFonts w:ascii="Arial" w:hAnsi="Arial" w:cs="Arial"/>
          <w:b/>
          <w:bCs/>
          <w:color w:val="00B0F0"/>
          <w:lang w:val="sr-Cyrl-BA"/>
        </w:rPr>
        <w:t>в</w:t>
      </w:r>
      <w:r w:rsidR="00A56E08" w:rsidRPr="00D976C8">
        <w:rPr>
          <w:rFonts w:ascii="Arial" w:hAnsi="Arial" w:cs="Arial"/>
          <w:b/>
          <w:bCs/>
          <w:color w:val="00B0F0"/>
          <w:lang w:val="sr-Cyrl-BA"/>
        </w:rPr>
        <w:t>ањ</w:t>
      </w:r>
      <w:r w:rsidR="00EE6AA2" w:rsidRPr="00D976C8">
        <w:rPr>
          <w:rFonts w:ascii="Arial" w:hAnsi="Arial" w:cs="Arial"/>
          <w:b/>
          <w:bCs/>
          <w:color w:val="00B0F0"/>
          <w:lang w:val="sr-Cyrl-BA"/>
        </w:rPr>
        <w:t>е</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на</w:t>
      </w:r>
      <w:r w:rsidRPr="00D976C8">
        <w:rPr>
          <w:rFonts w:ascii="Arial" w:hAnsi="Arial" w:cs="Arial"/>
          <w:b/>
          <w:bCs/>
          <w:color w:val="00B0F0"/>
          <w:lang w:val="sr-Cyrl-BA"/>
        </w:rPr>
        <w:t>ст</w:t>
      </w:r>
      <w:r w:rsidR="00A56E08" w:rsidRPr="00D976C8">
        <w:rPr>
          <w:rFonts w:ascii="Arial" w:hAnsi="Arial" w:cs="Arial"/>
          <w:b/>
          <w:bCs/>
          <w:color w:val="00B0F0"/>
          <w:lang w:val="sr-Cyrl-BA"/>
        </w:rPr>
        <w:t>а</w:t>
      </w:r>
      <w:r w:rsidRPr="00D976C8">
        <w:rPr>
          <w:rFonts w:ascii="Arial" w:hAnsi="Arial" w:cs="Arial"/>
          <w:b/>
          <w:bCs/>
          <w:color w:val="00B0F0"/>
          <w:lang w:val="sr-Cyrl-BA"/>
        </w:rPr>
        <w:t>в</w:t>
      </w:r>
      <w:r w:rsidR="00A56E08" w:rsidRPr="00D976C8">
        <w:rPr>
          <w:rFonts w:ascii="Arial" w:hAnsi="Arial" w:cs="Arial"/>
          <w:b/>
          <w:bCs/>
          <w:color w:val="00B0F0"/>
          <w:lang w:val="sr-Cyrl-BA"/>
        </w:rPr>
        <w:t>ника</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о</w:t>
      </w:r>
      <w:r w:rsidRPr="00D976C8">
        <w:rPr>
          <w:rFonts w:ascii="Arial" w:hAnsi="Arial" w:cs="Arial"/>
          <w:b/>
          <w:bCs/>
          <w:color w:val="00B0F0"/>
          <w:lang w:val="sr-Cyrl-BA"/>
        </w:rPr>
        <w:t>с</w:t>
      </w:r>
      <w:r w:rsidR="00A56E08" w:rsidRPr="00D976C8">
        <w:rPr>
          <w:rFonts w:ascii="Arial" w:hAnsi="Arial" w:cs="Arial"/>
          <w:b/>
          <w:bCs/>
          <w:color w:val="00B0F0"/>
          <w:lang w:val="sr-Cyrl-BA"/>
        </w:rPr>
        <w:t>но</w:t>
      </w:r>
      <w:r w:rsidRPr="00D976C8">
        <w:rPr>
          <w:rFonts w:ascii="Arial" w:hAnsi="Arial" w:cs="Arial"/>
          <w:b/>
          <w:bCs/>
          <w:color w:val="00B0F0"/>
          <w:lang w:val="sr-Cyrl-BA"/>
        </w:rPr>
        <w:t>в</w:t>
      </w:r>
      <w:r w:rsidR="00A56E08" w:rsidRPr="00D976C8">
        <w:rPr>
          <w:rFonts w:ascii="Arial" w:hAnsi="Arial" w:cs="Arial"/>
          <w:b/>
          <w:bCs/>
          <w:color w:val="00B0F0"/>
          <w:lang w:val="sr-Cyrl-BA"/>
        </w:rPr>
        <w:t>них</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и</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ср</w:t>
      </w:r>
      <w:r w:rsidR="00EE6AA2" w:rsidRPr="00D976C8">
        <w:rPr>
          <w:rFonts w:ascii="Arial" w:hAnsi="Arial" w:cs="Arial"/>
          <w:b/>
          <w:bCs/>
          <w:color w:val="00B0F0"/>
          <w:lang w:val="sr-Cyrl-BA"/>
        </w:rPr>
        <w:t>е</w:t>
      </w:r>
      <w:r w:rsidR="00A56E08" w:rsidRPr="00D976C8">
        <w:rPr>
          <w:rFonts w:ascii="Arial" w:hAnsi="Arial" w:cs="Arial"/>
          <w:b/>
          <w:bCs/>
          <w:color w:val="00B0F0"/>
          <w:lang w:val="sr-Cyrl-BA"/>
        </w:rPr>
        <w:t>дњих</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ш</w:t>
      </w:r>
      <w:r w:rsidR="00A56E08" w:rsidRPr="00D976C8">
        <w:rPr>
          <w:rFonts w:ascii="Arial" w:hAnsi="Arial" w:cs="Arial"/>
          <w:b/>
          <w:bCs/>
          <w:color w:val="00B0F0"/>
          <w:lang w:val="sr-Cyrl-BA"/>
        </w:rPr>
        <w:t>кола</w:t>
      </w:r>
      <w:r w:rsidR="00847B04" w:rsidRPr="00D976C8">
        <w:rPr>
          <w:rFonts w:ascii="Arial" w:hAnsi="Arial" w:cs="Arial"/>
          <w:b/>
          <w:bCs/>
          <w:color w:val="00B0F0"/>
          <w:lang w:val="sr-Cyrl-BA"/>
        </w:rPr>
        <w:t xml:space="preserve"> </w:t>
      </w:r>
    </w:p>
    <w:p w14:paraId="7F969774" w14:textId="3BFF598B" w:rsidR="00847B04" w:rsidRPr="00F6340E" w:rsidRDefault="0071360A" w:rsidP="00D976C8">
      <w:pPr>
        <w:pStyle w:val="Body"/>
        <w:rPr>
          <w:highlight w:val="white"/>
          <w:u w:val="single"/>
        </w:rPr>
      </w:pPr>
      <w:r>
        <w:t>У</w:t>
      </w:r>
      <w:r w:rsidR="00847B04" w:rsidRPr="00F6340E">
        <w:t xml:space="preserve"> </w:t>
      </w:r>
      <w:r>
        <w:t>Пр</w:t>
      </w:r>
      <w:r w:rsidR="00EE6AA2">
        <w:t>е</w:t>
      </w:r>
      <w:r w:rsidR="00A56E08">
        <w:t>гл</w:t>
      </w:r>
      <w:r w:rsidR="00EE6AA2">
        <w:t>е</w:t>
      </w:r>
      <w:r w:rsidR="00A56E08">
        <w:t>дној</w:t>
      </w:r>
      <w:r w:rsidR="00847B04" w:rsidRPr="00F6340E">
        <w:t xml:space="preserve"> </w:t>
      </w:r>
      <w:r>
        <w:t>сту</w:t>
      </w:r>
      <w:r w:rsidR="00A56E08">
        <w:t>дији</w:t>
      </w:r>
      <w:r w:rsidR="00847B04" w:rsidRPr="00F6340E">
        <w:t xml:space="preserve"> </w:t>
      </w:r>
      <w:r w:rsidR="00A56E08">
        <w:t>о</w:t>
      </w:r>
      <w:r w:rsidR="00847B04" w:rsidRPr="00F6340E">
        <w:t xml:space="preserve"> </w:t>
      </w:r>
      <w:r>
        <w:t>п</w:t>
      </w:r>
      <w:r w:rsidR="00A56E08">
        <w:t>о</w:t>
      </w:r>
      <w:r>
        <w:t>тр</w:t>
      </w:r>
      <w:r w:rsidR="00EE6AA2">
        <w:t>е</w:t>
      </w:r>
      <w:r w:rsidR="00A56E08">
        <w:t>бама</w:t>
      </w:r>
      <w:r w:rsidR="00847B04" w:rsidRPr="00F6340E">
        <w:t xml:space="preserve"> </w:t>
      </w:r>
      <w:r w:rsidR="00A56E08">
        <w:t>на</w:t>
      </w:r>
      <w:r>
        <w:t>ст</w:t>
      </w:r>
      <w:r w:rsidR="00A56E08">
        <w:t>а</w:t>
      </w:r>
      <w:r>
        <w:t>в</w:t>
      </w:r>
      <w:r w:rsidR="00A56E08">
        <w:t>ника</w:t>
      </w:r>
      <w:r w:rsidR="00847B04" w:rsidRPr="00F6340E">
        <w:t xml:space="preserve"> </w:t>
      </w:r>
      <w:r>
        <w:t>у</w:t>
      </w:r>
      <w:r w:rsidR="00847B04" w:rsidRPr="00F6340E">
        <w:t xml:space="preserve"> </w:t>
      </w:r>
      <w:r w:rsidR="00A56E08">
        <w:t>на</w:t>
      </w:r>
      <w:r>
        <w:t>ст</w:t>
      </w:r>
      <w:r w:rsidR="00A56E08">
        <w:t>а</w:t>
      </w:r>
      <w:r>
        <w:t>в</w:t>
      </w:r>
      <w:r w:rsidR="00A56E08">
        <w:t>и</w:t>
      </w:r>
      <w:r w:rsidR="00847B04" w:rsidRPr="00F6340E">
        <w:t xml:space="preserve"> </w:t>
      </w:r>
      <w:r w:rsidR="00A56E08">
        <w:t>на</w:t>
      </w:r>
      <w:r w:rsidR="00847B04" w:rsidRPr="00F6340E">
        <w:t xml:space="preserve"> </w:t>
      </w:r>
      <w:r w:rsidR="00A56E08">
        <w:t>даљин</w:t>
      </w:r>
      <w:r>
        <w:t>у</w:t>
      </w:r>
      <w:r w:rsidR="00847B04" w:rsidRPr="00F6340E">
        <w:t xml:space="preserve"> </w:t>
      </w:r>
      <w:r w:rsidR="00A56E08">
        <w:t>и</w:t>
      </w:r>
      <w:r w:rsidR="00847B04" w:rsidRPr="00F6340E">
        <w:t xml:space="preserve"> </w:t>
      </w:r>
      <w:r w:rsidR="00A56E08">
        <w:t>комбино</w:t>
      </w:r>
      <w:r>
        <w:t>в</w:t>
      </w:r>
      <w:r w:rsidR="00A56E08">
        <w:t>аном</w:t>
      </w:r>
      <w:r w:rsidR="00847B04" w:rsidRPr="00F6340E">
        <w:t xml:space="preserve"> </w:t>
      </w:r>
      <w:r>
        <w:t>у</w:t>
      </w:r>
      <w:r w:rsidR="00A56E08">
        <w:t>ч</w:t>
      </w:r>
      <w:r w:rsidR="00EE6AA2">
        <w:t>е</w:t>
      </w:r>
      <w:r w:rsidR="00A56E08">
        <w:t>њ</w:t>
      </w:r>
      <w:r>
        <w:t>у</w:t>
      </w:r>
      <w:r w:rsidR="00847B04" w:rsidRPr="00F6340E">
        <w:t xml:space="preserve"> </w:t>
      </w:r>
      <w:r>
        <w:t>у</w:t>
      </w:r>
      <w:r w:rsidR="00847B04" w:rsidRPr="00F6340E">
        <w:t xml:space="preserve"> </w:t>
      </w:r>
      <w:r w:rsidR="00A56E08">
        <w:t>о</w:t>
      </w:r>
      <w:r>
        <w:t>с</w:t>
      </w:r>
      <w:r w:rsidR="00A56E08">
        <w:t>но</w:t>
      </w:r>
      <w:r>
        <w:t>в</w:t>
      </w:r>
      <w:r w:rsidR="00A56E08">
        <w:t>ним</w:t>
      </w:r>
      <w:r w:rsidR="00847B04" w:rsidRPr="00F6340E">
        <w:t xml:space="preserve"> </w:t>
      </w:r>
      <w:r w:rsidR="00A56E08">
        <w:t>и</w:t>
      </w:r>
      <w:r w:rsidR="00847B04" w:rsidRPr="00F6340E">
        <w:t xml:space="preserve"> </w:t>
      </w:r>
      <w:r>
        <w:t>ср</w:t>
      </w:r>
      <w:r w:rsidR="00EE6AA2">
        <w:t>е</w:t>
      </w:r>
      <w:r w:rsidR="00A56E08">
        <w:t>дњим</w:t>
      </w:r>
      <w:r w:rsidR="00847B04" w:rsidRPr="00F6340E">
        <w:t xml:space="preserve"> (</w:t>
      </w:r>
      <w:r w:rsidR="00A56E08">
        <w:t>и</w:t>
      </w:r>
      <w:r w:rsidR="00847B04" w:rsidRPr="00F6340E">
        <w:t xml:space="preserve"> </w:t>
      </w:r>
      <w:r w:rsidR="00171F00">
        <w:t>З</w:t>
      </w:r>
      <w:r w:rsidR="00A56E08">
        <w:t>и</w:t>
      </w:r>
      <w:r>
        <w:t>Т</w:t>
      </w:r>
      <w:r w:rsidR="00A56E08">
        <w:t>О</w:t>
      </w:r>
      <w:r w:rsidR="00847B04" w:rsidRPr="00F6340E">
        <w:t xml:space="preserve">) </w:t>
      </w:r>
      <w:r>
        <w:t>ш</w:t>
      </w:r>
      <w:r w:rsidR="00A56E08">
        <w:t>колама</w:t>
      </w:r>
      <w:r w:rsidR="00847B04" w:rsidRPr="00F6340E">
        <w:t xml:space="preserve"> </w:t>
      </w:r>
      <w:r>
        <w:t>у</w:t>
      </w:r>
      <w:r w:rsidR="00847B04" w:rsidRPr="00F6340E">
        <w:t xml:space="preserve"> </w:t>
      </w:r>
      <w:r w:rsidR="00A56E08">
        <w:t>Бо</w:t>
      </w:r>
      <w:r>
        <w:t>с</w:t>
      </w:r>
      <w:r w:rsidR="00A56E08">
        <w:t>ни</w:t>
      </w:r>
      <w:r w:rsidR="00847B04" w:rsidRPr="00F6340E">
        <w:t xml:space="preserve"> </w:t>
      </w:r>
      <w:r w:rsidR="00A56E08">
        <w:t>и</w:t>
      </w:r>
      <w:r w:rsidR="00847B04" w:rsidRPr="00F6340E">
        <w:t xml:space="preserve"> </w:t>
      </w:r>
      <w:r w:rsidR="00A56E08">
        <w:t>Х</w:t>
      </w:r>
      <w:r w:rsidR="00EE6AA2">
        <w:t>е</w:t>
      </w:r>
      <w:r>
        <w:t>р</w:t>
      </w:r>
      <w:r w:rsidR="00A56E08">
        <w:t>ц</w:t>
      </w:r>
      <w:r w:rsidR="00EE6AA2">
        <w:t>е</w:t>
      </w:r>
      <w:r w:rsidR="00A56E08">
        <w:t>го</w:t>
      </w:r>
      <w:r>
        <w:t>в</w:t>
      </w:r>
      <w:r w:rsidR="00A56E08">
        <w:t>ини</w:t>
      </w:r>
      <w:r w:rsidR="00847B04" w:rsidRPr="00F6340E">
        <w:t xml:space="preserve"> </w:t>
      </w:r>
      <w:r>
        <w:t>т</w:t>
      </w:r>
      <w:r w:rsidR="00A56E08">
        <w:t>оком</w:t>
      </w:r>
      <w:r w:rsidR="00847B04" w:rsidRPr="00F6340E">
        <w:t xml:space="preserve"> </w:t>
      </w:r>
      <w:r>
        <w:t>п</w:t>
      </w:r>
      <w:r w:rsidR="00A56E08">
        <w:t>анд</w:t>
      </w:r>
      <w:r w:rsidR="00EE6AA2">
        <w:t>е</w:t>
      </w:r>
      <w:r w:rsidR="00A56E08">
        <w:t>миј</w:t>
      </w:r>
      <w:r w:rsidR="00EE6AA2">
        <w:t>е</w:t>
      </w:r>
      <w:r w:rsidR="00847B04" w:rsidRPr="00F6340E">
        <w:t xml:space="preserve"> </w:t>
      </w:r>
      <w:r w:rsidR="00A56E08">
        <w:t>ко</w:t>
      </w:r>
      <w:r>
        <w:t>р</w:t>
      </w:r>
      <w:r w:rsidR="00A56E08">
        <w:t>она</w:t>
      </w:r>
      <w:r>
        <w:t>в</w:t>
      </w:r>
      <w:r w:rsidR="00A56E08">
        <w:t>и</w:t>
      </w:r>
      <w:r>
        <w:t>рус</w:t>
      </w:r>
      <w:r w:rsidR="00A56E08">
        <w:t>а</w:t>
      </w:r>
      <w:r w:rsidR="00847B04" w:rsidRPr="00F6340E">
        <w:rPr>
          <w:highlight w:val="white"/>
        </w:rPr>
        <w:t xml:space="preserve"> (</w:t>
      </w:r>
      <w:r>
        <w:rPr>
          <w:highlight w:val="white"/>
        </w:rPr>
        <w:t>У</w:t>
      </w:r>
      <w:r w:rsidR="00A56E08">
        <w:rPr>
          <w:highlight w:val="white"/>
        </w:rPr>
        <w:t>НИЦ</w:t>
      </w:r>
      <w:r w:rsidR="00EE6AA2">
        <w:rPr>
          <w:highlight w:val="white"/>
        </w:rPr>
        <w:t>Е</w:t>
      </w:r>
      <w:r w:rsidR="00A56E08">
        <w:rPr>
          <w:highlight w:val="white"/>
        </w:rPr>
        <w:t>Ф</w:t>
      </w:r>
      <w:r w:rsidR="00847B04" w:rsidRPr="00F6340E">
        <w:rPr>
          <w:highlight w:val="white"/>
        </w:rPr>
        <w:t>, 2021</w:t>
      </w:r>
      <w:r w:rsidR="00A56E08">
        <w:rPr>
          <w:highlight w:val="white"/>
        </w:rPr>
        <w:t>б</w:t>
      </w:r>
      <w:r w:rsidR="00847B04" w:rsidRPr="00F6340E">
        <w:rPr>
          <w:highlight w:val="white"/>
        </w:rPr>
        <w:t xml:space="preserve">) </w:t>
      </w:r>
      <w:r w:rsidR="00A56E08">
        <w:rPr>
          <w:highlight w:val="white"/>
        </w:rPr>
        <w:t>као</w:t>
      </w:r>
      <w:r w:rsidR="00847B04" w:rsidRPr="00F6340E">
        <w:rPr>
          <w:highlight w:val="white"/>
        </w:rPr>
        <w:t xml:space="preserve"> </w:t>
      </w:r>
      <w:r>
        <w:rPr>
          <w:highlight w:val="white"/>
        </w:rPr>
        <w:t>стр</w:t>
      </w:r>
      <w:r w:rsidR="00A56E08">
        <w:rPr>
          <w:highlight w:val="white"/>
        </w:rPr>
        <w:t>а</w:t>
      </w:r>
      <w:r>
        <w:rPr>
          <w:highlight w:val="white"/>
        </w:rPr>
        <w:t>т</w:t>
      </w:r>
      <w:r w:rsidR="00EE6AA2">
        <w:rPr>
          <w:highlight w:val="white"/>
        </w:rPr>
        <w:t>е</w:t>
      </w:r>
      <w:r>
        <w:rPr>
          <w:highlight w:val="white"/>
        </w:rPr>
        <w:t>ш</w:t>
      </w:r>
      <w:r w:rsidR="00A56E08">
        <w:rPr>
          <w:highlight w:val="white"/>
        </w:rPr>
        <w:t>ка</w:t>
      </w:r>
      <w:r w:rsidR="00847B04" w:rsidRPr="00F6340E">
        <w:rPr>
          <w:highlight w:val="white"/>
        </w:rPr>
        <w:t xml:space="preserve"> </w:t>
      </w:r>
      <w:r>
        <w:rPr>
          <w:highlight w:val="white"/>
        </w:rPr>
        <w:t>пр</w:t>
      </w:r>
      <w:r w:rsidR="00EE6AA2">
        <w:rPr>
          <w:highlight w:val="white"/>
        </w:rPr>
        <w:t>е</w:t>
      </w:r>
      <w:r>
        <w:rPr>
          <w:highlight w:val="white"/>
        </w:rPr>
        <w:t>п</w:t>
      </w:r>
      <w:r w:rsidR="00A56E08">
        <w:rPr>
          <w:highlight w:val="white"/>
        </w:rPr>
        <w:t>о</w:t>
      </w:r>
      <w:r>
        <w:rPr>
          <w:highlight w:val="white"/>
        </w:rPr>
        <w:t>ру</w:t>
      </w:r>
      <w:r w:rsidR="00A56E08">
        <w:rPr>
          <w:highlight w:val="white"/>
        </w:rPr>
        <w:t>ка</w:t>
      </w:r>
      <w:r w:rsidR="00847B04" w:rsidRPr="00F6340E">
        <w:rPr>
          <w:highlight w:val="white"/>
        </w:rPr>
        <w:t xml:space="preserve"> </w:t>
      </w:r>
      <w:r w:rsidR="00A56E08">
        <w:rPr>
          <w:highlight w:val="white"/>
        </w:rPr>
        <w:t>и</w:t>
      </w:r>
      <w:r>
        <w:rPr>
          <w:highlight w:val="white"/>
        </w:rPr>
        <w:t>ст</w:t>
      </w:r>
      <w:r w:rsidR="00A56E08">
        <w:rPr>
          <w:highlight w:val="white"/>
        </w:rPr>
        <w:t>ич</w:t>
      </w:r>
      <w:r w:rsidR="00EE6AA2">
        <w:rPr>
          <w:highlight w:val="white"/>
        </w:rPr>
        <w:t>е</w:t>
      </w:r>
      <w:r w:rsidR="00847B04" w:rsidRPr="00F6340E">
        <w:rPr>
          <w:highlight w:val="white"/>
        </w:rPr>
        <w:t xml:space="preserve"> </w:t>
      </w:r>
      <w:r>
        <w:rPr>
          <w:highlight w:val="white"/>
        </w:rPr>
        <w:t>с</w:t>
      </w:r>
      <w:r w:rsidR="00EE6AA2">
        <w:rPr>
          <w:highlight w:val="white"/>
        </w:rPr>
        <w:t>е</w:t>
      </w:r>
      <w:r w:rsidR="00847B04" w:rsidRPr="00F6340E">
        <w:rPr>
          <w:highlight w:val="white"/>
        </w:rPr>
        <w:t xml:space="preserve"> </w:t>
      </w:r>
      <w:r w:rsidR="00A56E08">
        <w:rPr>
          <w:highlight w:val="white"/>
        </w:rPr>
        <w:t>кон</w:t>
      </w:r>
      <w:r>
        <w:rPr>
          <w:highlight w:val="white"/>
        </w:rPr>
        <w:t>т</w:t>
      </w:r>
      <w:r w:rsidR="00A56E08">
        <w:rPr>
          <w:highlight w:val="white"/>
        </w:rPr>
        <w:t>ин</w:t>
      </w:r>
      <w:r>
        <w:rPr>
          <w:highlight w:val="white"/>
        </w:rPr>
        <w:t>у</w:t>
      </w:r>
      <w:r w:rsidR="00A56E08">
        <w:rPr>
          <w:highlight w:val="white"/>
        </w:rPr>
        <w:t>ално</w:t>
      </w:r>
      <w:r w:rsidR="00847B04" w:rsidRPr="00F6340E">
        <w:rPr>
          <w:highlight w:val="white"/>
        </w:rPr>
        <w:t xml:space="preserve"> </w:t>
      </w:r>
      <w:r w:rsidR="00A56E08">
        <w:rPr>
          <w:highlight w:val="white"/>
        </w:rPr>
        <w:t>о</w:t>
      </w:r>
      <w:r>
        <w:rPr>
          <w:highlight w:val="white"/>
        </w:rPr>
        <w:t>сп</w:t>
      </w:r>
      <w:r w:rsidR="00A56E08">
        <w:rPr>
          <w:highlight w:val="white"/>
        </w:rPr>
        <w:t>о</w:t>
      </w:r>
      <w:r>
        <w:rPr>
          <w:highlight w:val="white"/>
        </w:rPr>
        <w:t>с</w:t>
      </w:r>
      <w:r w:rsidR="00A56E08">
        <w:rPr>
          <w:highlight w:val="white"/>
        </w:rPr>
        <w:t>обља</w:t>
      </w:r>
      <w:r>
        <w:rPr>
          <w:highlight w:val="white"/>
        </w:rPr>
        <w:t>в</w:t>
      </w:r>
      <w:r w:rsidR="00A56E08">
        <w:rPr>
          <w:highlight w:val="white"/>
        </w:rPr>
        <w:t>ањ</w:t>
      </w:r>
      <w:r w:rsidR="00EE6AA2">
        <w:rPr>
          <w:highlight w:val="white"/>
        </w:rPr>
        <w:t>е</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ника</w:t>
      </w:r>
      <w:r w:rsidR="00847B04" w:rsidRPr="00F6340E">
        <w:rPr>
          <w:highlight w:val="white"/>
        </w:rPr>
        <w:t xml:space="preserve"> </w:t>
      </w:r>
      <w:r w:rsidR="00A56E08">
        <w:rPr>
          <w:highlight w:val="white"/>
        </w:rPr>
        <w:t>кој</w:t>
      </w:r>
      <w:r w:rsidR="00EE6AA2">
        <w:rPr>
          <w:highlight w:val="white"/>
        </w:rPr>
        <w:t>е</w:t>
      </w:r>
      <w:r w:rsidR="00847B04" w:rsidRPr="00F6340E">
        <w:rPr>
          <w:highlight w:val="white"/>
        </w:rPr>
        <w:t xml:space="preserve"> </w:t>
      </w:r>
      <w:r w:rsidR="00A56E08">
        <w:rPr>
          <w:highlight w:val="white"/>
        </w:rPr>
        <w:t>би</w:t>
      </w:r>
      <w:r w:rsidR="00847B04" w:rsidRPr="00F6340E">
        <w:rPr>
          <w:highlight w:val="white"/>
        </w:rPr>
        <w:t xml:space="preserve"> </w:t>
      </w:r>
      <w:r>
        <w:rPr>
          <w:highlight w:val="white"/>
        </w:rPr>
        <w:t>тр</w:t>
      </w:r>
      <w:r w:rsidR="00EE6AA2">
        <w:rPr>
          <w:highlight w:val="white"/>
        </w:rPr>
        <w:t>е</w:t>
      </w:r>
      <w:r w:rsidR="00A56E08">
        <w:rPr>
          <w:highlight w:val="white"/>
        </w:rPr>
        <w:t>бало</w:t>
      </w:r>
      <w:r w:rsidR="00847B04" w:rsidRPr="00F6340E">
        <w:rPr>
          <w:highlight w:val="white"/>
        </w:rPr>
        <w:t xml:space="preserve"> </w:t>
      </w:r>
      <w:r w:rsidR="00A56E08">
        <w:rPr>
          <w:highlight w:val="white"/>
        </w:rPr>
        <w:t>н</w:t>
      </w:r>
      <w:r>
        <w:rPr>
          <w:highlight w:val="white"/>
        </w:rPr>
        <w:t>у</w:t>
      </w:r>
      <w:r w:rsidR="00A56E08">
        <w:rPr>
          <w:highlight w:val="white"/>
        </w:rPr>
        <w:t>ди</w:t>
      </w:r>
      <w:r>
        <w:rPr>
          <w:highlight w:val="white"/>
        </w:rPr>
        <w:t>т</w:t>
      </w:r>
      <w:r w:rsidR="00A56E08">
        <w:rPr>
          <w:highlight w:val="white"/>
        </w:rPr>
        <w:t>и</w:t>
      </w:r>
      <w:r w:rsidR="00E74448" w:rsidRPr="00F6340E">
        <w:rPr>
          <w:highlight w:val="white"/>
          <w:u w:val="single"/>
        </w:rPr>
        <w:t xml:space="preserve"> </w:t>
      </w:r>
      <w:r>
        <w:rPr>
          <w:highlight w:val="white"/>
        </w:rPr>
        <w:t>с</w:t>
      </w:r>
      <w:r w:rsidR="00A56E08">
        <w:rPr>
          <w:highlight w:val="white"/>
        </w:rPr>
        <w:t>љ</w:t>
      </w:r>
      <w:r w:rsidR="00EE6AA2">
        <w:rPr>
          <w:highlight w:val="white"/>
        </w:rPr>
        <w:t>е</w:t>
      </w:r>
      <w:r w:rsidR="00A56E08">
        <w:rPr>
          <w:highlight w:val="white"/>
        </w:rPr>
        <w:t>д</w:t>
      </w:r>
      <w:r w:rsidR="00EE6AA2">
        <w:rPr>
          <w:highlight w:val="white"/>
        </w:rPr>
        <w:t>е</w:t>
      </w:r>
      <w:r w:rsidR="00A56E08">
        <w:rPr>
          <w:highlight w:val="white"/>
        </w:rPr>
        <w:t>ћ</w:t>
      </w:r>
      <w:r w:rsidR="00EE6AA2">
        <w:rPr>
          <w:highlight w:val="white"/>
        </w:rPr>
        <w:t>е</w:t>
      </w:r>
      <w:r w:rsidR="00847B04" w:rsidRPr="00F6340E">
        <w:rPr>
          <w:highlight w:val="white"/>
        </w:rPr>
        <w:t xml:space="preserve"> </w:t>
      </w:r>
      <w:r w:rsidR="00A56E08">
        <w:rPr>
          <w:highlight w:val="white"/>
        </w:rPr>
        <w:t>мод</w:t>
      </w:r>
      <w:r>
        <w:rPr>
          <w:highlight w:val="white"/>
        </w:rPr>
        <w:t>у</w:t>
      </w:r>
      <w:r w:rsidR="00A56E08">
        <w:rPr>
          <w:highlight w:val="white"/>
        </w:rPr>
        <w:t>л</w:t>
      </w:r>
      <w:r w:rsidR="00EE6AA2">
        <w:rPr>
          <w:highlight w:val="white"/>
        </w:rPr>
        <w:t>е</w:t>
      </w:r>
      <w:r w:rsidR="00847B04" w:rsidRPr="00F6340E">
        <w:rPr>
          <w:highlight w:val="white"/>
        </w:rPr>
        <w:t xml:space="preserve"> </w:t>
      </w:r>
      <w:r w:rsidR="00A56E08">
        <w:rPr>
          <w:highlight w:val="white"/>
        </w:rPr>
        <w:t>об</w:t>
      </w:r>
      <w:r>
        <w:rPr>
          <w:highlight w:val="white"/>
        </w:rPr>
        <w:t>у</w:t>
      </w:r>
      <w:r w:rsidR="00A56E08">
        <w:rPr>
          <w:highlight w:val="white"/>
        </w:rPr>
        <w:t>к</w:t>
      </w:r>
      <w:r w:rsidR="00EE6AA2">
        <w:rPr>
          <w:highlight w:val="white"/>
        </w:rPr>
        <w:t>е</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sidR="00A56E08">
        <w:rPr>
          <w:highlight w:val="white"/>
        </w:rPr>
        <w:t>ком</w:t>
      </w:r>
      <w:r>
        <w:rPr>
          <w:highlight w:val="white"/>
        </w:rPr>
        <w:t>п</w:t>
      </w:r>
      <w:r w:rsidR="00EE6AA2">
        <w:rPr>
          <w:highlight w:val="white"/>
        </w:rPr>
        <w:t>е</w:t>
      </w:r>
      <w:r>
        <w:rPr>
          <w:highlight w:val="white"/>
        </w:rPr>
        <w:t>т</w:t>
      </w:r>
      <w:r w:rsidR="00EE6AA2">
        <w:rPr>
          <w:highlight w:val="white"/>
        </w:rPr>
        <w:t>е</w:t>
      </w:r>
      <w:r w:rsidR="00A56E08">
        <w:rPr>
          <w:highlight w:val="white"/>
        </w:rPr>
        <w:t>нција</w:t>
      </w:r>
      <w:r w:rsidR="00847B04" w:rsidRPr="00F6340E">
        <w:rPr>
          <w:highlight w:val="white"/>
        </w:rPr>
        <w:t xml:space="preserve"> </w:t>
      </w:r>
      <w:r w:rsidR="00A56E08">
        <w:rPr>
          <w:highlight w:val="white"/>
        </w:rPr>
        <w:t>кој</w:t>
      </w:r>
      <w:r w:rsidR="00EE6AA2">
        <w:rPr>
          <w:highlight w:val="white"/>
        </w:rPr>
        <w:t>е</w:t>
      </w:r>
      <w:r w:rsidR="00847B04" w:rsidRPr="00F6340E">
        <w:rPr>
          <w:highlight w:val="white"/>
        </w:rPr>
        <w:t xml:space="preserve"> </w:t>
      </w:r>
      <w:r>
        <w:rPr>
          <w:highlight w:val="white"/>
        </w:rPr>
        <w:t>у</w:t>
      </w:r>
      <w:r w:rsidR="00A56E08">
        <w:rPr>
          <w:highlight w:val="white"/>
        </w:rPr>
        <w:t>кљ</w:t>
      </w:r>
      <w:r>
        <w:rPr>
          <w:highlight w:val="white"/>
        </w:rPr>
        <w:t>у</w:t>
      </w:r>
      <w:r w:rsidR="00A56E08">
        <w:rPr>
          <w:highlight w:val="white"/>
        </w:rPr>
        <w:t>ч</w:t>
      </w:r>
      <w:r>
        <w:rPr>
          <w:highlight w:val="white"/>
        </w:rPr>
        <w:t>у</w:t>
      </w:r>
      <w:r w:rsidR="00A56E08">
        <w:rPr>
          <w:highlight w:val="white"/>
        </w:rPr>
        <w:t>ј</w:t>
      </w:r>
      <w:r>
        <w:rPr>
          <w:highlight w:val="white"/>
        </w:rPr>
        <w:t>у</w:t>
      </w:r>
      <w:r w:rsidR="00847B04" w:rsidRPr="00F6340E">
        <w:rPr>
          <w:highlight w:val="white"/>
        </w:rPr>
        <w:t xml:space="preserve"> </w:t>
      </w:r>
      <w:r>
        <w:rPr>
          <w:highlight w:val="white"/>
        </w:rPr>
        <w:t>уп</w:t>
      </w:r>
      <w:r w:rsidR="00A56E08">
        <w:rPr>
          <w:highlight w:val="white"/>
        </w:rPr>
        <w:t>о</w:t>
      </w:r>
      <w:r>
        <w:rPr>
          <w:highlight w:val="white"/>
        </w:rPr>
        <w:t>тр</w:t>
      </w:r>
      <w:r w:rsidR="00EE6AA2">
        <w:rPr>
          <w:highlight w:val="white"/>
        </w:rPr>
        <w:t>е</w:t>
      </w:r>
      <w:r w:rsidR="00A56E08">
        <w:rPr>
          <w:highlight w:val="white"/>
        </w:rPr>
        <w:t>б</w:t>
      </w:r>
      <w:r>
        <w:rPr>
          <w:highlight w:val="white"/>
        </w:rPr>
        <w:t>у</w:t>
      </w:r>
      <w:r w:rsidR="00847B04" w:rsidRPr="00F6340E">
        <w:rPr>
          <w:highlight w:val="white"/>
        </w:rPr>
        <w:t xml:space="preserve"> </w:t>
      </w:r>
      <w:r w:rsidR="00A56E08">
        <w:rPr>
          <w:highlight w:val="white"/>
        </w:rPr>
        <w:t>о</w:t>
      </w:r>
      <w:r>
        <w:rPr>
          <w:highlight w:val="white"/>
        </w:rPr>
        <w:t>пр</w:t>
      </w:r>
      <w:r w:rsidR="00EE6AA2">
        <w:rPr>
          <w:highlight w:val="white"/>
        </w:rPr>
        <w:t>е</w:t>
      </w:r>
      <w:r w:rsidR="00A56E08">
        <w:rPr>
          <w:highlight w:val="white"/>
        </w:rPr>
        <w:t>м</w:t>
      </w:r>
      <w:r w:rsidR="00EE6AA2">
        <w:rPr>
          <w:highlight w:val="white"/>
        </w:rPr>
        <w:t>е</w:t>
      </w:r>
      <w:r w:rsidR="00E74448" w:rsidRPr="00F6340E">
        <w:rPr>
          <w:highlight w:val="white"/>
        </w:rPr>
        <w:t xml:space="preserve"> </w:t>
      </w:r>
      <w:r w:rsidR="00171F00">
        <w:rPr>
          <w:highlight w:val="white"/>
        </w:rPr>
        <w:t>з</w:t>
      </w:r>
      <w:r w:rsidR="00A56E08">
        <w:rPr>
          <w:highlight w:val="white"/>
        </w:rPr>
        <w:t>а</w:t>
      </w:r>
      <w:r w:rsidR="00E74448" w:rsidRPr="00F6340E">
        <w:rPr>
          <w:highlight w:val="white"/>
        </w:rPr>
        <w:t xml:space="preserve"> </w:t>
      </w:r>
      <w:r w:rsidR="00A56E08">
        <w:rPr>
          <w:highlight w:val="white"/>
        </w:rPr>
        <w:t>ИК</w:t>
      </w:r>
      <w:r>
        <w:rPr>
          <w:highlight w:val="white"/>
        </w:rPr>
        <w:t>Т</w:t>
      </w:r>
      <w:r w:rsidR="00847B04" w:rsidRPr="00F6340E">
        <w:rPr>
          <w:highlight w:val="white"/>
        </w:rPr>
        <w:t xml:space="preserve">, </w:t>
      </w:r>
      <w:r>
        <w:rPr>
          <w:highlight w:val="white"/>
        </w:rPr>
        <w:t>пр</w:t>
      </w:r>
      <w:r w:rsidR="00A56E08">
        <w:rPr>
          <w:highlight w:val="white"/>
        </w:rPr>
        <w:t>имј</w:t>
      </w:r>
      <w:r w:rsidR="00EE6AA2">
        <w:rPr>
          <w:highlight w:val="white"/>
        </w:rPr>
        <w:t>е</w:t>
      </w:r>
      <w:r w:rsidR="00A56E08">
        <w:rPr>
          <w:highlight w:val="white"/>
        </w:rPr>
        <w:t>на</w:t>
      </w:r>
      <w:r w:rsidR="00847B04" w:rsidRPr="00F6340E">
        <w:rPr>
          <w:highlight w:val="white"/>
        </w:rPr>
        <w:t xml:space="preserve"> </w:t>
      </w:r>
      <w:r>
        <w:rPr>
          <w:highlight w:val="white"/>
        </w:rPr>
        <w:t>р</w:t>
      </w:r>
      <w:r w:rsidR="00A56E08">
        <w:rPr>
          <w:highlight w:val="white"/>
        </w:rPr>
        <w:t>а</w:t>
      </w:r>
      <w:r w:rsidR="00171F00">
        <w:rPr>
          <w:highlight w:val="white"/>
        </w:rPr>
        <w:t>з</w:t>
      </w:r>
      <w:r w:rsidR="00A56E08">
        <w:rPr>
          <w:highlight w:val="white"/>
        </w:rPr>
        <w:t>личи</w:t>
      </w:r>
      <w:r>
        <w:rPr>
          <w:highlight w:val="white"/>
        </w:rPr>
        <w:t>т</w:t>
      </w:r>
      <w:r w:rsidR="00A56E08">
        <w:rPr>
          <w:highlight w:val="white"/>
        </w:rPr>
        <w:t>их</w:t>
      </w:r>
      <w:r w:rsidR="00847B04" w:rsidRPr="00F6340E">
        <w:rPr>
          <w:highlight w:val="white"/>
        </w:rPr>
        <w:t xml:space="preserve"> </w:t>
      </w:r>
      <w:r>
        <w:rPr>
          <w:highlight w:val="white"/>
        </w:rPr>
        <w:t>с</w:t>
      </w:r>
      <w:r w:rsidR="00A56E08">
        <w:rPr>
          <w:highlight w:val="white"/>
        </w:rPr>
        <w:t>оф</w:t>
      </w:r>
      <w:r>
        <w:rPr>
          <w:highlight w:val="white"/>
        </w:rPr>
        <w:t>тв</w:t>
      </w:r>
      <w:r w:rsidR="00EE6AA2">
        <w:rPr>
          <w:highlight w:val="white"/>
        </w:rPr>
        <w:t>е</w:t>
      </w:r>
      <w:r>
        <w:rPr>
          <w:highlight w:val="white"/>
        </w:rPr>
        <w:t>рс</w:t>
      </w:r>
      <w:r w:rsidR="00A56E08">
        <w:rPr>
          <w:highlight w:val="white"/>
        </w:rPr>
        <w:t>ких</w:t>
      </w:r>
      <w:r w:rsidR="00847B04" w:rsidRPr="00F6340E">
        <w:rPr>
          <w:highlight w:val="white"/>
        </w:rPr>
        <w:t xml:space="preserve"> </w:t>
      </w:r>
      <w:r>
        <w:rPr>
          <w:highlight w:val="white"/>
        </w:rPr>
        <w:t>р</w:t>
      </w:r>
      <w:r w:rsidR="00A56E08">
        <w:rPr>
          <w:highlight w:val="white"/>
        </w:rPr>
        <w:t>ј</w:t>
      </w:r>
      <w:r w:rsidR="00EE6AA2">
        <w:rPr>
          <w:highlight w:val="white"/>
        </w:rPr>
        <w:t>е</w:t>
      </w:r>
      <w:r>
        <w:rPr>
          <w:highlight w:val="white"/>
        </w:rPr>
        <w:t>ш</w:t>
      </w:r>
      <w:r w:rsidR="00EE6AA2">
        <w:rPr>
          <w:highlight w:val="white"/>
        </w:rPr>
        <w:t>е</w:t>
      </w:r>
      <w:r w:rsidR="00A56E08">
        <w:rPr>
          <w:highlight w:val="white"/>
        </w:rPr>
        <w:t>ња</w:t>
      </w:r>
      <w:r w:rsidR="00847B04" w:rsidRPr="00F6340E">
        <w:rPr>
          <w:highlight w:val="white"/>
        </w:rPr>
        <w:t xml:space="preserve"> </w:t>
      </w:r>
      <w:r>
        <w:rPr>
          <w:highlight w:val="white"/>
        </w:rPr>
        <w:t>у</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и</w:t>
      </w:r>
      <w:r w:rsidR="00847B04" w:rsidRPr="00F6340E">
        <w:rPr>
          <w:highlight w:val="white"/>
        </w:rPr>
        <w:t xml:space="preserve"> </w:t>
      </w:r>
      <w:r>
        <w:rPr>
          <w:highlight w:val="white"/>
        </w:rPr>
        <w:t>у</w:t>
      </w:r>
      <w:r w:rsidR="00847B04" w:rsidRPr="00F6340E">
        <w:rPr>
          <w:highlight w:val="white"/>
        </w:rPr>
        <w:t xml:space="preserve"> </w:t>
      </w:r>
      <w:r>
        <w:rPr>
          <w:highlight w:val="white"/>
        </w:rPr>
        <w:t>свр</w:t>
      </w:r>
      <w:r w:rsidR="00A56E08">
        <w:rPr>
          <w:highlight w:val="white"/>
        </w:rPr>
        <w:t>х</w:t>
      </w:r>
      <w:r>
        <w:rPr>
          <w:highlight w:val="white"/>
        </w:rPr>
        <w:t>у</w:t>
      </w:r>
      <w:r w:rsidR="00847B04" w:rsidRPr="00F6340E">
        <w:rPr>
          <w:highlight w:val="white"/>
        </w:rPr>
        <w:t xml:space="preserve"> </w:t>
      </w:r>
      <w:r w:rsidR="00A56E08">
        <w:rPr>
          <w:highlight w:val="white"/>
        </w:rPr>
        <w:t>ад</w:t>
      </w:r>
      <w:r w:rsidR="00EE6AA2">
        <w:rPr>
          <w:highlight w:val="white"/>
        </w:rPr>
        <w:t>е</w:t>
      </w:r>
      <w:r w:rsidR="00A56E08">
        <w:rPr>
          <w:highlight w:val="white"/>
        </w:rPr>
        <w:t>к</w:t>
      </w:r>
      <w:r>
        <w:rPr>
          <w:highlight w:val="white"/>
        </w:rPr>
        <w:t>в</w:t>
      </w:r>
      <w:r w:rsidR="00A56E08">
        <w:rPr>
          <w:highlight w:val="white"/>
        </w:rPr>
        <w:t>а</w:t>
      </w:r>
      <w:r>
        <w:rPr>
          <w:highlight w:val="white"/>
        </w:rPr>
        <w:t>т</w:t>
      </w:r>
      <w:r w:rsidR="00A56E08">
        <w:rPr>
          <w:highlight w:val="white"/>
        </w:rPr>
        <w:t>ног</w:t>
      </w:r>
      <w:r w:rsidR="00847B04" w:rsidRPr="00F6340E">
        <w:rPr>
          <w:highlight w:val="white"/>
        </w:rPr>
        <w:t xml:space="preserve"> </w:t>
      </w:r>
      <w:r>
        <w:rPr>
          <w:highlight w:val="white"/>
        </w:rPr>
        <w:t>п</w:t>
      </w:r>
      <w:r w:rsidR="00A56E08">
        <w:rPr>
          <w:highlight w:val="white"/>
        </w:rPr>
        <w:t>о</w:t>
      </w:r>
      <w:r>
        <w:rPr>
          <w:highlight w:val="white"/>
        </w:rPr>
        <w:t>т</w:t>
      </w:r>
      <w:r w:rsidR="00A56E08">
        <w:rPr>
          <w:highlight w:val="white"/>
        </w:rPr>
        <w:t>ицања</w:t>
      </w:r>
      <w:r w:rsidR="00847B04" w:rsidRPr="00F6340E">
        <w:rPr>
          <w:highlight w:val="white"/>
        </w:rPr>
        <w:t xml:space="preserve"> </w:t>
      </w:r>
      <w:r>
        <w:rPr>
          <w:highlight w:val="white"/>
        </w:rPr>
        <w:t>усв</w:t>
      </w:r>
      <w:r w:rsidR="00A56E08">
        <w:rPr>
          <w:highlight w:val="white"/>
        </w:rPr>
        <w:t>ајања</w:t>
      </w:r>
      <w:r w:rsidR="00847B04" w:rsidRPr="00F6340E">
        <w:rPr>
          <w:highlight w:val="white"/>
        </w:rPr>
        <w:t xml:space="preserve"> </w:t>
      </w:r>
      <w:r w:rsidR="00171F00">
        <w:rPr>
          <w:highlight w:val="white"/>
        </w:rPr>
        <w:t>з</w:t>
      </w:r>
      <w:r w:rsidR="00A56E08">
        <w:rPr>
          <w:highlight w:val="white"/>
        </w:rPr>
        <w:t>нања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в</w:t>
      </w:r>
      <w:r w:rsidR="00A56E08">
        <w:rPr>
          <w:highlight w:val="white"/>
        </w:rPr>
        <w:t>ј</w:t>
      </w:r>
      <w:r w:rsidR="00EE6AA2">
        <w:rPr>
          <w:highlight w:val="white"/>
        </w:rPr>
        <w:t>е</w:t>
      </w:r>
      <w:r>
        <w:rPr>
          <w:highlight w:val="white"/>
        </w:rPr>
        <w:t>шт</w:t>
      </w:r>
      <w:r w:rsidR="00A56E08">
        <w:rPr>
          <w:highlight w:val="white"/>
        </w:rPr>
        <w:t>ина</w:t>
      </w:r>
      <w:r w:rsidR="00847B04" w:rsidRPr="00F6340E">
        <w:rPr>
          <w:highlight w:val="white"/>
        </w:rPr>
        <w:t xml:space="preserve"> </w:t>
      </w:r>
      <w:r w:rsidR="00A56E08">
        <w:rPr>
          <w:highlight w:val="white"/>
        </w:rPr>
        <w:t>код</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Pr>
          <w:highlight w:val="white"/>
        </w:rPr>
        <w:t>п</w:t>
      </w:r>
      <w:r w:rsidR="00A56E08">
        <w:rPr>
          <w:highlight w:val="white"/>
        </w:rPr>
        <w:t>лани</w:t>
      </w:r>
      <w:r>
        <w:rPr>
          <w:highlight w:val="white"/>
        </w:rPr>
        <w:t>р</w:t>
      </w:r>
      <w:r w:rsidR="00A56E08">
        <w:rPr>
          <w:highlight w:val="white"/>
        </w:rPr>
        <w:t>ањ</w:t>
      </w:r>
      <w:r w:rsidR="00EE6AA2">
        <w:rPr>
          <w:highlight w:val="white"/>
        </w:rPr>
        <w:t>е</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EE6AA2">
        <w:rPr>
          <w:highlight w:val="white"/>
        </w:rPr>
        <w:t>е</w:t>
      </w:r>
      <w:r w:rsidR="00C47A01" w:rsidRPr="00F6340E">
        <w:rPr>
          <w:highlight w:val="white"/>
        </w:rPr>
        <w:t xml:space="preserve"> </w:t>
      </w:r>
      <w:r>
        <w:rPr>
          <w:highlight w:val="white"/>
        </w:rPr>
        <w:t>пут</w:t>
      </w:r>
      <w:r w:rsidR="00EE6AA2">
        <w:rPr>
          <w:highlight w:val="white"/>
        </w:rPr>
        <w:t>е</w:t>
      </w:r>
      <w:r w:rsidR="00A56E08">
        <w:rPr>
          <w:highlight w:val="white"/>
        </w:rPr>
        <w:t>м</w:t>
      </w:r>
      <w:r w:rsidR="00C47A01" w:rsidRPr="00F6340E">
        <w:rPr>
          <w:highlight w:val="white"/>
        </w:rPr>
        <w:t xml:space="preserve"> </w:t>
      </w:r>
      <w:r w:rsidR="00A56E08">
        <w:rPr>
          <w:highlight w:val="white"/>
        </w:rPr>
        <w:t>ин</w:t>
      </w:r>
      <w:r>
        <w:rPr>
          <w:highlight w:val="white"/>
        </w:rPr>
        <w:t>т</w:t>
      </w:r>
      <w:r w:rsidR="00EE6AA2">
        <w:rPr>
          <w:highlight w:val="white"/>
        </w:rPr>
        <w:t>е</w:t>
      </w:r>
      <w:r>
        <w:rPr>
          <w:highlight w:val="white"/>
        </w:rPr>
        <w:t>р</w:t>
      </w:r>
      <w:r w:rsidR="00A56E08">
        <w:rPr>
          <w:highlight w:val="white"/>
        </w:rPr>
        <w:t>н</w:t>
      </w:r>
      <w:r w:rsidR="00EE6AA2">
        <w:rPr>
          <w:highlight w:val="white"/>
        </w:rPr>
        <w:t>е</w:t>
      </w:r>
      <w:r>
        <w:rPr>
          <w:highlight w:val="white"/>
        </w:rPr>
        <w:t>т</w:t>
      </w:r>
      <w:r w:rsidR="00A56E08">
        <w:rPr>
          <w:highlight w:val="white"/>
        </w:rPr>
        <w:t>а</w:t>
      </w:r>
      <w:r w:rsidR="00847B04" w:rsidRPr="00F6340E">
        <w:rPr>
          <w:highlight w:val="white"/>
        </w:rPr>
        <w:t xml:space="preserve">, </w:t>
      </w:r>
      <w:r w:rsidR="00A56E08">
        <w:rPr>
          <w:highlight w:val="white"/>
        </w:rPr>
        <w:t>кон</w:t>
      </w:r>
      <w:r>
        <w:rPr>
          <w:highlight w:val="white"/>
        </w:rPr>
        <w:t>т</w:t>
      </w:r>
      <w:r w:rsidR="00A56E08">
        <w:rPr>
          <w:highlight w:val="white"/>
        </w:rPr>
        <w:t>ин</w:t>
      </w:r>
      <w:r>
        <w:rPr>
          <w:highlight w:val="white"/>
        </w:rPr>
        <w:t>у</w:t>
      </w:r>
      <w:r w:rsidR="00A56E08">
        <w:rPr>
          <w:highlight w:val="white"/>
        </w:rPr>
        <w:t>ално</w:t>
      </w:r>
      <w:r w:rsidR="00847B04" w:rsidRPr="00F6340E">
        <w:rPr>
          <w:highlight w:val="white"/>
        </w:rPr>
        <w:t xml:space="preserve"> </w:t>
      </w:r>
      <w:r>
        <w:rPr>
          <w:highlight w:val="white"/>
        </w:rPr>
        <w:t>пр</w:t>
      </w:r>
      <w:r w:rsidR="00A56E08">
        <w:rPr>
          <w:highlight w:val="white"/>
        </w:rPr>
        <w:t>аћ</w:t>
      </w:r>
      <w:r w:rsidR="00EE6AA2">
        <w:rPr>
          <w:highlight w:val="white"/>
        </w:rPr>
        <w:t>е</w:t>
      </w:r>
      <w:r w:rsidR="00A56E08">
        <w:rPr>
          <w:highlight w:val="white"/>
        </w:rPr>
        <w:t>њ</w:t>
      </w:r>
      <w:r w:rsidR="00EE6AA2">
        <w:rPr>
          <w:highlight w:val="white"/>
        </w:rPr>
        <w:t>е</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вр</w:t>
      </w:r>
      <w:r w:rsidR="00EE6AA2">
        <w:rPr>
          <w:highlight w:val="white"/>
        </w:rPr>
        <w:t>е</w:t>
      </w:r>
      <w:r w:rsidR="00A56E08">
        <w:rPr>
          <w:highlight w:val="white"/>
        </w:rPr>
        <w:t>дно</w:t>
      </w:r>
      <w:r>
        <w:rPr>
          <w:highlight w:val="white"/>
        </w:rPr>
        <w:t>в</w:t>
      </w:r>
      <w:r w:rsidR="00A56E08">
        <w:rPr>
          <w:highlight w:val="white"/>
        </w:rPr>
        <w:t>ањ</w:t>
      </w:r>
      <w:r w:rsidR="00EE6AA2">
        <w:rPr>
          <w:highlight w:val="white"/>
        </w:rPr>
        <w:t>е</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ничких</w:t>
      </w:r>
      <w:r w:rsidR="00847B04" w:rsidRPr="00F6340E">
        <w:rPr>
          <w:highlight w:val="white"/>
        </w:rPr>
        <w:t xml:space="preserve"> </w:t>
      </w:r>
      <w:r>
        <w:rPr>
          <w:highlight w:val="white"/>
        </w:rPr>
        <w:t>п</w:t>
      </w:r>
      <w:r w:rsidR="00A56E08">
        <w:rPr>
          <w:highlight w:val="white"/>
        </w:rPr>
        <w:t>о</w:t>
      </w:r>
      <w:r>
        <w:rPr>
          <w:highlight w:val="white"/>
        </w:rPr>
        <w:t>ст</w:t>
      </w:r>
      <w:r w:rsidR="00A56E08">
        <w:rPr>
          <w:highlight w:val="white"/>
        </w:rPr>
        <w:t>игн</w:t>
      </w:r>
      <w:r>
        <w:rPr>
          <w:highlight w:val="white"/>
        </w:rPr>
        <w:t>у</w:t>
      </w:r>
      <w:r w:rsidR="00A56E08">
        <w:rPr>
          <w:highlight w:val="white"/>
        </w:rPr>
        <w:t>ћа</w:t>
      </w:r>
      <w:r w:rsidR="00847B04" w:rsidRPr="00F6340E">
        <w:rPr>
          <w:highlight w:val="white"/>
        </w:rPr>
        <w:t xml:space="preserve"> </w:t>
      </w:r>
      <w:r>
        <w:rPr>
          <w:highlight w:val="white"/>
        </w:rPr>
        <w:t>пр</w:t>
      </w:r>
      <w:r w:rsidR="00A56E08">
        <w:rPr>
          <w:highlight w:val="white"/>
        </w:rPr>
        <w:t>имј</w:t>
      </w:r>
      <w:r w:rsidR="00EE6AA2">
        <w:rPr>
          <w:highlight w:val="white"/>
        </w:rPr>
        <w:t>е</w:t>
      </w:r>
      <w:r w:rsidR="00A56E08">
        <w:rPr>
          <w:highlight w:val="white"/>
        </w:rPr>
        <w:t>ном</w:t>
      </w:r>
      <w:r w:rsidR="00847B04" w:rsidRPr="00F6340E">
        <w:rPr>
          <w:highlight w:val="white"/>
        </w:rPr>
        <w:t xml:space="preserve"> </w:t>
      </w:r>
      <w:r w:rsidR="00A56E08">
        <w:rPr>
          <w:highlight w:val="white"/>
        </w:rPr>
        <w:t>фо</w:t>
      </w:r>
      <w:r>
        <w:rPr>
          <w:highlight w:val="white"/>
        </w:rPr>
        <w:t>р</w:t>
      </w:r>
      <w:r w:rsidR="00A56E08">
        <w:rPr>
          <w:highlight w:val="white"/>
        </w:rPr>
        <w:t>ма</w:t>
      </w:r>
      <w:r>
        <w:rPr>
          <w:highlight w:val="white"/>
        </w:rPr>
        <w:t>т</w:t>
      </w:r>
      <w:r w:rsidR="00A56E08">
        <w:rPr>
          <w:highlight w:val="white"/>
        </w:rPr>
        <w:t>и</w:t>
      </w:r>
      <w:r>
        <w:rPr>
          <w:highlight w:val="white"/>
        </w:rPr>
        <w:t>в</w:t>
      </w:r>
      <w:r w:rsidR="00A56E08">
        <w:rPr>
          <w:highlight w:val="white"/>
        </w:rPr>
        <w:t>ног</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су</w:t>
      </w:r>
      <w:r w:rsidR="00A56E08">
        <w:rPr>
          <w:highlight w:val="white"/>
        </w:rPr>
        <w:t>ма</w:t>
      </w:r>
      <w:r>
        <w:rPr>
          <w:highlight w:val="white"/>
        </w:rPr>
        <w:t>р</w:t>
      </w:r>
      <w:r w:rsidR="00A56E08">
        <w:rPr>
          <w:highlight w:val="white"/>
        </w:rPr>
        <w:t>ног</w:t>
      </w:r>
      <w:r w:rsidR="00847B04" w:rsidRPr="00F6340E">
        <w:rPr>
          <w:highlight w:val="white"/>
        </w:rPr>
        <w:t xml:space="preserve"> </w:t>
      </w:r>
      <w:r>
        <w:rPr>
          <w:highlight w:val="white"/>
        </w:rPr>
        <w:t>вр</w:t>
      </w:r>
      <w:r w:rsidR="00EE6AA2">
        <w:rPr>
          <w:highlight w:val="white"/>
        </w:rPr>
        <w:t>е</w:t>
      </w:r>
      <w:r w:rsidR="00A56E08">
        <w:rPr>
          <w:highlight w:val="white"/>
        </w:rPr>
        <w:t>дно</w:t>
      </w:r>
      <w:r>
        <w:rPr>
          <w:highlight w:val="white"/>
        </w:rPr>
        <w:t>в</w:t>
      </w:r>
      <w:r w:rsidR="00A56E08">
        <w:rPr>
          <w:highlight w:val="white"/>
        </w:rPr>
        <w:t>ања</w:t>
      </w:r>
      <w:r w:rsidR="00847B04" w:rsidRPr="00F6340E">
        <w:rPr>
          <w:highlight w:val="white"/>
        </w:rPr>
        <w:t xml:space="preserve">, </w:t>
      </w:r>
      <w:r>
        <w:rPr>
          <w:highlight w:val="white"/>
        </w:rPr>
        <w:t>пру</w:t>
      </w:r>
      <w:r w:rsidR="00171F00">
        <w:rPr>
          <w:highlight w:val="white"/>
        </w:rPr>
        <w:t>ж</w:t>
      </w:r>
      <w:r w:rsidR="00A56E08">
        <w:rPr>
          <w:highlight w:val="white"/>
        </w:rPr>
        <w:t>ањ</w:t>
      </w:r>
      <w:r w:rsidR="00EE6AA2">
        <w:rPr>
          <w:highlight w:val="white"/>
        </w:rPr>
        <w:t>е</w:t>
      </w:r>
      <w:r w:rsidR="00847B04" w:rsidRPr="00F6340E">
        <w:rPr>
          <w:highlight w:val="white"/>
        </w:rPr>
        <w:t xml:space="preserve"> </w:t>
      </w:r>
      <w:r w:rsidR="00A56E08">
        <w:rPr>
          <w:highlight w:val="white"/>
        </w:rPr>
        <w:t>личн</w:t>
      </w:r>
      <w:r w:rsidR="00EE6AA2">
        <w:rPr>
          <w:highlight w:val="white"/>
        </w:rPr>
        <w:t>е</w:t>
      </w:r>
      <w:r w:rsidR="00847B04" w:rsidRPr="00F6340E">
        <w:rPr>
          <w:highlight w:val="white"/>
        </w:rPr>
        <w:t xml:space="preserve"> </w:t>
      </w:r>
      <w:r>
        <w:rPr>
          <w:highlight w:val="white"/>
        </w:rPr>
        <w:t>п</w:t>
      </w:r>
      <w:r w:rsidR="00A56E08">
        <w:rPr>
          <w:highlight w:val="white"/>
        </w:rPr>
        <w:t>од</w:t>
      </w:r>
      <w:r>
        <w:rPr>
          <w:highlight w:val="white"/>
        </w:rPr>
        <w:t>рш</w:t>
      </w:r>
      <w:r w:rsidR="00A56E08">
        <w:rPr>
          <w:highlight w:val="white"/>
        </w:rPr>
        <w:t>к</w:t>
      </w:r>
      <w:r w:rsidR="00EE6AA2">
        <w:rPr>
          <w:highlight w:val="white"/>
        </w:rPr>
        <w:t>е</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ницима</w:t>
      </w:r>
      <w:r w:rsidR="00847B04" w:rsidRPr="00F6340E">
        <w:rPr>
          <w:highlight w:val="white"/>
        </w:rPr>
        <w:t xml:space="preserve"> </w:t>
      </w:r>
      <w:r w:rsidR="00A56E08">
        <w:rPr>
          <w:highlight w:val="white"/>
        </w:rPr>
        <w:t>који</w:t>
      </w:r>
      <w:r w:rsidR="00847B04" w:rsidRPr="00F6340E">
        <w:rPr>
          <w:highlight w:val="white"/>
        </w:rPr>
        <w:t xml:space="preserve"> </w:t>
      </w:r>
      <w:r>
        <w:rPr>
          <w:highlight w:val="white"/>
        </w:rPr>
        <w:t>пр</w:t>
      </w:r>
      <w:r w:rsidR="00A56E08">
        <w:rPr>
          <w:highlight w:val="white"/>
        </w:rPr>
        <w:t>а</w:t>
      </w:r>
      <w:r>
        <w:rPr>
          <w:highlight w:val="white"/>
        </w:rPr>
        <w:t>т</w:t>
      </w:r>
      <w:r w:rsidR="00EE6AA2">
        <w:rPr>
          <w:highlight w:val="white"/>
        </w:rPr>
        <w:t>е</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ву</w:t>
      </w:r>
      <w:r w:rsidR="008424F0" w:rsidRPr="00F6340E">
        <w:rPr>
          <w:highlight w:val="white"/>
        </w:rPr>
        <w:t xml:space="preserve"> </w:t>
      </w:r>
      <w:r>
        <w:rPr>
          <w:highlight w:val="white"/>
        </w:rPr>
        <w:t>пут</w:t>
      </w:r>
      <w:r w:rsidR="00EE6AA2">
        <w:rPr>
          <w:highlight w:val="white"/>
        </w:rPr>
        <w:t>е</w:t>
      </w:r>
      <w:r w:rsidR="00A56E08">
        <w:rPr>
          <w:highlight w:val="white"/>
        </w:rPr>
        <w:t>м</w:t>
      </w:r>
      <w:r w:rsidR="008424F0" w:rsidRPr="00F6340E">
        <w:rPr>
          <w:highlight w:val="white"/>
        </w:rPr>
        <w:t xml:space="preserve"> </w:t>
      </w:r>
      <w:r w:rsidR="00A56E08">
        <w:rPr>
          <w:highlight w:val="white"/>
        </w:rPr>
        <w:t>ин</w:t>
      </w:r>
      <w:r>
        <w:rPr>
          <w:highlight w:val="white"/>
        </w:rPr>
        <w:t>т</w:t>
      </w:r>
      <w:r w:rsidR="00EE6AA2">
        <w:rPr>
          <w:highlight w:val="white"/>
        </w:rPr>
        <w:t>е</w:t>
      </w:r>
      <w:r>
        <w:rPr>
          <w:highlight w:val="white"/>
        </w:rPr>
        <w:t>р</w:t>
      </w:r>
      <w:r w:rsidR="00A56E08">
        <w:rPr>
          <w:highlight w:val="white"/>
        </w:rPr>
        <w:t>н</w:t>
      </w:r>
      <w:r w:rsidR="00EE6AA2">
        <w:rPr>
          <w:highlight w:val="white"/>
        </w:rPr>
        <w:t>е</w:t>
      </w:r>
      <w:r>
        <w:rPr>
          <w:highlight w:val="white"/>
        </w:rPr>
        <w:t>т</w:t>
      </w:r>
      <w:r w:rsidR="00A56E08">
        <w:rPr>
          <w:highlight w:val="white"/>
        </w:rPr>
        <w:t>а</w:t>
      </w:r>
      <w:r w:rsidR="00847B04" w:rsidRPr="00F6340E">
        <w:rPr>
          <w:highlight w:val="white"/>
        </w:rPr>
        <w:t xml:space="preserve">, </w:t>
      </w:r>
      <w:r>
        <w:rPr>
          <w:highlight w:val="white"/>
        </w:rPr>
        <w:t>р</w:t>
      </w:r>
      <w:r w:rsidR="00A56E08">
        <w:rPr>
          <w:highlight w:val="white"/>
        </w:rPr>
        <w:t>ад</w:t>
      </w:r>
      <w:r w:rsidR="00847B04" w:rsidRPr="00F6340E">
        <w:rPr>
          <w:highlight w:val="white"/>
        </w:rPr>
        <w:t xml:space="preserve"> </w:t>
      </w:r>
      <w:r>
        <w:rPr>
          <w:highlight w:val="white"/>
        </w:rPr>
        <w:t>с</w:t>
      </w:r>
      <w:r w:rsidR="00A56E08">
        <w:rPr>
          <w:highlight w:val="white"/>
        </w:rPr>
        <w:t>а</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ницима</w:t>
      </w:r>
      <w:r w:rsidR="00847B04" w:rsidRPr="00F6340E">
        <w:rPr>
          <w:highlight w:val="white"/>
        </w:rPr>
        <w:t xml:space="preserve"> </w:t>
      </w:r>
      <w:r w:rsidR="00A56E08">
        <w:rPr>
          <w:highlight w:val="white"/>
        </w:rPr>
        <w:t>који</w:t>
      </w:r>
      <w:r w:rsidR="00847B04" w:rsidRPr="00F6340E">
        <w:rPr>
          <w:highlight w:val="white"/>
        </w:rPr>
        <w:t xml:space="preserve"> </w:t>
      </w:r>
      <w:r>
        <w:rPr>
          <w:highlight w:val="white"/>
        </w:rPr>
        <w:t>пр</w:t>
      </w:r>
      <w:r w:rsidR="00A56E08">
        <w:rPr>
          <w:highlight w:val="white"/>
        </w:rPr>
        <w:t>и</w:t>
      </w:r>
      <w:r>
        <w:rPr>
          <w:highlight w:val="white"/>
        </w:rPr>
        <w:t>п</w:t>
      </w:r>
      <w:r w:rsidR="00A56E08">
        <w:rPr>
          <w:highlight w:val="white"/>
        </w:rPr>
        <w:t>адај</w:t>
      </w:r>
      <w:r>
        <w:rPr>
          <w:highlight w:val="white"/>
        </w:rPr>
        <w:t>у</w:t>
      </w:r>
      <w:r w:rsidR="00847B04" w:rsidRPr="00F6340E">
        <w:rPr>
          <w:highlight w:val="white"/>
        </w:rPr>
        <w:t xml:space="preserve"> </w:t>
      </w:r>
      <w:r w:rsidR="00A56E08">
        <w:rPr>
          <w:highlight w:val="white"/>
        </w:rPr>
        <w:t>ма</w:t>
      </w:r>
      <w:r>
        <w:rPr>
          <w:highlight w:val="white"/>
        </w:rPr>
        <w:t>р</w:t>
      </w:r>
      <w:r w:rsidR="00A56E08">
        <w:rPr>
          <w:highlight w:val="white"/>
        </w:rPr>
        <w:t>гинали</w:t>
      </w:r>
      <w:r w:rsidR="00171F00">
        <w:rPr>
          <w:highlight w:val="white"/>
        </w:rPr>
        <w:t>з</w:t>
      </w:r>
      <w:r w:rsidR="00A56E08">
        <w:rPr>
          <w:highlight w:val="white"/>
        </w:rPr>
        <w:t>о</w:t>
      </w:r>
      <w:r>
        <w:rPr>
          <w:highlight w:val="white"/>
        </w:rPr>
        <w:t>в</w:t>
      </w:r>
      <w:r w:rsidR="00A56E08">
        <w:rPr>
          <w:highlight w:val="white"/>
        </w:rPr>
        <w:t>аним</w:t>
      </w:r>
      <w:r w:rsidR="00847B04" w:rsidRPr="00F6340E">
        <w:rPr>
          <w:highlight w:val="white"/>
        </w:rPr>
        <w:t xml:space="preserve"> </w:t>
      </w:r>
      <w:r w:rsidR="00A56E08">
        <w:rPr>
          <w:highlight w:val="white"/>
        </w:rPr>
        <w:t>г</w:t>
      </w:r>
      <w:r>
        <w:rPr>
          <w:highlight w:val="white"/>
        </w:rPr>
        <w:t>руп</w:t>
      </w:r>
      <w:r w:rsidR="00A56E08">
        <w:rPr>
          <w:highlight w:val="white"/>
        </w:rPr>
        <w:t>ама</w:t>
      </w:r>
      <w:r w:rsidR="00847B04" w:rsidRPr="00F6340E">
        <w:rPr>
          <w:highlight w:val="white"/>
        </w:rPr>
        <w:t xml:space="preserve"> </w:t>
      </w:r>
      <w:r>
        <w:rPr>
          <w:highlight w:val="white"/>
        </w:rPr>
        <w:t>у</w:t>
      </w:r>
      <w:r w:rsidR="00947928"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и</w:t>
      </w:r>
      <w:r w:rsidR="00947928" w:rsidRPr="00F6340E">
        <w:rPr>
          <w:highlight w:val="white"/>
        </w:rPr>
        <w:t xml:space="preserve"> </w:t>
      </w:r>
      <w:r>
        <w:rPr>
          <w:highlight w:val="white"/>
        </w:rPr>
        <w:t>пут</w:t>
      </w:r>
      <w:r w:rsidR="00EE6AA2">
        <w:rPr>
          <w:highlight w:val="white"/>
        </w:rPr>
        <w:t>е</w:t>
      </w:r>
      <w:r w:rsidR="00A56E08">
        <w:rPr>
          <w:highlight w:val="white"/>
        </w:rPr>
        <w:t>м</w:t>
      </w:r>
      <w:r w:rsidR="00947928" w:rsidRPr="00F6340E">
        <w:rPr>
          <w:highlight w:val="white"/>
        </w:rPr>
        <w:t xml:space="preserve"> </w:t>
      </w:r>
      <w:r w:rsidR="00A56E08">
        <w:rPr>
          <w:highlight w:val="white"/>
        </w:rPr>
        <w:t>ин</w:t>
      </w:r>
      <w:r>
        <w:rPr>
          <w:highlight w:val="white"/>
        </w:rPr>
        <w:t>т</w:t>
      </w:r>
      <w:r w:rsidR="00EE6AA2">
        <w:rPr>
          <w:highlight w:val="white"/>
        </w:rPr>
        <w:t>е</w:t>
      </w:r>
      <w:r>
        <w:rPr>
          <w:highlight w:val="white"/>
        </w:rPr>
        <w:t>р</w:t>
      </w:r>
      <w:r w:rsidR="00A56E08">
        <w:rPr>
          <w:highlight w:val="white"/>
        </w:rPr>
        <w:t>н</w:t>
      </w:r>
      <w:r w:rsidR="00EE6AA2">
        <w:rPr>
          <w:highlight w:val="white"/>
        </w:rPr>
        <w:t>е</w:t>
      </w:r>
      <w:r>
        <w:rPr>
          <w:highlight w:val="white"/>
        </w:rPr>
        <w:t>т</w:t>
      </w:r>
      <w:r w:rsidR="00A56E08">
        <w:rPr>
          <w:highlight w:val="white"/>
        </w:rPr>
        <w:t>а</w:t>
      </w:r>
      <w:r w:rsidR="00947928" w:rsidRPr="00F6340E">
        <w:rPr>
          <w:highlight w:val="white"/>
        </w:rPr>
        <w:t xml:space="preserve"> </w:t>
      </w:r>
      <w:r w:rsidR="00A56E08">
        <w:rPr>
          <w:highlight w:val="white"/>
        </w:rPr>
        <w:t>и</w:t>
      </w:r>
      <w:r w:rsidR="00847B04" w:rsidRPr="00F6340E">
        <w:rPr>
          <w:highlight w:val="white"/>
        </w:rPr>
        <w:t xml:space="preserve"> </w:t>
      </w:r>
      <w:r w:rsidR="00A56E08">
        <w:rPr>
          <w:highlight w:val="white"/>
        </w:rPr>
        <w:t>комбино</w:t>
      </w:r>
      <w:r>
        <w:rPr>
          <w:highlight w:val="white"/>
        </w:rPr>
        <w:t>в</w:t>
      </w:r>
      <w:r w:rsidR="00A56E08">
        <w:rPr>
          <w:highlight w:val="white"/>
        </w:rPr>
        <w:t>аној</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и</w:t>
      </w:r>
      <w:r w:rsidR="00847B04" w:rsidRPr="00F6340E">
        <w:rPr>
          <w:highlight w:val="white"/>
        </w:rPr>
        <w:t xml:space="preserve">, </w:t>
      </w:r>
      <w:r w:rsidR="00A56E08">
        <w:rPr>
          <w:highlight w:val="white"/>
        </w:rPr>
        <w:t>оч</w:t>
      </w:r>
      <w:r>
        <w:rPr>
          <w:highlight w:val="white"/>
        </w:rPr>
        <w:t>ув</w:t>
      </w:r>
      <w:r w:rsidR="00A56E08">
        <w:rPr>
          <w:highlight w:val="white"/>
        </w:rPr>
        <w:t>ањ</w:t>
      </w:r>
      <w:r w:rsidR="00EE6AA2">
        <w:rPr>
          <w:highlight w:val="white"/>
        </w:rPr>
        <w:t>е</w:t>
      </w:r>
      <w:r w:rsidR="00847B04" w:rsidRPr="00F6340E">
        <w:rPr>
          <w:highlight w:val="white"/>
        </w:rPr>
        <w:t xml:space="preserve"> </w:t>
      </w:r>
      <w:r w:rsidR="00A56E08">
        <w:rPr>
          <w:highlight w:val="white"/>
        </w:rPr>
        <w:t>м</w:t>
      </w:r>
      <w:r w:rsidR="00EE6AA2">
        <w:rPr>
          <w:highlight w:val="white"/>
        </w:rPr>
        <w:t>е</w:t>
      </w:r>
      <w:r w:rsidR="00A56E08">
        <w:rPr>
          <w:highlight w:val="white"/>
        </w:rPr>
        <w:t>н</w:t>
      </w:r>
      <w:r>
        <w:rPr>
          <w:highlight w:val="white"/>
        </w:rPr>
        <w:t>т</w:t>
      </w:r>
      <w:r w:rsidR="00A56E08">
        <w:rPr>
          <w:highlight w:val="white"/>
        </w:rPr>
        <w:t>алног</w:t>
      </w:r>
      <w:r w:rsidR="00847B04" w:rsidRPr="00F6340E">
        <w:rPr>
          <w:highlight w:val="white"/>
        </w:rPr>
        <w:t xml:space="preserve"> </w:t>
      </w:r>
      <w:r w:rsidR="00171F00">
        <w:rPr>
          <w:highlight w:val="white"/>
        </w:rPr>
        <w:t>з</w:t>
      </w:r>
      <w:r w:rsidR="00A56E08">
        <w:rPr>
          <w:highlight w:val="white"/>
        </w:rPr>
        <w:t>д</w:t>
      </w:r>
      <w:r>
        <w:rPr>
          <w:highlight w:val="white"/>
        </w:rPr>
        <w:t>р</w:t>
      </w:r>
      <w:r w:rsidR="00A56E08">
        <w:rPr>
          <w:highlight w:val="white"/>
        </w:rPr>
        <w:t>а</w:t>
      </w:r>
      <w:r>
        <w:rPr>
          <w:highlight w:val="white"/>
        </w:rPr>
        <w:t>в</w:t>
      </w:r>
      <w:r w:rsidR="00A56E08">
        <w:rPr>
          <w:highlight w:val="white"/>
        </w:rPr>
        <w:t>ља</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пр</w:t>
      </w:r>
      <w:r w:rsidR="00A56E08">
        <w:rPr>
          <w:highlight w:val="white"/>
        </w:rPr>
        <w:t>оф</w:t>
      </w:r>
      <w:r w:rsidR="00EE6AA2">
        <w:rPr>
          <w:highlight w:val="white"/>
        </w:rPr>
        <w:t>е</w:t>
      </w:r>
      <w:r>
        <w:rPr>
          <w:highlight w:val="white"/>
        </w:rPr>
        <w:t>с</w:t>
      </w:r>
      <w:r w:rsidR="00A56E08">
        <w:rPr>
          <w:highlight w:val="white"/>
        </w:rPr>
        <w:t>ионалаца</w:t>
      </w:r>
      <w:r w:rsidR="00847B04" w:rsidRPr="00F6340E">
        <w:rPr>
          <w:highlight w:val="white"/>
        </w:rPr>
        <w:t xml:space="preserve"> </w:t>
      </w:r>
      <w:r>
        <w:rPr>
          <w:highlight w:val="white"/>
        </w:rPr>
        <w:t>т</w:t>
      </w:r>
      <w:r w:rsidR="00A56E08">
        <w:rPr>
          <w:highlight w:val="white"/>
        </w:rPr>
        <w:t>оком</w:t>
      </w:r>
      <w:r w:rsidR="00847B04" w:rsidRPr="00F6340E">
        <w:rPr>
          <w:highlight w:val="white"/>
        </w:rPr>
        <w:t xml:space="preserve"> </w:t>
      </w:r>
      <w:r w:rsidR="00A56E08">
        <w:rPr>
          <w:highlight w:val="white"/>
        </w:rPr>
        <w:t>об</w:t>
      </w:r>
      <w:r>
        <w:rPr>
          <w:highlight w:val="white"/>
        </w:rPr>
        <w:t>р</w:t>
      </w:r>
      <w:r w:rsidR="00A56E08">
        <w:rPr>
          <w:highlight w:val="white"/>
        </w:rPr>
        <w:t>а</w:t>
      </w:r>
      <w:r w:rsidR="00171F00">
        <w:rPr>
          <w:highlight w:val="white"/>
        </w:rPr>
        <w:t>з</w:t>
      </w:r>
      <w:r w:rsidR="00A56E08">
        <w:rPr>
          <w:highlight w:val="white"/>
        </w:rPr>
        <w:t>о</w:t>
      </w:r>
      <w:r>
        <w:rPr>
          <w:highlight w:val="white"/>
        </w:rPr>
        <w:t>в</w:t>
      </w:r>
      <w:r w:rsidR="00A56E08">
        <w:rPr>
          <w:highlight w:val="white"/>
        </w:rPr>
        <w:t>ног</w:t>
      </w:r>
      <w:r w:rsidR="00847B04" w:rsidRPr="00F6340E">
        <w:rPr>
          <w:highlight w:val="white"/>
        </w:rPr>
        <w:t xml:space="preserve"> </w:t>
      </w:r>
      <w:r>
        <w:rPr>
          <w:highlight w:val="white"/>
        </w:rPr>
        <w:t>пр</w:t>
      </w:r>
      <w:r w:rsidR="00A56E08">
        <w:rPr>
          <w:highlight w:val="white"/>
        </w:rPr>
        <w:t>оц</w:t>
      </w:r>
      <w:r w:rsidR="00EE6AA2">
        <w:rPr>
          <w:highlight w:val="white"/>
        </w:rPr>
        <w:t>е</w:t>
      </w:r>
      <w:r>
        <w:rPr>
          <w:highlight w:val="white"/>
        </w:rPr>
        <w:t>с</w:t>
      </w:r>
      <w:r w:rsidR="00A56E08">
        <w:rPr>
          <w:highlight w:val="white"/>
        </w:rPr>
        <w:t>а</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Pr>
          <w:highlight w:val="white"/>
        </w:rPr>
        <w:t>с</w:t>
      </w:r>
      <w:r w:rsidR="00A56E08">
        <w:rPr>
          <w:highlight w:val="white"/>
        </w:rPr>
        <w:t>оцио</w:t>
      </w:r>
      <w:r w:rsidR="00847B04" w:rsidRPr="00F6340E">
        <w:rPr>
          <w:highlight w:val="white"/>
        </w:rPr>
        <w:t>-</w:t>
      </w:r>
      <w:r w:rsidR="00EE6AA2">
        <w:rPr>
          <w:highlight w:val="white"/>
        </w:rPr>
        <w:t>е</w:t>
      </w:r>
      <w:r w:rsidR="00A56E08">
        <w:rPr>
          <w:highlight w:val="white"/>
        </w:rPr>
        <w:t>моционалних</w:t>
      </w:r>
      <w:r w:rsidR="00847B04" w:rsidRPr="00F6340E">
        <w:rPr>
          <w:highlight w:val="white"/>
        </w:rPr>
        <w:t xml:space="preserve"> </w:t>
      </w:r>
      <w:r w:rsidR="00A56E08">
        <w:rPr>
          <w:highlight w:val="white"/>
        </w:rPr>
        <w:t>ком</w:t>
      </w:r>
      <w:r>
        <w:rPr>
          <w:highlight w:val="white"/>
        </w:rPr>
        <w:t>п</w:t>
      </w:r>
      <w:r w:rsidR="00EE6AA2">
        <w:rPr>
          <w:highlight w:val="white"/>
        </w:rPr>
        <w:t>е</w:t>
      </w:r>
      <w:r>
        <w:rPr>
          <w:highlight w:val="white"/>
        </w:rPr>
        <w:t>т</w:t>
      </w:r>
      <w:r w:rsidR="00EE6AA2">
        <w:rPr>
          <w:highlight w:val="white"/>
        </w:rPr>
        <w:t>е</w:t>
      </w:r>
      <w:r w:rsidR="00A56E08">
        <w:rPr>
          <w:highlight w:val="white"/>
        </w:rPr>
        <w:t>нција</w:t>
      </w:r>
      <w:r w:rsidR="00847B04" w:rsidRPr="00F6340E">
        <w:rPr>
          <w:highlight w:val="white"/>
        </w:rPr>
        <w:t xml:space="preserve"> </w:t>
      </w:r>
      <w:r w:rsidR="00A56E08">
        <w:rPr>
          <w:highlight w:val="white"/>
        </w:rPr>
        <w:t>код</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Pr>
          <w:highlight w:val="white"/>
        </w:rPr>
        <w:t>п</w:t>
      </w:r>
      <w:r w:rsidR="00A56E08">
        <w:rPr>
          <w:highlight w:val="white"/>
        </w:rPr>
        <w:t>а</w:t>
      </w:r>
      <w:r>
        <w:rPr>
          <w:highlight w:val="white"/>
        </w:rPr>
        <w:t>рт</w:t>
      </w:r>
      <w:r w:rsidR="00A56E08">
        <w:rPr>
          <w:highlight w:val="white"/>
        </w:rPr>
        <w:t>н</w:t>
      </w:r>
      <w:r w:rsidR="00EE6AA2">
        <w:rPr>
          <w:highlight w:val="white"/>
        </w:rPr>
        <w:t>е</w:t>
      </w:r>
      <w:r>
        <w:rPr>
          <w:highlight w:val="white"/>
        </w:rPr>
        <w:t>рс</w:t>
      </w:r>
      <w:r w:rsidR="00A56E08">
        <w:rPr>
          <w:highlight w:val="white"/>
        </w:rPr>
        <w:t>ког</w:t>
      </w:r>
      <w:r w:rsidR="00847B04" w:rsidRPr="00F6340E">
        <w:rPr>
          <w:highlight w:val="white"/>
        </w:rPr>
        <w:t xml:space="preserve"> </w:t>
      </w:r>
      <w:r w:rsidR="00A56E08">
        <w:rPr>
          <w:highlight w:val="white"/>
        </w:rPr>
        <w:t>одно</w:t>
      </w:r>
      <w:r>
        <w:rPr>
          <w:highlight w:val="white"/>
        </w:rPr>
        <w:t>с</w:t>
      </w:r>
      <w:r w:rsidR="00A56E08">
        <w:rPr>
          <w:highlight w:val="white"/>
        </w:rPr>
        <w:t>а</w:t>
      </w:r>
      <w:r w:rsidR="00847B04" w:rsidRPr="00F6340E">
        <w:rPr>
          <w:highlight w:val="white"/>
        </w:rPr>
        <w:t xml:space="preserve"> </w:t>
      </w:r>
      <w:r>
        <w:rPr>
          <w:highlight w:val="white"/>
        </w:rPr>
        <w:t>с</w:t>
      </w:r>
      <w:r w:rsidR="00A56E08">
        <w:rPr>
          <w:highlight w:val="white"/>
        </w:rPr>
        <w:t>а</w:t>
      </w:r>
      <w:r w:rsidR="00847B04" w:rsidRPr="00F6340E">
        <w:rPr>
          <w:highlight w:val="white"/>
        </w:rPr>
        <w:t xml:space="preserve"> </w:t>
      </w:r>
      <w:r>
        <w:rPr>
          <w:highlight w:val="white"/>
        </w:rPr>
        <w:t>р</w:t>
      </w:r>
      <w:r w:rsidR="00A56E08">
        <w:rPr>
          <w:highlight w:val="white"/>
        </w:rPr>
        <w:t>оди</w:t>
      </w:r>
      <w:r>
        <w:rPr>
          <w:highlight w:val="white"/>
        </w:rPr>
        <w:t>т</w:t>
      </w:r>
      <w:r w:rsidR="00EE6AA2">
        <w:rPr>
          <w:highlight w:val="white"/>
        </w:rPr>
        <w:t>е</w:t>
      </w:r>
      <w:r w:rsidR="00A56E08">
        <w:rPr>
          <w:highlight w:val="white"/>
        </w:rPr>
        <w:t>љима</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sidR="00A56E08">
        <w:rPr>
          <w:highlight w:val="white"/>
        </w:rPr>
        <w:t>инкл</w:t>
      </w:r>
      <w:r>
        <w:rPr>
          <w:highlight w:val="white"/>
        </w:rPr>
        <w:t>у</w:t>
      </w:r>
      <w:r w:rsidR="00171F00">
        <w:rPr>
          <w:highlight w:val="white"/>
        </w:rPr>
        <w:t>з</w:t>
      </w:r>
      <w:r w:rsidR="00A56E08">
        <w:rPr>
          <w:highlight w:val="white"/>
        </w:rPr>
        <w:t>и</w:t>
      </w:r>
      <w:r>
        <w:rPr>
          <w:highlight w:val="white"/>
        </w:rPr>
        <w:t>в</w:t>
      </w:r>
      <w:r w:rsidR="00A56E08">
        <w:rPr>
          <w:highlight w:val="white"/>
        </w:rPr>
        <w:t>н</w:t>
      </w:r>
      <w:r w:rsidR="00EE6AA2">
        <w:rPr>
          <w:highlight w:val="white"/>
        </w:rPr>
        <w:t>е</w:t>
      </w:r>
      <w:r w:rsidR="00847B04" w:rsidRPr="00F6340E">
        <w:rPr>
          <w:highlight w:val="white"/>
        </w:rPr>
        <w:t xml:space="preserve"> </w:t>
      </w:r>
      <w:r w:rsidR="00A56E08">
        <w:rPr>
          <w:highlight w:val="white"/>
        </w:rPr>
        <w:t>к</w:t>
      </w:r>
      <w:r>
        <w:rPr>
          <w:highlight w:val="white"/>
        </w:rPr>
        <w:t>у</w:t>
      </w:r>
      <w:r w:rsidR="00A56E08">
        <w:rPr>
          <w:highlight w:val="white"/>
        </w:rPr>
        <w:t>л</w:t>
      </w:r>
      <w:r>
        <w:rPr>
          <w:highlight w:val="white"/>
        </w:rPr>
        <w:t>тур</w:t>
      </w:r>
      <w:r w:rsidR="00EE6AA2">
        <w:rPr>
          <w:highlight w:val="white"/>
        </w:rPr>
        <w:t>е</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п</w:t>
      </w:r>
      <w:r w:rsidR="00A56E08">
        <w:rPr>
          <w:highlight w:val="white"/>
        </w:rPr>
        <w:t>оли</w:t>
      </w:r>
      <w:r>
        <w:rPr>
          <w:highlight w:val="white"/>
        </w:rPr>
        <w:t>т</w:t>
      </w:r>
      <w:r w:rsidR="00A56E08">
        <w:rPr>
          <w:highlight w:val="white"/>
        </w:rPr>
        <w:t>ик</w:t>
      </w:r>
      <w:r w:rsidR="00EE6AA2">
        <w:rPr>
          <w:highlight w:val="white"/>
        </w:rPr>
        <w:t>е</w:t>
      </w:r>
      <w:r w:rsidR="00847B04" w:rsidRPr="00F6340E">
        <w:rPr>
          <w:highlight w:val="white"/>
        </w:rPr>
        <w:t xml:space="preserve"> </w:t>
      </w:r>
      <w:r>
        <w:rPr>
          <w:highlight w:val="white"/>
        </w:rPr>
        <w:t>ш</w:t>
      </w:r>
      <w:r w:rsidR="00A56E08">
        <w:rPr>
          <w:highlight w:val="white"/>
        </w:rPr>
        <w:t>кол</w:t>
      </w:r>
      <w:r w:rsidR="00EE6AA2">
        <w:rPr>
          <w:highlight w:val="white"/>
        </w:rPr>
        <w:t>е</w:t>
      </w:r>
      <w:r w:rsidR="00847B04" w:rsidRPr="00F6340E">
        <w:rPr>
          <w:highlight w:val="white"/>
        </w:rPr>
        <w:t xml:space="preserve">, </w:t>
      </w:r>
      <w:r>
        <w:rPr>
          <w:highlight w:val="white"/>
        </w:rPr>
        <w:t>т</w:t>
      </w:r>
      <w:r w:rsidR="00EE6AA2">
        <w:rPr>
          <w:highlight w:val="white"/>
        </w:rPr>
        <w:t>е</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sidR="00A56E08">
        <w:rPr>
          <w:highlight w:val="white"/>
        </w:rPr>
        <w:t>инкл</w:t>
      </w:r>
      <w:r>
        <w:rPr>
          <w:highlight w:val="white"/>
        </w:rPr>
        <w:t>у</w:t>
      </w:r>
      <w:r w:rsidR="00171F00">
        <w:rPr>
          <w:highlight w:val="white"/>
        </w:rPr>
        <w:t>з</w:t>
      </w:r>
      <w:r w:rsidR="00A56E08">
        <w:rPr>
          <w:highlight w:val="white"/>
        </w:rPr>
        <w:t>и</w:t>
      </w:r>
      <w:r>
        <w:rPr>
          <w:highlight w:val="white"/>
        </w:rPr>
        <w:t>в</w:t>
      </w:r>
      <w:r w:rsidR="00A56E08">
        <w:rPr>
          <w:highlight w:val="white"/>
        </w:rPr>
        <w:t>н</w:t>
      </w:r>
      <w:r w:rsidR="00EE6AA2">
        <w:rPr>
          <w:highlight w:val="white"/>
        </w:rPr>
        <w:t>е</w:t>
      </w:r>
      <w:r w:rsidR="00847B04" w:rsidRPr="00F6340E">
        <w:rPr>
          <w:highlight w:val="white"/>
        </w:rPr>
        <w:t xml:space="preserve"> </w:t>
      </w:r>
      <w:r>
        <w:rPr>
          <w:highlight w:val="white"/>
        </w:rPr>
        <w:t>пр</w:t>
      </w:r>
      <w:r w:rsidR="00A56E08">
        <w:rPr>
          <w:highlight w:val="white"/>
        </w:rPr>
        <w:t>ак</w:t>
      </w:r>
      <w:r>
        <w:rPr>
          <w:highlight w:val="white"/>
        </w:rPr>
        <w:t>с</w:t>
      </w:r>
      <w:r w:rsidR="00EE6AA2">
        <w:rPr>
          <w:highlight w:val="white"/>
        </w:rPr>
        <w:t>е</w:t>
      </w:r>
      <w:r w:rsidR="00847B04" w:rsidRPr="00F6340E">
        <w:rPr>
          <w:highlight w:val="white"/>
        </w:rPr>
        <w:t xml:space="preserve"> </w:t>
      </w:r>
      <w:r>
        <w:rPr>
          <w:highlight w:val="white"/>
        </w:rPr>
        <w:t>у</w:t>
      </w:r>
      <w:r w:rsidR="00847B04" w:rsidRPr="00F6340E">
        <w:rPr>
          <w:highlight w:val="white"/>
        </w:rPr>
        <w:t xml:space="preserve"> </w:t>
      </w:r>
      <w:r>
        <w:rPr>
          <w:highlight w:val="white"/>
        </w:rPr>
        <w:t>у</w:t>
      </w:r>
      <w:r w:rsidR="00A56E08">
        <w:rPr>
          <w:highlight w:val="white"/>
        </w:rPr>
        <w:t>чионици</w:t>
      </w:r>
      <w:r w:rsidR="00847B04" w:rsidRPr="00F6340E">
        <w:rPr>
          <w:highlight w:val="white"/>
        </w:rPr>
        <w:t xml:space="preserve">. </w:t>
      </w:r>
      <w:r w:rsidR="00A56E08">
        <w:rPr>
          <w:highlight w:val="white"/>
        </w:rPr>
        <w:t>Када</w:t>
      </w:r>
      <w:r w:rsidR="00847B04" w:rsidRPr="00F6340E">
        <w:rPr>
          <w:highlight w:val="white"/>
        </w:rPr>
        <w:t xml:space="preserve"> </w:t>
      </w:r>
      <w:r w:rsidR="00A56E08">
        <w:rPr>
          <w:highlight w:val="white"/>
        </w:rPr>
        <w:t>ј</w:t>
      </w:r>
      <w:r w:rsidR="00EE6AA2">
        <w:rPr>
          <w:highlight w:val="white"/>
        </w:rPr>
        <w:t>е</w:t>
      </w:r>
      <w:r w:rsidR="00847B04" w:rsidRPr="00F6340E">
        <w:rPr>
          <w:highlight w:val="white"/>
        </w:rPr>
        <w:t xml:space="preserve"> </w:t>
      </w:r>
      <w:r>
        <w:rPr>
          <w:highlight w:val="white"/>
        </w:rPr>
        <w:t>р</w:t>
      </w:r>
      <w:r w:rsidR="00A56E08">
        <w:rPr>
          <w:highlight w:val="white"/>
        </w:rPr>
        <w:t>иј</w:t>
      </w:r>
      <w:r w:rsidR="00EE6AA2">
        <w:rPr>
          <w:highlight w:val="white"/>
        </w:rPr>
        <w:t>е</w:t>
      </w:r>
      <w:r w:rsidR="00A56E08">
        <w:rPr>
          <w:highlight w:val="white"/>
        </w:rPr>
        <w:t>ч</w:t>
      </w:r>
      <w:r w:rsidR="00847B04" w:rsidRPr="00F6340E">
        <w:rPr>
          <w:highlight w:val="white"/>
        </w:rPr>
        <w:t xml:space="preserve"> </w:t>
      </w:r>
      <w:r w:rsidR="00A56E08">
        <w:rPr>
          <w:highlight w:val="white"/>
        </w:rPr>
        <w:lastRenderedPageBreak/>
        <w:t>о</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Pr>
          <w:highlight w:val="white"/>
        </w:rPr>
        <w:t>у</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sidR="00A56E08">
        <w:rPr>
          <w:highlight w:val="white"/>
        </w:rPr>
        <w:t>ком</w:t>
      </w:r>
      <w:r>
        <w:rPr>
          <w:highlight w:val="white"/>
        </w:rPr>
        <w:t>п</w:t>
      </w:r>
      <w:r w:rsidR="00EE6AA2">
        <w:rPr>
          <w:highlight w:val="white"/>
        </w:rPr>
        <w:t>е</w:t>
      </w:r>
      <w:r>
        <w:rPr>
          <w:highlight w:val="white"/>
        </w:rPr>
        <w:t>т</w:t>
      </w:r>
      <w:r w:rsidR="00EE6AA2">
        <w:rPr>
          <w:highlight w:val="white"/>
        </w:rPr>
        <w:t>е</w:t>
      </w:r>
      <w:r w:rsidR="00A56E08">
        <w:rPr>
          <w:highlight w:val="white"/>
        </w:rPr>
        <w:t>нција</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w:t>
      </w:r>
      <w:r w:rsidR="00A56E08">
        <w:rPr>
          <w:highlight w:val="white"/>
        </w:rPr>
        <w:t>ника</w:t>
      </w:r>
      <w:r w:rsidR="00847B04" w:rsidRPr="00F6340E">
        <w:rPr>
          <w:highlight w:val="white"/>
        </w:rPr>
        <w:t xml:space="preserve">, </w:t>
      </w:r>
      <w:r w:rsidR="00A56E08">
        <w:rPr>
          <w:highlight w:val="white"/>
        </w:rPr>
        <w:t>на</w:t>
      </w:r>
      <w:r>
        <w:rPr>
          <w:highlight w:val="white"/>
        </w:rPr>
        <w:t>в</w:t>
      </w:r>
      <w:r w:rsidR="00A56E08">
        <w:rPr>
          <w:highlight w:val="white"/>
        </w:rPr>
        <w:t>оди</w:t>
      </w:r>
      <w:r w:rsidR="00847B04" w:rsidRPr="00F6340E">
        <w:rPr>
          <w:highlight w:val="white"/>
        </w:rPr>
        <w:t xml:space="preserve"> </w:t>
      </w:r>
      <w:r>
        <w:rPr>
          <w:highlight w:val="white"/>
        </w:rPr>
        <w:t>с</w:t>
      </w:r>
      <w:r w:rsidR="00EE6AA2">
        <w:rPr>
          <w:highlight w:val="white"/>
        </w:rPr>
        <w:t>е</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да</w:t>
      </w:r>
      <w:r w:rsidR="00847B04" w:rsidRPr="00F6340E">
        <w:rPr>
          <w:highlight w:val="white"/>
        </w:rPr>
        <w:t xml:space="preserve"> </w:t>
      </w:r>
      <w:r w:rsidR="00A56E08">
        <w:rPr>
          <w:highlight w:val="white"/>
        </w:rPr>
        <w:t>ј</w:t>
      </w:r>
      <w:r w:rsidR="00EE6AA2">
        <w:rPr>
          <w:highlight w:val="white"/>
        </w:rPr>
        <w:t>е</w:t>
      </w:r>
      <w:r w:rsidR="00847B04" w:rsidRPr="00F6340E">
        <w:rPr>
          <w:highlight w:val="white"/>
        </w:rPr>
        <w:t xml:space="preserve"> </w:t>
      </w:r>
      <w:r>
        <w:rPr>
          <w:highlight w:val="white"/>
        </w:rPr>
        <w:t>п</w:t>
      </w:r>
      <w:r w:rsidR="00A56E08">
        <w:rPr>
          <w:highlight w:val="white"/>
        </w:rPr>
        <w:t>о</w:t>
      </w:r>
      <w:r>
        <w:rPr>
          <w:highlight w:val="white"/>
        </w:rPr>
        <w:t>тр</w:t>
      </w:r>
      <w:r w:rsidR="00EE6AA2">
        <w:rPr>
          <w:highlight w:val="white"/>
        </w:rPr>
        <w:t>е</w:t>
      </w:r>
      <w:r w:rsidR="00A56E08">
        <w:rPr>
          <w:highlight w:val="white"/>
        </w:rPr>
        <w:t>бно</w:t>
      </w:r>
      <w:r w:rsidR="00847B04" w:rsidRPr="00F6340E">
        <w:rPr>
          <w:highlight w:val="white"/>
        </w:rPr>
        <w:t xml:space="preserve"> </w:t>
      </w:r>
      <w:r w:rsidR="00A56E08">
        <w:rPr>
          <w:highlight w:val="white"/>
        </w:rPr>
        <w:t>об</w:t>
      </w:r>
      <w:r>
        <w:rPr>
          <w:highlight w:val="white"/>
        </w:rPr>
        <w:t>р</w:t>
      </w:r>
      <w:r w:rsidR="00A56E08">
        <w:rPr>
          <w:highlight w:val="white"/>
        </w:rPr>
        <w:t>а</w:t>
      </w:r>
      <w:r>
        <w:rPr>
          <w:highlight w:val="white"/>
        </w:rPr>
        <w:t>т</w:t>
      </w:r>
      <w:r w:rsidR="00A56E08">
        <w:rPr>
          <w:highlight w:val="white"/>
        </w:rPr>
        <w:t>и</w:t>
      </w:r>
      <w:r>
        <w:rPr>
          <w:highlight w:val="white"/>
        </w:rPr>
        <w:t>т</w:t>
      </w:r>
      <w:r w:rsidR="00A56E08">
        <w:rPr>
          <w:highlight w:val="white"/>
        </w:rPr>
        <w:t>и</w:t>
      </w:r>
      <w:r w:rsidR="00847B04" w:rsidRPr="00F6340E">
        <w:rPr>
          <w:highlight w:val="white"/>
        </w:rPr>
        <w:t xml:space="preserve"> </w:t>
      </w:r>
      <w:r>
        <w:rPr>
          <w:highlight w:val="white"/>
        </w:rPr>
        <w:t>п</w:t>
      </w:r>
      <w:r w:rsidR="00A56E08">
        <w:rPr>
          <w:highlight w:val="white"/>
        </w:rPr>
        <w:t>а</w:t>
      </w:r>
      <w:r w:rsidR="00171F00">
        <w:rPr>
          <w:highlight w:val="white"/>
        </w:rPr>
        <w:t>ж</w:t>
      </w:r>
      <w:r w:rsidR="00A56E08">
        <w:rPr>
          <w:highlight w:val="white"/>
        </w:rPr>
        <w:t>њ</w:t>
      </w:r>
      <w:r>
        <w:rPr>
          <w:highlight w:val="white"/>
        </w:rPr>
        <w:t>у</w:t>
      </w:r>
      <w:r w:rsidR="00847B04" w:rsidRPr="00F6340E">
        <w:rPr>
          <w:highlight w:val="white"/>
        </w:rPr>
        <w:t xml:space="preserve"> </w:t>
      </w:r>
      <w:r w:rsidR="00A56E08">
        <w:rPr>
          <w:highlight w:val="white"/>
        </w:rPr>
        <w:t>на</w:t>
      </w:r>
      <w:r w:rsidR="00847B04" w:rsidRPr="00F6340E">
        <w:rPr>
          <w:highlight w:val="white"/>
        </w:rPr>
        <w:t xml:space="preserve"> </w:t>
      </w:r>
      <w:r>
        <w:rPr>
          <w:highlight w:val="white"/>
        </w:rPr>
        <w:t>с</w:t>
      </w:r>
      <w:r w:rsidR="00A56E08">
        <w:rPr>
          <w:highlight w:val="white"/>
        </w:rPr>
        <w:t>љ</w:t>
      </w:r>
      <w:r w:rsidR="00EE6AA2">
        <w:rPr>
          <w:highlight w:val="white"/>
        </w:rPr>
        <w:t>е</w:t>
      </w:r>
      <w:r w:rsidR="00A56E08">
        <w:rPr>
          <w:highlight w:val="white"/>
        </w:rPr>
        <w:t>д</w:t>
      </w:r>
      <w:r w:rsidR="00EE6AA2">
        <w:rPr>
          <w:highlight w:val="white"/>
        </w:rPr>
        <w:t>е</w:t>
      </w:r>
      <w:r w:rsidR="00A56E08">
        <w:rPr>
          <w:highlight w:val="white"/>
        </w:rPr>
        <w:t>ћ</w:t>
      </w:r>
      <w:r w:rsidR="00EE6AA2">
        <w:rPr>
          <w:highlight w:val="white"/>
        </w:rPr>
        <w:t>е</w:t>
      </w:r>
      <w:r w:rsidR="00847B04" w:rsidRPr="00F6340E">
        <w:rPr>
          <w:highlight w:val="white"/>
        </w:rPr>
        <w:t xml:space="preserve"> </w:t>
      </w:r>
      <w:r w:rsidR="00A56E08">
        <w:rPr>
          <w:highlight w:val="white"/>
        </w:rPr>
        <w:t>обла</w:t>
      </w:r>
      <w:r>
        <w:rPr>
          <w:highlight w:val="white"/>
        </w:rPr>
        <w:t>ст</w:t>
      </w:r>
      <w:r w:rsidR="00A56E08">
        <w:rPr>
          <w:highlight w:val="white"/>
        </w:rPr>
        <w:t>и</w:t>
      </w:r>
      <w:r w:rsidR="00847B04" w:rsidRPr="00F6340E">
        <w:rPr>
          <w:highlight w:val="white"/>
        </w:rPr>
        <w:t>:</w:t>
      </w:r>
    </w:p>
    <w:p w14:paraId="4F3D2D02" w14:textId="2D2539F1" w:rsidR="00847B04" w:rsidRPr="00F6340E" w:rsidRDefault="0071360A" w:rsidP="00D976C8">
      <w:pPr>
        <w:pStyle w:val="Bulletlist"/>
        <w:rPr>
          <w:highlight w:val="white"/>
          <w:u w:val="single"/>
        </w:rPr>
      </w:pP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Pr>
          <w:highlight w:val="white"/>
        </w:rPr>
        <w:t>пр</w:t>
      </w:r>
      <w:r w:rsidR="00A56E08">
        <w:rPr>
          <w:highlight w:val="white"/>
        </w:rPr>
        <w:t>оф</w:t>
      </w:r>
      <w:r w:rsidR="00EE6AA2">
        <w:rPr>
          <w:highlight w:val="white"/>
        </w:rPr>
        <w:t>е</w:t>
      </w:r>
      <w:r>
        <w:rPr>
          <w:highlight w:val="white"/>
        </w:rPr>
        <w:t>с</w:t>
      </w:r>
      <w:r w:rsidR="00A56E08">
        <w:rPr>
          <w:highlight w:val="white"/>
        </w:rPr>
        <w:t>ионалних</w:t>
      </w:r>
      <w:r w:rsidR="00847B04" w:rsidRPr="00F6340E">
        <w:rPr>
          <w:highlight w:val="white"/>
        </w:rPr>
        <w:t xml:space="preserve"> </w:t>
      </w:r>
      <w:r w:rsidR="00A56E08">
        <w:rPr>
          <w:highlight w:val="white"/>
        </w:rPr>
        <w:t>ком</w:t>
      </w:r>
      <w:r>
        <w:rPr>
          <w:highlight w:val="white"/>
        </w:rPr>
        <w:t>п</w:t>
      </w:r>
      <w:r w:rsidR="00EE6AA2">
        <w:rPr>
          <w:highlight w:val="white"/>
        </w:rPr>
        <w:t>е</w:t>
      </w:r>
      <w:r>
        <w:rPr>
          <w:highlight w:val="white"/>
        </w:rPr>
        <w:t>т</w:t>
      </w:r>
      <w:r w:rsidR="00EE6AA2">
        <w:rPr>
          <w:highlight w:val="white"/>
        </w:rPr>
        <w:t>е</w:t>
      </w:r>
      <w:r w:rsidR="00A56E08">
        <w:rPr>
          <w:highlight w:val="white"/>
        </w:rPr>
        <w:t>нција</w:t>
      </w:r>
      <w:r w:rsidR="00847B04" w:rsidRPr="00F6340E">
        <w:rPr>
          <w:highlight w:val="white"/>
        </w:rPr>
        <w:t xml:space="preserve"> - </w:t>
      </w:r>
      <w:r w:rsidR="00A56E08">
        <w:rPr>
          <w:highlight w:val="white"/>
        </w:rPr>
        <w:t>кој</w:t>
      </w:r>
      <w:r w:rsidR="00EE6AA2">
        <w:rPr>
          <w:highlight w:val="white"/>
        </w:rPr>
        <w:t>е</w:t>
      </w:r>
      <w:r w:rsidR="00847B04" w:rsidRPr="00F6340E">
        <w:rPr>
          <w:highlight w:val="white"/>
        </w:rPr>
        <w:t xml:space="preserve"> </w:t>
      </w:r>
      <w:r>
        <w:rPr>
          <w:highlight w:val="white"/>
        </w:rPr>
        <w:t>п</w:t>
      </w:r>
      <w:r w:rsidR="00A56E08">
        <w:rPr>
          <w:highlight w:val="white"/>
        </w:rPr>
        <w:t>од</w:t>
      </w:r>
      <w:r>
        <w:rPr>
          <w:highlight w:val="white"/>
        </w:rPr>
        <w:t>р</w:t>
      </w:r>
      <w:r w:rsidR="00A56E08">
        <w:rPr>
          <w:highlight w:val="white"/>
        </w:rPr>
        <w:t>а</w:t>
      </w:r>
      <w:r w:rsidR="00171F00">
        <w:rPr>
          <w:highlight w:val="white"/>
        </w:rPr>
        <w:t>з</w:t>
      </w:r>
      <w:r>
        <w:rPr>
          <w:highlight w:val="white"/>
        </w:rPr>
        <w:t>у</w:t>
      </w:r>
      <w:r w:rsidR="00A56E08">
        <w:rPr>
          <w:highlight w:val="white"/>
        </w:rPr>
        <w:t>миј</w:t>
      </w:r>
      <w:r w:rsidR="00EE6AA2">
        <w:rPr>
          <w:highlight w:val="white"/>
        </w:rPr>
        <w:t>е</w:t>
      </w:r>
      <w:r>
        <w:rPr>
          <w:highlight w:val="white"/>
        </w:rPr>
        <w:t>в</w:t>
      </w:r>
      <w:r w:rsidR="00A56E08">
        <w:rPr>
          <w:highlight w:val="white"/>
        </w:rPr>
        <w:t>ај</w:t>
      </w:r>
      <w:r>
        <w:rPr>
          <w:highlight w:val="white"/>
        </w:rPr>
        <w:t>у</w:t>
      </w:r>
      <w:r w:rsidR="00847B04" w:rsidRPr="00F6340E">
        <w:rPr>
          <w:highlight w:val="white"/>
        </w:rPr>
        <w:t xml:space="preserve"> </w:t>
      </w:r>
      <w:r>
        <w:rPr>
          <w:highlight w:val="white"/>
        </w:rPr>
        <w:t>п</w:t>
      </w:r>
      <w:r w:rsidR="00A56E08">
        <w:rPr>
          <w:highlight w:val="white"/>
        </w:rPr>
        <w:t>обољ</w:t>
      </w:r>
      <w:r>
        <w:rPr>
          <w:highlight w:val="white"/>
        </w:rPr>
        <w:t>ш</w:t>
      </w:r>
      <w:r w:rsidR="00A56E08">
        <w:rPr>
          <w:highlight w:val="white"/>
        </w:rPr>
        <w:t>ањ</w:t>
      </w:r>
      <w:r w:rsidR="00EE6AA2">
        <w:rPr>
          <w:highlight w:val="white"/>
        </w:rPr>
        <w:t>е</w:t>
      </w:r>
      <w:r w:rsidR="00847B04" w:rsidRPr="00F6340E">
        <w:rPr>
          <w:highlight w:val="white"/>
        </w:rPr>
        <w:t xml:space="preserve"> </w:t>
      </w:r>
      <w:r w:rsidR="00A56E08">
        <w:rPr>
          <w:highlight w:val="white"/>
        </w:rPr>
        <w:t>о</w:t>
      </w:r>
      <w:r>
        <w:rPr>
          <w:highlight w:val="white"/>
        </w:rPr>
        <w:t>р</w:t>
      </w:r>
      <w:r w:rsidR="00A56E08">
        <w:rPr>
          <w:highlight w:val="white"/>
        </w:rPr>
        <w:t>гани</w:t>
      </w:r>
      <w:r w:rsidR="00171F00">
        <w:rPr>
          <w:highlight w:val="white"/>
        </w:rPr>
        <w:t>з</w:t>
      </w:r>
      <w:r w:rsidR="00A56E08">
        <w:rPr>
          <w:highlight w:val="white"/>
        </w:rPr>
        <w:t>ацион</w:t>
      </w:r>
      <w:r w:rsidR="00EE6AA2">
        <w:rPr>
          <w:highlight w:val="white"/>
        </w:rPr>
        <w:t>е</w:t>
      </w:r>
      <w:r w:rsidR="00847B04" w:rsidRPr="00F6340E">
        <w:rPr>
          <w:highlight w:val="white"/>
        </w:rPr>
        <w:t xml:space="preserve"> </w:t>
      </w:r>
      <w:r w:rsidR="00A56E08">
        <w:rPr>
          <w:highlight w:val="white"/>
        </w:rPr>
        <w:t>ком</w:t>
      </w:r>
      <w:r>
        <w:rPr>
          <w:highlight w:val="white"/>
        </w:rPr>
        <w:t>у</w:t>
      </w:r>
      <w:r w:rsidR="00A56E08">
        <w:rPr>
          <w:highlight w:val="white"/>
        </w:rPr>
        <w:t>никациј</w:t>
      </w:r>
      <w:r w:rsidR="00EE6AA2">
        <w:rPr>
          <w:highlight w:val="white"/>
        </w:rPr>
        <w:t>е</w:t>
      </w:r>
      <w:r w:rsidR="00847B04" w:rsidRPr="00F6340E">
        <w:rPr>
          <w:highlight w:val="white"/>
        </w:rPr>
        <w:t xml:space="preserve"> </w:t>
      </w:r>
      <w:r>
        <w:rPr>
          <w:highlight w:val="white"/>
        </w:rPr>
        <w:t>с</w:t>
      </w:r>
      <w:r w:rsidR="00A56E08">
        <w:rPr>
          <w:highlight w:val="white"/>
        </w:rPr>
        <w:t>а</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ницима</w:t>
      </w:r>
      <w:r w:rsidR="00847B04" w:rsidRPr="00F6340E">
        <w:rPr>
          <w:highlight w:val="white"/>
        </w:rPr>
        <w:t xml:space="preserve">, </w:t>
      </w:r>
      <w:r>
        <w:rPr>
          <w:highlight w:val="white"/>
        </w:rPr>
        <w:t>р</w:t>
      </w:r>
      <w:r w:rsidR="00A56E08">
        <w:rPr>
          <w:highlight w:val="white"/>
        </w:rPr>
        <w:t>оди</w:t>
      </w:r>
      <w:r>
        <w:rPr>
          <w:highlight w:val="white"/>
        </w:rPr>
        <w:t>т</w:t>
      </w:r>
      <w:r w:rsidR="00EE6AA2">
        <w:rPr>
          <w:highlight w:val="white"/>
        </w:rPr>
        <w:t>е</w:t>
      </w:r>
      <w:r w:rsidR="00A56E08">
        <w:rPr>
          <w:highlight w:val="white"/>
        </w:rPr>
        <w:t>љима</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кол</w:t>
      </w:r>
      <w:r w:rsidR="00EE6AA2">
        <w:rPr>
          <w:highlight w:val="white"/>
        </w:rPr>
        <w:t>е</w:t>
      </w:r>
      <w:r w:rsidR="00A56E08">
        <w:rPr>
          <w:highlight w:val="white"/>
        </w:rPr>
        <w:t>гама</w:t>
      </w:r>
      <w:r w:rsidR="00847B04" w:rsidRPr="00F6340E">
        <w:rPr>
          <w:highlight w:val="white"/>
        </w:rPr>
        <w:t xml:space="preserve">, </w:t>
      </w:r>
      <w:r>
        <w:rPr>
          <w:highlight w:val="white"/>
        </w:rPr>
        <w:t>уп</w:t>
      </w:r>
      <w:r w:rsidR="00A56E08">
        <w:rPr>
          <w:highlight w:val="white"/>
        </w:rPr>
        <w:t>о</w:t>
      </w:r>
      <w:r>
        <w:rPr>
          <w:highlight w:val="white"/>
        </w:rPr>
        <w:t>тр</w:t>
      </w:r>
      <w:r w:rsidR="00EE6AA2">
        <w:rPr>
          <w:highlight w:val="white"/>
        </w:rPr>
        <w:t>е</w:t>
      </w:r>
      <w:r w:rsidR="00A56E08">
        <w:rPr>
          <w:highlight w:val="white"/>
        </w:rPr>
        <w:t>б</w:t>
      </w:r>
      <w:r>
        <w:rPr>
          <w:highlight w:val="white"/>
        </w:rPr>
        <w:t>у</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т</w:t>
      </w:r>
      <w:r w:rsidR="00EE6AA2">
        <w:rPr>
          <w:highlight w:val="white"/>
        </w:rPr>
        <w:t>е</w:t>
      </w:r>
      <w:r w:rsidR="00A56E08">
        <w:rPr>
          <w:highlight w:val="white"/>
        </w:rPr>
        <w:t>хнологија</w:t>
      </w:r>
      <w:r w:rsidR="00847B04" w:rsidRPr="00F6340E">
        <w:rPr>
          <w:highlight w:val="white"/>
        </w:rPr>
        <w:t xml:space="preserve"> </w:t>
      </w:r>
      <w:r>
        <w:rPr>
          <w:highlight w:val="white"/>
        </w:rPr>
        <w:t>у</w:t>
      </w:r>
      <w:r w:rsidR="00847B04" w:rsidRPr="00F6340E">
        <w:rPr>
          <w:highlight w:val="white"/>
        </w:rPr>
        <w:t xml:space="preserve"> </w:t>
      </w:r>
      <w:r>
        <w:rPr>
          <w:highlight w:val="white"/>
        </w:rPr>
        <w:t>свр</w:t>
      </w:r>
      <w:r w:rsidR="00A56E08">
        <w:rPr>
          <w:highlight w:val="white"/>
        </w:rPr>
        <w:t>х</w:t>
      </w:r>
      <w:r>
        <w:rPr>
          <w:highlight w:val="white"/>
        </w:rPr>
        <w:t>у</w:t>
      </w:r>
      <w:r w:rsidR="00847B04" w:rsidRPr="00F6340E">
        <w:rPr>
          <w:highlight w:val="white"/>
        </w:rPr>
        <w:t xml:space="preserve"> </w:t>
      </w:r>
      <w:r>
        <w:rPr>
          <w:highlight w:val="white"/>
        </w:rPr>
        <w:t>стру</w:t>
      </w:r>
      <w:r w:rsidR="00A56E08">
        <w:rPr>
          <w:highlight w:val="white"/>
        </w:rPr>
        <w:t>чног</w:t>
      </w:r>
      <w:r w:rsidR="00847B04" w:rsidRPr="00F6340E">
        <w:rPr>
          <w:highlight w:val="white"/>
        </w:rPr>
        <w:t xml:space="preserve"> </w:t>
      </w:r>
      <w:r>
        <w:rPr>
          <w:highlight w:val="white"/>
        </w:rPr>
        <w:t>ус</w:t>
      </w:r>
      <w:r w:rsidR="00A56E08">
        <w:rPr>
          <w:highlight w:val="white"/>
        </w:rPr>
        <w:t>а</w:t>
      </w:r>
      <w:r>
        <w:rPr>
          <w:highlight w:val="white"/>
        </w:rPr>
        <w:t>врш</w:t>
      </w:r>
      <w:r w:rsidR="00A56E08">
        <w:rPr>
          <w:highlight w:val="white"/>
        </w:rPr>
        <w:t>а</w:t>
      </w:r>
      <w:r>
        <w:rPr>
          <w:highlight w:val="white"/>
        </w:rPr>
        <w:t>в</w:t>
      </w:r>
      <w:r w:rsidR="00A56E08">
        <w:rPr>
          <w:highlight w:val="white"/>
        </w:rPr>
        <w:t>ања</w:t>
      </w:r>
      <w:r w:rsidR="00847B04" w:rsidRPr="00F6340E">
        <w:rPr>
          <w:highlight w:val="white"/>
        </w:rPr>
        <w:t xml:space="preserve">, </w:t>
      </w:r>
      <w:r>
        <w:rPr>
          <w:highlight w:val="white"/>
        </w:rPr>
        <w:t>р</w:t>
      </w:r>
      <w:r w:rsidR="00A56E08">
        <w:rPr>
          <w:highlight w:val="white"/>
        </w:rPr>
        <w:t>а</w:t>
      </w:r>
      <w:r w:rsidR="00171F00">
        <w:rPr>
          <w:highlight w:val="white"/>
        </w:rPr>
        <w:t>з</w:t>
      </w:r>
      <w:r w:rsidR="00A56E08">
        <w:rPr>
          <w:highlight w:val="white"/>
        </w:rPr>
        <w:t>мј</w:t>
      </w:r>
      <w:r w:rsidR="00EE6AA2">
        <w:rPr>
          <w:highlight w:val="white"/>
        </w:rPr>
        <w:t>е</w:t>
      </w:r>
      <w:r w:rsidR="00A56E08">
        <w:rPr>
          <w:highlight w:val="white"/>
        </w:rPr>
        <w:t>н</w:t>
      </w:r>
      <w:r w:rsidR="00EE6AA2">
        <w:rPr>
          <w:highlight w:val="white"/>
        </w:rPr>
        <w:t>е</w:t>
      </w:r>
      <w:r w:rsidR="00847B04" w:rsidRPr="00F6340E">
        <w:rPr>
          <w:highlight w:val="white"/>
        </w:rPr>
        <w:t xml:space="preserve"> </w:t>
      </w:r>
      <w:r w:rsidR="00171F00">
        <w:rPr>
          <w:highlight w:val="white"/>
        </w:rPr>
        <w:t>з</w:t>
      </w:r>
      <w:r w:rsidR="00A56E08">
        <w:rPr>
          <w:highlight w:val="white"/>
        </w:rPr>
        <w:t>нања</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ино</w:t>
      </w:r>
      <w:r>
        <w:rPr>
          <w:highlight w:val="white"/>
        </w:rPr>
        <w:t>в</w:t>
      </w:r>
      <w:r w:rsidR="00A56E08">
        <w:rPr>
          <w:highlight w:val="white"/>
        </w:rPr>
        <w:t>и</w:t>
      </w:r>
      <w:r>
        <w:rPr>
          <w:highlight w:val="white"/>
        </w:rPr>
        <w:t>р</w:t>
      </w:r>
      <w:r w:rsidR="00A56E08">
        <w:rPr>
          <w:highlight w:val="white"/>
        </w:rPr>
        <w:t>ања</w:t>
      </w:r>
      <w:r w:rsidR="00847B04" w:rsidRPr="00F6340E">
        <w:rPr>
          <w:highlight w:val="white"/>
        </w:rPr>
        <w:t xml:space="preserve"> </w:t>
      </w:r>
      <w:r>
        <w:rPr>
          <w:highlight w:val="white"/>
        </w:rPr>
        <w:t>п</w:t>
      </w:r>
      <w:r w:rsidR="00EE6AA2">
        <w:rPr>
          <w:highlight w:val="white"/>
        </w:rPr>
        <w:t>е</w:t>
      </w:r>
      <w:r w:rsidR="00A56E08">
        <w:rPr>
          <w:highlight w:val="white"/>
        </w:rPr>
        <w:t>даго</w:t>
      </w:r>
      <w:r>
        <w:rPr>
          <w:highlight w:val="white"/>
        </w:rPr>
        <w:t>ш</w:t>
      </w:r>
      <w:r w:rsidR="00A56E08">
        <w:rPr>
          <w:highlight w:val="white"/>
        </w:rPr>
        <w:t>ких</w:t>
      </w:r>
      <w:r w:rsidR="00847B04" w:rsidRPr="00F6340E">
        <w:rPr>
          <w:highlight w:val="white"/>
        </w:rPr>
        <w:t xml:space="preserve"> </w:t>
      </w:r>
      <w:r w:rsidR="00171F00">
        <w:rPr>
          <w:highlight w:val="white"/>
        </w:rPr>
        <w:t>з</w:t>
      </w:r>
      <w:r w:rsidR="00A56E08">
        <w:rPr>
          <w:highlight w:val="white"/>
        </w:rPr>
        <w:t>нања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Pr>
          <w:highlight w:val="white"/>
        </w:rPr>
        <w:t>св</w:t>
      </w:r>
      <w:r w:rsidR="00A56E08">
        <w:rPr>
          <w:highlight w:val="white"/>
        </w:rPr>
        <w:t>иј</w:t>
      </w:r>
      <w:r w:rsidR="00EE6AA2">
        <w:rPr>
          <w:highlight w:val="white"/>
        </w:rPr>
        <w:t>е</w:t>
      </w:r>
      <w:r>
        <w:rPr>
          <w:highlight w:val="white"/>
        </w:rPr>
        <w:t>ст</w:t>
      </w:r>
      <w:r w:rsidR="00A56E08">
        <w:rPr>
          <w:highlight w:val="white"/>
        </w:rPr>
        <w:t>и</w:t>
      </w:r>
      <w:r w:rsidR="00847B04" w:rsidRPr="00F6340E">
        <w:rPr>
          <w:highlight w:val="white"/>
        </w:rPr>
        <w:t xml:space="preserve"> </w:t>
      </w:r>
      <w:r w:rsidR="00A56E08">
        <w:rPr>
          <w:highlight w:val="white"/>
        </w:rPr>
        <w:t>о</w:t>
      </w:r>
      <w:r w:rsidR="00847B04" w:rsidRPr="00F6340E">
        <w:rPr>
          <w:highlight w:val="white"/>
        </w:rPr>
        <w:t xml:space="preserve"> </w:t>
      </w:r>
      <w:r>
        <w:rPr>
          <w:highlight w:val="white"/>
        </w:rPr>
        <w:t>п</w:t>
      </w:r>
      <w:r w:rsidR="00A56E08">
        <w:rPr>
          <w:highlight w:val="white"/>
        </w:rPr>
        <w:t>о</w:t>
      </w:r>
      <w:r>
        <w:rPr>
          <w:highlight w:val="white"/>
        </w:rPr>
        <w:t>тр</w:t>
      </w:r>
      <w:r w:rsidR="00EE6AA2">
        <w:rPr>
          <w:highlight w:val="white"/>
        </w:rPr>
        <w:t>е</w:t>
      </w:r>
      <w:r w:rsidR="00A56E08">
        <w:rPr>
          <w:highlight w:val="white"/>
        </w:rPr>
        <w:t>би</w:t>
      </w:r>
      <w:r w:rsidR="00847B04" w:rsidRPr="00F6340E">
        <w:rPr>
          <w:highlight w:val="white"/>
        </w:rPr>
        <w:t xml:space="preserve"> </w:t>
      </w:r>
      <w:r w:rsidR="00A56E08">
        <w:rPr>
          <w:highlight w:val="white"/>
        </w:rPr>
        <w:t>кон</w:t>
      </w:r>
      <w:r>
        <w:rPr>
          <w:highlight w:val="white"/>
        </w:rPr>
        <w:t>т</w:t>
      </w:r>
      <w:r w:rsidR="00A56E08">
        <w:rPr>
          <w:highlight w:val="white"/>
        </w:rPr>
        <w:t>ин</w:t>
      </w:r>
      <w:r>
        <w:rPr>
          <w:highlight w:val="white"/>
        </w:rPr>
        <w:t>у</w:t>
      </w:r>
      <w:r w:rsidR="00A56E08">
        <w:rPr>
          <w:highlight w:val="white"/>
        </w:rPr>
        <w:t>алног</w:t>
      </w:r>
      <w:r w:rsidR="00847B04" w:rsidRPr="00F6340E">
        <w:rPr>
          <w:highlight w:val="white"/>
        </w:rPr>
        <w:t xml:space="preserve"> </w:t>
      </w:r>
      <w:r w:rsidR="00A56E08">
        <w:rPr>
          <w:highlight w:val="white"/>
        </w:rPr>
        <w:t>о</w:t>
      </w:r>
      <w:r>
        <w:rPr>
          <w:highlight w:val="white"/>
        </w:rPr>
        <w:t>сп</w:t>
      </w:r>
      <w:r w:rsidR="00A56E08">
        <w:rPr>
          <w:highlight w:val="white"/>
        </w:rPr>
        <w:t>о</w:t>
      </w:r>
      <w:r>
        <w:rPr>
          <w:highlight w:val="white"/>
        </w:rPr>
        <w:t>с</w:t>
      </w:r>
      <w:r w:rsidR="00A56E08">
        <w:rPr>
          <w:highlight w:val="white"/>
        </w:rPr>
        <w:t>обља</w:t>
      </w:r>
      <w:r>
        <w:rPr>
          <w:highlight w:val="white"/>
        </w:rPr>
        <w:t>в</w:t>
      </w:r>
      <w:r w:rsidR="00A56E08">
        <w:rPr>
          <w:highlight w:val="white"/>
        </w:rPr>
        <w:t>ања</w:t>
      </w:r>
      <w:r w:rsidR="00847B04" w:rsidRPr="00F6340E">
        <w:rPr>
          <w:highlight w:val="white"/>
        </w:rPr>
        <w:t xml:space="preserve"> </w:t>
      </w:r>
      <w:r>
        <w:rPr>
          <w:highlight w:val="white"/>
        </w:rPr>
        <w:t>у</w:t>
      </w:r>
      <w:r w:rsidR="00847B04" w:rsidRPr="00F6340E">
        <w:rPr>
          <w:highlight w:val="white"/>
        </w:rPr>
        <w:t xml:space="preserve"> </w:t>
      </w:r>
      <w:r w:rsidR="00A56E08">
        <w:rPr>
          <w:highlight w:val="white"/>
        </w:rPr>
        <w:t>о</w:t>
      </w:r>
      <w:r>
        <w:rPr>
          <w:highlight w:val="white"/>
        </w:rPr>
        <w:t>в</w:t>
      </w:r>
      <w:r w:rsidR="00A56E08">
        <w:rPr>
          <w:highlight w:val="white"/>
        </w:rPr>
        <w:t>ој</w:t>
      </w:r>
      <w:r w:rsidR="00847B04" w:rsidRPr="00F6340E">
        <w:rPr>
          <w:highlight w:val="white"/>
        </w:rPr>
        <w:t xml:space="preserve"> </w:t>
      </w:r>
      <w:r w:rsidR="00A56E08">
        <w:rPr>
          <w:highlight w:val="white"/>
        </w:rPr>
        <w:t>обла</w:t>
      </w:r>
      <w:r>
        <w:rPr>
          <w:highlight w:val="white"/>
        </w:rPr>
        <w:t>ст</w:t>
      </w:r>
      <w:r w:rsidR="00A56E08">
        <w:rPr>
          <w:highlight w:val="white"/>
        </w:rPr>
        <w:t>и</w:t>
      </w:r>
      <w:r w:rsidR="00847B04" w:rsidRPr="00F6340E">
        <w:rPr>
          <w:highlight w:val="white"/>
        </w:rPr>
        <w:t>.</w:t>
      </w:r>
    </w:p>
    <w:p w14:paraId="78F486E8" w14:textId="7D46269C" w:rsidR="00847B04" w:rsidRPr="00F6340E" w:rsidRDefault="0071360A" w:rsidP="00D976C8">
      <w:pPr>
        <w:pStyle w:val="Bulletlist"/>
        <w:rPr>
          <w:highlight w:val="white"/>
          <w:u w:val="single"/>
        </w:rPr>
      </w:pPr>
      <w:r>
        <w:rPr>
          <w:highlight w:val="white"/>
        </w:rPr>
        <w:t>Р</w:t>
      </w:r>
      <w:r w:rsidR="00A56E08">
        <w:rPr>
          <w:highlight w:val="white"/>
        </w:rPr>
        <w:t>а</w:t>
      </w:r>
      <w:r w:rsidR="00171F00">
        <w:rPr>
          <w:highlight w:val="white"/>
        </w:rPr>
        <w:t>з</w:t>
      </w:r>
      <w:r>
        <w:rPr>
          <w:highlight w:val="white"/>
        </w:rPr>
        <w:t>в</w:t>
      </w:r>
      <w:r w:rsidR="00A56E08">
        <w:rPr>
          <w:highlight w:val="white"/>
        </w:rPr>
        <w:t>ој</w:t>
      </w:r>
      <w:r w:rsidR="00847B04" w:rsidRPr="00F6340E">
        <w:rPr>
          <w:highlight w:val="white"/>
        </w:rPr>
        <w:t xml:space="preserve"> </w:t>
      </w:r>
      <w:r>
        <w:rPr>
          <w:highlight w:val="white"/>
        </w:rPr>
        <w:t>п</w:t>
      </w:r>
      <w:r w:rsidR="00EE6AA2">
        <w:rPr>
          <w:highlight w:val="white"/>
        </w:rPr>
        <w:t>е</w:t>
      </w:r>
      <w:r w:rsidR="00A56E08">
        <w:rPr>
          <w:highlight w:val="white"/>
        </w:rPr>
        <w:t>даго</w:t>
      </w:r>
      <w:r>
        <w:rPr>
          <w:highlight w:val="white"/>
        </w:rPr>
        <w:t>ш</w:t>
      </w:r>
      <w:r w:rsidR="00A56E08">
        <w:rPr>
          <w:highlight w:val="white"/>
        </w:rPr>
        <w:t>ких</w:t>
      </w:r>
      <w:r w:rsidR="00847B04" w:rsidRPr="00F6340E">
        <w:rPr>
          <w:highlight w:val="white"/>
        </w:rPr>
        <w:t xml:space="preserve"> </w:t>
      </w:r>
      <w:r w:rsidR="00A56E08">
        <w:rPr>
          <w:highlight w:val="white"/>
        </w:rPr>
        <w:t>ком</w:t>
      </w:r>
      <w:r>
        <w:rPr>
          <w:highlight w:val="white"/>
        </w:rPr>
        <w:t>п</w:t>
      </w:r>
      <w:r w:rsidR="00EE6AA2">
        <w:rPr>
          <w:highlight w:val="white"/>
        </w:rPr>
        <w:t>е</w:t>
      </w:r>
      <w:r>
        <w:rPr>
          <w:highlight w:val="white"/>
        </w:rPr>
        <w:t>т</w:t>
      </w:r>
      <w:r w:rsidR="00EE6AA2">
        <w:rPr>
          <w:highlight w:val="white"/>
        </w:rPr>
        <w:t>е</w:t>
      </w:r>
      <w:r w:rsidR="00A56E08">
        <w:rPr>
          <w:highlight w:val="white"/>
        </w:rPr>
        <w:t>нција</w:t>
      </w:r>
      <w:r w:rsidR="00847B04" w:rsidRPr="00F6340E">
        <w:rPr>
          <w:highlight w:val="white"/>
        </w:rPr>
        <w:t xml:space="preserve"> - </w:t>
      </w:r>
      <w:r w:rsidR="00A56E08">
        <w:rPr>
          <w:highlight w:val="white"/>
        </w:rPr>
        <w:t>кој</w:t>
      </w:r>
      <w:r w:rsidR="00EE6AA2">
        <w:rPr>
          <w:highlight w:val="white"/>
        </w:rPr>
        <w:t>е</w:t>
      </w:r>
      <w:r w:rsidR="00847B04" w:rsidRPr="00F6340E">
        <w:rPr>
          <w:highlight w:val="white"/>
        </w:rPr>
        <w:t xml:space="preserve"> </w:t>
      </w:r>
      <w:r>
        <w:rPr>
          <w:highlight w:val="white"/>
        </w:rPr>
        <w:t>п</w:t>
      </w:r>
      <w:r w:rsidR="00A56E08">
        <w:rPr>
          <w:highlight w:val="white"/>
        </w:rPr>
        <w:t>од</w:t>
      </w:r>
      <w:r>
        <w:rPr>
          <w:highlight w:val="white"/>
        </w:rPr>
        <w:t>р</w:t>
      </w:r>
      <w:r w:rsidR="00A56E08">
        <w:rPr>
          <w:highlight w:val="white"/>
        </w:rPr>
        <w:t>а</w:t>
      </w:r>
      <w:r w:rsidR="00171F00">
        <w:rPr>
          <w:highlight w:val="white"/>
        </w:rPr>
        <w:t>з</w:t>
      </w:r>
      <w:r>
        <w:rPr>
          <w:highlight w:val="white"/>
        </w:rPr>
        <w:t>у</w:t>
      </w:r>
      <w:r w:rsidR="00A56E08">
        <w:rPr>
          <w:highlight w:val="white"/>
        </w:rPr>
        <w:t>миј</w:t>
      </w:r>
      <w:r w:rsidR="00EE6AA2">
        <w:rPr>
          <w:highlight w:val="white"/>
        </w:rPr>
        <w:t>е</w:t>
      </w:r>
      <w:r>
        <w:rPr>
          <w:highlight w:val="white"/>
        </w:rPr>
        <w:t>в</w:t>
      </w:r>
      <w:r w:rsidR="00A56E08">
        <w:rPr>
          <w:highlight w:val="white"/>
        </w:rPr>
        <w:t>ај</w:t>
      </w:r>
      <w:r>
        <w:rPr>
          <w:highlight w:val="white"/>
        </w:rPr>
        <w:t>у</w:t>
      </w:r>
      <w:r w:rsidR="00847B04" w:rsidRPr="00F6340E">
        <w:rPr>
          <w:highlight w:val="white"/>
        </w:rPr>
        <w:t xml:space="preserve"> </w:t>
      </w:r>
      <w:r w:rsidR="00171F00">
        <w:rPr>
          <w:highlight w:val="white"/>
        </w:rPr>
        <w:t>з</w:t>
      </w:r>
      <w:r w:rsidR="00A56E08">
        <w:rPr>
          <w:highlight w:val="white"/>
        </w:rPr>
        <w:t>нања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в</w:t>
      </w:r>
      <w:r w:rsidR="00A56E08">
        <w:rPr>
          <w:highlight w:val="white"/>
        </w:rPr>
        <w:t>ј</w:t>
      </w:r>
      <w:r w:rsidR="00EE6AA2">
        <w:rPr>
          <w:highlight w:val="white"/>
        </w:rPr>
        <w:t>е</w:t>
      </w:r>
      <w:r>
        <w:rPr>
          <w:highlight w:val="white"/>
        </w:rPr>
        <w:t>шт</w:t>
      </w:r>
      <w:r w:rsidR="00A56E08">
        <w:rPr>
          <w:highlight w:val="white"/>
        </w:rPr>
        <w:t>ин</w:t>
      </w:r>
      <w:r w:rsidR="00EE6AA2">
        <w:rPr>
          <w:highlight w:val="white"/>
        </w:rPr>
        <w:t>е</w:t>
      </w:r>
      <w:r w:rsidR="00847B04" w:rsidRPr="00F6340E">
        <w:rPr>
          <w:highlight w:val="white"/>
        </w:rPr>
        <w:t xml:space="preserve"> </w:t>
      </w:r>
      <w:r>
        <w:rPr>
          <w:highlight w:val="white"/>
        </w:rPr>
        <w:t>у</w:t>
      </w:r>
      <w:r w:rsidR="00847B04" w:rsidRPr="00F6340E">
        <w:rPr>
          <w:highlight w:val="white"/>
        </w:rPr>
        <w:t xml:space="preserve"> </w:t>
      </w:r>
      <w:r w:rsidR="00A56E08">
        <w:rPr>
          <w:highlight w:val="white"/>
        </w:rPr>
        <w:t>ид</w:t>
      </w:r>
      <w:r w:rsidR="00EE6AA2">
        <w:rPr>
          <w:highlight w:val="white"/>
        </w:rPr>
        <w:t>е</w:t>
      </w:r>
      <w:r w:rsidR="00A56E08">
        <w:rPr>
          <w:highlight w:val="white"/>
        </w:rPr>
        <w:t>н</w:t>
      </w:r>
      <w:r>
        <w:rPr>
          <w:highlight w:val="white"/>
        </w:rPr>
        <w:t>т</w:t>
      </w:r>
      <w:r w:rsidR="00A56E08">
        <w:rPr>
          <w:highlight w:val="white"/>
        </w:rPr>
        <w:t>ификацији</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и</w:t>
      </w:r>
      <w:r w:rsidR="00171F00">
        <w:rPr>
          <w:highlight w:val="white"/>
        </w:rPr>
        <w:t>з</w:t>
      </w:r>
      <w:r w:rsidR="00A56E08">
        <w:rPr>
          <w:highlight w:val="white"/>
        </w:rPr>
        <w:t>бо</w:t>
      </w:r>
      <w:r>
        <w:rPr>
          <w:highlight w:val="white"/>
        </w:rPr>
        <w:t>ру</w:t>
      </w:r>
      <w:r w:rsidR="00847B04" w:rsidRPr="00F6340E">
        <w:rPr>
          <w:highlight w:val="white"/>
        </w:rPr>
        <w:t xml:space="preserve"> </w:t>
      </w:r>
      <w:r w:rsidR="00A56E08">
        <w:rPr>
          <w:highlight w:val="white"/>
        </w:rPr>
        <w:t>ад</w:t>
      </w:r>
      <w:r w:rsidR="00EE6AA2">
        <w:rPr>
          <w:highlight w:val="white"/>
        </w:rPr>
        <w:t>е</w:t>
      </w:r>
      <w:r w:rsidR="00A56E08">
        <w:rPr>
          <w:highlight w:val="white"/>
        </w:rPr>
        <w:t>к</w:t>
      </w:r>
      <w:r>
        <w:rPr>
          <w:highlight w:val="white"/>
        </w:rPr>
        <w:t>в</w:t>
      </w:r>
      <w:r w:rsidR="00A56E08">
        <w:rPr>
          <w:highlight w:val="white"/>
        </w:rPr>
        <w:t>а</w:t>
      </w:r>
      <w:r>
        <w:rPr>
          <w:highlight w:val="white"/>
        </w:rPr>
        <w:t>т</w:t>
      </w:r>
      <w:r w:rsidR="00A56E08">
        <w:rPr>
          <w:highlight w:val="white"/>
        </w:rPr>
        <w:t>них</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sidR="00A56E08">
        <w:rPr>
          <w:highlight w:val="white"/>
        </w:rPr>
        <w:t>ала</w:t>
      </w:r>
      <w:r>
        <w:rPr>
          <w:highlight w:val="white"/>
        </w:rPr>
        <w:t>т</w:t>
      </w:r>
      <w:r w:rsidR="00A56E08">
        <w:rPr>
          <w:highlight w:val="white"/>
        </w:rPr>
        <w:t>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р</w:t>
      </w:r>
      <w:r w:rsidR="00EE6AA2">
        <w:rPr>
          <w:highlight w:val="white"/>
        </w:rPr>
        <w:t>е</w:t>
      </w:r>
      <w:r>
        <w:rPr>
          <w:highlight w:val="white"/>
        </w:rPr>
        <w:t>сурс</w:t>
      </w:r>
      <w:r w:rsidR="00A56E08">
        <w:rPr>
          <w:highlight w:val="white"/>
        </w:rPr>
        <w:t>а</w:t>
      </w:r>
      <w:r w:rsidR="00847B04" w:rsidRPr="00F6340E">
        <w:rPr>
          <w:highlight w:val="white"/>
        </w:rPr>
        <w:t xml:space="preserve"> </w:t>
      </w:r>
      <w:r w:rsidR="00171F00">
        <w:rPr>
          <w:highlight w:val="white"/>
        </w:rPr>
        <w:t>з</w:t>
      </w:r>
      <w:r w:rsidR="00A56E08">
        <w:rPr>
          <w:highlight w:val="white"/>
        </w:rPr>
        <w:t>а</w:t>
      </w:r>
      <w:r w:rsidR="00847B04" w:rsidRPr="00F6340E">
        <w:rPr>
          <w:highlight w:val="white"/>
        </w:rPr>
        <w:t xml:space="preserve"> </w:t>
      </w:r>
      <w:r w:rsidR="00A56E08">
        <w:rPr>
          <w:highlight w:val="white"/>
        </w:rPr>
        <w:t>на</w:t>
      </w:r>
      <w:r>
        <w:rPr>
          <w:highlight w:val="white"/>
        </w:rPr>
        <w:t>ст</w:t>
      </w:r>
      <w:r w:rsidR="00A56E08">
        <w:rPr>
          <w:highlight w:val="white"/>
        </w:rPr>
        <w:t>а</w:t>
      </w:r>
      <w:r>
        <w:rPr>
          <w:highlight w:val="white"/>
        </w:rPr>
        <w:t>ву</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њ</w:t>
      </w:r>
      <w:r w:rsidR="00EE6AA2">
        <w:rPr>
          <w:highlight w:val="white"/>
        </w:rPr>
        <w:t>е</w:t>
      </w:r>
      <w:r w:rsidR="00847B04" w:rsidRPr="00F6340E">
        <w:rPr>
          <w:highlight w:val="white"/>
        </w:rPr>
        <w:t xml:space="preserve">, </w:t>
      </w:r>
      <w:r w:rsidR="00A56E08">
        <w:rPr>
          <w:highlight w:val="white"/>
        </w:rPr>
        <w:t>к</w:t>
      </w:r>
      <w:r>
        <w:rPr>
          <w:highlight w:val="white"/>
        </w:rPr>
        <w:t>р</w:t>
      </w:r>
      <w:r w:rsidR="00EE6AA2">
        <w:rPr>
          <w:highlight w:val="white"/>
        </w:rPr>
        <w:t>е</w:t>
      </w:r>
      <w:r w:rsidR="00A56E08">
        <w:rPr>
          <w:highlight w:val="white"/>
        </w:rPr>
        <w:t>и</w:t>
      </w:r>
      <w:r>
        <w:rPr>
          <w:highlight w:val="white"/>
        </w:rPr>
        <w:t>р</w:t>
      </w:r>
      <w:r w:rsidR="00A56E08">
        <w:rPr>
          <w:highlight w:val="white"/>
        </w:rPr>
        <w:t>ањ</w:t>
      </w:r>
      <w:r w:rsidR="00EE6AA2">
        <w:rPr>
          <w:highlight w:val="white"/>
        </w:rPr>
        <w:t>е</w:t>
      </w:r>
      <w:r w:rsidR="00847B04" w:rsidRPr="00F6340E">
        <w:rPr>
          <w:highlight w:val="white"/>
        </w:rPr>
        <w:t xml:space="preserve"> </w:t>
      </w:r>
      <w:r w:rsidR="00A56E08">
        <w:rPr>
          <w:highlight w:val="white"/>
        </w:rPr>
        <w:t>диги</w:t>
      </w:r>
      <w:r>
        <w:rPr>
          <w:highlight w:val="white"/>
        </w:rPr>
        <w:t>т</w:t>
      </w:r>
      <w:r w:rsidR="00A56E08">
        <w:rPr>
          <w:highlight w:val="white"/>
        </w:rPr>
        <w:t>алног</w:t>
      </w:r>
      <w:r w:rsidR="00847B04" w:rsidRPr="00F6340E">
        <w:rPr>
          <w:highlight w:val="white"/>
        </w:rPr>
        <w:t xml:space="preserve"> </w:t>
      </w:r>
      <w:r>
        <w:rPr>
          <w:highlight w:val="white"/>
        </w:rPr>
        <w:t>с</w:t>
      </w:r>
      <w:r w:rsidR="00A56E08">
        <w:rPr>
          <w:highlight w:val="white"/>
        </w:rPr>
        <w:t>ад</w:t>
      </w:r>
      <w:r>
        <w:rPr>
          <w:highlight w:val="white"/>
        </w:rPr>
        <w:t>р</w:t>
      </w:r>
      <w:r w:rsidR="00171F00">
        <w:rPr>
          <w:highlight w:val="white"/>
        </w:rPr>
        <w:t>ж</w:t>
      </w:r>
      <w:r w:rsidR="00A56E08">
        <w:rPr>
          <w:highlight w:val="white"/>
        </w:rPr>
        <w:t>аја</w:t>
      </w:r>
      <w:r w:rsidR="00847B04" w:rsidRPr="00F6340E">
        <w:rPr>
          <w:highlight w:val="white"/>
        </w:rPr>
        <w:t xml:space="preserve"> </w:t>
      </w:r>
      <w:r w:rsidR="00171F00">
        <w:rPr>
          <w:highlight w:val="white"/>
        </w:rPr>
        <w:t>з</w:t>
      </w:r>
      <w:r w:rsidR="00A56E08">
        <w:rPr>
          <w:highlight w:val="white"/>
        </w:rPr>
        <w:t>а</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w:t>
      </w:r>
      <w:r w:rsidR="00EE6AA2">
        <w:rPr>
          <w:highlight w:val="white"/>
        </w:rPr>
        <w:t>е</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диј</w:t>
      </w:r>
      <w:r w:rsidR="00EE6AA2">
        <w:rPr>
          <w:highlight w:val="white"/>
        </w:rPr>
        <w:t>е</w:t>
      </w:r>
      <w:r w:rsidR="00A56E08">
        <w:rPr>
          <w:highlight w:val="white"/>
        </w:rPr>
        <w:t>љ</w:t>
      </w:r>
      <w:r w:rsidR="00EE6AA2">
        <w:rPr>
          <w:highlight w:val="white"/>
        </w:rPr>
        <w:t>е</w:t>
      </w:r>
      <w:r w:rsidR="00A56E08">
        <w:rPr>
          <w:highlight w:val="white"/>
        </w:rPr>
        <w:t>њ</w:t>
      </w:r>
      <w:r w:rsidR="00EE6AA2">
        <w:rPr>
          <w:highlight w:val="white"/>
        </w:rPr>
        <w:t>е</w:t>
      </w:r>
      <w:r w:rsidR="00847B04" w:rsidRPr="00F6340E">
        <w:rPr>
          <w:highlight w:val="white"/>
        </w:rPr>
        <w:t xml:space="preserve"> </w:t>
      </w:r>
      <w:r w:rsidR="00A56E08">
        <w:rPr>
          <w:highlight w:val="white"/>
        </w:rPr>
        <w:t>и</w:t>
      </w:r>
      <w:r>
        <w:rPr>
          <w:highlight w:val="white"/>
        </w:rPr>
        <w:t>ст</w:t>
      </w:r>
      <w:r w:rsidR="00A56E08">
        <w:rPr>
          <w:highlight w:val="white"/>
        </w:rPr>
        <w:t>ог</w:t>
      </w:r>
      <w:r w:rsidR="00B04FA8">
        <w:rPr>
          <w:highlight w:val="white"/>
        </w:rPr>
        <w:t xml:space="preserve"> са </w:t>
      </w:r>
      <w:r>
        <w:rPr>
          <w:highlight w:val="white"/>
        </w:rPr>
        <w:t>у</w:t>
      </w:r>
      <w:r w:rsidR="00A56E08">
        <w:rPr>
          <w:highlight w:val="white"/>
        </w:rPr>
        <w:t>ч</w:t>
      </w:r>
      <w:r w:rsidR="00EE6AA2">
        <w:rPr>
          <w:highlight w:val="white"/>
        </w:rPr>
        <w:t>е</w:t>
      </w:r>
      <w:r w:rsidR="00A56E08">
        <w:rPr>
          <w:highlight w:val="white"/>
        </w:rPr>
        <w:t>ницима</w:t>
      </w:r>
      <w:r w:rsidR="00847B04" w:rsidRPr="00F6340E">
        <w:rPr>
          <w:highlight w:val="white"/>
        </w:rPr>
        <w:t xml:space="preserve">, </w:t>
      </w:r>
      <w:r>
        <w:rPr>
          <w:highlight w:val="white"/>
        </w:rPr>
        <w:t>р</w:t>
      </w:r>
      <w:r w:rsidR="00A56E08">
        <w:rPr>
          <w:highlight w:val="white"/>
        </w:rPr>
        <w:t>а</w:t>
      </w:r>
      <w:r w:rsidR="00171F00">
        <w:rPr>
          <w:highlight w:val="white"/>
        </w:rPr>
        <w:t>з</w:t>
      </w:r>
      <w:r>
        <w:rPr>
          <w:highlight w:val="white"/>
        </w:rPr>
        <w:t>у</w:t>
      </w:r>
      <w:r w:rsidR="00A56E08">
        <w:rPr>
          <w:highlight w:val="white"/>
        </w:rPr>
        <w:t>миј</w:t>
      </w:r>
      <w:r w:rsidR="00EE6AA2">
        <w:rPr>
          <w:highlight w:val="white"/>
        </w:rPr>
        <w:t>е</w:t>
      </w:r>
      <w:r>
        <w:rPr>
          <w:highlight w:val="white"/>
        </w:rPr>
        <w:t>в</w:t>
      </w:r>
      <w:r w:rsidR="00A56E08">
        <w:rPr>
          <w:highlight w:val="white"/>
        </w:rPr>
        <w:t>ањ</w:t>
      </w:r>
      <w:r w:rsidR="00EE6AA2">
        <w:rPr>
          <w:highlight w:val="white"/>
        </w:rPr>
        <w:t>е</w:t>
      </w:r>
      <w:r w:rsidR="00847B04" w:rsidRPr="00F6340E">
        <w:rPr>
          <w:highlight w:val="white"/>
        </w:rPr>
        <w:t xml:space="preserve"> </w:t>
      </w:r>
      <w:r w:rsidR="00A56E08">
        <w:rPr>
          <w:highlight w:val="white"/>
        </w:rPr>
        <w:t>а</w:t>
      </w:r>
      <w:r>
        <w:rPr>
          <w:highlight w:val="white"/>
        </w:rPr>
        <w:t>ут</w:t>
      </w:r>
      <w:r w:rsidR="00A56E08">
        <w:rPr>
          <w:highlight w:val="white"/>
        </w:rPr>
        <w:t>о</w:t>
      </w:r>
      <w:r>
        <w:rPr>
          <w:highlight w:val="white"/>
        </w:rPr>
        <w:t>рс</w:t>
      </w:r>
      <w:r w:rsidR="00A56E08">
        <w:rPr>
          <w:highlight w:val="white"/>
        </w:rPr>
        <w:t>ких</w:t>
      </w:r>
      <w:r w:rsidR="00847B04" w:rsidRPr="00F6340E">
        <w:rPr>
          <w:highlight w:val="white"/>
        </w:rPr>
        <w:t xml:space="preserve"> </w:t>
      </w:r>
      <w:r>
        <w:rPr>
          <w:highlight w:val="white"/>
        </w:rPr>
        <w:t>пр</w:t>
      </w:r>
      <w:r w:rsidR="00A56E08">
        <w:rPr>
          <w:highlight w:val="white"/>
        </w:rPr>
        <w:t>а</w:t>
      </w:r>
      <w:r>
        <w:rPr>
          <w:highlight w:val="white"/>
        </w:rPr>
        <w:t>в</w:t>
      </w:r>
      <w:r w:rsidR="00A56E08">
        <w:rPr>
          <w:highlight w:val="white"/>
        </w:rPr>
        <w:t>а</w:t>
      </w:r>
      <w:r w:rsidR="00847B04" w:rsidRPr="00F6340E">
        <w:rPr>
          <w:highlight w:val="white"/>
        </w:rPr>
        <w:t xml:space="preserve"> </w:t>
      </w:r>
      <w:r w:rsidR="00A56E08">
        <w:rPr>
          <w:highlight w:val="white"/>
        </w:rPr>
        <w:t>и</w:t>
      </w:r>
      <w:r w:rsidR="00847B04" w:rsidRPr="00F6340E">
        <w:rPr>
          <w:highlight w:val="white"/>
        </w:rPr>
        <w:t xml:space="preserve"> </w:t>
      </w:r>
      <w:r w:rsidR="00A56E08">
        <w:rPr>
          <w:highlight w:val="white"/>
        </w:rPr>
        <w:t>начина</w:t>
      </w:r>
      <w:r w:rsidR="00847B04" w:rsidRPr="00F6340E">
        <w:rPr>
          <w:highlight w:val="white"/>
        </w:rPr>
        <w:t xml:space="preserve"> </w:t>
      </w:r>
      <w:r>
        <w:rPr>
          <w:highlight w:val="white"/>
        </w:rPr>
        <w:t>уп</w:t>
      </w:r>
      <w:r w:rsidR="00A56E08">
        <w:rPr>
          <w:highlight w:val="white"/>
        </w:rPr>
        <w:t>о</w:t>
      </w:r>
      <w:r>
        <w:rPr>
          <w:highlight w:val="white"/>
        </w:rPr>
        <w:t>тр</w:t>
      </w:r>
      <w:r w:rsidR="00EE6AA2">
        <w:rPr>
          <w:highlight w:val="white"/>
        </w:rPr>
        <w:t>е</w:t>
      </w:r>
      <w:r w:rsidR="00A56E08">
        <w:rPr>
          <w:highlight w:val="white"/>
        </w:rPr>
        <w:t>б</w:t>
      </w:r>
      <w:r w:rsidR="00EE6AA2">
        <w:rPr>
          <w:highlight w:val="white"/>
        </w:rPr>
        <w:t>е</w:t>
      </w:r>
      <w:r w:rsidR="00847B04" w:rsidRPr="00F6340E">
        <w:rPr>
          <w:highlight w:val="white"/>
        </w:rPr>
        <w:t xml:space="preserve"> </w:t>
      </w:r>
      <w:r>
        <w:rPr>
          <w:highlight w:val="white"/>
        </w:rPr>
        <w:t>ту</w:t>
      </w:r>
      <w:r w:rsidR="00A56E08">
        <w:rPr>
          <w:highlight w:val="white"/>
        </w:rPr>
        <w:t>ђих</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с</w:t>
      </w:r>
      <w:r w:rsidR="00A56E08">
        <w:rPr>
          <w:highlight w:val="white"/>
        </w:rPr>
        <w:t>ад</w:t>
      </w:r>
      <w:r>
        <w:rPr>
          <w:highlight w:val="white"/>
        </w:rPr>
        <w:t>р</w:t>
      </w:r>
      <w:r w:rsidR="00171F00">
        <w:rPr>
          <w:highlight w:val="white"/>
        </w:rPr>
        <w:t>ж</w:t>
      </w:r>
      <w:r w:rsidR="00A56E08">
        <w:rPr>
          <w:highlight w:val="white"/>
        </w:rPr>
        <w:t>аја</w:t>
      </w:r>
      <w:r w:rsidR="00847B04" w:rsidRPr="00F6340E">
        <w:rPr>
          <w:highlight w:val="white"/>
        </w:rPr>
        <w:t xml:space="preserve"> </w:t>
      </w:r>
      <w:r>
        <w:rPr>
          <w:highlight w:val="white"/>
        </w:rPr>
        <w:t>у</w:t>
      </w:r>
      <w:r w:rsidR="00171F00">
        <w:rPr>
          <w:highlight w:val="white"/>
        </w:rPr>
        <w:t>з</w:t>
      </w:r>
      <w:r w:rsidR="00847B04" w:rsidRPr="00F6340E">
        <w:rPr>
          <w:highlight w:val="white"/>
        </w:rPr>
        <w:t xml:space="preserve"> </w:t>
      </w:r>
      <w:r>
        <w:rPr>
          <w:highlight w:val="white"/>
        </w:rPr>
        <w:t>п</w:t>
      </w:r>
      <w:r w:rsidR="00A56E08">
        <w:rPr>
          <w:highlight w:val="white"/>
        </w:rPr>
        <w:t>о</w:t>
      </w:r>
      <w:r>
        <w:rPr>
          <w:highlight w:val="white"/>
        </w:rPr>
        <w:t>шт</w:t>
      </w:r>
      <w:r w:rsidR="00A56E08">
        <w:rPr>
          <w:highlight w:val="white"/>
        </w:rPr>
        <w:t>о</w:t>
      </w:r>
      <w:r>
        <w:rPr>
          <w:highlight w:val="white"/>
        </w:rPr>
        <w:t>в</w:t>
      </w:r>
      <w:r w:rsidR="00A56E08">
        <w:rPr>
          <w:highlight w:val="white"/>
        </w:rPr>
        <w:t>ањ</w:t>
      </w:r>
      <w:r w:rsidR="00EE6AA2">
        <w:rPr>
          <w:highlight w:val="white"/>
        </w:rPr>
        <w:t>е</w:t>
      </w:r>
      <w:r w:rsidR="00847B04" w:rsidRPr="00F6340E">
        <w:rPr>
          <w:highlight w:val="white"/>
        </w:rPr>
        <w:t xml:space="preserve"> </w:t>
      </w:r>
      <w:r w:rsidR="00A56E08">
        <w:rPr>
          <w:highlight w:val="white"/>
        </w:rPr>
        <w:t>а</w:t>
      </w:r>
      <w:r>
        <w:rPr>
          <w:highlight w:val="white"/>
        </w:rPr>
        <w:t>ут</w:t>
      </w:r>
      <w:r w:rsidR="00A56E08">
        <w:rPr>
          <w:highlight w:val="white"/>
        </w:rPr>
        <w:t>о</w:t>
      </w:r>
      <w:r>
        <w:rPr>
          <w:highlight w:val="white"/>
        </w:rPr>
        <w:t>рс</w:t>
      </w:r>
      <w:r w:rsidR="00A56E08">
        <w:rPr>
          <w:highlight w:val="white"/>
        </w:rPr>
        <w:t>ких</w:t>
      </w:r>
      <w:r w:rsidR="00847B04" w:rsidRPr="00F6340E">
        <w:rPr>
          <w:highlight w:val="white"/>
        </w:rPr>
        <w:t xml:space="preserve"> </w:t>
      </w:r>
      <w:r>
        <w:rPr>
          <w:highlight w:val="white"/>
        </w:rPr>
        <w:t>пр</w:t>
      </w:r>
      <w:r w:rsidR="00A56E08">
        <w:rPr>
          <w:highlight w:val="white"/>
        </w:rPr>
        <w:t>а</w:t>
      </w:r>
      <w:r>
        <w:rPr>
          <w:highlight w:val="white"/>
        </w:rPr>
        <w:t>в</w:t>
      </w:r>
      <w:r w:rsidR="00A56E08">
        <w:rPr>
          <w:highlight w:val="white"/>
        </w:rPr>
        <w:t>а</w:t>
      </w:r>
      <w:r w:rsidR="00847B04" w:rsidRPr="00F6340E">
        <w:rPr>
          <w:highlight w:val="white"/>
        </w:rPr>
        <w:t xml:space="preserve">, </w:t>
      </w:r>
      <w:r>
        <w:rPr>
          <w:highlight w:val="white"/>
        </w:rPr>
        <w:t>п</w:t>
      </w:r>
      <w:r w:rsidR="00A56E08">
        <w:rPr>
          <w:highlight w:val="white"/>
        </w:rPr>
        <w:t>о</w:t>
      </w:r>
      <w:r>
        <w:rPr>
          <w:highlight w:val="white"/>
        </w:rPr>
        <w:t>т</w:t>
      </w:r>
      <w:r w:rsidR="00A56E08">
        <w:rPr>
          <w:highlight w:val="white"/>
        </w:rPr>
        <w:t>ицањ</w:t>
      </w:r>
      <w:r w:rsidR="00EE6AA2">
        <w:rPr>
          <w:highlight w:val="white"/>
        </w:rPr>
        <w:t>е</w:t>
      </w:r>
      <w:r w:rsidR="00847B04" w:rsidRPr="00F6340E">
        <w:rPr>
          <w:highlight w:val="white"/>
        </w:rPr>
        <w:t xml:space="preserve"> </w:t>
      </w:r>
      <w:r>
        <w:rPr>
          <w:highlight w:val="white"/>
        </w:rPr>
        <w:t>с</w:t>
      </w:r>
      <w:r w:rsidR="00A56E08">
        <w:rPr>
          <w:highlight w:val="white"/>
        </w:rPr>
        <w:t>а</w:t>
      </w:r>
      <w:r>
        <w:rPr>
          <w:highlight w:val="white"/>
        </w:rPr>
        <w:t>р</w:t>
      </w:r>
      <w:r w:rsidR="00A56E08">
        <w:rPr>
          <w:highlight w:val="white"/>
        </w:rPr>
        <w:t>адничког</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ња</w:t>
      </w:r>
      <w:r w:rsidR="00847B04" w:rsidRPr="00F6340E">
        <w:rPr>
          <w:highlight w:val="white"/>
        </w:rPr>
        <w:t xml:space="preserve"> </w:t>
      </w:r>
      <w:r w:rsidR="00A56E08">
        <w:rPr>
          <w:highlight w:val="white"/>
        </w:rPr>
        <w:t>код</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Pr>
          <w:highlight w:val="white"/>
        </w:rPr>
        <w:t>у</w:t>
      </w:r>
      <w:r w:rsidR="00171F00">
        <w:rPr>
          <w:highlight w:val="white"/>
        </w:rPr>
        <w:t>з</w:t>
      </w:r>
      <w:r w:rsidR="00847B04" w:rsidRPr="00F6340E">
        <w:rPr>
          <w:highlight w:val="white"/>
        </w:rPr>
        <w:t xml:space="preserve"> </w:t>
      </w:r>
      <w:r>
        <w:rPr>
          <w:highlight w:val="white"/>
        </w:rPr>
        <w:t>п</w:t>
      </w:r>
      <w:r w:rsidR="00A56E08">
        <w:rPr>
          <w:highlight w:val="white"/>
        </w:rPr>
        <w:t>омоћ</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т</w:t>
      </w:r>
      <w:r w:rsidR="00EE6AA2">
        <w:rPr>
          <w:highlight w:val="white"/>
        </w:rPr>
        <w:t>е</w:t>
      </w:r>
      <w:r w:rsidR="00A56E08">
        <w:rPr>
          <w:highlight w:val="white"/>
        </w:rPr>
        <w:t>хнологија</w:t>
      </w:r>
      <w:r w:rsidR="00847B04" w:rsidRPr="00F6340E">
        <w:rPr>
          <w:highlight w:val="white"/>
        </w:rPr>
        <w:t xml:space="preserve">, </w:t>
      </w:r>
      <w:r>
        <w:rPr>
          <w:highlight w:val="white"/>
        </w:rPr>
        <w:t>п</w:t>
      </w:r>
      <w:r w:rsidR="00A56E08">
        <w:rPr>
          <w:highlight w:val="white"/>
        </w:rPr>
        <w:t>о</w:t>
      </w:r>
      <w:r>
        <w:rPr>
          <w:highlight w:val="white"/>
        </w:rPr>
        <w:t>т</w:t>
      </w:r>
      <w:r w:rsidR="00A56E08">
        <w:rPr>
          <w:highlight w:val="white"/>
        </w:rPr>
        <w:t>ицањ</w:t>
      </w:r>
      <w:r w:rsidR="00EE6AA2">
        <w:rPr>
          <w:highlight w:val="white"/>
        </w:rPr>
        <w:t>е</w:t>
      </w:r>
      <w:r w:rsidR="00847B04" w:rsidRPr="00F6340E">
        <w:rPr>
          <w:highlight w:val="white"/>
        </w:rPr>
        <w:t xml:space="preserve"> </w:t>
      </w:r>
      <w:r>
        <w:rPr>
          <w:highlight w:val="white"/>
        </w:rPr>
        <w:t>с</w:t>
      </w:r>
      <w:r w:rsidR="00A56E08">
        <w:rPr>
          <w:highlight w:val="white"/>
        </w:rPr>
        <w:t>амо</w:t>
      </w:r>
      <w:r>
        <w:rPr>
          <w:highlight w:val="white"/>
        </w:rPr>
        <w:t>р</w:t>
      </w:r>
      <w:r w:rsidR="00EE6AA2">
        <w:rPr>
          <w:highlight w:val="white"/>
        </w:rPr>
        <w:t>е</w:t>
      </w:r>
      <w:r w:rsidR="00A56E08">
        <w:rPr>
          <w:highlight w:val="white"/>
        </w:rPr>
        <w:t>г</w:t>
      </w:r>
      <w:r>
        <w:rPr>
          <w:highlight w:val="white"/>
        </w:rPr>
        <w:t>у</w:t>
      </w:r>
      <w:r w:rsidR="00A56E08">
        <w:rPr>
          <w:highlight w:val="white"/>
        </w:rPr>
        <w:t>лациј</w:t>
      </w:r>
      <w:r w:rsidR="00EE6AA2">
        <w:rPr>
          <w:highlight w:val="white"/>
        </w:rPr>
        <w:t>е</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ња</w:t>
      </w:r>
      <w:r w:rsidR="00847B04" w:rsidRPr="00F6340E">
        <w:rPr>
          <w:highlight w:val="white"/>
        </w:rPr>
        <w:t xml:space="preserve"> </w:t>
      </w:r>
      <w:r w:rsidR="00A56E08">
        <w:rPr>
          <w:highlight w:val="white"/>
        </w:rPr>
        <w:t>код</w:t>
      </w:r>
      <w:r w:rsidR="00847B04" w:rsidRPr="00F6340E">
        <w:rPr>
          <w:highlight w:val="white"/>
        </w:rPr>
        <w:t xml:space="preserve"> </w:t>
      </w:r>
      <w:r>
        <w:rPr>
          <w:highlight w:val="white"/>
        </w:rPr>
        <w:t>у</w:t>
      </w:r>
      <w:r w:rsidR="00A56E08">
        <w:rPr>
          <w:highlight w:val="white"/>
        </w:rPr>
        <w:t>ч</w:t>
      </w:r>
      <w:r w:rsidR="00EE6AA2">
        <w:rPr>
          <w:highlight w:val="white"/>
        </w:rPr>
        <w:t>е</w:t>
      </w:r>
      <w:r w:rsidR="00A56E08">
        <w:rPr>
          <w:highlight w:val="white"/>
        </w:rPr>
        <w:t>ника</w:t>
      </w:r>
      <w:r w:rsidR="00847B04" w:rsidRPr="00F6340E">
        <w:rPr>
          <w:highlight w:val="white"/>
        </w:rPr>
        <w:t xml:space="preserve"> </w:t>
      </w:r>
      <w:r>
        <w:rPr>
          <w:highlight w:val="white"/>
        </w:rPr>
        <w:t>у</w:t>
      </w:r>
      <w:r w:rsidR="00171F00">
        <w:rPr>
          <w:highlight w:val="white"/>
        </w:rPr>
        <w:t>з</w:t>
      </w:r>
      <w:r w:rsidR="00847B04" w:rsidRPr="00F6340E">
        <w:rPr>
          <w:highlight w:val="white"/>
        </w:rPr>
        <w:t xml:space="preserve"> </w:t>
      </w:r>
      <w:r>
        <w:rPr>
          <w:highlight w:val="white"/>
        </w:rPr>
        <w:t>п</w:t>
      </w:r>
      <w:r w:rsidR="00A56E08">
        <w:rPr>
          <w:highlight w:val="white"/>
        </w:rPr>
        <w:t>омоћ</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т</w:t>
      </w:r>
      <w:r w:rsidR="00EE6AA2">
        <w:rPr>
          <w:highlight w:val="white"/>
        </w:rPr>
        <w:t>е</w:t>
      </w:r>
      <w:r w:rsidR="00A56E08">
        <w:rPr>
          <w:highlight w:val="white"/>
        </w:rPr>
        <w:t>хнологија</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с</w:t>
      </w:r>
      <w:r w:rsidR="00A56E08">
        <w:rPr>
          <w:highlight w:val="white"/>
        </w:rPr>
        <w:t>ад</w:t>
      </w:r>
      <w:r>
        <w:rPr>
          <w:highlight w:val="white"/>
        </w:rPr>
        <w:t>р</w:t>
      </w:r>
      <w:r w:rsidR="00171F00">
        <w:rPr>
          <w:highlight w:val="white"/>
        </w:rPr>
        <w:t>ж</w:t>
      </w:r>
      <w:r w:rsidR="00A56E08">
        <w:rPr>
          <w:highlight w:val="white"/>
        </w:rPr>
        <w:t>аја</w:t>
      </w:r>
      <w:r w:rsidR="00847B04" w:rsidRPr="00F6340E">
        <w:rPr>
          <w:highlight w:val="white"/>
        </w:rPr>
        <w:t xml:space="preserve"> </w:t>
      </w:r>
      <w:r w:rsidR="00A56E08">
        <w:rPr>
          <w:highlight w:val="white"/>
        </w:rPr>
        <w:t>кој</w:t>
      </w:r>
      <w:r w:rsidR="00EE6AA2">
        <w:rPr>
          <w:highlight w:val="white"/>
        </w:rPr>
        <w:t>е</w:t>
      </w:r>
      <w:r w:rsidR="00847B04" w:rsidRPr="00F6340E">
        <w:rPr>
          <w:highlight w:val="white"/>
        </w:rPr>
        <w:t xml:space="preserve"> </w:t>
      </w:r>
      <w:r>
        <w:rPr>
          <w:highlight w:val="white"/>
        </w:rPr>
        <w:t>р</w:t>
      </w:r>
      <w:r w:rsidR="00A56E08">
        <w:rPr>
          <w:highlight w:val="white"/>
        </w:rPr>
        <w:t>а</w:t>
      </w:r>
      <w:r w:rsidR="00171F00">
        <w:rPr>
          <w:highlight w:val="white"/>
        </w:rPr>
        <w:t>з</w:t>
      </w:r>
      <w:r w:rsidR="00A56E08">
        <w:rPr>
          <w:highlight w:val="white"/>
        </w:rPr>
        <w:t>мј</w:t>
      </w:r>
      <w:r w:rsidR="00EE6AA2">
        <w:rPr>
          <w:highlight w:val="white"/>
        </w:rPr>
        <w:t>е</w:t>
      </w:r>
      <w:r w:rsidR="00A56E08">
        <w:rPr>
          <w:highlight w:val="white"/>
        </w:rPr>
        <w:t>њ</w:t>
      </w:r>
      <w:r>
        <w:rPr>
          <w:highlight w:val="white"/>
        </w:rPr>
        <w:t>у</w:t>
      </w:r>
      <w:r w:rsidR="00A56E08">
        <w:rPr>
          <w:highlight w:val="white"/>
        </w:rPr>
        <w:t>ј</w:t>
      </w:r>
      <w:r>
        <w:rPr>
          <w:highlight w:val="white"/>
        </w:rPr>
        <w:t>у</w:t>
      </w:r>
      <w:r w:rsidR="00B04FA8">
        <w:rPr>
          <w:highlight w:val="white"/>
        </w:rPr>
        <w:t xml:space="preserve"> са </w:t>
      </w:r>
      <w:r>
        <w:rPr>
          <w:highlight w:val="white"/>
        </w:rPr>
        <w:t>у</w:t>
      </w:r>
      <w:r w:rsidR="00A56E08">
        <w:rPr>
          <w:highlight w:val="white"/>
        </w:rPr>
        <w:t>ч</w:t>
      </w:r>
      <w:r w:rsidR="00EE6AA2">
        <w:rPr>
          <w:highlight w:val="white"/>
        </w:rPr>
        <w:t>е</w:t>
      </w:r>
      <w:r w:rsidR="00A56E08">
        <w:rPr>
          <w:highlight w:val="white"/>
        </w:rPr>
        <w:t>ницима</w:t>
      </w:r>
      <w:r w:rsidR="00847B04" w:rsidRPr="00F6340E">
        <w:rPr>
          <w:highlight w:val="white"/>
        </w:rPr>
        <w:t xml:space="preserve">, </w:t>
      </w:r>
      <w:r>
        <w:rPr>
          <w:highlight w:val="white"/>
        </w:rPr>
        <w:t>уп</w:t>
      </w:r>
      <w:r w:rsidR="00A56E08">
        <w:rPr>
          <w:highlight w:val="white"/>
        </w:rPr>
        <w:t>о</w:t>
      </w:r>
      <w:r>
        <w:rPr>
          <w:highlight w:val="white"/>
        </w:rPr>
        <w:t>тр</w:t>
      </w:r>
      <w:r w:rsidR="00EE6AA2">
        <w:rPr>
          <w:highlight w:val="white"/>
        </w:rPr>
        <w:t>е</w:t>
      </w:r>
      <w:r w:rsidR="00A56E08">
        <w:rPr>
          <w:highlight w:val="white"/>
        </w:rPr>
        <w:t>б</w:t>
      </w:r>
      <w:r>
        <w:rPr>
          <w:highlight w:val="white"/>
        </w:rPr>
        <w:t>у</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т</w:t>
      </w:r>
      <w:r w:rsidR="00EE6AA2">
        <w:rPr>
          <w:highlight w:val="white"/>
        </w:rPr>
        <w:t>е</w:t>
      </w:r>
      <w:r w:rsidR="00A56E08">
        <w:rPr>
          <w:highlight w:val="white"/>
        </w:rPr>
        <w:t>хнологија</w:t>
      </w:r>
      <w:r w:rsidR="00847B04" w:rsidRPr="00F6340E">
        <w:rPr>
          <w:highlight w:val="white"/>
        </w:rPr>
        <w:t xml:space="preserve"> </w:t>
      </w:r>
      <w:r>
        <w:rPr>
          <w:highlight w:val="white"/>
        </w:rPr>
        <w:t>у</w:t>
      </w:r>
      <w:r w:rsidR="00847B04" w:rsidRPr="00F6340E">
        <w:rPr>
          <w:highlight w:val="white"/>
        </w:rPr>
        <w:t xml:space="preserve"> </w:t>
      </w:r>
      <w:r>
        <w:rPr>
          <w:highlight w:val="white"/>
        </w:rPr>
        <w:t>свр</w:t>
      </w:r>
      <w:r w:rsidR="00A56E08">
        <w:rPr>
          <w:highlight w:val="white"/>
        </w:rPr>
        <w:t>х</w:t>
      </w:r>
      <w:r>
        <w:rPr>
          <w:highlight w:val="white"/>
        </w:rPr>
        <w:t>у</w:t>
      </w:r>
      <w:r w:rsidR="00847B04" w:rsidRPr="00F6340E">
        <w:rPr>
          <w:highlight w:val="white"/>
        </w:rPr>
        <w:t xml:space="preserve"> </w:t>
      </w:r>
      <w:r w:rsidR="00A56E08">
        <w:rPr>
          <w:highlight w:val="white"/>
        </w:rPr>
        <w:t>фо</w:t>
      </w:r>
      <w:r>
        <w:rPr>
          <w:highlight w:val="white"/>
        </w:rPr>
        <w:t>р</w:t>
      </w:r>
      <w:r w:rsidR="00A56E08">
        <w:rPr>
          <w:highlight w:val="white"/>
        </w:rPr>
        <w:t>ма</w:t>
      </w:r>
      <w:r>
        <w:rPr>
          <w:highlight w:val="white"/>
        </w:rPr>
        <w:t>т</w:t>
      </w:r>
      <w:r w:rsidR="00A56E08">
        <w:rPr>
          <w:highlight w:val="white"/>
        </w:rPr>
        <w:t>и</w:t>
      </w:r>
      <w:r>
        <w:rPr>
          <w:highlight w:val="white"/>
        </w:rPr>
        <w:t>в</w:t>
      </w:r>
      <w:r w:rsidR="00A56E08">
        <w:rPr>
          <w:highlight w:val="white"/>
        </w:rPr>
        <w:t>ног</w:t>
      </w:r>
      <w:r w:rsidR="00847B04" w:rsidRPr="00F6340E">
        <w:rPr>
          <w:highlight w:val="white"/>
        </w:rPr>
        <w:t xml:space="preserve"> </w:t>
      </w:r>
      <w:r w:rsidR="00A56E08">
        <w:rPr>
          <w:highlight w:val="white"/>
        </w:rPr>
        <w:t>и</w:t>
      </w:r>
      <w:r w:rsidR="00847B04" w:rsidRPr="00F6340E">
        <w:rPr>
          <w:highlight w:val="white"/>
        </w:rPr>
        <w:t xml:space="preserve"> </w:t>
      </w:r>
      <w:r>
        <w:rPr>
          <w:highlight w:val="white"/>
        </w:rPr>
        <w:t>су</w:t>
      </w:r>
      <w:r w:rsidR="00A56E08">
        <w:rPr>
          <w:highlight w:val="white"/>
        </w:rPr>
        <w:t>ма</w:t>
      </w:r>
      <w:r>
        <w:rPr>
          <w:highlight w:val="white"/>
        </w:rPr>
        <w:t>р</w:t>
      </w:r>
      <w:r w:rsidR="00A56E08">
        <w:rPr>
          <w:highlight w:val="white"/>
        </w:rPr>
        <w:t>ног</w:t>
      </w:r>
      <w:r w:rsidR="00847B04" w:rsidRPr="00F6340E">
        <w:rPr>
          <w:highlight w:val="white"/>
        </w:rPr>
        <w:t xml:space="preserve"> </w:t>
      </w:r>
      <w:r>
        <w:rPr>
          <w:highlight w:val="white"/>
        </w:rPr>
        <w:t>вр</w:t>
      </w:r>
      <w:r w:rsidR="00EE6AA2">
        <w:rPr>
          <w:highlight w:val="white"/>
        </w:rPr>
        <w:t>е</w:t>
      </w:r>
      <w:r w:rsidR="00A56E08">
        <w:rPr>
          <w:highlight w:val="white"/>
        </w:rPr>
        <w:t>дно</w:t>
      </w:r>
      <w:r>
        <w:rPr>
          <w:highlight w:val="white"/>
        </w:rPr>
        <w:t>в</w:t>
      </w:r>
      <w:r w:rsidR="00A56E08">
        <w:rPr>
          <w:highlight w:val="white"/>
        </w:rPr>
        <w:t>ања</w:t>
      </w:r>
      <w:r w:rsidR="00847B04" w:rsidRPr="00F6340E">
        <w:rPr>
          <w:highlight w:val="white"/>
        </w:rPr>
        <w:t xml:space="preserve">, </w:t>
      </w:r>
      <w:r w:rsidR="00A56E08">
        <w:rPr>
          <w:highlight w:val="white"/>
        </w:rPr>
        <w:t>да</w:t>
      </w:r>
      <w:r>
        <w:rPr>
          <w:highlight w:val="white"/>
        </w:rPr>
        <w:t>в</w:t>
      </w:r>
      <w:r w:rsidR="00A56E08">
        <w:rPr>
          <w:highlight w:val="white"/>
        </w:rPr>
        <w:t>ања</w:t>
      </w:r>
      <w:r w:rsidR="00847B04" w:rsidRPr="00F6340E">
        <w:rPr>
          <w:highlight w:val="white"/>
        </w:rPr>
        <w:t xml:space="preserve"> </w:t>
      </w:r>
      <w:r>
        <w:rPr>
          <w:highlight w:val="white"/>
        </w:rPr>
        <w:t>п</w:t>
      </w:r>
      <w:r w:rsidR="00A56E08">
        <w:rPr>
          <w:highlight w:val="white"/>
        </w:rPr>
        <w:t>о</w:t>
      </w:r>
      <w:r>
        <w:rPr>
          <w:highlight w:val="white"/>
        </w:rPr>
        <w:t>вр</w:t>
      </w:r>
      <w:r w:rsidR="00A56E08">
        <w:rPr>
          <w:highlight w:val="white"/>
        </w:rPr>
        <w:t>а</w:t>
      </w:r>
      <w:r>
        <w:rPr>
          <w:highlight w:val="white"/>
        </w:rPr>
        <w:t>т</w:t>
      </w:r>
      <w:r w:rsidR="00A56E08">
        <w:rPr>
          <w:highlight w:val="white"/>
        </w:rPr>
        <w:t>них</w:t>
      </w:r>
      <w:r w:rsidR="00847B04" w:rsidRPr="00F6340E">
        <w:rPr>
          <w:highlight w:val="white"/>
        </w:rPr>
        <w:t xml:space="preserve"> </w:t>
      </w:r>
      <w:r w:rsidR="00A56E08">
        <w:rPr>
          <w:highlight w:val="white"/>
        </w:rPr>
        <w:t>инфо</w:t>
      </w:r>
      <w:r>
        <w:rPr>
          <w:highlight w:val="white"/>
        </w:rPr>
        <w:t>р</w:t>
      </w:r>
      <w:r w:rsidR="00A56E08">
        <w:rPr>
          <w:highlight w:val="white"/>
        </w:rPr>
        <w:t>мација</w:t>
      </w:r>
      <w:r w:rsidR="00847B04" w:rsidRPr="00F6340E">
        <w:rPr>
          <w:highlight w:val="white"/>
        </w:rPr>
        <w:t xml:space="preserve">, </w:t>
      </w:r>
      <w:r>
        <w:rPr>
          <w:highlight w:val="white"/>
        </w:rPr>
        <w:t>т</w:t>
      </w:r>
      <w:r w:rsidR="00EE6AA2">
        <w:rPr>
          <w:highlight w:val="white"/>
        </w:rPr>
        <w:t>е</w:t>
      </w:r>
      <w:r w:rsidR="00847B04" w:rsidRPr="00F6340E">
        <w:rPr>
          <w:highlight w:val="white"/>
        </w:rPr>
        <w:t xml:space="preserve"> </w:t>
      </w:r>
      <w:r>
        <w:rPr>
          <w:highlight w:val="white"/>
        </w:rPr>
        <w:t>уп</w:t>
      </w:r>
      <w:r w:rsidR="00A56E08">
        <w:rPr>
          <w:highlight w:val="white"/>
        </w:rPr>
        <w:t>о</w:t>
      </w:r>
      <w:r>
        <w:rPr>
          <w:highlight w:val="white"/>
        </w:rPr>
        <w:t>тр</w:t>
      </w:r>
      <w:r w:rsidR="00EE6AA2">
        <w:rPr>
          <w:highlight w:val="white"/>
        </w:rPr>
        <w:t>е</w:t>
      </w:r>
      <w:r w:rsidR="00A56E08">
        <w:rPr>
          <w:highlight w:val="white"/>
        </w:rPr>
        <w:t>б</w:t>
      </w:r>
      <w:r>
        <w:rPr>
          <w:highlight w:val="white"/>
        </w:rPr>
        <w:t>у</w:t>
      </w:r>
      <w:r w:rsidR="00847B04" w:rsidRPr="00F6340E">
        <w:rPr>
          <w:highlight w:val="white"/>
        </w:rPr>
        <w:t xml:space="preserve"> </w:t>
      </w:r>
      <w:r w:rsidR="00A56E08">
        <w:rPr>
          <w:highlight w:val="white"/>
        </w:rPr>
        <w:t>диги</w:t>
      </w:r>
      <w:r>
        <w:rPr>
          <w:highlight w:val="white"/>
        </w:rPr>
        <w:t>т</w:t>
      </w:r>
      <w:r w:rsidR="00A56E08">
        <w:rPr>
          <w:highlight w:val="white"/>
        </w:rPr>
        <w:t>алних</w:t>
      </w:r>
      <w:r w:rsidR="00847B04" w:rsidRPr="00F6340E">
        <w:rPr>
          <w:highlight w:val="white"/>
        </w:rPr>
        <w:t xml:space="preserve"> </w:t>
      </w:r>
      <w:r>
        <w:rPr>
          <w:highlight w:val="white"/>
        </w:rPr>
        <w:t>т</w:t>
      </w:r>
      <w:r w:rsidR="00EE6AA2">
        <w:rPr>
          <w:highlight w:val="white"/>
        </w:rPr>
        <w:t>е</w:t>
      </w:r>
      <w:r w:rsidR="00A56E08">
        <w:rPr>
          <w:highlight w:val="white"/>
        </w:rPr>
        <w:t>хнологија</w:t>
      </w:r>
      <w:r w:rsidR="00847B04" w:rsidRPr="00F6340E">
        <w:rPr>
          <w:highlight w:val="white"/>
        </w:rPr>
        <w:t xml:space="preserve"> </w:t>
      </w:r>
      <w:r>
        <w:rPr>
          <w:highlight w:val="white"/>
        </w:rPr>
        <w:t>у</w:t>
      </w:r>
      <w:r w:rsidR="00847B04" w:rsidRPr="00F6340E">
        <w:rPr>
          <w:highlight w:val="white"/>
        </w:rPr>
        <w:t xml:space="preserve"> </w:t>
      </w:r>
      <w:r>
        <w:rPr>
          <w:highlight w:val="white"/>
        </w:rPr>
        <w:t>р</w:t>
      </w:r>
      <w:r w:rsidR="00A56E08">
        <w:rPr>
          <w:highlight w:val="white"/>
        </w:rPr>
        <w:t>ад</w:t>
      </w:r>
      <w:r>
        <w:rPr>
          <w:highlight w:val="white"/>
        </w:rPr>
        <w:t>у</w:t>
      </w:r>
      <w:r w:rsidR="00B04FA8">
        <w:rPr>
          <w:highlight w:val="white"/>
        </w:rPr>
        <w:t xml:space="preserve"> са </w:t>
      </w:r>
      <w:r w:rsidR="00A56E08">
        <w:rPr>
          <w:highlight w:val="white"/>
        </w:rPr>
        <w:t>дј</w:t>
      </w:r>
      <w:r w:rsidR="00EE6AA2">
        <w:rPr>
          <w:highlight w:val="white"/>
        </w:rPr>
        <w:t>е</w:t>
      </w:r>
      <w:r w:rsidR="00A56E08">
        <w:rPr>
          <w:highlight w:val="white"/>
        </w:rPr>
        <w:t>цом</w:t>
      </w:r>
      <w:r w:rsidR="00847B04" w:rsidRPr="00F6340E">
        <w:rPr>
          <w:highlight w:val="white"/>
        </w:rPr>
        <w:t xml:space="preserve"> </w:t>
      </w:r>
      <w:r w:rsidR="00A56E08">
        <w:rPr>
          <w:highlight w:val="white"/>
        </w:rPr>
        <w:t>која</w:t>
      </w:r>
      <w:r w:rsidR="00847B04" w:rsidRPr="00F6340E">
        <w:rPr>
          <w:highlight w:val="white"/>
        </w:rPr>
        <w:t xml:space="preserve"> </w:t>
      </w:r>
      <w:r>
        <w:rPr>
          <w:highlight w:val="white"/>
        </w:rPr>
        <w:t>пр</w:t>
      </w:r>
      <w:r w:rsidR="00A56E08">
        <w:rPr>
          <w:highlight w:val="white"/>
        </w:rPr>
        <w:t>и</w:t>
      </w:r>
      <w:r>
        <w:rPr>
          <w:highlight w:val="white"/>
        </w:rPr>
        <w:t>п</w:t>
      </w:r>
      <w:r w:rsidR="00A56E08">
        <w:rPr>
          <w:highlight w:val="white"/>
        </w:rPr>
        <w:t>адај</w:t>
      </w:r>
      <w:r>
        <w:rPr>
          <w:highlight w:val="white"/>
        </w:rPr>
        <w:t>у</w:t>
      </w:r>
      <w:r w:rsidR="00847B04" w:rsidRPr="00F6340E">
        <w:rPr>
          <w:highlight w:val="white"/>
        </w:rPr>
        <w:t xml:space="preserve"> </w:t>
      </w:r>
      <w:r w:rsidR="00A56E08">
        <w:rPr>
          <w:highlight w:val="white"/>
        </w:rPr>
        <w:t>ма</w:t>
      </w:r>
      <w:r>
        <w:rPr>
          <w:highlight w:val="white"/>
        </w:rPr>
        <w:t>р</w:t>
      </w:r>
      <w:r w:rsidR="00A56E08">
        <w:rPr>
          <w:highlight w:val="white"/>
        </w:rPr>
        <w:t>гинали</w:t>
      </w:r>
      <w:r w:rsidR="00171F00">
        <w:rPr>
          <w:highlight w:val="white"/>
        </w:rPr>
        <w:t>з</w:t>
      </w:r>
      <w:r w:rsidR="00A56E08">
        <w:rPr>
          <w:highlight w:val="white"/>
        </w:rPr>
        <w:t>о</w:t>
      </w:r>
      <w:r>
        <w:rPr>
          <w:highlight w:val="white"/>
        </w:rPr>
        <w:t>в</w:t>
      </w:r>
      <w:r w:rsidR="00A56E08">
        <w:rPr>
          <w:highlight w:val="white"/>
        </w:rPr>
        <w:t>аним</w:t>
      </w:r>
      <w:r w:rsidR="00847B04" w:rsidRPr="00F6340E">
        <w:rPr>
          <w:highlight w:val="white"/>
        </w:rPr>
        <w:t xml:space="preserve"> </w:t>
      </w:r>
      <w:r w:rsidR="00A56E08">
        <w:rPr>
          <w:highlight w:val="white"/>
        </w:rPr>
        <w:t>г</w:t>
      </w:r>
      <w:r>
        <w:rPr>
          <w:highlight w:val="white"/>
        </w:rPr>
        <w:t>руп</w:t>
      </w:r>
      <w:r w:rsidR="00A56E08">
        <w:rPr>
          <w:highlight w:val="white"/>
        </w:rPr>
        <w:t>ама</w:t>
      </w:r>
      <w:r w:rsidR="00847B04" w:rsidRPr="00F6340E">
        <w:rPr>
          <w:highlight w:val="white"/>
        </w:rPr>
        <w:t xml:space="preserve">.    </w:t>
      </w:r>
    </w:p>
    <w:p w14:paraId="57E862AC" w14:textId="5B7CB381" w:rsidR="00847B04" w:rsidRPr="00F6340E" w:rsidRDefault="0071360A" w:rsidP="00D976C8">
      <w:pPr>
        <w:pStyle w:val="Body"/>
      </w:pPr>
      <w:r>
        <w:rPr>
          <w:color w:val="000000" w:themeColor="text1"/>
        </w:rPr>
        <w:t>В</w:t>
      </w:r>
      <w:r w:rsidR="00A56E08">
        <w:rPr>
          <w:color w:val="000000" w:themeColor="text1"/>
        </w:rPr>
        <w:t>а</w:t>
      </w:r>
      <w:r w:rsidR="00171F00">
        <w:rPr>
          <w:color w:val="000000" w:themeColor="text1"/>
        </w:rPr>
        <w:t>ж</w:t>
      </w:r>
      <w:r w:rsidR="00A56E08">
        <w:rPr>
          <w:color w:val="000000" w:themeColor="text1"/>
        </w:rPr>
        <w:t>но</w:t>
      </w:r>
      <w:r>
        <w:rPr>
          <w:color w:val="000000" w:themeColor="text1"/>
        </w:rPr>
        <w:t>ст</w:t>
      </w:r>
      <w:r w:rsidR="00847B04" w:rsidRPr="00F6340E">
        <w:rPr>
          <w:color w:val="000000" w:themeColor="text1"/>
        </w:rPr>
        <w:t xml:space="preserve"> </w:t>
      </w:r>
      <w:r>
        <w:rPr>
          <w:color w:val="000000" w:themeColor="text1"/>
        </w:rPr>
        <w:t>р</w:t>
      </w:r>
      <w:r w:rsidR="00A56E08">
        <w:rPr>
          <w:color w:val="000000" w:themeColor="text1"/>
        </w:rPr>
        <w:t>а</w:t>
      </w:r>
      <w:r w:rsidR="00171F00">
        <w:rPr>
          <w:color w:val="000000" w:themeColor="text1"/>
        </w:rPr>
        <w:t>з</w:t>
      </w:r>
      <w:r>
        <w:rPr>
          <w:color w:val="000000" w:themeColor="text1"/>
        </w:rPr>
        <w:t>в</w:t>
      </w:r>
      <w:r w:rsidR="00A56E08">
        <w:rPr>
          <w:color w:val="000000" w:themeColor="text1"/>
        </w:rPr>
        <w:t>оја</w:t>
      </w:r>
      <w:r w:rsidR="00847B04" w:rsidRPr="00F6340E">
        <w:rPr>
          <w:color w:val="000000" w:themeColor="text1"/>
        </w:rPr>
        <w:t xml:space="preserve"> </w:t>
      </w:r>
      <w:r w:rsidR="00A56E08">
        <w:rPr>
          <w:color w:val="000000" w:themeColor="text1"/>
        </w:rPr>
        <w:t>ком</w:t>
      </w:r>
      <w:r>
        <w:rPr>
          <w:color w:val="000000" w:themeColor="text1"/>
        </w:rPr>
        <w:t>п</w:t>
      </w:r>
      <w:r w:rsidR="00EE6AA2">
        <w:rPr>
          <w:color w:val="000000" w:themeColor="text1"/>
        </w:rPr>
        <w:t>е</w:t>
      </w:r>
      <w:r>
        <w:rPr>
          <w:color w:val="000000" w:themeColor="text1"/>
        </w:rPr>
        <w:t>т</w:t>
      </w:r>
      <w:r w:rsidR="00EE6AA2">
        <w:rPr>
          <w:color w:val="000000" w:themeColor="text1"/>
        </w:rPr>
        <w:t>е</w:t>
      </w:r>
      <w:r w:rsidR="00A56E08">
        <w:rPr>
          <w:color w:val="000000" w:themeColor="text1"/>
        </w:rPr>
        <w:t>нција</w:t>
      </w:r>
      <w:r w:rsidR="00847B04" w:rsidRPr="00F6340E">
        <w:rPr>
          <w:color w:val="000000" w:themeColor="text1"/>
        </w:rPr>
        <w:t xml:space="preserve"> </w:t>
      </w:r>
      <w:r w:rsidR="00A56E08">
        <w:rPr>
          <w:color w:val="000000" w:themeColor="text1"/>
        </w:rPr>
        <w:t>на</w:t>
      </w:r>
      <w:r>
        <w:rPr>
          <w:color w:val="000000" w:themeColor="text1"/>
        </w:rPr>
        <w:t>ст</w:t>
      </w:r>
      <w:r w:rsidR="00A56E08">
        <w:rPr>
          <w:color w:val="000000" w:themeColor="text1"/>
        </w:rPr>
        <w:t>а</w:t>
      </w:r>
      <w:r>
        <w:rPr>
          <w:color w:val="000000" w:themeColor="text1"/>
        </w:rPr>
        <w:t>в</w:t>
      </w:r>
      <w:r w:rsidR="00A56E08">
        <w:rPr>
          <w:color w:val="000000" w:themeColor="text1"/>
        </w:rPr>
        <w:t>ника</w:t>
      </w:r>
      <w:r w:rsidR="00847B04" w:rsidRPr="00F6340E">
        <w:rPr>
          <w:color w:val="000000" w:themeColor="text1"/>
        </w:rPr>
        <w:t xml:space="preserve"> </w:t>
      </w:r>
      <w:r w:rsidR="00A56E08">
        <w:rPr>
          <w:color w:val="000000" w:themeColor="text1"/>
        </w:rPr>
        <w:t>о</w:t>
      </w:r>
      <w:r>
        <w:rPr>
          <w:color w:val="000000" w:themeColor="text1"/>
        </w:rPr>
        <w:t>с</w:t>
      </w:r>
      <w:r w:rsidR="00A56E08">
        <w:rPr>
          <w:color w:val="000000" w:themeColor="text1"/>
        </w:rPr>
        <w:t>но</w:t>
      </w:r>
      <w:r>
        <w:rPr>
          <w:color w:val="000000" w:themeColor="text1"/>
        </w:rPr>
        <w:t>в</w:t>
      </w:r>
      <w:r w:rsidR="00A56E08">
        <w:rPr>
          <w:color w:val="000000" w:themeColor="text1"/>
        </w:rPr>
        <w:t>них</w:t>
      </w:r>
      <w:r w:rsidR="00847B04" w:rsidRPr="00F6340E">
        <w:rPr>
          <w:color w:val="000000" w:themeColor="text1"/>
        </w:rPr>
        <w:t xml:space="preserve"> </w:t>
      </w:r>
      <w:r w:rsidR="00A56E08">
        <w:rPr>
          <w:color w:val="000000" w:themeColor="text1"/>
        </w:rPr>
        <w:t>и</w:t>
      </w:r>
      <w:r w:rsidR="00847B04" w:rsidRPr="00F6340E">
        <w:rPr>
          <w:color w:val="000000" w:themeColor="text1"/>
        </w:rPr>
        <w:t xml:space="preserve"> </w:t>
      </w:r>
      <w:r>
        <w:rPr>
          <w:color w:val="000000" w:themeColor="text1"/>
        </w:rPr>
        <w:t>ср</w:t>
      </w:r>
      <w:r w:rsidR="00EE6AA2">
        <w:rPr>
          <w:color w:val="000000" w:themeColor="text1"/>
        </w:rPr>
        <w:t>е</w:t>
      </w:r>
      <w:r w:rsidR="00A56E08">
        <w:rPr>
          <w:color w:val="000000" w:themeColor="text1"/>
        </w:rPr>
        <w:t>дњих</w:t>
      </w:r>
      <w:r w:rsidR="00847B04" w:rsidRPr="00F6340E">
        <w:rPr>
          <w:color w:val="000000" w:themeColor="text1"/>
        </w:rPr>
        <w:t xml:space="preserve"> </w:t>
      </w:r>
      <w:r>
        <w:rPr>
          <w:color w:val="000000" w:themeColor="text1"/>
        </w:rPr>
        <w:t>ш</w:t>
      </w:r>
      <w:r w:rsidR="00A56E08">
        <w:rPr>
          <w:color w:val="000000" w:themeColor="text1"/>
        </w:rPr>
        <w:t>кола</w:t>
      </w:r>
      <w:r w:rsidR="00847B04" w:rsidRPr="00F6340E">
        <w:rPr>
          <w:color w:val="000000" w:themeColor="text1"/>
        </w:rPr>
        <w:t xml:space="preserve"> </w:t>
      </w:r>
      <w:r w:rsidR="00A56E08">
        <w:rPr>
          <w:color w:val="000000" w:themeColor="text1"/>
        </w:rPr>
        <w:t>д</w:t>
      </w:r>
      <w:r w:rsidR="00EE6AA2">
        <w:rPr>
          <w:color w:val="000000" w:themeColor="text1"/>
        </w:rPr>
        <w:t>е</w:t>
      </w:r>
      <w:r w:rsidR="00A56E08">
        <w:rPr>
          <w:color w:val="000000" w:themeColor="text1"/>
        </w:rPr>
        <w:t>фини</w:t>
      </w:r>
      <w:r>
        <w:rPr>
          <w:color w:val="000000" w:themeColor="text1"/>
        </w:rPr>
        <w:t>с</w:t>
      </w:r>
      <w:r w:rsidR="00A56E08">
        <w:rPr>
          <w:color w:val="000000" w:themeColor="text1"/>
        </w:rPr>
        <w:t>ана</w:t>
      </w:r>
      <w:r w:rsidR="00847B04" w:rsidRPr="00F6340E">
        <w:rPr>
          <w:color w:val="000000" w:themeColor="text1"/>
        </w:rPr>
        <w:t xml:space="preserve"> </w:t>
      </w:r>
      <w:r w:rsidR="00A56E08">
        <w:rPr>
          <w:color w:val="000000" w:themeColor="text1"/>
        </w:rPr>
        <w:t>ј</w:t>
      </w:r>
      <w:r w:rsidR="00EE6AA2">
        <w:rPr>
          <w:color w:val="000000" w:themeColor="text1"/>
        </w:rPr>
        <w:t>е</w:t>
      </w:r>
      <w:r w:rsidR="00847B04" w:rsidRPr="00F6340E">
        <w:rPr>
          <w:color w:val="000000" w:themeColor="text1"/>
        </w:rPr>
        <w:t xml:space="preserve"> </w:t>
      </w:r>
      <w:r w:rsidR="00A56E08">
        <w:rPr>
          <w:color w:val="000000" w:themeColor="text1"/>
        </w:rPr>
        <w:t>Чланом</w:t>
      </w:r>
      <w:r w:rsidR="00847B04" w:rsidRPr="00F6340E">
        <w:rPr>
          <w:color w:val="000000" w:themeColor="text1"/>
        </w:rPr>
        <w:t xml:space="preserve"> 45</w:t>
      </w:r>
      <w:r w:rsidR="00CE3E8F" w:rsidRPr="00F6340E">
        <w:rPr>
          <w:color w:val="000000" w:themeColor="text1"/>
        </w:rPr>
        <w:t>.</w:t>
      </w:r>
      <w:r w:rsidR="00847B04" w:rsidRPr="00F6340E">
        <w:t xml:space="preserve"> </w:t>
      </w:r>
      <w:r>
        <w:t>пр</w:t>
      </w:r>
      <w:r w:rsidR="00EE6AA2">
        <w:t>е</w:t>
      </w:r>
      <w:r w:rsidR="00A56E08">
        <w:t>ма</w:t>
      </w:r>
      <w:r w:rsidR="00847B04" w:rsidRPr="00F6340E">
        <w:t xml:space="preserve"> </w:t>
      </w:r>
      <w:r w:rsidR="00A56E08">
        <w:t>кој</w:t>
      </w:r>
      <w:r w:rsidR="00EE6AA2">
        <w:t>е</w:t>
      </w:r>
      <w:r w:rsidR="00A56E08">
        <w:t>м</w:t>
      </w:r>
      <w:r w:rsidR="00847B04" w:rsidRPr="00F6340E">
        <w:t xml:space="preserve"> “</w:t>
      </w:r>
      <w:r w:rsidR="00A56E08">
        <w:t>надл</w:t>
      </w:r>
      <w:r w:rsidR="00EE6AA2">
        <w:t>е</w:t>
      </w:r>
      <w:r w:rsidR="00171F00">
        <w:t>ж</w:t>
      </w:r>
      <w:r w:rsidR="00A56E08">
        <w:t>н</w:t>
      </w:r>
      <w:r w:rsidR="00EE6AA2">
        <w:t>е</w:t>
      </w:r>
      <w:r w:rsidR="00847B04" w:rsidRPr="00F6340E">
        <w:t xml:space="preserve"> </w:t>
      </w:r>
      <w:r w:rsidR="00A56E08">
        <w:t>об</w:t>
      </w:r>
      <w:r>
        <w:t>р</w:t>
      </w:r>
      <w:r w:rsidR="00A56E08">
        <w:t>а</w:t>
      </w:r>
      <w:r w:rsidR="00171F00">
        <w:t>з</w:t>
      </w:r>
      <w:r w:rsidR="00A56E08">
        <w:t>о</w:t>
      </w:r>
      <w:r>
        <w:t>в</w:t>
      </w:r>
      <w:r w:rsidR="00A56E08">
        <w:t>н</w:t>
      </w:r>
      <w:r w:rsidR="00EE6AA2">
        <w:t>е</w:t>
      </w:r>
      <w:r w:rsidR="00847B04" w:rsidRPr="00F6340E">
        <w:t xml:space="preserve"> </w:t>
      </w:r>
      <w:r>
        <w:t>в</w:t>
      </w:r>
      <w:r w:rsidR="00A56E08">
        <w:t>ла</w:t>
      </w:r>
      <w:r>
        <w:t>ст</w:t>
      </w:r>
      <w:r w:rsidR="00A56E08">
        <w:t>и</w:t>
      </w:r>
      <w:r w:rsidR="00847B04" w:rsidRPr="00F6340E">
        <w:t xml:space="preserve"> </w:t>
      </w:r>
      <w:r>
        <w:t>утвр</w:t>
      </w:r>
      <w:r w:rsidR="00A56E08">
        <w:t>ђ</w:t>
      </w:r>
      <w:r>
        <w:t>у</w:t>
      </w:r>
      <w:r w:rsidR="00A56E08">
        <w:t>ј</w:t>
      </w:r>
      <w:r>
        <w:t>у</w:t>
      </w:r>
      <w:r w:rsidR="00847B04" w:rsidRPr="00F6340E">
        <w:t xml:space="preserve"> </w:t>
      </w:r>
      <w:r w:rsidR="00A56E08">
        <w:t>и</w:t>
      </w:r>
      <w:r w:rsidR="00847B04" w:rsidRPr="00F6340E">
        <w:t xml:space="preserve"> </w:t>
      </w:r>
      <w:r w:rsidR="00A56E08">
        <w:t>о</w:t>
      </w:r>
      <w:r>
        <w:t>ст</w:t>
      </w:r>
      <w:r w:rsidR="00A56E08">
        <w:t>ал</w:t>
      </w:r>
      <w:r w:rsidR="00EE6AA2">
        <w:t>е</w:t>
      </w:r>
      <w:r w:rsidR="00C04EC1" w:rsidRPr="00F6340E">
        <w:t xml:space="preserve"> </w:t>
      </w:r>
      <w:r>
        <w:t>ст</w:t>
      </w:r>
      <w:r w:rsidR="00A56E08">
        <w:t>анда</w:t>
      </w:r>
      <w:r>
        <w:t>р</w:t>
      </w:r>
      <w:r w:rsidR="00A56E08">
        <w:t>д</w:t>
      </w:r>
      <w:r w:rsidR="00EE6AA2">
        <w:t>е</w:t>
      </w:r>
      <w:r w:rsidR="00847B04" w:rsidRPr="00F6340E">
        <w:t xml:space="preserve"> </w:t>
      </w:r>
      <w:r w:rsidR="00A56E08">
        <w:t>и</w:t>
      </w:r>
      <w:r w:rsidR="00847B04" w:rsidRPr="00F6340E">
        <w:t xml:space="preserve"> </w:t>
      </w:r>
      <w:r w:rsidR="00A56E08">
        <w:t>но</w:t>
      </w:r>
      <w:r>
        <w:t>р</w:t>
      </w:r>
      <w:r w:rsidR="00A56E08">
        <w:t>ма</w:t>
      </w:r>
      <w:r>
        <w:t>т</w:t>
      </w:r>
      <w:r w:rsidR="00A56E08">
        <w:t>и</w:t>
      </w:r>
      <w:r>
        <w:t>в</w:t>
      </w:r>
      <w:r w:rsidR="00EE6AA2">
        <w:t>е</w:t>
      </w:r>
      <w:r w:rsidR="00847B04" w:rsidRPr="00F6340E">
        <w:t xml:space="preserve"> </w:t>
      </w:r>
      <w:r>
        <w:t>у</w:t>
      </w:r>
      <w:r w:rsidR="00847B04" w:rsidRPr="00F6340E">
        <w:t xml:space="preserve"> </w:t>
      </w:r>
      <w:r w:rsidR="00A56E08">
        <w:t>об</w:t>
      </w:r>
      <w:r>
        <w:t>р</w:t>
      </w:r>
      <w:r w:rsidR="00A56E08">
        <w:t>а</w:t>
      </w:r>
      <w:r w:rsidR="00171F00">
        <w:t>з</w:t>
      </w:r>
      <w:r w:rsidR="00A56E08">
        <w:t>о</w:t>
      </w:r>
      <w:r>
        <w:t>в</w:t>
      </w:r>
      <w:r w:rsidR="00A56E08">
        <w:t>ањ</w:t>
      </w:r>
      <w:r>
        <w:t>у</w:t>
      </w:r>
      <w:r w:rsidR="00847B04" w:rsidRPr="00F6340E">
        <w:t xml:space="preserve">, </w:t>
      </w:r>
      <w:r>
        <w:t>у</w:t>
      </w:r>
      <w:r w:rsidR="00847B04" w:rsidRPr="00F6340E">
        <w:t xml:space="preserve"> </w:t>
      </w:r>
      <w:r>
        <w:t>п</w:t>
      </w:r>
      <w:r w:rsidR="00A56E08">
        <w:t>огл</w:t>
      </w:r>
      <w:r w:rsidR="00EE6AA2">
        <w:t>е</w:t>
      </w:r>
      <w:r w:rsidR="00A56E08">
        <w:t>д</w:t>
      </w:r>
      <w:r>
        <w:t>у</w:t>
      </w:r>
      <w:r w:rsidR="00847B04" w:rsidRPr="00F6340E">
        <w:t xml:space="preserve"> </w:t>
      </w:r>
      <w:r w:rsidR="00A56E08">
        <w:t>об</w:t>
      </w:r>
      <w:r>
        <w:t>р</w:t>
      </w:r>
      <w:r w:rsidR="00A56E08">
        <w:t>а</w:t>
      </w:r>
      <w:r w:rsidR="00171F00">
        <w:t>з</w:t>
      </w:r>
      <w:r w:rsidR="00A56E08">
        <w:t>о</w:t>
      </w:r>
      <w:r>
        <w:t>в</w:t>
      </w:r>
      <w:r w:rsidR="00A56E08">
        <w:t>них</w:t>
      </w:r>
      <w:r w:rsidR="00847B04" w:rsidRPr="00F6340E">
        <w:t xml:space="preserve"> </w:t>
      </w:r>
      <w:r w:rsidR="00A56E08">
        <w:t>и</w:t>
      </w:r>
      <w:r w:rsidR="00847B04" w:rsidRPr="00F6340E">
        <w:t xml:space="preserve"> </w:t>
      </w:r>
      <w:r>
        <w:t>пр</w:t>
      </w:r>
      <w:r w:rsidR="00A56E08">
        <w:t>оф</w:t>
      </w:r>
      <w:r w:rsidR="00EE6AA2">
        <w:t>е</w:t>
      </w:r>
      <w:r>
        <w:t>с</w:t>
      </w:r>
      <w:r w:rsidR="00A56E08">
        <w:t>ионалних</w:t>
      </w:r>
      <w:r w:rsidR="00847B04" w:rsidRPr="00F6340E">
        <w:t xml:space="preserve"> </w:t>
      </w:r>
      <w:r w:rsidR="00A56E08">
        <w:t>ком</w:t>
      </w:r>
      <w:r>
        <w:t>п</w:t>
      </w:r>
      <w:r w:rsidR="00EE6AA2">
        <w:t>е</w:t>
      </w:r>
      <w:r>
        <w:t>т</w:t>
      </w:r>
      <w:r w:rsidR="00EE6AA2">
        <w:t>е</w:t>
      </w:r>
      <w:r w:rsidR="00A56E08">
        <w:t>нција</w:t>
      </w:r>
      <w:r w:rsidR="00847B04" w:rsidRPr="00F6340E">
        <w:t xml:space="preserve"> </w:t>
      </w:r>
      <w:r w:rsidR="00A56E08">
        <w:t>на</w:t>
      </w:r>
      <w:r>
        <w:t>ст</w:t>
      </w:r>
      <w:r w:rsidR="00A56E08">
        <w:t>а</w:t>
      </w:r>
      <w:r>
        <w:t>в</w:t>
      </w:r>
      <w:r w:rsidR="00A56E08">
        <w:t>ника</w:t>
      </w:r>
      <w:r w:rsidR="00847B04" w:rsidRPr="00F6340E">
        <w:t xml:space="preserve">”. </w:t>
      </w:r>
      <w:r>
        <w:t>У</w:t>
      </w:r>
      <w:r w:rsidR="00E864CA" w:rsidRPr="00F6340E">
        <w:t xml:space="preserve"> </w:t>
      </w:r>
      <w:r>
        <w:t>с</w:t>
      </w:r>
      <w:r w:rsidR="00A56E08">
        <w:t>клад</w:t>
      </w:r>
      <w:r>
        <w:t>у</w:t>
      </w:r>
      <w:r w:rsidR="00B04FA8">
        <w:t xml:space="preserve"> са </w:t>
      </w:r>
      <w:r>
        <w:t>т</w:t>
      </w:r>
      <w:r w:rsidR="00A56E08">
        <w:t>им</w:t>
      </w:r>
      <w:r w:rsidR="00847B04" w:rsidRPr="00F6340E">
        <w:t xml:space="preserve">, </w:t>
      </w:r>
      <w:r>
        <w:t>св</w:t>
      </w:r>
      <w:r w:rsidR="00A56E08">
        <w:t>ака</w:t>
      </w:r>
      <w:r w:rsidR="00847B04" w:rsidRPr="00F6340E">
        <w:t xml:space="preserve"> </w:t>
      </w:r>
      <w:r w:rsidR="00A56E08">
        <w:t>админи</w:t>
      </w:r>
      <w:r>
        <w:t>стр</w:t>
      </w:r>
      <w:r w:rsidR="00A56E08">
        <w:t>а</w:t>
      </w:r>
      <w:r>
        <w:t>т</w:t>
      </w:r>
      <w:r w:rsidR="00A56E08">
        <w:t>и</w:t>
      </w:r>
      <w:r>
        <w:t>в</w:t>
      </w:r>
      <w:r w:rsidR="00A56E08">
        <w:t>на</w:t>
      </w:r>
      <w:r w:rsidR="00847B04" w:rsidRPr="00F6340E">
        <w:t xml:space="preserve"> </w:t>
      </w:r>
      <w:r w:rsidR="00A56E08">
        <w:t>ј</w:t>
      </w:r>
      <w:r w:rsidR="00EE6AA2">
        <w:t>е</w:t>
      </w:r>
      <w:r w:rsidR="00A56E08">
        <w:t>диница</w:t>
      </w:r>
      <w:r w:rsidR="00847B04" w:rsidRPr="00F6340E">
        <w:t xml:space="preserve"> </w:t>
      </w:r>
      <w:r>
        <w:t>у</w:t>
      </w:r>
      <w:r w:rsidR="00847B04" w:rsidRPr="00F6340E">
        <w:t xml:space="preserve"> </w:t>
      </w:r>
      <w:r w:rsidR="00A56E08">
        <w:t>Бо</w:t>
      </w:r>
      <w:r>
        <w:t>с</w:t>
      </w:r>
      <w:r w:rsidR="00A56E08">
        <w:t>ни</w:t>
      </w:r>
      <w:r w:rsidR="00847B04" w:rsidRPr="00F6340E">
        <w:t xml:space="preserve"> </w:t>
      </w:r>
      <w:r w:rsidR="00A56E08">
        <w:t>и</w:t>
      </w:r>
      <w:r w:rsidR="00847B04" w:rsidRPr="00F6340E">
        <w:t xml:space="preserve"> </w:t>
      </w:r>
      <w:r w:rsidR="00A56E08">
        <w:t>Х</w:t>
      </w:r>
      <w:r w:rsidR="00EE6AA2">
        <w:t>е</w:t>
      </w:r>
      <w:r>
        <w:t>р</w:t>
      </w:r>
      <w:r w:rsidR="00A56E08">
        <w:t>ц</w:t>
      </w:r>
      <w:r w:rsidR="00EE6AA2">
        <w:t>е</w:t>
      </w:r>
      <w:r w:rsidR="00A56E08">
        <w:t>го</w:t>
      </w:r>
      <w:r>
        <w:t>в</w:t>
      </w:r>
      <w:r w:rsidR="00A56E08">
        <w:t>ини</w:t>
      </w:r>
      <w:r w:rsidR="00847B04" w:rsidRPr="00F6340E">
        <w:t xml:space="preserve"> </w:t>
      </w:r>
      <w:r w:rsidR="00A56E08">
        <w:t>к</w:t>
      </w:r>
      <w:r>
        <w:t>р</w:t>
      </w:r>
      <w:r w:rsidR="00EE6AA2">
        <w:t>е</w:t>
      </w:r>
      <w:r w:rsidR="00A56E08">
        <w:t>и</w:t>
      </w:r>
      <w:r>
        <w:t>р</w:t>
      </w:r>
      <w:r w:rsidR="00A56E08">
        <w:t>ала</w:t>
      </w:r>
      <w:r w:rsidR="00847B04" w:rsidRPr="00F6340E">
        <w:t xml:space="preserve"> </w:t>
      </w:r>
      <w:r w:rsidR="00A56E08">
        <w:t>ј</w:t>
      </w:r>
      <w:r w:rsidR="00EE6AA2">
        <w:t>е</w:t>
      </w:r>
      <w:r w:rsidR="00847B04" w:rsidRPr="00F6340E">
        <w:t xml:space="preserve"> </w:t>
      </w:r>
      <w:r>
        <w:t>пр</w:t>
      </w:r>
      <w:r w:rsidR="00A56E08">
        <w:t>а</w:t>
      </w:r>
      <w:r>
        <w:t>в</w:t>
      </w:r>
      <w:r w:rsidR="00A56E08">
        <w:t>илник</w:t>
      </w:r>
      <w:r w:rsidR="00847B04" w:rsidRPr="00F6340E">
        <w:t xml:space="preserve"> </w:t>
      </w:r>
      <w:r w:rsidR="00A56E08">
        <w:t>о</w:t>
      </w:r>
      <w:r w:rsidR="00847B04" w:rsidRPr="00F6340E">
        <w:t xml:space="preserve"> </w:t>
      </w:r>
      <w:r>
        <w:t>пр</w:t>
      </w:r>
      <w:r w:rsidR="00A56E08">
        <w:t>аћ</w:t>
      </w:r>
      <w:r w:rsidR="00EE6AA2">
        <w:t>е</w:t>
      </w:r>
      <w:r w:rsidR="00A56E08">
        <w:t>њ</w:t>
      </w:r>
      <w:r>
        <w:t>у</w:t>
      </w:r>
      <w:r w:rsidR="00847B04" w:rsidRPr="00F6340E">
        <w:t xml:space="preserve">, </w:t>
      </w:r>
      <w:r>
        <w:t>вр</w:t>
      </w:r>
      <w:r w:rsidR="00EE6AA2">
        <w:t>е</w:t>
      </w:r>
      <w:r w:rsidR="00A56E08">
        <w:t>дно</w:t>
      </w:r>
      <w:r>
        <w:t>в</w:t>
      </w:r>
      <w:r w:rsidR="00A56E08">
        <w:t>ањ</w:t>
      </w:r>
      <w:r>
        <w:t>у</w:t>
      </w:r>
      <w:r w:rsidR="00847B04" w:rsidRPr="00F6340E">
        <w:t xml:space="preserve"> </w:t>
      </w:r>
      <w:r w:rsidR="00A56E08">
        <w:t>и</w:t>
      </w:r>
      <w:r w:rsidR="00847B04" w:rsidRPr="00F6340E">
        <w:t xml:space="preserve"> </w:t>
      </w:r>
      <w:r>
        <w:t>стру</w:t>
      </w:r>
      <w:r w:rsidR="00A56E08">
        <w:t>чном</w:t>
      </w:r>
      <w:r w:rsidR="00847B04" w:rsidRPr="00F6340E">
        <w:t xml:space="preserve"> </w:t>
      </w:r>
      <w:r>
        <w:t>ус</w:t>
      </w:r>
      <w:r w:rsidR="00A56E08">
        <w:t>а</w:t>
      </w:r>
      <w:r>
        <w:t>врш</w:t>
      </w:r>
      <w:r w:rsidR="00A56E08">
        <w:t>а</w:t>
      </w:r>
      <w:r>
        <w:t>в</w:t>
      </w:r>
      <w:r w:rsidR="00A56E08">
        <w:t>ањ</w:t>
      </w:r>
      <w:r>
        <w:t>у</w:t>
      </w:r>
      <w:r w:rsidR="00847B04" w:rsidRPr="00F6340E">
        <w:t xml:space="preserve"> </w:t>
      </w:r>
      <w:r w:rsidR="00A56E08">
        <w:t>на</w:t>
      </w:r>
      <w:r>
        <w:t>ст</w:t>
      </w:r>
      <w:r w:rsidR="00A56E08">
        <w:t>а</w:t>
      </w:r>
      <w:r>
        <w:t>в</w:t>
      </w:r>
      <w:r w:rsidR="00A56E08">
        <w:t>ника</w:t>
      </w:r>
      <w:r w:rsidR="00847B04" w:rsidRPr="00F6340E">
        <w:t xml:space="preserve">. </w:t>
      </w:r>
      <w:r>
        <w:t>У</w:t>
      </w:r>
      <w:r w:rsidR="00847B04" w:rsidRPr="00F6340E">
        <w:t xml:space="preserve"> </w:t>
      </w:r>
      <w:r w:rsidR="00A56E08">
        <w:t>н</w:t>
      </w:r>
      <w:r w:rsidR="00EE6AA2">
        <w:t>е</w:t>
      </w:r>
      <w:r w:rsidR="00A56E08">
        <w:t>ким</w:t>
      </w:r>
      <w:r w:rsidR="00847B04" w:rsidRPr="00F6340E">
        <w:t xml:space="preserve"> </w:t>
      </w:r>
      <w:r w:rsidR="00A56E08">
        <w:t>админи</w:t>
      </w:r>
      <w:r>
        <w:t>стр</w:t>
      </w:r>
      <w:r w:rsidR="00A56E08">
        <w:t>а</w:t>
      </w:r>
      <w:r>
        <w:t>т</w:t>
      </w:r>
      <w:r w:rsidR="00A56E08">
        <w:t>и</w:t>
      </w:r>
      <w:r>
        <w:t>в</w:t>
      </w:r>
      <w:r w:rsidR="00A56E08">
        <w:t>ним</w:t>
      </w:r>
      <w:r w:rsidR="00847B04" w:rsidRPr="00F6340E">
        <w:t xml:space="preserve"> </w:t>
      </w:r>
      <w:r w:rsidR="00A56E08">
        <w:t>ј</w:t>
      </w:r>
      <w:r w:rsidR="00EE6AA2">
        <w:t>е</w:t>
      </w:r>
      <w:r w:rsidR="00A56E08">
        <w:t>диницама</w:t>
      </w:r>
      <w:r w:rsidR="00847B04" w:rsidRPr="00F6340E">
        <w:t xml:space="preserve"> </w:t>
      </w:r>
      <w:r>
        <w:t>пр</w:t>
      </w:r>
      <w:r w:rsidR="00A56E08">
        <w:t>а</w:t>
      </w:r>
      <w:r>
        <w:t>в</w:t>
      </w:r>
      <w:r w:rsidR="00A56E08">
        <w:t>илником</w:t>
      </w:r>
      <w:r w:rsidR="00847B04" w:rsidRPr="00F6340E">
        <w:t xml:space="preserve"> </w:t>
      </w:r>
      <w:r>
        <w:t>су</w:t>
      </w:r>
      <w:r w:rsidR="00847B04" w:rsidRPr="00F6340E">
        <w:t xml:space="preserve"> </w:t>
      </w:r>
      <w:r w:rsidR="00A56E08">
        <w:t>обј</w:t>
      </w:r>
      <w:r w:rsidR="00EE6AA2">
        <w:t>е</w:t>
      </w:r>
      <w:r w:rsidR="00A56E08">
        <w:t>дињ</w:t>
      </w:r>
      <w:r w:rsidR="00EE6AA2">
        <w:t>е</w:t>
      </w:r>
      <w:r w:rsidR="00A56E08">
        <w:t>на</w:t>
      </w:r>
      <w:r w:rsidR="00847B04" w:rsidRPr="00F6340E">
        <w:t xml:space="preserve"> </w:t>
      </w:r>
      <w:r>
        <w:t>св</w:t>
      </w:r>
      <w:r w:rsidR="00A56E08">
        <w:t>а</w:t>
      </w:r>
      <w:r w:rsidR="00847B04" w:rsidRPr="00F6340E">
        <w:t xml:space="preserve"> </w:t>
      </w:r>
      <w:r>
        <w:t>тр</w:t>
      </w:r>
      <w:r w:rsidR="00A56E08">
        <w:t>и</w:t>
      </w:r>
      <w:r w:rsidR="00847B04" w:rsidRPr="00F6340E">
        <w:t xml:space="preserve"> </w:t>
      </w:r>
      <w:r>
        <w:t>п</w:t>
      </w:r>
      <w:r w:rsidR="00A56E08">
        <w:t>од</w:t>
      </w:r>
      <w:r>
        <w:t>ру</w:t>
      </w:r>
      <w:r w:rsidR="00A56E08">
        <w:t>чја</w:t>
      </w:r>
      <w:r w:rsidR="00847B04" w:rsidRPr="00F6340E">
        <w:t xml:space="preserve"> </w:t>
      </w:r>
      <w:r w:rsidR="00A56E08">
        <w:t>а</w:t>
      </w:r>
      <w:r w:rsidR="00847B04" w:rsidRPr="00F6340E">
        <w:t xml:space="preserve"> </w:t>
      </w:r>
      <w:r>
        <w:t>у</w:t>
      </w:r>
      <w:r w:rsidR="00847B04" w:rsidRPr="00F6340E">
        <w:t xml:space="preserve"> </w:t>
      </w:r>
      <w:r w:rsidR="00A56E08">
        <w:t>н</w:t>
      </w:r>
      <w:r w:rsidR="00EE6AA2">
        <w:t>е</w:t>
      </w:r>
      <w:r w:rsidR="00A56E08">
        <w:t>кима</w:t>
      </w:r>
      <w:r w:rsidR="00847B04" w:rsidRPr="00F6340E">
        <w:t xml:space="preserve"> </w:t>
      </w:r>
      <w:r w:rsidR="00A56E08">
        <w:t>ј</w:t>
      </w:r>
      <w:r w:rsidR="00EE6AA2">
        <w:t>е</w:t>
      </w:r>
      <w:r w:rsidR="00847B04" w:rsidRPr="00F6340E">
        <w:t xml:space="preserve"> </w:t>
      </w:r>
      <w:r>
        <w:t>пр</w:t>
      </w:r>
      <w:r w:rsidR="00A56E08">
        <w:t>а</w:t>
      </w:r>
      <w:r>
        <w:t>в</w:t>
      </w:r>
      <w:r w:rsidR="00A56E08">
        <w:t>илник</w:t>
      </w:r>
      <w:r w:rsidR="00847B04" w:rsidRPr="00F6340E">
        <w:t xml:space="preserve"> </w:t>
      </w:r>
      <w:r w:rsidR="00A56E08">
        <w:t>о</w:t>
      </w:r>
      <w:r w:rsidR="00847B04" w:rsidRPr="00F6340E">
        <w:t xml:space="preserve"> </w:t>
      </w:r>
      <w:r>
        <w:t>стру</w:t>
      </w:r>
      <w:r w:rsidR="00A56E08">
        <w:t>чном</w:t>
      </w:r>
      <w:r w:rsidR="00847B04" w:rsidRPr="00F6340E">
        <w:t xml:space="preserve"> </w:t>
      </w:r>
      <w:r>
        <w:t>ус</w:t>
      </w:r>
      <w:r w:rsidR="00A56E08">
        <w:t>а</w:t>
      </w:r>
      <w:r>
        <w:t>врш</w:t>
      </w:r>
      <w:r w:rsidR="00A56E08">
        <w:t>а</w:t>
      </w:r>
      <w:r>
        <w:t>в</w:t>
      </w:r>
      <w:r w:rsidR="00A56E08">
        <w:t>ањ</w:t>
      </w:r>
      <w:r>
        <w:t>у</w:t>
      </w:r>
      <w:r w:rsidR="00847B04" w:rsidRPr="00F6340E">
        <w:t xml:space="preserve"> </w:t>
      </w:r>
      <w:r w:rsidR="00A56E08">
        <w:t>од</w:t>
      </w:r>
      <w:r>
        <w:t>в</w:t>
      </w:r>
      <w:r w:rsidR="00A56E08">
        <w:t>ој</w:t>
      </w:r>
      <w:r w:rsidR="00EE6AA2">
        <w:t>е</w:t>
      </w:r>
      <w:r w:rsidR="00A56E08">
        <w:t>н</w:t>
      </w:r>
      <w:r w:rsidR="00847B04" w:rsidRPr="00F6340E">
        <w:t xml:space="preserve"> </w:t>
      </w:r>
      <w:r w:rsidR="00A56E08">
        <w:t>од</w:t>
      </w:r>
      <w:r w:rsidR="00847B04" w:rsidRPr="00F6340E">
        <w:t xml:space="preserve"> </w:t>
      </w:r>
      <w:r>
        <w:t>пр</w:t>
      </w:r>
      <w:r w:rsidR="00A56E08">
        <w:t>аћ</w:t>
      </w:r>
      <w:r w:rsidR="00EE6AA2">
        <w:t>е</w:t>
      </w:r>
      <w:r w:rsidR="00A56E08">
        <w:t>ња</w:t>
      </w:r>
      <w:r w:rsidR="00847B04" w:rsidRPr="00F6340E">
        <w:t xml:space="preserve"> </w:t>
      </w:r>
      <w:r w:rsidR="00A56E08">
        <w:t>и</w:t>
      </w:r>
      <w:r w:rsidR="00847B04" w:rsidRPr="00F6340E">
        <w:t xml:space="preserve"> </w:t>
      </w:r>
      <w:r>
        <w:t>вр</w:t>
      </w:r>
      <w:r w:rsidR="00EE6AA2">
        <w:t>е</w:t>
      </w:r>
      <w:r w:rsidR="00A56E08">
        <w:t>дно</w:t>
      </w:r>
      <w:r>
        <w:t>в</w:t>
      </w:r>
      <w:r w:rsidR="00A56E08">
        <w:t>ања</w:t>
      </w:r>
      <w:r w:rsidR="00847B04" w:rsidRPr="00F6340E">
        <w:t xml:space="preserve"> </w:t>
      </w:r>
      <w:r>
        <w:t>р</w:t>
      </w:r>
      <w:r w:rsidR="00A56E08">
        <w:t>ада</w:t>
      </w:r>
      <w:r w:rsidR="00847B04" w:rsidRPr="00F6340E">
        <w:t xml:space="preserve"> </w:t>
      </w:r>
      <w:r w:rsidR="00A56E08">
        <w:t>на</w:t>
      </w:r>
      <w:r>
        <w:t>ст</w:t>
      </w:r>
      <w:r w:rsidR="00A56E08">
        <w:t>а</w:t>
      </w:r>
      <w:r>
        <w:t>в</w:t>
      </w:r>
      <w:r w:rsidR="00A56E08">
        <w:t>ника</w:t>
      </w:r>
      <w:r w:rsidR="00847B04" w:rsidRPr="00F6340E">
        <w:t xml:space="preserve">. </w:t>
      </w:r>
    </w:p>
    <w:p w14:paraId="091E4C03" w14:textId="2F37A681" w:rsidR="00847B04" w:rsidRPr="00F6340E" w:rsidRDefault="00A56E08" w:rsidP="00D976C8">
      <w:pPr>
        <w:pStyle w:val="Body"/>
        <w:rPr>
          <w:bCs/>
        </w:rPr>
      </w:pPr>
      <w:r>
        <w:t>Анали</w:t>
      </w:r>
      <w:r w:rsidR="00171F00">
        <w:t>з</w:t>
      </w:r>
      <w:r>
        <w:t>ом</w:t>
      </w:r>
      <w:r w:rsidR="00847B04" w:rsidRPr="00F6340E">
        <w:t xml:space="preserve"> </w:t>
      </w:r>
      <w:r w:rsidR="0071360A">
        <w:t>с</w:t>
      </w:r>
      <w:r>
        <w:t>ад</w:t>
      </w:r>
      <w:r w:rsidR="0071360A">
        <w:t>р</w:t>
      </w:r>
      <w:r w:rsidR="00171F00">
        <w:t>ж</w:t>
      </w:r>
      <w:r>
        <w:t>аја</w:t>
      </w:r>
      <w:r w:rsidR="00847B04" w:rsidRPr="00F6340E">
        <w:t xml:space="preserve"> </w:t>
      </w:r>
      <w:r>
        <w:t>на</w:t>
      </w:r>
      <w:r w:rsidR="0071360A">
        <w:t>в</w:t>
      </w:r>
      <w:r w:rsidR="00EE6AA2">
        <w:t>е</w:t>
      </w:r>
      <w:r>
        <w:t>д</w:t>
      </w:r>
      <w:r w:rsidR="00EE6AA2">
        <w:t>е</w:t>
      </w:r>
      <w:r>
        <w:t>них</w:t>
      </w:r>
      <w:r w:rsidR="00847B04" w:rsidRPr="00F6340E">
        <w:t xml:space="preserve"> </w:t>
      </w:r>
      <w:r w:rsidR="0071360A">
        <w:t>пр</w:t>
      </w:r>
      <w:r>
        <w:t>а</w:t>
      </w:r>
      <w:r w:rsidR="0071360A">
        <w:t>в</w:t>
      </w:r>
      <w:r>
        <w:t>илника</w:t>
      </w:r>
      <w:r w:rsidR="00847B04" w:rsidRPr="00F6340E">
        <w:t xml:space="preserve"> </w:t>
      </w:r>
      <w:r>
        <w:t>мог</w:t>
      </w:r>
      <w:r w:rsidR="0071360A">
        <w:t>у</w:t>
      </w:r>
      <w:r>
        <w:t>ћ</w:t>
      </w:r>
      <w:r w:rsidR="00EE6AA2">
        <w:t>е</w:t>
      </w:r>
      <w:r w:rsidR="00847B04" w:rsidRPr="00F6340E">
        <w:t xml:space="preserve"> </w:t>
      </w:r>
      <w:r>
        <w:t>ј</w:t>
      </w:r>
      <w:r w:rsidR="00EE6AA2">
        <w:t>е</w:t>
      </w:r>
      <w:r w:rsidR="00847B04" w:rsidRPr="00F6340E">
        <w:t xml:space="preserve"> </w:t>
      </w:r>
      <w:r w:rsidR="0071360A">
        <w:t>ув</w:t>
      </w:r>
      <w:r>
        <w:t>идј</w:t>
      </w:r>
      <w:r w:rsidR="00EE6AA2">
        <w:t>е</w:t>
      </w:r>
      <w:r w:rsidR="0071360A">
        <w:t>т</w:t>
      </w:r>
      <w:r>
        <w:t>и</w:t>
      </w:r>
      <w:r w:rsidR="00847B04" w:rsidRPr="00F6340E">
        <w:t xml:space="preserve"> </w:t>
      </w:r>
      <w:r w:rsidR="0071360A">
        <w:t>сп</w:t>
      </w:r>
      <w:r>
        <w:t>о</w:t>
      </w:r>
      <w:r w:rsidR="0071360A">
        <w:t>с</w:t>
      </w:r>
      <w:r>
        <w:t>обно</w:t>
      </w:r>
      <w:r w:rsidR="0071360A">
        <w:t>ст</w:t>
      </w:r>
      <w:r>
        <w:t>и</w:t>
      </w:r>
      <w:r w:rsidR="00847B04" w:rsidRPr="00F6340E">
        <w:t xml:space="preserve"> </w:t>
      </w:r>
      <w:r>
        <w:t>кој</w:t>
      </w:r>
      <w:r w:rsidR="00EE6AA2">
        <w:t>е</w:t>
      </w:r>
      <w:r w:rsidR="00847B04" w:rsidRPr="00F6340E">
        <w:t xml:space="preserve"> </w:t>
      </w:r>
      <w:r w:rsidR="0071360A">
        <w:t>с</w:t>
      </w:r>
      <w:r w:rsidR="00EE6AA2">
        <w:t>е</w:t>
      </w:r>
      <w:r w:rsidR="00847B04" w:rsidRPr="00F6340E">
        <w:t xml:space="preserve"> </w:t>
      </w:r>
      <w:r>
        <w:t>одно</w:t>
      </w:r>
      <w:r w:rsidR="0071360A">
        <w:t>с</w:t>
      </w:r>
      <w:r w:rsidR="00EE6AA2">
        <w:t>е</w:t>
      </w:r>
      <w:r w:rsidR="00847B04" w:rsidRPr="00F6340E">
        <w:t xml:space="preserve"> </w:t>
      </w:r>
      <w:r>
        <w:t>на</w:t>
      </w:r>
      <w:r w:rsidR="00847B04" w:rsidRPr="00F6340E">
        <w:t xml:space="preserve"> </w:t>
      </w:r>
      <w:r w:rsidR="0071360A">
        <w:t>ст</w:t>
      </w:r>
      <w:r w:rsidR="00EE6AA2">
        <w:t>е</w:t>
      </w:r>
      <w:r w:rsidR="0071360A">
        <w:t>п</w:t>
      </w:r>
      <w:r w:rsidR="00EE6AA2">
        <w:t>е</w:t>
      </w:r>
      <w:r>
        <w:t>н</w:t>
      </w:r>
      <w:r w:rsidR="00847B04" w:rsidRPr="00F6340E">
        <w:t xml:space="preserve"> </w:t>
      </w:r>
      <w:r>
        <w:t>на</w:t>
      </w:r>
      <w:r w:rsidR="0071360A">
        <w:t>пр</w:t>
      </w:r>
      <w:r w:rsidR="00EE6AA2">
        <w:t>е</w:t>
      </w:r>
      <w:r>
        <w:t>до</w:t>
      </w:r>
      <w:r w:rsidR="0071360A">
        <w:t>в</w:t>
      </w:r>
      <w:r>
        <w:t>ања</w:t>
      </w:r>
      <w:r w:rsidR="00847B04" w:rsidRPr="00F6340E">
        <w:t xml:space="preserve"> </w:t>
      </w:r>
      <w:r>
        <w:t>на</w:t>
      </w:r>
      <w:r w:rsidR="0071360A">
        <w:t>ст</w:t>
      </w:r>
      <w:r>
        <w:t>а</w:t>
      </w:r>
      <w:r w:rsidR="0071360A">
        <w:t>в</w:t>
      </w:r>
      <w:r>
        <w:t>ника</w:t>
      </w:r>
      <w:r w:rsidR="00847B04" w:rsidRPr="00F6340E">
        <w:t xml:space="preserve"> </w:t>
      </w:r>
      <w:r w:rsidR="0071360A">
        <w:t>у</w:t>
      </w:r>
      <w:r w:rsidR="00847B04" w:rsidRPr="00F6340E">
        <w:t xml:space="preserve"> </w:t>
      </w:r>
      <w:r>
        <w:t>на</w:t>
      </w:r>
      <w:r w:rsidR="0071360A">
        <w:t>ст</w:t>
      </w:r>
      <w:r>
        <w:t>а</w:t>
      </w:r>
      <w:r w:rsidR="0071360A">
        <w:t>в</w:t>
      </w:r>
      <w:r>
        <w:t>ника</w:t>
      </w:r>
      <w:r w:rsidR="00847B04" w:rsidRPr="00F6340E">
        <w:t xml:space="preserve"> </w:t>
      </w:r>
      <w:r>
        <w:t>м</w:t>
      </w:r>
      <w:r w:rsidR="00EE6AA2">
        <w:t>е</w:t>
      </w:r>
      <w:r>
        <w:t>н</w:t>
      </w:r>
      <w:r w:rsidR="0071360A">
        <w:t>т</w:t>
      </w:r>
      <w:r>
        <w:t>о</w:t>
      </w:r>
      <w:r w:rsidR="0071360A">
        <w:t>р</w:t>
      </w:r>
      <w:r>
        <w:t>а</w:t>
      </w:r>
      <w:r w:rsidR="00847B04" w:rsidRPr="00F6340E">
        <w:t xml:space="preserve"> </w:t>
      </w:r>
      <w:r w:rsidR="0071360A">
        <w:t>п</w:t>
      </w:r>
      <w:r>
        <w:t>а</w:t>
      </w:r>
      <w:r w:rsidR="00847B04" w:rsidRPr="00F6340E">
        <w:t xml:space="preserve"> </w:t>
      </w:r>
      <w:r>
        <w:t>до</w:t>
      </w:r>
      <w:r w:rsidR="00847B04" w:rsidRPr="00F6340E">
        <w:t xml:space="preserve"> </w:t>
      </w:r>
      <w:r>
        <w:t>на</w:t>
      </w:r>
      <w:r w:rsidR="0071360A">
        <w:t>ст</w:t>
      </w:r>
      <w:r>
        <w:t>а</w:t>
      </w:r>
      <w:r w:rsidR="0071360A">
        <w:t>в</w:t>
      </w:r>
      <w:r>
        <w:t>ника</w:t>
      </w:r>
      <w:r w:rsidR="00847B04" w:rsidRPr="00F6340E">
        <w:t xml:space="preserve"> </w:t>
      </w:r>
      <w:r w:rsidR="0071360A">
        <w:t>с</w:t>
      </w:r>
      <w:r>
        <w:t>а</w:t>
      </w:r>
      <w:r w:rsidR="0071360A">
        <w:t>в</w:t>
      </w:r>
      <w:r>
        <w:t>ј</w:t>
      </w:r>
      <w:r w:rsidR="00EE6AA2">
        <w:t>е</w:t>
      </w:r>
      <w:r w:rsidR="0071360A">
        <w:t>т</w:t>
      </w:r>
      <w:r>
        <w:t>ника</w:t>
      </w:r>
      <w:r w:rsidR="00847B04" w:rsidRPr="00F6340E">
        <w:t xml:space="preserve"> </w:t>
      </w:r>
      <w:r>
        <w:t>и</w:t>
      </w:r>
      <w:r w:rsidR="00847B04" w:rsidRPr="00F6340E">
        <w:t>/</w:t>
      </w:r>
      <w:r>
        <w:t>или</w:t>
      </w:r>
      <w:r w:rsidR="00847B04" w:rsidRPr="00F6340E">
        <w:t xml:space="preserve"> </w:t>
      </w:r>
      <w:r w:rsidR="0071360A">
        <w:t>в</w:t>
      </w:r>
      <w:r>
        <w:t>и</w:t>
      </w:r>
      <w:r w:rsidR="0071360A">
        <w:t>ш</w:t>
      </w:r>
      <w:r w:rsidR="00EE6AA2">
        <w:t>е</w:t>
      </w:r>
      <w:r>
        <w:t>г</w:t>
      </w:r>
      <w:r w:rsidR="00847B04" w:rsidRPr="00F6340E">
        <w:t xml:space="preserve"> </w:t>
      </w:r>
      <w:r w:rsidR="0071360A">
        <w:t>с</w:t>
      </w:r>
      <w:r>
        <w:t>а</w:t>
      </w:r>
      <w:r w:rsidR="0071360A">
        <w:t>в</w:t>
      </w:r>
      <w:r>
        <w:t>ј</w:t>
      </w:r>
      <w:r w:rsidR="00EE6AA2">
        <w:t>е</w:t>
      </w:r>
      <w:r w:rsidR="0071360A">
        <w:t>т</w:t>
      </w:r>
      <w:r>
        <w:t>ника</w:t>
      </w:r>
      <w:r w:rsidR="00847B04" w:rsidRPr="00F6340E">
        <w:t xml:space="preserve">. </w:t>
      </w:r>
      <w:r>
        <w:t>Обла</w:t>
      </w:r>
      <w:r w:rsidR="0071360A">
        <w:t>ст</w:t>
      </w:r>
      <w:r>
        <w:t>и</w:t>
      </w:r>
      <w:r w:rsidR="00847B04" w:rsidRPr="00F6340E">
        <w:t xml:space="preserve"> </w:t>
      </w:r>
      <w:r w:rsidR="0071360A">
        <w:t>у</w:t>
      </w:r>
      <w:r w:rsidR="00847B04" w:rsidRPr="00F6340E">
        <w:t xml:space="preserve"> </w:t>
      </w:r>
      <w:r>
        <w:t>којима</w:t>
      </w:r>
      <w:r w:rsidR="00847B04" w:rsidRPr="00F6340E">
        <w:t xml:space="preserve"> </w:t>
      </w:r>
      <w:r w:rsidR="0071360A">
        <w:t>с</w:t>
      </w:r>
      <w:r w:rsidR="00EE6AA2">
        <w:t>е</w:t>
      </w:r>
      <w:r w:rsidR="00847B04" w:rsidRPr="00F6340E">
        <w:t xml:space="preserve"> </w:t>
      </w:r>
      <w:r w:rsidR="0071360A">
        <w:lastRenderedPageBreak/>
        <w:t>пр</w:t>
      </w:r>
      <w:r>
        <w:t>о</w:t>
      </w:r>
      <w:r w:rsidR="0071360A">
        <w:t>в</w:t>
      </w:r>
      <w:r>
        <w:t>оди</w:t>
      </w:r>
      <w:r w:rsidR="00847B04" w:rsidRPr="00F6340E">
        <w:t xml:space="preserve"> </w:t>
      </w:r>
      <w:r w:rsidR="0071360A">
        <w:t>пр</w:t>
      </w:r>
      <w:r>
        <w:t>аћ</w:t>
      </w:r>
      <w:r w:rsidR="00EE6AA2">
        <w:t>е</w:t>
      </w:r>
      <w:r>
        <w:t>њ</w:t>
      </w:r>
      <w:r w:rsidR="00EE6AA2">
        <w:t>е</w:t>
      </w:r>
      <w:r w:rsidR="00847B04" w:rsidRPr="00F6340E">
        <w:t xml:space="preserve"> </w:t>
      </w:r>
      <w:r>
        <w:t>и</w:t>
      </w:r>
      <w:r w:rsidR="00847B04" w:rsidRPr="00F6340E">
        <w:t xml:space="preserve"> </w:t>
      </w:r>
      <w:r w:rsidR="0071360A">
        <w:t>вр</w:t>
      </w:r>
      <w:r w:rsidR="00EE6AA2">
        <w:t>е</w:t>
      </w:r>
      <w:r>
        <w:t>дно</w:t>
      </w:r>
      <w:r w:rsidR="0071360A">
        <w:t>в</w:t>
      </w:r>
      <w:r>
        <w:t>ањ</w:t>
      </w:r>
      <w:r w:rsidR="00EE6AA2">
        <w:t>е</w:t>
      </w:r>
      <w:r w:rsidR="00847B04" w:rsidRPr="00F6340E">
        <w:t xml:space="preserve"> </w:t>
      </w:r>
      <w:r w:rsidR="0071360A">
        <w:t>с</w:t>
      </w:r>
      <w:r w:rsidR="00EE6AA2">
        <w:t>е</w:t>
      </w:r>
      <w:r w:rsidR="00847B04" w:rsidRPr="00F6340E">
        <w:t xml:space="preserve"> </w:t>
      </w:r>
      <w:r w:rsidR="0071360A">
        <w:t>у</w:t>
      </w:r>
      <w:r>
        <w:t>гла</w:t>
      </w:r>
      <w:r w:rsidR="0071360A">
        <w:t>в</w:t>
      </w:r>
      <w:r>
        <w:t>ном</w:t>
      </w:r>
      <w:r w:rsidR="00847B04" w:rsidRPr="00F6340E">
        <w:t xml:space="preserve"> </w:t>
      </w:r>
      <w:r>
        <w:t>одно</w:t>
      </w:r>
      <w:r w:rsidR="0071360A">
        <w:t>с</w:t>
      </w:r>
      <w:r w:rsidR="00EE6AA2">
        <w:t>е</w:t>
      </w:r>
      <w:r w:rsidR="00847B04" w:rsidRPr="00F6340E">
        <w:t xml:space="preserve"> </w:t>
      </w:r>
      <w:r>
        <w:t>на</w:t>
      </w:r>
      <w:r w:rsidR="00847B04" w:rsidRPr="00F6340E">
        <w:t xml:space="preserve"> </w:t>
      </w:r>
      <w:r w:rsidR="0071360A">
        <w:t>усп</w:t>
      </w:r>
      <w:r>
        <w:t>ј</w:t>
      </w:r>
      <w:r w:rsidR="00EE6AA2">
        <w:t>е</w:t>
      </w:r>
      <w:r w:rsidR="0071360A">
        <w:t>ш</w:t>
      </w:r>
      <w:r>
        <w:t>но</w:t>
      </w:r>
      <w:r w:rsidR="0071360A">
        <w:t>ст</w:t>
      </w:r>
      <w:r w:rsidR="00847B04" w:rsidRPr="00F6340E">
        <w:t xml:space="preserve"> </w:t>
      </w:r>
      <w:r w:rsidR="0071360A">
        <w:t>у</w:t>
      </w:r>
      <w:r w:rsidR="00847B04" w:rsidRPr="00F6340E">
        <w:t xml:space="preserve"> </w:t>
      </w:r>
      <w:r>
        <w:t>одгојно</w:t>
      </w:r>
      <w:r w:rsidR="00847B04" w:rsidRPr="00F6340E">
        <w:t>-</w:t>
      </w:r>
      <w:r>
        <w:t>об</w:t>
      </w:r>
      <w:r w:rsidR="0071360A">
        <w:t>р</w:t>
      </w:r>
      <w:r>
        <w:t>а</w:t>
      </w:r>
      <w:r w:rsidR="00171F00">
        <w:t>з</w:t>
      </w:r>
      <w:r>
        <w:t>о</w:t>
      </w:r>
      <w:r w:rsidR="0071360A">
        <w:t>в</w:t>
      </w:r>
      <w:r>
        <w:t>ном</w:t>
      </w:r>
      <w:r w:rsidR="00847B04" w:rsidRPr="00F6340E">
        <w:t xml:space="preserve"> </w:t>
      </w:r>
      <w:r w:rsidR="0071360A">
        <w:t>р</w:t>
      </w:r>
      <w:r>
        <w:t>ад</w:t>
      </w:r>
      <w:r w:rsidR="0071360A">
        <w:t>у</w:t>
      </w:r>
      <w:r w:rsidR="00B04FA8">
        <w:t xml:space="preserve"> са </w:t>
      </w:r>
      <w:r w:rsidR="0071360A">
        <w:t>у</w:t>
      </w:r>
      <w:r>
        <w:t>ч</w:t>
      </w:r>
      <w:r w:rsidR="00EE6AA2">
        <w:t>е</w:t>
      </w:r>
      <w:r>
        <w:t>ницима</w:t>
      </w:r>
      <w:r w:rsidR="00847B04" w:rsidRPr="00F6340E">
        <w:t xml:space="preserve">, </w:t>
      </w:r>
      <w:r w:rsidR="0071360A">
        <w:t>в</w:t>
      </w:r>
      <w:r>
        <w:t>анна</w:t>
      </w:r>
      <w:r w:rsidR="0071360A">
        <w:t>ст</w:t>
      </w:r>
      <w:r>
        <w:t>а</w:t>
      </w:r>
      <w:r w:rsidR="0071360A">
        <w:t>в</w:t>
      </w:r>
      <w:r>
        <w:t>ни</w:t>
      </w:r>
      <w:r w:rsidR="00847B04" w:rsidRPr="00F6340E">
        <w:t xml:space="preserve"> </w:t>
      </w:r>
      <w:r w:rsidR="0071360A">
        <w:t>стру</w:t>
      </w:r>
      <w:r>
        <w:t>чни</w:t>
      </w:r>
      <w:r w:rsidR="00847B04" w:rsidRPr="00F6340E">
        <w:t xml:space="preserve"> </w:t>
      </w:r>
      <w:r w:rsidR="0071360A">
        <w:t>р</w:t>
      </w:r>
      <w:r>
        <w:t>ад</w:t>
      </w:r>
      <w:r w:rsidR="00847B04" w:rsidRPr="00F6340E">
        <w:t xml:space="preserve"> </w:t>
      </w:r>
      <w:r>
        <w:t>и</w:t>
      </w:r>
      <w:r w:rsidR="00847B04" w:rsidRPr="00F6340E">
        <w:t xml:space="preserve"> </w:t>
      </w:r>
      <w:r w:rsidR="0071360A">
        <w:t>стру</w:t>
      </w:r>
      <w:r>
        <w:t>чно</w:t>
      </w:r>
      <w:r w:rsidR="00847B04" w:rsidRPr="00F6340E">
        <w:t xml:space="preserve"> </w:t>
      </w:r>
      <w:r w:rsidR="0071360A">
        <w:t>ус</w:t>
      </w:r>
      <w:r>
        <w:t>а</w:t>
      </w:r>
      <w:r w:rsidR="0071360A">
        <w:t>врш</w:t>
      </w:r>
      <w:r>
        <w:t>а</w:t>
      </w:r>
      <w:r w:rsidR="0071360A">
        <w:t>в</w:t>
      </w:r>
      <w:r>
        <w:t>ањ</w:t>
      </w:r>
      <w:r w:rsidR="00EE6AA2">
        <w:t>е</w:t>
      </w:r>
      <w:r w:rsidR="00847B04" w:rsidRPr="00F6340E">
        <w:t xml:space="preserve">. </w:t>
      </w:r>
      <w:r w:rsidR="0071360A">
        <w:t>У</w:t>
      </w:r>
      <w:r w:rsidR="00847B04" w:rsidRPr="00F6340E">
        <w:t xml:space="preserve"> </w:t>
      </w:r>
      <w:r w:rsidR="0071360A">
        <w:t>пр</w:t>
      </w:r>
      <w:r>
        <w:t>а</w:t>
      </w:r>
      <w:r w:rsidR="0071360A">
        <w:t>в</w:t>
      </w:r>
      <w:r>
        <w:t>илницима</w:t>
      </w:r>
      <w:r w:rsidR="00847B04" w:rsidRPr="00F6340E">
        <w:t xml:space="preserve"> </w:t>
      </w:r>
      <w:r w:rsidR="0071360A">
        <w:t>с</w:t>
      </w:r>
      <w:r w:rsidR="00EE6AA2">
        <w:t>е</w:t>
      </w:r>
      <w:r w:rsidR="00847B04" w:rsidRPr="00F6340E">
        <w:t xml:space="preserve"> </w:t>
      </w:r>
      <w:r>
        <w:t>на</w:t>
      </w:r>
      <w:r w:rsidR="0071360A">
        <w:t>в</w:t>
      </w:r>
      <w:r>
        <w:t>оди</w:t>
      </w:r>
      <w:r w:rsidR="00847B04" w:rsidRPr="00F6340E">
        <w:t xml:space="preserve"> </w:t>
      </w:r>
      <w:r>
        <w:t>и</w:t>
      </w:r>
      <w:r w:rsidR="00847B04" w:rsidRPr="00F6340E">
        <w:t xml:space="preserve"> </w:t>
      </w:r>
      <w:r w:rsidR="0071360A">
        <w:t>р</w:t>
      </w:r>
      <w:r>
        <w:t>а</w:t>
      </w:r>
      <w:r w:rsidR="00171F00">
        <w:t>з</w:t>
      </w:r>
      <w:r w:rsidR="0071360A">
        <w:t>в</w:t>
      </w:r>
      <w:r>
        <w:t>ој</w:t>
      </w:r>
      <w:r w:rsidR="00847B04" w:rsidRPr="00F6340E">
        <w:t xml:space="preserve"> </w:t>
      </w:r>
      <w:r>
        <w:t>и</w:t>
      </w:r>
      <w:r w:rsidR="00847B04" w:rsidRPr="00F6340E">
        <w:t xml:space="preserve"> </w:t>
      </w:r>
      <w:r w:rsidR="0071360A">
        <w:t>у</w:t>
      </w:r>
      <w:r>
        <w:t>на</w:t>
      </w:r>
      <w:r w:rsidR="0071360A">
        <w:t>пр</w:t>
      </w:r>
      <w:r>
        <w:t>ј</w:t>
      </w:r>
      <w:r w:rsidR="00EE6AA2">
        <w:t>е</w:t>
      </w:r>
      <w:r>
        <w:t>ђ</w:t>
      </w:r>
      <w:r w:rsidR="00EE6AA2">
        <w:t>е</w:t>
      </w:r>
      <w:r>
        <w:t>њ</w:t>
      </w:r>
      <w:r w:rsidR="00EE6AA2">
        <w:t>е</w:t>
      </w:r>
      <w:r w:rsidR="00847B04" w:rsidRPr="00F6340E">
        <w:t xml:space="preserve"> </w:t>
      </w:r>
      <w:r w:rsidR="0071360A">
        <w:t>п</w:t>
      </w:r>
      <w:r w:rsidR="00EE6AA2">
        <w:t>е</w:t>
      </w:r>
      <w:r>
        <w:t>даго</w:t>
      </w:r>
      <w:r w:rsidR="0071360A">
        <w:t>ш</w:t>
      </w:r>
      <w:r>
        <w:t>ко</w:t>
      </w:r>
      <w:r w:rsidR="00847B04" w:rsidRPr="00F6340E">
        <w:t xml:space="preserve"> – </w:t>
      </w:r>
      <w:r w:rsidR="0071360A">
        <w:t>пс</w:t>
      </w:r>
      <w:r>
        <w:t>ихоло</w:t>
      </w:r>
      <w:r w:rsidR="0071360A">
        <w:t>ш</w:t>
      </w:r>
      <w:r>
        <w:t>ких</w:t>
      </w:r>
      <w:r w:rsidR="00847B04" w:rsidRPr="00F6340E">
        <w:t xml:space="preserve"> </w:t>
      </w:r>
      <w:r>
        <w:t>и</w:t>
      </w:r>
      <w:r w:rsidR="00847B04" w:rsidRPr="00F6340E">
        <w:t xml:space="preserve"> </w:t>
      </w:r>
      <w:r>
        <w:t>дидак</w:t>
      </w:r>
      <w:r w:rsidR="0071360A">
        <w:t>т</w:t>
      </w:r>
      <w:r>
        <w:t>ичко</w:t>
      </w:r>
      <w:r w:rsidR="00847B04" w:rsidRPr="00F6340E">
        <w:t xml:space="preserve"> - </w:t>
      </w:r>
      <w:r>
        <w:t>м</w:t>
      </w:r>
      <w:r w:rsidR="00EE6AA2">
        <w:t>е</w:t>
      </w:r>
      <w:r w:rsidR="0071360A">
        <w:t>т</w:t>
      </w:r>
      <w:r>
        <w:t>одичких</w:t>
      </w:r>
      <w:r w:rsidR="00847B04" w:rsidRPr="00F6340E">
        <w:t xml:space="preserve"> </w:t>
      </w:r>
      <w:r>
        <w:t>ком</w:t>
      </w:r>
      <w:r w:rsidR="0071360A">
        <w:t>п</w:t>
      </w:r>
      <w:r w:rsidR="00EE6AA2">
        <w:t>е</w:t>
      </w:r>
      <w:r w:rsidR="0071360A">
        <w:t>т</w:t>
      </w:r>
      <w:r w:rsidR="00EE6AA2">
        <w:t>е</w:t>
      </w:r>
      <w:r>
        <w:t>нција</w:t>
      </w:r>
      <w:r w:rsidR="00847B04" w:rsidRPr="00F6340E">
        <w:t xml:space="preserve">. </w:t>
      </w:r>
      <w:r>
        <w:t>М</w:t>
      </w:r>
      <w:r w:rsidR="00EE6AA2">
        <w:t>е</w:t>
      </w:r>
      <w:r>
        <w:t>ђ</w:t>
      </w:r>
      <w:r w:rsidR="0071360A">
        <w:t>ут</w:t>
      </w:r>
      <w:r>
        <w:t>им</w:t>
      </w:r>
      <w:r w:rsidR="00847B04" w:rsidRPr="00F6340E">
        <w:t xml:space="preserve">, </w:t>
      </w:r>
      <w:r w:rsidR="0071360A">
        <w:t>у</w:t>
      </w:r>
      <w:r w:rsidR="00847B04" w:rsidRPr="00F6340E">
        <w:t xml:space="preserve"> </w:t>
      </w:r>
      <w:r w:rsidR="0071360A">
        <w:t>в</w:t>
      </w:r>
      <w:r w:rsidR="00EE6AA2">
        <w:t>е</w:t>
      </w:r>
      <w:r>
        <w:t>ћини</w:t>
      </w:r>
      <w:r w:rsidR="00847B04" w:rsidRPr="00F6340E">
        <w:t xml:space="preserve"> </w:t>
      </w:r>
      <w:r>
        <w:t>кан</w:t>
      </w:r>
      <w:r w:rsidR="0071360A">
        <w:t>т</w:t>
      </w:r>
      <w:r>
        <w:t>она</w:t>
      </w:r>
      <w:r w:rsidR="00847B04" w:rsidRPr="00F6340E">
        <w:t xml:space="preserve"> </w:t>
      </w:r>
      <w:r w:rsidR="0071360A">
        <w:t>с</w:t>
      </w:r>
      <w:r w:rsidR="00EE6AA2">
        <w:t>е</w:t>
      </w:r>
      <w:r w:rsidR="00847B04" w:rsidRPr="00F6340E">
        <w:t xml:space="preserve"> </w:t>
      </w:r>
      <w:r w:rsidR="00EE6AA2">
        <w:t>е</w:t>
      </w:r>
      <w:r>
        <w:t>к</w:t>
      </w:r>
      <w:r w:rsidR="0071360A">
        <w:t>сп</w:t>
      </w:r>
      <w:r>
        <w:t>лици</w:t>
      </w:r>
      <w:r w:rsidR="0071360A">
        <w:t>т</w:t>
      </w:r>
      <w:r>
        <w:t>но</w:t>
      </w:r>
      <w:r w:rsidR="00847B04" w:rsidRPr="00F6340E">
        <w:t xml:space="preserve"> </w:t>
      </w:r>
      <w:r>
        <w:t>н</w:t>
      </w:r>
      <w:r w:rsidR="00EE6AA2">
        <w:t>е</w:t>
      </w:r>
      <w:r w:rsidR="00847B04" w:rsidRPr="00F6340E">
        <w:t xml:space="preserve"> </w:t>
      </w:r>
      <w:r>
        <w:t>на</w:t>
      </w:r>
      <w:r w:rsidR="0071360A">
        <w:t>в</w:t>
      </w:r>
      <w:r>
        <w:t>од</w:t>
      </w:r>
      <w:r w:rsidR="00EE6AA2">
        <w:t>е</w:t>
      </w:r>
      <w:r w:rsidR="00847B04" w:rsidRPr="00F6340E">
        <w:t xml:space="preserve"> </w:t>
      </w:r>
      <w:r w:rsidR="0071360A">
        <w:t>с</w:t>
      </w:r>
      <w:r>
        <w:t>ад</w:t>
      </w:r>
      <w:r w:rsidR="0071360A">
        <w:t>р</w:t>
      </w:r>
      <w:r w:rsidR="00171F00">
        <w:t>ж</w:t>
      </w:r>
      <w:r>
        <w:t>аји</w:t>
      </w:r>
      <w:r w:rsidR="00847B04" w:rsidRPr="00F6340E">
        <w:t xml:space="preserve"> </w:t>
      </w:r>
      <w:r>
        <w:t>и</w:t>
      </w:r>
      <w:r w:rsidR="00847B04" w:rsidRPr="00F6340E">
        <w:t xml:space="preserve"> </w:t>
      </w:r>
      <w:r w:rsidR="0071360A">
        <w:t>пр</w:t>
      </w:r>
      <w:r>
        <w:t>ог</w:t>
      </w:r>
      <w:r w:rsidR="0071360A">
        <w:t>р</w:t>
      </w:r>
      <w:r>
        <w:t>ами</w:t>
      </w:r>
      <w:r w:rsidR="00847B04" w:rsidRPr="00F6340E">
        <w:t xml:space="preserve">, </w:t>
      </w:r>
      <w:r>
        <w:t>који</w:t>
      </w:r>
      <w:r w:rsidR="00847B04" w:rsidRPr="00F6340E">
        <w:t xml:space="preserve"> </w:t>
      </w:r>
      <w:r w:rsidR="0071360A">
        <w:t>с</w:t>
      </w:r>
      <w:r w:rsidR="00EE6AA2">
        <w:t>е</w:t>
      </w:r>
      <w:r w:rsidR="00847B04" w:rsidRPr="00F6340E">
        <w:t xml:space="preserve"> </w:t>
      </w:r>
      <w:r>
        <w:t>одно</w:t>
      </w:r>
      <w:r w:rsidR="0071360A">
        <w:t>с</w:t>
      </w:r>
      <w:r w:rsidR="00EE6AA2">
        <w:t>е</w:t>
      </w:r>
      <w:r w:rsidR="00847B04" w:rsidRPr="00F6340E">
        <w:t xml:space="preserve"> </w:t>
      </w:r>
      <w:r>
        <w:t>на</w:t>
      </w:r>
      <w:r w:rsidR="00847B04" w:rsidRPr="00F6340E">
        <w:t xml:space="preserve"> </w:t>
      </w:r>
      <w:r w:rsidR="0071360A">
        <w:t>у</w:t>
      </w:r>
      <w:r>
        <w:t>на</w:t>
      </w:r>
      <w:r w:rsidR="0071360A">
        <w:t>пр</w:t>
      </w:r>
      <w:r>
        <w:t>ј</w:t>
      </w:r>
      <w:r w:rsidR="00EE6AA2">
        <w:t>е</w:t>
      </w:r>
      <w:r>
        <w:t>ђ</w:t>
      </w:r>
      <w:r w:rsidR="00EE6AA2">
        <w:t>е</w:t>
      </w:r>
      <w:r>
        <w:t>њ</w:t>
      </w:r>
      <w:r w:rsidR="00EE6AA2">
        <w:t>е</w:t>
      </w:r>
      <w:r w:rsidR="00847B04" w:rsidRPr="00F6340E">
        <w:t xml:space="preserve"> </w:t>
      </w:r>
      <w:r>
        <w:t>ком</w:t>
      </w:r>
      <w:r w:rsidR="0071360A">
        <w:t>п</w:t>
      </w:r>
      <w:r w:rsidR="00EE6AA2">
        <w:t>е</w:t>
      </w:r>
      <w:r w:rsidR="0071360A">
        <w:t>т</w:t>
      </w:r>
      <w:r w:rsidR="00EE6AA2">
        <w:t>е</w:t>
      </w:r>
      <w:r>
        <w:t>нција</w:t>
      </w:r>
      <w:r w:rsidR="00847B04" w:rsidRPr="00F6340E">
        <w:t xml:space="preserve"> </w:t>
      </w:r>
      <w:r w:rsidR="0071360A">
        <w:t>у</w:t>
      </w:r>
      <w:r w:rsidR="00847B04" w:rsidRPr="00F6340E">
        <w:t xml:space="preserve"> </w:t>
      </w:r>
      <w:r>
        <w:t>обла</w:t>
      </w:r>
      <w:r w:rsidR="0071360A">
        <w:t>ст</w:t>
      </w:r>
      <w:r>
        <w:t>и</w:t>
      </w:r>
      <w:r w:rsidR="00847B04" w:rsidRPr="00F6340E">
        <w:t xml:space="preserve"> </w:t>
      </w:r>
      <w:r>
        <w:t>ИК</w:t>
      </w:r>
      <w:r w:rsidR="0071360A">
        <w:t>Т</w:t>
      </w:r>
      <w:r w:rsidR="00E74448" w:rsidRPr="00F6340E">
        <w:t>-</w:t>
      </w:r>
      <w:r>
        <w:t>а</w:t>
      </w:r>
      <w:r w:rsidR="00847B04" w:rsidRPr="00F6340E">
        <w:t>.</w:t>
      </w:r>
    </w:p>
    <w:p w14:paraId="6A56B54D" w14:textId="23A02480" w:rsidR="00847B04" w:rsidRPr="00F6340E" w:rsidRDefault="00A56E08" w:rsidP="00D976C8">
      <w:pPr>
        <w:pStyle w:val="Body"/>
        <w:rPr>
          <w:bCs/>
        </w:rPr>
      </w:pPr>
      <w:r>
        <w:rPr>
          <w:bCs/>
        </w:rPr>
        <w:t>Имај</w:t>
      </w:r>
      <w:r w:rsidR="0071360A">
        <w:rPr>
          <w:bCs/>
        </w:rPr>
        <w:t>у</w:t>
      </w:r>
      <w:r>
        <w:rPr>
          <w:bCs/>
        </w:rPr>
        <w:t>ћи</w:t>
      </w:r>
      <w:r w:rsidR="00847B04" w:rsidRPr="00F6340E">
        <w:rPr>
          <w:bCs/>
        </w:rPr>
        <w:t xml:space="preserve"> </w:t>
      </w:r>
      <w:r w:rsidR="0071360A">
        <w:rPr>
          <w:bCs/>
        </w:rPr>
        <w:t>у</w:t>
      </w:r>
      <w:r w:rsidR="00847B04" w:rsidRPr="00F6340E">
        <w:rPr>
          <w:bCs/>
        </w:rPr>
        <w:t xml:space="preserve"> </w:t>
      </w:r>
      <w:r w:rsidR="0071360A">
        <w:rPr>
          <w:bCs/>
        </w:rPr>
        <w:t>в</w:t>
      </w:r>
      <w:r>
        <w:rPr>
          <w:bCs/>
        </w:rPr>
        <w:t>ид</w:t>
      </w:r>
      <w:r w:rsidR="0071360A">
        <w:rPr>
          <w:bCs/>
        </w:rPr>
        <w:t>у</w:t>
      </w:r>
      <w:r w:rsidR="00847B04" w:rsidRPr="00F6340E">
        <w:rPr>
          <w:bCs/>
        </w:rPr>
        <w:t xml:space="preserve"> </w:t>
      </w:r>
      <w:r>
        <w:rPr>
          <w:bCs/>
        </w:rPr>
        <w:t>на</w:t>
      </w:r>
      <w:r w:rsidR="0071360A">
        <w:rPr>
          <w:bCs/>
        </w:rPr>
        <w:t>в</w:t>
      </w:r>
      <w:r w:rsidR="00EE6AA2">
        <w:rPr>
          <w:bCs/>
        </w:rPr>
        <w:t>е</w:t>
      </w:r>
      <w:r>
        <w:rPr>
          <w:bCs/>
        </w:rPr>
        <w:t>д</w:t>
      </w:r>
      <w:r w:rsidR="00EE6AA2">
        <w:rPr>
          <w:bCs/>
        </w:rPr>
        <w:t>е</w:t>
      </w:r>
      <w:r>
        <w:rPr>
          <w:bCs/>
        </w:rPr>
        <w:t>н</w:t>
      </w:r>
      <w:r w:rsidR="00EE6AA2">
        <w:rPr>
          <w:bCs/>
        </w:rPr>
        <w:t>е</w:t>
      </w:r>
      <w:r w:rsidR="00847B04" w:rsidRPr="00F6340E">
        <w:rPr>
          <w:bCs/>
        </w:rPr>
        <w:t xml:space="preserve"> </w:t>
      </w:r>
      <w:r>
        <w:rPr>
          <w:bCs/>
        </w:rPr>
        <w:t>нала</w:t>
      </w:r>
      <w:r w:rsidR="00171F00">
        <w:rPr>
          <w:bCs/>
        </w:rPr>
        <w:t>з</w:t>
      </w:r>
      <w:r w:rsidR="00EE6AA2">
        <w:rPr>
          <w:bCs/>
        </w:rPr>
        <w:t>е</w:t>
      </w:r>
      <w:r w:rsidR="00847B04" w:rsidRPr="00F6340E">
        <w:rPr>
          <w:bCs/>
        </w:rPr>
        <w:t xml:space="preserve"> </w:t>
      </w:r>
      <w:r w:rsidR="0071360A">
        <w:rPr>
          <w:bCs/>
        </w:rPr>
        <w:t>Пр</w:t>
      </w:r>
      <w:r w:rsidR="00EE6AA2">
        <w:rPr>
          <w:bCs/>
        </w:rPr>
        <w:t>е</w:t>
      </w:r>
      <w:r>
        <w:rPr>
          <w:bCs/>
        </w:rPr>
        <w:t>гл</w:t>
      </w:r>
      <w:r w:rsidR="00EE6AA2">
        <w:rPr>
          <w:bCs/>
        </w:rPr>
        <w:t>е</w:t>
      </w:r>
      <w:r>
        <w:rPr>
          <w:bCs/>
        </w:rPr>
        <w:t>дн</w:t>
      </w:r>
      <w:r w:rsidR="00EE6AA2">
        <w:rPr>
          <w:bCs/>
        </w:rPr>
        <w:t>е</w:t>
      </w:r>
      <w:r w:rsidR="00847B04" w:rsidRPr="00F6340E">
        <w:rPr>
          <w:bCs/>
        </w:rPr>
        <w:t xml:space="preserve"> </w:t>
      </w:r>
      <w:r w:rsidR="0071360A">
        <w:rPr>
          <w:bCs/>
        </w:rPr>
        <w:t>сту</w:t>
      </w:r>
      <w:r>
        <w:rPr>
          <w:bCs/>
        </w:rPr>
        <w:t>диј</w:t>
      </w:r>
      <w:r w:rsidR="00EE6AA2">
        <w:rPr>
          <w:bCs/>
        </w:rPr>
        <w:t>е</w:t>
      </w:r>
      <w:r w:rsidR="00847B04" w:rsidRPr="00F6340E">
        <w:rPr>
          <w:bCs/>
        </w:rPr>
        <w:t xml:space="preserve"> </w:t>
      </w:r>
      <w:r>
        <w:rPr>
          <w:bCs/>
        </w:rPr>
        <w:t>као</w:t>
      </w:r>
      <w:r w:rsidR="00847B04" w:rsidRPr="00F6340E">
        <w:rPr>
          <w:bCs/>
        </w:rPr>
        <w:t xml:space="preserve"> </w:t>
      </w:r>
      <w:r>
        <w:rPr>
          <w:bCs/>
        </w:rPr>
        <w:t>и</w:t>
      </w:r>
      <w:r w:rsidR="00847B04" w:rsidRPr="00F6340E">
        <w:rPr>
          <w:bCs/>
        </w:rPr>
        <w:t xml:space="preserve"> </w:t>
      </w:r>
      <w:r>
        <w:rPr>
          <w:bCs/>
        </w:rPr>
        <w:t>на</w:t>
      </w:r>
      <w:r w:rsidR="0071360A">
        <w:rPr>
          <w:bCs/>
        </w:rPr>
        <w:t>ст</w:t>
      </w:r>
      <w:r>
        <w:rPr>
          <w:bCs/>
        </w:rPr>
        <w:t>ојања</w:t>
      </w:r>
      <w:r w:rsidR="00847B04" w:rsidRPr="00F6340E">
        <w:rPr>
          <w:bCs/>
        </w:rPr>
        <w:t xml:space="preserve"> </w:t>
      </w:r>
      <w:r w:rsidR="0071360A">
        <w:rPr>
          <w:bCs/>
        </w:rPr>
        <w:t>в</w:t>
      </w:r>
      <w:r>
        <w:rPr>
          <w:bCs/>
        </w:rPr>
        <w:t>ла</w:t>
      </w:r>
      <w:r w:rsidR="0071360A">
        <w:rPr>
          <w:bCs/>
        </w:rPr>
        <w:t>ст</w:t>
      </w:r>
      <w:r>
        <w:rPr>
          <w:bCs/>
        </w:rPr>
        <w:t>и</w:t>
      </w:r>
      <w:r w:rsidR="00847B04" w:rsidRPr="00F6340E">
        <w:rPr>
          <w:bCs/>
        </w:rPr>
        <w:t xml:space="preserve"> </w:t>
      </w:r>
      <w:r>
        <w:rPr>
          <w:bCs/>
        </w:rPr>
        <w:t>да</w:t>
      </w:r>
      <w:r w:rsidR="00847B04" w:rsidRPr="00F6340E">
        <w:rPr>
          <w:bCs/>
        </w:rPr>
        <w:t xml:space="preserve"> </w:t>
      </w:r>
      <w:r w:rsidR="0071360A">
        <w:rPr>
          <w:bCs/>
        </w:rPr>
        <w:t>пр</w:t>
      </w:r>
      <w:r>
        <w:rPr>
          <w:bCs/>
        </w:rPr>
        <w:t>ибли</w:t>
      </w:r>
      <w:r w:rsidR="00171F00">
        <w:rPr>
          <w:bCs/>
        </w:rPr>
        <w:t>ж</w:t>
      </w:r>
      <w:r w:rsidR="00EE6AA2">
        <w:rPr>
          <w:bCs/>
        </w:rPr>
        <w:t>е</w:t>
      </w:r>
      <w:r w:rsidR="00847B04" w:rsidRPr="00F6340E">
        <w:rPr>
          <w:bCs/>
        </w:rPr>
        <w:t xml:space="preserve"> </w:t>
      </w:r>
      <w:r>
        <w:rPr>
          <w:bCs/>
        </w:rPr>
        <w:t>об</w:t>
      </w:r>
      <w:r w:rsidR="0071360A">
        <w:rPr>
          <w:bCs/>
        </w:rPr>
        <w:t>р</w:t>
      </w:r>
      <w:r>
        <w:rPr>
          <w:bCs/>
        </w:rPr>
        <w:t>а</w:t>
      </w:r>
      <w:r w:rsidR="00171F00">
        <w:rPr>
          <w:bCs/>
        </w:rPr>
        <w:t>з</w:t>
      </w:r>
      <w:r>
        <w:rPr>
          <w:bCs/>
        </w:rPr>
        <w:t>о</w:t>
      </w:r>
      <w:r w:rsidR="0071360A">
        <w:rPr>
          <w:bCs/>
        </w:rPr>
        <w:t>в</w:t>
      </w:r>
      <w:r>
        <w:rPr>
          <w:bCs/>
        </w:rPr>
        <w:t>н</w:t>
      </w:r>
      <w:r w:rsidR="00EE6AA2">
        <w:rPr>
          <w:bCs/>
        </w:rPr>
        <w:t>е</w:t>
      </w:r>
      <w:r w:rsidR="00847B04" w:rsidRPr="00F6340E">
        <w:rPr>
          <w:bCs/>
        </w:rPr>
        <w:t xml:space="preserve"> </w:t>
      </w:r>
      <w:r w:rsidR="0071360A">
        <w:rPr>
          <w:bCs/>
        </w:rPr>
        <w:t>с</w:t>
      </w:r>
      <w:r>
        <w:rPr>
          <w:bCs/>
        </w:rPr>
        <w:t>и</w:t>
      </w:r>
      <w:r w:rsidR="0071360A">
        <w:rPr>
          <w:bCs/>
        </w:rPr>
        <w:t>ст</w:t>
      </w:r>
      <w:r w:rsidR="00EE6AA2">
        <w:rPr>
          <w:bCs/>
        </w:rPr>
        <w:t>е</w:t>
      </w:r>
      <w:r>
        <w:rPr>
          <w:bCs/>
        </w:rPr>
        <w:t>м</w:t>
      </w:r>
      <w:r w:rsidR="00EE6AA2">
        <w:rPr>
          <w:bCs/>
        </w:rPr>
        <w:t>е</w:t>
      </w:r>
      <w:r w:rsidR="00847B04" w:rsidRPr="00F6340E">
        <w:rPr>
          <w:bCs/>
        </w:rPr>
        <w:t xml:space="preserve"> </w:t>
      </w:r>
      <w:r w:rsidR="0071360A">
        <w:rPr>
          <w:bCs/>
        </w:rPr>
        <w:t>у</w:t>
      </w:r>
      <w:r w:rsidR="00847B04" w:rsidRPr="00F6340E">
        <w:rPr>
          <w:bCs/>
        </w:rPr>
        <w:t xml:space="preserve"> </w:t>
      </w:r>
      <w:r>
        <w:rPr>
          <w:bCs/>
        </w:rPr>
        <w:t>Бо</w:t>
      </w:r>
      <w:r w:rsidR="0071360A">
        <w:rPr>
          <w:bCs/>
        </w:rPr>
        <w:t>с</w:t>
      </w:r>
      <w:r>
        <w:rPr>
          <w:bCs/>
        </w:rPr>
        <w:t>ни</w:t>
      </w:r>
      <w:r w:rsidR="00847B04" w:rsidRPr="00F6340E">
        <w:rPr>
          <w:bCs/>
        </w:rPr>
        <w:t xml:space="preserve"> </w:t>
      </w:r>
      <w:r>
        <w:rPr>
          <w:bCs/>
        </w:rPr>
        <w:t>и</w:t>
      </w:r>
      <w:r w:rsidR="00847B04" w:rsidRPr="00F6340E">
        <w:rPr>
          <w:bCs/>
        </w:rPr>
        <w:t xml:space="preserve"> </w:t>
      </w:r>
      <w:r>
        <w:rPr>
          <w:bCs/>
        </w:rPr>
        <w:t>Х</w:t>
      </w:r>
      <w:r w:rsidR="00EE6AA2">
        <w:rPr>
          <w:bCs/>
        </w:rPr>
        <w:t>е</w:t>
      </w:r>
      <w:r w:rsidR="0071360A">
        <w:rPr>
          <w:bCs/>
        </w:rPr>
        <w:t>р</w:t>
      </w:r>
      <w:r>
        <w:rPr>
          <w:bCs/>
        </w:rPr>
        <w:t>ц</w:t>
      </w:r>
      <w:r w:rsidR="00EE6AA2">
        <w:rPr>
          <w:bCs/>
        </w:rPr>
        <w:t>е</w:t>
      </w:r>
      <w:r>
        <w:rPr>
          <w:bCs/>
        </w:rPr>
        <w:t>го</w:t>
      </w:r>
      <w:r w:rsidR="0071360A">
        <w:rPr>
          <w:bCs/>
        </w:rPr>
        <w:t>в</w:t>
      </w:r>
      <w:r>
        <w:rPr>
          <w:bCs/>
        </w:rPr>
        <w:t>ини</w:t>
      </w:r>
      <w:r w:rsidR="00847B04" w:rsidRPr="00F6340E">
        <w:rPr>
          <w:bCs/>
        </w:rPr>
        <w:t xml:space="preserve"> </w:t>
      </w:r>
      <w:r w:rsidR="0071360A">
        <w:rPr>
          <w:bCs/>
        </w:rPr>
        <w:t>с</w:t>
      </w:r>
      <w:r>
        <w:rPr>
          <w:bCs/>
        </w:rPr>
        <w:t>а</w:t>
      </w:r>
      <w:r w:rsidR="0071360A">
        <w:rPr>
          <w:bCs/>
        </w:rPr>
        <w:t>вр</w:t>
      </w:r>
      <w:r w:rsidR="00EE6AA2">
        <w:rPr>
          <w:bCs/>
        </w:rPr>
        <w:t>е</w:t>
      </w:r>
      <w:r>
        <w:rPr>
          <w:bCs/>
        </w:rPr>
        <w:t>м</w:t>
      </w:r>
      <w:r w:rsidR="00EE6AA2">
        <w:rPr>
          <w:bCs/>
        </w:rPr>
        <w:t>е</w:t>
      </w:r>
      <w:r>
        <w:rPr>
          <w:bCs/>
        </w:rPr>
        <w:t>ним</w:t>
      </w:r>
      <w:r w:rsidR="00847B04" w:rsidRPr="00F6340E">
        <w:rPr>
          <w:bCs/>
        </w:rPr>
        <w:t xml:space="preserve"> </w:t>
      </w:r>
      <w:r w:rsidR="0071360A">
        <w:rPr>
          <w:bCs/>
        </w:rPr>
        <w:t>тр</w:t>
      </w:r>
      <w:r w:rsidR="00EE6AA2">
        <w:rPr>
          <w:bCs/>
        </w:rPr>
        <w:t>е</w:t>
      </w:r>
      <w:r>
        <w:rPr>
          <w:bCs/>
        </w:rPr>
        <w:t>ндо</w:t>
      </w:r>
      <w:r w:rsidR="0071360A">
        <w:rPr>
          <w:bCs/>
        </w:rPr>
        <w:t>в</w:t>
      </w:r>
      <w:r>
        <w:rPr>
          <w:bCs/>
        </w:rPr>
        <w:t>има</w:t>
      </w:r>
      <w:r w:rsidR="00847B04" w:rsidRPr="00F6340E">
        <w:rPr>
          <w:bCs/>
        </w:rPr>
        <w:t xml:space="preserve"> </w:t>
      </w:r>
      <w:r w:rsidR="00171F00">
        <w:rPr>
          <w:bCs/>
        </w:rPr>
        <w:t>з</w:t>
      </w:r>
      <w:r>
        <w:rPr>
          <w:bCs/>
        </w:rPr>
        <w:t>а</w:t>
      </w:r>
      <w:r w:rsidR="0071360A">
        <w:rPr>
          <w:bCs/>
        </w:rPr>
        <w:t>с</w:t>
      </w:r>
      <w:r>
        <w:rPr>
          <w:bCs/>
        </w:rPr>
        <w:t>но</w:t>
      </w:r>
      <w:r w:rsidR="0071360A">
        <w:rPr>
          <w:bCs/>
        </w:rPr>
        <w:t>в</w:t>
      </w:r>
      <w:r>
        <w:rPr>
          <w:bCs/>
        </w:rPr>
        <w:t>аним</w:t>
      </w:r>
      <w:r w:rsidR="00847B04" w:rsidRPr="00F6340E">
        <w:rPr>
          <w:bCs/>
        </w:rPr>
        <w:t xml:space="preserve"> </w:t>
      </w:r>
      <w:r>
        <w:rPr>
          <w:bCs/>
        </w:rPr>
        <w:t>на</w:t>
      </w:r>
      <w:r w:rsidR="00847B04" w:rsidRPr="00F6340E">
        <w:rPr>
          <w:bCs/>
        </w:rPr>
        <w:t xml:space="preserve"> </w:t>
      </w:r>
      <w:r w:rsidR="0071360A">
        <w:rPr>
          <w:bCs/>
        </w:rPr>
        <w:t>ув</w:t>
      </w:r>
      <w:r>
        <w:rPr>
          <w:bCs/>
        </w:rPr>
        <w:t>а</w:t>
      </w:r>
      <w:r w:rsidR="00171F00">
        <w:rPr>
          <w:bCs/>
        </w:rPr>
        <w:t>ж</w:t>
      </w:r>
      <w:r>
        <w:rPr>
          <w:bCs/>
        </w:rPr>
        <w:t>а</w:t>
      </w:r>
      <w:r w:rsidR="0071360A">
        <w:rPr>
          <w:bCs/>
        </w:rPr>
        <w:t>в</w:t>
      </w:r>
      <w:r>
        <w:rPr>
          <w:bCs/>
        </w:rPr>
        <w:t>ањ</w:t>
      </w:r>
      <w:r w:rsidR="0071360A">
        <w:rPr>
          <w:bCs/>
        </w:rPr>
        <w:t>у</w:t>
      </w:r>
      <w:r w:rsidR="00847B04" w:rsidRPr="00F6340E">
        <w:rPr>
          <w:bCs/>
        </w:rPr>
        <w:t xml:space="preserve"> </w:t>
      </w:r>
      <w:r w:rsidR="0071360A">
        <w:rPr>
          <w:bCs/>
        </w:rPr>
        <w:t>р</w:t>
      </w:r>
      <w:r>
        <w:rPr>
          <w:bCs/>
        </w:rPr>
        <w:t>а</w:t>
      </w:r>
      <w:r w:rsidR="00171F00">
        <w:rPr>
          <w:bCs/>
        </w:rPr>
        <w:t>з</w:t>
      </w:r>
      <w:r>
        <w:rPr>
          <w:bCs/>
        </w:rPr>
        <w:t>личи</w:t>
      </w:r>
      <w:r w:rsidR="0071360A">
        <w:rPr>
          <w:bCs/>
        </w:rPr>
        <w:t>т</w:t>
      </w:r>
      <w:r>
        <w:rPr>
          <w:bCs/>
        </w:rPr>
        <w:t>о</w:t>
      </w:r>
      <w:r w:rsidR="0071360A">
        <w:rPr>
          <w:bCs/>
        </w:rPr>
        <w:t>ст</w:t>
      </w:r>
      <w:r>
        <w:rPr>
          <w:bCs/>
        </w:rPr>
        <w:t>и</w:t>
      </w:r>
      <w:r w:rsidR="00847B04" w:rsidRPr="00F6340E">
        <w:rPr>
          <w:bCs/>
        </w:rPr>
        <w:t xml:space="preserve"> </w:t>
      </w:r>
      <w:r>
        <w:rPr>
          <w:bCs/>
        </w:rPr>
        <w:t>и</w:t>
      </w:r>
      <w:r w:rsidR="00847B04" w:rsidRPr="00F6340E">
        <w:rPr>
          <w:bCs/>
        </w:rPr>
        <w:t xml:space="preserve"> </w:t>
      </w:r>
      <w:r>
        <w:rPr>
          <w:bCs/>
        </w:rPr>
        <w:t>О</w:t>
      </w:r>
      <w:r w:rsidR="0071360A">
        <w:rPr>
          <w:bCs/>
        </w:rPr>
        <w:t>с</w:t>
      </w:r>
      <w:r>
        <w:rPr>
          <w:bCs/>
        </w:rPr>
        <w:t>но</w:t>
      </w:r>
      <w:r w:rsidR="0071360A">
        <w:rPr>
          <w:bCs/>
        </w:rPr>
        <w:t>в</w:t>
      </w:r>
      <w:r>
        <w:rPr>
          <w:bCs/>
        </w:rPr>
        <w:t>ним</w:t>
      </w:r>
      <w:r w:rsidR="00847B04" w:rsidRPr="00F6340E">
        <w:rPr>
          <w:bCs/>
        </w:rPr>
        <w:t xml:space="preserve"> </w:t>
      </w:r>
      <w:r>
        <w:rPr>
          <w:bCs/>
        </w:rPr>
        <w:t>љ</w:t>
      </w:r>
      <w:r w:rsidR="0071360A">
        <w:rPr>
          <w:bCs/>
        </w:rPr>
        <w:t>у</w:t>
      </w:r>
      <w:r>
        <w:rPr>
          <w:bCs/>
        </w:rPr>
        <w:t>д</w:t>
      </w:r>
      <w:r w:rsidR="0071360A">
        <w:rPr>
          <w:bCs/>
        </w:rPr>
        <w:t>с</w:t>
      </w:r>
      <w:r>
        <w:rPr>
          <w:bCs/>
        </w:rPr>
        <w:t>ким</w:t>
      </w:r>
      <w:r w:rsidR="00847B04" w:rsidRPr="00F6340E">
        <w:rPr>
          <w:bCs/>
        </w:rPr>
        <w:t xml:space="preserve"> </w:t>
      </w:r>
      <w:r w:rsidR="0071360A">
        <w:rPr>
          <w:bCs/>
        </w:rPr>
        <w:t>пр</w:t>
      </w:r>
      <w:r>
        <w:rPr>
          <w:bCs/>
        </w:rPr>
        <w:t>а</w:t>
      </w:r>
      <w:r w:rsidR="0071360A">
        <w:rPr>
          <w:bCs/>
        </w:rPr>
        <w:t>в</w:t>
      </w:r>
      <w:r>
        <w:rPr>
          <w:bCs/>
        </w:rPr>
        <w:t>има</w:t>
      </w:r>
      <w:r w:rsidR="00847B04" w:rsidRPr="00F6340E">
        <w:rPr>
          <w:bCs/>
        </w:rPr>
        <w:t xml:space="preserve"> </w:t>
      </w:r>
      <w:r>
        <w:rPr>
          <w:bCs/>
        </w:rPr>
        <w:t>одно</w:t>
      </w:r>
      <w:r w:rsidR="0071360A">
        <w:rPr>
          <w:bCs/>
        </w:rPr>
        <w:t>с</w:t>
      </w:r>
      <w:r>
        <w:rPr>
          <w:bCs/>
        </w:rPr>
        <w:t>но</w:t>
      </w:r>
      <w:r w:rsidR="00847B04" w:rsidRPr="00F6340E">
        <w:rPr>
          <w:bCs/>
        </w:rPr>
        <w:t xml:space="preserve"> </w:t>
      </w:r>
      <w:r w:rsidR="0071360A">
        <w:rPr>
          <w:bCs/>
        </w:rPr>
        <w:t>ств</w:t>
      </w:r>
      <w:r>
        <w:rPr>
          <w:bCs/>
        </w:rPr>
        <w:t>а</w:t>
      </w:r>
      <w:r w:rsidR="0071360A">
        <w:rPr>
          <w:bCs/>
        </w:rPr>
        <w:t>р</w:t>
      </w:r>
      <w:r>
        <w:rPr>
          <w:bCs/>
        </w:rPr>
        <w:t>ањ</w:t>
      </w:r>
      <w:r w:rsidR="0071360A">
        <w:rPr>
          <w:bCs/>
        </w:rPr>
        <w:t>у</w:t>
      </w:r>
      <w:r w:rsidR="00847B04" w:rsidRPr="00F6340E">
        <w:rPr>
          <w:bCs/>
        </w:rPr>
        <w:t xml:space="preserve"> </w:t>
      </w:r>
      <w:r w:rsidR="0071360A">
        <w:rPr>
          <w:bCs/>
        </w:rPr>
        <w:t>пр</w:t>
      </w:r>
      <w:r w:rsidR="00EE6AA2">
        <w:rPr>
          <w:bCs/>
        </w:rPr>
        <w:t>е</w:t>
      </w:r>
      <w:r w:rsidR="0071360A">
        <w:rPr>
          <w:bCs/>
        </w:rPr>
        <w:t>тп</w:t>
      </w:r>
      <w:r>
        <w:rPr>
          <w:bCs/>
        </w:rPr>
        <w:t>о</w:t>
      </w:r>
      <w:r w:rsidR="0071360A">
        <w:rPr>
          <w:bCs/>
        </w:rPr>
        <w:t>ст</w:t>
      </w:r>
      <w:r>
        <w:rPr>
          <w:bCs/>
        </w:rPr>
        <w:t>а</w:t>
      </w:r>
      <w:r w:rsidR="0071360A">
        <w:rPr>
          <w:bCs/>
        </w:rPr>
        <w:t>в</w:t>
      </w:r>
      <w:r>
        <w:rPr>
          <w:bCs/>
        </w:rPr>
        <w:t>ки</w:t>
      </w:r>
      <w:r w:rsidR="00847B04" w:rsidRPr="00F6340E">
        <w:rPr>
          <w:bCs/>
        </w:rPr>
        <w:t xml:space="preserve"> </w:t>
      </w:r>
      <w:r w:rsidR="00171F00">
        <w:rPr>
          <w:bCs/>
        </w:rPr>
        <w:t>з</w:t>
      </w:r>
      <w:r>
        <w:rPr>
          <w:bCs/>
        </w:rPr>
        <w:t>а</w:t>
      </w:r>
      <w:r w:rsidR="00847B04" w:rsidRPr="00F6340E">
        <w:rPr>
          <w:bCs/>
        </w:rPr>
        <w:t xml:space="preserve"> </w:t>
      </w:r>
      <w:r>
        <w:rPr>
          <w:bCs/>
        </w:rPr>
        <w:t>им</w:t>
      </w:r>
      <w:r w:rsidR="0071360A">
        <w:rPr>
          <w:bCs/>
        </w:rPr>
        <w:t>п</w:t>
      </w:r>
      <w:r>
        <w:rPr>
          <w:bCs/>
        </w:rPr>
        <w:t>л</w:t>
      </w:r>
      <w:r w:rsidR="00EE6AA2">
        <w:rPr>
          <w:bCs/>
        </w:rPr>
        <w:t>е</w:t>
      </w:r>
      <w:r>
        <w:rPr>
          <w:bCs/>
        </w:rPr>
        <w:t>м</w:t>
      </w:r>
      <w:r w:rsidR="00EE6AA2">
        <w:rPr>
          <w:bCs/>
        </w:rPr>
        <w:t>е</w:t>
      </w:r>
      <w:r>
        <w:rPr>
          <w:bCs/>
        </w:rPr>
        <w:t>н</w:t>
      </w:r>
      <w:r w:rsidR="0071360A">
        <w:rPr>
          <w:bCs/>
        </w:rPr>
        <w:t>т</w:t>
      </w:r>
      <w:r>
        <w:rPr>
          <w:bCs/>
        </w:rPr>
        <w:t>ациј</w:t>
      </w:r>
      <w:r w:rsidR="0071360A">
        <w:rPr>
          <w:bCs/>
        </w:rPr>
        <w:t>у</w:t>
      </w:r>
      <w:r w:rsidR="00847B04" w:rsidRPr="00F6340E">
        <w:rPr>
          <w:bCs/>
        </w:rPr>
        <w:t xml:space="preserve"> </w:t>
      </w:r>
      <w:r>
        <w:rPr>
          <w:bCs/>
        </w:rPr>
        <w:t>к</w:t>
      </w:r>
      <w:r w:rsidR="0071360A">
        <w:rPr>
          <w:bCs/>
        </w:rPr>
        <w:t>в</w:t>
      </w:r>
      <w:r>
        <w:rPr>
          <w:bCs/>
        </w:rPr>
        <w:t>али</w:t>
      </w:r>
      <w:r w:rsidR="0071360A">
        <w:rPr>
          <w:bCs/>
        </w:rPr>
        <w:t>т</w:t>
      </w:r>
      <w:r w:rsidR="00EE6AA2">
        <w:rPr>
          <w:bCs/>
        </w:rPr>
        <w:t>е</w:t>
      </w:r>
      <w:r w:rsidR="0071360A">
        <w:rPr>
          <w:bCs/>
        </w:rPr>
        <w:t>т</w:t>
      </w:r>
      <w:r>
        <w:rPr>
          <w:bCs/>
        </w:rPr>
        <w:t>ног</w:t>
      </w:r>
      <w:r w:rsidR="00847B04" w:rsidRPr="00F6340E">
        <w:rPr>
          <w:bCs/>
        </w:rPr>
        <w:t xml:space="preserve"> </w:t>
      </w:r>
      <w:r>
        <w:rPr>
          <w:bCs/>
        </w:rPr>
        <w:t>инкл</w:t>
      </w:r>
      <w:r w:rsidR="0071360A">
        <w:rPr>
          <w:bCs/>
        </w:rPr>
        <w:t>у</w:t>
      </w:r>
      <w:r w:rsidR="00171F00">
        <w:rPr>
          <w:bCs/>
        </w:rPr>
        <w:t>з</w:t>
      </w:r>
      <w:r>
        <w:rPr>
          <w:bCs/>
        </w:rPr>
        <w:t>и</w:t>
      </w:r>
      <w:r w:rsidR="0071360A">
        <w:rPr>
          <w:bCs/>
        </w:rPr>
        <w:t>в</w:t>
      </w:r>
      <w:r>
        <w:rPr>
          <w:bCs/>
        </w:rPr>
        <w:t>ног</w:t>
      </w:r>
      <w:r w:rsidR="00847B04" w:rsidRPr="00F6340E">
        <w:rPr>
          <w:bCs/>
        </w:rPr>
        <w:t xml:space="preserve"> </w:t>
      </w:r>
      <w:r>
        <w:rPr>
          <w:bCs/>
        </w:rPr>
        <w:t>об</w:t>
      </w:r>
      <w:r w:rsidR="0071360A">
        <w:rPr>
          <w:bCs/>
        </w:rPr>
        <w:t>р</w:t>
      </w:r>
      <w:r>
        <w:rPr>
          <w:bCs/>
        </w:rPr>
        <w:t>а</w:t>
      </w:r>
      <w:r w:rsidR="00171F00">
        <w:rPr>
          <w:bCs/>
        </w:rPr>
        <w:t>з</w:t>
      </w:r>
      <w:r>
        <w:rPr>
          <w:bCs/>
        </w:rPr>
        <w:t>о</w:t>
      </w:r>
      <w:r w:rsidR="0071360A">
        <w:rPr>
          <w:bCs/>
        </w:rPr>
        <w:t>в</w:t>
      </w:r>
      <w:r>
        <w:rPr>
          <w:bCs/>
        </w:rPr>
        <w:t>ања</w:t>
      </w:r>
      <w:r w:rsidR="00847B04" w:rsidRPr="00F6340E">
        <w:rPr>
          <w:bCs/>
        </w:rPr>
        <w:t xml:space="preserve">, </w:t>
      </w:r>
      <w:r w:rsidR="0071360A">
        <w:rPr>
          <w:bCs/>
        </w:rPr>
        <w:t>п</w:t>
      </w:r>
      <w:r>
        <w:rPr>
          <w:bCs/>
        </w:rPr>
        <w:t>о</w:t>
      </w:r>
      <w:r w:rsidR="0071360A">
        <w:rPr>
          <w:bCs/>
        </w:rPr>
        <w:t>тр</w:t>
      </w:r>
      <w:r w:rsidR="00EE6AA2">
        <w:rPr>
          <w:bCs/>
        </w:rPr>
        <w:t>е</w:t>
      </w:r>
      <w:r>
        <w:rPr>
          <w:bCs/>
        </w:rPr>
        <w:t>бно</w:t>
      </w:r>
      <w:r w:rsidR="00847B04" w:rsidRPr="00F6340E">
        <w:rPr>
          <w:bCs/>
        </w:rPr>
        <w:t xml:space="preserve"> </w:t>
      </w:r>
      <w:r>
        <w:rPr>
          <w:bCs/>
        </w:rPr>
        <w:t>ј</w:t>
      </w:r>
      <w:r w:rsidR="00EE6AA2">
        <w:rPr>
          <w:bCs/>
        </w:rPr>
        <w:t>е</w:t>
      </w:r>
      <w:r w:rsidR="00847B04" w:rsidRPr="00F6340E">
        <w:rPr>
          <w:bCs/>
        </w:rPr>
        <w:t xml:space="preserve"> </w:t>
      </w:r>
      <w:r w:rsidR="0071360A">
        <w:rPr>
          <w:bCs/>
        </w:rPr>
        <w:t>п</w:t>
      </w:r>
      <w:r>
        <w:rPr>
          <w:bCs/>
        </w:rPr>
        <w:t>оно</w:t>
      </w:r>
      <w:r w:rsidR="0071360A">
        <w:rPr>
          <w:bCs/>
        </w:rPr>
        <w:t>в</w:t>
      </w:r>
      <w:r>
        <w:rPr>
          <w:bCs/>
        </w:rPr>
        <w:t>о</w:t>
      </w:r>
      <w:r w:rsidR="00847B04" w:rsidRPr="00F6340E">
        <w:rPr>
          <w:bCs/>
        </w:rPr>
        <w:t xml:space="preserve"> </w:t>
      </w:r>
      <w:r w:rsidR="0071360A">
        <w:rPr>
          <w:bCs/>
        </w:rPr>
        <w:t>р</w:t>
      </w:r>
      <w:r>
        <w:rPr>
          <w:bCs/>
        </w:rPr>
        <w:t>а</w:t>
      </w:r>
      <w:r w:rsidR="00171F00">
        <w:rPr>
          <w:bCs/>
        </w:rPr>
        <w:t>з</w:t>
      </w:r>
      <w:r>
        <w:rPr>
          <w:bCs/>
        </w:rPr>
        <w:t>ми</w:t>
      </w:r>
      <w:r w:rsidR="0071360A">
        <w:rPr>
          <w:bCs/>
        </w:rPr>
        <w:t>с</w:t>
      </w:r>
      <w:r>
        <w:rPr>
          <w:bCs/>
        </w:rPr>
        <w:t>ли</w:t>
      </w:r>
      <w:r w:rsidR="0071360A">
        <w:rPr>
          <w:bCs/>
        </w:rPr>
        <w:t>т</w:t>
      </w:r>
      <w:r>
        <w:rPr>
          <w:bCs/>
        </w:rPr>
        <w:t>и</w:t>
      </w:r>
      <w:r w:rsidR="00BB77A9" w:rsidRPr="00F6340E">
        <w:rPr>
          <w:bCs/>
        </w:rPr>
        <w:t xml:space="preserve"> </w:t>
      </w:r>
      <w:r>
        <w:rPr>
          <w:bCs/>
        </w:rPr>
        <w:t>о</w:t>
      </w:r>
      <w:r w:rsidR="00BB77A9" w:rsidRPr="00F6340E">
        <w:rPr>
          <w:bCs/>
        </w:rPr>
        <w:t xml:space="preserve"> </w:t>
      </w:r>
      <w:r>
        <w:rPr>
          <w:bCs/>
        </w:rPr>
        <w:t>обла</w:t>
      </w:r>
      <w:r w:rsidR="0071360A">
        <w:rPr>
          <w:bCs/>
        </w:rPr>
        <w:t>ст</w:t>
      </w:r>
      <w:r>
        <w:rPr>
          <w:bCs/>
        </w:rPr>
        <w:t>има</w:t>
      </w:r>
      <w:r w:rsidR="00847B04" w:rsidRPr="00F6340E">
        <w:rPr>
          <w:bCs/>
        </w:rPr>
        <w:t xml:space="preserve"> </w:t>
      </w:r>
      <w:r w:rsidR="0071360A">
        <w:rPr>
          <w:bCs/>
        </w:rPr>
        <w:t>стру</w:t>
      </w:r>
      <w:r>
        <w:rPr>
          <w:bCs/>
        </w:rPr>
        <w:t>чног</w:t>
      </w:r>
      <w:r w:rsidR="00847B04" w:rsidRPr="00F6340E">
        <w:rPr>
          <w:bCs/>
        </w:rPr>
        <w:t xml:space="preserve"> </w:t>
      </w:r>
      <w:r w:rsidR="0071360A">
        <w:rPr>
          <w:bCs/>
        </w:rPr>
        <w:t>ус</w:t>
      </w:r>
      <w:r>
        <w:rPr>
          <w:bCs/>
        </w:rPr>
        <w:t>а</w:t>
      </w:r>
      <w:r w:rsidR="0071360A">
        <w:rPr>
          <w:bCs/>
        </w:rPr>
        <w:t>врш</w:t>
      </w:r>
      <w:r>
        <w:rPr>
          <w:bCs/>
        </w:rPr>
        <w:t>а</w:t>
      </w:r>
      <w:r w:rsidR="0071360A">
        <w:rPr>
          <w:bCs/>
        </w:rPr>
        <w:t>в</w:t>
      </w:r>
      <w:r>
        <w:rPr>
          <w:bCs/>
        </w:rPr>
        <w:t>ања</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Pr>
          <w:bCs/>
        </w:rPr>
        <w:t>Имај</w:t>
      </w:r>
      <w:r w:rsidR="0071360A">
        <w:rPr>
          <w:bCs/>
        </w:rPr>
        <w:t>у</w:t>
      </w:r>
      <w:r>
        <w:rPr>
          <w:bCs/>
        </w:rPr>
        <w:t>ћи</w:t>
      </w:r>
      <w:r w:rsidR="00847B04" w:rsidRPr="00F6340E">
        <w:rPr>
          <w:bCs/>
        </w:rPr>
        <w:t xml:space="preserve"> </w:t>
      </w:r>
      <w:r w:rsidR="0071360A">
        <w:rPr>
          <w:bCs/>
        </w:rPr>
        <w:t>у</w:t>
      </w:r>
      <w:r w:rsidR="00847B04" w:rsidRPr="00F6340E">
        <w:rPr>
          <w:bCs/>
        </w:rPr>
        <w:t xml:space="preserve"> </w:t>
      </w:r>
      <w:r w:rsidR="0071360A">
        <w:rPr>
          <w:bCs/>
        </w:rPr>
        <w:t>в</w:t>
      </w:r>
      <w:r>
        <w:rPr>
          <w:bCs/>
        </w:rPr>
        <w:t>ид</w:t>
      </w:r>
      <w:r w:rsidR="0071360A">
        <w:rPr>
          <w:bCs/>
        </w:rPr>
        <w:t>у</w:t>
      </w:r>
      <w:r w:rsidR="00847B04" w:rsidRPr="00F6340E">
        <w:rPr>
          <w:bCs/>
        </w:rPr>
        <w:t xml:space="preserve"> </w:t>
      </w:r>
      <w:r>
        <w:rPr>
          <w:bCs/>
        </w:rPr>
        <w:t>и</w:t>
      </w:r>
      <w:r w:rsidR="00171F00">
        <w:rPr>
          <w:bCs/>
        </w:rPr>
        <w:t>з</w:t>
      </w:r>
      <w:r>
        <w:rPr>
          <w:bCs/>
        </w:rPr>
        <w:t>а</w:t>
      </w:r>
      <w:r w:rsidR="00171F00">
        <w:rPr>
          <w:bCs/>
        </w:rPr>
        <w:t>з</w:t>
      </w:r>
      <w:r>
        <w:rPr>
          <w:bCs/>
        </w:rPr>
        <w:t>о</w:t>
      </w:r>
      <w:r w:rsidR="0071360A">
        <w:rPr>
          <w:bCs/>
        </w:rPr>
        <w:t>в</w:t>
      </w:r>
      <w:r w:rsidR="00EE6AA2">
        <w:rPr>
          <w:bCs/>
        </w:rPr>
        <w:t>е</w:t>
      </w:r>
      <w:r w:rsidR="00847B04" w:rsidRPr="00F6340E">
        <w:rPr>
          <w:bCs/>
        </w:rPr>
        <w:t xml:space="preserve"> </w:t>
      </w:r>
      <w:r w:rsidR="0071360A">
        <w:rPr>
          <w:bCs/>
        </w:rPr>
        <w:t>с</w:t>
      </w:r>
      <w:r>
        <w:rPr>
          <w:bCs/>
        </w:rPr>
        <w:t>а</w:t>
      </w:r>
      <w:r w:rsidR="00847B04" w:rsidRPr="00F6340E">
        <w:rPr>
          <w:bCs/>
        </w:rPr>
        <w:t xml:space="preserve"> </w:t>
      </w:r>
      <w:r>
        <w:rPr>
          <w:bCs/>
        </w:rPr>
        <w:t>којима</w:t>
      </w:r>
      <w:r w:rsidR="00847B04" w:rsidRPr="00F6340E">
        <w:rPr>
          <w:bCs/>
        </w:rPr>
        <w:t xml:space="preserve"> </w:t>
      </w:r>
      <w:r w:rsidR="0071360A">
        <w:rPr>
          <w:bCs/>
        </w:rPr>
        <w:t>су</w:t>
      </w:r>
      <w:r w:rsidR="00847B04" w:rsidRPr="00F6340E">
        <w:rPr>
          <w:bCs/>
        </w:rPr>
        <w:t xml:space="preserve"> </w:t>
      </w:r>
      <w:r w:rsidR="0071360A">
        <w:rPr>
          <w:bCs/>
        </w:rPr>
        <w:t>с</w:t>
      </w:r>
      <w:r w:rsidR="00EE6AA2">
        <w:rPr>
          <w:bCs/>
        </w:rPr>
        <w:t>е</w:t>
      </w:r>
      <w:r w:rsidR="00847B04" w:rsidRPr="00F6340E">
        <w:rPr>
          <w:bCs/>
        </w:rPr>
        <w:t xml:space="preserve"> </w:t>
      </w:r>
      <w:r w:rsidR="0071360A">
        <w:rPr>
          <w:bCs/>
        </w:rPr>
        <w:t>ср</w:t>
      </w:r>
      <w:r w:rsidR="00EE6AA2">
        <w:rPr>
          <w:bCs/>
        </w:rPr>
        <w:t>е</w:t>
      </w:r>
      <w:r>
        <w:rPr>
          <w:bCs/>
        </w:rPr>
        <w:t>ли</w:t>
      </w:r>
      <w:r w:rsidR="00847B04" w:rsidRPr="00F6340E">
        <w:rPr>
          <w:bCs/>
        </w:rPr>
        <w:t xml:space="preserve"> </w:t>
      </w:r>
      <w:r w:rsidR="0071360A">
        <w:rPr>
          <w:bCs/>
        </w:rPr>
        <w:t>т</w:t>
      </w:r>
      <w:r>
        <w:rPr>
          <w:bCs/>
        </w:rPr>
        <w:t>оком</w:t>
      </w:r>
      <w:r w:rsidR="00847B04" w:rsidRPr="00F6340E">
        <w:rPr>
          <w:bCs/>
        </w:rPr>
        <w:t xml:space="preserve"> </w:t>
      </w:r>
      <w:r w:rsidR="0071360A">
        <w:rPr>
          <w:bCs/>
        </w:rPr>
        <w:t>п</w:t>
      </w:r>
      <w:r>
        <w:rPr>
          <w:bCs/>
        </w:rPr>
        <w:t>анд</w:t>
      </w:r>
      <w:r w:rsidR="00EE6AA2">
        <w:rPr>
          <w:bCs/>
        </w:rPr>
        <w:t>е</w:t>
      </w:r>
      <w:r>
        <w:rPr>
          <w:bCs/>
        </w:rPr>
        <w:t>миј</w:t>
      </w:r>
      <w:r w:rsidR="00EE6AA2">
        <w:rPr>
          <w:bCs/>
        </w:rPr>
        <w:t>е</w:t>
      </w:r>
      <w:r w:rsidR="00847B04" w:rsidRPr="00F6340E">
        <w:rPr>
          <w:bCs/>
        </w:rPr>
        <w:t xml:space="preserve"> </w:t>
      </w:r>
      <w:r>
        <w:rPr>
          <w:bCs/>
        </w:rPr>
        <w:t>Цо</w:t>
      </w:r>
      <w:r w:rsidR="0071360A">
        <w:rPr>
          <w:bCs/>
        </w:rPr>
        <w:t>в</w:t>
      </w:r>
      <w:r>
        <w:rPr>
          <w:bCs/>
        </w:rPr>
        <w:t>ид</w:t>
      </w:r>
      <w:r w:rsidR="00847B04" w:rsidRPr="00F6340E">
        <w:rPr>
          <w:bCs/>
        </w:rPr>
        <w:t xml:space="preserve"> – 19, </w:t>
      </w:r>
      <w:r>
        <w:rPr>
          <w:bCs/>
        </w:rPr>
        <w:t>а</w:t>
      </w:r>
      <w:r w:rsidR="00847B04" w:rsidRPr="00F6340E">
        <w:rPr>
          <w:bCs/>
        </w:rPr>
        <w:t xml:space="preserve"> </w:t>
      </w:r>
      <w:r w:rsidR="0071360A">
        <w:rPr>
          <w:bCs/>
        </w:rPr>
        <w:t>у</w:t>
      </w:r>
      <w:r w:rsidR="00847B04" w:rsidRPr="00F6340E">
        <w:rPr>
          <w:bCs/>
        </w:rPr>
        <w:t xml:space="preserve"> </w:t>
      </w:r>
      <w:r>
        <w:rPr>
          <w:bCs/>
        </w:rPr>
        <w:t>кон</w:t>
      </w:r>
      <w:r w:rsidR="0071360A">
        <w:rPr>
          <w:bCs/>
        </w:rPr>
        <w:t>т</w:t>
      </w:r>
      <w:r w:rsidR="00EE6AA2">
        <w:rPr>
          <w:bCs/>
        </w:rPr>
        <w:t>е</w:t>
      </w:r>
      <w:r>
        <w:rPr>
          <w:bCs/>
        </w:rPr>
        <w:t>к</w:t>
      </w:r>
      <w:r w:rsidR="0071360A">
        <w:rPr>
          <w:bCs/>
        </w:rPr>
        <w:t>сту</w:t>
      </w:r>
      <w:r w:rsidR="00847B04" w:rsidRPr="00F6340E">
        <w:rPr>
          <w:bCs/>
        </w:rPr>
        <w:t xml:space="preserve"> </w:t>
      </w:r>
      <w:r w:rsidR="0071360A">
        <w:rPr>
          <w:bCs/>
        </w:rPr>
        <w:t>р</w:t>
      </w:r>
      <w:r w:rsidR="00EE6AA2">
        <w:rPr>
          <w:bCs/>
        </w:rPr>
        <w:t>е</w:t>
      </w:r>
      <w:r>
        <w:rPr>
          <w:bCs/>
        </w:rPr>
        <w:t>али</w:t>
      </w:r>
      <w:r w:rsidR="00171F00">
        <w:rPr>
          <w:bCs/>
        </w:rPr>
        <w:t>з</w:t>
      </w:r>
      <w:r>
        <w:rPr>
          <w:bCs/>
        </w:rPr>
        <w:t>ациј</w:t>
      </w:r>
      <w:r w:rsidR="00EE6AA2">
        <w:rPr>
          <w:bCs/>
        </w:rPr>
        <w:t>е</w:t>
      </w:r>
      <w:r w:rsidR="00847B04" w:rsidRPr="00F6340E">
        <w:rPr>
          <w:bCs/>
        </w:rPr>
        <w:t xml:space="preserve"> </w:t>
      </w:r>
      <w:r>
        <w:rPr>
          <w:bCs/>
        </w:rPr>
        <w:t>на</w:t>
      </w:r>
      <w:r w:rsidR="0071360A">
        <w:rPr>
          <w:bCs/>
        </w:rPr>
        <w:t>ст</w:t>
      </w:r>
      <w:r>
        <w:rPr>
          <w:bCs/>
        </w:rPr>
        <w:t>а</w:t>
      </w:r>
      <w:r w:rsidR="0071360A">
        <w:rPr>
          <w:bCs/>
        </w:rPr>
        <w:t>в</w:t>
      </w:r>
      <w:r w:rsidR="00EE6AA2">
        <w:rPr>
          <w:bCs/>
        </w:rPr>
        <w:t>е</w:t>
      </w:r>
      <w:r w:rsidR="00C47A01" w:rsidRPr="00F6340E">
        <w:rPr>
          <w:bCs/>
        </w:rPr>
        <w:t xml:space="preserve"> </w:t>
      </w:r>
      <w:r w:rsidR="0071360A">
        <w:rPr>
          <w:bCs/>
        </w:rPr>
        <w:t>пут</w:t>
      </w:r>
      <w:r w:rsidR="00EE6AA2">
        <w:rPr>
          <w:bCs/>
        </w:rPr>
        <w:t>е</w:t>
      </w:r>
      <w:r>
        <w:rPr>
          <w:bCs/>
        </w:rPr>
        <w:t>м</w:t>
      </w:r>
      <w:r w:rsidR="00C47A01" w:rsidRPr="00F6340E">
        <w:rPr>
          <w:bCs/>
        </w:rPr>
        <w:t xml:space="preserve"> </w:t>
      </w:r>
      <w:r>
        <w:rPr>
          <w:bCs/>
        </w:rPr>
        <w:t>ин</w:t>
      </w:r>
      <w:r w:rsidR="0071360A">
        <w:rPr>
          <w:bCs/>
        </w:rPr>
        <w:t>т</w:t>
      </w:r>
      <w:r w:rsidR="00EE6AA2">
        <w:rPr>
          <w:bCs/>
        </w:rPr>
        <w:t>е</w:t>
      </w:r>
      <w:r w:rsidR="0071360A">
        <w:rPr>
          <w:bCs/>
        </w:rPr>
        <w:t>р</w:t>
      </w:r>
      <w:r>
        <w:rPr>
          <w:bCs/>
        </w:rPr>
        <w:t>н</w:t>
      </w:r>
      <w:r w:rsidR="00EE6AA2">
        <w:rPr>
          <w:bCs/>
        </w:rPr>
        <w:t>е</w:t>
      </w:r>
      <w:r w:rsidR="0071360A">
        <w:rPr>
          <w:bCs/>
        </w:rPr>
        <w:t>т</w:t>
      </w:r>
      <w:r>
        <w:rPr>
          <w:bCs/>
        </w:rPr>
        <w:t>а</w:t>
      </w:r>
      <w:r w:rsidR="00847B04" w:rsidRPr="00F6340E">
        <w:rPr>
          <w:bCs/>
        </w:rPr>
        <w:t xml:space="preserve"> </w:t>
      </w:r>
      <w:r>
        <w:rPr>
          <w:bCs/>
        </w:rPr>
        <w:t>и</w:t>
      </w:r>
      <w:r w:rsidR="00847B04" w:rsidRPr="00F6340E">
        <w:rPr>
          <w:bCs/>
        </w:rPr>
        <w:t xml:space="preserve"> </w:t>
      </w:r>
      <w:r w:rsidR="0071360A">
        <w:rPr>
          <w:bCs/>
        </w:rPr>
        <w:t>пр</w:t>
      </w:r>
      <w:r>
        <w:rPr>
          <w:bCs/>
        </w:rPr>
        <w:t>имј</w:t>
      </w:r>
      <w:r w:rsidR="00EE6AA2">
        <w:rPr>
          <w:bCs/>
        </w:rPr>
        <w:t>е</w:t>
      </w:r>
      <w:r>
        <w:rPr>
          <w:bCs/>
        </w:rPr>
        <w:t>н</w:t>
      </w:r>
      <w:r w:rsidR="00EE6AA2">
        <w:rPr>
          <w:bCs/>
        </w:rPr>
        <w:t>е</w:t>
      </w:r>
      <w:r w:rsidR="00847B04" w:rsidRPr="00F6340E">
        <w:rPr>
          <w:bCs/>
        </w:rPr>
        <w:t xml:space="preserve"> </w:t>
      </w:r>
      <w:r>
        <w:rPr>
          <w:bCs/>
        </w:rPr>
        <w:t>диги</w:t>
      </w:r>
      <w:r w:rsidR="0071360A">
        <w:rPr>
          <w:bCs/>
        </w:rPr>
        <w:t>т</w:t>
      </w:r>
      <w:r>
        <w:rPr>
          <w:bCs/>
        </w:rPr>
        <w:t>алних</w:t>
      </w:r>
      <w:r w:rsidR="00847B04" w:rsidRPr="00F6340E">
        <w:rPr>
          <w:bCs/>
        </w:rPr>
        <w:t xml:space="preserve"> </w:t>
      </w:r>
      <w:r>
        <w:rPr>
          <w:bCs/>
        </w:rPr>
        <w:t>ала</w:t>
      </w:r>
      <w:r w:rsidR="0071360A">
        <w:rPr>
          <w:bCs/>
        </w:rPr>
        <w:t>т</w:t>
      </w:r>
      <w:r>
        <w:rPr>
          <w:bCs/>
        </w:rPr>
        <w:t>а</w:t>
      </w:r>
      <w:r w:rsidR="00847B04" w:rsidRPr="00F6340E">
        <w:rPr>
          <w:bCs/>
        </w:rPr>
        <w:t xml:space="preserve">, </w:t>
      </w:r>
      <w:r>
        <w:rPr>
          <w:bCs/>
        </w:rPr>
        <w:t>очигл</w:t>
      </w:r>
      <w:r w:rsidR="00EE6AA2">
        <w:rPr>
          <w:bCs/>
        </w:rPr>
        <w:t>е</w:t>
      </w:r>
      <w:r>
        <w:rPr>
          <w:bCs/>
        </w:rPr>
        <w:t>дно</w:t>
      </w:r>
      <w:r w:rsidR="00847B04" w:rsidRPr="00F6340E">
        <w:rPr>
          <w:bCs/>
        </w:rPr>
        <w:t xml:space="preserve"> </w:t>
      </w:r>
      <w:r>
        <w:rPr>
          <w:bCs/>
        </w:rPr>
        <w:t>ј</w:t>
      </w:r>
      <w:r w:rsidR="00EE6AA2">
        <w:rPr>
          <w:bCs/>
        </w:rPr>
        <w:t>е</w:t>
      </w:r>
      <w:r w:rsidR="00847B04" w:rsidRPr="00F6340E">
        <w:rPr>
          <w:bCs/>
        </w:rPr>
        <w:t xml:space="preserve"> </w:t>
      </w:r>
      <w:r>
        <w:rPr>
          <w:bCs/>
        </w:rPr>
        <w:t>да</w:t>
      </w:r>
      <w:r w:rsidR="00847B04" w:rsidRPr="00F6340E">
        <w:rPr>
          <w:bCs/>
        </w:rPr>
        <w:t xml:space="preserve"> </w:t>
      </w:r>
      <w:r w:rsidR="0071360A">
        <w:rPr>
          <w:bCs/>
        </w:rPr>
        <w:t>су</w:t>
      </w:r>
      <w:r w:rsidR="00847B04" w:rsidRPr="00F6340E">
        <w:rPr>
          <w:bCs/>
        </w:rPr>
        <w:t xml:space="preserve"> </w:t>
      </w:r>
      <w:r>
        <w:rPr>
          <w:bCs/>
        </w:rPr>
        <w:t>диги</w:t>
      </w:r>
      <w:r w:rsidR="0071360A">
        <w:rPr>
          <w:bCs/>
        </w:rPr>
        <w:t>т</w:t>
      </w:r>
      <w:r>
        <w:rPr>
          <w:bCs/>
        </w:rPr>
        <w:t>алн</w:t>
      </w:r>
      <w:r w:rsidR="00EE6AA2">
        <w:rPr>
          <w:bCs/>
        </w:rPr>
        <w:t>е</w:t>
      </w:r>
      <w:r w:rsidR="00847B04" w:rsidRPr="00F6340E">
        <w:rPr>
          <w:bCs/>
        </w:rPr>
        <w:t xml:space="preserve"> </w:t>
      </w:r>
      <w:r>
        <w:rPr>
          <w:bCs/>
        </w:rPr>
        <w:t>ком</w:t>
      </w:r>
      <w:r w:rsidR="0071360A">
        <w:rPr>
          <w:bCs/>
        </w:rPr>
        <w:t>п</w:t>
      </w:r>
      <w:r w:rsidR="00EE6AA2">
        <w:rPr>
          <w:bCs/>
        </w:rPr>
        <w:t>е</w:t>
      </w:r>
      <w:r w:rsidR="0071360A">
        <w:rPr>
          <w:bCs/>
        </w:rPr>
        <w:t>т</w:t>
      </w:r>
      <w:r w:rsidR="00EE6AA2">
        <w:rPr>
          <w:bCs/>
        </w:rPr>
        <w:t>е</w:t>
      </w:r>
      <w:r>
        <w:rPr>
          <w:bCs/>
        </w:rPr>
        <w:t>нциј</w:t>
      </w:r>
      <w:r w:rsidR="00EE6AA2">
        <w:rPr>
          <w:bCs/>
        </w:rPr>
        <w:t>е</w:t>
      </w:r>
      <w:r w:rsidR="00847B04" w:rsidRPr="00F6340E">
        <w:rPr>
          <w:bCs/>
        </w:rPr>
        <w:t xml:space="preserve"> </w:t>
      </w:r>
      <w:r>
        <w:t>на</w:t>
      </w:r>
      <w:r w:rsidR="0071360A">
        <w:t>ст</w:t>
      </w:r>
      <w:r>
        <w:t>а</w:t>
      </w:r>
      <w:r w:rsidR="0071360A">
        <w:t>в</w:t>
      </w:r>
      <w:r>
        <w:t>ника</w:t>
      </w:r>
      <w:r w:rsidR="00847B04" w:rsidRPr="00F6340E">
        <w:rPr>
          <w:bCs/>
        </w:rPr>
        <w:t xml:space="preserve">, </w:t>
      </w:r>
      <w:r w:rsidR="0071360A">
        <w:rPr>
          <w:bCs/>
        </w:rPr>
        <w:t>у</w:t>
      </w:r>
      <w:r w:rsidR="00171F00">
        <w:rPr>
          <w:bCs/>
        </w:rPr>
        <w:t>з</w:t>
      </w:r>
      <w:r w:rsidR="00847B04" w:rsidRPr="00F6340E">
        <w:rPr>
          <w:bCs/>
        </w:rPr>
        <w:t xml:space="preserve"> </w:t>
      </w:r>
      <w:r w:rsidR="0071360A">
        <w:rPr>
          <w:bCs/>
        </w:rPr>
        <w:t>п</w:t>
      </w:r>
      <w:r w:rsidR="00EE6AA2">
        <w:rPr>
          <w:bCs/>
        </w:rPr>
        <w:t>е</w:t>
      </w:r>
      <w:r>
        <w:rPr>
          <w:bCs/>
        </w:rPr>
        <w:t>даго</w:t>
      </w:r>
      <w:r w:rsidR="0071360A">
        <w:rPr>
          <w:bCs/>
        </w:rPr>
        <w:t>ш</w:t>
      </w:r>
      <w:r>
        <w:rPr>
          <w:bCs/>
        </w:rPr>
        <w:t>к</w:t>
      </w:r>
      <w:r w:rsidR="00EE6AA2">
        <w:rPr>
          <w:bCs/>
        </w:rPr>
        <w:t>е</w:t>
      </w:r>
      <w:r w:rsidR="00847B04" w:rsidRPr="00F6340E">
        <w:rPr>
          <w:bCs/>
        </w:rPr>
        <w:t xml:space="preserve">, </w:t>
      </w:r>
      <w:r w:rsidR="0071360A">
        <w:rPr>
          <w:bCs/>
        </w:rPr>
        <w:t>п</w:t>
      </w:r>
      <w:r>
        <w:rPr>
          <w:bCs/>
        </w:rPr>
        <w:t>о</w:t>
      </w:r>
      <w:r w:rsidR="0071360A">
        <w:rPr>
          <w:bCs/>
        </w:rPr>
        <w:t>ст</w:t>
      </w:r>
      <w:r>
        <w:rPr>
          <w:bCs/>
        </w:rPr>
        <w:t>ал</w:t>
      </w:r>
      <w:r w:rsidR="00EE6AA2">
        <w:rPr>
          <w:bCs/>
        </w:rPr>
        <w:t>е</w:t>
      </w:r>
      <w:r w:rsidR="00847B04" w:rsidRPr="00F6340E">
        <w:rPr>
          <w:bCs/>
        </w:rPr>
        <w:t xml:space="preserve"> </w:t>
      </w:r>
      <w:r>
        <w:rPr>
          <w:bCs/>
        </w:rPr>
        <w:t>им</w:t>
      </w:r>
      <w:r w:rsidR="0071360A">
        <w:rPr>
          <w:bCs/>
        </w:rPr>
        <w:t>п</w:t>
      </w:r>
      <w:r w:rsidR="00EE6AA2">
        <w:rPr>
          <w:bCs/>
        </w:rPr>
        <w:t>е</w:t>
      </w:r>
      <w:r w:rsidR="0071360A">
        <w:rPr>
          <w:bCs/>
        </w:rPr>
        <w:t>р</w:t>
      </w:r>
      <w:r>
        <w:rPr>
          <w:bCs/>
        </w:rPr>
        <w:t>а</w:t>
      </w:r>
      <w:r w:rsidR="0071360A">
        <w:rPr>
          <w:bCs/>
        </w:rPr>
        <w:t>т</w:t>
      </w:r>
      <w:r>
        <w:rPr>
          <w:bCs/>
        </w:rPr>
        <w:t>и</w:t>
      </w:r>
      <w:r w:rsidR="0071360A">
        <w:rPr>
          <w:bCs/>
        </w:rPr>
        <w:t>в</w:t>
      </w:r>
      <w:r w:rsidR="004D0F21" w:rsidRPr="00F6340E">
        <w:rPr>
          <w:bCs/>
        </w:rPr>
        <w:t xml:space="preserve"> </w:t>
      </w:r>
      <w:r w:rsidR="0071360A">
        <w:rPr>
          <w:bCs/>
        </w:rPr>
        <w:t>стру</w:t>
      </w:r>
      <w:r>
        <w:rPr>
          <w:bCs/>
        </w:rPr>
        <w:t>чног</w:t>
      </w:r>
      <w:r w:rsidR="00847B04" w:rsidRPr="00F6340E">
        <w:rPr>
          <w:bCs/>
        </w:rPr>
        <w:t xml:space="preserve"> </w:t>
      </w:r>
      <w:r w:rsidR="0071360A">
        <w:rPr>
          <w:bCs/>
        </w:rPr>
        <w:t>ус</w:t>
      </w:r>
      <w:r>
        <w:rPr>
          <w:bCs/>
        </w:rPr>
        <w:t>а</w:t>
      </w:r>
      <w:r w:rsidR="0071360A">
        <w:rPr>
          <w:bCs/>
        </w:rPr>
        <w:t>врш</w:t>
      </w:r>
      <w:r>
        <w:rPr>
          <w:bCs/>
        </w:rPr>
        <w:t>а</w:t>
      </w:r>
      <w:r w:rsidR="0071360A">
        <w:rPr>
          <w:bCs/>
        </w:rPr>
        <w:t>в</w:t>
      </w:r>
      <w:r>
        <w:rPr>
          <w:bCs/>
        </w:rPr>
        <w:t>ања</w:t>
      </w:r>
      <w:r w:rsidR="00847B04" w:rsidRPr="00F6340E">
        <w:rPr>
          <w:bCs/>
        </w:rPr>
        <w:t xml:space="preserve">. </w:t>
      </w:r>
      <w:r w:rsidR="00171F00">
        <w:rPr>
          <w:bCs/>
        </w:rPr>
        <w:t>З</w:t>
      </w:r>
      <w:r>
        <w:rPr>
          <w:bCs/>
        </w:rPr>
        <w:t>а</w:t>
      </w:r>
      <w:r w:rsidR="0071360A">
        <w:rPr>
          <w:bCs/>
        </w:rPr>
        <w:t>т</w:t>
      </w:r>
      <w:r>
        <w:rPr>
          <w:bCs/>
        </w:rPr>
        <w:t>о</w:t>
      </w:r>
      <w:r w:rsidR="00847B04" w:rsidRPr="00F6340E">
        <w:rPr>
          <w:bCs/>
        </w:rPr>
        <w:t xml:space="preserve"> </w:t>
      </w:r>
      <w:r>
        <w:rPr>
          <w:bCs/>
        </w:rPr>
        <w:t>ј</w:t>
      </w:r>
      <w:r w:rsidR="00EE6AA2">
        <w:rPr>
          <w:bCs/>
        </w:rPr>
        <w:t>е</w:t>
      </w:r>
      <w:r w:rsidR="00847B04" w:rsidRPr="00F6340E">
        <w:rPr>
          <w:bCs/>
        </w:rPr>
        <w:t xml:space="preserve"> </w:t>
      </w:r>
      <w:r>
        <w:rPr>
          <w:bCs/>
        </w:rPr>
        <w:t>доб</w:t>
      </w:r>
      <w:r w:rsidR="0071360A">
        <w:rPr>
          <w:bCs/>
        </w:rPr>
        <w:t>р</w:t>
      </w:r>
      <w:r>
        <w:rPr>
          <w:bCs/>
        </w:rPr>
        <w:t>о</w:t>
      </w:r>
      <w:r w:rsidR="00847B04" w:rsidRPr="00F6340E">
        <w:rPr>
          <w:bCs/>
        </w:rPr>
        <w:t xml:space="preserve"> </w:t>
      </w:r>
      <w:r w:rsidR="0071360A">
        <w:rPr>
          <w:bCs/>
        </w:rPr>
        <w:t>ус</w:t>
      </w:r>
      <w:r>
        <w:rPr>
          <w:bCs/>
        </w:rPr>
        <w:t>клади</w:t>
      </w:r>
      <w:r w:rsidR="0071360A">
        <w:rPr>
          <w:bCs/>
        </w:rPr>
        <w:t>т</w:t>
      </w:r>
      <w:r>
        <w:rPr>
          <w:bCs/>
        </w:rPr>
        <w:t>и</w:t>
      </w:r>
      <w:r w:rsidR="00847B04" w:rsidRPr="00F6340E">
        <w:rPr>
          <w:bCs/>
        </w:rPr>
        <w:t xml:space="preserve"> </w:t>
      </w:r>
      <w:r>
        <w:rPr>
          <w:bCs/>
        </w:rPr>
        <w:t>и</w:t>
      </w:r>
      <w:r w:rsidR="00847B04" w:rsidRPr="00F6340E">
        <w:rPr>
          <w:bCs/>
        </w:rPr>
        <w:t xml:space="preserve"> </w:t>
      </w:r>
      <w:r w:rsidR="0071360A">
        <w:rPr>
          <w:bCs/>
        </w:rPr>
        <w:t>п</w:t>
      </w:r>
      <w:r>
        <w:rPr>
          <w:bCs/>
        </w:rPr>
        <w:t>о</w:t>
      </w:r>
      <w:r w:rsidR="0071360A">
        <w:rPr>
          <w:bCs/>
        </w:rPr>
        <w:t>ст</w:t>
      </w:r>
      <w:r>
        <w:rPr>
          <w:bCs/>
        </w:rPr>
        <w:t>ој</w:t>
      </w:r>
      <w:r w:rsidR="00EE6AA2">
        <w:rPr>
          <w:bCs/>
        </w:rPr>
        <w:t>е</w:t>
      </w:r>
      <w:r>
        <w:rPr>
          <w:bCs/>
        </w:rPr>
        <w:t>ћ</w:t>
      </w:r>
      <w:r w:rsidR="00EE6AA2">
        <w:rPr>
          <w:bCs/>
        </w:rPr>
        <w:t>е</w:t>
      </w:r>
      <w:r w:rsidR="00847B04" w:rsidRPr="00F6340E">
        <w:rPr>
          <w:bCs/>
        </w:rPr>
        <w:t xml:space="preserve"> </w:t>
      </w:r>
      <w:r w:rsidR="0071360A">
        <w:rPr>
          <w:bCs/>
        </w:rPr>
        <w:t>пр</w:t>
      </w:r>
      <w:r>
        <w:rPr>
          <w:bCs/>
        </w:rPr>
        <w:t>а</w:t>
      </w:r>
      <w:r w:rsidR="0071360A">
        <w:rPr>
          <w:bCs/>
        </w:rPr>
        <w:t>в</w:t>
      </w:r>
      <w:r>
        <w:rPr>
          <w:bCs/>
        </w:rPr>
        <w:t>илник</w:t>
      </w:r>
      <w:r w:rsidR="00EE6AA2">
        <w:rPr>
          <w:bCs/>
        </w:rPr>
        <w:t>е</w:t>
      </w:r>
      <w:r w:rsidR="00847B04" w:rsidRPr="00F6340E">
        <w:rPr>
          <w:bCs/>
        </w:rPr>
        <w:t xml:space="preserve"> </w:t>
      </w:r>
      <w:r>
        <w:rPr>
          <w:bCs/>
        </w:rPr>
        <w:t>о</w:t>
      </w:r>
      <w:r w:rsidR="00847B04" w:rsidRPr="00F6340E">
        <w:rPr>
          <w:bCs/>
        </w:rPr>
        <w:t xml:space="preserve"> </w:t>
      </w:r>
      <w:r w:rsidR="0071360A">
        <w:rPr>
          <w:bCs/>
        </w:rPr>
        <w:t>пр</w:t>
      </w:r>
      <w:r>
        <w:rPr>
          <w:bCs/>
        </w:rPr>
        <w:t>аћ</w:t>
      </w:r>
      <w:r w:rsidR="00EE6AA2">
        <w:rPr>
          <w:bCs/>
        </w:rPr>
        <w:t>е</w:t>
      </w:r>
      <w:r>
        <w:rPr>
          <w:bCs/>
        </w:rPr>
        <w:t>њ</w:t>
      </w:r>
      <w:r w:rsidR="0071360A">
        <w:rPr>
          <w:bCs/>
        </w:rPr>
        <w:t>у</w:t>
      </w:r>
      <w:r w:rsidR="00847B04" w:rsidRPr="00F6340E">
        <w:rPr>
          <w:bCs/>
        </w:rPr>
        <w:t xml:space="preserve">, </w:t>
      </w:r>
      <w:r w:rsidR="0071360A">
        <w:rPr>
          <w:bCs/>
        </w:rPr>
        <w:t>вр</w:t>
      </w:r>
      <w:r w:rsidR="00EE6AA2">
        <w:rPr>
          <w:bCs/>
        </w:rPr>
        <w:t>е</w:t>
      </w:r>
      <w:r>
        <w:rPr>
          <w:bCs/>
        </w:rPr>
        <w:t>дно</w:t>
      </w:r>
      <w:r w:rsidR="0071360A">
        <w:rPr>
          <w:bCs/>
        </w:rPr>
        <w:t>в</w:t>
      </w:r>
      <w:r>
        <w:rPr>
          <w:bCs/>
        </w:rPr>
        <w:t>ањ</w:t>
      </w:r>
      <w:r w:rsidR="0071360A">
        <w:rPr>
          <w:bCs/>
        </w:rPr>
        <w:t>у</w:t>
      </w:r>
      <w:r w:rsidR="00847B04" w:rsidRPr="00F6340E">
        <w:rPr>
          <w:bCs/>
        </w:rPr>
        <w:t xml:space="preserve"> </w:t>
      </w:r>
      <w:r>
        <w:rPr>
          <w:bCs/>
        </w:rPr>
        <w:t>и</w:t>
      </w:r>
      <w:r w:rsidR="00847B04" w:rsidRPr="00F6340E">
        <w:rPr>
          <w:bCs/>
        </w:rPr>
        <w:t xml:space="preserve"> </w:t>
      </w:r>
      <w:r w:rsidR="0071360A">
        <w:rPr>
          <w:bCs/>
        </w:rPr>
        <w:t>стру</w:t>
      </w:r>
      <w:r>
        <w:rPr>
          <w:bCs/>
        </w:rPr>
        <w:t>чном</w:t>
      </w:r>
      <w:r w:rsidR="00847B04" w:rsidRPr="00F6340E">
        <w:rPr>
          <w:bCs/>
        </w:rPr>
        <w:t xml:space="preserve"> </w:t>
      </w:r>
      <w:r w:rsidR="0071360A">
        <w:rPr>
          <w:bCs/>
        </w:rPr>
        <w:t>ус</w:t>
      </w:r>
      <w:r>
        <w:rPr>
          <w:bCs/>
        </w:rPr>
        <w:t>а</w:t>
      </w:r>
      <w:r w:rsidR="0071360A">
        <w:rPr>
          <w:bCs/>
        </w:rPr>
        <w:t>врш</w:t>
      </w:r>
      <w:r>
        <w:rPr>
          <w:bCs/>
        </w:rPr>
        <w:t>а</w:t>
      </w:r>
      <w:r w:rsidR="0071360A">
        <w:rPr>
          <w:bCs/>
        </w:rPr>
        <w:t>в</w:t>
      </w:r>
      <w:r>
        <w:rPr>
          <w:bCs/>
        </w:rPr>
        <w:t>ањ</w:t>
      </w:r>
      <w:r w:rsidR="0071360A">
        <w:rPr>
          <w:bCs/>
        </w:rPr>
        <w:t>у</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sidR="0071360A">
        <w:rPr>
          <w:bCs/>
        </w:rPr>
        <w:t>с</w:t>
      </w:r>
      <w:r>
        <w:rPr>
          <w:bCs/>
        </w:rPr>
        <w:t>а</w:t>
      </w:r>
      <w:r w:rsidR="00847B04" w:rsidRPr="00F6340E">
        <w:rPr>
          <w:bCs/>
        </w:rPr>
        <w:t xml:space="preserve"> </w:t>
      </w:r>
      <w:r w:rsidR="0071360A">
        <w:rPr>
          <w:bCs/>
        </w:rPr>
        <w:t>п</w:t>
      </w:r>
      <w:r>
        <w:rPr>
          <w:bCs/>
        </w:rPr>
        <w:t>о</w:t>
      </w:r>
      <w:r w:rsidR="0071360A">
        <w:rPr>
          <w:bCs/>
        </w:rPr>
        <w:t>тр</w:t>
      </w:r>
      <w:r w:rsidR="00EE6AA2">
        <w:rPr>
          <w:bCs/>
        </w:rPr>
        <w:t>е</w:t>
      </w:r>
      <w:r>
        <w:rPr>
          <w:bCs/>
        </w:rPr>
        <w:t>бама</w:t>
      </w:r>
      <w:r w:rsidR="00847B04" w:rsidRPr="00F6340E">
        <w:rPr>
          <w:bCs/>
        </w:rPr>
        <w:t xml:space="preserve"> </w:t>
      </w:r>
      <w:r w:rsidR="0071360A">
        <w:rPr>
          <w:bCs/>
        </w:rPr>
        <w:t>пр</w:t>
      </w:r>
      <w:r>
        <w:rPr>
          <w:bCs/>
        </w:rPr>
        <w:t>ак</w:t>
      </w:r>
      <w:r w:rsidR="0071360A">
        <w:rPr>
          <w:bCs/>
        </w:rPr>
        <w:t>с</w:t>
      </w:r>
      <w:r w:rsidR="00EE6AA2">
        <w:rPr>
          <w:bCs/>
        </w:rPr>
        <w:t>е</w:t>
      </w:r>
      <w:r w:rsidR="00847B04" w:rsidRPr="00F6340E">
        <w:rPr>
          <w:bCs/>
        </w:rPr>
        <w:t xml:space="preserve"> </w:t>
      </w:r>
      <w:r>
        <w:rPr>
          <w:bCs/>
        </w:rPr>
        <w:t>и</w:t>
      </w:r>
      <w:r w:rsidR="00847B04" w:rsidRPr="00F6340E">
        <w:rPr>
          <w:bCs/>
        </w:rPr>
        <w:t xml:space="preserve"> </w:t>
      </w:r>
      <w:r>
        <w:rPr>
          <w:bCs/>
        </w:rPr>
        <w:t>и</w:t>
      </w:r>
      <w:r w:rsidR="00171F00">
        <w:rPr>
          <w:bCs/>
        </w:rPr>
        <w:t>з</w:t>
      </w:r>
      <w:r>
        <w:rPr>
          <w:bCs/>
        </w:rPr>
        <w:t>мј</w:t>
      </w:r>
      <w:r w:rsidR="00EE6AA2">
        <w:rPr>
          <w:bCs/>
        </w:rPr>
        <w:t>е</w:t>
      </w:r>
      <w:r>
        <w:rPr>
          <w:bCs/>
        </w:rPr>
        <w:t>њ</w:t>
      </w:r>
      <w:r w:rsidR="00EE6AA2">
        <w:rPr>
          <w:bCs/>
        </w:rPr>
        <w:t>е</w:t>
      </w:r>
      <w:r>
        <w:rPr>
          <w:bCs/>
        </w:rPr>
        <w:t>ном</w:t>
      </w:r>
      <w:r w:rsidR="00847B04" w:rsidRPr="00F6340E">
        <w:rPr>
          <w:bCs/>
        </w:rPr>
        <w:t xml:space="preserve"> </w:t>
      </w:r>
      <w:r w:rsidR="0071360A">
        <w:rPr>
          <w:bCs/>
        </w:rPr>
        <w:t>у</w:t>
      </w:r>
      <w:r>
        <w:rPr>
          <w:bCs/>
        </w:rPr>
        <w:t>логом</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Pr>
          <w:bCs/>
        </w:rPr>
        <w:t>и</w:t>
      </w:r>
      <w:r w:rsidR="00847B04" w:rsidRPr="00F6340E">
        <w:rPr>
          <w:bCs/>
        </w:rPr>
        <w:t xml:space="preserve"> </w:t>
      </w:r>
      <w:r w:rsidR="0071360A">
        <w:rPr>
          <w:bCs/>
        </w:rPr>
        <w:t>у</w:t>
      </w:r>
      <w:r>
        <w:rPr>
          <w:bCs/>
        </w:rPr>
        <w:t>ч</w:t>
      </w:r>
      <w:r w:rsidR="00EE6AA2">
        <w:rPr>
          <w:bCs/>
        </w:rPr>
        <w:t>е</w:t>
      </w:r>
      <w:r>
        <w:rPr>
          <w:bCs/>
        </w:rPr>
        <w:t>ника</w:t>
      </w:r>
      <w:r w:rsidR="00847B04" w:rsidRPr="00F6340E">
        <w:rPr>
          <w:bCs/>
        </w:rPr>
        <w:t xml:space="preserve"> </w:t>
      </w:r>
      <w:r>
        <w:rPr>
          <w:bCs/>
        </w:rPr>
        <w:t>када</w:t>
      </w:r>
      <w:r w:rsidR="00847B04" w:rsidRPr="00F6340E">
        <w:rPr>
          <w:bCs/>
        </w:rPr>
        <w:t xml:space="preserve"> </w:t>
      </w:r>
      <w:r>
        <w:rPr>
          <w:bCs/>
        </w:rPr>
        <w:t>ј</w:t>
      </w:r>
      <w:r w:rsidR="00EE6AA2">
        <w:rPr>
          <w:bCs/>
        </w:rPr>
        <w:t>е</w:t>
      </w:r>
      <w:r w:rsidR="00847B04" w:rsidRPr="00F6340E">
        <w:rPr>
          <w:bCs/>
        </w:rPr>
        <w:t xml:space="preserve"> </w:t>
      </w:r>
      <w:r w:rsidR="0071360A">
        <w:rPr>
          <w:bCs/>
        </w:rPr>
        <w:t>р</w:t>
      </w:r>
      <w:r>
        <w:rPr>
          <w:bCs/>
        </w:rPr>
        <w:t>иј</w:t>
      </w:r>
      <w:r w:rsidR="00EE6AA2">
        <w:rPr>
          <w:bCs/>
        </w:rPr>
        <w:t>е</w:t>
      </w:r>
      <w:r>
        <w:rPr>
          <w:bCs/>
        </w:rPr>
        <w:t>ч</w:t>
      </w:r>
      <w:r w:rsidR="00847B04" w:rsidRPr="00F6340E">
        <w:rPr>
          <w:bCs/>
        </w:rPr>
        <w:t xml:space="preserve"> </w:t>
      </w:r>
      <w:r>
        <w:rPr>
          <w:bCs/>
        </w:rPr>
        <w:t>о</w:t>
      </w:r>
      <w:r w:rsidR="00847B04" w:rsidRPr="00F6340E">
        <w:rPr>
          <w:bCs/>
        </w:rPr>
        <w:t xml:space="preserve"> </w:t>
      </w:r>
      <w:r w:rsidR="0071360A">
        <w:rPr>
          <w:bCs/>
        </w:rPr>
        <w:t>пр</w:t>
      </w:r>
      <w:r>
        <w:rPr>
          <w:bCs/>
        </w:rPr>
        <w:t>имј</w:t>
      </w:r>
      <w:r w:rsidR="00EE6AA2">
        <w:rPr>
          <w:bCs/>
        </w:rPr>
        <w:t>е</w:t>
      </w:r>
      <w:r>
        <w:rPr>
          <w:bCs/>
        </w:rPr>
        <w:t>ни</w:t>
      </w:r>
      <w:r w:rsidR="00847B04" w:rsidRPr="00F6340E">
        <w:rPr>
          <w:bCs/>
        </w:rPr>
        <w:t xml:space="preserve"> </w:t>
      </w:r>
      <w:r>
        <w:rPr>
          <w:bCs/>
        </w:rPr>
        <w:t>инфо</w:t>
      </w:r>
      <w:r w:rsidR="0071360A">
        <w:rPr>
          <w:bCs/>
        </w:rPr>
        <w:t>р</w:t>
      </w:r>
      <w:r>
        <w:rPr>
          <w:bCs/>
        </w:rPr>
        <w:t>ма</w:t>
      </w:r>
      <w:r w:rsidR="0071360A">
        <w:rPr>
          <w:bCs/>
        </w:rPr>
        <w:t>т</w:t>
      </w:r>
      <w:r>
        <w:rPr>
          <w:bCs/>
        </w:rPr>
        <w:t>ичко</w:t>
      </w:r>
      <w:r w:rsidR="00847B04" w:rsidRPr="00F6340E">
        <w:rPr>
          <w:bCs/>
        </w:rPr>
        <w:t xml:space="preserve"> – </w:t>
      </w:r>
      <w:r>
        <w:rPr>
          <w:bCs/>
        </w:rPr>
        <w:t>ком</w:t>
      </w:r>
      <w:r w:rsidR="0071360A">
        <w:rPr>
          <w:bCs/>
        </w:rPr>
        <w:t>у</w:t>
      </w:r>
      <w:r>
        <w:rPr>
          <w:bCs/>
        </w:rPr>
        <w:t>никацион</w:t>
      </w:r>
      <w:r w:rsidR="00EE6AA2">
        <w:rPr>
          <w:bCs/>
        </w:rPr>
        <w:t>е</w:t>
      </w:r>
      <w:r w:rsidR="00847B04" w:rsidRPr="00F6340E">
        <w:rPr>
          <w:bCs/>
        </w:rPr>
        <w:t xml:space="preserve"> </w:t>
      </w:r>
      <w:r w:rsidR="0071360A">
        <w:rPr>
          <w:bCs/>
        </w:rPr>
        <w:t>т</w:t>
      </w:r>
      <w:r w:rsidR="00EE6AA2">
        <w:rPr>
          <w:bCs/>
        </w:rPr>
        <w:t>е</w:t>
      </w:r>
      <w:r>
        <w:rPr>
          <w:bCs/>
        </w:rPr>
        <w:t>хнологиј</w:t>
      </w:r>
      <w:r w:rsidR="00EE6AA2">
        <w:rPr>
          <w:bCs/>
        </w:rPr>
        <w:t>е</w:t>
      </w:r>
      <w:r w:rsidR="00847B04" w:rsidRPr="00F6340E">
        <w:rPr>
          <w:bCs/>
        </w:rPr>
        <w:t xml:space="preserve">.   </w:t>
      </w:r>
    </w:p>
    <w:p w14:paraId="22182714" w14:textId="52758B01" w:rsidR="00847B04" w:rsidRPr="00D976C8" w:rsidRDefault="0071360A" w:rsidP="00D976C8">
      <w:pPr>
        <w:pStyle w:val="NormalWeb"/>
        <w:spacing w:line="276" w:lineRule="auto"/>
        <w:rPr>
          <w:rFonts w:ascii="Arial" w:hAnsi="Arial" w:cs="Arial"/>
          <w:b/>
          <w:bCs/>
          <w:color w:val="00B0F0"/>
          <w:lang w:val="sr-Cyrl-BA"/>
        </w:rPr>
      </w:pPr>
      <w:r w:rsidRPr="00D976C8">
        <w:rPr>
          <w:rFonts w:ascii="Arial" w:hAnsi="Arial" w:cs="Arial"/>
          <w:b/>
          <w:bCs/>
          <w:color w:val="00B0F0"/>
          <w:lang w:val="sr-Cyrl-BA"/>
        </w:rPr>
        <w:t>Стру</w:t>
      </w:r>
      <w:r w:rsidR="00A56E08" w:rsidRPr="00D976C8">
        <w:rPr>
          <w:rFonts w:ascii="Arial" w:hAnsi="Arial" w:cs="Arial"/>
          <w:b/>
          <w:bCs/>
          <w:color w:val="00B0F0"/>
          <w:lang w:val="sr-Cyrl-BA"/>
        </w:rPr>
        <w:t>чно</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ус</w:t>
      </w:r>
      <w:r w:rsidR="00A56E08" w:rsidRPr="00D976C8">
        <w:rPr>
          <w:rFonts w:ascii="Arial" w:hAnsi="Arial" w:cs="Arial"/>
          <w:b/>
          <w:bCs/>
          <w:color w:val="00B0F0"/>
          <w:lang w:val="sr-Cyrl-BA"/>
        </w:rPr>
        <w:t>а</w:t>
      </w:r>
      <w:r w:rsidRPr="00D976C8">
        <w:rPr>
          <w:rFonts w:ascii="Arial" w:hAnsi="Arial" w:cs="Arial"/>
          <w:b/>
          <w:bCs/>
          <w:color w:val="00B0F0"/>
          <w:lang w:val="sr-Cyrl-BA"/>
        </w:rPr>
        <w:t>врш</w:t>
      </w:r>
      <w:r w:rsidR="00A56E08" w:rsidRPr="00D976C8">
        <w:rPr>
          <w:rFonts w:ascii="Arial" w:hAnsi="Arial" w:cs="Arial"/>
          <w:b/>
          <w:bCs/>
          <w:color w:val="00B0F0"/>
          <w:lang w:val="sr-Cyrl-BA"/>
        </w:rPr>
        <w:t>а</w:t>
      </w:r>
      <w:r w:rsidRPr="00D976C8">
        <w:rPr>
          <w:rFonts w:ascii="Arial" w:hAnsi="Arial" w:cs="Arial"/>
          <w:b/>
          <w:bCs/>
          <w:color w:val="00B0F0"/>
          <w:lang w:val="sr-Cyrl-BA"/>
        </w:rPr>
        <w:t>в</w:t>
      </w:r>
      <w:r w:rsidR="00A56E08" w:rsidRPr="00D976C8">
        <w:rPr>
          <w:rFonts w:ascii="Arial" w:hAnsi="Arial" w:cs="Arial"/>
          <w:b/>
          <w:bCs/>
          <w:color w:val="00B0F0"/>
          <w:lang w:val="sr-Cyrl-BA"/>
        </w:rPr>
        <w:t>ањ</w:t>
      </w:r>
      <w:r w:rsidR="00EE6AA2" w:rsidRPr="00D976C8">
        <w:rPr>
          <w:rFonts w:ascii="Arial" w:hAnsi="Arial" w:cs="Arial"/>
          <w:b/>
          <w:bCs/>
          <w:color w:val="00B0F0"/>
          <w:lang w:val="sr-Cyrl-BA"/>
        </w:rPr>
        <w:t>е</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и</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на</w:t>
      </w:r>
      <w:r w:rsidRPr="00D976C8">
        <w:rPr>
          <w:rFonts w:ascii="Arial" w:hAnsi="Arial" w:cs="Arial"/>
          <w:b/>
          <w:bCs/>
          <w:color w:val="00B0F0"/>
          <w:lang w:val="sr-Cyrl-BA"/>
        </w:rPr>
        <w:t>пр</w:t>
      </w:r>
      <w:r w:rsidR="00EE6AA2" w:rsidRPr="00D976C8">
        <w:rPr>
          <w:rFonts w:ascii="Arial" w:hAnsi="Arial" w:cs="Arial"/>
          <w:b/>
          <w:bCs/>
          <w:color w:val="00B0F0"/>
          <w:lang w:val="sr-Cyrl-BA"/>
        </w:rPr>
        <w:t>е</w:t>
      </w:r>
      <w:r w:rsidR="00A56E08" w:rsidRPr="00D976C8">
        <w:rPr>
          <w:rFonts w:ascii="Arial" w:hAnsi="Arial" w:cs="Arial"/>
          <w:b/>
          <w:bCs/>
          <w:color w:val="00B0F0"/>
          <w:lang w:val="sr-Cyrl-BA"/>
        </w:rPr>
        <w:t>до</w:t>
      </w:r>
      <w:r w:rsidRPr="00D976C8">
        <w:rPr>
          <w:rFonts w:ascii="Arial" w:hAnsi="Arial" w:cs="Arial"/>
          <w:b/>
          <w:bCs/>
          <w:color w:val="00B0F0"/>
          <w:lang w:val="sr-Cyrl-BA"/>
        </w:rPr>
        <w:t>в</w:t>
      </w:r>
      <w:r w:rsidR="00A56E08" w:rsidRPr="00D976C8">
        <w:rPr>
          <w:rFonts w:ascii="Arial" w:hAnsi="Arial" w:cs="Arial"/>
          <w:b/>
          <w:bCs/>
          <w:color w:val="00B0F0"/>
          <w:lang w:val="sr-Cyrl-BA"/>
        </w:rPr>
        <w:t>ањ</w:t>
      </w:r>
      <w:r w:rsidR="00EE6AA2" w:rsidRPr="00D976C8">
        <w:rPr>
          <w:rFonts w:ascii="Arial" w:hAnsi="Arial" w:cs="Arial"/>
          <w:b/>
          <w:bCs/>
          <w:color w:val="00B0F0"/>
          <w:lang w:val="sr-Cyrl-BA"/>
        </w:rPr>
        <w:t>е</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на</w:t>
      </w:r>
      <w:r w:rsidRPr="00D976C8">
        <w:rPr>
          <w:rFonts w:ascii="Arial" w:hAnsi="Arial" w:cs="Arial"/>
          <w:b/>
          <w:bCs/>
          <w:color w:val="00B0F0"/>
          <w:lang w:val="sr-Cyrl-BA"/>
        </w:rPr>
        <w:t>ст</w:t>
      </w:r>
      <w:r w:rsidR="00A56E08" w:rsidRPr="00D976C8">
        <w:rPr>
          <w:rFonts w:ascii="Arial" w:hAnsi="Arial" w:cs="Arial"/>
          <w:b/>
          <w:bCs/>
          <w:color w:val="00B0F0"/>
          <w:lang w:val="sr-Cyrl-BA"/>
        </w:rPr>
        <w:t>а</w:t>
      </w:r>
      <w:r w:rsidRPr="00D976C8">
        <w:rPr>
          <w:rFonts w:ascii="Arial" w:hAnsi="Arial" w:cs="Arial"/>
          <w:b/>
          <w:bCs/>
          <w:color w:val="00B0F0"/>
          <w:lang w:val="sr-Cyrl-BA"/>
        </w:rPr>
        <w:t>в</w:t>
      </w:r>
      <w:r w:rsidR="00A56E08" w:rsidRPr="00D976C8">
        <w:rPr>
          <w:rFonts w:ascii="Arial" w:hAnsi="Arial" w:cs="Arial"/>
          <w:b/>
          <w:bCs/>
          <w:color w:val="00B0F0"/>
          <w:lang w:val="sr-Cyrl-BA"/>
        </w:rPr>
        <w:t>ника</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у</w:t>
      </w:r>
      <w:r w:rsidR="00847B04" w:rsidRPr="00D976C8">
        <w:rPr>
          <w:rFonts w:ascii="Arial" w:hAnsi="Arial" w:cs="Arial"/>
          <w:b/>
          <w:bCs/>
          <w:color w:val="00B0F0"/>
          <w:lang w:val="sr-Cyrl-BA"/>
        </w:rPr>
        <w:t xml:space="preserve"> </w:t>
      </w:r>
      <w:r w:rsidRPr="00D976C8">
        <w:rPr>
          <w:rFonts w:ascii="Arial" w:hAnsi="Arial" w:cs="Arial"/>
          <w:b/>
          <w:bCs/>
          <w:color w:val="00B0F0"/>
          <w:lang w:val="sr-Cyrl-BA"/>
        </w:rPr>
        <w:t>в</w:t>
      </w:r>
      <w:r w:rsidR="00A56E08" w:rsidRPr="00D976C8">
        <w:rPr>
          <w:rFonts w:ascii="Arial" w:hAnsi="Arial" w:cs="Arial"/>
          <w:b/>
          <w:bCs/>
          <w:color w:val="00B0F0"/>
          <w:lang w:val="sr-Cyrl-BA"/>
        </w:rPr>
        <w:t>и</w:t>
      </w:r>
      <w:r w:rsidRPr="00D976C8">
        <w:rPr>
          <w:rFonts w:ascii="Arial" w:hAnsi="Arial" w:cs="Arial"/>
          <w:b/>
          <w:bCs/>
          <w:color w:val="00B0F0"/>
          <w:lang w:val="sr-Cyrl-BA"/>
        </w:rPr>
        <w:t>с</w:t>
      </w:r>
      <w:r w:rsidR="00A56E08" w:rsidRPr="00D976C8">
        <w:rPr>
          <w:rFonts w:ascii="Arial" w:hAnsi="Arial" w:cs="Arial"/>
          <w:b/>
          <w:bCs/>
          <w:color w:val="00B0F0"/>
          <w:lang w:val="sr-Cyrl-BA"/>
        </w:rPr>
        <w:t>око</w:t>
      </w:r>
      <w:r w:rsidRPr="00D976C8">
        <w:rPr>
          <w:rFonts w:ascii="Arial" w:hAnsi="Arial" w:cs="Arial"/>
          <w:b/>
          <w:bCs/>
          <w:color w:val="00B0F0"/>
          <w:lang w:val="sr-Cyrl-BA"/>
        </w:rPr>
        <w:t>ш</w:t>
      </w:r>
      <w:r w:rsidR="00A56E08" w:rsidRPr="00D976C8">
        <w:rPr>
          <w:rFonts w:ascii="Arial" w:hAnsi="Arial" w:cs="Arial"/>
          <w:b/>
          <w:bCs/>
          <w:color w:val="00B0F0"/>
          <w:lang w:val="sr-Cyrl-BA"/>
        </w:rPr>
        <w:t>кол</w:t>
      </w:r>
      <w:r w:rsidRPr="00D976C8">
        <w:rPr>
          <w:rFonts w:ascii="Arial" w:hAnsi="Arial" w:cs="Arial"/>
          <w:b/>
          <w:bCs/>
          <w:color w:val="00B0F0"/>
          <w:lang w:val="sr-Cyrl-BA"/>
        </w:rPr>
        <w:t>с</w:t>
      </w:r>
      <w:r w:rsidR="00A56E08" w:rsidRPr="00D976C8">
        <w:rPr>
          <w:rFonts w:ascii="Arial" w:hAnsi="Arial" w:cs="Arial"/>
          <w:b/>
          <w:bCs/>
          <w:color w:val="00B0F0"/>
          <w:lang w:val="sr-Cyrl-BA"/>
        </w:rPr>
        <w:t>ком</w:t>
      </w:r>
      <w:r w:rsidR="00847B04" w:rsidRPr="00D976C8">
        <w:rPr>
          <w:rFonts w:ascii="Arial" w:hAnsi="Arial" w:cs="Arial"/>
          <w:b/>
          <w:bCs/>
          <w:color w:val="00B0F0"/>
          <w:lang w:val="sr-Cyrl-BA"/>
        </w:rPr>
        <w:t xml:space="preserve"> </w:t>
      </w:r>
      <w:r w:rsidR="00A56E08" w:rsidRPr="00D976C8">
        <w:rPr>
          <w:rFonts w:ascii="Arial" w:hAnsi="Arial" w:cs="Arial"/>
          <w:b/>
          <w:bCs/>
          <w:color w:val="00B0F0"/>
          <w:lang w:val="sr-Cyrl-BA"/>
        </w:rPr>
        <w:t>об</w:t>
      </w:r>
      <w:r w:rsidRPr="00D976C8">
        <w:rPr>
          <w:rFonts w:ascii="Arial" w:hAnsi="Arial" w:cs="Arial"/>
          <w:b/>
          <w:bCs/>
          <w:color w:val="00B0F0"/>
          <w:lang w:val="sr-Cyrl-BA"/>
        </w:rPr>
        <w:t>р</w:t>
      </w:r>
      <w:r w:rsidR="00A56E08" w:rsidRPr="00D976C8">
        <w:rPr>
          <w:rFonts w:ascii="Arial" w:hAnsi="Arial" w:cs="Arial"/>
          <w:b/>
          <w:bCs/>
          <w:color w:val="00B0F0"/>
          <w:lang w:val="sr-Cyrl-BA"/>
        </w:rPr>
        <w:t>а</w:t>
      </w:r>
      <w:r w:rsidR="00171F00" w:rsidRPr="00D976C8">
        <w:rPr>
          <w:rFonts w:ascii="Arial" w:hAnsi="Arial" w:cs="Arial"/>
          <w:b/>
          <w:bCs/>
          <w:color w:val="00B0F0"/>
          <w:lang w:val="sr-Cyrl-BA"/>
        </w:rPr>
        <w:t>з</w:t>
      </w:r>
      <w:r w:rsidR="00A56E08" w:rsidRPr="00D976C8">
        <w:rPr>
          <w:rFonts w:ascii="Arial" w:hAnsi="Arial" w:cs="Arial"/>
          <w:b/>
          <w:bCs/>
          <w:color w:val="00B0F0"/>
          <w:lang w:val="sr-Cyrl-BA"/>
        </w:rPr>
        <w:t>о</w:t>
      </w:r>
      <w:r w:rsidRPr="00D976C8">
        <w:rPr>
          <w:rFonts w:ascii="Arial" w:hAnsi="Arial" w:cs="Arial"/>
          <w:b/>
          <w:bCs/>
          <w:color w:val="00B0F0"/>
          <w:lang w:val="sr-Cyrl-BA"/>
        </w:rPr>
        <w:t>в</w:t>
      </w:r>
      <w:r w:rsidR="00A56E08" w:rsidRPr="00D976C8">
        <w:rPr>
          <w:rFonts w:ascii="Arial" w:hAnsi="Arial" w:cs="Arial"/>
          <w:b/>
          <w:bCs/>
          <w:color w:val="00B0F0"/>
          <w:lang w:val="sr-Cyrl-BA"/>
        </w:rPr>
        <w:t>ањ</w:t>
      </w:r>
      <w:r w:rsidRPr="00D976C8">
        <w:rPr>
          <w:rFonts w:ascii="Arial" w:hAnsi="Arial" w:cs="Arial"/>
          <w:b/>
          <w:bCs/>
          <w:color w:val="00B0F0"/>
          <w:lang w:val="sr-Cyrl-BA"/>
        </w:rPr>
        <w:t>у</w:t>
      </w:r>
      <w:r w:rsidR="00847B04" w:rsidRPr="00D976C8">
        <w:rPr>
          <w:rFonts w:ascii="Arial" w:hAnsi="Arial" w:cs="Arial"/>
          <w:b/>
          <w:bCs/>
          <w:color w:val="00B0F0"/>
          <w:lang w:val="sr-Cyrl-BA"/>
        </w:rPr>
        <w:t xml:space="preserve"> </w:t>
      </w:r>
    </w:p>
    <w:p w14:paraId="139FDC8C" w14:textId="3B4B60D6" w:rsidR="00847B04" w:rsidRPr="00F6340E" w:rsidRDefault="0071360A" w:rsidP="00D976C8">
      <w:pPr>
        <w:pStyle w:val="Body"/>
      </w:pPr>
      <w:r>
        <w:t>Стру</w:t>
      </w:r>
      <w:r w:rsidR="00A56E08">
        <w:t>чно</w:t>
      </w:r>
      <w:r w:rsidR="00847B04" w:rsidRPr="00F6340E">
        <w:t xml:space="preserve"> </w:t>
      </w:r>
      <w:r>
        <w:t>ус</w:t>
      </w:r>
      <w:r w:rsidR="00A56E08">
        <w:t>а</w:t>
      </w:r>
      <w:r>
        <w:t>врш</w:t>
      </w:r>
      <w:r w:rsidR="00A56E08">
        <w:t>а</w:t>
      </w:r>
      <w:r>
        <w:t>в</w:t>
      </w:r>
      <w:r w:rsidR="00A56E08">
        <w:t>ањ</w:t>
      </w:r>
      <w:r w:rsidR="00EE6AA2">
        <w:t>е</w:t>
      </w:r>
      <w:r w:rsidR="00847B04" w:rsidRPr="00F6340E">
        <w:t xml:space="preserve"> </w:t>
      </w:r>
      <w:r w:rsidR="00A56E08">
        <w:t>на</w:t>
      </w:r>
      <w:r>
        <w:t>ст</w:t>
      </w:r>
      <w:r w:rsidR="00A56E08">
        <w:t>а</w:t>
      </w:r>
      <w:r>
        <w:t>в</w:t>
      </w:r>
      <w:r w:rsidR="00A56E08">
        <w:t>ника</w:t>
      </w:r>
      <w:r w:rsidR="00847B04" w:rsidRPr="00F6340E">
        <w:t xml:space="preserve"> </w:t>
      </w:r>
      <w:r w:rsidR="00A56E08">
        <w:t>и</w:t>
      </w:r>
      <w:r w:rsidR="00847B04" w:rsidRPr="00F6340E">
        <w:t xml:space="preserve"> </w:t>
      </w:r>
      <w:r w:rsidR="00A56E08">
        <w:t>на</w:t>
      </w:r>
      <w:r>
        <w:t>пр</w:t>
      </w:r>
      <w:r w:rsidR="00EE6AA2">
        <w:t>е</w:t>
      </w:r>
      <w:r w:rsidR="00A56E08">
        <w:t>до</w:t>
      </w:r>
      <w:r>
        <w:t>в</w:t>
      </w:r>
      <w:r w:rsidR="00A56E08">
        <w:t>ањ</w:t>
      </w:r>
      <w:r w:rsidR="00EE6AA2">
        <w:t>е</w:t>
      </w:r>
      <w:r w:rsidR="00847B04" w:rsidRPr="00F6340E">
        <w:t xml:space="preserve"> </w:t>
      </w:r>
      <w:r>
        <w:t>у</w:t>
      </w:r>
      <w:r w:rsidR="00847B04" w:rsidRPr="00F6340E">
        <w:t xml:space="preserve"> </w:t>
      </w:r>
      <w:r>
        <w:t>в</w:t>
      </w:r>
      <w:r w:rsidR="00A56E08">
        <w:t>и</w:t>
      </w:r>
      <w:r>
        <w:t>с</w:t>
      </w:r>
      <w:r w:rsidR="00A56E08">
        <w:t>око</w:t>
      </w:r>
      <w:r>
        <w:t>ш</w:t>
      </w:r>
      <w:r w:rsidR="00A56E08">
        <w:t>кол</w:t>
      </w:r>
      <w:r>
        <w:t>с</w:t>
      </w:r>
      <w:r w:rsidR="00A56E08">
        <w:t>ком</w:t>
      </w:r>
      <w:r w:rsidR="00847B04" w:rsidRPr="00F6340E">
        <w:t xml:space="preserve"> </w:t>
      </w:r>
      <w:r w:rsidR="00A56E08">
        <w:t>об</w:t>
      </w:r>
      <w:r>
        <w:t>р</w:t>
      </w:r>
      <w:r w:rsidR="00A56E08">
        <w:t>а</w:t>
      </w:r>
      <w:r w:rsidR="00171F00">
        <w:t>з</w:t>
      </w:r>
      <w:r w:rsidR="00A56E08">
        <w:t>о</w:t>
      </w:r>
      <w:r>
        <w:t>в</w:t>
      </w:r>
      <w:r w:rsidR="00A56E08">
        <w:t>ањ</w:t>
      </w:r>
      <w:r>
        <w:t>у</w:t>
      </w:r>
      <w:r w:rsidR="00847B04" w:rsidRPr="00F6340E">
        <w:t xml:space="preserve"> </w:t>
      </w:r>
      <w:r>
        <w:t>сп</w:t>
      </w:r>
      <w:r w:rsidR="00EE6AA2">
        <w:t>е</w:t>
      </w:r>
      <w:r w:rsidR="00A56E08">
        <w:t>цифично</w:t>
      </w:r>
      <w:r w:rsidR="00847B04" w:rsidRPr="00F6340E">
        <w:t xml:space="preserve"> </w:t>
      </w:r>
      <w:r w:rsidR="00A56E08">
        <w:t>ј</w:t>
      </w:r>
      <w:r w:rsidR="00EE6AA2">
        <w:t>е</w:t>
      </w:r>
      <w:r w:rsidR="00847B04" w:rsidRPr="00F6340E">
        <w:t xml:space="preserve"> </w:t>
      </w:r>
      <w:r w:rsidR="00A56E08">
        <w:t>и</w:t>
      </w:r>
      <w:r w:rsidR="00847B04" w:rsidRPr="00F6340E">
        <w:t xml:space="preserve"> </w:t>
      </w:r>
      <w:r>
        <w:t>ус</w:t>
      </w:r>
      <w:r w:rsidR="00A56E08">
        <w:t>ло</w:t>
      </w:r>
      <w:r>
        <w:t>в</w:t>
      </w:r>
      <w:r w:rsidR="00A56E08">
        <w:t>љ</w:t>
      </w:r>
      <w:r w:rsidR="00EE6AA2">
        <w:t>е</w:t>
      </w:r>
      <w:r w:rsidR="00A56E08">
        <w:t>но</w:t>
      </w:r>
      <w:r w:rsidR="00847B04" w:rsidRPr="00F6340E">
        <w:t xml:space="preserve"> </w:t>
      </w:r>
      <w:r w:rsidR="00A56E08">
        <w:t>к</w:t>
      </w:r>
      <w:r>
        <w:t>р</w:t>
      </w:r>
      <w:r w:rsidR="00A56E08">
        <w:t>и</w:t>
      </w:r>
      <w:r>
        <w:t>т</w:t>
      </w:r>
      <w:r w:rsidR="00EE6AA2">
        <w:t>е</w:t>
      </w:r>
      <w:r>
        <w:t>р</w:t>
      </w:r>
      <w:r w:rsidR="00A56E08">
        <w:t>ијима</w:t>
      </w:r>
      <w:r w:rsidR="00847B04" w:rsidRPr="00F6340E">
        <w:t xml:space="preserve"> </w:t>
      </w:r>
      <w:r w:rsidR="00A56E08">
        <w:t>и</w:t>
      </w:r>
      <w:r w:rsidR="00171F00">
        <w:t>з</w:t>
      </w:r>
      <w:r w:rsidR="00A56E08">
        <w:t>бо</w:t>
      </w:r>
      <w:r>
        <w:t>р</w:t>
      </w:r>
      <w:r w:rsidR="00A56E08">
        <w:t>а</w:t>
      </w:r>
      <w:r w:rsidR="00847B04" w:rsidRPr="00F6340E">
        <w:t xml:space="preserve"> </w:t>
      </w:r>
      <w:r>
        <w:t>у</w:t>
      </w:r>
      <w:r w:rsidR="00847B04" w:rsidRPr="00F6340E">
        <w:t xml:space="preserve"> </w:t>
      </w:r>
      <w:r>
        <w:t>в</w:t>
      </w:r>
      <w:r w:rsidR="00A56E08">
        <w:t>и</w:t>
      </w:r>
      <w:r>
        <w:t>ш</w:t>
      </w:r>
      <w:r w:rsidR="00EE6AA2">
        <w:t>е</w:t>
      </w:r>
      <w:r w:rsidR="00847B04" w:rsidRPr="00F6340E">
        <w:t xml:space="preserve"> </w:t>
      </w:r>
      <w:r w:rsidR="00A56E08">
        <w:t>акад</w:t>
      </w:r>
      <w:r w:rsidR="00EE6AA2">
        <w:t>е</w:t>
      </w:r>
      <w:r w:rsidR="00A56E08">
        <w:t>м</w:t>
      </w:r>
      <w:r>
        <w:t>с</w:t>
      </w:r>
      <w:r w:rsidR="00A56E08">
        <w:t>ко</w:t>
      </w:r>
      <w:r w:rsidR="00847B04" w:rsidRPr="00F6340E">
        <w:t xml:space="preserve"> </w:t>
      </w:r>
      <w:r w:rsidR="00171F00">
        <w:t>з</w:t>
      </w:r>
      <w:r>
        <w:t>в</w:t>
      </w:r>
      <w:r w:rsidR="00A56E08">
        <w:t>ањ</w:t>
      </w:r>
      <w:r w:rsidR="00EE6AA2">
        <w:t>е</w:t>
      </w:r>
      <w:r w:rsidR="00847B04" w:rsidRPr="00F6340E">
        <w:t xml:space="preserve">. </w:t>
      </w:r>
      <w:r w:rsidR="00A56E08">
        <w:t>На</w:t>
      </w:r>
      <w:r>
        <w:t>у</w:t>
      </w:r>
      <w:r w:rsidR="00A56E08">
        <w:t>чно</w:t>
      </w:r>
      <w:r w:rsidR="00847B04" w:rsidRPr="00F6340E">
        <w:t xml:space="preserve"> – </w:t>
      </w:r>
      <w:r w:rsidR="00A56E08">
        <w:t>на</w:t>
      </w:r>
      <w:r>
        <w:t>ст</w:t>
      </w:r>
      <w:r w:rsidR="00A56E08">
        <w:t>а</w:t>
      </w:r>
      <w:r>
        <w:t>в</w:t>
      </w:r>
      <w:r w:rsidR="00A56E08">
        <w:t>на</w:t>
      </w:r>
      <w:r w:rsidR="00847B04" w:rsidRPr="00F6340E">
        <w:t xml:space="preserve"> </w:t>
      </w:r>
      <w:r w:rsidR="00171F00">
        <w:t>з</w:t>
      </w:r>
      <w:r>
        <w:t>в</w:t>
      </w:r>
      <w:r w:rsidR="00A56E08">
        <w:t>ања</w:t>
      </w:r>
      <w:r w:rsidR="00847B04" w:rsidRPr="00F6340E">
        <w:t xml:space="preserve"> </w:t>
      </w:r>
      <w:r w:rsidR="00A56E08">
        <w:t>која</w:t>
      </w:r>
      <w:r w:rsidR="00847B04" w:rsidRPr="00F6340E">
        <w:t xml:space="preserve"> </w:t>
      </w:r>
      <w:r>
        <w:t>с</w:t>
      </w:r>
      <w:r w:rsidR="00EE6AA2">
        <w:t>е</w:t>
      </w:r>
      <w:r w:rsidR="00847B04" w:rsidRPr="00F6340E">
        <w:t xml:space="preserve"> </w:t>
      </w:r>
      <w:r>
        <w:t>ст</w:t>
      </w:r>
      <w:r w:rsidR="00A56E08">
        <w:t>ј</w:t>
      </w:r>
      <w:r w:rsidR="00EE6AA2">
        <w:t>е</w:t>
      </w:r>
      <w:r w:rsidR="00A56E08">
        <w:t>ч</w:t>
      </w:r>
      <w:r>
        <w:t>у</w:t>
      </w:r>
      <w:r w:rsidR="00847B04" w:rsidRPr="00F6340E">
        <w:t xml:space="preserve"> </w:t>
      </w:r>
      <w:r w:rsidR="00A56E08">
        <w:t>на</w:t>
      </w:r>
      <w:r w:rsidR="00847B04" w:rsidRPr="00F6340E">
        <w:t xml:space="preserve"> </w:t>
      </w:r>
      <w:r>
        <w:t>в</w:t>
      </w:r>
      <w:r w:rsidR="00A56E08">
        <w:t>и</w:t>
      </w:r>
      <w:r>
        <w:t>с</w:t>
      </w:r>
      <w:r w:rsidR="00A56E08">
        <w:t>око</w:t>
      </w:r>
      <w:r>
        <w:t>ш</w:t>
      </w:r>
      <w:r w:rsidR="00A56E08">
        <w:t>кол</w:t>
      </w:r>
      <w:r>
        <w:t>с</w:t>
      </w:r>
      <w:r w:rsidR="00A56E08">
        <w:t>кој</w:t>
      </w:r>
      <w:r w:rsidR="00847B04" w:rsidRPr="00F6340E">
        <w:t xml:space="preserve"> </w:t>
      </w:r>
      <w:r w:rsidR="00A56E08">
        <w:t>ин</w:t>
      </w:r>
      <w:r>
        <w:t>ст</w:t>
      </w:r>
      <w:r w:rsidR="00A56E08">
        <w:t>и</w:t>
      </w:r>
      <w:r>
        <w:t>ту</w:t>
      </w:r>
      <w:r w:rsidR="00A56E08">
        <w:t>цији</w:t>
      </w:r>
      <w:r w:rsidR="00847B04" w:rsidRPr="00F6340E">
        <w:t xml:space="preserve"> </w:t>
      </w:r>
      <w:r>
        <w:t>су</w:t>
      </w:r>
      <w:r w:rsidR="00847B04" w:rsidRPr="00F6340E">
        <w:t xml:space="preserve"> </w:t>
      </w:r>
      <w:r w:rsidR="00A56E08">
        <w:t>а</w:t>
      </w:r>
      <w:r>
        <w:t>с</w:t>
      </w:r>
      <w:r w:rsidR="00A56E08">
        <w:t>и</w:t>
      </w:r>
      <w:r>
        <w:t>ст</w:t>
      </w:r>
      <w:r w:rsidR="00EE6AA2">
        <w:t>е</w:t>
      </w:r>
      <w:r w:rsidR="00A56E08">
        <w:t>н</w:t>
      </w:r>
      <w:r>
        <w:t>т</w:t>
      </w:r>
      <w:r w:rsidR="00847B04" w:rsidRPr="00F6340E">
        <w:t xml:space="preserve">, </w:t>
      </w:r>
      <w:r>
        <w:t>в</w:t>
      </w:r>
      <w:r w:rsidR="00A56E08">
        <w:t>и</w:t>
      </w:r>
      <w:r>
        <w:t>ш</w:t>
      </w:r>
      <w:r w:rsidR="00A56E08">
        <w:t>и</w:t>
      </w:r>
      <w:r w:rsidR="00847B04" w:rsidRPr="00F6340E">
        <w:t xml:space="preserve"> </w:t>
      </w:r>
      <w:r w:rsidR="00A56E08">
        <w:t>а</w:t>
      </w:r>
      <w:r>
        <w:t>с</w:t>
      </w:r>
      <w:r w:rsidR="00A56E08">
        <w:t>и</w:t>
      </w:r>
      <w:r>
        <w:t>ст</w:t>
      </w:r>
      <w:r w:rsidR="00EE6AA2">
        <w:t>е</w:t>
      </w:r>
      <w:r w:rsidR="00A56E08">
        <w:t>н</w:t>
      </w:r>
      <w:r>
        <w:t>т</w:t>
      </w:r>
      <w:r w:rsidR="00847B04" w:rsidRPr="00F6340E">
        <w:t xml:space="preserve">, </w:t>
      </w:r>
      <w:r w:rsidR="00A56E08">
        <w:t>доц</w:t>
      </w:r>
      <w:r w:rsidR="00EE6AA2">
        <w:t>е</w:t>
      </w:r>
      <w:r w:rsidR="00A56E08">
        <w:t>н</w:t>
      </w:r>
      <w:r>
        <w:t>т</w:t>
      </w:r>
      <w:r w:rsidR="00847B04" w:rsidRPr="00F6340E">
        <w:t xml:space="preserve">, </w:t>
      </w:r>
      <w:r>
        <w:t>в</w:t>
      </w:r>
      <w:r w:rsidR="00A56E08">
        <w:t>ан</w:t>
      </w:r>
      <w:r>
        <w:t>р</w:t>
      </w:r>
      <w:r w:rsidR="00EE6AA2">
        <w:t>е</w:t>
      </w:r>
      <w:r w:rsidR="00A56E08">
        <w:t>дни</w:t>
      </w:r>
      <w:r w:rsidR="00847B04" w:rsidRPr="00F6340E">
        <w:t xml:space="preserve"> </w:t>
      </w:r>
      <w:r>
        <w:t>пр</w:t>
      </w:r>
      <w:r w:rsidR="00A56E08">
        <w:t>оф</w:t>
      </w:r>
      <w:r w:rsidR="00EE6AA2">
        <w:t>е</w:t>
      </w:r>
      <w:r>
        <w:t>с</w:t>
      </w:r>
      <w:r w:rsidR="00A56E08">
        <w:t>о</w:t>
      </w:r>
      <w:r>
        <w:t>р</w:t>
      </w:r>
      <w:r w:rsidR="00847B04" w:rsidRPr="00F6340E">
        <w:t xml:space="preserve"> </w:t>
      </w:r>
      <w:r w:rsidR="00A56E08">
        <w:t>и</w:t>
      </w:r>
      <w:r w:rsidR="00847B04" w:rsidRPr="00F6340E">
        <w:t xml:space="preserve"> </w:t>
      </w:r>
      <w:r>
        <w:t>р</w:t>
      </w:r>
      <w:r w:rsidR="00EE6AA2">
        <w:t>е</w:t>
      </w:r>
      <w:r w:rsidR="00A56E08">
        <w:t>до</w:t>
      </w:r>
      <w:r>
        <w:t>в</w:t>
      </w:r>
      <w:r w:rsidR="00A56E08">
        <w:t>ни</w:t>
      </w:r>
      <w:r w:rsidR="00847B04" w:rsidRPr="00F6340E">
        <w:t xml:space="preserve"> </w:t>
      </w:r>
      <w:r>
        <w:t>пр</w:t>
      </w:r>
      <w:r w:rsidR="00A56E08">
        <w:t>оф</w:t>
      </w:r>
      <w:r w:rsidR="00EE6AA2">
        <w:t>е</w:t>
      </w:r>
      <w:r>
        <w:t>с</w:t>
      </w:r>
      <w:r w:rsidR="00A56E08">
        <w:t>о</w:t>
      </w:r>
      <w:r>
        <w:t>р</w:t>
      </w:r>
      <w:r w:rsidR="00847B04" w:rsidRPr="00F6340E">
        <w:t xml:space="preserve">, </w:t>
      </w:r>
      <w:r w:rsidR="00A56E08">
        <w:t>а</w:t>
      </w:r>
      <w:r w:rsidR="00847B04" w:rsidRPr="00F6340E">
        <w:t xml:space="preserve"> </w:t>
      </w:r>
      <w:r w:rsidR="00A56E08">
        <w:t>к</w:t>
      </w:r>
      <w:r>
        <w:t>р</w:t>
      </w:r>
      <w:r w:rsidR="00A56E08">
        <w:t>и</w:t>
      </w:r>
      <w:r>
        <w:t>т</w:t>
      </w:r>
      <w:r w:rsidR="00EE6AA2">
        <w:t>е</w:t>
      </w:r>
      <w:r>
        <w:t>р</w:t>
      </w:r>
      <w:r w:rsidR="00A56E08">
        <w:t>ији</w:t>
      </w:r>
      <w:r w:rsidR="00847B04" w:rsidRPr="00F6340E">
        <w:t xml:space="preserve"> </w:t>
      </w:r>
      <w:r w:rsidR="00A56E08">
        <w:t>на</w:t>
      </w:r>
      <w:r>
        <w:t>пр</w:t>
      </w:r>
      <w:r w:rsidR="00EE6AA2">
        <w:t>е</w:t>
      </w:r>
      <w:r w:rsidR="00A56E08">
        <w:t>до</w:t>
      </w:r>
      <w:r>
        <w:t>в</w:t>
      </w:r>
      <w:r w:rsidR="00A56E08">
        <w:t>ања</w:t>
      </w:r>
      <w:r w:rsidR="00847B04" w:rsidRPr="00F6340E">
        <w:t xml:space="preserve"> </w:t>
      </w:r>
      <w:r>
        <w:t>су</w:t>
      </w:r>
      <w:r w:rsidR="00847B04" w:rsidRPr="00F6340E">
        <w:t xml:space="preserve"> </w:t>
      </w:r>
      <w:r>
        <w:t>прв</w:t>
      </w:r>
      <w:r w:rsidR="00EE6AA2">
        <w:t>е</w:t>
      </w:r>
      <w:r w:rsidR="00A56E08">
        <w:t>н</w:t>
      </w:r>
      <w:r>
        <w:t>ств</w:t>
      </w:r>
      <w:r w:rsidR="00EE6AA2">
        <w:t>е</w:t>
      </w:r>
      <w:r w:rsidR="00A56E08">
        <w:t>но</w:t>
      </w:r>
      <w:r w:rsidR="00847B04" w:rsidRPr="00F6340E">
        <w:t xml:space="preserve"> </w:t>
      </w:r>
      <w:r>
        <w:t>в</w:t>
      </w:r>
      <w:r w:rsidR="00EE6AA2">
        <w:t>е</w:t>
      </w:r>
      <w:r w:rsidR="00171F00">
        <w:t>з</w:t>
      </w:r>
      <w:r w:rsidR="00A56E08">
        <w:t>ани</w:t>
      </w:r>
      <w:r w:rsidR="00847B04" w:rsidRPr="00F6340E">
        <w:t xml:space="preserve"> </w:t>
      </w:r>
      <w:r w:rsidR="00171F00">
        <w:t>з</w:t>
      </w:r>
      <w:r w:rsidR="00A56E08">
        <w:t>а</w:t>
      </w:r>
      <w:r w:rsidR="00847B04" w:rsidRPr="00F6340E">
        <w:t xml:space="preserve"> </w:t>
      </w:r>
      <w:r>
        <w:t>п</w:t>
      </w:r>
      <w:r w:rsidR="00A56E08">
        <w:t>о</w:t>
      </w:r>
      <w:r>
        <w:t>ст</w:t>
      </w:r>
      <w:r w:rsidR="00A56E08">
        <w:t>игн</w:t>
      </w:r>
      <w:r>
        <w:t>у</w:t>
      </w:r>
      <w:r w:rsidR="00A56E08">
        <w:t>ћа</w:t>
      </w:r>
      <w:r w:rsidR="00847B04" w:rsidRPr="00F6340E">
        <w:t xml:space="preserve"> </w:t>
      </w:r>
      <w:r>
        <w:t>у</w:t>
      </w:r>
      <w:r w:rsidR="00847B04" w:rsidRPr="00F6340E">
        <w:t xml:space="preserve"> </w:t>
      </w:r>
      <w:r w:rsidR="00A56E08">
        <w:t>на</w:t>
      </w:r>
      <w:r>
        <w:t>у</w:t>
      </w:r>
      <w:r w:rsidR="00A56E08">
        <w:t>чно</w:t>
      </w:r>
      <w:r w:rsidR="00847B04" w:rsidRPr="00F6340E">
        <w:t xml:space="preserve"> – </w:t>
      </w:r>
      <w:r w:rsidR="00A56E08">
        <w:t>и</w:t>
      </w:r>
      <w:r>
        <w:t>стр</w:t>
      </w:r>
      <w:r w:rsidR="00A56E08">
        <w:t>а</w:t>
      </w:r>
      <w:r w:rsidR="00171F00">
        <w:t>ж</w:t>
      </w:r>
      <w:r w:rsidR="00A56E08">
        <w:t>и</w:t>
      </w:r>
      <w:r>
        <w:t>в</w:t>
      </w:r>
      <w:r w:rsidR="00A56E08">
        <w:t>ачкој</w:t>
      </w:r>
      <w:r w:rsidR="00847B04" w:rsidRPr="00F6340E">
        <w:t xml:space="preserve"> </w:t>
      </w:r>
      <w:r>
        <w:t>с</w:t>
      </w:r>
      <w:r w:rsidR="00A56E08">
        <w:t>ф</w:t>
      </w:r>
      <w:r w:rsidR="00EE6AA2">
        <w:t>е</w:t>
      </w:r>
      <w:r>
        <w:t>р</w:t>
      </w:r>
      <w:r w:rsidR="00A56E08">
        <w:t>и</w:t>
      </w:r>
      <w:r w:rsidR="00847B04" w:rsidRPr="00F6340E">
        <w:t xml:space="preserve"> </w:t>
      </w:r>
      <w:r w:rsidR="00A56E08">
        <w:t>док</w:t>
      </w:r>
      <w:r w:rsidR="00847B04" w:rsidRPr="00F6340E">
        <w:t xml:space="preserve"> </w:t>
      </w:r>
      <w:r>
        <w:t>с</w:t>
      </w:r>
      <w:r w:rsidR="00EE6AA2">
        <w:t>е</w:t>
      </w:r>
      <w:r w:rsidR="00847B04" w:rsidRPr="00F6340E">
        <w:t xml:space="preserve"> </w:t>
      </w:r>
      <w:r>
        <w:t>вр</w:t>
      </w:r>
      <w:r w:rsidR="00EE6AA2">
        <w:t>е</w:t>
      </w:r>
      <w:r w:rsidR="00A56E08">
        <w:t>дно</w:t>
      </w:r>
      <w:r>
        <w:t>в</w:t>
      </w:r>
      <w:r w:rsidR="00A56E08">
        <w:t>ањ</w:t>
      </w:r>
      <w:r w:rsidR="00EE6AA2">
        <w:t>е</w:t>
      </w:r>
      <w:r w:rsidR="00847B04" w:rsidRPr="00F6340E">
        <w:t xml:space="preserve"> </w:t>
      </w:r>
      <w:r w:rsidR="00A56E08">
        <w:t>на</w:t>
      </w:r>
      <w:r>
        <w:t>ст</w:t>
      </w:r>
      <w:r w:rsidR="00A56E08">
        <w:t>а</w:t>
      </w:r>
      <w:r>
        <w:t>в</w:t>
      </w:r>
      <w:r w:rsidR="00A56E08">
        <w:t>ног</w:t>
      </w:r>
      <w:r w:rsidR="00847B04" w:rsidRPr="00F6340E">
        <w:t xml:space="preserve"> </w:t>
      </w:r>
      <w:r>
        <w:t>р</w:t>
      </w:r>
      <w:r w:rsidR="00A56E08">
        <w:t>ада</w:t>
      </w:r>
      <w:r w:rsidR="00847B04" w:rsidRPr="00F6340E">
        <w:t xml:space="preserve"> </w:t>
      </w:r>
      <w:r w:rsidR="00A56E08">
        <w:t>одно</w:t>
      </w:r>
      <w:r>
        <w:t>с</w:t>
      </w:r>
      <w:r w:rsidR="00A56E08">
        <w:t>но</w:t>
      </w:r>
      <w:r w:rsidR="00847B04" w:rsidRPr="00F6340E">
        <w:t xml:space="preserve"> </w:t>
      </w:r>
      <w:r>
        <w:t>усп</w:t>
      </w:r>
      <w:r w:rsidR="00A56E08">
        <w:t>ј</w:t>
      </w:r>
      <w:r w:rsidR="00EE6AA2">
        <w:t>е</w:t>
      </w:r>
      <w:r>
        <w:t>ш</w:t>
      </w:r>
      <w:r w:rsidR="00A56E08">
        <w:t>но</w:t>
      </w:r>
      <w:r>
        <w:t>ст</w:t>
      </w:r>
      <w:r w:rsidR="00847B04" w:rsidRPr="00F6340E">
        <w:t xml:space="preserve"> </w:t>
      </w:r>
      <w:r>
        <w:t>р</w:t>
      </w:r>
      <w:r w:rsidR="00EE6AA2">
        <w:t>е</w:t>
      </w:r>
      <w:r w:rsidR="00A56E08">
        <w:t>али</w:t>
      </w:r>
      <w:r w:rsidR="00171F00">
        <w:t>з</w:t>
      </w:r>
      <w:r w:rsidR="00A56E08">
        <w:t>ациј</w:t>
      </w:r>
      <w:r w:rsidR="00EE6AA2">
        <w:t>е</w:t>
      </w:r>
      <w:r w:rsidR="00847B04" w:rsidRPr="00F6340E">
        <w:t xml:space="preserve"> </w:t>
      </w:r>
      <w:r w:rsidR="00A56E08">
        <w:t>на</w:t>
      </w:r>
      <w:r>
        <w:t>ст</w:t>
      </w:r>
      <w:r w:rsidR="00A56E08">
        <w:t>а</w:t>
      </w:r>
      <w:r>
        <w:t>в</w:t>
      </w:r>
      <w:r w:rsidR="00A56E08">
        <w:t>них</w:t>
      </w:r>
      <w:r w:rsidR="00847B04" w:rsidRPr="00F6340E">
        <w:t xml:space="preserve"> </w:t>
      </w:r>
      <w:r>
        <w:t>п</w:t>
      </w:r>
      <w:r w:rsidR="00A56E08">
        <w:t>лано</w:t>
      </w:r>
      <w:r>
        <w:t>в</w:t>
      </w:r>
      <w:r w:rsidR="00A56E08">
        <w:t>а</w:t>
      </w:r>
      <w:r w:rsidR="00847B04" w:rsidRPr="00F6340E">
        <w:t xml:space="preserve"> </w:t>
      </w:r>
      <w:r w:rsidR="00A56E08">
        <w:t>и</w:t>
      </w:r>
      <w:r w:rsidR="00847B04" w:rsidRPr="00F6340E">
        <w:t xml:space="preserve"> </w:t>
      </w:r>
      <w:r>
        <w:t>пр</w:t>
      </w:r>
      <w:r w:rsidR="00A56E08">
        <w:t>ог</w:t>
      </w:r>
      <w:r>
        <w:t>р</w:t>
      </w:r>
      <w:r w:rsidR="00A56E08">
        <w:t>ама</w:t>
      </w:r>
      <w:r w:rsidR="00847B04" w:rsidRPr="00F6340E">
        <w:t xml:space="preserve"> </w:t>
      </w:r>
      <w:r>
        <w:t>пр</w:t>
      </w:r>
      <w:r w:rsidR="00A56E08">
        <w:t>о</w:t>
      </w:r>
      <w:r>
        <w:t>в</w:t>
      </w:r>
      <w:r w:rsidR="00A56E08">
        <w:t>оди</w:t>
      </w:r>
      <w:r w:rsidR="00847B04" w:rsidRPr="00F6340E">
        <w:t xml:space="preserve"> </w:t>
      </w:r>
      <w:r w:rsidR="00A56E08">
        <w:t>од</w:t>
      </w:r>
      <w:r w:rsidR="00847B04" w:rsidRPr="00F6340E">
        <w:t xml:space="preserve"> </w:t>
      </w:r>
      <w:r>
        <w:t>стр</w:t>
      </w:r>
      <w:r w:rsidR="00A56E08">
        <w:t>ан</w:t>
      </w:r>
      <w:r w:rsidR="00EE6AA2">
        <w:t>е</w:t>
      </w:r>
      <w:r w:rsidR="00847B04" w:rsidRPr="00F6340E">
        <w:t xml:space="preserve"> </w:t>
      </w:r>
      <w:r>
        <w:t>в</w:t>
      </w:r>
      <w:r w:rsidR="00A56E08">
        <w:t>и</w:t>
      </w:r>
      <w:r>
        <w:t>с</w:t>
      </w:r>
      <w:r w:rsidR="00A56E08">
        <w:t>око</w:t>
      </w:r>
      <w:r>
        <w:t>ш</w:t>
      </w:r>
      <w:r w:rsidR="00A56E08">
        <w:t>кол</w:t>
      </w:r>
      <w:r>
        <w:t>с</w:t>
      </w:r>
      <w:r w:rsidR="00A56E08">
        <w:t>к</w:t>
      </w:r>
      <w:r w:rsidR="00EE6AA2">
        <w:t>е</w:t>
      </w:r>
      <w:r w:rsidR="00847B04" w:rsidRPr="00F6340E">
        <w:t xml:space="preserve"> </w:t>
      </w:r>
      <w:r w:rsidR="00A56E08">
        <w:t>ин</w:t>
      </w:r>
      <w:r>
        <w:t>ст</w:t>
      </w:r>
      <w:r w:rsidR="00A56E08">
        <w:t>и</w:t>
      </w:r>
      <w:r>
        <w:t>ту</w:t>
      </w:r>
      <w:r w:rsidR="00A56E08">
        <w:t>циј</w:t>
      </w:r>
      <w:r w:rsidR="00EE6AA2">
        <w:t>е</w:t>
      </w:r>
      <w:r w:rsidR="00847B04" w:rsidRPr="00F6340E">
        <w:t>/</w:t>
      </w:r>
      <w:r w:rsidR="00A56E08">
        <w:t>о</w:t>
      </w:r>
      <w:r>
        <w:t>р</w:t>
      </w:r>
      <w:r w:rsidR="00A56E08">
        <w:t>гани</w:t>
      </w:r>
      <w:r w:rsidR="00171F00">
        <w:t>з</w:t>
      </w:r>
      <w:r w:rsidR="00A56E08">
        <w:t>ацион</w:t>
      </w:r>
      <w:r w:rsidR="00EE6AA2">
        <w:t>е</w:t>
      </w:r>
      <w:r w:rsidR="00847B04" w:rsidRPr="00F6340E">
        <w:t xml:space="preserve"> </w:t>
      </w:r>
      <w:r w:rsidR="00A56E08">
        <w:t>ј</w:t>
      </w:r>
      <w:r w:rsidR="00EE6AA2">
        <w:t>е</w:t>
      </w:r>
      <w:r w:rsidR="00A56E08">
        <w:t>диниц</w:t>
      </w:r>
      <w:r w:rsidR="00EE6AA2">
        <w:t>е</w:t>
      </w:r>
      <w:r w:rsidR="00847B04" w:rsidRPr="00F6340E">
        <w:t xml:space="preserve"> </w:t>
      </w:r>
      <w:r w:rsidR="00A56E08">
        <w:t>након</w:t>
      </w:r>
      <w:r w:rsidR="00847B04" w:rsidRPr="00F6340E">
        <w:t xml:space="preserve"> </w:t>
      </w:r>
      <w:r w:rsidR="00171F00">
        <w:t>з</w:t>
      </w:r>
      <w:r w:rsidR="00A56E08">
        <w:t>а</w:t>
      </w:r>
      <w:r>
        <w:t>врш</w:t>
      </w:r>
      <w:r w:rsidR="00EE6AA2">
        <w:t>е</w:t>
      </w:r>
      <w:r>
        <w:t>т</w:t>
      </w:r>
      <w:r w:rsidR="00A56E08">
        <w:t>ка</w:t>
      </w:r>
      <w:r w:rsidR="00847B04" w:rsidRPr="00F6340E">
        <w:t xml:space="preserve"> </w:t>
      </w:r>
      <w:r>
        <w:t>св</w:t>
      </w:r>
      <w:r w:rsidR="00A56E08">
        <w:t>ак</w:t>
      </w:r>
      <w:r w:rsidR="00EE6AA2">
        <w:t>е</w:t>
      </w:r>
      <w:r w:rsidR="00847B04" w:rsidRPr="00F6340E">
        <w:t xml:space="preserve"> </w:t>
      </w:r>
      <w:r>
        <w:t>сту</w:t>
      </w:r>
      <w:r w:rsidR="00A56E08">
        <w:t>диј</w:t>
      </w:r>
      <w:r>
        <w:t>с</w:t>
      </w:r>
      <w:r w:rsidR="00A56E08">
        <w:t>к</w:t>
      </w:r>
      <w:r w:rsidR="00EE6AA2">
        <w:t>е</w:t>
      </w:r>
      <w:r w:rsidR="00847B04" w:rsidRPr="00F6340E">
        <w:t xml:space="preserve"> </w:t>
      </w:r>
      <w:r w:rsidR="00A56E08">
        <w:t>годин</w:t>
      </w:r>
      <w:r w:rsidR="00EE6AA2">
        <w:t>е</w:t>
      </w:r>
      <w:r w:rsidR="00847B04" w:rsidRPr="00F6340E">
        <w:t xml:space="preserve">, </w:t>
      </w:r>
      <w:r w:rsidR="00A56E08">
        <w:t>а</w:t>
      </w:r>
      <w:r w:rsidR="00847B04" w:rsidRPr="00F6340E">
        <w:t xml:space="preserve"> </w:t>
      </w:r>
      <w:r>
        <w:t>шт</w:t>
      </w:r>
      <w:r w:rsidR="00A56E08">
        <w:t>о</w:t>
      </w:r>
      <w:r w:rsidR="00847B04" w:rsidRPr="00F6340E">
        <w:t xml:space="preserve"> </w:t>
      </w:r>
      <w:r>
        <w:t>с</w:t>
      </w:r>
      <w:r w:rsidR="00EE6AA2">
        <w:t>е</w:t>
      </w:r>
      <w:r w:rsidR="00847B04" w:rsidRPr="00F6340E">
        <w:t xml:space="preserve"> </w:t>
      </w:r>
      <w:r>
        <w:t>пр</w:t>
      </w:r>
      <w:r w:rsidR="00EE6AA2">
        <w:t>е</w:t>
      </w:r>
      <w:r w:rsidR="00A56E08">
        <w:t>ци</w:t>
      </w:r>
      <w:r w:rsidR="00171F00">
        <w:t>з</w:t>
      </w:r>
      <w:r w:rsidR="00A56E08">
        <w:t>ниј</w:t>
      </w:r>
      <w:r w:rsidR="00EE6AA2">
        <w:t>е</w:t>
      </w:r>
      <w:r w:rsidR="00847B04" w:rsidRPr="00F6340E">
        <w:t xml:space="preserve"> </w:t>
      </w:r>
      <w:r>
        <w:t>ур</w:t>
      </w:r>
      <w:r w:rsidR="00EE6AA2">
        <w:t>е</w:t>
      </w:r>
      <w:r w:rsidR="00A56E08">
        <w:t>ђ</w:t>
      </w:r>
      <w:r>
        <w:t>у</w:t>
      </w:r>
      <w:r w:rsidR="00A56E08">
        <w:t>ј</w:t>
      </w:r>
      <w:r w:rsidR="00EE6AA2">
        <w:t>е</w:t>
      </w:r>
      <w:r w:rsidR="00847B04" w:rsidRPr="00F6340E">
        <w:t xml:space="preserve"> </w:t>
      </w:r>
      <w:r>
        <w:t>ст</w:t>
      </w:r>
      <w:r w:rsidR="00A56E08">
        <w:t>а</w:t>
      </w:r>
      <w:r>
        <w:t>тут</w:t>
      </w:r>
      <w:r w:rsidR="00A56E08">
        <w:t>ом</w:t>
      </w:r>
      <w:r w:rsidR="00847B04" w:rsidRPr="00F6340E">
        <w:t xml:space="preserve">. </w:t>
      </w:r>
      <w:r>
        <w:t>В</w:t>
      </w:r>
      <w:r w:rsidR="00A56E08">
        <w:t>и</w:t>
      </w:r>
      <w:r>
        <w:t>с</w:t>
      </w:r>
      <w:r w:rsidR="00A56E08">
        <w:t>око</w:t>
      </w:r>
      <w:r>
        <w:t>ш</w:t>
      </w:r>
      <w:r w:rsidR="00A56E08">
        <w:t>кол</w:t>
      </w:r>
      <w:r>
        <w:t>с</w:t>
      </w:r>
      <w:r w:rsidR="00A56E08">
        <w:t>ка</w:t>
      </w:r>
      <w:r w:rsidR="00847B04" w:rsidRPr="00F6340E">
        <w:t xml:space="preserve"> </w:t>
      </w:r>
      <w:r w:rsidR="00A56E08">
        <w:t>ин</w:t>
      </w:r>
      <w:r>
        <w:t>ст</w:t>
      </w:r>
      <w:r w:rsidR="00A56E08">
        <w:t>и</w:t>
      </w:r>
      <w:r>
        <w:t>ту</w:t>
      </w:r>
      <w:r w:rsidR="00A56E08">
        <w:t>ција</w:t>
      </w:r>
      <w:r w:rsidR="00847B04" w:rsidRPr="00F6340E">
        <w:t>/</w:t>
      </w:r>
      <w:r w:rsidR="00A56E08">
        <w:t>о</w:t>
      </w:r>
      <w:r>
        <w:t>р</w:t>
      </w:r>
      <w:r w:rsidR="00A56E08">
        <w:t>гани</w:t>
      </w:r>
      <w:r w:rsidR="00171F00">
        <w:t>з</w:t>
      </w:r>
      <w:r w:rsidR="00A56E08">
        <w:t>ациона</w:t>
      </w:r>
      <w:r w:rsidR="00847B04" w:rsidRPr="00F6340E">
        <w:t xml:space="preserve"> </w:t>
      </w:r>
      <w:r w:rsidR="00A56E08">
        <w:t>ј</w:t>
      </w:r>
      <w:r w:rsidR="00EE6AA2">
        <w:t>е</w:t>
      </w:r>
      <w:r w:rsidR="00A56E08">
        <w:t>диница</w:t>
      </w:r>
      <w:r w:rsidR="00847B04" w:rsidRPr="00F6340E">
        <w:t xml:space="preserve"> </w:t>
      </w:r>
      <w:r w:rsidR="00A56E08">
        <w:t>има</w:t>
      </w:r>
      <w:r w:rsidR="004D0F21" w:rsidRPr="00F6340E">
        <w:t xml:space="preserve"> </w:t>
      </w:r>
      <w:r w:rsidR="00A56E08">
        <w:t>оба</w:t>
      </w:r>
      <w:r>
        <w:t>в</w:t>
      </w:r>
      <w:r w:rsidR="00EE6AA2">
        <w:t>е</w:t>
      </w:r>
      <w:r w:rsidR="00171F00">
        <w:t>з</w:t>
      </w:r>
      <w:r>
        <w:t>у</w:t>
      </w:r>
      <w:r w:rsidR="004D0F21" w:rsidRPr="00F6340E">
        <w:t xml:space="preserve"> </w:t>
      </w:r>
      <w:r>
        <w:t>пр</w:t>
      </w:r>
      <w:r w:rsidR="00A56E08">
        <w:t>о</w:t>
      </w:r>
      <w:r>
        <w:t>в</w:t>
      </w:r>
      <w:r w:rsidR="00A56E08">
        <w:t>оди</w:t>
      </w:r>
      <w:r>
        <w:t>т</w:t>
      </w:r>
      <w:r w:rsidR="00A56E08">
        <w:t>и</w:t>
      </w:r>
      <w:r w:rsidR="00847B04" w:rsidRPr="00F6340E">
        <w:t xml:space="preserve"> </w:t>
      </w:r>
      <w:r>
        <w:t>вр</w:t>
      </w:r>
      <w:r w:rsidR="00EE6AA2">
        <w:t>е</w:t>
      </w:r>
      <w:r w:rsidR="00A56E08">
        <w:t>дно</w:t>
      </w:r>
      <w:r>
        <w:t>в</w:t>
      </w:r>
      <w:r w:rsidR="00A56E08">
        <w:t>ања</w:t>
      </w:r>
      <w:r w:rsidR="00847B04" w:rsidRPr="00F6340E">
        <w:t xml:space="preserve"> </w:t>
      </w:r>
      <w:r>
        <w:t>р</w:t>
      </w:r>
      <w:r w:rsidR="00A56E08">
        <w:t>ада</w:t>
      </w:r>
      <w:r w:rsidR="00847B04" w:rsidRPr="00F6340E">
        <w:t xml:space="preserve"> </w:t>
      </w:r>
      <w:r w:rsidR="00A56E08">
        <w:t>акад</w:t>
      </w:r>
      <w:r w:rsidR="00EE6AA2">
        <w:t>е</w:t>
      </w:r>
      <w:r w:rsidR="00A56E08">
        <w:t>м</w:t>
      </w:r>
      <w:r>
        <w:t>с</w:t>
      </w:r>
      <w:r w:rsidR="00A56E08">
        <w:t>ког</w:t>
      </w:r>
      <w:r w:rsidR="00847B04" w:rsidRPr="00F6340E">
        <w:t xml:space="preserve"> </w:t>
      </w:r>
      <w:r w:rsidR="00A56E08">
        <w:t>о</w:t>
      </w:r>
      <w:r>
        <w:t>с</w:t>
      </w:r>
      <w:r w:rsidR="00A56E08">
        <w:t>обља</w:t>
      </w:r>
      <w:r w:rsidR="00847B04" w:rsidRPr="00F6340E">
        <w:t xml:space="preserve"> </w:t>
      </w:r>
      <w:r w:rsidR="00A56E08">
        <w:t>и</w:t>
      </w:r>
      <w:r w:rsidR="00847B04" w:rsidRPr="00F6340E">
        <w:t xml:space="preserve"> </w:t>
      </w:r>
      <w:r w:rsidR="00A56E08">
        <w:lastRenderedPageBreak/>
        <w:t>од</w:t>
      </w:r>
      <w:r w:rsidR="00847B04" w:rsidRPr="00F6340E">
        <w:t xml:space="preserve"> </w:t>
      </w:r>
      <w:r>
        <w:t>стр</w:t>
      </w:r>
      <w:r w:rsidR="00A56E08">
        <w:t>ан</w:t>
      </w:r>
      <w:r w:rsidR="00EE6AA2">
        <w:t>е</w:t>
      </w:r>
      <w:r w:rsidR="00847B04" w:rsidRPr="00F6340E">
        <w:t xml:space="preserve"> </w:t>
      </w:r>
      <w:r>
        <w:t>сту</w:t>
      </w:r>
      <w:r w:rsidR="00A56E08">
        <w:t>д</w:t>
      </w:r>
      <w:r w:rsidR="00EE6AA2">
        <w:t>е</w:t>
      </w:r>
      <w:r w:rsidR="00A56E08">
        <w:t>на</w:t>
      </w:r>
      <w:r>
        <w:t>т</w:t>
      </w:r>
      <w:r w:rsidR="00A56E08">
        <w:t>а</w:t>
      </w:r>
      <w:r w:rsidR="00847B04" w:rsidRPr="00F6340E">
        <w:t xml:space="preserve"> </w:t>
      </w:r>
      <w:r w:rsidR="00A56E08">
        <w:t>након</w:t>
      </w:r>
      <w:r w:rsidR="00847B04" w:rsidRPr="00F6340E">
        <w:t xml:space="preserve"> </w:t>
      </w:r>
      <w:r>
        <w:t>св</w:t>
      </w:r>
      <w:r w:rsidR="00A56E08">
        <w:t>аког</w:t>
      </w:r>
      <w:r w:rsidR="00847B04" w:rsidRPr="00F6340E">
        <w:t xml:space="preserve"> </w:t>
      </w:r>
      <w:r>
        <w:t>с</w:t>
      </w:r>
      <w:r w:rsidR="00EE6AA2">
        <w:t>е</w:t>
      </w:r>
      <w:r w:rsidR="00A56E08">
        <w:t>м</w:t>
      </w:r>
      <w:r w:rsidR="00EE6AA2">
        <w:t>е</w:t>
      </w:r>
      <w:r>
        <w:t>стр</w:t>
      </w:r>
      <w:r w:rsidR="00A56E08">
        <w:t>а</w:t>
      </w:r>
      <w:r w:rsidR="00847B04" w:rsidRPr="00F6340E">
        <w:t xml:space="preserve">, </w:t>
      </w:r>
      <w:r w:rsidR="00A56E08">
        <w:t>а</w:t>
      </w:r>
      <w:r w:rsidR="00847B04" w:rsidRPr="00F6340E">
        <w:t xml:space="preserve"> </w:t>
      </w:r>
      <w:r>
        <w:t>пр</w:t>
      </w:r>
      <w:r w:rsidR="00A56E08">
        <w:t>иј</w:t>
      </w:r>
      <w:r w:rsidR="00EE6AA2">
        <w:t>е</w:t>
      </w:r>
      <w:r w:rsidR="00847B04" w:rsidRPr="00F6340E">
        <w:t xml:space="preserve"> </w:t>
      </w:r>
      <w:r>
        <w:t>пр</w:t>
      </w:r>
      <w:r w:rsidR="00A56E08">
        <w:t>о</w:t>
      </w:r>
      <w:r>
        <w:t>в</w:t>
      </w:r>
      <w:r w:rsidR="00A56E08">
        <w:t>ођ</w:t>
      </w:r>
      <w:r w:rsidR="00EE6AA2">
        <w:t>е</w:t>
      </w:r>
      <w:r w:rsidR="00A56E08">
        <w:t>ња</w:t>
      </w:r>
      <w:r w:rsidR="00847B04" w:rsidRPr="00F6340E">
        <w:t xml:space="preserve"> </w:t>
      </w:r>
      <w:r w:rsidR="00171F00">
        <w:t>з</w:t>
      </w:r>
      <w:r w:rsidR="00A56E08">
        <w:t>а</w:t>
      </w:r>
      <w:r>
        <w:t>врш</w:t>
      </w:r>
      <w:r w:rsidR="00A56E08">
        <w:t>них</w:t>
      </w:r>
      <w:r w:rsidR="00847B04" w:rsidRPr="00F6340E">
        <w:t xml:space="preserve"> </w:t>
      </w:r>
      <w:r w:rsidR="00A56E08">
        <w:t>и</w:t>
      </w:r>
      <w:r>
        <w:t>сп</w:t>
      </w:r>
      <w:r w:rsidR="00A56E08">
        <w:t>и</w:t>
      </w:r>
      <w:r>
        <w:t>т</w:t>
      </w:r>
      <w:r w:rsidR="00A56E08">
        <w:t>а</w:t>
      </w:r>
      <w:r w:rsidR="00847B04" w:rsidRPr="00F6340E">
        <w:t xml:space="preserve">. </w:t>
      </w:r>
      <w:r w:rsidR="00A56E08">
        <w:t>М</w:t>
      </w:r>
      <w:r w:rsidR="00EE6AA2">
        <w:t>е</w:t>
      </w:r>
      <w:r w:rsidR="00A56E08">
        <w:t>ђ</w:t>
      </w:r>
      <w:r>
        <w:t>ут</w:t>
      </w:r>
      <w:r w:rsidR="00A56E08">
        <w:t>им</w:t>
      </w:r>
      <w:r w:rsidR="00847B04" w:rsidRPr="00F6340E">
        <w:t xml:space="preserve">, </w:t>
      </w:r>
      <w:r w:rsidR="00A56E08">
        <w:t>када</w:t>
      </w:r>
      <w:r w:rsidR="00847B04" w:rsidRPr="00F6340E">
        <w:t xml:space="preserve"> </w:t>
      </w:r>
      <w:r w:rsidR="00A56E08">
        <w:t>ј</w:t>
      </w:r>
      <w:r w:rsidR="00EE6AA2">
        <w:t>е</w:t>
      </w:r>
      <w:r w:rsidR="00847B04" w:rsidRPr="00F6340E">
        <w:t xml:space="preserve"> </w:t>
      </w:r>
      <w:r>
        <w:t>р</w:t>
      </w:r>
      <w:r w:rsidR="00A56E08">
        <w:t>иј</w:t>
      </w:r>
      <w:r w:rsidR="00EE6AA2">
        <w:t>е</w:t>
      </w:r>
      <w:r w:rsidR="00A56E08">
        <w:t>ч</w:t>
      </w:r>
      <w:r w:rsidR="00847B04" w:rsidRPr="00F6340E">
        <w:t xml:space="preserve"> </w:t>
      </w:r>
      <w:r w:rsidR="00A56E08">
        <w:t>о</w:t>
      </w:r>
      <w:r w:rsidR="00847B04" w:rsidRPr="00F6340E">
        <w:t xml:space="preserve"> </w:t>
      </w:r>
      <w:r w:rsidR="00A56E08">
        <w:t>на</w:t>
      </w:r>
      <w:r>
        <w:t>пр</w:t>
      </w:r>
      <w:r w:rsidR="00EE6AA2">
        <w:t>е</w:t>
      </w:r>
      <w:r w:rsidR="00A56E08">
        <w:t>до</w:t>
      </w:r>
      <w:r>
        <w:t>в</w:t>
      </w:r>
      <w:r w:rsidR="00A56E08">
        <w:t>ањ</w:t>
      </w:r>
      <w:r>
        <w:t>у</w:t>
      </w:r>
      <w:r w:rsidR="00847B04" w:rsidRPr="00F6340E">
        <w:t xml:space="preserve"> </w:t>
      </w:r>
      <w:r w:rsidR="00A56E08">
        <w:t>на</w:t>
      </w:r>
      <w:r>
        <w:t>ст</w:t>
      </w:r>
      <w:r w:rsidR="00A56E08">
        <w:t>а</w:t>
      </w:r>
      <w:r>
        <w:t>в</w:t>
      </w:r>
      <w:r w:rsidR="00A56E08">
        <w:t>ника</w:t>
      </w:r>
      <w:r w:rsidR="00847B04" w:rsidRPr="00F6340E">
        <w:t xml:space="preserve"> </w:t>
      </w:r>
      <w:r w:rsidR="00A56E08">
        <w:t>на</w:t>
      </w:r>
      <w:r w:rsidR="00847B04" w:rsidRPr="00F6340E">
        <w:t xml:space="preserve"> </w:t>
      </w:r>
      <w:r>
        <w:t>в</w:t>
      </w:r>
      <w:r w:rsidR="00A56E08">
        <w:t>и</w:t>
      </w:r>
      <w:r>
        <w:t>с</w:t>
      </w:r>
      <w:r w:rsidR="00A56E08">
        <w:t>око</w:t>
      </w:r>
      <w:r>
        <w:t>ш</w:t>
      </w:r>
      <w:r w:rsidR="00A56E08">
        <w:t>кол</w:t>
      </w:r>
      <w:r>
        <w:t>с</w:t>
      </w:r>
      <w:r w:rsidR="00A56E08">
        <w:t>кој</w:t>
      </w:r>
      <w:r w:rsidR="00847B04" w:rsidRPr="00F6340E">
        <w:t xml:space="preserve"> </w:t>
      </w:r>
      <w:r w:rsidR="00A56E08">
        <w:t>ин</w:t>
      </w:r>
      <w:r>
        <w:t>ст</w:t>
      </w:r>
      <w:r w:rsidR="00A56E08">
        <w:t>и</w:t>
      </w:r>
      <w:r>
        <w:t>ту</w:t>
      </w:r>
      <w:r w:rsidR="00A56E08">
        <w:t>цији</w:t>
      </w:r>
      <w:r w:rsidR="00847B04" w:rsidRPr="00F6340E">
        <w:t xml:space="preserve"> </w:t>
      </w:r>
      <w:r>
        <w:t>вр</w:t>
      </w:r>
      <w:r w:rsidR="00EE6AA2">
        <w:t>е</w:t>
      </w:r>
      <w:r w:rsidR="00A56E08">
        <w:t>дно</w:t>
      </w:r>
      <w:r>
        <w:t>в</w:t>
      </w:r>
      <w:r w:rsidR="00A56E08">
        <w:t>ањ</w:t>
      </w:r>
      <w:r w:rsidR="00EE6AA2">
        <w:t>е</w:t>
      </w:r>
      <w:r w:rsidR="00847B04" w:rsidRPr="00F6340E">
        <w:t xml:space="preserve"> </w:t>
      </w:r>
      <w:r w:rsidR="00A56E08">
        <w:t>на</w:t>
      </w:r>
      <w:r>
        <w:t>ст</w:t>
      </w:r>
      <w:r w:rsidR="00A56E08">
        <w:t>а</w:t>
      </w:r>
      <w:r>
        <w:t>в</w:t>
      </w:r>
      <w:r w:rsidR="00A56E08">
        <w:t>ног</w:t>
      </w:r>
      <w:r w:rsidR="00847B04" w:rsidRPr="00F6340E">
        <w:t xml:space="preserve"> </w:t>
      </w:r>
      <w:r>
        <w:t>р</w:t>
      </w:r>
      <w:r w:rsidR="00A56E08">
        <w:t>ада</w:t>
      </w:r>
      <w:r w:rsidR="00847B04" w:rsidRPr="00F6340E">
        <w:t xml:space="preserve"> </w:t>
      </w:r>
      <w:r w:rsidR="00A56E08">
        <w:t>ј</w:t>
      </w:r>
      <w:r w:rsidR="00EE6AA2">
        <w:t>е</w:t>
      </w:r>
      <w:r w:rsidR="00847B04" w:rsidRPr="00F6340E">
        <w:t xml:space="preserve"> </w:t>
      </w:r>
      <w:r>
        <w:t>с</w:t>
      </w:r>
      <w:r w:rsidR="00EE6AA2">
        <w:t>е</w:t>
      </w:r>
      <w:r w:rsidR="00A56E08">
        <w:t>к</w:t>
      </w:r>
      <w:r>
        <w:t>у</w:t>
      </w:r>
      <w:r w:rsidR="00A56E08">
        <w:t>нда</w:t>
      </w:r>
      <w:r>
        <w:t>р</w:t>
      </w:r>
      <w:r w:rsidR="00A56E08">
        <w:t>но</w:t>
      </w:r>
      <w:r w:rsidR="00847B04" w:rsidRPr="00F6340E">
        <w:t xml:space="preserve"> </w:t>
      </w:r>
      <w:r>
        <w:t>у</w:t>
      </w:r>
      <w:r w:rsidR="00847B04" w:rsidRPr="00F6340E">
        <w:t xml:space="preserve"> </w:t>
      </w:r>
      <w:r w:rsidR="00A56E08">
        <w:t>одно</w:t>
      </w:r>
      <w:r>
        <w:t>су</w:t>
      </w:r>
      <w:r w:rsidR="00847B04" w:rsidRPr="00F6340E">
        <w:t xml:space="preserve"> </w:t>
      </w:r>
      <w:r w:rsidR="00A56E08">
        <w:t>на</w:t>
      </w:r>
      <w:r w:rsidR="00847B04" w:rsidRPr="00F6340E">
        <w:t xml:space="preserve"> </w:t>
      </w:r>
      <w:r w:rsidR="00A56E08">
        <w:t>на</w:t>
      </w:r>
      <w:r>
        <w:t>у</w:t>
      </w:r>
      <w:r w:rsidR="00A56E08">
        <w:t>чно</w:t>
      </w:r>
      <w:r w:rsidR="00847B04" w:rsidRPr="00F6340E">
        <w:t xml:space="preserve"> – </w:t>
      </w:r>
      <w:r w:rsidR="00A56E08">
        <w:t>и</w:t>
      </w:r>
      <w:r>
        <w:t>стр</w:t>
      </w:r>
      <w:r w:rsidR="00A56E08">
        <w:t>а</w:t>
      </w:r>
      <w:r w:rsidR="00171F00">
        <w:t>ж</w:t>
      </w:r>
      <w:r w:rsidR="00A56E08">
        <w:t>и</w:t>
      </w:r>
      <w:r>
        <w:t>в</w:t>
      </w:r>
      <w:r w:rsidR="00A56E08">
        <w:t>ачки</w:t>
      </w:r>
      <w:r w:rsidR="00847B04" w:rsidRPr="00F6340E">
        <w:t xml:space="preserve"> </w:t>
      </w:r>
      <w:r>
        <w:t>р</w:t>
      </w:r>
      <w:r w:rsidR="00A56E08">
        <w:t>ад</w:t>
      </w:r>
      <w:r w:rsidR="00847B04" w:rsidRPr="00F6340E">
        <w:t xml:space="preserve"> </w:t>
      </w:r>
      <w:r>
        <w:t>п</w:t>
      </w:r>
      <w:r w:rsidR="00A56E08">
        <w:t>а</w:t>
      </w:r>
      <w:r w:rsidR="00B04FA8">
        <w:t xml:space="preserve"> са </w:t>
      </w:r>
      <w:r>
        <w:t>т</w:t>
      </w:r>
      <w:r w:rsidR="00A56E08">
        <w:t>им</w:t>
      </w:r>
      <w:r w:rsidR="00847B04" w:rsidRPr="00F6340E">
        <w:t xml:space="preserve"> </w:t>
      </w:r>
      <w:r>
        <w:t>у</w:t>
      </w:r>
      <w:r w:rsidR="00847B04" w:rsidRPr="00F6340E">
        <w:t xml:space="preserve"> </w:t>
      </w:r>
      <w:r>
        <w:t>в</w:t>
      </w:r>
      <w:r w:rsidR="00EE6AA2">
        <w:t>е</w:t>
      </w:r>
      <w:r w:rsidR="00171F00">
        <w:t>з</w:t>
      </w:r>
      <w:r w:rsidR="00A56E08">
        <w:t>и</w:t>
      </w:r>
      <w:r w:rsidR="00847B04" w:rsidRPr="00F6340E">
        <w:t xml:space="preserve"> </w:t>
      </w:r>
      <w:r w:rsidR="00A56E08">
        <w:t>и</w:t>
      </w:r>
      <w:r w:rsidR="00847B04" w:rsidRPr="00F6340E">
        <w:t xml:space="preserve"> </w:t>
      </w:r>
      <w:r>
        <w:t>п</w:t>
      </w:r>
      <w:r w:rsidR="00EE6AA2">
        <w:t>е</w:t>
      </w:r>
      <w:r w:rsidR="00A56E08">
        <w:t>даго</w:t>
      </w:r>
      <w:r>
        <w:t>ш</w:t>
      </w:r>
      <w:r w:rsidR="00A56E08">
        <w:t>ко</w:t>
      </w:r>
      <w:r w:rsidR="00847B04" w:rsidRPr="00F6340E">
        <w:t xml:space="preserve"> – </w:t>
      </w:r>
      <w:r>
        <w:t>пс</w:t>
      </w:r>
      <w:r w:rsidR="00A56E08">
        <w:t>ихоло</w:t>
      </w:r>
      <w:r>
        <w:t>ш</w:t>
      </w:r>
      <w:r w:rsidR="00A56E08">
        <w:t>к</w:t>
      </w:r>
      <w:r w:rsidR="00EE6AA2">
        <w:t>е</w:t>
      </w:r>
      <w:r w:rsidR="00847B04" w:rsidRPr="00F6340E">
        <w:t xml:space="preserve"> </w:t>
      </w:r>
      <w:r w:rsidR="00A56E08">
        <w:t>и</w:t>
      </w:r>
      <w:r w:rsidR="00847B04" w:rsidRPr="00F6340E">
        <w:t xml:space="preserve"> </w:t>
      </w:r>
      <w:r w:rsidR="00A56E08">
        <w:t>дидак</w:t>
      </w:r>
      <w:r>
        <w:t>т</w:t>
      </w:r>
      <w:r w:rsidR="00A56E08">
        <w:t>ичко</w:t>
      </w:r>
      <w:r w:rsidR="00847B04" w:rsidRPr="00F6340E">
        <w:t xml:space="preserve"> – </w:t>
      </w:r>
      <w:r w:rsidR="00A56E08">
        <w:t>м</w:t>
      </w:r>
      <w:r w:rsidR="00EE6AA2">
        <w:t>е</w:t>
      </w:r>
      <w:r>
        <w:t>т</w:t>
      </w:r>
      <w:r w:rsidR="00A56E08">
        <w:t>одичк</w:t>
      </w:r>
      <w:r w:rsidR="00EE6AA2">
        <w:t>е</w:t>
      </w:r>
      <w:r w:rsidR="00847B04" w:rsidRPr="00F6340E">
        <w:t xml:space="preserve"> </w:t>
      </w:r>
      <w:r w:rsidR="00A56E08">
        <w:t>ком</w:t>
      </w:r>
      <w:r>
        <w:t>п</w:t>
      </w:r>
      <w:r w:rsidR="00EE6AA2">
        <w:t>е</w:t>
      </w:r>
      <w:r>
        <w:t>т</w:t>
      </w:r>
      <w:r w:rsidR="00EE6AA2">
        <w:t>е</w:t>
      </w:r>
      <w:r w:rsidR="00A56E08">
        <w:t>нциј</w:t>
      </w:r>
      <w:r w:rsidR="00EE6AA2">
        <w:t>е</w:t>
      </w:r>
      <w:r w:rsidR="00847B04" w:rsidRPr="00F6340E">
        <w:t xml:space="preserve">. </w:t>
      </w:r>
    </w:p>
    <w:p w14:paraId="76DC95C3" w14:textId="1D538806" w:rsidR="00847B04" w:rsidRPr="00F6340E" w:rsidRDefault="00A56E08" w:rsidP="00D976C8">
      <w:pPr>
        <w:pStyle w:val="Body"/>
        <w:rPr>
          <w:bCs/>
        </w:rPr>
      </w:pPr>
      <w:r>
        <w:t>Када</w:t>
      </w:r>
      <w:r w:rsidR="00847B04" w:rsidRPr="00F6340E">
        <w:t xml:space="preserve"> </w:t>
      </w:r>
      <w:r>
        <w:t>ј</w:t>
      </w:r>
      <w:r w:rsidR="00EE6AA2">
        <w:t>е</w:t>
      </w:r>
      <w:r w:rsidR="00847B04" w:rsidRPr="00F6340E">
        <w:t xml:space="preserve"> </w:t>
      </w:r>
      <w:r w:rsidR="0071360A">
        <w:t>р</w:t>
      </w:r>
      <w:r>
        <w:t>иј</w:t>
      </w:r>
      <w:r w:rsidR="00EE6AA2">
        <w:t>е</w:t>
      </w:r>
      <w:r>
        <w:t>ч</w:t>
      </w:r>
      <w:r w:rsidR="00847B04" w:rsidRPr="00F6340E">
        <w:t xml:space="preserve"> </w:t>
      </w:r>
      <w:r>
        <w:t>о</w:t>
      </w:r>
      <w:r w:rsidR="00847B04" w:rsidRPr="00F6340E">
        <w:t xml:space="preserve"> </w:t>
      </w:r>
      <w:r w:rsidR="0071360A">
        <w:t>п</w:t>
      </w:r>
      <w:r w:rsidR="00EE6AA2">
        <w:t>е</w:t>
      </w:r>
      <w:r>
        <w:t>даго</w:t>
      </w:r>
      <w:r w:rsidR="0071360A">
        <w:t>ш</w:t>
      </w:r>
      <w:r>
        <w:t>ким</w:t>
      </w:r>
      <w:r w:rsidR="00847B04" w:rsidRPr="00F6340E">
        <w:t xml:space="preserve"> </w:t>
      </w:r>
      <w:r>
        <w:t>и</w:t>
      </w:r>
      <w:r w:rsidR="00847B04" w:rsidRPr="00F6340E">
        <w:t xml:space="preserve"> </w:t>
      </w:r>
      <w:r>
        <w:t>диги</w:t>
      </w:r>
      <w:r w:rsidR="0071360A">
        <w:t>т</w:t>
      </w:r>
      <w:r>
        <w:t>алним</w:t>
      </w:r>
      <w:r w:rsidR="00847B04" w:rsidRPr="00F6340E">
        <w:t xml:space="preserve"> </w:t>
      </w:r>
      <w:r>
        <w:t>ком</w:t>
      </w:r>
      <w:r w:rsidR="0071360A">
        <w:t>п</w:t>
      </w:r>
      <w:r w:rsidR="00EE6AA2">
        <w:t>е</w:t>
      </w:r>
      <w:r w:rsidR="0071360A">
        <w:t>т</w:t>
      </w:r>
      <w:r w:rsidR="00EE6AA2">
        <w:t>е</w:t>
      </w:r>
      <w:r>
        <w:t>нцијама</w:t>
      </w:r>
      <w:r w:rsidR="00847B04" w:rsidRPr="00F6340E">
        <w:t xml:space="preserve"> </w:t>
      </w:r>
      <w:r>
        <w:t>на</w:t>
      </w:r>
      <w:r w:rsidR="0071360A">
        <w:t>ст</w:t>
      </w:r>
      <w:r>
        <w:t>а</w:t>
      </w:r>
      <w:r w:rsidR="0071360A">
        <w:t>в</w:t>
      </w:r>
      <w:r>
        <w:t>ника</w:t>
      </w:r>
      <w:r w:rsidR="00847B04" w:rsidRPr="00F6340E">
        <w:t xml:space="preserve"> </w:t>
      </w:r>
      <w:r>
        <w:t>на</w:t>
      </w:r>
      <w:r w:rsidR="00847B04" w:rsidRPr="00F6340E">
        <w:t xml:space="preserve"> </w:t>
      </w:r>
      <w:r w:rsidR="0071360A">
        <w:t>в</w:t>
      </w:r>
      <w:r>
        <w:t>и</w:t>
      </w:r>
      <w:r w:rsidR="0071360A">
        <w:t>с</w:t>
      </w:r>
      <w:r>
        <w:t>око</w:t>
      </w:r>
      <w:r w:rsidR="0071360A">
        <w:t>ш</w:t>
      </w:r>
      <w:r>
        <w:t>кол</w:t>
      </w:r>
      <w:r w:rsidR="0071360A">
        <w:t>с</w:t>
      </w:r>
      <w:r>
        <w:t>ким</w:t>
      </w:r>
      <w:r w:rsidR="00847B04" w:rsidRPr="00F6340E">
        <w:t xml:space="preserve"> </w:t>
      </w:r>
      <w:r>
        <w:t>ин</w:t>
      </w:r>
      <w:r w:rsidR="0071360A">
        <w:t>ст</w:t>
      </w:r>
      <w:r>
        <w:t>и</w:t>
      </w:r>
      <w:r w:rsidR="0071360A">
        <w:t>ту</w:t>
      </w:r>
      <w:r>
        <w:t>цијама</w:t>
      </w:r>
      <w:r w:rsidR="00847B04" w:rsidRPr="00F6340E">
        <w:t xml:space="preserve"> </w:t>
      </w:r>
      <w:r>
        <w:t>и</w:t>
      </w:r>
      <w:r w:rsidR="00847B04" w:rsidRPr="00F6340E">
        <w:t xml:space="preserve"> </w:t>
      </w:r>
      <w:r>
        <w:t>њихо</w:t>
      </w:r>
      <w:r w:rsidR="0071360A">
        <w:t>в</w:t>
      </w:r>
      <w:r>
        <w:t>им</w:t>
      </w:r>
      <w:r w:rsidR="00847B04" w:rsidRPr="00F6340E">
        <w:t xml:space="preserve"> </w:t>
      </w:r>
      <w:r w:rsidR="0071360A">
        <w:t>п</w:t>
      </w:r>
      <w:r>
        <w:t>о</w:t>
      </w:r>
      <w:r w:rsidR="0071360A">
        <w:t>тр</w:t>
      </w:r>
      <w:r w:rsidR="00EE6AA2">
        <w:t>е</w:t>
      </w:r>
      <w:r>
        <w:t>бама</w:t>
      </w:r>
      <w:r w:rsidR="00847B04" w:rsidRPr="00F6340E">
        <w:t xml:space="preserve"> </w:t>
      </w:r>
      <w:r w:rsidR="00171F00">
        <w:t>з</w:t>
      </w:r>
      <w:r>
        <w:t>а</w:t>
      </w:r>
      <w:r w:rsidR="00847B04" w:rsidRPr="00F6340E">
        <w:t xml:space="preserve"> </w:t>
      </w:r>
      <w:r>
        <w:t>дода</w:t>
      </w:r>
      <w:r w:rsidR="0071360A">
        <w:t>т</w:t>
      </w:r>
      <w:r>
        <w:t>ним</w:t>
      </w:r>
      <w:r w:rsidR="00847B04" w:rsidRPr="00F6340E">
        <w:t xml:space="preserve"> </w:t>
      </w:r>
      <w:r>
        <w:t>о</w:t>
      </w:r>
      <w:r w:rsidR="0071360A">
        <w:t>сп</w:t>
      </w:r>
      <w:r>
        <w:t>о</w:t>
      </w:r>
      <w:r w:rsidR="0071360A">
        <w:t>с</w:t>
      </w:r>
      <w:r>
        <w:t>обља</w:t>
      </w:r>
      <w:r w:rsidR="0071360A">
        <w:t>в</w:t>
      </w:r>
      <w:r>
        <w:t>ањ</w:t>
      </w:r>
      <w:r w:rsidR="00EE6AA2">
        <w:t>е</w:t>
      </w:r>
      <w:r>
        <w:t>м</w:t>
      </w:r>
      <w:r w:rsidR="00847B04" w:rsidRPr="00F6340E">
        <w:t xml:space="preserve"> </w:t>
      </w:r>
      <w:r>
        <w:t>ја</w:t>
      </w:r>
      <w:r w:rsidR="0071360A">
        <w:t>с</w:t>
      </w:r>
      <w:r>
        <w:t>ниј</w:t>
      </w:r>
      <w:r w:rsidR="0071360A">
        <w:t>у</w:t>
      </w:r>
      <w:r w:rsidR="00847B04" w:rsidRPr="00F6340E">
        <w:t xml:space="preserve"> </w:t>
      </w:r>
      <w:r w:rsidR="0071360A">
        <w:t>с</w:t>
      </w:r>
      <w:r>
        <w:t>лик</w:t>
      </w:r>
      <w:r w:rsidR="0071360A">
        <w:t>у</w:t>
      </w:r>
      <w:r w:rsidR="00847B04" w:rsidRPr="00F6340E">
        <w:t xml:space="preserve"> </w:t>
      </w:r>
      <w:r>
        <w:t>дај</w:t>
      </w:r>
      <w:r w:rsidR="00EE6AA2">
        <w:t>е</w:t>
      </w:r>
      <w:r w:rsidR="00847B04" w:rsidRPr="00F6340E">
        <w:t xml:space="preserve"> </w:t>
      </w:r>
      <w:r w:rsidR="0071360A">
        <w:rPr>
          <w:bCs/>
        </w:rPr>
        <w:t>Пр</w:t>
      </w:r>
      <w:r w:rsidR="00EE6AA2">
        <w:rPr>
          <w:bCs/>
        </w:rPr>
        <w:t>е</w:t>
      </w:r>
      <w:r>
        <w:rPr>
          <w:bCs/>
        </w:rPr>
        <w:t>гл</w:t>
      </w:r>
      <w:r w:rsidR="00EE6AA2">
        <w:rPr>
          <w:bCs/>
        </w:rPr>
        <w:t>е</w:t>
      </w:r>
      <w:r>
        <w:rPr>
          <w:bCs/>
        </w:rPr>
        <w:t>дна</w:t>
      </w:r>
      <w:r w:rsidR="00847B04" w:rsidRPr="00F6340E">
        <w:rPr>
          <w:bCs/>
        </w:rPr>
        <w:t xml:space="preserve"> </w:t>
      </w:r>
      <w:r w:rsidR="0071360A">
        <w:rPr>
          <w:bCs/>
        </w:rPr>
        <w:t>сту</w:t>
      </w:r>
      <w:r>
        <w:rPr>
          <w:bCs/>
        </w:rPr>
        <w:t>дија</w:t>
      </w:r>
      <w:r w:rsidR="00847B04" w:rsidRPr="00F6340E">
        <w:rPr>
          <w:bCs/>
        </w:rPr>
        <w:t xml:space="preserve"> </w:t>
      </w:r>
      <w:r>
        <w:rPr>
          <w:bCs/>
        </w:rPr>
        <w:t>о</w:t>
      </w:r>
      <w:r w:rsidR="00847B04" w:rsidRPr="00F6340E">
        <w:rPr>
          <w:bCs/>
        </w:rPr>
        <w:t xml:space="preserve"> </w:t>
      </w:r>
      <w:r w:rsidR="0071360A">
        <w:rPr>
          <w:bCs/>
        </w:rPr>
        <w:t>п</w:t>
      </w:r>
      <w:r>
        <w:rPr>
          <w:bCs/>
        </w:rPr>
        <w:t>о</w:t>
      </w:r>
      <w:r w:rsidR="0071360A">
        <w:rPr>
          <w:bCs/>
        </w:rPr>
        <w:t>тр</w:t>
      </w:r>
      <w:r w:rsidR="00EE6AA2">
        <w:rPr>
          <w:bCs/>
        </w:rPr>
        <w:t>е</w:t>
      </w:r>
      <w:r>
        <w:rPr>
          <w:bCs/>
        </w:rPr>
        <w:t>бама</w:t>
      </w:r>
      <w:r w:rsidR="00847B04" w:rsidRPr="00F6340E">
        <w:rPr>
          <w:bCs/>
        </w:rPr>
        <w:t xml:space="preserve"> </w:t>
      </w:r>
      <w:r w:rsidR="0071360A">
        <w:rPr>
          <w:bCs/>
        </w:rPr>
        <w:t>пр</w:t>
      </w:r>
      <w:r w:rsidR="00EE6AA2">
        <w:rPr>
          <w:bCs/>
        </w:rPr>
        <w:t>е</w:t>
      </w:r>
      <w:r>
        <w:rPr>
          <w:bCs/>
        </w:rPr>
        <w:t>да</w:t>
      </w:r>
      <w:r w:rsidR="0071360A">
        <w:rPr>
          <w:bCs/>
        </w:rPr>
        <w:t>в</w:t>
      </w:r>
      <w:r>
        <w:rPr>
          <w:bCs/>
        </w:rPr>
        <w:t>ача</w:t>
      </w:r>
      <w:r w:rsidR="00847B04" w:rsidRPr="00F6340E">
        <w:rPr>
          <w:bCs/>
        </w:rPr>
        <w:t xml:space="preserve"> </w:t>
      </w:r>
      <w:r w:rsidR="00171F00">
        <w:rPr>
          <w:bCs/>
        </w:rPr>
        <w:t>з</w:t>
      </w:r>
      <w:r>
        <w:rPr>
          <w:bCs/>
        </w:rPr>
        <w:t>а</w:t>
      </w:r>
      <w:r w:rsidR="00847B04" w:rsidRPr="00F6340E">
        <w:rPr>
          <w:bCs/>
        </w:rPr>
        <w:t xml:space="preserve"> </w:t>
      </w:r>
      <w:r w:rsidR="0071360A">
        <w:rPr>
          <w:bCs/>
        </w:rPr>
        <w:t>пр</w:t>
      </w:r>
      <w:r>
        <w:rPr>
          <w:bCs/>
        </w:rPr>
        <w:t>о</w:t>
      </w:r>
      <w:r w:rsidR="0071360A">
        <w:rPr>
          <w:bCs/>
        </w:rPr>
        <w:t>в</w:t>
      </w:r>
      <w:r>
        <w:rPr>
          <w:bCs/>
        </w:rPr>
        <w:t>ођ</w:t>
      </w:r>
      <w:r w:rsidR="00EE6AA2">
        <w:rPr>
          <w:bCs/>
        </w:rPr>
        <w:t>е</w:t>
      </w:r>
      <w:r>
        <w:rPr>
          <w:bCs/>
        </w:rPr>
        <w:t>њ</w:t>
      </w:r>
      <w:r w:rsidR="00EE6AA2">
        <w:rPr>
          <w:bCs/>
        </w:rPr>
        <w:t>е</w:t>
      </w:r>
      <w:r w:rsidR="00847B04" w:rsidRPr="00F6340E">
        <w:rPr>
          <w:bCs/>
        </w:rPr>
        <w:t xml:space="preserve"> </w:t>
      </w:r>
      <w:r>
        <w:rPr>
          <w:bCs/>
        </w:rPr>
        <w:t>на</w:t>
      </w:r>
      <w:r w:rsidR="0071360A">
        <w:rPr>
          <w:bCs/>
        </w:rPr>
        <w:t>ст</w:t>
      </w:r>
      <w:r>
        <w:rPr>
          <w:bCs/>
        </w:rPr>
        <w:t>а</w:t>
      </w:r>
      <w:r w:rsidR="0071360A">
        <w:rPr>
          <w:bCs/>
        </w:rPr>
        <w:t>в</w:t>
      </w:r>
      <w:r w:rsidR="00EE6AA2">
        <w:rPr>
          <w:bCs/>
        </w:rPr>
        <w:t>е</w:t>
      </w:r>
      <w:r w:rsidR="00847B04" w:rsidRPr="00F6340E">
        <w:rPr>
          <w:bCs/>
        </w:rPr>
        <w:t xml:space="preserve"> </w:t>
      </w:r>
      <w:r>
        <w:rPr>
          <w:bCs/>
        </w:rPr>
        <w:t>на</w:t>
      </w:r>
      <w:r w:rsidR="00847B04" w:rsidRPr="00F6340E">
        <w:rPr>
          <w:bCs/>
        </w:rPr>
        <w:t xml:space="preserve"> </w:t>
      </w:r>
      <w:r>
        <w:rPr>
          <w:bCs/>
        </w:rPr>
        <w:t>даљин</w:t>
      </w:r>
      <w:r w:rsidR="0071360A">
        <w:rPr>
          <w:bCs/>
        </w:rPr>
        <w:t>у</w:t>
      </w:r>
      <w:r w:rsidR="00847B04" w:rsidRPr="00F6340E">
        <w:rPr>
          <w:bCs/>
        </w:rPr>
        <w:t xml:space="preserve"> </w:t>
      </w:r>
      <w:r w:rsidR="0071360A">
        <w:rPr>
          <w:bCs/>
        </w:rPr>
        <w:t>у</w:t>
      </w:r>
      <w:r w:rsidR="00847B04" w:rsidRPr="00F6340E">
        <w:rPr>
          <w:bCs/>
        </w:rPr>
        <w:t xml:space="preserve"> </w:t>
      </w:r>
      <w:r w:rsidR="0071360A">
        <w:rPr>
          <w:bCs/>
        </w:rPr>
        <w:t>в</w:t>
      </w:r>
      <w:r>
        <w:rPr>
          <w:bCs/>
        </w:rPr>
        <w:t>и</w:t>
      </w:r>
      <w:r w:rsidR="0071360A">
        <w:rPr>
          <w:bCs/>
        </w:rPr>
        <w:t>с</w:t>
      </w:r>
      <w:r>
        <w:rPr>
          <w:bCs/>
        </w:rPr>
        <w:t>оком</w:t>
      </w:r>
      <w:r w:rsidR="00847B04" w:rsidRPr="00F6340E">
        <w:rPr>
          <w:bCs/>
        </w:rPr>
        <w:t xml:space="preserve"> </w:t>
      </w:r>
      <w:r>
        <w:rPr>
          <w:bCs/>
        </w:rPr>
        <w:t>об</w:t>
      </w:r>
      <w:r w:rsidR="0071360A">
        <w:rPr>
          <w:bCs/>
        </w:rPr>
        <w:t>р</w:t>
      </w:r>
      <w:r>
        <w:rPr>
          <w:bCs/>
        </w:rPr>
        <w:t>а</w:t>
      </w:r>
      <w:r w:rsidR="00171F00">
        <w:rPr>
          <w:bCs/>
        </w:rPr>
        <w:t>з</w:t>
      </w:r>
      <w:r>
        <w:rPr>
          <w:bCs/>
        </w:rPr>
        <w:t>о</w:t>
      </w:r>
      <w:r w:rsidR="0071360A">
        <w:rPr>
          <w:bCs/>
        </w:rPr>
        <w:t>в</w:t>
      </w:r>
      <w:r>
        <w:rPr>
          <w:bCs/>
        </w:rPr>
        <w:t>ањ</w:t>
      </w:r>
      <w:r w:rsidR="0071360A">
        <w:rPr>
          <w:bCs/>
        </w:rPr>
        <w:t>у</w:t>
      </w:r>
      <w:r w:rsidR="00847B04" w:rsidRPr="00F6340E">
        <w:rPr>
          <w:bCs/>
        </w:rPr>
        <w:t xml:space="preserve"> </w:t>
      </w:r>
      <w:r w:rsidR="0071360A">
        <w:rPr>
          <w:bCs/>
        </w:rPr>
        <w:t>у</w:t>
      </w:r>
      <w:r w:rsidR="00847B04" w:rsidRPr="00F6340E">
        <w:rPr>
          <w:bCs/>
        </w:rPr>
        <w:t xml:space="preserve"> </w:t>
      </w:r>
      <w:r>
        <w:rPr>
          <w:bCs/>
        </w:rPr>
        <w:t>Бо</w:t>
      </w:r>
      <w:r w:rsidR="0071360A">
        <w:rPr>
          <w:bCs/>
        </w:rPr>
        <w:t>с</w:t>
      </w:r>
      <w:r>
        <w:rPr>
          <w:bCs/>
        </w:rPr>
        <w:t>ни</w:t>
      </w:r>
      <w:r w:rsidR="00847B04" w:rsidRPr="00F6340E">
        <w:rPr>
          <w:bCs/>
        </w:rPr>
        <w:t xml:space="preserve"> </w:t>
      </w:r>
      <w:r>
        <w:rPr>
          <w:bCs/>
        </w:rPr>
        <w:t>и</w:t>
      </w:r>
      <w:r w:rsidR="00847B04" w:rsidRPr="00F6340E">
        <w:rPr>
          <w:bCs/>
        </w:rPr>
        <w:t xml:space="preserve"> </w:t>
      </w:r>
      <w:r>
        <w:rPr>
          <w:bCs/>
        </w:rPr>
        <w:t>Х</w:t>
      </w:r>
      <w:r w:rsidR="00EE6AA2">
        <w:rPr>
          <w:bCs/>
        </w:rPr>
        <w:t>е</w:t>
      </w:r>
      <w:r w:rsidR="0071360A">
        <w:rPr>
          <w:bCs/>
        </w:rPr>
        <w:t>р</w:t>
      </w:r>
      <w:r>
        <w:rPr>
          <w:bCs/>
        </w:rPr>
        <w:t>ц</w:t>
      </w:r>
      <w:r w:rsidR="00EE6AA2">
        <w:rPr>
          <w:bCs/>
        </w:rPr>
        <w:t>е</w:t>
      </w:r>
      <w:r>
        <w:rPr>
          <w:bCs/>
        </w:rPr>
        <w:t>го</w:t>
      </w:r>
      <w:r w:rsidR="0071360A">
        <w:rPr>
          <w:bCs/>
        </w:rPr>
        <w:t>в</w:t>
      </w:r>
      <w:r>
        <w:rPr>
          <w:bCs/>
        </w:rPr>
        <w:t>ини</w:t>
      </w:r>
      <w:r w:rsidR="00847B04" w:rsidRPr="00F6340E">
        <w:rPr>
          <w:bCs/>
        </w:rPr>
        <w:t xml:space="preserve"> </w:t>
      </w:r>
      <w:r w:rsidR="0071360A">
        <w:rPr>
          <w:bCs/>
        </w:rPr>
        <w:t>т</w:t>
      </w:r>
      <w:r>
        <w:rPr>
          <w:bCs/>
        </w:rPr>
        <w:t>оком</w:t>
      </w:r>
      <w:r w:rsidR="00847B04" w:rsidRPr="00F6340E">
        <w:rPr>
          <w:bCs/>
        </w:rPr>
        <w:t xml:space="preserve"> </w:t>
      </w:r>
      <w:r>
        <w:rPr>
          <w:bCs/>
        </w:rPr>
        <w:t>ЦО</w:t>
      </w:r>
      <w:r w:rsidR="0071360A">
        <w:rPr>
          <w:bCs/>
        </w:rPr>
        <w:t>В</w:t>
      </w:r>
      <w:r>
        <w:rPr>
          <w:bCs/>
        </w:rPr>
        <w:t>ИД</w:t>
      </w:r>
      <w:r w:rsidR="00847B04" w:rsidRPr="00F6340E">
        <w:rPr>
          <w:bCs/>
        </w:rPr>
        <w:t xml:space="preserve">-19 </w:t>
      </w:r>
      <w:r w:rsidR="0071360A">
        <w:rPr>
          <w:bCs/>
        </w:rPr>
        <w:t>п</w:t>
      </w:r>
      <w:r>
        <w:rPr>
          <w:bCs/>
        </w:rPr>
        <w:t>анд</w:t>
      </w:r>
      <w:r w:rsidR="00EE6AA2">
        <w:rPr>
          <w:bCs/>
        </w:rPr>
        <w:t>е</w:t>
      </w:r>
      <w:r>
        <w:rPr>
          <w:bCs/>
        </w:rPr>
        <w:t>миј</w:t>
      </w:r>
      <w:r w:rsidR="00EE6AA2">
        <w:rPr>
          <w:bCs/>
        </w:rPr>
        <w:t>е</w:t>
      </w:r>
      <w:r w:rsidR="00847B04" w:rsidRPr="00F6340E">
        <w:rPr>
          <w:bCs/>
        </w:rPr>
        <w:t xml:space="preserve"> (</w:t>
      </w:r>
      <w:r w:rsidR="0071360A">
        <w:rPr>
          <w:bCs/>
        </w:rPr>
        <w:t>У</w:t>
      </w:r>
      <w:r>
        <w:rPr>
          <w:bCs/>
        </w:rPr>
        <w:t>Н</w:t>
      </w:r>
      <w:r w:rsidR="00EE6AA2">
        <w:rPr>
          <w:bCs/>
        </w:rPr>
        <w:t>Е</w:t>
      </w:r>
      <w:r w:rsidR="0071360A">
        <w:rPr>
          <w:bCs/>
        </w:rPr>
        <w:t>С</w:t>
      </w:r>
      <w:r>
        <w:rPr>
          <w:bCs/>
        </w:rPr>
        <w:t>ЦО</w:t>
      </w:r>
      <w:r w:rsidR="00847B04" w:rsidRPr="00F6340E">
        <w:rPr>
          <w:bCs/>
        </w:rPr>
        <w:t xml:space="preserve">, 2021). </w:t>
      </w:r>
    </w:p>
    <w:p w14:paraId="076A4ECF" w14:textId="004EF15A" w:rsidR="00847B04" w:rsidRPr="00F6340E" w:rsidRDefault="00A56E08" w:rsidP="00D976C8">
      <w:pPr>
        <w:pStyle w:val="Body"/>
        <w:rPr>
          <w:rStyle w:val="None"/>
          <w:rFonts w:cs="Arial"/>
        </w:rPr>
      </w:pPr>
      <w:r>
        <w:rPr>
          <w:bCs/>
        </w:rPr>
        <w:t>Наим</w:t>
      </w:r>
      <w:r w:rsidR="00EE6AA2">
        <w:rPr>
          <w:bCs/>
        </w:rPr>
        <w:t>е</w:t>
      </w:r>
      <w:r w:rsidR="00847B04" w:rsidRPr="00F6340E">
        <w:rPr>
          <w:bCs/>
        </w:rPr>
        <w:t xml:space="preserve">, </w:t>
      </w:r>
      <w:r w:rsidR="0071360A">
        <w:rPr>
          <w:bCs/>
        </w:rPr>
        <w:t>р</w:t>
      </w:r>
      <w:r w:rsidR="00EE6AA2">
        <w:rPr>
          <w:bCs/>
        </w:rPr>
        <w:t>е</w:t>
      </w:r>
      <w:r w:rsidR="00171F00">
        <w:rPr>
          <w:bCs/>
        </w:rPr>
        <w:t>з</w:t>
      </w:r>
      <w:r w:rsidR="0071360A">
        <w:rPr>
          <w:bCs/>
        </w:rPr>
        <w:t>у</w:t>
      </w:r>
      <w:r>
        <w:rPr>
          <w:bCs/>
        </w:rPr>
        <w:t>л</w:t>
      </w:r>
      <w:r w:rsidR="0071360A">
        <w:rPr>
          <w:bCs/>
        </w:rPr>
        <w:t>т</w:t>
      </w:r>
      <w:r>
        <w:rPr>
          <w:bCs/>
        </w:rPr>
        <w:t>а</w:t>
      </w:r>
      <w:r w:rsidR="0071360A">
        <w:rPr>
          <w:bCs/>
        </w:rPr>
        <w:t>т</w:t>
      </w:r>
      <w:r>
        <w:rPr>
          <w:bCs/>
        </w:rPr>
        <w:t>и</w:t>
      </w:r>
      <w:r w:rsidR="00847B04" w:rsidRPr="00F6340E">
        <w:rPr>
          <w:bCs/>
        </w:rPr>
        <w:t xml:space="preserve"> </w:t>
      </w:r>
      <w:r>
        <w:rPr>
          <w:bCs/>
        </w:rPr>
        <w:t>и</w:t>
      </w:r>
      <w:r w:rsidR="0071360A">
        <w:rPr>
          <w:bCs/>
        </w:rPr>
        <w:t>стр</w:t>
      </w:r>
      <w:r>
        <w:rPr>
          <w:bCs/>
        </w:rPr>
        <w:t>а</w:t>
      </w:r>
      <w:r w:rsidR="00171F00">
        <w:rPr>
          <w:bCs/>
        </w:rPr>
        <w:t>ж</w:t>
      </w:r>
      <w:r>
        <w:rPr>
          <w:bCs/>
        </w:rPr>
        <w:t>и</w:t>
      </w:r>
      <w:r w:rsidR="0071360A">
        <w:rPr>
          <w:bCs/>
        </w:rPr>
        <w:t>в</w:t>
      </w:r>
      <w:r>
        <w:rPr>
          <w:bCs/>
        </w:rPr>
        <w:t>ања</w:t>
      </w:r>
      <w:r w:rsidR="00847B04" w:rsidRPr="00F6340E">
        <w:rPr>
          <w:bCs/>
        </w:rPr>
        <w:t xml:space="preserve">, </w:t>
      </w:r>
      <w:r>
        <w:rPr>
          <w:bCs/>
        </w:rPr>
        <w:t>одго</w:t>
      </w:r>
      <w:r w:rsidR="0071360A">
        <w:rPr>
          <w:bCs/>
        </w:rPr>
        <w:t>в</w:t>
      </w:r>
      <w:r>
        <w:rPr>
          <w:bCs/>
        </w:rPr>
        <w:t>о</w:t>
      </w:r>
      <w:r w:rsidR="0071360A">
        <w:rPr>
          <w:bCs/>
        </w:rPr>
        <w:t>р</w:t>
      </w:r>
      <w:r>
        <w:rPr>
          <w:bCs/>
        </w:rPr>
        <w:t>и</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Pr>
          <w:bCs/>
        </w:rPr>
        <w:t>и</w:t>
      </w:r>
      <w:r w:rsidR="00847B04" w:rsidRPr="00F6340E">
        <w:rPr>
          <w:bCs/>
        </w:rPr>
        <w:t xml:space="preserve"> </w:t>
      </w:r>
      <w:r w:rsidR="0071360A">
        <w:rPr>
          <w:bCs/>
        </w:rPr>
        <w:t>сту</w:t>
      </w:r>
      <w:r>
        <w:rPr>
          <w:bCs/>
        </w:rPr>
        <w:t>д</w:t>
      </w:r>
      <w:r w:rsidR="00EE6AA2">
        <w:rPr>
          <w:bCs/>
        </w:rPr>
        <w:t>е</w:t>
      </w:r>
      <w:r>
        <w:rPr>
          <w:bCs/>
        </w:rPr>
        <w:t>на</w:t>
      </w:r>
      <w:r w:rsidR="0071360A">
        <w:rPr>
          <w:bCs/>
        </w:rPr>
        <w:t>т</w:t>
      </w:r>
      <w:r>
        <w:rPr>
          <w:bCs/>
        </w:rPr>
        <w:t>а</w:t>
      </w:r>
      <w:r w:rsidR="00847B04" w:rsidRPr="00F6340E">
        <w:rPr>
          <w:bCs/>
        </w:rPr>
        <w:t xml:space="preserve">, </w:t>
      </w:r>
      <w:r w:rsidR="0071360A">
        <w:rPr>
          <w:bCs/>
        </w:rPr>
        <w:t>у</w:t>
      </w:r>
      <w:r>
        <w:rPr>
          <w:bCs/>
        </w:rPr>
        <w:t>ка</w:t>
      </w:r>
      <w:r w:rsidR="00171F00">
        <w:rPr>
          <w:bCs/>
        </w:rPr>
        <w:t>з</w:t>
      </w:r>
      <w:r w:rsidR="0071360A">
        <w:rPr>
          <w:bCs/>
        </w:rPr>
        <w:t>у</w:t>
      </w:r>
      <w:r>
        <w:rPr>
          <w:bCs/>
        </w:rPr>
        <w:t>ј</w:t>
      </w:r>
      <w:r w:rsidR="0071360A">
        <w:rPr>
          <w:bCs/>
        </w:rPr>
        <w:t>у</w:t>
      </w:r>
      <w:r w:rsidR="00847B04" w:rsidRPr="00F6340E">
        <w:rPr>
          <w:bCs/>
        </w:rPr>
        <w:t xml:space="preserve"> </w:t>
      </w:r>
      <w:r>
        <w:rPr>
          <w:bCs/>
        </w:rPr>
        <w:t>на</w:t>
      </w:r>
      <w:r w:rsidR="00847B04" w:rsidRPr="00F6340E">
        <w:rPr>
          <w:bCs/>
        </w:rPr>
        <w:t xml:space="preserve"> </w:t>
      </w:r>
      <w:r w:rsidR="0071360A">
        <w:rPr>
          <w:bCs/>
        </w:rPr>
        <w:t>т</w:t>
      </w:r>
      <w:r>
        <w:rPr>
          <w:bCs/>
        </w:rPr>
        <w:t>о</w:t>
      </w:r>
      <w:r w:rsidR="00847B04" w:rsidRPr="00F6340E">
        <w:rPr>
          <w:bCs/>
        </w:rPr>
        <w:t xml:space="preserve"> </w:t>
      </w:r>
      <w:r w:rsidR="0071360A">
        <w:rPr>
          <w:bCs/>
        </w:rPr>
        <w:t>су</w:t>
      </w:r>
      <w:r w:rsidR="00847B04" w:rsidRPr="00F6340E">
        <w:rPr>
          <w:bCs/>
        </w:rPr>
        <w:t xml:space="preserve"> </w:t>
      </w:r>
      <w:r>
        <w:rPr>
          <w:bCs/>
        </w:rPr>
        <w:t>диги</w:t>
      </w:r>
      <w:r w:rsidR="0071360A">
        <w:rPr>
          <w:bCs/>
        </w:rPr>
        <w:t>т</w:t>
      </w:r>
      <w:r>
        <w:rPr>
          <w:bCs/>
        </w:rPr>
        <w:t>алн</w:t>
      </w:r>
      <w:r w:rsidR="00EE6AA2">
        <w:rPr>
          <w:bCs/>
        </w:rPr>
        <w:t>е</w:t>
      </w:r>
      <w:r w:rsidR="00847B04" w:rsidRPr="00F6340E">
        <w:rPr>
          <w:bCs/>
        </w:rPr>
        <w:t xml:space="preserve"> </w:t>
      </w:r>
      <w:r>
        <w:rPr>
          <w:bCs/>
        </w:rPr>
        <w:t>ком</w:t>
      </w:r>
      <w:r w:rsidR="0071360A">
        <w:rPr>
          <w:bCs/>
        </w:rPr>
        <w:t>п</w:t>
      </w:r>
      <w:r w:rsidR="00EE6AA2">
        <w:rPr>
          <w:bCs/>
        </w:rPr>
        <w:t>е</w:t>
      </w:r>
      <w:r w:rsidR="0071360A">
        <w:rPr>
          <w:bCs/>
        </w:rPr>
        <w:t>т</w:t>
      </w:r>
      <w:r w:rsidR="00EE6AA2">
        <w:rPr>
          <w:bCs/>
        </w:rPr>
        <w:t>е</w:t>
      </w:r>
      <w:r>
        <w:rPr>
          <w:bCs/>
        </w:rPr>
        <w:t>нциј</w:t>
      </w:r>
      <w:r w:rsidR="00EE6AA2">
        <w:rPr>
          <w:bCs/>
        </w:rPr>
        <w:t>е</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Pr>
          <w:bCs/>
        </w:rPr>
        <w:t>н</w:t>
      </w:r>
      <w:r w:rsidR="00EE6AA2">
        <w:rPr>
          <w:bCs/>
        </w:rPr>
        <w:t>е</w:t>
      </w:r>
      <w:r>
        <w:rPr>
          <w:bCs/>
        </w:rPr>
        <w:t>до</w:t>
      </w:r>
      <w:r w:rsidR="0071360A">
        <w:rPr>
          <w:bCs/>
        </w:rPr>
        <w:t>в</w:t>
      </w:r>
      <w:r>
        <w:rPr>
          <w:bCs/>
        </w:rPr>
        <w:t>ољн</w:t>
      </w:r>
      <w:r w:rsidR="00EE6AA2">
        <w:rPr>
          <w:bCs/>
        </w:rPr>
        <w:t>е</w:t>
      </w:r>
      <w:r w:rsidR="00847B04" w:rsidRPr="00F6340E">
        <w:rPr>
          <w:bCs/>
        </w:rPr>
        <w:t xml:space="preserve"> </w:t>
      </w:r>
      <w:r>
        <w:rPr>
          <w:bCs/>
        </w:rPr>
        <w:t>и</w:t>
      </w:r>
      <w:r w:rsidR="00847B04" w:rsidRPr="00F6340E">
        <w:rPr>
          <w:bCs/>
        </w:rPr>
        <w:t xml:space="preserve"> </w:t>
      </w:r>
      <w:r>
        <w:rPr>
          <w:bCs/>
        </w:rPr>
        <w:t>ог</w:t>
      </w:r>
      <w:r w:rsidR="0071360A">
        <w:rPr>
          <w:bCs/>
        </w:rPr>
        <w:t>р</w:t>
      </w:r>
      <w:r>
        <w:rPr>
          <w:bCs/>
        </w:rPr>
        <w:t>анич</w:t>
      </w:r>
      <w:r w:rsidR="00EE6AA2">
        <w:rPr>
          <w:bCs/>
        </w:rPr>
        <w:t>е</w:t>
      </w:r>
      <w:r>
        <w:rPr>
          <w:bCs/>
        </w:rPr>
        <w:t>н</w:t>
      </w:r>
      <w:r w:rsidR="00EE6AA2">
        <w:rPr>
          <w:bCs/>
        </w:rPr>
        <w:t>е</w:t>
      </w:r>
      <w:r w:rsidR="00847B04" w:rsidRPr="00F6340E">
        <w:rPr>
          <w:bCs/>
        </w:rPr>
        <w:t xml:space="preserve"> </w:t>
      </w:r>
      <w:r w:rsidR="0071360A">
        <w:rPr>
          <w:bCs/>
        </w:rPr>
        <w:t>у</w:t>
      </w:r>
      <w:r w:rsidR="00847B04" w:rsidRPr="00F6340E">
        <w:rPr>
          <w:bCs/>
        </w:rPr>
        <w:t xml:space="preserve"> </w:t>
      </w:r>
      <w:r w:rsidR="0071360A">
        <w:rPr>
          <w:bCs/>
        </w:rPr>
        <w:t>пр</w:t>
      </w:r>
      <w:r>
        <w:rPr>
          <w:bCs/>
        </w:rPr>
        <w:t>имј</w:t>
      </w:r>
      <w:r w:rsidR="00EE6AA2">
        <w:rPr>
          <w:bCs/>
        </w:rPr>
        <w:t>е</w:t>
      </w:r>
      <w:r>
        <w:rPr>
          <w:bCs/>
        </w:rPr>
        <w:t>ни</w:t>
      </w:r>
      <w:r w:rsidR="00847B04" w:rsidRPr="00F6340E">
        <w:rPr>
          <w:bCs/>
        </w:rPr>
        <w:t xml:space="preserve"> </w:t>
      </w:r>
      <w:r>
        <w:rPr>
          <w:bCs/>
        </w:rPr>
        <w:t>диги</w:t>
      </w:r>
      <w:r w:rsidR="0071360A">
        <w:rPr>
          <w:bCs/>
        </w:rPr>
        <w:t>т</w:t>
      </w:r>
      <w:r>
        <w:rPr>
          <w:bCs/>
        </w:rPr>
        <w:t>алних</w:t>
      </w:r>
      <w:r w:rsidR="00847B04" w:rsidRPr="00F6340E">
        <w:rPr>
          <w:bCs/>
        </w:rPr>
        <w:t xml:space="preserve"> </w:t>
      </w:r>
      <w:r>
        <w:rPr>
          <w:bCs/>
        </w:rPr>
        <w:t>ала</w:t>
      </w:r>
      <w:r w:rsidR="0071360A">
        <w:rPr>
          <w:bCs/>
        </w:rPr>
        <w:t>т</w:t>
      </w:r>
      <w:r>
        <w:rPr>
          <w:bCs/>
        </w:rPr>
        <w:t>а</w:t>
      </w:r>
      <w:r w:rsidR="00847B04" w:rsidRPr="00F6340E">
        <w:rPr>
          <w:bCs/>
        </w:rPr>
        <w:t xml:space="preserve"> </w:t>
      </w:r>
      <w:r w:rsidR="0071360A">
        <w:rPr>
          <w:bCs/>
        </w:rPr>
        <w:t>шт</w:t>
      </w:r>
      <w:r>
        <w:rPr>
          <w:bCs/>
        </w:rPr>
        <w:t>о</w:t>
      </w:r>
      <w:r w:rsidR="00847B04" w:rsidRPr="00F6340E">
        <w:rPr>
          <w:bCs/>
        </w:rPr>
        <w:t xml:space="preserve"> </w:t>
      </w:r>
      <w:r w:rsidR="0071360A">
        <w:rPr>
          <w:bCs/>
        </w:rPr>
        <w:t>с</w:t>
      </w:r>
      <w:r w:rsidR="00EE6AA2">
        <w:rPr>
          <w:bCs/>
        </w:rPr>
        <w:t>е</w:t>
      </w:r>
      <w:r w:rsidR="00847B04" w:rsidRPr="00F6340E">
        <w:rPr>
          <w:bCs/>
        </w:rPr>
        <w:t xml:space="preserve"> </w:t>
      </w:r>
      <w:r>
        <w:rPr>
          <w:bCs/>
        </w:rPr>
        <w:t>од</w:t>
      </w:r>
      <w:r w:rsidR="0071360A">
        <w:rPr>
          <w:bCs/>
        </w:rPr>
        <w:t>р</w:t>
      </w:r>
      <w:r>
        <w:rPr>
          <w:bCs/>
        </w:rPr>
        <w:t>а</w:t>
      </w:r>
      <w:r w:rsidR="00171F00">
        <w:rPr>
          <w:bCs/>
        </w:rPr>
        <w:t>ж</w:t>
      </w:r>
      <w:r>
        <w:rPr>
          <w:bCs/>
        </w:rPr>
        <w:t>а</w:t>
      </w:r>
      <w:r w:rsidR="0071360A">
        <w:rPr>
          <w:bCs/>
        </w:rPr>
        <w:t>в</w:t>
      </w:r>
      <w:r>
        <w:rPr>
          <w:bCs/>
        </w:rPr>
        <w:t>ало</w:t>
      </w:r>
      <w:r w:rsidR="00847B04" w:rsidRPr="00F6340E">
        <w:rPr>
          <w:bCs/>
        </w:rPr>
        <w:t xml:space="preserve"> </w:t>
      </w:r>
      <w:r>
        <w:rPr>
          <w:bCs/>
        </w:rPr>
        <w:t>на</w:t>
      </w:r>
      <w:r w:rsidR="00847B04" w:rsidRPr="00F6340E">
        <w:rPr>
          <w:bCs/>
        </w:rPr>
        <w:t xml:space="preserve"> </w:t>
      </w:r>
      <w:r>
        <w:rPr>
          <w:bCs/>
        </w:rPr>
        <w:t>облик</w:t>
      </w:r>
      <w:r w:rsidR="00EE6AA2">
        <w:rPr>
          <w:bCs/>
        </w:rPr>
        <w:t>е</w:t>
      </w:r>
      <w:r w:rsidR="00847B04" w:rsidRPr="00F6340E">
        <w:rPr>
          <w:bCs/>
        </w:rPr>
        <w:t xml:space="preserve"> </w:t>
      </w:r>
      <w:r>
        <w:rPr>
          <w:bCs/>
        </w:rPr>
        <w:t>и</w:t>
      </w:r>
      <w:r w:rsidR="00171F00">
        <w:rPr>
          <w:bCs/>
        </w:rPr>
        <w:t>з</w:t>
      </w:r>
      <w:r w:rsidR="0071360A">
        <w:rPr>
          <w:bCs/>
        </w:rPr>
        <w:t>в</w:t>
      </w:r>
      <w:r>
        <w:rPr>
          <w:bCs/>
        </w:rPr>
        <w:t>ођ</w:t>
      </w:r>
      <w:r w:rsidR="00EE6AA2">
        <w:rPr>
          <w:bCs/>
        </w:rPr>
        <w:t>е</w:t>
      </w:r>
      <w:r>
        <w:rPr>
          <w:bCs/>
        </w:rPr>
        <w:t>ња</w:t>
      </w:r>
      <w:r w:rsidR="00847B04" w:rsidRPr="00F6340E">
        <w:rPr>
          <w:bCs/>
        </w:rPr>
        <w:t xml:space="preserve"> </w:t>
      </w:r>
      <w:r>
        <w:rPr>
          <w:bCs/>
        </w:rPr>
        <w:t>на</w:t>
      </w:r>
      <w:r w:rsidR="0071360A">
        <w:rPr>
          <w:bCs/>
        </w:rPr>
        <w:t>ст</w:t>
      </w:r>
      <w:r>
        <w:rPr>
          <w:bCs/>
        </w:rPr>
        <w:t>а</w:t>
      </w:r>
      <w:r w:rsidR="0071360A">
        <w:rPr>
          <w:bCs/>
        </w:rPr>
        <w:t>в</w:t>
      </w:r>
      <w:r w:rsidR="00EE6AA2">
        <w:rPr>
          <w:bCs/>
        </w:rPr>
        <w:t>е</w:t>
      </w:r>
      <w:r w:rsidR="00847B04" w:rsidRPr="00F6340E">
        <w:rPr>
          <w:bCs/>
        </w:rPr>
        <w:t xml:space="preserve"> </w:t>
      </w:r>
      <w:r>
        <w:rPr>
          <w:bCs/>
        </w:rPr>
        <w:t>која</w:t>
      </w:r>
      <w:r w:rsidR="00847B04" w:rsidRPr="00F6340E">
        <w:rPr>
          <w:bCs/>
        </w:rPr>
        <w:t xml:space="preserve"> </w:t>
      </w:r>
      <w:r w:rsidR="0071360A">
        <w:rPr>
          <w:bCs/>
        </w:rPr>
        <w:t>с</w:t>
      </w:r>
      <w:r w:rsidR="00EE6AA2">
        <w:rPr>
          <w:bCs/>
        </w:rPr>
        <w:t>е</w:t>
      </w:r>
      <w:r w:rsidR="00847B04" w:rsidRPr="00F6340E">
        <w:rPr>
          <w:bCs/>
        </w:rPr>
        <w:t xml:space="preserve"> </w:t>
      </w:r>
      <w:r>
        <w:rPr>
          <w:bCs/>
        </w:rPr>
        <w:t>ниј</w:t>
      </w:r>
      <w:r w:rsidR="00EE6AA2">
        <w:rPr>
          <w:bCs/>
        </w:rPr>
        <w:t>е</w:t>
      </w:r>
      <w:r w:rsidR="00847B04" w:rsidRPr="00F6340E">
        <w:rPr>
          <w:bCs/>
        </w:rPr>
        <w:t xml:space="preserve"> </w:t>
      </w:r>
      <w:r w:rsidR="00171F00">
        <w:rPr>
          <w:bCs/>
        </w:rPr>
        <w:t>з</w:t>
      </w:r>
      <w:r>
        <w:rPr>
          <w:bCs/>
        </w:rPr>
        <w:t>начајно</w:t>
      </w:r>
      <w:r w:rsidR="00847B04" w:rsidRPr="00F6340E">
        <w:rPr>
          <w:bCs/>
        </w:rPr>
        <w:t xml:space="preserve"> </w:t>
      </w:r>
      <w:r w:rsidR="0071360A">
        <w:rPr>
          <w:bCs/>
        </w:rPr>
        <w:t>р</w:t>
      </w:r>
      <w:r>
        <w:rPr>
          <w:bCs/>
        </w:rPr>
        <w:t>а</w:t>
      </w:r>
      <w:r w:rsidR="00171F00">
        <w:rPr>
          <w:bCs/>
        </w:rPr>
        <w:t>з</w:t>
      </w:r>
      <w:r>
        <w:rPr>
          <w:bCs/>
        </w:rPr>
        <w:t>лико</w:t>
      </w:r>
      <w:r w:rsidR="0071360A">
        <w:rPr>
          <w:bCs/>
        </w:rPr>
        <w:t>в</w:t>
      </w:r>
      <w:r>
        <w:rPr>
          <w:bCs/>
        </w:rPr>
        <w:t>ала</w:t>
      </w:r>
      <w:r w:rsidR="00847B04" w:rsidRPr="00F6340E">
        <w:rPr>
          <w:bCs/>
        </w:rPr>
        <w:t xml:space="preserve"> </w:t>
      </w:r>
      <w:r>
        <w:rPr>
          <w:bCs/>
        </w:rPr>
        <w:t>од</w:t>
      </w:r>
      <w:r w:rsidR="00847B04" w:rsidRPr="00F6340E">
        <w:rPr>
          <w:bCs/>
        </w:rPr>
        <w:t xml:space="preserve"> </w:t>
      </w:r>
      <w:r w:rsidR="00EE6AA2">
        <w:rPr>
          <w:bCs/>
        </w:rPr>
        <w:t>е</w:t>
      </w:r>
      <w:r w:rsidR="005549C9">
        <w:rPr>
          <w:bCs/>
        </w:rPr>
        <w:t>кс</w:t>
      </w:r>
      <w:r w:rsidR="00847B04" w:rsidRPr="00F6340E">
        <w:rPr>
          <w:bCs/>
        </w:rPr>
        <w:t>-</w:t>
      </w:r>
      <w:r>
        <w:rPr>
          <w:bCs/>
        </w:rPr>
        <w:t>ка</w:t>
      </w:r>
      <w:r w:rsidR="0071360A">
        <w:rPr>
          <w:bCs/>
        </w:rPr>
        <w:t>т</w:t>
      </w:r>
      <w:r w:rsidR="00EE6AA2">
        <w:rPr>
          <w:bCs/>
        </w:rPr>
        <w:t>е</w:t>
      </w:r>
      <w:r>
        <w:rPr>
          <w:bCs/>
        </w:rPr>
        <w:t>д</w:t>
      </w:r>
      <w:r w:rsidR="0071360A">
        <w:rPr>
          <w:bCs/>
        </w:rPr>
        <w:t>р</w:t>
      </w:r>
      <w:r w:rsidR="00EE6AA2">
        <w:rPr>
          <w:bCs/>
        </w:rPr>
        <w:t>е</w:t>
      </w:r>
      <w:r w:rsidR="00847B04" w:rsidRPr="00F6340E">
        <w:rPr>
          <w:bCs/>
        </w:rPr>
        <w:t xml:space="preserve"> </w:t>
      </w:r>
      <w:r>
        <w:rPr>
          <w:bCs/>
        </w:rPr>
        <w:t>или</w:t>
      </w:r>
      <w:r w:rsidR="00847B04" w:rsidRPr="00F6340E">
        <w:rPr>
          <w:bCs/>
        </w:rPr>
        <w:t xml:space="preserve"> </w:t>
      </w:r>
      <w:r>
        <w:rPr>
          <w:bCs/>
        </w:rPr>
        <w:t>ф</w:t>
      </w:r>
      <w:r w:rsidR="0071360A">
        <w:rPr>
          <w:bCs/>
        </w:rPr>
        <w:t>р</w:t>
      </w:r>
      <w:r>
        <w:rPr>
          <w:bCs/>
        </w:rPr>
        <w:t>он</w:t>
      </w:r>
      <w:r w:rsidR="0071360A">
        <w:rPr>
          <w:bCs/>
        </w:rPr>
        <w:t>т</w:t>
      </w:r>
      <w:r>
        <w:rPr>
          <w:bCs/>
        </w:rPr>
        <w:t>алног</w:t>
      </w:r>
      <w:r w:rsidR="00847B04" w:rsidRPr="00F6340E">
        <w:rPr>
          <w:bCs/>
        </w:rPr>
        <w:t xml:space="preserve"> </w:t>
      </w:r>
      <w:r>
        <w:rPr>
          <w:bCs/>
        </w:rPr>
        <w:t>облика</w:t>
      </w:r>
      <w:r w:rsidR="00847B04" w:rsidRPr="00F6340E">
        <w:rPr>
          <w:bCs/>
        </w:rPr>
        <w:t xml:space="preserve"> </w:t>
      </w:r>
      <w:r w:rsidR="0071360A">
        <w:rPr>
          <w:bCs/>
        </w:rPr>
        <w:t>р</w:t>
      </w:r>
      <w:r>
        <w:rPr>
          <w:bCs/>
        </w:rPr>
        <w:t>ада</w:t>
      </w:r>
      <w:r w:rsidR="00847B04" w:rsidRPr="00F6340E">
        <w:rPr>
          <w:bCs/>
        </w:rPr>
        <w:t xml:space="preserve"> </w:t>
      </w:r>
      <w:r>
        <w:rPr>
          <w:bCs/>
        </w:rPr>
        <w:t>одно</w:t>
      </w:r>
      <w:r w:rsidR="0071360A">
        <w:rPr>
          <w:bCs/>
        </w:rPr>
        <w:t>с</w:t>
      </w:r>
      <w:r>
        <w:rPr>
          <w:bCs/>
        </w:rPr>
        <w:t>но</w:t>
      </w:r>
      <w:r w:rsidR="00847B04" w:rsidRPr="00F6340E">
        <w:rPr>
          <w:bCs/>
        </w:rPr>
        <w:t xml:space="preserve"> </w:t>
      </w:r>
      <w:r>
        <w:rPr>
          <w:bCs/>
        </w:rPr>
        <w:t>на</w:t>
      </w:r>
      <w:r w:rsidR="0071360A">
        <w:rPr>
          <w:bCs/>
        </w:rPr>
        <w:t>ст</w:t>
      </w:r>
      <w:r>
        <w:rPr>
          <w:bCs/>
        </w:rPr>
        <w:t>а</w:t>
      </w:r>
      <w:r w:rsidR="0071360A">
        <w:rPr>
          <w:bCs/>
        </w:rPr>
        <w:t>в</w:t>
      </w:r>
      <w:r>
        <w:rPr>
          <w:bCs/>
        </w:rPr>
        <w:t>ници</w:t>
      </w:r>
      <w:r w:rsidR="00847B04" w:rsidRPr="00F6340E">
        <w:rPr>
          <w:bCs/>
        </w:rPr>
        <w:t xml:space="preserve"> </w:t>
      </w:r>
      <w:r w:rsidR="0071360A">
        <w:rPr>
          <w:bCs/>
        </w:rPr>
        <w:t>су</w:t>
      </w:r>
      <w:r w:rsidR="00847B04" w:rsidRPr="00F6340E">
        <w:rPr>
          <w:bCs/>
        </w:rPr>
        <w:t xml:space="preserve"> </w:t>
      </w:r>
      <w:r w:rsidR="0071360A">
        <w:rPr>
          <w:bCs/>
        </w:rPr>
        <w:t>р</w:t>
      </w:r>
      <w:r w:rsidR="00EE6AA2">
        <w:rPr>
          <w:bCs/>
        </w:rPr>
        <w:t>е</w:t>
      </w:r>
      <w:r>
        <w:rPr>
          <w:bCs/>
        </w:rPr>
        <w:t>али</w:t>
      </w:r>
      <w:r w:rsidR="00171F00">
        <w:rPr>
          <w:bCs/>
        </w:rPr>
        <w:t>з</w:t>
      </w:r>
      <w:r>
        <w:rPr>
          <w:bCs/>
        </w:rPr>
        <w:t>о</w:t>
      </w:r>
      <w:r w:rsidR="0071360A">
        <w:rPr>
          <w:bCs/>
        </w:rPr>
        <w:t>в</w:t>
      </w:r>
      <w:r>
        <w:rPr>
          <w:bCs/>
        </w:rPr>
        <w:t>али</w:t>
      </w:r>
      <w:r w:rsidR="00847B04" w:rsidRPr="00F6340E">
        <w:rPr>
          <w:bCs/>
        </w:rPr>
        <w:t xml:space="preserve"> </w:t>
      </w:r>
      <w:r w:rsidR="0071360A">
        <w:rPr>
          <w:bCs/>
        </w:rPr>
        <w:t>пр</w:t>
      </w:r>
      <w:r w:rsidR="00EE6AA2">
        <w:rPr>
          <w:bCs/>
        </w:rPr>
        <w:t>е</w:t>
      </w:r>
      <w:r>
        <w:rPr>
          <w:bCs/>
        </w:rPr>
        <w:t>да</w:t>
      </w:r>
      <w:r w:rsidR="0071360A">
        <w:rPr>
          <w:bCs/>
        </w:rPr>
        <w:t>в</w:t>
      </w:r>
      <w:r>
        <w:rPr>
          <w:bCs/>
        </w:rPr>
        <w:t>ања</w:t>
      </w:r>
      <w:r w:rsidR="00847B04" w:rsidRPr="00F6340E">
        <w:rPr>
          <w:bCs/>
        </w:rPr>
        <w:t xml:space="preserve"> </w:t>
      </w:r>
      <w:r>
        <w:rPr>
          <w:bCs/>
        </w:rPr>
        <w:t>и</w:t>
      </w:r>
      <w:r w:rsidR="00847B04" w:rsidRPr="00F6340E">
        <w:rPr>
          <w:bCs/>
        </w:rPr>
        <w:t xml:space="preserve"> </w:t>
      </w:r>
      <w:r>
        <w:rPr>
          <w:bCs/>
        </w:rPr>
        <w:t>до</w:t>
      </w:r>
      <w:r w:rsidR="0071360A">
        <w:rPr>
          <w:bCs/>
        </w:rPr>
        <w:t>ст</w:t>
      </w:r>
      <w:r>
        <w:rPr>
          <w:bCs/>
        </w:rPr>
        <w:t>а</w:t>
      </w:r>
      <w:r w:rsidR="0071360A">
        <w:rPr>
          <w:bCs/>
        </w:rPr>
        <w:t>в</w:t>
      </w:r>
      <w:r>
        <w:rPr>
          <w:bCs/>
        </w:rPr>
        <w:t>љали</w:t>
      </w:r>
      <w:r w:rsidR="00847B04" w:rsidRPr="00F6340E">
        <w:rPr>
          <w:bCs/>
        </w:rPr>
        <w:t xml:space="preserve"> </w:t>
      </w:r>
      <w:r>
        <w:rPr>
          <w:bCs/>
        </w:rPr>
        <w:t>ма</w:t>
      </w:r>
      <w:r w:rsidR="0071360A">
        <w:rPr>
          <w:bCs/>
        </w:rPr>
        <w:t>т</w:t>
      </w:r>
      <w:r w:rsidR="00EE6AA2">
        <w:rPr>
          <w:bCs/>
        </w:rPr>
        <w:t>е</w:t>
      </w:r>
      <w:r w:rsidR="0071360A">
        <w:rPr>
          <w:bCs/>
        </w:rPr>
        <w:t>р</w:t>
      </w:r>
      <w:r>
        <w:rPr>
          <w:bCs/>
        </w:rPr>
        <w:t>ијал</w:t>
      </w:r>
      <w:r w:rsidR="00EE6AA2">
        <w:rPr>
          <w:bCs/>
        </w:rPr>
        <w:t>е</w:t>
      </w:r>
      <w:r w:rsidR="00847B04" w:rsidRPr="00F6340E">
        <w:rPr>
          <w:bCs/>
        </w:rPr>
        <w:t xml:space="preserve">. </w:t>
      </w:r>
      <w:r w:rsidR="0071360A">
        <w:rPr>
          <w:bCs/>
        </w:rPr>
        <w:t>В</w:t>
      </w:r>
      <w:r w:rsidR="00EE6AA2">
        <w:rPr>
          <w:bCs/>
        </w:rPr>
        <w:t>е</w:t>
      </w:r>
      <w:r>
        <w:rPr>
          <w:bCs/>
        </w:rPr>
        <w:t>ома</w:t>
      </w:r>
      <w:r w:rsidR="00847B04" w:rsidRPr="00F6340E">
        <w:rPr>
          <w:bCs/>
        </w:rPr>
        <w:t xml:space="preserve"> </w:t>
      </w:r>
      <w:r>
        <w:rPr>
          <w:bCs/>
        </w:rPr>
        <w:t>мали</w:t>
      </w:r>
      <w:r w:rsidR="00847B04" w:rsidRPr="00F6340E">
        <w:rPr>
          <w:bCs/>
        </w:rPr>
        <w:t xml:space="preserve"> </w:t>
      </w:r>
      <w:r w:rsidR="0071360A">
        <w:rPr>
          <w:bCs/>
        </w:rPr>
        <w:t>п</w:t>
      </w:r>
      <w:r>
        <w:rPr>
          <w:bCs/>
        </w:rPr>
        <w:t>о</w:t>
      </w:r>
      <w:r w:rsidR="0071360A">
        <w:rPr>
          <w:bCs/>
        </w:rPr>
        <w:t>ст</w:t>
      </w:r>
      <w:r>
        <w:rPr>
          <w:bCs/>
        </w:rPr>
        <w:t>о</w:t>
      </w:r>
      <w:r w:rsidR="0071360A">
        <w:rPr>
          <w:bCs/>
        </w:rPr>
        <w:t>т</w:t>
      </w:r>
      <w:r>
        <w:rPr>
          <w:bCs/>
        </w:rPr>
        <w:t>ак</w:t>
      </w:r>
      <w:r w:rsidR="00847B04" w:rsidRPr="00F6340E">
        <w:rPr>
          <w:bCs/>
        </w:rPr>
        <w:t xml:space="preserve"> </w:t>
      </w:r>
      <w:r>
        <w:rPr>
          <w:bCs/>
        </w:rPr>
        <w:t>на</w:t>
      </w:r>
      <w:r w:rsidR="0071360A">
        <w:rPr>
          <w:bCs/>
        </w:rPr>
        <w:t>ст</w:t>
      </w:r>
      <w:r>
        <w:rPr>
          <w:bCs/>
        </w:rPr>
        <w:t>а</w:t>
      </w:r>
      <w:r w:rsidR="0071360A">
        <w:rPr>
          <w:bCs/>
        </w:rPr>
        <w:t>в</w:t>
      </w:r>
      <w:r>
        <w:rPr>
          <w:bCs/>
        </w:rPr>
        <w:t>ника</w:t>
      </w:r>
      <w:r w:rsidR="00847B04" w:rsidRPr="00F6340E">
        <w:rPr>
          <w:bCs/>
        </w:rPr>
        <w:t xml:space="preserve"> </w:t>
      </w:r>
      <w:r>
        <w:rPr>
          <w:bCs/>
        </w:rPr>
        <w:t>ј</w:t>
      </w:r>
      <w:r w:rsidR="00EE6AA2">
        <w:rPr>
          <w:bCs/>
        </w:rPr>
        <w:t>е</w:t>
      </w:r>
      <w:r w:rsidR="00847B04" w:rsidRPr="00F6340E">
        <w:rPr>
          <w:bCs/>
        </w:rPr>
        <w:t xml:space="preserve"> </w:t>
      </w:r>
      <w:r w:rsidR="0071360A">
        <w:rPr>
          <w:bCs/>
        </w:rPr>
        <w:t>уп</w:t>
      </w:r>
      <w:r>
        <w:rPr>
          <w:bCs/>
        </w:rPr>
        <w:t>о</w:t>
      </w:r>
      <w:r w:rsidR="0071360A">
        <w:rPr>
          <w:bCs/>
        </w:rPr>
        <w:t>тр</w:t>
      </w:r>
      <w:r>
        <w:rPr>
          <w:bCs/>
        </w:rPr>
        <w:t>иј</w:t>
      </w:r>
      <w:r w:rsidR="00EE6AA2">
        <w:rPr>
          <w:bCs/>
        </w:rPr>
        <w:t>е</w:t>
      </w:r>
      <w:r>
        <w:rPr>
          <w:bCs/>
        </w:rPr>
        <w:t>био</w:t>
      </w:r>
      <w:r w:rsidR="00847B04" w:rsidRPr="00F6340E">
        <w:rPr>
          <w:bCs/>
        </w:rPr>
        <w:t xml:space="preserve"> </w:t>
      </w:r>
      <w:r w:rsidR="0071360A">
        <w:rPr>
          <w:bCs/>
        </w:rPr>
        <w:t>пр</w:t>
      </w:r>
      <w:r w:rsidR="00EE6AA2">
        <w:rPr>
          <w:bCs/>
        </w:rPr>
        <w:t>е</w:t>
      </w:r>
      <w:r>
        <w:rPr>
          <w:bCs/>
        </w:rPr>
        <w:t>дно</w:t>
      </w:r>
      <w:r w:rsidR="0071360A">
        <w:rPr>
          <w:bCs/>
        </w:rPr>
        <w:t>ст</w:t>
      </w:r>
      <w:r>
        <w:rPr>
          <w:bCs/>
        </w:rPr>
        <w:t>и</w:t>
      </w:r>
      <w:r w:rsidR="00847B04" w:rsidRPr="00F6340E">
        <w:rPr>
          <w:bCs/>
        </w:rPr>
        <w:t xml:space="preserve"> </w:t>
      </w:r>
      <w:r w:rsidR="0071360A">
        <w:rPr>
          <w:bCs/>
        </w:rPr>
        <w:t>сп</w:t>
      </w:r>
      <w:r w:rsidR="00EE6AA2">
        <w:rPr>
          <w:bCs/>
        </w:rPr>
        <w:t>е</w:t>
      </w:r>
      <w:r>
        <w:rPr>
          <w:bCs/>
        </w:rPr>
        <w:t>цијали</w:t>
      </w:r>
      <w:r w:rsidR="00171F00">
        <w:rPr>
          <w:bCs/>
        </w:rPr>
        <w:t>з</w:t>
      </w:r>
      <w:r>
        <w:rPr>
          <w:bCs/>
        </w:rPr>
        <w:t>о</w:t>
      </w:r>
      <w:r w:rsidR="0071360A">
        <w:rPr>
          <w:bCs/>
        </w:rPr>
        <w:t>в</w:t>
      </w:r>
      <w:r>
        <w:rPr>
          <w:bCs/>
        </w:rPr>
        <w:t>аних</w:t>
      </w:r>
      <w:r w:rsidR="00847B04" w:rsidRPr="00F6340E">
        <w:rPr>
          <w:bCs/>
        </w:rPr>
        <w:t xml:space="preserve"> </w:t>
      </w:r>
      <w:r w:rsidR="0071360A">
        <w:rPr>
          <w:bCs/>
        </w:rPr>
        <w:t>в</w:t>
      </w:r>
      <w:r>
        <w:rPr>
          <w:bCs/>
        </w:rPr>
        <w:t>и</w:t>
      </w:r>
      <w:r w:rsidR="0071360A">
        <w:rPr>
          <w:bCs/>
        </w:rPr>
        <w:t>рту</w:t>
      </w:r>
      <w:r w:rsidR="00EE6AA2">
        <w:rPr>
          <w:bCs/>
        </w:rPr>
        <w:t>е</w:t>
      </w:r>
      <w:r>
        <w:rPr>
          <w:bCs/>
        </w:rPr>
        <w:t>лних</w:t>
      </w:r>
      <w:r w:rsidR="00847B04" w:rsidRPr="00F6340E">
        <w:rPr>
          <w:bCs/>
        </w:rPr>
        <w:t xml:space="preserve"> </w:t>
      </w:r>
      <w:r>
        <w:rPr>
          <w:bCs/>
        </w:rPr>
        <w:t>ок</w:t>
      </w:r>
      <w:r w:rsidR="0071360A">
        <w:rPr>
          <w:bCs/>
        </w:rPr>
        <w:t>ру</w:t>
      </w:r>
      <w:r w:rsidR="00171F00">
        <w:rPr>
          <w:bCs/>
        </w:rPr>
        <w:t>ж</w:t>
      </w:r>
      <w:r w:rsidR="00EE6AA2">
        <w:rPr>
          <w:bCs/>
        </w:rPr>
        <w:t>е</w:t>
      </w:r>
      <w:r>
        <w:rPr>
          <w:bCs/>
        </w:rPr>
        <w:t>ња</w:t>
      </w:r>
      <w:r w:rsidR="00847B04" w:rsidRPr="00F6340E">
        <w:rPr>
          <w:bCs/>
        </w:rPr>
        <w:t xml:space="preserve"> </w:t>
      </w:r>
      <w:r>
        <w:rPr>
          <w:bCs/>
        </w:rPr>
        <w:t>кој</w:t>
      </w:r>
      <w:r w:rsidR="00EE6AA2">
        <w:rPr>
          <w:bCs/>
        </w:rPr>
        <w:t>е</w:t>
      </w:r>
      <w:r w:rsidR="00847B04" w:rsidRPr="00F6340E">
        <w:rPr>
          <w:bCs/>
        </w:rPr>
        <w:t xml:space="preserve"> </w:t>
      </w:r>
      <w:r w:rsidR="0071360A">
        <w:rPr>
          <w:bCs/>
        </w:rPr>
        <w:t>с</w:t>
      </w:r>
      <w:r w:rsidR="00EE6AA2">
        <w:rPr>
          <w:bCs/>
        </w:rPr>
        <w:t>е</w:t>
      </w:r>
      <w:r w:rsidR="00847B04" w:rsidRPr="00F6340E">
        <w:rPr>
          <w:bCs/>
        </w:rPr>
        <w:t xml:space="preserve"> </w:t>
      </w:r>
      <w:r>
        <w:rPr>
          <w:bCs/>
        </w:rPr>
        <w:t>одно</w:t>
      </w:r>
      <w:r w:rsidR="0071360A">
        <w:rPr>
          <w:bCs/>
        </w:rPr>
        <w:t>с</w:t>
      </w:r>
      <w:r w:rsidR="00EE6AA2">
        <w:rPr>
          <w:bCs/>
        </w:rPr>
        <w:t>е</w:t>
      </w:r>
      <w:r w:rsidR="00847B04" w:rsidRPr="00F6340E">
        <w:rPr>
          <w:bCs/>
        </w:rPr>
        <w:t xml:space="preserve"> </w:t>
      </w:r>
      <w:r>
        <w:rPr>
          <w:bCs/>
        </w:rPr>
        <w:t>на</w:t>
      </w:r>
      <w:r w:rsidR="00847B04" w:rsidRPr="00F6340E">
        <w:rPr>
          <w:bCs/>
        </w:rPr>
        <w:t xml:space="preserve"> </w:t>
      </w:r>
      <w:r>
        <w:rPr>
          <w:bCs/>
        </w:rPr>
        <w:t>мог</w:t>
      </w:r>
      <w:r w:rsidR="0071360A">
        <w:rPr>
          <w:bCs/>
        </w:rPr>
        <w:t>у</w:t>
      </w:r>
      <w:r>
        <w:rPr>
          <w:bCs/>
        </w:rPr>
        <w:t>ћно</w:t>
      </w:r>
      <w:r w:rsidR="0071360A">
        <w:rPr>
          <w:bCs/>
        </w:rPr>
        <w:t>ст</w:t>
      </w:r>
      <w:r w:rsidR="00847B04" w:rsidRPr="00F6340E">
        <w:rPr>
          <w:bCs/>
        </w:rPr>
        <w:t xml:space="preserve"> </w:t>
      </w:r>
      <w:r>
        <w:rPr>
          <w:bCs/>
        </w:rPr>
        <w:t>к</w:t>
      </w:r>
      <w:r w:rsidR="0071360A">
        <w:rPr>
          <w:bCs/>
        </w:rPr>
        <w:t>р</w:t>
      </w:r>
      <w:r w:rsidR="00EE6AA2">
        <w:rPr>
          <w:bCs/>
        </w:rPr>
        <w:t>е</w:t>
      </w:r>
      <w:r>
        <w:rPr>
          <w:bCs/>
        </w:rPr>
        <w:t>и</w:t>
      </w:r>
      <w:r w:rsidR="0071360A">
        <w:rPr>
          <w:bCs/>
        </w:rPr>
        <w:t>р</w:t>
      </w:r>
      <w:r>
        <w:rPr>
          <w:bCs/>
        </w:rPr>
        <w:t>ања</w:t>
      </w:r>
      <w:r w:rsidR="00847B04" w:rsidRPr="00F6340E">
        <w:rPr>
          <w:bCs/>
        </w:rPr>
        <w:t xml:space="preserve"> </w:t>
      </w:r>
      <w:r>
        <w:rPr>
          <w:bCs/>
        </w:rPr>
        <w:t>филмо</w:t>
      </w:r>
      <w:r w:rsidR="0071360A">
        <w:rPr>
          <w:bCs/>
        </w:rPr>
        <w:t>в</w:t>
      </w:r>
      <w:r>
        <w:rPr>
          <w:bCs/>
        </w:rPr>
        <w:t>а</w:t>
      </w:r>
      <w:r w:rsidR="00847B04" w:rsidRPr="00F6340E">
        <w:rPr>
          <w:bCs/>
        </w:rPr>
        <w:t xml:space="preserve">, </w:t>
      </w:r>
      <w:r>
        <w:rPr>
          <w:bCs/>
        </w:rPr>
        <w:t>ин</w:t>
      </w:r>
      <w:r w:rsidR="0071360A">
        <w:rPr>
          <w:bCs/>
        </w:rPr>
        <w:t>стру</w:t>
      </w:r>
      <w:r>
        <w:rPr>
          <w:bCs/>
        </w:rPr>
        <w:t>кција</w:t>
      </w:r>
      <w:r w:rsidR="00847B04" w:rsidRPr="00F6340E">
        <w:rPr>
          <w:bCs/>
        </w:rPr>
        <w:t xml:space="preserve">, </w:t>
      </w:r>
      <w:r>
        <w:rPr>
          <w:bCs/>
        </w:rPr>
        <w:t>а</w:t>
      </w:r>
      <w:r w:rsidR="0071360A">
        <w:rPr>
          <w:bCs/>
        </w:rPr>
        <w:t>у</w:t>
      </w:r>
      <w:r>
        <w:rPr>
          <w:bCs/>
        </w:rPr>
        <w:t>дио</w:t>
      </w:r>
      <w:r w:rsidR="00847B04" w:rsidRPr="00F6340E">
        <w:rPr>
          <w:bCs/>
        </w:rPr>
        <w:t xml:space="preserve"> </w:t>
      </w:r>
      <w:r>
        <w:rPr>
          <w:bCs/>
        </w:rPr>
        <w:t>и</w:t>
      </w:r>
      <w:r w:rsidR="00847B04" w:rsidRPr="00F6340E">
        <w:rPr>
          <w:bCs/>
        </w:rPr>
        <w:t xml:space="preserve"> </w:t>
      </w:r>
      <w:r w:rsidR="0071360A">
        <w:rPr>
          <w:bCs/>
        </w:rPr>
        <w:t>в</w:t>
      </w:r>
      <w:r>
        <w:rPr>
          <w:bCs/>
        </w:rPr>
        <w:t>ид</w:t>
      </w:r>
      <w:r w:rsidR="00EE6AA2">
        <w:rPr>
          <w:bCs/>
        </w:rPr>
        <w:t>е</w:t>
      </w:r>
      <w:r>
        <w:rPr>
          <w:bCs/>
        </w:rPr>
        <w:t>о</w:t>
      </w:r>
      <w:r w:rsidR="00847B04" w:rsidRPr="00F6340E">
        <w:rPr>
          <w:bCs/>
        </w:rPr>
        <w:t xml:space="preserve"> </w:t>
      </w:r>
      <w:r>
        <w:rPr>
          <w:bCs/>
        </w:rPr>
        <w:t>ма</w:t>
      </w:r>
      <w:r w:rsidR="0071360A">
        <w:rPr>
          <w:bCs/>
        </w:rPr>
        <w:t>т</w:t>
      </w:r>
      <w:r w:rsidR="00EE6AA2">
        <w:rPr>
          <w:bCs/>
        </w:rPr>
        <w:t>е</w:t>
      </w:r>
      <w:r w:rsidR="0071360A">
        <w:rPr>
          <w:bCs/>
        </w:rPr>
        <w:t>р</w:t>
      </w:r>
      <w:r>
        <w:rPr>
          <w:bCs/>
        </w:rPr>
        <w:t>ијала</w:t>
      </w:r>
      <w:r w:rsidR="00847B04" w:rsidRPr="00F6340E">
        <w:rPr>
          <w:bCs/>
        </w:rPr>
        <w:t xml:space="preserve">, </w:t>
      </w:r>
      <w:r>
        <w:rPr>
          <w:bCs/>
        </w:rPr>
        <w:t>диги</w:t>
      </w:r>
      <w:r w:rsidR="0071360A">
        <w:rPr>
          <w:bCs/>
        </w:rPr>
        <w:t>т</w:t>
      </w:r>
      <w:r>
        <w:rPr>
          <w:bCs/>
        </w:rPr>
        <w:t>алних</w:t>
      </w:r>
      <w:r w:rsidR="00847B04" w:rsidRPr="00F6340E">
        <w:rPr>
          <w:bCs/>
        </w:rPr>
        <w:t xml:space="preserve"> </w:t>
      </w:r>
      <w:r w:rsidR="0071360A">
        <w:rPr>
          <w:bCs/>
        </w:rPr>
        <w:t>с</w:t>
      </w:r>
      <w:r>
        <w:rPr>
          <w:bCs/>
        </w:rPr>
        <w:t>им</w:t>
      </w:r>
      <w:r w:rsidR="0071360A">
        <w:rPr>
          <w:bCs/>
        </w:rPr>
        <w:t>у</w:t>
      </w:r>
      <w:r>
        <w:rPr>
          <w:bCs/>
        </w:rPr>
        <w:t>лација</w:t>
      </w:r>
      <w:r w:rsidR="00847B04" w:rsidRPr="00F6340E">
        <w:rPr>
          <w:bCs/>
        </w:rPr>
        <w:t xml:space="preserve"> </w:t>
      </w:r>
      <w:r>
        <w:rPr>
          <w:bCs/>
        </w:rPr>
        <w:t>а</w:t>
      </w:r>
      <w:r w:rsidR="00847B04" w:rsidRPr="00F6340E">
        <w:rPr>
          <w:bCs/>
        </w:rPr>
        <w:t xml:space="preserve"> </w:t>
      </w:r>
      <w:r w:rsidR="0071360A">
        <w:rPr>
          <w:bCs/>
        </w:rPr>
        <w:t>п</w:t>
      </w:r>
      <w:r>
        <w:rPr>
          <w:bCs/>
        </w:rPr>
        <w:t>о</w:t>
      </w:r>
      <w:r w:rsidR="0071360A">
        <w:rPr>
          <w:bCs/>
        </w:rPr>
        <w:t>с</w:t>
      </w:r>
      <w:r w:rsidR="00EE6AA2">
        <w:rPr>
          <w:bCs/>
        </w:rPr>
        <w:t>е</w:t>
      </w:r>
      <w:r>
        <w:rPr>
          <w:bCs/>
        </w:rPr>
        <w:t>бно</w:t>
      </w:r>
      <w:r w:rsidR="00847B04" w:rsidRPr="00F6340E">
        <w:rPr>
          <w:bCs/>
        </w:rPr>
        <w:t xml:space="preserve"> </w:t>
      </w:r>
      <w:r>
        <w:rPr>
          <w:bCs/>
        </w:rPr>
        <w:t>ала</w:t>
      </w:r>
      <w:r w:rsidR="0071360A">
        <w:rPr>
          <w:bCs/>
        </w:rPr>
        <w:t>т</w:t>
      </w:r>
      <w:r>
        <w:rPr>
          <w:bCs/>
        </w:rPr>
        <w:t>а</w:t>
      </w:r>
      <w:r w:rsidR="00847B04" w:rsidRPr="00F6340E">
        <w:rPr>
          <w:bCs/>
        </w:rPr>
        <w:t xml:space="preserve"> </w:t>
      </w:r>
      <w:r>
        <w:rPr>
          <w:bCs/>
        </w:rPr>
        <w:t>који</w:t>
      </w:r>
      <w:r w:rsidR="00847B04" w:rsidRPr="00F6340E">
        <w:rPr>
          <w:bCs/>
        </w:rPr>
        <w:t xml:space="preserve"> </w:t>
      </w:r>
      <w:r w:rsidR="0071360A">
        <w:rPr>
          <w:bCs/>
        </w:rPr>
        <w:t>п</w:t>
      </w:r>
      <w:r>
        <w:rPr>
          <w:bCs/>
        </w:rPr>
        <w:t>о</w:t>
      </w:r>
      <w:r w:rsidR="0071360A">
        <w:rPr>
          <w:bCs/>
        </w:rPr>
        <w:t>в</w:t>
      </w:r>
      <w:r w:rsidR="00EE6AA2">
        <w:rPr>
          <w:bCs/>
        </w:rPr>
        <w:t>е</w:t>
      </w:r>
      <w:r>
        <w:rPr>
          <w:bCs/>
        </w:rPr>
        <w:t>ћа</w:t>
      </w:r>
      <w:r w:rsidR="0071360A">
        <w:rPr>
          <w:bCs/>
        </w:rPr>
        <w:t>в</w:t>
      </w:r>
      <w:r>
        <w:rPr>
          <w:bCs/>
        </w:rPr>
        <w:t>ај</w:t>
      </w:r>
      <w:r w:rsidR="0071360A">
        <w:rPr>
          <w:bCs/>
        </w:rPr>
        <w:t>у</w:t>
      </w:r>
      <w:r w:rsidR="00847B04" w:rsidRPr="00F6340E">
        <w:rPr>
          <w:bCs/>
        </w:rPr>
        <w:t xml:space="preserve"> </w:t>
      </w:r>
      <w:r w:rsidR="0071360A">
        <w:rPr>
          <w:bCs/>
        </w:rPr>
        <w:t>у</w:t>
      </w:r>
      <w:r>
        <w:rPr>
          <w:bCs/>
        </w:rPr>
        <w:t>кљ</w:t>
      </w:r>
      <w:r w:rsidR="0071360A">
        <w:rPr>
          <w:bCs/>
        </w:rPr>
        <w:t>у</w:t>
      </w:r>
      <w:r>
        <w:rPr>
          <w:bCs/>
        </w:rPr>
        <w:t>ч</w:t>
      </w:r>
      <w:r w:rsidR="00EE6AA2">
        <w:rPr>
          <w:bCs/>
        </w:rPr>
        <w:t>е</w:t>
      </w:r>
      <w:r>
        <w:rPr>
          <w:bCs/>
        </w:rPr>
        <w:t>но</w:t>
      </w:r>
      <w:r w:rsidR="0071360A">
        <w:rPr>
          <w:bCs/>
        </w:rPr>
        <w:t>ст</w:t>
      </w:r>
      <w:r w:rsidR="00847B04" w:rsidRPr="00F6340E">
        <w:rPr>
          <w:bCs/>
        </w:rPr>
        <w:t xml:space="preserve"> </w:t>
      </w:r>
      <w:r w:rsidR="0071360A">
        <w:rPr>
          <w:bCs/>
        </w:rPr>
        <w:t>сту</w:t>
      </w:r>
      <w:r>
        <w:rPr>
          <w:bCs/>
        </w:rPr>
        <w:t>д</w:t>
      </w:r>
      <w:r w:rsidR="00EE6AA2">
        <w:rPr>
          <w:bCs/>
        </w:rPr>
        <w:t>е</w:t>
      </w:r>
      <w:r>
        <w:rPr>
          <w:bCs/>
        </w:rPr>
        <w:t>на</w:t>
      </w:r>
      <w:r w:rsidR="0071360A">
        <w:rPr>
          <w:bCs/>
        </w:rPr>
        <w:t>т</w:t>
      </w:r>
      <w:r>
        <w:rPr>
          <w:bCs/>
        </w:rPr>
        <w:t>а</w:t>
      </w:r>
      <w:r w:rsidR="00847B04" w:rsidRPr="00F6340E">
        <w:rPr>
          <w:bCs/>
        </w:rPr>
        <w:t xml:space="preserve"> </w:t>
      </w:r>
      <w:r>
        <w:rPr>
          <w:bCs/>
        </w:rPr>
        <w:t>и</w:t>
      </w:r>
      <w:r w:rsidR="00847B04" w:rsidRPr="00F6340E">
        <w:rPr>
          <w:bCs/>
        </w:rPr>
        <w:t xml:space="preserve"> </w:t>
      </w:r>
      <w:r>
        <w:rPr>
          <w:bCs/>
        </w:rPr>
        <w:t>ин</w:t>
      </w:r>
      <w:r w:rsidR="0071360A">
        <w:rPr>
          <w:bCs/>
        </w:rPr>
        <w:t>т</w:t>
      </w:r>
      <w:r w:rsidR="00EE6AA2">
        <w:rPr>
          <w:bCs/>
        </w:rPr>
        <w:t>е</w:t>
      </w:r>
      <w:r w:rsidR="0071360A">
        <w:rPr>
          <w:bCs/>
        </w:rPr>
        <w:t>р</w:t>
      </w:r>
      <w:r>
        <w:rPr>
          <w:bCs/>
        </w:rPr>
        <w:t>акциј</w:t>
      </w:r>
      <w:r w:rsidR="0071360A">
        <w:rPr>
          <w:bCs/>
        </w:rPr>
        <w:t>у</w:t>
      </w:r>
      <w:r w:rsidR="00847B04" w:rsidRPr="00F6340E">
        <w:rPr>
          <w:bCs/>
        </w:rPr>
        <w:t xml:space="preserve"> </w:t>
      </w:r>
      <w:r w:rsidR="0071360A">
        <w:rPr>
          <w:bCs/>
        </w:rPr>
        <w:t>у</w:t>
      </w:r>
      <w:r w:rsidR="00847B04" w:rsidRPr="00F6340E">
        <w:rPr>
          <w:bCs/>
        </w:rPr>
        <w:t xml:space="preserve"> </w:t>
      </w:r>
      <w:r>
        <w:rPr>
          <w:bCs/>
        </w:rPr>
        <w:t>на</w:t>
      </w:r>
      <w:r w:rsidR="0071360A">
        <w:rPr>
          <w:bCs/>
        </w:rPr>
        <w:t>ст</w:t>
      </w:r>
      <w:r>
        <w:rPr>
          <w:bCs/>
        </w:rPr>
        <w:t>а</w:t>
      </w:r>
      <w:r w:rsidR="0071360A">
        <w:rPr>
          <w:bCs/>
        </w:rPr>
        <w:t>в</w:t>
      </w:r>
      <w:r>
        <w:rPr>
          <w:bCs/>
        </w:rPr>
        <w:t>ном</w:t>
      </w:r>
      <w:r w:rsidR="00847B04" w:rsidRPr="00F6340E">
        <w:rPr>
          <w:bCs/>
        </w:rPr>
        <w:t xml:space="preserve"> </w:t>
      </w:r>
      <w:r w:rsidR="0071360A">
        <w:rPr>
          <w:bCs/>
        </w:rPr>
        <w:t>пр</w:t>
      </w:r>
      <w:r>
        <w:rPr>
          <w:bCs/>
        </w:rPr>
        <w:t>оц</w:t>
      </w:r>
      <w:r w:rsidR="00EE6AA2">
        <w:rPr>
          <w:bCs/>
        </w:rPr>
        <w:t>е</w:t>
      </w:r>
      <w:r w:rsidR="0071360A">
        <w:rPr>
          <w:bCs/>
        </w:rPr>
        <w:t>су</w:t>
      </w:r>
      <w:r w:rsidR="00847B04" w:rsidRPr="00F6340E">
        <w:rPr>
          <w:bCs/>
        </w:rPr>
        <w:t xml:space="preserve"> </w:t>
      </w:r>
      <w:r>
        <w:rPr>
          <w:bCs/>
        </w:rPr>
        <w:t>као</w:t>
      </w:r>
      <w:r w:rsidR="00847B04" w:rsidRPr="00F6340E">
        <w:rPr>
          <w:bCs/>
        </w:rPr>
        <w:t xml:space="preserve"> </w:t>
      </w:r>
      <w:r w:rsidR="0071360A">
        <w:rPr>
          <w:bCs/>
        </w:rPr>
        <w:t>шт</w:t>
      </w:r>
      <w:r>
        <w:rPr>
          <w:bCs/>
        </w:rPr>
        <w:t>о</w:t>
      </w:r>
      <w:r w:rsidR="00847B04" w:rsidRPr="00F6340E">
        <w:rPr>
          <w:bCs/>
        </w:rPr>
        <w:t xml:space="preserve"> </w:t>
      </w:r>
      <w:r w:rsidR="0071360A">
        <w:rPr>
          <w:bCs/>
        </w:rPr>
        <w:t>су</w:t>
      </w:r>
      <w:r w:rsidR="00847B04" w:rsidRPr="00F6340E">
        <w:rPr>
          <w:bCs/>
        </w:rPr>
        <w:t xml:space="preserve"> </w:t>
      </w:r>
      <w:r>
        <w:rPr>
          <w:bCs/>
        </w:rPr>
        <w:t>н</w:t>
      </w:r>
      <w:r w:rsidR="0071360A">
        <w:rPr>
          <w:bCs/>
        </w:rPr>
        <w:t>пр</w:t>
      </w:r>
      <w:r w:rsidR="00847B04" w:rsidRPr="00F6340E">
        <w:rPr>
          <w:bCs/>
        </w:rPr>
        <w:t xml:space="preserve">. </w:t>
      </w:r>
      <w:r>
        <w:rPr>
          <w:rStyle w:val="None"/>
          <w:rFonts w:cs="Arial"/>
        </w:rPr>
        <w:t>диј</w:t>
      </w:r>
      <w:r w:rsidR="00EE6AA2">
        <w:rPr>
          <w:rStyle w:val="None"/>
          <w:rFonts w:cs="Arial"/>
        </w:rPr>
        <w:t>е</w:t>
      </w:r>
      <w:r>
        <w:rPr>
          <w:rStyle w:val="None"/>
          <w:rFonts w:cs="Arial"/>
        </w:rPr>
        <w:t>љ</w:t>
      </w:r>
      <w:r w:rsidR="00EE6AA2">
        <w:rPr>
          <w:rStyle w:val="None"/>
          <w:rFonts w:cs="Arial"/>
        </w:rPr>
        <w:t>е</w:t>
      </w:r>
      <w:r>
        <w:rPr>
          <w:rStyle w:val="None"/>
          <w:rFonts w:cs="Arial"/>
        </w:rPr>
        <w:t>њ</w:t>
      </w:r>
      <w:r w:rsidR="00EE6AA2">
        <w:rPr>
          <w:rStyle w:val="None"/>
          <w:rFonts w:cs="Arial"/>
        </w:rPr>
        <w:t>е</w:t>
      </w:r>
      <w:r w:rsidR="00847B04" w:rsidRPr="00F6340E">
        <w:rPr>
          <w:rStyle w:val="None"/>
          <w:rFonts w:cs="Arial"/>
        </w:rPr>
        <w:t xml:space="preserve"> </w:t>
      </w:r>
      <w:r w:rsidR="0071360A">
        <w:rPr>
          <w:rStyle w:val="None"/>
          <w:rFonts w:cs="Arial"/>
        </w:rPr>
        <w:t>сту</w:t>
      </w:r>
      <w:r>
        <w:rPr>
          <w:rStyle w:val="None"/>
          <w:rFonts w:cs="Arial"/>
        </w:rPr>
        <w:t>д</w:t>
      </w:r>
      <w:r w:rsidR="00EE6AA2">
        <w:rPr>
          <w:rStyle w:val="None"/>
          <w:rFonts w:cs="Arial"/>
        </w:rPr>
        <w:t>е</w:t>
      </w:r>
      <w:r>
        <w:rPr>
          <w:rStyle w:val="None"/>
          <w:rFonts w:cs="Arial"/>
        </w:rPr>
        <w:t>на</w:t>
      </w:r>
      <w:r w:rsidR="0071360A">
        <w:rPr>
          <w:rStyle w:val="None"/>
          <w:rFonts w:cs="Arial"/>
        </w:rPr>
        <w:t>т</w:t>
      </w:r>
      <w:r>
        <w:rPr>
          <w:rStyle w:val="None"/>
          <w:rFonts w:cs="Arial"/>
        </w:rPr>
        <w:t>а</w:t>
      </w:r>
      <w:r w:rsidR="00847B04" w:rsidRPr="00F6340E">
        <w:rPr>
          <w:rStyle w:val="None"/>
          <w:rFonts w:cs="Arial"/>
        </w:rPr>
        <w:t xml:space="preserve"> </w:t>
      </w:r>
      <w:r w:rsidR="0071360A">
        <w:rPr>
          <w:rStyle w:val="None"/>
          <w:rFonts w:cs="Arial"/>
        </w:rPr>
        <w:t>у</w:t>
      </w:r>
      <w:r w:rsidR="00847B04" w:rsidRPr="00F6340E">
        <w:rPr>
          <w:rStyle w:val="None"/>
          <w:rFonts w:cs="Arial"/>
        </w:rPr>
        <w:t xml:space="preserve"> </w:t>
      </w:r>
      <w:r>
        <w:rPr>
          <w:rStyle w:val="None"/>
          <w:rFonts w:cs="Arial"/>
        </w:rPr>
        <w:t>мањ</w:t>
      </w:r>
      <w:r w:rsidR="00EE6AA2">
        <w:rPr>
          <w:rStyle w:val="None"/>
          <w:rFonts w:cs="Arial"/>
        </w:rPr>
        <w:t>е</w:t>
      </w:r>
      <w:r w:rsidR="00847B04" w:rsidRPr="00F6340E">
        <w:rPr>
          <w:rStyle w:val="None"/>
          <w:rFonts w:cs="Arial"/>
        </w:rPr>
        <w:t xml:space="preserve"> </w:t>
      </w:r>
      <w:r w:rsidR="0071360A">
        <w:rPr>
          <w:rStyle w:val="None"/>
          <w:rFonts w:cs="Arial"/>
        </w:rPr>
        <w:t>р</w:t>
      </w:r>
      <w:r>
        <w:rPr>
          <w:rStyle w:val="None"/>
          <w:rFonts w:cs="Arial"/>
        </w:rPr>
        <w:t>адн</w:t>
      </w:r>
      <w:r w:rsidR="00EE6AA2">
        <w:rPr>
          <w:rStyle w:val="None"/>
          <w:rFonts w:cs="Arial"/>
        </w:rPr>
        <w:t>е</w:t>
      </w:r>
      <w:r w:rsidR="00847B04" w:rsidRPr="00F6340E">
        <w:rPr>
          <w:rStyle w:val="None"/>
          <w:rFonts w:cs="Arial"/>
        </w:rPr>
        <w:t xml:space="preserve"> </w:t>
      </w:r>
      <w:r>
        <w:rPr>
          <w:rStyle w:val="None"/>
          <w:rFonts w:cs="Arial"/>
        </w:rPr>
        <w:t>г</w:t>
      </w:r>
      <w:r w:rsidR="0071360A">
        <w:rPr>
          <w:rStyle w:val="None"/>
          <w:rFonts w:cs="Arial"/>
        </w:rPr>
        <w:t>руп</w:t>
      </w:r>
      <w:r w:rsidR="00EE6AA2">
        <w:rPr>
          <w:rStyle w:val="None"/>
          <w:rFonts w:cs="Arial"/>
        </w:rPr>
        <w:t>е</w:t>
      </w:r>
      <w:r w:rsidR="00847B04" w:rsidRPr="00F6340E">
        <w:rPr>
          <w:rStyle w:val="None"/>
          <w:rFonts w:cs="Arial"/>
        </w:rPr>
        <w:t xml:space="preserve">, </w:t>
      </w:r>
      <w:r>
        <w:rPr>
          <w:rStyle w:val="None"/>
          <w:rFonts w:cs="Arial"/>
        </w:rPr>
        <w:t>к</w:t>
      </w:r>
      <w:r w:rsidR="0071360A">
        <w:rPr>
          <w:rStyle w:val="None"/>
          <w:rFonts w:cs="Arial"/>
        </w:rPr>
        <w:t>р</w:t>
      </w:r>
      <w:r>
        <w:rPr>
          <w:rStyle w:val="None"/>
          <w:rFonts w:cs="Arial"/>
        </w:rPr>
        <w:t>о</w:t>
      </w:r>
      <w:r w:rsidR="00171F00">
        <w:rPr>
          <w:rStyle w:val="None"/>
          <w:rFonts w:cs="Arial"/>
        </w:rPr>
        <w:t>з</w:t>
      </w:r>
      <w:r w:rsidR="00847B04" w:rsidRPr="00F6340E">
        <w:rPr>
          <w:rStyle w:val="None"/>
          <w:rFonts w:cs="Arial"/>
        </w:rPr>
        <w:t xml:space="preserve"> </w:t>
      </w:r>
      <w:r>
        <w:rPr>
          <w:rStyle w:val="None"/>
          <w:rFonts w:cs="Arial"/>
        </w:rPr>
        <w:t>о</w:t>
      </w:r>
      <w:r w:rsidR="0071360A">
        <w:rPr>
          <w:rStyle w:val="None"/>
          <w:rFonts w:cs="Arial"/>
        </w:rPr>
        <w:t>п</w:t>
      </w:r>
      <w:r>
        <w:rPr>
          <w:rStyle w:val="None"/>
          <w:rFonts w:cs="Arial"/>
        </w:rPr>
        <w:t>циј</w:t>
      </w:r>
      <w:r w:rsidR="00EE6AA2">
        <w:rPr>
          <w:rStyle w:val="None"/>
          <w:rFonts w:cs="Arial"/>
        </w:rPr>
        <w:t>е</w:t>
      </w:r>
      <w:r w:rsidR="00847B04" w:rsidRPr="00F6340E">
        <w:rPr>
          <w:rStyle w:val="None"/>
          <w:rFonts w:cs="Arial"/>
        </w:rPr>
        <w:t xml:space="preserve"> </w:t>
      </w:r>
      <w:r w:rsidR="005549C9">
        <w:rPr>
          <w:rStyle w:val="None"/>
          <w:rFonts w:cs="Arial"/>
          <w:i/>
          <w:lang w:val="hr-BA"/>
        </w:rPr>
        <w:t xml:space="preserve">breakout rooms </w:t>
      </w:r>
      <w:r w:rsidR="0071360A">
        <w:rPr>
          <w:rStyle w:val="None"/>
          <w:rFonts w:cs="Arial"/>
          <w:iCs/>
        </w:rPr>
        <w:t>у</w:t>
      </w:r>
      <w:r w:rsidR="00847B04" w:rsidRPr="00F6340E">
        <w:rPr>
          <w:rStyle w:val="None"/>
          <w:rFonts w:cs="Arial"/>
          <w:iCs/>
        </w:rPr>
        <w:t xml:space="preserve"> </w:t>
      </w:r>
      <w:r w:rsidR="0071360A">
        <w:rPr>
          <w:rStyle w:val="None"/>
          <w:rFonts w:cs="Arial"/>
          <w:iCs/>
        </w:rPr>
        <w:t>с</w:t>
      </w:r>
      <w:r>
        <w:rPr>
          <w:rStyle w:val="None"/>
          <w:rFonts w:cs="Arial"/>
          <w:iCs/>
        </w:rPr>
        <w:t>оф</w:t>
      </w:r>
      <w:r w:rsidR="0071360A">
        <w:rPr>
          <w:rStyle w:val="None"/>
          <w:rFonts w:cs="Arial"/>
          <w:iCs/>
        </w:rPr>
        <w:t>тв</w:t>
      </w:r>
      <w:r w:rsidR="00EE6AA2">
        <w:rPr>
          <w:rStyle w:val="None"/>
          <w:rFonts w:cs="Arial"/>
          <w:iCs/>
        </w:rPr>
        <w:t>е</w:t>
      </w:r>
      <w:r w:rsidR="0071360A">
        <w:rPr>
          <w:rStyle w:val="None"/>
          <w:rFonts w:cs="Arial"/>
          <w:iCs/>
        </w:rPr>
        <w:t>р</w:t>
      </w:r>
      <w:r>
        <w:rPr>
          <w:rStyle w:val="None"/>
          <w:rFonts w:cs="Arial"/>
          <w:iCs/>
        </w:rPr>
        <w:t>има</w:t>
      </w:r>
      <w:r w:rsidR="00847B04" w:rsidRPr="00F6340E">
        <w:rPr>
          <w:rStyle w:val="None"/>
          <w:rFonts w:cs="Arial"/>
          <w:iCs/>
        </w:rPr>
        <w:t xml:space="preserve"> </w:t>
      </w:r>
      <w:r w:rsidR="00171F00">
        <w:rPr>
          <w:rStyle w:val="None"/>
          <w:rFonts w:cs="Arial"/>
        </w:rPr>
        <w:t>З</w:t>
      </w:r>
      <w:r w:rsidR="005549C9">
        <w:rPr>
          <w:rStyle w:val="None"/>
          <w:rFonts w:cs="Arial"/>
          <w:lang w:val="hr-BA"/>
        </w:rPr>
        <w:t>u</w:t>
      </w:r>
      <w:r>
        <w:rPr>
          <w:rStyle w:val="None"/>
          <w:rFonts w:cs="Arial"/>
        </w:rPr>
        <w:t>м</w:t>
      </w:r>
      <w:r w:rsidR="00847B04" w:rsidRPr="00F6340E">
        <w:rPr>
          <w:rStyle w:val="None"/>
          <w:rFonts w:cs="Arial"/>
        </w:rPr>
        <w:t xml:space="preserve"> </w:t>
      </w:r>
      <w:r>
        <w:rPr>
          <w:rStyle w:val="None"/>
          <w:rFonts w:cs="Arial"/>
        </w:rPr>
        <w:t>и</w:t>
      </w:r>
      <w:r w:rsidR="00847B04" w:rsidRPr="00F6340E">
        <w:rPr>
          <w:rStyle w:val="None"/>
          <w:rFonts w:cs="Arial"/>
        </w:rPr>
        <w:t xml:space="preserve"> </w:t>
      </w:r>
      <w:r w:rsidR="005549C9">
        <w:rPr>
          <w:rStyle w:val="None"/>
          <w:rFonts w:cs="Arial"/>
        </w:rPr>
        <w:t>Тимс</w:t>
      </w:r>
      <w:r w:rsidR="00847B04" w:rsidRPr="00F6340E">
        <w:rPr>
          <w:bCs/>
        </w:rPr>
        <w:t xml:space="preserve">. </w:t>
      </w:r>
      <w:r w:rsidR="0071360A">
        <w:rPr>
          <w:bCs/>
        </w:rPr>
        <w:t>Т</w:t>
      </w:r>
      <w:r>
        <w:rPr>
          <w:bCs/>
        </w:rPr>
        <w:t>акођ</w:t>
      </w:r>
      <w:r w:rsidR="00EE6AA2">
        <w:rPr>
          <w:bCs/>
        </w:rPr>
        <w:t>е</w:t>
      </w:r>
      <w:r w:rsidR="00847B04" w:rsidRPr="00F6340E">
        <w:rPr>
          <w:bCs/>
        </w:rPr>
        <w:t xml:space="preserve">, </w:t>
      </w:r>
      <w:r w:rsidR="0071360A">
        <w:rPr>
          <w:bCs/>
        </w:rPr>
        <w:t>у</w:t>
      </w:r>
      <w:r w:rsidR="00847B04" w:rsidRPr="00F6340E">
        <w:rPr>
          <w:bCs/>
        </w:rPr>
        <w:t xml:space="preserve"> </w:t>
      </w:r>
      <w:r>
        <w:rPr>
          <w:bCs/>
        </w:rPr>
        <w:t>и</w:t>
      </w:r>
      <w:r w:rsidR="0071360A">
        <w:rPr>
          <w:bCs/>
        </w:rPr>
        <w:t>ст</w:t>
      </w:r>
      <w:r>
        <w:rPr>
          <w:bCs/>
        </w:rPr>
        <w:t>ој</w:t>
      </w:r>
      <w:r w:rsidR="00847B04" w:rsidRPr="00F6340E">
        <w:rPr>
          <w:bCs/>
        </w:rPr>
        <w:t xml:space="preserve"> </w:t>
      </w:r>
      <w:r w:rsidR="0071360A">
        <w:rPr>
          <w:bCs/>
        </w:rPr>
        <w:t>Сту</w:t>
      </w:r>
      <w:r>
        <w:rPr>
          <w:bCs/>
        </w:rPr>
        <w:t>дији</w:t>
      </w:r>
      <w:r w:rsidR="00847B04" w:rsidRPr="00F6340E">
        <w:rPr>
          <w:bCs/>
        </w:rPr>
        <w:t xml:space="preserve"> </w:t>
      </w:r>
      <w:r w:rsidR="0071360A">
        <w:rPr>
          <w:bCs/>
        </w:rPr>
        <w:t>с</w:t>
      </w:r>
      <w:r w:rsidR="00EE6AA2">
        <w:rPr>
          <w:bCs/>
        </w:rPr>
        <w:t>е</w:t>
      </w:r>
      <w:r w:rsidR="00847B04" w:rsidRPr="00F6340E">
        <w:rPr>
          <w:bCs/>
        </w:rPr>
        <w:t xml:space="preserve"> </w:t>
      </w:r>
      <w:r>
        <w:rPr>
          <w:bCs/>
        </w:rPr>
        <w:t>на</w:t>
      </w:r>
      <w:r w:rsidR="0071360A">
        <w:rPr>
          <w:bCs/>
        </w:rPr>
        <w:t>в</w:t>
      </w:r>
      <w:r>
        <w:rPr>
          <w:bCs/>
        </w:rPr>
        <w:t>оди</w:t>
      </w:r>
      <w:r w:rsidR="00847B04" w:rsidRPr="00F6340E">
        <w:rPr>
          <w:bCs/>
        </w:rPr>
        <w:t xml:space="preserve"> </w:t>
      </w:r>
      <w:r>
        <w:rPr>
          <w:bCs/>
        </w:rPr>
        <w:t>да</w:t>
      </w:r>
      <w:r w:rsidR="00847B04" w:rsidRPr="00F6340E">
        <w:rPr>
          <w:bCs/>
        </w:rPr>
        <w:t xml:space="preserve"> </w:t>
      </w:r>
      <w:r>
        <w:rPr>
          <w:bCs/>
        </w:rPr>
        <w:t>ј</w:t>
      </w:r>
      <w:r w:rsidR="00EE6AA2">
        <w:rPr>
          <w:bCs/>
        </w:rPr>
        <w:t>е</w:t>
      </w:r>
      <w:r w:rsidR="00847B04" w:rsidRPr="00F6340E">
        <w:rPr>
          <w:bCs/>
        </w:rPr>
        <w:t xml:space="preserve"> </w:t>
      </w:r>
      <w:r>
        <w:rPr>
          <w:rStyle w:val="None"/>
          <w:rFonts w:cs="Arial"/>
          <w:bCs/>
        </w:rPr>
        <w:t>д</w:t>
      </w:r>
      <w:r w:rsidR="0071360A">
        <w:rPr>
          <w:rStyle w:val="None"/>
          <w:rFonts w:cs="Arial"/>
          <w:bCs/>
        </w:rPr>
        <w:t>в</w:t>
      </w:r>
      <w:r>
        <w:rPr>
          <w:rStyle w:val="None"/>
          <w:rFonts w:cs="Arial"/>
          <w:bCs/>
        </w:rPr>
        <w:t>иј</w:t>
      </w:r>
      <w:r w:rsidR="00EE6AA2">
        <w:rPr>
          <w:rStyle w:val="None"/>
          <w:rFonts w:cs="Arial"/>
          <w:bCs/>
        </w:rPr>
        <w:t>е</w:t>
      </w:r>
      <w:r w:rsidR="00847B04" w:rsidRPr="00F6340E">
        <w:rPr>
          <w:rStyle w:val="None"/>
          <w:rFonts w:cs="Arial"/>
          <w:bCs/>
        </w:rPr>
        <w:t xml:space="preserve"> </w:t>
      </w:r>
      <w:r w:rsidR="0071360A">
        <w:rPr>
          <w:rStyle w:val="None"/>
          <w:rFonts w:cs="Arial"/>
          <w:bCs/>
        </w:rPr>
        <w:t>тр</w:t>
      </w:r>
      <w:r w:rsidR="00EE6AA2">
        <w:rPr>
          <w:rStyle w:val="None"/>
          <w:rFonts w:cs="Arial"/>
          <w:bCs/>
        </w:rPr>
        <w:t>е</w:t>
      </w:r>
      <w:r>
        <w:rPr>
          <w:rStyle w:val="None"/>
          <w:rFonts w:cs="Arial"/>
          <w:bCs/>
        </w:rPr>
        <w:t>ћин</w:t>
      </w:r>
      <w:r w:rsidR="00EE6AA2">
        <w:rPr>
          <w:rStyle w:val="None"/>
          <w:rFonts w:cs="Arial"/>
          <w:bCs/>
        </w:rPr>
        <w:t>е</w:t>
      </w:r>
      <w:r w:rsidR="00CE3E8F" w:rsidRPr="00F6340E">
        <w:rPr>
          <w:rStyle w:val="None"/>
          <w:rFonts w:cs="Arial"/>
          <w:bCs/>
        </w:rPr>
        <w:t xml:space="preserve"> </w:t>
      </w:r>
      <w:r>
        <w:rPr>
          <w:rStyle w:val="None"/>
          <w:rFonts w:cs="Arial"/>
          <w:bCs/>
        </w:rPr>
        <w:t>и</w:t>
      </w:r>
      <w:r w:rsidR="0071360A">
        <w:rPr>
          <w:rStyle w:val="None"/>
          <w:rFonts w:cs="Arial"/>
          <w:bCs/>
        </w:rPr>
        <w:t>сп</w:t>
      </w:r>
      <w:r>
        <w:rPr>
          <w:rStyle w:val="None"/>
          <w:rFonts w:cs="Arial"/>
          <w:bCs/>
        </w:rPr>
        <w:t>и</w:t>
      </w:r>
      <w:r w:rsidR="0071360A">
        <w:rPr>
          <w:rStyle w:val="None"/>
          <w:rFonts w:cs="Arial"/>
          <w:bCs/>
        </w:rPr>
        <w:t>т</w:t>
      </w:r>
      <w:r>
        <w:rPr>
          <w:rStyle w:val="None"/>
          <w:rFonts w:cs="Arial"/>
          <w:bCs/>
        </w:rPr>
        <w:t>аних</w:t>
      </w:r>
      <w:r w:rsidR="00CE3E8F" w:rsidRPr="00F6340E">
        <w:rPr>
          <w:rStyle w:val="None"/>
          <w:rFonts w:cs="Arial"/>
          <w:bCs/>
        </w:rPr>
        <w:t xml:space="preserve"> </w:t>
      </w:r>
      <w:r>
        <w:rPr>
          <w:rStyle w:val="None"/>
          <w:rFonts w:cs="Arial"/>
          <w:bCs/>
        </w:rPr>
        <w:t>на</w:t>
      </w:r>
      <w:r w:rsidR="0071360A">
        <w:rPr>
          <w:rStyle w:val="None"/>
          <w:rFonts w:cs="Arial"/>
          <w:bCs/>
        </w:rPr>
        <w:t>ст</w:t>
      </w:r>
      <w:r>
        <w:rPr>
          <w:rStyle w:val="None"/>
          <w:rFonts w:cs="Arial"/>
          <w:bCs/>
        </w:rPr>
        <w:t>а</w:t>
      </w:r>
      <w:r w:rsidR="0071360A">
        <w:rPr>
          <w:rStyle w:val="None"/>
          <w:rFonts w:cs="Arial"/>
          <w:bCs/>
        </w:rPr>
        <w:t>в</w:t>
      </w:r>
      <w:r>
        <w:rPr>
          <w:rStyle w:val="None"/>
          <w:rFonts w:cs="Arial"/>
          <w:bCs/>
        </w:rPr>
        <w:t>ника</w:t>
      </w:r>
      <w:r w:rsidR="00CE3E8F" w:rsidRPr="00F6340E">
        <w:rPr>
          <w:rStyle w:val="None"/>
          <w:rFonts w:cs="Arial"/>
          <w:bCs/>
        </w:rPr>
        <w:t xml:space="preserve"> (69,</w:t>
      </w:r>
      <w:r w:rsidR="00847B04" w:rsidRPr="00F6340E">
        <w:rPr>
          <w:rStyle w:val="None"/>
          <w:rFonts w:cs="Arial"/>
          <w:bCs/>
        </w:rPr>
        <w:t xml:space="preserve">9%) </w:t>
      </w:r>
      <w:r>
        <w:rPr>
          <w:rStyle w:val="None"/>
          <w:rFonts w:cs="Arial"/>
          <w:bCs/>
        </w:rPr>
        <w:t>мо</w:t>
      </w:r>
      <w:r w:rsidR="0071360A">
        <w:rPr>
          <w:rStyle w:val="None"/>
          <w:rFonts w:cs="Arial"/>
          <w:bCs/>
        </w:rPr>
        <w:t>т</w:t>
      </w:r>
      <w:r>
        <w:rPr>
          <w:rStyle w:val="None"/>
          <w:rFonts w:cs="Arial"/>
          <w:bCs/>
        </w:rPr>
        <w:t>и</w:t>
      </w:r>
      <w:r w:rsidR="0071360A">
        <w:rPr>
          <w:rStyle w:val="None"/>
          <w:rFonts w:cs="Arial"/>
          <w:bCs/>
        </w:rPr>
        <w:t>в</w:t>
      </w:r>
      <w:r>
        <w:rPr>
          <w:rStyle w:val="None"/>
          <w:rFonts w:cs="Arial"/>
          <w:bCs/>
        </w:rPr>
        <w:t>и</w:t>
      </w:r>
      <w:r w:rsidR="0071360A">
        <w:rPr>
          <w:rStyle w:val="None"/>
          <w:rFonts w:cs="Arial"/>
          <w:bCs/>
        </w:rPr>
        <w:t>с</w:t>
      </w:r>
      <w:r>
        <w:rPr>
          <w:rStyle w:val="None"/>
          <w:rFonts w:cs="Arial"/>
          <w:bCs/>
        </w:rPr>
        <w:t>ано</w:t>
      </w:r>
      <w:r w:rsidR="00847B04" w:rsidRPr="00F6340E">
        <w:rPr>
          <w:rStyle w:val="None"/>
          <w:rFonts w:cs="Arial"/>
          <w:bCs/>
        </w:rPr>
        <w:t xml:space="preserve"> </w:t>
      </w:r>
      <w:r>
        <w:rPr>
          <w:rStyle w:val="None"/>
          <w:rFonts w:cs="Arial"/>
          <w:bCs/>
        </w:rPr>
        <w:t>да</w:t>
      </w:r>
      <w:r w:rsidR="00847B04" w:rsidRPr="00F6340E">
        <w:rPr>
          <w:rStyle w:val="None"/>
          <w:rFonts w:cs="Arial"/>
          <w:bCs/>
        </w:rPr>
        <w:t xml:space="preserve"> </w:t>
      </w:r>
      <w:r w:rsidR="0071360A">
        <w:rPr>
          <w:rStyle w:val="None"/>
          <w:rFonts w:cs="Arial"/>
          <w:bCs/>
        </w:rPr>
        <w:t>у</w:t>
      </w:r>
      <w:r w:rsidR="00847B04" w:rsidRPr="00F6340E">
        <w:rPr>
          <w:rStyle w:val="None"/>
          <w:rFonts w:cs="Arial"/>
          <w:bCs/>
        </w:rPr>
        <w:t xml:space="preserve"> </w:t>
      </w:r>
      <w:r>
        <w:rPr>
          <w:rStyle w:val="None"/>
          <w:rFonts w:cs="Arial"/>
          <w:bCs/>
        </w:rPr>
        <w:t>б</w:t>
      </w:r>
      <w:r w:rsidR="0071360A">
        <w:rPr>
          <w:rStyle w:val="None"/>
          <w:rFonts w:cs="Arial"/>
          <w:bCs/>
        </w:rPr>
        <w:t>у</w:t>
      </w:r>
      <w:r>
        <w:rPr>
          <w:rStyle w:val="None"/>
          <w:rFonts w:cs="Arial"/>
          <w:bCs/>
        </w:rPr>
        <w:t>д</w:t>
      </w:r>
      <w:r w:rsidR="0071360A">
        <w:rPr>
          <w:rStyle w:val="None"/>
          <w:rFonts w:cs="Arial"/>
          <w:bCs/>
        </w:rPr>
        <w:t>у</w:t>
      </w:r>
      <w:r>
        <w:rPr>
          <w:rStyle w:val="None"/>
          <w:rFonts w:cs="Arial"/>
          <w:bCs/>
        </w:rPr>
        <w:t>ћно</w:t>
      </w:r>
      <w:r w:rsidR="0071360A">
        <w:rPr>
          <w:rStyle w:val="None"/>
          <w:rFonts w:cs="Arial"/>
          <w:bCs/>
        </w:rPr>
        <w:t>ст</w:t>
      </w:r>
      <w:r>
        <w:rPr>
          <w:rStyle w:val="None"/>
          <w:rFonts w:cs="Arial"/>
          <w:bCs/>
        </w:rPr>
        <w:t>и</w:t>
      </w:r>
      <w:r w:rsidR="00847B04" w:rsidRPr="00F6340E">
        <w:rPr>
          <w:rStyle w:val="None"/>
          <w:rFonts w:cs="Arial"/>
          <w:bCs/>
        </w:rPr>
        <w:t xml:space="preserve"> </w:t>
      </w:r>
      <w:r w:rsidR="0071360A">
        <w:rPr>
          <w:rStyle w:val="None"/>
          <w:rFonts w:cs="Arial"/>
          <w:bCs/>
        </w:rPr>
        <w:t>у</w:t>
      </w:r>
      <w:r>
        <w:rPr>
          <w:rStyle w:val="None"/>
          <w:rFonts w:cs="Arial"/>
          <w:bCs/>
        </w:rPr>
        <w:t>на</w:t>
      </w:r>
      <w:r w:rsidR="0071360A">
        <w:rPr>
          <w:rStyle w:val="None"/>
          <w:rFonts w:cs="Arial"/>
          <w:bCs/>
        </w:rPr>
        <w:t>пр</w:t>
      </w:r>
      <w:r>
        <w:rPr>
          <w:rStyle w:val="None"/>
          <w:rFonts w:cs="Arial"/>
          <w:bCs/>
        </w:rPr>
        <w:t>иј</w:t>
      </w:r>
      <w:r w:rsidR="00EE6AA2">
        <w:rPr>
          <w:rStyle w:val="None"/>
          <w:rFonts w:cs="Arial"/>
          <w:bCs/>
        </w:rPr>
        <w:t>е</w:t>
      </w:r>
      <w:r>
        <w:rPr>
          <w:rStyle w:val="None"/>
          <w:rFonts w:cs="Arial"/>
          <w:bCs/>
        </w:rPr>
        <w:t>д</w:t>
      </w:r>
      <w:r w:rsidR="00EE6AA2">
        <w:rPr>
          <w:rStyle w:val="None"/>
          <w:rFonts w:cs="Arial"/>
          <w:bCs/>
        </w:rPr>
        <w:t>е</w:t>
      </w:r>
      <w:r w:rsidR="00847B04" w:rsidRPr="00F6340E">
        <w:rPr>
          <w:rStyle w:val="None"/>
          <w:rFonts w:cs="Arial"/>
          <w:bCs/>
        </w:rPr>
        <w:t xml:space="preserve"> </w:t>
      </w:r>
      <w:r w:rsidR="0071360A">
        <w:rPr>
          <w:rStyle w:val="None"/>
          <w:rFonts w:cs="Arial"/>
          <w:bCs/>
        </w:rPr>
        <w:t>п</w:t>
      </w:r>
      <w:r w:rsidR="00EE6AA2">
        <w:rPr>
          <w:rStyle w:val="None"/>
          <w:rFonts w:cs="Arial"/>
          <w:bCs/>
        </w:rPr>
        <w:t>е</w:t>
      </w:r>
      <w:r>
        <w:rPr>
          <w:rStyle w:val="None"/>
          <w:rFonts w:cs="Arial"/>
          <w:bCs/>
        </w:rPr>
        <w:t>даго</w:t>
      </w:r>
      <w:r w:rsidR="0071360A">
        <w:rPr>
          <w:rStyle w:val="None"/>
          <w:rFonts w:cs="Arial"/>
          <w:bCs/>
        </w:rPr>
        <w:t>ш</w:t>
      </w:r>
      <w:r>
        <w:rPr>
          <w:rStyle w:val="None"/>
          <w:rFonts w:cs="Arial"/>
          <w:bCs/>
        </w:rPr>
        <w:t>ко</w:t>
      </w:r>
      <w:r w:rsidR="00847B04" w:rsidRPr="00F6340E">
        <w:rPr>
          <w:rStyle w:val="None"/>
          <w:rFonts w:cs="Arial"/>
          <w:bCs/>
        </w:rPr>
        <w:t>-</w:t>
      </w:r>
      <w:r>
        <w:rPr>
          <w:rStyle w:val="None"/>
          <w:rFonts w:cs="Arial"/>
          <w:bCs/>
        </w:rPr>
        <w:t>м</w:t>
      </w:r>
      <w:r w:rsidR="00EE6AA2">
        <w:rPr>
          <w:rStyle w:val="None"/>
          <w:rFonts w:cs="Arial"/>
          <w:bCs/>
        </w:rPr>
        <w:t>е</w:t>
      </w:r>
      <w:r w:rsidR="0071360A">
        <w:rPr>
          <w:rStyle w:val="None"/>
          <w:rFonts w:cs="Arial"/>
          <w:bCs/>
        </w:rPr>
        <w:t>т</w:t>
      </w:r>
      <w:r>
        <w:rPr>
          <w:rStyle w:val="None"/>
          <w:rFonts w:cs="Arial"/>
          <w:bCs/>
        </w:rPr>
        <w:t>одичка</w:t>
      </w:r>
      <w:r w:rsidR="00847B04" w:rsidRPr="00F6340E">
        <w:rPr>
          <w:rStyle w:val="None"/>
          <w:rFonts w:cs="Arial"/>
          <w:bCs/>
        </w:rPr>
        <w:t xml:space="preserve"> </w:t>
      </w:r>
      <w:r w:rsidR="00171F00">
        <w:rPr>
          <w:rStyle w:val="None"/>
          <w:rFonts w:cs="Arial"/>
          <w:bCs/>
        </w:rPr>
        <w:t>з</w:t>
      </w:r>
      <w:r>
        <w:rPr>
          <w:rStyle w:val="None"/>
          <w:rFonts w:cs="Arial"/>
          <w:bCs/>
        </w:rPr>
        <w:t>нања</w:t>
      </w:r>
      <w:r w:rsidR="00847B04" w:rsidRPr="00F6340E">
        <w:rPr>
          <w:rStyle w:val="None"/>
          <w:rFonts w:cs="Arial"/>
          <w:bCs/>
        </w:rPr>
        <w:t xml:space="preserve"> </w:t>
      </w:r>
      <w:r>
        <w:rPr>
          <w:rStyle w:val="None"/>
          <w:rFonts w:cs="Arial"/>
          <w:bCs/>
        </w:rPr>
        <w:t>и</w:t>
      </w:r>
      <w:r w:rsidR="00847B04" w:rsidRPr="00F6340E">
        <w:rPr>
          <w:rStyle w:val="None"/>
          <w:rFonts w:cs="Arial"/>
          <w:bCs/>
        </w:rPr>
        <w:t xml:space="preserve"> </w:t>
      </w:r>
      <w:r w:rsidR="0071360A">
        <w:rPr>
          <w:rStyle w:val="None"/>
          <w:rFonts w:cs="Arial"/>
          <w:bCs/>
        </w:rPr>
        <w:t>в</w:t>
      </w:r>
      <w:r>
        <w:rPr>
          <w:rStyle w:val="None"/>
          <w:rFonts w:cs="Arial"/>
          <w:bCs/>
        </w:rPr>
        <w:t>ј</w:t>
      </w:r>
      <w:r w:rsidR="00EE6AA2">
        <w:rPr>
          <w:rStyle w:val="None"/>
          <w:rFonts w:cs="Arial"/>
          <w:bCs/>
        </w:rPr>
        <w:t>е</w:t>
      </w:r>
      <w:r w:rsidR="0071360A">
        <w:rPr>
          <w:rStyle w:val="None"/>
          <w:rFonts w:cs="Arial"/>
          <w:bCs/>
        </w:rPr>
        <w:t>шт</w:t>
      </w:r>
      <w:r>
        <w:rPr>
          <w:rStyle w:val="None"/>
          <w:rFonts w:cs="Arial"/>
          <w:bCs/>
        </w:rPr>
        <w:t>ин</w:t>
      </w:r>
      <w:r w:rsidR="00EE6AA2">
        <w:rPr>
          <w:rStyle w:val="None"/>
          <w:rFonts w:cs="Arial"/>
          <w:bCs/>
        </w:rPr>
        <w:t>е</w:t>
      </w:r>
      <w:r w:rsidR="00847B04" w:rsidRPr="00F6340E">
        <w:rPr>
          <w:rStyle w:val="None"/>
          <w:rFonts w:cs="Arial"/>
          <w:bCs/>
        </w:rPr>
        <w:t xml:space="preserve"> </w:t>
      </w:r>
      <w:r w:rsidR="0071360A">
        <w:rPr>
          <w:rStyle w:val="None"/>
          <w:rFonts w:cs="Arial"/>
          <w:bCs/>
        </w:rPr>
        <w:t>у</w:t>
      </w:r>
      <w:r w:rsidR="00847B04" w:rsidRPr="00F6340E">
        <w:rPr>
          <w:rStyle w:val="None"/>
          <w:rFonts w:cs="Arial"/>
          <w:bCs/>
        </w:rPr>
        <w:t xml:space="preserve"> </w:t>
      </w:r>
      <w:r w:rsidR="0071360A">
        <w:rPr>
          <w:rStyle w:val="None"/>
          <w:rFonts w:cs="Arial"/>
          <w:bCs/>
        </w:rPr>
        <w:t>п</w:t>
      </w:r>
      <w:r>
        <w:rPr>
          <w:rStyle w:val="None"/>
          <w:rFonts w:cs="Arial"/>
          <w:bCs/>
        </w:rPr>
        <w:t>огл</w:t>
      </w:r>
      <w:r w:rsidR="00EE6AA2">
        <w:rPr>
          <w:rStyle w:val="None"/>
          <w:rFonts w:cs="Arial"/>
          <w:bCs/>
        </w:rPr>
        <w:t>е</w:t>
      </w:r>
      <w:r>
        <w:rPr>
          <w:rStyle w:val="None"/>
          <w:rFonts w:cs="Arial"/>
          <w:bCs/>
        </w:rPr>
        <w:t>д</w:t>
      </w:r>
      <w:r w:rsidR="0071360A">
        <w:rPr>
          <w:rStyle w:val="None"/>
          <w:rFonts w:cs="Arial"/>
          <w:bCs/>
        </w:rPr>
        <w:t>у</w:t>
      </w:r>
      <w:r w:rsidR="00847B04" w:rsidRPr="00F6340E">
        <w:rPr>
          <w:rStyle w:val="None"/>
          <w:rFonts w:cs="Arial"/>
          <w:bCs/>
        </w:rPr>
        <w:t xml:space="preserve"> </w:t>
      </w:r>
      <w:r>
        <w:rPr>
          <w:rStyle w:val="None"/>
          <w:rFonts w:cs="Arial"/>
          <w:bCs/>
        </w:rPr>
        <w:t>на</w:t>
      </w:r>
      <w:r w:rsidR="0071360A">
        <w:rPr>
          <w:rStyle w:val="None"/>
          <w:rFonts w:cs="Arial"/>
          <w:bCs/>
        </w:rPr>
        <w:t>ст</w:t>
      </w:r>
      <w:r>
        <w:rPr>
          <w:rStyle w:val="None"/>
          <w:rFonts w:cs="Arial"/>
          <w:bCs/>
        </w:rPr>
        <w:t>а</w:t>
      </w:r>
      <w:r w:rsidR="0071360A">
        <w:rPr>
          <w:rStyle w:val="None"/>
          <w:rFonts w:cs="Arial"/>
          <w:bCs/>
        </w:rPr>
        <w:t>в</w:t>
      </w:r>
      <w:r w:rsidR="00EE6AA2">
        <w:rPr>
          <w:rStyle w:val="None"/>
          <w:rFonts w:cs="Arial"/>
          <w:bCs/>
        </w:rPr>
        <w:t>е</w:t>
      </w:r>
      <w:r w:rsidR="00C47A01" w:rsidRPr="00F6340E">
        <w:rPr>
          <w:rStyle w:val="None"/>
          <w:rFonts w:cs="Arial"/>
          <w:bCs/>
        </w:rPr>
        <w:t xml:space="preserve"> </w:t>
      </w:r>
      <w:r w:rsidR="0071360A">
        <w:rPr>
          <w:rStyle w:val="None"/>
          <w:rFonts w:cs="Arial"/>
          <w:bCs/>
        </w:rPr>
        <w:t>пут</w:t>
      </w:r>
      <w:r w:rsidR="00EE6AA2">
        <w:rPr>
          <w:rStyle w:val="None"/>
          <w:rFonts w:cs="Arial"/>
          <w:bCs/>
        </w:rPr>
        <w:t>е</w:t>
      </w:r>
      <w:r>
        <w:rPr>
          <w:rStyle w:val="None"/>
          <w:rFonts w:cs="Arial"/>
          <w:bCs/>
        </w:rPr>
        <w:t>м</w:t>
      </w:r>
      <w:r w:rsidR="00C47A01" w:rsidRPr="00F6340E">
        <w:rPr>
          <w:rStyle w:val="None"/>
          <w:rFonts w:cs="Arial"/>
          <w:bCs/>
        </w:rPr>
        <w:t xml:space="preserve"> </w:t>
      </w:r>
      <w:r>
        <w:rPr>
          <w:rStyle w:val="None"/>
          <w:rFonts w:cs="Arial"/>
          <w:bCs/>
        </w:rPr>
        <w:t>ин</w:t>
      </w:r>
      <w:r w:rsidR="0071360A">
        <w:rPr>
          <w:rStyle w:val="None"/>
          <w:rFonts w:cs="Arial"/>
          <w:bCs/>
        </w:rPr>
        <w:t>т</w:t>
      </w:r>
      <w:r w:rsidR="00EE6AA2">
        <w:rPr>
          <w:rStyle w:val="None"/>
          <w:rFonts w:cs="Arial"/>
          <w:bCs/>
        </w:rPr>
        <w:t>е</w:t>
      </w:r>
      <w:r w:rsidR="0071360A">
        <w:rPr>
          <w:rStyle w:val="None"/>
          <w:rFonts w:cs="Arial"/>
          <w:bCs/>
        </w:rPr>
        <w:t>р</w:t>
      </w:r>
      <w:r>
        <w:rPr>
          <w:rStyle w:val="None"/>
          <w:rFonts w:cs="Arial"/>
          <w:bCs/>
        </w:rPr>
        <w:t>н</w:t>
      </w:r>
      <w:r w:rsidR="00EE6AA2">
        <w:rPr>
          <w:rStyle w:val="None"/>
          <w:rFonts w:cs="Arial"/>
          <w:bCs/>
        </w:rPr>
        <w:t>е</w:t>
      </w:r>
      <w:r w:rsidR="0071360A">
        <w:rPr>
          <w:rStyle w:val="None"/>
          <w:rFonts w:cs="Arial"/>
          <w:bCs/>
        </w:rPr>
        <w:t>т</w:t>
      </w:r>
      <w:r>
        <w:rPr>
          <w:rStyle w:val="None"/>
          <w:rFonts w:cs="Arial"/>
          <w:bCs/>
        </w:rPr>
        <w:t>а</w:t>
      </w:r>
      <w:r w:rsidR="00847B04" w:rsidRPr="00F6340E">
        <w:rPr>
          <w:rStyle w:val="None"/>
          <w:rFonts w:cs="Arial"/>
          <w:bCs/>
        </w:rPr>
        <w:t xml:space="preserve">, </w:t>
      </w:r>
      <w:r>
        <w:rPr>
          <w:rStyle w:val="None"/>
          <w:rFonts w:cs="Arial"/>
          <w:bCs/>
        </w:rPr>
        <w:t>а</w:t>
      </w:r>
      <w:r w:rsidR="00CE3E8F" w:rsidRPr="00F6340E">
        <w:rPr>
          <w:rStyle w:val="None"/>
          <w:rFonts w:cs="Arial"/>
          <w:bCs/>
        </w:rPr>
        <w:t xml:space="preserve"> </w:t>
      </w:r>
      <w:r w:rsidR="0071360A">
        <w:rPr>
          <w:rStyle w:val="None"/>
          <w:rFonts w:cs="Arial"/>
          <w:bCs/>
        </w:rPr>
        <w:t>с</w:t>
      </w:r>
      <w:r>
        <w:rPr>
          <w:rStyle w:val="None"/>
          <w:rFonts w:cs="Arial"/>
          <w:bCs/>
        </w:rPr>
        <w:t>ко</w:t>
      </w:r>
      <w:r w:rsidR="0071360A">
        <w:rPr>
          <w:rStyle w:val="None"/>
          <w:rFonts w:cs="Arial"/>
          <w:bCs/>
        </w:rPr>
        <w:t>р</w:t>
      </w:r>
      <w:r>
        <w:rPr>
          <w:rStyle w:val="None"/>
          <w:rFonts w:cs="Arial"/>
          <w:bCs/>
        </w:rPr>
        <w:t>о</w:t>
      </w:r>
      <w:r w:rsidR="00CE3E8F" w:rsidRPr="00F6340E">
        <w:rPr>
          <w:rStyle w:val="None"/>
          <w:rFonts w:cs="Arial"/>
          <w:bCs/>
        </w:rPr>
        <w:t xml:space="preserve"> </w:t>
      </w:r>
      <w:r w:rsidR="0071360A">
        <w:rPr>
          <w:rStyle w:val="None"/>
          <w:rFonts w:cs="Arial"/>
          <w:bCs/>
        </w:rPr>
        <w:t>п</w:t>
      </w:r>
      <w:r>
        <w:rPr>
          <w:rStyle w:val="None"/>
          <w:rFonts w:cs="Arial"/>
          <w:bCs/>
        </w:rPr>
        <w:t>оло</w:t>
      </w:r>
      <w:r w:rsidR="0071360A">
        <w:rPr>
          <w:rStyle w:val="None"/>
          <w:rFonts w:cs="Arial"/>
          <w:bCs/>
        </w:rPr>
        <w:t>в</w:t>
      </w:r>
      <w:r>
        <w:rPr>
          <w:rStyle w:val="None"/>
          <w:rFonts w:cs="Arial"/>
          <w:bCs/>
        </w:rPr>
        <w:t>ина</w:t>
      </w:r>
      <w:r w:rsidR="00CE3E8F" w:rsidRPr="00F6340E">
        <w:rPr>
          <w:rStyle w:val="None"/>
          <w:rFonts w:cs="Arial"/>
          <w:bCs/>
        </w:rPr>
        <w:t xml:space="preserve"> </w:t>
      </w:r>
      <w:r>
        <w:rPr>
          <w:rStyle w:val="None"/>
          <w:rFonts w:cs="Arial"/>
          <w:bCs/>
        </w:rPr>
        <w:t>на</w:t>
      </w:r>
      <w:r w:rsidR="0071360A">
        <w:rPr>
          <w:rStyle w:val="None"/>
          <w:rFonts w:cs="Arial"/>
          <w:bCs/>
        </w:rPr>
        <w:t>ст</w:t>
      </w:r>
      <w:r>
        <w:rPr>
          <w:rStyle w:val="None"/>
          <w:rFonts w:cs="Arial"/>
          <w:bCs/>
        </w:rPr>
        <w:t>а</w:t>
      </w:r>
      <w:r w:rsidR="0071360A">
        <w:rPr>
          <w:rStyle w:val="None"/>
          <w:rFonts w:cs="Arial"/>
          <w:bCs/>
        </w:rPr>
        <w:t>в</w:t>
      </w:r>
      <w:r>
        <w:rPr>
          <w:rStyle w:val="None"/>
          <w:rFonts w:cs="Arial"/>
          <w:bCs/>
        </w:rPr>
        <w:t>ника</w:t>
      </w:r>
      <w:r w:rsidR="00CE3E8F" w:rsidRPr="00F6340E">
        <w:rPr>
          <w:rStyle w:val="None"/>
          <w:rFonts w:cs="Arial"/>
          <w:bCs/>
        </w:rPr>
        <w:t xml:space="preserve"> (45,</w:t>
      </w:r>
      <w:r w:rsidR="00847B04" w:rsidRPr="00F6340E">
        <w:rPr>
          <w:rStyle w:val="None"/>
          <w:rFonts w:cs="Arial"/>
          <w:bCs/>
        </w:rPr>
        <w:t xml:space="preserve">7%) </w:t>
      </w:r>
      <w:r>
        <w:rPr>
          <w:rStyle w:val="None"/>
          <w:rFonts w:cs="Arial"/>
          <w:bCs/>
        </w:rPr>
        <w:t>ј</w:t>
      </w:r>
      <w:r w:rsidR="00EE6AA2">
        <w:rPr>
          <w:rStyle w:val="None"/>
          <w:rFonts w:cs="Arial"/>
          <w:bCs/>
        </w:rPr>
        <w:t>е</w:t>
      </w:r>
      <w:r w:rsidR="00847B04" w:rsidRPr="00F6340E">
        <w:rPr>
          <w:rStyle w:val="None"/>
          <w:rFonts w:cs="Arial"/>
          <w:bCs/>
        </w:rPr>
        <w:t xml:space="preserve"> </w:t>
      </w:r>
      <w:r>
        <w:rPr>
          <w:rStyle w:val="None"/>
          <w:rFonts w:cs="Arial"/>
          <w:bCs/>
        </w:rPr>
        <w:t>на</w:t>
      </w:r>
      <w:r w:rsidR="0071360A">
        <w:rPr>
          <w:rStyle w:val="None"/>
          <w:rFonts w:cs="Arial"/>
          <w:bCs/>
        </w:rPr>
        <w:t>в</w:t>
      </w:r>
      <w:r w:rsidR="00EE6AA2">
        <w:rPr>
          <w:rStyle w:val="None"/>
          <w:rFonts w:cs="Arial"/>
          <w:bCs/>
        </w:rPr>
        <w:t>е</w:t>
      </w:r>
      <w:r>
        <w:rPr>
          <w:rStyle w:val="None"/>
          <w:rFonts w:cs="Arial"/>
          <w:bCs/>
        </w:rPr>
        <w:t>ла</w:t>
      </w:r>
      <w:r w:rsidR="00847B04" w:rsidRPr="00F6340E">
        <w:rPr>
          <w:rStyle w:val="None"/>
          <w:rFonts w:cs="Arial"/>
          <w:bCs/>
        </w:rPr>
        <w:t xml:space="preserve"> </w:t>
      </w:r>
      <w:r>
        <w:rPr>
          <w:rStyle w:val="None"/>
          <w:rFonts w:cs="Arial"/>
          <w:bCs/>
        </w:rPr>
        <w:t>да</w:t>
      </w:r>
      <w:r w:rsidR="00847B04" w:rsidRPr="00F6340E">
        <w:rPr>
          <w:rStyle w:val="None"/>
          <w:rFonts w:cs="Arial"/>
          <w:bCs/>
        </w:rPr>
        <w:t xml:space="preserve"> </w:t>
      </w:r>
      <w:r>
        <w:rPr>
          <w:rStyle w:val="None"/>
          <w:rFonts w:cs="Arial"/>
          <w:bCs/>
        </w:rPr>
        <w:t>ј</w:t>
      </w:r>
      <w:r w:rsidR="00EE6AA2">
        <w:rPr>
          <w:rStyle w:val="None"/>
          <w:rFonts w:cs="Arial"/>
          <w:bCs/>
        </w:rPr>
        <w:t>е</w:t>
      </w:r>
      <w:r w:rsidR="00847B04" w:rsidRPr="00F6340E">
        <w:rPr>
          <w:rStyle w:val="None"/>
          <w:rFonts w:cs="Arial"/>
          <w:bCs/>
        </w:rPr>
        <w:t xml:space="preserve"> </w:t>
      </w:r>
      <w:r w:rsidR="0071360A">
        <w:rPr>
          <w:rStyle w:val="None"/>
          <w:rFonts w:cs="Arial"/>
          <w:bCs/>
        </w:rPr>
        <w:t>у</w:t>
      </w:r>
      <w:r w:rsidR="00847B04" w:rsidRPr="00F6340E">
        <w:rPr>
          <w:rStyle w:val="None"/>
          <w:rFonts w:cs="Arial"/>
          <w:bCs/>
        </w:rPr>
        <w:t xml:space="preserve"> </w:t>
      </w:r>
      <w:r w:rsidR="0071360A">
        <w:rPr>
          <w:rStyle w:val="None"/>
          <w:rFonts w:cs="Arial"/>
          <w:bCs/>
        </w:rPr>
        <w:t>в</w:t>
      </w:r>
      <w:r w:rsidR="00EE6AA2">
        <w:rPr>
          <w:rStyle w:val="None"/>
          <w:rFonts w:cs="Arial"/>
          <w:bCs/>
        </w:rPr>
        <w:t>е</w:t>
      </w:r>
      <w:r>
        <w:rPr>
          <w:rStyle w:val="None"/>
          <w:rFonts w:cs="Arial"/>
          <w:bCs/>
        </w:rPr>
        <w:t>ликој</w:t>
      </w:r>
      <w:r w:rsidR="00847B04" w:rsidRPr="00F6340E">
        <w:rPr>
          <w:rStyle w:val="None"/>
          <w:rFonts w:cs="Arial"/>
          <w:bCs/>
        </w:rPr>
        <w:t xml:space="preserve"> </w:t>
      </w:r>
      <w:r>
        <w:rPr>
          <w:rStyle w:val="None"/>
          <w:rFonts w:cs="Arial"/>
          <w:bCs/>
        </w:rPr>
        <w:t>мј</w:t>
      </w:r>
      <w:r w:rsidR="00EE6AA2">
        <w:rPr>
          <w:rStyle w:val="None"/>
          <w:rFonts w:cs="Arial"/>
          <w:bCs/>
        </w:rPr>
        <w:t>е</w:t>
      </w:r>
      <w:r w:rsidR="0071360A">
        <w:rPr>
          <w:rStyle w:val="None"/>
          <w:rFonts w:cs="Arial"/>
          <w:bCs/>
        </w:rPr>
        <w:t>р</w:t>
      </w:r>
      <w:r>
        <w:rPr>
          <w:rStyle w:val="None"/>
          <w:rFonts w:cs="Arial"/>
          <w:bCs/>
        </w:rPr>
        <w:t>и</w:t>
      </w:r>
      <w:r w:rsidR="00847B04" w:rsidRPr="00F6340E">
        <w:rPr>
          <w:rStyle w:val="None"/>
          <w:rFonts w:cs="Arial"/>
          <w:bCs/>
        </w:rPr>
        <w:t xml:space="preserve"> </w:t>
      </w:r>
      <w:r>
        <w:rPr>
          <w:rStyle w:val="None"/>
          <w:rFonts w:cs="Arial"/>
          <w:bCs/>
        </w:rPr>
        <w:t>мо</w:t>
      </w:r>
      <w:r w:rsidR="0071360A">
        <w:rPr>
          <w:rStyle w:val="None"/>
          <w:rFonts w:cs="Arial"/>
          <w:bCs/>
        </w:rPr>
        <w:t>т</w:t>
      </w:r>
      <w:r>
        <w:rPr>
          <w:rStyle w:val="None"/>
          <w:rFonts w:cs="Arial"/>
          <w:bCs/>
        </w:rPr>
        <w:t>и</w:t>
      </w:r>
      <w:r w:rsidR="0071360A">
        <w:rPr>
          <w:rStyle w:val="None"/>
          <w:rFonts w:cs="Arial"/>
          <w:bCs/>
        </w:rPr>
        <w:t>в</w:t>
      </w:r>
      <w:r>
        <w:rPr>
          <w:rStyle w:val="None"/>
          <w:rFonts w:cs="Arial"/>
          <w:bCs/>
        </w:rPr>
        <w:t>и</w:t>
      </w:r>
      <w:r w:rsidR="0071360A">
        <w:rPr>
          <w:rStyle w:val="None"/>
          <w:rFonts w:cs="Arial"/>
          <w:bCs/>
        </w:rPr>
        <w:t>с</w:t>
      </w:r>
      <w:r>
        <w:rPr>
          <w:rStyle w:val="None"/>
          <w:rFonts w:cs="Arial"/>
          <w:bCs/>
        </w:rPr>
        <w:t>ано</w:t>
      </w:r>
      <w:r w:rsidR="00847B04" w:rsidRPr="00F6340E">
        <w:rPr>
          <w:rStyle w:val="None"/>
          <w:rFonts w:cs="Arial"/>
          <w:bCs/>
        </w:rPr>
        <w:t xml:space="preserve"> </w:t>
      </w:r>
      <w:r>
        <w:rPr>
          <w:rStyle w:val="None"/>
          <w:rFonts w:cs="Arial"/>
          <w:bCs/>
        </w:rPr>
        <w:t>да</w:t>
      </w:r>
      <w:r w:rsidR="00847B04" w:rsidRPr="00F6340E">
        <w:rPr>
          <w:rStyle w:val="None"/>
          <w:rFonts w:cs="Arial"/>
          <w:bCs/>
        </w:rPr>
        <w:t xml:space="preserve"> </w:t>
      </w:r>
      <w:r w:rsidR="0071360A">
        <w:rPr>
          <w:rStyle w:val="None"/>
          <w:rFonts w:cs="Arial"/>
          <w:bCs/>
        </w:rPr>
        <w:t>у</w:t>
      </w:r>
      <w:r w:rsidR="00847B04" w:rsidRPr="00F6340E">
        <w:rPr>
          <w:rStyle w:val="None"/>
          <w:rFonts w:cs="Arial"/>
          <w:bCs/>
        </w:rPr>
        <w:t xml:space="preserve"> </w:t>
      </w:r>
      <w:r w:rsidR="0071360A">
        <w:rPr>
          <w:rStyle w:val="None"/>
          <w:rFonts w:cs="Arial"/>
          <w:bCs/>
        </w:rPr>
        <w:t>св</w:t>
      </w:r>
      <w:r>
        <w:rPr>
          <w:rStyle w:val="None"/>
          <w:rFonts w:cs="Arial"/>
          <w:bCs/>
        </w:rPr>
        <w:t>ој</w:t>
      </w:r>
      <w:r w:rsidR="00EE6AA2">
        <w:rPr>
          <w:rStyle w:val="None"/>
          <w:rFonts w:cs="Arial"/>
          <w:bCs/>
        </w:rPr>
        <w:t>е</w:t>
      </w:r>
      <w:r w:rsidR="00847B04" w:rsidRPr="00F6340E">
        <w:rPr>
          <w:rStyle w:val="None"/>
          <w:rFonts w:cs="Arial"/>
          <w:bCs/>
        </w:rPr>
        <w:t xml:space="preserve"> </w:t>
      </w:r>
      <w:r w:rsidR="0071360A">
        <w:rPr>
          <w:rStyle w:val="None"/>
          <w:rFonts w:cs="Arial"/>
          <w:bCs/>
        </w:rPr>
        <w:t>пр</w:t>
      </w:r>
      <w:r w:rsidR="00EE6AA2">
        <w:rPr>
          <w:rStyle w:val="None"/>
          <w:rFonts w:cs="Arial"/>
          <w:bCs/>
        </w:rPr>
        <w:t>е</w:t>
      </w:r>
      <w:r>
        <w:rPr>
          <w:rStyle w:val="None"/>
          <w:rFonts w:cs="Arial"/>
          <w:bCs/>
        </w:rPr>
        <w:t>дм</w:t>
      </w:r>
      <w:r w:rsidR="00EE6AA2">
        <w:rPr>
          <w:rStyle w:val="None"/>
          <w:rFonts w:cs="Arial"/>
          <w:bCs/>
        </w:rPr>
        <w:t>е</w:t>
      </w:r>
      <w:r w:rsidR="0071360A">
        <w:rPr>
          <w:rStyle w:val="None"/>
          <w:rFonts w:cs="Arial"/>
          <w:bCs/>
        </w:rPr>
        <w:t>т</w:t>
      </w:r>
      <w:r w:rsidR="00EE6AA2">
        <w:rPr>
          <w:rStyle w:val="None"/>
          <w:rFonts w:cs="Arial"/>
          <w:bCs/>
        </w:rPr>
        <w:t>е</w:t>
      </w:r>
      <w:r w:rsidR="00847B04" w:rsidRPr="00F6340E">
        <w:rPr>
          <w:rStyle w:val="None"/>
          <w:rFonts w:cs="Arial"/>
          <w:bCs/>
        </w:rPr>
        <w:t xml:space="preserve"> </w:t>
      </w:r>
      <w:r w:rsidR="0071360A">
        <w:rPr>
          <w:rStyle w:val="None"/>
          <w:rFonts w:cs="Arial"/>
          <w:bCs/>
        </w:rPr>
        <w:t>у</w:t>
      </w:r>
      <w:r>
        <w:rPr>
          <w:rStyle w:val="None"/>
          <w:rFonts w:cs="Arial"/>
          <w:bCs/>
        </w:rPr>
        <w:t>кљ</w:t>
      </w:r>
      <w:r w:rsidR="0071360A">
        <w:rPr>
          <w:rStyle w:val="None"/>
          <w:rFonts w:cs="Arial"/>
          <w:bCs/>
        </w:rPr>
        <w:t>у</w:t>
      </w:r>
      <w:r>
        <w:rPr>
          <w:rStyle w:val="None"/>
          <w:rFonts w:cs="Arial"/>
          <w:bCs/>
        </w:rPr>
        <w:t>ч</w:t>
      </w:r>
      <w:r w:rsidR="00EE6AA2">
        <w:rPr>
          <w:rStyle w:val="None"/>
          <w:rFonts w:cs="Arial"/>
          <w:bCs/>
        </w:rPr>
        <w:t>е</w:t>
      </w:r>
      <w:r w:rsidR="00847B04" w:rsidRPr="00F6340E">
        <w:rPr>
          <w:rStyle w:val="None"/>
          <w:rFonts w:cs="Arial"/>
          <w:bCs/>
        </w:rPr>
        <w:t xml:space="preserve"> </w:t>
      </w:r>
      <w:r>
        <w:rPr>
          <w:rStyle w:val="None"/>
          <w:rFonts w:cs="Arial"/>
          <w:bCs/>
        </w:rPr>
        <w:t>ак</w:t>
      </w:r>
      <w:r w:rsidR="0071360A">
        <w:rPr>
          <w:rStyle w:val="None"/>
          <w:rFonts w:cs="Arial"/>
          <w:bCs/>
        </w:rPr>
        <w:t>т</w:t>
      </w:r>
      <w:r>
        <w:rPr>
          <w:rStyle w:val="None"/>
          <w:rFonts w:cs="Arial"/>
          <w:bCs/>
        </w:rPr>
        <w:t>и</w:t>
      </w:r>
      <w:r w:rsidR="0071360A">
        <w:rPr>
          <w:rStyle w:val="None"/>
          <w:rFonts w:cs="Arial"/>
          <w:bCs/>
        </w:rPr>
        <w:t>в</w:t>
      </w:r>
      <w:r>
        <w:rPr>
          <w:rStyle w:val="None"/>
          <w:rFonts w:cs="Arial"/>
          <w:bCs/>
        </w:rPr>
        <w:t>но</w:t>
      </w:r>
      <w:r w:rsidR="0071360A">
        <w:rPr>
          <w:rStyle w:val="None"/>
          <w:rFonts w:cs="Arial"/>
          <w:bCs/>
        </w:rPr>
        <w:t>ст</w:t>
      </w:r>
      <w:r>
        <w:rPr>
          <w:rStyle w:val="None"/>
          <w:rFonts w:cs="Arial"/>
          <w:bCs/>
        </w:rPr>
        <w:t>и</w:t>
      </w:r>
      <w:r w:rsidR="00847B04" w:rsidRPr="00F6340E">
        <w:rPr>
          <w:rStyle w:val="None"/>
          <w:rFonts w:cs="Arial"/>
          <w:bCs/>
        </w:rPr>
        <w:t xml:space="preserve"> </w:t>
      </w:r>
      <w:r>
        <w:rPr>
          <w:rStyle w:val="None"/>
          <w:rFonts w:cs="Arial"/>
          <w:bCs/>
        </w:rPr>
        <w:t>на</w:t>
      </w:r>
      <w:r w:rsidR="0071360A">
        <w:rPr>
          <w:rStyle w:val="None"/>
          <w:rFonts w:cs="Arial"/>
          <w:bCs/>
        </w:rPr>
        <w:t>ст</w:t>
      </w:r>
      <w:r>
        <w:rPr>
          <w:rStyle w:val="None"/>
          <w:rFonts w:cs="Arial"/>
          <w:bCs/>
        </w:rPr>
        <w:t>а</w:t>
      </w:r>
      <w:r w:rsidR="0071360A">
        <w:rPr>
          <w:rStyle w:val="None"/>
          <w:rFonts w:cs="Arial"/>
          <w:bCs/>
        </w:rPr>
        <w:t>в</w:t>
      </w:r>
      <w:r w:rsidR="00EE6AA2">
        <w:rPr>
          <w:rStyle w:val="None"/>
          <w:rFonts w:cs="Arial"/>
          <w:bCs/>
        </w:rPr>
        <w:t>е</w:t>
      </w:r>
      <w:r w:rsidR="00C47A01" w:rsidRPr="00F6340E">
        <w:rPr>
          <w:rStyle w:val="None"/>
          <w:rFonts w:cs="Arial"/>
          <w:bCs/>
        </w:rPr>
        <w:t xml:space="preserve"> </w:t>
      </w:r>
      <w:r w:rsidR="0071360A">
        <w:rPr>
          <w:rStyle w:val="None"/>
          <w:rFonts w:cs="Arial"/>
          <w:bCs/>
        </w:rPr>
        <w:t>пут</w:t>
      </w:r>
      <w:r w:rsidR="00EE6AA2">
        <w:rPr>
          <w:rStyle w:val="None"/>
          <w:rFonts w:cs="Arial"/>
          <w:bCs/>
        </w:rPr>
        <w:t>е</w:t>
      </w:r>
      <w:r>
        <w:rPr>
          <w:rStyle w:val="None"/>
          <w:rFonts w:cs="Arial"/>
          <w:bCs/>
        </w:rPr>
        <w:t>м</w:t>
      </w:r>
      <w:r w:rsidR="00C47A01" w:rsidRPr="00F6340E">
        <w:rPr>
          <w:rStyle w:val="None"/>
          <w:rFonts w:cs="Arial"/>
          <w:bCs/>
        </w:rPr>
        <w:t xml:space="preserve"> </w:t>
      </w:r>
      <w:r>
        <w:rPr>
          <w:rStyle w:val="None"/>
          <w:rFonts w:cs="Arial"/>
          <w:bCs/>
        </w:rPr>
        <w:t>ин</w:t>
      </w:r>
      <w:r w:rsidR="0071360A">
        <w:rPr>
          <w:rStyle w:val="None"/>
          <w:rFonts w:cs="Arial"/>
          <w:bCs/>
        </w:rPr>
        <w:t>т</w:t>
      </w:r>
      <w:r w:rsidR="00EE6AA2">
        <w:rPr>
          <w:rStyle w:val="None"/>
          <w:rFonts w:cs="Arial"/>
          <w:bCs/>
        </w:rPr>
        <w:t>е</w:t>
      </w:r>
      <w:r w:rsidR="0071360A">
        <w:rPr>
          <w:rStyle w:val="None"/>
          <w:rFonts w:cs="Arial"/>
          <w:bCs/>
        </w:rPr>
        <w:t>р</w:t>
      </w:r>
      <w:r>
        <w:rPr>
          <w:rStyle w:val="None"/>
          <w:rFonts w:cs="Arial"/>
          <w:bCs/>
        </w:rPr>
        <w:t>н</w:t>
      </w:r>
      <w:r w:rsidR="00EE6AA2">
        <w:rPr>
          <w:rStyle w:val="None"/>
          <w:rFonts w:cs="Arial"/>
          <w:bCs/>
        </w:rPr>
        <w:t>е</w:t>
      </w:r>
      <w:r w:rsidR="0071360A">
        <w:rPr>
          <w:rStyle w:val="None"/>
          <w:rFonts w:cs="Arial"/>
          <w:bCs/>
        </w:rPr>
        <w:t>т</w:t>
      </w:r>
      <w:r>
        <w:rPr>
          <w:rStyle w:val="None"/>
          <w:rFonts w:cs="Arial"/>
          <w:bCs/>
        </w:rPr>
        <w:t>а</w:t>
      </w:r>
      <w:r w:rsidR="00847B04" w:rsidRPr="00F6340E">
        <w:rPr>
          <w:rStyle w:val="None"/>
          <w:rFonts w:cs="Arial"/>
          <w:bCs/>
        </w:rPr>
        <w:t xml:space="preserve"> </w:t>
      </w:r>
      <w:r>
        <w:rPr>
          <w:rStyle w:val="None"/>
          <w:rFonts w:cs="Arial"/>
          <w:bCs/>
        </w:rPr>
        <w:t>и</w:t>
      </w:r>
      <w:r w:rsidR="00847B04" w:rsidRPr="00F6340E">
        <w:rPr>
          <w:rStyle w:val="None"/>
          <w:rFonts w:cs="Arial"/>
          <w:bCs/>
        </w:rPr>
        <w:t xml:space="preserve"> </w:t>
      </w:r>
      <w:r>
        <w:rPr>
          <w:rStyle w:val="None"/>
          <w:rFonts w:cs="Arial"/>
          <w:bCs/>
        </w:rPr>
        <w:t>након</w:t>
      </w:r>
      <w:r w:rsidR="00847B04" w:rsidRPr="00F6340E">
        <w:rPr>
          <w:rStyle w:val="None"/>
          <w:rFonts w:cs="Arial"/>
          <w:bCs/>
        </w:rPr>
        <w:t xml:space="preserve"> </w:t>
      </w:r>
      <w:r w:rsidR="0071360A">
        <w:rPr>
          <w:rStyle w:val="None"/>
          <w:rFonts w:cs="Arial"/>
          <w:bCs/>
        </w:rPr>
        <w:t>шт</w:t>
      </w:r>
      <w:r>
        <w:rPr>
          <w:rStyle w:val="None"/>
          <w:rFonts w:cs="Arial"/>
          <w:bCs/>
        </w:rPr>
        <w:t>о</w:t>
      </w:r>
      <w:r w:rsidR="00847B04" w:rsidRPr="00F6340E">
        <w:rPr>
          <w:rStyle w:val="None"/>
          <w:rFonts w:cs="Arial"/>
          <w:bCs/>
        </w:rPr>
        <w:t xml:space="preserve"> </w:t>
      </w:r>
      <w:r w:rsidR="0071360A">
        <w:rPr>
          <w:rStyle w:val="None"/>
          <w:rFonts w:cs="Arial"/>
          <w:bCs/>
        </w:rPr>
        <w:t>с</w:t>
      </w:r>
      <w:r w:rsidR="00EE6AA2">
        <w:rPr>
          <w:rStyle w:val="None"/>
          <w:rFonts w:cs="Arial"/>
          <w:bCs/>
        </w:rPr>
        <w:t>е</w:t>
      </w:r>
      <w:r w:rsidR="00847B04" w:rsidRPr="00F6340E">
        <w:rPr>
          <w:rStyle w:val="None"/>
          <w:rFonts w:cs="Arial"/>
          <w:bCs/>
        </w:rPr>
        <w:t xml:space="preserve"> </w:t>
      </w:r>
      <w:r w:rsidR="00EE6AA2">
        <w:rPr>
          <w:rStyle w:val="None"/>
          <w:rFonts w:cs="Arial"/>
          <w:bCs/>
        </w:rPr>
        <w:t>е</w:t>
      </w:r>
      <w:r w:rsidR="0071360A">
        <w:rPr>
          <w:rStyle w:val="None"/>
          <w:rFonts w:cs="Arial"/>
          <w:bCs/>
        </w:rPr>
        <w:t>п</w:t>
      </w:r>
      <w:r>
        <w:rPr>
          <w:rStyle w:val="None"/>
          <w:rFonts w:cs="Arial"/>
          <w:bCs/>
        </w:rPr>
        <w:t>ид</w:t>
      </w:r>
      <w:r w:rsidR="00EE6AA2">
        <w:rPr>
          <w:rStyle w:val="None"/>
          <w:rFonts w:cs="Arial"/>
          <w:bCs/>
        </w:rPr>
        <w:t>е</w:t>
      </w:r>
      <w:r>
        <w:rPr>
          <w:rStyle w:val="None"/>
          <w:rFonts w:cs="Arial"/>
          <w:bCs/>
        </w:rPr>
        <w:t>миоло</w:t>
      </w:r>
      <w:r w:rsidR="0071360A">
        <w:rPr>
          <w:rStyle w:val="None"/>
          <w:rFonts w:cs="Arial"/>
          <w:bCs/>
        </w:rPr>
        <w:t>ш</w:t>
      </w:r>
      <w:r>
        <w:rPr>
          <w:rStyle w:val="None"/>
          <w:rFonts w:cs="Arial"/>
          <w:bCs/>
        </w:rPr>
        <w:t>ка</w:t>
      </w:r>
      <w:r w:rsidR="00847B04" w:rsidRPr="00F6340E">
        <w:rPr>
          <w:rStyle w:val="None"/>
          <w:rFonts w:cs="Arial"/>
          <w:bCs/>
        </w:rPr>
        <w:t xml:space="preserve"> </w:t>
      </w:r>
      <w:r w:rsidR="0071360A">
        <w:rPr>
          <w:rStyle w:val="None"/>
          <w:rFonts w:cs="Arial"/>
          <w:bCs/>
        </w:rPr>
        <w:t>с</w:t>
      </w:r>
      <w:r>
        <w:rPr>
          <w:rStyle w:val="None"/>
          <w:rFonts w:cs="Arial"/>
          <w:bCs/>
        </w:rPr>
        <w:t>и</w:t>
      </w:r>
      <w:r w:rsidR="0071360A">
        <w:rPr>
          <w:rStyle w:val="None"/>
          <w:rFonts w:cs="Arial"/>
          <w:bCs/>
        </w:rPr>
        <w:t>ту</w:t>
      </w:r>
      <w:r>
        <w:rPr>
          <w:rStyle w:val="None"/>
          <w:rFonts w:cs="Arial"/>
          <w:bCs/>
        </w:rPr>
        <w:t>ација</w:t>
      </w:r>
      <w:r w:rsidR="00847B04" w:rsidRPr="00F6340E">
        <w:rPr>
          <w:rStyle w:val="None"/>
          <w:rFonts w:cs="Arial"/>
          <w:bCs/>
        </w:rPr>
        <w:t xml:space="preserve"> </w:t>
      </w:r>
      <w:r w:rsidR="0071360A">
        <w:rPr>
          <w:rStyle w:val="None"/>
          <w:rFonts w:cs="Arial"/>
          <w:bCs/>
        </w:rPr>
        <w:t>п</w:t>
      </w:r>
      <w:r>
        <w:rPr>
          <w:rStyle w:val="None"/>
          <w:rFonts w:cs="Arial"/>
          <w:bCs/>
        </w:rPr>
        <w:t>о</w:t>
      </w:r>
      <w:r w:rsidR="0071360A">
        <w:rPr>
          <w:rStyle w:val="None"/>
          <w:rFonts w:cs="Arial"/>
          <w:bCs/>
        </w:rPr>
        <w:t>пр</w:t>
      </w:r>
      <w:r>
        <w:rPr>
          <w:rStyle w:val="None"/>
          <w:rFonts w:cs="Arial"/>
          <w:bCs/>
        </w:rPr>
        <w:t>а</w:t>
      </w:r>
      <w:r w:rsidR="0071360A">
        <w:rPr>
          <w:rStyle w:val="None"/>
          <w:rFonts w:cs="Arial"/>
          <w:bCs/>
        </w:rPr>
        <w:t>в</w:t>
      </w:r>
      <w:r>
        <w:rPr>
          <w:rStyle w:val="None"/>
          <w:rFonts w:cs="Arial"/>
          <w:bCs/>
        </w:rPr>
        <w:t>и</w:t>
      </w:r>
      <w:r w:rsidR="00847B04" w:rsidRPr="00F6340E">
        <w:rPr>
          <w:rStyle w:val="None"/>
          <w:rFonts w:cs="Arial"/>
        </w:rPr>
        <w:t xml:space="preserve"> </w:t>
      </w:r>
      <w:r>
        <w:rPr>
          <w:rStyle w:val="None"/>
          <w:rFonts w:cs="Arial"/>
        </w:rPr>
        <w:t>и</w:t>
      </w:r>
      <w:r w:rsidR="00847B04" w:rsidRPr="00F6340E">
        <w:rPr>
          <w:rStyle w:val="None"/>
          <w:rFonts w:cs="Arial"/>
        </w:rPr>
        <w:t xml:space="preserve"> </w:t>
      </w:r>
      <w:r>
        <w:rPr>
          <w:rStyle w:val="None"/>
          <w:rFonts w:cs="Arial"/>
        </w:rPr>
        <w:t>на</w:t>
      </w:r>
      <w:r w:rsidR="0071360A">
        <w:rPr>
          <w:rStyle w:val="None"/>
          <w:rFonts w:cs="Arial"/>
        </w:rPr>
        <w:t>ст</w:t>
      </w:r>
      <w:r>
        <w:rPr>
          <w:rStyle w:val="None"/>
          <w:rFonts w:cs="Arial"/>
        </w:rPr>
        <w:t>а</w:t>
      </w:r>
      <w:r w:rsidR="0071360A">
        <w:rPr>
          <w:rStyle w:val="None"/>
          <w:rFonts w:cs="Arial"/>
        </w:rPr>
        <w:t>ву</w:t>
      </w:r>
      <w:r w:rsidR="00847B04" w:rsidRPr="00F6340E">
        <w:rPr>
          <w:rStyle w:val="None"/>
          <w:rFonts w:cs="Arial"/>
        </w:rPr>
        <w:t xml:space="preserve"> </w:t>
      </w:r>
      <w:r w:rsidR="0071360A">
        <w:rPr>
          <w:rStyle w:val="None"/>
          <w:rFonts w:cs="Arial"/>
        </w:rPr>
        <w:t>с</w:t>
      </w:r>
      <w:r w:rsidR="00EE6AA2">
        <w:rPr>
          <w:rStyle w:val="None"/>
          <w:rFonts w:cs="Arial"/>
        </w:rPr>
        <w:t>е</w:t>
      </w:r>
      <w:r w:rsidR="00847B04" w:rsidRPr="00F6340E">
        <w:rPr>
          <w:rStyle w:val="None"/>
          <w:rFonts w:cs="Arial"/>
        </w:rPr>
        <w:t xml:space="preserve"> </w:t>
      </w:r>
      <w:r w:rsidR="0071360A">
        <w:rPr>
          <w:rStyle w:val="None"/>
          <w:rFonts w:cs="Arial"/>
        </w:rPr>
        <w:t>п</w:t>
      </w:r>
      <w:r>
        <w:rPr>
          <w:rStyle w:val="None"/>
          <w:rFonts w:cs="Arial"/>
        </w:rPr>
        <w:t>очн</w:t>
      </w:r>
      <w:r w:rsidR="00EE6AA2">
        <w:rPr>
          <w:rStyle w:val="None"/>
          <w:rFonts w:cs="Arial"/>
        </w:rPr>
        <w:t>е</w:t>
      </w:r>
      <w:r w:rsidR="00847B04" w:rsidRPr="00F6340E">
        <w:rPr>
          <w:rStyle w:val="None"/>
          <w:rFonts w:cs="Arial"/>
        </w:rPr>
        <w:t xml:space="preserve"> </w:t>
      </w:r>
      <w:r w:rsidR="0071360A">
        <w:rPr>
          <w:rStyle w:val="None"/>
          <w:rFonts w:cs="Arial"/>
        </w:rPr>
        <w:t>р</w:t>
      </w:r>
      <w:r w:rsidR="00EE6AA2">
        <w:rPr>
          <w:rStyle w:val="None"/>
          <w:rFonts w:cs="Arial"/>
        </w:rPr>
        <w:t>е</w:t>
      </w:r>
      <w:r>
        <w:rPr>
          <w:rStyle w:val="None"/>
          <w:rFonts w:cs="Arial"/>
        </w:rPr>
        <w:t>али</w:t>
      </w:r>
      <w:r w:rsidR="00171F00">
        <w:rPr>
          <w:rStyle w:val="None"/>
          <w:rFonts w:cs="Arial"/>
        </w:rPr>
        <w:t>з</w:t>
      </w:r>
      <w:r>
        <w:rPr>
          <w:rStyle w:val="None"/>
          <w:rFonts w:cs="Arial"/>
        </w:rPr>
        <w:t>о</w:t>
      </w:r>
      <w:r w:rsidR="0071360A">
        <w:rPr>
          <w:rStyle w:val="None"/>
          <w:rFonts w:cs="Arial"/>
        </w:rPr>
        <w:t>в</w:t>
      </w:r>
      <w:r>
        <w:rPr>
          <w:rStyle w:val="None"/>
          <w:rFonts w:cs="Arial"/>
        </w:rPr>
        <w:t>а</w:t>
      </w:r>
      <w:r w:rsidR="0071360A">
        <w:rPr>
          <w:rStyle w:val="None"/>
          <w:rFonts w:cs="Arial"/>
        </w:rPr>
        <w:t>т</w:t>
      </w:r>
      <w:r>
        <w:rPr>
          <w:rStyle w:val="None"/>
          <w:rFonts w:cs="Arial"/>
        </w:rPr>
        <w:t>и</w:t>
      </w:r>
      <w:r w:rsidR="00847B04" w:rsidRPr="00F6340E">
        <w:rPr>
          <w:rStyle w:val="None"/>
          <w:rFonts w:cs="Arial"/>
        </w:rPr>
        <w:t xml:space="preserve"> </w:t>
      </w:r>
      <w:r w:rsidR="0071360A">
        <w:rPr>
          <w:rStyle w:val="None"/>
          <w:rFonts w:cs="Arial"/>
        </w:rPr>
        <w:t>у</w:t>
      </w:r>
      <w:r w:rsidR="00847B04" w:rsidRPr="00F6340E">
        <w:rPr>
          <w:rStyle w:val="None"/>
          <w:rFonts w:cs="Arial"/>
        </w:rPr>
        <w:t xml:space="preserve"> </w:t>
      </w:r>
      <w:r w:rsidR="0071360A">
        <w:rPr>
          <w:rStyle w:val="None"/>
          <w:rFonts w:cs="Arial"/>
        </w:rPr>
        <w:t>у</w:t>
      </w:r>
      <w:r>
        <w:rPr>
          <w:rStyle w:val="None"/>
          <w:rFonts w:cs="Arial"/>
        </w:rPr>
        <w:t>чионицама</w:t>
      </w:r>
      <w:r w:rsidR="00847B04" w:rsidRPr="00F6340E">
        <w:rPr>
          <w:rStyle w:val="None"/>
          <w:rFonts w:cs="Arial"/>
        </w:rPr>
        <w:t xml:space="preserve">. </w:t>
      </w:r>
    </w:p>
    <w:p w14:paraId="145DFD25" w14:textId="47142CDD" w:rsidR="00847B04" w:rsidRPr="00F6340E" w:rsidRDefault="00A56E08" w:rsidP="00D976C8">
      <w:pPr>
        <w:pStyle w:val="Body"/>
      </w:pPr>
      <w:r>
        <w:t>Имај</w:t>
      </w:r>
      <w:r w:rsidR="0071360A">
        <w:t>у</w:t>
      </w:r>
      <w:r>
        <w:t>ћи</w:t>
      </w:r>
      <w:r w:rsidR="00847B04" w:rsidRPr="00F6340E">
        <w:t xml:space="preserve"> </w:t>
      </w:r>
      <w:r w:rsidR="0071360A">
        <w:t>у</w:t>
      </w:r>
      <w:r w:rsidR="00847B04" w:rsidRPr="00F6340E">
        <w:t xml:space="preserve"> </w:t>
      </w:r>
      <w:r w:rsidR="0071360A">
        <w:t>в</w:t>
      </w:r>
      <w:r>
        <w:t>ид</w:t>
      </w:r>
      <w:r w:rsidR="0071360A">
        <w:t>у</w:t>
      </w:r>
      <w:r w:rsidR="00847B04" w:rsidRPr="00F6340E">
        <w:t xml:space="preserve"> </w:t>
      </w:r>
      <w:r>
        <w:t>да</w:t>
      </w:r>
      <w:r w:rsidR="00847B04" w:rsidRPr="00F6340E">
        <w:t xml:space="preserve"> </w:t>
      </w:r>
      <w:r>
        <w:t>ј</w:t>
      </w:r>
      <w:r w:rsidR="00EE6AA2">
        <w:t>е</w:t>
      </w:r>
      <w:r w:rsidR="00847B04" w:rsidRPr="00F6340E">
        <w:t xml:space="preserve"> </w:t>
      </w:r>
      <w:r w:rsidR="0071360A">
        <w:t>в</w:t>
      </w:r>
      <w:r>
        <w:t>и</w:t>
      </w:r>
      <w:r w:rsidR="0071360A">
        <w:t>с</w:t>
      </w:r>
      <w:r>
        <w:t>око</w:t>
      </w:r>
      <w:r w:rsidR="0071360A">
        <w:t>ш</w:t>
      </w:r>
      <w:r>
        <w:t>кол</w:t>
      </w:r>
      <w:r w:rsidR="0071360A">
        <w:t>с</w:t>
      </w:r>
      <w:r>
        <w:t>ко</w:t>
      </w:r>
      <w:r w:rsidR="00847B04" w:rsidRPr="00F6340E">
        <w:t xml:space="preserve"> </w:t>
      </w:r>
      <w:r>
        <w:t>об</w:t>
      </w:r>
      <w:r w:rsidR="0071360A">
        <w:t>р</w:t>
      </w:r>
      <w:r>
        <w:t>а</w:t>
      </w:r>
      <w:r w:rsidR="00171F00">
        <w:t>з</w:t>
      </w:r>
      <w:r>
        <w:t>о</w:t>
      </w:r>
      <w:r w:rsidR="0071360A">
        <w:t>в</w:t>
      </w:r>
      <w:r>
        <w:t>ањ</w:t>
      </w:r>
      <w:r w:rsidR="00EE6AA2">
        <w:t>е</w:t>
      </w:r>
      <w:r w:rsidR="00847B04" w:rsidRPr="00F6340E">
        <w:t xml:space="preserve"> </w:t>
      </w:r>
      <w:r w:rsidR="0071360A">
        <w:t>у</w:t>
      </w:r>
      <w:r w:rsidR="00847B04" w:rsidRPr="00F6340E">
        <w:t xml:space="preserve"> </w:t>
      </w:r>
      <w:r>
        <w:t>Бо</w:t>
      </w:r>
      <w:r w:rsidR="0071360A">
        <w:t>с</w:t>
      </w:r>
      <w:r>
        <w:t>ни</w:t>
      </w:r>
      <w:r w:rsidR="00847B04" w:rsidRPr="00F6340E">
        <w:t xml:space="preserve"> </w:t>
      </w:r>
      <w:r>
        <w:t>и</w:t>
      </w:r>
      <w:r w:rsidR="00847B04" w:rsidRPr="00F6340E">
        <w:t xml:space="preserve"> </w:t>
      </w:r>
      <w:r>
        <w:t>Х</w:t>
      </w:r>
      <w:r w:rsidR="00EE6AA2">
        <w:t>е</w:t>
      </w:r>
      <w:r w:rsidR="0071360A">
        <w:t>р</w:t>
      </w:r>
      <w:r>
        <w:t>ц</w:t>
      </w:r>
      <w:r w:rsidR="00EE6AA2">
        <w:t>е</w:t>
      </w:r>
      <w:r>
        <w:t>го</w:t>
      </w:r>
      <w:r w:rsidR="0071360A">
        <w:t>в</w:t>
      </w:r>
      <w:r>
        <w:t>ини</w:t>
      </w:r>
      <w:r w:rsidR="00847B04" w:rsidRPr="00F6340E">
        <w:t xml:space="preserve"> </w:t>
      </w:r>
      <w:r>
        <w:t>од</w:t>
      </w:r>
      <w:r w:rsidR="00847B04" w:rsidRPr="00F6340E">
        <w:t xml:space="preserve"> 2005. </w:t>
      </w:r>
      <w:r>
        <w:t>годин</w:t>
      </w:r>
      <w:r w:rsidR="00EE6AA2">
        <w:t>е</w:t>
      </w:r>
      <w:r w:rsidR="00847B04" w:rsidRPr="00F6340E">
        <w:t xml:space="preserve"> </w:t>
      </w:r>
      <w:r>
        <w:t>диј</w:t>
      </w:r>
      <w:r w:rsidR="00EE6AA2">
        <w:t>е</w:t>
      </w:r>
      <w:r>
        <w:t>лом</w:t>
      </w:r>
      <w:r w:rsidR="00847B04" w:rsidRPr="00F6340E">
        <w:t xml:space="preserve"> </w:t>
      </w:r>
      <w:r>
        <w:t>ј</w:t>
      </w:r>
      <w:r w:rsidR="00EE6AA2">
        <w:t>е</w:t>
      </w:r>
      <w:r>
        <w:t>дин</w:t>
      </w:r>
      <w:r w:rsidR="0071360A">
        <w:t>ств</w:t>
      </w:r>
      <w:r w:rsidR="00EE6AA2">
        <w:t>е</w:t>
      </w:r>
      <w:r>
        <w:t>ног</w:t>
      </w:r>
      <w:r w:rsidR="00847B04" w:rsidRPr="00F6340E">
        <w:t xml:space="preserve"> </w:t>
      </w:r>
      <w:r w:rsidR="00EE6AA2">
        <w:t>Е</w:t>
      </w:r>
      <w:r w:rsidR="0071360A">
        <w:t>вр</w:t>
      </w:r>
      <w:r>
        <w:t>о</w:t>
      </w:r>
      <w:r w:rsidR="0071360A">
        <w:t>пс</w:t>
      </w:r>
      <w:r>
        <w:t>ког</w:t>
      </w:r>
      <w:r w:rsidR="00847B04" w:rsidRPr="00F6340E">
        <w:t xml:space="preserve"> </w:t>
      </w:r>
      <w:r w:rsidR="0071360A">
        <w:t>пр</w:t>
      </w:r>
      <w:r>
        <w:t>о</w:t>
      </w:r>
      <w:r w:rsidR="0071360A">
        <w:t>ст</w:t>
      </w:r>
      <w:r>
        <w:t>о</w:t>
      </w:r>
      <w:r w:rsidR="0071360A">
        <w:t>р</w:t>
      </w:r>
      <w:r>
        <w:t>а</w:t>
      </w:r>
      <w:r w:rsidR="00847B04" w:rsidRPr="00F6340E">
        <w:t xml:space="preserve"> </w:t>
      </w:r>
      <w:r w:rsidR="0071360A">
        <w:t>в</w:t>
      </w:r>
      <w:r>
        <w:t>и</w:t>
      </w:r>
      <w:r w:rsidR="0071360A">
        <w:t>с</w:t>
      </w:r>
      <w:r>
        <w:t>оког</w:t>
      </w:r>
      <w:r w:rsidR="00847B04" w:rsidRPr="00F6340E">
        <w:t xml:space="preserve"> </w:t>
      </w:r>
      <w:r>
        <w:t>об</w:t>
      </w:r>
      <w:r w:rsidR="0071360A">
        <w:t>р</w:t>
      </w:r>
      <w:r>
        <w:t>а</w:t>
      </w:r>
      <w:r w:rsidR="00171F00">
        <w:t>з</w:t>
      </w:r>
      <w:r>
        <w:t>о</w:t>
      </w:r>
      <w:r w:rsidR="0071360A">
        <w:t>в</w:t>
      </w:r>
      <w:r>
        <w:t>ања</w:t>
      </w:r>
      <w:r w:rsidR="00847B04" w:rsidRPr="00F6340E">
        <w:t xml:space="preserve"> </w:t>
      </w:r>
      <w:r>
        <w:t>и</w:t>
      </w:r>
      <w:r w:rsidR="00B04FA8">
        <w:t xml:space="preserve"> са </w:t>
      </w:r>
      <w:r w:rsidR="0071360A">
        <w:t>т</w:t>
      </w:r>
      <w:r>
        <w:t>им</w:t>
      </w:r>
      <w:r w:rsidR="00847B04" w:rsidRPr="00F6340E">
        <w:t xml:space="preserve"> </w:t>
      </w:r>
      <w:r w:rsidR="0071360A">
        <w:t>у</w:t>
      </w:r>
      <w:r w:rsidR="00847B04" w:rsidRPr="00F6340E">
        <w:t xml:space="preserve"> </w:t>
      </w:r>
      <w:r w:rsidR="0071360A">
        <w:t>в</w:t>
      </w:r>
      <w:r w:rsidR="00EE6AA2">
        <w:t>е</w:t>
      </w:r>
      <w:r w:rsidR="00171F00">
        <w:t>з</w:t>
      </w:r>
      <w:r>
        <w:t>и</w:t>
      </w:r>
      <w:r w:rsidR="00847B04" w:rsidRPr="00F6340E">
        <w:t xml:space="preserve"> </w:t>
      </w:r>
      <w:r w:rsidR="0071360A">
        <w:t>пр</w:t>
      </w:r>
      <w:r>
        <w:t>а</w:t>
      </w:r>
      <w:r w:rsidR="0071360A">
        <w:t>т</w:t>
      </w:r>
      <w:r>
        <w:t>и</w:t>
      </w:r>
      <w:r w:rsidR="00847B04" w:rsidRPr="00F6340E">
        <w:t xml:space="preserve"> </w:t>
      </w:r>
      <w:r w:rsidR="0071360A">
        <w:t>пр</w:t>
      </w:r>
      <w:r>
        <w:t>инци</w:t>
      </w:r>
      <w:r w:rsidR="0071360A">
        <w:t>п</w:t>
      </w:r>
      <w:r w:rsidR="00EE6AA2">
        <w:t>е</w:t>
      </w:r>
      <w:r w:rsidR="00847B04" w:rsidRPr="00F6340E">
        <w:t xml:space="preserve"> </w:t>
      </w:r>
      <w:r>
        <w:t>Болоњ</w:t>
      </w:r>
      <w:r w:rsidR="0071360A">
        <w:t>с</w:t>
      </w:r>
      <w:r>
        <w:t>ког</w:t>
      </w:r>
      <w:r w:rsidR="00847B04" w:rsidRPr="00F6340E">
        <w:t xml:space="preserve"> </w:t>
      </w:r>
      <w:r w:rsidR="0071360A">
        <w:t>пр</w:t>
      </w:r>
      <w:r>
        <w:t>оц</w:t>
      </w:r>
      <w:r w:rsidR="00EE6AA2">
        <w:t>е</w:t>
      </w:r>
      <w:r w:rsidR="0071360A">
        <w:t>с</w:t>
      </w:r>
      <w:r>
        <w:t>а</w:t>
      </w:r>
      <w:r w:rsidR="00847B04" w:rsidRPr="00F6340E">
        <w:t xml:space="preserve"> </w:t>
      </w:r>
      <w:r>
        <w:t>и</w:t>
      </w:r>
      <w:r w:rsidR="00847B04" w:rsidRPr="00F6340E">
        <w:t xml:space="preserve"> </w:t>
      </w:r>
      <w:r w:rsidR="0071360A">
        <w:t>с</w:t>
      </w:r>
      <w:r>
        <w:t>а</w:t>
      </w:r>
      <w:r w:rsidR="0071360A">
        <w:t>вр</w:t>
      </w:r>
      <w:r w:rsidR="00EE6AA2">
        <w:t>е</w:t>
      </w:r>
      <w:r>
        <w:t>м</w:t>
      </w:r>
      <w:r w:rsidR="00EE6AA2">
        <w:t>е</w:t>
      </w:r>
      <w:r>
        <w:t>н</w:t>
      </w:r>
      <w:r w:rsidR="00EE6AA2">
        <w:t>е</w:t>
      </w:r>
      <w:r w:rsidR="00847B04" w:rsidRPr="00F6340E">
        <w:t xml:space="preserve"> </w:t>
      </w:r>
      <w:r w:rsidR="0071360A">
        <w:t>тр</w:t>
      </w:r>
      <w:r w:rsidR="00EE6AA2">
        <w:t>е</w:t>
      </w:r>
      <w:r>
        <w:t>ндо</w:t>
      </w:r>
      <w:r w:rsidR="0071360A">
        <w:t>в</w:t>
      </w:r>
      <w:r w:rsidR="00EE6AA2">
        <w:t>е</w:t>
      </w:r>
      <w:r w:rsidR="00847B04" w:rsidRPr="00F6340E">
        <w:t xml:space="preserve"> </w:t>
      </w:r>
      <w:r w:rsidR="0071360A">
        <w:t>у</w:t>
      </w:r>
      <w:r>
        <w:t>кљ</w:t>
      </w:r>
      <w:r w:rsidR="0071360A">
        <w:t>у</w:t>
      </w:r>
      <w:r>
        <w:t>ч</w:t>
      </w:r>
      <w:r w:rsidR="0071360A">
        <w:t>у</w:t>
      </w:r>
      <w:r>
        <w:t>ј</w:t>
      </w:r>
      <w:r w:rsidR="0071360A">
        <w:t>у</w:t>
      </w:r>
      <w:r>
        <w:t>ћи</w:t>
      </w:r>
      <w:r w:rsidR="00847B04" w:rsidRPr="00F6340E">
        <w:t xml:space="preserve"> </w:t>
      </w:r>
      <w:r w:rsidR="0071360A">
        <w:t>р</w:t>
      </w:r>
      <w:r>
        <w:t>а</w:t>
      </w:r>
      <w:r w:rsidR="00171F00">
        <w:t>з</w:t>
      </w:r>
      <w:r>
        <w:t>личи</w:t>
      </w:r>
      <w:r w:rsidR="0071360A">
        <w:t>т</w:t>
      </w:r>
      <w:r w:rsidR="00EE6AA2">
        <w:t>е</w:t>
      </w:r>
      <w:r w:rsidR="00847B04" w:rsidRPr="00F6340E">
        <w:t xml:space="preserve"> </w:t>
      </w:r>
      <w:r>
        <w:t>мод</w:t>
      </w:r>
      <w:r w:rsidR="00EE6AA2">
        <w:t>е</w:t>
      </w:r>
      <w:r>
        <w:t>л</w:t>
      </w:r>
      <w:r w:rsidR="00EE6AA2">
        <w:t>е</w:t>
      </w:r>
      <w:r w:rsidR="00847B04" w:rsidRPr="00F6340E">
        <w:t xml:space="preserve"> </w:t>
      </w:r>
      <w:r>
        <w:t>на</w:t>
      </w:r>
      <w:r w:rsidR="0071360A">
        <w:t>ст</w:t>
      </w:r>
      <w:r>
        <w:t>а</w:t>
      </w:r>
      <w:r w:rsidR="0071360A">
        <w:t>в</w:t>
      </w:r>
      <w:r w:rsidR="00EE6AA2">
        <w:t>е</w:t>
      </w:r>
      <w:r w:rsidR="00847B04" w:rsidRPr="00F6340E">
        <w:t xml:space="preserve">, </w:t>
      </w:r>
      <w:r w:rsidR="0071360A">
        <w:t>в</w:t>
      </w:r>
      <w:r>
        <w:t>а</w:t>
      </w:r>
      <w:r w:rsidR="00171F00">
        <w:t>ж</w:t>
      </w:r>
      <w:r>
        <w:t>но</w:t>
      </w:r>
      <w:r w:rsidR="00847B04" w:rsidRPr="00F6340E">
        <w:t xml:space="preserve"> </w:t>
      </w:r>
      <w:r>
        <w:t>ј</w:t>
      </w:r>
      <w:r w:rsidR="00EE6AA2">
        <w:t>е</w:t>
      </w:r>
      <w:r w:rsidR="00847B04" w:rsidRPr="00F6340E">
        <w:t xml:space="preserve"> </w:t>
      </w:r>
      <w:r>
        <w:t>к</w:t>
      </w:r>
      <w:r w:rsidR="0071360A">
        <w:t>р</w:t>
      </w:r>
      <w:r w:rsidR="00EE6AA2">
        <w:t>е</w:t>
      </w:r>
      <w:r>
        <w:t>и</w:t>
      </w:r>
      <w:r w:rsidR="0071360A">
        <w:t>р</w:t>
      </w:r>
      <w:r>
        <w:t>а</w:t>
      </w:r>
      <w:r w:rsidR="0071360A">
        <w:t>т</w:t>
      </w:r>
      <w:r>
        <w:t>и</w:t>
      </w:r>
      <w:r w:rsidR="00847B04" w:rsidRPr="00F6340E">
        <w:t xml:space="preserve"> </w:t>
      </w:r>
      <w:r w:rsidR="0071360A">
        <w:t>пр</w:t>
      </w:r>
      <w:r>
        <w:t>ог</w:t>
      </w:r>
      <w:r w:rsidR="0071360A">
        <w:t>р</w:t>
      </w:r>
      <w:r>
        <w:t>ам</w:t>
      </w:r>
      <w:r w:rsidR="00EE6AA2">
        <w:t>е</w:t>
      </w:r>
      <w:r w:rsidR="00847B04" w:rsidRPr="00F6340E">
        <w:t xml:space="preserve"> </w:t>
      </w:r>
      <w:r w:rsidR="0071360A">
        <w:t>у</w:t>
      </w:r>
      <w:r>
        <w:t>на</w:t>
      </w:r>
      <w:r w:rsidR="0071360A">
        <w:t>пр</w:t>
      </w:r>
      <w:r>
        <w:t>ј</w:t>
      </w:r>
      <w:r w:rsidR="00EE6AA2">
        <w:t>е</w:t>
      </w:r>
      <w:r>
        <w:t>ђ</w:t>
      </w:r>
      <w:r w:rsidR="00EE6AA2">
        <w:t>е</w:t>
      </w:r>
      <w:r>
        <w:t>ња</w:t>
      </w:r>
      <w:r w:rsidR="00847B04" w:rsidRPr="00F6340E">
        <w:t xml:space="preserve"> </w:t>
      </w:r>
      <w:r w:rsidR="0071360A">
        <w:t>п</w:t>
      </w:r>
      <w:r w:rsidR="00EE6AA2">
        <w:t>е</w:t>
      </w:r>
      <w:r>
        <w:t>даго</w:t>
      </w:r>
      <w:r w:rsidR="0071360A">
        <w:t>ш</w:t>
      </w:r>
      <w:r>
        <w:t>ких</w:t>
      </w:r>
      <w:r w:rsidR="00847B04" w:rsidRPr="00F6340E">
        <w:t xml:space="preserve"> </w:t>
      </w:r>
      <w:r>
        <w:t>и</w:t>
      </w:r>
      <w:r w:rsidR="00847B04" w:rsidRPr="00F6340E">
        <w:t xml:space="preserve"> </w:t>
      </w:r>
      <w:r>
        <w:t>диги</w:t>
      </w:r>
      <w:r w:rsidR="0071360A">
        <w:t>т</w:t>
      </w:r>
      <w:r>
        <w:t>алних</w:t>
      </w:r>
      <w:r w:rsidR="00847B04" w:rsidRPr="00F6340E">
        <w:t xml:space="preserve"> </w:t>
      </w:r>
      <w:r>
        <w:lastRenderedPageBreak/>
        <w:t>ком</w:t>
      </w:r>
      <w:r w:rsidR="0071360A">
        <w:t>п</w:t>
      </w:r>
      <w:r w:rsidR="00EE6AA2">
        <w:t>е</w:t>
      </w:r>
      <w:r w:rsidR="0071360A">
        <w:t>т</w:t>
      </w:r>
      <w:r w:rsidR="00EE6AA2">
        <w:t>е</w:t>
      </w:r>
      <w:r>
        <w:t>нција</w:t>
      </w:r>
      <w:r w:rsidR="00847B04" w:rsidRPr="00F6340E">
        <w:t xml:space="preserve"> </w:t>
      </w:r>
      <w:r>
        <w:t>на</w:t>
      </w:r>
      <w:r w:rsidR="0071360A">
        <w:t>ст</w:t>
      </w:r>
      <w:r>
        <w:t>а</w:t>
      </w:r>
      <w:r w:rsidR="0071360A">
        <w:t>в</w:t>
      </w:r>
      <w:r>
        <w:t>ника</w:t>
      </w:r>
      <w:r w:rsidR="00847B04" w:rsidRPr="00F6340E">
        <w:t xml:space="preserve">. </w:t>
      </w:r>
      <w:r w:rsidR="0071360A">
        <w:t>Р</w:t>
      </w:r>
      <w:r>
        <w:t>а</w:t>
      </w:r>
      <w:r w:rsidR="00171F00">
        <w:t>з</w:t>
      </w:r>
      <w:r>
        <w:t>лог</w:t>
      </w:r>
      <w:r w:rsidR="00847B04" w:rsidRPr="00F6340E">
        <w:t xml:space="preserve"> </w:t>
      </w:r>
      <w:r w:rsidR="0071360A">
        <w:t>в</w:t>
      </w:r>
      <w:r>
        <w:t>и</w:t>
      </w:r>
      <w:r w:rsidR="0071360A">
        <w:t>ш</w:t>
      </w:r>
      <w:r w:rsidR="00EE6AA2">
        <w:t>е</w:t>
      </w:r>
      <w:r w:rsidR="00847B04" w:rsidRPr="00F6340E">
        <w:t xml:space="preserve"> </w:t>
      </w:r>
      <w:r>
        <w:t>ј</w:t>
      </w:r>
      <w:r w:rsidR="00EE6AA2">
        <w:t>е</w:t>
      </w:r>
      <w:r w:rsidR="00847B04" w:rsidRPr="00F6340E">
        <w:t xml:space="preserve"> </w:t>
      </w:r>
      <w:r w:rsidR="0071360A">
        <w:t>шт</w:t>
      </w:r>
      <w:r>
        <w:t>о</w:t>
      </w:r>
      <w:r w:rsidR="00847B04" w:rsidRPr="00F6340E">
        <w:t xml:space="preserve">, </w:t>
      </w:r>
      <w:r w:rsidR="0071360A">
        <w:t>пр</w:t>
      </w:r>
      <w:r>
        <w:t>и</w:t>
      </w:r>
      <w:r w:rsidR="0071360A">
        <w:t>р</w:t>
      </w:r>
      <w:r>
        <w:t>одом</w:t>
      </w:r>
      <w:r w:rsidR="00847B04" w:rsidRPr="00F6340E">
        <w:t xml:space="preserve"> </w:t>
      </w:r>
      <w:r w:rsidR="0071360A">
        <w:t>пр</w:t>
      </w:r>
      <w:r w:rsidR="00EE6AA2">
        <w:t>е</w:t>
      </w:r>
      <w:r>
        <w:t>дм</w:t>
      </w:r>
      <w:r w:rsidR="00EE6AA2">
        <w:t>е</w:t>
      </w:r>
      <w:r w:rsidR="0071360A">
        <w:t>т</w:t>
      </w:r>
      <w:r>
        <w:t>ног</w:t>
      </w:r>
      <w:r w:rsidR="00847B04" w:rsidRPr="00F6340E">
        <w:t xml:space="preserve"> </w:t>
      </w:r>
      <w:r w:rsidR="0071360A">
        <w:t>п</w:t>
      </w:r>
      <w:r>
        <w:t>од</w:t>
      </w:r>
      <w:r w:rsidR="0071360A">
        <w:t>ру</w:t>
      </w:r>
      <w:r>
        <w:t>чја</w:t>
      </w:r>
      <w:r w:rsidR="00847B04" w:rsidRPr="00F6340E">
        <w:t xml:space="preserve">, </w:t>
      </w:r>
      <w:r>
        <w:t>б</w:t>
      </w:r>
      <w:r w:rsidR="0071360A">
        <w:t>р</w:t>
      </w:r>
      <w:r>
        <w:t>ојни</w:t>
      </w:r>
      <w:r w:rsidR="00847B04" w:rsidRPr="00F6340E">
        <w:t xml:space="preserve"> </w:t>
      </w:r>
      <w:r>
        <w:t>на</w:t>
      </w:r>
      <w:r w:rsidR="0071360A">
        <w:t>ст</w:t>
      </w:r>
      <w:r>
        <w:t>а</w:t>
      </w:r>
      <w:r w:rsidR="0071360A">
        <w:t>в</w:t>
      </w:r>
      <w:r>
        <w:t>ници</w:t>
      </w:r>
      <w:r w:rsidR="00847B04" w:rsidRPr="00F6340E">
        <w:t xml:space="preserve"> </w:t>
      </w:r>
      <w:r>
        <w:t>на</w:t>
      </w:r>
      <w:r w:rsidR="00847B04" w:rsidRPr="00F6340E">
        <w:t xml:space="preserve"> </w:t>
      </w:r>
      <w:r w:rsidR="0071360A">
        <w:t>в</w:t>
      </w:r>
      <w:r>
        <w:t>и</w:t>
      </w:r>
      <w:r w:rsidR="0071360A">
        <w:t>с</w:t>
      </w:r>
      <w:r>
        <w:t>око</w:t>
      </w:r>
      <w:r w:rsidR="0071360A">
        <w:t>ш</w:t>
      </w:r>
      <w:r>
        <w:t>кол</w:t>
      </w:r>
      <w:r w:rsidR="0071360A">
        <w:t>с</w:t>
      </w:r>
      <w:r>
        <w:t>ким</w:t>
      </w:r>
      <w:r w:rsidR="00847B04" w:rsidRPr="00F6340E">
        <w:t xml:space="preserve"> </w:t>
      </w:r>
      <w:r>
        <w:t>ин</w:t>
      </w:r>
      <w:r w:rsidR="0071360A">
        <w:t>ст</w:t>
      </w:r>
      <w:r>
        <w:t>и</w:t>
      </w:r>
      <w:r w:rsidR="0071360A">
        <w:t>ту</w:t>
      </w:r>
      <w:r>
        <w:t>цијама</w:t>
      </w:r>
      <w:r w:rsidR="00847B04" w:rsidRPr="00F6340E">
        <w:t xml:space="preserve"> </w:t>
      </w:r>
      <w:r>
        <w:t>ни</w:t>
      </w:r>
      <w:r w:rsidR="0071360A">
        <w:t>су</w:t>
      </w:r>
      <w:r w:rsidR="00847B04" w:rsidRPr="00F6340E">
        <w:t xml:space="preserve"> </w:t>
      </w:r>
      <w:r>
        <w:t>имали</w:t>
      </w:r>
      <w:r w:rsidR="00847B04" w:rsidRPr="00F6340E">
        <w:t xml:space="preserve"> </w:t>
      </w:r>
      <w:r w:rsidR="0071360A">
        <w:t>пр</w:t>
      </w:r>
      <w:r>
        <w:t>илик</w:t>
      </w:r>
      <w:r w:rsidR="0071360A">
        <w:t>у</w:t>
      </w:r>
      <w:r w:rsidR="00847B04" w:rsidRPr="00F6340E">
        <w:t xml:space="preserve"> </w:t>
      </w:r>
      <w:r w:rsidR="0071360A">
        <w:t>ст</w:t>
      </w:r>
      <w:r>
        <w:t>ица</w:t>
      </w:r>
      <w:r w:rsidR="0071360A">
        <w:t>т</w:t>
      </w:r>
      <w:r>
        <w:t>и</w:t>
      </w:r>
      <w:r w:rsidR="00847B04" w:rsidRPr="00F6340E">
        <w:t xml:space="preserve"> </w:t>
      </w:r>
      <w:r w:rsidR="00171F00">
        <w:t>з</w:t>
      </w:r>
      <w:r>
        <w:t>нања</w:t>
      </w:r>
      <w:r w:rsidR="00847B04" w:rsidRPr="00F6340E">
        <w:t xml:space="preserve"> </w:t>
      </w:r>
      <w:r>
        <w:t>и</w:t>
      </w:r>
      <w:r w:rsidR="00847B04" w:rsidRPr="00F6340E">
        <w:t xml:space="preserve"> </w:t>
      </w:r>
      <w:r w:rsidR="0071360A">
        <w:t>в</w:t>
      </w:r>
      <w:r>
        <w:t>ј</w:t>
      </w:r>
      <w:r w:rsidR="00EE6AA2">
        <w:t>е</w:t>
      </w:r>
      <w:r w:rsidR="0071360A">
        <w:t>шт</w:t>
      </w:r>
      <w:r>
        <w:t>ин</w:t>
      </w:r>
      <w:r w:rsidR="00EE6AA2">
        <w:t>е</w:t>
      </w:r>
      <w:r w:rsidR="00847B04" w:rsidRPr="00F6340E">
        <w:t xml:space="preserve"> </w:t>
      </w:r>
      <w:r w:rsidR="0071360A">
        <w:t>у</w:t>
      </w:r>
      <w:r w:rsidR="00847B04" w:rsidRPr="00F6340E">
        <w:t xml:space="preserve"> </w:t>
      </w:r>
      <w:r w:rsidR="0071360A">
        <w:t>п</w:t>
      </w:r>
      <w:r>
        <w:t>ољ</w:t>
      </w:r>
      <w:r w:rsidR="0071360A">
        <w:t>у</w:t>
      </w:r>
      <w:r w:rsidR="00847B04" w:rsidRPr="00F6340E">
        <w:t xml:space="preserve"> </w:t>
      </w:r>
      <w:r w:rsidR="0071360A">
        <w:t>п</w:t>
      </w:r>
      <w:r w:rsidR="00EE6AA2">
        <w:t>е</w:t>
      </w:r>
      <w:r>
        <w:t>дагогиј</w:t>
      </w:r>
      <w:r w:rsidR="00EE6AA2">
        <w:t>е</w:t>
      </w:r>
      <w:r w:rsidR="00847B04" w:rsidRPr="00F6340E">
        <w:t xml:space="preserve">, </w:t>
      </w:r>
      <w:r w:rsidR="0071360A">
        <w:t>пс</w:t>
      </w:r>
      <w:r>
        <w:t>ихологиј</w:t>
      </w:r>
      <w:r w:rsidR="00EE6AA2">
        <w:t>е</w:t>
      </w:r>
      <w:r w:rsidR="00847B04" w:rsidRPr="00F6340E">
        <w:t xml:space="preserve">, </w:t>
      </w:r>
      <w:r>
        <w:t>дидак</w:t>
      </w:r>
      <w:r w:rsidR="0071360A">
        <w:t>т</w:t>
      </w:r>
      <w:r>
        <w:t>ик</w:t>
      </w:r>
      <w:r w:rsidR="00EE6AA2">
        <w:t>е</w:t>
      </w:r>
      <w:r w:rsidR="00847B04" w:rsidRPr="00F6340E">
        <w:t xml:space="preserve"> </w:t>
      </w:r>
      <w:r>
        <w:t>и</w:t>
      </w:r>
      <w:r w:rsidR="00847B04" w:rsidRPr="00F6340E">
        <w:t xml:space="preserve"> </w:t>
      </w:r>
      <w:r>
        <w:t>м</w:t>
      </w:r>
      <w:r w:rsidR="00EE6AA2">
        <w:t>е</w:t>
      </w:r>
      <w:r w:rsidR="0071360A">
        <w:t>т</w:t>
      </w:r>
      <w:r>
        <w:t>одик</w:t>
      </w:r>
      <w:r w:rsidR="00EE6AA2">
        <w:t>е</w:t>
      </w:r>
      <w:r w:rsidR="00847B04" w:rsidRPr="00F6340E">
        <w:t xml:space="preserve">. </w:t>
      </w:r>
      <w:r>
        <w:t>Иако</w:t>
      </w:r>
      <w:r w:rsidR="00847B04" w:rsidRPr="00F6340E">
        <w:t xml:space="preserve"> </w:t>
      </w:r>
      <w:r w:rsidR="0071360A">
        <w:t>су</w:t>
      </w:r>
      <w:r w:rsidR="00847B04" w:rsidRPr="00F6340E">
        <w:t xml:space="preserve"> </w:t>
      </w:r>
      <w:r w:rsidR="0071360A">
        <w:t>пр</w:t>
      </w:r>
      <w:r>
        <w:t>имј</w:t>
      </w:r>
      <w:r w:rsidR="00EE6AA2">
        <w:t>е</w:t>
      </w:r>
      <w:r w:rsidR="0071360A">
        <w:t>т</w:t>
      </w:r>
      <w:r>
        <w:t>ни</w:t>
      </w:r>
      <w:r w:rsidR="00847B04" w:rsidRPr="00F6340E">
        <w:t xml:space="preserve"> </w:t>
      </w:r>
      <w:r>
        <w:t>б</w:t>
      </w:r>
      <w:r w:rsidR="0071360A">
        <w:t>р</w:t>
      </w:r>
      <w:r>
        <w:t>ојни</w:t>
      </w:r>
      <w:r w:rsidR="00847B04" w:rsidRPr="00F6340E">
        <w:t xml:space="preserve"> </w:t>
      </w:r>
      <w:r w:rsidR="0071360A">
        <w:t>пр</w:t>
      </w:r>
      <w:r>
        <w:t>ог</w:t>
      </w:r>
      <w:r w:rsidR="0071360A">
        <w:t>р</w:t>
      </w:r>
      <w:r>
        <w:t>ами</w:t>
      </w:r>
      <w:r w:rsidR="00847B04" w:rsidRPr="00F6340E">
        <w:t xml:space="preserve"> </w:t>
      </w:r>
      <w:r w:rsidR="0071360A">
        <w:t>стру</w:t>
      </w:r>
      <w:r>
        <w:t>чног</w:t>
      </w:r>
      <w:r w:rsidR="00847B04" w:rsidRPr="00F6340E">
        <w:t xml:space="preserve"> </w:t>
      </w:r>
      <w:r w:rsidR="0071360A">
        <w:t>ус</w:t>
      </w:r>
      <w:r>
        <w:t>а</w:t>
      </w:r>
      <w:r w:rsidR="0071360A">
        <w:t>врш</w:t>
      </w:r>
      <w:r>
        <w:t>а</w:t>
      </w:r>
      <w:r w:rsidR="0071360A">
        <w:t>в</w:t>
      </w:r>
      <w:r>
        <w:t>ања</w:t>
      </w:r>
      <w:r w:rsidR="00847B04" w:rsidRPr="00F6340E">
        <w:t xml:space="preserve"> </w:t>
      </w:r>
      <w:r>
        <w:t>који</w:t>
      </w:r>
      <w:r w:rsidR="00847B04" w:rsidRPr="00F6340E">
        <w:t xml:space="preserve"> </w:t>
      </w:r>
      <w:r w:rsidR="0071360A">
        <w:t>с</w:t>
      </w:r>
      <w:r w:rsidR="00EE6AA2">
        <w:t>е</w:t>
      </w:r>
      <w:r w:rsidR="00847B04" w:rsidRPr="00F6340E">
        <w:t xml:space="preserve"> </w:t>
      </w:r>
      <w:r>
        <w:t>ба</w:t>
      </w:r>
      <w:r w:rsidR="0071360A">
        <w:t>в</w:t>
      </w:r>
      <w:r w:rsidR="00EE6AA2">
        <w:t>е</w:t>
      </w:r>
      <w:r w:rsidR="00847B04" w:rsidRPr="00F6340E">
        <w:t xml:space="preserve"> </w:t>
      </w:r>
      <w:r w:rsidR="0071360A">
        <w:t>упр</w:t>
      </w:r>
      <w:r>
        <w:t>а</w:t>
      </w:r>
      <w:r w:rsidR="0071360A">
        <w:t>в</w:t>
      </w:r>
      <w:r>
        <w:t>о</w:t>
      </w:r>
      <w:r w:rsidR="00847B04" w:rsidRPr="00F6340E">
        <w:t xml:space="preserve"> </w:t>
      </w:r>
      <w:r w:rsidR="0071360A">
        <w:t>у</w:t>
      </w:r>
      <w:r>
        <w:t>на</w:t>
      </w:r>
      <w:r w:rsidR="0071360A">
        <w:t>пр</w:t>
      </w:r>
      <w:r>
        <w:t>ј</w:t>
      </w:r>
      <w:r w:rsidR="00EE6AA2">
        <w:t>е</w:t>
      </w:r>
      <w:r>
        <w:t>ђ</w:t>
      </w:r>
      <w:r w:rsidR="00EE6AA2">
        <w:t>е</w:t>
      </w:r>
      <w:r>
        <w:t>њ</w:t>
      </w:r>
      <w:r w:rsidR="00EE6AA2">
        <w:t>е</w:t>
      </w:r>
      <w:r>
        <w:t>м</w:t>
      </w:r>
      <w:r w:rsidR="00847B04" w:rsidRPr="00F6340E">
        <w:t xml:space="preserve"> </w:t>
      </w:r>
      <w:r>
        <w:t>ком</w:t>
      </w:r>
      <w:r w:rsidR="0071360A">
        <w:t>п</w:t>
      </w:r>
      <w:r w:rsidR="00EE6AA2">
        <w:t>е</w:t>
      </w:r>
      <w:r w:rsidR="0071360A">
        <w:t>т</w:t>
      </w:r>
      <w:r w:rsidR="00EE6AA2">
        <w:t>е</w:t>
      </w:r>
      <w:r>
        <w:t>нција</w:t>
      </w:r>
      <w:r w:rsidR="00847B04" w:rsidRPr="00F6340E">
        <w:t xml:space="preserve"> </w:t>
      </w:r>
      <w:r>
        <w:t>на</w:t>
      </w:r>
      <w:r w:rsidR="0071360A">
        <w:t>ст</w:t>
      </w:r>
      <w:r>
        <w:t>а</w:t>
      </w:r>
      <w:r w:rsidR="0071360A">
        <w:t>в</w:t>
      </w:r>
      <w:r>
        <w:t>ника</w:t>
      </w:r>
      <w:r w:rsidR="00847B04" w:rsidRPr="00F6340E">
        <w:t xml:space="preserve"> </w:t>
      </w:r>
      <w:r w:rsidR="0071360A">
        <w:t>у</w:t>
      </w:r>
      <w:r w:rsidR="00847B04" w:rsidRPr="00F6340E">
        <w:t xml:space="preserve"> </w:t>
      </w:r>
      <w:r>
        <w:t>о</w:t>
      </w:r>
      <w:r w:rsidR="0071360A">
        <w:t>в</w:t>
      </w:r>
      <w:r>
        <w:t>ом</w:t>
      </w:r>
      <w:r w:rsidR="00847B04" w:rsidRPr="00F6340E">
        <w:t xml:space="preserve"> </w:t>
      </w:r>
      <w:r w:rsidR="0071360A">
        <w:t>п</w:t>
      </w:r>
      <w:r>
        <w:t>од</w:t>
      </w:r>
      <w:r w:rsidR="0071360A">
        <w:t>ру</w:t>
      </w:r>
      <w:r>
        <w:t>чј</w:t>
      </w:r>
      <w:r w:rsidR="0071360A">
        <w:t>у</w:t>
      </w:r>
      <w:r w:rsidR="00847B04" w:rsidRPr="00F6340E">
        <w:t xml:space="preserve">, </w:t>
      </w:r>
      <w:r w:rsidR="0071360A">
        <w:t>тр</w:t>
      </w:r>
      <w:r w:rsidR="00EE6AA2">
        <w:t>е</w:t>
      </w:r>
      <w:r>
        <w:t>ба</w:t>
      </w:r>
      <w:r w:rsidR="00847B04" w:rsidRPr="00F6340E">
        <w:t xml:space="preserve"> </w:t>
      </w:r>
      <w:r>
        <w:t>и</w:t>
      </w:r>
      <w:r w:rsidR="0071360A">
        <w:t>ст</w:t>
      </w:r>
      <w:r>
        <w:t>акн</w:t>
      </w:r>
      <w:r w:rsidR="0071360A">
        <w:t>ут</w:t>
      </w:r>
      <w:r>
        <w:t>и</w:t>
      </w:r>
      <w:r w:rsidR="00847B04" w:rsidRPr="00F6340E">
        <w:t xml:space="preserve"> </w:t>
      </w:r>
      <w:r>
        <w:t>да</w:t>
      </w:r>
      <w:r w:rsidR="00847B04" w:rsidRPr="00F6340E">
        <w:t xml:space="preserve"> </w:t>
      </w:r>
      <w:r>
        <w:t>их</w:t>
      </w:r>
      <w:r w:rsidR="00847B04" w:rsidRPr="00F6340E">
        <w:t xml:space="preserve"> </w:t>
      </w:r>
      <w:r>
        <w:t>ј</w:t>
      </w:r>
      <w:r w:rsidR="00EE6AA2">
        <w:t>е</w:t>
      </w:r>
      <w:r w:rsidR="00847B04" w:rsidRPr="00F6340E">
        <w:t xml:space="preserve"> </w:t>
      </w:r>
      <w:r w:rsidR="0071360A">
        <w:t>п</w:t>
      </w:r>
      <w:r>
        <w:t>о</w:t>
      </w:r>
      <w:r w:rsidR="0071360A">
        <w:t>тр</w:t>
      </w:r>
      <w:r w:rsidR="00EE6AA2">
        <w:t>е</w:t>
      </w:r>
      <w:r>
        <w:t>бно</w:t>
      </w:r>
      <w:r w:rsidR="00847B04" w:rsidRPr="00F6340E">
        <w:t xml:space="preserve"> </w:t>
      </w:r>
      <w:r>
        <w:t>до</w:t>
      </w:r>
      <w:r w:rsidR="0071360A">
        <w:t>пу</w:t>
      </w:r>
      <w:r>
        <w:t>ни</w:t>
      </w:r>
      <w:r w:rsidR="0071360A">
        <w:t>т</w:t>
      </w:r>
      <w:r>
        <w:t>и</w:t>
      </w:r>
      <w:r w:rsidR="00847B04" w:rsidRPr="00F6340E">
        <w:t xml:space="preserve"> </w:t>
      </w:r>
      <w:r>
        <w:t>и</w:t>
      </w:r>
      <w:r w:rsidR="00847B04" w:rsidRPr="00F6340E">
        <w:t xml:space="preserve"> </w:t>
      </w:r>
      <w:r w:rsidR="0071360A">
        <w:t>с</w:t>
      </w:r>
      <w:r>
        <w:t>ад</w:t>
      </w:r>
      <w:r w:rsidR="0071360A">
        <w:t>р</w:t>
      </w:r>
      <w:r w:rsidR="00171F00">
        <w:t>ж</w:t>
      </w:r>
      <w:r>
        <w:t>ај</w:t>
      </w:r>
      <w:r w:rsidR="00EE6AA2">
        <w:t>е</w:t>
      </w:r>
      <w:r>
        <w:t>м</w:t>
      </w:r>
      <w:r w:rsidR="00847B04" w:rsidRPr="00F6340E">
        <w:t xml:space="preserve"> </w:t>
      </w:r>
      <w:r>
        <w:t>који</w:t>
      </w:r>
      <w:r w:rsidR="00847B04" w:rsidRPr="00F6340E">
        <w:t xml:space="preserve"> </w:t>
      </w:r>
      <w:r w:rsidR="0071360A">
        <w:t>с</w:t>
      </w:r>
      <w:r w:rsidR="00EE6AA2">
        <w:t>е</w:t>
      </w:r>
      <w:r w:rsidR="00847B04" w:rsidRPr="00F6340E">
        <w:t xml:space="preserve"> </w:t>
      </w:r>
      <w:r>
        <w:t>одно</w:t>
      </w:r>
      <w:r w:rsidR="0071360A">
        <w:t>с</w:t>
      </w:r>
      <w:r>
        <w:t>и</w:t>
      </w:r>
      <w:r w:rsidR="00847B04" w:rsidRPr="00F6340E">
        <w:t xml:space="preserve"> </w:t>
      </w:r>
      <w:r>
        <w:t>на</w:t>
      </w:r>
      <w:r w:rsidR="00847B04" w:rsidRPr="00F6340E">
        <w:t xml:space="preserve"> </w:t>
      </w:r>
      <w:r>
        <w:t>диги</w:t>
      </w:r>
      <w:r w:rsidR="0071360A">
        <w:t>т</w:t>
      </w:r>
      <w:r>
        <w:t>алн</w:t>
      </w:r>
      <w:r w:rsidR="00EE6AA2">
        <w:t>е</w:t>
      </w:r>
      <w:r w:rsidR="00847B04" w:rsidRPr="00F6340E">
        <w:t xml:space="preserve"> </w:t>
      </w:r>
      <w:r>
        <w:t>ком</w:t>
      </w:r>
      <w:r w:rsidR="0071360A">
        <w:t>п</w:t>
      </w:r>
      <w:r w:rsidR="00EE6AA2">
        <w:t>е</w:t>
      </w:r>
      <w:r w:rsidR="0071360A">
        <w:t>т</w:t>
      </w:r>
      <w:r w:rsidR="00EE6AA2">
        <w:t>е</w:t>
      </w:r>
      <w:r>
        <w:t>нциј</w:t>
      </w:r>
      <w:r w:rsidR="00EE6AA2">
        <w:t>е</w:t>
      </w:r>
      <w:r w:rsidR="00847B04" w:rsidRPr="00F6340E">
        <w:t xml:space="preserve">. </w:t>
      </w:r>
      <w:r w:rsidR="0071360A">
        <w:t>С</w:t>
      </w:r>
      <w:r>
        <w:t>и</w:t>
      </w:r>
      <w:r w:rsidR="0071360A">
        <w:t>ту</w:t>
      </w:r>
      <w:r>
        <w:t>ација</w:t>
      </w:r>
      <w:r w:rsidR="00847B04" w:rsidRPr="00F6340E">
        <w:t xml:space="preserve"> </w:t>
      </w:r>
      <w:r w:rsidR="0071360A">
        <w:t>ус</w:t>
      </w:r>
      <w:r>
        <w:t>ло</w:t>
      </w:r>
      <w:r w:rsidR="0071360A">
        <w:t>в</w:t>
      </w:r>
      <w:r>
        <w:t>љ</w:t>
      </w:r>
      <w:r w:rsidR="00EE6AA2">
        <w:t>е</w:t>
      </w:r>
      <w:r>
        <w:t>на</w:t>
      </w:r>
      <w:r w:rsidR="00847B04" w:rsidRPr="00F6340E">
        <w:t xml:space="preserve"> </w:t>
      </w:r>
      <w:r w:rsidR="0071360A">
        <w:t>п</w:t>
      </w:r>
      <w:r>
        <w:t>анд</w:t>
      </w:r>
      <w:r w:rsidR="00EE6AA2">
        <w:t>е</w:t>
      </w:r>
      <w:r>
        <w:t>мијом</w:t>
      </w:r>
      <w:r w:rsidR="00847B04" w:rsidRPr="00F6340E">
        <w:t xml:space="preserve"> </w:t>
      </w:r>
      <w:r>
        <w:t>Цо</w:t>
      </w:r>
      <w:r w:rsidR="0071360A">
        <w:t>в</w:t>
      </w:r>
      <w:r>
        <w:t>ид</w:t>
      </w:r>
      <w:r w:rsidR="00847B04" w:rsidRPr="00F6340E">
        <w:t xml:space="preserve"> – 19 </w:t>
      </w:r>
      <w:r>
        <w:t>и</w:t>
      </w:r>
      <w:r w:rsidR="00B04FA8">
        <w:t xml:space="preserve"> са </w:t>
      </w:r>
      <w:r w:rsidR="0071360A">
        <w:t>т</w:t>
      </w:r>
      <w:r>
        <w:t>им</w:t>
      </w:r>
      <w:r w:rsidR="00847B04" w:rsidRPr="00F6340E">
        <w:t xml:space="preserve"> </w:t>
      </w:r>
      <w:r w:rsidR="0071360A">
        <w:t>у</w:t>
      </w:r>
      <w:r w:rsidR="00847B04" w:rsidRPr="00F6340E">
        <w:t xml:space="preserve"> </w:t>
      </w:r>
      <w:r w:rsidR="0071360A">
        <w:t>в</w:t>
      </w:r>
      <w:r w:rsidR="00EE6AA2">
        <w:t>е</w:t>
      </w:r>
      <w:r w:rsidR="00171F00">
        <w:t>з</w:t>
      </w:r>
      <w:r>
        <w:t>и</w:t>
      </w:r>
      <w:r w:rsidR="00847B04" w:rsidRPr="00F6340E">
        <w:t xml:space="preserve"> </w:t>
      </w:r>
      <w:r w:rsidR="0071360A">
        <w:t>р</w:t>
      </w:r>
      <w:r w:rsidR="00EE6AA2">
        <w:t>е</w:t>
      </w:r>
      <w:r>
        <w:t>али</w:t>
      </w:r>
      <w:r w:rsidR="00171F00">
        <w:t>з</w:t>
      </w:r>
      <w:r>
        <w:t>ација</w:t>
      </w:r>
      <w:r w:rsidR="00847B04" w:rsidRPr="00F6340E">
        <w:t xml:space="preserve"> </w:t>
      </w:r>
      <w:r>
        <w:t>на</w:t>
      </w:r>
      <w:r w:rsidR="0071360A">
        <w:t>ст</w:t>
      </w:r>
      <w:r>
        <w:t>а</w:t>
      </w:r>
      <w:r w:rsidR="0071360A">
        <w:t>в</w:t>
      </w:r>
      <w:r w:rsidR="00EE6AA2">
        <w:t>е</w:t>
      </w:r>
      <w:r w:rsidR="00C47A01" w:rsidRPr="00F6340E">
        <w:t xml:space="preserve"> </w:t>
      </w:r>
      <w:r w:rsidR="0071360A">
        <w:t>пут</w:t>
      </w:r>
      <w:r w:rsidR="00EE6AA2">
        <w:t>е</w:t>
      </w:r>
      <w:r>
        <w:t>м</w:t>
      </w:r>
      <w:r w:rsidR="00C47A01" w:rsidRPr="00F6340E">
        <w:t xml:space="preserve"> </w:t>
      </w:r>
      <w:r>
        <w:t>ин</w:t>
      </w:r>
      <w:r w:rsidR="0071360A">
        <w:t>т</w:t>
      </w:r>
      <w:r w:rsidR="00EE6AA2">
        <w:t>е</w:t>
      </w:r>
      <w:r w:rsidR="0071360A">
        <w:t>р</w:t>
      </w:r>
      <w:r>
        <w:t>н</w:t>
      </w:r>
      <w:r w:rsidR="00EE6AA2">
        <w:t>е</w:t>
      </w:r>
      <w:r w:rsidR="0071360A">
        <w:t>т</w:t>
      </w:r>
      <w:r>
        <w:t>а</w:t>
      </w:r>
      <w:r w:rsidR="00847B04" w:rsidRPr="00F6340E">
        <w:t xml:space="preserve">, </w:t>
      </w:r>
      <w:r>
        <w:t>и</w:t>
      </w:r>
      <w:r w:rsidR="00171F00">
        <w:t>з</w:t>
      </w:r>
      <w:r w:rsidR="0071360A">
        <w:t>р</w:t>
      </w:r>
      <w:r>
        <w:t>одила</w:t>
      </w:r>
      <w:r w:rsidR="00317F10" w:rsidRPr="00F6340E">
        <w:t xml:space="preserve"> </w:t>
      </w:r>
      <w:r>
        <w:t>ј</w:t>
      </w:r>
      <w:r w:rsidR="00EE6AA2">
        <w:t>е</w:t>
      </w:r>
      <w:r w:rsidR="00847B04" w:rsidRPr="00F6340E">
        <w:t xml:space="preserve"> </w:t>
      </w:r>
      <w:r w:rsidR="0071360A">
        <w:t>упр</w:t>
      </w:r>
      <w:r>
        <w:t>а</w:t>
      </w:r>
      <w:r w:rsidR="0071360A">
        <w:t>в</w:t>
      </w:r>
      <w:r>
        <w:t>о</w:t>
      </w:r>
      <w:r w:rsidR="00847B04" w:rsidRPr="00F6340E">
        <w:t xml:space="preserve"> </w:t>
      </w:r>
      <w:r>
        <w:t>но</w:t>
      </w:r>
      <w:r w:rsidR="0071360A">
        <w:t>в</w:t>
      </w:r>
      <w:r w:rsidR="00EE6AA2">
        <w:t>е</w:t>
      </w:r>
      <w:r w:rsidR="00847B04" w:rsidRPr="00F6340E">
        <w:t xml:space="preserve"> </w:t>
      </w:r>
      <w:r>
        <w:t>об</w:t>
      </w:r>
      <w:r w:rsidR="0071360A">
        <w:t>р</w:t>
      </w:r>
      <w:r>
        <w:t>а</w:t>
      </w:r>
      <w:r w:rsidR="00171F00">
        <w:t>з</w:t>
      </w:r>
      <w:r>
        <w:t>о</w:t>
      </w:r>
      <w:r w:rsidR="0071360A">
        <w:t>в</w:t>
      </w:r>
      <w:r>
        <w:t>н</w:t>
      </w:r>
      <w:r w:rsidR="00EE6AA2">
        <w:t>е</w:t>
      </w:r>
      <w:r w:rsidR="00847B04" w:rsidRPr="00F6340E">
        <w:t xml:space="preserve"> </w:t>
      </w:r>
      <w:r w:rsidR="0071360A">
        <w:t>п</w:t>
      </w:r>
      <w:r>
        <w:t>о</w:t>
      </w:r>
      <w:r w:rsidR="0071360A">
        <w:t>тр</w:t>
      </w:r>
      <w:r w:rsidR="00EE6AA2">
        <w:t>е</w:t>
      </w:r>
      <w:r>
        <w:t>б</w:t>
      </w:r>
      <w:r w:rsidR="00EE6AA2">
        <w:t>е</w:t>
      </w:r>
      <w:r w:rsidR="00847B04" w:rsidRPr="00F6340E">
        <w:t xml:space="preserve"> </w:t>
      </w:r>
      <w:r>
        <w:t>на</w:t>
      </w:r>
      <w:r w:rsidR="0071360A">
        <w:t>ст</w:t>
      </w:r>
      <w:r>
        <w:t>а</w:t>
      </w:r>
      <w:r w:rsidR="0071360A">
        <w:t>в</w:t>
      </w:r>
      <w:r>
        <w:t>ника</w:t>
      </w:r>
      <w:r w:rsidR="00847B04" w:rsidRPr="00F6340E">
        <w:t xml:space="preserve">. </w:t>
      </w:r>
    </w:p>
    <w:p w14:paraId="74C532C7" w14:textId="77777777" w:rsidR="00847B04" w:rsidRPr="00F6340E" w:rsidRDefault="00847B04" w:rsidP="00F83E0E">
      <w:pPr>
        <w:spacing w:line="276" w:lineRule="auto"/>
        <w:rPr>
          <w:rFonts w:ascii="Arial" w:hAnsi="Arial" w:cs="Arial"/>
          <w:color w:val="000000" w:themeColor="text1"/>
          <w:sz w:val="24"/>
          <w:szCs w:val="24"/>
          <w:lang w:val="sr-Cyrl-BA"/>
        </w:rPr>
      </w:pPr>
    </w:p>
    <w:p w14:paraId="0E090068" w14:textId="77777777" w:rsidR="00AD1658" w:rsidRPr="00F6340E" w:rsidRDefault="00AD1658" w:rsidP="00F83E0E">
      <w:pPr>
        <w:spacing w:line="276" w:lineRule="auto"/>
        <w:rPr>
          <w:rFonts w:ascii="Arial" w:hAnsi="Arial" w:cs="Arial"/>
          <w:color w:val="000000" w:themeColor="text1"/>
          <w:sz w:val="24"/>
          <w:szCs w:val="24"/>
          <w:lang w:val="sr-Cyrl-BA"/>
        </w:rPr>
      </w:pPr>
    </w:p>
    <w:p w14:paraId="0A6149DC" w14:textId="77777777" w:rsidR="00AD1658" w:rsidRPr="00F6340E" w:rsidRDefault="00AD1658" w:rsidP="00F83E0E">
      <w:pPr>
        <w:spacing w:line="276" w:lineRule="auto"/>
        <w:rPr>
          <w:rFonts w:ascii="Arial" w:hAnsi="Arial" w:cs="Arial"/>
          <w:color w:val="000000" w:themeColor="text1"/>
          <w:sz w:val="24"/>
          <w:szCs w:val="24"/>
          <w:lang w:val="sr-Cyrl-BA"/>
        </w:rPr>
      </w:pPr>
    </w:p>
    <w:p w14:paraId="515B399D" w14:textId="77777777" w:rsidR="00AD1658" w:rsidRPr="00F6340E" w:rsidRDefault="00AD1658" w:rsidP="00F83E0E">
      <w:pPr>
        <w:spacing w:line="276" w:lineRule="auto"/>
        <w:rPr>
          <w:rFonts w:ascii="Arial" w:hAnsi="Arial" w:cs="Arial"/>
          <w:color w:val="000000" w:themeColor="text1"/>
          <w:sz w:val="24"/>
          <w:szCs w:val="24"/>
          <w:lang w:val="sr-Cyrl-BA"/>
        </w:rPr>
      </w:pPr>
    </w:p>
    <w:p w14:paraId="33BE1AD2" w14:textId="77777777" w:rsidR="00AD1658" w:rsidRPr="00F6340E" w:rsidRDefault="00AD1658" w:rsidP="00F83E0E">
      <w:pPr>
        <w:spacing w:line="276" w:lineRule="auto"/>
        <w:rPr>
          <w:rFonts w:ascii="Arial" w:hAnsi="Arial" w:cs="Arial"/>
          <w:color w:val="000000" w:themeColor="text1"/>
          <w:sz w:val="24"/>
          <w:szCs w:val="24"/>
          <w:lang w:val="sr-Cyrl-BA"/>
        </w:rPr>
      </w:pPr>
    </w:p>
    <w:p w14:paraId="1F17BB83" w14:textId="77777777" w:rsidR="00AD1658" w:rsidRPr="00F6340E" w:rsidRDefault="00AD1658" w:rsidP="00F83E0E">
      <w:pPr>
        <w:spacing w:line="276" w:lineRule="auto"/>
        <w:rPr>
          <w:rFonts w:ascii="Arial" w:hAnsi="Arial" w:cs="Arial"/>
          <w:color w:val="000000" w:themeColor="text1"/>
          <w:sz w:val="24"/>
          <w:szCs w:val="24"/>
          <w:lang w:val="sr-Cyrl-BA"/>
        </w:rPr>
      </w:pPr>
    </w:p>
    <w:p w14:paraId="6C816688" w14:textId="77777777" w:rsidR="00AD1658" w:rsidRPr="00F6340E" w:rsidRDefault="00AD1658" w:rsidP="00F83E0E">
      <w:pPr>
        <w:spacing w:line="276" w:lineRule="auto"/>
        <w:rPr>
          <w:rFonts w:ascii="Arial" w:hAnsi="Arial" w:cs="Arial"/>
          <w:color w:val="000000" w:themeColor="text1"/>
          <w:sz w:val="24"/>
          <w:szCs w:val="24"/>
          <w:lang w:val="sr-Cyrl-BA"/>
        </w:rPr>
      </w:pPr>
    </w:p>
    <w:p w14:paraId="144591A5" w14:textId="77777777" w:rsidR="00AD1658" w:rsidRPr="00F6340E" w:rsidRDefault="00AD1658" w:rsidP="00F83E0E">
      <w:pPr>
        <w:spacing w:line="276" w:lineRule="auto"/>
        <w:rPr>
          <w:rFonts w:ascii="Arial" w:hAnsi="Arial" w:cs="Arial"/>
          <w:color w:val="000000" w:themeColor="text1"/>
          <w:sz w:val="24"/>
          <w:szCs w:val="24"/>
          <w:lang w:val="sr-Cyrl-BA"/>
        </w:rPr>
      </w:pPr>
    </w:p>
    <w:p w14:paraId="4BF1158C" w14:textId="77777777" w:rsidR="00AD1658" w:rsidRPr="00F6340E" w:rsidRDefault="00AD1658" w:rsidP="00F83E0E">
      <w:pPr>
        <w:spacing w:line="276" w:lineRule="auto"/>
        <w:rPr>
          <w:rFonts w:ascii="Arial" w:hAnsi="Arial" w:cs="Arial"/>
          <w:color w:val="000000" w:themeColor="text1"/>
          <w:sz w:val="24"/>
          <w:szCs w:val="24"/>
          <w:lang w:val="sr-Cyrl-BA"/>
        </w:rPr>
      </w:pPr>
    </w:p>
    <w:p w14:paraId="7AD474F2" w14:textId="77777777" w:rsidR="00AD1658" w:rsidRPr="00F6340E" w:rsidRDefault="00AD1658" w:rsidP="00F83E0E">
      <w:pPr>
        <w:spacing w:line="276" w:lineRule="auto"/>
        <w:rPr>
          <w:rFonts w:ascii="Arial" w:hAnsi="Arial" w:cs="Arial"/>
          <w:color w:val="000000" w:themeColor="text1"/>
          <w:sz w:val="24"/>
          <w:szCs w:val="24"/>
          <w:lang w:val="sr-Cyrl-BA"/>
        </w:rPr>
      </w:pPr>
    </w:p>
    <w:p w14:paraId="0D91EDA1" w14:textId="30904C68" w:rsidR="008C491A" w:rsidRPr="001A3922" w:rsidRDefault="008C491A" w:rsidP="008C491A">
      <w:pPr>
        <w:pStyle w:val="Heading1"/>
        <w:numPr>
          <w:ilvl w:val="0"/>
          <w:numId w:val="70"/>
        </w:numPr>
        <w:rPr>
          <w:lang w:val="hr-BA"/>
        </w:rPr>
      </w:pPr>
      <w:bookmarkStart w:id="41" w:name="_Toc119050323"/>
      <w:r w:rsidRPr="008C491A">
        <w:lastRenderedPageBreak/>
        <w:t>Успостављање механизама за осигурање квалитета у образовању</w:t>
      </w:r>
      <w:bookmarkEnd w:id="41"/>
    </w:p>
    <w:p w14:paraId="293CDB58" w14:textId="4B5709B1" w:rsidR="004D1E15" w:rsidRPr="00F6340E" w:rsidRDefault="00A56E08" w:rsidP="008C491A">
      <w:pPr>
        <w:pStyle w:val="Body"/>
      </w:pPr>
      <w:r>
        <w:t>О</w:t>
      </w:r>
      <w:r w:rsidR="0071360A">
        <w:t>с</w:t>
      </w:r>
      <w:r>
        <w:t>иг</w:t>
      </w:r>
      <w:r w:rsidR="0071360A">
        <w:t>ур</w:t>
      </w:r>
      <w:r>
        <w:t>ањ</w:t>
      </w:r>
      <w:r w:rsidR="00EE6AA2">
        <w:t>е</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t>об</w:t>
      </w:r>
      <w:r w:rsidR="0071360A">
        <w:t>р</w:t>
      </w:r>
      <w:r>
        <w:t>а</w:t>
      </w:r>
      <w:r w:rsidR="00171F00">
        <w:t>з</w:t>
      </w:r>
      <w:r>
        <w:t>о</w:t>
      </w:r>
      <w:r w:rsidR="0071360A">
        <w:t>в</w:t>
      </w:r>
      <w:r>
        <w:t>них</w:t>
      </w:r>
      <w:r w:rsidR="004D1E15" w:rsidRPr="00F6340E">
        <w:t xml:space="preserve"> </w:t>
      </w:r>
      <w:r w:rsidR="0071360A">
        <w:t>пр</w:t>
      </w:r>
      <w:r>
        <w:t>ог</w:t>
      </w:r>
      <w:r w:rsidR="0071360A">
        <w:t>р</w:t>
      </w:r>
      <w:r>
        <w:t>ама</w:t>
      </w:r>
      <w:r w:rsidR="004D1E15" w:rsidRPr="00F6340E">
        <w:t xml:space="preserve"> </w:t>
      </w:r>
      <w:r>
        <w:t>и</w:t>
      </w:r>
      <w:r w:rsidR="004D1E15" w:rsidRPr="00F6340E">
        <w:t xml:space="preserve"> </w:t>
      </w:r>
      <w:r>
        <w:t>об</w:t>
      </w:r>
      <w:r w:rsidR="0071360A">
        <w:t>р</w:t>
      </w:r>
      <w:r>
        <w:t>а</w:t>
      </w:r>
      <w:r w:rsidR="00171F00">
        <w:t>з</w:t>
      </w:r>
      <w:r>
        <w:t>о</w:t>
      </w:r>
      <w:r w:rsidR="0071360A">
        <w:t>в</w:t>
      </w:r>
      <w:r>
        <w:t>ног</w:t>
      </w:r>
      <w:r w:rsidR="004D1E15" w:rsidRPr="00F6340E">
        <w:t xml:space="preserve"> </w:t>
      </w:r>
      <w:r w:rsidR="0071360A">
        <w:t>пр</w:t>
      </w:r>
      <w:r>
        <w:t>оц</w:t>
      </w:r>
      <w:r w:rsidR="00EE6AA2">
        <w:t>е</w:t>
      </w:r>
      <w:r w:rsidR="0071360A">
        <w:t>с</w:t>
      </w:r>
      <w:r>
        <w:t>а</w:t>
      </w:r>
      <w:r w:rsidR="004D1E15" w:rsidRPr="00F6340E">
        <w:t xml:space="preserve"> </w:t>
      </w:r>
      <w:r>
        <w:t>мог</w:t>
      </w:r>
      <w:r w:rsidR="0071360A">
        <w:t>у</w:t>
      </w:r>
      <w:r>
        <w:t>ћ</w:t>
      </w:r>
      <w:r w:rsidR="00EE6AA2">
        <w:t>е</w:t>
      </w:r>
      <w:r w:rsidR="004D1E15" w:rsidRPr="00F6340E">
        <w:t xml:space="preserve"> </w:t>
      </w:r>
      <w:r>
        <w:t>ј</w:t>
      </w:r>
      <w:r w:rsidR="00EE6AA2">
        <w:t>е</w:t>
      </w:r>
      <w:r w:rsidR="004D1E15" w:rsidRPr="00F6340E">
        <w:t xml:space="preserve"> </w:t>
      </w:r>
      <w:r>
        <w:t>ј</w:t>
      </w:r>
      <w:r w:rsidR="00EE6AA2">
        <w:t>е</w:t>
      </w:r>
      <w:r>
        <w:t>дино</w:t>
      </w:r>
      <w:r w:rsidR="004D1E15" w:rsidRPr="00F6340E">
        <w:t xml:space="preserve"> </w:t>
      </w:r>
      <w:r>
        <w:t>к</w:t>
      </w:r>
      <w:r w:rsidR="0071360A">
        <w:t>р</w:t>
      </w:r>
      <w:r>
        <w:t>о</w:t>
      </w:r>
      <w:r w:rsidR="00171F00">
        <w:t>з</w:t>
      </w:r>
      <w:r w:rsidR="004D1E15" w:rsidRPr="00F6340E">
        <w:t xml:space="preserve"> </w:t>
      </w:r>
      <w:r w:rsidR="0071360A">
        <w:t>усп</w:t>
      </w:r>
      <w:r>
        <w:t>о</w:t>
      </w:r>
      <w:r w:rsidR="0071360A">
        <w:t>ст</w:t>
      </w:r>
      <w:r>
        <w:t>а</w:t>
      </w:r>
      <w:r w:rsidR="0071360A">
        <w:t>в</w:t>
      </w:r>
      <w:r>
        <w:t>љањ</w:t>
      </w:r>
      <w:r w:rsidR="00EE6AA2">
        <w:t>е</w:t>
      </w:r>
      <w:r w:rsidR="004D1E15" w:rsidRPr="00F6340E">
        <w:t xml:space="preserve"> </w:t>
      </w:r>
      <w:r>
        <w:t>м</w:t>
      </w:r>
      <w:r w:rsidR="00EE6AA2">
        <w:t>е</w:t>
      </w:r>
      <w:r>
        <w:t>хани</w:t>
      </w:r>
      <w:r w:rsidR="00171F00">
        <w:t>з</w:t>
      </w:r>
      <w:r>
        <w:t>ама</w:t>
      </w:r>
      <w:r w:rsidR="004D1E15" w:rsidRPr="00F6340E">
        <w:t xml:space="preserve"> </w:t>
      </w:r>
      <w:r w:rsidR="00171F00">
        <w:t>з</w:t>
      </w:r>
      <w:r>
        <w:t>а</w:t>
      </w:r>
      <w:r w:rsidR="004D1E15" w:rsidRPr="00F6340E">
        <w:t xml:space="preserve"> </w:t>
      </w:r>
      <w:r>
        <w:t>о</w:t>
      </w:r>
      <w:r w:rsidR="0071360A">
        <w:t>с</w:t>
      </w:r>
      <w:r>
        <w:t>иг</w:t>
      </w:r>
      <w:r w:rsidR="0071360A">
        <w:t>ур</w:t>
      </w:r>
      <w:r>
        <w:t>ањ</w:t>
      </w:r>
      <w:r w:rsidR="00EE6AA2">
        <w:t>е</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rsidR="0071360A">
        <w:t>шт</w:t>
      </w:r>
      <w:r>
        <w:t>о</w:t>
      </w:r>
      <w:r w:rsidR="004D1E15" w:rsidRPr="00F6340E">
        <w:t xml:space="preserve"> </w:t>
      </w:r>
      <w:r w:rsidR="0071360A">
        <w:t>пр</w:t>
      </w:r>
      <w:r w:rsidR="00EE6AA2">
        <w:t>е</w:t>
      </w:r>
      <w:r w:rsidR="0071360A">
        <w:t>тп</w:t>
      </w:r>
      <w:r>
        <w:t>о</w:t>
      </w:r>
      <w:r w:rsidR="0071360A">
        <w:t>ст</w:t>
      </w:r>
      <w:r>
        <w:t>а</w:t>
      </w:r>
      <w:r w:rsidR="0071360A">
        <w:t>в</w:t>
      </w:r>
      <w:r>
        <w:t>ља</w:t>
      </w:r>
      <w:r w:rsidR="004D1E15" w:rsidRPr="00F6340E">
        <w:t xml:space="preserve"> </w:t>
      </w:r>
      <w:r w:rsidR="0071360A">
        <w:t>с</w:t>
      </w:r>
      <w:r>
        <w:t>и</w:t>
      </w:r>
      <w:r w:rsidR="0071360A">
        <w:t>ст</w:t>
      </w:r>
      <w:r w:rsidR="00EE6AA2">
        <w:t>е</w:t>
      </w:r>
      <w:r>
        <w:t>ма</w:t>
      </w:r>
      <w:r w:rsidR="0071360A">
        <w:t>тс</w:t>
      </w:r>
      <w:r>
        <w:t>ки</w:t>
      </w:r>
      <w:r w:rsidR="004D1E15" w:rsidRPr="00F6340E">
        <w:t xml:space="preserve"> </w:t>
      </w:r>
      <w:r w:rsidR="0071360A">
        <w:t>пр</w:t>
      </w:r>
      <w:r>
        <w:t>и</w:t>
      </w:r>
      <w:r w:rsidR="0071360A">
        <w:t>ступ</w:t>
      </w:r>
      <w:r w:rsidR="004D1E15" w:rsidRPr="00F6340E">
        <w:t xml:space="preserve"> </w:t>
      </w:r>
      <w:r w:rsidR="0071360A">
        <w:t>ус</w:t>
      </w:r>
      <w:r>
        <w:t>мј</w:t>
      </w:r>
      <w:r w:rsidR="00EE6AA2">
        <w:t>е</w:t>
      </w:r>
      <w:r w:rsidR="0071360A">
        <w:t>р</w:t>
      </w:r>
      <w:r w:rsidR="00EE6AA2">
        <w:t>е</w:t>
      </w:r>
      <w:r>
        <w:t>н</w:t>
      </w:r>
      <w:r w:rsidR="004D1E15" w:rsidRPr="00F6340E">
        <w:t xml:space="preserve"> </w:t>
      </w:r>
      <w:r>
        <w:t>на</w:t>
      </w:r>
      <w:r w:rsidR="004D1E15" w:rsidRPr="00F6340E">
        <w:t xml:space="preserve"> </w:t>
      </w:r>
      <w:r w:rsidR="0071360A">
        <w:t>п</w:t>
      </w:r>
      <w:r>
        <w:t>о</w:t>
      </w:r>
      <w:r w:rsidR="0071360A">
        <w:t>ст</w:t>
      </w:r>
      <w:r>
        <w:t>и</w:t>
      </w:r>
      <w:r w:rsidR="00171F00">
        <w:t>з</w:t>
      </w:r>
      <w:r>
        <w:t>ањ</w:t>
      </w:r>
      <w:r w:rsidR="00EE6AA2">
        <w:t>е</w:t>
      </w:r>
      <w:r w:rsidR="004D1E15" w:rsidRPr="00F6340E">
        <w:t xml:space="preserve"> (</w:t>
      </w:r>
      <w:r>
        <w:t>нај</w:t>
      </w:r>
      <w:r w:rsidR="004D1E15" w:rsidRPr="00F6340E">
        <w:t>)</w:t>
      </w:r>
      <w:r>
        <w:t>бољих</w:t>
      </w:r>
      <w:r w:rsidR="004D1E15" w:rsidRPr="00F6340E">
        <w:t xml:space="preserve"> </w:t>
      </w:r>
      <w:r>
        <w:t>и</w:t>
      </w:r>
      <w:r w:rsidR="0071360A">
        <w:t>с</w:t>
      </w:r>
      <w:r>
        <w:t>хода</w:t>
      </w:r>
      <w:r w:rsidR="004D1E15" w:rsidRPr="00F6340E">
        <w:t xml:space="preserve"> </w:t>
      </w:r>
      <w:r w:rsidR="0071360A">
        <w:t>пр</w:t>
      </w:r>
      <w:r>
        <w:t>оц</w:t>
      </w:r>
      <w:r w:rsidR="00EE6AA2">
        <w:t>е</w:t>
      </w:r>
      <w:r w:rsidR="0071360A">
        <w:t>с</w:t>
      </w:r>
      <w:r>
        <w:t>а</w:t>
      </w:r>
      <w:r w:rsidR="004D1E15" w:rsidRPr="00F6340E">
        <w:t xml:space="preserve"> </w:t>
      </w:r>
      <w:r w:rsidR="0071360A">
        <w:t>у</w:t>
      </w:r>
      <w:r>
        <w:t>ч</w:t>
      </w:r>
      <w:r w:rsidR="00EE6AA2">
        <w:t>е</w:t>
      </w:r>
      <w:r>
        <w:t>ња</w:t>
      </w:r>
      <w:r w:rsidR="004D1E15" w:rsidRPr="00F6340E">
        <w:t xml:space="preserve"> </w:t>
      </w:r>
      <w:r>
        <w:t>и</w:t>
      </w:r>
      <w:r w:rsidR="004D1E15" w:rsidRPr="00F6340E">
        <w:t xml:space="preserve"> </w:t>
      </w:r>
      <w:r w:rsidR="0071360A">
        <w:t>п</w:t>
      </w:r>
      <w:r>
        <w:t>од</w:t>
      </w:r>
      <w:r w:rsidR="0071360A">
        <w:t>у</w:t>
      </w:r>
      <w:r>
        <w:t>ча</w:t>
      </w:r>
      <w:r w:rsidR="0071360A">
        <w:t>в</w:t>
      </w:r>
      <w:r>
        <w:t>ања</w:t>
      </w:r>
      <w:r w:rsidR="004D1E15" w:rsidRPr="00F6340E">
        <w:t xml:space="preserve">. </w:t>
      </w:r>
    </w:p>
    <w:p w14:paraId="7F74A829" w14:textId="651BB074" w:rsidR="004D1E15" w:rsidRPr="00F6340E" w:rsidRDefault="00A56E08" w:rsidP="008C491A">
      <w:pPr>
        <w:pStyle w:val="Body"/>
        <w:rPr>
          <w:noProof w:val="0"/>
        </w:rPr>
      </w:pPr>
      <w:r>
        <w:rPr>
          <w:noProof w:val="0"/>
        </w:rPr>
        <w:t>М</w:t>
      </w:r>
      <w:r w:rsidR="00EE6AA2">
        <w:rPr>
          <w:noProof w:val="0"/>
        </w:rPr>
        <w:t>е</w:t>
      </w:r>
      <w:r>
        <w:rPr>
          <w:noProof w:val="0"/>
        </w:rPr>
        <w:t>хани</w:t>
      </w:r>
      <w:r w:rsidR="00171F00">
        <w:rPr>
          <w:noProof w:val="0"/>
        </w:rPr>
        <w:t>з</w:t>
      </w:r>
      <w:r>
        <w:rPr>
          <w:noProof w:val="0"/>
        </w:rPr>
        <w:t>ми</w:t>
      </w:r>
      <w:r w:rsidR="004D1E15" w:rsidRPr="00F6340E">
        <w:rPr>
          <w:noProof w:val="0"/>
        </w:rPr>
        <w:t xml:space="preserve"> </w:t>
      </w:r>
      <w:r>
        <w:rPr>
          <w:noProof w:val="0"/>
        </w:rPr>
        <w:t>о</w:t>
      </w:r>
      <w:r w:rsidR="0071360A">
        <w:rPr>
          <w:noProof w:val="0"/>
        </w:rPr>
        <w:t>с</w:t>
      </w:r>
      <w:r>
        <w:rPr>
          <w:noProof w:val="0"/>
        </w:rPr>
        <w:t>иг</w:t>
      </w:r>
      <w:r w:rsidR="0071360A">
        <w:rPr>
          <w:noProof w:val="0"/>
        </w:rPr>
        <w:t>ур</w:t>
      </w:r>
      <w:r>
        <w:rPr>
          <w:noProof w:val="0"/>
        </w:rPr>
        <w:t>ања</w:t>
      </w:r>
      <w:r w:rsidR="004D1E15" w:rsidRPr="00F6340E">
        <w:rPr>
          <w:noProof w:val="0"/>
        </w:rPr>
        <w:t xml:space="preserve"> </w:t>
      </w:r>
      <w:r>
        <w:rPr>
          <w:noProof w:val="0"/>
        </w:rPr>
        <w:t>к</w:t>
      </w:r>
      <w:r w:rsidR="0071360A">
        <w:rPr>
          <w:noProof w:val="0"/>
        </w:rPr>
        <w:t>в</w:t>
      </w:r>
      <w:r>
        <w:rPr>
          <w:noProof w:val="0"/>
        </w:rPr>
        <w:t>али</w:t>
      </w:r>
      <w:r w:rsidR="0071360A">
        <w:rPr>
          <w:noProof w:val="0"/>
        </w:rPr>
        <w:t>т</w:t>
      </w:r>
      <w:r w:rsidR="00EE6AA2">
        <w:rPr>
          <w:noProof w:val="0"/>
        </w:rPr>
        <w:t>е</w:t>
      </w:r>
      <w:r w:rsidR="0071360A">
        <w:rPr>
          <w:noProof w:val="0"/>
        </w:rPr>
        <w:t>т</w:t>
      </w:r>
      <w:r w:rsidR="00EE6AA2">
        <w:rPr>
          <w:noProof w:val="0"/>
        </w:rPr>
        <w:t>е</w:t>
      </w:r>
      <w:r w:rsidR="004D1E15" w:rsidRPr="00F6340E">
        <w:rPr>
          <w:noProof w:val="0"/>
        </w:rPr>
        <w:t xml:space="preserve"> </w:t>
      </w:r>
      <w:r>
        <w:rPr>
          <w:noProof w:val="0"/>
        </w:rPr>
        <w:t>мог</w:t>
      </w:r>
      <w:r w:rsidR="0071360A">
        <w:rPr>
          <w:noProof w:val="0"/>
        </w:rPr>
        <w:t>у</w:t>
      </w:r>
      <w:r w:rsidR="004D1E15" w:rsidRPr="00F6340E">
        <w:rPr>
          <w:noProof w:val="0"/>
        </w:rPr>
        <w:t xml:space="preserve"> </w:t>
      </w:r>
      <w:r>
        <w:rPr>
          <w:noProof w:val="0"/>
        </w:rPr>
        <w:t>би</w:t>
      </w:r>
      <w:r w:rsidR="0071360A">
        <w:rPr>
          <w:noProof w:val="0"/>
        </w:rPr>
        <w:t>т</w:t>
      </w:r>
      <w:r>
        <w:rPr>
          <w:noProof w:val="0"/>
        </w:rPr>
        <w:t>и</w:t>
      </w:r>
      <w:r w:rsidR="004D1E15" w:rsidRPr="00F6340E">
        <w:rPr>
          <w:noProof w:val="0"/>
        </w:rPr>
        <w:t xml:space="preserve"> </w:t>
      </w:r>
      <w:r w:rsidR="00EE6AA2">
        <w:rPr>
          <w:noProof w:val="0"/>
        </w:rPr>
        <w:t>е</w:t>
      </w:r>
      <w:r>
        <w:rPr>
          <w:noProof w:val="0"/>
        </w:rPr>
        <w:t>к</w:t>
      </w:r>
      <w:r w:rsidR="0071360A">
        <w:rPr>
          <w:noProof w:val="0"/>
        </w:rPr>
        <w:t>ст</w:t>
      </w:r>
      <w:r w:rsidR="00EE6AA2">
        <w:rPr>
          <w:noProof w:val="0"/>
        </w:rPr>
        <w:t>е</w:t>
      </w:r>
      <w:r w:rsidR="0071360A">
        <w:rPr>
          <w:noProof w:val="0"/>
        </w:rPr>
        <w:t>р</w:t>
      </w:r>
      <w:r>
        <w:rPr>
          <w:noProof w:val="0"/>
        </w:rPr>
        <w:t>ног</w:t>
      </w:r>
      <w:r w:rsidR="004D1E15" w:rsidRPr="00F6340E">
        <w:rPr>
          <w:noProof w:val="0"/>
        </w:rPr>
        <w:t xml:space="preserve"> </w:t>
      </w:r>
      <w:r>
        <w:rPr>
          <w:noProof w:val="0"/>
        </w:rPr>
        <w:t>или</w:t>
      </w:r>
      <w:r w:rsidR="004D1E15" w:rsidRPr="00F6340E">
        <w:rPr>
          <w:noProof w:val="0"/>
        </w:rPr>
        <w:t xml:space="preserve"> </w:t>
      </w:r>
      <w:r>
        <w:rPr>
          <w:noProof w:val="0"/>
        </w:rPr>
        <w:t>ин</w:t>
      </w:r>
      <w:r w:rsidR="0071360A">
        <w:rPr>
          <w:noProof w:val="0"/>
        </w:rPr>
        <w:t>т</w:t>
      </w:r>
      <w:r w:rsidR="00EE6AA2">
        <w:rPr>
          <w:noProof w:val="0"/>
        </w:rPr>
        <w:t>е</w:t>
      </w:r>
      <w:r w:rsidR="0071360A">
        <w:rPr>
          <w:noProof w:val="0"/>
        </w:rPr>
        <w:t>р</w:t>
      </w:r>
      <w:r>
        <w:rPr>
          <w:noProof w:val="0"/>
        </w:rPr>
        <w:t>ног</w:t>
      </w:r>
      <w:r w:rsidR="004D1E15" w:rsidRPr="00F6340E">
        <w:rPr>
          <w:noProof w:val="0"/>
        </w:rPr>
        <w:t xml:space="preserve"> </w:t>
      </w:r>
      <w:r>
        <w:rPr>
          <w:noProof w:val="0"/>
        </w:rPr>
        <w:t>ка</w:t>
      </w:r>
      <w:r w:rsidR="0071360A">
        <w:rPr>
          <w:noProof w:val="0"/>
        </w:rPr>
        <w:t>р</w:t>
      </w:r>
      <w:r>
        <w:rPr>
          <w:noProof w:val="0"/>
        </w:rPr>
        <w:t>ак</w:t>
      </w:r>
      <w:r w:rsidR="0071360A">
        <w:rPr>
          <w:noProof w:val="0"/>
        </w:rPr>
        <w:t>т</w:t>
      </w:r>
      <w:r w:rsidR="00EE6AA2">
        <w:rPr>
          <w:noProof w:val="0"/>
        </w:rPr>
        <w:t>е</w:t>
      </w:r>
      <w:r w:rsidR="0071360A">
        <w:rPr>
          <w:noProof w:val="0"/>
        </w:rPr>
        <w:t>р</w:t>
      </w:r>
      <w:r>
        <w:rPr>
          <w:noProof w:val="0"/>
        </w:rPr>
        <w:t>а</w:t>
      </w:r>
      <w:r w:rsidR="004D1E15" w:rsidRPr="00F6340E">
        <w:rPr>
          <w:noProof w:val="0"/>
        </w:rPr>
        <w:t xml:space="preserve">. </w:t>
      </w:r>
      <w:r w:rsidR="00EE6AA2">
        <w:rPr>
          <w:noProof w:val="0"/>
        </w:rPr>
        <w:t>Е</w:t>
      </w:r>
      <w:r>
        <w:rPr>
          <w:noProof w:val="0"/>
        </w:rPr>
        <w:t>к</w:t>
      </w:r>
      <w:r w:rsidR="0071360A">
        <w:rPr>
          <w:noProof w:val="0"/>
        </w:rPr>
        <w:t>ст</w:t>
      </w:r>
      <w:r w:rsidR="00EE6AA2">
        <w:rPr>
          <w:noProof w:val="0"/>
        </w:rPr>
        <w:t>е</w:t>
      </w:r>
      <w:r w:rsidR="0071360A">
        <w:rPr>
          <w:noProof w:val="0"/>
        </w:rPr>
        <w:t>р</w:t>
      </w:r>
      <w:r>
        <w:rPr>
          <w:noProof w:val="0"/>
        </w:rPr>
        <w:t>ни</w:t>
      </w:r>
      <w:r w:rsidR="004D1E15" w:rsidRPr="00F6340E">
        <w:rPr>
          <w:noProof w:val="0"/>
        </w:rPr>
        <w:t xml:space="preserve"> </w:t>
      </w:r>
      <w:r>
        <w:rPr>
          <w:noProof w:val="0"/>
        </w:rPr>
        <w:t>м</w:t>
      </w:r>
      <w:r w:rsidR="00EE6AA2">
        <w:rPr>
          <w:noProof w:val="0"/>
        </w:rPr>
        <w:t>е</w:t>
      </w:r>
      <w:r>
        <w:rPr>
          <w:noProof w:val="0"/>
        </w:rPr>
        <w:t>хани</w:t>
      </w:r>
      <w:r w:rsidR="00171F00">
        <w:rPr>
          <w:noProof w:val="0"/>
        </w:rPr>
        <w:t>з</w:t>
      </w:r>
      <w:r>
        <w:rPr>
          <w:noProof w:val="0"/>
        </w:rPr>
        <w:t>ми</w:t>
      </w:r>
      <w:r w:rsidR="004D1E15" w:rsidRPr="00F6340E">
        <w:rPr>
          <w:noProof w:val="0"/>
        </w:rPr>
        <w:t xml:space="preserve"> </w:t>
      </w:r>
      <w:r w:rsidR="0071360A">
        <w:rPr>
          <w:noProof w:val="0"/>
        </w:rPr>
        <w:t>с</w:t>
      </w:r>
      <w:r w:rsidR="00EE6AA2">
        <w:rPr>
          <w:noProof w:val="0"/>
        </w:rPr>
        <w:t>е</w:t>
      </w:r>
      <w:r w:rsidR="004D1E15" w:rsidRPr="00F6340E">
        <w:rPr>
          <w:noProof w:val="0"/>
        </w:rPr>
        <w:t xml:space="preserve"> </w:t>
      </w:r>
      <w:r>
        <w:rPr>
          <w:noProof w:val="0"/>
        </w:rPr>
        <w:t>одно</w:t>
      </w:r>
      <w:r w:rsidR="0071360A">
        <w:rPr>
          <w:noProof w:val="0"/>
        </w:rPr>
        <w:t>с</w:t>
      </w:r>
      <w:r w:rsidR="00EE6AA2">
        <w:rPr>
          <w:noProof w:val="0"/>
        </w:rPr>
        <w:t>е</w:t>
      </w:r>
      <w:r w:rsidR="004D1E15" w:rsidRPr="00F6340E">
        <w:rPr>
          <w:noProof w:val="0"/>
        </w:rPr>
        <w:t xml:space="preserve"> </w:t>
      </w:r>
      <w:r>
        <w:rPr>
          <w:noProof w:val="0"/>
        </w:rPr>
        <w:t>на</w:t>
      </w:r>
      <w:r w:rsidR="004D1E15" w:rsidRPr="00F6340E">
        <w:rPr>
          <w:noProof w:val="0"/>
        </w:rPr>
        <w:t xml:space="preserve"> </w:t>
      </w:r>
      <w:r w:rsidR="0071360A">
        <w:rPr>
          <w:noProof w:val="0"/>
        </w:rPr>
        <w:t>вр</w:t>
      </w:r>
      <w:r w:rsidR="00EE6AA2">
        <w:rPr>
          <w:noProof w:val="0"/>
        </w:rPr>
        <w:t>е</w:t>
      </w:r>
      <w:r>
        <w:rPr>
          <w:noProof w:val="0"/>
        </w:rPr>
        <w:t>дно</w:t>
      </w:r>
      <w:r w:rsidR="0071360A">
        <w:rPr>
          <w:noProof w:val="0"/>
        </w:rPr>
        <w:t>в</w:t>
      </w:r>
      <w:r>
        <w:rPr>
          <w:noProof w:val="0"/>
        </w:rPr>
        <w:t>ањ</w:t>
      </w:r>
      <w:r w:rsidR="00EE6AA2">
        <w:rPr>
          <w:noProof w:val="0"/>
        </w:rPr>
        <w:t>е</w:t>
      </w:r>
      <w:r w:rsidR="00B04FA8">
        <w:rPr>
          <w:noProof w:val="0"/>
        </w:rPr>
        <w:t xml:space="preserve"> са </w:t>
      </w:r>
      <w:r>
        <w:rPr>
          <w:noProof w:val="0"/>
        </w:rPr>
        <w:t>ни</w:t>
      </w:r>
      <w:r w:rsidR="0071360A">
        <w:rPr>
          <w:noProof w:val="0"/>
        </w:rPr>
        <w:t>в</w:t>
      </w:r>
      <w:r>
        <w:rPr>
          <w:noProof w:val="0"/>
        </w:rPr>
        <w:t>оа</w:t>
      </w:r>
      <w:r w:rsidR="004D1E15" w:rsidRPr="00F6340E">
        <w:rPr>
          <w:noProof w:val="0"/>
        </w:rPr>
        <w:t xml:space="preserve"> </w:t>
      </w:r>
      <w:r w:rsidR="0071360A">
        <w:rPr>
          <w:noProof w:val="0"/>
        </w:rPr>
        <w:t>р</w:t>
      </w:r>
      <w:r w:rsidR="00EE6AA2">
        <w:rPr>
          <w:noProof w:val="0"/>
        </w:rPr>
        <w:t>е</w:t>
      </w:r>
      <w:r w:rsidR="0071360A">
        <w:rPr>
          <w:noProof w:val="0"/>
        </w:rPr>
        <w:t>с</w:t>
      </w:r>
      <w:r>
        <w:rPr>
          <w:noProof w:val="0"/>
        </w:rPr>
        <w:t>о</w:t>
      </w:r>
      <w:r w:rsidR="0071360A">
        <w:rPr>
          <w:noProof w:val="0"/>
        </w:rPr>
        <w:t>р</w:t>
      </w:r>
      <w:r>
        <w:rPr>
          <w:noProof w:val="0"/>
        </w:rPr>
        <w:t>них</w:t>
      </w:r>
      <w:r w:rsidR="004D1E15" w:rsidRPr="00F6340E">
        <w:rPr>
          <w:noProof w:val="0"/>
        </w:rPr>
        <w:t xml:space="preserve"> </w:t>
      </w:r>
      <w:r>
        <w:rPr>
          <w:noProof w:val="0"/>
        </w:rPr>
        <w:t>мини</w:t>
      </w:r>
      <w:r w:rsidR="0071360A">
        <w:rPr>
          <w:noProof w:val="0"/>
        </w:rPr>
        <w:t>ст</w:t>
      </w:r>
      <w:r>
        <w:rPr>
          <w:noProof w:val="0"/>
        </w:rPr>
        <w:t>а</w:t>
      </w:r>
      <w:r w:rsidR="0071360A">
        <w:rPr>
          <w:noProof w:val="0"/>
        </w:rPr>
        <w:t>рст</w:t>
      </w:r>
      <w:r>
        <w:rPr>
          <w:noProof w:val="0"/>
        </w:rPr>
        <w:t>а</w:t>
      </w:r>
      <w:r w:rsidR="0071360A">
        <w:rPr>
          <w:noProof w:val="0"/>
        </w:rPr>
        <w:t>в</w:t>
      </w:r>
      <w:r>
        <w:rPr>
          <w:noProof w:val="0"/>
        </w:rPr>
        <w:t>а</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ања</w:t>
      </w:r>
      <w:r w:rsidR="004D1E15" w:rsidRPr="00F6340E">
        <w:rPr>
          <w:noProof w:val="0"/>
        </w:rPr>
        <w:t xml:space="preserve"> </w:t>
      </w:r>
      <w:r>
        <w:rPr>
          <w:noProof w:val="0"/>
        </w:rPr>
        <w:t>и</w:t>
      </w:r>
      <w:r w:rsidR="004D1E15" w:rsidRPr="00F6340E">
        <w:rPr>
          <w:noProof w:val="0"/>
        </w:rPr>
        <w:t xml:space="preserve"> </w:t>
      </w:r>
      <w:r>
        <w:rPr>
          <w:noProof w:val="0"/>
        </w:rPr>
        <w:t>одго</w:t>
      </w:r>
      <w:r w:rsidR="0071360A">
        <w:rPr>
          <w:noProof w:val="0"/>
        </w:rPr>
        <w:t>в</w:t>
      </w:r>
      <w:r>
        <w:rPr>
          <w:noProof w:val="0"/>
        </w:rPr>
        <w:t>а</w:t>
      </w:r>
      <w:r w:rsidR="0071360A">
        <w:rPr>
          <w:noProof w:val="0"/>
        </w:rPr>
        <w:t>р</w:t>
      </w:r>
      <w:r>
        <w:rPr>
          <w:noProof w:val="0"/>
        </w:rPr>
        <w:t>ај</w:t>
      </w:r>
      <w:r w:rsidR="0071360A">
        <w:rPr>
          <w:noProof w:val="0"/>
        </w:rPr>
        <w:t>у</w:t>
      </w:r>
      <w:r>
        <w:rPr>
          <w:noProof w:val="0"/>
        </w:rPr>
        <w:t>ћих</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них</w:t>
      </w:r>
      <w:r w:rsidR="004D1E15" w:rsidRPr="00F6340E">
        <w:rPr>
          <w:noProof w:val="0"/>
        </w:rPr>
        <w:t xml:space="preserve"> </w:t>
      </w:r>
      <w:r>
        <w:rPr>
          <w:noProof w:val="0"/>
        </w:rPr>
        <w:t>ин</w:t>
      </w:r>
      <w:r w:rsidR="0071360A">
        <w:rPr>
          <w:noProof w:val="0"/>
        </w:rPr>
        <w:t>ст</w:t>
      </w:r>
      <w:r>
        <w:rPr>
          <w:noProof w:val="0"/>
        </w:rPr>
        <w:t>и</w:t>
      </w:r>
      <w:r w:rsidR="0071360A">
        <w:rPr>
          <w:noProof w:val="0"/>
        </w:rPr>
        <w:t>ту</w:t>
      </w:r>
      <w:r>
        <w:rPr>
          <w:noProof w:val="0"/>
        </w:rPr>
        <w:t>ција</w:t>
      </w:r>
      <w:r w:rsidR="004D1E15" w:rsidRPr="00F6340E">
        <w:rPr>
          <w:noProof w:val="0"/>
        </w:rPr>
        <w:t xml:space="preserve"> </w:t>
      </w:r>
      <w:r>
        <w:rPr>
          <w:noProof w:val="0"/>
        </w:rPr>
        <w:t>док</w:t>
      </w:r>
      <w:r w:rsidR="004D1E15" w:rsidRPr="00F6340E">
        <w:rPr>
          <w:noProof w:val="0"/>
        </w:rPr>
        <w:t xml:space="preserve"> </w:t>
      </w:r>
      <w:r w:rsidR="0071360A">
        <w:rPr>
          <w:noProof w:val="0"/>
        </w:rPr>
        <w:t>у</w:t>
      </w:r>
      <w:r>
        <w:rPr>
          <w:noProof w:val="0"/>
        </w:rPr>
        <w:t>н</w:t>
      </w:r>
      <w:r w:rsidR="0071360A">
        <w:rPr>
          <w:noProof w:val="0"/>
        </w:rPr>
        <w:t>утр</w:t>
      </w:r>
      <w:r>
        <w:rPr>
          <w:noProof w:val="0"/>
        </w:rPr>
        <w:t>а</w:t>
      </w:r>
      <w:r w:rsidR="0071360A">
        <w:rPr>
          <w:noProof w:val="0"/>
        </w:rPr>
        <w:t>ш</w:t>
      </w:r>
      <w:r>
        <w:rPr>
          <w:noProof w:val="0"/>
        </w:rPr>
        <w:t>њи</w:t>
      </w:r>
      <w:r w:rsidR="004D1E15" w:rsidRPr="00F6340E">
        <w:rPr>
          <w:noProof w:val="0"/>
        </w:rPr>
        <w:t xml:space="preserve"> </w:t>
      </w:r>
      <w:r w:rsidR="0071360A">
        <w:rPr>
          <w:noProof w:val="0"/>
        </w:rPr>
        <w:t>у</w:t>
      </w:r>
      <w:r>
        <w:rPr>
          <w:noProof w:val="0"/>
        </w:rPr>
        <w:t>кљ</w:t>
      </w:r>
      <w:r w:rsidR="0071360A">
        <w:rPr>
          <w:noProof w:val="0"/>
        </w:rPr>
        <w:t>у</w:t>
      </w:r>
      <w:r>
        <w:rPr>
          <w:noProof w:val="0"/>
        </w:rPr>
        <w:t>ч</w:t>
      </w:r>
      <w:r w:rsidR="0071360A">
        <w:rPr>
          <w:noProof w:val="0"/>
        </w:rPr>
        <w:t>у</w:t>
      </w:r>
      <w:r>
        <w:rPr>
          <w:noProof w:val="0"/>
        </w:rPr>
        <w:t>ј</w:t>
      </w:r>
      <w:r w:rsidR="0071360A">
        <w:rPr>
          <w:noProof w:val="0"/>
        </w:rPr>
        <w:t>у</w:t>
      </w:r>
      <w:r w:rsidR="004D1E15" w:rsidRPr="00F6340E">
        <w:rPr>
          <w:noProof w:val="0"/>
        </w:rPr>
        <w:t xml:space="preserve"> </w:t>
      </w:r>
      <w:r w:rsidR="0071360A">
        <w:rPr>
          <w:noProof w:val="0"/>
        </w:rPr>
        <w:t>с</w:t>
      </w:r>
      <w:r>
        <w:rPr>
          <w:noProof w:val="0"/>
        </w:rPr>
        <w:t>амо</w:t>
      </w:r>
      <w:r w:rsidR="00F84617" w:rsidRPr="00F6340E">
        <w:rPr>
          <w:noProof w:val="0"/>
        </w:rPr>
        <w:t>-</w:t>
      </w:r>
      <w:r w:rsidR="0071360A">
        <w:rPr>
          <w:noProof w:val="0"/>
        </w:rPr>
        <w:t>вр</w:t>
      </w:r>
      <w:r w:rsidR="00EE6AA2">
        <w:rPr>
          <w:noProof w:val="0"/>
        </w:rPr>
        <w:t>е</w:t>
      </w:r>
      <w:r>
        <w:rPr>
          <w:noProof w:val="0"/>
        </w:rPr>
        <w:t>дно</w:t>
      </w:r>
      <w:r w:rsidR="0071360A">
        <w:rPr>
          <w:noProof w:val="0"/>
        </w:rPr>
        <w:t>в</w:t>
      </w:r>
      <w:r>
        <w:rPr>
          <w:noProof w:val="0"/>
        </w:rPr>
        <w:t>ањ</w:t>
      </w:r>
      <w:r w:rsidR="00EE6AA2">
        <w:rPr>
          <w:noProof w:val="0"/>
        </w:rPr>
        <w:t>е</w:t>
      </w:r>
      <w:r w:rsidR="004D1E15" w:rsidRPr="00F6340E">
        <w:rPr>
          <w:noProof w:val="0"/>
        </w:rPr>
        <w:t xml:space="preserve"> </w:t>
      </w:r>
      <w:r w:rsidR="0071360A">
        <w:rPr>
          <w:noProof w:val="0"/>
        </w:rPr>
        <w:t>р</w:t>
      </w:r>
      <w:r>
        <w:rPr>
          <w:noProof w:val="0"/>
        </w:rPr>
        <w:t>ада</w:t>
      </w:r>
      <w:r w:rsidR="004D1E15" w:rsidRPr="00F6340E">
        <w:rPr>
          <w:noProof w:val="0"/>
        </w:rPr>
        <w:t xml:space="preserve"> </w:t>
      </w:r>
      <w:r w:rsidR="0071360A">
        <w:rPr>
          <w:noProof w:val="0"/>
        </w:rPr>
        <w:t>ш</w:t>
      </w:r>
      <w:r>
        <w:rPr>
          <w:noProof w:val="0"/>
        </w:rPr>
        <w:t>кол</w:t>
      </w:r>
      <w:r w:rsidR="00EE6AA2">
        <w:rPr>
          <w:noProof w:val="0"/>
        </w:rPr>
        <w:t>е</w:t>
      </w:r>
      <w:r w:rsidR="004D1E15" w:rsidRPr="00F6340E">
        <w:rPr>
          <w:noProof w:val="0"/>
        </w:rPr>
        <w:t>, (</w:t>
      </w:r>
      <w:r w:rsidR="0071360A">
        <w:rPr>
          <w:noProof w:val="0"/>
        </w:rPr>
        <w:t>с</w:t>
      </w:r>
      <w:r>
        <w:rPr>
          <w:noProof w:val="0"/>
        </w:rPr>
        <w:t>амо</w:t>
      </w:r>
      <w:r w:rsidR="004D1E15" w:rsidRPr="00F6340E">
        <w:rPr>
          <w:noProof w:val="0"/>
        </w:rPr>
        <w:t>)</w:t>
      </w:r>
      <w:r w:rsidR="0071360A">
        <w:rPr>
          <w:noProof w:val="0"/>
        </w:rPr>
        <w:t>вр</w:t>
      </w:r>
      <w:r w:rsidR="00EE6AA2">
        <w:rPr>
          <w:noProof w:val="0"/>
        </w:rPr>
        <w:t>е</w:t>
      </w:r>
      <w:r>
        <w:rPr>
          <w:noProof w:val="0"/>
        </w:rPr>
        <w:t>дно</w:t>
      </w:r>
      <w:r w:rsidR="0071360A">
        <w:rPr>
          <w:noProof w:val="0"/>
        </w:rPr>
        <w:t>в</w:t>
      </w:r>
      <w:r>
        <w:rPr>
          <w:noProof w:val="0"/>
        </w:rPr>
        <w:t>ања</w:t>
      </w:r>
      <w:r w:rsidR="004D1E15" w:rsidRPr="00F6340E">
        <w:rPr>
          <w:noProof w:val="0"/>
        </w:rPr>
        <w:t xml:space="preserve"> </w:t>
      </w:r>
      <w:r w:rsidR="0071360A">
        <w:rPr>
          <w:noProof w:val="0"/>
        </w:rPr>
        <w:t>р</w:t>
      </w:r>
      <w:r>
        <w:rPr>
          <w:noProof w:val="0"/>
        </w:rPr>
        <w:t>ада</w:t>
      </w:r>
      <w:r w:rsidR="004D1E15" w:rsidRPr="00F6340E">
        <w:rPr>
          <w:noProof w:val="0"/>
        </w:rPr>
        <w:t xml:space="preserve"> </w:t>
      </w:r>
      <w:r>
        <w:rPr>
          <w:noProof w:val="0"/>
        </w:rPr>
        <w:t>на</w:t>
      </w:r>
      <w:r w:rsidR="0071360A">
        <w:rPr>
          <w:noProof w:val="0"/>
        </w:rPr>
        <w:t>ст</w:t>
      </w:r>
      <w:r>
        <w:rPr>
          <w:noProof w:val="0"/>
        </w:rPr>
        <w:t>а</w:t>
      </w:r>
      <w:r w:rsidR="0071360A">
        <w:rPr>
          <w:noProof w:val="0"/>
        </w:rPr>
        <w:t>в</w:t>
      </w:r>
      <w:r>
        <w:rPr>
          <w:noProof w:val="0"/>
        </w:rPr>
        <w:t>ника</w:t>
      </w:r>
      <w:r w:rsidR="004D1E15" w:rsidRPr="00F6340E">
        <w:rPr>
          <w:noProof w:val="0"/>
        </w:rPr>
        <w:t xml:space="preserve"> </w:t>
      </w:r>
      <w:r>
        <w:rPr>
          <w:noProof w:val="0"/>
        </w:rPr>
        <w:t>и</w:t>
      </w:r>
      <w:r w:rsidR="004D1E15" w:rsidRPr="00F6340E">
        <w:rPr>
          <w:noProof w:val="0"/>
        </w:rPr>
        <w:t xml:space="preserve"> </w:t>
      </w:r>
      <w:r w:rsidR="0071360A">
        <w:rPr>
          <w:noProof w:val="0"/>
        </w:rPr>
        <w:t>у</w:t>
      </w:r>
      <w:r>
        <w:rPr>
          <w:noProof w:val="0"/>
        </w:rPr>
        <w:t>ч</w:t>
      </w:r>
      <w:r w:rsidR="00EE6AA2">
        <w:rPr>
          <w:noProof w:val="0"/>
        </w:rPr>
        <w:t>е</w:t>
      </w:r>
      <w:r>
        <w:rPr>
          <w:noProof w:val="0"/>
        </w:rPr>
        <w:t>ничких</w:t>
      </w:r>
      <w:r w:rsidR="004D1E15" w:rsidRPr="00F6340E">
        <w:rPr>
          <w:noProof w:val="0"/>
        </w:rPr>
        <w:t xml:space="preserve"> </w:t>
      </w:r>
      <w:r w:rsidR="0071360A">
        <w:rPr>
          <w:noProof w:val="0"/>
        </w:rPr>
        <w:t>п</w:t>
      </w:r>
      <w:r>
        <w:rPr>
          <w:noProof w:val="0"/>
        </w:rPr>
        <w:t>о</w:t>
      </w:r>
      <w:r w:rsidR="0071360A">
        <w:rPr>
          <w:noProof w:val="0"/>
        </w:rPr>
        <w:t>ст</w:t>
      </w:r>
      <w:r>
        <w:rPr>
          <w:noProof w:val="0"/>
        </w:rPr>
        <w:t>игн</w:t>
      </w:r>
      <w:r w:rsidR="0071360A">
        <w:rPr>
          <w:noProof w:val="0"/>
        </w:rPr>
        <w:t>у</w:t>
      </w:r>
      <w:r>
        <w:rPr>
          <w:noProof w:val="0"/>
        </w:rPr>
        <w:t>ћа</w:t>
      </w:r>
      <w:r w:rsidR="004D1E15" w:rsidRPr="00F6340E">
        <w:rPr>
          <w:noProof w:val="0"/>
        </w:rPr>
        <w:t xml:space="preserve">. </w:t>
      </w:r>
      <w:r w:rsidR="00171F00">
        <w:rPr>
          <w:noProof w:val="0"/>
        </w:rPr>
        <w:t>З</w:t>
      </w:r>
      <w:r>
        <w:rPr>
          <w:noProof w:val="0"/>
        </w:rPr>
        <w:t>а</w:t>
      </w:r>
      <w:r w:rsidR="004D1E15" w:rsidRPr="00F6340E">
        <w:rPr>
          <w:noProof w:val="0"/>
        </w:rPr>
        <w:t xml:space="preserve"> </w:t>
      </w:r>
      <w:r>
        <w:rPr>
          <w:noProof w:val="0"/>
        </w:rPr>
        <w:t>о</w:t>
      </w:r>
      <w:r w:rsidR="0071360A">
        <w:rPr>
          <w:noProof w:val="0"/>
        </w:rPr>
        <w:t>с</w:t>
      </w:r>
      <w:r>
        <w:rPr>
          <w:noProof w:val="0"/>
        </w:rPr>
        <w:t>иг</w:t>
      </w:r>
      <w:r w:rsidR="0071360A">
        <w:rPr>
          <w:noProof w:val="0"/>
        </w:rPr>
        <w:t>ур</w:t>
      </w:r>
      <w:r>
        <w:rPr>
          <w:noProof w:val="0"/>
        </w:rPr>
        <w:t>ањ</w:t>
      </w:r>
      <w:r w:rsidR="00EE6AA2">
        <w:rPr>
          <w:noProof w:val="0"/>
        </w:rPr>
        <w:t>е</w:t>
      </w:r>
      <w:r w:rsidR="004D1E15" w:rsidRPr="00F6340E">
        <w:rPr>
          <w:noProof w:val="0"/>
        </w:rPr>
        <w:t xml:space="preserve"> </w:t>
      </w:r>
      <w:r>
        <w:rPr>
          <w:noProof w:val="0"/>
        </w:rPr>
        <w:t>к</w:t>
      </w:r>
      <w:r w:rsidR="0071360A">
        <w:rPr>
          <w:noProof w:val="0"/>
        </w:rPr>
        <w:t>в</w:t>
      </w:r>
      <w:r>
        <w:rPr>
          <w:noProof w:val="0"/>
        </w:rPr>
        <w:t>али</w:t>
      </w:r>
      <w:r w:rsidR="0071360A">
        <w:rPr>
          <w:noProof w:val="0"/>
        </w:rPr>
        <w:t>т</w:t>
      </w:r>
      <w:r w:rsidR="00EE6AA2">
        <w:rPr>
          <w:noProof w:val="0"/>
        </w:rPr>
        <w:t>е</w:t>
      </w:r>
      <w:r w:rsidR="0071360A">
        <w:rPr>
          <w:noProof w:val="0"/>
        </w:rPr>
        <w:t>т</w:t>
      </w:r>
      <w:r w:rsidR="00EE6AA2">
        <w:rPr>
          <w:noProof w:val="0"/>
        </w:rPr>
        <w:t>е</w:t>
      </w:r>
      <w:r w:rsidR="004D1E15" w:rsidRPr="00F6340E">
        <w:rPr>
          <w:noProof w:val="0"/>
        </w:rPr>
        <w:t xml:space="preserve"> </w:t>
      </w:r>
      <w:r w:rsidR="0071360A">
        <w:rPr>
          <w:noProof w:val="0"/>
        </w:rPr>
        <w:t>у</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ањ</w:t>
      </w:r>
      <w:r w:rsidR="0071360A">
        <w:rPr>
          <w:noProof w:val="0"/>
        </w:rPr>
        <w:t>у</w:t>
      </w:r>
      <w:r w:rsidR="004D1E15" w:rsidRPr="00F6340E">
        <w:rPr>
          <w:noProof w:val="0"/>
        </w:rPr>
        <w:t xml:space="preserve"> </w:t>
      </w:r>
      <w:r w:rsidR="0071360A">
        <w:rPr>
          <w:noProof w:val="0"/>
        </w:rPr>
        <w:t>в</w:t>
      </w:r>
      <w:r>
        <w:rPr>
          <w:noProof w:val="0"/>
        </w:rPr>
        <w:t>а</w:t>
      </w:r>
      <w:r w:rsidR="00171F00">
        <w:rPr>
          <w:noProof w:val="0"/>
        </w:rPr>
        <w:t>ж</w:t>
      </w:r>
      <w:r>
        <w:rPr>
          <w:noProof w:val="0"/>
        </w:rPr>
        <w:t>на</w:t>
      </w:r>
      <w:r w:rsidR="004D1E15" w:rsidRPr="00F6340E">
        <w:rPr>
          <w:noProof w:val="0"/>
        </w:rPr>
        <w:t xml:space="preserve"> </w:t>
      </w:r>
      <w:r>
        <w:rPr>
          <w:noProof w:val="0"/>
        </w:rPr>
        <w:t>ј</w:t>
      </w:r>
      <w:r w:rsidR="00EE6AA2">
        <w:rPr>
          <w:noProof w:val="0"/>
        </w:rPr>
        <w:t>е</w:t>
      </w:r>
      <w:r w:rsidR="004D1E15" w:rsidRPr="00F6340E">
        <w:rPr>
          <w:noProof w:val="0"/>
        </w:rPr>
        <w:t xml:space="preserve"> </w:t>
      </w:r>
      <w:r w:rsidR="0071360A">
        <w:rPr>
          <w:noProof w:val="0"/>
        </w:rPr>
        <w:t>с</w:t>
      </w:r>
      <w:r>
        <w:rPr>
          <w:noProof w:val="0"/>
        </w:rPr>
        <w:t>ин</w:t>
      </w:r>
      <w:r w:rsidR="00EE6AA2">
        <w:rPr>
          <w:noProof w:val="0"/>
        </w:rPr>
        <w:t>е</w:t>
      </w:r>
      <w:r w:rsidR="0071360A">
        <w:rPr>
          <w:noProof w:val="0"/>
        </w:rPr>
        <w:t>р</w:t>
      </w:r>
      <w:r>
        <w:rPr>
          <w:noProof w:val="0"/>
        </w:rPr>
        <w:t>гија</w:t>
      </w:r>
      <w:r w:rsidR="004D1E15" w:rsidRPr="00F6340E">
        <w:rPr>
          <w:noProof w:val="0"/>
        </w:rPr>
        <w:t xml:space="preserve"> </w:t>
      </w:r>
      <w:r w:rsidR="00EE6AA2">
        <w:rPr>
          <w:noProof w:val="0"/>
        </w:rPr>
        <w:t>е</w:t>
      </w:r>
      <w:r>
        <w:rPr>
          <w:noProof w:val="0"/>
        </w:rPr>
        <w:t>к</w:t>
      </w:r>
      <w:r w:rsidR="0071360A">
        <w:rPr>
          <w:noProof w:val="0"/>
        </w:rPr>
        <w:t>ст</w:t>
      </w:r>
      <w:r w:rsidR="00EE6AA2">
        <w:rPr>
          <w:noProof w:val="0"/>
        </w:rPr>
        <w:t>е</w:t>
      </w:r>
      <w:r w:rsidR="0071360A">
        <w:rPr>
          <w:noProof w:val="0"/>
        </w:rPr>
        <w:t>р</w:t>
      </w:r>
      <w:r>
        <w:rPr>
          <w:noProof w:val="0"/>
        </w:rPr>
        <w:t>них</w:t>
      </w:r>
      <w:r w:rsidR="004D1E15" w:rsidRPr="00F6340E">
        <w:rPr>
          <w:noProof w:val="0"/>
        </w:rPr>
        <w:t xml:space="preserve"> </w:t>
      </w:r>
      <w:r>
        <w:rPr>
          <w:noProof w:val="0"/>
        </w:rPr>
        <w:t>и</w:t>
      </w:r>
      <w:r w:rsidR="004D1E15" w:rsidRPr="00F6340E">
        <w:rPr>
          <w:noProof w:val="0"/>
        </w:rPr>
        <w:t xml:space="preserve"> </w:t>
      </w:r>
      <w:r w:rsidR="0071360A">
        <w:rPr>
          <w:noProof w:val="0"/>
        </w:rPr>
        <w:t>у</w:t>
      </w:r>
      <w:r>
        <w:rPr>
          <w:noProof w:val="0"/>
        </w:rPr>
        <w:t>н</w:t>
      </w:r>
      <w:r w:rsidR="0071360A">
        <w:rPr>
          <w:noProof w:val="0"/>
        </w:rPr>
        <w:t>утр</w:t>
      </w:r>
      <w:r>
        <w:rPr>
          <w:noProof w:val="0"/>
        </w:rPr>
        <w:t>а</w:t>
      </w:r>
      <w:r w:rsidR="0071360A">
        <w:rPr>
          <w:noProof w:val="0"/>
        </w:rPr>
        <w:t>ш</w:t>
      </w:r>
      <w:r>
        <w:rPr>
          <w:noProof w:val="0"/>
        </w:rPr>
        <w:t>њих</w:t>
      </w:r>
      <w:r w:rsidR="004D1E15" w:rsidRPr="00F6340E">
        <w:rPr>
          <w:noProof w:val="0"/>
        </w:rPr>
        <w:t xml:space="preserve"> </w:t>
      </w:r>
      <w:r>
        <w:rPr>
          <w:noProof w:val="0"/>
        </w:rPr>
        <w:t>м</w:t>
      </w:r>
      <w:r w:rsidR="00EE6AA2">
        <w:rPr>
          <w:noProof w:val="0"/>
        </w:rPr>
        <w:t>е</w:t>
      </w:r>
      <w:r>
        <w:rPr>
          <w:noProof w:val="0"/>
        </w:rPr>
        <w:t>хани</w:t>
      </w:r>
      <w:r w:rsidR="00171F00">
        <w:rPr>
          <w:noProof w:val="0"/>
        </w:rPr>
        <w:t>з</w:t>
      </w:r>
      <w:r>
        <w:rPr>
          <w:noProof w:val="0"/>
        </w:rPr>
        <w:t>ама</w:t>
      </w:r>
      <w:r w:rsidR="004D1E15" w:rsidRPr="00F6340E">
        <w:rPr>
          <w:noProof w:val="0"/>
        </w:rPr>
        <w:t xml:space="preserve">. </w:t>
      </w:r>
      <w:r w:rsidR="0071360A">
        <w:rPr>
          <w:noProof w:val="0"/>
        </w:rPr>
        <w:t>Усп</w:t>
      </w:r>
      <w:r>
        <w:rPr>
          <w:noProof w:val="0"/>
        </w:rPr>
        <w:t>о</w:t>
      </w:r>
      <w:r w:rsidR="0071360A">
        <w:rPr>
          <w:noProof w:val="0"/>
        </w:rPr>
        <w:t>ст</w:t>
      </w:r>
      <w:r>
        <w:rPr>
          <w:noProof w:val="0"/>
        </w:rPr>
        <w:t>а</w:t>
      </w:r>
      <w:r w:rsidR="0071360A">
        <w:rPr>
          <w:noProof w:val="0"/>
        </w:rPr>
        <w:t>в</w:t>
      </w:r>
      <w:r>
        <w:rPr>
          <w:noProof w:val="0"/>
        </w:rPr>
        <w:t>љањ</w:t>
      </w:r>
      <w:r w:rsidR="00EE6AA2">
        <w:rPr>
          <w:noProof w:val="0"/>
        </w:rPr>
        <w:t>е</w:t>
      </w:r>
      <w:r w:rsidR="004D1E15" w:rsidRPr="00F6340E">
        <w:rPr>
          <w:noProof w:val="0"/>
        </w:rPr>
        <w:t xml:space="preserve"> </w:t>
      </w:r>
      <w:r>
        <w:rPr>
          <w:noProof w:val="0"/>
        </w:rPr>
        <w:t>м</w:t>
      </w:r>
      <w:r w:rsidR="00EE6AA2">
        <w:rPr>
          <w:noProof w:val="0"/>
        </w:rPr>
        <w:t>е</w:t>
      </w:r>
      <w:r>
        <w:rPr>
          <w:noProof w:val="0"/>
        </w:rPr>
        <w:t>хани</w:t>
      </w:r>
      <w:r w:rsidR="00171F00">
        <w:rPr>
          <w:noProof w:val="0"/>
        </w:rPr>
        <w:t>з</w:t>
      </w:r>
      <w:r>
        <w:rPr>
          <w:noProof w:val="0"/>
        </w:rPr>
        <w:t>ама</w:t>
      </w:r>
      <w:r w:rsidR="004D1E15" w:rsidRPr="00F6340E">
        <w:rPr>
          <w:noProof w:val="0"/>
        </w:rPr>
        <w:t xml:space="preserve"> </w:t>
      </w:r>
      <w:r w:rsidR="0071360A">
        <w:rPr>
          <w:noProof w:val="0"/>
        </w:rPr>
        <w:t>п</w:t>
      </w:r>
      <w:r>
        <w:rPr>
          <w:noProof w:val="0"/>
        </w:rPr>
        <w:t>од</w:t>
      </w:r>
      <w:r w:rsidR="0071360A">
        <w:rPr>
          <w:noProof w:val="0"/>
        </w:rPr>
        <w:t>р</w:t>
      </w:r>
      <w:r>
        <w:rPr>
          <w:noProof w:val="0"/>
        </w:rPr>
        <w:t>а</w:t>
      </w:r>
      <w:r w:rsidR="00171F00">
        <w:rPr>
          <w:noProof w:val="0"/>
        </w:rPr>
        <w:t>з</w:t>
      </w:r>
      <w:r w:rsidR="0071360A">
        <w:rPr>
          <w:noProof w:val="0"/>
        </w:rPr>
        <w:t>у</w:t>
      </w:r>
      <w:r>
        <w:rPr>
          <w:noProof w:val="0"/>
        </w:rPr>
        <w:t>миј</w:t>
      </w:r>
      <w:r w:rsidR="00EE6AA2">
        <w:rPr>
          <w:noProof w:val="0"/>
        </w:rPr>
        <w:t>е</w:t>
      </w:r>
      <w:r w:rsidR="0071360A">
        <w:rPr>
          <w:noProof w:val="0"/>
        </w:rPr>
        <w:t>в</w:t>
      </w:r>
      <w:r>
        <w:rPr>
          <w:noProof w:val="0"/>
        </w:rPr>
        <w:t>а</w:t>
      </w:r>
      <w:r w:rsidR="004D1E15" w:rsidRPr="00F6340E">
        <w:rPr>
          <w:noProof w:val="0"/>
        </w:rPr>
        <w:t xml:space="preserve"> </w:t>
      </w:r>
      <w:r w:rsidR="0071360A">
        <w:rPr>
          <w:noProof w:val="0"/>
        </w:rPr>
        <w:t>пр</w:t>
      </w:r>
      <w:r>
        <w:rPr>
          <w:noProof w:val="0"/>
        </w:rPr>
        <w:t>имј</w:t>
      </w:r>
      <w:r w:rsidR="00EE6AA2">
        <w:rPr>
          <w:noProof w:val="0"/>
        </w:rPr>
        <w:t>е</w:t>
      </w:r>
      <w:r>
        <w:rPr>
          <w:noProof w:val="0"/>
        </w:rPr>
        <w:t>н</w:t>
      </w:r>
      <w:r w:rsidR="0071360A">
        <w:rPr>
          <w:noProof w:val="0"/>
        </w:rPr>
        <w:t>у</w:t>
      </w:r>
      <w:r w:rsidR="004D1E15" w:rsidRPr="00F6340E">
        <w:rPr>
          <w:noProof w:val="0"/>
        </w:rPr>
        <w:t xml:space="preserve"> </w:t>
      </w:r>
      <w:r w:rsidR="0071360A">
        <w:rPr>
          <w:noProof w:val="0"/>
        </w:rPr>
        <w:t>р</w:t>
      </w:r>
      <w:r>
        <w:rPr>
          <w:noProof w:val="0"/>
        </w:rPr>
        <w:t>а</w:t>
      </w:r>
      <w:r w:rsidR="00171F00">
        <w:rPr>
          <w:noProof w:val="0"/>
        </w:rPr>
        <w:t>з</w:t>
      </w:r>
      <w:r>
        <w:rPr>
          <w:noProof w:val="0"/>
        </w:rPr>
        <w:t>личи</w:t>
      </w:r>
      <w:r w:rsidR="0071360A">
        <w:rPr>
          <w:noProof w:val="0"/>
        </w:rPr>
        <w:t>т</w:t>
      </w:r>
      <w:r>
        <w:rPr>
          <w:noProof w:val="0"/>
        </w:rPr>
        <w:t>их</w:t>
      </w:r>
      <w:r w:rsidR="004D1E15" w:rsidRPr="00F6340E">
        <w:rPr>
          <w:noProof w:val="0"/>
        </w:rPr>
        <w:t xml:space="preserve"> </w:t>
      </w:r>
      <w:r>
        <w:rPr>
          <w:noProof w:val="0"/>
        </w:rPr>
        <w:t>ала</w:t>
      </w:r>
      <w:r w:rsidR="0071360A">
        <w:rPr>
          <w:noProof w:val="0"/>
        </w:rPr>
        <w:t>т</w:t>
      </w:r>
      <w:r>
        <w:rPr>
          <w:noProof w:val="0"/>
        </w:rPr>
        <w:t>а</w:t>
      </w:r>
      <w:r w:rsidR="004D1E15" w:rsidRPr="00F6340E">
        <w:rPr>
          <w:noProof w:val="0"/>
        </w:rPr>
        <w:t xml:space="preserve">, </w:t>
      </w:r>
      <w:r w:rsidR="0071360A">
        <w:rPr>
          <w:noProof w:val="0"/>
        </w:rPr>
        <w:t>пр</w:t>
      </w:r>
      <w:r>
        <w:rPr>
          <w:noProof w:val="0"/>
        </w:rPr>
        <w:t>оц</w:t>
      </w:r>
      <w:r w:rsidR="00EE6AA2">
        <w:rPr>
          <w:noProof w:val="0"/>
        </w:rPr>
        <w:t>е</w:t>
      </w:r>
      <w:r w:rsidR="0071360A">
        <w:rPr>
          <w:noProof w:val="0"/>
        </w:rPr>
        <w:t>с</w:t>
      </w:r>
      <w:r>
        <w:rPr>
          <w:noProof w:val="0"/>
        </w:rPr>
        <w:t>а</w:t>
      </w:r>
      <w:r w:rsidR="004D1E15" w:rsidRPr="00F6340E">
        <w:rPr>
          <w:noProof w:val="0"/>
        </w:rPr>
        <w:t xml:space="preserve">, </w:t>
      </w:r>
      <w:r>
        <w:rPr>
          <w:noProof w:val="0"/>
        </w:rPr>
        <w:t>али</w:t>
      </w:r>
      <w:r w:rsidR="004D1E15" w:rsidRPr="00F6340E">
        <w:rPr>
          <w:noProof w:val="0"/>
        </w:rPr>
        <w:t xml:space="preserve"> </w:t>
      </w:r>
      <w:r>
        <w:rPr>
          <w:noProof w:val="0"/>
        </w:rPr>
        <w:t>и</w:t>
      </w:r>
      <w:r w:rsidR="004D1E15" w:rsidRPr="00F6340E">
        <w:rPr>
          <w:noProof w:val="0"/>
        </w:rPr>
        <w:t xml:space="preserve"> </w:t>
      </w:r>
      <w:r>
        <w:rPr>
          <w:noProof w:val="0"/>
        </w:rPr>
        <w:t>ак</w:t>
      </w:r>
      <w:r w:rsidR="0071360A">
        <w:rPr>
          <w:noProof w:val="0"/>
        </w:rPr>
        <w:t>т</w:t>
      </w:r>
      <w:r w:rsidR="00EE6AA2">
        <w:rPr>
          <w:noProof w:val="0"/>
        </w:rPr>
        <w:t>е</w:t>
      </w:r>
      <w:r w:rsidR="0071360A">
        <w:rPr>
          <w:noProof w:val="0"/>
        </w:rPr>
        <w:t>р</w:t>
      </w:r>
      <w:r>
        <w:rPr>
          <w:noProof w:val="0"/>
        </w:rPr>
        <w:t>а</w:t>
      </w:r>
      <w:r w:rsidR="004D1E15" w:rsidRPr="00F6340E">
        <w:rPr>
          <w:noProof w:val="0"/>
        </w:rPr>
        <w:t xml:space="preserve">, </w:t>
      </w:r>
      <w:r w:rsidR="0071360A">
        <w:rPr>
          <w:noProof w:val="0"/>
        </w:rPr>
        <w:t>т</w:t>
      </w:r>
      <w:r w:rsidR="00EE6AA2">
        <w:rPr>
          <w:noProof w:val="0"/>
        </w:rPr>
        <w:t>е</w:t>
      </w:r>
      <w:r w:rsidR="004D1E15" w:rsidRPr="00F6340E">
        <w:rPr>
          <w:noProof w:val="0"/>
        </w:rPr>
        <w:t xml:space="preserve"> </w:t>
      </w:r>
      <w:r w:rsidR="0071360A">
        <w:rPr>
          <w:noProof w:val="0"/>
        </w:rPr>
        <w:t>с</w:t>
      </w:r>
      <w:r w:rsidR="00EE6AA2">
        <w:rPr>
          <w:noProof w:val="0"/>
        </w:rPr>
        <w:t>е</w:t>
      </w:r>
      <w:r w:rsidR="004D1E15" w:rsidRPr="00F6340E">
        <w:rPr>
          <w:noProof w:val="0"/>
        </w:rPr>
        <w:t xml:space="preserve"> </w:t>
      </w:r>
      <w:r>
        <w:rPr>
          <w:noProof w:val="0"/>
        </w:rPr>
        <w:t>мо</w:t>
      </w:r>
      <w:r w:rsidR="00171F00">
        <w:rPr>
          <w:noProof w:val="0"/>
        </w:rPr>
        <w:t>ж</w:t>
      </w:r>
      <w:r w:rsidR="00EE6AA2">
        <w:rPr>
          <w:noProof w:val="0"/>
        </w:rPr>
        <w:t>е</w:t>
      </w:r>
      <w:r w:rsidR="004D1E15" w:rsidRPr="00F6340E">
        <w:rPr>
          <w:noProof w:val="0"/>
        </w:rPr>
        <w:t xml:space="preserve"> </w:t>
      </w:r>
      <w:r w:rsidR="0071360A">
        <w:rPr>
          <w:noProof w:val="0"/>
        </w:rPr>
        <w:t>р</w:t>
      </w:r>
      <w:r w:rsidR="00EE6AA2">
        <w:rPr>
          <w:noProof w:val="0"/>
        </w:rPr>
        <w:t>е</w:t>
      </w:r>
      <w:r>
        <w:rPr>
          <w:noProof w:val="0"/>
        </w:rPr>
        <w:t>ћи</w:t>
      </w:r>
      <w:r w:rsidR="004D1E15" w:rsidRPr="00F6340E">
        <w:rPr>
          <w:noProof w:val="0"/>
        </w:rPr>
        <w:t xml:space="preserve"> </w:t>
      </w:r>
      <w:r>
        <w:rPr>
          <w:noProof w:val="0"/>
        </w:rPr>
        <w:t>и</w:t>
      </w:r>
      <w:r w:rsidR="004D1E15" w:rsidRPr="00F6340E">
        <w:rPr>
          <w:noProof w:val="0"/>
        </w:rPr>
        <w:t xml:space="preserve"> </w:t>
      </w:r>
      <w:r>
        <w:rPr>
          <w:noProof w:val="0"/>
        </w:rPr>
        <w:t>да</w:t>
      </w:r>
      <w:r w:rsidR="004D1E15" w:rsidRPr="00F6340E">
        <w:rPr>
          <w:noProof w:val="0"/>
        </w:rPr>
        <w:t xml:space="preserve"> </w:t>
      </w:r>
      <w:r w:rsidR="0071360A">
        <w:rPr>
          <w:noProof w:val="0"/>
        </w:rPr>
        <w:t>су</w:t>
      </w:r>
      <w:r w:rsidR="004D1E15" w:rsidRPr="00F6340E">
        <w:rPr>
          <w:noProof w:val="0"/>
        </w:rPr>
        <w:t xml:space="preserve"> </w:t>
      </w:r>
      <w:r>
        <w:rPr>
          <w:noProof w:val="0"/>
        </w:rPr>
        <w:t>кон</w:t>
      </w:r>
      <w:r w:rsidR="0071360A">
        <w:rPr>
          <w:noProof w:val="0"/>
        </w:rPr>
        <w:t>т</w:t>
      </w:r>
      <w:r w:rsidR="00EE6AA2">
        <w:rPr>
          <w:noProof w:val="0"/>
        </w:rPr>
        <w:t>е</w:t>
      </w:r>
      <w:r>
        <w:rPr>
          <w:noProof w:val="0"/>
        </w:rPr>
        <w:t>к</w:t>
      </w:r>
      <w:r w:rsidR="0071360A">
        <w:rPr>
          <w:noProof w:val="0"/>
        </w:rPr>
        <w:t>сту</w:t>
      </w:r>
      <w:r>
        <w:rPr>
          <w:noProof w:val="0"/>
        </w:rPr>
        <w:t>ални</w:t>
      </w:r>
      <w:r w:rsidR="00317F10" w:rsidRPr="00F6340E">
        <w:rPr>
          <w:noProof w:val="0"/>
        </w:rPr>
        <w:t>,</w:t>
      </w:r>
      <w:r w:rsidR="004D1E15" w:rsidRPr="00F6340E">
        <w:rPr>
          <w:noProof w:val="0"/>
        </w:rPr>
        <w:t xml:space="preserve"> </w:t>
      </w:r>
      <w:r>
        <w:rPr>
          <w:noProof w:val="0"/>
        </w:rPr>
        <w:t>одно</w:t>
      </w:r>
      <w:r w:rsidR="0071360A">
        <w:rPr>
          <w:noProof w:val="0"/>
        </w:rPr>
        <w:t>с</w:t>
      </w:r>
      <w:r>
        <w:rPr>
          <w:noProof w:val="0"/>
        </w:rPr>
        <w:t>но</w:t>
      </w:r>
      <w:r w:rsidR="004D1E15" w:rsidRPr="00F6340E">
        <w:rPr>
          <w:noProof w:val="0"/>
        </w:rPr>
        <w:t xml:space="preserve"> </w:t>
      </w:r>
      <w:r w:rsidR="0071360A">
        <w:rPr>
          <w:noProof w:val="0"/>
        </w:rPr>
        <w:t>в</w:t>
      </w:r>
      <w:r w:rsidR="00EE6AA2">
        <w:rPr>
          <w:noProof w:val="0"/>
        </w:rPr>
        <w:t>е</w:t>
      </w:r>
      <w:r w:rsidR="00171F00">
        <w:rPr>
          <w:noProof w:val="0"/>
        </w:rPr>
        <w:t>з</w:t>
      </w:r>
      <w:r>
        <w:rPr>
          <w:noProof w:val="0"/>
        </w:rPr>
        <w:t>ани</w:t>
      </w:r>
      <w:r w:rsidR="004D1E15" w:rsidRPr="00F6340E">
        <w:rPr>
          <w:noProof w:val="0"/>
        </w:rPr>
        <w:t xml:space="preserve"> </w:t>
      </w:r>
      <w:r w:rsidR="00171F00">
        <w:rPr>
          <w:noProof w:val="0"/>
        </w:rPr>
        <w:t>з</w:t>
      </w:r>
      <w:r>
        <w:rPr>
          <w:noProof w:val="0"/>
        </w:rPr>
        <w:t>а</w:t>
      </w:r>
      <w:r w:rsidR="004D1E15" w:rsidRPr="00F6340E">
        <w:rPr>
          <w:noProof w:val="0"/>
        </w:rPr>
        <w:t xml:space="preserve"> </w:t>
      </w:r>
      <w:r>
        <w:rPr>
          <w:noProof w:val="0"/>
        </w:rPr>
        <w:t>од</w:t>
      </w:r>
      <w:r w:rsidR="0071360A">
        <w:rPr>
          <w:noProof w:val="0"/>
        </w:rPr>
        <w:t>р</w:t>
      </w:r>
      <w:r w:rsidR="00EE6AA2">
        <w:rPr>
          <w:noProof w:val="0"/>
        </w:rPr>
        <w:t>е</w:t>
      </w:r>
      <w:r>
        <w:rPr>
          <w:noProof w:val="0"/>
        </w:rPr>
        <w:t>ђ</w:t>
      </w:r>
      <w:r w:rsidR="00EE6AA2">
        <w:rPr>
          <w:noProof w:val="0"/>
        </w:rPr>
        <w:t>е</w:t>
      </w:r>
      <w:r>
        <w:rPr>
          <w:noProof w:val="0"/>
        </w:rPr>
        <w:t>н</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ни</w:t>
      </w:r>
      <w:r w:rsidR="004D1E15" w:rsidRPr="00F6340E">
        <w:rPr>
          <w:noProof w:val="0"/>
        </w:rPr>
        <w:t xml:space="preserve"> </w:t>
      </w:r>
      <w:r>
        <w:rPr>
          <w:noProof w:val="0"/>
        </w:rPr>
        <w:t>и</w:t>
      </w:r>
      <w:r w:rsidR="004D1E15" w:rsidRPr="00F6340E">
        <w:rPr>
          <w:noProof w:val="0"/>
        </w:rPr>
        <w:t xml:space="preserve"> </w:t>
      </w:r>
      <w:r>
        <w:rPr>
          <w:noProof w:val="0"/>
        </w:rPr>
        <w:t>д</w:t>
      </w:r>
      <w:r w:rsidR="0071360A">
        <w:rPr>
          <w:noProof w:val="0"/>
        </w:rPr>
        <w:t>руштв</w:t>
      </w:r>
      <w:r w:rsidR="00EE6AA2">
        <w:rPr>
          <w:noProof w:val="0"/>
        </w:rPr>
        <w:t>е</w:t>
      </w:r>
      <w:r>
        <w:rPr>
          <w:noProof w:val="0"/>
        </w:rPr>
        <w:t>ни</w:t>
      </w:r>
      <w:r w:rsidR="004D1E15" w:rsidRPr="00F6340E">
        <w:rPr>
          <w:noProof w:val="0"/>
        </w:rPr>
        <w:t xml:space="preserve"> </w:t>
      </w:r>
      <w:r w:rsidR="0071360A">
        <w:rPr>
          <w:noProof w:val="0"/>
        </w:rPr>
        <w:t>пр</w:t>
      </w:r>
      <w:r>
        <w:rPr>
          <w:noProof w:val="0"/>
        </w:rPr>
        <w:t>о</w:t>
      </w:r>
      <w:r w:rsidR="0071360A">
        <w:rPr>
          <w:noProof w:val="0"/>
        </w:rPr>
        <w:t>ст</w:t>
      </w:r>
      <w:r>
        <w:rPr>
          <w:noProof w:val="0"/>
        </w:rPr>
        <w:t>о</w:t>
      </w:r>
      <w:r w:rsidR="0071360A">
        <w:rPr>
          <w:noProof w:val="0"/>
        </w:rPr>
        <w:t>р</w:t>
      </w:r>
      <w:r w:rsidR="004D1E15" w:rsidRPr="00F6340E">
        <w:rPr>
          <w:noProof w:val="0"/>
        </w:rPr>
        <w:t xml:space="preserve">. </w:t>
      </w:r>
    </w:p>
    <w:p w14:paraId="0DD2C9F2" w14:textId="724D3438" w:rsidR="002309EB" w:rsidRPr="00F6340E" w:rsidRDefault="00A56E08" w:rsidP="008C491A">
      <w:pPr>
        <w:pStyle w:val="Body"/>
        <w:rPr>
          <w:noProof w:val="0"/>
        </w:rPr>
      </w:pPr>
      <w:r>
        <w:rPr>
          <w:noProof w:val="0"/>
        </w:rPr>
        <w:t>И</w:t>
      </w:r>
      <w:r w:rsidR="00171F00">
        <w:rPr>
          <w:noProof w:val="0"/>
        </w:rPr>
        <w:t>з</w:t>
      </w:r>
      <w:r w:rsidR="0071360A">
        <w:rPr>
          <w:noProof w:val="0"/>
        </w:rPr>
        <w:t>у</w:t>
      </w:r>
      <w:r w:rsidR="00171F00">
        <w:rPr>
          <w:noProof w:val="0"/>
        </w:rPr>
        <w:t>з</w:t>
      </w:r>
      <w:r w:rsidR="00EE6AA2">
        <w:rPr>
          <w:noProof w:val="0"/>
        </w:rPr>
        <w:t>е</w:t>
      </w:r>
      <w:r w:rsidR="0071360A">
        <w:rPr>
          <w:noProof w:val="0"/>
        </w:rPr>
        <w:t>т</w:t>
      </w:r>
      <w:r>
        <w:rPr>
          <w:noProof w:val="0"/>
        </w:rPr>
        <w:t>но</w:t>
      </w:r>
      <w:r w:rsidR="004D1E15" w:rsidRPr="00F6340E">
        <w:rPr>
          <w:noProof w:val="0"/>
        </w:rPr>
        <w:t xml:space="preserve"> </w:t>
      </w:r>
      <w:r w:rsidR="0071360A">
        <w:rPr>
          <w:noProof w:val="0"/>
        </w:rPr>
        <w:t>в</w:t>
      </w:r>
      <w:r>
        <w:rPr>
          <w:noProof w:val="0"/>
        </w:rPr>
        <w:t>а</w:t>
      </w:r>
      <w:r w:rsidR="00171F00">
        <w:rPr>
          <w:noProof w:val="0"/>
        </w:rPr>
        <w:t>ж</w:t>
      </w:r>
      <w:r>
        <w:rPr>
          <w:noProof w:val="0"/>
        </w:rPr>
        <w:t>н</w:t>
      </w:r>
      <w:r w:rsidR="0071360A">
        <w:rPr>
          <w:noProof w:val="0"/>
        </w:rPr>
        <w:t>у</w:t>
      </w:r>
      <w:r w:rsidR="004D1E15" w:rsidRPr="00F6340E">
        <w:rPr>
          <w:noProof w:val="0"/>
        </w:rPr>
        <w:t xml:space="preserve"> </w:t>
      </w:r>
      <w:r w:rsidR="0071360A">
        <w:rPr>
          <w:noProof w:val="0"/>
        </w:rPr>
        <w:t>у</w:t>
      </w:r>
      <w:r>
        <w:rPr>
          <w:noProof w:val="0"/>
        </w:rPr>
        <w:t>лог</w:t>
      </w:r>
      <w:r w:rsidR="0071360A">
        <w:rPr>
          <w:noProof w:val="0"/>
        </w:rPr>
        <w:t>у</w:t>
      </w:r>
      <w:r w:rsidR="004D1E15" w:rsidRPr="00F6340E">
        <w:rPr>
          <w:noProof w:val="0"/>
        </w:rPr>
        <w:t xml:space="preserve"> </w:t>
      </w:r>
      <w:r w:rsidR="0071360A">
        <w:rPr>
          <w:noProof w:val="0"/>
        </w:rPr>
        <w:t>у</w:t>
      </w:r>
      <w:r w:rsidR="004D1E15" w:rsidRPr="00F6340E">
        <w:rPr>
          <w:noProof w:val="0"/>
        </w:rPr>
        <w:t xml:space="preserve"> </w:t>
      </w:r>
      <w:r w:rsidR="0071360A">
        <w:rPr>
          <w:noProof w:val="0"/>
        </w:rPr>
        <w:t>пр</w:t>
      </w:r>
      <w:r>
        <w:rPr>
          <w:noProof w:val="0"/>
        </w:rPr>
        <w:t>аћ</w:t>
      </w:r>
      <w:r w:rsidR="00EE6AA2">
        <w:rPr>
          <w:noProof w:val="0"/>
        </w:rPr>
        <w:t>е</w:t>
      </w:r>
      <w:r>
        <w:rPr>
          <w:noProof w:val="0"/>
        </w:rPr>
        <w:t>њ</w:t>
      </w:r>
      <w:r w:rsidR="0071360A">
        <w:rPr>
          <w:noProof w:val="0"/>
        </w:rPr>
        <w:t>у</w:t>
      </w:r>
      <w:r w:rsidR="004D1E15" w:rsidRPr="00F6340E">
        <w:rPr>
          <w:noProof w:val="0"/>
        </w:rPr>
        <w:t xml:space="preserve">, </w:t>
      </w:r>
      <w:r w:rsidR="0071360A">
        <w:rPr>
          <w:noProof w:val="0"/>
        </w:rPr>
        <w:t>вр</w:t>
      </w:r>
      <w:r w:rsidR="00EE6AA2">
        <w:rPr>
          <w:noProof w:val="0"/>
        </w:rPr>
        <w:t>е</w:t>
      </w:r>
      <w:r>
        <w:rPr>
          <w:noProof w:val="0"/>
        </w:rPr>
        <w:t>дно</w:t>
      </w:r>
      <w:r w:rsidR="0071360A">
        <w:rPr>
          <w:noProof w:val="0"/>
        </w:rPr>
        <w:t>в</w:t>
      </w:r>
      <w:r>
        <w:rPr>
          <w:noProof w:val="0"/>
        </w:rPr>
        <w:t>ањ</w:t>
      </w:r>
      <w:r w:rsidR="0071360A">
        <w:rPr>
          <w:noProof w:val="0"/>
        </w:rPr>
        <w:t>у</w:t>
      </w:r>
      <w:r w:rsidR="004D1E15" w:rsidRPr="00F6340E">
        <w:rPr>
          <w:noProof w:val="0"/>
        </w:rPr>
        <w:t xml:space="preserve"> </w:t>
      </w:r>
      <w:r>
        <w:rPr>
          <w:noProof w:val="0"/>
        </w:rPr>
        <w:t>и</w:t>
      </w:r>
      <w:r w:rsidR="004D1E15" w:rsidRPr="00F6340E">
        <w:rPr>
          <w:noProof w:val="0"/>
        </w:rPr>
        <w:t xml:space="preserve"> </w:t>
      </w:r>
      <w:r>
        <w:rPr>
          <w:noProof w:val="0"/>
        </w:rPr>
        <w:t>о</w:t>
      </w:r>
      <w:r w:rsidR="0071360A">
        <w:rPr>
          <w:noProof w:val="0"/>
        </w:rPr>
        <w:t>с</w:t>
      </w:r>
      <w:r>
        <w:rPr>
          <w:noProof w:val="0"/>
        </w:rPr>
        <w:t>иг</w:t>
      </w:r>
      <w:r w:rsidR="0071360A">
        <w:rPr>
          <w:noProof w:val="0"/>
        </w:rPr>
        <w:t>ур</w:t>
      </w:r>
      <w:r>
        <w:rPr>
          <w:noProof w:val="0"/>
        </w:rPr>
        <w:t>ањ</w:t>
      </w:r>
      <w:r w:rsidR="0071360A">
        <w:rPr>
          <w:noProof w:val="0"/>
        </w:rPr>
        <w:t>у</w:t>
      </w:r>
      <w:r w:rsidR="004D1E15" w:rsidRPr="00F6340E">
        <w:rPr>
          <w:noProof w:val="0"/>
        </w:rPr>
        <w:t xml:space="preserve"> </w:t>
      </w:r>
      <w:r>
        <w:rPr>
          <w:noProof w:val="0"/>
        </w:rPr>
        <w:t>к</w:t>
      </w:r>
      <w:r w:rsidR="0071360A">
        <w:rPr>
          <w:noProof w:val="0"/>
        </w:rPr>
        <w:t>в</w:t>
      </w:r>
      <w:r>
        <w:rPr>
          <w:noProof w:val="0"/>
        </w:rPr>
        <w:t>али</w:t>
      </w:r>
      <w:r w:rsidR="0071360A">
        <w:rPr>
          <w:noProof w:val="0"/>
        </w:rPr>
        <w:t>т</w:t>
      </w:r>
      <w:r w:rsidR="00EE6AA2">
        <w:rPr>
          <w:noProof w:val="0"/>
        </w:rPr>
        <w:t>е</w:t>
      </w:r>
      <w:r w:rsidR="0071360A">
        <w:rPr>
          <w:noProof w:val="0"/>
        </w:rPr>
        <w:t>т</w:t>
      </w:r>
      <w:r w:rsidR="00EE6AA2">
        <w:rPr>
          <w:noProof w:val="0"/>
        </w:rPr>
        <w:t>е</w:t>
      </w:r>
      <w:r w:rsidR="004D1E15" w:rsidRPr="00F6340E">
        <w:rPr>
          <w:noProof w:val="0"/>
        </w:rPr>
        <w:t xml:space="preserve"> </w:t>
      </w:r>
      <w:r w:rsidR="0071360A">
        <w:rPr>
          <w:noProof w:val="0"/>
        </w:rPr>
        <w:t>р</w:t>
      </w:r>
      <w:r>
        <w:rPr>
          <w:noProof w:val="0"/>
        </w:rPr>
        <w:t>ада</w:t>
      </w:r>
      <w:r w:rsidR="004D1E15" w:rsidRPr="00F6340E">
        <w:rPr>
          <w:noProof w:val="0"/>
        </w:rPr>
        <w:t xml:space="preserve"> </w:t>
      </w:r>
      <w:r w:rsidR="0071360A">
        <w:rPr>
          <w:noProof w:val="0"/>
        </w:rPr>
        <w:t>у</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ним</w:t>
      </w:r>
      <w:r w:rsidR="004D1E15" w:rsidRPr="00F6340E">
        <w:rPr>
          <w:noProof w:val="0"/>
        </w:rPr>
        <w:t xml:space="preserve"> </w:t>
      </w:r>
      <w:r>
        <w:rPr>
          <w:noProof w:val="0"/>
        </w:rPr>
        <w:t>ин</w:t>
      </w:r>
      <w:r w:rsidR="0071360A">
        <w:rPr>
          <w:noProof w:val="0"/>
        </w:rPr>
        <w:t>ст</w:t>
      </w:r>
      <w:r>
        <w:rPr>
          <w:noProof w:val="0"/>
        </w:rPr>
        <w:t>и</w:t>
      </w:r>
      <w:r w:rsidR="0071360A">
        <w:rPr>
          <w:noProof w:val="0"/>
        </w:rPr>
        <w:t>ту</w:t>
      </w:r>
      <w:r>
        <w:rPr>
          <w:noProof w:val="0"/>
        </w:rPr>
        <w:t>цијама</w:t>
      </w:r>
      <w:r w:rsidR="004D1E15" w:rsidRPr="00F6340E">
        <w:rPr>
          <w:noProof w:val="0"/>
        </w:rPr>
        <w:t xml:space="preserve"> </w:t>
      </w:r>
      <w:r>
        <w:rPr>
          <w:noProof w:val="0"/>
        </w:rPr>
        <w:t>имај</w:t>
      </w:r>
      <w:r w:rsidR="0071360A">
        <w:rPr>
          <w:noProof w:val="0"/>
        </w:rPr>
        <w:t>у</w:t>
      </w:r>
      <w:r w:rsidR="004D1E15" w:rsidRPr="00F6340E">
        <w:rPr>
          <w:noProof w:val="0"/>
        </w:rPr>
        <w:t xml:space="preserve"> </w:t>
      </w:r>
      <w:r>
        <w:rPr>
          <w:noProof w:val="0"/>
        </w:rPr>
        <w:t>и</w:t>
      </w:r>
      <w:r w:rsidR="004D1E15" w:rsidRPr="00F6340E">
        <w:rPr>
          <w:noProof w:val="0"/>
        </w:rPr>
        <w:t xml:space="preserve"> </w:t>
      </w:r>
      <w:r>
        <w:rPr>
          <w:noProof w:val="0"/>
        </w:rPr>
        <w:t>инфо</w:t>
      </w:r>
      <w:r w:rsidR="0071360A">
        <w:rPr>
          <w:noProof w:val="0"/>
        </w:rPr>
        <w:t>р</w:t>
      </w:r>
      <w:r>
        <w:rPr>
          <w:noProof w:val="0"/>
        </w:rPr>
        <w:t>ма</w:t>
      </w:r>
      <w:r w:rsidR="0071360A">
        <w:rPr>
          <w:noProof w:val="0"/>
        </w:rPr>
        <w:t>т</w:t>
      </w:r>
      <w:r>
        <w:rPr>
          <w:noProof w:val="0"/>
        </w:rPr>
        <w:t>ички</w:t>
      </w:r>
      <w:r w:rsidR="004D1E15" w:rsidRPr="00F6340E">
        <w:rPr>
          <w:noProof w:val="0"/>
        </w:rPr>
        <w:t xml:space="preserve"> </w:t>
      </w:r>
      <w:r w:rsidR="0071360A">
        <w:rPr>
          <w:noProof w:val="0"/>
        </w:rPr>
        <w:t>с</w:t>
      </w:r>
      <w:r>
        <w:rPr>
          <w:noProof w:val="0"/>
        </w:rPr>
        <w:t>и</w:t>
      </w:r>
      <w:r w:rsidR="0071360A">
        <w:rPr>
          <w:noProof w:val="0"/>
        </w:rPr>
        <w:t>ст</w:t>
      </w:r>
      <w:r w:rsidR="00EE6AA2">
        <w:rPr>
          <w:noProof w:val="0"/>
        </w:rPr>
        <w:t>е</w:t>
      </w:r>
      <w:r>
        <w:rPr>
          <w:noProof w:val="0"/>
        </w:rPr>
        <w:t>ми</w:t>
      </w:r>
      <w:r w:rsidR="004D1E15" w:rsidRPr="00F6340E">
        <w:rPr>
          <w:noProof w:val="0"/>
        </w:rPr>
        <w:t xml:space="preserve"> </w:t>
      </w:r>
      <w:r w:rsidR="00171F00">
        <w:rPr>
          <w:noProof w:val="0"/>
        </w:rPr>
        <w:t>з</w:t>
      </w:r>
      <w:r>
        <w:rPr>
          <w:noProof w:val="0"/>
        </w:rPr>
        <w:t>а</w:t>
      </w:r>
      <w:r w:rsidR="004D1E15" w:rsidRPr="00F6340E">
        <w:rPr>
          <w:noProof w:val="0"/>
        </w:rPr>
        <w:t xml:space="preserve"> </w:t>
      </w:r>
      <w:r w:rsidR="0071360A">
        <w:rPr>
          <w:noProof w:val="0"/>
        </w:rPr>
        <w:t>упр</w:t>
      </w:r>
      <w:r>
        <w:rPr>
          <w:noProof w:val="0"/>
        </w:rPr>
        <w:t>а</w:t>
      </w:r>
      <w:r w:rsidR="0071360A">
        <w:rPr>
          <w:noProof w:val="0"/>
        </w:rPr>
        <w:t>в</w:t>
      </w:r>
      <w:r>
        <w:rPr>
          <w:noProof w:val="0"/>
        </w:rPr>
        <w:t>љањ</w:t>
      </w:r>
      <w:r w:rsidR="00EE6AA2">
        <w:rPr>
          <w:noProof w:val="0"/>
        </w:rPr>
        <w:t>е</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ањ</w:t>
      </w:r>
      <w:r w:rsidR="00EE6AA2">
        <w:rPr>
          <w:noProof w:val="0"/>
        </w:rPr>
        <w:t>е</w:t>
      </w:r>
      <w:r>
        <w:rPr>
          <w:noProof w:val="0"/>
        </w:rPr>
        <w:t>м</w:t>
      </w:r>
      <w:r w:rsidR="004D1E15" w:rsidRPr="00F6340E">
        <w:rPr>
          <w:noProof w:val="0"/>
        </w:rPr>
        <w:t xml:space="preserve"> (</w:t>
      </w:r>
      <w:r w:rsidR="0071360A">
        <w:rPr>
          <w:noProof w:val="0"/>
        </w:rPr>
        <w:t>с</w:t>
      </w:r>
      <w:r>
        <w:rPr>
          <w:noProof w:val="0"/>
        </w:rPr>
        <w:t>к</w:t>
      </w:r>
      <w:r w:rsidR="0071360A">
        <w:rPr>
          <w:noProof w:val="0"/>
        </w:rPr>
        <w:t>р</w:t>
      </w:r>
      <w:r w:rsidR="004D1E15" w:rsidRPr="00F6340E">
        <w:rPr>
          <w:noProof w:val="0"/>
        </w:rPr>
        <w:t xml:space="preserve">. </w:t>
      </w:r>
      <w:r w:rsidR="00EE6AA2">
        <w:rPr>
          <w:noProof w:val="0"/>
        </w:rPr>
        <w:t>Е</w:t>
      </w:r>
      <w:r>
        <w:rPr>
          <w:noProof w:val="0"/>
        </w:rPr>
        <w:t>МИ</w:t>
      </w:r>
      <w:r w:rsidR="0071360A">
        <w:rPr>
          <w:noProof w:val="0"/>
        </w:rPr>
        <w:t>С</w:t>
      </w:r>
      <w:r w:rsidR="004D1E15" w:rsidRPr="00F6340E">
        <w:rPr>
          <w:noProof w:val="0"/>
        </w:rPr>
        <w:t xml:space="preserve">; </w:t>
      </w:r>
      <w:r w:rsidR="00EE6AA2">
        <w:rPr>
          <w:noProof w:val="0"/>
        </w:rPr>
        <w:t>е</w:t>
      </w:r>
      <w:r>
        <w:rPr>
          <w:noProof w:val="0"/>
        </w:rPr>
        <w:t>нгл</w:t>
      </w:r>
      <w:r w:rsidR="004D1E15" w:rsidRPr="00F6340E">
        <w:rPr>
          <w:noProof w:val="0"/>
        </w:rPr>
        <w:t xml:space="preserve">. </w:t>
      </w:r>
      <w:r w:rsidR="005549C9">
        <w:rPr>
          <w:noProof w:val="0"/>
          <w:lang w:val="hr-BA"/>
        </w:rPr>
        <w:t>Education management information system</w:t>
      </w:r>
      <w:r w:rsidR="004D1E15" w:rsidRPr="00F6340E">
        <w:rPr>
          <w:noProof w:val="0"/>
        </w:rPr>
        <w:t xml:space="preserve">). </w:t>
      </w:r>
      <w:r>
        <w:rPr>
          <w:noProof w:val="0"/>
        </w:rPr>
        <w:t>Они</w:t>
      </w:r>
      <w:r w:rsidR="004D1E15" w:rsidRPr="00F6340E">
        <w:rPr>
          <w:noProof w:val="0"/>
        </w:rPr>
        <w:t xml:space="preserve"> </w:t>
      </w:r>
      <w:r>
        <w:rPr>
          <w:noProof w:val="0"/>
        </w:rPr>
        <w:t>омог</w:t>
      </w:r>
      <w:r w:rsidR="0071360A">
        <w:rPr>
          <w:noProof w:val="0"/>
        </w:rPr>
        <w:t>у</w:t>
      </w:r>
      <w:r>
        <w:rPr>
          <w:noProof w:val="0"/>
        </w:rPr>
        <w:t>ћа</w:t>
      </w:r>
      <w:r w:rsidR="0071360A">
        <w:rPr>
          <w:noProof w:val="0"/>
        </w:rPr>
        <w:t>в</w:t>
      </w:r>
      <w:r>
        <w:rPr>
          <w:noProof w:val="0"/>
        </w:rPr>
        <w:t>ај</w:t>
      </w:r>
      <w:r w:rsidR="0071360A">
        <w:rPr>
          <w:noProof w:val="0"/>
        </w:rPr>
        <w:t>у</w:t>
      </w:r>
      <w:r w:rsidR="004D1E15" w:rsidRPr="00F6340E">
        <w:rPr>
          <w:noProof w:val="0"/>
        </w:rPr>
        <w:t xml:space="preserve"> </w:t>
      </w:r>
      <w:r>
        <w:rPr>
          <w:noProof w:val="0"/>
        </w:rPr>
        <w:t>ф</w:t>
      </w:r>
      <w:r w:rsidR="0071360A">
        <w:rPr>
          <w:noProof w:val="0"/>
        </w:rPr>
        <w:t>у</w:t>
      </w:r>
      <w:r>
        <w:rPr>
          <w:noProof w:val="0"/>
        </w:rPr>
        <w:t>нкционално</w:t>
      </w:r>
      <w:r w:rsidR="004D1E15" w:rsidRPr="00F6340E">
        <w:rPr>
          <w:noProof w:val="0"/>
        </w:rPr>
        <w:t xml:space="preserve"> </w:t>
      </w:r>
      <w:r w:rsidR="0071360A">
        <w:rPr>
          <w:noProof w:val="0"/>
        </w:rPr>
        <w:t>пр</w:t>
      </w:r>
      <w:r>
        <w:rPr>
          <w:noProof w:val="0"/>
        </w:rPr>
        <w:t>аћ</w:t>
      </w:r>
      <w:r w:rsidR="00EE6AA2">
        <w:rPr>
          <w:noProof w:val="0"/>
        </w:rPr>
        <w:t>е</w:t>
      </w:r>
      <w:r>
        <w:rPr>
          <w:noProof w:val="0"/>
        </w:rPr>
        <w:t>њ</w:t>
      </w:r>
      <w:r w:rsidR="00EE6AA2">
        <w:rPr>
          <w:noProof w:val="0"/>
        </w:rPr>
        <w:t>е</w:t>
      </w:r>
      <w:r w:rsidR="004D1E15" w:rsidRPr="00F6340E">
        <w:rPr>
          <w:noProof w:val="0"/>
        </w:rPr>
        <w:t xml:space="preserve"> </w:t>
      </w:r>
      <w:r w:rsidR="0071360A">
        <w:rPr>
          <w:noProof w:val="0"/>
        </w:rPr>
        <w:t>р</w:t>
      </w:r>
      <w:r w:rsidR="00EE6AA2">
        <w:rPr>
          <w:noProof w:val="0"/>
        </w:rPr>
        <w:t>е</w:t>
      </w:r>
      <w:r>
        <w:rPr>
          <w:noProof w:val="0"/>
        </w:rPr>
        <w:t>л</w:t>
      </w:r>
      <w:r w:rsidR="00EE6AA2">
        <w:rPr>
          <w:noProof w:val="0"/>
        </w:rPr>
        <w:t>е</w:t>
      </w:r>
      <w:r w:rsidR="0071360A">
        <w:rPr>
          <w:noProof w:val="0"/>
        </w:rPr>
        <w:t>в</w:t>
      </w:r>
      <w:r>
        <w:rPr>
          <w:noProof w:val="0"/>
        </w:rPr>
        <w:t>ан</w:t>
      </w:r>
      <w:r w:rsidR="0071360A">
        <w:rPr>
          <w:noProof w:val="0"/>
        </w:rPr>
        <w:t>т</w:t>
      </w:r>
      <w:r>
        <w:rPr>
          <w:noProof w:val="0"/>
        </w:rPr>
        <w:t>них</w:t>
      </w:r>
      <w:r w:rsidR="004D1E15" w:rsidRPr="00F6340E">
        <w:rPr>
          <w:noProof w:val="0"/>
        </w:rPr>
        <w:t xml:space="preserve"> </w:t>
      </w:r>
      <w:r>
        <w:rPr>
          <w:noProof w:val="0"/>
        </w:rPr>
        <w:t>и</w:t>
      </w:r>
      <w:r w:rsidR="004D1E15" w:rsidRPr="00F6340E">
        <w:rPr>
          <w:noProof w:val="0"/>
        </w:rPr>
        <w:t xml:space="preserve"> </w:t>
      </w:r>
      <w:r w:rsidR="0071360A">
        <w:rPr>
          <w:noProof w:val="0"/>
        </w:rPr>
        <w:t>у</w:t>
      </w:r>
      <w:r>
        <w:rPr>
          <w:noProof w:val="0"/>
        </w:rPr>
        <w:t>на</w:t>
      </w:r>
      <w:r w:rsidR="0071360A">
        <w:rPr>
          <w:noProof w:val="0"/>
        </w:rPr>
        <w:t>пр</w:t>
      </w:r>
      <w:r>
        <w:rPr>
          <w:noProof w:val="0"/>
        </w:rPr>
        <w:t>иј</w:t>
      </w:r>
      <w:r w:rsidR="00EE6AA2">
        <w:rPr>
          <w:noProof w:val="0"/>
        </w:rPr>
        <w:t>е</w:t>
      </w:r>
      <w:r>
        <w:rPr>
          <w:noProof w:val="0"/>
        </w:rPr>
        <w:t>д</w:t>
      </w:r>
      <w:r w:rsidR="004D1E15" w:rsidRPr="00F6340E">
        <w:rPr>
          <w:noProof w:val="0"/>
        </w:rPr>
        <w:t xml:space="preserve"> </w:t>
      </w:r>
      <w:r>
        <w:rPr>
          <w:noProof w:val="0"/>
        </w:rPr>
        <w:t>д</w:t>
      </w:r>
      <w:r w:rsidR="00EE6AA2">
        <w:rPr>
          <w:noProof w:val="0"/>
        </w:rPr>
        <w:t>е</w:t>
      </w:r>
      <w:r>
        <w:rPr>
          <w:noProof w:val="0"/>
        </w:rPr>
        <w:t>фини</w:t>
      </w:r>
      <w:r w:rsidR="0071360A">
        <w:rPr>
          <w:noProof w:val="0"/>
        </w:rPr>
        <w:t>с</w:t>
      </w:r>
      <w:r>
        <w:rPr>
          <w:noProof w:val="0"/>
        </w:rPr>
        <w:t>аних</w:t>
      </w:r>
      <w:r w:rsidR="004D1E15" w:rsidRPr="00F6340E">
        <w:rPr>
          <w:noProof w:val="0"/>
        </w:rPr>
        <w:t xml:space="preserve"> </w:t>
      </w:r>
      <w:r>
        <w:rPr>
          <w:noProof w:val="0"/>
        </w:rPr>
        <w:t>индика</w:t>
      </w:r>
      <w:r w:rsidR="0071360A">
        <w:rPr>
          <w:noProof w:val="0"/>
        </w:rPr>
        <w:t>т</w:t>
      </w:r>
      <w:r>
        <w:rPr>
          <w:noProof w:val="0"/>
        </w:rPr>
        <w:t>о</w:t>
      </w:r>
      <w:r w:rsidR="0071360A">
        <w:rPr>
          <w:noProof w:val="0"/>
        </w:rPr>
        <w:t>р</w:t>
      </w:r>
      <w:r>
        <w:rPr>
          <w:noProof w:val="0"/>
        </w:rPr>
        <w:t>а</w:t>
      </w:r>
      <w:r w:rsidR="004D1E15" w:rsidRPr="00F6340E">
        <w:rPr>
          <w:noProof w:val="0"/>
        </w:rPr>
        <w:t xml:space="preserve"> </w:t>
      </w:r>
      <w:r>
        <w:rPr>
          <w:noProof w:val="0"/>
        </w:rPr>
        <w:t>к</w:t>
      </w:r>
      <w:r w:rsidR="0071360A">
        <w:rPr>
          <w:noProof w:val="0"/>
        </w:rPr>
        <w:t>в</w:t>
      </w:r>
      <w:r>
        <w:rPr>
          <w:noProof w:val="0"/>
        </w:rPr>
        <w:t>али</w:t>
      </w:r>
      <w:r w:rsidR="0071360A">
        <w:rPr>
          <w:noProof w:val="0"/>
        </w:rPr>
        <w:t>т</w:t>
      </w:r>
      <w:r w:rsidR="00EE6AA2">
        <w:rPr>
          <w:noProof w:val="0"/>
        </w:rPr>
        <w:t>е</w:t>
      </w:r>
      <w:r w:rsidR="0071360A">
        <w:rPr>
          <w:noProof w:val="0"/>
        </w:rPr>
        <w:t>т</w:t>
      </w:r>
      <w:r w:rsidR="00EE6AA2">
        <w:rPr>
          <w:noProof w:val="0"/>
        </w:rPr>
        <w:t>е</w:t>
      </w:r>
      <w:r w:rsidR="004D1E15" w:rsidRPr="00F6340E">
        <w:rPr>
          <w:noProof w:val="0"/>
        </w:rPr>
        <w:t xml:space="preserve"> </w:t>
      </w:r>
      <w:r w:rsidR="0071360A">
        <w:rPr>
          <w:noProof w:val="0"/>
        </w:rPr>
        <w:t>у</w:t>
      </w:r>
      <w:r w:rsidR="004D1E15" w:rsidRPr="00F6340E">
        <w:rPr>
          <w:noProof w:val="0"/>
        </w:rPr>
        <w:t xml:space="preserve"> </w:t>
      </w:r>
      <w:r>
        <w:rPr>
          <w:noProof w:val="0"/>
        </w:rPr>
        <w:t>об</w:t>
      </w:r>
      <w:r w:rsidR="0071360A">
        <w:rPr>
          <w:noProof w:val="0"/>
        </w:rPr>
        <w:t>р</w:t>
      </w:r>
      <w:r>
        <w:rPr>
          <w:noProof w:val="0"/>
        </w:rPr>
        <w:t>а</w:t>
      </w:r>
      <w:r w:rsidR="00171F00">
        <w:rPr>
          <w:noProof w:val="0"/>
        </w:rPr>
        <w:t>з</w:t>
      </w:r>
      <w:r>
        <w:rPr>
          <w:noProof w:val="0"/>
        </w:rPr>
        <w:t>о</w:t>
      </w:r>
      <w:r w:rsidR="0071360A">
        <w:rPr>
          <w:noProof w:val="0"/>
        </w:rPr>
        <w:t>в</w:t>
      </w:r>
      <w:r>
        <w:rPr>
          <w:noProof w:val="0"/>
        </w:rPr>
        <w:t>ањ</w:t>
      </w:r>
      <w:r w:rsidR="0071360A">
        <w:rPr>
          <w:noProof w:val="0"/>
        </w:rPr>
        <w:t>у</w:t>
      </w:r>
      <w:r w:rsidR="004D1E15" w:rsidRPr="00F6340E">
        <w:rPr>
          <w:noProof w:val="0"/>
        </w:rPr>
        <w:t>.</w:t>
      </w:r>
    </w:p>
    <w:p w14:paraId="4E0BAA50" w14:textId="7ED13957" w:rsidR="004D1E15" w:rsidRPr="00F6340E" w:rsidRDefault="004D1E15" w:rsidP="000962EB">
      <w:pPr>
        <w:pStyle w:val="Heading2"/>
        <w:numPr>
          <w:ilvl w:val="1"/>
          <w:numId w:val="70"/>
        </w:numPr>
        <w:rPr>
          <w:lang w:val="sr-Cyrl-BA"/>
        </w:rPr>
      </w:pPr>
      <w:bookmarkStart w:id="42" w:name="_Toc119050324"/>
      <w:r w:rsidRPr="00F6340E">
        <w:rPr>
          <w:lang w:val="sr-Cyrl-BA"/>
        </w:rPr>
        <w:t>(</w:t>
      </w:r>
      <w:r w:rsidR="0071360A">
        <w:rPr>
          <w:lang w:val="sr-Cyrl-BA"/>
        </w:rPr>
        <w:t>С</w:t>
      </w:r>
      <w:r w:rsidR="00A56E08">
        <w:rPr>
          <w:lang w:val="sr-Cyrl-BA"/>
        </w:rPr>
        <w:t>амо</w:t>
      </w:r>
      <w:r w:rsidRPr="00F6340E">
        <w:rPr>
          <w:lang w:val="sr-Cyrl-BA"/>
        </w:rPr>
        <w:t>)</w:t>
      </w:r>
      <w:r w:rsidR="0071360A">
        <w:rPr>
          <w:lang w:val="sr-Cyrl-BA"/>
        </w:rPr>
        <w:t>вр</w:t>
      </w:r>
      <w:r w:rsidR="00EE6AA2">
        <w:rPr>
          <w:lang w:val="sr-Cyrl-BA"/>
        </w:rPr>
        <w:t>е</w:t>
      </w:r>
      <w:r w:rsidR="00A56E08">
        <w:rPr>
          <w:lang w:val="sr-Cyrl-BA"/>
        </w:rPr>
        <w:t>дно</w:t>
      </w:r>
      <w:r w:rsidR="0071360A">
        <w:rPr>
          <w:lang w:val="sr-Cyrl-BA"/>
        </w:rPr>
        <w:t>в</w:t>
      </w:r>
      <w:r w:rsidR="00A56E08">
        <w:rPr>
          <w:lang w:val="sr-Cyrl-BA"/>
        </w:rPr>
        <w:t>ањ</w:t>
      </w:r>
      <w:r w:rsidR="00EE6AA2">
        <w:rPr>
          <w:lang w:val="sr-Cyrl-BA"/>
        </w:rPr>
        <w:t>е</w:t>
      </w:r>
      <w:r w:rsidRPr="00F6340E">
        <w:rPr>
          <w:lang w:val="sr-Cyrl-BA"/>
        </w:rPr>
        <w:t xml:space="preserve"> </w:t>
      </w:r>
      <w:r w:rsidR="0071360A">
        <w:rPr>
          <w:lang w:val="sr-Cyrl-BA"/>
        </w:rPr>
        <w:t>у</w:t>
      </w:r>
      <w:r w:rsidRPr="00F6340E">
        <w:rPr>
          <w:lang w:val="sr-Cyrl-BA"/>
        </w:rPr>
        <w:t xml:space="preserve"> </w:t>
      </w:r>
      <w:r w:rsidR="00A56E08">
        <w:rPr>
          <w:lang w:val="sr-Cyrl-BA"/>
        </w:rPr>
        <w:t>о</w:t>
      </w:r>
      <w:r w:rsidR="0071360A">
        <w:rPr>
          <w:lang w:val="sr-Cyrl-BA"/>
        </w:rPr>
        <w:t>с</w:t>
      </w:r>
      <w:r w:rsidR="00A56E08">
        <w:rPr>
          <w:lang w:val="sr-Cyrl-BA"/>
        </w:rPr>
        <w:t>но</w:t>
      </w:r>
      <w:r w:rsidR="0071360A">
        <w:rPr>
          <w:lang w:val="sr-Cyrl-BA"/>
        </w:rPr>
        <w:t>в</w:t>
      </w:r>
      <w:r w:rsidR="00A56E08">
        <w:rPr>
          <w:lang w:val="sr-Cyrl-BA"/>
        </w:rPr>
        <w:t>ним</w:t>
      </w:r>
      <w:r w:rsidRPr="00F6340E">
        <w:rPr>
          <w:lang w:val="sr-Cyrl-BA"/>
        </w:rPr>
        <w:t xml:space="preserve"> </w:t>
      </w:r>
      <w:r w:rsidR="00A56E08">
        <w:rPr>
          <w:lang w:val="sr-Cyrl-BA"/>
        </w:rPr>
        <w:t>и</w:t>
      </w:r>
      <w:r w:rsidRPr="00F6340E">
        <w:rPr>
          <w:lang w:val="sr-Cyrl-BA"/>
        </w:rPr>
        <w:t xml:space="preserve"> </w:t>
      </w:r>
      <w:r w:rsidR="0071360A">
        <w:rPr>
          <w:lang w:val="sr-Cyrl-BA"/>
        </w:rPr>
        <w:t>ср</w:t>
      </w:r>
      <w:r w:rsidR="00EE6AA2">
        <w:rPr>
          <w:lang w:val="sr-Cyrl-BA"/>
        </w:rPr>
        <w:t>е</w:t>
      </w:r>
      <w:r w:rsidR="00A56E08">
        <w:rPr>
          <w:lang w:val="sr-Cyrl-BA"/>
        </w:rPr>
        <w:t>дњим</w:t>
      </w:r>
      <w:r w:rsidRPr="00F6340E">
        <w:rPr>
          <w:lang w:val="sr-Cyrl-BA"/>
        </w:rPr>
        <w:t xml:space="preserve"> </w:t>
      </w:r>
      <w:r w:rsidR="0071360A">
        <w:rPr>
          <w:lang w:val="sr-Cyrl-BA"/>
        </w:rPr>
        <w:t>ш</w:t>
      </w:r>
      <w:r w:rsidR="00A56E08">
        <w:rPr>
          <w:lang w:val="sr-Cyrl-BA"/>
        </w:rPr>
        <w:t>колама</w:t>
      </w:r>
      <w:bookmarkEnd w:id="42"/>
      <w:r w:rsidRPr="00F6340E">
        <w:rPr>
          <w:lang w:val="sr-Cyrl-BA"/>
        </w:rPr>
        <w:t xml:space="preserve"> </w:t>
      </w:r>
    </w:p>
    <w:p w14:paraId="5F752721" w14:textId="7DEBDB19" w:rsidR="004D1E15" w:rsidRPr="00F6340E" w:rsidRDefault="00A56E08" w:rsidP="008C491A">
      <w:pPr>
        <w:pStyle w:val="Body"/>
      </w:pPr>
      <w:r>
        <w:t>А</w:t>
      </w:r>
      <w:r w:rsidR="0071360A">
        <w:t>П</w:t>
      </w:r>
      <w:r>
        <w:t>О</w:t>
      </w:r>
      <w:r w:rsidR="0071360A">
        <w:t>С</w:t>
      </w:r>
      <w:r>
        <w:t>О</w:t>
      </w:r>
      <w:r w:rsidR="004D1E15" w:rsidRPr="00F6340E">
        <w:t xml:space="preserve"> </w:t>
      </w:r>
      <w:r>
        <w:t>ј</w:t>
      </w:r>
      <w:r w:rsidR="00EE6AA2">
        <w:t>е</w:t>
      </w:r>
      <w:r w:rsidR="004D1E15" w:rsidRPr="00F6340E">
        <w:t xml:space="preserve"> </w:t>
      </w:r>
      <w:r w:rsidR="00171F00">
        <w:t>з</w:t>
      </w:r>
      <w:r>
        <w:t>а</w:t>
      </w:r>
      <w:r w:rsidR="004D1E15" w:rsidRPr="00F6340E">
        <w:t xml:space="preserve"> </w:t>
      </w:r>
      <w:r w:rsidR="0071360A">
        <w:t>п</w:t>
      </w:r>
      <w:r>
        <w:t>о</w:t>
      </w:r>
      <w:r w:rsidR="0071360A">
        <w:t>тр</w:t>
      </w:r>
      <w:r w:rsidR="00EE6AA2">
        <w:t>е</w:t>
      </w:r>
      <w:r>
        <w:t>б</w:t>
      </w:r>
      <w:r w:rsidR="00EE6AA2">
        <w:t>е</w:t>
      </w:r>
      <w:r w:rsidR="004D1E15" w:rsidRPr="00F6340E">
        <w:t xml:space="preserve"> </w:t>
      </w:r>
      <w:r>
        <w:t>о</w:t>
      </w:r>
      <w:r w:rsidR="0071360A">
        <w:t>с</w:t>
      </w:r>
      <w:r>
        <w:t>иг</w:t>
      </w:r>
      <w:r w:rsidR="0071360A">
        <w:t>ур</w:t>
      </w:r>
      <w:r>
        <w:t>ања</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rsidR="0071360A">
        <w:t>у</w:t>
      </w:r>
      <w:r w:rsidR="004D1E15" w:rsidRPr="00F6340E">
        <w:t xml:space="preserve"> </w:t>
      </w:r>
      <w:r>
        <w:t>о</w:t>
      </w:r>
      <w:r w:rsidR="0071360A">
        <w:t>с</w:t>
      </w:r>
      <w:r>
        <w:t>но</w:t>
      </w:r>
      <w:r w:rsidR="0071360A">
        <w:t>в</w:t>
      </w:r>
      <w:r>
        <w:t>ним</w:t>
      </w:r>
      <w:r w:rsidR="004D1E15" w:rsidRPr="00F6340E">
        <w:t xml:space="preserve"> </w:t>
      </w:r>
      <w:r w:rsidR="0071360A">
        <w:t>ш</w:t>
      </w:r>
      <w:r>
        <w:t>колама</w:t>
      </w:r>
      <w:r w:rsidR="004D1E15" w:rsidRPr="00F6340E">
        <w:t xml:space="preserve"> </w:t>
      </w:r>
      <w:r>
        <w:t>к</w:t>
      </w:r>
      <w:r w:rsidR="0071360A">
        <w:t>р</w:t>
      </w:r>
      <w:r w:rsidR="00EE6AA2">
        <w:t>е</w:t>
      </w:r>
      <w:r>
        <w:t>и</w:t>
      </w:r>
      <w:r w:rsidR="0071360A">
        <w:t>р</w:t>
      </w:r>
      <w:r>
        <w:t>ао</w:t>
      </w:r>
      <w:r w:rsidR="004D1E15" w:rsidRPr="00F6340E">
        <w:t xml:space="preserve"> </w:t>
      </w:r>
      <w:r>
        <w:t>Ин</w:t>
      </w:r>
      <w:r w:rsidR="0071360A">
        <w:t>стру</w:t>
      </w:r>
      <w:r>
        <w:t>м</w:t>
      </w:r>
      <w:r w:rsidR="00EE6AA2">
        <w:t>е</w:t>
      </w:r>
      <w:r>
        <w:t>н</w:t>
      </w:r>
      <w:r w:rsidR="0071360A">
        <w:t>т</w:t>
      </w:r>
      <w:r w:rsidR="00AE44FC" w:rsidRPr="00F6340E">
        <w:t xml:space="preserve"> </w:t>
      </w:r>
      <w:r w:rsidR="00171F00">
        <w:t>з</w:t>
      </w:r>
      <w:r>
        <w:t>а</w:t>
      </w:r>
      <w:r w:rsidR="004D1E15" w:rsidRPr="00F6340E">
        <w:t xml:space="preserve"> </w:t>
      </w:r>
      <w:r w:rsidR="0071360A">
        <w:t>вр</w:t>
      </w:r>
      <w:r w:rsidR="00EE6AA2">
        <w:t>е</w:t>
      </w:r>
      <w:r>
        <w:t>дно</w:t>
      </w:r>
      <w:r w:rsidR="0071360A">
        <w:t>в</w:t>
      </w:r>
      <w:r>
        <w:t>ањ</w:t>
      </w:r>
      <w:r w:rsidR="00EE6AA2">
        <w:t>е</w:t>
      </w:r>
      <w:r w:rsidR="004D1E15" w:rsidRPr="00F6340E">
        <w:t xml:space="preserve"> </w:t>
      </w:r>
      <w:r>
        <w:t>и</w:t>
      </w:r>
      <w:r w:rsidR="004D1E15" w:rsidRPr="00F6340E">
        <w:t xml:space="preserve"> </w:t>
      </w:r>
      <w:r w:rsidR="0071360A">
        <w:t>с</w:t>
      </w:r>
      <w:r>
        <w:t>амо</w:t>
      </w:r>
      <w:r w:rsidR="00F84617" w:rsidRPr="00F6340E">
        <w:t>-</w:t>
      </w:r>
      <w:r w:rsidR="0071360A">
        <w:t>вр</w:t>
      </w:r>
      <w:r w:rsidR="00EE6AA2">
        <w:t>е</w:t>
      </w:r>
      <w:r>
        <w:t>дно</w:t>
      </w:r>
      <w:r w:rsidR="0071360A">
        <w:t>в</w:t>
      </w:r>
      <w:r>
        <w:t>ањ</w:t>
      </w:r>
      <w:r w:rsidR="00EE6AA2">
        <w:t>е</w:t>
      </w:r>
      <w:r w:rsidR="004D1E15" w:rsidRPr="00F6340E">
        <w:t xml:space="preserve"> </w:t>
      </w:r>
      <w:r>
        <w:t>к</w:t>
      </w:r>
      <w:r w:rsidR="0071360A">
        <w:t>в</w:t>
      </w:r>
      <w:r>
        <w:t>али</w:t>
      </w:r>
      <w:r w:rsidR="0071360A">
        <w:t>т</w:t>
      </w:r>
      <w:r w:rsidR="00EE6AA2">
        <w:t>е</w:t>
      </w:r>
      <w:r w:rsidR="0071360A">
        <w:t>т</w:t>
      </w:r>
      <w:r>
        <w:t>а</w:t>
      </w:r>
      <w:r w:rsidR="004D1E15" w:rsidRPr="00F6340E">
        <w:t xml:space="preserve"> </w:t>
      </w:r>
      <w:r w:rsidR="0071360A">
        <w:t>р</w:t>
      </w:r>
      <w:r>
        <w:t>ада</w:t>
      </w:r>
      <w:r w:rsidR="004D1E15" w:rsidRPr="00F6340E">
        <w:t xml:space="preserve"> </w:t>
      </w:r>
      <w:r>
        <w:t>о</w:t>
      </w:r>
      <w:r w:rsidR="0071360A">
        <w:t>с</w:t>
      </w:r>
      <w:r>
        <w:t>но</w:t>
      </w:r>
      <w:r w:rsidR="0071360A">
        <w:t>в</w:t>
      </w:r>
      <w:r>
        <w:t>н</w:t>
      </w:r>
      <w:r w:rsidR="00EE6AA2">
        <w:t>е</w:t>
      </w:r>
      <w:r w:rsidR="004D1E15" w:rsidRPr="00F6340E">
        <w:t xml:space="preserve"> </w:t>
      </w:r>
      <w:r w:rsidR="0071360A">
        <w:t>ш</w:t>
      </w:r>
      <w:r>
        <w:t>кол</w:t>
      </w:r>
      <w:r w:rsidR="00EE6AA2">
        <w:t>е</w:t>
      </w:r>
      <w:r w:rsidR="004D1E15" w:rsidRPr="00F6340E">
        <w:rPr>
          <w:rStyle w:val="FootnoteReference"/>
          <w:rFonts w:cs="Arial"/>
          <w:color w:val="000000" w:themeColor="text1"/>
        </w:rPr>
        <w:footnoteReference w:id="19"/>
      </w:r>
      <w:r w:rsidR="004D1E15" w:rsidRPr="00F6340E">
        <w:t xml:space="preserve">. </w:t>
      </w:r>
      <w:r>
        <w:t>Ин</w:t>
      </w:r>
      <w:r w:rsidR="0071360A">
        <w:t>стру</w:t>
      </w:r>
      <w:r>
        <w:t>м</w:t>
      </w:r>
      <w:r w:rsidR="00EE6AA2">
        <w:t>е</w:t>
      </w:r>
      <w:r>
        <w:t>н</w:t>
      </w:r>
      <w:r w:rsidR="0071360A">
        <w:t>т</w:t>
      </w:r>
      <w:r w:rsidR="004D1E15" w:rsidRPr="00F6340E">
        <w:t xml:space="preserve"> </w:t>
      </w:r>
      <w:r w:rsidR="0071360A">
        <w:lastRenderedPageBreak/>
        <w:t>п</w:t>
      </w:r>
      <w:r>
        <w:t>ок</w:t>
      </w:r>
      <w:r w:rsidR="0071360A">
        <w:t>р</w:t>
      </w:r>
      <w:r>
        <w:t>и</w:t>
      </w:r>
      <w:r w:rsidR="0071360A">
        <w:t>в</w:t>
      </w:r>
      <w:r>
        <w:t>а</w:t>
      </w:r>
      <w:r w:rsidR="004D1E15" w:rsidRPr="00F6340E">
        <w:t xml:space="preserve"> </w:t>
      </w:r>
      <w:r>
        <w:t>нај</w:t>
      </w:r>
      <w:r w:rsidR="00171F00">
        <w:t>з</w:t>
      </w:r>
      <w:r>
        <w:t>начајниј</w:t>
      </w:r>
      <w:r w:rsidR="00EE6AA2">
        <w:t>е</w:t>
      </w:r>
      <w:r w:rsidR="004D1E15" w:rsidRPr="00F6340E">
        <w:t xml:space="preserve"> </w:t>
      </w:r>
      <w:r>
        <w:t>обла</w:t>
      </w:r>
      <w:r w:rsidR="0071360A">
        <w:t>ст</w:t>
      </w:r>
      <w:r>
        <w:t>и</w:t>
      </w:r>
      <w:r w:rsidR="004D1E15" w:rsidRPr="00F6340E">
        <w:t xml:space="preserve"> </w:t>
      </w:r>
      <w:r>
        <w:t>о</w:t>
      </w:r>
      <w:r w:rsidR="0071360A">
        <w:t>р</w:t>
      </w:r>
      <w:r>
        <w:t>гани</w:t>
      </w:r>
      <w:r w:rsidR="00171F00">
        <w:t>з</w:t>
      </w:r>
      <w:r>
        <w:t>ациј</w:t>
      </w:r>
      <w:r w:rsidR="00EE6AA2">
        <w:t>е</w:t>
      </w:r>
      <w:r w:rsidR="004D1E15" w:rsidRPr="00F6340E">
        <w:t xml:space="preserve"> </w:t>
      </w:r>
      <w:r w:rsidR="00171F00">
        <w:t>ж</w:t>
      </w:r>
      <w:r>
        <w:t>и</w:t>
      </w:r>
      <w:r w:rsidR="0071360A">
        <w:t>в</w:t>
      </w:r>
      <w:r>
        <w:t>о</w:t>
      </w:r>
      <w:r w:rsidR="0071360A">
        <w:t>т</w:t>
      </w:r>
      <w:r>
        <w:t>а</w:t>
      </w:r>
      <w:r w:rsidR="004D1E15" w:rsidRPr="00F6340E">
        <w:t xml:space="preserve"> </w:t>
      </w:r>
      <w:r>
        <w:t>и</w:t>
      </w:r>
      <w:r w:rsidR="004D1E15" w:rsidRPr="00F6340E">
        <w:t xml:space="preserve"> </w:t>
      </w:r>
      <w:r w:rsidR="0071360A">
        <w:t>р</w:t>
      </w:r>
      <w:r>
        <w:t>ада</w:t>
      </w:r>
      <w:r w:rsidR="004D1E15" w:rsidRPr="00F6340E">
        <w:t xml:space="preserve"> </w:t>
      </w:r>
      <w:r w:rsidR="0071360A">
        <w:t>ш</w:t>
      </w:r>
      <w:r>
        <w:t>кол</w:t>
      </w:r>
      <w:r w:rsidR="00EE6AA2">
        <w:t>е</w:t>
      </w:r>
      <w:r w:rsidR="004D1E15" w:rsidRPr="00F6340E">
        <w:t xml:space="preserve">: </w:t>
      </w:r>
      <w:r w:rsidR="0071360A">
        <w:t>ш</w:t>
      </w:r>
      <w:r>
        <w:t>кол</w:t>
      </w:r>
      <w:r w:rsidR="0071360A">
        <w:t>с</w:t>
      </w:r>
      <w:r>
        <w:t>ка</w:t>
      </w:r>
      <w:r w:rsidR="004D1E15" w:rsidRPr="00F6340E">
        <w:t xml:space="preserve"> </w:t>
      </w:r>
      <w:r>
        <w:t>клима</w:t>
      </w:r>
      <w:r w:rsidR="004D1E15" w:rsidRPr="00F6340E">
        <w:t xml:space="preserve">, </w:t>
      </w:r>
      <w:r w:rsidR="0071360A">
        <w:t>с</w:t>
      </w:r>
      <w:r>
        <w:t>а</w:t>
      </w:r>
      <w:r w:rsidR="0071360A">
        <w:t>р</w:t>
      </w:r>
      <w:r>
        <w:t>адња</w:t>
      </w:r>
      <w:r w:rsidR="004D1E15" w:rsidRPr="00F6340E">
        <w:t xml:space="preserve"> </w:t>
      </w:r>
      <w:r w:rsidR="0071360A">
        <w:t>с</w:t>
      </w:r>
      <w:r>
        <w:t>а</w:t>
      </w:r>
      <w:r w:rsidR="004D1E15" w:rsidRPr="00F6340E">
        <w:t xml:space="preserve"> </w:t>
      </w:r>
      <w:r w:rsidR="0071360A">
        <w:t>в</w:t>
      </w:r>
      <w:r>
        <w:t>иј</w:t>
      </w:r>
      <w:r w:rsidR="00EE6AA2">
        <w:t>е</w:t>
      </w:r>
      <w:r>
        <w:t>ћ</w:t>
      </w:r>
      <w:r w:rsidR="00EE6AA2">
        <w:t>е</w:t>
      </w:r>
      <w:r>
        <w:t>м</w:t>
      </w:r>
      <w:r w:rsidR="004D1E15" w:rsidRPr="00F6340E">
        <w:t xml:space="preserve"> </w:t>
      </w:r>
      <w:r w:rsidR="0071360A">
        <w:t>у</w:t>
      </w:r>
      <w:r>
        <w:t>ч</w:t>
      </w:r>
      <w:r w:rsidR="00EE6AA2">
        <w:t>е</w:t>
      </w:r>
      <w:r>
        <w:t>ника</w:t>
      </w:r>
      <w:r w:rsidR="004D1E15" w:rsidRPr="00F6340E">
        <w:t xml:space="preserve"> </w:t>
      </w:r>
      <w:r>
        <w:t>и</w:t>
      </w:r>
      <w:r w:rsidR="004D1E15" w:rsidRPr="00F6340E">
        <w:t xml:space="preserve"> </w:t>
      </w:r>
      <w:r w:rsidR="0071360A">
        <w:t>в</w:t>
      </w:r>
      <w:r>
        <w:t>иј</w:t>
      </w:r>
      <w:r w:rsidR="00EE6AA2">
        <w:t>е</w:t>
      </w:r>
      <w:r>
        <w:t>ћ</w:t>
      </w:r>
      <w:r w:rsidR="00EE6AA2">
        <w:t>е</w:t>
      </w:r>
      <w:r>
        <w:t>м</w:t>
      </w:r>
      <w:r w:rsidR="004D1E15" w:rsidRPr="00F6340E">
        <w:t xml:space="preserve"> </w:t>
      </w:r>
      <w:r w:rsidR="0071360A">
        <w:t>р</w:t>
      </w:r>
      <w:r>
        <w:t>оди</w:t>
      </w:r>
      <w:r w:rsidR="0071360A">
        <w:t>т</w:t>
      </w:r>
      <w:r w:rsidR="00EE6AA2">
        <w:t>е</w:t>
      </w:r>
      <w:r>
        <w:t>ља</w:t>
      </w:r>
      <w:r w:rsidR="004D1E15" w:rsidRPr="00F6340E">
        <w:t xml:space="preserve">, </w:t>
      </w:r>
      <w:r>
        <w:t>м</w:t>
      </w:r>
      <w:r w:rsidR="00EE6AA2">
        <w:t>е</w:t>
      </w:r>
      <w:r>
        <w:t>наџм</w:t>
      </w:r>
      <w:r w:rsidR="00EE6AA2">
        <w:t>е</w:t>
      </w:r>
      <w:r>
        <w:t>н</w:t>
      </w:r>
      <w:r w:rsidR="0071360A">
        <w:t>т</w:t>
      </w:r>
      <w:r w:rsidR="004D1E15" w:rsidRPr="00F6340E">
        <w:t xml:space="preserve"> </w:t>
      </w:r>
      <w:r w:rsidR="0071360A">
        <w:t>ш</w:t>
      </w:r>
      <w:r>
        <w:t>кол</w:t>
      </w:r>
      <w:r w:rsidR="00EE6AA2">
        <w:t>е</w:t>
      </w:r>
      <w:r w:rsidR="004D1E15" w:rsidRPr="00F6340E">
        <w:t xml:space="preserve">, </w:t>
      </w:r>
      <w:r>
        <w:t>ин</w:t>
      </w:r>
      <w:r w:rsidR="0071360A">
        <w:t>т</w:t>
      </w:r>
      <w:r w:rsidR="00EE6AA2">
        <w:t>е</w:t>
      </w:r>
      <w:r w:rsidR="0071360A">
        <w:t>р</w:t>
      </w:r>
      <w:r>
        <w:t>к</w:t>
      </w:r>
      <w:r w:rsidR="0071360A">
        <w:t>у</w:t>
      </w:r>
      <w:r>
        <w:t>л</w:t>
      </w:r>
      <w:r w:rsidR="0071360A">
        <w:t>тур</w:t>
      </w:r>
      <w:r>
        <w:t>ално</w:t>
      </w:r>
      <w:r w:rsidR="004D1E15" w:rsidRPr="00F6340E">
        <w:t xml:space="preserve"> </w:t>
      </w:r>
      <w:r>
        <w:t>и</w:t>
      </w:r>
      <w:r w:rsidR="004D1E15" w:rsidRPr="00F6340E">
        <w:t xml:space="preserve"> </w:t>
      </w:r>
      <w:r>
        <w:t>инкл</w:t>
      </w:r>
      <w:r w:rsidR="0071360A">
        <w:t>у</w:t>
      </w:r>
      <w:r w:rsidR="00171F00">
        <w:t>з</w:t>
      </w:r>
      <w:r>
        <w:t>и</w:t>
      </w:r>
      <w:r w:rsidR="0071360A">
        <w:t>в</w:t>
      </w:r>
      <w:r>
        <w:t>но</w:t>
      </w:r>
      <w:r w:rsidR="004D1E15" w:rsidRPr="00F6340E">
        <w:t xml:space="preserve"> </w:t>
      </w:r>
      <w:r>
        <w:t>об</w:t>
      </w:r>
      <w:r w:rsidR="0071360A">
        <w:t>р</w:t>
      </w:r>
      <w:r>
        <w:t>а</w:t>
      </w:r>
      <w:r w:rsidR="00171F00">
        <w:t>з</w:t>
      </w:r>
      <w:r>
        <w:t>о</w:t>
      </w:r>
      <w:r w:rsidR="0071360A">
        <w:t>в</w:t>
      </w:r>
      <w:r>
        <w:t>ањ</w:t>
      </w:r>
      <w:r w:rsidR="00EE6AA2">
        <w:t>е</w:t>
      </w:r>
      <w:r w:rsidR="004D1E15" w:rsidRPr="00F6340E">
        <w:t xml:space="preserve">, </w:t>
      </w:r>
      <w:r>
        <w:t>ком</w:t>
      </w:r>
      <w:r w:rsidR="0071360A">
        <w:t>п</w:t>
      </w:r>
      <w:r w:rsidR="00EE6AA2">
        <w:t>е</w:t>
      </w:r>
      <w:r w:rsidR="0071360A">
        <w:t>т</w:t>
      </w:r>
      <w:r w:rsidR="00EE6AA2">
        <w:t>е</w:t>
      </w:r>
      <w:r>
        <w:t>нциј</w:t>
      </w:r>
      <w:r w:rsidR="00EE6AA2">
        <w:t>е</w:t>
      </w:r>
      <w:r w:rsidR="004D1E15" w:rsidRPr="00F6340E">
        <w:t xml:space="preserve"> </w:t>
      </w:r>
      <w:r>
        <w:t>на</w:t>
      </w:r>
      <w:r w:rsidR="0071360A">
        <w:t>ст</w:t>
      </w:r>
      <w:r>
        <w:t>а</w:t>
      </w:r>
      <w:r w:rsidR="0071360A">
        <w:t>в</w:t>
      </w:r>
      <w:r>
        <w:t>ника</w:t>
      </w:r>
      <w:r w:rsidR="004D1E15" w:rsidRPr="00F6340E">
        <w:t xml:space="preserve">, </w:t>
      </w:r>
      <w:r>
        <w:t>к</w:t>
      </w:r>
      <w:r w:rsidR="0071360A">
        <w:t>ур</w:t>
      </w:r>
      <w:r>
        <w:t>ик</w:t>
      </w:r>
      <w:r w:rsidR="0071360A">
        <w:t>у</w:t>
      </w:r>
      <w:r>
        <w:t>л</w:t>
      </w:r>
      <w:r w:rsidR="0071360A">
        <w:t>у</w:t>
      </w:r>
      <w:r>
        <w:t>м</w:t>
      </w:r>
      <w:r w:rsidR="004D1E15" w:rsidRPr="00F6340E">
        <w:t xml:space="preserve">, </w:t>
      </w:r>
      <w:r w:rsidR="0071360A">
        <w:t>п</w:t>
      </w:r>
      <w:r>
        <w:t>о</w:t>
      </w:r>
      <w:r w:rsidR="0071360A">
        <w:t>ст</w:t>
      </w:r>
      <w:r>
        <w:t>игн</w:t>
      </w:r>
      <w:r w:rsidR="0071360A">
        <w:t>у</w:t>
      </w:r>
      <w:r>
        <w:t>ћа</w:t>
      </w:r>
      <w:r w:rsidR="004D1E15" w:rsidRPr="00F6340E">
        <w:t xml:space="preserve"> </w:t>
      </w:r>
      <w:r w:rsidR="0071360A">
        <w:t>у</w:t>
      </w:r>
      <w:r>
        <w:t>ч</w:t>
      </w:r>
      <w:r w:rsidR="00EE6AA2">
        <w:t>е</w:t>
      </w:r>
      <w:r>
        <w:t>ника</w:t>
      </w:r>
      <w:r w:rsidR="004D1E15" w:rsidRPr="00F6340E">
        <w:t xml:space="preserve">. </w:t>
      </w:r>
    </w:p>
    <w:p w14:paraId="1EB15302" w14:textId="41EEBD45" w:rsidR="004D1E15" w:rsidRPr="00F6340E" w:rsidRDefault="00A56E08" w:rsidP="008C491A">
      <w:pPr>
        <w:pStyle w:val="Body"/>
        <w:rPr>
          <w:szCs w:val="24"/>
        </w:rPr>
      </w:pPr>
      <w:r>
        <w:rPr>
          <w:szCs w:val="24"/>
        </w:rPr>
        <w:t>М</w:t>
      </w:r>
      <w:r w:rsidR="00EE6AA2">
        <w:rPr>
          <w:szCs w:val="24"/>
        </w:rPr>
        <w:t>е</w:t>
      </w:r>
      <w:r>
        <w:rPr>
          <w:szCs w:val="24"/>
        </w:rPr>
        <w:t>ђ</w:t>
      </w:r>
      <w:r w:rsidR="0071360A">
        <w:rPr>
          <w:szCs w:val="24"/>
        </w:rPr>
        <w:t>ут</w:t>
      </w:r>
      <w:r>
        <w:rPr>
          <w:szCs w:val="24"/>
        </w:rPr>
        <w:t>им</w:t>
      </w:r>
      <w:r w:rsidR="004D1E15" w:rsidRPr="00F6340E">
        <w:rPr>
          <w:szCs w:val="24"/>
        </w:rPr>
        <w:t xml:space="preserve">, </w:t>
      </w:r>
      <w:r>
        <w:rPr>
          <w:szCs w:val="24"/>
        </w:rPr>
        <w:t>када</w:t>
      </w:r>
      <w:r w:rsidR="004D1E15" w:rsidRPr="00F6340E">
        <w:rPr>
          <w:szCs w:val="24"/>
        </w:rPr>
        <w:t xml:space="preserve"> </w:t>
      </w:r>
      <w:r>
        <w:rPr>
          <w:szCs w:val="24"/>
        </w:rPr>
        <w:t>го</w:t>
      </w:r>
      <w:r w:rsidR="0071360A">
        <w:rPr>
          <w:szCs w:val="24"/>
        </w:rPr>
        <w:t>в</w:t>
      </w:r>
      <w:r>
        <w:rPr>
          <w:szCs w:val="24"/>
        </w:rPr>
        <w:t>о</w:t>
      </w:r>
      <w:r w:rsidR="0071360A">
        <w:rPr>
          <w:szCs w:val="24"/>
        </w:rPr>
        <w:t>р</w:t>
      </w:r>
      <w:r>
        <w:rPr>
          <w:szCs w:val="24"/>
        </w:rPr>
        <w:t>имо</w:t>
      </w:r>
      <w:r w:rsidR="004D1E15" w:rsidRPr="00F6340E">
        <w:rPr>
          <w:szCs w:val="24"/>
        </w:rPr>
        <w:t xml:space="preserve"> </w:t>
      </w:r>
      <w:r>
        <w:rPr>
          <w:szCs w:val="24"/>
        </w:rPr>
        <w:t>о</w:t>
      </w:r>
      <w:r w:rsidR="004D1E15" w:rsidRPr="00F6340E">
        <w:rPr>
          <w:szCs w:val="24"/>
        </w:rPr>
        <w:t xml:space="preserve"> </w:t>
      </w:r>
      <w:r>
        <w:rPr>
          <w:szCs w:val="24"/>
        </w:rPr>
        <w:t>а</w:t>
      </w:r>
      <w:r w:rsidR="0071360A">
        <w:rPr>
          <w:szCs w:val="24"/>
        </w:rPr>
        <w:t>сп</w:t>
      </w:r>
      <w:r w:rsidR="00EE6AA2">
        <w:rPr>
          <w:szCs w:val="24"/>
        </w:rPr>
        <w:t>е</w:t>
      </w:r>
      <w:r>
        <w:rPr>
          <w:szCs w:val="24"/>
        </w:rPr>
        <w:t>к</w:t>
      </w:r>
      <w:r w:rsidR="0071360A">
        <w:rPr>
          <w:szCs w:val="24"/>
        </w:rPr>
        <w:t>ту</w:t>
      </w:r>
      <w:r w:rsidR="004D1E15" w:rsidRPr="00F6340E">
        <w:rPr>
          <w:szCs w:val="24"/>
        </w:rPr>
        <w:t xml:space="preserve"> </w:t>
      </w:r>
      <w:r>
        <w:rPr>
          <w:szCs w:val="24"/>
        </w:rPr>
        <w:t>који</w:t>
      </w:r>
      <w:r w:rsidR="004D1E15" w:rsidRPr="00F6340E">
        <w:rPr>
          <w:szCs w:val="24"/>
        </w:rPr>
        <w:t xml:space="preserve"> </w:t>
      </w:r>
      <w:r w:rsidR="0071360A">
        <w:rPr>
          <w:szCs w:val="24"/>
        </w:rPr>
        <w:t>у</w:t>
      </w:r>
      <w:r>
        <w:rPr>
          <w:szCs w:val="24"/>
        </w:rPr>
        <w:t>кљ</w:t>
      </w:r>
      <w:r w:rsidR="0071360A">
        <w:rPr>
          <w:szCs w:val="24"/>
        </w:rPr>
        <w:t>у</w:t>
      </w:r>
      <w:r>
        <w:rPr>
          <w:szCs w:val="24"/>
        </w:rPr>
        <w:t>ч</w:t>
      </w:r>
      <w:r w:rsidR="0071360A">
        <w:rPr>
          <w:szCs w:val="24"/>
        </w:rPr>
        <w:t>у</w:t>
      </w:r>
      <w:r>
        <w:rPr>
          <w:szCs w:val="24"/>
        </w:rPr>
        <w:t>ј</w:t>
      </w:r>
      <w:r w:rsidR="00EE6AA2">
        <w:rPr>
          <w:szCs w:val="24"/>
        </w:rPr>
        <w:t>е</w:t>
      </w:r>
      <w:r w:rsidR="004D1E15" w:rsidRPr="00F6340E">
        <w:rPr>
          <w:szCs w:val="24"/>
        </w:rPr>
        <w:t xml:space="preserve"> </w:t>
      </w:r>
      <w:r w:rsidR="0071360A">
        <w:rPr>
          <w:szCs w:val="24"/>
        </w:rPr>
        <w:t>пр</w:t>
      </w:r>
      <w:r>
        <w:rPr>
          <w:szCs w:val="24"/>
        </w:rPr>
        <w:t>имј</w:t>
      </w:r>
      <w:r w:rsidR="00EE6AA2">
        <w:rPr>
          <w:szCs w:val="24"/>
        </w:rPr>
        <w:t>е</w:t>
      </w:r>
      <w:r>
        <w:rPr>
          <w:szCs w:val="24"/>
        </w:rPr>
        <w:t>н</w:t>
      </w:r>
      <w:r w:rsidR="0071360A">
        <w:rPr>
          <w:szCs w:val="24"/>
        </w:rPr>
        <w:t>у</w:t>
      </w:r>
      <w:r w:rsidR="004D1E15" w:rsidRPr="00F6340E">
        <w:rPr>
          <w:szCs w:val="24"/>
        </w:rPr>
        <w:t xml:space="preserve"> </w:t>
      </w:r>
      <w:r>
        <w:rPr>
          <w:szCs w:val="24"/>
        </w:rPr>
        <w:t>ИК</w:t>
      </w:r>
      <w:r w:rsidR="0071360A">
        <w:rPr>
          <w:szCs w:val="24"/>
        </w:rPr>
        <w:t>Т</w:t>
      </w:r>
      <w:r w:rsidR="004D1E15" w:rsidRPr="00F6340E">
        <w:rPr>
          <w:szCs w:val="24"/>
        </w:rPr>
        <w:t xml:space="preserve"> – </w:t>
      </w:r>
      <w:r>
        <w:rPr>
          <w:szCs w:val="24"/>
        </w:rPr>
        <w:t>а</w:t>
      </w:r>
      <w:r w:rsidR="004D1E15" w:rsidRPr="00F6340E">
        <w:rPr>
          <w:szCs w:val="24"/>
        </w:rPr>
        <w:t xml:space="preserve"> </w:t>
      </w:r>
      <w:r w:rsidR="0071360A">
        <w:rPr>
          <w:szCs w:val="24"/>
        </w:rPr>
        <w:t>у</w:t>
      </w:r>
      <w:r w:rsidR="004D1E15" w:rsidRPr="00F6340E">
        <w:rPr>
          <w:szCs w:val="24"/>
        </w:rPr>
        <w:t xml:space="preserve"> </w:t>
      </w:r>
      <w:r>
        <w:rPr>
          <w:szCs w:val="24"/>
        </w:rPr>
        <w:t>об</w:t>
      </w:r>
      <w:r w:rsidR="0071360A">
        <w:rPr>
          <w:szCs w:val="24"/>
        </w:rPr>
        <w:t>р</w:t>
      </w:r>
      <w:r>
        <w:rPr>
          <w:szCs w:val="24"/>
        </w:rPr>
        <w:t>а</w:t>
      </w:r>
      <w:r w:rsidR="00171F00">
        <w:rPr>
          <w:szCs w:val="24"/>
        </w:rPr>
        <w:t>з</w:t>
      </w:r>
      <w:r>
        <w:rPr>
          <w:szCs w:val="24"/>
        </w:rPr>
        <w:t>о</w:t>
      </w:r>
      <w:r w:rsidR="0071360A">
        <w:rPr>
          <w:szCs w:val="24"/>
        </w:rPr>
        <w:t>в</w:t>
      </w:r>
      <w:r>
        <w:rPr>
          <w:szCs w:val="24"/>
        </w:rPr>
        <w:t>ном</w:t>
      </w:r>
      <w:r w:rsidR="004D1E15" w:rsidRPr="00F6340E">
        <w:rPr>
          <w:szCs w:val="24"/>
        </w:rPr>
        <w:t xml:space="preserve"> </w:t>
      </w:r>
      <w:r w:rsidR="0071360A">
        <w:rPr>
          <w:szCs w:val="24"/>
        </w:rPr>
        <w:t>пр</w:t>
      </w:r>
      <w:r>
        <w:rPr>
          <w:szCs w:val="24"/>
        </w:rPr>
        <w:t>оц</w:t>
      </w:r>
      <w:r w:rsidR="00EE6AA2">
        <w:rPr>
          <w:szCs w:val="24"/>
        </w:rPr>
        <w:t>е</w:t>
      </w:r>
      <w:r w:rsidR="0071360A">
        <w:rPr>
          <w:szCs w:val="24"/>
        </w:rPr>
        <w:t>су</w:t>
      </w:r>
      <w:r w:rsidR="004D1E15" w:rsidRPr="00F6340E">
        <w:rPr>
          <w:szCs w:val="24"/>
        </w:rPr>
        <w:t xml:space="preserve">, </w:t>
      </w:r>
      <w:r w:rsidR="0071360A">
        <w:rPr>
          <w:szCs w:val="24"/>
        </w:rPr>
        <w:t>у</w:t>
      </w:r>
      <w:r w:rsidR="004D1E15" w:rsidRPr="00F6340E">
        <w:rPr>
          <w:szCs w:val="24"/>
        </w:rPr>
        <w:t xml:space="preserve"> </w:t>
      </w:r>
      <w:r>
        <w:rPr>
          <w:szCs w:val="24"/>
        </w:rPr>
        <w:t>на</w:t>
      </w:r>
      <w:r w:rsidR="0071360A">
        <w:rPr>
          <w:szCs w:val="24"/>
        </w:rPr>
        <w:t>в</w:t>
      </w:r>
      <w:r w:rsidR="00EE6AA2">
        <w:rPr>
          <w:szCs w:val="24"/>
        </w:rPr>
        <w:t>е</w:t>
      </w:r>
      <w:r>
        <w:rPr>
          <w:szCs w:val="24"/>
        </w:rPr>
        <w:t>д</w:t>
      </w:r>
      <w:r w:rsidR="00EE6AA2">
        <w:rPr>
          <w:szCs w:val="24"/>
        </w:rPr>
        <w:t>е</w:t>
      </w:r>
      <w:r>
        <w:rPr>
          <w:szCs w:val="24"/>
        </w:rPr>
        <w:t>ном</w:t>
      </w:r>
      <w:r w:rsidR="004D1E15" w:rsidRPr="00F6340E">
        <w:rPr>
          <w:szCs w:val="24"/>
        </w:rPr>
        <w:t xml:space="preserve"> </w:t>
      </w:r>
      <w:r>
        <w:rPr>
          <w:szCs w:val="24"/>
        </w:rPr>
        <w:t>ин</w:t>
      </w:r>
      <w:r w:rsidR="0071360A">
        <w:rPr>
          <w:szCs w:val="24"/>
        </w:rPr>
        <w:t>стру</w:t>
      </w:r>
      <w:r>
        <w:rPr>
          <w:szCs w:val="24"/>
        </w:rPr>
        <w:t>м</w:t>
      </w:r>
      <w:r w:rsidR="00EE6AA2">
        <w:rPr>
          <w:szCs w:val="24"/>
        </w:rPr>
        <w:t>е</w:t>
      </w:r>
      <w:r>
        <w:rPr>
          <w:szCs w:val="24"/>
        </w:rPr>
        <w:t>н</w:t>
      </w:r>
      <w:r w:rsidR="0071360A">
        <w:rPr>
          <w:szCs w:val="24"/>
        </w:rPr>
        <w:t>ту</w:t>
      </w:r>
      <w:r w:rsidR="004D1E15" w:rsidRPr="00F6340E">
        <w:rPr>
          <w:szCs w:val="24"/>
        </w:rPr>
        <w:t xml:space="preserve"> </w:t>
      </w:r>
      <w:r w:rsidR="0071360A">
        <w:rPr>
          <w:szCs w:val="24"/>
        </w:rPr>
        <w:t>с</w:t>
      </w:r>
      <w:r w:rsidR="00EE6AA2">
        <w:rPr>
          <w:szCs w:val="24"/>
        </w:rPr>
        <w:t>е</w:t>
      </w:r>
      <w:r w:rsidR="004D1E15" w:rsidRPr="00F6340E">
        <w:rPr>
          <w:szCs w:val="24"/>
        </w:rPr>
        <w:t xml:space="preserve"> </w:t>
      </w:r>
      <w:r w:rsidR="0071360A">
        <w:rPr>
          <w:szCs w:val="24"/>
        </w:rPr>
        <w:t>сп</w:t>
      </w:r>
      <w:r>
        <w:rPr>
          <w:szCs w:val="24"/>
        </w:rPr>
        <w:t>омињ</w:t>
      </w:r>
      <w:r w:rsidR="00EE6AA2">
        <w:rPr>
          <w:szCs w:val="24"/>
        </w:rPr>
        <w:t>е</w:t>
      </w:r>
      <w:r w:rsidR="00AE44FC" w:rsidRPr="00F6340E">
        <w:rPr>
          <w:szCs w:val="24"/>
        </w:rPr>
        <w:t xml:space="preserve"> </w:t>
      </w:r>
      <w:r w:rsidR="0071360A">
        <w:rPr>
          <w:szCs w:val="24"/>
        </w:rPr>
        <w:t>с</w:t>
      </w:r>
      <w:r>
        <w:rPr>
          <w:szCs w:val="24"/>
        </w:rPr>
        <w:t>амо</w:t>
      </w:r>
      <w:r w:rsidR="004D1E15" w:rsidRPr="00F6340E">
        <w:rPr>
          <w:szCs w:val="24"/>
        </w:rPr>
        <w:t xml:space="preserve"> </w:t>
      </w:r>
      <w:r>
        <w:rPr>
          <w:szCs w:val="24"/>
        </w:rPr>
        <w:t>ј</w:t>
      </w:r>
      <w:r w:rsidR="00EE6AA2">
        <w:rPr>
          <w:szCs w:val="24"/>
        </w:rPr>
        <w:t>е</w:t>
      </w:r>
      <w:r>
        <w:rPr>
          <w:szCs w:val="24"/>
        </w:rPr>
        <w:t>дном</w:t>
      </w:r>
      <w:r w:rsidR="004D1E15" w:rsidRPr="00F6340E">
        <w:rPr>
          <w:szCs w:val="24"/>
        </w:rPr>
        <w:t xml:space="preserve"> </w:t>
      </w:r>
      <w:r>
        <w:rPr>
          <w:szCs w:val="24"/>
        </w:rPr>
        <w:t>а</w:t>
      </w:r>
      <w:r w:rsidR="004D1E15" w:rsidRPr="00F6340E">
        <w:rPr>
          <w:szCs w:val="24"/>
        </w:rPr>
        <w:t xml:space="preserve"> </w:t>
      </w:r>
      <w:r>
        <w:rPr>
          <w:szCs w:val="24"/>
        </w:rPr>
        <w:t>одно</w:t>
      </w:r>
      <w:r w:rsidR="0071360A">
        <w:rPr>
          <w:szCs w:val="24"/>
        </w:rPr>
        <w:t>с</w:t>
      </w:r>
      <w:r>
        <w:rPr>
          <w:szCs w:val="24"/>
        </w:rPr>
        <w:t>и</w:t>
      </w:r>
      <w:r w:rsidR="004D1E15" w:rsidRPr="00F6340E">
        <w:rPr>
          <w:szCs w:val="24"/>
        </w:rPr>
        <w:t xml:space="preserve"> </w:t>
      </w:r>
      <w:r w:rsidR="0071360A">
        <w:rPr>
          <w:szCs w:val="24"/>
        </w:rPr>
        <w:t>с</w:t>
      </w:r>
      <w:r w:rsidR="00EE6AA2">
        <w:rPr>
          <w:szCs w:val="24"/>
        </w:rPr>
        <w:t>е</w:t>
      </w:r>
      <w:r w:rsidR="004D1E15" w:rsidRPr="00F6340E">
        <w:rPr>
          <w:szCs w:val="24"/>
        </w:rPr>
        <w:t xml:space="preserve"> </w:t>
      </w:r>
      <w:r>
        <w:rPr>
          <w:szCs w:val="24"/>
        </w:rPr>
        <w:t>на</w:t>
      </w:r>
      <w:r w:rsidR="004D1E15" w:rsidRPr="00F6340E">
        <w:rPr>
          <w:szCs w:val="24"/>
        </w:rPr>
        <w:t xml:space="preserve"> </w:t>
      </w:r>
      <w:r w:rsidR="0071360A">
        <w:rPr>
          <w:szCs w:val="24"/>
        </w:rPr>
        <w:t>в</w:t>
      </w:r>
      <w:r>
        <w:rPr>
          <w:szCs w:val="24"/>
        </w:rPr>
        <w:t>и</w:t>
      </w:r>
      <w:r w:rsidR="0071360A">
        <w:rPr>
          <w:szCs w:val="24"/>
        </w:rPr>
        <w:t>рту</w:t>
      </w:r>
      <w:r w:rsidR="00EE6AA2">
        <w:rPr>
          <w:szCs w:val="24"/>
        </w:rPr>
        <w:t>е</w:t>
      </w:r>
      <w:r>
        <w:rPr>
          <w:szCs w:val="24"/>
        </w:rPr>
        <w:t>лн</w:t>
      </w:r>
      <w:r w:rsidR="0071360A">
        <w:rPr>
          <w:szCs w:val="24"/>
        </w:rPr>
        <w:t>у</w:t>
      </w:r>
      <w:r w:rsidR="004D1E15" w:rsidRPr="00F6340E">
        <w:rPr>
          <w:szCs w:val="24"/>
        </w:rPr>
        <w:t xml:space="preserve"> </w:t>
      </w:r>
      <w:r w:rsidR="0071360A">
        <w:rPr>
          <w:szCs w:val="24"/>
        </w:rPr>
        <w:t>у</w:t>
      </w:r>
      <w:r>
        <w:rPr>
          <w:szCs w:val="24"/>
        </w:rPr>
        <w:t>м</w:t>
      </w:r>
      <w:r w:rsidR="0071360A">
        <w:rPr>
          <w:szCs w:val="24"/>
        </w:rPr>
        <w:t>р</w:t>
      </w:r>
      <w:r w:rsidR="00EE6AA2">
        <w:rPr>
          <w:szCs w:val="24"/>
        </w:rPr>
        <w:t>е</w:t>
      </w:r>
      <w:r w:rsidR="00171F00">
        <w:rPr>
          <w:szCs w:val="24"/>
        </w:rPr>
        <w:t>ж</w:t>
      </w:r>
      <w:r w:rsidR="00EE6AA2">
        <w:rPr>
          <w:szCs w:val="24"/>
        </w:rPr>
        <w:t>е</w:t>
      </w:r>
      <w:r>
        <w:rPr>
          <w:szCs w:val="24"/>
        </w:rPr>
        <w:t>но</w:t>
      </w:r>
      <w:r w:rsidR="0071360A">
        <w:rPr>
          <w:szCs w:val="24"/>
        </w:rPr>
        <w:t>ст</w:t>
      </w:r>
      <w:r w:rsidR="004D1E15" w:rsidRPr="00F6340E">
        <w:rPr>
          <w:szCs w:val="24"/>
        </w:rPr>
        <w:t xml:space="preserve"> </w:t>
      </w:r>
      <w:r w:rsidR="0071360A">
        <w:rPr>
          <w:szCs w:val="24"/>
        </w:rPr>
        <w:t>ш</w:t>
      </w:r>
      <w:r>
        <w:rPr>
          <w:szCs w:val="24"/>
        </w:rPr>
        <w:t>кол</w:t>
      </w:r>
      <w:r w:rsidR="00EE6AA2">
        <w:rPr>
          <w:szCs w:val="24"/>
        </w:rPr>
        <w:t>е</w:t>
      </w:r>
      <w:r w:rsidR="004D1E15" w:rsidRPr="00F6340E">
        <w:rPr>
          <w:szCs w:val="24"/>
        </w:rPr>
        <w:t xml:space="preserve"> </w:t>
      </w:r>
      <w:r w:rsidR="0071360A">
        <w:rPr>
          <w:szCs w:val="24"/>
        </w:rPr>
        <w:t>с</w:t>
      </w:r>
      <w:r>
        <w:rPr>
          <w:szCs w:val="24"/>
        </w:rPr>
        <w:t>а</w:t>
      </w:r>
      <w:r w:rsidR="004D1E15" w:rsidRPr="00F6340E">
        <w:rPr>
          <w:szCs w:val="24"/>
        </w:rPr>
        <w:t xml:space="preserve"> </w:t>
      </w:r>
      <w:r>
        <w:rPr>
          <w:szCs w:val="24"/>
        </w:rPr>
        <w:t>д</w:t>
      </w:r>
      <w:r w:rsidR="0071360A">
        <w:rPr>
          <w:szCs w:val="24"/>
        </w:rPr>
        <w:t>ру</w:t>
      </w:r>
      <w:r>
        <w:rPr>
          <w:szCs w:val="24"/>
        </w:rPr>
        <w:t>гим</w:t>
      </w:r>
      <w:r w:rsidR="004D1E15" w:rsidRPr="00F6340E">
        <w:rPr>
          <w:szCs w:val="24"/>
        </w:rPr>
        <w:t xml:space="preserve"> </w:t>
      </w:r>
      <w:r w:rsidR="0071360A">
        <w:rPr>
          <w:szCs w:val="24"/>
        </w:rPr>
        <w:t>ш</w:t>
      </w:r>
      <w:r>
        <w:rPr>
          <w:szCs w:val="24"/>
        </w:rPr>
        <w:t>кол</w:t>
      </w:r>
      <w:r w:rsidR="0071360A">
        <w:rPr>
          <w:szCs w:val="24"/>
        </w:rPr>
        <w:t>с</w:t>
      </w:r>
      <w:r>
        <w:rPr>
          <w:szCs w:val="24"/>
        </w:rPr>
        <w:t>ким</w:t>
      </w:r>
      <w:r w:rsidR="004D1E15" w:rsidRPr="00F6340E">
        <w:rPr>
          <w:szCs w:val="24"/>
        </w:rPr>
        <w:t xml:space="preserve"> </w:t>
      </w:r>
      <w:r w:rsidR="00171F00">
        <w:rPr>
          <w:szCs w:val="24"/>
        </w:rPr>
        <w:t>з</w:t>
      </w:r>
      <w:r>
        <w:rPr>
          <w:szCs w:val="24"/>
        </w:rPr>
        <w:t>ај</w:t>
      </w:r>
      <w:r w:rsidR="00EE6AA2">
        <w:rPr>
          <w:szCs w:val="24"/>
        </w:rPr>
        <w:t>е</w:t>
      </w:r>
      <w:r>
        <w:rPr>
          <w:szCs w:val="24"/>
        </w:rPr>
        <w:t>дницама</w:t>
      </w:r>
      <w:r w:rsidR="004D1E15" w:rsidRPr="00F6340E">
        <w:rPr>
          <w:szCs w:val="24"/>
        </w:rPr>
        <w:t xml:space="preserve"> </w:t>
      </w:r>
      <w:r w:rsidR="0071360A">
        <w:rPr>
          <w:szCs w:val="24"/>
        </w:rPr>
        <w:t>пут</w:t>
      </w:r>
      <w:r w:rsidR="00EE6AA2">
        <w:rPr>
          <w:szCs w:val="24"/>
        </w:rPr>
        <w:t>е</w:t>
      </w:r>
      <w:r>
        <w:rPr>
          <w:szCs w:val="24"/>
        </w:rPr>
        <w:t>м</w:t>
      </w:r>
      <w:r w:rsidR="004D1E15" w:rsidRPr="00F6340E">
        <w:rPr>
          <w:szCs w:val="24"/>
        </w:rPr>
        <w:t xml:space="preserve"> </w:t>
      </w:r>
      <w:r>
        <w:rPr>
          <w:szCs w:val="24"/>
        </w:rPr>
        <w:t>ин</w:t>
      </w:r>
      <w:r w:rsidR="0071360A">
        <w:rPr>
          <w:szCs w:val="24"/>
        </w:rPr>
        <w:t>т</w:t>
      </w:r>
      <w:r w:rsidR="00EE6AA2">
        <w:rPr>
          <w:szCs w:val="24"/>
        </w:rPr>
        <w:t>е</w:t>
      </w:r>
      <w:r w:rsidR="0071360A">
        <w:rPr>
          <w:szCs w:val="24"/>
        </w:rPr>
        <w:t>р</w:t>
      </w:r>
      <w:r>
        <w:rPr>
          <w:szCs w:val="24"/>
        </w:rPr>
        <w:t>н</w:t>
      </w:r>
      <w:r w:rsidR="00EE6AA2">
        <w:rPr>
          <w:szCs w:val="24"/>
        </w:rPr>
        <w:t>е</w:t>
      </w:r>
      <w:r w:rsidR="0071360A">
        <w:rPr>
          <w:szCs w:val="24"/>
        </w:rPr>
        <w:t>т</w:t>
      </w:r>
      <w:r>
        <w:rPr>
          <w:szCs w:val="24"/>
        </w:rPr>
        <w:t>а</w:t>
      </w:r>
      <w:r w:rsidR="004D1E15" w:rsidRPr="00F6340E">
        <w:rPr>
          <w:szCs w:val="24"/>
        </w:rPr>
        <w:t xml:space="preserve">. </w:t>
      </w:r>
      <w:r w:rsidR="0071360A">
        <w:rPr>
          <w:szCs w:val="24"/>
        </w:rPr>
        <w:t>Т</w:t>
      </w:r>
      <w:r>
        <w:rPr>
          <w:szCs w:val="24"/>
        </w:rPr>
        <w:t>акођ</w:t>
      </w:r>
      <w:r w:rsidR="00EE6AA2">
        <w:rPr>
          <w:szCs w:val="24"/>
        </w:rPr>
        <w:t>е</w:t>
      </w:r>
      <w:r w:rsidR="004D1E15" w:rsidRPr="00F6340E">
        <w:rPr>
          <w:szCs w:val="24"/>
        </w:rPr>
        <w:t xml:space="preserve"> </w:t>
      </w:r>
      <w:r>
        <w:rPr>
          <w:szCs w:val="24"/>
        </w:rPr>
        <w:t>ј</w:t>
      </w:r>
      <w:r w:rsidR="00EE6AA2">
        <w:rPr>
          <w:szCs w:val="24"/>
        </w:rPr>
        <w:t>е</w:t>
      </w:r>
      <w:r w:rsidR="004D1E15" w:rsidRPr="00F6340E">
        <w:rPr>
          <w:szCs w:val="24"/>
        </w:rPr>
        <w:t xml:space="preserve"> </w:t>
      </w:r>
      <w:r w:rsidR="0071360A">
        <w:rPr>
          <w:szCs w:val="24"/>
        </w:rPr>
        <w:t>в</w:t>
      </w:r>
      <w:r>
        <w:rPr>
          <w:szCs w:val="24"/>
        </w:rPr>
        <w:t>а</w:t>
      </w:r>
      <w:r w:rsidR="00171F00">
        <w:rPr>
          <w:szCs w:val="24"/>
        </w:rPr>
        <w:t>ж</w:t>
      </w:r>
      <w:r>
        <w:rPr>
          <w:szCs w:val="24"/>
        </w:rPr>
        <w:t>но</w:t>
      </w:r>
      <w:r w:rsidR="004D1E15" w:rsidRPr="00F6340E">
        <w:rPr>
          <w:szCs w:val="24"/>
        </w:rPr>
        <w:t xml:space="preserve"> </w:t>
      </w:r>
      <w:r>
        <w:rPr>
          <w:szCs w:val="24"/>
        </w:rPr>
        <w:t>на</w:t>
      </w:r>
      <w:r w:rsidR="0071360A">
        <w:rPr>
          <w:szCs w:val="24"/>
        </w:rPr>
        <w:t>п</w:t>
      </w:r>
      <w:r>
        <w:rPr>
          <w:szCs w:val="24"/>
        </w:rPr>
        <w:t>ом</w:t>
      </w:r>
      <w:r w:rsidR="00EE6AA2">
        <w:rPr>
          <w:szCs w:val="24"/>
        </w:rPr>
        <w:t>е</w:t>
      </w:r>
      <w:r>
        <w:rPr>
          <w:szCs w:val="24"/>
        </w:rPr>
        <w:t>н</w:t>
      </w:r>
      <w:r w:rsidR="0071360A">
        <w:rPr>
          <w:szCs w:val="24"/>
        </w:rPr>
        <w:t>ут</w:t>
      </w:r>
      <w:r>
        <w:rPr>
          <w:szCs w:val="24"/>
        </w:rPr>
        <w:t>и</w:t>
      </w:r>
      <w:r w:rsidR="004D1E15" w:rsidRPr="00F6340E">
        <w:rPr>
          <w:szCs w:val="24"/>
        </w:rPr>
        <w:t xml:space="preserve"> </w:t>
      </w:r>
      <w:r>
        <w:rPr>
          <w:szCs w:val="24"/>
        </w:rPr>
        <w:t>да</w:t>
      </w:r>
      <w:r w:rsidR="004D1E15" w:rsidRPr="00F6340E">
        <w:rPr>
          <w:szCs w:val="24"/>
        </w:rPr>
        <w:t xml:space="preserve"> </w:t>
      </w:r>
      <w:r w:rsidR="0071360A">
        <w:rPr>
          <w:szCs w:val="24"/>
        </w:rPr>
        <w:t>у</w:t>
      </w:r>
      <w:r w:rsidR="004D1E15" w:rsidRPr="00F6340E">
        <w:rPr>
          <w:szCs w:val="24"/>
        </w:rPr>
        <w:t xml:space="preserve"> </w:t>
      </w:r>
      <w:r w:rsidR="0071360A">
        <w:rPr>
          <w:szCs w:val="24"/>
        </w:rPr>
        <w:t>пр</w:t>
      </w:r>
      <w:r>
        <w:rPr>
          <w:szCs w:val="24"/>
        </w:rPr>
        <w:t>ак</w:t>
      </w:r>
      <w:r w:rsidR="0071360A">
        <w:rPr>
          <w:szCs w:val="24"/>
        </w:rPr>
        <w:t>с</w:t>
      </w:r>
      <w:r>
        <w:rPr>
          <w:szCs w:val="24"/>
        </w:rPr>
        <w:t>и</w:t>
      </w:r>
      <w:r w:rsidR="004D1E15" w:rsidRPr="00F6340E">
        <w:rPr>
          <w:szCs w:val="24"/>
        </w:rPr>
        <w:t xml:space="preserve"> </w:t>
      </w:r>
      <w:r>
        <w:rPr>
          <w:szCs w:val="24"/>
        </w:rPr>
        <w:t>о</w:t>
      </w:r>
      <w:r w:rsidR="0071360A">
        <w:rPr>
          <w:szCs w:val="24"/>
        </w:rPr>
        <w:t>в</w:t>
      </w:r>
      <w:r>
        <w:rPr>
          <w:szCs w:val="24"/>
        </w:rPr>
        <w:t>ај</w:t>
      </w:r>
      <w:r w:rsidR="004D1E15" w:rsidRPr="00F6340E">
        <w:rPr>
          <w:szCs w:val="24"/>
        </w:rPr>
        <w:t xml:space="preserve"> </w:t>
      </w:r>
      <w:r>
        <w:rPr>
          <w:szCs w:val="24"/>
        </w:rPr>
        <w:t>ин</w:t>
      </w:r>
      <w:r w:rsidR="0071360A">
        <w:rPr>
          <w:szCs w:val="24"/>
        </w:rPr>
        <w:t>стру</w:t>
      </w:r>
      <w:r>
        <w:rPr>
          <w:szCs w:val="24"/>
        </w:rPr>
        <w:t>м</w:t>
      </w:r>
      <w:r w:rsidR="00EE6AA2">
        <w:rPr>
          <w:szCs w:val="24"/>
        </w:rPr>
        <w:t>е</w:t>
      </w:r>
      <w:r>
        <w:rPr>
          <w:szCs w:val="24"/>
        </w:rPr>
        <w:t>н</w:t>
      </w:r>
      <w:r w:rsidR="0071360A">
        <w:rPr>
          <w:szCs w:val="24"/>
        </w:rPr>
        <w:t>т</w:t>
      </w:r>
      <w:r w:rsidR="00AE44FC" w:rsidRPr="00F6340E">
        <w:rPr>
          <w:szCs w:val="24"/>
        </w:rPr>
        <w:t xml:space="preserve"> </w:t>
      </w:r>
      <w:r>
        <w:rPr>
          <w:szCs w:val="24"/>
        </w:rPr>
        <w:t>ниј</w:t>
      </w:r>
      <w:r w:rsidR="00EE6AA2">
        <w:rPr>
          <w:szCs w:val="24"/>
        </w:rPr>
        <w:t>е</w:t>
      </w:r>
      <w:r w:rsidR="004D1E15" w:rsidRPr="00F6340E">
        <w:rPr>
          <w:szCs w:val="24"/>
        </w:rPr>
        <w:t xml:space="preserve"> </w:t>
      </w:r>
      <w:r>
        <w:rPr>
          <w:szCs w:val="24"/>
        </w:rPr>
        <w:t>ч</w:t>
      </w:r>
      <w:r w:rsidR="00EE6AA2">
        <w:rPr>
          <w:szCs w:val="24"/>
        </w:rPr>
        <w:t>е</w:t>
      </w:r>
      <w:r w:rsidR="0071360A">
        <w:rPr>
          <w:szCs w:val="24"/>
        </w:rPr>
        <w:t>ст</w:t>
      </w:r>
      <w:r>
        <w:rPr>
          <w:szCs w:val="24"/>
        </w:rPr>
        <w:t>о</w:t>
      </w:r>
      <w:r w:rsidR="004D1E15" w:rsidRPr="00F6340E">
        <w:rPr>
          <w:szCs w:val="24"/>
        </w:rPr>
        <w:t xml:space="preserve"> </w:t>
      </w:r>
      <w:r w:rsidR="0071360A">
        <w:rPr>
          <w:szCs w:val="24"/>
        </w:rPr>
        <w:t>пр</w:t>
      </w:r>
      <w:r>
        <w:rPr>
          <w:szCs w:val="24"/>
        </w:rPr>
        <w:t>имј</w:t>
      </w:r>
      <w:r w:rsidR="00EE6AA2">
        <w:rPr>
          <w:szCs w:val="24"/>
        </w:rPr>
        <w:t>е</w:t>
      </w:r>
      <w:r>
        <w:rPr>
          <w:szCs w:val="24"/>
        </w:rPr>
        <w:t>њи</w:t>
      </w:r>
      <w:r w:rsidR="0071360A">
        <w:rPr>
          <w:szCs w:val="24"/>
        </w:rPr>
        <w:t>в</w:t>
      </w:r>
      <w:r>
        <w:rPr>
          <w:szCs w:val="24"/>
        </w:rPr>
        <w:t>ан</w:t>
      </w:r>
      <w:r w:rsidR="004D1E15" w:rsidRPr="00F6340E">
        <w:rPr>
          <w:szCs w:val="24"/>
        </w:rPr>
        <w:t xml:space="preserve"> </w:t>
      </w:r>
      <w:r w:rsidR="0071360A">
        <w:rPr>
          <w:szCs w:val="24"/>
        </w:rPr>
        <w:t>в</w:t>
      </w:r>
      <w:r w:rsidR="00EE6AA2">
        <w:rPr>
          <w:szCs w:val="24"/>
        </w:rPr>
        <w:t>е</w:t>
      </w:r>
      <w:r>
        <w:rPr>
          <w:szCs w:val="24"/>
        </w:rPr>
        <w:t>ћ</w:t>
      </w:r>
      <w:r w:rsidR="004D1E15" w:rsidRPr="00F6340E">
        <w:rPr>
          <w:szCs w:val="24"/>
        </w:rPr>
        <w:t xml:space="preserve"> </w:t>
      </w:r>
      <w:r w:rsidR="0071360A">
        <w:rPr>
          <w:szCs w:val="24"/>
        </w:rPr>
        <w:t>с</w:t>
      </w:r>
      <w:r w:rsidR="00EE6AA2">
        <w:rPr>
          <w:szCs w:val="24"/>
        </w:rPr>
        <w:t>е</w:t>
      </w:r>
      <w:r w:rsidR="004D1E15" w:rsidRPr="00F6340E">
        <w:rPr>
          <w:szCs w:val="24"/>
        </w:rPr>
        <w:t xml:space="preserve"> (</w:t>
      </w:r>
      <w:r w:rsidR="0071360A">
        <w:rPr>
          <w:szCs w:val="24"/>
        </w:rPr>
        <w:t>с</w:t>
      </w:r>
      <w:r>
        <w:rPr>
          <w:szCs w:val="24"/>
        </w:rPr>
        <w:t>амо</w:t>
      </w:r>
      <w:r w:rsidR="004D1E15" w:rsidRPr="00F6340E">
        <w:rPr>
          <w:szCs w:val="24"/>
        </w:rPr>
        <w:t>)</w:t>
      </w:r>
      <w:r w:rsidR="0071360A">
        <w:rPr>
          <w:szCs w:val="24"/>
        </w:rPr>
        <w:t>вр</w:t>
      </w:r>
      <w:r w:rsidR="00EE6AA2">
        <w:rPr>
          <w:szCs w:val="24"/>
        </w:rPr>
        <w:t>е</w:t>
      </w:r>
      <w:r>
        <w:rPr>
          <w:szCs w:val="24"/>
        </w:rPr>
        <w:t>дно</w:t>
      </w:r>
      <w:r w:rsidR="0071360A">
        <w:rPr>
          <w:szCs w:val="24"/>
        </w:rPr>
        <w:t>в</w:t>
      </w:r>
      <w:r>
        <w:rPr>
          <w:szCs w:val="24"/>
        </w:rPr>
        <w:t>ањ</w:t>
      </w:r>
      <w:r w:rsidR="00EE6AA2">
        <w:rPr>
          <w:szCs w:val="24"/>
        </w:rPr>
        <w:t>е</w:t>
      </w:r>
      <w:r w:rsidR="004D1E15" w:rsidRPr="00F6340E">
        <w:rPr>
          <w:szCs w:val="24"/>
        </w:rPr>
        <w:t xml:space="preserve"> </w:t>
      </w:r>
      <w:r>
        <w:rPr>
          <w:szCs w:val="24"/>
        </w:rPr>
        <w:t>к</w:t>
      </w:r>
      <w:r w:rsidR="0071360A">
        <w:rPr>
          <w:szCs w:val="24"/>
        </w:rPr>
        <w:t>в</w:t>
      </w:r>
      <w:r>
        <w:rPr>
          <w:szCs w:val="24"/>
        </w:rPr>
        <w:t>али</w:t>
      </w:r>
      <w:r w:rsidR="0071360A">
        <w:rPr>
          <w:szCs w:val="24"/>
        </w:rPr>
        <w:t>т</w:t>
      </w:r>
      <w:r w:rsidR="00EE6AA2">
        <w:rPr>
          <w:szCs w:val="24"/>
        </w:rPr>
        <w:t>е</w:t>
      </w:r>
      <w:r w:rsidR="0071360A">
        <w:rPr>
          <w:szCs w:val="24"/>
        </w:rPr>
        <w:t>т</w:t>
      </w:r>
      <w:r w:rsidR="00EE6AA2">
        <w:rPr>
          <w:szCs w:val="24"/>
        </w:rPr>
        <w:t>е</w:t>
      </w:r>
      <w:r w:rsidR="004D1E15" w:rsidRPr="00F6340E">
        <w:rPr>
          <w:szCs w:val="24"/>
        </w:rPr>
        <w:t xml:space="preserve"> </w:t>
      </w:r>
      <w:r w:rsidR="0071360A">
        <w:rPr>
          <w:szCs w:val="24"/>
        </w:rPr>
        <w:t>р</w:t>
      </w:r>
      <w:r>
        <w:rPr>
          <w:szCs w:val="24"/>
        </w:rPr>
        <w:t>ада</w:t>
      </w:r>
      <w:r w:rsidR="004D1E15" w:rsidRPr="00F6340E">
        <w:rPr>
          <w:szCs w:val="24"/>
        </w:rPr>
        <w:t xml:space="preserve"> </w:t>
      </w:r>
      <w:r w:rsidR="0071360A">
        <w:rPr>
          <w:szCs w:val="24"/>
        </w:rPr>
        <w:t>ш</w:t>
      </w:r>
      <w:r>
        <w:rPr>
          <w:szCs w:val="24"/>
        </w:rPr>
        <w:t>кол</w:t>
      </w:r>
      <w:r w:rsidR="00EE6AA2">
        <w:rPr>
          <w:szCs w:val="24"/>
        </w:rPr>
        <w:t>е</w:t>
      </w:r>
      <w:r w:rsidR="004D1E15" w:rsidRPr="00F6340E">
        <w:rPr>
          <w:szCs w:val="24"/>
        </w:rPr>
        <w:t xml:space="preserve"> </w:t>
      </w:r>
      <w:r>
        <w:rPr>
          <w:szCs w:val="24"/>
        </w:rPr>
        <w:t>од</w:t>
      </w:r>
      <w:r w:rsidR="0071360A">
        <w:rPr>
          <w:szCs w:val="24"/>
        </w:rPr>
        <w:t>в</w:t>
      </w:r>
      <w:r>
        <w:rPr>
          <w:szCs w:val="24"/>
        </w:rPr>
        <w:t>ија</w:t>
      </w:r>
      <w:r w:rsidR="004D1E15" w:rsidRPr="00F6340E">
        <w:rPr>
          <w:szCs w:val="24"/>
        </w:rPr>
        <w:t xml:space="preserve"> </w:t>
      </w:r>
      <w:r w:rsidR="0071360A">
        <w:rPr>
          <w:szCs w:val="24"/>
        </w:rPr>
        <w:t>у</w:t>
      </w:r>
      <w:r w:rsidR="00171F00">
        <w:rPr>
          <w:szCs w:val="24"/>
        </w:rPr>
        <w:t>з</w:t>
      </w:r>
      <w:r w:rsidR="004D1E15" w:rsidRPr="00F6340E">
        <w:rPr>
          <w:szCs w:val="24"/>
        </w:rPr>
        <w:t xml:space="preserve"> </w:t>
      </w:r>
      <w:r w:rsidR="0071360A">
        <w:rPr>
          <w:szCs w:val="24"/>
        </w:rPr>
        <w:t>уп</w:t>
      </w:r>
      <w:r>
        <w:rPr>
          <w:szCs w:val="24"/>
        </w:rPr>
        <w:t>о</w:t>
      </w:r>
      <w:r w:rsidR="0071360A">
        <w:rPr>
          <w:szCs w:val="24"/>
        </w:rPr>
        <w:t>тр</w:t>
      </w:r>
      <w:r w:rsidR="00EE6AA2">
        <w:rPr>
          <w:szCs w:val="24"/>
        </w:rPr>
        <w:t>е</w:t>
      </w:r>
      <w:r>
        <w:rPr>
          <w:szCs w:val="24"/>
        </w:rPr>
        <w:t>б</w:t>
      </w:r>
      <w:r w:rsidR="0071360A">
        <w:rPr>
          <w:szCs w:val="24"/>
        </w:rPr>
        <w:t>у</w:t>
      </w:r>
      <w:r w:rsidR="004D1E15" w:rsidRPr="00F6340E">
        <w:rPr>
          <w:szCs w:val="24"/>
        </w:rPr>
        <w:t xml:space="preserve"> </w:t>
      </w:r>
      <w:r>
        <w:rPr>
          <w:szCs w:val="24"/>
        </w:rPr>
        <w:t>ин</w:t>
      </w:r>
      <w:r w:rsidR="0071360A">
        <w:rPr>
          <w:szCs w:val="24"/>
        </w:rPr>
        <w:t>стру</w:t>
      </w:r>
      <w:r>
        <w:rPr>
          <w:szCs w:val="24"/>
        </w:rPr>
        <w:t>м</w:t>
      </w:r>
      <w:r w:rsidR="00EE6AA2">
        <w:rPr>
          <w:szCs w:val="24"/>
        </w:rPr>
        <w:t>е</w:t>
      </w:r>
      <w:r>
        <w:rPr>
          <w:szCs w:val="24"/>
        </w:rPr>
        <w:t>на</w:t>
      </w:r>
      <w:r w:rsidR="0071360A">
        <w:rPr>
          <w:szCs w:val="24"/>
        </w:rPr>
        <w:t>т</w:t>
      </w:r>
      <w:r>
        <w:rPr>
          <w:szCs w:val="24"/>
        </w:rPr>
        <w:t>а</w:t>
      </w:r>
      <w:r w:rsidR="004D1E15" w:rsidRPr="00F6340E">
        <w:rPr>
          <w:szCs w:val="24"/>
        </w:rPr>
        <w:t xml:space="preserve"> </w:t>
      </w:r>
      <w:r w:rsidR="0071360A">
        <w:rPr>
          <w:szCs w:val="24"/>
        </w:rPr>
        <w:t>р</w:t>
      </w:r>
      <w:r>
        <w:rPr>
          <w:szCs w:val="24"/>
        </w:rPr>
        <w:t>а</w:t>
      </w:r>
      <w:r w:rsidR="00171F00">
        <w:rPr>
          <w:szCs w:val="24"/>
        </w:rPr>
        <w:t>з</w:t>
      </w:r>
      <w:r w:rsidR="0071360A">
        <w:rPr>
          <w:szCs w:val="24"/>
        </w:rPr>
        <w:t>в</w:t>
      </w:r>
      <w:r>
        <w:rPr>
          <w:szCs w:val="24"/>
        </w:rPr>
        <w:t>иј</w:t>
      </w:r>
      <w:r w:rsidR="00EE6AA2">
        <w:rPr>
          <w:szCs w:val="24"/>
        </w:rPr>
        <w:t>е</w:t>
      </w:r>
      <w:r>
        <w:rPr>
          <w:szCs w:val="24"/>
        </w:rPr>
        <w:t>них</w:t>
      </w:r>
      <w:r w:rsidR="004D1E15" w:rsidRPr="00F6340E">
        <w:rPr>
          <w:szCs w:val="24"/>
        </w:rPr>
        <w:t xml:space="preserve"> </w:t>
      </w:r>
      <w:r w:rsidR="00171F00">
        <w:rPr>
          <w:szCs w:val="24"/>
        </w:rPr>
        <w:t>з</w:t>
      </w:r>
      <w:r>
        <w:rPr>
          <w:szCs w:val="24"/>
        </w:rPr>
        <w:t>а</w:t>
      </w:r>
      <w:r w:rsidR="0071360A">
        <w:rPr>
          <w:szCs w:val="24"/>
        </w:rPr>
        <w:t>с</w:t>
      </w:r>
      <w:r w:rsidR="00EE6AA2">
        <w:rPr>
          <w:szCs w:val="24"/>
        </w:rPr>
        <w:t>е</w:t>
      </w:r>
      <w:r>
        <w:rPr>
          <w:szCs w:val="24"/>
        </w:rPr>
        <w:t>бно</w:t>
      </w:r>
      <w:r w:rsidR="004D1E15" w:rsidRPr="00F6340E">
        <w:rPr>
          <w:szCs w:val="24"/>
        </w:rPr>
        <w:t xml:space="preserve"> </w:t>
      </w:r>
      <w:r w:rsidR="0071360A">
        <w:rPr>
          <w:szCs w:val="24"/>
        </w:rPr>
        <w:t>у</w:t>
      </w:r>
      <w:r>
        <w:rPr>
          <w:szCs w:val="24"/>
        </w:rPr>
        <w:t>н</w:t>
      </w:r>
      <w:r w:rsidR="0071360A">
        <w:rPr>
          <w:szCs w:val="24"/>
        </w:rPr>
        <w:t>ут</w:t>
      </w:r>
      <w:r>
        <w:rPr>
          <w:szCs w:val="24"/>
        </w:rPr>
        <w:t>а</w:t>
      </w:r>
      <w:r w:rsidR="0071360A">
        <w:rPr>
          <w:szCs w:val="24"/>
        </w:rPr>
        <w:t>р</w:t>
      </w:r>
      <w:r w:rsidR="004D1E15" w:rsidRPr="00F6340E">
        <w:rPr>
          <w:szCs w:val="24"/>
        </w:rPr>
        <w:t xml:space="preserve"> </w:t>
      </w:r>
      <w:r>
        <w:rPr>
          <w:szCs w:val="24"/>
        </w:rPr>
        <w:t>админи</w:t>
      </w:r>
      <w:r w:rsidR="0071360A">
        <w:rPr>
          <w:szCs w:val="24"/>
        </w:rPr>
        <w:t>стр</w:t>
      </w:r>
      <w:r>
        <w:rPr>
          <w:szCs w:val="24"/>
        </w:rPr>
        <w:t>а</w:t>
      </w:r>
      <w:r w:rsidR="0071360A">
        <w:rPr>
          <w:szCs w:val="24"/>
        </w:rPr>
        <w:t>т</w:t>
      </w:r>
      <w:r>
        <w:rPr>
          <w:szCs w:val="24"/>
        </w:rPr>
        <w:t>и</w:t>
      </w:r>
      <w:r w:rsidR="0071360A">
        <w:rPr>
          <w:szCs w:val="24"/>
        </w:rPr>
        <w:t>в</w:t>
      </w:r>
      <w:r>
        <w:rPr>
          <w:szCs w:val="24"/>
        </w:rPr>
        <w:t>них</w:t>
      </w:r>
      <w:r w:rsidR="004D1E15" w:rsidRPr="00F6340E">
        <w:rPr>
          <w:szCs w:val="24"/>
        </w:rPr>
        <w:t xml:space="preserve"> </w:t>
      </w:r>
      <w:r>
        <w:rPr>
          <w:szCs w:val="24"/>
        </w:rPr>
        <w:t>ј</w:t>
      </w:r>
      <w:r w:rsidR="00EE6AA2">
        <w:rPr>
          <w:szCs w:val="24"/>
        </w:rPr>
        <w:t>е</w:t>
      </w:r>
      <w:r>
        <w:rPr>
          <w:szCs w:val="24"/>
        </w:rPr>
        <w:t>диница</w:t>
      </w:r>
      <w:r w:rsidR="004D1E15" w:rsidRPr="00F6340E">
        <w:rPr>
          <w:szCs w:val="24"/>
        </w:rPr>
        <w:t xml:space="preserve">. </w:t>
      </w:r>
    </w:p>
    <w:p w14:paraId="50B5C060" w14:textId="4CC8DEF6" w:rsidR="004D1E15" w:rsidRPr="00F6340E" w:rsidRDefault="0071360A" w:rsidP="008C491A">
      <w:pPr>
        <w:pStyle w:val="Body"/>
        <w:rPr>
          <w:szCs w:val="24"/>
        </w:rPr>
      </w:pPr>
      <w:r>
        <w:rPr>
          <w:szCs w:val="24"/>
        </w:rPr>
        <w:t>С</w:t>
      </w:r>
      <w:r w:rsidR="00A56E08">
        <w:rPr>
          <w:szCs w:val="24"/>
        </w:rPr>
        <w:t>лична</w:t>
      </w:r>
      <w:r w:rsidR="004D1E15" w:rsidRPr="00F6340E">
        <w:rPr>
          <w:szCs w:val="24"/>
        </w:rPr>
        <w:t xml:space="preserve"> </w:t>
      </w:r>
      <w:r>
        <w:rPr>
          <w:szCs w:val="24"/>
        </w:rPr>
        <w:t>пр</w:t>
      </w:r>
      <w:r w:rsidR="00A56E08">
        <w:rPr>
          <w:szCs w:val="24"/>
        </w:rPr>
        <w:t>ак</w:t>
      </w:r>
      <w:r>
        <w:rPr>
          <w:szCs w:val="24"/>
        </w:rPr>
        <w:t>с</w:t>
      </w:r>
      <w:r w:rsidR="00A56E08">
        <w:rPr>
          <w:szCs w:val="24"/>
        </w:rPr>
        <w:t>а</w:t>
      </w:r>
      <w:r w:rsidR="004D1E15" w:rsidRPr="00F6340E">
        <w:rPr>
          <w:szCs w:val="24"/>
        </w:rPr>
        <w:t xml:space="preserve"> </w:t>
      </w:r>
      <w:r>
        <w:rPr>
          <w:szCs w:val="24"/>
        </w:rPr>
        <w:t>пр</w:t>
      </w:r>
      <w:r w:rsidR="00A56E08">
        <w:rPr>
          <w:szCs w:val="24"/>
        </w:rPr>
        <w:t>и</w:t>
      </w:r>
      <w:r>
        <w:rPr>
          <w:szCs w:val="24"/>
        </w:rPr>
        <w:t>сут</w:t>
      </w:r>
      <w:r w:rsidR="00A56E08">
        <w:rPr>
          <w:szCs w:val="24"/>
        </w:rPr>
        <w:t>на</w:t>
      </w:r>
      <w:r w:rsidR="004D1E15" w:rsidRPr="00F6340E">
        <w:rPr>
          <w:szCs w:val="24"/>
        </w:rPr>
        <w:t xml:space="preserve"> </w:t>
      </w:r>
      <w:r w:rsidR="00A56E08">
        <w:rPr>
          <w:szCs w:val="24"/>
        </w:rPr>
        <w:t>ј</w:t>
      </w:r>
      <w:r w:rsidR="00EE6AA2">
        <w:rPr>
          <w:szCs w:val="24"/>
        </w:rPr>
        <w:t>е</w:t>
      </w:r>
      <w:r w:rsidR="004D1E15" w:rsidRPr="00F6340E">
        <w:rPr>
          <w:szCs w:val="24"/>
        </w:rPr>
        <w:t xml:space="preserve"> </w:t>
      </w:r>
      <w:r w:rsidR="00A56E08">
        <w:rPr>
          <w:szCs w:val="24"/>
        </w:rPr>
        <w:t>и</w:t>
      </w:r>
      <w:r w:rsidR="004D1E15" w:rsidRPr="00F6340E">
        <w:rPr>
          <w:szCs w:val="24"/>
        </w:rPr>
        <w:t xml:space="preserve"> </w:t>
      </w:r>
      <w:r>
        <w:rPr>
          <w:szCs w:val="24"/>
        </w:rPr>
        <w:t>п</w:t>
      </w:r>
      <w:r w:rsidR="00A56E08">
        <w:rPr>
          <w:szCs w:val="24"/>
        </w:rPr>
        <w:t>од</w:t>
      </w:r>
      <w:r>
        <w:rPr>
          <w:szCs w:val="24"/>
        </w:rPr>
        <w:t>ру</w:t>
      </w:r>
      <w:r w:rsidR="00A56E08">
        <w:rPr>
          <w:szCs w:val="24"/>
        </w:rPr>
        <w:t>чј</w:t>
      </w:r>
      <w:r>
        <w:rPr>
          <w:szCs w:val="24"/>
        </w:rPr>
        <w:t>у</w:t>
      </w:r>
      <w:r w:rsidR="004D1E15" w:rsidRPr="00F6340E">
        <w:rPr>
          <w:szCs w:val="24"/>
        </w:rPr>
        <w:t xml:space="preserve"> </w:t>
      </w:r>
      <w:r>
        <w:rPr>
          <w:szCs w:val="24"/>
        </w:rPr>
        <w:t>вр</w:t>
      </w:r>
      <w:r w:rsidR="00EE6AA2">
        <w:rPr>
          <w:szCs w:val="24"/>
        </w:rPr>
        <w:t>е</w:t>
      </w:r>
      <w:r w:rsidR="00A56E08">
        <w:rPr>
          <w:szCs w:val="24"/>
        </w:rPr>
        <w:t>дно</w:t>
      </w:r>
      <w:r>
        <w:rPr>
          <w:szCs w:val="24"/>
        </w:rPr>
        <w:t>в</w:t>
      </w:r>
      <w:r w:rsidR="00A56E08">
        <w:rPr>
          <w:szCs w:val="24"/>
        </w:rPr>
        <w:t>ања</w:t>
      </w:r>
      <w:r w:rsidR="004D1E15" w:rsidRPr="00F6340E">
        <w:rPr>
          <w:szCs w:val="24"/>
        </w:rPr>
        <w:t xml:space="preserve"> </w:t>
      </w:r>
      <w:r w:rsidR="00A56E08">
        <w:rPr>
          <w:szCs w:val="24"/>
        </w:rPr>
        <w:t>к</w:t>
      </w:r>
      <w:r>
        <w:rPr>
          <w:szCs w:val="24"/>
        </w:rPr>
        <w:t>в</w:t>
      </w:r>
      <w:r w:rsidR="00A56E08">
        <w:rPr>
          <w:szCs w:val="24"/>
        </w:rPr>
        <w:t>али</w:t>
      </w:r>
      <w:r>
        <w:rPr>
          <w:szCs w:val="24"/>
        </w:rPr>
        <w:t>т</w:t>
      </w:r>
      <w:r w:rsidR="00EE6AA2">
        <w:rPr>
          <w:szCs w:val="24"/>
        </w:rPr>
        <w:t>е</w:t>
      </w:r>
      <w:r>
        <w:rPr>
          <w:szCs w:val="24"/>
        </w:rPr>
        <w:t>т</w:t>
      </w:r>
      <w:r w:rsidR="00EE6AA2">
        <w:rPr>
          <w:szCs w:val="24"/>
        </w:rPr>
        <w:t>е</w:t>
      </w:r>
      <w:r w:rsidR="004D1E15" w:rsidRPr="00F6340E">
        <w:rPr>
          <w:szCs w:val="24"/>
        </w:rPr>
        <w:t xml:space="preserve"> </w:t>
      </w:r>
      <w:r>
        <w:rPr>
          <w:szCs w:val="24"/>
        </w:rPr>
        <w:t>р</w:t>
      </w:r>
      <w:r w:rsidR="00A56E08">
        <w:rPr>
          <w:szCs w:val="24"/>
        </w:rPr>
        <w:t>ада</w:t>
      </w:r>
      <w:r w:rsidR="004D1E15" w:rsidRPr="00F6340E">
        <w:rPr>
          <w:szCs w:val="24"/>
        </w:rPr>
        <w:t xml:space="preserve"> </w:t>
      </w:r>
      <w:r>
        <w:rPr>
          <w:szCs w:val="24"/>
        </w:rPr>
        <w:t>у</w:t>
      </w:r>
      <w:r w:rsidR="004D1E15" w:rsidRPr="00F6340E">
        <w:rPr>
          <w:szCs w:val="24"/>
        </w:rPr>
        <w:t xml:space="preserve"> </w:t>
      </w:r>
      <w:r>
        <w:rPr>
          <w:szCs w:val="24"/>
        </w:rPr>
        <w:t>ср</w:t>
      </w:r>
      <w:r w:rsidR="00EE6AA2">
        <w:rPr>
          <w:szCs w:val="24"/>
        </w:rPr>
        <w:t>е</w:t>
      </w:r>
      <w:r w:rsidR="00A56E08">
        <w:rPr>
          <w:szCs w:val="24"/>
        </w:rPr>
        <w:t>дњим</w:t>
      </w:r>
      <w:r w:rsidR="004D1E15" w:rsidRPr="00F6340E">
        <w:rPr>
          <w:szCs w:val="24"/>
        </w:rPr>
        <w:t xml:space="preserve"> </w:t>
      </w:r>
      <w:r>
        <w:rPr>
          <w:szCs w:val="24"/>
        </w:rPr>
        <w:t>ш</w:t>
      </w:r>
      <w:r w:rsidR="00A56E08">
        <w:rPr>
          <w:szCs w:val="24"/>
        </w:rPr>
        <w:t>колама</w:t>
      </w:r>
      <w:r w:rsidR="004D1E15" w:rsidRPr="00F6340E">
        <w:rPr>
          <w:szCs w:val="24"/>
        </w:rPr>
        <w:t xml:space="preserve">, </w:t>
      </w:r>
      <w:r w:rsidR="00A56E08">
        <w:rPr>
          <w:szCs w:val="24"/>
        </w:rPr>
        <w:t>иако</w:t>
      </w:r>
      <w:r w:rsidR="004D1E15" w:rsidRPr="00F6340E">
        <w:rPr>
          <w:szCs w:val="24"/>
        </w:rPr>
        <w:t xml:space="preserve"> </w:t>
      </w:r>
      <w:r>
        <w:rPr>
          <w:szCs w:val="24"/>
        </w:rPr>
        <w:t>у</w:t>
      </w:r>
      <w:r w:rsidR="004D1E15" w:rsidRPr="00F6340E">
        <w:rPr>
          <w:szCs w:val="24"/>
        </w:rPr>
        <w:t xml:space="preserve"> </w:t>
      </w:r>
      <w:r w:rsidR="00A56E08">
        <w:rPr>
          <w:szCs w:val="24"/>
        </w:rPr>
        <w:t>о</w:t>
      </w:r>
      <w:r>
        <w:rPr>
          <w:szCs w:val="24"/>
        </w:rPr>
        <w:t>в</w:t>
      </w:r>
      <w:r w:rsidR="00A56E08">
        <w:rPr>
          <w:szCs w:val="24"/>
        </w:rPr>
        <w:t>ом</w:t>
      </w:r>
      <w:r w:rsidR="004D1E15" w:rsidRPr="00F6340E">
        <w:rPr>
          <w:szCs w:val="24"/>
        </w:rPr>
        <w:t xml:space="preserve"> </w:t>
      </w:r>
      <w:r>
        <w:rPr>
          <w:szCs w:val="24"/>
        </w:rPr>
        <w:t>с</w:t>
      </w:r>
      <w:r w:rsidR="00A56E08">
        <w:rPr>
          <w:szCs w:val="24"/>
        </w:rPr>
        <w:t>л</w:t>
      </w:r>
      <w:r>
        <w:rPr>
          <w:szCs w:val="24"/>
        </w:rPr>
        <w:t>у</w:t>
      </w:r>
      <w:r w:rsidR="00A56E08">
        <w:rPr>
          <w:szCs w:val="24"/>
        </w:rPr>
        <w:t>чај</w:t>
      </w:r>
      <w:r>
        <w:rPr>
          <w:szCs w:val="24"/>
        </w:rPr>
        <w:t>у</w:t>
      </w:r>
      <w:r w:rsidR="004D1E15" w:rsidRPr="00F6340E">
        <w:rPr>
          <w:szCs w:val="24"/>
        </w:rPr>
        <w:t xml:space="preserve"> </w:t>
      </w:r>
      <w:r w:rsidR="00A56E08">
        <w:rPr>
          <w:szCs w:val="24"/>
        </w:rPr>
        <w:t>ни</w:t>
      </w:r>
      <w:r w:rsidR="004D1E15" w:rsidRPr="00F6340E">
        <w:rPr>
          <w:szCs w:val="24"/>
        </w:rPr>
        <w:t xml:space="preserve"> </w:t>
      </w:r>
      <w:r w:rsidR="00A56E08">
        <w:rPr>
          <w:szCs w:val="24"/>
        </w:rPr>
        <w:t>н</w:t>
      </w:r>
      <w:r w:rsidR="00EE6AA2">
        <w:rPr>
          <w:szCs w:val="24"/>
        </w:rPr>
        <w:t>е</w:t>
      </w:r>
      <w:r w:rsidR="004D1E15" w:rsidRPr="00F6340E">
        <w:rPr>
          <w:szCs w:val="24"/>
        </w:rPr>
        <w:t xml:space="preserve"> </w:t>
      </w:r>
      <w:r>
        <w:rPr>
          <w:szCs w:val="24"/>
        </w:rPr>
        <w:t>п</w:t>
      </w:r>
      <w:r w:rsidR="00A56E08">
        <w:rPr>
          <w:szCs w:val="24"/>
        </w:rPr>
        <w:t>о</w:t>
      </w:r>
      <w:r>
        <w:rPr>
          <w:szCs w:val="24"/>
        </w:rPr>
        <w:t>ст</w:t>
      </w:r>
      <w:r w:rsidR="00A56E08">
        <w:rPr>
          <w:szCs w:val="24"/>
        </w:rPr>
        <w:t>оји</w:t>
      </w:r>
      <w:r w:rsidR="004D1E15" w:rsidRPr="00F6340E">
        <w:rPr>
          <w:szCs w:val="24"/>
        </w:rPr>
        <w:t xml:space="preserve"> </w:t>
      </w:r>
      <w:r w:rsidR="00A56E08">
        <w:rPr>
          <w:szCs w:val="24"/>
        </w:rPr>
        <w:t>ин</w:t>
      </w:r>
      <w:r>
        <w:rPr>
          <w:szCs w:val="24"/>
        </w:rPr>
        <w:t>стру</w:t>
      </w:r>
      <w:r w:rsidR="00A56E08">
        <w:rPr>
          <w:szCs w:val="24"/>
        </w:rPr>
        <w:t>м</w:t>
      </w:r>
      <w:r w:rsidR="00EE6AA2">
        <w:rPr>
          <w:szCs w:val="24"/>
        </w:rPr>
        <w:t>е</w:t>
      </w:r>
      <w:r w:rsidR="00A56E08">
        <w:rPr>
          <w:szCs w:val="24"/>
        </w:rPr>
        <w:t>н</w:t>
      </w:r>
      <w:r>
        <w:rPr>
          <w:szCs w:val="24"/>
        </w:rPr>
        <w:t>т</w:t>
      </w:r>
      <w:r w:rsidR="004D1E15" w:rsidRPr="00F6340E">
        <w:rPr>
          <w:szCs w:val="24"/>
        </w:rPr>
        <w:t xml:space="preserve"> </w:t>
      </w:r>
      <w:r>
        <w:rPr>
          <w:szCs w:val="24"/>
        </w:rPr>
        <w:t>р</w:t>
      </w:r>
      <w:r w:rsidR="00A56E08">
        <w:rPr>
          <w:szCs w:val="24"/>
        </w:rPr>
        <w:t>а</w:t>
      </w:r>
      <w:r w:rsidR="00171F00">
        <w:rPr>
          <w:szCs w:val="24"/>
        </w:rPr>
        <w:t>з</w:t>
      </w:r>
      <w:r>
        <w:rPr>
          <w:szCs w:val="24"/>
        </w:rPr>
        <w:t>в</w:t>
      </w:r>
      <w:r w:rsidR="00A56E08">
        <w:rPr>
          <w:szCs w:val="24"/>
        </w:rPr>
        <w:t>иј</w:t>
      </w:r>
      <w:r w:rsidR="00EE6AA2">
        <w:rPr>
          <w:szCs w:val="24"/>
        </w:rPr>
        <w:t>е</w:t>
      </w:r>
      <w:r w:rsidR="00A56E08">
        <w:rPr>
          <w:szCs w:val="24"/>
        </w:rPr>
        <w:t>н</w:t>
      </w:r>
      <w:r w:rsidR="004D1E15" w:rsidRPr="00F6340E">
        <w:rPr>
          <w:szCs w:val="24"/>
        </w:rPr>
        <w:t xml:space="preserve"> </w:t>
      </w:r>
      <w:r w:rsidR="00A56E08">
        <w:rPr>
          <w:szCs w:val="24"/>
        </w:rPr>
        <w:t>од</w:t>
      </w:r>
      <w:r w:rsidR="004D1E15" w:rsidRPr="00F6340E">
        <w:rPr>
          <w:szCs w:val="24"/>
        </w:rPr>
        <w:t xml:space="preserve"> </w:t>
      </w:r>
      <w:r>
        <w:rPr>
          <w:szCs w:val="24"/>
        </w:rPr>
        <w:t>стр</w:t>
      </w:r>
      <w:r w:rsidR="00A56E08">
        <w:rPr>
          <w:szCs w:val="24"/>
        </w:rPr>
        <w:t>ан</w:t>
      </w:r>
      <w:r w:rsidR="00EE6AA2">
        <w:rPr>
          <w:szCs w:val="24"/>
        </w:rPr>
        <w:t>е</w:t>
      </w:r>
      <w:r w:rsidR="004D1E15" w:rsidRPr="00F6340E">
        <w:rPr>
          <w:szCs w:val="24"/>
        </w:rPr>
        <w:t xml:space="preserve"> </w:t>
      </w:r>
      <w:r w:rsidR="00A56E08">
        <w:rPr>
          <w:szCs w:val="24"/>
        </w:rPr>
        <w:t>Аг</w:t>
      </w:r>
      <w:r w:rsidR="00EE6AA2">
        <w:rPr>
          <w:szCs w:val="24"/>
        </w:rPr>
        <w:t>е</w:t>
      </w:r>
      <w:r w:rsidR="00A56E08">
        <w:rPr>
          <w:szCs w:val="24"/>
        </w:rPr>
        <w:t>нциј</w:t>
      </w:r>
      <w:r w:rsidR="00EE6AA2">
        <w:rPr>
          <w:szCs w:val="24"/>
        </w:rPr>
        <w:t>е</w:t>
      </w:r>
      <w:r w:rsidR="004D1E15" w:rsidRPr="00F6340E">
        <w:rPr>
          <w:szCs w:val="24"/>
        </w:rPr>
        <w:t xml:space="preserve">. </w:t>
      </w:r>
      <w:r>
        <w:rPr>
          <w:szCs w:val="24"/>
        </w:rPr>
        <w:t>Ув</w:t>
      </w:r>
      <w:r w:rsidR="00A56E08">
        <w:rPr>
          <w:szCs w:val="24"/>
        </w:rPr>
        <w:t>идом</w:t>
      </w:r>
      <w:r w:rsidR="004D1E15" w:rsidRPr="00F6340E">
        <w:rPr>
          <w:szCs w:val="24"/>
        </w:rPr>
        <w:t xml:space="preserve"> </w:t>
      </w:r>
      <w:r>
        <w:rPr>
          <w:szCs w:val="24"/>
        </w:rPr>
        <w:t>у</w:t>
      </w:r>
      <w:r w:rsidR="004D1E15" w:rsidRPr="00F6340E">
        <w:rPr>
          <w:szCs w:val="24"/>
        </w:rPr>
        <w:t xml:space="preserve"> </w:t>
      </w:r>
      <w:r>
        <w:rPr>
          <w:szCs w:val="24"/>
        </w:rPr>
        <w:t>п</w:t>
      </w:r>
      <w:r w:rsidR="00A56E08">
        <w:rPr>
          <w:szCs w:val="24"/>
        </w:rPr>
        <w:t>о</w:t>
      </w:r>
      <w:r>
        <w:rPr>
          <w:szCs w:val="24"/>
        </w:rPr>
        <w:t>ст</w:t>
      </w:r>
      <w:r w:rsidR="00A56E08">
        <w:rPr>
          <w:szCs w:val="24"/>
        </w:rPr>
        <w:t>ој</w:t>
      </w:r>
      <w:r w:rsidR="00EE6AA2">
        <w:rPr>
          <w:szCs w:val="24"/>
        </w:rPr>
        <w:t>е</w:t>
      </w:r>
      <w:r w:rsidR="00A56E08">
        <w:rPr>
          <w:szCs w:val="24"/>
        </w:rPr>
        <w:t>ћ</w:t>
      </w:r>
      <w:r w:rsidR="00EE6AA2">
        <w:rPr>
          <w:szCs w:val="24"/>
        </w:rPr>
        <w:t>е</w:t>
      </w:r>
      <w:r w:rsidR="004D1E15" w:rsidRPr="00F6340E">
        <w:rPr>
          <w:szCs w:val="24"/>
        </w:rPr>
        <w:t xml:space="preserve"> </w:t>
      </w:r>
      <w:r w:rsidR="00A56E08">
        <w:rPr>
          <w:szCs w:val="24"/>
        </w:rPr>
        <w:t>и</w:t>
      </w:r>
      <w:r w:rsidR="00171F00">
        <w:rPr>
          <w:szCs w:val="24"/>
        </w:rPr>
        <w:t>з</w:t>
      </w:r>
      <w:r>
        <w:rPr>
          <w:szCs w:val="24"/>
        </w:rPr>
        <w:t>в</w:t>
      </w:r>
      <w:r w:rsidR="00A56E08">
        <w:rPr>
          <w:szCs w:val="24"/>
        </w:rPr>
        <w:t>ј</w:t>
      </w:r>
      <w:r w:rsidR="00EE6AA2">
        <w:rPr>
          <w:szCs w:val="24"/>
        </w:rPr>
        <w:t>е</w:t>
      </w:r>
      <w:r>
        <w:rPr>
          <w:szCs w:val="24"/>
        </w:rPr>
        <w:t>шт</w:t>
      </w:r>
      <w:r w:rsidR="00A56E08">
        <w:rPr>
          <w:szCs w:val="24"/>
        </w:rPr>
        <w:t>ај</w:t>
      </w:r>
      <w:r w:rsidR="00EE6AA2">
        <w:rPr>
          <w:szCs w:val="24"/>
        </w:rPr>
        <w:t>е</w:t>
      </w:r>
      <w:r w:rsidR="004D1E15" w:rsidRPr="00F6340E">
        <w:rPr>
          <w:szCs w:val="24"/>
        </w:rPr>
        <w:t xml:space="preserve"> </w:t>
      </w:r>
      <w:r w:rsidR="00A56E08">
        <w:rPr>
          <w:szCs w:val="24"/>
        </w:rPr>
        <w:t>о</w:t>
      </w:r>
      <w:r w:rsidR="004D1E15" w:rsidRPr="00F6340E">
        <w:rPr>
          <w:szCs w:val="24"/>
        </w:rPr>
        <w:t xml:space="preserve"> (</w:t>
      </w:r>
      <w:r>
        <w:rPr>
          <w:szCs w:val="24"/>
        </w:rPr>
        <w:t>с</w:t>
      </w:r>
      <w:r w:rsidR="00A56E08">
        <w:rPr>
          <w:szCs w:val="24"/>
        </w:rPr>
        <w:t>амо</w:t>
      </w:r>
      <w:r w:rsidR="004D1E15" w:rsidRPr="00F6340E">
        <w:rPr>
          <w:szCs w:val="24"/>
        </w:rPr>
        <w:t>)</w:t>
      </w:r>
      <w:r>
        <w:rPr>
          <w:szCs w:val="24"/>
        </w:rPr>
        <w:t>вр</w:t>
      </w:r>
      <w:r w:rsidR="00EE6AA2">
        <w:rPr>
          <w:szCs w:val="24"/>
        </w:rPr>
        <w:t>е</w:t>
      </w:r>
      <w:r w:rsidR="00A56E08">
        <w:rPr>
          <w:szCs w:val="24"/>
        </w:rPr>
        <w:t>дно</w:t>
      </w:r>
      <w:r>
        <w:rPr>
          <w:szCs w:val="24"/>
        </w:rPr>
        <w:t>в</w:t>
      </w:r>
      <w:r w:rsidR="00A56E08">
        <w:rPr>
          <w:szCs w:val="24"/>
        </w:rPr>
        <w:t>ањ</w:t>
      </w:r>
      <w:r>
        <w:rPr>
          <w:szCs w:val="24"/>
        </w:rPr>
        <w:t>у</w:t>
      </w:r>
      <w:r w:rsidR="004D1E15" w:rsidRPr="00F6340E">
        <w:rPr>
          <w:szCs w:val="24"/>
        </w:rPr>
        <w:t xml:space="preserve"> </w:t>
      </w:r>
      <w:r>
        <w:rPr>
          <w:szCs w:val="24"/>
        </w:rPr>
        <w:t>р</w:t>
      </w:r>
      <w:r w:rsidR="00A56E08">
        <w:rPr>
          <w:szCs w:val="24"/>
        </w:rPr>
        <w:t>ада</w:t>
      </w:r>
      <w:r w:rsidR="004D1E15" w:rsidRPr="00F6340E">
        <w:rPr>
          <w:szCs w:val="24"/>
        </w:rPr>
        <w:t xml:space="preserve"> </w:t>
      </w:r>
      <w:r>
        <w:rPr>
          <w:szCs w:val="24"/>
        </w:rPr>
        <w:t>ш</w:t>
      </w:r>
      <w:r w:rsidR="00A56E08">
        <w:rPr>
          <w:szCs w:val="24"/>
        </w:rPr>
        <w:t>кол</w:t>
      </w:r>
      <w:r w:rsidR="00EE6AA2">
        <w:rPr>
          <w:szCs w:val="24"/>
        </w:rPr>
        <w:t>е</w:t>
      </w:r>
      <w:r w:rsidR="004D1E15" w:rsidRPr="00F6340E">
        <w:rPr>
          <w:szCs w:val="24"/>
        </w:rPr>
        <w:t xml:space="preserve"> </w:t>
      </w:r>
      <w:r w:rsidR="00A56E08">
        <w:rPr>
          <w:szCs w:val="24"/>
        </w:rPr>
        <w:t>на</w:t>
      </w:r>
      <w:r w:rsidR="004D1E15" w:rsidRPr="00F6340E">
        <w:rPr>
          <w:szCs w:val="24"/>
        </w:rPr>
        <w:t xml:space="preserve"> </w:t>
      </w:r>
      <w:r w:rsidR="00A56E08">
        <w:rPr>
          <w:szCs w:val="24"/>
        </w:rPr>
        <w:t>фо</w:t>
      </w:r>
      <w:r>
        <w:rPr>
          <w:szCs w:val="24"/>
        </w:rPr>
        <w:t>р</w:t>
      </w:r>
      <w:r w:rsidR="00A56E08">
        <w:rPr>
          <w:szCs w:val="24"/>
        </w:rPr>
        <w:t>малним</w:t>
      </w:r>
      <w:r w:rsidR="004D1E15" w:rsidRPr="00F6340E">
        <w:rPr>
          <w:szCs w:val="24"/>
        </w:rPr>
        <w:t xml:space="preserve"> </w:t>
      </w:r>
      <w:r>
        <w:rPr>
          <w:szCs w:val="24"/>
        </w:rPr>
        <w:t>стр</w:t>
      </w:r>
      <w:r w:rsidR="00A56E08">
        <w:rPr>
          <w:szCs w:val="24"/>
        </w:rPr>
        <w:t>аницама</w:t>
      </w:r>
      <w:r w:rsidR="004D1E15" w:rsidRPr="00F6340E">
        <w:rPr>
          <w:szCs w:val="24"/>
        </w:rPr>
        <w:t xml:space="preserve"> </w:t>
      </w:r>
      <w:r>
        <w:rPr>
          <w:szCs w:val="24"/>
        </w:rPr>
        <w:t>р</w:t>
      </w:r>
      <w:r w:rsidR="00EE6AA2">
        <w:rPr>
          <w:szCs w:val="24"/>
        </w:rPr>
        <w:t>е</w:t>
      </w:r>
      <w:r>
        <w:rPr>
          <w:szCs w:val="24"/>
        </w:rPr>
        <w:t>с</w:t>
      </w:r>
      <w:r w:rsidR="00A56E08">
        <w:rPr>
          <w:szCs w:val="24"/>
        </w:rPr>
        <w:t>о</w:t>
      </w:r>
      <w:r>
        <w:rPr>
          <w:szCs w:val="24"/>
        </w:rPr>
        <w:t>р</w:t>
      </w:r>
      <w:r w:rsidR="00A56E08">
        <w:rPr>
          <w:szCs w:val="24"/>
        </w:rPr>
        <w:t>них</w:t>
      </w:r>
      <w:r w:rsidR="004D1E15" w:rsidRPr="00F6340E">
        <w:rPr>
          <w:szCs w:val="24"/>
        </w:rPr>
        <w:t xml:space="preserve"> </w:t>
      </w:r>
      <w:r w:rsidR="00A56E08">
        <w:rPr>
          <w:szCs w:val="24"/>
        </w:rPr>
        <w:t>мини</w:t>
      </w:r>
      <w:r>
        <w:rPr>
          <w:szCs w:val="24"/>
        </w:rPr>
        <w:t>ст</w:t>
      </w:r>
      <w:r w:rsidR="00A56E08">
        <w:rPr>
          <w:szCs w:val="24"/>
        </w:rPr>
        <w:t>а</w:t>
      </w:r>
      <w:r>
        <w:rPr>
          <w:szCs w:val="24"/>
        </w:rPr>
        <w:t>рст</w:t>
      </w:r>
      <w:r w:rsidR="00A56E08">
        <w:rPr>
          <w:szCs w:val="24"/>
        </w:rPr>
        <w:t>а</w:t>
      </w:r>
      <w:r>
        <w:rPr>
          <w:szCs w:val="24"/>
        </w:rPr>
        <w:t>в</w:t>
      </w:r>
      <w:r w:rsidR="00A56E08">
        <w:rPr>
          <w:szCs w:val="24"/>
        </w:rPr>
        <w:t>а</w:t>
      </w:r>
      <w:r w:rsidR="004D1E15" w:rsidRPr="00F6340E">
        <w:rPr>
          <w:szCs w:val="24"/>
        </w:rPr>
        <w:t xml:space="preserve">, </w:t>
      </w:r>
      <w:r>
        <w:rPr>
          <w:szCs w:val="24"/>
        </w:rPr>
        <w:t>пр</w:t>
      </w:r>
      <w:r w:rsidR="00A56E08">
        <w:rPr>
          <w:szCs w:val="24"/>
        </w:rPr>
        <w:t>имј</w:t>
      </w:r>
      <w:r w:rsidR="00EE6AA2">
        <w:rPr>
          <w:szCs w:val="24"/>
        </w:rPr>
        <w:t>е</w:t>
      </w:r>
      <w:r>
        <w:rPr>
          <w:szCs w:val="24"/>
        </w:rPr>
        <w:t>т</w:t>
      </w:r>
      <w:r w:rsidR="00A56E08">
        <w:rPr>
          <w:szCs w:val="24"/>
        </w:rPr>
        <w:t>но</w:t>
      </w:r>
      <w:r w:rsidR="004D1E15" w:rsidRPr="00F6340E">
        <w:rPr>
          <w:szCs w:val="24"/>
        </w:rPr>
        <w:t xml:space="preserve"> </w:t>
      </w:r>
      <w:r w:rsidR="00A56E08">
        <w:rPr>
          <w:szCs w:val="24"/>
        </w:rPr>
        <w:t>ј</w:t>
      </w:r>
      <w:r w:rsidR="00EE6AA2">
        <w:rPr>
          <w:szCs w:val="24"/>
        </w:rPr>
        <w:t>е</w:t>
      </w:r>
      <w:r w:rsidR="004D1E15" w:rsidRPr="00F6340E">
        <w:rPr>
          <w:szCs w:val="24"/>
        </w:rPr>
        <w:t xml:space="preserve"> </w:t>
      </w:r>
      <w:r w:rsidR="00A56E08">
        <w:rPr>
          <w:szCs w:val="24"/>
        </w:rPr>
        <w:t>да</w:t>
      </w:r>
      <w:r w:rsidR="004D1E15" w:rsidRPr="00F6340E">
        <w:rPr>
          <w:szCs w:val="24"/>
        </w:rPr>
        <w:t xml:space="preserve"> </w:t>
      </w:r>
      <w:r>
        <w:rPr>
          <w:szCs w:val="24"/>
        </w:rPr>
        <w:t>с</w:t>
      </w:r>
      <w:r w:rsidR="00EE6AA2">
        <w:rPr>
          <w:szCs w:val="24"/>
        </w:rPr>
        <w:t>е</w:t>
      </w:r>
      <w:r w:rsidR="004D1E15" w:rsidRPr="00F6340E">
        <w:rPr>
          <w:szCs w:val="24"/>
        </w:rPr>
        <w:t xml:space="preserve"> </w:t>
      </w:r>
      <w:r w:rsidR="00A56E08">
        <w:rPr>
          <w:szCs w:val="24"/>
        </w:rPr>
        <w:t>оно</w:t>
      </w:r>
      <w:r w:rsidR="004D1E15" w:rsidRPr="00F6340E">
        <w:rPr>
          <w:szCs w:val="24"/>
        </w:rPr>
        <w:t xml:space="preserve"> </w:t>
      </w:r>
      <w:r>
        <w:rPr>
          <w:szCs w:val="24"/>
        </w:rPr>
        <w:t>р</w:t>
      </w:r>
      <w:r w:rsidR="00EE6AA2">
        <w:rPr>
          <w:szCs w:val="24"/>
        </w:rPr>
        <w:t>е</w:t>
      </w:r>
      <w:r w:rsidR="00A56E08">
        <w:rPr>
          <w:szCs w:val="24"/>
        </w:rPr>
        <w:t>али</w:t>
      </w:r>
      <w:r w:rsidR="00171F00">
        <w:rPr>
          <w:szCs w:val="24"/>
        </w:rPr>
        <w:t>з</w:t>
      </w:r>
      <w:r>
        <w:rPr>
          <w:szCs w:val="24"/>
        </w:rPr>
        <w:t>у</w:t>
      </w:r>
      <w:r w:rsidR="00A56E08">
        <w:rPr>
          <w:szCs w:val="24"/>
        </w:rPr>
        <w:t>ј</w:t>
      </w:r>
      <w:r w:rsidR="00EE6AA2">
        <w:rPr>
          <w:szCs w:val="24"/>
        </w:rPr>
        <w:t>е</w:t>
      </w:r>
      <w:r w:rsidR="004D1E15" w:rsidRPr="00F6340E">
        <w:rPr>
          <w:szCs w:val="24"/>
        </w:rPr>
        <w:t xml:space="preserve"> </w:t>
      </w:r>
      <w:r w:rsidR="00A56E08">
        <w:rPr>
          <w:szCs w:val="24"/>
        </w:rPr>
        <w:t>кон</w:t>
      </w:r>
      <w:r>
        <w:rPr>
          <w:szCs w:val="24"/>
        </w:rPr>
        <w:t>т</w:t>
      </w:r>
      <w:r w:rsidR="00A56E08">
        <w:rPr>
          <w:szCs w:val="24"/>
        </w:rPr>
        <w:t>ин</w:t>
      </w:r>
      <w:r>
        <w:rPr>
          <w:szCs w:val="24"/>
        </w:rPr>
        <w:t>у</w:t>
      </w:r>
      <w:r w:rsidR="00A56E08">
        <w:rPr>
          <w:szCs w:val="24"/>
        </w:rPr>
        <w:t>ално</w:t>
      </w:r>
      <w:r w:rsidR="004D1E15" w:rsidRPr="00F6340E">
        <w:rPr>
          <w:szCs w:val="24"/>
        </w:rPr>
        <w:t xml:space="preserve"> </w:t>
      </w:r>
      <w:r>
        <w:rPr>
          <w:szCs w:val="24"/>
        </w:rPr>
        <w:t>у</w:t>
      </w:r>
      <w:r w:rsidR="00171F00">
        <w:rPr>
          <w:szCs w:val="24"/>
        </w:rPr>
        <w:t>з</w:t>
      </w:r>
      <w:r w:rsidR="004D1E15" w:rsidRPr="00F6340E">
        <w:rPr>
          <w:szCs w:val="24"/>
        </w:rPr>
        <w:t xml:space="preserve"> </w:t>
      </w:r>
      <w:r>
        <w:rPr>
          <w:szCs w:val="24"/>
        </w:rPr>
        <w:t>пр</w:t>
      </w:r>
      <w:r w:rsidR="00A56E08">
        <w:rPr>
          <w:szCs w:val="24"/>
        </w:rPr>
        <w:t>имј</w:t>
      </w:r>
      <w:r w:rsidR="00EE6AA2">
        <w:rPr>
          <w:szCs w:val="24"/>
        </w:rPr>
        <w:t>е</w:t>
      </w:r>
      <w:r w:rsidR="00A56E08">
        <w:rPr>
          <w:szCs w:val="24"/>
        </w:rPr>
        <w:t>н</w:t>
      </w:r>
      <w:r>
        <w:rPr>
          <w:szCs w:val="24"/>
        </w:rPr>
        <w:t>у</w:t>
      </w:r>
      <w:r w:rsidR="004D1E15" w:rsidRPr="00F6340E">
        <w:rPr>
          <w:szCs w:val="24"/>
        </w:rPr>
        <w:t xml:space="preserve"> </w:t>
      </w:r>
      <w:r>
        <w:rPr>
          <w:szCs w:val="24"/>
        </w:rPr>
        <w:t>р</w:t>
      </w:r>
      <w:r w:rsidR="00A56E08">
        <w:rPr>
          <w:szCs w:val="24"/>
        </w:rPr>
        <w:t>а</w:t>
      </w:r>
      <w:r w:rsidR="00171F00">
        <w:rPr>
          <w:szCs w:val="24"/>
        </w:rPr>
        <w:t>з</w:t>
      </w:r>
      <w:r w:rsidR="00A56E08">
        <w:rPr>
          <w:szCs w:val="24"/>
        </w:rPr>
        <w:t>личи</w:t>
      </w:r>
      <w:r>
        <w:rPr>
          <w:szCs w:val="24"/>
        </w:rPr>
        <w:t>т</w:t>
      </w:r>
      <w:r w:rsidR="00A56E08">
        <w:rPr>
          <w:szCs w:val="24"/>
        </w:rPr>
        <w:t>их</w:t>
      </w:r>
      <w:r w:rsidR="004D1E15" w:rsidRPr="00F6340E">
        <w:rPr>
          <w:szCs w:val="24"/>
        </w:rPr>
        <w:t xml:space="preserve"> </w:t>
      </w:r>
      <w:r w:rsidR="00A56E08">
        <w:rPr>
          <w:szCs w:val="24"/>
        </w:rPr>
        <w:t>ин</w:t>
      </w:r>
      <w:r>
        <w:rPr>
          <w:szCs w:val="24"/>
        </w:rPr>
        <w:t>стру</w:t>
      </w:r>
      <w:r w:rsidR="00A56E08">
        <w:rPr>
          <w:szCs w:val="24"/>
        </w:rPr>
        <w:t>м</w:t>
      </w:r>
      <w:r w:rsidR="00EE6AA2">
        <w:rPr>
          <w:szCs w:val="24"/>
        </w:rPr>
        <w:t>е</w:t>
      </w:r>
      <w:r w:rsidR="00A56E08">
        <w:rPr>
          <w:szCs w:val="24"/>
        </w:rPr>
        <w:t>на</w:t>
      </w:r>
      <w:r>
        <w:rPr>
          <w:szCs w:val="24"/>
        </w:rPr>
        <w:t>т</w:t>
      </w:r>
      <w:r w:rsidR="00A56E08">
        <w:rPr>
          <w:szCs w:val="24"/>
        </w:rPr>
        <w:t>а</w:t>
      </w:r>
      <w:r w:rsidR="004D1E15" w:rsidRPr="00F6340E">
        <w:rPr>
          <w:szCs w:val="24"/>
        </w:rPr>
        <w:t xml:space="preserve"> </w:t>
      </w:r>
      <w:r w:rsidR="00A56E08">
        <w:rPr>
          <w:szCs w:val="24"/>
        </w:rPr>
        <w:t>и</w:t>
      </w:r>
      <w:r w:rsidR="004D1E15" w:rsidRPr="00F6340E">
        <w:rPr>
          <w:szCs w:val="24"/>
        </w:rPr>
        <w:t xml:space="preserve"> </w:t>
      </w:r>
      <w:r w:rsidR="00A56E08">
        <w:rPr>
          <w:szCs w:val="24"/>
        </w:rPr>
        <w:t>м</w:t>
      </w:r>
      <w:r w:rsidR="00EE6AA2">
        <w:rPr>
          <w:szCs w:val="24"/>
        </w:rPr>
        <w:t>е</w:t>
      </w:r>
      <w:r w:rsidR="00A56E08">
        <w:rPr>
          <w:szCs w:val="24"/>
        </w:rPr>
        <w:t>хани</w:t>
      </w:r>
      <w:r w:rsidR="00171F00">
        <w:rPr>
          <w:szCs w:val="24"/>
        </w:rPr>
        <w:t>з</w:t>
      </w:r>
      <w:r w:rsidR="00A56E08">
        <w:rPr>
          <w:szCs w:val="24"/>
        </w:rPr>
        <w:t>ама</w:t>
      </w:r>
      <w:r w:rsidR="004D1E15" w:rsidRPr="00F6340E">
        <w:rPr>
          <w:szCs w:val="24"/>
        </w:rPr>
        <w:t xml:space="preserve"> </w:t>
      </w:r>
      <w:r w:rsidR="00A56E08">
        <w:rPr>
          <w:szCs w:val="24"/>
        </w:rPr>
        <w:t>на</w:t>
      </w:r>
      <w:r w:rsidR="004D1E15" w:rsidRPr="00F6340E">
        <w:rPr>
          <w:szCs w:val="24"/>
        </w:rPr>
        <w:t xml:space="preserve"> </w:t>
      </w:r>
      <w:r w:rsidR="00A56E08">
        <w:rPr>
          <w:szCs w:val="24"/>
        </w:rPr>
        <w:t>ни</w:t>
      </w:r>
      <w:r>
        <w:rPr>
          <w:szCs w:val="24"/>
        </w:rPr>
        <w:t>в</w:t>
      </w:r>
      <w:r w:rsidR="00A56E08">
        <w:rPr>
          <w:szCs w:val="24"/>
        </w:rPr>
        <w:t>о</w:t>
      </w:r>
      <w:r>
        <w:rPr>
          <w:szCs w:val="24"/>
        </w:rPr>
        <w:t>у</w:t>
      </w:r>
      <w:r w:rsidR="004D1E15" w:rsidRPr="00F6340E">
        <w:rPr>
          <w:szCs w:val="24"/>
        </w:rPr>
        <w:t xml:space="preserve"> </w:t>
      </w:r>
      <w:r w:rsidR="00A56E08">
        <w:rPr>
          <w:szCs w:val="24"/>
        </w:rPr>
        <w:t>админи</w:t>
      </w:r>
      <w:r>
        <w:rPr>
          <w:szCs w:val="24"/>
        </w:rPr>
        <w:t>стр</w:t>
      </w:r>
      <w:r w:rsidR="00A56E08">
        <w:rPr>
          <w:szCs w:val="24"/>
        </w:rPr>
        <w:t>а</w:t>
      </w:r>
      <w:r>
        <w:rPr>
          <w:szCs w:val="24"/>
        </w:rPr>
        <w:t>т</w:t>
      </w:r>
      <w:r w:rsidR="00A56E08">
        <w:rPr>
          <w:szCs w:val="24"/>
        </w:rPr>
        <w:t>и</w:t>
      </w:r>
      <w:r>
        <w:rPr>
          <w:szCs w:val="24"/>
        </w:rPr>
        <w:t>в</w:t>
      </w:r>
      <w:r w:rsidR="00A56E08">
        <w:rPr>
          <w:szCs w:val="24"/>
        </w:rPr>
        <w:t>них</w:t>
      </w:r>
      <w:r w:rsidR="004D1E15" w:rsidRPr="00F6340E">
        <w:rPr>
          <w:szCs w:val="24"/>
        </w:rPr>
        <w:t xml:space="preserve"> </w:t>
      </w:r>
      <w:r w:rsidR="00A56E08">
        <w:rPr>
          <w:szCs w:val="24"/>
        </w:rPr>
        <w:t>ј</w:t>
      </w:r>
      <w:r w:rsidR="00EE6AA2">
        <w:rPr>
          <w:szCs w:val="24"/>
        </w:rPr>
        <w:t>е</w:t>
      </w:r>
      <w:r w:rsidR="00A56E08">
        <w:rPr>
          <w:szCs w:val="24"/>
        </w:rPr>
        <w:t>диница</w:t>
      </w:r>
      <w:r w:rsidR="004D1E15" w:rsidRPr="00F6340E">
        <w:rPr>
          <w:szCs w:val="24"/>
        </w:rPr>
        <w:t>.</w:t>
      </w:r>
    </w:p>
    <w:p w14:paraId="4EEF8D0E" w14:textId="182E57C5" w:rsidR="004D1E15" w:rsidRPr="00F6340E" w:rsidRDefault="00A56E08" w:rsidP="008C491A">
      <w:pPr>
        <w:pStyle w:val="Body"/>
        <w:rPr>
          <w:szCs w:val="24"/>
        </w:rPr>
      </w:pPr>
      <w:r>
        <w:rPr>
          <w:szCs w:val="24"/>
        </w:rPr>
        <w:t>И</w:t>
      </w:r>
      <w:r w:rsidR="0071360A">
        <w:rPr>
          <w:szCs w:val="24"/>
        </w:rPr>
        <w:t>п</w:t>
      </w:r>
      <w:r>
        <w:rPr>
          <w:szCs w:val="24"/>
        </w:rPr>
        <w:t>ак</w:t>
      </w:r>
      <w:r w:rsidR="004D1E15" w:rsidRPr="00F6340E">
        <w:rPr>
          <w:szCs w:val="24"/>
        </w:rPr>
        <w:t xml:space="preserve">, </w:t>
      </w:r>
      <w:r>
        <w:rPr>
          <w:szCs w:val="24"/>
        </w:rPr>
        <w:t>мањка</w:t>
      </w:r>
      <w:r w:rsidR="0071360A">
        <w:rPr>
          <w:szCs w:val="24"/>
        </w:rPr>
        <w:t>в</w:t>
      </w:r>
      <w:r>
        <w:rPr>
          <w:szCs w:val="24"/>
        </w:rPr>
        <w:t>о</w:t>
      </w:r>
      <w:r w:rsidR="0071360A">
        <w:rPr>
          <w:szCs w:val="24"/>
        </w:rPr>
        <w:t>ст</w:t>
      </w:r>
      <w:r w:rsidR="004D1E15" w:rsidRPr="00F6340E">
        <w:rPr>
          <w:szCs w:val="24"/>
        </w:rPr>
        <w:t xml:space="preserve"> </w:t>
      </w:r>
      <w:r w:rsidR="0071360A">
        <w:rPr>
          <w:szCs w:val="24"/>
        </w:rPr>
        <w:t>пр</w:t>
      </w:r>
      <w:r>
        <w:rPr>
          <w:szCs w:val="24"/>
        </w:rPr>
        <w:t>имј</w:t>
      </w:r>
      <w:r w:rsidR="00EE6AA2">
        <w:rPr>
          <w:szCs w:val="24"/>
        </w:rPr>
        <w:t>е</w:t>
      </w:r>
      <w:r>
        <w:rPr>
          <w:szCs w:val="24"/>
        </w:rPr>
        <w:t>њи</w:t>
      </w:r>
      <w:r w:rsidR="0071360A">
        <w:rPr>
          <w:szCs w:val="24"/>
        </w:rPr>
        <w:t>в</w:t>
      </w:r>
      <w:r>
        <w:rPr>
          <w:szCs w:val="24"/>
        </w:rPr>
        <w:t>аних</w:t>
      </w:r>
      <w:r w:rsidR="004D1E15" w:rsidRPr="00F6340E">
        <w:rPr>
          <w:szCs w:val="24"/>
        </w:rPr>
        <w:t xml:space="preserve"> </w:t>
      </w:r>
      <w:r>
        <w:rPr>
          <w:szCs w:val="24"/>
        </w:rPr>
        <w:t>ин</w:t>
      </w:r>
      <w:r w:rsidR="0071360A">
        <w:rPr>
          <w:szCs w:val="24"/>
        </w:rPr>
        <w:t>стру</w:t>
      </w:r>
      <w:r>
        <w:rPr>
          <w:szCs w:val="24"/>
        </w:rPr>
        <w:t>м</w:t>
      </w:r>
      <w:r w:rsidR="00EE6AA2">
        <w:rPr>
          <w:szCs w:val="24"/>
        </w:rPr>
        <w:t>е</w:t>
      </w:r>
      <w:r>
        <w:rPr>
          <w:szCs w:val="24"/>
        </w:rPr>
        <w:t>на</w:t>
      </w:r>
      <w:r w:rsidR="0071360A">
        <w:rPr>
          <w:szCs w:val="24"/>
        </w:rPr>
        <w:t>т</w:t>
      </w:r>
      <w:r>
        <w:rPr>
          <w:szCs w:val="24"/>
        </w:rPr>
        <w:t>а</w:t>
      </w:r>
      <w:r w:rsidR="004D1E15" w:rsidRPr="00F6340E">
        <w:rPr>
          <w:szCs w:val="24"/>
        </w:rPr>
        <w:t xml:space="preserve"> </w:t>
      </w:r>
      <w:r w:rsidR="0071360A">
        <w:rPr>
          <w:szCs w:val="24"/>
        </w:rPr>
        <w:t>у</w:t>
      </w:r>
      <w:r w:rsidR="004D1E15" w:rsidRPr="00F6340E">
        <w:rPr>
          <w:szCs w:val="24"/>
        </w:rPr>
        <w:t xml:space="preserve"> </w:t>
      </w:r>
      <w:r>
        <w:rPr>
          <w:szCs w:val="24"/>
        </w:rPr>
        <w:t>кон</w:t>
      </w:r>
      <w:r w:rsidR="0071360A">
        <w:rPr>
          <w:szCs w:val="24"/>
        </w:rPr>
        <w:t>т</w:t>
      </w:r>
      <w:r w:rsidR="00EE6AA2">
        <w:rPr>
          <w:szCs w:val="24"/>
        </w:rPr>
        <w:t>е</w:t>
      </w:r>
      <w:r>
        <w:rPr>
          <w:szCs w:val="24"/>
        </w:rPr>
        <w:t>к</w:t>
      </w:r>
      <w:r w:rsidR="0071360A">
        <w:rPr>
          <w:szCs w:val="24"/>
        </w:rPr>
        <w:t>сту</w:t>
      </w:r>
      <w:r w:rsidR="004D1E15" w:rsidRPr="00F6340E">
        <w:rPr>
          <w:szCs w:val="24"/>
        </w:rPr>
        <w:t xml:space="preserve"> </w:t>
      </w:r>
      <w:r w:rsidR="0071360A">
        <w:rPr>
          <w:szCs w:val="24"/>
        </w:rPr>
        <w:t>с</w:t>
      </w:r>
      <w:r>
        <w:rPr>
          <w:szCs w:val="24"/>
        </w:rPr>
        <w:t>а</w:t>
      </w:r>
      <w:r w:rsidR="0071360A">
        <w:rPr>
          <w:szCs w:val="24"/>
        </w:rPr>
        <w:t>вр</w:t>
      </w:r>
      <w:r w:rsidR="00EE6AA2">
        <w:rPr>
          <w:szCs w:val="24"/>
        </w:rPr>
        <w:t>е</w:t>
      </w:r>
      <w:r>
        <w:rPr>
          <w:szCs w:val="24"/>
        </w:rPr>
        <w:t>м</w:t>
      </w:r>
      <w:r w:rsidR="00EE6AA2">
        <w:rPr>
          <w:szCs w:val="24"/>
        </w:rPr>
        <w:t>е</w:t>
      </w:r>
      <w:r>
        <w:rPr>
          <w:szCs w:val="24"/>
        </w:rPr>
        <w:t>них</w:t>
      </w:r>
      <w:r w:rsidR="004D1E15" w:rsidRPr="00F6340E">
        <w:rPr>
          <w:szCs w:val="24"/>
        </w:rPr>
        <w:t xml:space="preserve"> </w:t>
      </w:r>
      <w:r w:rsidR="00171F00">
        <w:rPr>
          <w:szCs w:val="24"/>
        </w:rPr>
        <w:t>з</w:t>
      </w:r>
      <w:r>
        <w:rPr>
          <w:szCs w:val="24"/>
        </w:rPr>
        <w:t>би</w:t>
      </w:r>
      <w:r w:rsidR="0071360A">
        <w:rPr>
          <w:szCs w:val="24"/>
        </w:rPr>
        <w:t>в</w:t>
      </w:r>
      <w:r>
        <w:rPr>
          <w:szCs w:val="24"/>
        </w:rPr>
        <w:t>ања</w:t>
      </w:r>
      <w:r w:rsidR="004D1E15" w:rsidRPr="00F6340E">
        <w:rPr>
          <w:szCs w:val="24"/>
        </w:rPr>
        <w:t xml:space="preserve"> </w:t>
      </w:r>
      <w:r>
        <w:rPr>
          <w:szCs w:val="24"/>
        </w:rPr>
        <w:t>и</w:t>
      </w:r>
      <w:r w:rsidR="004D1E15" w:rsidRPr="00F6340E">
        <w:rPr>
          <w:szCs w:val="24"/>
        </w:rPr>
        <w:t xml:space="preserve"> </w:t>
      </w:r>
      <w:r>
        <w:rPr>
          <w:szCs w:val="24"/>
        </w:rPr>
        <w:t>диги</w:t>
      </w:r>
      <w:r w:rsidR="0071360A">
        <w:rPr>
          <w:szCs w:val="24"/>
        </w:rPr>
        <w:t>т</w:t>
      </w:r>
      <w:r>
        <w:rPr>
          <w:szCs w:val="24"/>
        </w:rPr>
        <w:t>али</w:t>
      </w:r>
      <w:r w:rsidR="00171F00">
        <w:rPr>
          <w:szCs w:val="24"/>
        </w:rPr>
        <w:t>з</w:t>
      </w:r>
      <w:r>
        <w:rPr>
          <w:szCs w:val="24"/>
        </w:rPr>
        <w:t>ациј</w:t>
      </w:r>
      <w:r w:rsidR="00EE6AA2">
        <w:rPr>
          <w:szCs w:val="24"/>
        </w:rPr>
        <w:t>е</w:t>
      </w:r>
      <w:r w:rsidR="004D1E15" w:rsidRPr="00F6340E">
        <w:rPr>
          <w:szCs w:val="24"/>
        </w:rPr>
        <w:t xml:space="preserve"> </w:t>
      </w:r>
      <w:r w:rsidR="0071360A">
        <w:rPr>
          <w:szCs w:val="24"/>
        </w:rPr>
        <w:t>у</w:t>
      </w:r>
      <w:r w:rsidR="004D1E15" w:rsidRPr="00F6340E">
        <w:rPr>
          <w:szCs w:val="24"/>
        </w:rPr>
        <w:t xml:space="preserve"> </w:t>
      </w:r>
      <w:r>
        <w:rPr>
          <w:szCs w:val="24"/>
        </w:rPr>
        <w:t>об</w:t>
      </w:r>
      <w:r w:rsidR="0071360A">
        <w:rPr>
          <w:szCs w:val="24"/>
        </w:rPr>
        <w:t>р</w:t>
      </w:r>
      <w:r>
        <w:rPr>
          <w:szCs w:val="24"/>
        </w:rPr>
        <w:t>а</w:t>
      </w:r>
      <w:r w:rsidR="00171F00">
        <w:rPr>
          <w:szCs w:val="24"/>
        </w:rPr>
        <w:t>з</w:t>
      </w:r>
      <w:r>
        <w:rPr>
          <w:szCs w:val="24"/>
        </w:rPr>
        <w:t>о</w:t>
      </w:r>
      <w:r w:rsidR="0071360A">
        <w:rPr>
          <w:szCs w:val="24"/>
        </w:rPr>
        <w:t>в</w:t>
      </w:r>
      <w:r>
        <w:rPr>
          <w:szCs w:val="24"/>
        </w:rPr>
        <w:t>ањ</w:t>
      </w:r>
      <w:r w:rsidR="0071360A">
        <w:rPr>
          <w:szCs w:val="24"/>
        </w:rPr>
        <w:t>у</w:t>
      </w:r>
      <w:r w:rsidR="004D1E15" w:rsidRPr="00F6340E">
        <w:rPr>
          <w:szCs w:val="24"/>
        </w:rPr>
        <w:t xml:space="preserve"> </w:t>
      </w:r>
      <w:r>
        <w:rPr>
          <w:szCs w:val="24"/>
        </w:rPr>
        <w:t>огл</w:t>
      </w:r>
      <w:r w:rsidR="00EE6AA2">
        <w:rPr>
          <w:szCs w:val="24"/>
        </w:rPr>
        <w:t>е</w:t>
      </w:r>
      <w:r>
        <w:rPr>
          <w:szCs w:val="24"/>
        </w:rPr>
        <w:t>да</w:t>
      </w:r>
      <w:r w:rsidR="004D1E15" w:rsidRPr="00F6340E">
        <w:rPr>
          <w:szCs w:val="24"/>
        </w:rPr>
        <w:t xml:space="preserve"> </w:t>
      </w:r>
      <w:r w:rsidR="0071360A">
        <w:rPr>
          <w:szCs w:val="24"/>
        </w:rPr>
        <w:t>с</w:t>
      </w:r>
      <w:r w:rsidR="00EE6AA2">
        <w:rPr>
          <w:szCs w:val="24"/>
        </w:rPr>
        <w:t>е</w:t>
      </w:r>
      <w:r w:rsidR="004D1E15" w:rsidRPr="00F6340E">
        <w:rPr>
          <w:szCs w:val="24"/>
        </w:rPr>
        <w:t xml:space="preserve"> </w:t>
      </w:r>
      <w:r w:rsidR="0071360A">
        <w:rPr>
          <w:szCs w:val="24"/>
        </w:rPr>
        <w:t>у</w:t>
      </w:r>
      <w:r w:rsidR="004D1E15" w:rsidRPr="00F6340E">
        <w:rPr>
          <w:szCs w:val="24"/>
        </w:rPr>
        <w:t xml:space="preserve"> </w:t>
      </w:r>
      <w:r w:rsidR="0071360A">
        <w:rPr>
          <w:szCs w:val="24"/>
        </w:rPr>
        <w:t>т</w:t>
      </w:r>
      <w:r>
        <w:rPr>
          <w:szCs w:val="24"/>
        </w:rPr>
        <w:t>ом</w:t>
      </w:r>
      <w:r w:rsidR="00EE6AA2">
        <w:rPr>
          <w:szCs w:val="24"/>
        </w:rPr>
        <w:t>е</w:t>
      </w:r>
      <w:r w:rsidR="004D1E15" w:rsidRPr="00F6340E">
        <w:rPr>
          <w:szCs w:val="24"/>
        </w:rPr>
        <w:t xml:space="preserve"> </w:t>
      </w:r>
      <w:r w:rsidR="0071360A">
        <w:rPr>
          <w:szCs w:val="24"/>
        </w:rPr>
        <w:t>шт</w:t>
      </w:r>
      <w:r>
        <w:rPr>
          <w:szCs w:val="24"/>
        </w:rPr>
        <w:t>о</w:t>
      </w:r>
      <w:r w:rsidR="004D1E15" w:rsidRPr="00F6340E">
        <w:rPr>
          <w:szCs w:val="24"/>
        </w:rPr>
        <w:t xml:space="preserve"> </w:t>
      </w:r>
      <w:r>
        <w:rPr>
          <w:szCs w:val="24"/>
        </w:rPr>
        <w:t>н</w:t>
      </w:r>
      <w:r w:rsidR="00EE6AA2">
        <w:rPr>
          <w:szCs w:val="24"/>
        </w:rPr>
        <w:t>е</w:t>
      </w:r>
      <w:r w:rsidR="004D1E15" w:rsidRPr="00F6340E">
        <w:rPr>
          <w:szCs w:val="24"/>
        </w:rPr>
        <w:t xml:space="preserve"> </w:t>
      </w:r>
      <w:r>
        <w:rPr>
          <w:szCs w:val="24"/>
        </w:rPr>
        <w:t>об</w:t>
      </w:r>
      <w:r w:rsidR="0071360A">
        <w:rPr>
          <w:szCs w:val="24"/>
        </w:rPr>
        <w:t>у</w:t>
      </w:r>
      <w:r>
        <w:rPr>
          <w:szCs w:val="24"/>
        </w:rPr>
        <w:t>х</w:t>
      </w:r>
      <w:r w:rsidR="0071360A">
        <w:rPr>
          <w:szCs w:val="24"/>
        </w:rPr>
        <w:t>в</w:t>
      </w:r>
      <w:r>
        <w:rPr>
          <w:szCs w:val="24"/>
        </w:rPr>
        <w:t>а</w:t>
      </w:r>
      <w:r w:rsidR="0071360A">
        <w:rPr>
          <w:szCs w:val="24"/>
        </w:rPr>
        <w:t>т</w:t>
      </w:r>
      <w:r>
        <w:rPr>
          <w:szCs w:val="24"/>
        </w:rPr>
        <w:t>ај</w:t>
      </w:r>
      <w:r w:rsidR="0071360A">
        <w:rPr>
          <w:szCs w:val="24"/>
        </w:rPr>
        <w:t>у</w:t>
      </w:r>
      <w:r w:rsidR="004D1E15" w:rsidRPr="00F6340E">
        <w:rPr>
          <w:szCs w:val="24"/>
        </w:rPr>
        <w:t xml:space="preserve"> </w:t>
      </w:r>
      <w:r w:rsidR="0071360A">
        <w:rPr>
          <w:szCs w:val="24"/>
        </w:rPr>
        <w:t>с</w:t>
      </w:r>
      <w:r>
        <w:rPr>
          <w:szCs w:val="24"/>
        </w:rPr>
        <w:t>ад</w:t>
      </w:r>
      <w:r w:rsidR="0071360A">
        <w:rPr>
          <w:szCs w:val="24"/>
        </w:rPr>
        <w:t>р</w:t>
      </w:r>
      <w:r w:rsidR="00171F00">
        <w:rPr>
          <w:szCs w:val="24"/>
        </w:rPr>
        <w:t>ж</w:t>
      </w:r>
      <w:r>
        <w:rPr>
          <w:szCs w:val="24"/>
        </w:rPr>
        <w:t>ај</w:t>
      </w:r>
      <w:r w:rsidR="00EE6AA2">
        <w:rPr>
          <w:szCs w:val="24"/>
        </w:rPr>
        <w:t>е</w:t>
      </w:r>
      <w:r w:rsidR="004D1E15" w:rsidRPr="00F6340E">
        <w:rPr>
          <w:szCs w:val="24"/>
        </w:rPr>
        <w:t xml:space="preserve">, </w:t>
      </w:r>
      <w:r>
        <w:rPr>
          <w:szCs w:val="24"/>
        </w:rPr>
        <w:t>који</w:t>
      </w:r>
      <w:r w:rsidR="004D1E15" w:rsidRPr="00F6340E">
        <w:rPr>
          <w:szCs w:val="24"/>
        </w:rPr>
        <w:t xml:space="preserve"> </w:t>
      </w:r>
      <w:r>
        <w:rPr>
          <w:szCs w:val="24"/>
        </w:rPr>
        <w:t>и</w:t>
      </w:r>
      <w:r w:rsidR="00171F00">
        <w:rPr>
          <w:szCs w:val="24"/>
        </w:rPr>
        <w:t>з</w:t>
      </w:r>
      <w:r w:rsidR="0071360A">
        <w:rPr>
          <w:szCs w:val="24"/>
        </w:rPr>
        <w:t>р</w:t>
      </w:r>
      <w:r>
        <w:rPr>
          <w:szCs w:val="24"/>
        </w:rPr>
        <w:t>ичи</w:t>
      </w:r>
      <w:r w:rsidR="0071360A">
        <w:rPr>
          <w:szCs w:val="24"/>
        </w:rPr>
        <w:t>т</w:t>
      </w:r>
      <w:r>
        <w:rPr>
          <w:szCs w:val="24"/>
        </w:rPr>
        <w:t>о</w:t>
      </w:r>
      <w:r w:rsidR="004D1E15" w:rsidRPr="00F6340E">
        <w:rPr>
          <w:szCs w:val="24"/>
        </w:rPr>
        <w:t xml:space="preserve"> </w:t>
      </w:r>
      <w:r w:rsidR="0071360A">
        <w:rPr>
          <w:szCs w:val="24"/>
        </w:rPr>
        <w:t>тр</w:t>
      </w:r>
      <w:r w:rsidR="00EE6AA2">
        <w:rPr>
          <w:szCs w:val="24"/>
        </w:rPr>
        <w:t>е</w:t>
      </w:r>
      <w:r w:rsidR="0071360A">
        <w:rPr>
          <w:szCs w:val="24"/>
        </w:rPr>
        <w:t>т</w:t>
      </w:r>
      <w:r>
        <w:rPr>
          <w:szCs w:val="24"/>
        </w:rPr>
        <w:t>и</w:t>
      </w:r>
      <w:r w:rsidR="0071360A">
        <w:rPr>
          <w:szCs w:val="24"/>
        </w:rPr>
        <w:t>р</w:t>
      </w:r>
      <w:r>
        <w:rPr>
          <w:szCs w:val="24"/>
        </w:rPr>
        <w:t>ај</w:t>
      </w:r>
      <w:r w:rsidR="0071360A">
        <w:rPr>
          <w:szCs w:val="24"/>
        </w:rPr>
        <w:t>у</w:t>
      </w:r>
      <w:r w:rsidR="004D1E15" w:rsidRPr="00F6340E">
        <w:rPr>
          <w:szCs w:val="24"/>
        </w:rPr>
        <w:t xml:space="preserve"> </w:t>
      </w:r>
      <w:r w:rsidR="0071360A">
        <w:rPr>
          <w:szCs w:val="24"/>
        </w:rPr>
        <w:t>пр</w:t>
      </w:r>
      <w:r>
        <w:rPr>
          <w:szCs w:val="24"/>
        </w:rPr>
        <w:t>имј</w:t>
      </w:r>
      <w:r w:rsidR="00EE6AA2">
        <w:rPr>
          <w:szCs w:val="24"/>
        </w:rPr>
        <w:t>е</w:t>
      </w:r>
      <w:r>
        <w:rPr>
          <w:szCs w:val="24"/>
        </w:rPr>
        <w:t>н</w:t>
      </w:r>
      <w:r w:rsidR="0071360A">
        <w:rPr>
          <w:szCs w:val="24"/>
        </w:rPr>
        <w:t>у</w:t>
      </w:r>
      <w:r w:rsidR="004D1E15" w:rsidRPr="00F6340E">
        <w:rPr>
          <w:szCs w:val="24"/>
        </w:rPr>
        <w:t xml:space="preserve"> </w:t>
      </w:r>
      <w:r>
        <w:rPr>
          <w:szCs w:val="24"/>
        </w:rPr>
        <w:t>диги</w:t>
      </w:r>
      <w:r w:rsidR="0071360A">
        <w:rPr>
          <w:szCs w:val="24"/>
        </w:rPr>
        <w:t>т</w:t>
      </w:r>
      <w:r>
        <w:rPr>
          <w:szCs w:val="24"/>
        </w:rPr>
        <w:t>алних</w:t>
      </w:r>
      <w:r w:rsidR="004D1E15" w:rsidRPr="00F6340E">
        <w:rPr>
          <w:szCs w:val="24"/>
        </w:rPr>
        <w:t xml:space="preserve"> </w:t>
      </w:r>
      <w:r>
        <w:rPr>
          <w:szCs w:val="24"/>
        </w:rPr>
        <w:t>ала</w:t>
      </w:r>
      <w:r w:rsidR="0071360A">
        <w:rPr>
          <w:szCs w:val="24"/>
        </w:rPr>
        <w:t>т</w:t>
      </w:r>
      <w:r>
        <w:rPr>
          <w:szCs w:val="24"/>
        </w:rPr>
        <w:t>а</w:t>
      </w:r>
      <w:r w:rsidR="004D1E15" w:rsidRPr="00F6340E">
        <w:rPr>
          <w:szCs w:val="24"/>
        </w:rPr>
        <w:t xml:space="preserve"> </w:t>
      </w:r>
      <w:r w:rsidR="0071360A">
        <w:rPr>
          <w:szCs w:val="24"/>
        </w:rPr>
        <w:t>у</w:t>
      </w:r>
      <w:r w:rsidR="004D1E15" w:rsidRPr="00F6340E">
        <w:rPr>
          <w:szCs w:val="24"/>
        </w:rPr>
        <w:t xml:space="preserve"> </w:t>
      </w:r>
      <w:r>
        <w:rPr>
          <w:szCs w:val="24"/>
        </w:rPr>
        <w:t>об</w:t>
      </w:r>
      <w:r w:rsidR="0071360A">
        <w:rPr>
          <w:szCs w:val="24"/>
        </w:rPr>
        <w:t>р</w:t>
      </w:r>
      <w:r>
        <w:rPr>
          <w:szCs w:val="24"/>
        </w:rPr>
        <w:t>а</w:t>
      </w:r>
      <w:r w:rsidR="00171F00">
        <w:rPr>
          <w:szCs w:val="24"/>
        </w:rPr>
        <w:t>з</w:t>
      </w:r>
      <w:r>
        <w:rPr>
          <w:szCs w:val="24"/>
        </w:rPr>
        <w:t>о</w:t>
      </w:r>
      <w:r w:rsidR="0071360A">
        <w:rPr>
          <w:szCs w:val="24"/>
        </w:rPr>
        <w:t>в</w:t>
      </w:r>
      <w:r>
        <w:rPr>
          <w:szCs w:val="24"/>
        </w:rPr>
        <w:t>ном</w:t>
      </w:r>
      <w:r w:rsidR="004D1E15" w:rsidRPr="00F6340E">
        <w:rPr>
          <w:szCs w:val="24"/>
        </w:rPr>
        <w:t xml:space="preserve"> </w:t>
      </w:r>
      <w:r w:rsidR="0071360A">
        <w:rPr>
          <w:szCs w:val="24"/>
        </w:rPr>
        <w:t>пр</w:t>
      </w:r>
      <w:r>
        <w:rPr>
          <w:szCs w:val="24"/>
        </w:rPr>
        <w:t>оц</w:t>
      </w:r>
      <w:r w:rsidR="00EE6AA2">
        <w:rPr>
          <w:szCs w:val="24"/>
        </w:rPr>
        <w:t>е</w:t>
      </w:r>
      <w:r w:rsidR="0071360A">
        <w:rPr>
          <w:szCs w:val="24"/>
        </w:rPr>
        <w:t>су</w:t>
      </w:r>
      <w:r w:rsidR="004D1E15" w:rsidRPr="00F6340E">
        <w:rPr>
          <w:szCs w:val="24"/>
        </w:rPr>
        <w:t xml:space="preserve">, </w:t>
      </w:r>
      <w:r>
        <w:rPr>
          <w:szCs w:val="24"/>
        </w:rPr>
        <w:t>диги</w:t>
      </w:r>
      <w:r w:rsidR="0071360A">
        <w:rPr>
          <w:szCs w:val="24"/>
        </w:rPr>
        <w:t>т</w:t>
      </w:r>
      <w:r>
        <w:rPr>
          <w:szCs w:val="24"/>
        </w:rPr>
        <w:t>алн</w:t>
      </w:r>
      <w:r w:rsidR="00EE6AA2">
        <w:rPr>
          <w:szCs w:val="24"/>
        </w:rPr>
        <w:t>е</w:t>
      </w:r>
      <w:r w:rsidR="004D1E15" w:rsidRPr="00F6340E">
        <w:rPr>
          <w:szCs w:val="24"/>
        </w:rPr>
        <w:t xml:space="preserve"> </w:t>
      </w:r>
      <w:r>
        <w:rPr>
          <w:szCs w:val="24"/>
        </w:rPr>
        <w:t>ком</w:t>
      </w:r>
      <w:r w:rsidR="0071360A">
        <w:rPr>
          <w:szCs w:val="24"/>
        </w:rPr>
        <w:t>п</w:t>
      </w:r>
      <w:r w:rsidR="00EE6AA2">
        <w:rPr>
          <w:szCs w:val="24"/>
        </w:rPr>
        <w:t>е</w:t>
      </w:r>
      <w:r w:rsidR="0071360A">
        <w:rPr>
          <w:szCs w:val="24"/>
        </w:rPr>
        <w:t>т</w:t>
      </w:r>
      <w:r w:rsidR="00EE6AA2">
        <w:rPr>
          <w:szCs w:val="24"/>
        </w:rPr>
        <w:t>е</w:t>
      </w:r>
      <w:r>
        <w:rPr>
          <w:szCs w:val="24"/>
        </w:rPr>
        <w:t>нциј</w:t>
      </w:r>
      <w:r w:rsidR="00EE6AA2">
        <w:rPr>
          <w:szCs w:val="24"/>
        </w:rPr>
        <w:t>е</w:t>
      </w:r>
      <w:r w:rsidR="004D1E15" w:rsidRPr="00F6340E">
        <w:rPr>
          <w:szCs w:val="24"/>
        </w:rPr>
        <w:t xml:space="preserve"> </w:t>
      </w:r>
      <w:r>
        <w:rPr>
          <w:szCs w:val="24"/>
        </w:rPr>
        <w:t>на</w:t>
      </w:r>
      <w:r w:rsidR="0071360A">
        <w:rPr>
          <w:szCs w:val="24"/>
        </w:rPr>
        <w:t>ст</w:t>
      </w:r>
      <w:r>
        <w:rPr>
          <w:szCs w:val="24"/>
        </w:rPr>
        <w:t>а</w:t>
      </w:r>
      <w:r w:rsidR="0071360A">
        <w:rPr>
          <w:szCs w:val="24"/>
        </w:rPr>
        <w:t>в</w:t>
      </w:r>
      <w:r>
        <w:rPr>
          <w:szCs w:val="24"/>
        </w:rPr>
        <w:t>ника</w:t>
      </w:r>
      <w:r w:rsidR="004D1E15" w:rsidRPr="00F6340E">
        <w:rPr>
          <w:szCs w:val="24"/>
        </w:rPr>
        <w:t xml:space="preserve"> </w:t>
      </w:r>
      <w:r>
        <w:rPr>
          <w:szCs w:val="24"/>
        </w:rPr>
        <w:t>ни</w:t>
      </w:r>
      <w:r w:rsidR="0071360A">
        <w:rPr>
          <w:szCs w:val="24"/>
        </w:rPr>
        <w:t>т</w:t>
      </w:r>
      <w:r>
        <w:rPr>
          <w:szCs w:val="24"/>
        </w:rPr>
        <w:t>и</w:t>
      </w:r>
      <w:r w:rsidR="004D1E15" w:rsidRPr="00F6340E">
        <w:rPr>
          <w:szCs w:val="24"/>
        </w:rPr>
        <w:t xml:space="preserve"> </w:t>
      </w:r>
      <w:r>
        <w:rPr>
          <w:szCs w:val="24"/>
        </w:rPr>
        <w:t>инф</w:t>
      </w:r>
      <w:r w:rsidR="0071360A">
        <w:rPr>
          <w:szCs w:val="24"/>
        </w:rPr>
        <w:t>р</w:t>
      </w:r>
      <w:r>
        <w:rPr>
          <w:szCs w:val="24"/>
        </w:rPr>
        <w:t>а</w:t>
      </w:r>
      <w:r w:rsidR="0071360A">
        <w:rPr>
          <w:szCs w:val="24"/>
        </w:rPr>
        <w:t>стру</w:t>
      </w:r>
      <w:r>
        <w:rPr>
          <w:szCs w:val="24"/>
        </w:rPr>
        <w:t>к</w:t>
      </w:r>
      <w:r w:rsidR="0071360A">
        <w:rPr>
          <w:szCs w:val="24"/>
        </w:rPr>
        <w:t>туру</w:t>
      </w:r>
      <w:r w:rsidR="00992A10" w:rsidRPr="00F6340E">
        <w:rPr>
          <w:szCs w:val="24"/>
        </w:rPr>
        <w:t xml:space="preserve"> </w:t>
      </w:r>
      <w:r w:rsidR="00171F00">
        <w:rPr>
          <w:szCs w:val="24"/>
        </w:rPr>
        <w:t>з</w:t>
      </w:r>
      <w:r>
        <w:rPr>
          <w:szCs w:val="24"/>
        </w:rPr>
        <w:t>а</w:t>
      </w:r>
      <w:r w:rsidR="00FA763F" w:rsidRPr="00F6340E">
        <w:rPr>
          <w:szCs w:val="24"/>
        </w:rPr>
        <w:t xml:space="preserve"> </w:t>
      </w:r>
      <w:r>
        <w:rPr>
          <w:szCs w:val="24"/>
        </w:rPr>
        <w:t>ИК</w:t>
      </w:r>
      <w:r w:rsidR="0071360A">
        <w:rPr>
          <w:szCs w:val="24"/>
        </w:rPr>
        <w:t>Т</w:t>
      </w:r>
      <w:r w:rsidR="004D1E15" w:rsidRPr="00F6340E">
        <w:rPr>
          <w:szCs w:val="24"/>
        </w:rPr>
        <w:t xml:space="preserve"> </w:t>
      </w:r>
      <w:r>
        <w:rPr>
          <w:szCs w:val="24"/>
        </w:rPr>
        <w:t>г</w:t>
      </w:r>
      <w:r w:rsidR="00EE6AA2">
        <w:rPr>
          <w:szCs w:val="24"/>
        </w:rPr>
        <w:t>е</w:t>
      </w:r>
      <w:r>
        <w:rPr>
          <w:szCs w:val="24"/>
        </w:rPr>
        <w:t>н</w:t>
      </w:r>
      <w:r w:rsidR="00EE6AA2">
        <w:rPr>
          <w:szCs w:val="24"/>
        </w:rPr>
        <w:t>е</w:t>
      </w:r>
      <w:r w:rsidR="0071360A">
        <w:rPr>
          <w:szCs w:val="24"/>
        </w:rPr>
        <w:t>р</w:t>
      </w:r>
      <w:r>
        <w:rPr>
          <w:szCs w:val="24"/>
        </w:rPr>
        <w:t>ално</w:t>
      </w:r>
      <w:r w:rsidR="004D1E15" w:rsidRPr="00F6340E">
        <w:rPr>
          <w:szCs w:val="24"/>
        </w:rPr>
        <w:t>.</w:t>
      </w:r>
    </w:p>
    <w:p w14:paraId="7A67CADE" w14:textId="5C0A6DD3" w:rsidR="00051DA5" w:rsidRPr="00F6340E" w:rsidRDefault="0071360A" w:rsidP="008C491A">
      <w:pPr>
        <w:pStyle w:val="Body"/>
      </w:pPr>
      <w:r>
        <w:t>С</w:t>
      </w:r>
      <w:r w:rsidR="004D1E15" w:rsidRPr="00F6340E">
        <w:t xml:space="preserve"> </w:t>
      </w:r>
      <w:r w:rsidR="00A56E08">
        <w:t>об</w:t>
      </w:r>
      <w:r w:rsidR="00171F00">
        <w:t>з</w:t>
      </w:r>
      <w:r w:rsidR="00A56E08">
        <w:t>и</w:t>
      </w:r>
      <w:r>
        <w:t>р</w:t>
      </w:r>
      <w:r w:rsidR="00A56E08">
        <w:t>ом</w:t>
      </w:r>
      <w:r w:rsidR="004D1E15" w:rsidRPr="00F6340E">
        <w:t xml:space="preserve"> </w:t>
      </w:r>
      <w:r w:rsidR="00A56E08">
        <w:t>на</w:t>
      </w:r>
      <w:r w:rsidR="004D1E15" w:rsidRPr="00F6340E">
        <w:t xml:space="preserve"> </w:t>
      </w:r>
      <w:r>
        <w:t>пр</w:t>
      </w:r>
      <w:r w:rsidR="00A56E08">
        <w:t>омиј</w:t>
      </w:r>
      <w:r w:rsidR="00EE6AA2">
        <w:t>е</w:t>
      </w:r>
      <w:r w:rsidR="00A56E08">
        <w:t>њ</w:t>
      </w:r>
      <w:r w:rsidR="00EE6AA2">
        <w:t>е</w:t>
      </w:r>
      <w:r w:rsidR="00A56E08">
        <w:t>н</w:t>
      </w:r>
      <w:r>
        <w:t>у</w:t>
      </w:r>
      <w:r w:rsidR="004D1E15" w:rsidRPr="00F6340E">
        <w:t xml:space="preserve"> </w:t>
      </w:r>
      <w:r>
        <w:t>п</w:t>
      </w:r>
      <w:r w:rsidR="00A56E08">
        <w:t>а</w:t>
      </w:r>
      <w:r>
        <w:t>р</w:t>
      </w:r>
      <w:r w:rsidR="00A56E08">
        <w:t>адигм</w:t>
      </w:r>
      <w:r>
        <w:t>у</w:t>
      </w:r>
      <w:r w:rsidR="004D1E15" w:rsidRPr="00F6340E">
        <w:t xml:space="preserve"> </w:t>
      </w:r>
      <w:r>
        <w:t>у</w:t>
      </w:r>
      <w:r w:rsidR="00A56E08">
        <w:t>ч</w:t>
      </w:r>
      <w:r w:rsidR="00EE6AA2">
        <w:t>е</w:t>
      </w:r>
      <w:r w:rsidR="00A56E08">
        <w:t>ња</w:t>
      </w:r>
      <w:r w:rsidR="004D1E15" w:rsidRPr="00F6340E">
        <w:t xml:space="preserve"> </w:t>
      </w:r>
      <w:r w:rsidR="00A56E08">
        <w:t>и</w:t>
      </w:r>
      <w:r w:rsidR="004D1E15" w:rsidRPr="00F6340E">
        <w:t xml:space="preserve"> </w:t>
      </w:r>
      <w:r>
        <w:t>п</w:t>
      </w:r>
      <w:r w:rsidR="00A56E08">
        <w:t>од</w:t>
      </w:r>
      <w:r>
        <w:t>у</w:t>
      </w:r>
      <w:r w:rsidR="00A56E08">
        <w:t>ча</w:t>
      </w:r>
      <w:r>
        <w:t>в</w:t>
      </w:r>
      <w:r w:rsidR="00A56E08">
        <w:t>ања</w:t>
      </w:r>
      <w:r w:rsidR="004D1E15" w:rsidRPr="00F6340E">
        <w:t xml:space="preserve"> </w:t>
      </w:r>
      <w:r w:rsidR="00A56E08">
        <w:t>и</w:t>
      </w:r>
      <w:r w:rsidR="004D1E15" w:rsidRPr="00F6340E">
        <w:t xml:space="preserve"> </w:t>
      </w:r>
      <w:r w:rsidR="00A56E08">
        <w:t>н</w:t>
      </w:r>
      <w:r w:rsidR="00EE6AA2">
        <w:t>е</w:t>
      </w:r>
      <w:r w:rsidR="00171F00">
        <w:t>з</w:t>
      </w:r>
      <w:r w:rsidR="00A56E08">
        <w:t>аобила</w:t>
      </w:r>
      <w:r w:rsidR="00171F00">
        <w:t>з</w:t>
      </w:r>
      <w:r w:rsidR="00A56E08">
        <w:t>н</w:t>
      </w:r>
      <w:r>
        <w:t>у</w:t>
      </w:r>
      <w:r w:rsidR="004D1E15" w:rsidRPr="00F6340E">
        <w:t xml:space="preserve"> </w:t>
      </w:r>
      <w:r>
        <w:t>уп</w:t>
      </w:r>
      <w:r w:rsidR="00A56E08">
        <w:t>о</w:t>
      </w:r>
      <w:r>
        <w:t>тр</w:t>
      </w:r>
      <w:r w:rsidR="00EE6AA2">
        <w:t>е</w:t>
      </w:r>
      <w:r w:rsidR="00A56E08">
        <w:t>б</w:t>
      </w:r>
      <w:r>
        <w:t>у</w:t>
      </w:r>
      <w:r w:rsidR="004D1E15" w:rsidRPr="00F6340E">
        <w:t xml:space="preserve"> </w:t>
      </w:r>
      <w:r w:rsidR="00A56E08">
        <w:t>диги</w:t>
      </w:r>
      <w:r>
        <w:t>т</w:t>
      </w:r>
      <w:r w:rsidR="00A56E08">
        <w:t>алних</w:t>
      </w:r>
      <w:r w:rsidR="004D1E15" w:rsidRPr="00F6340E">
        <w:t xml:space="preserve"> </w:t>
      </w:r>
      <w:r w:rsidR="00A56E08">
        <w:t>ала</w:t>
      </w:r>
      <w:r>
        <w:t>т</w:t>
      </w:r>
      <w:r w:rsidR="00A56E08">
        <w:t>а</w:t>
      </w:r>
      <w:r w:rsidR="004D1E15" w:rsidRPr="00F6340E">
        <w:t xml:space="preserve"> </w:t>
      </w:r>
      <w:r>
        <w:t>у</w:t>
      </w:r>
      <w:r w:rsidR="004D1E15" w:rsidRPr="00F6340E">
        <w:t xml:space="preserve"> </w:t>
      </w:r>
      <w:r w:rsidR="00A56E08">
        <w:t>об</w:t>
      </w:r>
      <w:r>
        <w:t>р</w:t>
      </w:r>
      <w:r w:rsidR="00A56E08">
        <w:t>а</w:t>
      </w:r>
      <w:r w:rsidR="00171F00">
        <w:t>з</w:t>
      </w:r>
      <w:r w:rsidR="00A56E08">
        <w:t>о</w:t>
      </w:r>
      <w:r>
        <w:t>в</w:t>
      </w:r>
      <w:r w:rsidR="00A56E08">
        <w:t>ном</w:t>
      </w:r>
      <w:r w:rsidR="004D1E15" w:rsidRPr="00F6340E">
        <w:t xml:space="preserve"> </w:t>
      </w:r>
      <w:r>
        <w:t>пр</w:t>
      </w:r>
      <w:r w:rsidR="00A56E08">
        <w:t>оц</w:t>
      </w:r>
      <w:r w:rsidR="00EE6AA2">
        <w:t>е</w:t>
      </w:r>
      <w:r>
        <w:t>су</w:t>
      </w:r>
      <w:r w:rsidR="004D1E15" w:rsidRPr="00F6340E">
        <w:t xml:space="preserve"> </w:t>
      </w:r>
      <w:r w:rsidR="00A56E08">
        <w:t>н</w:t>
      </w:r>
      <w:r w:rsidR="00EE6AA2">
        <w:t>е</w:t>
      </w:r>
      <w:r w:rsidR="00A56E08">
        <w:t>мино</w:t>
      </w:r>
      <w:r>
        <w:t>в</w:t>
      </w:r>
      <w:r w:rsidR="00A56E08">
        <w:t>но</w:t>
      </w:r>
      <w:r w:rsidR="004D1E15" w:rsidRPr="00F6340E">
        <w:t xml:space="preserve"> </w:t>
      </w:r>
      <w:r w:rsidR="00A56E08">
        <w:t>ј</w:t>
      </w:r>
      <w:r w:rsidR="00EE6AA2">
        <w:t>е</w:t>
      </w:r>
      <w:r w:rsidR="004D1E15" w:rsidRPr="00F6340E">
        <w:t xml:space="preserve"> </w:t>
      </w:r>
      <w:r>
        <w:t>р</w:t>
      </w:r>
      <w:r w:rsidR="00A56E08">
        <w:t>а</w:t>
      </w:r>
      <w:r w:rsidR="00171F00">
        <w:t>з</w:t>
      </w:r>
      <w:r w:rsidR="00A56E08">
        <w:t>ми</w:t>
      </w:r>
      <w:r>
        <w:t>ш</w:t>
      </w:r>
      <w:r w:rsidR="00A56E08">
        <w:t>ља</w:t>
      </w:r>
      <w:r>
        <w:t>т</w:t>
      </w:r>
      <w:r w:rsidR="00A56E08">
        <w:t>и</w:t>
      </w:r>
      <w:r w:rsidR="004D1E15" w:rsidRPr="00F6340E">
        <w:t xml:space="preserve"> </w:t>
      </w:r>
      <w:r w:rsidR="00A56E08">
        <w:t>о</w:t>
      </w:r>
      <w:r w:rsidR="004D1E15" w:rsidRPr="00F6340E">
        <w:t xml:space="preserve"> </w:t>
      </w:r>
      <w:r>
        <w:t>усп</w:t>
      </w:r>
      <w:r w:rsidR="00A56E08">
        <w:t>о</w:t>
      </w:r>
      <w:r>
        <w:t>ст</w:t>
      </w:r>
      <w:r w:rsidR="00A56E08">
        <w:t>а</w:t>
      </w:r>
      <w:r>
        <w:t>в</w:t>
      </w:r>
      <w:r w:rsidR="00A56E08">
        <w:t>љањ</w:t>
      </w:r>
      <w:r>
        <w:t>у</w:t>
      </w:r>
      <w:r w:rsidR="004D1E15" w:rsidRPr="00F6340E">
        <w:t xml:space="preserve"> </w:t>
      </w:r>
      <w:r w:rsidR="00A56E08">
        <w:t>м</w:t>
      </w:r>
      <w:r w:rsidR="00EE6AA2">
        <w:t>е</w:t>
      </w:r>
      <w:r w:rsidR="00A56E08">
        <w:t>хани</w:t>
      </w:r>
      <w:r w:rsidR="00171F00">
        <w:t>з</w:t>
      </w:r>
      <w:r w:rsidR="00A56E08">
        <w:t>ама</w:t>
      </w:r>
      <w:r w:rsidR="004D1E15" w:rsidRPr="00F6340E">
        <w:t xml:space="preserve"> </w:t>
      </w:r>
      <w:r w:rsidR="00A56E08">
        <w:t>и</w:t>
      </w:r>
      <w:r w:rsidR="004D1E15" w:rsidRPr="00F6340E">
        <w:t xml:space="preserve"> </w:t>
      </w:r>
      <w:r w:rsidR="00A56E08">
        <w:t>к</w:t>
      </w:r>
      <w:r>
        <w:t>р</w:t>
      </w:r>
      <w:r w:rsidR="00EE6AA2">
        <w:t>е</w:t>
      </w:r>
      <w:r w:rsidR="00A56E08">
        <w:t>и</w:t>
      </w:r>
      <w:r>
        <w:t>р</w:t>
      </w:r>
      <w:r w:rsidR="00A56E08">
        <w:t>ањ</w:t>
      </w:r>
      <w:r>
        <w:t>у</w:t>
      </w:r>
      <w:r w:rsidR="004D1E15" w:rsidRPr="00F6340E">
        <w:t xml:space="preserve"> </w:t>
      </w:r>
      <w:r w:rsidR="00A56E08">
        <w:t>ин</w:t>
      </w:r>
      <w:r>
        <w:t>стру</w:t>
      </w:r>
      <w:r w:rsidR="00A56E08">
        <w:t>м</w:t>
      </w:r>
      <w:r w:rsidR="00EE6AA2">
        <w:t>е</w:t>
      </w:r>
      <w:r w:rsidR="00A56E08">
        <w:t>на</w:t>
      </w:r>
      <w:r>
        <w:t>т</w:t>
      </w:r>
      <w:r w:rsidR="00A56E08">
        <w:t>а</w:t>
      </w:r>
      <w:r w:rsidR="004D1E15" w:rsidRPr="00F6340E">
        <w:t xml:space="preserve"> </w:t>
      </w:r>
      <w:r w:rsidR="00A56E08">
        <w:t>који</w:t>
      </w:r>
      <w:r w:rsidR="004D1E15" w:rsidRPr="00F6340E">
        <w:t xml:space="preserve"> </w:t>
      </w:r>
      <w:r w:rsidR="00A56E08">
        <w:t>ћ</w:t>
      </w:r>
      <w:r w:rsidR="00EE6AA2">
        <w:t>е</w:t>
      </w:r>
      <w:r w:rsidR="004D1E15" w:rsidRPr="00F6340E">
        <w:t xml:space="preserve"> </w:t>
      </w:r>
      <w:r>
        <w:t>пр</w:t>
      </w:r>
      <w:r w:rsidR="00A56E08">
        <w:t>а</w:t>
      </w:r>
      <w:r>
        <w:t>т</w:t>
      </w:r>
      <w:r w:rsidR="00A56E08">
        <w:t>и</w:t>
      </w:r>
      <w:r>
        <w:t>т</w:t>
      </w:r>
      <w:r w:rsidR="00A56E08">
        <w:t>и</w:t>
      </w:r>
      <w:r w:rsidR="004D1E15" w:rsidRPr="00F6340E">
        <w:t xml:space="preserve"> </w:t>
      </w:r>
      <w:r>
        <w:t>с</w:t>
      </w:r>
      <w:r w:rsidR="00A56E08">
        <w:t>а</w:t>
      </w:r>
      <w:r>
        <w:t>вр</w:t>
      </w:r>
      <w:r w:rsidR="00EE6AA2">
        <w:t>е</w:t>
      </w:r>
      <w:r w:rsidR="00A56E08">
        <w:t>м</w:t>
      </w:r>
      <w:r w:rsidR="00EE6AA2">
        <w:t>е</w:t>
      </w:r>
      <w:r w:rsidR="00A56E08">
        <w:t>н</w:t>
      </w:r>
      <w:r w:rsidR="00EE6AA2">
        <w:t>е</w:t>
      </w:r>
      <w:r w:rsidR="004D1E15" w:rsidRPr="00F6340E">
        <w:t xml:space="preserve"> </w:t>
      </w:r>
      <w:r w:rsidR="00171F00">
        <w:t>з</w:t>
      </w:r>
      <w:r w:rsidR="00A56E08">
        <w:t>ах</w:t>
      </w:r>
      <w:r>
        <w:t>т</w:t>
      </w:r>
      <w:r w:rsidR="00A56E08">
        <w:t>ј</w:t>
      </w:r>
      <w:r w:rsidR="00EE6AA2">
        <w:t>е</w:t>
      </w:r>
      <w:r>
        <w:t>в</w:t>
      </w:r>
      <w:r w:rsidR="00EE6AA2">
        <w:t>е</w:t>
      </w:r>
      <w:r w:rsidR="004D1E15" w:rsidRPr="00F6340E">
        <w:t xml:space="preserve"> </w:t>
      </w:r>
      <w:r>
        <w:t>пр</w:t>
      </w:r>
      <w:r w:rsidR="00A56E08">
        <w:t>ак</w:t>
      </w:r>
      <w:r>
        <w:t>с</w:t>
      </w:r>
      <w:r w:rsidR="00EE6AA2">
        <w:t>е</w:t>
      </w:r>
      <w:r w:rsidR="004D1E15" w:rsidRPr="00F6340E">
        <w:t xml:space="preserve">. </w:t>
      </w:r>
      <w:r w:rsidR="00A56E08">
        <w:t>Ј</w:t>
      </w:r>
      <w:r w:rsidR="00EE6AA2">
        <w:t>е</w:t>
      </w:r>
      <w:r w:rsidR="00A56E08">
        <w:t>дан</w:t>
      </w:r>
      <w:r w:rsidR="004D1E15" w:rsidRPr="00F6340E">
        <w:t xml:space="preserve"> </w:t>
      </w:r>
      <w:r>
        <w:t>т</w:t>
      </w:r>
      <w:r w:rsidR="00A56E08">
        <w:t>ака</w:t>
      </w:r>
      <w:r>
        <w:t>в</w:t>
      </w:r>
      <w:r w:rsidR="004D1E15" w:rsidRPr="00F6340E">
        <w:t xml:space="preserve"> </w:t>
      </w:r>
      <w:r w:rsidR="00A56E08">
        <w:t>ин</w:t>
      </w:r>
      <w:r>
        <w:t>стру</w:t>
      </w:r>
      <w:r w:rsidR="00A56E08">
        <w:t>м</w:t>
      </w:r>
      <w:r w:rsidR="00EE6AA2">
        <w:t>е</w:t>
      </w:r>
      <w:r w:rsidR="00A56E08">
        <w:t>н</w:t>
      </w:r>
      <w:r>
        <w:t>т</w:t>
      </w:r>
      <w:r w:rsidR="004D1E15" w:rsidRPr="00F6340E">
        <w:t xml:space="preserve"> </w:t>
      </w:r>
      <w:r w:rsidR="00A56E08">
        <w:t>ј</w:t>
      </w:r>
      <w:r w:rsidR="00EE6AA2">
        <w:t>е</w:t>
      </w:r>
      <w:r w:rsidR="004D1E15" w:rsidRPr="00F6340E">
        <w:t xml:space="preserve"> </w:t>
      </w:r>
      <w:r>
        <w:t>т</w:t>
      </w:r>
      <w:r w:rsidR="00171F00">
        <w:t>з</w:t>
      </w:r>
      <w:r>
        <w:t>в</w:t>
      </w:r>
      <w:r w:rsidR="004D1E15" w:rsidRPr="00F6340E">
        <w:t xml:space="preserve">. </w:t>
      </w:r>
      <w:r>
        <w:t>С</w:t>
      </w:r>
      <w:r w:rsidR="00EE6AA2">
        <w:t>Е</w:t>
      </w:r>
      <w:r w:rsidR="00A56E08">
        <w:t>ЛФИ</w:t>
      </w:r>
      <w:r w:rsidR="00EE6AA2">
        <w:t>Е</w:t>
      </w:r>
      <w:r w:rsidR="004D1E15" w:rsidRPr="00F6340E">
        <w:t xml:space="preserve"> </w:t>
      </w:r>
      <w:r w:rsidR="00A56E08">
        <w:t>м</w:t>
      </w:r>
      <w:r w:rsidR="00EE6AA2">
        <w:t>е</w:t>
      </w:r>
      <w:r>
        <w:t>т</w:t>
      </w:r>
      <w:r w:rsidR="00A56E08">
        <w:t>ода</w:t>
      </w:r>
      <w:r w:rsidR="004D1E15" w:rsidRPr="00F6340E">
        <w:t xml:space="preserve">, </w:t>
      </w:r>
      <w:r w:rsidR="00A56E08">
        <w:t>која</w:t>
      </w:r>
      <w:r w:rsidR="004D1E15" w:rsidRPr="00F6340E">
        <w:t xml:space="preserve"> </w:t>
      </w:r>
      <w:r w:rsidR="00A56E08">
        <w:t>ј</w:t>
      </w:r>
      <w:r w:rsidR="00EE6AA2">
        <w:t>е</w:t>
      </w:r>
      <w:r w:rsidR="004D1E15" w:rsidRPr="00F6340E">
        <w:t xml:space="preserve"> </w:t>
      </w:r>
      <w:r>
        <w:t>св</w:t>
      </w:r>
      <w:r w:rsidR="00A56E08">
        <w:t>ој</w:t>
      </w:r>
      <w:r>
        <w:t>у</w:t>
      </w:r>
      <w:r w:rsidR="004D1E15" w:rsidRPr="00F6340E">
        <w:t xml:space="preserve"> </w:t>
      </w:r>
      <w:r>
        <w:t>уп</w:t>
      </w:r>
      <w:r w:rsidR="00A56E08">
        <w:t>о</w:t>
      </w:r>
      <w:r>
        <w:t>тр</w:t>
      </w:r>
      <w:r w:rsidR="00EE6AA2">
        <w:t>е</w:t>
      </w:r>
      <w:r w:rsidR="00A56E08">
        <w:t>бн</w:t>
      </w:r>
      <w:r>
        <w:t>у</w:t>
      </w:r>
      <w:r w:rsidR="004D1E15" w:rsidRPr="00F6340E">
        <w:t xml:space="preserve"> </w:t>
      </w:r>
      <w:r>
        <w:t>вр</w:t>
      </w:r>
      <w:r w:rsidR="00A56E08">
        <w:t>иј</w:t>
      </w:r>
      <w:r w:rsidR="00EE6AA2">
        <w:t>е</w:t>
      </w:r>
      <w:r w:rsidR="00A56E08">
        <w:t>дно</w:t>
      </w:r>
      <w:r>
        <w:t>ст</w:t>
      </w:r>
      <w:r w:rsidR="004D1E15" w:rsidRPr="00F6340E">
        <w:t xml:space="preserve"> </w:t>
      </w:r>
      <w:r w:rsidR="00A56E08">
        <w:t>на</w:t>
      </w:r>
      <w:r>
        <w:t>ш</w:t>
      </w:r>
      <w:r w:rsidR="00A56E08">
        <w:t>ла</w:t>
      </w:r>
      <w:r w:rsidR="004D1E15" w:rsidRPr="00F6340E">
        <w:t xml:space="preserve"> </w:t>
      </w:r>
      <w:r>
        <w:t>у</w:t>
      </w:r>
      <w:r w:rsidR="004D1E15" w:rsidRPr="00F6340E">
        <w:t xml:space="preserve"> </w:t>
      </w:r>
      <w:r w:rsidR="00A56E08">
        <w:t>о</w:t>
      </w:r>
      <w:r>
        <w:t>с</w:t>
      </w:r>
      <w:r w:rsidR="00A56E08">
        <w:t>но</w:t>
      </w:r>
      <w:r>
        <w:t>в</w:t>
      </w:r>
      <w:r w:rsidR="00A56E08">
        <w:t>ним</w:t>
      </w:r>
      <w:r w:rsidR="004D1E15" w:rsidRPr="00F6340E">
        <w:t xml:space="preserve"> </w:t>
      </w:r>
      <w:r w:rsidR="00A56E08">
        <w:t>и</w:t>
      </w:r>
      <w:r w:rsidR="004D1E15" w:rsidRPr="00F6340E">
        <w:t xml:space="preserve"> </w:t>
      </w:r>
      <w:r>
        <w:t>ср</w:t>
      </w:r>
      <w:r w:rsidR="00EE6AA2">
        <w:t>е</w:t>
      </w:r>
      <w:r w:rsidR="00A56E08">
        <w:t>дњим</w:t>
      </w:r>
      <w:r w:rsidR="004D1E15" w:rsidRPr="00F6340E">
        <w:t xml:space="preserve"> </w:t>
      </w:r>
      <w:r>
        <w:t>ш</w:t>
      </w:r>
      <w:r w:rsidR="00A56E08">
        <w:t>колама</w:t>
      </w:r>
      <w:r w:rsidR="004D1E15" w:rsidRPr="00F6340E">
        <w:t xml:space="preserve"> </w:t>
      </w:r>
      <w:r>
        <w:t>у</w:t>
      </w:r>
      <w:r w:rsidR="004D1E15" w:rsidRPr="00F6340E">
        <w:t xml:space="preserve"> </w:t>
      </w:r>
      <w:r w:rsidR="00171F00">
        <w:t>з</w:t>
      </w:r>
      <w:r w:rsidR="00EE6AA2">
        <w:t>е</w:t>
      </w:r>
      <w:r w:rsidR="00A56E08">
        <w:t>мљама</w:t>
      </w:r>
      <w:r w:rsidR="004D1E15" w:rsidRPr="00F6340E">
        <w:t xml:space="preserve"> </w:t>
      </w:r>
      <w:r w:rsidR="00EE6AA2">
        <w:t>Е</w:t>
      </w:r>
      <w:r>
        <w:t>вр</w:t>
      </w:r>
      <w:r w:rsidR="00A56E08">
        <w:t>о</w:t>
      </w:r>
      <w:r>
        <w:t>п</w:t>
      </w:r>
      <w:r w:rsidR="00EE6AA2">
        <w:t>е</w:t>
      </w:r>
      <w:r w:rsidR="004D1E15" w:rsidRPr="00F6340E">
        <w:t xml:space="preserve"> </w:t>
      </w:r>
      <w:r w:rsidR="00A56E08">
        <w:t>како</w:t>
      </w:r>
      <w:r w:rsidR="004D1E15" w:rsidRPr="00F6340E">
        <w:t xml:space="preserve"> </w:t>
      </w:r>
      <w:r w:rsidR="00171F00">
        <w:t>з</w:t>
      </w:r>
      <w:r w:rsidR="00A56E08">
        <w:t>бог</w:t>
      </w:r>
      <w:r w:rsidR="004D1E15" w:rsidRPr="00F6340E">
        <w:t xml:space="preserve"> </w:t>
      </w:r>
      <w:r>
        <w:t>св</w:t>
      </w:r>
      <w:r w:rsidR="00A56E08">
        <w:t>ој</w:t>
      </w:r>
      <w:r w:rsidR="00EE6AA2">
        <w:t>е</w:t>
      </w:r>
      <w:r w:rsidR="004D1E15" w:rsidRPr="00F6340E">
        <w:t xml:space="preserve"> </w:t>
      </w:r>
      <w:r w:rsidR="00A56E08">
        <w:t>об</w:t>
      </w:r>
      <w:r>
        <w:t>у</w:t>
      </w:r>
      <w:r w:rsidR="00A56E08">
        <w:t>х</w:t>
      </w:r>
      <w:r>
        <w:t>в</w:t>
      </w:r>
      <w:r w:rsidR="00A56E08">
        <w:t>а</w:t>
      </w:r>
      <w:r>
        <w:t>т</w:t>
      </w:r>
      <w:r w:rsidR="00A56E08">
        <w:t>но</w:t>
      </w:r>
      <w:r>
        <w:t>ст</w:t>
      </w:r>
      <w:r w:rsidR="00A56E08">
        <w:t>и</w:t>
      </w:r>
      <w:r w:rsidR="004D1E15" w:rsidRPr="00F6340E">
        <w:t xml:space="preserve"> </w:t>
      </w:r>
      <w:r w:rsidR="00A56E08">
        <w:t>и</w:t>
      </w:r>
      <w:r w:rsidR="004D1E15" w:rsidRPr="00F6340E">
        <w:t xml:space="preserve"> </w:t>
      </w:r>
      <w:r>
        <w:t>пр</w:t>
      </w:r>
      <w:r w:rsidR="00A56E08">
        <w:t>ак</w:t>
      </w:r>
      <w:r>
        <w:t>т</w:t>
      </w:r>
      <w:r w:rsidR="00A56E08">
        <w:t>ично</w:t>
      </w:r>
      <w:r>
        <w:t>ст</w:t>
      </w:r>
      <w:r w:rsidR="00A56E08">
        <w:t>и</w:t>
      </w:r>
      <w:r w:rsidR="004D1E15" w:rsidRPr="00F6340E">
        <w:t xml:space="preserve">, </w:t>
      </w:r>
      <w:r>
        <w:t>т</w:t>
      </w:r>
      <w:r w:rsidR="00A56E08">
        <w:t>ако</w:t>
      </w:r>
      <w:r w:rsidR="004D1E15" w:rsidRPr="00F6340E">
        <w:t xml:space="preserve"> </w:t>
      </w:r>
      <w:r w:rsidR="00A56E08">
        <w:t>и</w:t>
      </w:r>
      <w:r w:rsidR="004D1E15" w:rsidRPr="00F6340E">
        <w:t xml:space="preserve"> </w:t>
      </w:r>
      <w:r w:rsidR="00A56E08">
        <w:t>кон</w:t>
      </w:r>
      <w:r>
        <w:t>т</w:t>
      </w:r>
      <w:r w:rsidR="00EE6AA2">
        <w:t>е</w:t>
      </w:r>
      <w:r w:rsidR="00A56E08">
        <w:t>к</w:t>
      </w:r>
      <w:r>
        <w:t>сту</w:t>
      </w:r>
      <w:r w:rsidR="00A56E08">
        <w:t>ално</w:t>
      </w:r>
      <w:r>
        <w:t>ст</w:t>
      </w:r>
      <w:r w:rsidR="00A56E08">
        <w:t>и</w:t>
      </w:r>
      <w:r w:rsidR="004D1E15" w:rsidRPr="00F6340E">
        <w:t xml:space="preserve"> </w:t>
      </w:r>
      <w:r>
        <w:t>спр</w:t>
      </w:r>
      <w:r w:rsidR="00A56E08">
        <w:t>ам</w:t>
      </w:r>
      <w:r w:rsidR="004D1E15" w:rsidRPr="00F6340E">
        <w:t xml:space="preserve"> </w:t>
      </w:r>
      <w:r>
        <w:t>сп</w:t>
      </w:r>
      <w:r w:rsidR="00EE6AA2">
        <w:t>е</w:t>
      </w:r>
      <w:r w:rsidR="00A56E08">
        <w:t>цифичних</w:t>
      </w:r>
      <w:r w:rsidR="004D1E15" w:rsidRPr="00F6340E">
        <w:t xml:space="preserve"> </w:t>
      </w:r>
      <w:r>
        <w:t>п</w:t>
      </w:r>
      <w:r w:rsidR="00A56E08">
        <w:t>о</w:t>
      </w:r>
      <w:r>
        <w:t>тр</w:t>
      </w:r>
      <w:r w:rsidR="00EE6AA2">
        <w:t>е</w:t>
      </w:r>
      <w:r w:rsidR="00A56E08">
        <w:t>ба</w:t>
      </w:r>
      <w:r w:rsidR="004D1E15" w:rsidRPr="00F6340E">
        <w:t xml:space="preserve"> </w:t>
      </w:r>
      <w:r w:rsidR="00171F00">
        <w:t>з</w:t>
      </w:r>
      <w:r w:rsidR="00EE6AA2">
        <w:t>е</w:t>
      </w:r>
      <w:r w:rsidR="00A56E08">
        <w:t>мљ</w:t>
      </w:r>
      <w:r w:rsidR="00EE6AA2">
        <w:t>е</w:t>
      </w:r>
      <w:r w:rsidR="004D1E15" w:rsidRPr="00F6340E">
        <w:t>/</w:t>
      </w:r>
      <w:r w:rsidR="00A56E08">
        <w:t>об</w:t>
      </w:r>
      <w:r>
        <w:t>р</w:t>
      </w:r>
      <w:r w:rsidR="00A56E08">
        <w:t>а</w:t>
      </w:r>
      <w:r w:rsidR="00171F00">
        <w:t>з</w:t>
      </w:r>
      <w:r w:rsidR="00A56E08">
        <w:t>о</w:t>
      </w:r>
      <w:r>
        <w:t>в</w:t>
      </w:r>
      <w:r w:rsidR="00A56E08">
        <w:t>н</w:t>
      </w:r>
      <w:r w:rsidR="00EE6AA2">
        <w:t>е</w:t>
      </w:r>
      <w:r w:rsidR="004D1E15" w:rsidRPr="00F6340E">
        <w:t xml:space="preserve"> </w:t>
      </w:r>
      <w:r w:rsidR="00A56E08">
        <w:t>ин</w:t>
      </w:r>
      <w:r>
        <w:t>ст</w:t>
      </w:r>
      <w:r w:rsidR="00A56E08">
        <w:t>и</w:t>
      </w:r>
      <w:r>
        <w:t>ту</w:t>
      </w:r>
      <w:r w:rsidR="00A56E08">
        <w:t>циј</w:t>
      </w:r>
      <w:r w:rsidR="00EE6AA2">
        <w:t>е</w:t>
      </w:r>
      <w:r w:rsidR="004D1E15" w:rsidRPr="00F6340E">
        <w:t xml:space="preserve"> </w:t>
      </w:r>
      <w:r>
        <w:t>у</w:t>
      </w:r>
      <w:r w:rsidR="004D1E15" w:rsidRPr="00F6340E">
        <w:t xml:space="preserve"> </w:t>
      </w:r>
      <w:r w:rsidR="00A56E08">
        <w:t>ок</w:t>
      </w:r>
      <w:r>
        <w:t>в</w:t>
      </w:r>
      <w:r w:rsidR="00A56E08">
        <w:t>и</w:t>
      </w:r>
      <w:r>
        <w:t>ру</w:t>
      </w:r>
      <w:r w:rsidR="004D1E15" w:rsidRPr="00F6340E">
        <w:t xml:space="preserve"> </w:t>
      </w:r>
      <w:r w:rsidR="00A56E08">
        <w:t>кој</w:t>
      </w:r>
      <w:r w:rsidR="00EE6AA2">
        <w:t>е</w:t>
      </w:r>
      <w:r w:rsidR="004D1E15" w:rsidRPr="00F6340E">
        <w:t xml:space="preserve"> </w:t>
      </w:r>
      <w:r>
        <w:t>с</w:t>
      </w:r>
      <w:r w:rsidR="00EE6AA2">
        <w:t>е</w:t>
      </w:r>
      <w:r w:rsidR="004D1E15" w:rsidRPr="00F6340E">
        <w:t xml:space="preserve"> </w:t>
      </w:r>
      <w:r w:rsidR="00A56E08">
        <w:t>ко</w:t>
      </w:r>
      <w:r>
        <w:t>р</w:t>
      </w:r>
      <w:r w:rsidR="00A56E08">
        <w:t>и</w:t>
      </w:r>
      <w:r>
        <w:t>ст</w:t>
      </w:r>
      <w:r w:rsidR="00A56E08">
        <w:t>и</w:t>
      </w:r>
      <w:r w:rsidR="004D1E15" w:rsidRPr="00F6340E">
        <w:t xml:space="preserve">. </w:t>
      </w:r>
    </w:p>
    <w:p w14:paraId="344948DF" w14:textId="4117D0A2" w:rsidR="004D1E15" w:rsidRPr="00F6340E" w:rsidRDefault="00A56E08" w:rsidP="000962EB">
      <w:pPr>
        <w:pStyle w:val="Heading3"/>
        <w:numPr>
          <w:ilvl w:val="2"/>
          <w:numId w:val="70"/>
        </w:numPr>
        <w:rPr>
          <w:lang w:val="sr-Cyrl-BA"/>
        </w:rPr>
      </w:pPr>
      <w:bookmarkStart w:id="43" w:name="_Toc119050325"/>
      <w:r>
        <w:rPr>
          <w:lang w:val="sr-Cyrl-BA"/>
        </w:rPr>
        <w:lastRenderedPageBreak/>
        <w:t>М</w:t>
      </w:r>
      <w:r w:rsidR="00EE6AA2">
        <w:rPr>
          <w:lang w:val="sr-Cyrl-BA"/>
        </w:rPr>
        <w:t>е</w:t>
      </w:r>
      <w:r w:rsidR="0071360A">
        <w:rPr>
          <w:lang w:val="sr-Cyrl-BA"/>
        </w:rPr>
        <w:t>т</w:t>
      </w:r>
      <w:r>
        <w:rPr>
          <w:lang w:val="sr-Cyrl-BA"/>
        </w:rPr>
        <w:t>од</w:t>
      </w:r>
      <w:r w:rsidR="00992A10" w:rsidRPr="00F6340E">
        <w:rPr>
          <w:lang w:val="sr-Cyrl-BA"/>
        </w:rPr>
        <w:t xml:space="preserve"> </w:t>
      </w:r>
      <w:r w:rsidR="0071360A">
        <w:rPr>
          <w:lang w:val="sr-Cyrl-BA"/>
        </w:rPr>
        <w:t>С</w:t>
      </w:r>
      <w:r w:rsidR="00EE6AA2">
        <w:rPr>
          <w:lang w:val="sr-Cyrl-BA"/>
        </w:rPr>
        <w:t>Е</w:t>
      </w:r>
      <w:r>
        <w:rPr>
          <w:lang w:val="sr-Cyrl-BA"/>
        </w:rPr>
        <w:t>ЛФИ</w:t>
      </w:r>
      <w:r w:rsidR="00EE6AA2">
        <w:rPr>
          <w:lang w:val="sr-Cyrl-BA"/>
        </w:rPr>
        <w:t>Е</w:t>
      </w:r>
      <w:r w:rsidR="004D1E15" w:rsidRPr="00F6340E">
        <w:rPr>
          <w:rStyle w:val="FootnoteReference"/>
          <w:lang w:val="sr-Cyrl-BA"/>
        </w:rPr>
        <w:footnoteReference w:id="20"/>
      </w:r>
      <w:bookmarkEnd w:id="43"/>
    </w:p>
    <w:p w14:paraId="366A1407" w14:textId="2D1660F0" w:rsidR="004D1E15" w:rsidRDefault="0071360A" w:rsidP="008C491A">
      <w:pPr>
        <w:pStyle w:val="Body"/>
        <w:rPr>
          <w:bCs/>
        </w:rPr>
      </w:pPr>
      <w:r>
        <w:rPr>
          <w:bCs/>
        </w:rPr>
        <w:t>С</w:t>
      </w:r>
      <w:r w:rsidR="00EE6AA2">
        <w:rPr>
          <w:bCs/>
        </w:rPr>
        <w:t>Е</w:t>
      </w:r>
      <w:r w:rsidR="00A56E08">
        <w:rPr>
          <w:bCs/>
        </w:rPr>
        <w:t>ЛФИ</w:t>
      </w:r>
      <w:r w:rsidR="00EE6AA2">
        <w:rPr>
          <w:bCs/>
        </w:rPr>
        <w:t>Е</w:t>
      </w:r>
      <w:r w:rsidR="004D1E15" w:rsidRPr="00F6340E">
        <w:rPr>
          <w:bCs/>
        </w:rPr>
        <w:t xml:space="preserve"> </w:t>
      </w:r>
      <w:r w:rsidR="00A56E08">
        <w:rPr>
          <w:bCs/>
        </w:rPr>
        <w:t>ј</w:t>
      </w:r>
      <w:r w:rsidR="00EE6AA2">
        <w:rPr>
          <w:bCs/>
        </w:rPr>
        <w:t>е</w:t>
      </w:r>
      <w:r w:rsidR="004D1E15" w:rsidRPr="00F6340E">
        <w:rPr>
          <w:bCs/>
        </w:rPr>
        <w:t xml:space="preserve"> </w:t>
      </w:r>
      <w:r w:rsidR="00A56E08">
        <w:rPr>
          <w:bCs/>
        </w:rPr>
        <w:t>ала</w:t>
      </w:r>
      <w:r>
        <w:rPr>
          <w:bCs/>
        </w:rPr>
        <w:t>т</w:t>
      </w:r>
      <w:r w:rsidR="004D1E15" w:rsidRPr="00F6340E">
        <w:rPr>
          <w:bCs/>
        </w:rPr>
        <w:t xml:space="preserve"> </w:t>
      </w:r>
      <w:r w:rsidR="00A56E08">
        <w:rPr>
          <w:bCs/>
        </w:rPr>
        <w:t>који</w:t>
      </w:r>
      <w:r w:rsidR="004D1E15" w:rsidRPr="00F6340E">
        <w:rPr>
          <w:bCs/>
        </w:rPr>
        <w:t xml:space="preserve"> </w:t>
      </w:r>
      <w:r>
        <w:rPr>
          <w:bCs/>
        </w:rPr>
        <w:t>с</w:t>
      </w:r>
      <w:r w:rsidR="00EE6AA2">
        <w:rPr>
          <w:bCs/>
        </w:rPr>
        <w:t>е</w:t>
      </w:r>
      <w:r w:rsidR="00DB12EE" w:rsidRPr="00F6340E">
        <w:rPr>
          <w:bCs/>
        </w:rPr>
        <w:t xml:space="preserve"> </w:t>
      </w:r>
      <w:r w:rsidR="00A56E08">
        <w:rPr>
          <w:bCs/>
        </w:rPr>
        <w:t>ко</w:t>
      </w:r>
      <w:r>
        <w:rPr>
          <w:bCs/>
        </w:rPr>
        <w:t>р</w:t>
      </w:r>
      <w:r w:rsidR="00A56E08">
        <w:rPr>
          <w:bCs/>
        </w:rPr>
        <w:t>и</w:t>
      </w:r>
      <w:r>
        <w:rPr>
          <w:bCs/>
        </w:rPr>
        <w:t>ст</w:t>
      </w:r>
      <w:r w:rsidR="00A56E08">
        <w:rPr>
          <w:bCs/>
        </w:rPr>
        <w:t>и</w:t>
      </w:r>
      <w:r w:rsidR="00DB12EE" w:rsidRPr="00F6340E">
        <w:rPr>
          <w:bCs/>
        </w:rPr>
        <w:t xml:space="preserve"> </w:t>
      </w:r>
      <w:r w:rsidR="00171F00">
        <w:rPr>
          <w:bCs/>
        </w:rPr>
        <w:t>з</w:t>
      </w:r>
      <w:r w:rsidR="00A56E08">
        <w:rPr>
          <w:bCs/>
        </w:rPr>
        <w:t>а</w:t>
      </w:r>
      <w:r w:rsidR="004D1E15" w:rsidRPr="00F6340E">
        <w:rPr>
          <w:bCs/>
        </w:rPr>
        <w:t xml:space="preserve"> </w:t>
      </w:r>
      <w:r w:rsidR="00A56E08">
        <w:rPr>
          <w:bCs/>
        </w:rPr>
        <w:t>и</w:t>
      </w:r>
      <w:r>
        <w:rPr>
          <w:bCs/>
        </w:rPr>
        <w:t>сп</w:t>
      </w:r>
      <w:r w:rsidR="00A56E08">
        <w:rPr>
          <w:bCs/>
        </w:rPr>
        <w:t>и</w:t>
      </w:r>
      <w:r>
        <w:rPr>
          <w:bCs/>
        </w:rPr>
        <w:t>т</w:t>
      </w:r>
      <w:r w:rsidR="00A56E08">
        <w:rPr>
          <w:bCs/>
        </w:rPr>
        <w:t>и</w:t>
      </w:r>
      <w:r>
        <w:rPr>
          <w:bCs/>
        </w:rPr>
        <w:t>в</w:t>
      </w:r>
      <w:r w:rsidR="00A56E08">
        <w:rPr>
          <w:bCs/>
        </w:rPr>
        <w:t>ањ</w:t>
      </w:r>
      <w:r w:rsidR="00EE6AA2">
        <w:rPr>
          <w:bCs/>
        </w:rPr>
        <w:t>е</w:t>
      </w:r>
      <w:r w:rsidR="004D1E15" w:rsidRPr="00F6340E">
        <w:rPr>
          <w:bCs/>
        </w:rPr>
        <w:t xml:space="preserve"> </w:t>
      </w:r>
      <w:r w:rsidR="00A56E08">
        <w:rPr>
          <w:bCs/>
        </w:rPr>
        <w:t>диги</w:t>
      </w:r>
      <w:r>
        <w:rPr>
          <w:bCs/>
        </w:rPr>
        <w:t>т</w:t>
      </w:r>
      <w:r w:rsidR="00A56E08">
        <w:rPr>
          <w:bCs/>
        </w:rPr>
        <w:t>алн</w:t>
      </w:r>
      <w:r w:rsidR="00EE6AA2">
        <w:rPr>
          <w:bCs/>
        </w:rPr>
        <w:t>е</w:t>
      </w:r>
      <w:r w:rsidR="004D1E15" w:rsidRPr="00F6340E">
        <w:rPr>
          <w:bCs/>
        </w:rPr>
        <w:t xml:space="preserve"> </w:t>
      </w:r>
      <w:r w:rsidR="00171F00">
        <w:rPr>
          <w:bCs/>
        </w:rPr>
        <w:t>з</w:t>
      </w:r>
      <w:r>
        <w:rPr>
          <w:bCs/>
        </w:rPr>
        <w:t>р</w:t>
      </w:r>
      <w:r w:rsidR="00EE6AA2">
        <w:rPr>
          <w:bCs/>
        </w:rPr>
        <w:t>е</w:t>
      </w:r>
      <w:r w:rsidR="00A56E08">
        <w:rPr>
          <w:bCs/>
        </w:rPr>
        <w:t>ло</w:t>
      </w:r>
      <w:r>
        <w:rPr>
          <w:bCs/>
        </w:rPr>
        <w:t>ст</w:t>
      </w:r>
      <w:r w:rsidR="00A56E08">
        <w:rPr>
          <w:bCs/>
        </w:rPr>
        <w:t>и</w:t>
      </w:r>
      <w:r w:rsidR="004D1E15" w:rsidRPr="00F6340E">
        <w:rPr>
          <w:bCs/>
        </w:rPr>
        <w:t xml:space="preserve"> </w:t>
      </w:r>
      <w:r>
        <w:rPr>
          <w:bCs/>
        </w:rPr>
        <w:t>ш</w:t>
      </w:r>
      <w:r w:rsidR="00A56E08">
        <w:rPr>
          <w:bCs/>
        </w:rPr>
        <w:t>кол</w:t>
      </w:r>
      <w:r w:rsidR="00EE6AA2">
        <w:rPr>
          <w:bCs/>
        </w:rPr>
        <w:t>е</w:t>
      </w:r>
      <w:r w:rsidR="004D1E15" w:rsidRPr="00F6340E">
        <w:rPr>
          <w:bCs/>
        </w:rPr>
        <w:t xml:space="preserve">, </w:t>
      </w:r>
      <w:r w:rsidR="00A56E08">
        <w:rPr>
          <w:bCs/>
        </w:rPr>
        <w:t>а</w:t>
      </w:r>
      <w:r w:rsidR="004D1E15" w:rsidRPr="00F6340E">
        <w:rPr>
          <w:bCs/>
        </w:rPr>
        <w:t xml:space="preserve"> </w:t>
      </w:r>
      <w:r w:rsidR="00A56E08">
        <w:t>мо</w:t>
      </w:r>
      <w:r w:rsidR="00171F00">
        <w:t>ж</w:t>
      </w:r>
      <w:r w:rsidR="00EE6AA2">
        <w:t>е</w:t>
      </w:r>
      <w:r w:rsidR="004D1E15" w:rsidRPr="00F6340E">
        <w:t xml:space="preserve"> </w:t>
      </w:r>
      <w:r w:rsidR="00A56E08">
        <w:t>до</w:t>
      </w:r>
      <w:r>
        <w:t>пр</w:t>
      </w:r>
      <w:r w:rsidR="00A56E08">
        <w:t>иниј</w:t>
      </w:r>
      <w:r w:rsidR="00EE6AA2">
        <w:t>е</w:t>
      </w:r>
      <w:r>
        <w:t>т</w:t>
      </w:r>
      <w:r w:rsidR="00A56E08">
        <w:t>и</w:t>
      </w:r>
      <w:r w:rsidR="004D1E15" w:rsidRPr="00F6340E">
        <w:t xml:space="preserve"> </w:t>
      </w:r>
      <w:r w:rsidR="00A56E08">
        <w:t>доно</w:t>
      </w:r>
      <w:r>
        <w:t>ш</w:t>
      </w:r>
      <w:r w:rsidR="00EE6AA2">
        <w:t>е</w:t>
      </w:r>
      <w:r w:rsidR="00A56E08">
        <w:t>њ</w:t>
      </w:r>
      <w:r>
        <w:t>у</w:t>
      </w:r>
      <w:r w:rsidR="004D1E15" w:rsidRPr="00F6340E">
        <w:t xml:space="preserve"> </w:t>
      </w:r>
      <w:r>
        <w:t>пр</w:t>
      </w:r>
      <w:r w:rsidR="00A56E08">
        <w:t>оми</w:t>
      </w:r>
      <w:r>
        <w:t>ш</w:t>
      </w:r>
      <w:r w:rsidR="00A56E08">
        <w:t>љ</w:t>
      </w:r>
      <w:r w:rsidR="00EE6AA2">
        <w:t>е</w:t>
      </w:r>
      <w:r w:rsidR="00A56E08">
        <w:t>них</w:t>
      </w:r>
      <w:r w:rsidR="004D1E15" w:rsidRPr="00F6340E">
        <w:t xml:space="preserve"> </w:t>
      </w:r>
      <w:r w:rsidR="00A56E08">
        <w:t>одл</w:t>
      </w:r>
      <w:r>
        <w:t>у</w:t>
      </w:r>
      <w:r w:rsidR="00A56E08">
        <w:t>ка</w:t>
      </w:r>
      <w:r w:rsidR="004D1E15" w:rsidRPr="00F6340E">
        <w:t xml:space="preserve"> </w:t>
      </w:r>
      <w:r w:rsidR="00A56E08">
        <w:t>на</w:t>
      </w:r>
      <w:r w:rsidR="004D1E15" w:rsidRPr="00F6340E">
        <w:t xml:space="preserve"> </w:t>
      </w:r>
      <w:r>
        <w:t>т</w:t>
      </w:r>
      <w:r w:rsidR="00EE6AA2">
        <w:t>е</w:t>
      </w:r>
      <w:r w:rsidR="00A56E08">
        <w:t>м</w:t>
      </w:r>
      <w:r w:rsidR="00EE6AA2">
        <w:t>е</w:t>
      </w:r>
      <w:r w:rsidR="00A56E08">
        <w:t>љ</w:t>
      </w:r>
      <w:r>
        <w:t>у</w:t>
      </w:r>
      <w:r w:rsidR="004D1E15" w:rsidRPr="00F6340E">
        <w:t xml:space="preserve"> </w:t>
      </w:r>
      <w:r w:rsidR="00A56E08">
        <w:t>и</w:t>
      </w:r>
      <w:r>
        <w:t>сп</w:t>
      </w:r>
      <w:r w:rsidR="00A56E08">
        <w:t>и</w:t>
      </w:r>
      <w:r>
        <w:t>т</w:t>
      </w:r>
      <w:r w:rsidR="00A56E08">
        <w:t>и</w:t>
      </w:r>
      <w:r>
        <w:t>в</w:t>
      </w:r>
      <w:r w:rsidR="00A56E08">
        <w:t>ања</w:t>
      </w:r>
      <w:r w:rsidR="004D1E15" w:rsidRPr="00F6340E">
        <w:t xml:space="preserve"> </w:t>
      </w:r>
      <w:r w:rsidR="00A56E08">
        <w:t>и</w:t>
      </w:r>
      <w:r w:rsidR="004D1E15" w:rsidRPr="00F6340E">
        <w:t xml:space="preserve"> </w:t>
      </w:r>
      <w:r w:rsidR="00A56E08">
        <w:t>кон</w:t>
      </w:r>
      <w:r>
        <w:t>т</w:t>
      </w:r>
      <w:r w:rsidR="00A56E08">
        <w:t>ин</w:t>
      </w:r>
      <w:r>
        <w:t>у</w:t>
      </w:r>
      <w:r w:rsidR="00A56E08">
        <w:t>алног</w:t>
      </w:r>
      <w:r w:rsidR="004D1E15" w:rsidRPr="00F6340E">
        <w:t xml:space="preserve"> </w:t>
      </w:r>
      <w:r>
        <w:t>п</w:t>
      </w:r>
      <w:r w:rsidR="00A56E08">
        <w:t>обољ</w:t>
      </w:r>
      <w:r>
        <w:t>ш</w:t>
      </w:r>
      <w:r w:rsidR="00A56E08">
        <w:t>а</w:t>
      </w:r>
      <w:r>
        <w:t>в</w:t>
      </w:r>
      <w:r w:rsidR="00A56E08">
        <w:t>ања</w:t>
      </w:r>
      <w:r w:rsidR="004D1E15" w:rsidRPr="00F6340E">
        <w:t xml:space="preserve"> </w:t>
      </w:r>
      <w:r>
        <w:t>уп</w:t>
      </w:r>
      <w:r w:rsidR="00A56E08">
        <w:t>о</w:t>
      </w:r>
      <w:r>
        <w:t>тр</w:t>
      </w:r>
      <w:r w:rsidR="00EE6AA2">
        <w:t>е</w:t>
      </w:r>
      <w:r w:rsidR="00A56E08">
        <w:t>б</w:t>
      </w:r>
      <w:r w:rsidR="00EE6AA2">
        <w:t>е</w:t>
      </w:r>
      <w:r w:rsidR="004D1E15" w:rsidRPr="00F6340E">
        <w:t xml:space="preserve"> </w:t>
      </w:r>
      <w:r w:rsidR="00A56E08">
        <w:t>диги</w:t>
      </w:r>
      <w:r>
        <w:t>т</w:t>
      </w:r>
      <w:r w:rsidR="00A56E08">
        <w:t>алних</w:t>
      </w:r>
      <w:r w:rsidR="004D1E15" w:rsidRPr="00F6340E">
        <w:t xml:space="preserve"> </w:t>
      </w:r>
      <w:r>
        <w:t>т</w:t>
      </w:r>
      <w:r w:rsidR="00EE6AA2">
        <w:t>е</w:t>
      </w:r>
      <w:r w:rsidR="00A56E08">
        <w:t>хнологија</w:t>
      </w:r>
      <w:r w:rsidR="004D1E15" w:rsidRPr="00F6340E">
        <w:t xml:space="preserve"> </w:t>
      </w:r>
      <w:r>
        <w:t>у</w:t>
      </w:r>
      <w:r w:rsidR="004D1E15" w:rsidRPr="00F6340E">
        <w:t xml:space="preserve"> </w:t>
      </w:r>
      <w:r>
        <w:t>пр</w:t>
      </w:r>
      <w:r w:rsidR="00A56E08">
        <w:t>оц</w:t>
      </w:r>
      <w:r w:rsidR="00EE6AA2">
        <w:t>е</w:t>
      </w:r>
      <w:r>
        <w:t>су</w:t>
      </w:r>
      <w:r w:rsidR="004D1E15" w:rsidRPr="00F6340E">
        <w:t xml:space="preserve"> </w:t>
      </w:r>
      <w:r>
        <w:t>у</w:t>
      </w:r>
      <w:r w:rsidR="00A56E08">
        <w:t>ч</w:t>
      </w:r>
      <w:r w:rsidR="00EE6AA2">
        <w:t>е</w:t>
      </w:r>
      <w:r w:rsidR="00A56E08">
        <w:t>ња</w:t>
      </w:r>
      <w:r w:rsidR="004D1E15" w:rsidRPr="00F6340E">
        <w:t xml:space="preserve">, </w:t>
      </w:r>
      <w:r>
        <w:t>п</w:t>
      </w:r>
      <w:r w:rsidR="00A56E08">
        <w:t>од</w:t>
      </w:r>
      <w:r>
        <w:t>у</w:t>
      </w:r>
      <w:r w:rsidR="00A56E08">
        <w:t>ча</w:t>
      </w:r>
      <w:r>
        <w:t>в</w:t>
      </w:r>
      <w:r w:rsidR="00A56E08">
        <w:t>ања</w:t>
      </w:r>
      <w:r w:rsidR="004D1E15" w:rsidRPr="00F6340E">
        <w:t xml:space="preserve"> </w:t>
      </w:r>
      <w:r w:rsidR="00A56E08">
        <w:t>и</w:t>
      </w:r>
      <w:r w:rsidR="004D1E15" w:rsidRPr="00F6340E">
        <w:t xml:space="preserve"> </w:t>
      </w:r>
      <w:r>
        <w:t>вр</w:t>
      </w:r>
      <w:r w:rsidR="00EE6AA2">
        <w:t>е</w:t>
      </w:r>
      <w:r w:rsidR="00A56E08">
        <w:t>дно</w:t>
      </w:r>
      <w:r>
        <w:t>в</w:t>
      </w:r>
      <w:r w:rsidR="00A56E08">
        <w:t>ања</w:t>
      </w:r>
      <w:r w:rsidR="004D1E15" w:rsidRPr="00F6340E">
        <w:t xml:space="preserve">. </w:t>
      </w:r>
      <w:r w:rsidR="00A56E08">
        <w:t>Н</w:t>
      </w:r>
      <w:r w:rsidR="00A56E08">
        <w:rPr>
          <w:bCs/>
        </w:rPr>
        <w:t>а</w:t>
      </w:r>
      <w:r>
        <w:rPr>
          <w:bCs/>
        </w:rPr>
        <w:t>ст</w:t>
      </w:r>
      <w:r w:rsidR="00A56E08">
        <w:rPr>
          <w:bCs/>
        </w:rPr>
        <w:t>ао</w:t>
      </w:r>
      <w:r w:rsidR="004D1E15" w:rsidRPr="00F6340E">
        <w:rPr>
          <w:bCs/>
        </w:rPr>
        <w:t xml:space="preserve"> </w:t>
      </w:r>
      <w:r w:rsidR="00A56E08">
        <w:rPr>
          <w:bCs/>
        </w:rPr>
        <w:t>ј</w:t>
      </w:r>
      <w:r w:rsidR="00EE6AA2">
        <w:rPr>
          <w:bCs/>
        </w:rPr>
        <w:t>е</w:t>
      </w:r>
      <w:r w:rsidR="004D1E15" w:rsidRPr="00F6340E">
        <w:rPr>
          <w:bCs/>
        </w:rPr>
        <w:t xml:space="preserve"> </w:t>
      </w:r>
      <w:r w:rsidR="00A56E08">
        <w:rPr>
          <w:bCs/>
        </w:rPr>
        <w:t>као</w:t>
      </w:r>
      <w:r w:rsidR="004D1E15" w:rsidRPr="00F6340E">
        <w:rPr>
          <w:bCs/>
        </w:rPr>
        <w:t xml:space="preserve"> </w:t>
      </w:r>
      <w:r>
        <w:rPr>
          <w:bCs/>
        </w:rPr>
        <w:t>р</w:t>
      </w:r>
      <w:r w:rsidR="00EE6AA2">
        <w:rPr>
          <w:bCs/>
        </w:rPr>
        <w:t>е</w:t>
      </w:r>
      <w:r w:rsidR="00171F00">
        <w:rPr>
          <w:bCs/>
        </w:rPr>
        <w:t>з</w:t>
      </w:r>
      <w:r>
        <w:rPr>
          <w:bCs/>
        </w:rPr>
        <w:t>у</w:t>
      </w:r>
      <w:r w:rsidR="00A56E08">
        <w:rPr>
          <w:bCs/>
        </w:rPr>
        <w:t>л</w:t>
      </w:r>
      <w:r>
        <w:rPr>
          <w:bCs/>
        </w:rPr>
        <w:t>т</w:t>
      </w:r>
      <w:r w:rsidR="00A56E08">
        <w:rPr>
          <w:bCs/>
        </w:rPr>
        <w:t>а</w:t>
      </w:r>
      <w:r>
        <w:rPr>
          <w:bCs/>
        </w:rPr>
        <w:t>т</w:t>
      </w:r>
      <w:r w:rsidR="004D1E15" w:rsidRPr="00F6340E">
        <w:rPr>
          <w:bCs/>
        </w:rPr>
        <w:t xml:space="preserve"> </w:t>
      </w:r>
      <w:r>
        <w:rPr>
          <w:bCs/>
        </w:rPr>
        <w:t>с</w:t>
      </w:r>
      <w:r w:rsidR="00A56E08">
        <w:rPr>
          <w:bCs/>
        </w:rPr>
        <w:t>а</w:t>
      </w:r>
      <w:r>
        <w:rPr>
          <w:bCs/>
        </w:rPr>
        <w:t>р</w:t>
      </w:r>
      <w:r w:rsidR="00A56E08">
        <w:rPr>
          <w:bCs/>
        </w:rPr>
        <w:t>адњ</w:t>
      </w:r>
      <w:r w:rsidR="00EE6AA2">
        <w:rPr>
          <w:bCs/>
        </w:rPr>
        <w:t>е</w:t>
      </w:r>
      <w:r w:rsidR="004D1E15" w:rsidRPr="00F6340E">
        <w:rPr>
          <w:bCs/>
        </w:rPr>
        <w:t xml:space="preserve"> </w:t>
      </w:r>
      <w:r>
        <w:rPr>
          <w:bCs/>
        </w:rPr>
        <w:t>т</w:t>
      </w:r>
      <w:r w:rsidR="00A56E08">
        <w:rPr>
          <w:bCs/>
        </w:rPr>
        <w:t>имо</w:t>
      </w:r>
      <w:r>
        <w:rPr>
          <w:bCs/>
        </w:rPr>
        <w:t>в</w:t>
      </w:r>
      <w:r w:rsidR="00A56E08">
        <w:rPr>
          <w:bCs/>
        </w:rPr>
        <w:t>а</w:t>
      </w:r>
      <w:r w:rsidR="004D1E15" w:rsidRPr="00F6340E">
        <w:rPr>
          <w:bCs/>
        </w:rPr>
        <w:t xml:space="preserve"> </w:t>
      </w:r>
      <w:r>
        <w:rPr>
          <w:bCs/>
        </w:rPr>
        <w:t>стру</w:t>
      </w:r>
      <w:r w:rsidR="00A56E08">
        <w:rPr>
          <w:bCs/>
        </w:rPr>
        <w:t>чњака</w:t>
      </w:r>
      <w:r w:rsidR="004D1E15" w:rsidRPr="00F6340E">
        <w:rPr>
          <w:bCs/>
        </w:rPr>
        <w:t xml:space="preserve"> </w:t>
      </w:r>
      <w:r w:rsidR="00A56E08">
        <w:rPr>
          <w:bCs/>
        </w:rPr>
        <w:t>и</w:t>
      </w:r>
      <w:r w:rsidR="00171F00">
        <w:rPr>
          <w:bCs/>
        </w:rPr>
        <w:t>з</w:t>
      </w:r>
      <w:r w:rsidR="004D1E15" w:rsidRPr="00F6340E">
        <w:rPr>
          <w:bCs/>
        </w:rPr>
        <w:t xml:space="preserve"> </w:t>
      </w:r>
      <w:r>
        <w:rPr>
          <w:bCs/>
        </w:rPr>
        <w:t>ш</w:t>
      </w:r>
      <w:r w:rsidR="00A56E08">
        <w:rPr>
          <w:bCs/>
        </w:rPr>
        <w:t>кола</w:t>
      </w:r>
      <w:r w:rsidR="004D1E15" w:rsidRPr="00F6340E">
        <w:rPr>
          <w:bCs/>
        </w:rPr>
        <w:t xml:space="preserve">, </w:t>
      </w:r>
      <w:r w:rsidR="00A56E08">
        <w:rPr>
          <w:bCs/>
        </w:rPr>
        <w:t>мини</w:t>
      </w:r>
      <w:r>
        <w:rPr>
          <w:bCs/>
        </w:rPr>
        <w:t>ст</w:t>
      </w:r>
      <w:r w:rsidR="00A56E08">
        <w:rPr>
          <w:bCs/>
        </w:rPr>
        <w:t>а</w:t>
      </w:r>
      <w:r>
        <w:rPr>
          <w:bCs/>
        </w:rPr>
        <w:t>рст</w:t>
      </w:r>
      <w:r w:rsidR="00A56E08">
        <w:rPr>
          <w:bCs/>
        </w:rPr>
        <w:t>а</w:t>
      </w:r>
      <w:r>
        <w:rPr>
          <w:bCs/>
        </w:rPr>
        <w:t>в</w:t>
      </w:r>
      <w:r w:rsidR="00A56E08">
        <w:rPr>
          <w:bCs/>
        </w:rPr>
        <w:t>а</w:t>
      </w:r>
      <w:r w:rsidR="004D1E15" w:rsidRPr="00F6340E">
        <w:rPr>
          <w:bCs/>
        </w:rPr>
        <w:t xml:space="preserve"> </w:t>
      </w:r>
      <w:r w:rsidR="00A56E08">
        <w:rPr>
          <w:bCs/>
        </w:rPr>
        <w:t>об</w:t>
      </w:r>
      <w:r>
        <w:rPr>
          <w:bCs/>
        </w:rPr>
        <w:t>р</w:t>
      </w:r>
      <w:r w:rsidR="00A56E08">
        <w:rPr>
          <w:bCs/>
        </w:rPr>
        <w:t>а</w:t>
      </w:r>
      <w:r w:rsidR="00171F00">
        <w:rPr>
          <w:bCs/>
        </w:rPr>
        <w:t>з</w:t>
      </w:r>
      <w:r w:rsidR="00A56E08">
        <w:rPr>
          <w:bCs/>
        </w:rPr>
        <w:t>о</w:t>
      </w:r>
      <w:r>
        <w:rPr>
          <w:bCs/>
        </w:rPr>
        <w:t>в</w:t>
      </w:r>
      <w:r w:rsidR="00A56E08">
        <w:rPr>
          <w:bCs/>
        </w:rPr>
        <w:t>ања</w:t>
      </w:r>
      <w:r w:rsidR="004D1E15" w:rsidRPr="00F6340E">
        <w:rPr>
          <w:bCs/>
        </w:rPr>
        <w:t xml:space="preserve"> </w:t>
      </w:r>
      <w:r w:rsidR="00A56E08">
        <w:rPr>
          <w:bCs/>
        </w:rPr>
        <w:t>и</w:t>
      </w:r>
      <w:r w:rsidR="004D1E15" w:rsidRPr="00F6340E">
        <w:rPr>
          <w:bCs/>
        </w:rPr>
        <w:t xml:space="preserve"> </w:t>
      </w:r>
      <w:r w:rsidR="00A56E08">
        <w:rPr>
          <w:bCs/>
        </w:rPr>
        <w:t>на</w:t>
      </w:r>
      <w:r>
        <w:rPr>
          <w:bCs/>
        </w:rPr>
        <w:t>у</w:t>
      </w:r>
      <w:r w:rsidR="00A56E08">
        <w:rPr>
          <w:bCs/>
        </w:rPr>
        <w:t>чних</w:t>
      </w:r>
      <w:r w:rsidR="004D1E15" w:rsidRPr="00F6340E">
        <w:rPr>
          <w:bCs/>
        </w:rPr>
        <w:t xml:space="preserve"> </w:t>
      </w:r>
      <w:r w:rsidR="00171F00">
        <w:rPr>
          <w:bCs/>
        </w:rPr>
        <w:t>з</w:t>
      </w:r>
      <w:r w:rsidR="00A56E08">
        <w:rPr>
          <w:bCs/>
        </w:rPr>
        <w:t>а</w:t>
      </w:r>
      <w:r>
        <w:rPr>
          <w:bCs/>
        </w:rPr>
        <w:t>в</w:t>
      </w:r>
      <w:r w:rsidR="00A56E08">
        <w:rPr>
          <w:bCs/>
        </w:rPr>
        <w:t>ода</w:t>
      </w:r>
      <w:r w:rsidR="004D1E15" w:rsidRPr="00F6340E">
        <w:rPr>
          <w:bCs/>
        </w:rPr>
        <w:t xml:space="preserve"> </w:t>
      </w:r>
      <w:r w:rsidR="00A56E08">
        <w:rPr>
          <w:bCs/>
        </w:rPr>
        <w:t>и</w:t>
      </w:r>
      <w:r w:rsidR="00171F00">
        <w:rPr>
          <w:bCs/>
        </w:rPr>
        <w:t>з</w:t>
      </w:r>
      <w:r w:rsidR="004D1E15" w:rsidRPr="00F6340E">
        <w:rPr>
          <w:bCs/>
        </w:rPr>
        <w:t xml:space="preserve"> </w:t>
      </w:r>
      <w:r w:rsidR="00A56E08">
        <w:rPr>
          <w:bCs/>
        </w:rPr>
        <w:t>циј</w:t>
      </w:r>
      <w:r w:rsidR="00EE6AA2">
        <w:rPr>
          <w:bCs/>
        </w:rPr>
        <w:t>е</w:t>
      </w:r>
      <w:r w:rsidR="00A56E08">
        <w:rPr>
          <w:bCs/>
        </w:rPr>
        <w:t>л</w:t>
      </w:r>
      <w:r w:rsidR="00EE6AA2">
        <w:rPr>
          <w:bCs/>
        </w:rPr>
        <w:t>е</w:t>
      </w:r>
      <w:r w:rsidR="004D1E15" w:rsidRPr="00F6340E">
        <w:rPr>
          <w:bCs/>
        </w:rPr>
        <w:t xml:space="preserve"> </w:t>
      </w:r>
      <w:r w:rsidR="00EE6AA2">
        <w:rPr>
          <w:bCs/>
        </w:rPr>
        <w:t>Е</w:t>
      </w:r>
      <w:r>
        <w:rPr>
          <w:bCs/>
        </w:rPr>
        <w:t>вр</w:t>
      </w:r>
      <w:r w:rsidR="00A56E08">
        <w:rPr>
          <w:bCs/>
        </w:rPr>
        <w:t>о</w:t>
      </w:r>
      <w:r>
        <w:rPr>
          <w:bCs/>
        </w:rPr>
        <w:t>п</w:t>
      </w:r>
      <w:r w:rsidR="00EE6AA2">
        <w:rPr>
          <w:bCs/>
        </w:rPr>
        <w:t>е</w:t>
      </w:r>
      <w:r w:rsidR="004D1E15" w:rsidRPr="00F6340E">
        <w:rPr>
          <w:bCs/>
        </w:rPr>
        <w:t xml:space="preserve">. </w:t>
      </w:r>
      <w:r w:rsidR="00A56E08">
        <w:rPr>
          <w:bCs/>
        </w:rPr>
        <w:t>Ала</w:t>
      </w:r>
      <w:r>
        <w:rPr>
          <w:bCs/>
        </w:rPr>
        <w:t>т</w:t>
      </w:r>
      <w:r w:rsidR="004D1E15" w:rsidRPr="00F6340E">
        <w:rPr>
          <w:bCs/>
        </w:rPr>
        <w:t xml:space="preserve"> </w:t>
      </w:r>
      <w:r w:rsidR="00A56E08">
        <w:rPr>
          <w:bCs/>
        </w:rPr>
        <w:t>ј</w:t>
      </w:r>
      <w:r w:rsidR="00EE6AA2">
        <w:rPr>
          <w:bCs/>
        </w:rPr>
        <w:t>е</w:t>
      </w:r>
      <w:r w:rsidR="004D1E15" w:rsidRPr="00F6340E">
        <w:rPr>
          <w:bCs/>
        </w:rPr>
        <w:t xml:space="preserve"> </w:t>
      </w:r>
      <w:r w:rsidR="00A56E08">
        <w:rPr>
          <w:bCs/>
        </w:rPr>
        <w:t>б</w:t>
      </w:r>
      <w:r w:rsidR="00EE6AA2">
        <w:rPr>
          <w:bCs/>
        </w:rPr>
        <w:t>е</w:t>
      </w:r>
      <w:r>
        <w:rPr>
          <w:bCs/>
        </w:rPr>
        <w:t>сп</w:t>
      </w:r>
      <w:r w:rsidR="00A56E08">
        <w:rPr>
          <w:bCs/>
        </w:rPr>
        <w:t>ла</w:t>
      </w:r>
      <w:r>
        <w:rPr>
          <w:bCs/>
        </w:rPr>
        <w:t>т</w:t>
      </w:r>
      <w:r w:rsidR="00A56E08">
        <w:rPr>
          <w:bCs/>
        </w:rPr>
        <w:t>ан</w:t>
      </w:r>
      <w:r w:rsidR="004D1E15" w:rsidRPr="00F6340E">
        <w:rPr>
          <w:bCs/>
        </w:rPr>
        <w:t xml:space="preserve">, </w:t>
      </w:r>
      <w:r>
        <w:rPr>
          <w:bCs/>
        </w:rPr>
        <w:t>пр</w:t>
      </w:r>
      <w:r w:rsidR="00A56E08">
        <w:rPr>
          <w:bCs/>
        </w:rPr>
        <w:t>илагодљи</w:t>
      </w:r>
      <w:r>
        <w:rPr>
          <w:bCs/>
        </w:rPr>
        <w:t>в</w:t>
      </w:r>
      <w:r w:rsidR="004D1E15" w:rsidRPr="00F6340E">
        <w:rPr>
          <w:bCs/>
        </w:rPr>
        <w:t xml:space="preserve">, </w:t>
      </w:r>
      <w:r w:rsidR="00A56E08">
        <w:rPr>
          <w:bCs/>
        </w:rPr>
        <w:t>до</w:t>
      </w:r>
      <w:r>
        <w:rPr>
          <w:bCs/>
        </w:rPr>
        <w:t>ступ</w:t>
      </w:r>
      <w:r w:rsidR="00A56E08">
        <w:rPr>
          <w:bCs/>
        </w:rPr>
        <w:t>ан</w:t>
      </w:r>
      <w:r w:rsidR="004D1E15" w:rsidRPr="00F6340E">
        <w:rPr>
          <w:bCs/>
        </w:rPr>
        <w:t xml:space="preserve"> </w:t>
      </w:r>
      <w:r w:rsidR="00A56E08">
        <w:rPr>
          <w:bCs/>
        </w:rPr>
        <w:t>на</w:t>
      </w:r>
      <w:r w:rsidR="004D1E15" w:rsidRPr="00F6340E">
        <w:rPr>
          <w:bCs/>
        </w:rPr>
        <w:t xml:space="preserve"> </w:t>
      </w:r>
      <w:r>
        <w:rPr>
          <w:bCs/>
        </w:rPr>
        <w:t>в</w:t>
      </w:r>
      <w:r w:rsidR="00A56E08">
        <w:rPr>
          <w:bCs/>
        </w:rPr>
        <w:t>и</w:t>
      </w:r>
      <w:r>
        <w:rPr>
          <w:bCs/>
        </w:rPr>
        <w:t>ш</w:t>
      </w:r>
      <w:r w:rsidR="00EE6AA2">
        <w:rPr>
          <w:bCs/>
        </w:rPr>
        <w:t>е</w:t>
      </w:r>
      <w:r w:rsidR="004D1E15" w:rsidRPr="00F6340E">
        <w:rPr>
          <w:bCs/>
        </w:rPr>
        <w:t xml:space="preserve"> </w:t>
      </w:r>
      <w:r w:rsidR="00A56E08">
        <w:rPr>
          <w:bCs/>
        </w:rPr>
        <w:t>од</w:t>
      </w:r>
      <w:r w:rsidR="004D1E15" w:rsidRPr="00F6340E">
        <w:rPr>
          <w:bCs/>
        </w:rPr>
        <w:t xml:space="preserve"> 30 </w:t>
      </w:r>
      <w:r w:rsidR="00A56E08">
        <w:rPr>
          <w:bCs/>
        </w:rPr>
        <w:t>ј</w:t>
      </w:r>
      <w:r w:rsidR="00EE6AA2">
        <w:rPr>
          <w:bCs/>
        </w:rPr>
        <w:t>е</w:t>
      </w:r>
      <w:r w:rsidR="00171F00">
        <w:rPr>
          <w:bCs/>
        </w:rPr>
        <w:t>з</w:t>
      </w:r>
      <w:r w:rsidR="00A56E08">
        <w:rPr>
          <w:bCs/>
        </w:rPr>
        <w:t>ика</w:t>
      </w:r>
      <w:r w:rsidR="004D1E15" w:rsidRPr="00F6340E">
        <w:rPr>
          <w:bCs/>
        </w:rPr>
        <w:t xml:space="preserve">, </w:t>
      </w:r>
      <w:r w:rsidR="00A56E08">
        <w:rPr>
          <w:bCs/>
        </w:rPr>
        <w:t>ј</w:t>
      </w:r>
      <w:r w:rsidR="00EE6AA2">
        <w:rPr>
          <w:bCs/>
        </w:rPr>
        <w:t>е</w:t>
      </w:r>
      <w:r w:rsidR="00A56E08">
        <w:rPr>
          <w:bCs/>
        </w:rPr>
        <w:t>дно</w:t>
      </w:r>
      <w:r>
        <w:rPr>
          <w:bCs/>
        </w:rPr>
        <w:t>ст</w:t>
      </w:r>
      <w:r w:rsidR="00A56E08">
        <w:rPr>
          <w:bCs/>
        </w:rPr>
        <w:t>а</w:t>
      </w:r>
      <w:r>
        <w:rPr>
          <w:bCs/>
        </w:rPr>
        <w:t>в</w:t>
      </w:r>
      <w:r w:rsidR="00A56E08">
        <w:rPr>
          <w:bCs/>
        </w:rPr>
        <w:t>ан</w:t>
      </w:r>
      <w:r w:rsidR="004D1E15" w:rsidRPr="00F6340E">
        <w:rPr>
          <w:bCs/>
        </w:rPr>
        <w:t xml:space="preserve"> </w:t>
      </w:r>
      <w:r w:rsidR="00171F00">
        <w:rPr>
          <w:bCs/>
        </w:rPr>
        <w:t>з</w:t>
      </w:r>
      <w:r w:rsidR="00A56E08">
        <w:rPr>
          <w:bCs/>
        </w:rPr>
        <w:t>а</w:t>
      </w:r>
      <w:r w:rsidR="004D1E15" w:rsidRPr="00F6340E">
        <w:rPr>
          <w:bCs/>
        </w:rPr>
        <w:t xml:space="preserve"> </w:t>
      </w:r>
      <w:r w:rsidR="00A56E08">
        <w:rPr>
          <w:bCs/>
        </w:rPr>
        <w:t>ин</w:t>
      </w:r>
      <w:r>
        <w:rPr>
          <w:bCs/>
        </w:rPr>
        <w:t>ст</w:t>
      </w:r>
      <w:r w:rsidR="00A56E08">
        <w:rPr>
          <w:bCs/>
        </w:rPr>
        <w:t>алациј</w:t>
      </w:r>
      <w:r>
        <w:rPr>
          <w:bCs/>
        </w:rPr>
        <w:t>у</w:t>
      </w:r>
      <w:r w:rsidR="004D1E15" w:rsidRPr="00F6340E">
        <w:rPr>
          <w:bCs/>
        </w:rPr>
        <w:t xml:space="preserve"> </w:t>
      </w:r>
      <w:r w:rsidR="00A56E08">
        <w:rPr>
          <w:bCs/>
        </w:rPr>
        <w:t>и</w:t>
      </w:r>
      <w:r w:rsidR="004D1E15" w:rsidRPr="00F6340E">
        <w:rPr>
          <w:bCs/>
        </w:rPr>
        <w:t xml:space="preserve"> </w:t>
      </w:r>
      <w:r>
        <w:rPr>
          <w:bCs/>
        </w:rPr>
        <w:t>уп</w:t>
      </w:r>
      <w:r w:rsidR="00A56E08">
        <w:rPr>
          <w:bCs/>
        </w:rPr>
        <w:t>о</w:t>
      </w:r>
      <w:r>
        <w:rPr>
          <w:bCs/>
        </w:rPr>
        <w:t>тр</w:t>
      </w:r>
      <w:r w:rsidR="00EE6AA2">
        <w:rPr>
          <w:bCs/>
        </w:rPr>
        <w:t>е</w:t>
      </w:r>
      <w:r w:rsidR="00A56E08">
        <w:rPr>
          <w:bCs/>
        </w:rPr>
        <w:t>б</w:t>
      </w:r>
      <w:r>
        <w:rPr>
          <w:bCs/>
        </w:rPr>
        <w:t>у</w:t>
      </w:r>
      <w:r w:rsidR="004D1E15" w:rsidRPr="00F6340E">
        <w:rPr>
          <w:bCs/>
        </w:rPr>
        <w:t xml:space="preserve">, </w:t>
      </w:r>
      <w:r w:rsidR="00A56E08">
        <w:rPr>
          <w:bCs/>
        </w:rPr>
        <w:t>анониман</w:t>
      </w:r>
      <w:r w:rsidR="004D1E15" w:rsidRPr="00F6340E">
        <w:rPr>
          <w:bCs/>
        </w:rPr>
        <w:t xml:space="preserve"> (</w:t>
      </w:r>
      <w:r w:rsidR="00A56E08">
        <w:rPr>
          <w:bCs/>
        </w:rPr>
        <w:t>н</w:t>
      </w:r>
      <w:r w:rsidR="00EE6AA2">
        <w:rPr>
          <w:bCs/>
        </w:rPr>
        <w:t>е</w:t>
      </w:r>
      <w:r w:rsidR="004D1E15" w:rsidRPr="00F6340E">
        <w:rPr>
          <w:bCs/>
        </w:rPr>
        <w:t xml:space="preserve"> </w:t>
      </w:r>
      <w:r>
        <w:rPr>
          <w:bCs/>
        </w:rPr>
        <w:t>пр</w:t>
      </w:r>
      <w:r w:rsidR="00A56E08">
        <w:rPr>
          <w:bCs/>
        </w:rPr>
        <w:t>ик</w:t>
      </w:r>
      <w:r>
        <w:rPr>
          <w:bCs/>
        </w:rPr>
        <w:t>уп</w:t>
      </w:r>
      <w:r w:rsidR="00A56E08">
        <w:rPr>
          <w:bCs/>
        </w:rPr>
        <w:t>ља</w:t>
      </w:r>
      <w:r w:rsidR="004D1E15" w:rsidRPr="00F6340E">
        <w:rPr>
          <w:bCs/>
        </w:rPr>
        <w:t xml:space="preserve"> </w:t>
      </w:r>
      <w:r w:rsidR="00A56E08">
        <w:rPr>
          <w:bCs/>
        </w:rPr>
        <w:t>личн</w:t>
      </w:r>
      <w:r w:rsidR="00EE6AA2">
        <w:rPr>
          <w:bCs/>
        </w:rPr>
        <w:t>е</w:t>
      </w:r>
      <w:r w:rsidR="004D1E15" w:rsidRPr="00F6340E">
        <w:rPr>
          <w:bCs/>
        </w:rPr>
        <w:t xml:space="preserve"> </w:t>
      </w:r>
      <w:r>
        <w:rPr>
          <w:bCs/>
        </w:rPr>
        <w:t>п</w:t>
      </w:r>
      <w:r w:rsidR="00A56E08">
        <w:rPr>
          <w:bCs/>
        </w:rPr>
        <w:t>ода</w:t>
      </w:r>
      <w:r>
        <w:rPr>
          <w:bCs/>
        </w:rPr>
        <w:t>т</w:t>
      </w:r>
      <w:r w:rsidR="00A56E08">
        <w:rPr>
          <w:bCs/>
        </w:rPr>
        <w:t>к</w:t>
      </w:r>
      <w:r w:rsidR="00EE6AA2">
        <w:rPr>
          <w:bCs/>
        </w:rPr>
        <w:t>е</w:t>
      </w:r>
      <w:r w:rsidR="004D1E15" w:rsidRPr="00F6340E">
        <w:rPr>
          <w:bCs/>
        </w:rPr>
        <w:t xml:space="preserve">) </w:t>
      </w:r>
      <w:r w:rsidR="00A56E08">
        <w:rPr>
          <w:bCs/>
        </w:rPr>
        <w:t>и</w:t>
      </w:r>
      <w:r w:rsidR="004D1E15" w:rsidRPr="00F6340E">
        <w:rPr>
          <w:bCs/>
        </w:rPr>
        <w:t xml:space="preserve"> </w:t>
      </w:r>
      <w:r>
        <w:rPr>
          <w:bCs/>
        </w:rPr>
        <w:t>т</w:t>
      </w:r>
      <w:r w:rsidR="00EE6AA2">
        <w:rPr>
          <w:bCs/>
        </w:rPr>
        <w:t>е</w:t>
      </w:r>
      <w:r>
        <w:rPr>
          <w:bCs/>
        </w:rPr>
        <w:t>ст</w:t>
      </w:r>
      <w:r w:rsidR="00A56E08">
        <w:rPr>
          <w:bCs/>
        </w:rPr>
        <w:t>и</w:t>
      </w:r>
      <w:r>
        <w:rPr>
          <w:bCs/>
        </w:rPr>
        <w:t>р</w:t>
      </w:r>
      <w:r w:rsidR="00A56E08">
        <w:rPr>
          <w:bCs/>
        </w:rPr>
        <w:t>ан</w:t>
      </w:r>
      <w:r w:rsidR="004D1E15" w:rsidRPr="00F6340E">
        <w:rPr>
          <w:bCs/>
        </w:rPr>
        <w:t xml:space="preserve"> </w:t>
      </w:r>
      <w:r>
        <w:rPr>
          <w:bCs/>
        </w:rPr>
        <w:t>у</w:t>
      </w:r>
      <w:r w:rsidR="004D1E15" w:rsidRPr="00F6340E">
        <w:rPr>
          <w:bCs/>
        </w:rPr>
        <w:t xml:space="preserve"> </w:t>
      </w:r>
      <w:r>
        <w:rPr>
          <w:bCs/>
        </w:rPr>
        <w:t>ш</w:t>
      </w:r>
      <w:r w:rsidR="00A56E08">
        <w:rPr>
          <w:bCs/>
        </w:rPr>
        <w:t>колама</w:t>
      </w:r>
      <w:r w:rsidR="004D1E15" w:rsidRPr="00F6340E">
        <w:rPr>
          <w:bCs/>
        </w:rPr>
        <w:t xml:space="preserve"> </w:t>
      </w:r>
      <w:r w:rsidR="00A56E08">
        <w:rPr>
          <w:bCs/>
        </w:rPr>
        <w:t>диљ</w:t>
      </w:r>
      <w:r w:rsidR="00EE6AA2">
        <w:rPr>
          <w:bCs/>
        </w:rPr>
        <w:t>е</w:t>
      </w:r>
      <w:r w:rsidR="00A56E08">
        <w:rPr>
          <w:bCs/>
        </w:rPr>
        <w:t>м</w:t>
      </w:r>
      <w:r w:rsidR="004D1E15" w:rsidRPr="00F6340E">
        <w:rPr>
          <w:bCs/>
        </w:rPr>
        <w:t xml:space="preserve"> </w:t>
      </w:r>
      <w:r w:rsidR="00EE6AA2">
        <w:rPr>
          <w:bCs/>
        </w:rPr>
        <w:t>Е</w:t>
      </w:r>
      <w:r>
        <w:rPr>
          <w:bCs/>
        </w:rPr>
        <w:t>вр</w:t>
      </w:r>
      <w:r w:rsidR="00A56E08">
        <w:rPr>
          <w:bCs/>
        </w:rPr>
        <w:t>о</w:t>
      </w:r>
      <w:r>
        <w:rPr>
          <w:bCs/>
        </w:rPr>
        <w:t>п</w:t>
      </w:r>
      <w:r w:rsidR="00EE6AA2">
        <w:rPr>
          <w:bCs/>
        </w:rPr>
        <w:t>е</w:t>
      </w:r>
      <w:r w:rsidR="004D1E15" w:rsidRPr="00F6340E">
        <w:rPr>
          <w:bCs/>
        </w:rPr>
        <w:t xml:space="preserve">. </w:t>
      </w:r>
      <w:r>
        <w:t>Пр</w:t>
      </w:r>
      <w:r w:rsidR="00A56E08">
        <w:t>имј</w:t>
      </w:r>
      <w:r w:rsidR="00EE6AA2">
        <w:t>е</w:t>
      </w:r>
      <w:r w:rsidR="00A56E08">
        <w:t>на</w:t>
      </w:r>
      <w:r w:rsidR="004D1E15" w:rsidRPr="00F6340E">
        <w:t xml:space="preserve"> </w:t>
      </w:r>
      <w:r w:rsidR="00A56E08">
        <w:t>ала</w:t>
      </w:r>
      <w:r>
        <w:t>т</w:t>
      </w:r>
      <w:r w:rsidR="00A56E08">
        <w:t>а</w:t>
      </w:r>
      <w:r w:rsidR="000F5BD8" w:rsidRPr="00F6340E">
        <w:t xml:space="preserve"> </w:t>
      </w:r>
      <w:r>
        <w:t>С</w:t>
      </w:r>
      <w:r w:rsidR="00EE6AA2">
        <w:t>Е</w:t>
      </w:r>
      <w:r w:rsidR="00A56E08">
        <w:t>ЛФИ</w:t>
      </w:r>
      <w:r w:rsidR="00EE6AA2">
        <w:t>Е</w:t>
      </w:r>
      <w:r w:rsidR="004D1E15" w:rsidRPr="00F6340E">
        <w:t xml:space="preserve"> </w:t>
      </w:r>
      <w:r>
        <w:t>п</w:t>
      </w:r>
      <w:r w:rsidR="00A56E08">
        <w:t>од</w:t>
      </w:r>
      <w:r>
        <w:t>р</w:t>
      </w:r>
      <w:r w:rsidR="00A56E08">
        <w:t>а</w:t>
      </w:r>
      <w:r w:rsidR="00171F00">
        <w:t>з</w:t>
      </w:r>
      <w:r>
        <w:t>у</w:t>
      </w:r>
      <w:r w:rsidR="00A56E08">
        <w:t>миј</w:t>
      </w:r>
      <w:r w:rsidR="00EE6AA2">
        <w:t>е</w:t>
      </w:r>
      <w:r>
        <w:t>в</w:t>
      </w:r>
      <w:r w:rsidR="00A56E08">
        <w:t>а</w:t>
      </w:r>
      <w:r w:rsidR="004D1E15" w:rsidRPr="00F6340E">
        <w:t xml:space="preserve"> </w:t>
      </w:r>
      <w:r>
        <w:t>вр</w:t>
      </w:r>
      <w:r w:rsidR="00EE6AA2">
        <w:t>е</w:t>
      </w:r>
      <w:r w:rsidR="00A56E08">
        <w:t>дно</w:t>
      </w:r>
      <w:r>
        <w:t>в</w:t>
      </w:r>
      <w:r w:rsidR="00A56E08">
        <w:t>ањ</w:t>
      </w:r>
      <w:r w:rsidR="00EE6AA2">
        <w:t>е</w:t>
      </w:r>
      <w:r w:rsidR="004D1E15" w:rsidRPr="00F6340E">
        <w:t xml:space="preserve"> </w:t>
      </w:r>
      <w:r>
        <w:t>у</w:t>
      </w:r>
      <w:r w:rsidR="004D1E15" w:rsidRPr="00F6340E">
        <w:t xml:space="preserve"> </w:t>
      </w:r>
      <w:r>
        <w:rPr>
          <w:bCs/>
        </w:rPr>
        <w:t>с</w:t>
      </w:r>
      <w:r w:rsidR="00A56E08">
        <w:rPr>
          <w:bCs/>
        </w:rPr>
        <w:t>љ</w:t>
      </w:r>
      <w:r w:rsidR="00EE6AA2">
        <w:rPr>
          <w:bCs/>
        </w:rPr>
        <w:t>е</w:t>
      </w:r>
      <w:r w:rsidR="00A56E08">
        <w:rPr>
          <w:bCs/>
        </w:rPr>
        <w:t>д</w:t>
      </w:r>
      <w:r w:rsidR="00EE6AA2">
        <w:rPr>
          <w:bCs/>
        </w:rPr>
        <w:t>е</w:t>
      </w:r>
      <w:r w:rsidR="00A56E08">
        <w:rPr>
          <w:bCs/>
        </w:rPr>
        <w:t>ћим</w:t>
      </w:r>
      <w:r w:rsidR="004D1E15" w:rsidRPr="00F6340E">
        <w:rPr>
          <w:bCs/>
        </w:rPr>
        <w:t xml:space="preserve"> </w:t>
      </w:r>
      <w:r w:rsidR="00A56E08">
        <w:rPr>
          <w:bCs/>
        </w:rPr>
        <w:t>обла</w:t>
      </w:r>
      <w:r>
        <w:rPr>
          <w:bCs/>
        </w:rPr>
        <w:t>ст</w:t>
      </w:r>
      <w:r w:rsidR="00A56E08">
        <w:rPr>
          <w:bCs/>
        </w:rPr>
        <w:t>има</w:t>
      </w:r>
      <w:r w:rsidR="004D1E15" w:rsidRPr="00F6340E">
        <w:rPr>
          <w:bCs/>
        </w:rPr>
        <w:t xml:space="preserve">: </w:t>
      </w:r>
      <w:r>
        <w:rPr>
          <w:bCs/>
        </w:rPr>
        <w:t>упр</w:t>
      </w:r>
      <w:r w:rsidR="00A56E08">
        <w:rPr>
          <w:bCs/>
        </w:rPr>
        <w:t>а</w:t>
      </w:r>
      <w:r>
        <w:rPr>
          <w:bCs/>
        </w:rPr>
        <w:t>в</w:t>
      </w:r>
      <w:r w:rsidR="00A56E08">
        <w:rPr>
          <w:bCs/>
        </w:rPr>
        <w:t>а</w:t>
      </w:r>
      <w:r w:rsidR="004D1E15" w:rsidRPr="00F6340E">
        <w:rPr>
          <w:bCs/>
        </w:rPr>
        <w:t xml:space="preserve">, </w:t>
      </w:r>
      <w:r>
        <w:rPr>
          <w:bCs/>
        </w:rPr>
        <w:t>с</w:t>
      </w:r>
      <w:r w:rsidR="00A56E08">
        <w:rPr>
          <w:bCs/>
        </w:rPr>
        <w:t>а</w:t>
      </w:r>
      <w:r>
        <w:rPr>
          <w:bCs/>
        </w:rPr>
        <w:t>р</w:t>
      </w:r>
      <w:r w:rsidR="00A56E08">
        <w:rPr>
          <w:bCs/>
        </w:rPr>
        <w:t>адња</w:t>
      </w:r>
      <w:r w:rsidR="004D1E15" w:rsidRPr="00F6340E">
        <w:rPr>
          <w:bCs/>
        </w:rPr>
        <w:t xml:space="preserve"> </w:t>
      </w:r>
      <w:r w:rsidR="00A56E08">
        <w:rPr>
          <w:bCs/>
        </w:rPr>
        <w:t>и</w:t>
      </w:r>
      <w:r w:rsidR="004D1E15" w:rsidRPr="00F6340E">
        <w:rPr>
          <w:bCs/>
        </w:rPr>
        <w:t xml:space="preserve"> </w:t>
      </w:r>
      <w:r>
        <w:rPr>
          <w:bCs/>
        </w:rPr>
        <w:t>у</w:t>
      </w:r>
      <w:r w:rsidR="00A56E08">
        <w:rPr>
          <w:bCs/>
        </w:rPr>
        <w:t>м</w:t>
      </w:r>
      <w:r>
        <w:rPr>
          <w:bCs/>
        </w:rPr>
        <w:t>р</w:t>
      </w:r>
      <w:r w:rsidR="00EE6AA2">
        <w:rPr>
          <w:bCs/>
        </w:rPr>
        <w:t>е</w:t>
      </w:r>
      <w:r w:rsidR="00171F00">
        <w:rPr>
          <w:bCs/>
        </w:rPr>
        <w:t>ж</w:t>
      </w:r>
      <w:r w:rsidR="00A56E08">
        <w:rPr>
          <w:bCs/>
        </w:rPr>
        <w:t>а</w:t>
      </w:r>
      <w:r>
        <w:rPr>
          <w:bCs/>
        </w:rPr>
        <w:t>в</w:t>
      </w:r>
      <w:r w:rsidR="00A56E08">
        <w:rPr>
          <w:bCs/>
        </w:rPr>
        <w:t>ањ</w:t>
      </w:r>
      <w:r w:rsidR="00EE6AA2">
        <w:rPr>
          <w:bCs/>
        </w:rPr>
        <w:t>е</w:t>
      </w:r>
      <w:r w:rsidR="004D1E15" w:rsidRPr="00F6340E">
        <w:t xml:space="preserve">, </w:t>
      </w:r>
      <w:r w:rsidR="00A56E08">
        <w:rPr>
          <w:bCs/>
        </w:rPr>
        <w:t>инф</w:t>
      </w:r>
      <w:r>
        <w:rPr>
          <w:bCs/>
        </w:rPr>
        <w:t>р</w:t>
      </w:r>
      <w:r w:rsidR="00A56E08">
        <w:rPr>
          <w:bCs/>
        </w:rPr>
        <w:t>а</w:t>
      </w:r>
      <w:r>
        <w:rPr>
          <w:bCs/>
        </w:rPr>
        <w:t>стру</w:t>
      </w:r>
      <w:r w:rsidR="00A56E08">
        <w:rPr>
          <w:bCs/>
        </w:rPr>
        <w:t>к</w:t>
      </w:r>
      <w:r>
        <w:rPr>
          <w:bCs/>
        </w:rPr>
        <w:t>тур</w:t>
      </w:r>
      <w:r w:rsidR="00A56E08">
        <w:rPr>
          <w:bCs/>
        </w:rPr>
        <w:t>а</w:t>
      </w:r>
      <w:r w:rsidR="004D1E15" w:rsidRPr="00F6340E">
        <w:rPr>
          <w:bCs/>
        </w:rPr>
        <w:t xml:space="preserve"> </w:t>
      </w:r>
      <w:r w:rsidR="00A56E08">
        <w:rPr>
          <w:bCs/>
        </w:rPr>
        <w:t>и</w:t>
      </w:r>
      <w:r w:rsidR="004D1E15" w:rsidRPr="00F6340E">
        <w:rPr>
          <w:bCs/>
        </w:rPr>
        <w:t xml:space="preserve"> </w:t>
      </w:r>
      <w:r w:rsidR="00A56E08">
        <w:rPr>
          <w:bCs/>
        </w:rPr>
        <w:t>о</w:t>
      </w:r>
      <w:r>
        <w:rPr>
          <w:bCs/>
        </w:rPr>
        <w:t>пр</w:t>
      </w:r>
      <w:r w:rsidR="00EE6AA2">
        <w:rPr>
          <w:bCs/>
        </w:rPr>
        <w:t>е</w:t>
      </w:r>
      <w:r w:rsidR="00A56E08">
        <w:rPr>
          <w:bCs/>
        </w:rPr>
        <w:t>ма</w:t>
      </w:r>
      <w:r w:rsidR="004D1E15" w:rsidRPr="00F6340E">
        <w:t xml:space="preserve">, </w:t>
      </w:r>
      <w:r w:rsidR="00A56E08">
        <w:t>кон</w:t>
      </w:r>
      <w:r>
        <w:t>т</w:t>
      </w:r>
      <w:r w:rsidR="00A56E08">
        <w:t>ин</w:t>
      </w:r>
      <w:r>
        <w:t>у</w:t>
      </w:r>
      <w:r w:rsidR="00A56E08">
        <w:t>ално</w:t>
      </w:r>
      <w:r w:rsidR="004D1E15" w:rsidRPr="00F6340E">
        <w:rPr>
          <w:bCs/>
        </w:rPr>
        <w:t xml:space="preserve"> </w:t>
      </w:r>
      <w:r>
        <w:rPr>
          <w:bCs/>
        </w:rPr>
        <w:t>стру</w:t>
      </w:r>
      <w:r w:rsidR="00A56E08">
        <w:rPr>
          <w:bCs/>
        </w:rPr>
        <w:t>чно</w:t>
      </w:r>
      <w:r w:rsidR="004D1E15" w:rsidRPr="00F6340E">
        <w:rPr>
          <w:bCs/>
        </w:rPr>
        <w:t xml:space="preserve"> </w:t>
      </w:r>
      <w:r>
        <w:rPr>
          <w:bCs/>
        </w:rPr>
        <w:t>ус</w:t>
      </w:r>
      <w:r w:rsidR="00A56E08">
        <w:rPr>
          <w:bCs/>
        </w:rPr>
        <w:t>а</w:t>
      </w:r>
      <w:r>
        <w:rPr>
          <w:bCs/>
        </w:rPr>
        <w:t>врш</w:t>
      </w:r>
      <w:r w:rsidR="00A56E08">
        <w:rPr>
          <w:bCs/>
        </w:rPr>
        <w:t>а</w:t>
      </w:r>
      <w:r>
        <w:rPr>
          <w:bCs/>
        </w:rPr>
        <w:t>в</w:t>
      </w:r>
      <w:r w:rsidR="00A56E08">
        <w:rPr>
          <w:bCs/>
        </w:rPr>
        <w:t>ањ</w:t>
      </w:r>
      <w:r w:rsidR="00EE6AA2">
        <w:rPr>
          <w:bCs/>
        </w:rPr>
        <w:t>е</w:t>
      </w:r>
      <w:r w:rsidR="004D1E15" w:rsidRPr="00F6340E">
        <w:t xml:space="preserve">, </w:t>
      </w:r>
      <w:r>
        <w:rPr>
          <w:bCs/>
        </w:rPr>
        <w:t>п</w:t>
      </w:r>
      <w:r w:rsidR="00EE6AA2">
        <w:rPr>
          <w:bCs/>
        </w:rPr>
        <w:t>е</w:t>
      </w:r>
      <w:r w:rsidR="00A56E08">
        <w:rPr>
          <w:bCs/>
        </w:rPr>
        <w:t>дагогија</w:t>
      </w:r>
      <w:r w:rsidR="004D1E15" w:rsidRPr="00F6340E">
        <w:rPr>
          <w:bCs/>
        </w:rPr>
        <w:t xml:space="preserve">: </w:t>
      </w:r>
      <w:r>
        <w:rPr>
          <w:bCs/>
        </w:rPr>
        <w:t>п</w:t>
      </w:r>
      <w:r w:rsidR="00A56E08">
        <w:rPr>
          <w:bCs/>
        </w:rPr>
        <w:t>од</w:t>
      </w:r>
      <w:r>
        <w:rPr>
          <w:bCs/>
        </w:rPr>
        <w:t>рш</w:t>
      </w:r>
      <w:r w:rsidR="00A56E08">
        <w:rPr>
          <w:bCs/>
        </w:rPr>
        <w:t>ка</w:t>
      </w:r>
      <w:r w:rsidR="000F5BD8" w:rsidRPr="00F6340E">
        <w:rPr>
          <w:bCs/>
        </w:rPr>
        <w:t xml:space="preserve"> </w:t>
      </w:r>
      <w:r w:rsidR="00A56E08">
        <w:rPr>
          <w:bCs/>
        </w:rPr>
        <w:t>и</w:t>
      </w:r>
      <w:r w:rsidR="004D1E15" w:rsidRPr="00F6340E">
        <w:rPr>
          <w:bCs/>
        </w:rPr>
        <w:t xml:space="preserve"> </w:t>
      </w:r>
      <w:r>
        <w:rPr>
          <w:bCs/>
        </w:rPr>
        <w:t>р</w:t>
      </w:r>
      <w:r w:rsidR="00EE6AA2">
        <w:rPr>
          <w:bCs/>
        </w:rPr>
        <w:t>е</w:t>
      </w:r>
      <w:r>
        <w:rPr>
          <w:bCs/>
        </w:rPr>
        <w:t>сурс</w:t>
      </w:r>
      <w:r w:rsidR="00A56E08">
        <w:rPr>
          <w:bCs/>
        </w:rPr>
        <w:t>и</w:t>
      </w:r>
      <w:r w:rsidR="004D1E15" w:rsidRPr="00F6340E">
        <w:t xml:space="preserve">, </w:t>
      </w:r>
      <w:r>
        <w:t>п</w:t>
      </w:r>
      <w:r w:rsidR="00EE6AA2">
        <w:rPr>
          <w:bCs/>
        </w:rPr>
        <w:t>е</w:t>
      </w:r>
      <w:r w:rsidR="00A56E08">
        <w:rPr>
          <w:bCs/>
        </w:rPr>
        <w:t>дагогија</w:t>
      </w:r>
      <w:r w:rsidR="004D1E15" w:rsidRPr="00F6340E">
        <w:rPr>
          <w:bCs/>
        </w:rPr>
        <w:t xml:space="preserve">: </w:t>
      </w:r>
      <w:r>
        <w:rPr>
          <w:bCs/>
        </w:rPr>
        <w:t>ув</w:t>
      </w:r>
      <w:r w:rsidR="00A56E08">
        <w:rPr>
          <w:bCs/>
        </w:rPr>
        <w:t>ођ</w:t>
      </w:r>
      <w:r w:rsidR="00EE6AA2">
        <w:rPr>
          <w:bCs/>
        </w:rPr>
        <w:t>е</w:t>
      </w:r>
      <w:r w:rsidR="00A56E08">
        <w:rPr>
          <w:bCs/>
        </w:rPr>
        <w:t>њ</w:t>
      </w:r>
      <w:r w:rsidR="00EE6AA2">
        <w:rPr>
          <w:bCs/>
        </w:rPr>
        <w:t>е</w:t>
      </w:r>
      <w:r w:rsidR="004D1E15" w:rsidRPr="00F6340E">
        <w:rPr>
          <w:bCs/>
        </w:rPr>
        <w:t xml:space="preserve"> </w:t>
      </w:r>
      <w:r>
        <w:rPr>
          <w:bCs/>
        </w:rPr>
        <w:t>у</w:t>
      </w:r>
      <w:r w:rsidR="004D1E15" w:rsidRPr="00F6340E">
        <w:rPr>
          <w:bCs/>
        </w:rPr>
        <w:t xml:space="preserve"> </w:t>
      </w:r>
      <w:r>
        <w:rPr>
          <w:bCs/>
        </w:rPr>
        <w:t>у</w:t>
      </w:r>
      <w:r w:rsidR="00A56E08">
        <w:rPr>
          <w:bCs/>
        </w:rPr>
        <w:t>чионици</w:t>
      </w:r>
      <w:r w:rsidR="004D1E15" w:rsidRPr="00F6340E">
        <w:t xml:space="preserve">, </w:t>
      </w:r>
      <w:r>
        <w:t>п</w:t>
      </w:r>
      <w:r>
        <w:rPr>
          <w:bCs/>
        </w:rPr>
        <w:t>р</w:t>
      </w:r>
      <w:r w:rsidR="00A56E08">
        <w:rPr>
          <w:bCs/>
        </w:rPr>
        <w:t>ак</w:t>
      </w:r>
      <w:r>
        <w:rPr>
          <w:bCs/>
        </w:rPr>
        <w:t>с</w:t>
      </w:r>
      <w:r w:rsidR="00EE6AA2">
        <w:rPr>
          <w:bCs/>
        </w:rPr>
        <w:t>е</w:t>
      </w:r>
      <w:r w:rsidR="004D1E15" w:rsidRPr="00F6340E">
        <w:rPr>
          <w:bCs/>
        </w:rPr>
        <w:t xml:space="preserve"> </w:t>
      </w:r>
      <w:r>
        <w:rPr>
          <w:bCs/>
        </w:rPr>
        <w:t>вр</w:t>
      </w:r>
      <w:r w:rsidR="00EE6AA2">
        <w:rPr>
          <w:bCs/>
        </w:rPr>
        <w:t>е</w:t>
      </w:r>
      <w:r w:rsidR="00A56E08">
        <w:rPr>
          <w:bCs/>
        </w:rPr>
        <w:t>дно</w:t>
      </w:r>
      <w:r>
        <w:rPr>
          <w:bCs/>
        </w:rPr>
        <w:t>в</w:t>
      </w:r>
      <w:r w:rsidR="00A56E08">
        <w:rPr>
          <w:bCs/>
        </w:rPr>
        <w:t>ања</w:t>
      </w:r>
      <w:r w:rsidR="004D1E15" w:rsidRPr="00F6340E">
        <w:t xml:space="preserve"> </w:t>
      </w:r>
      <w:r w:rsidR="00A56E08">
        <w:t>и</w:t>
      </w:r>
      <w:r w:rsidR="004D1E15" w:rsidRPr="00F6340E">
        <w:t xml:space="preserve"> </w:t>
      </w:r>
      <w:r w:rsidR="00A56E08">
        <w:t>д</w:t>
      </w:r>
      <w:r w:rsidR="00A56E08">
        <w:rPr>
          <w:bCs/>
        </w:rPr>
        <w:t>иги</w:t>
      </w:r>
      <w:r>
        <w:rPr>
          <w:bCs/>
        </w:rPr>
        <w:t>т</w:t>
      </w:r>
      <w:r w:rsidR="00A56E08">
        <w:rPr>
          <w:bCs/>
        </w:rPr>
        <w:t>алн</w:t>
      </w:r>
      <w:r w:rsidR="00EE6AA2">
        <w:rPr>
          <w:bCs/>
        </w:rPr>
        <w:t>е</w:t>
      </w:r>
      <w:r w:rsidR="004D1E15" w:rsidRPr="00F6340E">
        <w:rPr>
          <w:bCs/>
        </w:rPr>
        <w:t xml:space="preserve"> </w:t>
      </w:r>
      <w:r w:rsidR="00A56E08">
        <w:rPr>
          <w:bCs/>
        </w:rPr>
        <w:t>ком</w:t>
      </w:r>
      <w:r>
        <w:rPr>
          <w:bCs/>
        </w:rPr>
        <w:t>п</w:t>
      </w:r>
      <w:r w:rsidR="00EE6AA2">
        <w:rPr>
          <w:bCs/>
        </w:rPr>
        <w:t>е</w:t>
      </w:r>
      <w:r>
        <w:rPr>
          <w:bCs/>
        </w:rPr>
        <w:t>т</w:t>
      </w:r>
      <w:r w:rsidR="00EE6AA2">
        <w:rPr>
          <w:bCs/>
        </w:rPr>
        <w:t>е</w:t>
      </w:r>
      <w:r w:rsidR="00A56E08">
        <w:rPr>
          <w:bCs/>
        </w:rPr>
        <w:t>нциј</w:t>
      </w:r>
      <w:r w:rsidR="00EE6AA2">
        <w:rPr>
          <w:bCs/>
        </w:rPr>
        <w:t>е</w:t>
      </w:r>
      <w:r w:rsidR="004D1E15" w:rsidRPr="00F6340E">
        <w:rPr>
          <w:bCs/>
        </w:rPr>
        <w:t xml:space="preserve"> </w:t>
      </w:r>
      <w:r>
        <w:rPr>
          <w:bCs/>
        </w:rPr>
        <w:t>у</w:t>
      </w:r>
      <w:r w:rsidR="00A56E08">
        <w:rPr>
          <w:bCs/>
        </w:rPr>
        <w:t>ч</w:t>
      </w:r>
      <w:r w:rsidR="00EE6AA2">
        <w:rPr>
          <w:bCs/>
        </w:rPr>
        <w:t>е</w:t>
      </w:r>
      <w:r w:rsidR="00A56E08">
        <w:rPr>
          <w:bCs/>
        </w:rPr>
        <w:t>ника</w:t>
      </w:r>
      <w:r w:rsidR="004D1E15" w:rsidRPr="00F6340E">
        <w:rPr>
          <w:bCs/>
        </w:rPr>
        <w:t xml:space="preserve"> (</w:t>
      </w:r>
      <w:r>
        <w:rPr>
          <w:bCs/>
        </w:rPr>
        <w:t>С</w:t>
      </w:r>
      <w:r w:rsidR="00A56E08">
        <w:rPr>
          <w:bCs/>
        </w:rPr>
        <w:t>лика</w:t>
      </w:r>
      <w:r w:rsidR="004D1E15" w:rsidRPr="00F6340E">
        <w:rPr>
          <w:bCs/>
        </w:rPr>
        <w:t>)</w:t>
      </w:r>
      <w:r w:rsidR="00971865" w:rsidRPr="00F6340E">
        <w:rPr>
          <w:bCs/>
        </w:rPr>
        <w:t>.</w:t>
      </w:r>
      <w:r w:rsidR="004D1E15" w:rsidRPr="00F6340E">
        <w:rPr>
          <w:bCs/>
        </w:rPr>
        <w:t xml:space="preserve"> </w:t>
      </w:r>
    </w:p>
    <w:p w14:paraId="1E8F1900" w14:textId="0E9E932A" w:rsidR="004D1E15" w:rsidRPr="00115925" w:rsidRDefault="00115925" w:rsidP="00115925">
      <w:pPr>
        <w:pStyle w:val="Body"/>
        <w:rPr>
          <w:bCs/>
        </w:rPr>
      </w:pPr>
      <w:r w:rsidRPr="001A3922">
        <w:rPr>
          <w:rFonts w:cs="Arial"/>
          <w:color w:val="000000" w:themeColor="text1"/>
          <w:lang w:val="en-US"/>
        </w:rPr>
        <w:drawing>
          <wp:inline distT="0" distB="0" distL="0" distR="0" wp14:anchorId="60812043" wp14:editId="268FCBD8">
            <wp:extent cx="5654650" cy="3994099"/>
            <wp:effectExtent l="0" t="171450" r="0" b="159385"/>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2BEE146" w14:textId="72059CB1" w:rsidR="004D1E15" w:rsidRPr="00115925" w:rsidRDefault="0071360A" w:rsidP="004D1E15">
      <w:pPr>
        <w:widowControl w:val="0"/>
        <w:autoSpaceDE w:val="0"/>
        <w:autoSpaceDN w:val="0"/>
        <w:adjustRightInd w:val="0"/>
        <w:spacing w:after="240" w:line="360" w:lineRule="atLeast"/>
        <w:jc w:val="center"/>
        <w:rPr>
          <w:rFonts w:ascii="Arial" w:eastAsiaTheme="majorEastAsia" w:hAnsi="Arial" w:cs="Arial"/>
          <w:bCs/>
          <w:iCs/>
          <w:color w:val="000000" w:themeColor="text1"/>
          <w:sz w:val="20"/>
          <w:szCs w:val="24"/>
          <w:lang w:val="sr-Cyrl-BA" w:eastAsia="en-US"/>
        </w:rPr>
      </w:pPr>
      <w:r w:rsidRPr="00115925">
        <w:rPr>
          <w:rFonts w:ascii="Arial" w:eastAsiaTheme="majorEastAsia" w:hAnsi="Arial" w:cs="Arial"/>
          <w:bCs/>
          <w:iCs/>
          <w:color w:val="000000" w:themeColor="text1"/>
          <w:sz w:val="20"/>
          <w:szCs w:val="24"/>
          <w:lang w:val="sr-Cyrl-BA" w:eastAsia="en-US"/>
        </w:rPr>
        <w:t>С</w:t>
      </w:r>
      <w:r w:rsidR="00A56E08" w:rsidRPr="00115925">
        <w:rPr>
          <w:rFonts w:ascii="Arial" w:eastAsiaTheme="majorEastAsia" w:hAnsi="Arial" w:cs="Arial"/>
          <w:bCs/>
          <w:iCs/>
          <w:color w:val="000000" w:themeColor="text1"/>
          <w:sz w:val="20"/>
          <w:szCs w:val="24"/>
          <w:lang w:val="sr-Cyrl-BA" w:eastAsia="en-US"/>
        </w:rPr>
        <w:t>лика</w:t>
      </w:r>
      <w:r w:rsidR="004D1E15" w:rsidRPr="00115925">
        <w:rPr>
          <w:rFonts w:ascii="Arial" w:eastAsiaTheme="majorEastAsia" w:hAnsi="Arial" w:cs="Arial"/>
          <w:bCs/>
          <w:iCs/>
          <w:color w:val="000000" w:themeColor="text1"/>
          <w:sz w:val="20"/>
          <w:szCs w:val="24"/>
          <w:lang w:val="sr-Cyrl-BA" w:eastAsia="en-US"/>
        </w:rPr>
        <w:t xml:space="preserve">: </w:t>
      </w:r>
      <w:r w:rsidRPr="00115925">
        <w:rPr>
          <w:rFonts w:ascii="Arial" w:eastAsiaTheme="majorEastAsia" w:hAnsi="Arial" w:cs="Arial"/>
          <w:bCs/>
          <w:iCs/>
          <w:color w:val="000000" w:themeColor="text1"/>
          <w:sz w:val="20"/>
          <w:szCs w:val="24"/>
          <w:lang w:val="sr-Cyrl-BA" w:eastAsia="en-US"/>
        </w:rPr>
        <w:t>П</w:t>
      </w:r>
      <w:r w:rsidR="00A56E08" w:rsidRPr="00115925">
        <w:rPr>
          <w:rFonts w:ascii="Arial" w:eastAsiaTheme="majorEastAsia" w:hAnsi="Arial" w:cs="Arial"/>
          <w:bCs/>
          <w:iCs/>
          <w:color w:val="000000" w:themeColor="text1"/>
          <w:sz w:val="20"/>
          <w:szCs w:val="24"/>
          <w:lang w:val="sr-Cyrl-BA" w:eastAsia="en-US"/>
        </w:rPr>
        <w:t>од</w:t>
      </w:r>
      <w:r w:rsidRPr="00115925">
        <w:rPr>
          <w:rFonts w:ascii="Arial" w:eastAsiaTheme="majorEastAsia" w:hAnsi="Arial" w:cs="Arial"/>
          <w:bCs/>
          <w:iCs/>
          <w:color w:val="000000" w:themeColor="text1"/>
          <w:sz w:val="20"/>
          <w:szCs w:val="24"/>
          <w:lang w:val="sr-Cyrl-BA" w:eastAsia="en-US"/>
        </w:rPr>
        <w:t>ру</w:t>
      </w:r>
      <w:r w:rsidR="00A56E08" w:rsidRPr="00115925">
        <w:rPr>
          <w:rFonts w:ascii="Arial" w:eastAsiaTheme="majorEastAsia" w:hAnsi="Arial" w:cs="Arial"/>
          <w:bCs/>
          <w:iCs/>
          <w:color w:val="000000" w:themeColor="text1"/>
          <w:sz w:val="20"/>
          <w:szCs w:val="24"/>
          <w:lang w:val="sr-Cyrl-BA" w:eastAsia="en-US"/>
        </w:rPr>
        <w:t>чја</w:t>
      </w:r>
      <w:r w:rsidR="004D1E15" w:rsidRPr="00115925">
        <w:rPr>
          <w:rFonts w:ascii="Arial" w:eastAsiaTheme="majorEastAsia" w:hAnsi="Arial" w:cs="Arial"/>
          <w:bCs/>
          <w:iCs/>
          <w:color w:val="000000" w:themeColor="text1"/>
          <w:sz w:val="20"/>
          <w:szCs w:val="24"/>
          <w:lang w:val="sr-Cyrl-BA" w:eastAsia="en-US"/>
        </w:rPr>
        <w:t xml:space="preserve"> (</w:t>
      </w:r>
      <w:r w:rsidRPr="00115925">
        <w:rPr>
          <w:rFonts w:ascii="Arial" w:eastAsiaTheme="majorEastAsia" w:hAnsi="Arial" w:cs="Arial"/>
          <w:bCs/>
          <w:iCs/>
          <w:color w:val="000000" w:themeColor="text1"/>
          <w:sz w:val="20"/>
          <w:szCs w:val="24"/>
          <w:lang w:val="sr-Cyrl-BA" w:eastAsia="en-US"/>
        </w:rPr>
        <w:t>с</w:t>
      </w:r>
      <w:r w:rsidR="00A56E08" w:rsidRPr="00115925">
        <w:rPr>
          <w:rFonts w:ascii="Arial" w:eastAsiaTheme="majorEastAsia" w:hAnsi="Arial" w:cs="Arial"/>
          <w:bCs/>
          <w:iCs/>
          <w:color w:val="000000" w:themeColor="text1"/>
          <w:sz w:val="20"/>
          <w:szCs w:val="24"/>
          <w:lang w:val="sr-Cyrl-BA" w:eastAsia="en-US"/>
        </w:rPr>
        <w:t>амо</w:t>
      </w:r>
      <w:r w:rsidR="004D1E15" w:rsidRPr="00115925">
        <w:rPr>
          <w:rFonts w:ascii="Arial" w:eastAsiaTheme="majorEastAsia" w:hAnsi="Arial" w:cs="Arial"/>
          <w:bCs/>
          <w:iCs/>
          <w:color w:val="000000" w:themeColor="text1"/>
          <w:sz w:val="20"/>
          <w:szCs w:val="24"/>
          <w:lang w:val="sr-Cyrl-BA" w:eastAsia="en-US"/>
        </w:rPr>
        <w:t>)</w:t>
      </w:r>
      <w:r w:rsidRPr="00115925">
        <w:rPr>
          <w:rFonts w:ascii="Arial" w:eastAsiaTheme="majorEastAsia" w:hAnsi="Arial" w:cs="Arial"/>
          <w:bCs/>
          <w:iCs/>
          <w:color w:val="000000" w:themeColor="text1"/>
          <w:sz w:val="20"/>
          <w:szCs w:val="24"/>
          <w:lang w:val="sr-Cyrl-BA" w:eastAsia="en-US"/>
        </w:rPr>
        <w:t>вр</w:t>
      </w:r>
      <w:r w:rsidR="00EE6AA2" w:rsidRPr="00115925">
        <w:rPr>
          <w:rFonts w:ascii="Arial" w:eastAsiaTheme="majorEastAsia" w:hAnsi="Arial" w:cs="Arial"/>
          <w:bCs/>
          <w:iCs/>
          <w:color w:val="000000" w:themeColor="text1"/>
          <w:sz w:val="20"/>
          <w:szCs w:val="24"/>
          <w:lang w:val="sr-Cyrl-BA" w:eastAsia="en-US"/>
        </w:rPr>
        <w:t>е</w:t>
      </w:r>
      <w:r w:rsidR="00A56E08" w:rsidRPr="00115925">
        <w:rPr>
          <w:rFonts w:ascii="Arial" w:eastAsiaTheme="majorEastAsia" w:hAnsi="Arial" w:cs="Arial"/>
          <w:bCs/>
          <w:iCs/>
          <w:color w:val="000000" w:themeColor="text1"/>
          <w:sz w:val="20"/>
          <w:szCs w:val="24"/>
          <w:lang w:val="sr-Cyrl-BA" w:eastAsia="en-US"/>
        </w:rPr>
        <w:t>дно</w:t>
      </w:r>
      <w:r w:rsidRPr="00115925">
        <w:rPr>
          <w:rFonts w:ascii="Arial" w:eastAsiaTheme="majorEastAsia" w:hAnsi="Arial" w:cs="Arial"/>
          <w:bCs/>
          <w:iCs/>
          <w:color w:val="000000" w:themeColor="text1"/>
          <w:sz w:val="20"/>
          <w:szCs w:val="24"/>
          <w:lang w:val="sr-Cyrl-BA" w:eastAsia="en-US"/>
        </w:rPr>
        <w:t>в</w:t>
      </w:r>
      <w:r w:rsidR="00A56E08" w:rsidRPr="00115925">
        <w:rPr>
          <w:rFonts w:ascii="Arial" w:eastAsiaTheme="majorEastAsia" w:hAnsi="Arial" w:cs="Arial"/>
          <w:bCs/>
          <w:iCs/>
          <w:color w:val="000000" w:themeColor="text1"/>
          <w:sz w:val="20"/>
          <w:szCs w:val="24"/>
          <w:lang w:val="sr-Cyrl-BA" w:eastAsia="en-US"/>
        </w:rPr>
        <w:t>ања</w:t>
      </w:r>
      <w:r w:rsidR="004D1E15" w:rsidRPr="00115925">
        <w:rPr>
          <w:rFonts w:ascii="Arial" w:eastAsiaTheme="majorEastAsia" w:hAnsi="Arial" w:cs="Arial"/>
          <w:bCs/>
          <w:iCs/>
          <w:color w:val="000000" w:themeColor="text1"/>
          <w:sz w:val="20"/>
          <w:szCs w:val="24"/>
          <w:lang w:val="sr-Cyrl-BA" w:eastAsia="en-US"/>
        </w:rPr>
        <w:t xml:space="preserve"> </w:t>
      </w:r>
      <w:r w:rsidR="00A56E08" w:rsidRPr="00115925">
        <w:rPr>
          <w:rFonts w:ascii="Arial" w:eastAsiaTheme="majorEastAsia" w:hAnsi="Arial" w:cs="Arial"/>
          <w:bCs/>
          <w:iCs/>
          <w:color w:val="000000" w:themeColor="text1"/>
          <w:sz w:val="20"/>
          <w:szCs w:val="24"/>
          <w:lang w:val="sr-Cyrl-BA" w:eastAsia="en-US"/>
        </w:rPr>
        <w:t>диги</w:t>
      </w:r>
      <w:r w:rsidRPr="00115925">
        <w:rPr>
          <w:rFonts w:ascii="Arial" w:eastAsiaTheme="majorEastAsia" w:hAnsi="Arial" w:cs="Arial"/>
          <w:bCs/>
          <w:iCs/>
          <w:color w:val="000000" w:themeColor="text1"/>
          <w:sz w:val="20"/>
          <w:szCs w:val="24"/>
          <w:lang w:val="sr-Cyrl-BA" w:eastAsia="en-US"/>
        </w:rPr>
        <w:t>т</w:t>
      </w:r>
      <w:r w:rsidR="00A56E08" w:rsidRPr="00115925">
        <w:rPr>
          <w:rFonts w:ascii="Arial" w:eastAsiaTheme="majorEastAsia" w:hAnsi="Arial" w:cs="Arial"/>
          <w:bCs/>
          <w:iCs/>
          <w:color w:val="000000" w:themeColor="text1"/>
          <w:sz w:val="20"/>
          <w:szCs w:val="24"/>
          <w:lang w:val="sr-Cyrl-BA" w:eastAsia="en-US"/>
        </w:rPr>
        <w:t>алн</w:t>
      </w:r>
      <w:r w:rsidR="00EE6AA2" w:rsidRPr="00115925">
        <w:rPr>
          <w:rFonts w:ascii="Arial" w:eastAsiaTheme="majorEastAsia" w:hAnsi="Arial" w:cs="Arial"/>
          <w:bCs/>
          <w:iCs/>
          <w:color w:val="000000" w:themeColor="text1"/>
          <w:sz w:val="20"/>
          <w:szCs w:val="24"/>
          <w:lang w:val="sr-Cyrl-BA" w:eastAsia="en-US"/>
        </w:rPr>
        <w:t>е</w:t>
      </w:r>
      <w:r w:rsidR="004D1E15" w:rsidRPr="00115925">
        <w:rPr>
          <w:rFonts w:ascii="Arial" w:eastAsiaTheme="majorEastAsia" w:hAnsi="Arial" w:cs="Arial"/>
          <w:bCs/>
          <w:iCs/>
          <w:color w:val="000000" w:themeColor="text1"/>
          <w:sz w:val="20"/>
          <w:szCs w:val="24"/>
          <w:lang w:val="sr-Cyrl-BA" w:eastAsia="en-US"/>
        </w:rPr>
        <w:t xml:space="preserve"> </w:t>
      </w:r>
      <w:r w:rsidR="00171F00" w:rsidRPr="00115925">
        <w:rPr>
          <w:rFonts w:ascii="Arial" w:eastAsiaTheme="majorEastAsia" w:hAnsi="Arial" w:cs="Arial"/>
          <w:bCs/>
          <w:iCs/>
          <w:color w:val="000000" w:themeColor="text1"/>
          <w:sz w:val="20"/>
          <w:szCs w:val="24"/>
          <w:lang w:val="sr-Cyrl-BA" w:eastAsia="en-US"/>
        </w:rPr>
        <w:t>з</w:t>
      </w:r>
      <w:r w:rsidRPr="00115925">
        <w:rPr>
          <w:rFonts w:ascii="Arial" w:eastAsiaTheme="majorEastAsia" w:hAnsi="Arial" w:cs="Arial"/>
          <w:bCs/>
          <w:iCs/>
          <w:color w:val="000000" w:themeColor="text1"/>
          <w:sz w:val="20"/>
          <w:szCs w:val="24"/>
          <w:lang w:val="sr-Cyrl-BA" w:eastAsia="en-US"/>
        </w:rPr>
        <w:t>р</w:t>
      </w:r>
      <w:r w:rsidR="00EE6AA2" w:rsidRPr="00115925">
        <w:rPr>
          <w:rFonts w:ascii="Arial" w:eastAsiaTheme="majorEastAsia" w:hAnsi="Arial" w:cs="Arial"/>
          <w:bCs/>
          <w:iCs/>
          <w:color w:val="000000" w:themeColor="text1"/>
          <w:sz w:val="20"/>
          <w:szCs w:val="24"/>
          <w:lang w:val="sr-Cyrl-BA" w:eastAsia="en-US"/>
        </w:rPr>
        <w:t>е</w:t>
      </w:r>
      <w:r w:rsidR="00A56E08" w:rsidRPr="00115925">
        <w:rPr>
          <w:rFonts w:ascii="Arial" w:eastAsiaTheme="majorEastAsia" w:hAnsi="Arial" w:cs="Arial"/>
          <w:bCs/>
          <w:iCs/>
          <w:color w:val="000000" w:themeColor="text1"/>
          <w:sz w:val="20"/>
          <w:szCs w:val="24"/>
          <w:lang w:val="sr-Cyrl-BA" w:eastAsia="en-US"/>
        </w:rPr>
        <w:t>ло</w:t>
      </w:r>
      <w:r w:rsidRPr="00115925">
        <w:rPr>
          <w:rFonts w:ascii="Arial" w:eastAsiaTheme="majorEastAsia" w:hAnsi="Arial" w:cs="Arial"/>
          <w:bCs/>
          <w:iCs/>
          <w:color w:val="000000" w:themeColor="text1"/>
          <w:sz w:val="20"/>
          <w:szCs w:val="24"/>
          <w:lang w:val="sr-Cyrl-BA" w:eastAsia="en-US"/>
        </w:rPr>
        <w:t>ст</w:t>
      </w:r>
      <w:r w:rsidR="00A56E08" w:rsidRPr="00115925">
        <w:rPr>
          <w:rFonts w:ascii="Arial" w:eastAsiaTheme="majorEastAsia" w:hAnsi="Arial" w:cs="Arial"/>
          <w:bCs/>
          <w:iCs/>
          <w:color w:val="000000" w:themeColor="text1"/>
          <w:sz w:val="20"/>
          <w:szCs w:val="24"/>
          <w:lang w:val="sr-Cyrl-BA" w:eastAsia="en-US"/>
        </w:rPr>
        <w:t>и</w:t>
      </w:r>
      <w:r w:rsidR="004D1E15" w:rsidRPr="00115925">
        <w:rPr>
          <w:rFonts w:ascii="Arial" w:eastAsiaTheme="majorEastAsia" w:hAnsi="Arial" w:cs="Arial"/>
          <w:bCs/>
          <w:iCs/>
          <w:color w:val="000000" w:themeColor="text1"/>
          <w:sz w:val="20"/>
          <w:szCs w:val="24"/>
          <w:lang w:val="sr-Cyrl-BA" w:eastAsia="en-US"/>
        </w:rPr>
        <w:t xml:space="preserve"> </w:t>
      </w:r>
      <w:r w:rsidRPr="00115925">
        <w:rPr>
          <w:rFonts w:ascii="Arial" w:eastAsiaTheme="majorEastAsia" w:hAnsi="Arial" w:cs="Arial"/>
          <w:bCs/>
          <w:iCs/>
          <w:color w:val="000000" w:themeColor="text1"/>
          <w:sz w:val="20"/>
          <w:szCs w:val="24"/>
          <w:lang w:val="sr-Cyrl-BA" w:eastAsia="en-US"/>
        </w:rPr>
        <w:t>ш</w:t>
      </w:r>
      <w:r w:rsidR="00A56E08" w:rsidRPr="00115925">
        <w:rPr>
          <w:rFonts w:ascii="Arial" w:eastAsiaTheme="majorEastAsia" w:hAnsi="Arial" w:cs="Arial"/>
          <w:bCs/>
          <w:iCs/>
          <w:color w:val="000000" w:themeColor="text1"/>
          <w:sz w:val="20"/>
          <w:szCs w:val="24"/>
          <w:lang w:val="sr-Cyrl-BA" w:eastAsia="en-US"/>
        </w:rPr>
        <w:t>кол</w:t>
      </w:r>
      <w:r w:rsidR="00EE6AA2" w:rsidRPr="00115925">
        <w:rPr>
          <w:rFonts w:ascii="Arial" w:eastAsiaTheme="majorEastAsia" w:hAnsi="Arial" w:cs="Arial"/>
          <w:bCs/>
          <w:iCs/>
          <w:color w:val="000000" w:themeColor="text1"/>
          <w:sz w:val="20"/>
          <w:szCs w:val="24"/>
          <w:lang w:val="sr-Cyrl-BA" w:eastAsia="en-US"/>
        </w:rPr>
        <w:t>е</w:t>
      </w:r>
      <w:r w:rsidR="004D1E15" w:rsidRPr="00115925">
        <w:rPr>
          <w:rFonts w:ascii="Arial" w:eastAsiaTheme="majorEastAsia" w:hAnsi="Arial" w:cs="Arial"/>
          <w:bCs/>
          <w:iCs/>
          <w:color w:val="000000" w:themeColor="text1"/>
          <w:sz w:val="20"/>
          <w:szCs w:val="24"/>
          <w:lang w:val="sr-Cyrl-BA" w:eastAsia="en-US"/>
        </w:rPr>
        <w:t xml:space="preserve"> </w:t>
      </w:r>
      <w:r w:rsidR="00A56E08" w:rsidRPr="00115925">
        <w:rPr>
          <w:rFonts w:ascii="Arial" w:eastAsiaTheme="majorEastAsia" w:hAnsi="Arial" w:cs="Arial"/>
          <w:bCs/>
          <w:iCs/>
          <w:color w:val="000000" w:themeColor="text1"/>
          <w:sz w:val="20"/>
          <w:szCs w:val="24"/>
          <w:lang w:val="sr-Cyrl-BA" w:eastAsia="en-US"/>
        </w:rPr>
        <w:t>к</w:t>
      </w:r>
      <w:r w:rsidRPr="00115925">
        <w:rPr>
          <w:rFonts w:ascii="Arial" w:eastAsiaTheme="majorEastAsia" w:hAnsi="Arial" w:cs="Arial"/>
          <w:bCs/>
          <w:iCs/>
          <w:color w:val="000000" w:themeColor="text1"/>
          <w:sz w:val="20"/>
          <w:szCs w:val="24"/>
          <w:lang w:val="sr-Cyrl-BA" w:eastAsia="en-US"/>
        </w:rPr>
        <w:t>р</w:t>
      </w:r>
      <w:r w:rsidR="00A56E08" w:rsidRPr="00115925">
        <w:rPr>
          <w:rFonts w:ascii="Arial" w:eastAsiaTheme="majorEastAsia" w:hAnsi="Arial" w:cs="Arial"/>
          <w:bCs/>
          <w:iCs/>
          <w:color w:val="000000" w:themeColor="text1"/>
          <w:sz w:val="20"/>
          <w:szCs w:val="24"/>
          <w:lang w:val="sr-Cyrl-BA" w:eastAsia="en-US"/>
        </w:rPr>
        <w:t>о</w:t>
      </w:r>
      <w:r w:rsidR="00171F00" w:rsidRPr="00115925">
        <w:rPr>
          <w:rFonts w:ascii="Arial" w:eastAsiaTheme="majorEastAsia" w:hAnsi="Arial" w:cs="Arial"/>
          <w:bCs/>
          <w:iCs/>
          <w:color w:val="000000" w:themeColor="text1"/>
          <w:sz w:val="20"/>
          <w:szCs w:val="24"/>
          <w:lang w:val="sr-Cyrl-BA" w:eastAsia="en-US"/>
        </w:rPr>
        <w:t>з</w:t>
      </w:r>
      <w:r w:rsidR="004D1E15" w:rsidRPr="00115925">
        <w:rPr>
          <w:rFonts w:ascii="Arial" w:eastAsiaTheme="majorEastAsia" w:hAnsi="Arial" w:cs="Arial"/>
          <w:bCs/>
          <w:iCs/>
          <w:color w:val="000000" w:themeColor="text1"/>
          <w:sz w:val="20"/>
          <w:szCs w:val="24"/>
          <w:lang w:val="sr-Cyrl-BA" w:eastAsia="en-US"/>
        </w:rPr>
        <w:t xml:space="preserve"> </w:t>
      </w:r>
      <w:r w:rsidRPr="00115925">
        <w:rPr>
          <w:rFonts w:ascii="Arial" w:eastAsiaTheme="majorEastAsia" w:hAnsi="Arial" w:cs="Arial"/>
          <w:bCs/>
          <w:iCs/>
          <w:color w:val="000000" w:themeColor="text1"/>
          <w:sz w:val="20"/>
          <w:szCs w:val="24"/>
          <w:lang w:val="sr-Cyrl-BA" w:eastAsia="en-US"/>
        </w:rPr>
        <w:lastRenderedPageBreak/>
        <w:t>пр</w:t>
      </w:r>
      <w:r w:rsidR="00A56E08" w:rsidRPr="00115925">
        <w:rPr>
          <w:rFonts w:ascii="Arial" w:eastAsiaTheme="majorEastAsia" w:hAnsi="Arial" w:cs="Arial"/>
          <w:bCs/>
          <w:iCs/>
          <w:color w:val="000000" w:themeColor="text1"/>
          <w:sz w:val="20"/>
          <w:szCs w:val="24"/>
          <w:lang w:val="sr-Cyrl-BA" w:eastAsia="en-US"/>
        </w:rPr>
        <w:t>имј</w:t>
      </w:r>
      <w:r w:rsidR="00EE6AA2" w:rsidRPr="00115925">
        <w:rPr>
          <w:rFonts w:ascii="Arial" w:eastAsiaTheme="majorEastAsia" w:hAnsi="Arial" w:cs="Arial"/>
          <w:bCs/>
          <w:iCs/>
          <w:color w:val="000000" w:themeColor="text1"/>
          <w:sz w:val="20"/>
          <w:szCs w:val="24"/>
          <w:lang w:val="sr-Cyrl-BA" w:eastAsia="en-US"/>
        </w:rPr>
        <w:t>е</w:t>
      </w:r>
      <w:r w:rsidR="00A56E08" w:rsidRPr="00115925">
        <w:rPr>
          <w:rFonts w:ascii="Arial" w:eastAsiaTheme="majorEastAsia" w:hAnsi="Arial" w:cs="Arial"/>
          <w:bCs/>
          <w:iCs/>
          <w:color w:val="000000" w:themeColor="text1"/>
          <w:sz w:val="20"/>
          <w:szCs w:val="24"/>
          <w:lang w:val="sr-Cyrl-BA" w:eastAsia="en-US"/>
        </w:rPr>
        <w:t>н</w:t>
      </w:r>
      <w:r w:rsidRPr="00115925">
        <w:rPr>
          <w:rFonts w:ascii="Arial" w:eastAsiaTheme="majorEastAsia" w:hAnsi="Arial" w:cs="Arial"/>
          <w:bCs/>
          <w:iCs/>
          <w:color w:val="000000" w:themeColor="text1"/>
          <w:sz w:val="20"/>
          <w:szCs w:val="24"/>
          <w:lang w:val="sr-Cyrl-BA" w:eastAsia="en-US"/>
        </w:rPr>
        <w:t>у</w:t>
      </w:r>
      <w:r w:rsidR="004D1E15" w:rsidRPr="00115925">
        <w:rPr>
          <w:rFonts w:ascii="Arial" w:eastAsiaTheme="majorEastAsia" w:hAnsi="Arial" w:cs="Arial"/>
          <w:bCs/>
          <w:iCs/>
          <w:color w:val="000000" w:themeColor="text1"/>
          <w:sz w:val="20"/>
          <w:szCs w:val="24"/>
          <w:lang w:val="sr-Cyrl-BA" w:eastAsia="en-US"/>
        </w:rPr>
        <w:t xml:space="preserve"> </w:t>
      </w:r>
      <w:r w:rsidRPr="00115925">
        <w:rPr>
          <w:rFonts w:ascii="Arial" w:eastAsiaTheme="majorEastAsia" w:hAnsi="Arial" w:cs="Arial"/>
          <w:bCs/>
          <w:iCs/>
          <w:color w:val="000000" w:themeColor="text1"/>
          <w:sz w:val="20"/>
          <w:szCs w:val="24"/>
          <w:lang w:val="sr-Cyrl-BA" w:eastAsia="en-US"/>
        </w:rPr>
        <w:t>С</w:t>
      </w:r>
      <w:r w:rsidR="00EE6AA2" w:rsidRPr="00115925">
        <w:rPr>
          <w:rFonts w:ascii="Arial" w:eastAsiaTheme="majorEastAsia" w:hAnsi="Arial" w:cs="Arial"/>
          <w:bCs/>
          <w:iCs/>
          <w:color w:val="000000" w:themeColor="text1"/>
          <w:sz w:val="20"/>
          <w:szCs w:val="24"/>
          <w:lang w:val="sr-Cyrl-BA" w:eastAsia="en-US"/>
        </w:rPr>
        <w:t>Е</w:t>
      </w:r>
      <w:r w:rsidR="00A56E08" w:rsidRPr="00115925">
        <w:rPr>
          <w:rFonts w:ascii="Arial" w:eastAsiaTheme="majorEastAsia" w:hAnsi="Arial" w:cs="Arial"/>
          <w:bCs/>
          <w:iCs/>
          <w:color w:val="000000" w:themeColor="text1"/>
          <w:sz w:val="20"/>
          <w:szCs w:val="24"/>
          <w:lang w:val="sr-Cyrl-BA" w:eastAsia="en-US"/>
        </w:rPr>
        <w:t>ЛФИ</w:t>
      </w:r>
      <w:r w:rsidR="00EE6AA2" w:rsidRPr="00115925">
        <w:rPr>
          <w:rFonts w:ascii="Arial" w:eastAsiaTheme="majorEastAsia" w:hAnsi="Arial" w:cs="Arial"/>
          <w:bCs/>
          <w:iCs/>
          <w:color w:val="000000" w:themeColor="text1"/>
          <w:sz w:val="20"/>
          <w:szCs w:val="24"/>
          <w:lang w:val="sr-Cyrl-BA" w:eastAsia="en-US"/>
        </w:rPr>
        <w:t>Е</w:t>
      </w:r>
      <w:r w:rsidR="004D1E15" w:rsidRPr="00115925">
        <w:rPr>
          <w:rFonts w:ascii="Arial" w:eastAsiaTheme="majorEastAsia" w:hAnsi="Arial" w:cs="Arial"/>
          <w:bCs/>
          <w:iCs/>
          <w:color w:val="000000" w:themeColor="text1"/>
          <w:sz w:val="20"/>
          <w:szCs w:val="24"/>
          <w:lang w:val="sr-Cyrl-BA" w:eastAsia="en-US"/>
        </w:rPr>
        <w:t xml:space="preserve"> </w:t>
      </w:r>
      <w:r w:rsidR="00A56E08" w:rsidRPr="00115925">
        <w:rPr>
          <w:rFonts w:ascii="Arial" w:eastAsiaTheme="majorEastAsia" w:hAnsi="Arial" w:cs="Arial"/>
          <w:bCs/>
          <w:iCs/>
          <w:color w:val="000000" w:themeColor="text1"/>
          <w:sz w:val="20"/>
          <w:szCs w:val="24"/>
          <w:lang w:val="sr-Cyrl-BA" w:eastAsia="en-US"/>
        </w:rPr>
        <w:t>ала</w:t>
      </w:r>
      <w:r w:rsidRPr="00115925">
        <w:rPr>
          <w:rFonts w:ascii="Arial" w:eastAsiaTheme="majorEastAsia" w:hAnsi="Arial" w:cs="Arial"/>
          <w:bCs/>
          <w:iCs/>
          <w:color w:val="000000" w:themeColor="text1"/>
          <w:sz w:val="20"/>
          <w:szCs w:val="24"/>
          <w:lang w:val="sr-Cyrl-BA" w:eastAsia="en-US"/>
        </w:rPr>
        <w:t>т</w:t>
      </w:r>
      <w:r w:rsidR="00A56E08" w:rsidRPr="00115925">
        <w:rPr>
          <w:rFonts w:ascii="Arial" w:eastAsiaTheme="majorEastAsia" w:hAnsi="Arial" w:cs="Arial"/>
          <w:bCs/>
          <w:iCs/>
          <w:color w:val="000000" w:themeColor="text1"/>
          <w:sz w:val="20"/>
          <w:szCs w:val="24"/>
          <w:lang w:val="sr-Cyrl-BA" w:eastAsia="en-US"/>
        </w:rPr>
        <w:t>а</w:t>
      </w:r>
    </w:p>
    <w:p w14:paraId="1FD53730" w14:textId="2760FAE2" w:rsidR="004D1E15" w:rsidRPr="00F6340E" w:rsidRDefault="0071360A" w:rsidP="00115925">
      <w:pPr>
        <w:pStyle w:val="Body"/>
      </w:pPr>
      <w:r>
        <w:rPr>
          <w:rFonts w:eastAsiaTheme="majorEastAsia"/>
          <w:szCs w:val="26"/>
        </w:rPr>
        <w:t>Свр</w:t>
      </w:r>
      <w:r w:rsidR="00A56E08">
        <w:rPr>
          <w:rFonts w:eastAsiaTheme="majorEastAsia"/>
          <w:szCs w:val="26"/>
        </w:rPr>
        <w:t>ха</w:t>
      </w:r>
      <w:r w:rsidR="004D1E15" w:rsidRPr="00F6340E">
        <w:rPr>
          <w:rFonts w:eastAsiaTheme="majorEastAsia"/>
          <w:szCs w:val="26"/>
        </w:rPr>
        <w:t xml:space="preserve"> </w:t>
      </w:r>
      <w:r w:rsidR="00A56E08">
        <w:rPr>
          <w:rFonts w:eastAsiaTheme="majorEastAsia"/>
          <w:szCs w:val="26"/>
        </w:rPr>
        <w:t>њ</w:t>
      </w:r>
      <w:r w:rsidR="00EE6AA2">
        <w:rPr>
          <w:rFonts w:eastAsiaTheme="majorEastAsia"/>
          <w:szCs w:val="26"/>
        </w:rPr>
        <w:t>е</w:t>
      </w:r>
      <w:r w:rsidR="00A56E08">
        <w:rPr>
          <w:rFonts w:eastAsiaTheme="majorEastAsia"/>
          <w:szCs w:val="26"/>
        </w:rPr>
        <w:t>го</w:t>
      </w:r>
      <w:r>
        <w:rPr>
          <w:rFonts w:eastAsiaTheme="majorEastAsia"/>
          <w:szCs w:val="26"/>
        </w:rPr>
        <w:t>в</w:t>
      </w:r>
      <w:r w:rsidR="00EE6AA2">
        <w:rPr>
          <w:rFonts w:eastAsiaTheme="majorEastAsia"/>
          <w:szCs w:val="26"/>
        </w:rPr>
        <w:t>е</w:t>
      </w:r>
      <w:r w:rsidR="004D1E15" w:rsidRPr="00F6340E">
        <w:rPr>
          <w:rFonts w:eastAsiaTheme="majorEastAsia"/>
          <w:szCs w:val="26"/>
        </w:rPr>
        <w:t xml:space="preserve"> </w:t>
      </w:r>
      <w:r>
        <w:rPr>
          <w:rFonts w:eastAsiaTheme="majorEastAsia"/>
          <w:szCs w:val="26"/>
        </w:rPr>
        <w:t>пр</w:t>
      </w:r>
      <w:r w:rsidR="00A56E08">
        <w:rPr>
          <w:rFonts w:eastAsiaTheme="majorEastAsia"/>
          <w:szCs w:val="26"/>
        </w:rPr>
        <w:t>имј</w:t>
      </w:r>
      <w:r w:rsidR="00EE6AA2">
        <w:rPr>
          <w:rFonts w:eastAsiaTheme="majorEastAsia"/>
          <w:szCs w:val="26"/>
        </w:rPr>
        <w:t>е</w:t>
      </w:r>
      <w:r w:rsidR="00A56E08">
        <w:rPr>
          <w:rFonts w:eastAsiaTheme="majorEastAsia"/>
          <w:szCs w:val="26"/>
        </w:rPr>
        <w:t>н</w:t>
      </w:r>
      <w:r w:rsidR="00EE6AA2">
        <w:rPr>
          <w:rFonts w:eastAsiaTheme="majorEastAsia"/>
          <w:szCs w:val="26"/>
        </w:rPr>
        <w:t>е</w:t>
      </w:r>
      <w:r w:rsidR="004D1E15" w:rsidRPr="00F6340E">
        <w:rPr>
          <w:rFonts w:eastAsiaTheme="majorEastAsia"/>
          <w:szCs w:val="26"/>
        </w:rPr>
        <w:t xml:space="preserve"> </w:t>
      </w:r>
      <w:r w:rsidR="00A56E08">
        <w:rPr>
          <w:rFonts w:eastAsiaTheme="majorEastAsia"/>
          <w:szCs w:val="26"/>
        </w:rPr>
        <w:t>ј</w:t>
      </w:r>
      <w:r w:rsidR="00EE6AA2">
        <w:rPr>
          <w:rFonts w:eastAsiaTheme="majorEastAsia"/>
          <w:szCs w:val="26"/>
        </w:rPr>
        <w:t>е</w:t>
      </w:r>
      <w:r w:rsidR="004D1E15" w:rsidRPr="00F6340E">
        <w:rPr>
          <w:rFonts w:eastAsiaTheme="majorEastAsia"/>
          <w:szCs w:val="26"/>
        </w:rPr>
        <w:t xml:space="preserve"> </w:t>
      </w:r>
      <w:r w:rsidR="00A56E08">
        <w:rPr>
          <w:rFonts w:eastAsiaTheme="majorEastAsia"/>
          <w:szCs w:val="26"/>
        </w:rPr>
        <w:t>ид</w:t>
      </w:r>
      <w:r w:rsidR="00EE6AA2">
        <w:rPr>
          <w:rFonts w:eastAsiaTheme="majorEastAsia"/>
          <w:szCs w:val="26"/>
        </w:rPr>
        <w:t>е</w:t>
      </w:r>
      <w:r w:rsidR="00A56E08">
        <w:rPr>
          <w:rFonts w:eastAsiaTheme="majorEastAsia"/>
          <w:szCs w:val="26"/>
        </w:rPr>
        <w:t>н</w:t>
      </w:r>
      <w:r>
        <w:rPr>
          <w:rFonts w:eastAsiaTheme="majorEastAsia"/>
          <w:szCs w:val="26"/>
        </w:rPr>
        <w:t>т</w:t>
      </w:r>
      <w:r w:rsidR="00A56E08">
        <w:rPr>
          <w:rFonts w:eastAsiaTheme="majorEastAsia"/>
          <w:szCs w:val="26"/>
        </w:rPr>
        <w:t>ифико</w:t>
      </w:r>
      <w:r>
        <w:rPr>
          <w:rFonts w:eastAsiaTheme="majorEastAsia"/>
          <w:szCs w:val="26"/>
        </w:rPr>
        <w:t>в</w:t>
      </w:r>
      <w:r w:rsidR="00A56E08">
        <w:rPr>
          <w:rFonts w:eastAsiaTheme="majorEastAsia"/>
          <w:szCs w:val="26"/>
        </w:rPr>
        <w:t>ањ</w:t>
      </w:r>
      <w:r w:rsidR="00EE6AA2">
        <w:rPr>
          <w:rFonts w:eastAsiaTheme="majorEastAsia"/>
          <w:szCs w:val="26"/>
        </w:rPr>
        <w:t>е</w:t>
      </w:r>
      <w:r w:rsidR="004D1E15" w:rsidRPr="00F6340E">
        <w:rPr>
          <w:rFonts w:eastAsiaTheme="majorEastAsia"/>
          <w:szCs w:val="26"/>
        </w:rPr>
        <w:t xml:space="preserve"> </w:t>
      </w:r>
      <w:r>
        <w:rPr>
          <w:rFonts w:eastAsiaTheme="majorEastAsia"/>
          <w:szCs w:val="26"/>
        </w:rPr>
        <w:t>п</w:t>
      </w:r>
      <w:r w:rsidR="00A56E08">
        <w:rPr>
          <w:rFonts w:eastAsiaTheme="majorEastAsia"/>
          <w:szCs w:val="26"/>
        </w:rPr>
        <w:t>од</w:t>
      </w:r>
      <w:r>
        <w:rPr>
          <w:rFonts w:eastAsiaTheme="majorEastAsia"/>
          <w:szCs w:val="26"/>
        </w:rPr>
        <w:t>ру</w:t>
      </w:r>
      <w:r w:rsidR="00A56E08">
        <w:rPr>
          <w:rFonts w:eastAsiaTheme="majorEastAsia"/>
          <w:szCs w:val="26"/>
        </w:rPr>
        <w:t>чја</w:t>
      </w:r>
      <w:r w:rsidR="004D1E15" w:rsidRPr="00F6340E">
        <w:rPr>
          <w:rFonts w:eastAsiaTheme="majorEastAsia"/>
          <w:szCs w:val="26"/>
        </w:rPr>
        <w:t xml:space="preserve"> </w:t>
      </w:r>
      <w:r>
        <w:rPr>
          <w:rFonts w:eastAsiaTheme="majorEastAsia"/>
          <w:szCs w:val="26"/>
        </w:rPr>
        <w:t>у</w:t>
      </w:r>
      <w:r w:rsidR="004D1E15" w:rsidRPr="00F6340E">
        <w:rPr>
          <w:rFonts w:eastAsiaTheme="majorEastAsia"/>
          <w:szCs w:val="26"/>
        </w:rPr>
        <w:t xml:space="preserve"> </w:t>
      </w:r>
      <w:r w:rsidR="00A56E08">
        <w:rPr>
          <w:rFonts w:eastAsiaTheme="majorEastAsia"/>
          <w:szCs w:val="26"/>
        </w:rPr>
        <w:t>на</w:t>
      </w:r>
      <w:r>
        <w:rPr>
          <w:rFonts w:eastAsiaTheme="majorEastAsia"/>
          <w:szCs w:val="26"/>
        </w:rPr>
        <w:t>в</w:t>
      </w:r>
      <w:r w:rsidR="00EE6AA2">
        <w:rPr>
          <w:rFonts w:eastAsiaTheme="majorEastAsia"/>
          <w:szCs w:val="26"/>
        </w:rPr>
        <w:t>е</w:t>
      </w:r>
      <w:r w:rsidR="00A56E08">
        <w:rPr>
          <w:rFonts w:eastAsiaTheme="majorEastAsia"/>
          <w:szCs w:val="26"/>
        </w:rPr>
        <w:t>д</w:t>
      </w:r>
      <w:r w:rsidR="00EE6AA2">
        <w:rPr>
          <w:rFonts w:eastAsiaTheme="majorEastAsia"/>
          <w:szCs w:val="26"/>
        </w:rPr>
        <w:t>е</w:t>
      </w:r>
      <w:r w:rsidR="00A56E08">
        <w:rPr>
          <w:rFonts w:eastAsiaTheme="majorEastAsia"/>
          <w:szCs w:val="26"/>
        </w:rPr>
        <w:t>ним</w:t>
      </w:r>
      <w:r w:rsidR="004D1E15" w:rsidRPr="00F6340E">
        <w:rPr>
          <w:rFonts w:eastAsiaTheme="majorEastAsia"/>
          <w:szCs w:val="26"/>
        </w:rPr>
        <w:t xml:space="preserve"> </w:t>
      </w:r>
      <w:r w:rsidR="00A56E08">
        <w:rPr>
          <w:rFonts w:eastAsiaTheme="majorEastAsia"/>
          <w:szCs w:val="26"/>
        </w:rPr>
        <w:t>обла</w:t>
      </w:r>
      <w:r>
        <w:rPr>
          <w:rFonts w:eastAsiaTheme="majorEastAsia"/>
          <w:szCs w:val="26"/>
        </w:rPr>
        <w:t>ст</w:t>
      </w:r>
      <w:r w:rsidR="00A56E08">
        <w:rPr>
          <w:rFonts w:eastAsiaTheme="majorEastAsia"/>
          <w:szCs w:val="26"/>
        </w:rPr>
        <w:t>има</w:t>
      </w:r>
      <w:r w:rsidR="004D1E15" w:rsidRPr="00F6340E">
        <w:rPr>
          <w:rFonts w:eastAsiaTheme="majorEastAsia"/>
          <w:szCs w:val="26"/>
        </w:rPr>
        <w:t xml:space="preserve"> </w:t>
      </w:r>
      <w:r w:rsidR="00A56E08">
        <w:rPr>
          <w:rFonts w:eastAsiaTheme="majorEastAsia"/>
          <w:szCs w:val="26"/>
        </w:rPr>
        <w:t>која</w:t>
      </w:r>
      <w:r w:rsidR="004D1E15" w:rsidRPr="00F6340E">
        <w:rPr>
          <w:rFonts w:eastAsiaTheme="majorEastAsia"/>
          <w:szCs w:val="26"/>
        </w:rPr>
        <w:t xml:space="preserve"> </w:t>
      </w:r>
      <w:r w:rsidR="00A56E08">
        <w:rPr>
          <w:rFonts w:eastAsiaTheme="majorEastAsia"/>
          <w:szCs w:val="26"/>
        </w:rPr>
        <w:t>доб</w:t>
      </w:r>
      <w:r>
        <w:rPr>
          <w:rFonts w:eastAsiaTheme="majorEastAsia"/>
          <w:szCs w:val="26"/>
        </w:rPr>
        <w:t>р</w:t>
      </w:r>
      <w:r w:rsidR="00A56E08">
        <w:rPr>
          <w:rFonts w:eastAsiaTheme="majorEastAsia"/>
          <w:szCs w:val="26"/>
        </w:rPr>
        <w:t>о</w:t>
      </w:r>
      <w:r w:rsidR="004D1E15" w:rsidRPr="00F6340E">
        <w:rPr>
          <w:rFonts w:eastAsiaTheme="majorEastAsia"/>
          <w:szCs w:val="26"/>
        </w:rPr>
        <w:t xml:space="preserve"> </w:t>
      </w:r>
      <w:r w:rsidR="00A56E08">
        <w:rPr>
          <w:rFonts w:eastAsiaTheme="majorEastAsia"/>
          <w:szCs w:val="26"/>
        </w:rPr>
        <w:t>ф</w:t>
      </w:r>
      <w:r>
        <w:rPr>
          <w:rFonts w:eastAsiaTheme="majorEastAsia"/>
          <w:szCs w:val="26"/>
        </w:rPr>
        <w:t>у</w:t>
      </w:r>
      <w:r w:rsidR="00A56E08">
        <w:rPr>
          <w:rFonts w:eastAsiaTheme="majorEastAsia"/>
          <w:szCs w:val="26"/>
        </w:rPr>
        <w:t>нкциони</w:t>
      </w:r>
      <w:r>
        <w:rPr>
          <w:rFonts w:eastAsiaTheme="majorEastAsia"/>
          <w:szCs w:val="26"/>
        </w:rPr>
        <w:t>шу</w:t>
      </w:r>
      <w:r w:rsidR="004D1E15" w:rsidRPr="00F6340E">
        <w:rPr>
          <w:rFonts w:eastAsiaTheme="majorEastAsia"/>
          <w:szCs w:val="26"/>
        </w:rPr>
        <w:t xml:space="preserve">, </w:t>
      </w:r>
      <w:r w:rsidR="00A56E08">
        <w:rPr>
          <w:rFonts w:eastAsiaTheme="majorEastAsia"/>
          <w:szCs w:val="26"/>
        </w:rPr>
        <w:t>али</w:t>
      </w:r>
      <w:r w:rsidR="004D1E15" w:rsidRPr="00F6340E">
        <w:rPr>
          <w:rFonts w:eastAsiaTheme="majorEastAsia"/>
          <w:szCs w:val="26"/>
        </w:rPr>
        <w:t xml:space="preserve"> </w:t>
      </w:r>
      <w:r w:rsidR="00A56E08">
        <w:rPr>
          <w:rFonts w:eastAsiaTheme="majorEastAsia"/>
          <w:szCs w:val="26"/>
        </w:rPr>
        <w:t>и</w:t>
      </w:r>
      <w:r w:rsidR="004D1E15" w:rsidRPr="00F6340E">
        <w:rPr>
          <w:rFonts w:eastAsiaTheme="majorEastAsia"/>
          <w:szCs w:val="26"/>
        </w:rPr>
        <w:t xml:space="preserve"> </w:t>
      </w:r>
      <w:r w:rsidR="00A56E08">
        <w:rPr>
          <w:rFonts w:eastAsiaTheme="majorEastAsia"/>
          <w:szCs w:val="26"/>
        </w:rPr>
        <w:t>оних</w:t>
      </w:r>
      <w:r w:rsidR="004D1E15" w:rsidRPr="00F6340E">
        <w:rPr>
          <w:rFonts w:eastAsiaTheme="majorEastAsia"/>
          <w:szCs w:val="26"/>
        </w:rPr>
        <w:t xml:space="preserve"> </w:t>
      </w:r>
      <w:r w:rsidR="00A56E08">
        <w:rPr>
          <w:rFonts w:eastAsiaTheme="majorEastAsia"/>
          <w:szCs w:val="26"/>
        </w:rPr>
        <w:t>којима</w:t>
      </w:r>
      <w:r w:rsidR="004D1E15" w:rsidRPr="00F6340E">
        <w:rPr>
          <w:rFonts w:eastAsiaTheme="majorEastAsia"/>
          <w:szCs w:val="26"/>
        </w:rPr>
        <w:t xml:space="preserve"> </w:t>
      </w:r>
      <w:r>
        <w:rPr>
          <w:rFonts w:eastAsiaTheme="majorEastAsia"/>
          <w:szCs w:val="26"/>
        </w:rPr>
        <w:t>су</w:t>
      </w:r>
      <w:r w:rsidR="004D1E15" w:rsidRPr="00F6340E">
        <w:rPr>
          <w:rFonts w:eastAsiaTheme="majorEastAsia"/>
          <w:szCs w:val="26"/>
        </w:rPr>
        <w:t xml:space="preserve"> </w:t>
      </w:r>
      <w:r>
        <w:rPr>
          <w:rFonts w:eastAsiaTheme="majorEastAsia"/>
          <w:szCs w:val="26"/>
        </w:rPr>
        <w:t>п</w:t>
      </w:r>
      <w:r w:rsidR="00A56E08">
        <w:rPr>
          <w:rFonts w:eastAsiaTheme="majorEastAsia"/>
          <w:szCs w:val="26"/>
        </w:rPr>
        <w:t>о</w:t>
      </w:r>
      <w:r>
        <w:rPr>
          <w:rFonts w:eastAsiaTheme="majorEastAsia"/>
          <w:szCs w:val="26"/>
        </w:rPr>
        <w:t>тр</w:t>
      </w:r>
      <w:r w:rsidR="00EE6AA2">
        <w:rPr>
          <w:rFonts w:eastAsiaTheme="majorEastAsia"/>
          <w:szCs w:val="26"/>
        </w:rPr>
        <w:t>е</w:t>
      </w:r>
      <w:r w:rsidR="00A56E08">
        <w:rPr>
          <w:rFonts w:eastAsiaTheme="majorEastAsia"/>
          <w:szCs w:val="26"/>
        </w:rPr>
        <w:t>бна</w:t>
      </w:r>
      <w:r w:rsidR="004D1E15" w:rsidRPr="00F6340E">
        <w:t xml:space="preserve"> </w:t>
      </w:r>
      <w:r>
        <w:t>п</w:t>
      </w:r>
      <w:r w:rsidR="00A56E08">
        <w:t>обољ</w:t>
      </w:r>
      <w:r>
        <w:t>ш</w:t>
      </w:r>
      <w:r w:rsidR="00A56E08">
        <w:t>ања</w:t>
      </w:r>
      <w:r w:rsidR="004D1E15" w:rsidRPr="00F6340E">
        <w:t xml:space="preserve"> </w:t>
      </w:r>
      <w:r>
        <w:t>у</w:t>
      </w:r>
      <w:r w:rsidR="00A56E08">
        <w:t>кљ</w:t>
      </w:r>
      <w:r>
        <w:t>у</w:t>
      </w:r>
      <w:r w:rsidR="00A56E08">
        <w:t>ч</w:t>
      </w:r>
      <w:r>
        <w:t>у</w:t>
      </w:r>
      <w:r w:rsidR="00A56E08">
        <w:t>ј</w:t>
      </w:r>
      <w:r>
        <w:t>у</w:t>
      </w:r>
      <w:r w:rsidR="00A56E08">
        <w:t>ћи</w:t>
      </w:r>
      <w:r w:rsidR="004D1E15" w:rsidRPr="00F6340E">
        <w:t xml:space="preserve"> </w:t>
      </w:r>
      <w:r w:rsidR="00A56E08">
        <w:t>и</w:t>
      </w:r>
      <w:r w:rsidR="004D1E15" w:rsidRPr="00F6340E">
        <w:t xml:space="preserve"> </w:t>
      </w:r>
      <w:r>
        <w:t>пр</w:t>
      </w:r>
      <w:r w:rsidR="00EE6AA2">
        <w:t>е</w:t>
      </w:r>
      <w:r>
        <w:t>п</w:t>
      </w:r>
      <w:r w:rsidR="00A56E08">
        <w:t>о</w:t>
      </w:r>
      <w:r w:rsidR="00171F00">
        <w:t>з</w:t>
      </w:r>
      <w:r w:rsidR="00A56E08">
        <w:t>на</w:t>
      </w:r>
      <w:r>
        <w:t>в</w:t>
      </w:r>
      <w:r w:rsidR="00A56E08">
        <w:t>ањ</w:t>
      </w:r>
      <w:r w:rsidR="00EE6AA2">
        <w:t>е</w:t>
      </w:r>
      <w:r w:rsidR="004D1E15" w:rsidRPr="00F6340E">
        <w:t xml:space="preserve"> </w:t>
      </w:r>
      <w:r>
        <w:t>пр</w:t>
      </w:r>
      <w:r w:rsidR="00A56E08">
        <w:t>ио</w:t>
      </w:r>
      <w:r>
        <w:t>р</w:t>
      </w:r>
      <w:r w:rsidR="00A56E08">
        <w:t>и</w:t>
      </w:r>
      <w:r>
        <w:t>т</w:t>
      </w:r>
      <w:r w:rsidR="00EE6AA2">
        <w:t>е</w:t>
      </w:r>
      <w:r>
        <w:t>т</w:t>
      </w:r>
      <w:r w:rsidR="00A56E08">
        <w:t>а</w:t>
      </w:r>
      <w:r w:rsidR="004D1E15" w:rsidRPr="00F6340E">
        <w:t xml:space="preserve">. </w:t>
      </w:r>
      <w:r w:rsidR="00A56E08">
        <w:t>О</w:t>
      </w:r>
      <w:r>
        <w:t>в</w:t>
      </w:r>
      <w:r w:rsidR="00A56E08">
        <w:t>о</w:t>
      </w:r>
      <w:r w:rsidR="000F5BD8" w:rsidRPr="00F6340E">
        <w:t xml:space="preserve"> </w:t>
      </w:r>
      <w:r w:rsidR="00A56E08">
        <w:t>омог</w:t>
      </w:r>
      <w:r>
        <w:t>у</w:t>
      </w:r>
      <w:r w:rsidR="00A56E08">
        <w:t>ћа</w:t>
      </w:r>
      <w:r>
        <w:t>в</w:t>
      </w:r>
      <w:r w:rsidR="00A56E08">
        <w:t>а</w:t>
      </w:r>
      <w:r w:rsidR="000F5BD8" w:rsidRPr="00F6340E">
        <w:t xml:space="preserve"> </w:t>
      </w:r>
      <w:r w:rsidR="00A56E08">
        <w:t>анонимно</w:t>
      </w:r>
      <w:r w:rsidR="004D1E15" w:rsidRPr="00F6340E">
        <w:t xml:space="preserve"> </w:t>
      </w:r>
      <w:r w:rsidR="00A56E08">
        <w:t>и</w:t>
      </w:r>
      <w:r>
        <w:t>сп</w:t>
      </w:r>
      <w:r w:rsidR="00A56E08">
        <w:t>и</w:t>
      </w:r>
      <w:r>
        <w:t>т</w:t>
      </w:r>
      <w:r w:rsidR="00A56E08">
        <w:t>и</w:t>
      </w:r>
      <w:r>
        <w:t>в</w:t>
      </w:r>
      <w:r w:rsidR="00A56E08">
        <w:t>ањ</w:t>
      </w:r>
      <w:r w:rsidR="00EE6AA2">
        <w:t>е</w:t>
      </w:r>
      <w:r w:rsidR="004D1E15" w:rsidRPr="00F6340E">
        <w:t xml:space="preserve"> </w:t>
      </w:r>
      <w:r>
        <w:t>ст</w:t>
      </w:r>
      <w:r w:rsidR="00A56E08">
        <w:t>а</w:t>
      </w:r>
      <w:r>
        <w:t>в</w:t>
      </w:r>
      <w:r w:rsidR="00A56E08">
        <w:t>о</w:t>
      </w:r>
      <w:r>
        <w:t>в</w:t>
      </w:r>
      <w:r w:rsidR="00A56E08">
        <w:t>а</w:t>
      </w:r>
      <w:r w:rsidR="004D1E15" w:rsidRPr="00F6340E">
        <w:t xml:space="preserve"> </w:t>
      </w:r>
      <w:r>
        <w:t>у</w:t>
      </w:r>
      <w:r w:rsidR="00A56E08">
        <w:t>ч</w:t>
      </w:r>
      <w:r w:rsidR="00EE6AA2">
        <w:t>е</w:t>
      </w:r>
      <w:r w:rsidR="00A56E08">
        <w:t>ника</w:t>
      </w:r>
      <w:r w:rsidR="004D1E15" w:rsidRPr="00F6340E">
        <w:t xml:space="preserve">, </w:t>
      </w:r>
      <w:r w:rsidR="00A56E08">
        <w:t>на</w:t>
      </w:r>
      <w:r>
        <w:t>ст</w:t>
      </w:r>
      <w:r w:rsidR="00A56E08">
        <w:t>а</w:t>
      </w:r>
      <w:r>
        <w:t>в</w:t>
      </w:r>
      <w:r w:rsidR="00A56E08">
        <w:t>ника</w:t>
      </w:r>
      <w:r w:rsidR="004D1E15" w:rsidRPr="00F6340E">
        <w:t xml:space="preserve"> </w:t>
      </w:r>
      <w:r w:rsidR="00A56E08">
        <w:t>и</w:t>
      </w:r>
      <w:r w:rsidR="004D1E15" w:rsidRPr="00F6340E">
        <w:t xml:space="preserve"> </w:t>
      </w:r>
      <w:r w:rsidR="00A56E08">
        <w:t>ди</w:t>
      </w:r>
      <w:r>
        <w:t>р</w:t>
      </w:r>
      <w:r w:rsidR="00EE6AA2">
        <w:t>е</w:t>
      </w:r>
      <w:r w:rsidR="00A56E08">
        <w:t>к</w:t>
      </w:r>
      <w:r>
        <w:t>т</w:t>
      </w:r>
      <w:r w:rsidR="00A56E08">
        <w:t>о</w:t>
      </w:r>
      <w:r>
        <w:t>р</w:t>
      </w:r>
      <w:r w:rsidR="00A56E08">
        <w:t>а</w:t>
      </w:r>
      <w:r w:rsidR="004D1E15" w:rsidRPr="00F6340E">
        <w:t xml:space="preserve"> </w:t>
      </w:r>
      <w:r>
        <w:t>ш</w:t>
      </w:r>
      <w:r w:rsidR="00A56E08">
        <w:t>кол</w:t>
      </w:r>
      <w:r w:rsidR="00EE6AA2">
        <w:t>е</w:t>
      </w:r>
      <w:r w:rsidR="004D1E15" w:rsidRPr="00F6340E">
        <w:t xml:space="preserve"> </w:t>
      </w:r>
      <w:r w:rsidR="00A56E08">
        <w:t>о</w:t>
      </w:r>
      <w:r w:rsidR="004D1E15" w:rsidRPr="00F6340E">
        <w:t xml:space="preserve"> </w:t>
      </w:r>
      <w:r>
        <w:t>т</w:t>
      </w:r>
      <w:r w:rsidR="00A56E08">
        <w:t>ом</w:t>
      </w:r>
      <w:r w:rsidR="00EE6AA2">
        <w:t>е</w:t>
      </w:r>
      <w:r w:rsidR="004D1E15" w:rsidRPr="00F6340E">
        <w:t xml:space="preserve"> </w:t>
      </w:r>
      <w:r w:rsidR="00A56E08">
        <w:t>како</w:t>
      </w:r>
      <w:r w:rsidR="004D1E15" w:rsidRPr="00F6340E">
        <w:t xml:space="preserve"> </w:t>
      </w:r>
      <w:r>
        <w:t>с</w:t>
      </w:r>
      <w:r w:rsidR="00EE6AA2">
        <w:t>е</w:t>
      </w:r>
      <w:r w:rsidR="004D1E15" w:rsidRPr="00F6340E">
        <w:t xml:space="preserve"> </w:t>
      </w:r>
      <w:r>
        <w:t>т</w:t>
      </w:r>
      <w:r w:rsidR="00EE6AA2">
        <w:t>е</w:t>
      </w:r>
      <w:r w:rsidR="00A56E08">
        <w:t>хнологија</w:t>
      </w:r>
      <w:r w:rsidR="004D1E15" w:rsidRPr="00F6340E">
        <w:t xml:space="preserve"> </w:t>
      </w:r>
      <w:r>
        <w:t>уп</w:t>
      </w:r>
      <w:r w:rsidR="00A56E08">
        <w:t>о</w:t>
      </w:r>
      <w:r>
        <w:t>тр</w:t>
      </w:r>
      <w:r w:rsidR="00EE6AA2">
        <w:t>е</w:t>
      </w:r>
      <w:r w:rsidR="00A56E08">
        <w:t>бља</w:t>
      </w:r>
      <w:r>
        <w:t>в</w:t>
      </w:r>
      <w:r w:rsidR="00A56E08">
        <w:t>а</w:t>
      </w:r>
      <w:r w:rsidR="004D1E15" w:rsidRPr="00F6340E">
        <w:t xml:space="preserve"> </w:t>
      </w:r>
      <w:r>
        <w:t>у</w:t>
      </w:r>
      <w:r w:rsidR="004D1E15" w:rsidRPr="00F6340E">
        <w:t xml:space="preserve"> </w:t>
      </w:r>
      <w:r w:rsidR="00A56E08">
        <w:t>њихо</w:t>
      </w:r>
      <w:r>
        <w:t>в</w:t>
      </w:r>
      <w:r w:rsidR="00A56E08">
        <w:t>ој</w:t>
      </w:r>
      <w:r w:rsidR="004D1E15" w:rsidRPr="00F6340E">
        <w:t xml:space="preserve"> </w:t>
      </w:r>
      <w:r>
        <w:t>ш</w:t>
      </w:r>
      <w:r w:rsidR="00A56E08">
        <w:t>коли</w:t>
      </w:r>
      <w:r w:rsidR="004D1E15" w:rsidRPr="00F6340E">
        <w:t xml:space="preserve">. </w:t>
      </w:r>
      <w:r>
        <w:t>Т</w:t>
      </w:r>
      <w:r w:rsidR="00A56E08">
        <w:t>о</w:t>
      </w:r>
      <w:r w:rsidR="004D1E15" w:rsidRPr="00F6340E">
        <w:t xml:space="preserve"> </w:t>
      </w:r>
      <w:r>
        <w:t>с</w:t>
      </w:r>
      <w:r w:rsidR="00EE6AA2">
        <w:t>е</w:t>
      </w:r>
      <w:r w:rsidR="004D1E15" w:rsidRPr="00F6340E">
        <w:t xml:space="preserve"> </w:t>
      </w:r>
      <w:r w:rsidR="00A56E08">
        <w:t>чини</w:t>
      </w:r>
      <w:r w:rsidR="004D1E15" w:rsidRPr="00F6340E">
        <w:t xml:space="preserve"> </w:t>
      </w:r>
      <w:r>
        <w:t>пут</w:t>
      </w:r>
      <w:r w:rsidR="00EE6AA2">
        <w:t>е</w:t>
      </w:r>
      <w:r w:rsidR="00A56E08">
        <w:t>м</w:t>
      </w:r>
      <w:r w:rsidR="004D1E15" w:rsidRPr="00F6340E">
        <w:t xml:space="preserve"> </w:t>
      </w:r>
      <w:r w:rsidR="00A56E08">
        <w:t>к</w:t>
      </w:r>
      <w:r>
        <w:t>р</w:t>
      </w:r>
      <w:r w:rsidR="00A56E08">
        <w:t>а</w:t>
      </w:r>
      <w:r>
        <w:t>т</w:t>
      </w:r>
      <w:r w:rsidR="00A56E08">
        <w:t>ких</w:t>
      </w:r>
      <w:r w:rsidR="004D1E15" w:rsidRPr="00F6340E">
        <w:t xml:space="preserve"> </w:t>
      </w:r>
      <w:r w:rsidR="00A56E08">
        <w:t>и</w:t>
      </w:r>
      <w:r w:rsidR="00171F00">
        <w:t>з</w:t>
      </w:r>
      <w:r w:rsidR="00A56E08">
        <w:t>ја</w:t>
      </w:r>
      <w:r>
        <w:t>в</w:t>
      </w:r>
      <w:r w:rsidR="00A56E08">
        <w:t>а</w:t>
      </w:r>
      <w:r w:rsidR="004D1E15" w:rsidRPr="00F6340E">
        <w:t xml:space="preserve"> </w:t>
      </w:r>
      <w:r w:rsidR="00A56E08">
        <w:t>и</w:t>
      </w:r>
      <w:r w:rsidR="004D1E15" w:rsidRPr="00F6340E">
        <w:t xml:space="preserve"> </w:t>
      </w:r>
      <w:r>
        <w:t>п</w:t>
      </w:r>
      <w:r w:rsidR="00A56E08">
        <w:t>и</w:t>
      </w:r>
      <w:r>
        <w:t>т</w:t>
      </w:r>
      <w:r w:rsidR="00A56E08">
        <w:t>ања</w:t>
      </w:r>
      <w:r w:rsidR="004D1E15" w:rsidRPr="00F6340E">
        <w:t xml:space="preserve"> </w:t>
      </w:r>
      <w:r>
        <w:t>т</w:t>
      </w:r>
      <w:r w:rsidR="00EE6AA2">
        <w:t>е</w:t>
      </w:r>
      <w:r w:rsidR="004D1E15" w:rsidRPr="00F6340E">
        <w:t xml:space="preserve"> </w:t>
      </w:r>
      <w:r w:rsidR="00A56E08">
        <w:t>ј</w:t>
      </w:r>
      <w:r w:rsidR="00EE6AA2">
        <w:t>е</w:t>
      </w:r>
      <w:r w:rsidR="00A56E08">
        <w:t>дно</w:t>
      </w:r>
      <w:r>
        <w:t>ст</w:t>
      </w:r>
      <w:r w:rsidR="00A56E08">
        <w:t>а</w:t>
      </w:r>
      <w:r>
        <w:t>в</w:t>
      </w:r>
      <w:r w:rsidR="00A56E08">
        <w:t>н</w:t>
      </w:r>
      <w:r w:rsidR="00EE6AA2">
        <w:t>е</w:t>
      </w:r>
      <w:r w:rsidR="004D1E15" w:rsidRPr="00F6340E">
        <w:t xml:space="preserve"> </w:t>
      </w:r>
      <w:r>
        <w:t>с</w:t>
      </w:r>
      <w:r w:rsidR="00A56E08">
        <w:t>кал</w:t>
      </w:r>
      <w:r w:rsidR="00EE6AA2">
        <w:t>е</w:t>
      </w:r>
      <w:r w:rsidR="004D1E15" w:rsidRPr="00F6340E">
        <w:t xml:space="preserve"> </w:t>
      </w:r>
      <w:r>
        <w:t>с</w:t>
      </w:r>
      <w:r w:rsidR="00A56E08">
        <w:t>лагања</w:t>
      </w:r>
      <w:r w:rsidR="00B04FA8">
        <w:t xml:space="preserve"> са </w:t>
      </w:r>
      <w:r w:rsidR="00A56E08">
        <w:t>оцј</w:t>
      </w:r>
      <w:r w:rsidR="00EE6AA2">
        <w:t>е</w:t>
      </w:r>
      <w:r w:rsidR="00A56E08">
        <w:t>нама</w:t>
      </w:r>
      <w:r w:rsidR="004D1E15" w:rsidRPr="00F6340E">
        <w:t xml:space="preserve"> </w:t>
      </w:r>
      <w:r w:rsidR="00A56E08">
        <w:t>од</w:t>
      </w:r>
      <w:r w:rsidR="004D1E15" w:rsidRPr="00F6340E">
        <w:t xml:space="preserve"> 1 </w:t>
      </w:r>
      <w:r w:rsidR="00A56E08">
        <w:t>до</w:t>
      </w:r>
      <w:r w:rsidR="004D1E15" w:rsidRPr="00F6340E">
        <w:t xml:space="preserve"> 5. </w:t>
      </w:r>
      <w:r w:rsidR="00171F00">
        <w:t>З</w:t>
      </w:r>
      <w:r w:rsidR="00A56E08">
        <w:t>а</w:t>
      </w:r>
      <w:r w:rsidR="004D1E15" w:rsidRPr="00F6340E">
        <w:t xml:space="preserve"> </w:t>
      </w:r>
      <w:r>
        <w:t>п</w:t>
      </w:r>
      <w:r w:rsidR="00A56E08">
        <w:t>о</w:t>
      </w:r>
      <w:r>
        <w:t>ступ</w:t>
      </w:r>
      <w:r w:rsidR="00A56E08">
        <w:t>ак</w:t>
      </w:r>
      <w:r w:rsidR="004D1E15" w:rsidRPr="00F6340E">
        <w:t xml:space="preserve"> </w:t>
      </w:r>
      <w:r w:rsidR="00A56E08">
        <w:t>ј</w:t>
      </w:r>
      <w:r w:rsidR="00EE6AA2">
        <w:t>е</w:t>
      </w:r>
      <w:r w:rsidR="004D1E15" w:rsidRPr="00F6340E">
        <w:t xml:space="preserve"> </w:t>
      </w:r>
      <w:r>
        <w:t>п</w:t>
      </w:r>
      <w:r w:rsidR="00A56E08">
        <w:t>о</w:t>
      </w:r>
      <w:r>
        <w:t>тр</w:t>
      </w:r>
      <w:r w:rsidR="00EE6AA2">
        <w:t>е</w:t>
      </w:r>
      <w:r w:rsidR="00A56E08">
        <w:t>бно</w:t>
      </w:r>
      <w:r w:rsidR="004D1E15" w:rsidRPr="00F6340E">
        <w:t xml:space="preserve"> </w:t>
      </w:r>
      <w:r w:rsidR="00A56E08">
        <w:t>око</w:t>
      </w:r>
      <w:r w:rsidR="004D1E15" w:rsidRPr="00F6340E">
        <w:t xml:space="preserve"> 30 </w:t>
      </w:r>
      <w:r w:rsidR="00A56E08">
        <w:t>мин</w:t>
      </w:r>
      <w:r>
        <w:t>ут</w:t>
      </w:r>
      <w:r w:rsidR="00A56E08">
        <w:t>а</w:t>
      </w:r>
      <w:r w:rsidR="004D1E15" w:rsidRPr="00F6340E">
        <w:t xml:space="preserve">. </w:t>
      </w:r>
      <w:r>
        <w:t>П</w:t>
      </w:r>
      <w:r w:rsidR="00A56E08">
        <w:t>и</w:t>
      </w:r>
      <w:r>
        <w:t>т</w:t>
      </w:r>
      <w:r w:rsidR="00A56E08">
        <w:t>ања</w:t>
      </w:r>
      <w:r w:rsidR="004D1E15" w:rsidRPr="00F6340E">
        <w:t xml:space="preserve"> </w:t>
      </w:r>
      <w:r>
        <w:t>су</w:t>
      </w:r>
      <w:r w:rsidR="004D1E15" w:rsidRPr="00F6340E">
        <w:t xml:space="preserve"> </w:t>
      </w:r>
      <w:r>
        <w:t>пр</w:t>
      </w:r>
      <w:r w:rsidR="00A56E08">
        <w:t>илагођ</w:t>
      </w:r>
      <w:r w:rsidR="00EE6AA2">
        <w:t>е</w:t>
      </w:r>
      <w:r w:rsidR="00A56E08">
        <w:t>на</w:t>
      </w:r>
      <w:r w:rsidR="004D1E15" w:rsidRPr="00F6340E">
        <w:t xml:space="preserve"> </w:t>
      </w:r>
      <w:r>
        <w:t>св</w:t>
      </w:r>
      <w:r w:rsidR="00A56E08">
        <w:t>акој</w:t>
      </w:r>
      <w:r w:rsidR="004D1E15" w:rsidRPr="00F6340E">
        <w:t xml:space="preserve"> </w:t>
      </w:r>
      <w:r w:rsidR="00A56E08">
        <w:t>г</w:t>
      </w:r>
      <w:r>
        <w:t>руп</w:t>
      </w:r>
      <w:r w:rsidR="00A56E08">
        <w:t>и</w:t>
      </w:r>
      <w:r w:rsidR="004D1E15" w:rsidRPr="00F6340E">
        <w:t xml:space="preserve">. </w:t>
      </w:r>
      <w:r w:rsidR="00A56E08">
        <w:t>На</w:t>
      </w:r>
      <w:r w:rsidR="004D1E15" w:rsidRPr="00F6340E">
        <w:t xml:space="preserve"> </w:t>
      </w:r>
      <w:r>
        <w:t>т</w:t>
      </w:r>
      <w:r w:rsidR="00EE6AA2">
        <w:t>е</w:t>
      </w:r>
      <w:r w:rsidR="00A56E08">
        <w:t>м</w:t>
      </w:r>
      <w:r w:rsidR="00EE6AA2">
        <w:t>е</w:t>
      </w:r>
      <w:r w:rsidR="00A56E08">
        <w:t>љ</w:t>
      </w:r>
      <w:r>
        <w:t>у</w:t>
      </w:r>
      <w:r w:rsidR="004D1E15" w:rsidRPr="00F6340E">
        <w:t xml:space="preserve"> </w:t>
      </w:r>
      <w:r>
        <w:t>пр</w:t>
      </w:r>
      <w:r w:rsidR="00A56E08">
        <w:t>ик</w:t>
      </w:r>
      <w:r>
        <w:t>уп</w:t>
      </w:r>
      <w:r w:rsidR="00A56E08">
        <w:t>љ</w:t>
      </w:r>
      <w:r w:rsidR="00EE6AA2">
        <w:t>е</w:t>
      </w:r>
      <w:r w:rsidR="00A56E08">
        <w:t>них</w:t>
      </w:r>
      <w:r w:rsidR="004D1E15" w:rsidRPr="00F6340E">
        <w:t xml:space="preserve"> </w:t>
      </w:r>
      <w:r>
        <w:t>п</w:t>
      </w:r>
      <w:r w:rsidR="00A56E08">
        <w:t>ода</w:t>
      </w:r>
      <w:r>
        <w:t>т</w:t>
      </w:r>
      <w:r w:rsidR="00A56E08">
        <w:t>ака</w:t>
      </w:r>
      <w:r w:rsidR="004D1E15" w:rsidRPr="00F6340E">
        <w:t xml:space="preserve">, </w:t>
      </w:r>
      <w:r w:rsidR="00A56E08">
        <w:t>ала</w:t>
      </w:r>
      <w:r>
        <w:t>т</w:t>
      </w:r>
      <w:r w:rsidR="004D1E15" w:rsidRPr="00F6340E">
        <w:t xml:space="preserve"> </w:t>
      </w:r>
      <w:r w:rsidR="00A56E08">
        <w:t>г</w:t>
      </w:r>
      <w:r w:rsidR="00EE6AA2">
        <w:t>е</w:t>
      </w:r>
      <w:r w:rsidR="00A56E08">
        <w:t>н</w:t>
      </w:r>
      <w:r w:rsidR="00EE6AA2">
        <w:t>е</w:t>
      </w:r>
      <w:r>
        <w:t>р</w:t>
      </w:r>
      <w:r w:rsidR="00A56E08">
        <w:t>и</w:t>
      </w:r>
      <w:r>
        <w:t>ш</w:t>
      </w:r>
      <w:r w:rsidR="00EE6AA2">
        <w:t>е</w:t>
      </w:r>
      <w:r w:rsidR="00AE44FC" w:rsidRPr="00F6340E">
        <w:t xml:space="preserve"> </w:t>
      </w:r>
      <w:r w:rsidR="00A56E08">
        <w:t>и</w:t>
      </w:r>
      <w:r w:rsidR="00171F00">
        <w:t>з</w:t>
      </w:r>
      <w:r>
        <w:t>в</w:t>
      </w:r>
      <w:r w:rsidR="00A56E08">
        <w:t>ј</w:t>
      </w:r>
      <w:r w:rsidR="00EE6AA2">
        <w:t>е</w:t>
      </w:r>
      <w:r>
        <w:t>шт</w:t>
      </w:r>
      <w:r w:rsidR="00A56E08">
        <w:t>ај</w:t>
      </w:r>
      <w:r w:rsidR="004D1E15" w:rsidRPr="00F6340E">
        <w:t xml:space="preserve"> – </w:t>
      </w:r>
      <w:r>
        <w:t>с</w:t>
      </w:r>
      <w:r w:rsidR="00A56E08">
        <w:t>лик</w:t>
      </w:r>
      <w:r>
        <w:t>у</w:t>
      </w:r>
      <w:r w:rsidR="004D1E15" w:rsidRPr="00F6340E">
        <w:t xml:space="preserve"> („</w:t>
      </w:r>
      <w:r>
        <w:t>С</w:t>
      </w:r>
      <w:r w:rsidR="00EE6AA2">
        <w:t>Е</w:t>
      </w:r>
      <w:r w:rsidR="00A56E08">
        <w:t>ЛФИ</w:t>
      </w:r>
      <w:r w:rsidR="00EE6AA2">
        <w:t>Е</w:t>
      </w:r>
      <w:r w:rsidR="004D1E15" w:rsidRPr="00F6340E">
        <w:t xml:space="preserve">”) </w:t>
      </w:r>
      <w:r w:rsidR="00A56E08">
        <w:t>јачих</w:t>
      </w:r>
      <w:r w:rsidR="004D1E15" w:rsidRPr="00F6340E">
        <w:t xml:space="preserve"> </w:t>
      </w:r>
      <w:r w:rsidR="00A56E08">
        <w:t>и</w:t>
      </w:r>
      <w:r w:rsidR="004D1E15" w:rsidRPr="00F6340E">
        <w:t xml:space="preserve"> </w:t>
      </w:r>
      <w:r>
        <w:t>с</w:t>
      </w:r>
      <w:r w:rsidR="00A56E08">
        <w:t>лабијих</w:t>
      </w:r>
      <w:r w:rsidR="004D1E15" w:rsidRPr="00F6340E">
        <w:t xml:space="preserve"> </w:t>
      </w:r>
      <w:r>
        <w:t>стр</w:t>
      </w:r>
      <w:r w:rsidR="00A56E08">
        <w:t>ана</w:t>
      </w:r>
      <w:r w:rsidR="004D1E15" w:rsidRPr="00F6340E">
        <w:t xml:space="preserve"> </w:t>
      </w:r>
      <w:r>
        <w:t>ш</w:t>
      </w:r>
      <w:r w:rsidR="00A56E08">
        <w:t>кол</w:t>
      </w:r>
      <w:r w:rsidR="00EE6AA2">
        <w:t>е</w:t>
      </w:r>
      <w:r w:rsidR="004D1E15" w:rsidRPr="00F6340E">
        <w:t xml:space="preserve"> </w:t>
      </w:r>
      <w:r>
        <w:t>у</w:t>
      </w:r>
      <w:r w:rsidR="004D1E15" w:rsidRPr="00F6340E">
        <w:t xml:space="preserve"> </w:t>
      </w:r>
      <w:r w:rsidR="00A56E08">
        <w:t>кон</w:t>
      </w:r>
      <w:r>
        <w:t>т</w:t>
      </w:r>
      <w:r w:rsidR="00EE6AA2">
        <w:t>е</w:t>
      </w:r>
      <w:r w:rsidR="00A56E08">
        <w:t>к</w:t>
      </w:r>
      <w:r>
        <w:t>сту</w:t>
      </w:r>
      <w:r w:rsidR="004D1E15" w:rsidRPr="00F6340E">
        <w:t xml:space="preserve"> </w:t>
      </w:r>
      <w:r>
        <w:t>уп</w:t>
      </w:r>
      <w:r w:rsidR="00A56E08">
        <w:t>о</w:t>
      </w:r>
      <w:r>
        <w:t>тр</w:t>
      </w:r>
      <w:r w:rsidR="00EE6AA2">
        <w:t>е</w:t>
      </w:r>
      <w:r w:rsidR="00A56E08">
        <w:t>б</w:t>
      </w:r>
      <w:r w:rsidR="00EE6AA2">
        <w:t>е</w:t>
      </w:r>
      <w:r w:rsidR="004D1E15" w:rsidRPr="00F6340E">
        <w:t xml:space="preserve"> </w:t>
      </w:r>
      <w:r w:rsidR="00A56E08">
        <w:t>диги</w:t>
      </w:r>
      <w:r>
        <w:t>т</w:t>
      </w:r>
      <w:r w:rsidR="00A56E08">
        <w:t>алних</w:t>
      </w:r>
      <w:r w:rsidR="004D1E15" w:rsidRPr="00F6340E">
        <w:t xml:space="preserve"> </w:t>
      </w:r>
      <w:r>
        <w:t>т</w:t>
      </w:r>
      <w:r w:rsidR="00EE6AA2">
        <w:t>е</w:t>
      </w:r>
      <w:r w:rsidR="00A56E08">
        <w:t>хнологија</w:t>
      </w:r>
      <w:r w:rsidR="004D1E15" w:rsidRPr="00F6340E">
        <w:t xml:space="preserve"> </w:t>
      </w:r>
      <w:r w:rsidR="00171F00">
        <w:t>з</w:t>
      </w:r>
      <w:r w:rsidR="00A56E08">
        <w:t>а</w:t>
      </w:r>
      <w:r w:rsidR="004D1E15" w:rsidRPr="00F6340E">
        <w:t xml:space="preserve"> </w:t>
      </w:r>
      <w:r>
        <w:t>п</w:t>
      </w:r>
      <w:r w:rsidR="00A56E08">
        <w:t>од</w:t>
      </w:r>
      <w:r>
        <w:t>у</w:t>
      </w:r>
      <w:r w:rsidR="00A56E08">
        <w:t>ча</w:t>
      </w:r>
      <w:r>
        <w:t>в</w:t>
      </w:r>
      <w:r w:rsidR="00A56E08">
        <w:t>ањ</w:t>
      </w:r>
      <w:r w:rsidR="00EE6AA2">
        <w:t>е</w:t>
      </w:r>
      <w:r w:rsidR="004D1E15" w:rsidRPr="00F6340E">
        <w:t xml:space="preserve"> </w:t>
      </w:r>
      <w:r w:rsidR="00A56E08">
        <w:t>и</w:t>
      </w:r>
      <w:r w:rsidR="004D1E15" w:rsidRPr="00F6340E">
        <w:t xml:space="preserve"> </w:t>
      </w:r>
      <w:r>
        <w:t>у</w:t>
      </w:r>
      <w:r w:rsidR="00A56E08">
        <w:t>ч</w:t>
      </w:r>
      <w:r w:rsidR="00EE6AA2">
        <w:t>е</w:t>
      </w:r>
      <w:r w:rsidR="00A56E08">
        <w:t>њ</w:t>
      </w:r>
      <w:r w:rsidR="00EE6AA2">
        <w:t>е</w:t>
      </w:r>
      <w:r w:rsidR="004D1E15" w:rsidRPr="00F6340E">
        <w:t>.</w:t>
      </w:r>
      <w:r w:rsidR="008133F5" w:rsidRPr="00F6340E">
        <w:rPr>
          <w:rStyle w:val="FootnoteReference"/>
          <w:rFonts w:cs="Arial"/>
          <w:bCs/>
          <w:color w:val="000000" w:themeColor="text1"/>
        </w:rPr>
        <w:footnoteReference w:id="21"/>
      </w:r>
    </w:p>
    <w:p w14:paraId="51B2F08C" w14:textId="40D0168D" w:rsidR="004D1E15" w:rsidRPr="00F6340E" w:rsidRDefault="00A56E08" w:rsidP="00115925">
      <w:pPr>
        <w:pStyle w:val="Body"/>
        <w:rPr>
          <w:bCs/>
        </w:rPr>
      </w:pPr>
      <w:r>
        <w:t>Г</w:t>
      </w:r>
      <w:r w:rsidR="00EE6AA2">
        <w:t>е</w:t>
      </w:r>
      <w:r>
        <w:t>н</w:t>
      </w:r>
      <w:r w:rsidR="00EE6AA2">
        <w:t>е</w:t>
      </w:r>
      <w:r w:rsidR="0071360A">
        <w:t>р</w:t>
      </w:r>
      <w:r>
        <w:t>и</w:t>
      </w:r>
      <w:r w:rsidR="0071360A">
        <w:t>с</w:t>
      </w:r>
      <w:r>
        <w:t>ани</w:t>
      </w:r>
      <w:r w:rsidR="004D1E15" w:rsidRPr="00F6340E">
        <w:t xml:space="preserve"> </w:t>
      </w:r>
      <w:r>
        <w:t>и</w:t>
      </w:r>
      <w:r w:rsidR="00171F00">
        <w:t>з</w:t>
      </w:r>
      <w:r w:rsidR="0071360A">
        <w:t>в</w:t>
      </w:r>
      <w:r>
        <w:t>ј</w:t>
      </w:r>
      <w:r w:rsidR="00EE6AA2">
        <w:t>е</w:t>
      </w:r>
      <w:r w:rsidR="0071360A">
        <w:t>шт</w:t>
      </w:r>
      <w:r>
        <w:t>ај</w:t>
      </w:r>
      <w:r w:rsidR="004D1E15" w:rsidRPr="00F6340E">
        <w:t xml:space="preserve"> </w:t>
      </w:r>
      <w:r>
        <w:t>дај</w:t>
      </w:r>
      <w:r w:rsidR="00EE6AA2">
        <w:t>е</w:t>
      </w:r>
      <w:r w:rsidR="004D1E15" w:rsidRPr="00F6340E">
        <w:t xml:space="preserve"> </w:t>
      </w:r>
      <w:r>
        <w:t>одго</w:t>
      </w:r>
      <w:r w:rsidR="0071360A">
        <w:t>в</w:t>
      </w:r>
      <w:r>
        <w:t>о</w:t>
      </w:r>
      <w:r w:rsidR="0071360A">
        <w:t>р</w:t>
      </w:r>
      <w:r w:rsidR="00EE6AA2">
        <w:t>е</w:t>
      </w:r>
      <w:r w:rsidR="004D1E15" w:rsidRPr="00F6340E">
        <w:t xml:space="preserve"> </w:t>
      </w:r>
      <w:r>
        <w:t>на</w:t>
      </w:r>
      <w:r w:rsidR="004D1E15" w:rsidRPr="00F6340E">
        <w:t xml:space="preserve"> </w:t>
      </w:r>
      <w:r w:rsidR="0071360A">
        <w:t>с</w:t>
      </w:r>
      <w:r>
        <w:t>љ</w:t>
      </w:r>
      <w:r w:rsidR="00EE6AA2">
        <w:t>е</w:t>
      </w:r>
      <w:r>
        <w:t>д</w:t>
      </w:r>
      <w:r w:rsidR="00EE6AA2">
        <w:t>е</w:t>
      </w:r>
      <w:r>
        <w:t>ћа</w:t>
      </w:r>
      <w:r w:rsidR="004D1E15" w:rsidRPr="00F6340E">
        <w:t xml:space="preserve"> </w:t>
      </w:r>
      <w:r w:rsidR="0071360A">
        <w:t>п</w:t>
      </w:r>
      <w:r>
        <w:t>и</w:t>
      </w:r>
      <w:r w:rsidR="0071360A">
        <w:t>т</w:t>
      </w:r>
      <w:r>
        <w:t>ања</w:t>
      </w:r>
      <w:r w:rsidR="004D1E15" w:rsidRPr="00F6340E">
        <w:t xml:space="preserve">: </w:t>
      </w:r>
    </w:p>
    <w:p w14:paraId="58C308F8" w14:textId="0A98481D" w:rsidR="004D1E15" w:rsidRPr="00F6340E" w:rsidRDefault="0071360A" w:rsidP="00115925">
      <w:pPr>
        <w:pStyle w:val="Bulletlist"/>
      </w:pPr>
      <w:r>
        <w:t>У</w:t>
      </w:r>
      <w:r w:rsidR="004D1E15" w:rsidRPr="00F6340E">
        <w:t xml:space="preserve"> </w:t>
      </w:r>
      <w:r w:rsidR="00A56E08">
        <w:t>којим</w:t>
      </w:r>
      <w:r w:rsidR="004D1E15" w:rsidRPr="00F6340E">
        <w:t xml:space="preserve"> </w:t>
      </w:r>
      <w:r>
        <w:t>п</w:t>
      </w:r>
      <w:r w:rsidR="00A56E08">
        <w:t>од</w:t>
      </w:r>
      <w:r>
        <w:t>ру</w:t>
      </w:r>
      <w:r w:rsidR="00A56E08">
        <w:t>чјима</w:t>
      </w:r>
      <w:r w:rsidR="004D1E15" w:rsidRPr="00F6340E">
        <w:t xml:space="preserve"> </w:t>
      </w:r>
      <w:r>
        <w:t>ш</w:t>
      </w:r>
      <w:r w:rsidR="00A56E08">
        <w:t>кола</w:t>
      </w:r>
      <w:r w:rsidR="004D1E15" w:rsidRPr="00F6340E">
        <w:t xml:space="preserve"> </w:t>
      </w:r>
      <w:r w:rsidR="00EE6AA2">
        <w:t>е</w:t>
      </w:r>
      <w:r w:rsidR="00A56E08">
        <w:t>ф</w:t>
      </w:r>
      <w:r w:rsidR="00EE6AA2">
        <w:t>е</w:t>
      </w:r>
      <w:r w:rsidR="00A56E08">
        <w:t>к</w:t>
      </w:r>
      <w:r>
        <w:t>т</w:t>
      </w:r>
      <w:r w:rsidR="00A56E08">
        <w:t>и</w:t>
      </w:r>
      <w:r>
        <w:t>в</w:t>
      </w:r>
      <w:r w:rsidR="00A56E08">
        <w:t>но</w:t>
      </w:r>
      <w:r w:rsidR="004D1E15" w:rsidRPr="00F6340E">
        <w:t xml:space="preserve"> </w:t>
      </w:r>
      <w:r>
        <w:t>уп</w:t>
      </w:r>
      <w:r w:rsidR="00A56E08">
        <w:t>о</w:t>
      </w:r>
      <w:r>
        <w:t>тр</w:t>
      </w:r>
      <w:r w:rsidR="00EE6AA2">
        <w:t>е</w:t>
      </w:r>
      <w:r w:rsidR="00A56E08">
        <w:t>бља</w:t>
      </w:r>
      <w:r>
        <w:t>в</w:t>
      </w:r>
      <w:r w:rsidR="00A56E08">
        <w:t>а</w:t>
      </w:r>
      <w:r w:rsidR="004D1E15" w:rsidRPr="00F6340E">
        <w:t xml:space="preserve"> </w:t>
      </w:r>
      <w:r>
        <w:t>т</w:t>
      </w:r>
      <w:r w:rsidR="00EE6AA2">
        <w:t>е</w:t>
      </w:r>
      <w:r w:rsidR="00A56E08">
        <w:t>хнологиј</w:t>
      </w:r>
      <w:r>
        <w:t>у</w:t>
      </w:r>
      <w:r w:rsidR="004D1E15" w:rsidRPr="00F6340E">
        <w:t xml:space="preserve">, </w:t>
      </w:r>
      <w:r w:rsidR="00A56E08">
        <w:t>а</w:t>
      </w:r>
      <w:r w:rsidR="004D1E15" w:rsidRPr="00F6340E">
        <w:t xml:space="preserve"> </w:t>
      </w:r>
      <w:r w:rsidR="00A56E08">
        <w:t>којима</w:t>
      </w:r>
      <w:r w:rsidR="004D1E15" w:rsidRPr="00F6340E">
        <w:t xml:space="preserve"> </w:t>
      </w:r>
      <w:r w:rsidR="00A56E08">
        <w:t>ј</w:t>
      </w:r>
      <w:r w:rsidR="00EE6AA2">
        <w:t>е</w:t>
      </w:r>
      <w:r w:rsidR="004D1E15" w:rsidRPr="00F6340E">
        <w:t xml:space="preserve"> </w:t>
      </w:r>
      <w:r>
        <w:t>п</w:t>
      </w:r>
      <w:r w:rsidR="00A56E08">
        <w:t>о</w:t>
      </w:r>
      <w:r>
        <w:t>тр</w:t>
      </w:r>
      <w:r w:rsidR="00EE6AA2">
        <w:t>е</w:t>
      </w:r>
      <w:r w:rsidR="00A56E08">
        <w:t>бно</w:t>
      </w:r>
      <w:r w:rsidR="004D1E15"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4D1E15" w:rsidRPr="00F6340E">
        <w:t xml:space="preserve">? </w:t>
      </w:r>
    </w:p>
    <w:p w14:paraId="4D3BF154" w14:textId="7EB37D26" w:rsidR="004D1E15" w:rsidRPr="00F6340E" w:rsidRDefault="00A56E08" w:rsidP="00115925">
      <w:pPr>
        <w:pStyle w:val="Bulletlist"/>
      </w:pPr>
      <w:r>
        <w:t>Има</w:t>
      </w:r>
      <w:r w:rsidR="004D1E15" w:rsidRPr="00F6340E">
        <w:t xml:space="preserve"> </w:t>
      </w:r>
      <w:r>
        <w:t>ли</w:t>
      </w:r>
      <w:r w:rsidR="004D1E15" w:rsidRPr="00F6340E">
        <w:t xml:space="preserve"> </w:t>
      </w:r>
      <w:r w:rsidR="0071360A">
        <w:t>ш</w:t>
      </w:r>
      <w:r>
        <w:t>кола</w:t>
      </w:r>
      <w:r w:rsidR="004D1E15" w:rsidRPr="00F6340E">
        <w:t xml:space="preserve"> </w:t>
      </w:r>
      <w:r w:rsidR="0071360A">
        <w:t>в</w:t>
      </w:r>
      <w:r>
        <w:t>и</w:t>
      </w:r>
      <w:r w:rsidR="00171F00">
        <w:t>з</w:t>
      </w:r>
      <w:r>
        <w:t>иј</w:t>
      </w:r>
      <w:r w:rsidR="0071360A">
        <w:t>у</w:t>
      </w:r>
      <w:r w:rsidR="004D1E15" w:rsidRPr="00F6340E">
        <w:t xml:space="preserve"> </w:t>
      </w:r>
      <w:r>
        <w:t>о</w:t>
      </w:r>
      <w:r w:rsidR="004D1E15" w:rsidRPr="00F6340E">
        <w:t xml:space="preserve"> </w:t>
      </w:r>
      <w:r w:rsidR="0071360A">
        <w:t>т</w:t>
      </w:r>
      <w:r>
        <w:t>ом</w:t>
      </w:r>
      <w:r w:rsidR="00EE6AA2">
        <w:t>е</w:t>
      </w:r>
      <w:r w:rsidR="004D1E15" w:rsidRPr="00F6340E">
        <w:t xml:space="preserve"> </w:t>
      </w:r>
      <w:r>
        <w:t>како</w:t>
      </w:r>
      <w:r w:rsidR="004D1E15" w:rsidRPr="00F6340E">
        <w:t xml:space="preserve"> </w:t>
      </w:r>
      <w:r w:rsidR="00171F00">
        <w:t>ж</w:t>
      </w:r>
      <w:r w:rsidR="00EE6AA2">
        <w:t>е</w:t>
      </w:r>
      <w:r>
        <w:t>ли</w:t>
      </w:r>
      <w:r w:rsidR="004D1E15" w:rsidRPr="00F6340E">
        <w:t xml:space="preserve"> </w:t>
      </w:r>
      <w:r w:rsidR="0071360A">
        <w:t>уп</w:t>
      </w:r>
      <w:r>
        <w:t>о</w:t>
      </w:r>
      <w:r w:rsidR="0071360A">
        <w:t>тр</w:t>
      </w:r>
      <w:r>
        <w:t>иј</w:t>
      </w:r>
      <w:r w:rsidR="00EE6AA2">
        <w:t>е</w:t>
      </w:r>
      <w:r>
        <w:t>би</w:t>
      </w:r>
      <w:r w:rsidR="0071360A">
        <w:t>т</w:t>
      </w:r>
      <w:r>
        <w:t>и</w:t>
      </w:r>
      <w:r w:rsidR="000F5BD8" w:rsidRPr="00F6340E">
        <w:t xml:space="preserve"> </w:t>
      </w:r>
      <w:r w:rsidR="0071360A">
        <w:t>т</w:t>
      </w:r>
      <w:r w:rsidR="00EE6AA2">
        <w:t>е</w:t>
      </w:r>
      <w:r>
        <w:t>хнологиј</w:t>
      </w:r>
      <w:r w:rsidR="0071360A">
        <w:t>у</w:t>
      </w:r>
      <w:r w:rsidR="004D1E15" w:rsidRPr="00F6340E">
        <w:t xml:space="preserve"> </w:t>
      </w:r>
      <w:r>
        <w:t>и</w:t>
      </w:r>
      <w:r w:rsidR="004D1E15" w:rsidRPr="00F6340E">
        <w:t xml:space="preserve"> </w:t>
      </w:r>
      <w:r>
        <w:t>ј</w:t>
      </w:r>
      <w:r w:rsidR="00EE6AA2">
        <w:t>е</w:t>
      </w:r>
      <w:r w:rsidR="004D1E15" w:rsidRPr="00F6340E">
        <w:t xml:space="preserve"> </w:t>
      </w:r>
      <w:r>
        <w:t>ли</w:t>
      </w:r>
      <w:r w:rsidR="004D1E15" w:rsidRPr="00F6340E">
        <w:t xml:space="preserve"> </w:t>
      </w:r>
      <w:r w:rsidR="0071360A">
        <w:t>ту</w:t>
      </w:r>
      <w:r w:rsidR="004D1E15" w:rsidRPr="00F6340E">
        <w:t xml:space="preserve"> </w:t>
      </w:r>
      <w:r w:rsidR="0071360A">
        <w:t>в</w:t>
      </w:r>
      <w:r>
        <w:t>и</w:t>
      </w:r>
      <w:r w:rsidR="00171F00">
        <w:t>з</w:t>
      </w:r>
      <w:r>
        <w:t>иј</w:t>
      </w:r>
      <w:r w:rsidR="0071360A">
        <w:t>у</w:t>
      </w:r>
      <w:r w:rsidR="004D1E15" w:rsidRPr="00F6340E">
        <w:t xml:space="preserve"> </w:t>
      </w:r>
      <w:r w:rsidR="0071360A">
        <w:t>пр</w:t>
      </w:r>
      <w:r w:rsidR="00EE6AA2">
        <w:t>е</w:t>
      </w:r>
      <w:r>
        <w:t>ниј</w:t>
      </w:r>
      <w:r w:rsidR="00EE6AA2">
        <w:t>е</w:t>
      </w:r>
      <w:r>
        <w:t>ла</w:t>
      </w:r>
      <w:r w:rsidR="004D1E15" w:rsidRPr="00F6340E">
        <w:t xml:space="preserve"> </w:t>
      </w:r>
      <w:r>
        <w:t>о</w:t>
      </w:r>
      <w:r w:rsidR="0071360A">
        <w:t>с</w:t>
      </w:r>
      <w:r>
        <w:t>обљ</w:t>
      </w:r>
      <w:r w:rsidR="0071360A">
        <w:t>у</w:t>
      </w:r>
      <w:r w:rsidR="004D1E15" w:rsidRPr="00F6340E">
        <w:t xml:space="preserve"> </w:t>
      </w:r>
      <w:r>
        <w:t>и</w:t>
      </w:r>
      <w:r w:rsidR="004D1E15" w:rsidRPr="00F6340E">
        <w:t xml:space="preserve"> </w:t>
      </w:r>
      <w:r w:rsidR="0071360A">
        <w:t>у</w:t>
      </w:r>
      <w:r>
        <w:t>ч</w:t>
      </w:r>
      <w:r w:rsidR="00EE6AA2">
        <w:t>е</w:t>
      </w:r>
      <w:r>
        <w:t>ницима</w:t>
      </w:r>
      <w:r w:rsidR="004D1E15" w:rsidRPr="00F6340E">
        <w:t xml:space="preserve">? </w:t>
      </w:r>
    </w:p>
    <w:p w14:paraId="0FA5F830" w14:textId="7504954E" w:rsidR="004D1E15" w:rsidRPr="00F6340E" w:rsidRDefault="00A56E08" w:rsidP="00115925">
      <w:pPr>
        <w:pStyle w:val="Bulletlist"/>
      </w:pPr>
      <w:r>
        <w:t>Кој</w:t>
      </w:r>
      <w:r w:rsidR="0071360A">
        <w:t>у</w:t>
      </w:r>
      <w:r w:rsidR="004D1E15" w:rsidRPr="00F6340E">
        <w:t xml:space="preserve"> </w:t>
      </w:r>
      <w:r w:rsidR="0071360A">
        <w:t>врсту</w:t>
      </w:r>
      <w:r w:rsidR="004D1E15" w:rsidRPr="00F6340E">
        <w:t xml:space="preserve"> </w:t>
      </w:r>
      <w:r>
        <w:t>о</w:t>
      </w:r>
      <w:r w:rsidR="0071360A">
        <w:t>сп</w:t>
      </w:r>
      <w:r>
        <w:t>о</w:t>
      </w:r>
      <w:r w:rsidR="0071360A">
        <w:t>с</w:t>
      </w:r>
      <w:r>
        <w:t>обља</w:t>
      </w:r>
      <w:r w:rsidR="0071360A">
        <w:t>в</w:t>
      </w:r>
      <w:r>
        <w:t>ања</w:t>
      </w:r>
      <w:r w:rsidR="004D1E15" w:rsidRPr="00F6340E">
        <w:t xml:space="preserve"> </w:t>
      </w:r>
      <w:r>
        <w:t>на</w:t>
      </w:r>
      <w:r w:rsidR="0071360A">
        <w:t>ст</w:t>
      </w:r>
      <w:r>
        <w:t>а</w:t>
      </w:r>
      <w:r w:rsidR="0071360A">
        <w:t>в</w:t>
      </w:r>
      <w:r>
        <w:t>но</w:t>
      </w:r>
      <w:r w:rsidR="004D1E15" w:rsidRPr="00F6340E">
        <w:t xml:space="preserve"> </w:t>
      </w:r>
      <w:r>
        <w:t>о</w:t>
      </w:r>
      <w:r w:rsidR="0071360A">
        <w:t>с</w:t>
      </w:r>
      <w:r>
        <w:t>обљ</w:t>
      </w:r>
      <w:r w:rsidR="00EE6AA2">
        <w:t>е</w:t>
      </w:r>
      <w:r w:rsidR="004D1E15" w:rsidRPr="00F6340E">
        <w:t xml:space="preserve"> </w:t>
      </w:r>
      <w:r w:rsidR="0071360A">
        <w:t>с</w:t>
      </w:r>
      <w:r>
        <w:t>ма</w:t>
      </w:r>
      <w:r w:rsidR="0071360A">
        <w:t>тр</w:t>
      </w:r>
      <w:r>
        <w:t>а</w:t>
      </w:r>
      <w:r w:rsidR="004D1E15" w:rsidRPr="00F6340E">
        <w:t xml:space="preserve"> </w:t>
      </w:r>
      <w:r>
        <w:t>најко</w:t>
      </w:r>
      <w:r w:rsidR="0071360A">
        <w:t>р</w:t>
      </w:r>
      <w:r>
        <w:t>и</w:t>
      </w:r>
      <w:r w:rsidR="0071360A">
        <w:t>с</w:t>
      </w:r>
      <w:r>
        <w:t>нијим</w:t>
      </w:r>
      <w:r w:rsidR="004D1E15" w:rsidRPr="00F6340E">
        <w:t>?</w:t>
      </w:r>
      <w:r w:rsidR="004D1E15" w:rsidRPr="00F6340E">
        <w:rPr>
          <w:rFonts w:ascii="MS Mincho" w:eastAsia="MS Mincho" w:hAnsi="MS Mincho" w:cs="MS Mincho"/>
        </w:rPr>
        <w:t> </w:t>
      </w:r>
    </w:p>
    <w:p w14:paraId="6D2F06A7" w14:textId="6F2FEC17" w:rsidR="004D1E15" w:rsidRPr="00F6340E" w:rsidRDefault="0071360A" w:rsidP="00115925">
      <w:pPr>
        <w:pStyle w:val="Bulletlist"/>
      </w:pPr>
      <w:r>
        <w:t>У</w:t>
      </w:r>
      <w:r w:rsidR="004D1E15" w:rsidRPr="00F6340E">
        <w:t xml:space="preserve"> </w:t>
      </w:r>
      <w:r w:rsidR="00A56E08">
        <w:t>кој</w:t>
      </w:r>
      <w:r w:rsidR="00EE6AA2">
        <w:t>е</w:t>
      </w:r>
      <w:r w:rsidR="00A56E08">
        <w:t>м</w:t>
      </w:r>
      <w:r w:rsidR="004D1E15" w:rsidRPr="00F6340E">
        <w:t xml:space="preserve"> </w:t>
      </w:r>
      <w:r>
        <w:t>пр</w:t>
      </w:r>
      <w:r w:rsidR="00A56E08">
        <w:t>а</w:t>
      </w:r>
      <w:r>
        <w:t>в</w:t>
      </w:r>
      <w:r w:rsidR="00A56E08">
        <w:t>ц</w:t>
      </w:r>
      <w:r>
        <w:t>у</w:t>
      </w:r>
      <w:r w:rsidR="004D1E15" w:rsidRPr="00F6340E">
        <w:t xml:space="preserve"> </w:t>
      </w:r>
      <w:r w:rsidR="00A56E08">
        <w:t>ј</w:t>
      </w:r>
      <w:r w:rsidR="00EE6AA2">
        <w:t>е</w:t>
      </w:r>
      <w:r w:rsidR="004D1E15" w:rsidRPr="00F6340E">
        <w:t xml:space="preserve"> </w:t>
      </w:r>
      <w:r>
        <w:t>п</w:t>
      </w:r>
      <w:r w:rsidR="00A56E08">
        <w:t>о</w:t>
      </w:r>
      <w:r>
        <w:t>тр</w:t>
      </w:r>
      <w:r w:rsidR="00EE6AA2">
        <w:t>е</w:t>
      </w:r>
      <w:r w:rsidR="00A56E08">
        <w:t>бно</w:t>
      </w:r>
      <w:r w:rsidR="004D1E15" w:rsidRPr="00F6340E">
        <w:t xml:space="preserve"> </w:t>
      </w:r>
      <w:r>
        <w:t>ус</w:t>
      </w:r>
      <w:r w:rsidR="00A56E08">
        <w:t>мј</w:t>
      </w:r>
      <w:r w:rsidR="00EE6AA2">
        <w:t>е</w:t>
      </w:r>
      <w:r>
        <w:t>р</w:t>
      </w:r>
      <w:r w:rsidR="00A56E08">
        <w:t>и</w:t>
      </w:r>
      <w:r>
        <w:t>т</w:t>
      </w:r>
      <w:r w:rsidR="00A56E08">
        <w:t>и</w:t>
      </w:r>
      <w:r w:rsidR="004D1E15" w:rsidRPr="00F6340E">
        <w:t xml:space="preserve"> </w:t>
      </w:r>
      <w:r>
        <w:t>ср</w:t>
      </w:r>
      <w:r w:rsidR="00EE6AA2">
        <w:t>е</w:t>
      </w:r>
      <w:r w:rsidR="00A56E08">
        <w:t>д</w:t>
      </w:r>
      <w:r>
        <w:t>ств</w:t>
      </w:r>
      <w:r w:rsidR="00A56E08">
        <w:t>а</w:t>
      </w:r>
      <w:r w:rsidR="000F5BD8" w:rsidRPr="00F6340E">
        <w:t>,</w:t>
      </w:r>
      <w:r w:rsidR="004D1E15" w:rsidRPr="00F6340E">
        <w:t xml:space="preserve"> </w:t>
      </w:r>
      <w:r w:rsidR="00A56E08">
        <w:t>а</w:t>
      </w:r>
      <w:r w:rsidR="00B04FA8">
        <w:t xml:space="preserve"> са </w:t>
      </w:r>
      <w:r w:rsidR="00A56E08">
        <w:t>циљ</w:t>
      </w:r>
      <w:r w:rsidR="00EE6AA2">
        <w:t>е</w:t>
      </w:r>
      <w:r w:rsidR="00A56E08">
        <w:t>м</w:t>
      </w:r>
      <w:r w:rsidR="004D1E15" w:rsidRPr="00F6340E">
        <w:t xml:space="preserve"> </w:t>
      </w:r>
      <w:r w:rsidR="00A56E08">
        <w:t>јачања</w:t>
      </w:r>
      <w:r w:rsidR="004D1E15" w:rsidRPr="00F6340E">
        <w:t xml:space="preserve"> </w:t>
      </w:r>
      <w:r w:rsidR="00A56E08">
        <w:t>диги</w:t>
      </w:r>
      <w:r>
        <w:t>т</w:t>
      </w:r>
      <w:r w:rsidR="00A56E08">
        <w:t>алн</w:t>
      </w:r>
      <w:r w:rsidR="00EE6AA2">
        <w:t>е</w:t>
      </w:r>
      <w:r w:rsidR="004D1E15" w:rsidRPr="00F6340E">
        <w:t xml:space="preserve"> </w:t>
      </w:r>
      <w:r w:rsidR="00171F00">
        <w:t>з</w:t>
      </w:r>
      <w:r>
        <w:t>р</w:t>
      </w:r>
      <w:r w:rsidR="00EE6AA2">
        <w:t>е</w:t>
      </w:r>
      <w:r w:rsidR="00A56E08">
        <w:t>ло</w:t>
      </w:r>
      <w:r>
        <w:t>ст</w:t>
      </w:r>
      <w:r w:rsidR="00A56E08">
        <w:t>и</w:t>
      </w:r>
      <w:r w:rsidR="004D1E15" w:rsidRPr="00F6340E">
        <w:t xml:space="preserve">? </w:t>
      </w:r>
    </w:p>
    <w:p w14:paraId="474DB688" w14:textId="115AFF91" w:rsidR="004D1E15" w:rsidRPr="00F6340E" w:rsidRDefault="0071360A" w:rsidP="00115925">
      <w:pPr>
        <w:pStyle w:val="Body"/>
      </w:pPr>
      <w:r>
        <w:t>Р</w:t>
      </w:r>
      <w:r w:rsidR="00EE6AA2">
        <w:t>е</w:t>
      </w:r>
      <w:r w:rsidR="00171F00">
        <w:t>з</w:t>
      </w:r>
      <w:r>
        <w:t>у</w:t>
      </w:r>
      <w:r w:rsidR="00A56E08">
        <w:t>л</w:t>
      </w:r>
      <w:r>
        <w:t>т</w:t>
      </w:r>
      <w:r w:rsidR="00A56E08">
        <w:t>а</w:t>
      </w:r>
      <w:r>
        <w:t>т</w:t>
      </w:r>
      <w:r w:rsidR="00A56E08">
        <w:t>и</w:t>
      </w:r>
      <w:r w:rsidR="004D1E15" w:rsidRPr="00F6340E">
        <w:t xml:space="preserve"> </w:t>
      </w:r>
      <w:r w:rsidR="00A56E08">
        <w:t>и</w:t>
      </w:r>
      <w:r w:rsidR="004D1E15" w:rsidRPr="00F6340E">
        <w:t xml:space="preserve"> </w:t>
      </w:r>
      <w:r>
        <w:t>с</w:t>
      </w:r>
      <w:r w:rsidR="00A56E08">
        <w:t>а</w:t>
      </w:r>
      <w:r w:rsidR="00171F00">
        <w:t>з</w:t>
      </w:r>
      <w:r w:rsidR="00A56E08">
        <w:t>нања</w:t>
      </w:r>
      <w:r w:rsidR="004D1E15" w:rsidRPr="00F6340E">
        <w:t xml:space="preserve"> </w:t>
      </w:r>
      <w:r w:rsidR="00A56E08">
        <w:t>добиј</w:t>
      </w:r>
      <w:r w:rsidR="00EE6AA2">
        <w:t>е</w:t>
      </w:r>
      <w:r w:rsidR="00A56E08">
        <w:t>на</w:t>
      </w:r>
      <w:r w:rsidR="004D1E15" w:rsidRPr="00F6340E">
        <w:t xml:space="preserve"> </w:t>
      </w:r>
      <w:r>
        <w:t>у</w:t>
      </w:r>
      <w:r w:rsidR="004D1E15" w:rsidRPr="00F6340E">
        <w:t xml:space="preserve"> </w:t>
      </w:r>
      <w:r w:rsidR="00A56E08">
        <w:t>ок</w:t>
      </w:r>
      <w:r>
        <w:t>в</w:t>
      </w:r>
      <w:r w:rsidR="00A56E08">
        <w:t>и</w:t>
      </w:r>
      <w:r>
        <w:t>ру</w:t>
      </w:r>
      <w:r w:rsidR="004D1E15" w:rsidRPr="00F6340E">
        <w:t xml:space="preserve"> </w:t>
      </w:r>
      <w:r w:rsidR="00A56E08">
        <w:t>ала</w:t>
      </w:r>
      <w:r>
        <w:t>т</w:t>
      </w:r>
      <w:r w:rsidR="00A56E08">
        <w:t>а</w:t>
      </w:r>
      <w:r w:rsidR="004D1E15" w:rsidRPr="00F6340E">
        <w:t xml:space="preserve"> </w:t>
      </w:r>
      <w:r>
        <w:t>С</w:t>
      </w:r>
      <w:r w:rsidR="00EE6AA2">
        <w:t>Е</w:t>
      </w:r>
      <w:r w:rsidR="00A56E08">
        <w:t>ЛФИ</w:t>
      </w:r>
      <w:r w:rsidR="00EE6AA2">
        <w:t>Е</w:t>
      </w:r>
      <w:r w:rsidR="004D1E15" w:rsidRPr="00F6340E">
        <w:t xml:space="preserve"> </w:t>
      </w:r>
      <w:r w:rsidR="00A56E08">
        <w:t>намиј</w:t>
      </w:r>
      <w:r w:rsidR="00EE6AA2">
        <w:t>е</w:t>
      </w:r>
      <w:r w:rsidR="00A56E08">
        <w:t>њ</w:t>
      </w:r>
      <w:r w:rsidR="00EE6AA2">
        <w:t>е</w:t>
      </w:r>
      <w:r w:rsidR="00A56E08">
        <w:t>ни</w:t>
      </w:r>
      <w:r w:rsidR="004D1E15" w:rsidRPr="00F6340E">
        <w:t xml:space="preserve"> </w:t>
      </w:r>
      <w:r>
        <w:t>су</w:t>
      </w:r>
      <w:r w:rsidR="004D1E15" w:rsidRPr="00F6340E">
        <w:t xml:space="preserve"> </w:t>
      </w:r>
      <w:r>
        <w:t>с</w:t>
      </w:r>
      <w:r w:rsidR="00A56E08">
        <w:t>амо</w:t>
      </w:r>
      <w:r w:rsidR="004D1E15" w:rsidRPr="00F6340E">
        <w:t xml:space="preserve"> </w:t>
      </w:r>
      <w:r>
        <w:t>ш</w:t>
      </w:r>
      <w:r w:rsidR="00A56E08">
        <w:t>коли</w:t>
      </w:r>
      <w:r w:rsidR="004D1E15" w:rsidRPr="00F6340E">
        <w:t xml:space="preserve"> </w:t>
      </w:r>
      <w:r w:rsidR="00A56E08">
        <w:t>и</w:t>
      </w:r>
      <w:r w:rsidR="004D1E15" w:rsidRPr="00F6340E">
        <w:t xml:space="preserve"> </w:t>
      </w:r>
      <w:r w:rsidR="00A56E08">
        <w:t>н</w:t>
      </w:r>
      <w:r w:rsidR="00EE6AA2">
        <w:t>е</w:t>
      </w:r>
      <w:r w:rsidR="004D1E15" w:rsidRPr="00F6340E">
        <w:t xml:space="preserve"> </w:t>
      </w:r>
      <w:r w:rsidR="00A56E08">
        <w:t>диј</w:t>
      </w:r>
      <w:r w:rsidR="00EE6AA2">
        <w:t>е</w:t>
      </w:r>
      <w:r w:rsidR="00A56E08">
        <w:t>л</w:t>
      </w:r>
      <w:r w:rsidR="00EE6AA2">
        <w:t>е</w:t>
      </w:r>
      <w:r w:rsidR="004D1E15" w:rsidRPr="00F6340E">
        <w:t xml:space="preserve"> </w:t>
      </w:r>
      <w:r>
        <w:t>с</w:t>
      </w:r>
      <w:r w:rsidR="00EE6AA2">
        <w:t>е</w:t>
      </w:r>
      <w:r w:rsidR="004D1E15" w:rsidRPr="00F6340E">
        <w:t xml:space="preserve"> </w:t>
      </w:r>
      <w:r>
        <w:t>с</w:t>
      </w:r>
      <w:r w:rsidR="00A56E08">
        <w:t>а</w:t>
      </w:r>
      <w:r w:rsidR="004D1E15" w:rsidRPr="00F6340E">
        <w:t xml:space="preserve"> </w:t>
      </w:r>
      <w:r w:rsidR="00A56E08">
        <w:t>д</w:t>
      </w:r>
      <w:r>
        <w:t>ру</w:t>
      </w:r>
      <w:r w:rsidR="00A56E08">
        <w:t>гима</w:t>
      </w:r>
      <w:r w:rsidR="004D1E15" w:rsidRPr="00F6340E">
        <w:t xml:space="preserve">, </w:t>
      </w:r>
      <w:r w:rsidR="00A56E08">
        <w:t>о</w:t>
      </w:r>
      <w:r>
        <w:t>с</w:t>
      </w:r>
      <w:r w:rsidR="00A56E08">
        <w:t>им</w:t>
      </w:r>
      <w:r w:rsidR="004D1E15" w:rsidRPr="00F6340E">
        <w:t xml:space="preserve"> </w:t>
      </w:r>
      <w:r>
        <w:t>у</w:t>
      </w:r>
      <w:r w:rsidR="00A56E08">
        <w:t>колико</w:t>
      </w:r>
      <w:r w:rsidR="004D1E15" w:rsidRPr="00F6340E">
        <w:t xml:space="preserve"> </w:t>
      </w:r>
      <w:r w:rsidR="00A56E08">
        <w:t>их</w:t>
      </w:r>
      <w:r w:rsidR="004D1E15" w:rsidRPr="00F6340E">
        <w:t xml:space="preserve"> </w:t>
      </w:r>
      <w:r>
        <w:t>ш</w:t>
      </w:r>
      <w:r w:rsidR="00A56E08">
        <w:t>кола</w:t>
      </w:r>
      <w:r w:rsidR="004D1E15" w:rsidRPr="00F6340E">
        <w:t xml:space="preserve"> </w:t>
      </w:r>
      <w:r w:rsidR="00171F00">
        <w:t>ж</w:t>
      </w:r>
      <w:r w:rsidR="00EE6AA2">
        <w:t>е</w:t>
      </w:r>
      <w:r w:rsidR="00A56E08">
        <w:t>ли</w:t>
      </w:r>
      <w:r w:rsidR="004D1E15" w:rsidRPr="00F6340E">
        <w:t xml:space="preserve"> </w:t>
      </w:r>
      <w:r>
        <w:t>р</w:t>
      </w:r>
      <w:r w:rsidR="00A56E08">
        <w:t>а</w:t>
      </w:r>
      <w:r w:rsidR="00171F00">
        <w:t>з</w:t>
      </w:r>
      <w:r w:rsidR="00A56E08">
        <w:t>миј</w:t>
      </w:r>
      <w:r w:rsidR="00EE6AA2">
        <w:t>е</w:t>
      </w:r>
      <w:r w:rsidR="00A56E08">
        <w:t>ни</w:t>
      </w:r>
      <w:r>
        <w:t>т</w:t>
      </w:r>
      <w:r w:rsidR="00A56E08">
        <w:t>и</w:t>
      </w:r>
      <w:r w:rsidR="004D1E15" w:rsidRPr="00F6340E">
        <w:t xml:space="preserve"> </w:t>
      </w:r>
      <w:r w:rsidR="00A56E08">
        <w:t>и</w:t>
      </w:r>
      <w:r w:rsidR="004D1E15" w:rsidRPr="00F6340E">
        <w:t>/</w:t>
      </w:r>
      <w:r w:rsidR="00A56E08">
        <w:t>или</w:t>
      </w:r>
      <w:r w:rsidR="004D1E15" w:rsidRPr="00F6340E">
        <w:t xml:space="preserve"> </w:t>
      </w:r>
      <w:r>
        <w:t>п</w:t>
      </w:r>
      <w:r w:rsidR="00A56E08">
        <w:t>о</w:t>
      </w:r>
      <w:r>
        <w:t>р</w:t>
      </w:r>
      <w:r w:rsidR="00EE6AA2">
        <w:t>е</w:t>
      </w:r>
      <w:r w:rsidR="00A56E08">
        <w:t>ди</w:t>
      </w:r>
      <w:r>
        <w:t>т</w:t>
      </w:r>
      <w:r w:rsidR="00A56E08">
        <w:t>и</w:t>
      </w:r>
      <w:r w:rsidR="004D1E15" w:rsidRPr="00F6340E">
        <w:t xml:space="preserve"> </w:t>
      </w:r>
      <w:r>
        <w:t>у</w:t>
      </w:r>
      <w:r w:rsidR="004D1E15" w:rsidRPr="00F6340E">
        <w:t xml:space="preserve"> </w:t>
      </w:r>
      <w:r>
        <w:t>свр</w:t>
      </w:r>
      <w:r w:rsidR="00A56E08">
        <w:t>х</w:t>
      </w:r>
      <w:r>
        <w:t>у</w:t>
      </w:r>
      <w:r w:rsidR="004D1E15" w:rsidRPr="00F6340E">
        <w:t xml:space="preserve"> </w:t>
      </w:r>
      <w:r>
        <w:t>р</w:t>
      </w:r>
      <w:r w:rsidR="00A56E08">
        <w:t>а</w:t>
      </w:r>
      <w:r w:rsidR="00171F00">
        <w:t>з</w:t>
      </w:r>
      <w:r w:rsidR="00A56E08">
        <w:t>мј</w:t>
      </w:r>
      <w:r w:rsidR="00EE6AA2">
        <w:t>е</w:t>
      </w:r>
      <w:r w:rsidR="00A56E08">
        <w:t>н</w:t>
      </w:r>
      <w:r w:rsidR="00EE6AA2">
        <w:t>е</w:t>
      </w:r>
      <w:r w:rsidR="004D1E15" w:rsidRPr="00F6340E">
        <w:t xml:space="preserve"> </w:t>
      </w:r>
      <w:r>
        <w:t>пр</w:t>
      </w:r>
      <w:r w:rsidR="00A56E08">
        <w:t>ак</w:t>
      </w:r>
      <w:r>
        <w:t>с</w:t>
      </w:r>
      <w:r w:rsidR="00A56E08">
        <w:t>и</w:t>
      </w:r>
      <w:r w:rsidR="004D1E15" w:rsidRPr="00F6340E">
        <w:t xml:space="preserve"> </w:t>
      </w:r>
      <w:r w:rsidR="00A56E08">
        <w:t>и</w:t>
      </w:r>
      <w:r w:rsidR="004D1E15" w:rsidRPr="00F6340E">
        <w:t xml:space="preserve"> </w:t>
      </w:r>
      <w:r>
        <w:t>у</w:t>
      </w:r>
      <w:r w:rsidR="00A56E08">
        <w:t>на</w:t>
      </w:r>
      <w:r>
        <w:t>пр</w:t>
      </w:r>
      <w:r w:rsidR="00A56E08">
        <w:t>ј</w:t>
      </w:r>
      <w:r w:rsidR="00EE6AA2">
        <w:t>е</w:t>
      </w:r>
      <w:r w:rsidR="00A56E08">
        <w:t>ђ</w:t>
      </w:r>
      <w:r w:rsidR="00EE6AA2">
        <w:t>е</w:t>
      </w:r>
      <w:r w:rsidR="00A56E08">
        <w:t>ња</w:t>
      </w:r>
      <w:r w:rsidR="004D1E15" w:rsidRPr="00F6340E">
        <w:t xml:space="preserve">. </w:t>
      </w:r>
    </w:p>
    <w:p w14:paraId="0B604DB6" w14:textId="7664B872" w:rsidR="004D1E15" w:rsidRPr="00F6340E" w:rsidRDefault="004D1E15" w:rsidP="000962EB">
      <w:pPr>
        <w:pStyle w:val="Heading2"/>
        <w:numPr>
          <w:ilvl w:val="1"/>
          <w:numId w:val="70"/>
        </w:numPr>
        <w:rPr>
          <w:lang w:val="sr-Cyrl-BA"/>
        </w:rPr>
      </w:pPr>
      <w:bookmarkStart w:id="44" w:name="_Toc119050326"/>
      <w:r w:rsidRPr="00F6340E">
        <w:rPr>
          <w:lang w:val="sr-Cyrl-BA"/>
        </w:rPr>
        <w:t>(</w:t>
      </w:r>
      <w:r w:rsidR="0071360A">
        <w:rPr>
          <w:lang w:val="sr-Cyrl-BA"/>
        </w:rPr>
        <w:t>С</w:t>
      </w:r>
      <w:r w:rsidR="00A56E08">
        <w:rPr>
          <w:lang w:val="sr-Cyrl-BA"/>
        </w:rPr>
        <w:t>амо</w:t>
      </w:r>
      <w:r w:rsidRPr="00F6340E">
        <w:rPr>
          <w:lang w:val="sr-Cyrl-BA"/>
        </w:rPr>
        <w:t>)</w:t>
      </w:r>
      <w:r w:rsidR="0071360A">
        <w:rPr>
          <w:lang w:val="sr-Cyrl-BA"/>
        </w:rPr>
        <w:t>вр</w:t>
      </w:r>
      <w:r w:rsidR="00EE6AA2">
        <w:rPr>
          <w:lang w:val="sr-Cyrl-BA"/>
        </w:rPr>
        <w:t>е</w:t>
      </w:r>
      <w:r w:rsidR="00A56E08">
        <w:rPr>
          <w:lang w:val="sr-Cyrl-BA"/>
        </w:rPr>
        <w:t>дно</w:t>
      </w:r>
      <w:r w:rsidR="0071360A">
        <w:rPr>
          <w:lang w:val="sr-Cyrl-BA"/>
        </w:rPr>
        <w:t>в</w:t>
      </w:r>
      <w:r w:rsidR="00A56E08">
        <w:rPr>
          <w:lang w:val="sr-Cyrl-BA"/>
        </w:rPr>
        <w:t>ањ</w:t>
      </w:r>
      <w:r w:rsidR="00EE6AA2">
        <w:rPr>
          <w:lang w:val="sr-Cyrl-BA"/>
        </w:rPr>
        <w:t>е</w:t>
      </w:r>
      <w:r w:rsidRPr="00F6340E">
        <w:rPr>
          <w:lang w:val="sr-Cyrl-BA"/>
        </w:rPr>
        <w:t xml:space="preserve"> </w:t>
      </w:r>
      <w:r w:rsidR="00A56E08">
        <w:rPr>
          <w:lang w:val="sr-Cyrl-BA"/>
        </w:rPr>
        <w:t>к</w:t>
      </w:r>
      <w:r w:rsidR="0071360A">
        <w:rPr>
          <w:lang w:val="sr-Cyrl-BA"/>
        </w:rPr>
        <w:t>в</w:t>
      </w:r>
      <w:r w:rsidR="00A56E08">
        <w:rPr>
          <w:lang w:val="sr-Cyrl-BA"/>
        </w:rPr>
        <w:t>али</w:t>
      </w:r>
      <w:r w:rsidR="0071360A">
        <w:rPr>
          <w:lang w:val="sr-Cyrl-BA"/>
        </w:rPr>
        <w:t>т</w:t>
      </w:r>
      <w:r w:rsidR="00EE6AA2">
        <w:rPr>
          <w:lang w:val="sr-Cyrl-BA"/>
        </w:rPr>
        <w:t>е</w:t>
      </w:r>
      <w:r w:rsidR="0071360A">
        <w:rPr>
          <w:lang w:val="sr-Cyrl-BA"/>
        </w:rPr>
        <w:t>т</w:t>
      </w:r>
      <w:r w:rsidR="00EE6AA2">
        <w:rPr>
          <w:lang w:val="sr-Cyrl-BA"/>
        </w:rPr>
        <w:t>е</w:t>
      </w:r>
      <w:r w:rsidRPr="00F6340E">
        <w:rPr>
          <w:lang w:val="sr-Cyrl-BA"/>
        </w:rPr>
        <w:t xml:space="preserve"> </w:t>
      </w:r>
      <w:r w:rsidR="0071360A">
        <w:rPr>
          <w:lang w:val="sr-Cyrl-BA"/>
        </w:rPr>
        <w:t>р</w:t>
      </w:r>
      <w:r w:rsidR="00A56E08">
        <w:rPr>
          <w:lang w:val="sr-Cyrl-BA"/>
        </w:rPr>
        <w:t>ада</w:t>
      </w:r>
      <w:r w:rsidRPr="00F6340E">
        <w:rPr>
          <w:lang w:val="sr-Cyrl-BA"/>
        </w:rPr>
        <w:t xml:space="preserve"> </w:t>
      </w:r>
      <w:r w:rsidR="0071360A">
        <w:rPr>
          <w:lang w:val="sr-Cyrl-BA"/>
        </w:rPr>
        <w:t>у</w:t>
      </w:r>
      <w:r w:rsidRPr="00F6340E">
        <w:rPr>
          <w:lang w:val="sr-Cyrl-BA"/>
        </w:rPr>
        <w:t xml:space="preserve"> </w:t>
      </w:r>
      <w:r w:rsidR="0071360A">
        <w:rPr>
          <w:lang w:val="sr-Cyrl-BA"/>
        </w:rPr>
        <w:t>в</w:t>
      </w:r>
      <w:r w:rsidR="00A56E08">
        <w:rPr>
          <w:lang w:val="sr-Cyrl-BA"/>
        </w:rPr>
        <w:t>и</w:t>
      </w:r>
      <w:r w:rsidR="0071360A">
        <w:rPr>
          <w:lang w:val="sr-Cyrl-BA"/>
        </w:rPr>
        <w:t>с</w:t>
      </w:r>
      <w:r w:rsidR="00A56E08">
        <w:rPr>
          <w:lang w:val="sr-Cyrl-BA"/>
        </w:rPr>
        <w:t>око</w:t>
      </w:r>
      <w:r w:rsidR="0071360A">
        <w:rPr>
          <w:lang w:val="sr-Cyrl-BA"/>
        </w:rPr>
        <w:t>ш</w:t>
      </w:r>
      <w:r w:rsidR="00A56E08">
        <w:rPr>
          <w:lang w:val="sr-Cyrl-BA"/>
        </w:rPr>
        <w:t>кол</w:t>
      </w:r>
      <w:r w:rsidR="0071360A">
        <w:rPr>
          <w:lang w:val="sr-Cyrl-BA"/>
        </w:rPr>
        <w:t>с</w:t>
      </w:r>
      <w:r w:rsidR="00A56E08">
        <w:rPr>
          <w:lang w:val="sr-Cyrl-BA"/>
        </w:rPr>
        <w:t>ким</w:t>
      </w:r>
      <w:r w:rsidRPr="00F6340E">
        <w:rPr>
          <w:lang w:val="sr-Cyrl-BA"/>
        </w:rPr>
        <w:t xml:space="preserve"> </w:t>
      </w:r>
      <w:r w:rsidR="00A56E08">
        <w:rPr>
          <w:lang w:val="sr-Cyrl-BA"/>
        </w:rPr>
        <w:t>ин</w:t>
      </w:r>
      <w:r w:rsidR="0071360A">
        <w:rPr>
          <w:lang w:val="sr-Cyrl-BA"/>
        </w:rPr>
        <w:t>ст</w:t>
      </w:r>
      <w:r w:rsidR="00A56E08">
        <w:rPr>
          <w:lang w:val="sr-Cyrl-BA"/>
        </w:rPr>
        <w:t>и</w:t>
      </w:r>
      <w:r w:rsidR="0071360A">
        <w:rPr>
          <w:lang w:val="sr-Cyrl-BA"/>
        </w:rPr>
        <w:t>ту</w:t>
      </w:r>
      <w:r w:rsidR="00A56E08">
        <w:rPr>
          <w:lang w:val="sr-Cyrl-BA"/>
        </w:rPr>
        <w:t>цијама</w:t>
      </w:r>
      <w:bookmarkEnd w:id="44"/>
      <w:r w:rsidRPr="00F6340E">
        <w:rPr>
          <w:lang w:val="sr-Cyrl-BA"/>
        </w:rPr>
        <w:t xml:space="preserve">  </w:t>
      </w:r>
    </w:p>
    <w:p w14:paraId="0891EB7A" w14:textId="64670A2F" w:rsidR="004D1E15" w:rsidRPr="00F6340E" w:rsidRDefault="004D1E15" w:rsidP="00115925">
      <w:pPr>
        <w:pStyle w:val="Body"/>
      </w:pPr>
      <w:r w:rsidRPr="00F6340E">
        <w:rPr>
          <w:shd w:val="clear" w:color="auto" w:fill="FFFFFF"/>
        </w:rPr>
        <w:t>(</w:t>
      </w:r>
      <w:r w:rsidR="0071360A">
        <w:rPr>
          <w:shd w:val="clear" w:color="auto" w:fill="FFFFFF"/>
        </w:rPr>
        <w:t>С</w:t>
      </w:r>
      <w:r w:rsidR="00A56E08">
        <w:rPr>
          <w:shd w:val="clear" w:color="auto" w:fill="FFFFFF"/>
        </w:rPr>
        <w:t>амо</w:t>
      </w:r>
      <w:r w:rsidRPr="00F6340E">
        <w:rPr>
          <w:shd w:val="clear" w:color="auto" w:fill="FFFFFF"/>
        </w:rPr>
        <w:t>)</w:t>
      </w:r>
      <w:r w:rsidR="0071360A">
        <w:rPr>
          <w:shd w:val="clear" w:color="auto" w:fill="FFFFFF"/>
        </w:rPr>
        <w:t>вр</w:t>
      </w:r>
      <w:r w:rsidR="00EE6AA2">
        <w:rPr>
          <w:shd w:val="clear" w:color="auto" w:fill="FFFFFF"/>
        </w:rPr>
        <w:t>е</w:t>
      </w:r>
      <w:r w:rsidR="00A56E08">
        <w:rPr>
          <w:shd w:val="clear" w:color="auto" w:fill="FFFFFF"/>
        </w:rPr>
        <w:t>дно</w:t>
      </w:r>
      <w:r w:rsidR="0071360A">
        <w:rPr>
          <w:shd w:val="clear" w:color="auto" w:fill="FFFFFF"/>
        </w:rPr>
        <w:t>в</w:t>
      </w:r>
      <w:r w:rsidR="00A56E08">
        <w:rPr>
          <w:shd w:val="clear" w:color="auto" w:fill="FFFFFF"/>
        </w:rPr>
        <w:t>ањ</w:t>
      </w:r>
      <w:r w:rsidR="00EE6AA2">
        <w:rPr>
          <w:shd w:val="clear" w:color="auto" w:fill="FFFFFF"/>
        </w:rPr>
        <w:t>е</w:t>
      </w:r>
      <w:r w:rsidRPr="00F6340E">
        <w:rPr>
          <w:shd w:val="clear" w:color="auto" w:fill="FFFFFF"/>
        </w:rPr>
        <w:t xml:space="preserve"> </w:t>
      </w:r>
      <w:r w:rsidR="00A56E08">
        <w:rPr>
          <w:shd w:val="clear" w:color="auto" w:fill="FFFFFF"/>
        </w:rPr>
        <w:t>к</w:t>
      </w:r>
      <w:r w:rsidR="0071360A">
        <w:rPr>
          <w:shd w:val="clear" w:color="auto" w:fill="FFFFFF"/>
        </w:rPr>
        <w:t>в</w:t>
      </w:r>
      <w:r w:rsidR="00A56E08">
        <w:rPr>
          <w:shd w:val="clear" w:color="auto" w:fill="FFFFFF"/>
        </w:rPr>
        <w:t>али</w:t>
      </w:r>
      <w:r w:rsidR="0071360A">
        <w:rPr>
          <w:shd w:val="clear" w:color="auto" w:fill="FFFFFF"/>
        </w:rPr>
        <w:t>т</w:t>
      </w:r>
      <w:r w:rsidR="00EE6AA2">
        <w:rPr>
          <w:shd w:val="clear" w:color="auto" w:fill="FFFFFF"/>
        </w:rPr>
        <w:t>е</w:t>
      </w:r>
      <w:r w:rsidR="0071360A">
        <w:rPr>
          <w:shd w:val="clear" w:color="auto" w:fill="FFFFFF"/>
        </w:rPr>
        <w:t>т</w:t>
      </w:r>
      <w:r w:rsidR="00EE6AA2">
        <w:rPr>
          <w:shd w:val="clear" w:color="auto" w:fill="FFFFFF"/>
        </w:rPr>
        <w:t>е</w:t>
      </w:r>
      <w:r w:rsidRPr="00F6340E">
        <w:rPr>
          <w:shd w:val="clear" w:color="auto" w:fill="FFFFFF"/>
        </w:rPr>
        <w:t xml:space="preserve"> </w:t>
      </w:r>
      <w:r w:rsidR="0071360A">
        <w:rPr>
          <w:shd w:val="clear" w:color="auto" w:fill="FFFFFF"/>
        </w:rPr>
        <w:t>р</w:t>
      </w:r>
      <w:r w:rsidR="00A56E08">
        <w:rPr>
          <w:shd w:val="clear" w:color="auto" w:fill="FFFFFF"/>
        </w:rPr>
        <w:t>ада</w:t>
      </w:r>
      <w:r w:rsidRPr="00F6340E">
        <w:rPr>
          <w:shd w:val="clear" w:color="auto" w:fill="FFFFFF"/>
        </w:rPr>
        <w:t xml:space="preserve"> </w:t>
      </w:r>
      <w:r w:rsidR="0071360A">
        <w:rPr>
          <w:shd w:val="clear" w:color="auto" w:fill="FFFFFF"/>
        </w:rPr>
        <w:t>у</w:t>
      </w:r>
      <w:r w:rsidRPr="00F6340E">
        <w:rPr>
          <w:shd w:val="clear" w:color="auto" w:fill="FFFFFF"/>
        </w:rPr>
        <w:t xml:space="preserve"> </w:t>
      </w:r>
      <w:r w:rsidR="0071360A">
        <w:rPr>
          <w:shd w:val="clear" w:color="auto" w:fill="FFFFFF"/>
        </w:rPr>
        <w:t>в</w:t>
      </w:r>
      <w:r w:rsidR="00A56E08">
        <w:rPr>
          <w:shd w:val="clear" w:color="auto" w:fill="FFFFFF"/>
        </w:rPr>
        <w:t>и</w:t>
      </w:r>
      <w:r w:rsidR="0071360A">
        <w:rPr>
          <w:shd w:val="clear" w:color="auto" w:fill="FFFFFF"/>
        </w:rPr>
        <w:t>с</w:t>
      </w:r>
      <w:r w:rsidR="00A56E08">
        <w:rPr>
          <w:shd w:val="clear" w:color="auto" w:fill="FFFFFF"/>
        </w:rPr>
        <w:t>око</w:t>
      </w:r>
      <w:r w:rsidR="0071360A">
        <w:rPr>
          <w:shd w:val="clear" w:color="auto" w:fill="FFFFFF"/>
        </w:rPr>
        <w:t>ш</w:t>
      </w:r>
      <w:r w:rsidR="00A56E08">
        <w:rPr>
          <w:shd w:val="clear" w:color="auto" w:fill="FFFFFF"/>
        </w:rPr>
        <w:t>кол</w:t>
      </w:r>
      <w:r w:rsidR="0071360A">
        <w:rPr>
          <w:shd w:val="clear" w:color="auto" w:fill="FFFFFF"/>
        </w:rPr>
        <w:t>с</w:t>
      </w:r>
      <w:r w:rsidR="00A56E08">
        <w:rPr>
          <w:shd w:val="clear" w:color="auto" w:fill="FFFFFF"/>
        </w:rPr>
        <w:t>ким</w:t>
      </w:r>
      <w:r w:rsidRPr="00F6340E">
        <w:rPr>
          <w:shd w:val="clear" w:color="auto" w:fill="FFFFFF"/>
        </w:rPr>
        <w:t xml:space="preserve"> </w:t>
      </w:r>
      <w:r w:rsidR="00A56E08">
        <w:rPr>
          <w:shd w:val="clear" w:color="auto" w:fill="FFFFFF"/>
        </w:rPr>
        <w:t>ин</w:t>
      </w:r>
      <w:r w:rsidR="0071360A">
        <w:rPr>
          <w:shd w:val="clear" w:color="auto" w:fill="FFFFFF"/>
        </w:rPr>
        <w:t>ст</w:t>
      </w:r>
      <w:r w:rsidR="00A56E08">
        <w:rPr>
          <w:shd w:val="clear" w:color="auto" w:fill="FFFFFF"/>
        </w:rPr>
        <w:t>и</w:t>
      </w:r>
      <w:r w:rsidR="0071360A">
        <w:rPr>
          <w:shd w:val="clear" w:color="auto" w:fill="FFFFFF"/>
        </w:rPr>
        <w:t>ту</w:t>
      </w:r>
      <w:r w:rsidR="00A56E08">
        <w:rPr>
          <w:shd w:val="clear" w:color="auto" w:fill="FFFFFF"/>
        </w:rPr>
        <w:t>цијама</w:t>
      </w:r>
      <w:r w:rsidRPr="00F6340E">
        <w:rPr>
          <w:shd w:val="clear" w:color="auto" w:fill="FFFFFF"/>
        </w:rPr>
        <w:t xml:space="preserve"> </w:t>
      </w:r>
      <w:r w:rsidR="0071360A">
        <w:rPr>
          <w:shd w:val="clear" w:color="auto" w:fill="FFFFFF"/>
        </w:rPr>
        <w:t>сп</w:t>
      </w:r>
      <w:r w:rsidR="00EE6AA2">
        <w:rPr>
          <w:shd w:val="clear" w:color="auto" w:fill="FFFFFF"/>
        </w:rPr>
        <w:t>е</w:t>
      </w:r>
      <w:r w:rsidR="00A56E08">
        <w:rPr>
          <w:shd w:val="clear" w:color="auto" w:fill="FFFFFF"/>
        </w:rPr>
        <w:t>цифично</w:t>
      </w:r>
      <w:r w:rsidRPr="00F6340E">
        <w:rPr>
          <w:shd w:val="clear" w:color="auto" w:fill="FFFFFF"/>
        </w:rPr>
        <w:t xml:space="preserve"> </w:t>
      </w:r>
      <w:r w:rsidR="00A56E08">
        <w:rPr>
          <w:shd w:val="clear" w:color="auto" w:fill="FFFFFF"/>
        </w:rPr>
        <w:t>ј</w:t>
      </w:r>
      <w:r w:rsidR="00EE6AA2">
        <w:rPr>
          <w:shd w:val="clear" w:color="auto" w:fill="FFFFFF"/>
        </w:rPr>
        <w:t>е</w:t>
      </w:r>
      <w:r w:rsidR="00B04FA8">
        <w:rPr>
          <w:shd w:val="clear" w:color="auto" w:fill="FFFFFF"/>
        </w:rPr>
        <w:t xml:space="preserve"> </w:t>
      </w:r>
      <w:r w:rsidR="001F2F40">
        <w:rPr>
          <w:shd w:val="clear" w:color="auto" w:fill="FFFFFF"/>
        </w:rPr>
        <w:t>с обзиром</w:t>
      </w:r>
      <w:r w:rsidRPr="00F6340E">
        <w:rPr>
          <w:shd w:val="clear" w:color="auto" w:fill="FFFFFF"/>
        </w:rPr>
        <w:t xml:space="preserve"> </w:t>
      </w:r>
      <w:r w:rsidR="00A56E08">
        <w:rPr>
          <w:shd w:val="clear" w:color="auto" w:fill="FFFFFF"/>
        </w:rPr>
        <w:t>на</w:t>
      </w:r>
      <w:r w:rsidRPr="00F6340E">
        <w:rPr>
          <w:shd w:val="clear" w:color="auto" w:fill="FFFFFF"/>
        </w:rPr>
        <w:t xml:space="preserve"> </w:t>
      </w:r>
      <w:r w:rsidR="00A56E08">
        <w:rPr>
          <w:shd w:val="clear" w:color="auto" w:fill="FFFFFF"/>
        </w:rPr>
        <w:t>ка</w:t>
      </w:r>
      <w:r w:rsidR="0071360A">
        <w:rPr>
          <w:shd w:val="clear" w:color="auto" w:fill="FFFFFF"/>
        </w:rPr>
        <w:t>р</w:t>
      </w:r>
      <w:r w:rsidR="00A56E08">
        <w:rPr>
          <w:shd w:val="clear" w:color="auto" w:fill="FFFFFF"/>
        </w:rPr>
        <w:t>ак</w:t>
      </w:r>
      <w:r w:rsidR="0071360A">
        <w:rPr>
          <w:shd w:val="clear" w:color="auto" w:fill="FFFFFF"/>
        </w:rPr>
        <w:t>т</w:t>
      </w:r>
      <w:r w:rsidR="00EE6AA2">
        <w:rPr>
          <w:shd w:val="clear" w:color="auto" w:fill="FFFFFF"/>
        </w:rPr>
        <w:t>е</w:t>
      </w:r>
      <w:r w:rsidR="0071360A">
        <w:rPr>
          <w:shd w:val="clear" w:color="auto" w:fill="FFFFFF"/>
        </w:rPr>
        <w:t>р</w:t>
      </w:r>
      <w:r w:rsidR="00A56E08">
        <w:rPr>
          <w:shd w:val="clear" w:color="auto" w:fill="FFFFFF"/>
        </w:rPr>
        <w:t>и</w:t>
      </w:r>
      <w:r w:rsidR="0071360A">
        <w:rPr>
          <w:shd w:val="clear" w:color="auto" w:fill="FFFFFF"/>
        </w:rPr>
        <w:t>ст</w:t>
      </w:r>
      <w:r w:rsidR="00A56E08">
        <w:rPr>
          <w:shd w:val="clear" w:color="auto" w:fill="FFFFFF"/>
        </w:rPr>
        <w:t>ик</w:t>
      </w:r>
      <w:r w:rsidR="00EE6AA2">
        <w:rPr>
          <w:shd w:val="clear" w:color="auto" w:fill="FFFFFF"/>
        </w:rPr>
        <w:t>е</w:t>
      </w:r>
      <w:r w:rsidRPr="00F6340E">
        <w:rPr>
          <w:shd w:val="clear" w:color="auto" w:fill="FFFFFF"/>
        </w:rPr>
        <w:t xml:space="preserve"> </w:t>
      </w:r>
      <w:r w:rsidR="0071360A">
        <w:rPr>
          <w:shd w:val="clear" w:color="auto" w:fill="FFFFFF"/>
        </w:rPr>
        <w:lastRenderedPageBreak/>
        <w:t>в</w:t>
      </w:r>
      <w:r w:rsidR="00A56E08">
        <w:rPr>
          <w:shd w:val="clear" w:color="auto" w:fill="FFFFFF"/>
        </w:rPr>
        <w:t>и</w:t>
      </w:r>
      <w:r w:rsidR="0071360A">
        <w:rPr>
          <w:shd w:val="clear" w:color="auto" w:fill="FFFFFF"/>
        </w:rPr>
        <w:t>с</w:t>
      </w:r>
      <w:r w:rsidR="00A56E08">
        <w:rPr>
          <w:shd w:val="clear" w:color="auto" w:fill="FFFFFF"/>
        </w:rPr>
        <w:t>оког</w:t>
      </w:r>
      <w:r w:rsidRPr="00F6340E">
        <w:rPr>
          <w:shd w:val="clear" w:color="auto" w:fill="FFFFFF"/>
        </w:rPr>
        <w:t xml:space="preserve"> </w:t>
      </w:r>
      <w:r w:rsidR="00A56E08">
        <w:rPr>
          <w:shd w:val="clear" w:color="auto" w:fill="FFFFFF"/>
        </w:rPr>
        <w:t>об</w:t>
      </w:r>
      <w:r w:rsidR="0071360A">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sidR="0071360A">
        <w:rPr>
          <w:shd w:val="clear" w:color="auto" w:fill="FFFFFF"/>
        </w:rPr>
        <w:t>в</w:t>
      </w:r>
      <w:r w:rsidR="00A56E08">
        <w:rPr>
          <w:shd w:val="clear" w:color="auto" w:fill="FFFFFF"/>
        </w:rPr>
        <w:t>ања</w:t>
      </w:r>
      <w:r w:rsidRPr="00F6340E">
        <w:rPr>
          <w:shd w:val="clear" w:color="auto" w:fill="FFFFFF"/>
        </w:rPr>
        <w:t xml:space="preserve">. </w:t>
      </w:r>
      <w:r w:rsidR="00A56E08">
        <w:rPr>
          <w:shd w:val="clear" w:color="auto" w:fill="FFFFFF"/>
        </w:rPr>
        <w:t>Бо</w:t>
      </w:r>
      <w:r w:rsidR="0071360A">
        <w:rPr>
          <w:shd w:val="clear" w:color="auto" w:fill="FFFFFF"/>
        </w:rPr>
        <w:t>с</w:t>
      </w:r>
      <w:r w:rsidR="00A56E08">
        <w:rPr>
          <w:shd w:val="clear" w:color="auto" w:fill="FFFFFF"/>
        </w:rPr>
        <w:t>на</w:t>
      </w:r>
      <w:r w:rsidRPr="00F6340E">
        <w:rPr>
          <w:shd w:val="clear" w:color="auto" w:fill="FFFFFF"/>
        </w:rPr>
        <w:t xml:space="preserve"> </w:t>
      </w:r>
      <w:r w:rsidR="00A56E08">
        <w:rPr>
          <w:shd w:val="clear" w:color="auto" w:fill="FFFFFF"/>
        </w:rPr>
        <w:t>и</w:t>
      </w:r>
      <w:r w:rsidRPr="00F6340E">
        <w:rPr>
          <w:shd w:val="clear" w:color="auto" w:fill="FFFFFF"/>
        </w:rPr>
        <w:t xml:space="preserve"> </w:t>
      </w:r>
      <w:r w:rsidR="00A56E08">
        <w:rPr>
          <w:shd w:val="clear" w:color="auto" w:fill="FFFFFF"/>
        </w:rPr>
        <w:t>Х</w:t>
      </w:r>
      <w:r w:rsidR="00EE6AA2">
        <w:rPr>
          <w:shd w:val="clear" w:color="auto" w:fill="FFFFFF"/>
        </w:rPr>
        <w:t>е</w:t>
      </w:r>
      <w:r w:rsidR="0071360A">
        <w:rPr>
          <w:shd w:val="clear" w:color="auto" w:fill="FFFFFF"/>
        </w:rPr>
        <w:t>р</w:t>
      </w:r>
      <w:r w:rsidR="00A56E08">
        <w:rPr>
          <w:shd w:val="clear" w:color="auto" w:fill="FFFFFF"/>
        </w:rPr>
        <w:t>ц</w:t>
      </w:r>
      <w:r w:rsidR="00EE6AA2">
        <w:rPr>
          <w:shd w:val="clear" w:color="auto" w:fill="FFFFFF"/>
        </w:rPr>
        <w:t>е</w:t>
      </w:r>
      <w:r w:rsidR="00A56E08">
        <w:rPr>
          <w:shd w:val="clear" w:color="auto" w:fill="FFFFFF"/>
        </w:rPr>
        <w:t>го</w:t>
      </w:r>
      <w:r w:rsidR="0071360A">
        <w:rPr>
          <w:shd w:val="clear" w:color="auto" w:fill="FFFFFF"/>
        </w:rPr>
        <w:t>в</w:t>
      </w:r>
      <w:r w:rsidR="00A56E08">
        <w:rPr>
          <w:shd w:val="clear" w:color="auto" w:fill="FFFFFF"/>
        </w:rPr>
        <w:t>ина</w:t>
      </w:r>
      <w:r w:rsidRPr="00F6340E">
        <w:rPr>
          <w:shd w:val="clear" w:color="auto" w:fill="FFFFFF"/>
        </w:rPr>
        <w:t xml:space="preserve">, </w:t>
      </w:r>
      <w:r w:rsidR="00A56E08">
        <w:rPr>
          <w:shd w:val="clear" w:color="auto" w:fill="FFFFFF"/>
        </w:rPr>
        <w:t>као</w:t>
      </w:r>
      <w:r w:rsidRPr="00F6340E">
        <w:rPr>
          <w:shd w:val="clear" w:color="auto" w:fill="FFFFFF"/>
        </w:rPr>
        <w:t xml:space="preserve"> </w:t>
      </w:r>
      <w:r w:rsidR="0071360A">
        <w:rPr>
          <w:shd w:val="clear" w:color="auto" w:fill="FFFFFF"/>
        </w:rPr>
        <w:t>п</w:t>
      </w:r>
      <w:r w:rsidR="00A56E08">
        <w:rPr>
          <w:shd w:val="clear" w:color="auto" w:fill="FFFFFF"/>
        </w:rPr>
        <w:t>о</w:t>
      </w:r>
      <w:r w:rsidR="0071360A">
        <w:rPr>
          <w:shd w:val="clear" w:color="auto" w:fill="FFFFFF"/>
        </w:rPr>
        <w:t>тп</w:t>
      </w:r>
      <w:r w:rsidR="00A56E08">
        <w:rPr>
          <w:shd w:val="clear" w:color="auto" w:fill="FFFFFF"/>
        </w:rPr>
        <w:t>и</w:t>
      </w:r>
      <w:r w:rsidR="0071360A">
        <w:rPr>
          <w:shd w:val="clear" w:color="auto" w:fill="FFFFFF"/>
        </w:rPr>
        <w:t>с</w:t>
      </w:r>
      <w:r w:rsidR="00A56E08">
        <w:rPr>
          <w:shd w:val="clear" w:color="auto" w:fill="FFFFFF"/>
        </w:rPr>
        <w:t>ница</w:t>
      </w:r>
      <w:r w:rsidRPr="00F6340E">
        <w:rPr>
          <w:shd w:val="clear" w:color="auto" w:fill="FFFFFF"/>
        </w:rPr>
        <w:t xml:space="preserve"> </w:t>
      </w:r>
      <w:r w:rsidR="00A56E08">
        <w:rPr>
          <w:shd w:val="clear" w:color="auto" w:fill="FFFFFF"/>
        </w:rPr>
        <w:t>Болоњ</w:t>
      </w:r>
      <w:r w:rsidR="0071360A">
        <w:rPr>
          <w:shd w:val="clear" w:color="auto" w:fill="FFFFFF"/>
        </w:rPr>
        <w:t>с</w:t>
      </w:r>
      <w:r w:rsidR="00A56E08">
        <w:rPr>
          <w:shd w:val="clear" w:color="auto" w:fill="FFFFFF"/>
        </w:rPr>
        <w:t>ког</w:t>
      </w:r>
      <w:r w:rsidRPr="00F6340E">
        <w:rPr>
          <w:shd w:val="clear" w:color="auto" w:fill="FFFFFF"/>
        </w:rPr>
        <w:t xml:space="preserve"> </w:t>
      </w:r>
      <w:r w:rsidR="0071360A">
        <w:rPr>
          <w:shd w:val="clear" w:color="auto" w:fill="FFFFFF"/>
        </w:rPr>
        <w:t>пр</w:t>
      </w:r>
      <w:r w:rsidR="00A56E08">
        <w:rPr>
          <w:shd w:val="clear" w:color="auto" w:fill="FFFFFF"/>
        </w:rPr>
        <w:t>оц</w:t>
      </w:r>
      <w:r w:rsidR="00EE6AA2">
        <w:rPr>
          <w:shd w:val="clear" w:color="auto" w:fill="FFFFFF"/>
        </w:rPr>
        <w:t>е</w:t>
      </w:r>
      <w:r w:rsidR="0071360A">
        <w:rPr>
          <w:shd w:val="clear" w:color="auto" w:fill="FFFFFF"/>
        </w:rPr>
        <w:t>с</w:t>
      </w:r>
      <w:r w:rsidR="00A56E08">
        <w:rPr>
          <w:shd w:val="clear" w:color="auto" w:fill="FFFFFF"/>
        </w:rPr>
        <w:t>а</w:t>
      </w:r>
      <w:r w:rsidRPr="00F6340E">
        <w:rPr>
          <w:shd w:val="clear" w:color="auto" w:fill="FFFFFF"/>
        </w:rPr>
        <w:t xml:space="preserve"> </w:t>
      </w:r>
      <w:r w:rsidR="00A56E08">
        <w:rPr>
          <w:shd w:val="clear" w:color="auto" w:fill="FFFFFF"/>
        </w:rPr>
        <w:t>оба</w:t>
      </w:r>
      <w:r w:rsidR="0071360A">
        <w:rPr>
          <w:shd w:val="clear" w:color="auto" w:fill="FFFFFF"/>
        </w:rPr>
        <w:t>в</w:t>
      </w:r>
      <w:r w:rsidR="00EE6AA2">
        <w:rPr>
          <w:shd w:val="clear" w:color="auto" w:fill="FFFFFF"/>
        </w:rPr>
        <w:t>е</w:t>
      </w:r>
      <w:r w:rsidR="00171F00">
        <w:rPr>
          <w:shd w:val="clear" w:color="auto" w:fill="FFFFFF"/>
        </w:rPr>
        <w:t>з</w:t>
      </w:r>
      <w:r w:rsidR="00A56E08">
        <w:rPr>
          <w:shd w:val="clear" w:color="auto" w:fill="FFFFFF"/>
        </w:rPr>
        <w:t>ала</w:t>
      </w:r>
      <w:r w:rsidRPr="00F6340E">
        <w:rPr>
          <w:shd w:val="clear" w:color="auto" w:fill="FFFFFF"/>
        </w:rPr>
        <w:t xml:space="preserve"> </w:t>
      </w:r>
      <w:r w:rsidR="0071360A">
        <w:rPr>
          <w:shd w:val="clear" w:color="auto" w:fill="FFFFFF"/>
        </w:rPr>
        <w:t>с</w:t>
      </w:r>
      <w:r w:rsidR="00EE6AA2">
        <w:rPr>
          <w:shd w:val="clear" w:color="auto" w:fill="FFFFFF"/>
        </w:rPr>
        <w:t>е</w:t>
      </w:r>
      <w:r w:rsidRPr="00F6340E">
        <w:rPr>
          <w:shd w:val="clear" w:color="auto" w:fill="FFFFFF"/>
        </w:rPr>
        <w:t xml:space="preserve"> </w:t>
      </w:r>
      <w:r w:rsidR="00A56E08">
        <w:rPr>
          <w:shd w:val="clear" w:color="auto" w:fill="FFFFFF"/>
        </w:rPr>
        <w:t>на</w:t>
      </w:r>
      <w:r w:rsidRPr="00F6340E">
        <w:rPr>
          <w:shd w:val="clear" w:color="auto" w:fill="FFFFFF"/>
        </w:rPr>
        <w:t xml:space="preserve"> </w:t>
      </w:r>
      <w:r w:rsidR="00A56E08">
        <w:rPr>
          <w:shd w:val="clear" w:color="auto" w:fill="FFFFFF"/>
        </w:rPr>
        <w:t>о</w:t>
      </w:r>
      <w:r w:rsidR="0071360A">
        <w:rPr>
          <w:shd w:val="clear" w:color="auto" w:fill="FFFFFF"/>
        </w:rPr>
        <w:t>с</w:t>
      </w:r>
      <w:r w:rsidR="00A56E08">
        <w:rPr>
          <w:shd w:val="clear" w:color="auto" w:fill="FFFFFF"/>
        </w:rPr>
        <w:t>иг</w:t>
      </w:r>
      <w:r w:rsidR="0071360A">
        <w:rPr>
          <w:shd w:val="clear" w:color="auto" w:fill="FFFFFF"/>
        </w:rPr>
        <w:t>ур</w:t>
      </w:r>
      <w:r w:rsidR="00A56E08">
        <w:rPr>
          <w:shd w:val="clear" w:color="auto" w:fill="FFFFFF"/>
        </w:rPr>
        <w:t>ањ</w:t>
      </w:r>
      <w:r w:rsidR="00EE6AA2">
        <w:rPr>
          <w:shd w:val="clear" w:color="auto" w:fill="FFFFFF"/>
        </w:rPr>
        <w:t>е</w:t>
      </w:r>
      <w:r w:rsidRPr="00F6340E">
        <w:rPr>
          <w:shd w:val="clear" w:color="auto" w:fill="FFFFFF"/>
        </w:rPr>
        <w:t xml:space="preserve"> </w:t>
      </w:r>
      <w:r w:rsidR="00A56E08">
        <w:rPr>
          <w:shd w:val="clear" w:color="auto" w:fill="FFFFFF"/>
        </w:rPr>
        <w:t>к</w:t>
      </w:r>
      <w:r w:rsidR="0071360A">
        <w:rPr>
          <w:shd w:val="clear" w:color="auto" w:fill="FFFFFF"/>
        </w:rPr>
        <w:t>в</w:t>
      </w:r>
      <w:r w:rsidR="00A56E08">
        <w:rPr>
          <w:shd w:val="clear" w:color="auto" w:fill="FFFFFF"/>
        </w:rPr>
        <w:t>али</w:t>
      </w:r>
      <w:r w:rsidR="0071360A">
        <w:rPr>
          <w:shd w:val="clear" w:color="auto" w:fill="FFFFFF"/>
        </w:rPr>
        <w:t>т</w:t>
      </w:r>
      <w:r w:rsidR="00EE6AA2">
        <w:rPr>
          <w:shd w:val="clear" w:color="auto" w:fill="FFFFFF"/>
        </w:rPr>
        <w:t>е</w:t>
      </w:r>
      <w:r w:rsidR="0071360A">
        <w:rPr>
          <w:shd w:val="clear" w:color="auto" w:fill="FFFFFF"/>
        </w:rPr>
        <w:t>т</w:t>
      </w:r>
      <w:r w:rsidR="00EE6AA2">
        <w:rPr>
          <w:shd w:val="clear" w:color="auto" w:fill="FFFFFF"/>
        </w:rPr>
        <w:t>е</w:t>
      </w:r>
      <w:r w:rsidRPr="00F6340E">
        <w:rPr>
          <w:shd w:val="clear" w:color="auto" w:fill="FFFFFF"/>
        </w:rPr>
        <w:t xml:space="preserve"> </w:t>
      </w:r>
      <w:r w:rsidR="0071360A">
        <w:rPr>
          <w:shd w:val="clear" w:color="auto" w:fill="FFFFFF"/>
        </w:rPr>
        <w:t>у</w:t>
      </w:r>
      <w:r w:rsidRPr="00F6340E">
        <w:rPr>
          <w:shd w:val="clear" w:color="auto" w:fill="FFFFFF"/>
        </w:rPr>
        <w:t xml:space="preserve"> </w:t>
      </w:r>
      <w:r w:rsidR="00EE6AA2">
        <w:rPr>
          <w:shd w:val="clear" w:color="auto" w:fill="FFFFFF"/>
        </w:rPr>
        <w:t>Е</w:t>
      </w:r>
      <w:r w:rsidR="0071360A">
        <w:rPr>
          <w:shd w:val="clear" w:color="auto" w:fill="FFFFFF"/>
        </w:rPr>
        <w:t>вр</w:t>
      </w:r>
      <w:r w:rsidR="00A56E08">
        <w:rPr>
          <w:shd w:val="clear" w:color="auto" w:fill="FFFFFF"/>
        </w:rPr>
        <w:t>о</w:t>
      </w:r>
      <w:r w:rsidR="0071360A">
        <w:rPr>
          <w:shd w:val="clear" w:color="auto" w:fill="FFFFFF"/>
        </w:rPr>
        <w:t>пс</w:t>
      </w:r>
      <w:r w:rsidR="00A56E08">
        <w:rPr>
          <w:shd w:val="clear" w:color="auto" w:fill="FFFFFF"/>
        </w:rPr>
        <w:t>ком</w:t>
      </w:r>
      <w:r w:rsidRPr="00F6340E">
        <w:rPr>
          <w:shd w:val="clear" w:color="auto" w:fill="FFFFFF"/>
        </w:rPr>
        <w:t xml:space="preserve"> </w:t>
      </w:r>
      <w:r w:rsidR="0071360A">
        <w:rPr>
          <w:shd w:val="clear" w:color="auto" w:fill="FFFFFF"/>
        </w:rPr>
        <w:t>пр</w:t>
      </w:r>
      <w:r w:rsidR="00A56E08">
        <w:rPr>
          <w:shd w:val="clear" w:color="auto" w:fill="FFFFFF"/>
        </w:rPr>
        <w:t>о</w:t>
      </w:r>
      <w:r w:rsidR="0071360A">
        <w:rPr>
          <w:shd w:val="clear" w:color="auto" w:fill="FFFFFF"/>
        </w:rPr>
        <w:t>ст</w:t>
      </w:r>
      <w:r w:rsidR="00A56E08">
        <w:rPr>
          <w:shd w:val="clear" w:color="auto" w:fill="FFFFFF"/>
        </w:rPr>
        <w:t>о</w:t>
      </w:r>
      <w:r w:rsidR="0071360A">
        <w:rPr>
          <w:shd w:val="clear" w:color="auto" w:fill="FFFFFF"/>
        </w:rPr>
        <w:t>ру</w:t>
      </w:r>
      <w:r w:rsidRPr="00F6340E">
        <w:rPr>
          <w:shd w:val="clear" w:color="auto" w:fill="FFFFFF"/>
        </w:rPr>
        <w:t xml:space="preserve"> </w:t>
      </w:r>
      <w:r w:rsidR="0071360A">
        <w:rPr>
          <w:shd w:val="clear" w:color="auto" w:fill="FFFFFF"/>
        </w:rPr>
        <w:t>в</w:t>
      </w:r>
      <w:r w:rsidR="00A56E08">
        <w:rPr>
          <w:shd w:val="clear" w:color="auto" w:fill="FFFFFF"/>
        </w:rPr>
        <w:t>и</w:t>
      </w:r>
      <w:r w:rsidR="0071360A">
        <w:rPr>
          <w:shd w:val="clear" w:color="auto" w:fill="FFFFFF"/>
        </w:rPr>
        <w:t>с</w:t>
      </w:r>
      <w:r w:rsidR="00A56E08">
        <w:rPr>
          <w:shd w:val="clear" w:color="auto" w:fill="FFFFFF"/>
        </w:rPr>
        <w:t>оког</w:t>
      </w:r>
      <w:r w:rsidRPr="00F6340E">
        <w:rPr>
          <w:shd w:val="clear" w:color="auto" w:fill="FFFFFF"/>
        </w:rPr>
        <w:t xml:space="preserve"> </w:t>
      </w:r>
      <w:r w:rsidR="00A56E08">
        <w:rPr>
          <w:shd w:val="clear" w:color="auto" w:fill="FFFFFF"/>
        </w:rPr>
        <w:t>об</w:t>
      </w:r>
      <w:r w:rsidR="0071360A">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sidR="0071360A">
        <w:rPr>
          <w:shd w:val="clear" w:color="auto" w:fill="FFFFFF"/>
        </w:rPr>
        <w:t>в</w:t>
      </w:r>
      <w:r w:rsidR="00A56E08">
        <w:rPr>
          <w:shd w:val="clear" w:color="auto" w:fill="FFFFFF"/>
        </w:rPr>
        <w:t>ања</w:t>
      </w:r>
      <w:r w:rsidRPr="00F6340E">
        <w:rPr>
          <w:shd w:val="clear" w:color="auto" w:fill="FFFFFF"/>
        </w:rPr>
        <w:t xml:space="preserve">. </w:t>
      </w:r>
      <w:r w:rsidR="00A56E08">
        <w:t>Ок</w:t>
      </w:r>
      <w:r w:rsidR="0071360A">
        <w:t>в</w:t>
      </w:r>
      <w:r w:rsidR="00A56E08">
        <w:t>и</w:t>
      </w:r>
      <w:r w:rsidR="0071360A">
        <w:t>р</w:t>
      </w:r>
      <w:r w:rsidR="00A56E08">
        <w:t>ним</w:t>
      </w:r>
      <w:r w:rsidRPr="00F6340E">
        <w:t xml:space="preserve"> </w:t>
      </w:r>
      <w:r w:rsidR="00171F00">
        <w:t>з</w:t>
      </w:r>
      <w:r w:rsidR="00A56E08">
        <w:t>аконом</w:t>
      </w:r>
      <w:r w:rsidRPr="00F6340E">
        <w:t xml:space="preserve"> </w:t>
      </w:r>
      <w:r w:rsidR="00A56E08">
        <w:t>о</w:t>
      </w:r>
      <w:r w:rsidRPr="00F6340E">
        <w:t xml:space="preserve"> </w:t>
      </w:r>
      <w:r w:rsidR="0071360A">
        <w:t>в</w:t>
      </w:r>
      <w:r w:rsidR="00A56E08">
        <w:t>и</w:t>
      </w:r>
      <w:r w:rsidR="0071360A">
        <w:t>с</w:t>
      </w:r>
      <w:r w:rsidR="00A56E08">
        <w:t>оком</w:t>
      </w:r>
      <w:r w:rsidRPr="00F6340E">
        <w:t xml:space="preserve"> </w:t>
      </w:r>
      <w:r w:rsidR="00A56E08">
        <w:t>об</w:t>
      </w:r>
      <w:r w:rsidR="0071360A">
        <w:t>р</w:t>
      </w:r>
      <w:r w:rsidR="00A56E08">
        <w:t>а</w:t>
      </w:r>
      <w:r w:rsidR="00171F00">
        <w:t>з</w:t>
      </w:r>
      <w:r w:rsidR="00A56E08">
        <w:t>о</w:t>
      </w:r>
      <w:r w:rsidR="0071360A">
        <w:t>в</w:t>
      </w:r>
      <w:r w:rsidR="00A56E08">
        <w:t>ањ</w:t>
      </w:r>
      <w:r w:rsidR="0071360A">
        <w:t>у</w:t>
      </w:r>
      <w:r w:rsidRPr="00F6340E">
        <w:t xml:space="preserve"> </w:t>
      </w:r>
      <w:r w:rsidR="0071360A">
        <w:t>у</w:t>
      </w:r>
      <w:r w:rsidRPr="00F6340E">
        <w:t xml:space="preserve"> </w:t>
      </w:r>
      <w:r w:rsidR="00A56E08">
        <w:t>БиХ</w:t>
      </w:r>
      <w:r w:rsidRPr="00F6340E">
        <w:t xml:space="preserve"> (2007) </w:t>
      </w:r>
      <w:r w:rsidR="0071360A">
        <w:t>р</w:t>
      </w:r>
      <w:r w:rsidR="00EE6AA2">
        <w:t>е</w:t>
      </w:r>
      <w:r w:rsidR="00A56E08">
        <w:t>г</w:t>
      </w:r>
      <w:r w:rsidR="0071360A">
        <w:t>у</w:t>
      </w:r>
      <w:r w:rsidR="00A56E08">
        <w:t>ли</w:t>
      </w:r>
      <w:r w:rsidR="0071360A">
        <w:t>ш</w:t>
      </w:r>
      <w:r w:rsidR="00EE6AA2">
        <w:t>е</w:t>
      </w:r>
      <w:r w:rsidR="00AE44FC" w:rsidRPr="00F6340E">
        <w:t xml:space="preserve"> </w:t>
      </w:r>
      <w:r w:rsidR="0071360A">
        <w:t>с</w:t>
      </w:r>
      <w:r w:rsidR="00EE6AA2">
        <w:t>е</w:t>
      </w:r>
      <w:r w:rsidRPr="00F6340E">
        <w:t xml:space="preserve">: </w:t>
      </w:r>
      <w:r w:rsidR="00A56E08">
        <w:t>о</w:t>
      </w:r>
      <w:r w:rsidR="0071360A">
        <w:t>р</w:t>
      </w:r>
      <w:r w:rsidR="00A56E08">
        <w:t>гани</w:t>
      </w:r>
      <w:r w:rsidR="00171F00">
        <w:t>з</w:t>
      </w:r>
      <w:r w:rsidR="00A56E08">
        <w:t>ација</w:t>
      </w:r>
      <w:r w:rsidRPr="00F6340E">
        <w:t xml:space="preserve"> </w:t>
      </w:r>
      <w:r w:rsidR="0071360A">
        <w:t>в</w:t>
      </w:r>
      <w:r w:rsidR="00A56E08">
        <w:t>и</w:t>
      </w:r>
      <w:r w:rsidR="0071360A">
        <w:t>с</w:t>
      </w:r>
      <w:r w:rsidR="00A56E08">
        <w:t>оког</w:t>
      </w:r>
      <w:r w:rsidRPr="00F6340E">
        <w:t xml:space="preserve"> </w:t>
      </w:r>
      <w:r w:rsidR="00A56E08">
        <w:t>об</w:t>
      </w:r>
      <w:r w:rsidR="0071360A">
        <w:t>р</w:t>
      </w:r>
      <w:r w:rsidR="00A56E08">
        <w:t>а</w:t>
      </w:r>
      <w:r w:rsidR="00171F00">
        <w:t>з</w:t>
      </w:r>
      <w:r w:rsidR="00A56E08">
        <w:t>о</w:t>
      </w:r>
      <w:r w:rsidR="0071360A">
        <w:t>в</w:t>
      </w:r>
      <w:r w:rsidR="00A56E08">
        <w:t>ања</w:t>
      </w:r>
      <w:r w:rsidRPr="00F6340E">
        <w:t xml:space="preserve"> </w:t>
      </w:r>
      <w:r w:rsidR="0071360A">
        <w:t>у</w:t>
      </w:r>
      <w:r w:rsidRPr="00F6340E">
        <w:t xml:space="preserve"> </w:t>
      </w:r>
      <w:r w:rsidR="00A56E08">
        <w:t>БиХ</w:t>
      </w:r>
      <w:r w:rsidRPr="00F6340E">
        <w:t xml:space="preserve">, </w:t>
      </w:r>
      <w:r w:rsidR="00A56E08">
        <w:t>одго</w:t>
      </w:r>
      <w:r w:rsidR="0071360A">
        <w:t>в</w:t>
      </w:r>
      <w:r w:rsidR="00A56E08">
        <w:t>о</w:t>
      </w:r>
      <w:r w:rsidR="0071360A">
        <w:t>р</w:t>
      </w:r>
      <w:r w:rsidR="00A56E08">
        <w:t>но</w:t>
      </w:r>
      <w:r w:rsidR="0071360A">
        <w:t>ст</w:t>
      </w:r>
      <w:r w:rsidRPr="00F6340E">
        <w:t xml:space="preserve"> </w:t>
      </w:r>
      <w:r w:rsidR="00A56E08">
        <w:t>надл</w:t>
      </w:r>
      <w:r w:rsidR="00EE6AA2">
        <w:t>е</w:t>
      </w:r>
      <w:r w:rsidR="00171F00">
        <w:t>ж</w:t>
      </w:r>
      <w:r w:rsidR="00A56E08">
        <w:t>них</w:t>
      </w:r>
      <w:r w:rsidRPr="00F6340E">
        <w:t xml:space="preserve"> </w:t>
      </w:r>
      <w:r w:rsidR="0071360A">
        <w:t>в</w:t>
      </w:r>
      <w:r w:rsidR="00A56E08">
        <w:t>ла</w:t>
      </w:r>
      <w:r w:rsidR="0071360A">
        <w:t>ст</w:t>
      </w:r>
      <w:r w:rsidR="00A56E08">
        <w:t>и</w:t>
      </w:r>
      <w:r w:rsidRPr="00F6340E">
        <w:t xml:space="preserve"> </w:t>
      </w:r>
      <w:r w:rsidR="0071360A">
        <w:t>у</w:t>
      </w:r>
      <w:r w:rsidRPr="00F6340E">
        <w:t xml:space="preserve"> </w:t>
      </w:r>
      <w:r w:rsidR="00A56E08">
        <w:t>о</w:t>
      </w:r>
      <w:r w:rsidR="0071360A">
        <w:t>в</w:t>
      </w:r>
      <w:r w:rsidR="00A56E08">
        <w:t>ој</w:t>
      </w:r>
      <w:r w:rsidRPr="00F6340E">
        <w:t xml:space="preserve"> </w:t>
      </w:r>
      <w:r w:rsidR="00A56E08">
        <w:t>обла</w:t>
      </w:r>
      <w:r w:rsidR="0071360A">
        <w:t>ст</w:t>
      </w:r>
      <w:r w:rsidR="00A56E08">
        <w:t>и</w:t>
      </w:r>
      <w:r w:rsidRPr="00F6340E">
        <w:t xml:space="preserve">, </w:t>
      </w:r>
      <w:r w:rsidR="0071360A">
        <w:t>т</w:t>
      </w:r>
      <w:r w:rsidR="00A56E08">
        <w:t>иј</w:t>
      </w:r>
      <w:r w:rsidR="00EE6AA2">
        <w:t>е</w:t>
      </w:r>
      <w:r w:rsidR="00A56E08">
        <w:t>ла</w:t>
      </w:r>
      <w:r w:rsidRPr="00F6340E">
        <w:t xml:space="preserve"> </w:t>
      </w:r>
      <w:r w:rsidR="00171F00">
        <w:t>з</w:t>
      </w:r>
      <w:r w:rsidR="00A56E08">
        <w:t>а</w:t>
      </w:r>
      <w:r w:rsidRPr="00F6340E">
        <w:t xml:space="preserve"> </w:t>
      </w:r>
      <w:r w:rsidR="0071360A">
        <w:t>пр</w:t>
      </w:r>
      <w:r w:rsidR="00A56E08">
        <w:t>о</w:t>
      </w:r>
      <w:r w:rsidR="0071360A">
        <w:t>в</w:t>
      </w:r>
      <w:r w:rsidR="00A56E08">
        <w:t>ођ</w:t>
      </w:r>
      <w:r w:rsidR="00EE6AA2">
        <w:t>е</w:t>
      </w:r>
      <w:r w:rsidR="00A56E08">
        <w:t>њ</w:t>
      </w:r>
      <w:r w:rsidR="00EE6AA2">
        <w:t>е</w:t>
      </w:r>
      <w:r w:rsidRPr="00F6340E">
        <w:t xml:space="preserve"> </w:t>
      </w:r>
      <w:r w:rsidR="00171F00">
        <w:t>з</w:t>
      </w:r>
      <w:r w:rsidR="00A56E08">
        <w:t>акона</w:t>
      </w:r>
      <w:r w:rsidRPr="00F6340E">
        <w:t xml:space="preserve"> </w:t>
      </w:r>
      <w:r w:rsidR="00A56E08">
        <w:t>и</w:t>
      </w:r>
      <w:r w:rsidRPr="00F6340E">
        <w:t xml:space="preserve"> </w:t>
      </w:r>
      <w:r w:rsidR="00A56E08">
        <w:t>ин</w:t>
      </w:r>
      <w:r w:rsidR="0071360A">
        <w:t>т</w:t>
      </w:r>
      <w:r w:rsidR="00EE6AA2">
        <w:t>е</w:t>
      </w:r>
      <w:r w:rsidR="0071360A">
        <w:t>р</w:t>
      </w:r>
      <w:r w:rsidR="00A56E08">
        <w:t>националних</w:t>
      </w:r>
      <w:r w:rsidRPr="00F6340E">
        <w:t xml:space="preserve"> </w:t>
      </w:r>
      <w:r w:rsidR="00A56E08">
        <w:t>оба</w:t>
      </w:r>
      <w:r w:rsidR="0071360A">
        <w:t>в</w:t>
      </w:r>
      <w:r w:rsidR="00EE6AA2">
        <w:t>е</w:t>
      </w:r>
      <w:r w:rsidR="00171F00">
        <w:t>з</w:t>
      </w:r>
      <w:r w:rsidR="00A56E08">
        <w:t>а</w:t>
      </w:r>
      <w:r w:rsidRPr="00F6340E">
        <w:t xml:space="preserve"> </w:t>
      </w:r>
      <w:r w:rsidR="00A56E08">
        <w:t>БиХ</w:t>
      </w:r>
      <w:r w:rsidRPr="00F6340E">
        <w:t xml:space="preserve"> </w:t>
      </w:r>
      <w:r w:rsidR="00A56E08">
        <w:t>и</w:t>
      </w:r>
      <w:r w:rsidRPr="00F6340E">
        <w:t xml:space="preserve"> </w:t>
      </w:r>
      <w:r w:rsidR="00A56E08">
        <w:rPr>
          <w:i/>
        </w:rPr>
        <w:t>начин</w:t>
      </w:r>
      <w:r w:rsidRPr="00F6340E">
        <w:rPr>
          <w:i/>
        </w:rPr>
        <w:t xml:space="preserve"> </w:t>
      </w:r>
      <w:r w:rsidR="00A56E08">
        <w:rPr>
          <w:i/>
        </w:rPr>
        <w:t>о</w:t>
      </w:r>
      <w:r w:rsidR="0071360A">
        <w:rPr>
          <w:i/>
        </w:rPr>
        <w:t>с</w:t>
      </w:r>
      <w:r w:rsidR="00A56E08">
        <w:rPr>
          <w:i/>
        </w:rPr>
        <w:t>иг</w:t>
      </w:r>
      <w:r w:rsidR="0071360A">
        <w:rPr>
          <w:i/>
        </w:rPr>
        <w:t>ур</w:t>
      </w:r>
      <w:r w:rsidR="00A56E08">
        <w:rPr>
          <w:i/>
        </w:rPr>
        <w:t>а</w:t>
      </w:r>
      <w:r w:rsidR="0071360A">
        <w:rPr>
          <w:i/>
        </w:rPr>
        <w:t>в</w:t>
      </w:r>
      <w:r w:rsidR="00A56E08">
        <w:rPr>
          <w:i/>
        </w:rPr>
        <w:t>ања</w:t>
      </w:r>
      <w:r w:rsidRPr="00F6340E">
        <w:rPr>
          <w:i/>
        </w:rPr>
        <w:t xml:space="preserve"> </w:t>
      </w:r>
      <w:r w:rsidR="00A56E08">
        <w:rPr>
          <w:i/>
        </w:rPr>
        <w:t>к</w:t>
      </w:r>
      <w:r w:rsidR="0071360A">
        <w:rPr>
          <w:i/>
        </w:rPr>
        <w:t>в</w:t>
      </w:r>
      <w:r w:rsidR="00A56E08">
        <w:rPr>
          <w:i/>
        </w:rPr>
        <w:t>али</w:t>
      </w:r>
      <w:r w:rsidR="0071360A">
        <w:rPr>
          <w:i/>
        </w:rPr>
        <w:t>т</w:t>
      </w:r>
      <w:r w:rsidR="00EE6AA2">
        <w:rPr>
          <w:i/>
        </w:rPr>
        <w:t>е</w:t>
      </w:r>
      <w:r w:rsidR="0071360A">
        <w:rPr>
          <w:i/>
        </w:rPr>
        <w:t>т</w:t>
      </w:r>
      <w:r w:rsidR="00A56E08">
        <w:rPr>
          <w:i/>
        </w:rPr>
        <w:t>а</w:t>
      </w:r>
      <w:r w:rsidRPr="00F6340E">
        <w:rPr>
          <w:i/>
        </w:rPr>
        <w:t xml:space="preserve"> </w:t>
      </w:r>
      <w:r w:rsidR="0071360A">
        <w:rPr>
          <w:i/>
        </w:rPr>
        <w:t>у</w:t>
      </w:r>
      <w:r w:rsidRPr="00F6340E">
        <w:rPr>
          <w:i/>
        </w:rPr>
        <w:t xml:space="preserve"> </w:t>
      </w:r>
      <w:r w:rsidR="00A56E08">
        <w:rPr>
          <w:i/>
        </w:rPr>
        <w:t>обла</w:t>
      </w:r>
      <w:r w:rsidR="0071360A">
        <w:rPr>
          <w:i/>
        </w:rPr>
        <w:t>ст</w:t>
      </w:r>
      <w:r w:rsidR="00A56E08">
        <w:rPr>
          <w:i/>
        </w:rPr>
        <w:t>и</w:t>
      </w:r>
      <w:r w:rsidRPr="00F6340E">
        <w:rPr>
          <w:i/>
        </w:rPr>
        <w:t xml:space="preserve"> </w:t>
      </w:r>
      <w:r w:rsidR="0071360A">
        <w:rPr>
          <w:i/>
        </w:rPr>
        <w:t>в</w:t>
      </w:r>
      <w:r w:rsidR="00A56E08">
        <w:rPr>
          <w:i/>
        </w:rPr>
        <w:t>и</w:t>
      </w:r>
      <w:r w:rsidR="0071360A">
        <w:rPr>
          <w:i/>
        </w:rPr>
        <w:t>с</w:t>
      </w:r>
      <w:r w:rsidR="00A56E08">
        <w:rPr>
          <w:i/>
        </w:rPr>
        <w:t>оког</w:t>
      </w:r>
      <w:r w:rsidRPr="00F6340E">
        <w:rPr>
          <w:i/>
        </w:rPr>
        <w:t xml:space="preserve"> </w:t>
      </w:r>
      <w:r w:rsidR="00A56E08">
        <w:rPr>
          <w:i/>
        </w:rPr>
        <w:t>об</w:t>
      </w:r>
      <w:r w:rsidR="0071360A">
        <w:rPr>
          <w:i/>
        </w:rPr>
        <w:t>р</w:t>
      </w:r>
      <w:r w:rsidR="00A56E08">
        <w:rPr>
          <w:i/>
        </w:rPr>
        <w:t>а</w:t>
      </w:r>
      <w:r w:rsidR="00171F00">
        <w:rPr>
          <w:i/>
        </w:rPr>
        <w:t>з</w:t>
      </w:r>
      <w:r w:rsidR="00A56E08">
        <w:rPr>
          <w:i/>
        </w:rPr>
        <w:t>о</w:t>
      </w:r>
      <w:r w:rsidR="0071360A">
        <w:rPr>
          <w:i/>
        </w:rPr>
        <w:t>в</w:t>
      </w:r>
      <w:r w:rsidR="00A56E08">
        <w:rPr>
          <w:i/>
        </w:rPr>
        <w:t>ања</w:t>
      </w:r>
      <w:r w:rsidRPr="00F6340E">
        <w:t xml:space="preserve">. </w:t>
      </w:r>
      <w:r w:rsidR="0071360A">
        <w:rPr>
          <w:shd w:val="clear" w:color="auto" w:fill="FFFFFF"/>
        </w:rPr>
        <w:t>С</w:t>
      </w:r>
      <w:r w:rsidR="00B04FA8">
        <w:rPr>
          <w:shd w:val="clear" w:color="auto" w:fill="FFFFFF"/>
          <w:lang w:val="hr-BA"/>
        </w:rPr>
        <w:t>a</w:t>
      </w:r>
      <w:r w:rsidRPr="00F6340E">
        <w:rPr>
          <w:shd w:val="clear" w:color="auto" w:fill="FFFFFF"/>
        </w:rPr>
        <w:t xml:space="preserve"> </w:t>
      </w:r>
      <w:r w:rsidR="0071360A">
        <w:rPr>
          <w:shd w:val="clear" w:color="auto" w:fill="FFFFFF"/>
        </w:rPr>
        <w:t>т</w:t>
      </w:r>
      <w:r w:rsidR="00A56E08">
        <w:rPr>
          <w:shd w:val="clear" w:color="auto" w:fill="FFFFFF"/>
        </w:rPr>
        <w:t>им</w:t>
      </w:r>
      <w:r w:rsidRPr="00F6340E">
        <w:rPr>
          <w:shd w:val="clear" w:color="auto" w:fill="FFFFFF"/>
        </w:rPr>
        <w:t xml:space="preserve"> </w:t>
      </w:r>
      <w:r w:rsidR="0071360A">
        <w:rPr>
          <w:shd w:val="clear" w:color="auto" w:fill="FFFFFF"/>
        </w:rPr>
        <w:t>у</w:t>
      </w:r>
      <w:r w:rsidRPr="00F6340E">
        <w:rPr>
          <w:shd w:val="clear" w:color="auto" w:fill="FFFFFF"/>
        </w:rPr>
        <w:t xml:space="preserve"> </w:t>
      </w:r>
      <w:r w:rsidR="0071360A">
        <w:rPr>
          <w:shd w:val="clear" w:color="auto" w:fill="FFFFFF"/>
        </w:rPr>
        <w:t>в</w:t>
      </w:r>
      <w:r w:rsidR="00EE6AA2">
        <w:rPr>
          <w:shd w:val="clear" w:color="auto" w:fill="FFFFFF"/>
        </w:rPr>
        <w:t>е</w:t>
      </w:r>
      <w:r w:rsidR="00171F00">
        <w:rPr>
          <w:shd w:val="clear" w:color="auto" w:fill="FFFFFF"/>
        </w:rPr>
        <w:t>з</w:t>
      </w:r>
      <w:r w:rsidR="00A56E08">
        <w:rPr>
          <w:shd w:val="clear" w:color="auto" w:fill="FFFFFF"/>
        </w:rPr>
        <w:t>и</w:t>
      </w:r>
      <w:r w:rsidRPr="00F6340E">
        <w:rPr>
          <w:shd w:val="clear" w:color="auto" w:fill="FFFFFF"/>
        </w:rPr>
        <w:t xml:space="preserve"> </w:t>
      </w:r>
      <w:r w:rsidR="00A56E08">
        <w:rPr>
          <w:shd w:val="clear" w:color="auto" w:fill="FFFFFF"/>
        </w:rPr>
        <w:t>дон</w:t>
      </w:r>
      <w:r w:rsidR="00EE6AA2">
        <w:rPr>
          <w:shd w:val="clear" w:color="auto" w:fill="FFFFFF"/>
        </w:rPr>
        <w:t>е</w:t>
      </w:r>
      <w:r w:rsidR="0071360A">
        <w:rPr>
          <w:shd w:val="clear" w:color="auto" w:fill="FFFFFF"/>
        </w:rPr>
        <w:t>с</w:t>
      </w:r>
      <w:r w:rsidR="00EE6AA2">
        <w:rPr>
          <w:shd w:val="clear" w:color="auto" w:fill="FFFFFF"/>
        </w:rPr>
        <w:t>е</w:t>
      </w:r>
      <w:r w:rsidR="00A56E08">
        <w:rPr>
          <w:shd w:val="clear" w:color="auto" w:fill="FFFFFF"/>
        </w:rPr>
        <w:t>ни</w:t>
      </w:r>
      <w:r w:rsidRPr="00F6340E">
        <w:rPr>
          <w:shd w:val="clear" w:color="auto" w:fill="FFFFFF"/>
        </w:rPr>
        <w:t xml:space="preserve"> </w:t>
      </w:r>
      <w:r w:rsidR="0071360A">
        <w:rPr>
          <w:shd w:val="clear" w:color="auto" w:fill="FFFFFF"/>
        </w:rPr>
        <w:t>су</w:t>
      </w:r>
      <w:r w:rsidRPr="00F6340E">
        <w:rPr>
          <w:shd w:val="clear" w:color="auto" w:fill="FFFFFF"/>
        </w:rPr>
        <w:t xml:space="preserve"> </w:t>
      </w:r>
      <w:r w:rsidR="00A56E08">
        <w:rPr>
          <w:shd w:val="clear" w:color="auto" w:fill="FFFFFF"/>
        </w:rPr>
        <w:t>док</w:t>
      </w:r>
      <w:r w:rsidR="0071360A">
        <w:rPr>
          <w:shd w:val="clear" w:color="auto" w:fill="FFFFFF"/>
        </w:rPr>
        <w:t>у</w:t>
      </w:r>
      <w:r w:rsidR="00A56E08">
        <w:rPr>
          <w:shd w:val="clear" w:color="auto" w:fill="FFFFFF"/>
        </w:rPr>
        <w:t>м</w:t>
      </w:r>
      <w:r w:rsidR="00EE6AA2">
        <w:rPr>
          <w:shd w:val="clear" w:color="auto" w:fill="FFFFFF"/>
        </w:rPr>
        <w:t>е</w:t>
      </w:r>
      <w:r w:rsidR="00A56E08">
        <w:rPr>
          <w:shd w:val="clear" w:color="auto" w:fill="FFFFFF"/>
        </w:rPr>
        <w:t>н</w:t>
      </w:r>
      <w:r w:rsidR="0071360A">
        <w:rPr>
          <w:shd w:val="clear" w:color="auto" w:fill="FFFFFF"/>
        </w:rPr>
        <w:t>т</w:t>
      </w:r>
      <w:r w:rsidR="00A56E08">
        <w:rPr>
          <w:shd w:val="clear" w:color="auto" w:fill="FFFFFF"/>
        </w:rPr>
        <w:t>и</w:t>
      </w:r>
      <w:r w:rsidRPr="00F6340E">
        <w:rPr>
          <w:shd w:val="clear" w:color="auto" w:fill="FFFFFF"/>
        </w:rPr>
        <w:t xml:space="preserve"> </w:t>
      </w:r>
      <w:r w:rsidR="00A56E08">
        <w:rPr>
          <w:shd w:val="clear" w:color="auto" w:fill="FFFFFF"/>
        </w:rPr>
        <w:t>и</w:t>
      </w:r>
      <w:r w:rsidRPr="00F6340E">
        <w:rPr>
          <w:shd w:val="clear" w:color="auto" w:fill="FFFFFF"/>
        </w:rPr>
        <w:t xml:space="preserve"> </w:t>
      </w:r>
      <w:r w:rsidR="0071360A">
        <w:rPr>
          <w:shd w:val="clear" w:color="auto" w:fill="FFFFFF"/>
        </w:rPr>
        <w:t>с</w:t>
      </w:r>
      <w:r w:rsidR="00A56E08">
        <w:rPr>
          <w:shd w:val="clear" w:color="auto" w:fill="FFFFFF"/>
        </w:rPr>
        <w:t>мј</w:t>
      </w:r>
      <w:r w:rsidR="00EE6AA2">
        <w:rPr>
          <w:shd w:val="clear" w:color="auto" w:fill="FFFFFF"/>
        </w:rPr>
        <w:t>е</w:t>
      </w:r>
      <w:r w:rsidR="0071360A">
        <w:rPr>
          <w:shd w:val="clear" w:color="auto" w:fill="FFFFFF"/>
        </w:rPr>
        <w:t>р</w:t>
      </w:r>
      <w:r w:rsidR="00A56E08">
        <w:rPr>
          <w:shd w:val="clear" w:color="auto" w:fill="FFFFFF"/>
        </w:rPr>
        <w:t>ниц</w:t>
      </w:r>
      <w:r w:rsidR="00EE6AA2">
        <w:rPr>
          <w:shd w:val="clear" w:color="auto" w:fill="FFFFFF"/>
        </w:rPr>
        <w:t>е</w:t>
      </w:r>
      <w:r w:rsidRPr="00F6340E">
        <w:rPr>
          <w:shd w:val="clear" w:color="auto" w:fill="FFFFFF"/>
        </w:rPr>
        <w:t xml:space="preserve"> </w:t>
      </w:r>
      <w:r w:rsidR="00A56E08">
        <w:rPr>
          <w:shd w:val="clear" w:color="auto" w:fill="FFFFFF"/>
        </w:rPr>
        <w:t>којима</w:t>
      </w:r>
      <w:r w:rsidRPr="00F6340E">
        <w:rPr>
          <w:shd w:val="clear" w:color="auto" w:fill="FFFFFF"/>
        </w:rPr>
        <w:t xml:space="preserve"> </w:t>
      </w:r>
      <w:r w:rsidR="0071360A">
        <w:rPr>
          <w:shd w:val="clear" w:color="auto" w:fill="FFFFFF"/>
        </w:rPr>
        <w:t>с</w:t>
      </w:r>
      <w:r w:rsidR="00EE6AA2">
        <w:rPr>
          <w:shd w:val="clear" w:color="auto" w:fill="FFFFFF"/>
        </w:rPr>
        <w:t>е</w:t>
      </w:r>
      <w:r w:rsidRPr="00F6340E">
        <w:rPr>
          <w:shd w:val="clear" w:color="auto" w:fill="FFFFFF"/>
        </w:rPr>
        <w:t xml:space="preserve"> </w:t>
      </w:r>
      <w:r w:rsidR="0071360A">
        <w:rPr>
          <w:shd w:val="clear" w:color="auto" w:fill="FFFFFF"/>
        </w:rPr>
        <w:t>р</w:t>
      </w:r>
      <w:r w:rsidR="00EE6AA2">
        <w:rPr>
          <w:shd w:val="clear" w:color="auto" w:fill="FFFFFF"/>
        </w:rPr>
        <w:t>е</w:t>
      </w:r>
      <w:r w:rsidR="00A56E08">
        <w:rPr>
          <w:shd w:val="clear" w:color="auto" w:fill="FFFFFF"/>
        </w:rPr>
        <w:t>г</w:t>
      </w:r>
      <w:r w:rsidR="0071360A">
        <w:rPr>
          <w:shd w:val="clear" w:color="auto" w:fill="FFFFFF"/>
        </w:rPr>
        <w:t>у</w:t>
      </w:r>
      <w:r w:rsidR="00A56E08">
        <w:rPr>
          <w:shd w:val="clear" w:color="auto" w:fill="FFFFFF"/>
        </w:rPr>
        <w:t>ли</w:t>
      </w:r>
      <w:r w:rsidR="0071360A">
        <w:rPr>
          <w:shd w:val="clear" w:color="auto" w:fill="FFFFFF"/>
        </w:rPr>
        <w:t>шу</w:t>
      </w:r>
      <w:r w:rsidRPr="00F6340E">
        <w:rPr>
          <w:shd w:val="clear" w:color="auto" w:fill="FFFFFF"/>
        </w:rPr>
        <w:t xml:space="preserve"> </w:t>
      </w:r>
      <w:r w:rsidR="00A56E08">
        <w:rPr>
          <w:shd w:val="clear" w:color="auto" w:fill="FFFFFF"/>
        </w:rPr>
        <w:t>на</w:t>
      </w:r>
      <w:r w:rsidR="0071360A">
        <w:rPr>
          <w:shd w:val="clear" w:color="auto" w:fill="FFFFFF"/>
        </w:rPr>
        <w:t>в</w:t>
      </w:r>
      <w:r w:rsidR="00EE6AA2">
        <w:rPr>
          <w:shd w:val="clear" w:color="auto" w:fill="FFFFFF"/>
        </w:rPr>
        <w:t>е</w:t>
      </w:r>
      <w:r w:rsidR="00A56E08">
        <w:rPr>
          <w:shd w:val="clear" w:color="auto" w:fill="FFFFFF"/>
        </w:rPr>
        <w:t>д</w:t>
      </w:r>
      <w:r w:rsidR="00EE6AA2">
        <w:rPr>
          <w:shd w:val="clear" w:color="auto" w:fill="FFFFFF"/>
        </w:rPr>
        <w:t>е</w:t>
      </w:r>
      <w:r w:rsidR="00A56E08">
        <w:rPr>
          <w:shd w:val="clear" w:color="auto" w:fill="FFFFFF"/>
        </w:rPr>
        <w:t>ни</w:t>
      </w:r>
      <w:r w:rsidRPr="00F6340E">
        <w:rPr>
          <w:shd w:val="clear" w:color="auto" w:fill="FFFFFF"/>
        </w:rPr>
        <w:t xml:space="preserve"> </w:t>
      </w:r>
      <w:r w:rsidR="0071360A">
        <w:rPr>
          <w:shd w:val="clear" w:color="auto" w:fill="FFFFFF"/>
        </w:rPr>
        <w:t>пр</w:t>
      </w:r>
      <w:r w:rsidR="00A56E08">
        <w:rPr>
          <w:shd w:val="clear" w:color="auto" w:fill="FFFFFF"/>
        </w:rPr>
        <w:t>оц</w:t>
      </w:r>
      <w:r w:rsidR="00EE6AA2">
        <w:rPr>
          <w:shd w:val="clear" w:color="auto" w:fill="FFFFFF"/>
        </w:rPr>
        <w:t>е</w:t>
      </w:r>
      <w:r w:rsidR="0071360A">
        <w:rPr>
          <w:shd w:val="clear" w:color="auto" w:fill="FFFFFF"/>
        </w:rPr>
        <w:t>с</w:t>
      </w:r>
      <w:r w:rsidR="00A56E08">
        <w:rPr>
          <w:shd w:val="clear" w:color="auto" w:fill="FFFFFF"/>
        </w:rPr>
        <w:t>и</w:t>
      </w:r>
      <w:r w:rsidRPr="00F6340E">
        <w:rPr>
          <w:shd w:val="clear" w:color="auto" w:fill="FFFFFF"/>
        </w:rPr>
        <w:t xml:space="preserve"> </w:t>
      </w:r>
      <w:r w:rsidR="0071360A">
        <w:rPr>
          <w:shd w:val="clear" w:color="auto" w:fill="FFFFFF"/>
        </w:rPr>
        <w:t>п</w:t>
      </w:r>
      <w:r w:rsidR="00A56E08">
        <w:rPr>
          <w:shd w:val="clear" w:color="auto" w:fill="FFFFFF"/>
        </w:rPr>
        <w:t>а</w:t>
      </w:r>
      <w:r w:rsidRPr="00F6340E">
        <w:rPr>
          <w:shd w:val="clear" w:color="auto" w:fill="FFFFFF"/>
        </w:rPr>
        <w:t xml:space="preserve"> </w:t>
      </w:r>
      <w:r w:rsidR="0071360A">
        <w:rPr>
          <w:shd w:val="clear" w:color="auto" w:fill="FFFFFF"/>
        </w:rPr>
        <w:t>т</w:t>
      </w:r>
      <w:r w:rsidR="00A56E08">
        <w:rPr>
          <w:shd w:val="clear" w:color="auto" w:fill="FFFFFF"/>
        </w:rPr>
        <w:t>ако</w:t>
      </w:r>
      <w:r w:rsidRPr="00F6340E">
        <w:rPr>
          <w:shd w:val="clear" w:color="auto" w:fill="FFFFFF"/>
        </w:rPr>
        <w:t xml:space="preserve"> </w:t>
      </w:r>
      <w:r w:rsidR="00A56E08">
        <w:rPr>
          <w:shd w:val="clear" w:color="auto" w:fill="FFFFFF"/>
        </w:rPr>
        <w:t>и</w:t>
      </w:r>
      <w:r w:rsidRPr="00F6340E">
        <w:rPr>
          <w:shd w:val="clear" w:color="auto" w:fill="FFFFFF"/>
        </w:rPr>
        <w:t xml:space="preserve"> </w:t>
      </w:r>
      <w:r w:rsidR="00A56E08">
        <w:rPr>
          <w:shd w:val="clear" w:color="auto" w:fill="FFFFFF"/>
        </w:rPr>
        <w:t>о</w:t>
      </w:r>
      <w:r w:rsidR="0071360A">
        <w:rPr>
          <w:shd w:val="clear" w:color="auto" w:fill="FFFFFF"/>
        </w:rPr>
        <w:t>с</w:t>
      </w:r>
      <w:r w:rsidR="00A56E08">
        <w:rPr>
          <w:shd w:val="clear" w:color="auto" w:fill="FFFFFF"/>
        </w:rPr>
        <w:t>иг</w:t>
      </w:r>
      <w:r w:rsidR="0071360A">
        <w:rPr>
          <w:shd w:val="clear" w:color="auto" w:fill="FFFFFF"/>
        </w:rPr>
        <w:t>ур</w:t>
      </w:r>
      <w:r w:rsidR="00A56E08">
        <w:rPr>
          <w:shd w:val="clear" w:color="auto" w:fill="FFFFFF"/>
        </w:rPr>
        <w:t>ањ</w:t>
      </w:r>
      <w:r w:rsidR="00EE6AA2">
        <w:rPr>
          <w:shd w:val="clear" w:color="auto" w:fill="FFFFFF"/>
        </w:rPr>
        <w:t>е</w:t>
      </w:r>
      <w:r w:rsidRPr="00F6340E">
        <w:rPr>
          <w:shd w:val="clear" w:color="auto" w:fill="FFFFFF"/>
        </w:rPr>
        <w:t xml:space="preserve"> </w:t>
      </w:r>
      <w:r w:rsidR="00A56E08">
        <w:rPr>
          <w:shd w:val="clear" w:color="auto" w:fill="FFFFFF"/>
        </w:rPr>
        <w:t>к</w:t>
      </w:r>
      <w:r w:rsidR="0071360A">
        <w:rPr>
          <w:shd w:val="clear" w:color="auto" w:fill="FFFFFF"/>
        </w:rPr>
        <w:t>в</w:t>
      </w:r>
      <w:r w:rsidR="00A56E08">
        <w:rPr>
          <w:shd w:val="clear" w:color="auto" w:fill="FFFFFF"/>
        </w:rPr>
        <w:t>али</w:t>
      </w:r>
      <w:r w:rsidR="0071360A">
        <w:rPr>
          <w:shd w:val="clear" w:color="auto" w:fill="FFFFFF"/>
        </w:rPr>
        <w:t>т</w:t>
      </w:r>
      <w:r w:rsidR="00EE6AA2">
        <w:rPr>
          <w:shd w:val="clear" w:color="auto" w:fill="FFFFFF"/>
        </w:rPr>
        <w:t>е</w:t>
      </w:r>
      <w:r w:rsidR="0071360A">
        <w:rPr>
          <w:shd w:val="clear" w:color="auto" w:fill="FFFFFF"/>
        </w:rPr>
        <w:t>т</w:t>
      </w:r>
      <w:r w:rsidR="00EE6AA2">
        <w:rPr>
          <w:shd w:val="clear" w:color="auto" w:fill="FFFFFF"/>
        </w:rPr>
        <w:t>е</w:t>
      </w:r>
      <w:r w:rsidRPr="00F6340E">
        <w:rPr>
          <w:shd w:val="clear" w:color="auto" w:fill="FFFFFF"/>
        </w:rPr>
        <w:t xml:space="preserve">. </w:t>
      </w:r>
      <w:r w:rsidR="00A56E08">
        <w:rPr>
          <w:shd w:val="clear" w:color="auto" w:fill="FFFFFF"/>
        </w:rPr>
        <w:t>Ј</w:t>
      </w:r>
      <w:r w:rsidR="00EE6AA2">
        <w:rPr>
          <w:shd w:val="clear" w:color="auto" w:fill="FFFFFF"/>
        </w:rPr>
        <w:t>е</w:t>
      </w:r>
      <w:r w:rsidR="00A56E08">
        <w:rPr>
          <w:shd w:val="clear" w:color="auto" w:fill="FFFFFF"/>
        </w:rPr>
        <w:t>дан</w:t>
      </w:r>
      <w:r w:rsidRPr="00F6340E">
        <w:rPr>
          <w:shd w:val="clear" w:color="auto" w:fill="FFFFFF"/>
        </w:rPr>
        <w:t xml:space="preserve"> </w:t>
      </w:r>
      <w:r w:rsidR="00A56E08">
        <w:rPr>
          <w:shd w:val="clear" w:color="auto" w:fill="FFFFFF"/>
        </w:rPr>
        <w:t>од</w:t>
      </w:r>
      <w:r w:rsidRPr="00F6340E">
        <w:rPr>
          <w:shd w:val="clear" w:color="auto" w:fill="FFFFFF"/>
        </w:rPr>
        <w:t xml:space="preserve"> </w:t>
      </w:r>
      <w:r w:rsidR="00A56E08">
        <w:rPr>
          <w:shd w:val="clear" w:color="auto" w:fill="FFFFFF"/>
        </w:rPr>
        <w:t>њих</w:t>
      </w:r>
      <w:r w:rsidRPr="00F6340E">
        <w:rPr>
          <w:shd w:val="clear" w:color="auto" w:fill="FFFFFF"/>
        </w:rPr>
        <w:t xml:space="preserve"> </w:t>
      </w:r>
      <w:r w:rsidR="0071360A">
        <w:rPr>
          <w:shd w:val="clear" w:color="auto" w:fill="FFFFFF"/>
        </w:rPr>
        <w:t>су</w:t>
      </w:r>
      <w:r w:rsidRPr="00F6340E">
        <w:rPr>
          <w:shd w:val="clear" w:color="auto" w:fill="FFFFFF"/>
        </w:rPr>
        <w:t xml:space="preserve"> </w:t>
      </w:r>
      <w:r w:rsidR="0071360A">
        <w:rPr>
          <w:shd w:val="clear" w:color="auto" w:fill="FFFFFF"/>
        </w:rPr>
        <w:t>Ст</w:t>
      </w:r>
      <w:r w:rsidR="00A56E08">
        <w:rPr>
          <w:shd w:val="clear" w:color="auto" w:fill="FFFFFF"/>
        </w:rPr>
        <w:t>анда</w:t>
      </w:r>
      <w:r w:rsidR="0071360A">
        <w:rPr>
          <w:shd w:val="clear" w:color="auto" w:fill="FFFFFF"/>
        </w:rPr>
        <w:t>р</w:t>
      </w:r>
      <w:r w:rsidR="00A56E08">
        <w:rPr>
          <w:shd w:val="clear" w:color="auto" w:fill="FFFFFF"/>
        </w:rPr>
        <w:t>ди</w:t>
      </w:r>
      <w:r w:rsidRPr="00F6340E">
        <w:rPr>
          <w:shd w:val="clear" w:color="auto" w:fill="FFFFFF"/>
        </w:rPr>
        <w:t xml:space="preserve"> </w:t>
      </w:r>
      <w:r w:rsidR="00A56E08">
        <w:rPr>
          <w:shd w:val="clear" w:color="auto" w:fill="FFFFFF"/>
        </w:rPr>
        <w:t>и</w:t>
      </w:r>
      <w:r w:rsidRPr="00F6340E">
        <w:rPr>
          <w:shd w:val="clear" w:color="auto" w:fill="FFFFFF"/>
        </w:rPr>
        <w:t xml:space="preserve"> </w:t>
      </w:r>
      <w:r w:rsidR="0071360A">
        <w:rPr>
          <w:shd w:val="clear" w:color="auto" w:fill="FFFFFF"/>
        </w:rPr>
        <w:t>с</w:t>
      </w:r>
      <w:r w:rsidR="00A56E08">
        <w:rPr>
          <w:shd w:val="clear" w:color="auto" w:fill="FFFFFF"/>
        </w:rPr>
        <w:t>мј</w:t>
      </w:r>
      <w:r w:rsidR="00EE6AA2">
        <w:rPr>
          <w:shd w:val="clear" w:color="auto" w:fill="FFFFFF"/>
        </w:rPr>
        <w:t>е</w:t>
      </w:r>
      <w:r w:rsidR="0071360A">
        <w:rPr>
          <w:shd w:val="clear" w:color="auto" w:fill="FFFFFF"/>
        </w:rPr>
        <w:t>р</w:t>
      </w:r>
      <w:r w:rsidR="00A56E08">
        <w:rPr>
          <w:shd w:val="clear" w:color="auto" w:fill="FFFFFF"/>
        </w:rPr>
        <w:t>ниц</w:t>
      </w:r>
      <w:r w:rsidR="00EE6AA2">
        <w:rPr>
          <w:shd w:val="clear" w:color="auto" w:fill="FFFFFF"/>
        </w:rPr>
        <w:t>е</w:t>
      </w:r>
      <w:r w:rsidRPr="00F6340E">
        <w:rPr>
          <w:shd w:val="clear" w:color="auto" w:fill="FFFFFF"/>
        </w:rPr>
        <w:t xml:space="preserve"> </w:t>
      </w:r>
      <w:r w:rsidR="00171F00">
        <w:rPr>
          <w:shd w:val="clear" w:color="auto" w:fill="FFFFFF"/>
        </w:rPr>
        <w:t>з</w:t>
      </w:r>
      <w:r w:rsidR="00A56E08">
        <w:rPr>
          <w:shd w:val="clear" w:color="auto" w:fill="FFFFFF"/>
        </w:rPr>
        <w:t>а</w:t>
      </w:r>
      <w:r w:rsidRPr="00F6340E">
        <w:rPr>
          <w:shd w:val="clear" w:color="auto" w:fill="FFFFFF"/>
        </w:rPr>
        <w:t xml:space="preserve"> </w:t>
      </w:r>
      <w:r w:rsidR="00A56E08">
        <w:rPr>
          <w:shd w:val="clear" w:color="auto" w:fill="FFFFFF"/>
        </w:rPr>
        <w:t>о</w:t>
      </w:r>
      <w:r w:rsidR="0071360A">
        <w:rPr>
          <w:shd w:val="clear" w:color="auto" w:fill="FFFFFF"/>
        </w:rPr>
        <w:t>с</w:t>
      </w:r>
      <w:r w:rsidR="00A56E08">
        <w:rPr>
          <w:shd w:val="clear" w:color="auto" w:fill="FFFFFF"/>
        </w:rPr>
        <w:t>иг</w:t>
      </w:r>
      <w:r w:rsidR="0071360A">
        <w:rPr>
          <w:shd w:val="clear" w:color="auto" w:fill="FFFFFF"/>
        </w:rPr>
        <w:t>ур</w:t>
      </w:r>
      <w:r w:rsidR="00A56E08">
        <w:rPr>
          <w:shd w:val="clear" w:color="auto" w:fill="FFFFFF"/>
        </w:rPr>
        <w:t>ањ</w:t>
      </w:r>
      <w:r w:rsidR="00EE6AA2">
        <w:rPr>
          <w:shd w:val="clear" w:color="auto" w:fill="FFFFFF"/>
        </w:rPr>
        <w:t>е</w:t>
      </w:r>
      <w:r w:rsidRPr="00F6340E">
        <w:rPr>
          <w:shd w:val="clear" w:color="auto" w:fill="FFFFFF"/>
        </w:rPr>
        <w:t xml:space="preserve"> </w:t>
      </w:r>
      <w:r w:rsidR="00A56E08">
        <w:rPr>
          <w:shd w:val="clear" w:color="auto" w:fill="FFFFFF"/>
        </w:rPr>
        <w:t>к</w:t>
      </w:r>
      <w:r w:rsidR="0071360A">
        <w:rPr>
          <w:shd w:val="clear" w:color="auto" w:fill="FFFFFF"/>
        </w:rPr>
        <w:t>в</w:t>
      </w:r>
      <w:r w:rsidR="00A56E08">
        <w:rPr>
          <w:shd w:val="clear" w:color="auto" w:fill="FFFFFF"/>
        </w:rPr>
        <w:t>али</w:t>
      </w:r>
      <w:r w:rsidR="0071360A">
        <w:rPr>
          <w:shd w:val="clear" w:color="auto" w:fill="FFFFFF"/>
        </w:rPr>
        <w:t>т</w:t>
      </w:r>
      <w:r w:rsidR="00EE6AA2">
        <w:rPr>
          <w:shd w:val="clear" w:color="auto" w:fill="FFFFFF"/>
        </w:rPr>
        <w:t>е</w:t>
      </w:r>
      <w:r w:rsidR="0071360A">
        <w:rPr>
          <w:shd w:val="clear" w:color="auto" w:fill="FFFFFF"/>
        </w:rPr>
        <w:t>т</w:t>
      </w:r>
      <w:r w:rsidR="00EE6AA2">
        <w:rPr>
          <w:shd w:val="clear" w:color="auto" w:fill="FFFFFF"/>
        </w:rPr>
        <w:t>е</w:t>
      </w:r>
      <w:r w:rsidRPr="00F6340E">
        <w:rPr>
          <w:shd w:val="clear" w:color="auto" w:fill="FFFFFF"/>
        </w:rPr>
        <w:t xml:space="preserve"> </w:t>
      </w:r>
      <w:r w:rsidR="0071360A">
        <w:rPr>
          <w:shd w:val="clear" w:color="auto" w:fill="FFFFFF"/>
        </w:rPr>
        <w:t>в</w:t>
      </w:r>
      <w:r w:rsidR="00A56E08">
        <w:rPr>
          <w:shd w:val="clear" w:color="auto" w:fill="FFFFFF"/>
        </w:rPr>
        <w:t>и</w:t>
      </w:r>
      <w:r w:rsidR="0071360A">
        <w:rPr>
          <w:shd w:val="clear" w:color="auto" w:fill="FFFFFF"/>
        </w:rPr>
        <w:t>с</w:t>
      </w:r>
      <w:r w:rsidR="00A56E08">
        <w:rPr>
          <w:shd w:val="clear" w:color="auto" w:fill="FFFFFF"/>
        </w:rPr>
        <w:t>оком</w:t>
      </w:r>
      <w:r w:rsidRPr="00F6340E">
        <w:rPr>
          <w:shd w:val="clear" w:color="auto" w:fill="FFFFFF"/>
        </w:rPr>
        <w:t xml:space="preserve"> </w:t>
      </w:r>
      <w:r w:rsidR="00A56E08">
        <w:rPr>
          <w:shd w:val="clear" w:color="auto" w:fill="FFFFFF"/>
        </w:rPr>
        <w:t>об</w:t>
      </w:r>
      <w:r w:rsidR="0071360A">
        <w:rPr>
          <w:shd w:val="clear" w:color="auto" w:fill="FFFFFF"/>
        </w:rPr>
        <w:t>р</w:t>
      </w:r>
      <w:r w:rsidR="00A56E08">
        <w:rPr>
          <w:shd w:val="clear" w:color="auto" w:fill="FFFFFF"/>
        </w:rPr>
        <w:t>а</w:t>
      </w:r>
      <w:r w:rsidR="00171F00">
        <w:rPr>
          <w:shd w:val="clear" w:color="auto" w:fill="FFFFFF"/>
        </w:rPr>
        <w:t>з</w:t>
      </w:r>
      <w:r w:rsidR="00A56E08">
        <w:rPr>
          <w:shd w:val="clear" w:color="auto" w:fill="FFFFFF"/>
        </w:rPr>
        <w:t>о</w:t>
      </w:r>
      <w:r w:rsidR="0071360A">
        <w:rPr>
          <w:shd w:val="clear" w:color="auto" w:fill="FFFFFF"/>
        </w:rPr>
        <w:t>в</w:t>
      </w:r>
      <w:r w:rsidR="00A56E08">
        <w:rPr>
          <w:shd w:val="clear" w:color="auto" w:fill="FFFFFF"/>
        </w:rPr>
        <w:t>ањ</w:t>
      </w:r>
      <w:r w:rsidR="0071360A">
        <w:rPr>
          <w:shd w:val="clear" w:color="auto" w:fill="FFFFFF"/>
        </w:rPr>
        <w:t>у</w:t>
      </w:r>
      <w:r w:rsidRPr="00F6340E">
        <w:rPr>
          <w:shd w:val="clear" w:color="auto" w:fill="FFFFFF"/>
        </w:rPr>
        <w:t xml:space="preserve"> </w:t>
      </w:r>
      <w:r w:rsidR="0071360A">
        <w:rPr>
          <w:shd w:val="clear" w:color="auto" w:fill="FFFFFF"/>
        </w:rPr>
        <w:t>у</w:t>
      </w:r>
      <w:r w:rsidRPr="00F6340E">
        <w:rPr>
          <w:shd w:val="clear" w:color="auto" w:fill="FFFFFF"/>
        </w:rPr>
        <w:t xml:space="preserve"> </w:t>
      </w:r>
      <w:r w:rsidR="00A56E08">
        <w:rPr>
          <w:shd w:val="clear" w:color="auto" w:fill="FFFFFF"/>
        </w:rPr>
        <w:t>Бо</w:t>
      </w:r>
      <w:r w:rsidR="0071360A">
        <w:rPr>
          <w:shd w:val="clear" w:color="auto" w:fill="FFFFFF"/>
        </w:rPr>
        <w:t>с</w:t>
      </w:r>
      <w:r w:rsidR="00A56E08">
        <w:rPr>
          <w:shd w:val="clear" w:color="auto" w:fill="FFFFFF"/>
        </w:rPr>
        <w:t>ни</w:t>
      </w:r>
      <w:r w:rsidRPr="00F6340E">
        <w:rPr>
          <w:shd w:val="clear" w:color="auto" w:fill="FFFFFF"/>
        </w:rPr>
        <w:t xml:space="preserve"> </w:t>
      </w:r>
      <w:r w:rsidR="00A56E08">
        <w:rPr>
          <w:shd w:val="clear" w:color="auto" w:fill="FFFFFF"/>
        </w:rPr>
        <w:t>и</w:t>
      </w:r>
      <w:r w:rsidRPr="00F6340E">
        <w:rPr>
          <w:shd w:val="clear" w:color="auto" w:fill="FFFFFF"/>
        </w:rPr>
        <w:t xml:space="preserve"> </w:t>
      </w:r>
      <w:r w:rsidR="00A56E08">
        <w:rPr>
          <w:shd w:val="clear" w:color="auto" w:fill="FFFFFF"/>
        </w:rPr>
        <w:t>Х</w:t>
      </w:r>
      <w:r w:rsidR="00EE6AA2">
        <w:rPr>
          <w:shd w:val="clear" w:color="auto" w:fill="FFFFFF"/>
        </w:rPr>
        <w:t>е</w:t>
      </w:r>
      <w:r w:rsidR="0071360A">
        <w:rPr>
          <w:shd w:val="clear" w:color="auto" w:fill="FFFFFF"/>
        </w:rPr>
        <w:t>р</w:t>
      </w:r>
      <w:r w:rsidR="00A56E08">
        <w:rPr>
          <w:shd w:val="clear" w:color="auto" w:fill="FFFFFF"/>
        </w:rPr>
        <w:t>ц</w:t>
      </w:r>
      <w:r w:rsidR="00EE6AA2">
        <w:rPr>
          <w:shd w:val="clear" w:color="auto" w:fill="FFFFFF"/>
        </w:rPr>
        <w:t>е</w:t>
      </w:r>
      <w:r w:rsidR="00A56E08">
        <w:rPr>
          <w:shd w:val="clear" w:color="auto" w:fill="FFFFFF"/>
        </w:rPr>
        <w:t>го</w:t>
      </w:r>
      <w:r w:rsidR="0071360A">
        <w:rPr>
          <w:shd w:val="clear" w:color="auto" w:fill="FFFFFF"/>
        </w:rPr>
        <w:t>в</w:t>
      </w:r>
      <w:r w:rsidR="00A56E08">
        <w:rPr>
          <w:shd w:val="clear" w:color="auto" w:fill="FFFFFF"/>
        </w:rPr>
        <w:t>ини</w:t>
      </w:r>
      <w:r w:rsidRPr="00F6340E">
        <w:rPr>
          <w:shd w:val="clear" w:color="auto" w:fill="FFFFFF"/>
        </w:rPr>
        <w:t xml:space="preserve"> (2007)</w:t>
      </w:r>
      <w:r w:rsidRPr="00F6340E">
        <w:rPr>
          <w:rStyle w:val="FootnoteReference"/>
          <w:rFonts w:cs="Arial"/>
          <w:bCs/>
          <w:shd w:val="clear" w:color="auto" w:fill="FFFFFF"/>
        </w:rPr>
        <w:footnoteReference w:id="22"/>
      </w:r>
      <w:r w:rsidRPr="00F6340E">
        <w:rPr>
          <w:shd w:val="clear" w:color="auto" w:fill="FFFFFF"/>
        </w:rPr>
        <w:t xml:space="preserve"> </w:t>
      </w:r>
      <w:r w:rsidR="0071360A">
        <w:rPr>
          <w:shd w:val="clear" w:color="auto" w:fill="FFFFFF"/>
        </w:rPr>
        <w:t>т</w:t>
      </w:r>
      <w:r w:rsidR="00EE6AA2">
        <w:rPr>
          <w:shd w:val="clear" w:color="auto" w:fill="FFFFFF"/>
        </w:rPr>
        <w:t>е</w:t>
      </w:r>
      <w:r w:rsidR="00A56E08">
        <w:rPr>
          <w:shd w:val="clear" w:color="auto" w:fill="FFFFFF"/>
        </w:rPr>
        <w:t>м</w:t>
      </w:r>
      <w:r w:rsidR="00EE6AA2">
        <w:rPr>
          <w:shd w:val="clear" w:color="auto" w:fill="FFFFFF"/>
        </w:rPr>
        <w:t>е</w:t>
      </w:r>
      <w:r w:rsidR="00A56E08">
        <w:rPr>
          <w:shd w:val="clear" w:color="auto" w:fill="FFFFFF"/>
        </w:rPr>
        <w:t>љ</w:t>
      </w:r>
      <w:r w:rsidR="00EE6AA2">
        <w:rPr>
          <w:shd w:val="clear" w:color="auto" w:fill="FFFFFF"/>
        </w:rPr>
        <w:t>е</w:t>
      </w:r>
      <w:r w:rsidR="00A56E08">
        <w:rPr>
          <w:shd w:val="clear" w:color="auto" w:fill="FFFFFF"/>
        </w:rPr>
        <w:t>н</w:t>
      </w:r>
      <w:r w:rsidRPr="00F6340E">
        <w:rPr>
          <w:shd w:val="clear" w:color="auto" w:fill="FFFFFF"/>
        </w:rPr>
        <w:t xml:space="preserve"> </w:t>
      </w:r>
      <w:r w:rsidR="00A56E08">
        <w:rPr>
          <w:shd w:val="clear" w:color="auto" w:fill="FFFFFF"/>
        </w:rPr>
        <w:t>на</w:t>
      </w:r>
      <w:r w:rsidRPr="00F6340E">
        <w:rPr>
          <w:shd w:val="clear" w:color="auto" w:fill="FFFFFF"/>
        </w:rPr>
        <w:t xml:space="preserve"> </w:t>
      </w:r>
      <w:r w:rsidR="0071360A">
        <w:rPr>
          <w:shd w:val="clear" w:color="auto" w:fill="FFFFFF"/>
        </w:rPr>
        <w:t>усв</w:t>
      </w:r>
      <w:r w:rsidR="00A56E08">
        <w:rPr>
          <w:shd w:val="clear" w:color="auto" w:fill="FFFFFF"/>
        </w:rPr>
        <w:t>ајањ</w:t>
      </w:r>
      <w:r w:rsidR="0071360A">
        <w:rPr>
          <w:shd w:val="clear" w:color="auto" w:fill="FFFFFF"/>
        </w:rPr>
        <w:t>у</w:t>
      </w:r>
      <w:r w:rsidRPr="00F6340E">
        <w:rPr>
          <w:shd w:val="clear" w:color="auto" w:fill="FFFFFF"/>
        </w:rPr>
        <w:t xml:space="preserve"> </w:t>
      </w:r>
      <w:r w:rsidR="00EE6AA2">
        <w:t>Е</w:t>
      </w:r>
      <w:r w:rsidR="0071360A">
        <w:t>вр</w:t>
      </w:r>
      <w:r w:rsidR="00A56E08">
        <w:t>о</w:t>
      </w:r>
      <w:r w:rsidR="0071360A">
        <w:t>пс</w:t>
      </w:r>
      <w:r w:rsidR="00A56E08">
        <w:t>ких</w:t>
      </w:r>
      <w:r w:rsidRPr="00F6340E">
        <w:t xml:space="preserve"> </w:t>
      </w:r>
      <w:r w:rsidR="0071360A">
        <w:t>ст</w:t>
      </w:r>
      <w:r w:rsidR="00A56E08">
        <w:t>анда</w:t>
      </w:r>
      <w:r w:rsidR="0071360A">
        <w:t>р</w:t>
      </w:r>
      <w:r w:rsidR="00A56E08">
        <w:t>да</w:t>
      </w:r>
      <w:r w:rsidRPr="00F6340E">
        <w:t xml:space="preserve"> </w:t>
      </w:r>
      <w:r w:rsidR="00A56E08">
        <w:t>и</w:t>
      </w:r>
      <w:r w:rsidRPr="00F6340E">
        <w:t xml:space="preserve"> </w:t>
      </w:r>
      <w:r w:rsidR="0071360A">
        <w:t>с</w:t>
      </w:r>
      <w:r w:rsidR="00A56E08">
        <w:t>мј</w:t>
      </w:r>
      <w:r w:rsidR="00EE6AA2">
        <w:t>е</w:t>
      </w:r>
      <w:r w:rsidR="0071360A">
        <w:t>р</w:t>
      </w:r>
      <w:r w:rsidR="00A56E08">
        <w:t>ница</w:t>
      </w:r>
      <w:r w:rsidRPr="00F6340E">
        <w:t xml:space="preserve"> </w:t>
      </w:r>
      <w:r w:rsidR="00171F00">
        <w:t>з</w:t>
      </w:r>
      <w:r w:rsidR="00A56E08">
        <w:t>а</w:t>
      </w:r>
      <w:r w:rsidRPr="00F6340E">
        <w:t xml:space="preserve"> </w:t>
      </w:r>
      <w:r w:rsidR="00A56E08">
        <w:t>о</w:t>
      </w:r>
      <w:r w:rsidR="0071360A">
        <w:t>с</w:t>
      </w:r>
      <w:r w:rsidR="00A56E08">
        <w:t>иг</w:t>
      </w:r>
      <w:r w:rsidR="0071360A">
        <w:t>ур</w:t>
      </w:r>
      <w:r w:rsidR="00A56E08">
        <w:t>ањ</w:t>
      </w:r>
      <w:r w:rsidR="00EE6AA2">
        <w:t>е</w:t>
      </w:r>
      <w:r w:rsidRPr="00F6340E">
        <w:t xml:space="preserve"> </w:t>
      </w:r>
      <w:r w:rsidR="00A56E08">
        <w:t>к</w:t>
      </w:r>
      <w:r w:rsidR="0071360A">
        <w:t>в</w:t>
      </w:r>
      <w:r w:rsidR="00A56E08">
        <w:t>али</w:t>
      </w:r>
      <w:r w:rsidR="0071360A">
        <w:t>т</w:t>
      </w:r>
      <w:r w:rsidR="00EE6AA2">
        <w:t>е</w:t>
      </w:r>
      <w:r w:rsidR="0071360A">
        <w:t>т</w:t>
      </w:r>
      <w:r w:rsidR="00EE6AA2">
        <w:t>е</w:t>
      </w:r>
      <w:r w:rsidRPr="00F6340E">
        <w:t xml:space="preserve"> (</w:t>
      </w:r>
      <w:r w:rsidR="00EE6AA2">
        <w:t>Е</w:t>
      </w:r>
      <w:r w:rsidR="0071360A">
        <w:t>С</w:t>
      </w:r>
      <w:r w:rsidR="00A56E08">
        <w:t>Г</w:t>
      </w:r>
      <w:r w:rsidRPr="00F6340E">
        <w:t xml:space="preserve">) </w:t>
      </w:r>
      <w:r w:rsidR="00A56E08">
        <w:t>од</w:t>
      </w:r>
      <w:r w:rsidRPr="00F6340E">
        <w:t xml:space="preserve"> </w:t>
      </w:r>
      <w:r w:rsidR="0071360A">
        <w:t>стр</w:t>
      </w:r>
      <w:r w:rsidR="00A56E08">
        <w:t>ан</w:t>
      </w:r>
      <w:r w:rsidR="00EE6AA2">
        <w:t>е</w:t>
      </w:r>
      <w:r w:rsidRPr="00F6340E">
        <w:t xml:space="preserve"> </w:t>
      </w:r>
      <w:r w:rsidR="0071360A">
        <w:t>св</w:t>
      </w:r>
      <w:r w:rsidR="00A56E08">
        <w:t>их</w:t>
      </w:r>
      <w:r w:rsidRPr="00F6340E">
        <w:t xml:space="preserve"> </w:t>
      </w:r>
      <w:r w:rsidR="00171F00">
        <w:t>з</w:t>
      </w:r>
      <w:r w:rsidR="00EE6AA2">
        <w:t>е</w:t>
      </w:r>
      <w:r w:rsidR="00A56E08">
        <w:t>маља</w:t>
      </w:r>
      <w:r w:rsidRPr="00F6340E">
        <w:t xml:space="preserve"> </w:t>
      </w:r>
      <w:r w:rsidR="0071360A">
        <w:t>у</w:t>
      </w:r>
      <w:r w:rsidR="00A56E08">
        <w:t>кљ</w:t>
      </w:r>
      <w:r w:rsidR="0071360A">
        <w:t>у</w:t>
      </w:r>
      <w:r w:rsidR="00A56E08">
        <w:t>ч</w:t>
      </w:r>
      <w:r w:rsidR="00EE6AA2">
        <w:t>е</w:t>
      </w:r>
      <w:r w:rsidR="00A56E08">
        <w:t>них</w:t>
      </w:r>
      <w:r w:rsidRPr="00F6340E">
        <w:t xml:space="preserve"> </w:t>
      </w:r>
      <w:r w:rsidR="0071360A">
        <w:t>у</w:t>
      </w:r>
      <w:r w:rsidRPr="00F6340E">
        <w:t xml:space="preserve"> </w:t>
      </w:r>
      <w:r w:rsidR="00A56E08">
        <w:t>Болоњ</w:t>
      </w:r>
      <w:r w:rsidR="0071360A">
        <w:t>с</w:t>
      </w:r>
      <w:r w:rsidR="00A56E08">
        <w:t>ки</w:t>
      </w:r>
      <w:r w:rsidRPr="00F6340E">
        <w:t xml:space="preserve"> </w:t>
      </w:r>
      <w:r w:rsidR="0071360A">
        <w:t>пр</w:t>
      </w:r>
      <w:r w:rsidR="00A56E08">
        <w:t>оц</w:t>
      </w:r>
      <w:r w:rsidR="00EE6AA2">
        <w:t>е</w:t>
      </w:r>
      <w:r w:rsidR="0071360A">
        <w:t>с</w:t>
      </w:r>
      <w:r w:rsidRPr="00F6340E">
        <w:t xml:space="preserve">, </w:t>
      </w:r>
      <w:r w:rsidR="00A56E08">
        <w:t>а</w:t>
      </w:r>
      <w:r w:rsidRPr="00F6340E">
        <w:t xml:space="preserve"> </w:t>
      </w:r>
      <w:r w:rsidR="0071360A">
        <w:t>п</w:t>
      </w:r>
      <w:r w:rsidR="00A56E08">
        <w:t>ок</w:t>
      </w:r>
      <w:r w:rsidR="0071360A">
        <w:t>р</w:t>
      </w:r>
      <w:r w:rsidR="00A56E08">
        <w:t>и</w:t>
      </w:r>
      <w:r w:rsidR="0071360A">
        <w:t>в</w:t>
      </w:r>
      <w:r w:rsidR="00A56E08">
        <w:t>а</w:t>
      </w:r>
      <w:r w:rsidRPr="00F6340E">
        <w:t xml:space="preserve"> </w:t>
      </w:r>
      <w:r w:rsidR="0071360A">
        <w:t>тр</w:t>
      </w:r>
      <w:r w:rsidR="00A56E08">
        <w:t>и</w:t>
      </w:r>
      <w:r w:rsidRPr="00F6340E">
        <w:t xml:space="preserve"> </w:t>
      </w:r>
      <w:r w:rsidR="00A56E08">
        <w:t>гла</w:t>
      </w:r>
      <w:r w:rsidR="0071360A">
        <w:t>в</w:t>
      </w:r>
      <w:r w:rsidR="00A56E08">
        <w:t>н</w:t>
      </w:r>
      <w:r w:rsidR="00EE6AA2">
        <w:t>е</w:t>
      </w:r>
      <w:r w:rsidRPr="00F6340E">
        <w:t xml:space="preserve"> </w:t>
      </w:r>
      <w:r w:rsidR="00A56E08">
        <w:t>обла</w:t>
      </w:r>
      <w:r w:rsidR="0071360A">
        <w:t>ст</w:t>
      </w:r>
      <w:r w:rsidR="00A56E08">
        <w:t>и</w:t>
      </w:r>
      <w:r w:rsidRPr="00F6340E">
        <w:t xml:space="preserve">: </w:t>
      </w:r>
    </w:p>
    <w:p w14:paraId="61036F2D" w14:textId="623B22E6" w:rsidR="004D1E15" w:rsidRPr="00F6340E" w:rsidRDefault="0071360A" w:rsidP="00115925">
      <w:pPr>
        <w:pStyle w:val="Bulletlist"/>
        <w:rPr>
          <w:bCs/>
          <w:shd w:val="clear" w:color="auto" w:fill="FFFFFF"/>
        </w:rPr>
      </w:pPr>
      <w:r>
        <w:t>У</w:t>
      </w:r>
      <w:r w:rsidR="00A56E08">
        <w:t>н</w:t>
      </w:r>
      <w:r>
        <w:t>утр</w:t>
      </w:r>
      <w:r w:rsidR="00A56E08">
        <w:t>а</w:t>
      </w:r>
      <w:r>
        <w:t>ш</w:t>
      </w:r>
      <w:r w:rsidR="00A56E08">
        <w:t>њ</w:t>
      </w:r>
      <w:r w:rsidR="00EE6AA2">
        <w:t>е</w:t>
      </w:r>
      <w:r w:rsidR="004D1E15" w:rsidRPr="00F6340E">
        <w:t xml:space="preserve"> </w:t>
      </w:r>
      <w:r w:rsidR="00A56E08">
        <w:t>о</w:t>
      </w:r>
      <w:r>
        <w:t>с</w:t>
      </w:r>
      <w:r w:rsidR="00A56E08">
        <w:t>иг</w:t>
      </w:r>
      <w:r>
        <w:t>ур</w:t>
      </w:r>
      <w:r w:rsidR="00A56E08">
        <w:t>ањ</w:t>
      </w:r>
      <w:r w:rsidR="00EE6AA2">
        <w:t>е</w:t>
      </w:r>
      <w:r w:rsidR="004D1E15" w:rsidRPr="00F6340E">
        <w:t xml:space="preserve"> </w:t>
      </w:r>
      <w:r w:rsidR="00A56E08">
        <w:t>к</w:t>
      </w:r>
      <w:r>
        <w:t>в</w:t>
      </w:r>
      <w:r w:rsidR="00A56E08">
        <w:t>али</w:t>
      </w:r>
      <w:r>
        <w:t>т</w:t>
      </w:r>
      <w:r w:rsidR="00EE6AA2">
        <w:t>е</w:t>
      </w:r>
      <w:r>
        <w:t>т</w:t>
      </w:r>
      <w:r w:rsidR="00EE6AA2">
        <w:t>е</w:t>
      </w:r>
      <w:r w:rsidR="004D1E15" w:rsidRPr="00F6340E">
        <w:t xml:space="preserve"> </w:t>
      </w:r>
      <w:r>
        <w:t>устр</w:t>
      </w:r>
      <w:r w:rsidR="00A56E08">
        <w:t>ој</w:t>
      </w:r>
      <w:r w:rsidR="00EE6AA2">
        <w:t>е</w:t>
      </w:r>
      <w:r w:rsidR="00A56E08">
        <w:t>но</w:t>
      </w:r>
      <w:r w:rsidR="004D1E15" w:rsidRPr="00F6340E">
        <w:t xml:space="preserve"> </w:t>
      </w:r>
      <w:r>
        <w:t>у</w:t>
      </w:r>
      <w:r w:rsidR="00A56E08">
        <w:t>н</w:t>
      </w:r>
      <w:r>
        <w:t>ут</w:t>
      </w:r>
      <w:r w:rsidR="00A56E08">
        <w:t>а</w:t>
      </w:r>
      <w:r>
        <w:t>р</w:t>
      </w:r>
      <w:r w:rsidR="004D1E15" w:rsidRPr="00F6340E">
        <w:t xml:space="preserve"> </w:t>
      </w:r>
      <w:r w:rsidR="00A56E08">
        <w:t>ин</w:t>
      </w:r>
      <w:r>
        <w:t>ст</w:t>
      </w:r>
      <w:r w:rsidR="00A56E08">
        <w:t>и</w:t>
      </w:r>
      <w:r>
        <w:t>ту</w:t>
      </w:r>
      <w:r w:rsidR="00A56E08">
        <w:t>ција</w:t>
      </w:r>
      <w:r w:rsidR="004D1E15" w:rsidRPr="00F6340E">
        <w:t xml:space="preserve"> </w:t>
      </w:r>
      <w:r>
        <w:t>в</w:t>
      </w:r>
      <w:r w:rsidR="00A56E08">
        <w:t>и</w:t>
      </w:r>
      <w:r>
        <w:t>с</w:t>
      </w:r>
      <w:r w:rsidR="00A56E08">
        <w:t>оког</w:t>
      </w:r>
      <w:r w:rsidR="004D1E15" w:rsidRPr="00F6340E">
        <w:t xml:space="preserve"> </w:t>
      </w:r>
      <w:r w:rsidR="00A56E08">
        <w:t>об</w:t>
      </w:r>
      <w:r>
        <w:t>р</w:t>
      </w:r>
      <w:r w:rsidR="00A56E08">
        <w:t>а</w:t>
      </w:r>
      <w:r w:rsidR="00171F00">
        <w:t>з</w:t>
      </w:r>
      <w:r w:rsidR="00A56E08">
        <w:t>о</w:t>
      </w:r>
      <w:r>
        <w:t>в</w:t>
      </w:r>
      <w:r w:rsidR="00A56E08">
        <w:t>ања</w:t>
      </w:r>
      <w:r w:rsidR="004D1E15" w:rsidRPr="00F6340E">
        <w:t xml:space="preserve">, </w:t>
      </w:r>
      <w:r w:rsidR="00A56E08">
        <w:t>а</w:t>
      </w:r>
      <w:r w:rsidR="004D1E15" w:rsidRPr="00F6340E">
        <w:t xml:space="preserve"> </w:t>
      </w:r>
      <w:r w:rsidR="00A56E08">
        <w:t>кој</w:t>
      </w:r>
      <w:r w:rsidR="00EE6AA2">
        <w:t>е</w:t>
      </w:r>
      <w:r w:rsidR="004D1E15" w:rsidRPr="00F6340E">
        <w:t xml:space="preserve"> </w:t>
      </w:r>
      <w:r>
        <w:t>с</w:t>
      </w:r>
      <w:r w:rsidR="00EE6AA2">
        <w:t>е</w:t>
      </w:r>
      <w:r w:rsidR="004D1E15" w:rsidRPr="00F6340E">
        <w:t xml:space="preserve"> </w:t>
      </w:r>
      <w:r w:rsidR="00A56E08">
        <w:t>одно</w:t>
      </w:r>
      <w:r>
        <w:t>с</w:t>
      </w:r>
      <w:r w:rsidR="00A56E08">
        <w:t>и</w:t>
      </w:r>
      <w:r w:rsidR="004D1E15" w:rsidRPr="00F6340E">
        <w:t xml:space="preserve"> </w:t>
      </w:r>
      <w:r w:rsidR="00A56E08">
        <w:t>на</w:t>
      </w:r>
      <w:r w:rsidR="004D1E15" w:rsidRPr="00F6340E">
        <w:t xml:space="preserve"> </w:t>
      </w:r>
      <w:r w:rsidR="00A56E08">
        <w:t>и</w:t>
      </w:r>
      <w:r w:rsidR="00171F00">
        <w:t>з</w:t>
      </w:r>
      <w:r>
        <w:t>р</w:t>
      </w:r>
      <w:r w:rsidR="00A56E08">
        <w:t>ад</w:t>
      </w:r>
      <w:r>
        <w:t>у</w:t>
      </w:r>
      <w:r w:rsidR="004D1E15" w:rsidRPr="00F6340E">
        <w:t xml:space="preserve">, </w:t>
      </w:r>
      <w:r>
        <w:t>пр</w:t>
      </w:r>
      <w:r w:rsidR="00A56E08">
        <w:t>имј</w:t>
      </w:r>
      <w:r w:rsidR="00EE6AA2">
        <w:t>е</w:t>
      </w:r>
      <w:r w:rsidR="00A56E08">
        <w:t>н</w:t>
      </w:r>
      <w:r>
        <w:t>у</w:t>
      </w:r>
      <w:r w:rsidR="004D1E15" w:rsidRPr="00F6340E">
        <w:t xml:space="preserve"> </w:t>
      </w:r>
      <w:r w:rsidR="00A56E08">
        <w:t>и</w:t>
      </w:r>
      <w:r w:rsidR="004D1E15" w:rsidRPr="00F6340E">
        <w:t xml:space="preserve"> </w:t>
      </w:r>
      <w:r>
        <w:t>пр</w:t>
      </w:r>
      <w:r w:rsidR="00A56E08">
        <w:t>а</w:t>
      </w:r>
      <w:r w:rsidR="000010C5">
        <w:t>ћ</w:t>
      </w:r>
      <w:r w:rsidR="00EE6AA2">
        <w:t>е</w:t>
      </w:r>
      <w:r w:rsidR="00A56E08">
        <w:t>њ</w:t>
      </w:r>
      <w:r w:rsidR="00EE6AA2">
        <w:t>е</w:t>
      </w:r>
      <w:r w:rsidR="004D1E15" w:rsidRPr="00F6340E">
        <w:t xml:space="preserve"> </w:t>
      </w:r>
      <w:r>
        <w:t>пр</w:t>
      </w:r>
      <w:r w:rsidR="00A56E08">
        <w:t>оц</w:t>
      </w:r>
      <w:r w:rsidR="00EE6AA2">
        <w:t>е</w:t>
      </w:r>
      <w:r>
        <w:t>с</w:t>
      </w:r>
      <w:r w:rsidR="00A56E08">
        <w:t>а</w:t>
      </w:r>
      <w:r w:rsidR="004D1E15" w:rsidRPr="00F6340E">
        <w:t xml:space="preserve"> </w:t>
      </w:r>
      <w:r w:rsidR="00A56E08">
        <w:t>и</w:t>
      </w:r>
      <w:r w:rsidR="004D1E15" w:rsidRPr="00F6340E">
        <w:t xml:space="preserve"> </w:t>
      </w:r>
      <w:r>
        <w:t>стру</w:t>
      </w:r>
      <w:r w:rsidR="00A56E08">
        <w:t>к</w:t>
      </w:r>
      <w:r>
        <w:t>тур</w:t>
      </w:r>
      <w:r w:rsidR="00A56E08">
        <w:t>а</w:t>
      </w:r>
      <w:r w:rsidR="004D1E15" w:rsidRPr="00F6340E">
        <w:t xml:space="preserve"> </w:t>
      </w:r>
      <w:r w:rsidR="00A56E08">
        <w:t>о</w:t>
      </w:r>
      <w:r>
        <w:t>с</w:t>
      </w:r>
      <w:r w:rsidR="00A56E08">
        <w:t>иг</w:t>
      </w:r>
      <w:r>
        <w:t>ур</w:t>
      </w:r>
      <w:r w:rsidR="00A56E08">
        <w:t>ања</w:t>
      </w:r>
      <w:r w:rsidR="004D1E15" w:rsidRPr="00F6340E">
        <w:t xml:space="preserve"> </w:t>
      </w:r>
      <w:r w:rsidR="00A56E08">
        <w:t>к</w:t>
      </w:r>
      <w:r>
        <w:t>в</w:t>
      </w:r>
      <w:r w:rsidR="00A56E08">
        <w:t>али</w:t>
      </w:r>
      <w:r>
        <w:t>т</w:t>
      </w:r>
      <w:r w:rsidR="00EE6AA2">
        <w:t>е</w:t>
      </w:r>
      <w:r>
        <w:t>т</w:t>
      </w:r>
      <w:r w:rsidR="00EE6AA2">
        <w:t>е</w:t>
      </w:r>
      <w:r w:rsidR="004D1E15" w:rsidRPr="00F6340E">
        <w:t xml:space="preserve">; </w:t>
      </w:r>
    </w:p>
    <w:p w14:paraId="5BCCF29A" w14:textId="2D5F9E0D" w:rsidR="004D1E15" w:rsidRPr="00F6340E" w:rsidRDefault="00EE6AA2" w:rsidP="00115925">
      <w:pPr>
        <w:pStyle w:val="Bulletlist"/>
        <w:rPr>
          <w:bCs/>
          <w:shd w:val="clear" w:color="auto" w:fill="FFFFFF"/>
        </w:rPr>
      </w:pPr>
      <w:r>
        <w:t>Е</w:t>
      </w:r>
      <w:r w:rsidR="00A56E08">
        <w:t>к</w:t>
      </w:r>
      <w:r w:rsidR="0071360A">
        <w:t>ст</w:t>
      </w:r>
      <w:r>
        <w:t>е</w:t>
      </w:r>
      <w:r w:rsidR="0071360A">
        <w:t>р</w:t>
      </w:r>
      <w:r w:rsidR="00A56E08">
        <w:t>но</w:t>
      </w:r>
      <w:r w:rsidR="004D1E15" w:rsidRPr="00F6340E">
        <w:t xml:space="preserve"> </w:t>
      </w:r>
      <w:r w:rsidR="00A56E08">
        <w:t>о</w:t>
      </w:r>
      <w:r w:rsidR="0071360A">
        <w:t>с</w:t>
      </w:r>
      <w:r w:rsidR="00A56E08">
        <w:t>иг</w:t>
      </w:r>
      <w:r w:rsidR="0071360A">
        <w:t>ур</w:t>
      </w:r>
      <w:r w:rsidR="00A56E08">
        <w:t>ањ</w:t>
      </w:r>
      <w:r>
        <w:t>е</w:t>
      </w:r>
      <w:r w:rsidR="004D1E15" w:rsidRPr="00F6340E">
        <w:t xml:space="preserve"> </w:t>
      </w:r>
      <w:r w:rsidR="00A56E08">
        <w:t>к</w:t>
      </w:r>
      <w:r w:rsidR="0071360A">
        <w:t>в</w:t>
      </w:r>
      <w:r w:rsidR="00A56E08">
        <w:t>али</w:t>
      </w:r>
      <w:r w:rsidR="0071360A">
        <w:t>т</w:t>
      </w:r>
      <w:r>
        <w:t>е</w:t>
      </w:r>
      <w:r w:rsidR="0071360A">
        <w:t>т</w:t>
      </w:r>
      <w:r>
        <w:t>е</w:t>
      </w:r>
      <w:r w:rsidR="004D1E15" w:rsidRPr="00F6340E">
        <w:t xml:space="preserve"> </w:t>
      </w:r>
      <w:r w:rsidR="00A56E08">
        <w:t>и</w:t>
      </w:r>
      <w:r w:rsidR="004D1E15" w:rsidRPr="00F6340E">
        <w:t xml:space="preserve"> </w:t>
      </w:r>
      <w:r w:rsidR="0071360A">
        <w:t>р</w:t>
      </w:r>
      <w:r>
        <w:t>е</w:t>
      </w:r>
      <w:r w:rsidR="00A56E08">
        <w:t>л</w:t>
      </w:r>
      <w:r>
        <w:t>е</w:t>
      </w:r>
      <w:r w:rsidR="0071360A">
        <w:t>в</w:t>
      </w:r>
      <w:r w:rsidR="00A56E08">
        <w:t>ан</w:t>
      </w:r>
      <w:r w:rsidR="0071360A">
        <w:t>т</w:t>
      </w:r>
      <w:r w:rsidR="00A56E08">
        <w:t>н</w:t>
      </w:r>
      <w:r>
        <w:t>е</w:t>
      </w:r>
      <w:r w:rsidR="004D1E15" w:rsidRPr="00F6340E">
        <w:t xml:space="preserve"> </w:t>
      </w:r>
      <w:r w:rsidR="00A56E08">
        <w:t>ак</w:t>
      </w:r>
      <w:r w:rsidR="0071360A">
        <w:t>т</w:t>
      </w:r>
      <w:r w:rsidR="00A56E08">
        <w:t>и</w:t>
      </w:r>
      <w:r w:rsidR="0071360A">
        <w:t>в</w:t>
      </w:r>
      <w:r w:rsidR="00A56E08">
        <w:t>но</w:t>
      </w:r>
      <w:r w:rsidR="0071360A">
        <w:t>ст</w:t>
      </w:r>
      <w:r w:rsidR="00A56E08">
        <w:t>и</w:t>
      </w:r>
      <w:r w:rsidR="004D1E15" w:rsidRPr="00F6340E">
        <w:t xml:space="preserve"> </w:t>
      </w:r>
      <w:r w:rsidR="00A56E08">
        <w:t>кој</w:t>
      </w:r>
      <w:r>
        <w:t>е</w:t>
      </w:r>
      <w:r w:rsidR="004D1E15" w:rsidRPr="00F6340E">
        <w:t xml:space="preserve"> </w:t>
      </w:r>
      <w:r w:rsidR="0071360A">
        <w:t>с</w:t>
      </w:r>
      <w:r>
        <w:t>е</w:t>
      </w:r>
      <w:r w:rsidR="004D1E15" w:rsidRPr="00F6340E">
        <w:t xml:space="preserve"> </w:t>
      </w:r>
      <w:r w:rsidR="00A56E08">
        <w:t>г</w:t>
      </w:r>
      <w:r>
        <w:t>е</w:t>
      </w:r>
      <w:r w:rsidR="00A56E08">
        <w:t>н</w:t>
      </w:r>
      <w:r>
        <w:t>е</w:t>
      </w:r>
      <w:r w:rsidR="0071360A">
        <w:t>р</w:t>
      </w:r>
      <w:r w:rsidR="00A56E08">
        <w:t>ално</w:t>
      </w:r>
      <w:r w:rsidR="004D1E15" w:rsidRPr="00F6340E">
        <w:t xml:space="preserve"> </w:t>
      </w:r>
      <w:r w:rsidR="00A56E08">
        <w:t>ба</w:t>
      </w:r>
      <w:r w:rsidR="0071360A">
        <w:t>в</w:t>
      </w:r>
      <w:r>
        <w:t>е</w:t>
      </w:r>
      <w:r w:rsidR="004D1E15" w:rsidRPr="00F6340E">
        <w:t xml:space="preserve"> </w:t>
      </w:r>
      <w:r w:rsidR="00A56E08">
        <w:t>оним</w:t>
      </w:r>
      <w:r w:rsidR="004D1E15" w:rsidRPr="00F6340E">
        <w:t xml:space="preserve"> </w:t>
      </w:r>
      <w:r w:rsidR="00CB5414">
        <w:t>ш</w:t>
      </w:r>
      <w:r w:rsidR="0071360A">
        <w:t>т</w:t>
      </w:r>
      <w:r w:rsidR="00A56E08">
        <w:t>о</w:t>
      </w:r>
      <w:r w:rsidR="004D1E15" w:rsidRPr="00F6340E">
        <w:t xml:space="preserve"> </w:t>
      </w:r>
      <w:r w:rsidR="00A56E08">
        <w:t>би</w:t>
      </w:r>
      <w:r w:rsidR="004D1E15" w:rsidRPr="00F6340E">
        <w:t xml:space="preserve"> </w:t>
      </w:r>
      <w:r w:rsidR="0071360A">
        <w:t>тр</w:t>
      </w:r>
      <w:r>
        <w:t>е</w:t>
      </w:r>
      <w:r w:rsidR="00A56E08">
        <w:t>бало</w:t>
      </w:r>
      <w:r w:rsidR="004D1E15" w:rsidRPr="00F6340E">
        <w:t xml:space="preserve"> </w:t>
      </w:r>
      <w:r w:rsidR="00A56E08">
        <w:t>и</w:t>
      </w:r>
      <w:r w:rsidR="0071360A">
        <w:t>сп</w:t>
      </w:r>
      <w:r w:rsidR="00A56E08">
        <w:t>и</w:t>
      </w:r>
      <w:r w:rsidR="0071360A">
        <w:t>т</w:t>
      </w:r>
      <w:r w:rsidR="00A56E08">
        <w:t>а</w:t>
      </w:r>
      <w:r w:rsidR="0071360A">
        <w:t>т</w:t>
      </w:r>
      <w:r w:rsidR="00A56E08">
        <w:t>и</w:t>
      </w:r>
      <w:r w:rsidR="004D1E15" w:rsidRPr="00F6340E">
        <w:t xml:space="preserve"> </w:t>
      </w:r>
      <w:r w:rsidR="0071360A">
        <w:t>у</w:t>
      </w:r>
      <w:r w:rsidR="00A56E08">
        <w:t>н</w:t>
      </w:r>
      <w:r w:rsidR="0071360A">
        <w:t>ут</w:t>
      </w:r>
      <w:r w:rsidR="00A56E08">
        <w:t>а</w:t>
      </w:r>
      <w:r w:rsidR="0071360A">
        <w:t>р</w:t>
      </w:r>
      <w:r w:rsidR="004D1E15" w:rsidRPr="00F6340E">
        <w:t xml:space="preserve"> </w:t>
      </w:r>
      <w:r w:rsidR="00A56E08">
        <w:t>ин</w:t>
      </w:r>
      <w:r w:rsidR="0071360A">
        <w:t>ст</w:t>
      </w:r>
      <w:r w:rsidR="00A56E08">
        <w:t>и</w:t>
      </w:r>
      <w:r w:rsidR="0071360A">
        <w:t>ту</w:t>
      </w:r>
      <w:r w:rsidR="00A56E08">
        <w:t>ција</w:t>
      </w:r>
      <w:r w:rsidR="004D1E15" w:rsidRPr="00F6340E">
        <w:t xml:space="preserve"> </w:t>
      </w:r>
      <w:r w:rsidR="0071360A">
        <w:t>в</w:t>
      </w:r>
      <w:r w:rsidR="00A56E08">
        <w:t>и</w:t>
      </w:r>
      <w:r w:rsidR="0071360A">
        <w:t>с</w:t>
      </w:r>
      <w:r w:rsidR="00A56E08">
        <w:t>оког</w:t>
      </w:r>
      <w:r w:rsidR="004D1E15" w:rsidRPr="00F6340E">
        <w:t xml:space="preserve"> </w:t>
      </w:r>
      <w:r w:rsidR="00A56E08">
        <w:t>об</w:t>
      </w:r>
      <w:r w:rsidR="0071360A">
        <w:t>р</w:t>
      </w:r>
      <w:r w:rsidR="00A56E08">
        <w:t>а</w:t>
      </w:r>
      <w:r w:rsidR="00171F00">
        <w:t>з</w:t>
      </w:r>
      <w:r w:rsidR="00A56E08">
        <w:t>о</w:t>
      </w:r>
      <w:r w:rsidR="0071360A">
        <w:t>в</w:t>
      </w:r>
      <w:r w:rsidR="00A56E08">
        <w:t>ања</w:t>
      </w:r>
      <w:r w:rsidR="004D1E15" w:rsidRPr="00F6340E">
        <w:t xml:space="preserve">, </w:t>
      </w:r>
      <w:r w:rsidR="0071360A">
        <w:t>т</w:t>
      </w:r>
      <w:r>
        <w:t>е</w:t>
      </w:r>
      <w:r w:rsidR="004D1E15" w:rsidRPr="00F6340E">
        <w:t xml:space="preserve"> </w:t>
      </w:r>
      <w:r w:rsidR="00A56E08">
        <w:t>на</w:t>
      </w:r>
      <w:r w:rsidR="00CB5414">
        <w:t>ч</w:t>
      </w:r>
      <w:r w:rsidR="00A56E08">
        <w:t>ином</w:t>
      </w:r>
      <w:r w:rsidR="004D1E15" w:rsidRPr="00F6340E">
        <w:t xml:space="preserve"> </w:t>
      </w:r>
      <w:r w:rsidR="00A56E08">
        <w:t>на</w:t>
      </w:r>
      <w:r w:rsidR="004D1E15" w:rsidRPr="00F6340E">
        <w:t xml:space="preserve"> </w:t>
      </w:r>
      <w:r w:rsidR="00A56E08">
        <w:t>који</w:t>
      </w:r>
      <w:r w:rsidR="004D1E15" w:rsidRPr="00F6340E">
        <w:t xml:space="preserve"> </w:t>
      </w:r>
      <w:r w:rsidR="00A56E08">
        <w:t>би</w:t>
      </w:r>
      <w:r w:rsidR="004D1E15" w:rsidRPr="00F6340E">
        <w:t xml:space="preserve"> </w:t>
      </w:r>
      <w:r w:rsidR="0071360A">
        <w:t>тр</w:t>
      </w:r>
      <w:r>
        <w:t>е</w:t>
      </w:r>
      <w:r w:rsidR="00A56E08">
        <w:t>бало</w:t>
      </w:r>
      <w:r w:rsidR="004D1E15" w:rsidRPr="00F6340E">
        <w:t xml:space="preserve"> </w:t>
      </w:r>
      <w:r w:rsidR="0071360A">
        <w:t>пр</w:t>
      </w:r>
      <w:r w:rsidR="00A56E08">
        <w:t>о</w:t>
      </w:r>
      <w:r w:rsidR="0071360A">
        <w:t>в</w:t>
      </w:r>
      <w:r w:rsidR="00A56E08">
        <w:t>оди</w:t>
      </w:r>
      <w:r w:rsidR="0071360A">
        <w:t>т</w:t>
      </w:r>
      <w:r w:rsidR="00A56E08">
        <w:t>и</w:t>
      </w:r>
      <w:r w:rsidR="004D1E15" w:rsidRPr="00F6340E">
        <w:t xml:space="preserve"> </w:t>
      </w:r>
      <w:r w:rsidR="00A56E08">
        <w:t>ак</w:t>
      </w:r>
      <w:r w:rsidR="0071360A">
        <w:t>т</w:t>
      </w:r>
      <w:r w:rsidR="00A56E08">
        <w:t>и</w:t>
      </w:r>
      <w:r w:rsidR="0071360A">
        <w:t>в</w:t>
      </w:r>
      <w:r w:rsidR="00A56E08">
        <w:t>но</w:t>
      </w:r>
      <w:r w:rsidR="0071360A">
        <w:t>ст</w:t>
      </w:r>
      <w:r w:rsidR="00A56E08">
        <w:t>и</w:t>
      </w:r>
      <w:r w:rsidR="004D1E15" w:rsidRPr="00F6340E">
        <w:t xml:space="preserve"> </w:t>
      </w:r>
      <w:r w:rsidR="0071360A">
        <w:t>в</w:t>
      </w:r>
      <w:r>
        <w:t>е</w:t>
      </w:r>
      <w:r w:rsidR="00171F00">
        <w:t>з</w:t>
      </w:r>
      <w:r w:rsidR="00A56E08">
        <w:t>ан</w:t>
      </w:r>
      <w:r>
        <w:t>е</w:t>
      </w:r>
      <w:r w:rsidR="004D1E15" w:rsidRPr="00F6340E">
        <w:t xml:space="preserve"> </w:t>
      </w:r>
      <w:r w:rsidR="00171F00">
        <w:t>з</w:t>
      </w:r>
      <w:r w:rsidR="00A56E08">
        <w:t>а</w:t>
      </w:r>
      <w:r w:rsidR="004D1E15" w:rsidRPr="00F6340E">
        <w:t xml:space="preserve"> </w:t>
      </w:r>
      <w:r>
        <w:t>е</w:t>
      </w:r>
      <w:r w:rsidR="00A56E08">
        <w:t>к</w:t>
      </w:r>
      <w:r w:rsidR="0071360A">
        <w:t>ст</w:t>
      </w:r>
      <w:r>
        <w:t>е</w:t>
      </w:r>
      <w:r w:rsidR="0071360A">
        <w:t>р</w:t>
      </w:r>
      <w:r w:rsidR="00A56E08">
        <w:t>но</w:t>
      </w:r>
      <w:r w:rsidR="004D1E15" w:rsidRPr="00F6340E">
        <w:t xml:space="preserve"> </w:t>
      </w:r>
      <w:r w:rsidR="00A56E08">
        <w:t>о</w:t>
      </w:r>
      <w:r w:rsidR="0071360A">
        <w:t>с</w:t>
      </w:r>
      <w:r w:rsidR="00A56E08">
        <w:t>иг</w:t>
      </w:r>
      <w:r w:rsidR="0071360A">
        <w:t>ур</w:t>
      </w:r>
      <w:r w:rsidR="00A56E08">
        <w:t>ањ</w:t>
      </w:r>
      <w:r>
        <w:t>е</w:t>
      </w:r>
      <w:r w:rsidR="004D1E15" w:rsidRPr="00F6340E">
        <w:t xml:space="preserve"> </w:t>
      </w:r>
      <w:r w:rsidR="00A56E08">
        <w:t>к</w:t>
      </w:r>
      <w:r w:rsidR="0071360A">
        <w:t>в</w:t>
      </w:r>
      <w:r w:rsidR="00A56E08">
        <w:t>али</w:t>
      </w:r>
      <w:r w:rsidR="0071360A">
        <w:t>т</w:t>
      </w:r>
      <w:r>
        <w:t>е</w:t>
      </w:r>
      <w:r w:rsidR="0071360A">
        <w:t>т</w:t>
      </w:r>
      <w:r>
        <w:t>е</w:t>
      </w:r>
      <w:r w:rsidR="004D1E15" w:rsidRPr="00F6340E">
        <w:t xml:space="preserve">; </w:t>
      </w:r>
    </w:p>
    <w:p w14:paraId="6083F54E" w14:textId="18B1B988" w:rsidR="004D1E15" w:rsidRPr="00F6340E" w:rsidRDefault="0071360A" w:rsidP="00115925">
      <w:pPr>
        <w:pStyle w:val="Bulletlist"/>
        <w:rPr>
          <w:bCs/>
          <w:shd w:val="clear" w:color="auto" w:fill="FFFFFF"/>
        </w:rPr>
      </w:pPr>
      <w:r>
        <w:t>Р</w:t>
      </w:r>
      <w:r w:rsidR="00A56E08">
        <w:t>ад</w:t>
      </w:r>
      <w:r w:rsidR="004D1E15" w:rsidRPr="00F6340E">
        <w:t xml:space="preserve"> </w:t>
      </w:r>
      <w:r w:rsidR="00A56E08">
        <w:t>аг</w:t>
      </w:r>
      <w:r w:rsidR="00EE6AA2">
        <w:t>е</w:t>
      </w:r>
      <w:r w:rsidR="00A56E08">
        <w:t>нција</w:t>
      </w:r>
      <w:r w:rsidR="004D1E15" w:rsidRPr="00F6340E">
        <w:t xml:space="preserve"> </w:t>
      </w:r>
      <w:r w:rsidR="00171F00">
        <w:t>з</w:t>
      </w:r>
      <w:r w:rsidR="00A56E08">
        <w:t>а</w:t>
      </w:r>
      <w:r w:rsidR="004D1E15" w:rsidRPr="00F6340E">
        <w:t xml:space="preserve"> </w:t>
      </w:r>
      <w:r w:rsidR="00EE6AA2">
        <w:t>е</w:t>
      </w:r>
      <w:r w:rsidR="00A56E08">
        <w:t>к</w:t>
      </w:r>
      <w:r>
        <w:t>ст</w:t>
      </w:r>
      <w:r w:rsidR="00EE6AA2">
        <w:t>е</w:t>
      </w:r>
      <w:r>
        <w:t>р</w:t>
      </w:r>
      <w:r w:rsidR="00A56E08">
        <w:t>но</w:t>
      </w:r>
      <w:r w:rsidR="004D1E15" w:rsidRPr="00F6340E">
        <w:t xml:space="preserve"> </w:t>
      </w:r>
      <w:r w:rsidR="00A56E08">
        <w:t>о</w:t>
      </w:r>
      <w:r>
        <w:t>с</w:t>
      </w:r>
      <w:r w:rsidR="00A56E08">
        <w:t>иг</w:t>
      </w:r>
      <w:r>
        <w:t>ур</w:t>
      </w:r>
      <w:r w:rsidR="00A56E08">
        <w:t>ањ</w:t>
      </w:r>
      <w:r w:rsidR="00EE6AA2">
        <w:t>е</w:t>
      </w:r>
      <w:r w:rsidR="004D1E15" w:rsidRPr="00F6340E">
        <w:t xml:space="preserve"> </w:t>
      </w:r>
      <w:r w:rsidR="00A56E08">
        <w:t>к</w:t>
      </w:r>
      <w:r>
        <w:t>в</w:t>
      </w:r>
      <w:r w:rsidR="00A56E08">
        <w:t>али</w:t>
      </w:r>
      <w:r>
        <w:t>т</w:t>
      </w:r>
      <w:r w:rsidR="00EE6AA2">
        <w:t>е</w:t>
      </w:r>
      <w:r>
        <w:t>т</w:t>
      </w:r>
      <w:r w:rsidR="00EE6AA2">
        <w:t>е</w:t>
      </w:r>
      <w:r w:rsidR="004D1E15" w:rsidRPr="00F6340E">
        <w:t xml:space="preserve"> </w:t>
      </w:r>
      <w:r>
        <w:t>у</w:t>
      </w:r>
      <w:r w:rsidR="004D1E15" w:rsidRPr="00F6340E">
        <w:t xml:space="preserve"> </w:t>
      </w:r>
      <w:r>
        <w:t>с</w:t>
      </w:r>
      <w:r w:rsidR="00A56E08">
        <w:t>ми</w:t>
      </w:r>
      <w:r>
        <w:t>с</w:t>
      </w:r>
      <w:r w:rsidR="00A56E08">
        <w:t>л</w:t>
      </w:r>
      <w:r>
        <w:t>у</w:t>
      </w:r>
      <w:r w:rsidR="004D1E15" w:rsidRPr="00F6340E">
        <w:t xml:space="preserve"> </w:t>
      </w:r>
      <w:r w:rsidR="00A56E08">
        <w:t>њихо</w:t>
      </w:r>
      <w:r>
        <w:t>в</w:t>
      </w:r>
      <w:r w:rsidR="00A56E08">
        <w:t>ога</w:t>
      </w:r>
      <w:r w:rsidR="004D1E15" w:rsidRPr="00F6340E">
        <w:t xml:space="preserve"> </w:t>
      </w:r>
      <w:r>
        <w:t>усп</w:t>
      </w:r>
      <w:r w:rsidR="00A56E08">
        <w:t>о</w:t>
      </w:r>
      <w:r>
        <w:t>ст</w:t>
      </w:r>
      <w:r w:rsidR="00A56E08">
        <w:t>а</w:t>
      </w:r>
      <w:r>
        <w:t>в</w:t>
      </w:r>
      <w:r w:rsidR="00A56E08">
        <w:t>љања</w:t>
      </w:r>
      <w:r w:rsidR="004D1E15" w:rsidRPr="00F6340E">
        <w:t xml:space="preserve">, </w:t>
      </w:r>
      <w:r>
        <w:t>стру</w:t>
      </w:r>
      <w:r w:rsidR="00A56E08">
        <w:t>к</w:t>
      </w:r>
      <w:r>
        <w:t>тур</w:t>
      </w:r>
      <w:r w:rsidR="00EE6AA2">
        <w:t>е</w:t>
      </w:r>
      <w:r w:rsidR="004D1E15" w:rsidRPr="00F6340E">
        <w:t xml:space="preserve"> </w:t>
      </w:r>
      <w:r w:rsidR="00A56E08">
        <w:t>и</w:t>
      </w:r>
      <w:r w:rsidR="004D1E15" w:rsidRPr="00F6340E">
        <w:t xml:space="preserve"> </w:t>
      </w:r>
      <w:r>
        <w:t>пр</w:t>
      </w:r>
      <w:r w:rsidR="00A56E08">
        <w:t>и</w:t>
      </w:r>
      <w:r w:rsidR="00171F00">
        <w:t>з</w:t>
      </w:r>
      <w:r w:rsidR="00A56E08">
        <w:t>на</w:t>
      </w:r>
      <w:r>
        <w:t>в</w:t>
      </w:r>
      <w:r w:rsidR="00A56E08">
        <w:t>ања</w:t>
      </w:r>
      <w:r w:rsidR="004D1E15" w:rsidRPr="00F6340E">
        <w:t xml:space="preserve">. </w:t>
      </w:r>
    </w:p>
    <w:p w14:paraId="416698BD" w14:textId="066D2557" w:rsidR="004D1E15" w:rsidRPr="00F6340E" w:rsidRDefault="00A56E08" w:rsidP="00115925">
      <w:pPr>
        <w:pStyle w:val="Body"/>
        <w:rPr>
          <w:bCs/>
          <w:shd w:val="clear" w:color="auto" w:fill="FFFFFF"/>
        </w:rPr>
      </w:pPr>
      <w:r>
        <w:t>На</w:t>
      </w:r>
      <w:r w:rsidR="0071360A">
        <w:t>в</w:t>
      </w:r>
      <w:r w:rsidR="00EE6AA2">
        <w:t>е</w:t>
      </w:r>
      <w:r>
        <w:t>д</w:t>
      </w:r>
      <w:r w:rsidR="00EE6AA2">
        <w:t>е</w:t>
      </w:r>
      <w:r>
        <w:t>ни</w:t>
      </w:r>
      <w:r w:rsidR="004D1E15" w:rsidRPr="00F6340E">
        <w:t xml:space="preserve"> </w:t>
      </w:r>
      <w:r>
        <w:t>док</w:t>
      </w:r>
      <w:r w:rsidR="0071360A">
        <w:t>у</w:t>
      </w:r>
      <w:r>
        <w:t>м</w:t>
      </w:r>
      <w:r w:rsidR="00EE6AA2">
        <w:t>е</w:t>
      </w:r>
      <w:r>
        <w:t>н</w:t>
      </w:r>
      <w:r w:rsidR="0071360A">
        <w:t>т</w:t>
      </w:r>
      <w:r w:rsidR="004D1E15" w:rsidRPr="00F6340E">
        <w:t xml:space="preserve"> </w:t>
      </w:r>
      <w:r w:rsidR="0071360A">
        <w:t>усв</w:t>
      </w:r>
      <w:r>
        <w:t>ојил</w:t>
      </w:r>
      <w:r w:rsidR="00EE6AA2">
        <w:t>е</w:t>
      </w:r>
      <w:r w:rsidR="004D1E15" w:rsidRPr="00F6340E">
        <w:t xml:space="preserve"> </w:t>
      </w:r>
      <w:r w:rsidR="0071360A">
        <w:t>су</w:t>
      </w:r>
      <w:r w:rsidR="004D1E15" w:rsidRPr="00F6340E">
        <w:t xml:space="preserve"> </w:t>
      </w:r>
      <w:r>
        <w:t>надл</w:t>
      </w:r>
      <w:r w:rsidR="00EE6AA2">
        <w:t>е</w:t>
      </w:r>
      <w:r w:rsidR="00171F00">
        <w:t>ж</w:t>
      </w:r>
      <w:r>
        <w:t>н</w:t>
      </w:r>
      <w:r w:rsidR="00EE6AA2">
        <w:t>е</w:t>
      </w:r>
      <w:r w:rsidR="009D418C" w:rsidRPr="00F6340E">
        <w:t xml:space="preserve"> </w:t>
      </w:r>
      <w:r>
        <w:t>об</w:t>
      </w:r>
      <w:r w:rsidR="0071360A">
        <w:t>р</w:t>
      </w:r>
      <w:r>
        <w:t>а</w:t>
      </w:r>
      <w:r w:rsidR="00171F00">
        <w:t>з</w:t>
      </w:r>
      <w:r>
        <w:t>о</w:t>
      </w:r>
      <w:r w:rsidR="0071360A">
        <w:t>в</w:t>
      </w:r>
      <w:r>
        <w:t>н</w:t>
      </w:r>
      <w:r w:rsidR="00EE6AA2">
        <w:t>е</w:t>
      </w:r>
      <w:r w:rsidR="009D418C" w:rsidRPr="00F6340E">
        <w:t xml:space="preserve"> </w:t>
      </w:r>
      <w:r w:rsidR="0071360A">
        <w:t>в</w:t>
      </w:r>
      <w:r>
        <w:t>ла</w:t>
      </w:r>
      <w:r w:rsidR="0071360A">
        <w:t>ст</w:t>
      </w:r>
      <w:r>
        <w:t>и</w:t>
      </w:r>
      <w:r w:rsidR="004D1E15" w:rsidRPr="00F6340E">
        <w:t xml:space="preserve"> </w:t>
      </w:r>
      <w:r>
        <w:t>на</w:t>
      </w:r>
      <w:r w:rsidR="004D1E15" w:rsidRPr="00F6340E">
        <w:t xml:space="preserve"> </w:t>
      </w:r>
      <w:r w:rsidR="00EE6AA2">
        <w:t>е</w:t>
      </w:r>
      <w:r>
        <w:t>н</w:t>
      </w:r>
      <w:r w:rsidR="0071360A">
        <w:t>т</w:t>
      </w:r>
      <w:r>
        <w:t>и</w:t>
      </w:r>
      <w:r w:rsidR="0071360A">
        <w:t>т</w:t>
      </w:r>
      <w:r w:rsidR="00EE6AA2">
        <w:t>е</w:t>
      </w:r>
      <w:r w:rsidR="0071360A">
        <w:t>тс</w:t>
      </w:r>
      <w:r>
        <w:t>ком</w:t>
      </w:r>
      <w:r w:rsidR="004D1E15" w:rsidRPr="00F6340E">
        <w:t xml:space="preserve"> </w:t>
      </w:r>
      <w:r>
        <w:t>и</w:t>
      </w:r>
      <w:r w:rsidR="004D1E15" w:rsidRPr="00F6340E">
        <w:t xml:space="preserve"> </w:t>
      </w:r>
      <w:r>
        <w:t>д</w:t>
      </w:r>
      <w:r w:rsidR="0071360A">
        <w:t>р</w:t>
      </w:r>
      <w:r w:rsidR="00171F00">
        <w:t>ж</w:t>
      </w:r>
      <w:r>
        <w:t>а</w:t>
      </w:r>
      <w:r w:rsidR="0071360A">
        <w:t>в</w:t>
      </w:r>
      <w:r>
        <w:t>ном</w:t>
      </w:r>
      <w:r w:rsidR="00C71DCF" w:rsidRPr="00F6340E">
        <w:t xml:space="preserve"> </w:t>
      </w:r>
      <w:r>
        <w:t>ни</w:t>
      </w:r>
      <w:r w:rsidR="0071360A">
        <w:t>в</w:t>
      </w:r>
      <w:r>
        <w:t>о</w:t>
      </w:r>
      <w:r w:rsidR="0071360A">
        <w:t>у</w:t>
      </w:r>
      <w:r w:rsidR="004D1E15" w:rsidRPr="00F6340E">
        <w:t xml:space="preserve">. </w:t>
      </w:r>
      <w:r>
        <w:t>Гла</w:t>
      </w:r>
      <w:r w:rsidR="0071360A">
        <w:t>в</w:t>
      </w:r>
      <w:r>
        <w:t>ни</w:t>
      </w:r>
      <w:r w:rsidR="004D1E15" w:rsidRPr="00F6340E">
        <w:t xml:space="preserve"> </w:t>
      </w:r>
      <w:r>
        <w:t>циљ</w:t>
      </w:r>
      <w:r w:rsidR="00EE6AA2">
        <w:t>е</w:t>
      </w:r>
      <w:r w:rsidR="0071360A">
        <w:t>в</w:t>
      </w:r>
      <w:r>
        <w:t>и</w:t>
      </w:r>
      <w:r w:rsidR="004D1E15" w:rsidRPr="00F6340E">
        <w:t xml:space="preserve"> </w:t>
      </w:r>
      <w:r w:rsidR="0071360A">
        <w:t>пр</w:t>
      </w:r>
      <w:r w:rsidR="00EE6AA2">
        <w:t>е</w:t>
      </w:r>
      <w:r>
        <w:t>дло</w:t>
      </w:r>
      <w:r w:rsidR="00CB5414">
        <w:t>ж</w:t>
      </w:r>
      <w:r w:rsidR="00EE6AA2">
        <w:t>е</w:t>
      </w:r>
      <w:r>
        <w:t>ног</w:t>
      </w:r>
      <w:r w:rsidR="004D1E15" w:rsidRPr="00F6340E">
        <w:t xml:space="preserve"> </w:t>
      </w:r>
      <w:r w:rsidR="0071360A">
        <w:t>с</w:t>
      </w:r>
      <w:r>
        <w:t>к</w:t>
      </w:r>
      <w:r w:rsidR="0071360A">
        <w:t>уп</w:t>
      </w:r>
      <w:r>
        <w:t>а</w:t>
      </w:r>
      <w:r w:rsidR="004D1E15" w:rsidRPr="00F6340E">
        <w:t xml:space="preserve"> </w:t>
      </w:r>
      <w:r w:rsidR="0071360A">
        <w:t>ст</w:t>
      </w:r>
      <w:r>
        <w:t>анда</w:t>
      </w:r>
      <w:r w:rsidR="0071360A">
        <w:t>р</w:t>
      </w:r>
      <w:r>
        <w:t>да</w:t>
      </w:r>
      <w:r w:rsidR="004D1E15" w:rsidRPr="00F6340E">
        <w:t xml:space="preserve"> </w:t>
      </w:r>
      <w:r>
        <w:t>и</w:t>
      </w:r>
      <w:r w:rsidR="004D1E15" w:rsidRPr="00F6340E">
        <w:t xml:space="preserve"> </w:t>
      </w:r>
      <w:r w:rsidR="0071360A">
        <w:t>с</w:t>
      </w:r>
      <w:r>
        <w:t>мј</w:t>
      </w:r>
      <w:r w:rsidR="00EE6AA2">
        <w:t>е</w:t>
      </w:r>
      <w:r w:rsidR="0071360A">
        <w:t>р</w:t>
      </w:r>
      <w:r>
        <w:t>ница</w:t>
      </w:r>
      <w:r w:rsidR="004D1E15" w:rsidRPr="00F6340E">
        <w:t xml:space="preserve"> </w:t>
      </w:r>
      <w:r w:rsidR="00171F00">
        <w:t>з</w:t>
      </w:r>
      <w:r>
        <w:t>а</w:t>
      </w:r>
      <w:r w:rsidR="004D1E15" w:rsidRPr="00F6340E">
        <w:t xml:space="preserve"> </w:t>
      </w:r>
      <w:r>
        <w:t>о</w:t>
      </w:r>
      <w:r w:rsidR="0071360A">
        <w:t>с</w:t>
      </w:r>
      <w:r>
        <w:t>иг</w:t>
      </w:r>
      <w:r w:rsidR="0071360A">
        <w:t>ур</w:t>
      </w:r>
      <w:r>
        <w:t>ањ</w:t>
      </w:r>
      <w:r w:rsidR="00EE6AA2">
        <w:t>е</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rsidR="0071360A">
        <w:t>су</w:t>
      </w:r>
      <w:r w:rsidR="004D1E15" w:rsidRPr="00F6340E">
        <w:t>:</w:t>
      </w:r>
    </w:p>
    <w:p w14:paraId="17FE579D" w14:textId="02D93204" w:rsidR="004D1E15" w:rsidRPr="00F6340E" w:rsidRDefault="0071360A" w:rsidP="00115925">
      <w:pPr>
        <w:pStyle w:val="Bulletlist"/>
      </w:pPr>
      <w:r>
        <w:t>Пр</w:t>
      </w:r>
      <w:r w:rsidR="00A56E08">
        <w:t>омо</w:t>
      </w:r>
      <w:r>
        <w:t>в</w:t>
      </w:r>
      <w:r w:rsidR="00A56E08">
        <w:t>и</w:t>
      </w:r>
      <w:r>
        <w:t>с</w:t>
      </w:r>
      <w:r w:rsidR="00A56E08">
        <w:t>а</w:t>
      </w:r>
      <w:r>
        <w:t>т</w:t>
      </w:r>
      <w:r w:rsidR="00A56E08">
        <w:t>и</w:t>
      </w:r>
      <w:r w:rsidR="004D1E15" w:rsidRPr="00F6340E">
        <w:t xml:space="preserve"> </w:t>
      </w:r>
      <w:r w:rsidR="00A56E08">
        <w:t>и</w:t>
      </w:r>
      <w:r w:rsidR="004D1E15" w:rsidRPr="00F6340E">
        <w:t xml:space="preserve"> </w:t>
      </w:r>
      <w:r>
        <w:t>п</w:t>
      </w:r>
      <w:r w:rsidR="00A56E08">
        <w:t>од</w:t>
      </w:r>
      <w:r>
        <w:t>р</w:t>
      </w:r>
      <w:r w:rsidR="00171F00">
        <w:t>ж</w:t>
      </w:r>
      <w:r w:rsidR="00A56E08">
        <w:t>а</w:t>
      </w:r>
      <w:r>
        <w:t>т</w:t>
      </w:r>
      <w:r w:rsidR="00A56E08">
        <w:t>и</w:t>
      </w:r>
      <w:r w:rsidR="004D1E15" w:rsidRPr="00F6340E">
        <w:t xml:space="preserve"> </w:t>
      </w:r>
      <w:r>
        <w:t>ст</w:t>
      </w:r>
      <w:r w:rsidR="00A56E08">
        <w:t>ално</w:t>
      </w:r>
      <w:r w:rsidR="004D1E15" w:rsidRPr="00F6340E">
        <w:t xml:space="preserve"> </w:t>
      </w:r>
      <w:r>
        <w:t>у</w:t>
      </w:r>
      <w:r w:rsidR="00A56E08">
        <w:t>на</w:t>
      </w:r>
      <w:r>
        <w:t>пр</w:t>
      </w:r>
      <w:r w:rsidR="00A56E08">
        <w:t>ј</w:t>
      </w:r>
      <w:r w:rsidR="00EE6AA2">
        <w:t>е</w:t>
      </w:r>
      <w:r w:rsidR="00A56E08">
        <w:t>ђ</w:t>
      </w:r>
      <w:r w:rsidR="00EE6AA2">
        <w:t>е</w:t>
      </w:r>
      <w:r w:rsidR="00A56E08">
        <w:t>њ</w:t>
      </w:r>
      <w:r w:rsidR="00EE6AA2">
        <w:t>е</w:t>
      </w:r>
      <w:r w:rsidR="004D1E15" w:rsidRPr="00F6340E">
        <w:t xml:space="preserve"> </w:t>
      </w:r>
      <w:r w:rsidR="00A56E08">
        <w:t>к</w:t>
      </w:r>
      <w:r>
        <w:t>в</w:t>
      </w:r>
      <w:r w:rsidR="00A56E08">
        <w:t>али</w:t>
      </w:r>
      <w:r>
        <w:t>т</w:t>
      </w:r>
      <w:r w:rsidR="00EE6AA2">
        <w:t>е</w:t>
      </w:r>
      <w:r>
        <w:t>т</w:t>
      </w:r>
      <w:r w:rsidR="00EE6AA2">
        <w:t>е</w:t>
      </w:r>
      <w:r w:rsidR="004D1E15" w:rsidRPr="00F6340E">
        <w:t xml:space="preserve"> </w:t>
      </w:r>
      <w:r w:rsidR="00A56E08">
        <w:t>и</w:t>
      </w:r>
      <w:r w:rsidR="004D1E15" w:rsidRPr="00F6340E">
        <w:t xml:space="preserve"> </w:t>
      </w:r>
      <w:r>
        <w:t>ст</w:t>
      </w:r>
      <w:r w:rsidR="00A56E08">
        <w:t>анда</w:t>
      </w:r>
      <w:r>
        <w:t>р</w:t>
      </w:r>
      <w:r w:rsidR="00A56E08">
        <w:t>да</w:t>
      </w:r>
      <w:r w:rsidR="004D1E15" w:rsidRPr="00F6340E">
        <w:t xml:space="preserve"> </w:t>
      </w:r>
      <w:r w:rsidR="00171F00">
        <w:t>з</w:t>
      </w:r>
      <w:r w:rsidR="00A56E08">
        <w:t>а</w:t>
      </w:r>
      <w:r w:rsidR="004D1E15" w:rsidRPr="00F6340E">
        <w:t xml:space="preserve"> </w:t>
      </w:r>
      <w:r>
        <w:t>пру</w:t>
      </w:r>
      <w:r w:rsidR="00CB5414">
        <w:t>ж</w:t>
      </w:r>
      <w:r w:rsidR="00A56E08">
        <w:t>ањ</w:t>
      </w:r>
      <w:r w:rsidR="00EE6AA2">
        <w:t>е</w:t>
      </w:r>
      <w:r w:rsidR="004D1E15" w:rsidRPr="00F6340E">
        <w:t xml:space="preserve"> </w:t>
      </w:r>
      <w:r>
        <w:t>пр</w:t>
      </w:r>
      <w:r w:rsidR="00A56E08">
        <w:t>ог</w:t>
      </w:r>
      <w:r>
        <w:t>р</w:t>
      </w:r>
      <w:r w:rsidR="00A56E08">
        <w:t>ама</w:t>
      </w:r>
      <w:r w:rsidR="004D1E15" w:rsidRPr="00F6340E">
        <w:t xml:space="preserve"> </w:t>
      </w:r>
      <w:r>
        <w:t>в</w:t>
      </w:r>
      <w:r w:rsidR="00A56E08">
        <w:t>и</w:t>
      </w:r>
      <w:r>
        <w:t>с</w:t>
      </w:r>
      <w:r w:rsidR="00A56E08">
        <w:t>оког</w:t>
      </w:r>
      <w:r w:rsidR="004D1E15" w:rsidRPr="00F6340E">
        <w:t xml:space="preserve"> </w:t>
      </w:r>
      <w:r w:rsidR="00A56E08">
        <w:t>об</w:t>
      </w:r>
      <w:r>
        <w:t>р</w:t>
      </w:r>
      <w:r w:rsidR="00A56E08">
        <w:t>а</w:t>
      </w:r>
      <w:r w:rsidR="00171F00">
        <w:t>з</w:t>
      </w:r>
      <w:r w:rsidR="00A56E08">
        <w:t>о</w:t>
      </w:r>
      <w:r>
        <w:t>в</w:t>
      </w:r>
      <w:r w:rsidR="00A56E08">
        <w:t>ања</w:t>
      </w:r>
    </w:p>
    <w:p w14:paraId="1373EA6B" w14:textId="4E99A4CC" w:rsidR="004D1E15" w:rsidRPr="00F6340E" w:rsidRDefault="00A56E08" w:rsidP="00115925">
      <w:pPr>
        <w:pStyle w:val="Bulletlist"/>
      </w:pPr>
      <w:r>
        <w:lastRenderedPageBreak/>
        <w:t>О</w:t>
      </w:r>
      <w:r w:rsidR="0071360A">
        <w:t>с</w:t>
      </w:r>
      <w:r>
        <w:t>иг</w:t>
      </w:r>
      <w:r w:rsidR="0071360A">
        <w:t>ур</w:t>
      </w:r>
      <w:r>
        <w:t>а</w:t>
      </w:r>
      <w:r w:rsidR="0071360A">
        <w:t>т</w:t>
      </w:r>
      <w:r>
        <w:t>и</w:t>
      </w:r>
      <w:r w:rsidR="004D1E15" w:rsidRPr="00F6340E">
        <w:t xml:space="preserve"> </w:t>
      </w:r>
      <w:r>
        <w:t>да</w:t>
      </w:r>
      <w:r w:rsidR="004D1E15" w:rsidRPr="00F6340E">
        <w:t xml:space="preserve"> </w:t>
      </w:r>
      <w:r>
        <w:t>ја</w:t>
      </w:r>
      <w:r w:rsidR="0071360A">
        <w:t>в</w:t>
      </w:r>
      <w:r>
        <w:t>но</w:t>
      </w:r>
      <w:r w:rsidR="0071360A">
        <w:t>ст</w:t>
      </w:r>
      <w:r>
        <w:t>и</w:t>
      </w:r>
      <w:r w:rsidR="004D1E15" w:rsidRPr="00F6340E">
        <w:t xml:space="preserve"> </w:t>
      </w:r>
      <w:r>
        <w:t>б</w:t>
      </w:r>
      <w:r w:rsidR="0071360A">
        <w:t>у</w:t>
      </w:r>
      <w:r>
        <w:t>д</w:t>
      </w:r>
      <w:r w:rsidR="0071360A">
        <w:t>у</w:t>
      </w:r>
      <w:r w:rsidR="004D1E15" w:rsidRPr="00F6340E">
        <w:t xml:space="preserve"> </w:t>
      </w:r>
      <w:r>
        <w:t>до</w:t>
      </w:r>
      <w:r w:rsidR="0071360A">
        <w:t>ступ</w:t>
      </w:r>
      <w:r>
        <w:t>н</w:t>
      </w:r>
      <w:r w:rsidR="00EE6AA2">
        <w:t>е</w:t>
      </w:r>
      <w:r w:rsidR="004D1E15" w:rsidRPr="00F6340E">
        <w:t xml:space="preserve"> </w:t>
      </w:r>
      <w:r>
        <w:t>ја</w:t>
      </w:r>
      <w:r w:rsidR="0071360A">
        <w:t>с</w:t>
      </w:r>
      <w:r>
        <w:t>н</w:t>
      </w:r>
      <w:r w:rsidR="00EE6AA2">
        <w:t>е</w:t>
      </w:r>
      <w:r w:rsidR="004D1E15" w:rsidRPr="00F6340E">
        <w:t xml:space="preserve"> </w:t>
      </w:r>
      <w:r>
        <w:t>и</w:t>
      </w:r>
      <w:r w:rsidR="004D1E15" w:rsidRPr="00F6340E">
        <w:t xml:space="preserve"> </w:t>
      </w:r>
      <w:r w:rsidR="0071360A">
        <w:t>пр</w:t>
      </w:r>
      <w:r w:rsidR="00EE6AA2">
        <w:t>е</w:t>
      </w:r>
      <w:r>
        <w:t>ци</w:t>
      </w:r>
      <w:r w:rsidR="00171F00">
        <w:t>з</w:t>
      </w:r>
      <w:r>
        <w:t>н</w:t>
      </w:r>
      <w:r w:rsidR="00EE6AA2">
        <w:t>е</w:t>
      </w:r>
      <w:r w:rsidR="004D1E15" w:rsidRPr="00F6340E">
        <w:t xml:space="preserve"> </w:t>
      </w:r>
      <w:r>
        <w:t>инфо</w:t>
      </w:r>
      <w:r w:rsidR="0071360A">
        <w:t>р</w:t>
      </w:r>
      <w:r>
        <w:t>мациј</w:t>
      </w:r>
      <w:r w:rsidR="00EE6AA2">
        <w:t>е</w:t>
      </w:r>
      <w:r w:rsidR="004D1E15" w:rsidRPr="00F6340E">
        <w:t xml:space="preserve"> </w:t>
      </w:r>
      <w:r>
        <w:t>о</w:t>
      </w:r>
      <w:r w:rsidR="004D1E15" w:rsidRPr="00F6340E">
        <w:t xml:space="preserve"> </w:t>
      </w:r>
      <w:r>
        <w:t>к</w:t>
      </w:r>
      <w:r w:rsidR="0071360A">
        <w:t>в</w:t>
      </w:r>
      <w:r>
        <w:t>али</w:t>
      </w:r>
      <w:r w:rsidR="0071360A">
        <w:t>т</w:t>
      </w:r>
      <w:r w:rsidR="00EE6AA2">
        <w:t>е</w:t>
      </w:r>
      <w:r w:rsidR="0071360A">
        <w:t>т</w:t>
      </w:r>
      <w:r>
        <w:t>и</w:t>
      </w:r>
      <w:r w:rsidR="004D1E15" w:rsidRPr="00F6340E">
        <w:t xml:space="preserve"> </w:t>
      </w:r>
      <w:r>
        <w:t>и</w:t>
      </w:r>
      <w:r w:rsidR="004D1E15" w:rsidRPr="00F6340E">
        <w:t xml:space="preserve"> </w:t>
      </w:r>
      <w:r w:rsidR="0071360A">
        <w:t>ст</w:t>
      </w:r>
      <w:r>
        <w:t>анда</w:t>
      </w:r>
      <w:r w:rsidR="0071360A">
        <w:t>р</w:t>
      </w:r>
      <w:r>
        <w:t>дима</w:t>
      </w:r>
      <w:r w:rsidR="004D1E15" w:rsidRPr="00F6340E">
        <w:t xml:space="preserve"> </w:t>
      </w:r>
      <w:r w:rsidR="0071360A">
        <w:t>пру</w:t>
      </w:r>
      <w:r w:rsidR="00CB5414">
        <w:t>ж</w:t>
      </w:r>
      <w:r>
        <w:t>ања</w:t>
      </w:r>
      <w:r w:rsidR="004D1E15" w:rsidRPr="00F6340E">
        <w:t xml:space="preserve"> </w:t>
      </w:r>
      <w:r w:rsidR="0071360A">
        <w:t>в</w:t>
      </w:r>
      <w:r>
        <w:t>и</w:t>
      </w:r>
      <w:r w:rsidR="0071360A">
        <w:t>с</w:t>
      </w:r>
      <w:r>
        <w:t>оког</w:t>
      </w:r>
      <w:r w:rsidR="004D1E15" w:rsidRPr="00F6340E">
        <w:t xml:space="preserve"> </w:t>
      </w:r>
      <w:r>
        <w:t>об</w:t>
      </w:r>
      <w:r w:rsidR="0071360A">
        <w:t>р</w:t>
      </w:r>
      <w:r>
        <w:t>а</w:t>
      </w:r>
      <w:r w:rsidR="00171F00">
        <w:t>з</w:t>
      </w:r>
      <w:r>
        <w:t>о</w:t>
      </w:r>
      <w:r w:rsidR="0071360A">
        <w:t>в</w:t>
      </w:r>
      <w:r>
        <w:t>ања</w:t>
      </w:r>
      <w:r w:rsidR="004D1E15" w:rsidRPr="00F6340E">
        <w:t xml:space="preserve"> </w:t>
      </w:r>
      <w:r>
        <w:t>и</w:t>
      </w:r>
      <w:r w:rsidR="004D1E15" w:rsidRPr="00F6340E">
        <w:t xml:space="preserve"> </w:t>
      </w:r>
      <w:r>
        <w:t>об</w:t>
      </w:r>
      <w:r w:rsidR="0071360A">
        <w:t>у</w:t>
      </w:r>
      <w:r>
        <w:t>к</w:t>
      </w:r>
      <w:r w:rsidR="00EE6AA2">
        <w:t>е</w:t>
      </w:r>
      <w:r w:rsidR="004D1E15" w:rsidRPr="00F6340E">
        <w:t>;</w:t>
      </w:r>
    </w:p>
    <w:p w14:paraId="60F4D02E" w14:textId="1D139D05" w:rsidR="004D1E15" w:rsidRPr="00F6340E" w:rsidRDefault="0071360A" w:rsidP="00115925">
      <w:pPr>
        <w:pStyle w:val="Bulletlist"/>
      </w:pPr>
      <w:r>
        <w:t>Пр</w:t>
      </w:r>
      <w:r w:rsidR="00A56E08">
        <w:t>имј</w:t>
      </w:r>
      <w:r w:rsidR="00EE6AA2">
        <w:t>е</w:t>
      </w:r>
      <w:r w:rsidR="00A56E08">
        <w:t>њи</w:t>
      </w:r>
      <w:r>
        <w:t>в</w:t>
      </w:r>
      <w:r w:rsidR="00A56E08">
        <w:t>а</w:t>
      </w:r>
      <w:r>
        <w:t>т</w:t>
      </w:r>
      <w:r w:rsidR="00A56E08">
        <w:t>и</w:t>
      </w:r>
      <w:r w:rsidR="004D1E15" w:rsidRPr="00F6340E">
        <w:t xml:space="preserve"> </w:t>
      </w:r>
      <w:r w:rsidR="00A56E08">
        <w:t>најбољ</w:t>
      </w:r>
      <w:r>
        <w:t>у</w:t>
      </w:r>
      <w:r w:rsidR="004D1E15" w:rsidRPr="00F6340E">
        <w:t xml:space="preserve"> </w:t>
      </w:r>
      <w:r w:rsidR="00A56E08">
        <w:t>ин</w:t>
      </w:r>
      <w:r>
        <w:t>т</w:t>
      </w:r>
      <w:r w:rsidR="00EE6AA2">
        <w:t>е</w:t>
      </w:r>
      <w:r>
        <w:t>р</w:t>
      </w:r>
      <w:r w:rsidR="00A56E08">
        <w:t>националн</w:t>
      </w:r>
      <w:r>
        <w:t>у</w:t>
      </w:r>
      <w:r w:rsidR="004D1E15" w:rsidRPr="00F6340E">
        <w:t xml:space="preserve"> </w:t>
      </w:r>
      <w:r>
        <w:t>пр</w:t>
      </w:r>
      <w:r w:rsidR="00A56E08">
        <w:t>ак</w:t>
      </w:r>
      <w:r>
        <w:t>су</w:t>
      </w:r>
      <w:r w:rsidR="004D1E15" w:rsidRPr="00F6340E">
        <w:t xml:space="preserve"> </w:t>
      </w:r>
      <w:r>
        <w:t>у</w:t>
      </w:r>
      <w:r w:rsidR="004D1E15" w:rsidRPr="00F6340E">
        <w:t xml:space="preserve"> </w:t>
      </w:r>
      <w:r w:rsidR="00A56E08">
        <w:t>оцј</w:t>
      </w:r>
      <w:r w:rsidR="00EE6AA2">
        <w:t>е</w:t>
      </w:r>
      <w:r w:rsidR="00A56E08">
        <w:t>ни</w:t>
      </w:r>
      <w:r w:rsidR="004D1E15" w:rsidRPr="00F6340E">
        <w:t xml:space="preserve"> </w:t>
      </w:r>
      <w:r w:rsidR="00A56E08">
        <w:t>и</w:t>
      </w:r>
      <w:r w:rsidR="004D1E15" w:rsidRPr="00F6340E">
        <w:t xml:space="preserve"> </w:t>
      </w:r>
      <w:r>
        <w:t>р</w:t>
      </w:r>
      <w:r w:rsidR="00EE6AA2">
        <w:t>е</w:t>
      </w:r>
      <w:r>
        <w:t>в</w:t>
      </w:r>
      <w:r w:rsidR="00A56E08">
        <w:t>и</w:t>
      </w:r>
      <w:r w:rsidR="00171F00">
        <w:t>з</w:t>
      </w:r>
      <w:r w:rsidR="00A56E08">
        <w:t>ији</w:t>
      </w:r>
      <w:r w:rsidR="004D1E15" w:rsidRPr="00F6340E">
        <w:t xml:space="preserve"> </w:t>
      </w:r>
      <w:r>
        <w:t>в</w:t>
      </w:r>
      <w:r w:rsidR="00A56E08">
        <w:t>и</w:t>
      </w:r>
      <w:r>
        <w:t>с</w:t>
      </w:r>
      <w:r w:rsidR="00A56E08">
        <w:t>оког</w:t>
      </w:r>
      <w:r w:rsidR="004D1E15" w:rsidRPr="00F6340E">
        <w:t xml:space="preserve"> </w:t>
      </w:r>
      <w:r w:rsidR="00A56E08">
        <w:t>об</w:t>
      </w:r>
      <w:r>
        <w:t>р</w:t>
      </w:r>
      <w:r w:rsidR="00A56E08">
        <w:t>а</w:t>
      </w:r>
      <w:r w:rsidR="00171F00">
        <w:t>з</w:t>
      </w:r>
      <w:r w:rsidR="00A56E08">
        <w:t>о</w:t>
      </w:r>
      <w:r>
        <w:t>в</w:t>
      </w:r>
      <w:r w:rsidR="00A56E08">
        <w:t>ања</w:t>
      </w:r>
      <w:r w:rsidR="004D1E15" w:rsidRPr="00F6340E">
        <w:t xml:space="preserve"> </w:t>
      </w:r>
      <w:r w:rsidR="00A56E08">
        <w:t>и</w:t>
      </w:r>
      <w:r w:rsidR="004D1E15" w:rsidRPr="00F6340E">
        <w:t xml:space="preserve"> </w:t>
      </w:r>
      <w:r>
        <w:t>пр</w:t>
      </w:r>
      <w:r w:rsidR="00A56E08">
        <w:t>ог</w:t>
      </w:r>
      <w:r>
        <w:t>р</w:t>
      </w:r>
      <w:r w:rsidR="00A56E08">
        <w:t>ама</w:t>
      </w:r>
      <w:r w:rsidR="004D1E15" w:rsidRPr="00F6340E">
        <w:t xml:space="preserve"> </w:t>
      </w:r>
      <w:r w:rsidR="00A56E08">
        <w:t>об</w:t>
      </w:r>
      <w:r>
        <w:t>у</w:t>
      </w:r>
      <w:r w:rsidR="00A56E08">
        <w:t>к</w:t>
      </w:r>
      <w:r w:rsidR="00EE6AA2">
        <w:t>е</w:t>
      </w:r>
      <w:r w:rsidR="004D1E15" w:rsidRPr="00F6340E">
        <w:t xml:space="preserve">. </w:t>
      </w:r>
    </w:p>
    <w:p w14:paraId="2AE34F3A" w14:textId="54E77DA8" w:rsidR="004D1E15" w:rsidRPr="00F6340E" w:rsidRDefault="00A56E08" w:rsidP="00115925">
      <w:pPr>
        <w:pStyle w:val="Body"/>
      </w:pPr>
      <w:r>
        <w:t>Д</w:t>
      </w:r>
      <w:r w:rsidR="00EE6AA2">
        <w:t>е</w:t>
      </w:r>
      <w:r>
        <w:t>фини</w:t>
      </w:r>
      <w:r w:rsidR="0071360A">
        <w:t>с</w:t>
      </w:r>
      <w:r>
        <w:t>ани</w:t>
      </w:r>
      <w:r w:rsidR="004D1E15" w:rsidRPr="00F6340E">
        <w:t xml:space="preserve"> </w:t>
      </w:r>
      <w:r w:rsidR="0071360A">
        <w:t>ст</w:t>
      </w:r>
      <w:r>
        <w:t>анда</w:t>
      </w:r>
      <w:r w:rsidR="0071360A">
        <w:t>р</w:t>
      </w:r>
      <w:r>
        <w:t>ди</w:t>
      </w:r>
      <w:r w:rsidR="004D1E15" w:rsidRPr="00F6340E">
        <w:t xml:space="preserve">, </w:t>
      </w:r>
      <w:r>
        <w:t>који</w:t>
      </w:r>
      <w:r w:rsidR="004D1E15" w:rsidRPr="00F6340E">
        <w:t xml:space="preserve"> </w:t>
      </w:r>
      <w:r w:rsidR="0071360A">
        <w:t>с</w:t>
      </w:r>
      <w:r w:rsidR="00EE6AA2">
        <w:t>е</w:t>
      </w:r>
      <w:r w:rsidR="004D1E15" w:rsidRPr="00F6340E">
        <w:t xml:space="preserve"> </w:t>
      </w:r>
      <w:r>
        <w:t>одно</w:t>
      </w:r>
      <w:r w:rsidR="0071360A">
        <w:t>с</w:t>
      </w:r>
      <w:r w:rsidR="00EE6AA2">
        <w:t>е</w:t>
      </w:r>
      <w:r w:rsidR="004D1E15" w:rsidRPr="00F6340E">
        <w:t xml:space="preserve"> </w:t>
      </w:r>
      <w:r>
        <w:t>на</w:t>
      </w:r>
      <w:r w:rsidR="004D1E15" w:rsidRPr="00F6340E">
        <w:t xml:space="preserve"> </w:t>
      </w:r>
      <w:r>
        <w:t>ин</w:t>
      </w:r>
      <w:r w:rsidR="0071360A">
        <w:t>т</w:t>
      </w:r>
      <w:r w:rsidR="00EE6AA2">
        <w:t>е</w:t>
      </w:r>
      <w:r w:rsidR="0071360A">
        <w:t>р</w:t>
      </w:r>
      <w:r>
        <w:t>но</w:t>
      </w:r>
      <w:r w:rsidR="004D1E15" w:rsidRPr="00F6340E">
        <w:t xml:space="preserve"> </w:t>
      </w:r>
      <w:r>
        <w:t>и</w:t>
      </w:r>
      <w:r w:rsidR="004D1E15" w:rsidRPr="00F6340E">
        <w:t xml:space="preserve"> </w:t>
      </w:r>
      <w:r w:rsidR="00EE6AA2">
        <w:t>е</w:t>
      </w:r>
      <w:r>
        <w:t>к</w:t>
      </w:r>
      <w:r w:rsidR="0071360A">
        <w:t>ст</w:t>
      </w:r>
      <w:r w:rsidR="00EE6AA2">
        <w:t>е</w:t>
      </w:r>
      <w:r w:rsidR="0071360A">
        <w:t>р</w:t>
      </w:r>
      <w:r>
        <w:t>но</w:t>
      </w:r>
      <w:r w:rsidR="004D1E15" w:rsidRPr="00F6340E">
        <w:t xml:space="preserve"> </w:t>
      </w:r>
      <w:r>
        <w:t>о</w:t>
      </w:r>
      <w:r w:rsidR="0071360A">
        <w:t>с</w:t>
      </w:r>
      <w:r>
        <w:t>иг</w:t>
      </w:r>
      <w:r w:rsidR="0071360A">
        <w:t>ур</w:t>
      </w:r>
      <w:r>
        <w:t>ањ</w:t>
      </w:r>
      <w:r w:rsidR="00EE6AA2">
        <w:t>е</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rsidR="0071360A">
        <w:t>у</w:t>
      </w:r>
      <w:r w:rsidR="004D1E15" w:rsidRPr="00F6340E">
        <w:t xml:space="preserve"> </w:t>
      </w:r>
      <w:r>
        <w:t>ин</w:t>
      </w:r>
      <w:r w:rsidR="0071360A">
        <w:t>ст</w:t>
      </w:r>
      <w:r>
        <w:t>и</w:t>
      </w:r>
      <w:r w:rsidR="0071360A">
        <w:t>ту</w:t>
      </w:r>
      <w:r>
        <w:t>цијама</w:t>
      </w:r>
      <w:r w:rsidR="004D1E15" w:rsidRPr="00F6340E">
        <w:t xml:space="preserve"> </w:t>
      </w:r>
      <w:r w:rsidR="0071360A">
        <w:t>в</w:t>
      </w:r>
      <w:r>
        <w:t>и</w:t>
      </w:r>
      <w:r w:rsidR="0071360A">
        <w:t>с</w:t>
      </w:r>
      <w:r>
        <w:t>оког</w:t>
      </w:r>
      <w:r w:rsidR="004D1E15" w:rsidRPr="00F6340E">
        <w:t xml:space="preserve"> </w:t>
      </w:r>
      <w:r>
        <w:t>об</w:t>
      </w:r>
      <w:r w:rsidR="0071360A">
        <w:t>р</w:t>
      </w:r>
      <w:r>
        <w:t>а</w:t>
      </w:r>
      <w:r w:rsidR="00171F00">
        <w:t>з</w:t>
      </w:r>
      <w:r>
        <w:t>о</w:t>
      </w:r>
      <w:r w:rsidR="0071360A">
        <w:t>в</w:t>
      </w:r>
      <w:r>
        <w:t>ања</w:t>
      </w:r>
      <w:r w:rsidR="004D1E15" w:rsidRPr="00F6340E">
        <w:t xml:space="preserve"> </w:t>
      </w:r>
      <w:r>
        <w:t>ја</w:t>
      </w:r>
      <w:r w:rsidR="0071360A">
        <w:t>с</w:t>
      </w:r>
      <w:r>
        <w:t>но</w:t>
      </w:r>
      <w:r w:rsidR="004D1E15" w:rsidRPr="00F6340E">
        <w:t xml:space="preserve"> </w:t>
      </w:r>
      <w:r w:rsidR="0071360A">
        <w:t>су</w:t>
      </w:r>
      <w:r w:rsidR="004D1E15" w:rsidRPr="00F6340E">
        <w:t xml:space="preserve"> </w:t>
      </w:r>
      <w:r>
        <w:t>о</w:t>
      </w:r>
      <w:r w:rsidR="0071360A">
        <w:t>п</w:t>
      </w:r>
      <w:r w:rsidR="00EE6AA2">
        <w:t>е</w:t>
      </w:r>
      <w:r w:rsidR="0071360A">
        <w:t>р</w:t>
      </w:r>
      <w:r>
        <w:t>ационали</w:t>
      </w:r>
      <w:r w:rsidR="00171F00">
        <w:t>з</w:t>
      </w:r>
      <w:r>
        <w:t>о</w:t>
      </w:r>
      <w:r w:rsidR="0071360A">
        <w:t>в</w:t>
      </w:r>
      <w:r>
        <w:t>ани</w:t>
      </w:r>
      <w:r w:rsidR="004D1E15" w:rsidRPr="00F6340E">
        <w:t xml:space="preserve"> </w:t>
      </w:r>
      <w:r>
        <w:t>и</w:t>
      </w:r>
      <w:r w:rsidR="004D1E15" w:rsidRPr="00F6340E">
        <w:t xml:space="preserve"> </w:t>
      </w:r>
      <w:r w:rsidR="0071360A">
        <w:t>пр</w:t>
      </w:r>
      <w:r>
        <w:t>аћ</w:t>
      </w:r>
      <w:r w:rsidR="00EE6AA2">
        <w:t>е</w:t>
      </w:r>
      <w:r>
        <w:t>ни</w:t>
      </w:r>
      <w:r w:rsidR="004D1E15" w:rsidRPr="00F6340E">
        <w:t xml:space="preserve"> </w:t>
      </w:r>
      <w:r>
        <w:t>одго</w:t>
      </w:r>
      <w:r w:rsidR="0071360A">
        <w:t>в</w:t>
      </w:r>
      <w:r>
        <w:t>а</w:t>
      </w:r>
      <w:r w:rsidR="0071360A">
        <w:t>р</w:t>
      </w:r>
      <w:r>
        <w:t>ај</w:t>
      </w:r>
      <w:r w:rsidR="0071360A">
        <w:t>у</w:t>
      </w:r>
      <w:r>
        <w:t>ћим</w:t>
      </w:r>
      <w:r w:rsidR="004D1E15" w:rsidRPr="00F6340E">
        <w:t xml:space="preserve"> </w:t>
      </w:r>
      <w:r>
        <w:t>индика</w:t>
      </w:r>
      <w:r w:rsidR="0071360A">
        <w:t>т</w:t>
      </w:r>
      <w:r>
        <w:t>о</w:t>
      </w:r>
      <w:r w:rsidR="0071360A">
        <w:t>р</w:t>
      </w:r>
      <w:r>
        <w:t>има</w:t>
      </w:r>
      <w:r w:rsidR="004D1E15" w:rsidRPr="00F6340E">
        <w:t xml:space="preserve">. </w:t>
      </w:r>
    </w:p>
    <w:p w14:paraId="6D6327BA" w14:textId="288F2B38" w:rsidR="004D1E15" w:rsidRPr="00F6340E" w:rsidRDefault="0071360A" w:rsidP="00115925">
      <w:pPr>
        <w:pStyle w:val="Body"/>
      </w:pPr>
      <w:r>
        <w:t>У</w:t>
      </w:r>
      <w:r w:rsidR="004D1E15" w:rsidRPr="00F6340E">
        <w:t xml:space="preserve"> </w:t>
      </w:r>
      <w:r w:rsidR="00A56E08">
        <w:t>кон</w:t>
      </w:r>
      <w:r>
        <w:t>т</w:t>
      </w:r>
      <w:r w:rsidR="00EE6AA2">
        <w:t>е</w:t>
      </w:r>
      <w:r w:rsidR="00A56E08">
        <w:t>к</w:t>
      </w:r>
      <w:r>
        <w:t>сту</w:t>
      </w:r>
      <w:r w:rsidR="004D1E15" w:rsidRPr="00F6340E">
        <w:t xml:space="preserve"> </w:t>
      </w:r>
      <w:r>
        <w:t>пр</w:t>
      </w:r>
      <w:r w:rsidR="00A56E08">
        <w:t>аћ</w:t>
      </w:r>
      <w:r w:rsidR="00EE6AA2">
        <w:t>е</w:t>
      </w:r>
      <w:r w:rsidR="00A56E08">
        <w:t>ња</w:t>
      </w:r>
      <w:r w:rsidR="004D1E15" w:rsidRPr="00F6340E">
        <w:t xml:space="preserve"> </w:t>
      </w:r>
      <w:r w:rsidR="00A56E08">
        <w:t>к</w:t>
      </w:r>
      <w:r>
        <w:t>в</w:t>
      </w:r>
      <w:r w:rsidR="00A56E08">
        <w:t>али</w:t>
      </w:r>
      <w:r>
        <w:t>т</w:t>
      </w:r>
      <w:r w:rsidR="00EE6AA2">
        <w:t>е</w:t>
      </w:r>
      <w:r>
        <w:t>т</w:t>
      </w:r>
      <w:r w:rsidR="00EE6AA2">
        <w:t>е</w:t>
      </w:r>
      <w:r w:rsidR="004D1E15" w:rsidRPr="00F6340E">
        <w:t xml:space="preserve"> </w:t>
      </w:r>
      <w:r>
        <w:t>р</w:t>
      </w:r>
      <w:r w:rsidR="00A56E08">
        <w:t>ада</w:t>
      </w:r>
      <w:r w:rsidR="004D1E15" w:rsidRPr="00F6340E">
        <w:t xml:space="preserve"> </w:t>
      </w:r>
      <w:r>
        <w:t>ВШУ</w:t>
      </w:r>
      <w:r w:rsidR="004D1E15" w:rsidRPr="00F6340E">
        <w:t xml:space="preserve"> </w:t>
      </w:r>
      <w:r>
        <w:t>в</w:t>
      </w:r>
      <w:r w:rsidR="00A56E08">
        <w:t>а</w:t>
      </w:r>
      <w:r w:rsidR="00171F00">
        <w:t>ж</w:t>
      </w:r>
      <w:r w:rsidR="00A56E08">
        <w:t>но</w:t>
      </w:r>
      <w:r w:rsidR="004D1E15" w:rsidRPr="00F6340E">
        <w:t xml:space="preserve"> </w:t>
      </w:r>
      <w:r w:rsidR="00A56E08">
        <w:t>ј</w:t>
      </w:r>
      <w:r w:rsidR="00EE6AA2">
        <w:t>е</w:t>
      </w:r>
      <w:r w:rsidR="004D1E15" w:rsidRPr="00F6340E">
        <w:t xml:space="preserve"> </w:t>
      </w:r>
      <w:r>
        <w:t>сп</w:t>
      </w:r>
      <w:r w:rsidR="00A56E08">
        <w:t>ом</w:t>
      </w:r>
      <w:r w:rsidR="00EE6AA2">
        <w:t>е</w:t>
      </w:r>
      <w:r w:rsidR="00A56E08">
        <w:t>н</w:t>
      </w:r>
      <w:r>
        <w:t>ут</w:t>
      </w:r>
      <w:r w:rsidR="00A56E08">
        <w:t>и</w:t>
      </w:r>
      <w:r w:rsidR="004D1E15" w:rsidRPr="00F6340E">
        <w:t xml:space="preserve"> </w:t>
      </w:r>
      <w:r w:rsidR="00A56E08">
        <w:t>и</w:t>
      </w:r>
      <w:r w:rsidR="004D1E15" w:rsidRPr="00F6340E">
        <w:t xml:space="preserve"> </w:t>
      </w:r>
      <w:r w:rsidR="00A56E08">
        <w:t>к</w:t>
      </w:r>
      <w:r>
        <w:t>р</w:t>
      </w:r>
      <w:r w:rsidR="00A56E08">
        <w:t>и</w:t>
      </w:r>
      <w:r>
        <w:t>т</w:t>
      </w:r>
      <w:r w:rsidR="00EE6AA2">
        <w:t>е</w:t>
      </w:r>
      <w:r>
        <w:t>р</w:t>
      </w:r>
      <w:r w:rsidR="00A56E08">
        <w:t>иј</w:t>
      </w:r>
      <w:r w:rsidR="00EE6AA2">
        <w:t>е</w:t>
      </w:r>
      <w:r w:rsidR="004D1E15" w:rsidRPr="00F6340E">
        <w:t xml:space="preserve"> </w:t>
      </w:r>
      <w:r w:rsidR="00171F00">
        <w:t>з</w:t>
      </w:r>
      <w:r w:rsidR="00A56E08">
        <w:t>а</w:t>
      </w:r>
      <w:r w:rsidR="004D1E15" w:rsidRPr="00F6340E">
        <w:t xml:space="preserve"> </w:t>
      </w:r>
      <w:r w:rsidR="00A56E08">
        <w:t>ак</w:t>
      </w:r>
      <w:r>
        <w:t>р</w:t>
      </w:r>
      <w:r w:rsidR="00EE6AA2">
        <w:t>е</w:t>
      </w:r>
      <w:r w:rsidR="00A56E08">
        <w:t>ди</w:t>
      </w:r>
      <w:r>
        <w:t>т</w:t>
      </w:r>
      <w:r w:rsidR="00A56E08">
        <w:t>ациј</w:t>
      </w:r>
      <w:r>
        <w:t>у</w:t>
      </w:r>
      <w:r w:rsidR="004D1E15" w:rsidRPr="00F6340E">
        <w:t xml:space="preserve"> </w:t>
      </w:r>
      <w:r>
        <w:t>у</w:t>
      </w:r>
      <w:r w:rsidR="004D1E15" w:rsidRPr="00F6340E">
        <w:t xml:space="preserve"> </w:t>
      </w:r>
      <w:r w:rsidR="00A56E08">
        <w:t>Бо</w:t>
      </w:r>
      <w:r>
        <w:t>с</w:t>
      </w:r>
      <w:r w:rsidR="00A56E08">
        <w:t>ни</w:t>
      </w:r>
      <w:r w:rsidR="004D1E15" w:rsidRPr="00F6340E">
        <w:t xml:space="preserve"> </w:t>
      </w:r>
      <w:r w:rsidR="00A56E08">
        <w:t>и</w:t>
      </w:r>
      <w:r w:rsidR="004D1E15" w:rsidRPr="00F6340E">
        <w:t xml:space="preserve"> </w:t>
      </w:r>
      <w:r w:rsidR="00A56E08">
        <w:t>Х</w:t>
      </w:r>
      <w:r w:rsidR="00EE6AA2">
        <w:t>е</w:t>
      </w:r>
      <w:r>
        <w:t>р</w:t>
      </w:r>
      <w:r w:rsidR="00A56E08">
        <w:t>ц</w:t>
      </w:r>
      <w:r w:rsidR="00EE6AA2">
        <w:t>е</w:t>
      </w:r>
      <w:r w:rsidR="00A56E08">
        <w:t>го</w:t>
      </w:r>
      <w:r>
        <w:t>в</w:t>
      </w:r>
      <w:r w:rsidR="00A56E08">
        <w:t>ини</w:t>
      </w:r>
      <w:r w:rsidR="004D1E15" w:rsidRPr="00F6340E">
        <w:t xml:space="preserve">, </w:t>
      </w:r>
      <w:r w:rsidR="00A56E08">
        <w:t>који</w:t>
      </w:r>
      <w:r w:rsidR="004D1E15" w:rsidRPr="00F6340E">
        <w:t xml:space="preserve"> </w:t>
      </w:r>
      <w:r>
        <w:t>п</w:t>
      </w:r>
      <w:r w:rsidR="00A56E08">
        <w:t>ок</w:t>
      </w:r>
      <w:r>
        <w:t>р</w:t>
      </w:r>
      <w:r w:rsidR="00A56E08">
        <w:t>и</w:t>
      </w:r>
      <w:r>
        <w:t>в</w:t>
      </w:r>
      <w:r w:rsidR="00A56E08">
        <w:t>ај</w:t>
      </w:r>
      <w:r>
        <w:t>у</w:t>
      </w:r>
      <w:r w:rsidR="004D1E15" w:rsidRPr="00F6340E">
        <w:t xml:space="preserve"> </w:t>
      </w:r>
      <w:r w:rsidR="00A56E08">
        <w:t>д</w:t>
      </w:r>
      <w:r w:rsidR="00EE6AA2">
        <w:t>е</w:t>
      </w:r>
      <w:r>
        <w:t>с</w:t>
      </w:r>
      <w:r w:rsidR="00EE6AA2">
        <w:t>е</w:t>
      </w:r>
      <w:r>
        <w:t>т</w:t>
      </w:r>
      <w:r w:rsidR="004D1E15" w:rsidRPr="00F6340E">
        <w:t xml:space="preserve"> </w:t>
      </w:r>
      <w:r w:rsidR="00A56E08">
        <w:t>обла</w:t>
      </w:r>
      <w:r>
        <w:t>ст</w:t>
      </w:r>
      <w:r w:rsidR="00A56E08">
        <w:t>и</w:t>
      </w:r>
      <w:r w:rsidR="004D1E15" w:rsidRPr="00F6340E">
        <w:t xml:space="preserve">: </w:t>
      </w:r>
      <w:r>
        <w:t>п</w:t>
      </w:r>
      <w:r w:rsidR="00A56E08">
        <w:t>оли</w:t>
      </w:r>
      <w:r>
        <w:t>т</w:t>
      </w:r>
      <w:r w:rsidR="00A56E08">
        <w:t>ика</w:t>
      </w:r>
      <w:r w:rsidR="004D1E15" w:rsidRPr="00F6340E">
        <w:t xml:space="preserve"> </w:t>
      </w:r>
      <w:r w:rsidR="00A56E08">
        <w:t>о</w:t>
      </w:r>
      <w:r>
        <w:t>с</w:t>
      </w:r>
      <w:r w:rsidR="00A56E08">
        <w:t>иг</w:t>
      </w:r>
      <w:r>
        <w:t>ур</w:t>
      </w:r>
      <w:r w:rsidR="00A56E08">
        <w:t>ања</w:t>
      </w:r>
      <w:r w:rsidR="004D1E15" w:rsidRPr="00F6340E">
        <w:t xml:space="preserve"> </w:t>
      </w:r>
      <w:r w:rsidR="00A56E08">
        <w:t>к</w:t>
      </w:r>
      <w:r>
        <w:t>в</w:t>
      </w:r>
      <w:r w:rsidR="00A56E08">
        <w:t>али</w:t>
      </w:r>
      <w:r>
        <w:t>т</w:t>
      </w:r>
      <w:r w:rsidR="00EE6AA2">
        <w:t>е</w:t>
      </w:r>
      <w:r>
        <w:t>т</w:t>
      </w:r>
      <w:r w:rsidR="00A56E08">
        <w:t>а</w:t>
      </w:r>
      <w:r w:rsidR="004D1E15" w:rsidRPr="00F6340E">
        <w:t xml:space="preserve">, </w:t>
      </w:r>
      <w:r w:rsidR="00A56E08">
        <w:t>и</w:t>
      </w:r>
      <w:r w:rsidR="00171F00">
        <w:t>з</w:t>
      </w:r>
      <w:r>
        <w:t>р</w:t>
      </w:r>
      <w:r w:rsidR="00A56E08">
        <w:t>ада</w:t>
      </w:r>
      <w:r w:rsidR="004D1E15" w:rsidRPr="00F6340E">
        <w:t xml:space="preserve"> </w:t>
      </w:r>
      <w:r w:rsidR="00A56E08">
        <w:t>и</w:t>
      </w:r>
      <w:r w:rsidR="004D1E15" w:rsidRPr="00F6340E">
        <w:t xml:space="preserve"> </w:t>
      </w:r>
      <w:r w:rsidR="00A56E08">
        <w:t>одоб</w:t>
      </w:r>
      <w:r>
        <w:t>р</w:t>
      </w:r>
      <w:r w:rsidR="00A56E08">
        <w:t>а</w:t>
      </w:r>
      <w:r>
        <w:t>в</w:t>
      </w:r>
      <w:r w:rsidR="00A56E08">
        <w:t>ањ</w:t>
      </w:r>
      <w:r w:rsidR="00EE6AA2">
        <w:t>е</w:t>
      </w:r>
      <w:r w:rsidR="004D1E15" w:rsidRPr="00F6340E">
        <w:t xml:space="preserve"> </w:t>
      </w:r>
      <w:r>
        <w:t>пр</w:t>
      </w:r>
      <w:r w:rsidR="00A56E08">
        <w:t>ог</w:t>
      </w:r>
      <w:r>
        <w:t>р</w:t>
      </w:r>
      <w:r w:rsidR="00A56E08">
        <w:t>ама</w:t>
      </w:r>
      <w:r w:rsidR="004D1E15" w:rsidRPr="00F6340E">
        <w:t xml:space="preserve">, </w:t>
      </w:r>
      <w:r>
        <w:t>у</w:t>
      </w:r>
      <w:r w:rsidR="00CB5414">
        <w:t>ч</w:t>
      </w:r>
      <w:r w:rsidR="00EE6AA2">
        <w:t>е</w:t>
      </w:r>
      <w:r w:rsidR="00A56E08">
        <w:t>њ</w:t>
      </w:r>
      <w:r w:rsidR="00EE6AA2">
        <w:t>е</w:t>
      </w:r>
      <w:r w:rsidR="004D1E15" w:rsidRPr="00F6340E">
        <w:t xml:space="preserve">, </w:t>
      </w:r>
      <w:r>
        <w:t>п</w:t>
      </w:r>
      <w:r w:rsidR="00A56E08">
        <w:t>од</w:t>
      </w:r>
      <w:r>
        <w:t>у</w:t>
      </w:r>
      <w:r w:rsidR="00CB5414">
        <w:t>ч</w:t>
      </w:r>
      <w:r w:rsidR="00A56E08">
        <w:t>а</w:t>
      </w:r>
      <w:r>
        <w:t>в</w:t>
      </w:r>
      <w:r w:rsidR="00A56E08">
        <w:t>ањ</w:t>
      </w:r>
      <w:r w:rsidR="00EE6AA2">
        <w:t>е</w:t>
      </w:r>
      <w:r w:rsidR="004D1E15" w:rsidRPr="00F6340E">
        <w:t xml:space="preserve"> </w:t>
      </w:r>
      <w:r w:rsidR="00A56E08">
        <w:t>и</w:t>
      </w:r>
      <w:r w:rsidR="004D1E15" w:rsidRPr="00F6340E">
        <w:t xml:space="preserve"> </w:t>
      </w:r>
      <w:r>
        <w:t>вр</w:t>
      </w:r>
      <w:r w:rsidR="00EE6AA2">
        <w:t>е</w:t>
      </w:r>
      <w:r w:rsidR="00A56E08">
        <w:t>дно</w:t>
      </w:r>
      <w:r>
        <w:t>в</w:t>
      </w:r>
      <w:r w:rsidR="00A56E08">
        <w:t>ањ</w:t>
      </w:r>
      <w:r w:rsidR="00EE6AA2">
        <w:t>е</w:t>
      </w:r>
      <w:r w:rsidR="004D1E15" w:rsidRPr="00F6340E">
        <w:t xml:space="preserve"> </w:t>
      </w:r>
      <w:r>
        <w:t>ус</w:t>
      </w:r>
      <w:r w:rsidR="00A56E08">
        <w:t>мј</w:t>
      </w:r>
      <w:r w:rsidR="00EE6AA2">
        <w:t>е</w:t>
      </w:r>
      <w:r>
        <w:t>р</w:t>
      </w:r>
      <w:r w:rsidR="00EE6AA2">
        <w:t>е</w:t>
      </w:r>
      <w:r w:rsidR="00A56E08">
        <w:t>ни</w:t>
      </w:r>
      <w:r w:rsidR="004D1E15" w:rsidRPr="00F6340E">
        <w:t xml:space="preserve"> </w:t>
      </w:r>
      <w:r w:rsidR="00A56E08">
        <w:t>на</w:t>
      </w:r>
      <w:r w:rsidR="004D1E15" w:rsidRPr="00F6340E">
        <w:t xml:space="preserve"> </w:t>
      </w:r>
      <w:r>
        <w:t>сту</w:t>
      </w:r>
      <w:r w:rsidR="00A56E08">
        <w:t>д</w:t>
      </w:r>
      <w:r w:rsidR="00EE6AA2">
        <w:t>е</w:t>
      </w:r>
      <w:r w:rsidR="00A56E08">
        <w:t>н</w:t>
      </w:r>
      <w:r>
        <w:t>т</w:t>
      </w:r>
      <w:r w:rsidR="00A56E08">
        <w:t>а</w:t>
      </w:r>
      <w:r w:rsidR="004D1E15" w:rsidRPr="00F6340E">
        <w:t xml:space="preserve">, </w:t>
      </w:r>
      <w:r>
        <w:t>уп</w:t>
      </w:r>
      <w:r w:rsidR="00A56E08">
        <w:t>и</w:t>
      </w:r>
      <w:r>
        <w:t>с</w:t>
      </w:r>
      <w:r w:rsidR="004D1E15" w:rsidRPr="00F6340E">
        <w:t xml:space="preserve"> </w:t>
      </w:r>
      <w:r w:rsidR="00A56E08">
        <w:t>и</w:t>
      </w:r>
      <w:r w:rsidR="004D1E15" w:rsidRPr="00F6340E">
        <w:t xml:space="preserve"> </w:t>
      </w:r>
      <w:r w:rsidR="00A56E08">
        <w:t>на</w:t>
      </w:r>
      <w:r>
        <w:t>пр</w:t>
      </w:r>
      <w:r w:rsidR="00EE6AA2">
        <w:t>е</w:t>
      </w:r>
      <w:r w:rsidR="00A56E08">
        <w:t>до</w:t>
      </w:r>
      <w:r>
        <w:t>в</w:t>
      </w:r>
      <w:r w:rsidR="00A56E08">
        <w:t>ањ</w:t>
      </w:r>
      <w:r w:rsidR="00EE6AA2">
        <w:t>е</w:t>
      </w:r>
      <w:r w:rsidR="004D1E15" w:rsidRPr="00F6340E">
        <w:t xml:space="preserve"> </w:t>
      </w:r>
      <w:r>
        <w:t>сту</w:t>
      </w:r>
      <w:r w:rsidR="00A56E08">
        <w:t>д</w:t>
      </w:r>
      <w:r w:rsidR="00EE6AA2">
        <w:t>е</w:t>
      </w:r>
      <w:r w:rsidR="00A56E08">
        <w:t>на</w:t>
      </w:r>
      <w:r>
        <w:t>т</w:t>
      </w:r>
      <w:r w:rsidR="00A56E08">
        <w:t>а</w:t>
      </w:r>
      <w:r w:rsidR="004D1E15" w:rsidRPr="00F6340E">
        <w:t xml:space="preserve">, </w:t>
      </w:r>
      <w:r>
        <w:t>пр</w:t>
      </w:r>
      <w:r w:rsidR="00A56E08">
        <w:t>и</w:t>
      </w:r>
      <w:r w:rsidR="00171F00">
        <w:t>з</w:t>
      </w:r>
      <w:r w:rsidR="00A56E08">
        <w:t>на</w:t>
      </w:r>
      <w:r>
        <w:t>в</w:t>
      </w:r>
      <w:r w:rsidR="00A56E08">
        <w:t>ањ</w:t>
      </w:r>
      <w:r w:rsidR="00EE6AA2">
        <w:t>е</w:t>
      </w:r>
      <w:r w:rsidR="004D1E15" w:rsidRPr="00F6340E">
        <w:t xml:space="preserve"> </w:t>
      </w:r>
      <w:r w:rsidR="00A56E08">
        <w:t>и</w:t>
      </w:r>
      <w:r w:rsidR="004D1E15" w:rsidRPr="00F6340E">
        <w:t xml:space="preserve"> </w:t>
      </w:r>
      <w:r w:rsidR="00A56E08">
        <w:t>ц</w:t>
      </w:r>
      <w:r w:rsidR="00EE6AA2">
        <w:t>е</w:t>
      </w:r>
      <w:r>
        <w:t>рт</w:t>
      </w:r>
      <w:r w:rsidR="00A56E08">
        <w:t>ификација</w:t>
      </w:r>
      <w:r w:rsidR="004D1E15" w:rsidRPr="00F6340E">
        <w:t xml:space="preserve">, </w:t>
      </w:r>
      <w:r w:rsidR="00A56E08">
        <w:t>на</w:t>
      </w:r>
      <w:r>
        <w:t>ст</w:t>
      </w:r>
      <w:r w:rsidR="00A56E08">
        <w:t>а</w:t>
      </w:r>
      <w:r>
        <w:t>в</w:t>
      </w:r>
      <w:r w:rsidR="00A56E08">
        <w:t>но</w:t>
      </w:r>
      <w:r w:rsidR="004D1E15" w:rsidRPr="00F6340E">
        <w:t xml:space="preserve"> </w:t>
      </w:r>
      <w:r w:rsidR="00A56E08">
        <w:t>о</w:t>
      </w:r>
      <w:r>
        <w:t>с</w:t>
      </w:r>
      <w:r w:rsidR="00A56E08">
        <w:t>обљ</w:t>
      </w:r>
      <w:r w:rsidR="00EE6AA2">
        <w:t>е</w:t>
      </w:r>
      <w:r w:rsidR="004D1E15" w:rsidRPr="00F6340E">
        <w:t xml:space="preserve">, </w:t>
      </w:r>
      <w:r>
        <w:t>р</w:t>
      </w:r>
      <w:r w:rsidR="00EE6AA2">
        <w:t>е</w:t>
      </w:r>
      <w:r>
        <w:t>сурс</w:t>
      </w:r>
      <w:r w:rsidR="00A56E08">
        <w:t>и</w:t>
      </w:r>
      <w:r w:rsidR="004D1E15" w:rsidRPr="00F6340E">
        <w:t xml:space="preserve"> </w:t>
      </w:r>
      <w:r w:rsidR="00171F00">
        <w:t>з</w:t>
      </w:r>
      <w:r w:rsidR="00A56E08">
        <w:t>а</w:t>
      </w:r>
      <w:r w:rsidR="004D1E15" w:rsidRPr="00F6340E">
        <w:t xml:space="preserve"> </w:t>
      </w:r>
      <w:r>
        <w:t>у</w:t>
      </w:r>
      <w:r w:rsidR="00CB5414">
        <w:t>ч</w:t>
      </w:r>
      <w:r w:rsidR="00EE6AA2">
        <w:t>е</w:t>
      </w:r>
      <w:r w:rsidR="00A56E08">
        <w:t>њ</w:t>
      </w:r>
      <w:r w:rsidR="00EE6AA2">
        <w:t>е</w:t>
      </w:r>
      <w:r w:rsidR="004D1E15" w:rsidRPr="00F6340E">
        <w:t xml:space="preserve"> </w:t>
      </w:r>
      <w:r w:rsidR="00A56E08">
        <w:t>и</w:t>
      </w:r>
      <w:r w:rsidR="004D1E15" w:rsidRPr="00F6340E">
        <w:t xml:space="preserve"> </w:t>
      </w:r>
      <w:r>
        <w:t>п</w:t>
      </w:r>
      <w:r w:rsidR="00A56E08">
        <w:t>од</w:t>
      </w:r>
      <w:r>
        <w:t>р</w:t>
      </w:r>
      <w:r w:rsidR="00CB5414">
        <w:t>ш</w:t>
      </w:r>
      <w:r w:rsidR="00A56E08">
        <w:t>ка</w:t>
      </w:r>
      <w:r w:rsidR="004D1E15" w:rsidRPr="00F6340E">
        <w:t xml:space="preserve"> </w:t>
      </w:r>
      <w:r>
        <w:t>сту</w:t>
      </w:r>
      <w:r w:rsidR="00A56E08">
        <w:t>д</w:t>
      </w:r>
      <w:r w:rsidR="00EE6AA2">
        <w:t>е</w:t>
      </w:r>
      <w:r w:rsidR="00A56E08">
        <w:t>н</w:t>
      </w:r>
      <w:r>
        <w:t>т</w:t>
      </w:r>
      <w:r w:rsidR="00A56E08">
        <w:t>има</w:t>
      </w:r>
      <w:r w:rsidR="004D1E15" w:rsidRPr="00F6340E">
        <w:t xml:space="preserve">, </w:t>
      </w:r>
      <w:r>
        <w:t>упр</w:t>
      </w:r>
      <w:r w:rsidR="00A56E08">
        <w:t>а</w:t>
      </w:r>
      <w:r>
        <w:t>в</w:t>
      </w:r>
      <w:r w:rsidR="00A56E08">
        <w:t>љањ</w:t>
      </w:r>
      <w:r w:rsidR="00EE6AA2">
        <w:t>е</w:t>
      </w:r>
      <w:r w:rsidR="004D1E15" w:rsidRPr="00F6340E">
        <w:t xml:space="preserve"> </w:t>
      </w:r>
      <w:r w:rsidR="00A56E08">
        <w:t>инфо</w:t>
      </w:r>
      <w:r>
        <w:t>р</w:t>
      </w:r>
      <w:r w:rsidR="00A56E08">
        <w:t>мацијама</w:t>
      </w:r>
      <w:r w:rsidR="004D1E15" w:rsidRPr="00F6340E">
        <w:t xml:space="preserve">, </w:t>
      </w:r>
      <w:r w:rsidR="00A56E08">
        <w:t>инфо</w:t>
      </w:r>
      <w:r>
        <w:t>р</w:t>
      </w:r>
      <w:r w:rsidR="00A56E08">
        <w:t>ми</w:t>
      </w:r>
      <w:r>
        <w:t>с</w:t>
      </w:r>
      <w:r w:rsidR="00A56E08">
        <w:t>ањ</w:t>
      </w:r>
      <w:r w:rsidR="00EE6AA2">
        <w:t>е</w:t>
      </w:r>
      <w:r w:rsidR="004D1E15" w:rsidRPr="00F6340E">
        <w:t xml:space="preserve"> </w:t>
      </w:r>
      <w:r w:rsidR="00A56E08">
        <w:t>ја</w:t>
      </w:r>
      <w:r>
        <w:t>в</w:t>
      </w:r>
      <w:r w:rsidR="00A56E08">
        <w:t>но</w:t>
      </w:r>
      <w:r>
        <w:t>ст</w:t>
      </w:r>
      <w:r w:rsidR="00A56E08">
        <w:t>и</w:t>
      </w:r>
      <w:r w:rsidR="004D1E15" w:rsidRPr="00F6340E">
        <w:t xml:space="preserve">, </w:t>
      </w:r>
      <w:r w:rsidR="00A56E08">
        <w:t>кон</w:t>
      </w:r>
      <w:r>
        <w:t>т</w:t>
      </w:r>
      <w:r w:rsidR="00A56E08">
        <w:t>ин</w:t>
      </w:r>
      <w:r>
        <w:t>у</w:t>
      </w:r>
      <w:r w:rsidR="00A56E08">
        <w:t>ално</w:t>
      </w:r>
      <w:r w:rsidR="004D1E15" w:rsidRPr="00F6340E">
        <w:t xml:space="preserve"> </w:t>
      </w:r>
      <w:r>
        <w:t>пр</w:t>
      </w:r>
      <w:r w:rsidR="00A56E08">
        <w:t>а</w:t>
      </w:r>
      <w:r w:rsidR="000010C5">
        <w:t>ћ</w:t>
      </w:r>
      <w:r w:rsidR="00EE6AA2">
        <w:t>е</w:t>
      </w:r>
      <w:r w:rsidR="00A56E08">
        <w:t>њ</w:t>
      </w:r>
      <w:r w:rsidR="00EE6AA2">
        <w:t>е</w:t>
      </w:r>
      <w:r w:rsidR="004D1E15" w:rsidRPr="00F6340E">
        <w:t xml:space="preserve"> </w:t>
      </w:r>
      <w:r w:rsidR="00A56E08">
        <w:t>и</w:t>
      </w:r>
      <w:r w:rsidR="004D1E15" w:rsidRPr="00F6340E">
        <w:t xml:space="preserve"> </w:t>
      </w:r>
      <w:r>
        <w:t>п</w:t>
      </w:r>
      <w:r w:rsidR="00EE6AA2">
        <w:t>е</w:t>
      </w:r>
      <w:r>
        <w:t>р</w:t>
      </w:r>
      <w:r w:rsidR="00A56E08">
        <w:t>иоди</w:t>
      </w:r>
      <w:r w:rsidR="00CB5414">
        <w:t>ч</w:t>
      </w:r>
      <w:r w:rsidR="00A56E08">
        <w:t>на</w:t>
      </w:r>
      <w:r w:rsidR="004D1E15" w:rsidRPr="00F6340E">
        <w:t xml:space="preserve"> </w:t>
      </w:r>
      <w:r>
        <w:t>р</w:t>
      </w:r>
      <w:r w:rsidR="00EE6AA2">
        <w:t>е</w:t>
      </w:r>
      <w:r>
        <w:t>в</w:t>
      </w:r>
      <w:r w:rsidR="00A56E08">
        <w:t>и</w:t>
      </w:r>
      <w:r w:rsidR="00171F00">
        <w:t>з</w:t>
      </w:r>
      <w:r w:rsidR="00A56E08">
        <w:t>ија</w:t>
      </w:r>
      <w:r w:rsidR="004D1E15" w:rsidRPr="00F6340E">
        <w:t xml:space="preserve"> </w:t>
      </w:r>
      <w:r>
        <w:t>пр</w:t>
      </w:r>
      <w:r w:rsidR="00A56E08">
        <w:t>ог</w:t>
      </w:r>
      <w:r>
        <w:t>р</w:t>
      </w:r>
      <w:r w:rsidR="00A56E08">
        <w:t>ама</w:t>
      </w:r>
      <w:r w:rsidR="004D1E15" w:rsidRPr="00F6340E">
        <w:t xml:space="preserve">, </w:t>
      </w:r>
      <w:r>
        <w:t>п</w:t>
      </w:r>
      <w:r w:rsidR="00EE6AA2">
        <w:t>е</w:t>
      </w:r>
      <w:r>
        <w:t>р</w:t>
      </w:r>
      <w:r w:rsidR="00A56E08">
        <w:t>иодично</w:t>
      </w:r>
      <w:r w:rsidR="004D1E15" w:rsidRPr="00F6340E">
        <w:t xml:space="preserve"> </w:t>
      </w:r>
      <w:r w:rsidR="00EE6AA2">
        <w:t>е</w:t>
      </w:r>
      <w:r w:rsidR="00A56E08">
        <w:t>к</w:t>
      </w:r>
      <w:r>
        <w:t>ст</w:t>
      </w:r>
      <w:r w:rsidR="00EE6AA2">
        <w:t>е</w:t>
      </w:r>
      <w:r>
        <w:t>р</w:t>
      </w:r>
      <w:r w:rsidR="00A56E08">
        <w:t>но</w:t>
      </w:r>
      <w:r w:rsidR="004D1E15" w:rsidRPr="00F6340E">
        <w:t xml:space="preserve"> </w:t>
      </w:r>
      <w:r w:rsidR="00A56E08">
        <w:t>о</w:t>
      </w:r>
      <w:r>
        <w:t>с</w:t>
      </w:r>
      <w:r w:rsidR="00A56E08">
        <w:t>иг</w:t>
      </w:r>
      <w:r>
        <w:t>ур</w:t>
      </w:r>
      <w:r w:rsidR="00A56E08">
        <w:t>ањ</w:t>
      </w:r>
      <w:r w:rsidR="00EE6AA2">
        <w:t>е</w:t>
      </w:r>
      <w:r w:rsidR="004D1E15" w:rsidRPr="00F6340E">
        <w:t xml:space="preserve"> </w:t>
      </w:r>
      <w:r w:rsidR="00A56E08">
        <w:t>к</w:t>
      </w:r>
      <w:r>
        <w:t>в</w:t>
      </w:r>
      <w:r w:rsidR="00A56E08">
        <w:t>али</w:t>
      </w:r>
      <w:r>
        <w:t>т</w:t>
      </w:r>
      <w:r w:rsidR="00EE6AA2">
        <w:t>е</w:t>
      </w:r>
      <w:r>
        <w:t>т</w:t>
      </w:r>
      <w:r w:rsidR="00A56E08">
        <w:t>а</w:t>
      </w:r>
      <w:r w:rsidR="004D1E15" w:rsidRPr="00F6340E">
        <w:t xml:space="preserve">.  </w:t>
      </w:r>
    </w:p>
    <w:p w14:paraId="0FF80B9A" w14:textId="1F105C5D" w:rsidR="004D1E15" w:rsidRPr="00F6340E" w:rsidRDefault="00171F00" w:rsidP="00115925">
      <w:pPr>
        <w:pStyle w:val="Body"/>
      </w:pPr>
      <w:r>
        <w:t>З</w:t>
      </w:r>
      <w:r w:rsidR="00A56E08">
        <w:t>а</w:t>
      </w:r>
      <w:r w:rsidR="0071360A">
        <w:t>т</w:t>
      </w:r>
      <w:r w:rsidR="00A56E08">
        <w:t>о</w:t>
      </w:r>
      <w:r w:rsidR="000F5BD8" w:rsidRPr="00F6340E">
        <w:t xml:space="preserve"> </w:t>
      </w:r>
      <w:r w:rsidR="00A56E08">
        <w:t>ј</w:t>
      </w:r>
      <w:r w:rsidR="00EE6AA2">
        <w:t>е</w:t>
      </w:r>
      <w:r w:rsidR="004D1E15" w:rsidRPr="00F6340E">
        <w:t xml:space="preserve"> </w:t>
      </w:r>
      <w:r w:rsidR="00A56E08">
        <w:t>мог</w:t>
      </w:r>
      <w:r w:rsidR="0071360A">
        <w:t>у</w:t>
      </w:r>
      <w:r w:rsidR="00A56E08">
        <w:t>ћ</w:t>
      </w:r>
      <w:r w:rsidR="00EE6AA2">
        <w:t>е</w:t>
      </w:r>
      <w:r w:rsidR="004D1E15" w:rsidRPr="00F6340E">
        <w:t xml:space="preserve"> </w:t>
      </w:r>
      <w:r w:rsidR="0071360A">
        <w:t>у</w:t>
      </w:r>
      <w:r w:rsidR="00A56E08">
        <w:t>очи</w:t>
      </w:r>
      <w:r w:rsidR="0071360A">
        <w:t>т</w:t>
      </w:r>
      <w:r w:rsidR="00A56E08">
        <w:t>и</w:t>
      </w:r>
      <w:r w:rsidR="004D1E15" w:rsidRPr="00F6340E">
        <w:t xml:space="preserve"> </w:t>
      </w:r>
      <w:r w:rsidR="00A56E08">
        <w:t>да</w:t>
      </w:r>
      <w:r w:rsidR="000F5BD8" w:rsidRPr="00F6340E">
        <w:t>,</w:t>
      </w:r>
      <w:r w:rsidR="004D1E15" w:rsidRPr="00F6340E">
        <w:t xml:space="preserve"> </w:t>
      </w:r>
      <w:r w:rsidR="0071360A">
        <w:t>у</w:t>
      </w:r>
      <w:r>
        <w:t>з</w:t>
      </w:r>
      <w:r w:rsidR="004D1E15" w:rsidRPr="00F6340E">
        <w:t xml:space="preserve"> </w:t>
      </w:r>
      <w:r w:rsidR="00A56E08">
        <w:t>ја</w:t>
      </w:r>
      <w:r w:rsidR="0071360A">
        <w:t>с</w:t>
      </w:r>
      <w:r w:rsidR="00A56E08">
        <w:t>н</w:t>
      </w:r>
      <w:r w:rsidR="00EE6AA2">
        <w:t>е</w:t>
      </w:r>
      <w:r w:rsidR="004D1E15" w:rsidRPr="00F6340E">
        <w:t xml:space="preserve"> </w:t>
      </w:r>
      <w:r w:rsidR="0071360A">
        <w:t>с</w:t>
      </w:r>
      <w:r w:rsidR="00A56E08">
        <w:t>мј</w:t>
      </w:r>
      <w:r w:rsidR="00EE6AA2">
        <w:t>е</w:t>
      </w:r>
      <w:r w:rsidR="0071360A">
        <w:t>р</w:t>
      </w:r>
      <w:r w:rsidR="00A56E08">
        <w:t>ниц</w:t>
      </w:r>
      <w:r w:rsidR="00EE6AA2">
        <w:t>е</w:t>
      </w:r>
      <w:r w:rsidR="004D1E15" w:rsidRPr="00F6340E">
        <w:t xml:space="preserve">, </w:t>
      </w:r>
      <w:r w:rsidR="0071360A">
        <w:t>ст</w:t>
      </w:r>
      <w:r w:rsidR="00A56E08">
        <w:t>анда</w:t>
      </w:r>
      <w:r w:rsidR="0071360A">
        <w:t>р</w:t>
      </w:r>
      <w:r w:rsidR="00A56E08">
        <w:t>д</w:t>
      </w:r>
      <w:r w:rsidR="00EE6AA2">
        <w:t>е</w:t>
      </w:r>
      <w:r w:rsidR="004D1E15" w:rsidRPr="00F6340E">
        <w:t xml:space="preserve"> </w:t>
      </w:r>
      <w:r w:rsidR="00A56E08">
        <w:t>и</w:t>
      </w:r>
      <w:r w:rsidR="004D1E15" w:rsidRPr="00F6340E">
        <w:t xml:space="preserve"> </w:t>
      </w:r>
      <w:r w:rsidR="00A56E08">
        <w:t>к</w:t>
      </w:r>
      <w:r w:rsidR="0071360A">
        <w:t>р</w:t>
      </w:r>
      <w:r w:rsidR="00A56E08">
        <w:t>и</w:t>
      </w:r>
      <w:r w:rsidR="0071360A">
        <w:t>т</w:t>
      </w:r>
      <w:r w:rsidR="00EE6AA2">
        <w:t>е</w:t>
      </w:r>
      <w:r w:rsidR="0071360A">
        <w:t>р</w:t>
      </w:r>
      <w:r w:rsidR="00A56E08">
        <w:t>иј</w:t>
      </w:r>
      <w:r w:rsidR="00EE6AA2">
        <w:t>е</w:t>
      </w:r>
      <w:r w:rsidR="004D1E15" w:rsidRPr="00F6340E">
        <w:t xml:space="preserve"> </w:t>
      </w:r>
      <w:r>
        <w:t>з</w:t>
      </w:r>
      <w:r w:rsidR="00A56E08">
        <w:t>а</w:t>
      </w:r>
      <w:r w:rsidR="004D1E15" w:rsidRPr="00F6340E">
        <w:t xml:space="preserve"> </w:t>
      </w:r>
      <w:r w:rsidR="0071360A">
        <w:t>пр</w:t>
      </w:r>
      <w:r w:rsidR="00A56E08">
        <w:t>аћ</w:t>
      </w:r>
      <w:r w:rsidR="00EE6AA2">
        <w:t>е</w:t>
      </w:r>
      <w:r w:rsidR="00A56E08">
        <w:t>њ</w:t>
      </w:r>
      <w:r w:rsidR="00EE6AA2">
        <w:t>е</w:t>
      </w:r>
      <w:r w:rsidR="004D1E15" w:rsidRPr="00F6340E">
        <w:t xml:space="preserve"> </w:t>
      </w:r>
      <w:r w:rsidR="00A56E08">
        <w:t>к</w:t>
      </w:r>
      <w:r w:rsidR="0071360A">
        <w:t>в</w:t>
      </w:r>
      <w:r w:rsidR="00A56E08">
        <w:t>али</w:t>
      </w:r>
      <w:r w:rsidR="0071360A">
        <w:t>т</w:t>
      </w:r>
      <w:r w:rsidR="00EE6AA2">
        <w:t>е</w:t>
      </w:r>
      <w:r w:rsidR="0071360A">
        <w:t>т</w:t>
      </w:r>
      <w:r w:rsidR="00EE6AA2">
        <w:t>е</w:t>
      </w:r>
      <w:r w:rsidR="004D1E15" w:rsidRPr="00F6340E">
        <w:t xml:space="preserve"> </w:t>
      </w:r>
      <w:r w:rsidR="0071360A">
        <w:t>р</w:t>
      </w:r>
      <w:r w:rsidR="00A56E08">
        <w:t>ада</w:t>
      </w:r>
      <w:r w:rsidR="004D1E15" w:rsidRPr="00F6340E">
        <w:t xml:space="preserve"> </w:t>
      </w:r>
      <w:r w:rsidR="0071360A">
        <w:t>в</w:t>
      </w:r>
      <w:r w:rsidR="00A56E08">
        <w:t>и</w:t>
      </w:r>
      <w:r w:rsidR="0071360A">
        <w:t>с</w:t>
      </w:r>
      <w:r w:rsidR="00A56E08">
        <w:t>око</w:t>
      </w:r>
      <w:r w:rsidR="0071360A">
        <w:t>ш</w:t>
      </w:r>
      <w:r w:rsidR="00A56E08">
        <w:t>кол</w:t>
      </w:r>
      <w:r w:rsidR="0071360A">
        <w:t>с</w:t>
      </w:r>
      <w:r w:rsidR="00A56E08">
        <w:t>ких</w:t>
      </w:r>
      <w:r w:rsidR="004D1E15" w:rsidRPr="00F6340E">
        <w:t xml:space="preserve"> </w:t>
      </w:r>
      <w:r w:rsidR="00A56E08">
        <w:t>ин</w:t>
      </w:r>
      <w:r w:rsidR="0071360A">
        <w:t>ст</w:t>
      </w:r>
      <w:r w:rsidR="00A56E08">
        <w:t>и</w:t>
      </w:r>
      <w:r w:rsidR="0071360A">
        <w:t>ту</w:t>
      </w:r>
      <w:r w:rsidR="00A56E08">
        <w:t>ција</w:t>
      </w:r>
      <w:r w:rsidR="004D1E15" w:rsidRPr="00F6340E">
        <w:t xml:space="preserve"> </w:t>
      </w:r>
      <w:r w:rsidR="0071360A">
        <w:t>у</w:t>
      </w:r>
      <w:r w:rsidR="004D1E15" w:rsidRPr="00F6340E">
        <w:t xml:space="preserve"> </w:t>
      </w:r>
      <w:r w:rsidR="00A56E08">
        <w:t>Бо</w:t>
      </w:r>
      <w:r w:rsidR="0071360A">
        <w:t>с</w:t>
      </w:r>
      <w:r w:rsidR="00A56E08">
        <w:t>ни</w:t>
      </w:r>
      <w:r w:rsidR="004D1E15" w:rsidRPr="00F6340E">
        <w:t xml:space="preserve"> </w:t>
      </w:r>
      <w:r w:rsidR="00A56E08">
        <w:t>и</w:t>
      </w:r>
      <w:r w:rsidR="004D1E15" w:rsidRPr="00F6340E">
        <w:t xml:space="preserve"> </w:t>
      </w:r>
      <w:r w:rsidR="00A56E08">
        <w:t>Х</w:t>
      </w:r>
      <w:r w:rsidR="00EE6AA2">
        <w:t>е</w:t>
      </w:r>
      <w:r w:rsidR="0071360A">
        <w:t>р</w:t>
      </w:r>
      <w:r w:rsidR="00A56E08">
        <w:t>ц</w:t>
      </w:r>
      <w:r w:rsidR="00EE6AA2">
        <w:t>е</w:t>
      </w:r>
      <w:r w:rsidR="00A56E08">
        <w:t>го</w:t>
      </w:r>
      <w:r w:rsidR="0071360A">
        <w:t>в</w:t>
      </w:r>
      <w:r w:rsidR="00A56E08">
        <w:t>ини</w:t>
      </w:r>
      <w:r w:rsidR="004D1E15" w:rsidRPr="00F6340E">
        <w:t xml:space="preserve"> </w:t>
      </w:r>
      <w:r w:rsidR="0071360A">
        <w:t>п</w:t>
      </w:r>
      <w:r w:rsidR="00A56E08">
        <w:t>о</w:t>
      </w:r>
      <w:r w:rsidR="0071360A">
        <w:t>ст</w:t>
      </w:r>
      <w:r w:rsidR="00A56E08">
        <w:t>ој</w:t>
      </w:r>
      <w:r w:rsidR="00EE6AA2">
        <w:t>е</w:t>
      </w:r>
      <w:r w:rsidR="004D1E15" w:rsidRPr="00F6340E">
        <w:t xml:space="preserve"> </w:t>
      </w:r>
      <w:r w:rsidR="0071360A">
        <w:t>пр</w:t>
      </w:r>
      <w:r w:rsidR="00EE6AA2">
        <w:t>е</w:t>
      </w:r>
      <w:r w:rsidR="00A56E08">
        <w:t>д</w:t>
      </w:r>
      <w:r w:rsidR="0071360A">
        <w:t>ус</w:t>
      </w:r>
      <w:r w:rsidR="00A56E08">
        <w:t>ло</w:t>
      </w:r>
      <w:r w:rsidR="0071360A">
        <w:t>в</w:t>
      </w:r>
      <w:r w:rsidR="00A56E08">
        <w:t>и</w:t>
      </w:r>
      <w:r w:rsidR="004D1E15" w:rsidRPr="00F6340E">
        <w:t xml:space="preserve"> </w:t>
      </w:r>
      <w:r>
        <w:t>з</w:t>
      </w:r>
      <w:r w:rsidR="00A56E08">
        <w:t>а</w:t>
      </w:r>
      <w:r w:rsidR="004D1E15" w:rsidRPr="00F6340E">
        <w:t xml:space="preserve"> </w:t>
      </w:r>
      <w:r w:rsidR="00A56E08">
        <w:t>о</w:t>
      </w:r>
      <w:r w:rsidR="0071360A">
        <w:t>с</w:t>
      </w:r>
      <w:r w:rsidR="00A56E08">
        <w:t>иг</w:t>
      </w:r>
      <w:r w:rsidR="0071360A">
        <w:t>ур</w:t>
      </w:r>
      <w:r w:rsidR="00A56E08">
        <w:t>ањ</w:t>
      </w:r>
      <w:r w:rsidR="00EE6AA2">
        <w:t>е</w:t>
      </w:r>
      <w:r w:rsidR="004D1E15" w:rsidRPr="00F6340E">
        <w:t xml:space="preserve"> </w:t>
      </w:r>
      <w:r w:rsidR="00A56E08">
        <w:t>к</w:t>
      </w:r>
      <w:r w:rsidR="0071360A">
        <w:t>в</w:t>
      </w:r>
      <w:r w:rsidR="00A56E08">
        <w:t>али</w:t>
      </w:r>
      <w:r w:rsidR="0071360A">
        <w:t>т</w:t>
      </w:r>
      <w:r w:rsidR="00EE6AA2">
        <w:t>е</w:t>
      </w:r>
      <w:r w:rsidR="0071360A">
        <w:t>т</w:t>
      </w:r>
      <w:r w:rsidR="00EE6AA2">
        <w:t>е</w:t>
      </w:r>
      <w:r w:rsidR="004D1E15" w:rsidRPr="00F6340E">
        <w:t xml:space="preserve">, </w:t>
      </w:r>
      <w:r w:rsidR="00A56E08">
        <w:t>а</w:t>
      </w:r>
      <w:r w:rsidR="004D1E15" w:rsidRPr="00F6340E">
        <w:t xml:space="preserve"> </w:t>
      </w:r>
      <w:r w:rsidR="0071360A">
        <w:t>пр</w:t>
      </w:r>
      <w:r w:rsidR="00A56E08">
        <w:t>оц</w:t>
      </w:r>
      <w:r w:rsidR="00EE6AA2">
        <w:t>е</w:t>
      </w:r>
      <w:r w:rsidR="0071360A">
        <w:t>с</w:t>
      </w:r>
      <w:r w:rsidR="004D1E15" w:rsidRPr="00F6340E">
        <w:t xml:space="preserve"> </w:t>
      </w:r>
      <w:r w:rsidR="0071360A">
        <w:t>с</w:t>
      </w:r>
      <w:r w:rsidR="00EE6AA2">
        <w:t>е</w:t>
      </w:r>
      <w:r w:rsidR="004D1E15" w:rsidRPr="00F6340E">
        <w:t xml:space="preserve"> </w:t>
      </w:r>
      <w:r w:rsidR="0071360A">
        <w:t>пр</w:t>
      </w:r>
      <w:r w:rsidR="00A56E08">
        <w:t>о</w:t>
      </w:r>
      <w:r w:rsidR="0071360A">
        <w:t>в</w:t>
      </w:r>
      <w:r w:rsidR="00A56E08">
        <w:t>оди</w:t>
      </w:r>
      <w:r w:rsidR="004D1E15" w:rsidRPr="00F6340E">
        <w:t xml:space="preserve"> </w:t>
      </w:r>
      <w:r w:rsidR="00A56E08">
        <w:t>на</w:t>
      </w:r>
      <w:r w:rsidR="004D1E15" w:rsidRPr="00F6340E">
        <w:t xml:space="preserve"> </w:t>
      </w:r>
      <w:r w:rsidR="00A56E08">
        <w:t>ни</w:t>
      </w:r>
      <w:r w:rsidR="0071360A">
        <w:t>в</w:t>
      </w:r>
      <w:r w:rsidR="00A56E08">
        <w:t>о</w:t>
      </w:r>
      <w:r w:rsidR="0071360A">
        <w:t>у</w:t>
      </w:r>
      <w:r w:rsidR="004D1E15" w:rsidRPr="00F6340E">
        <w:t xml:space="preserve"> </w:t>
      </w:r>
      <w:r w:rsidR="00A56E08">
        <w:t>об</w:t>
      </w:r>
      <w:r w:rsidR="0071360A">
        <w:t>р</w:t>
      </w:r>
      <w:r w:rsidR="00A56E08">
        <w:t>а</w:t>
      </w:r>
      <w:r>
        <w:t>з</w:t>
      </w:r>
      <w:r w:rsidR="00A56E08">
        <w:t>о</w:t>
      </w:r>
      <w:r w:rsidR="0071360A">
        <w:t>в</w:t>
      </w:r>
      <w:r w:rsidR="00A56E08">
        <w:t>н</w:t>
      </w:r>
      <w:r w:rsidR="00EE6AA2">
        <w:t>е</w:t>
      </w:r>
      <w:r w:rsidR="004D1E15" w:rsidRPr="00F6340E">
        <w:t xml:space="preserve"> </w:t>
      </w:r>
      <w:r w:rsidR="00A56E08">
        <w:t>ин</w:t>
      </w:r>
      <w:r w:rsidR="0071360A">
        <w:t>ст</w:t>
      </w:r>
      <w:r w:rsidR="00A56E08">
        <w:t>и</w:t>
      </w:r>
      <w:r w:rsidR="0071360A">
        <w:t>ту</w:t>
      </w:r>
      <w:r w:rsidR="00A56E08">
        <w:t>циј</w:t>
      </w:r>
      <w:r w:rsidR="00EE6AA2">
        <w:t>е</w:t>
      </w:r>
      <w:r w:rsidR="004D1E15" w:rsidRPr="00F6340E">
        <w:t xml:space="preserve">. </w:t>
      </w:r>
      <w:r w:rsidR="00A56E08">
        <w:t>М</w:t>
      </w:r>
      <w:r w:rsidR="00EE6AA2">
        <w:t>е</w:t>
      </w:r>
      <w:r w:rsidR="00A56E08">
        <w:t>ђ</w:t>
      </w:r>
      <w:r w:rsidR="0071360A">
        <w:t>ут</w:t>
      </w:r>
      <w:r w:rsidR="00A56E08">
        <w:t>им</w:t>
      </w:r>
      <w:r w:rsidR="004D1E15" w:rsidRPr="00F6340E">
        <w:t xml:space="preserve">, </w:t>
      </w:r>
      <w:r w:rsidR="00A56E08">
        <w:t>када</w:t>
      </w:r>
      <w:r w:rsidR="004D1E15" w:rsidRPr="00F6340E">
        <w:t xml:space="preserve"> </w:t>
      </w:r>
      <w:r w:rsidR="00A56E08">
        <w:t>ј</w:t>
      </w:r>
      <w:r w:rsidR="00EE6AA2">
        <w:t>е</w:t>
      </w:r>
      <w:r w:rsidR="004D1E15" w:rsidRPr="00F6340E">
        <w:t xml:space="preserve"> </w:t>
      </w:r>
      <w:r w:rsidR="0071360A">
        <w:t>р</w:t>
      </w:r>
      <w:r w:rsidR="00A56E08">
        <w:t>иј</w:t>
      </w:r>
      <w:r w:rsidR="00EE6AA2">
        <w:t>е</w:t>
      </w:r>
      <w:r w:rsidR="00A56E08">
        <w:t>ч</w:t>
      </w:r>
      <w:r w:rsidR="004D1E15" w:rsidRPr="00F6340E">
        <w:t xml:space="preserve"> </w:t>
      </w:r>
      <w:r w:rsidR="00A56E08">
        <w:t>о</w:t>
      </w:r>
      <w:r w:rsidR="004D1E15" w:rsidRPr="00F6340E">
        <w:t xml:space="preserve"> </w:t>
      </w:r>
      <w:r w:rsidR="00A56E08">
        <w:t>диги</w:t>
      </w:r>
      <w:r w:rsidR="0071360A">
        <w:t>т</w:t>
      </w:r>
      <w:r w:rsidR="00A56E08">
        <w:t>алним</w:t>
      </w:r>
      <w:r w:rsidR="004D1E15" w:rsidRPr="00F6340E">
        <w:t xml:space="preserve"> </w:t>
      </w:r>
      <w:r w:rsidR="00A56E08">
        <w:t>ком</w:t>
      </w:r>
      <w:r w:rsidR="0071360A">
        <w:t>п</w:t>
      </w:r>
      <w:r w:rsidR="00EE6AA2">
        <w:t>е</w:t>
      </w:r>
      <w:r w:rsidR="0071360A">
        <w:t>т</w:t>
      </w:r>
      <w:r w:rsidR="00EE6AA2">
        <w:t>е</w:t>
      </w:r>
      <w:r w:rsidR="00A56E08">
        <w:t>нцијама</w:t>
      </w:r>
      <w:r w:rsidR="004D1E15" w:rsidRPr="00F6340E">
        <w:t xml:space="preserve"> </w:t>
      </w:r>
      <w:r w:rsidR="00A56E08">
        <w:t>на</w:t>
      </w:r>
      <w:r w:rsidR="0071360A">
        <w:t>ст</w:t>
      </w:r>
      <w:r w:rsidR="00A56E08">
        <w:t>а</w:t>
      </w:r>
      <w:r w:rsidR="0071360A">
        <w:t>в</w:t>
      </w:r>
      <w:r w:rsidR="00A56E08">
        <w:t>ника</w:t>
      </w:r>
      <w:r w:rsidR="004D1E15" w:rsidRPr="00F6340E">
        <w:t xml:space="preserve"> </w:t>
      </w:r>
      <w:r w:rsidR="0071360A">
        <w:t>т</w:t>
      </w:r>
      <w:r w:rsidR="00EE6AA2">
        <w:t>е</w:t>
      </w:r>
      <w:r w:rsidR="004D1E15" w:rsidRPr="00F6340E">
        <w:t xml:space="preserve"> </w:t>
      </w:r>
      <w:r w:rsidR="00A56E08">
        <w:t>ма</w:t>
      </w:r>
      <w:r w:rsidR="0071360A">
        <w:t>т</w:t>
      </w:r>
      <w:r w:rsidR="00EE6AA2">
        <w:t>е</w:t>
      </w:r>
      <w:r w:rsidR="0071360A">
        <w:t>р</w:t>
      </w:r>
      <w:r w:rsidR="00A56E08">
        <w:t>ијалним</w:t>
      </w:r>
      <w:r w:rsidR="004D1E15" w:rsidRPr="00F6340E">
        <w:t xml:space="preserve"> </w:t>
      </w:r>
      <w:r w:rsidR="0071360A">
        <w:t>пр</w:t>
      </w:r>
      <w:r w:rsidR="00EE6AA2">
        <w:t>е</w:t>
      </w:r>
      <w:r w:rsidR="00A56E08">
        <w:t>д</w:t>
      </w:r>
      <w:r w:rsidR="0071360A">
        <w:t>ус</w:t>
      </w:r>
      <w:r w:rsidR="00A56E08">
        <w:t>ло</w:t>
      </w:r>
      <w:r w:rsidR="0071360A">
        <w:t>в</w:t>
      </w:r>
      <w:r w:rsidR="00A56E08">
        <w:t>има</w:t>
      </w:r>
      <w:r w:rsidR="004D1E15" w:rsidRPr="00F6340E">
        <w:t xml:space="preserve"> </w:t>
      </w:r>
      <w:r w:rsidR="0071360A">
        <w:t>в</w:t>
      </w:r>
      <w:r w:rsidR="00EE6AA2">
        <w:t>е</w:t>
      </w:r>
      <w:r>
        <w:t>з</w:t>
      </w:r>
      <w:r w:rsidR="00A56E08">
        <w:t>аним</w:t>
      </w:r>
      <w:r w:rsidR="004D1E15" w:rsidRPr="00F6340E">
        <w:t xml:space="preserve"> </w:t>
      </w:r>
      <w:r>
        <w:t>з</w:t>
      </w:r>
      <w:r w:rsidR="00A56E08">
        <w:t>а</w:t>
      </w:r>
      <w:r w:rsidR="004D1E15" w:rsidRPr="00F6340E">
        <w:t xml:space="preserve"> </w:t>
      </w:r>
      <w:r w:rsidR="00A56E08">
        <w:t>инф</w:t>
      </w:r>
      <w:r w:rsidR="0071360A">
        <w:t>р</w:t>
      </w:r>
      <w:r w:rsidR="00A56E08">
        <w:t>а</w:t>
      </w:r>
      <w:r w:rsidR="0071360A">
        <w:t>стру</w:t>
      </w:r>
      <w:r w:rsidR="00A56E08">
        <w:t>к</w:t>
      </w:r>
      <w:r w:rsidR="0071360A">
        <w:t>туру</w:t>
      </w:r>
      <w:r w:rsidR="0016782E" w:rsidRPr="00F6340E">
        <w:t xml:space="preserve"> </w:t>
      </w:r>
      <w:r>
        <w:t>з</w:t>
      </w:r>
      <w:r w:rsidR="00A56E08">
        <w:t>а</w:t>
      </w:r>
      <w:r w:rsidR="0016782E" w:rsidRPr="00F6340E">
        <w:t xml:space="preserve"> </w:t>
      </w:r>
      <w:r w:rsidR="00A56E08">
        <w:t>ИК</w:t>
      </w:r>
      <w:r w:rsidR="0071360A">
        <w:t>Т</w:t>
      </w:r>
      <w:r w:rsidR="004D1E15" w:rsidRPr="00F6340E">
        <w:t xml:space="preserve">, </w:t>
      </w:r>
      <w:r w:rsidR="00A56E08">
        <w:t>која</w:t>
      </w:r>
      <w:r w:rsidR="004D1E15" w:rsidRPr="00F6340E">
        <w:t xml:space="preserve"> </w:t>
      </w:r>
      <w:r w:rsidR="00A56E08">
        <w:t>ј</w:t>
      </w:r>
      <w:r w:rsidR="00EE6AA2">
        <w:t>е</w:t>
      </w:r>
      <w:r w:rsidR="004D1E15" w:rsidRPr="00F6340E">
        <w:t xml:space="preserve"> </w:t>
      </w:r>
      <w:r w:rsidR="00A56E08">
        <w:t>до</w:t>
      </w:r>
      <w:r w:rsidR="0071360A">
        <w:t>ступ</w:t>
      </w:r>
      <w:r w:rsidR="00A56E08">
        <w:t>на</w:t>
      </w:r>
      <w:r w:rsidR="004D1E15" w:rsidRPr="00F6340E">
        <w:t xml:space="preserve"> </w:t>
      </w:r>
      <w:r w:rsidR="00A56E08">
        <w:t>и</w:t>
      </w:r>
      <w:r w:rsidR="004D1E15" w:rsidRPr="00F6340E">
        <w:t xml:space="preserve"> </w:t>
      </w:r>
      <w:r w:rsidR="0071360A">
        <w:t>пр</w:t>
      </w:r>
      <w:r w:rsidR="00A56E08">
        <w:t>и</w:t>
      </w:r>
      <w:r w:rsidR="0071360A">
        <w:t>ступ</w:t>
      </w:r>
      <w:r w:rsidR="00A56E08">
        <w:t>ачна</w:t>
      </w:r>
      <w:r w:rsidR="004D1E15" w:rsidRPr="00F6340E">
        <w:t xml:space="preserve"> </w:t>
      </w:r>
      <w:r w:rsidR="00A56E08">
        <w:t>на</w:t>
      </w:r>
      <w:r w:rsidR="0071360A">
        <w:t>ст</w:t>
      </w:r>
      <w:r w:rsidR="00A56E08">
        <w:t>а</w:t>
      </w:r>
      <w:r w:rsidR="0071360A">
        <w:t>в</w:t>
      </w:r>
      <w:r w:rsidR="00A56E08">
        <w:t>ницима</w:t>
      </w:r>
      <w:r w:rsidR="004D1E15" w:rsidRPr="00F6340E">
        <w:t xml:space="preserve"> </w:t>
      </w:r>
      <w:r w:rsidR="00A56E08">
        <w:t>и</w:t>
      </w:r>
      <w:r w:rsidR="004D1E15" w:rsidRPr="00F6340E">
        <w:t xml:space="preserve"> </w:t>
      </w:r>
      <w:r w:rsidR="0071360A">
        <w:t>сту</w:t>
      </w:r>
      <w:r w:rsidR="00A56E08">
        <w:t>д</w:t>
      </w:r>
      <w:r w:rsidR="00EE6AA2">
        <w:t>е</w:t>
      </w:r>
      <w:r w:rsidR="00A56E08">
        <w:t>н</w:t>
      </w:r>
      <w:r w:rsidR="0071360A">
        <w:t>т</w:t>
      </w:r>
      <w:r w:rsidR="00A56E08">
        <w:t>има</w:t>
      </w:r>
      <w:r w:rsidR="004D1E15" w:rsidRPr="00F6340E">
        <w:t xml:space="preserve">, </w:t>
      </w:r>
      <w:r w:rsidR="00A56E08">
        <w:t>н</w:t>
      </w:r>
      <w:r w:rsidR="00EE6AA2">
        <w:t>е</w:t>
      </w:r>
      <w:r w:rsidR="004D1E15" w:rsidRPr="00F6340E">
        <w:t xml:space="preserve"> </w:t>
      </w:r>
      <w:r w:rsidR="0071360A">
        <w:t>п</w:t>
      </w:r>
      <w:r w:rsidR="00A56E08">
        <w:t>о</w:t>
      </w:r>
      <w:r w:rsidR="0071360A">
        <w:t>ст</w:t>
      </w:r>
      <w:r w:rsidR="00A56E08">
        <w:t>ој</w:t>
      </w:r>
      <w:r w:rsidR="00EE6AA2">
        <w:t>е</w:t>
      </w:r>
      <w:r w:rsidR="004D1E15" w:rsidRPr="00F6340E">
        <w:t xml:space="preserve"> </w:t>
      </w:r>
      <w:r w:rsidR="00A56E08">
        <w:t>и</w:t>
      </w:r>
      <w:r>
        <w:t>з</w:t>
      </w:r>
      <w:r w:rsidR="00A56E08">
        <w:t>д</w:t>
      </w:r>
      <w:r w:rsidR="0071360A">
        <w:t>в</w:t>
      </w:r>
      <w:r w:rsidR="00A56E08">
        <w:t>ој</w:t>
      </w:r>
      <w:r w:rsidR="00EE6AA2">
        <w:t>е</w:t>
      </w:r>
      <w:r w:rsidR="00A56E08">
        <w:t>ни</w:t>
      </w:r>
      <w:r w:rsidR="004D1E15" w:rsidRPr="00F6340E">
        <w:t xml:space="preserve"> </w:t>
      </w:r>
      <w:r w:rsidR="00A56E08">
        <w:t>индика</w:t>
      </w:r>
      <w:r w:rsidR="0071360A">
        <w:t>т</w:t>
      </w:r>
      <w:r w:rsidR="00A56E08">
        <w:t>о</w:t>
      </w:r>
      <w:r w:rsidR="0071360A">
        <w:t>р</w:t>
      </w:r>
      <w:r w:rsidR="00A56E08">
        <w:t>и</w:t>
      </w:r>
      <w:r w:rsidR="004D1E15" w:rsidRPr="00F6340E">
        <w:t xml:space="preserve">. </w:t>
      </w:r>
    </w:p>
    <w:p w14:paraId="39E1BE54" w14:textId="265A7C77" w:rsidR="004D1E15" w:rsidRPr="00F6340E" w:rsidRDefault="00A56E08" w:rsidP="00115925">
      <w:pPr>
        <w:pStyle w:val="Body"/>
        <w:rPr>
          <w:rStyle w:val="None"/>
          <w:rFonts w:cs="Arial"/>
        </w:rPr>
      </w:pPr>
      <w:r>
        <w:t>На</w:t>
      </w:r>
      <w:r w:rsidR="0071360A">
        <w:t>пр</w:t>
      </w:r>
      <w:r w:rsidR="00EE6AA2">
        <w:t>е</w:t>
      </w:r>
      <w:r>
        <w:t>до</w:t>
      </w:r>
      <w:r w:rsidR="0071360A">
        <w:t>в</w:t>
      </w:r>
      <w:r>
        <w:t>ањ</w:t>
      </w:r>
      <w:r w:rsidR="00EE6AA2">
        <w:t>е</w:t>
      </w:r>
      <w:r w:rsidR="004D1E15" w:rsidRPr="00F6340E">
        <w:t xml:space="preserve"> </w:t>
      </w:r>
      <w:r>
        <w:t>на</w:t>
      </w:r>
      <w:r w:rsidR="0071360A">
        <w:t>ст</w:t>
      </w:r>
      <w:r>
        <w:t>а</w:t>
      </w:r>
      <w:r w:rsidR="0071360A">
        <w:t>в</w:t>
      </w:r>
      <w:r>
        <w:t>ника</w:t>
      </w:r>
      <w:r w:rsidR="004D1E15" w:rsidRPr="00F6340E">
        <w:t xml:space="preserve"> </w:t>
      </w:r>
      <w:r w:rsidR="0071360A">
        <w:t>ус</w:t>
      </w:r>
      <w:r>
        <w:t>ло</w:t>
      </w:r>
      <w:r w:rsidR="0071360A">
        <w:t>в</w:t>
      </w:r>
      <w:r>
        <w:t>љ</w:t>
      </w:r>
      <w:r w:rsidR="00EE6AA2">
        <w:t>е</w:t>
      </w:r>
      <w:r>
        <w:t>но</w:t>
      </w:r>
      <w:r w:rsidR="004D1E15" w:rsidRPr="00F6340E">
        <w:t xml:space="preserve"> </w:t>
      </w:r>
      <w:r>
        <w:t>ј</w:t>
      </w:r>
      <w:r w:rsidR="00EE6AA2">
        <w:t>е</w:t>
      </w:r>
      <w:r w:rsidR="004D1E15" w:rsidRPr="00F6340E">
        <w:t xml:space="preserve"> </w:t>
      </w:r>
      <w:r w:rsidR="0071360A">
        <w:t>прв</w:t>
      </w:r>
      <w:r w:rsidR="00EE6AA2">
        <w:t>е</w:t>
      </w:r>
      <w:r>
        <w:t>н</w:t>
      </w:r>
      <w:r w:rsidR="0071360A">
        <w:t>ств</w:t>
      </w:r>
      <w:r w:rsidR="00EE6AA2">
        <w:t>е</w:t>
      </w:r>
      <w:r>
        <w:t>но</w:t>
      </w:r>
      <w:r w:rsidR="004D1E15" w:rsidRPr="00F6340E">
        <w:t xml:space="preserve"> </w:t>
      </w:r>
      <w:r w:rsidR="0071360A">
        <w:t>р</w:t>
      </w:r>
      <w:r w:rsidR="00EE6AA2">
        <w:t>е</w:t>
      </w:r>
      <w:r w:rsidR="00171F00">
        <w:t>з</w:t>
      </w:r>
      <w:r w:rsidR="0071360A">
        <w:t>у</w:t>
      </w:r>
      <w:r>
        <w:t>л</w:t>
      </w:r>
      <w:r w:rsidR="0071360A">
        <w:t>т</w:t>
      </w:r>
      <w:r>
        <w:t>а</w:t>
      </w:r>
      <w:r w:rsidR="0071360A">
        <w:t>т</w:t>
      </w:r>
      <w:r>
        <w:t>има</w:t>
      </w:r>
      <w:r w:rsidR="004D1E15" w:rsidRPr="00F6340E">
        <w:t xml:space="preserve"> </w:t>
      </w:r>
      <w:r>
        <w:t>о</w:t>
      </w:r>
      <w:r w:rsidR="0071360A">
        <w:t>ств</w:t>
      </w:r>
      <w:r>
        <w:t>а</w:t>
      </w:r>
      <w:r w:rsidR="0071360A">
        <w:t>р</w:t>
      </w:r>
      <w:r w:rsidR="00EE6AA2">
        <w:t>е</w:t>
      </w:r>
      <w:r>
        <w:t>ним</w:t>
      </w:r>
      <w:r w:rsidR="004D1E15" w:rsidRPr="00F6340E">
        <w:t xml:space="preserve"> </w:t>
      </w:r>
      <w:r w:rsidR="0071360A">
        <w:t>у</w:t>
      </w:r>
      <w:r w:rsidR="004D1E15" w:rsidRPr="00F6340E">
        <w:t xml:space="preserve"> </w:t>
      </w:r>
      <w:r>
        <w:t>на</w:t>
      </w:r>
      <w:r w:rsidR="0071360A">
        <w:t>у</w:t>
      </w:r>
      <w:r>
        <w:t>чно</w:t>
      </w:r>
      <w:r w:rsidR="004D1E15" w:rsidRPr="00F6340E">
        <w:t xml:space="preserve"> – </w:t>
      </w:r>
      <w:r>
        <w:t>и</w:t>
      </w:r>
      <w:r w:rsidR="0071360A">
        <w:t>стр</w:t>
      </w:r>
      <w:r>
        <w:t>а</w:t>
      </w:r>
      <w:r w:rsidR="00171F00">
        <w:t>ж</w:t>
      </w:r>
      <w:r>
        <w:t>и</w:t>
      </w:r>
      <w:r w:rsidR="0071360A">
        <w:t>в</w:t>
      </w:r>
      <w:r>
        <w:t>ачком</w:t>
      </w:r>
      <w:r w:rsidR="004D1E15" w:rsidRPr="00F6340E">
        <w:t xml:space="preserve"> </w:t>
      </w:r>
      <w:r w:rsidR="0071360A">
        <w:t>р</w:t>
      </w:r>
      <w:r>
        <w:t>ад</w:t>
      </w:r>
      <w:r w:rsidR="0071360A">
        <w:t>у</w:t>
      </w:r>
      <w:r w:rsidR="00FE4FDC" w:rsidRPr="00F6340E">
        <w:t>,</w:t>
      </w:r>
      <w:r w:rsidR="004D1E15" w:rsidRPr="00F6340E">
        <w:t xml:space="preserve"> </w:t>
      </w:r>
      <w:r>
        <w:t>а</w:t>
      </w:r>
      <w:r w:rsidR="004D1E15" w:rsidRPr="00F6340E">
        <w:t xml:space="preserve"> </w:t>
      </w:r>
      <w:r>
        <w:t>дио</w:t>
      </w:r>
      <w:r w:rsidR="004D1E15" w:rsidRPr="00F6340E">
        <w:t xml:space="preserve"> </w:t>
      </w:r>
      <w:r>
        <w:t>који</w:t>
      </w:r>
      <w:r w:rsidR="004D1E15" w:rsidRPr="00F6340E">
        <w:t xml:space="preserve"> </w:t>
      </w:r>
      <w:r w:rsidR="0071360A">
        <w:t>с</w:t>
      </w:r>
      <w:r w:rsidR="00EE6AA2">
        <w:t>е</w:t>
      </w:r>
      <w:r w:rsidR="004D1E15" w:rsidRPr="00F6340E">
        <w:t xml:space="preserve"> </w:t>
      </w:r>
      <w:r>
        <w:t>одно</w:t>
      </w:r>
      <w:r w:rsidR="0071360A">
        <w:t>с</w:t>
      </w:r>
      <w:r>
        <w:t>и</w:t>
      </w:r>
      <w:r w:rsidR="004D1E15" w:rsidRPr="00F6340E">
        <w:t xml:space="preserve"> </w:t>
      </w:r>
      <w:r>
        <w:t>на</w:t>
      </w:r>
      <w:r w:rsidR="004D1E15" w:rsidRPr="00F6340E">
        <w:t xml:space="preserve"> </w:t>
      </w:r>
      <w:r w:rsidR="0071360A">
        <w:t>пр</w:t>
      </w:r>
      <w:r w:rsidR="00EE6AA2">
        <w:t>е</w:t>
      </w:r>
      <w:r w:rsidR="0071360A">
        <w:t>т</w:t>
      </w:r>
      <w:r>
        <w:t>ходно</w:t>
      </w:r>
      <w:r w:rsidR="004D1E15" w:rsidRPr="00F6340E">
        <w:t xml:space="preserve"> </w:t>
      </w:r>
      <w:r>
        <w:t>и</w:t>
      </w:r>
      <w:r w:rsidR="0071360A">
        <w:t>с</w:t>
      </w:r>
      <w:r>
        <w:t>к</w:t>
      </w:r>
      <w:r w:rsidR="0071360A">
        <w:t>уств</w:t>
      </w:r>
      <w:r>
        <w:t>о</w:t>
      </w:r>
      <w:r w:rsidR="004D1E15" w:rsidRPr="00F6340E">
        <w:t xml:space="preserve"> </w:t>
      </w:r>
      <w:r w:rsidR="0071360A">
        <w:t>у</w:t>
      </w:r>
      <w:r w:rsidR="004D1E15" w:rsidRPr="00F6340E">
        <w:t xml:space="preserve"> </w:t>
      </w:r>
      <w:r>
        <w:t>на</w:t>
      </w:r>
      <w:r w:rsidR="0071360A">
        <w:t>ст</w:t>
      </w:r>
      <w:r>
        <w:t>а</w:t>
      </w:r>
      <w:r w:rsidR="0071360A">
        <w:t>в</w:t>
      </w:r>
      <w:r>
        <w:t>ном</w:t>
      </w:r>
      <w:r w:rsidR="004D1E15" w:rsidRPr="00F6340E">
        <w:t xml:space="preserve"> </w:t>
      </w:r>
      <w:r w:rsidR="0071360A">
        <w:t>пр</w:t>
      </w:r>
      <w:r>
        <w:t>оц</w:t>
      </w:r>
      <w:r w:rsidR="00EE6AA2">
        <w:t>е</w:t>
      </w:r>
      <w:r w:rsidR="0071360A">
        <w:t>су</w:t>
      </w:r>
      <w:r w:rsidR="004D1E15" w:rsidRPr="00F6340E">
        <w:t xml:space="preserve"> </w:t>
      </w:r>
      <w:r>
        <w:t>н</w:t>
      </w:r>
      <w:r w:rsidR="00EE6AA2">
        <w:t>е</w:t>
      </w:r>
      <w:r w:rsidR="004D1E15" w:rsidRPr="00F6340E">
        <w:t xml:space="preserve"> </w:t>
      </w:r>
      <w:r w:rsidR="0071360A">
        <w:t>тр</w:t>
      </w:r>
      <w:r w:rsidR="00EE6AA2">
        <w:t>е</w:t>
      </w:r>
      <w:r w:rsidR="0071360A">
        <w:t>т</w:t>
      </w:r>
      <w:r>
        <w:t>и</w:t>
      </w:r>
      <w:r w:rsidR="0071360A">
        <w:t>р</w:t>
      </w:r>
      <w:r>
        <w:t>а</w:t>
      </w:r>
      <w:r w:rsidR="004D1E15" w:rsidRPr="00F6340E">
        <w:t xml:space="preserve"> </w:t>
      </w:r>
      <w:r w:rsidR="00EE6AA2">
        <w:t>е</w:t>
      </w:r>
      <w:r>
        <w:t>к</w:t>
      </w:r>
      <w:r w:rsidR="0071360A">
        <w:t>сп</w:t>
      </w:r>
      <w:r>
        <w:t>лици</w:t>
      </w:r>
      <w:r w:rsidR="0071360A">
        <w:t>т</w:t>
      </w:r>
      <w:r>
        <w:t>но</w:t>
      </w:r>
      <w:r w:rsidR="004D1E15" w:rsidRPr="00F6340E">
        <w:t xml:space="preserve"> </w:t>
      </w:r>
      <w:r w:rsidR="0071360A">
        <w:t>п</w:t>
      </w:r>
      <w:r w:rsidR="00EE6AA2">
        <w:t>е</w:t>
      </w:r>
      <w:r>
        <w:t>даго</w:t>
      </w:r>
      <w:r w:rsidR="0071360A">
        <w:t>ш</w:t>
      </w:r>
      <w:r>
        <w:t>к</w:t>
      </w:r>
      <w:r w:rsidR="00EE6AA2">
        <w:t>е</w:t>
      </w:r>
      <w:r w:rsidR="004D1E15" w:rsidRPr="00F6340E">
        <w:t xml:space="preserve"> </w:t>
      </w:r>
      <w:r>
        <w:t>и</w:t>
      </w:r>
      <w:r w:rsidR="004D1E15" w:rsidRPr="00F6340E">
        <w:t>/</w:t>
      </w:r>
      <w:r>
        <w:t>или</w:t>
      </w:r>
      <w:r w:rsidR="004D1E15" w:rsidRPr="00F6340E">
        <w:t xml:space="preserve"> </w:t>
      </w:r>
      <w:r>
        <w:t>диги</w:t>
      </w:r>
      <w:r w:rsidR="0071360A">
        <w:t>т</w:t>
      </w:r>
      <w:r>
        <w:t>алн</w:t>
      </w:r>
      <w:r w:rsidR="00EE6AA2">
        <w:t>е</w:t>
      </w:r>
      <w:r w:rsidR="004D1E15" w:rsidRPr="00F6340E">
        <w:t xml:space="preserve"> </w:t>
      </w:r>
      <w:r>
        <w:t>ком</w:t>
      </w:r>
      <w:r w:rsidR="0071360A">
        <w:t>п</w:t>
      </w:r>
      <w:r w:rsidR="00EE6AA2">
        <w:t>е</w:t>
      </w:r>
      <w:r w:rsidR="0071360A">
        <w:t>т</w:t>
      </w:r>
      <w:r w:rsidR="00EE6AA2">
        <w:t>е</w:t>
      </w:r>
      <w:r>
        <w:t>нциј</w:t>
      </w:r>
      <w:r w:rsidR="00EE6AA2">
        <w:t>е</w:t>
      </w:r>
      <w:r w:rsidR="004D1E15" w:rsidRPr="00F6340E">
        <w:t>.</w:t>
      </w:r>
    </w:p>
    <w:p w14:paraId="50180CCC" w14:textId="0674E08F" w:rsidR="00051DA5" w:rsidRPr="00115925" w:rsidRDefault="00A56E08" w:rsidP="00115925">
      <w:pPr>
        <w:pStyle w:val="Body"/>
        <w:rPr>
          <w:bCs/>
        </w:rPr>
      </w:pPr>
      <w:r>
        <w:rPr>
          <w:bCs/>
        </w:rPr>
        <w:t>Имај</w:t>
      </w:r>
      <w:r w:rsidR="0071360A">
        <w:rPr>
          <w:bCs/>
        </w:rPr>
        <w:t>у</w:t>
      </w:r>
      <w:r>
        <w:rPr>
          <w:bCs/>
        </w:rPr>
        <w:t>ћи</w:t>
      </w:r>
      <w:r w:rsidR="004D1E15" w:rsidRPr="00F6340E">
        <w:rPr>
          <w:bCs/>
        </w:rPr>
        <w:t xml:space="preserve"> </w:t>
      </w:r>
      <w:r w:rsidR="0071360A">
        <w:rPr>
          <w:bCs/>
        </w:rPr>
        <w:t>у</w:t>
      </w:r>
      <w:r w:rsidR="004D1E15" w:rsidRPr="00F6340E">
        <w:rPr>
          <w:bCs/>
        </w:rPr>
        <w:t xml:space="preserve"> </w:t>
      </w:r>
      <w:r w:rsidR="0071360A">
        <w:rPr>
          <w:bCs/>
        </w:rPr>
        <w:t>в</w:t>
      </w:r>
      <w:r>
        <w:rPr>
          <w:bCs/>
        </w:rPr>
        <w:t>ид</w:t>
      </w:r>
      <w:r w:rsidR="0071360A">
        <w:rPr>
          <w:bCs/>
        </w:rPr>
        <w:t>у</w:t>
      </w:r>
      <w:r w:rsidR="004D1E15" w:rsidRPr="00F6340E">
        <w:rPr>
          <w:bCs/>
        </w:rPr>
        <w:t>,</w:t>
      </w:r>
      <w:r w:rsidR="00B04FA8">
        <w:rPr>
          <w:bCs/>
        </w:rPr>
        <w:t xml:space="preserve"> са </w:t>
      </w:r>
      <w:r w:rsidRPr="00115925">
        <w:t>ј</w:t>
      </w:r>
      <w:r w:rsidR="00EE6AA2" w:rsidRPr="00115925">
        <w:t>е</w:t>
      </w:r>
      <w:r w:rsidRPr="00115925">
        <w:t>дн</w:t>
      </w:r>
      <w:r w:rsidR="00EE6AA2" w:rsidRPr="00115925">
        <w:t>е</w:t>
      </w:r>
      <w:r w:rsidR="004D1E15" w:rsidRPr="00115925">
        <w:t xml:space="preserve"> </w:t>
      </w:r>
      <w:r w:rsidR="0071360A" w:rsidRPr="00115925">
        <w:t>стр</w:t>
      </w:r>
      <w:r w:rsidRPr="00115925">
        <w:t>ан</w:t>
      </w:r>
      <w:r w:rsidR="00EE6AA2" w:rsidRPr="00115925">
        <w:t>е</w:t>
      </w:r>
      <w:r w:rsidR="004D1E15" w:rsidRPr="00115925">
        <w:t xml:space="preserve">, </w:t>
      </w:r>
      <w:r w:rsidR="00171F00" w:rsidRPr="00115925">
        <w:t>з</w:t>
      </w:r>
      <w:r w:rsidRPr="00115925">
        <w:t>акон</w:t>
      </w:r>
      <w:r w:rsidR="0071360A" w:rsidRPr="00115925">
        <w:t>с</w:t>
      </w:r>
      <w:r w:rsidRPr="00115925">
        <w:t>к</w:t>
      </w:r>
      <w:r w:rsidR="00EE6AA2" w:rsidRPr="00115925">
        <w:t>е</w:t>
      </w:r>
      <w:r w:rsidR="004D1E15" w:rsidRPr="00115925">
        <w:t xml:space="preserve"> </w:t>
      </w:r>
      <w:r w:rsidRPr="00115925">
        <w:t>од</w:t>
      </w:r>
      <w:r w:rsidR="0071360A" w:rsidRPr="00115925">
        <w:t>р</w:t>
      </w:r>
      <w:r w:rsidR="00EE6AA2" w:rsidRPr="00115925">
        <w:t>е</w:t>
      </w:r>
      <w:r w:rsidRPr="00115925">
        <w:t>дб</w:t>
      </w:r>
      <w:r w:rsidR="00EE6AA2" w:rsidRPr="00115925">
        <w:t>е</w:t>
      </w:r>
      <w:r w:rsidR="004D1E15" w:rsidRPr="00115925">
        <w:t xml:space="preserve">, </w:t>
      </w:r>
      <w:r w:rsidRPr="00115925">
        <w:t>кој</w:t>
      </w:r>
      <w:r w:rsidR="00EE6AA2" w:rsidRPr="00115925">
        <w:t>е</w:t>
      </w:r>
      <w:r w:rsidR="004D1E15" w:rsidRPr="00115925">
        <w:t xml:space="preserve"> </w:t>
      </w:r>
      <w:r w:rsidR="0071360A" w:rsidRPr="00115925">
        <w:t>с</w:t>
      </w:r>
      <w:r w:rsidR="00EE6AA2" w:rsidRPr="00115925">
        <w:t>е</w:t>
      </w:r>
      <w:r w:rsidR="004D1E15" w:rsidRPr="00115925">
        <w:t xml:space="preserve"> </w:t>
      </w:r>
      <w:r w:rsidRPr="00115925">
        <w:t>одно</w:t>
      </w:r>
      <w:r w:rsidR="0071360A" w:rsidRPr="00115925">
        <w:t>с</w:t>
      </w:r>
      <w:r w:rsidR="00EE6AA2" w:rsidRPr="00115925">
        <w:t>е</w:t>
      </w:r>
      <w:r w:rsidR="004D1E15" w:rsidRPr="00115925">
        <w:t xml:space="preserve"> </w:t>
      </w:r>
      <w:r w:rsidRPr="00115925">
        <w:t>на</w:t>
      </w:r>
      <w:r w:rsidR="004D1E15" w:rsidRPr="00115925">
        <w:t xml:space="preserve"> </w:t>
      </w:r>
      <w:r w:rsidRPr="00115925">
        <w:t>о</w:t>
      </w:r>
      <w:r w:rsidR="0071360A" w:rsidRPr="00115925">
        <w:t>с</w:t>
      </w:r>
      <w:r w:rsidRPr="00115925">
        <w:t>иг</w:t>
      </w:r>
      <w:r w:rsidR="0071360A" w:rsidRPr="00115925">
        <w:t>ур</w:t>
      </w:r>
      <w:r w:rsidRPr="00115925">
        <w:t>ањ</w:t>
      </w:r>
      <w:r w:rsidR="00EE6AA2" w:rsidRPr="00115925">
        <w:t>е</w:t>
      </w:r>
      <w:r w:rsidR="004D1E15" w:rsidRPr="00115925">
        <w:t xml:space="preserve"> </w:t>
      </w:r>
      <w:r w:rsidRPr="00115925">
        <w:t>к</w:t>
      </w:r>
      <w:r w:rsidR="0071360A" w:rsidRPr="00115925">
        <w:t>в</w:t>
      </w:r>
      <w:r w:rsidRPr="00115925">
        <w:t>али</w:t>
      </w:r>
      <w:r w:rsidR="0071360A" w:rsidRPr="00115925">
        <w:t>т</w:t>
      </w:r>
      <w:r w:rsidR="00EE6AA2" w:rsidRPr="00115925">
        <w:t>е</w:t>
      </w:r>
      <w:r w:rsidR="0071360A" w:rsidRPr="00115925">
        <w:t>т</w:t>
      </w:r>
      <w:r w:rsidR="00EE6AA2" w:rsidRPr="00115925">
        <w:t>е</w:t>
      </w:r>
      <w:r w:rsidR="004D1E15" w:rsidRPr="00115925">
        <w:t xml:space="preserve">, </w:t>
      </w:r>
      <w:r w:rsidRPr="00115925">
        <w:t>и</w:t>
      </w:r>
      <w:r w:rsidR="004D1E15" w:rsidRPr="00115925">
        <w:t xml:space="preserve"> </w:t>
      </w:r>
      <w:r w:rsidR="0071360A" w:rsidRPr="00115925">
        <w:t>р</w:t>
      </w:r>
      <w:r w:rsidR="00EE6AA2" w:rsidRPr="00115925">
        <w:t>е</w:t>
      </w:r>
      <w:r w:rsidR="00171F00" w:rsidRPr="00115925">
        <w:t>з</w:t>
      </w:r>
      <w:r w:rsidR="0071360A" w:rsidRPr="00115925">
        <w:t>у</w:t>
      </w:r>
      <w:r w:rsidRPr="00115925">
        <w:t>л</w:t>
      </w:r>
      <w:r w:rsidR="0071360A" w:rsidRPr="00115925">
        <w:t>т</w:t>
      </w:r>
      <w:r w:rsidRPr="00115925">
        <w:t>а</w:t>
      </w:r>
      <w:r w:rsidR="0071360A" w:rsidRPr="00115925">
        <w:t>т</w:t>
      </w:r>
      <w:r w:rsidR="00EE6AA2" w:rsidRPr="00115925">
        <w:t>е</w:t>
      </w:r>
      <w:r w:rsidR="004D1E15" w:rsidRPr="00115925">
        <w:t xml:space="preserve"> </w:t>
      </w:r>
      <w:r w:rsidR="0071360A" w:rsidRPr="00115925">
        <w:t>с</w:t>
      </w:r>
      <w:r w:rsidRPr="00115925">
        <w:t>ко</w:t>
      </w:r>
      <w:r w:rsidR="0071360A" w:rsidRPr="00115925">
        <w:t>р</w:t>
      </w:r>
      <w:r w:rsidRPr="00115925">
        <w:t>ијих</w:t>
      </w:r>
      <w:r w:rsidR="004D1E15" w:rsidRPr="00115925">
        <w:t xml:space="preserve"> </w:t>
      </w:r>
      <w:r w:rsidRPr="00115925">
        <w:t>и</w:t>
      </w:r>
      <w:r w:rsidR="0071360A" w:rsidRPr="00115925">
        <w:t>стр</w:t>
      </w:r>
      <w:r w:rsidRPr="00115925">
        <w:t>а</w:t>
      </w:r>
      <w:r w:rsidR="00171F00" w:rsidRPr="00115925">
        <w:t>ж</w:t>
      </w:r>
      <w:r w:rsidRPr="00115925">
        <w:t>и</w:t>
      </w:r>
      <w:r w:rsidR="0071360A" w:rsidRPr="00115925">
        <w:t>в</w:t>
      </w:r>
      <w:r w:rsidRPr="00115925">
        <w:t>ања</w:t>
      </w:r>
      <w:r w:rsidR="004D1E15" w:rsidRPr="00115925">
        <w:t xml:space="preserve"> (</w:t>
      </w:r>
      <w:r w:rsidR="0071360A" w:rsidRPr="00115925">
        <w:t>У</w:t>
      </w:r>
      <w:r w:rsidRPr="00115925">
        <w:t>НИЦ</w:t>
      </w:r>
      <w:r w:rsidR="00EE6AA2" w:rsidRPr="00115925">
        <w:t>Е</w:t>
      </w:r>
      <w:r w:rsidRPr="00115925">
        <w:t>Ф</w:t>
      </w:r>
      <w:r w:rsidR="004D1E15" w:rsidRPr="00115925">
        <w:t>, 2021</w:t>
      </w:r>
      <w:r w:rsidRPr="00115925">
        <w:t>а</w:t>
      </w:r>
      <w:r w:rsidR="004D1E15" w:rsidRPr="00115925">
        <w:t xml:space="preserve">; </w:t>
      </w:r>
      <w:r w:rsidR="0071360A" w:rsidRPr="00115925">
        <w:t>У</w:t>
      </w:r>
      <w:r w:rsidRPr="00115925">
        <w:t>Н</w:t>
      </w:r>
      <w:r w:rsidR="00EE6AA2" w:rsidRPr="00115925">
        <w:t>Е</w:t>
      </w:r>
      <w:r w:rsidR="0071360A" w:rsidRPr="00115925">
        <w:t>С</w:t>
      </w:r>
      <w:r w:rsidRPr="00115925">
        <w:t>ЦО</w:t>
      </w:r>
      <w:r w:rsidR="004D1E15" w:rsidRPr="00115925">
        <w:t xml:space="preserve">, 2021; </w:t>
      </w:r>
      <w:r w:rsidR="0071360A" w:rsidRPr="00115925">
        <w:t>У</w:t>
      </w:r>
      <w:r w:rsidRPr="00115925">
        <w:t>НИЦ</w:t>
      </w:r>
      <w:r w:rsidR="00EE6AA2" w:rsidRPr="00115925">
        <w:t>Е</w:t>
      </w:r>
      <w:r w:rsidRPr="00115925">
        <w:t>Ф</w:t>
      </w:r>
      <w:r w:rsidR="004D1E15" w:rsidRPr="00115925">
        <w:t xml:space="preserve">, </w:t>
      </w:r>
      <w:r w:rsidR="0071360A" w:rsidRPr="00115925">
        <w:lastRenderedPageBreak/>
        <w:t>У</w:t>
      </w:r>
      <w:r w:rsidRPr="00115925">
        <w:t>Н</w:t>
      </w:r>
      <w:r w:rsidR="00EE6AA2" w:rsidRPr="00115925">
        <w:t>Е</w:t>
      </w:r>
      <w:r w:rsidR="0071360A" w:rsidRPr="00115925">
        <w:t>С</w:t>
      </w:r>
      <w:r w:rsidRPr="00115925">
        <w:t>ЦО</w:t>
      </w:r>
      <w:r w:rsidR="004D1E15" w:rsidRPr="00115925">
        <w:t xml:space="preserve">, </w:t>
      </w:r>
      <w:r w:rsidRPr="00115925">
        <w:t>ИЛО</w:t>
      </w:r>
      <w:r w:rsidR="004D1E15" w:rsidRPr="00115925">
        <w:t xml:space="preserve"> </w:t>
      </w:r>
      <w:r w:rsidRPr="00115925">
        <w:t>и</w:t>
      </w:r>
      <w:r w:rsidR="004D1E15" w:rsidRPr="00115925">
        <w:t xml:space="preserve"> </w:t>
      </w:r>
      <w:r w:rsidR="0071360A" w:rsidRPr="00115925">
        <w:t>У</w:t>
      </w:r>
      <w:r w:rsidRPr="00115925">
        <w:t>Н</w:t>
      </w:r>
      <w:r w:rsidR="005549C9" w:rsidRPr="00115925">
        <w:t xml:space="preserve"> волонтери</w:t>
      </w:r>
      <w:r w:rsidR="004D1E15" w:rsidRPr="00115925">
        <w:t>, 2021),</w:t>
      </w:r>
      <w:r w:rsidR="00B04FA8" w:rsidRPr="00115925">
        <w:t xml:space="preserve"> са </w:t>
      </w:r>
      <w:r w:rsidRPr="00115925">
        <w:t>д</w:t>
      </w:r>
      <w:r w:rsidR="0071360A" w:rsidRPr="00115925">
        <w:t>ру</w:t>
      </w:r>
      <w:r w:rsidRPr="00115925">
        <w:t>г</w:t>
      </w:r>
      <w:r w:rsidR="00EE6AA2" w:rsidRPr="00115925">
        <w:t>е</w:t>
      </w:r>
      <w:r w:rsidR="004D1E15" w:rsidRPr="00115925">
        <w:t xml:space="preserve"> </w:t>
      </w:r>
      <w:r w:rsidR="0071360A" w:rsidRPr="00115925">
        <w:t>стр</w:t>
      </w:r>
      <w:r w:rsidRPr="00115925">
        <w:t>ан</w:t>
      </w:r>
      <w:r w:rsidR="00EE6AA2" w:rsidRPr="00115925">
        <w:t>е</w:t>
      </w:r>
      <w:r w:rsidR="004D1E15" w:rsidRPr="00115925">
        <w:t xml:space="preserve">, </w:t>
      </w:r>
      <w:r w:rsidR="0071360A" w:rsidRPr="00115925">
        <w:t>п</w:t>
      </w:r>
      <w:r w:rsidRPr="00115925">
        <w:t>о</w:t>
      </w:r>
      <w:r w:rsidR="0071360A" w:rsidRPr="00115925">
        <w:t>тр</w:t>
      </w:r>
      <w:r w:rsidR="00EE6AA2" w:rsidRPr="00115925">
        <w:t>е</w:t>
      </w:r>
      <w:r w:rsidRPr="00115925">
        <w:t>бно</w:t>
      </w:r>
      <w:r w:rsidR="004D1E15" w:rsidRPr="00115925">
        <w:t xml:space="preserve"> </w:t>
      </w:r>
      <w:r w:rsidRPr="00115925">
        <w:t>ј</w:t>
      </w:r>
      <w:r w:rsidR="00EE6AA2" w:rsidRPr="00115925">
        <w:t>е</w:t>
      </w:r>
      <w:r w:rsidR="004D1E15" w:rsidRPr="00115925">
        <w:t xml:space="preserve"> </w:t>
      </w:r>
      <w:r w:rsidR="0071360A" w:rsidRPr="00115925">
        <w:t>р</w:t>
      </w:r>
      <w:r w:rsidRPr="00115925">
        <w:t>а</w:t>
      </w:r>
      <w:r w:rsidR="00171F00" w:rsidRPr="00115925">
        <w:t>з</w:t>
      </w:r>
      <w:r w:rsidRPr="00115925">
        <w:t>ми</w:t>
      </w:r>
      <w:r w:rsidR="0071360A" w:rsidRPr="00115925">
        <w:t>ш</w:t>
      </w:r>
      <w:r w:rsidRPr="00115925">
        <w:t>ља</w:t>
      </w:r>
      <w:r w:rsidR="0071360A" w:rsidRPr="00115925">
        <w:t>т</w:t>
      </w:r>
      <w:r w:rsidRPr="00115925">
        <w:t>и</w:t>
      </w:r>
      <w:r w:rsidR="004D1E15" w:rsidRPr="00115925">
        <w:t xml:space="preserve"> </w:t>
      </w:r>
      <w:r w:rsidRPr="00115925">
        <w:t>о</w:t>
      </w:r>
      <w:r w:rsidR="004D1E15" w:rsidRPr="00115925">
        <w:t xml:space="preserve"> </w:t>
      </w:r>
      <w:r w:rsidRPr="00115925">
        <w:t>к</w:t>
      </w:r>
      <w:r w:rsidR="0071360A" w:rsidRPr="00115925">
        <w:t>р</w:t>
      </w:r>
      <w:r w:rsidR="00EE6AA2" w:rsidRPr="00115925">
        <w:t>е</w:t>
      </w:r>
      <w:r w:rsidRPr="00115925">
        <w:t>и</w:t>
      </w:r>
      <w:r w:rsidR="0071360A" w:rsidRPr="00115925">
        <w:t>р</w:t>
      </w:r>
      <w:r w:rsidRPr="00115925">
        <w:t>ањ</w:t>
      </w:r>
      <w:r w:rsidR="0071360A" w:rsidRPr="00115925">
        <w:t>у</w:t>
      </w:r>
      <w:r w:rsidR="004D1E15" w:rsidRPr="00115925">
        <w:t xml:space="preserve"> </w:t>
      </w:r>
      <w:r w:rsidRPr="00115925">
        <w:t>ин</w:t>
      </w:r>
      <w:r w:rsidR="0071360A" w:rsidRPr="00115925">
        <w:t>стру</w:t>
      </w:r>
      <w:r w:rsidRPr="00115925">
        <w:t>м</w:t>
      </w:r>
      <w:r w:rsidR="00EE6AA2" w:rsidRPr="00115925">
        <w:t>е</w:t>
      </w:r>
      <w:r w:rsidRPr="00115925">
        <w:t>н</w:t>
      </w:r>
      <w:r w:rsidR="0071360A" w:rsidRPr="00115925">
        <w:t>т</w:t>
      </w:r>
      <w:r w:rsidRPr="00115925">
        <w:t>а</w:t>
      </w:r>
      <w:r w:rsidR="004D1E15" w:rsidRPr="00115925">
        <w:t xml:space="preserve"> </w:t>
      </w:r>
      <w:r w:rsidR="00171F00" w:rsidRPr="00115925">
        <w:t>з</w:t>
      </w:r>
      <w:r w:rsidRPr="00115925">
        <w:t>а</w:t>
      </w:r>
      <w:r w:rsidR="004D1E15" w:rsidRPr="00115925">
        <w:t xml:space="preserve"> </w:t>
      </w:r>
      <w:r w:rsidR="0071360A" w:rsidRPr="00115925">
        <w:t>п</w:t>
      </w:r>
      <w:r w:rsidRPr="00115925">
        <w:t>о</w:t>
      </w:r>
      <w:r w:rsidR="0071360A" w:rsidRPr="00115925">
        <w:t>тр</w:t>
      </w:r>
      <w:r w:rsidR="00EE6AA2" w:rsidRPr="00115925">
        <w:t>е</w:t>
      </w:r>
      <w:r w:rsidRPr="00115925">
        <w:t>б</w:t>
      </w:r>
      <w:r w:rsidR="00EE6AA2" w:rsidRPr="00115925">
        <w:t>е</w:t>
      </w:r>
      <w:r w:rsidR="004D1E15" w:rsidRPr="00115925">
        <w:t xml:space="preserve"> </w:t>
      </w:r>
      <w:r w:rsidR="0071360A" w:rsidRPr="00115925">
        <w:t>пр</w:t>
      </w:r>
      <w:r w:rsidRPr="00115925">
        <w:t>аћ</w:t>
      </w:r>
      <w:r w:rsidR="00EE6AA2" w:rsidRPr="00115925">
        <w:t>е</w:t>
      </w:r>
      <w:r w:rsidRPr="00115925">
        <w:t>ња</w:t>
      </w:r>
      <w:r w:rsidR="004D1E15" w:rsidRPr="00115925">
        <w:t xml:space="preserve"> </w:t>
      </w:r>
      <w:r w:rsidRPr="00115925">
        <w:t>и</w:t>
      </w:r>
      <w:r w:rsidR="004D1E15" w:rsidRPr="00115925">
        <w:t xml:space="preserve"> </w:t>
      </w:r>
      <w:r w:rsidR="0071360A" w:rsidRPr="00115925">
        <w:t>вр</w:t>
      </w:r>
      <w:r w:rsidR="00EE6AA2" w:rsidRPr="00115925">
        <w:t>е</w:t>
      </w:r>
      <w:r w:rsidRPr="00115925">
        <w:t>дно</w:t>
      </w:r>
      <w:r w:rsidR="0071360A" w:rsidRPr="00115925">
        <w:t>в</w:t>
      </w:r>
      <w:r w:rsidRPr="00115925">
        <w:t>ања</w:t>
      </w:r>
      <w:r w:rsidR="004D1E15" w:rsidRPr="00115925">
        <w:t xml:space="preserve"> </w:t>
      </w:r>
      <w:r w:rsidRPr="00115925">
        <w:t>к</w:t>
      </w:r>
      <w:r w:rsidR="0071360A" w:rsidRPr="00115925">
        <w:t>в</w:t>
      </w:r>
      <w:r w:rsidRPr="00115925">
        <w:t>али</w:t>
      </w:r>
      <w:r w:rsidR="0071360A" w:rsidRPr="00115925">
        <w:t>т</w:t>
      </w:r>
      <w:r w:rsidR="00EE6AA2" w:rsidRPr="00115925">
        <w:t>е</w:t>
      </w:r>
      <w:r w:rsidR="0071360A" w:rsidRPr="00115925">
        <w:t>т</w:t>
      </w:r>
      <w:r w:rsidR="00EE6AA2" w:rsidRPr="00115925">
        <w:t>е</w:t>
      </w:r>
      <w:r w:rsidR="004D1E15" w:rsidRPr="00115925">
        <w:t xml:space="preserve"> </w:t>
      </w:r>
      <w:r w:rsidR="0071360A" w:rsidRPr="00115925">
        <w:t>у</w:t>
      </w:r>
      <w:r w:rsidR="004D1E15" w:rsidRPr="00115925">
        <w:t xml:space="preserve"> </w:t>
      </w:r>
      <w:r w:rsidRPr="00115925">
        <w:t>обла</w:t>
      </w:r>
      <w:r w:rsidR="0071360A" w:rsidRPr="00115925">
        <w:t>ст</w:t>
      </w:r>
      <w:r w:rsidRPr="00115925">
        <w:t>и</w:t>
      </w:r>
      <w:r w:rsidR="004D1E15" w:rsidRPr="00115925">
        <w:t xml:space="preserve"> </w:t>
      </w:r>
      <w:r w:rsidR="0071360A" w:rsidRPr="00115925">
        <w:t>в</w:t>
      </w:r>
      <w:r w:rsidRPr="00115925">
        <w:t>и</w:t>
      </w:r>
      <w:r w:rsidR="0071360A" w:rsidRPr="00115925">
        <w:t>с</w:t>
      </w:r>
      <w:r w:rsidRPr="00115925">
        <w:t>оког</w:t>
      </w:r>
      <w:r w:rsidR="004D1E15" w:rsidRPr="00115925">
        <w:t xml:space="preserve"> </w:t>
      </w:r>
      <w:r w:rsidRPr="00115925">
        <w:t>об</w:t>
      </w:r>
      <w:r w:rsidR="0071360A" w:rsidRPr="00115925">
        <w:t>р</w:t>
      </w:r>
      <w:r w:rsidRPr="00115925">
        <w:t>а</w:t>
      </w:r>
      <w:r w:rsidR="00171F00" w:rsidRPr="00115925">
        <w:t>з</w:t>
      </w:r>
      <w:r w:rsidRPr="00115925">
        <w:t>о</w:t>
      </w:r>
      <w:r w:rsidR="0071360A" w:rsidRPr="00115925">
        <w:t>в</w:t>
      </w:r>
      <w:r w:rsidRPr="00115925">
        <w:t>ања</w:t>
      </w:r>
      <w:r w:rsidR="004D1E15" w:rsidRPr="00115925">
        <w:t xml:space="preserve">. </w:t>
      </w:r>
      <w:r w:rsidR="0071360A" w:rsidRPr="00115925">
        <w:t>Пр</w:t>
      </w:r>
      <w:r w:rsidRPr="00115925">
        <w:t>и</w:t>
      </w:r>
      <w:r w:rsidR="004D1E15" w:rsidRPr="00115925">
        <w:t xml:space="preserve"> </w:t>
      </w:r>
      <w:r w:rsidR="0071360A" w:rsidRPr="00115925">
        <w:t>т</w:t>
      </w:r>
      <w:r w:rsidRPr="00115925">
        <w:t>ом</w:t>
      </w:r>
      <w:r w:rsidR="00EE6AA2" w:rsidRPr="00115925">
        <w:t>е</w:t>
      </w:r>
      <w:r w:rsidR="004D1E15" w:rsidRPr="00115925">
        <w:t xml:space="preserve"> </w:t>
      </w:r>
      <w:r w:rsidRPr="00115925">
        <w:t>ј</w:t>
      </w:r>
      <w:r w:rsidR="00EE6AA2" w:rsidRPr="00115925">
        <w:t>е</w:t>
      </w:r>
      <w:r w:rsidR="004D1E15" w:rsidRPr="00115925">
        <w:t xml:space="preserve"> </w:t>
      </w:r>
      <w:r w:rsidR="0071360A" w:rsidRPr="00115925">
        <w:t>в</w:t>
      </w:r>
      <w:r w:rsidRPr="00115925">
        <w:t>а</w:t>
      </w:r>
      <w:r w:rsidR="00171F00" w:rsidRPr="00115925">
        <w:t>ж</w:t>
      </w:r>
      <w:r w:rsidRPr="00115925">
        <w:t>но</w:t>
      </w:r>
      <w:r w:rsidR="004D1E15" w:rsidRPr="00115925">
        <w:t xml:space="preserve"> </w:t>
      </w:r>
      <w:r w:rsidRPr="00115925">
        <w:t>фок</w:t>
      </w:r>
      <w:r w:rsidR="0071360A" w:rsidRPr="00115925">
        <w:t>ус</w:t>
      </w:r>
      <w:r w:rsidRPr="00115925">
        <w:t>и</w:t>
      </w:r>
      <w:r w:rsidR="0071360A" w:rsidRPr="00115925">
        <w:t>р</w:t>
      </w:r>
      <w:r w:rsidRPr="00115925">
        <w:t>а</w:t>
      </w:r>
      <w:r w:rsidR="0071360A" w:rsidRPr="00115925">
        <w:t>т</w:t>
      </w:r>
      <w:r w:rsidRPr="00115925">
        <w:t>и</w:t>
      </w:r>
      <w:r w:rsidR="004D1E15" w:rsidRPr="00115925">
        <w:t xml:space="preserve"> </w:t>
      </w:r>
      <w:r w:rsidR="0071360A" w:rsidRPr="00115925">
        <w:t>с</w:t>
      </w:r>
      <w:r w:rsidR="00EE6AA2" w:rsidRPr="00115925">
        <w:t>е</w:t>
      </w:r>
      <w:r w:rsidR="004D1E15" w:rsidRPr="00115925">
        <w:t xml:space="preserve"> </w:t>
      </w:r>
      <w:r w:rsidRPr="00115925">
        <w:t>на</w:t>
      </w:r>
      <w:r w:rsidR="004D1E15" w:rsidRPr="00115925">
        <w:t xml:space="preserve"> </w:t>
      </w:r>
      <w:r w:rsidR="0071360A" w:rsidRPr="00115925">
        <w:t>пр</w:t>
      </w:r>
      <w:r w:rsidRPr="00115925">
        <w:t>оц</w:t>
      </w:r>
      <w:r w:rsidR="00EE6AA2" w:rsidRPr="00115925">
        <w:t>е</w:t>
      </w:r>
      <w:r w:rsidR="0071360A" w:rsidRPr="00115925">
        <w:t>с</w:t>
      </w:r>
      <w:r w:rsidR="004D1E15" w:rsidRPr="00115925">
        <w:t xml:space="preserve"> </w:t>
      </w:r>
      <w:r w:rsidRPr="00115925">
        <w:t>диги</w:t>
      </w:r>
      <w:r w:rsidR="0071360A" w:rsidRPr="00115925">
        <w:t>т</w:t>
      </w:r>
      <w:r w:rsidRPr="00115925">
        <w:t>али</w:t>
      </w:r>
      <w:r w:rsidR="00171F00" w:rsidRPr="00115925">
        <w:t>з</w:t>
      </w:r>
      <w:r w:rsidRPr="00115925">
        <w:t>ациј</w:t>
      </w:r>
      <w:r w:rsidR="00EE6AA2" w:rsidRPr="00115925">
        <w:t>е</w:t>
      </w:r>
      <w:r w:rsidR="004D1E15" w:rsidRPr="00115925">
        <w:t xml:space="preserve"> </w:t>
      </w:r>
      <w:r w:rsidRPr="00115925">
        <w:t>и</w:t>
      </w:r>
      <w:r w:rsidR="004D1E15" w:rsidRPr="00115925">
        <w:t xml:space="preserve"> </w:t>
      </w:r>
      <w:r w:rsidR="0071360A" w:rsidRPr="00115925">
        <w:t>р</w:t>
      </w:r>
      <w:r w:rsidRPr="00115925">
        <w:t>а</w:t>
      </w:r>
      <w:r w:rsidR="00171F00" w:rsidRPr="00115925">
        <w:t>з</w:t>
      </w:r>
      <w:r w:rsidR="0071360A" w:rsidRPr="00115925">
        <w:t>в</w:t>
      </w:r>
      <w:r w:rsidRPr="00115925">
        <w:t>ијањ</w:t>
      </w:r>
      <w:r w:rsidR="00EE6AA2" w:rsidRPr="00115925">
        <w:t>е</w:t>
      </w:r>
      <w:r w:rsidR="004D1E15" w:rsidRPr="00115925">
        <w:t xml:space="preserve"> </w:t>
      </w:r>
      <w:r w:rsidRPr="00115925">
        <w:t>диги</w:t>
      </w:r>
      <w:r w:rsidR="0071360A" w:rsidRPr="00115925">
        <w:t>т</w:t>
      </w:r>
      <w:r w:rsidRPr="00115925">
        <w:t>алних</w:t>
      </w:r>
      <w:r w:rsidR="004D1E15" w:rsidRPr="00115925">
        <w:t xml:space="preserve"> </w:t>
      </w:r>
      <w:r w:rsidRPr="00115925">
        <w:t>ком</w:t>
      </w:r>
      <w:r w:rsidR="0071360A" w:rsidRPr="00115925">
        <w:t>п</w:t>
      </w:r>
      <w:r w:rsidR="00EE6AA2" w:rsidRPr="00115925">
        <w:t>е</w:t>
      </w:r>
      <w:r w:rsidR="0071360A" w:rsidRPr="00115925">
        <w:t>т</w:t>
      </w:r>
      <w:r w:rsidR="00EE6AA2" w:rsidRPr="00115925">
        <w:t>е</w:t>
      </w:r>
      <w:r w:rsidRPr="00115925">
        <w:t>нција</w:t>
      </w:r>
      <w:r w:rsidR="004D1E15" w:rsidRPr="00115925">
        <w:t xml:space="preserve"> </w:t>
      </w:r>
      <w:r w:rsidRPr="00115925">
        <w:t>на</w:t>
      </w:r>
      <w:r w:rsidR="0071360A" w:rsidRPr="00115925">
        <w:t>ст</w:t>
      </w:r>
      <w:r w:rsidRPr="00115925">
        <w:t>а</w:t>
      </w:r>
      <w:r w:rsidR="0071360A" w:rsidRPr="00115925">
        <w:t>в</w:t>
      </w:r>
      <w:r w:rsidRPr="00115925">
        <w:t>ника</w:t>
      </w:r>
      <w:r w:rsidR="004D1E15" w:rsidRPr="00F6340E">
        <w:rPr>
          <w:bCs/>
        </w:rPr>
        <w:t xml:space="preserve"> </w:t>
      </w:r>
      <w:r>
        <w:rPr>
          <w:bCs/>
        </w:rPr>
        <w:t>и</w:t>
      </w:r>
      <w:r w:rsidR="004D1E15" w:rsidRPr="00F6340E">
        <w:rPr>
          <w:bCs/>
        </w:rPr>
        <w:t xml:space="preserve"> </w:t>
      </w:r>
      <w:r w:rsidR="0071360A">
        <w:rPr>
          <w:bCs/>
        </w:rPr>
        <w:t>сту</w:t>
      </w:r>
      <w:r>
        <w:rPr>
          <w:bCs/>
        </w:rPr>
        <w:t>д</w:t>
      </w:r>
      <w:r w:rsidR="00EE6AA2">
        <w:rPr>
          <w:bCs/>
        </w:rPr>
        <w:t>е</w:t>
      </w:r>
      <w:r>
        <w:rPr>
          <w:bCs/>
        </w:rPr>
        <w:t>на</w:t>
      </w:r>
      <w:r w:rsidR="0071360A">
        <w:rPr>
          <w:bCs/>
        </w:rPr>
        <w:t>т</w:t>
      </w:r>
      <w:r>
        <w:rPr>
          <w:bCs/>
        </w:rPr>
        <w:t>а</w:t>
      </w:r>
      <w:r w:rsidR="004D1E15" w:rsidRPr="00F6340E">
        <w:rPr>
          <w:bCs/>
        </w:rPr>
        <w:t xml:space="preserve">, </w:t>
      </w:r>
      <w:r>
        <w:rPr>
          <w:bCs/>
        </w:rPr>
        <w:t>а</w:t>
      </w:r>
      <w:r w:rsidR="004D1E15" w:rsidRPr="00F6340E">
        <w:rPr>
          <w:bCs/>
        </w:rPr>
        <w:t xml:space="preserve"> </w:t>
      </w:r>
      <w:r w:rsidR="0071360A">
        <w:rPr>
          <w:bCs/>
        </w:rPr>
        <w:t>у</w:t>
      </w:r>
      <w:r w:rsidR="004D1E15" w:rsidRPr="00F6340E">
        <w:rPr>
          <w:bCs/>
        </w:rPr>
        <w:t xml:space="preserve"> </w:t>
      </w:r>
      <w:r w:rsidR="0071360A">
        <w:rPr>
          <w:bCs/>
        </w:rPr>
        <w:t>свр</w:t>
      </w:r>
      <w:r>
        <w:rPr>
          <w:bCs/>
        </w:rPr>
        <w:t>х</w:t>
      </w:r>
      <w:r w:rsidR="0071360A">
        <w:rPr>
          <w:bCs/>
        </w:rPr>
        <w:t>у</w:t>
      </w:r>
      <w:r w:rsidR="004D1E15" w:rsidRPr="00F6340E">
        <w:rPr>
          <w:bCs/>
        </w:rPr>
        <w:t xml:space="preserve"> </w:t>
      </w:r>
      <w:r>
        <w:rPr>
          <w:bCs/>
        </w:rPr>
        <w:t>о</w:t>
      </w:r>
      <w:r w:rsidR="0071360A">
        <w:rPr>
          <w:bCs/>
        </w:rPr>
        <w:t>ств</w:t>
      </w:r>
      <w:r>
        <w:rPr>
          <w:bCs/>
        </w:rPr>
        <w:t>а</w:t>
      </w:r>
      <w:r w:rsidR="0071360A">
        <w:rPr>
          <w:bCs/>
        </w:rPr>
        <w:t>р</w:t>
      </w:r>
      <w:r>
        <w:rPr>
          <w:bCs/>
        </w:rPr>
        <w:t>и</w:t>
      </w:r>
      <w:r w:rsidR="0071360A">
        <w:rPr>
          <w:bCs/>
        </w:rPr>
        <w:t>в</w:t>
      </w:r>
      <w:r>
        <w:rPr>
          <w:bCs/>
        </w:rPr>
        <w:t>ања</w:t>
      </w:r>
      <w:r w:rsidR="004D1E15" w:rsidRPr="00F6340E">
        <w:rPr>
          <w:bCs/>
        </w:rPr>
        <w:t xml:space="preserve"> </w:t>
      </w:r>
      <w:r>
        <w:rPr>
          <w:bCs/>
        </w:rPr>
        <w:t>најбољих</w:t>
      </w:r>
      <w:r w:rsidR="004D1E15" w:rsidRPr="00F6340E">
        <w:rPr>
          <w:bCs/>
        </w:rPr>
        <w:t xml:space="preserve"> </w:t>
      </w:r>
      <w:r>
        <w:rPr>
          <w:bCs/>
        </w:rPr>
        <w:t>и</w:t>
      </w:r>
      <w:r w:rsidR="0071360A">
        <w:rPr>
          <w:bCs/>
        </w:rPr>
        <w:t>с</w:t>
      </w:r>
      <w:r>
        <w:rPr>
          <w:bCs/>
        </w:rPr>
        <w:t>хода</w:t>
      </w:r>
      <w:r w:rsidR="004D1E15" w:rsidRPr="00F6340E">
        <w:rPr>
          <w:bCs/>
        </w:rPr>
        <w:t xml:space="preserve"> </w:t>
      </w:r>
      <w:r w:rsidR="0071360A">
        <w:rPr>
          <w:bCs/>
        </w:rPr>
        <w:t>у</w:t>
      </w:r>
      <w:r>
        <w:rPr>
          <w:bCs/>
        </w:rPr>
        <w:t>ч</w:t>
      </w:r>
      <w:r w:rsidR="00EE6AA2">
        <w:rPr>
          <w:bCs/>
        </w:rPr>
        <w:t>е</w:t>
      </w:r>
      <w:r>
        <w:rPr>
          <w:bCs/>
        </w:rPr>
        <w:t>ња</w:t>
      </w:r>
      <w:r w:rsidR="004D1E15" w:rsidRPr="00F6340E">
        <w:rPr>
          <w:bCs/>
        </w:rPr>
        <w:t xml:space="preserve"> </w:t>
      </w:r>
      <w:r>
        <w:rPr>
          <w:bCs/>
        </w:rPr>
        <w:t>и</w:t>
      </w:r>
      <w:r w:rsidR="004D1E15" w:rsidRPr="00F6340E">
        <w:rPr>
          <w:bCs/>
        </w:rPr>
        <w:t xml:space="preserve"> </w:t>
      </w:r>
      <w:r w:rsidR="0071360A">
        <w:rPr>
          <w:bCs/>
        </w:rPr>
        <w:t>п</w:t>
      </w:r>
      <w:r>
        <w:rPr>
          <w:bCs/>
        </w:rPr>
        <w:t>од</w:t>
      </w:r>
      <w:r w:rsidR="0071360A">
        <w:rPr>
          <w:bCs/>
        </w:rPr>
        <w:t>у</w:t>
      </w:r>
      <w:r>
        <w:rPr>
          <w:bCs/>
        </w:rPr>
        <w:t>ча</w:t>
      </w:r>
      <w:r w:rsidR="0071360A">
        <w:rPr>
          <w:bCs/>
        </w:rPr>
        <w:t>в</w:t>
      </w:r>
      <w:r>
        <w:rPr>
          <w:bCs/>
        </w:rPr>
        <w:t>ања</w:t>
      </w:r>
      <w:r w:rsidR="004D1E15" w:rsidRPr="00F6340E">
        <w:rPr>
          <w:bCs/>
        </w:rPr>
        <w:t xml:space="preserve">.  </w:t>
      </w:r>
    </w:p>
    <w:p w14:paraId="1021E505" w14:textId="3629802E" w:rsidR="004D1E15" w:rsidRPr="00F6340E" w:rsidRDefault="00A56E08" w:rsidP="000962EB">
      <w:pPr>
        <w:pStyle w:val="Heading2"/>
        <w:numPr>
          <w:ilvl w:val="1"/>
          <w:numId w:val="70"/>
        </w:numPr>
        <w:rPr>
          <w:lang w:val="sr-Cyrl-BA"/>
        </w:rPr>
      </w:pPr>
      <w:bookmarkStart w:id="45" w:name="_Toc119050327"/>
      <w:r>
        <w:rPr>
          <w:lang w:val="sr-Cyrl-BA"/>
        </w:rPr>
        <w:t>Инфо</w:t>
      </w:r>
      <w:r w:rsidR="0071360A">
        <w:rPr>
          <w:lang w:val="sr-Cyrl-BA"/>
        </w:rPr>
        <w:t>р</w:t>
      </w:r>
      <w:r>
        <w:rPr>
          <w:lang w:val="sr-Cyrl-BA"/>
        </w:rPr>
        <w:t>ма</w:t>
      </w:r>
      <w:r w:rsidR="0071360A">
        <w:rPr>
          <w:lang w:val="sr-Cyrl-BA"/>
        </w:rPr>
        <w:t>т</w:t>
      </w:r>
      <w:r>
        <w:rPr>
          <w:lang w:val="sr-Cyrl-BA"/>
        </w:rPr>
        <w:t>ички</w:t>
      </w:r>
      <w:r w:rsidR="004D1E15" w:rsidRPr="00F6340E">
        <w:rPr>
          <w:lang w:val="sr-Cyrl-BA"/>
        </w:rPr>
        <w:t xml:space="preserve"> </w:t>
      </w:r>
      <w:r w:rsidR="0071360A">
        <w:rPr>
          <w:lang w:val="sr-Cyrl-BA"/>
        </w:rPr>
        <w:t>с</w:t>
      </w:r>
      <w:r>
        <w:rPr>
          <w:lang w:val="sr-Cyrl-BA"/>
        </w:rPr>
        <w:t>и</w:t>
      </w:r>
      <w:r w:rsidR="0071360A">
        <w:rPr>
          <w:lang w:val="sr-Cyrl-BA"/>
        </w:rPr>
        <w:t>ст</w:t>
      </w:r>
      <w:r w:rsidR="00EE6AA2">
        <w:rPr>
          <w:lang w:val="sr-Cyrl-BA"/>
        </w:rPr>
        <w:t>е</w:t>
      </w:r>
      <w:r>
        <w:rPr>
          <w:lang w:val="sr-Cyrl-BA"/>
        </w:rPr>
        <w:t>м</w:t>
      </w:r>
      <w:r w:rsidR="004D1E15" w:rsidRPr="00F6340E">
        <w:rPr>
          <w:lang w:val="sr-Cyrl-BA"/>
        </w:rPr>
        <w:t xml:space="preserve"> </w:t>
      </w:r>
      <w:r w:rsidR="00171F00">
        <w:rPr>
          <w:lang w:val="sr-Cyrl-BA"/>
        </w:rPr>
        <w:t>з</w:t>
      </w:r>
      <w:r>
        <w:rPr>
          <w:lang w:val="sr-Cyrl-BA"/>
        </w:rPr>
        <w:t>а</w:t>
      </w:r>
      <w:r w:rsidR="004D1E15" w:rsidRPr="00F6340E">
        <w:rPr>
          <w:lang w:val="sr-Cyrl-BA"/>
        </w:rPr>
        <w:t xml:space="preserve"> </w:t>
      </w:r>
      <w:r w:rsidR="0071360A">
        <w:rPr>
          <w:lang w:val="sr-Cyrl-BA"/>
        </w:rPr>
        <w:t>упр</w:t>
      </w:r>
      <w:r>
        <w:rPr>
          <w:lang w:val="sr-Cyrl-BA"/>
        </w:rPr>
        <w:t>а</w:t>
      </w:r>
      <w:r w:rsidR="0071360A">
        <w:rPr>
          <w:lang w:val="sr-Cyrl-BA"/>
        </w:rPr>
        <w:t>в</w:t>
      </w:r>
      <w:r>
        <w:rPr>
          <w:lang w:val="sr-Cyrl-BA"/>
        </w:rPr>
        <w:t>љањ</w:t>
      </w:r>
      <w:r w:rsidR="00EE6AA2">
        <w:rPr>
          <w:lang w:val="sr-Cyrl-BA"/>
        </w:rPr>
        <w:t>е</w:t>
      </w:r>
      <w:r w:rsidR="004D1E15" w:rsidRPr="00F6340E">
        <w:rPr>
          <w:lang w:val="sr-Cyrl-BA"/>
        </w:rPr>
        <w:t xml:space="preserve"> </w:t>
      </w:r>
      <w:r>
        <w:rPr>
          <w:lang w:val="sr-Cyrl-BA"/>
        </w:rPr>
        <w:t>об</w:t>
      </w:r>
      <w:r w:rsidR="0071360A">
        <w:rPr>
          <w:lang w:val="sr-Cyrl-BA"/>
        </w:rPr>
        <w:t>р</w:t>
      </w:r>
      <w:r>
        <w:rPr>
          <w:lang w:val="sr-Cyrl-BA"/>
        </w:rPr>
        <w:t>а</w:t>
      </w:r>
      <w:r w:rsidR="00171F00">
        <w:rPr>
          <w:lang w:val="sr-Cyrl-BA"/>
        </w:rPr>
        <w:t>з</w:t>
      </w:r>
      <w:r>
        <w:rPr>
          <w:lang w:val="sr-Cyrl-BA"/>
        </w:rPr>
        <w:t>о</w:t>
      </w:r>
      <w:r w:rsidR="0071360A">
        <w:rPr>
          <w:lang w:val="sr-Cyrl-BA"/>
        </w:rPr>
        <w:t>в</w:t>
      </w:r>
      <w:r>
        <w:rPr>
          <w:lang w:val="sr-Cyrl-BA"/>
        </w:rPr>
        <w:t>ањ</w:t>
      </w:r>
      <w:r w:rsidR="00EE6AA2">
        <w:rPr>
          <w:lang w:val="sr-Cyrl-BA"/>
        </w:rPr>
        <w:t>е</w:t>
      </w:r>
      <w:r>
        <w:rPr>
          <w:lang w:val="sr-Cyrl-BA"/>
        </w:rPr>
        <w:t>м</w:t>
      </w:r>
      <w:bookmarkEnd w:id="45"/>
      <w:r w:rsidR="004D1E15" w:rsidRPr="00F6340E">
        <w:rPr>
          <w:lang w:val="sr-Cyrl-BA"/>
        </w:rPr>
        <w:t xml:space="preserve"> </w:t>
      </w:r>
    </w:p>
    <w:p w14:paraId="7F5BBD17" w14:textId="578E702A" w:rsidR="004D1E15" w:rsidRPr="00F6340E" w:rsidRDefault="00EE6AA2" w:rsidP="00115925">
      <w:pPr>
        <w:pStyle w:val="Body"/>
      </w:pPr>
      <w:r>
        <w:t>Е</w:t>
      </w:r>
      <w:r w:rsidR="00A56E08">
        <w:t>МИ</w:t>
      </w:r>
      <w:r w:rsidR="0071360A">
        <w:t>С</w:t>
      </w:r>
      <w:r w:rsidR="00F80805" w:rsidRPr="00F6340E">
        <w:t xml:space="preserve"> (</w:t>
      </w:r>
      <w:r>
        <w:t>е</w:t>
      </w:r>
      <w:r w:rsidR="00A56E08">
        <w:t>нг</w:t>
      </w:r>
      <w:r w:rsidR="00F80805" w:rsidRPr="00F6340E">
        <w:t xml:space="preserve">. </w:t>
      </w:r>
      <w:r w:rsidR="005549C9">
        <w:rPr>
          <w:lang w:val="hr-BA"/>
        </w:rPr>
        <w:t>Education management information system</w:t>
      </w:r>
      <w:r w:rsidR="00F80805" w:rsidRPr="00F6340E">
        <w:t>)</w:t>
      </w:r>
      <w:r w:rsidR="00F80805" w:rsidRPr="00F6340E">
        <w:rPr>
          <w:rStyle w:val="FootnoteReference"/>
          <w:rFonts w:cs="Arial"/>
          <w:noProof w:val="0"/>
        </w:rPr>
        <w:footnoteReference w:id="23"/>
      </w:r>
      <w:r w:rsidR="00F80805" w:rsidRPr="00F6340E">
        <w:t xml:space="preserve"> </w:t>
      </w:r>
      <w:r w:rsidR="00A56E08">
        <w:t>ј</w:t>
      </w:r>
      <w:r>
        <w:t>е</w:t>
      </w:r>
      <w:r w:rsidR="00F80805" w:rsidRPr="00F6340E">
        <w:t xml:space="preserve"> </w:t>
      </w:r>
      <w:r w:rsidR="00A56E08">
        <w:t>г</w:t>
      </w:r>
      <w:r>
        <w:t>е</w:t>
      </w:r>
      <w:r w:rsidR="00A56E08">
        <w:t>н</w:t>
      </w:r>
      <w:r>
        <w:t>е</w:t>
      </w:r>
      <w:r w:rsidR="0071360A">
        <w:t>р</w:t>
      </w:r>
      <w:r w:rsidR="00A56E08">
        <w:t>ичка</w:t>
      </w:r>
      <w:r w:rsidR="00F80805" w:rsidRPr="00F6340E">
        <w:t xml:space="preserve"> </w:t>
      </w:r>
      <w:r w:rsidR="00A56E08">
        <w:t>о</w:t>
      </w:r>
      <w:r w:rsidR="00171F00">
        <w:t>з</w:t>
      </w:r>
      <w:r w:rsidR="00A56E08">
        <w:t>нака</w:t>
      </w:r>
      <w:r w:rsidR="00F80805" w:rsidRPr="00F6340E">
        <w:t xml:space="preserve"> </w:t>
      </w:r>
      <w:r w:rsidR="00171F00">
        <w:t>з</w:t>
      </w:r>
      <w:r w:rsidR="00A56E08">
        <w:t>а</w:t>
      </w:r>
      <w:r w:rsidR="00F80805" w:rsidRPr="00F6340E">
        <w:t xml:space="preserve"> </w:t>
      </w:r>
      <w:r w:rsidR="00A56E08">
        <w:t>инфо</w:t>
      </w:r>
      <w:r w:rsidR="0071360A">
        <w:t>р</w:t>
      </w:r>
      <w:r w:rsidR="00A56E08">
        <w:t>ма</w:t>
      </w:r>
      <w:r w:rsidR="0071360A">
        <w:t>т</w:t>
      </w:r>
      <w:r w:rsidR="00A56E08">
        <w:t>ичк</w:t>
      </w:r>
      <w:r>
        <w:t>е</w:t>
      </w:r>
      <w:r w:rsidR="004D1E15" w:rsidRPr="00F6340E">
        <w:t xml:space="preserve"> </w:t>
      </w:r>
      <w:r w:rsidR="0071360A">
        <w:t>с</w:t>
      </w:r>
      <w:r w:rsidR="00A56E08">
        <w:t>и</w:t>
      </w:r>
      <w:r w:rsidR="0071360A">
        <w:t>ст</w:t>
      </w:r>
      <w:r>
        <w:t>е</w:t>
      </w:r>
      <w:r w:rsidR="00A56E08">
        <w:t>м</w:t>
      </w:r>
      <w:r>
        <w:t>е</w:t>
      </w:r>
      <w:r w:rsidR="004D1E15" w:rsidRPr="00F6340E">
        <w:t xml:space="preserve"> </w:t>
      </w:r>
      <w:r w:rsidR="00171F00">
        <w:t>з</w:t>
      </w:r>
      <w:r w:rsidR="00A56E08">
        <w:t>а</w:t>
      </w:r>
      <w:r w:rsidR="004D1E15" w:rsidRPr="00F6340E">
        <w:t xml:space="preserve"> </w:t>
      </w:r>
      <w:r w:rsidR="0071360A">
        <w:t>упр</w:t>
      </w:r>
      <w:r w:rsidR="00A56E08">
        <w:t>а</w:t>
      </w:r>
      <w:r w:rsidR="0071360A">
        <w:t>в</w:t>
      </w:r>
      <w:r w:rsidR="00A56E08">
        <w:t>љањ</w:t>
      </w:r>
      <w:r>
        <w:t>е</w:t>
      </w:r>
      <w:r w:rsidR="004D1E15" w:rsidRPr="00F6340E">
        <w:t xml:space="preserve"> </w:t>
      </w:r>
      <w:r w:rsidR="00A56E08">
        <w:t>об</w:t>
      </w:r>
      <w:r w:rsidR="0071360A">
        <w:t>р</w:t>
      </w:r>
      <w:r w:rsidR="00A56E08">
        <w:t>а</w:t>
      </w:r>
      <w:r w:rsidR="00171F00">
        <w:t>з</w:t>
      </w:r>
      <w:r w:rsidR="00A56E08">
        <w:t>о</w:t>
      </w:r>
      <w:r w:rsidR="0071360A">
        <w:t>в</w:t>
      </w:r>
      <w:r w:rsidR="00A56E08">
        <w:t>ањ</w:t>
      </w:r>
      <w:r>
        <w:t>е</w:t>
      </w:r>
      <w:r w:rsidR="00A56E08">
        <w:t>м</w:t>
      </w:r>
      <w:r w:rsidR="00D65353" w:rsidRPr="00F6340E">
        <w:t xml:space="preserve">. </w:t>
      </w:r>
      <w:r w:rsidR="00A56E08">
        <w:t>Они</w:t>
      </w:r>
      <w:r w:rsidR="00D65353" w:rsidRPr="00F6340E">
        <w:t xml:space="preserve"> </w:t>
      </w:r>
      <w:r w:rsidR="00A56E08">
        <w:t>омог</w:t>
      </w:r>
      <w:r w:rsidR="0071360A">
        <w:t>у</w:t>
      </w:r>
      <w:r w:rsidR="00A56E08">
        <w:t>ћа</w:t>
      </w:r>
      <w:r w:rsidR="0071360A">
        <w:t>в</w:t>
      </w:r>
      <w:r w:rsidR="00A56E08">
        <w:t>ај</w:t>
      </w:r>
      <w:r w:rsidR="0071360A">
        <w:t>у</w:t>
      </w:r>
      <w:r w:rsidR="004D1E15" w:rsidRPr="00F6340E">
        <w:t xml:space="preserve"> </w:t>
      </w:r>
      <w:r w:rsidR="0071360A">
        <w:t>п</w:t>
      </w:r>
      <w:r w:rsidR="00A56E08">
        <w:t>ох</w:t>
      </w:r>
      <w:r w:rsidR="0071360A">
        <w:t>р</w:t>
      </w:r>
      <w:r w:rsidR="00A56E08">
        <w:t>ан</w:t>
      </w:r>
      <w:r w:rsidR="0071360A">
        <w:t>у</w:t>
      </w:r>
      <w:r w:rsidR="004D1E15" w:rsidRPr="00F6340E">
        <w:t xml:space="preserve"> </w:t>
      </w:r>
      <w:r w:rsidR="0071360A">
        <w:t>п</w:t>
      </w:r>
      <w:r w:rsidR="00A56E08">
        <w:t>ода</w:t>
      </w:r>
      <w:r w:rsidR="0071360A">
        <w:t>т</w:t>
      </w:r>
      <w:r w:rsidR="00A56E08">
        <w:t>ака</w:t>
      </w:r>
      <w:r w:rsidR="004D1E15" w:rsidRPr="00F6340E">
        <w:t xml:space="preserve">, </w:t>
      </w:r>
      <w:r w:rsidR="00A56E08">
        <w:t>који</w:t>
      </w:r>
      <w:r w:rsidR="004D1E15" w:rsidRPr="00F6340E">
        <w:t xml:space="preserve"> </w:t>
      </w:r>
      <w:r w:rsidR="0071360A">
        <w:t>с</w:t>
      </w:r>
      <w:r>
        <w:t>е</w:t>
      </w:r>
      <w:r w:rsidR="004D1E15" w:rsidRPr="00F6340E">
        <w:t xml:space="preserve"> </w:t>
      </w:r>
      <w:r w:rsidR="00A56E08">
        <w:t>доби</w:t>
      </w:r>
      <w:r w:rsidR="0071360A">
        <w:t>в</w:t>
      </w:r>
      <w:r w:rsidR="00A56E08">
        <w:t>ај</w:t>
      </w:r>
      <w:r w:rsidR="0071360A">
        <w:t>у</w:t>
      </w:r>
      <w:r w:rsidR="004D1E15" w:rsidRPr="00F6340E">
        <w:t xml:space="preserve"> </w:t>
      </w:r>
      <w:r w:rsidR="0071360A">
        <w:t>у</w:t>
      </w:r>
      <w:r w:rsidR="004D1E15" w:rsidRPr="00F6340E">
        <w:t xml:space="preserve"> </w:t>
      </w:r>
      <w:r w:rsidR="0071360A">
        <w:t>пр</w:t>
      </w:r>
      <w:r w:rsidR="00A56E08">
        <w:t>оц</w:t>
      </w:r>
      <w:r>
        <w:t>е</w:t>
      </w:r>
      <w:r w:rsidR="0071360A">
        <w:t>су</w:t>
      </w:r>
      <w:r w:rsidR="004D1E15" w:rsidRPr="00F6340E">
        <w:t xml:space="preserve"> </w:t>
      </w:r>
      <w:r w:rsidR="0071360A">
        <w:t>р</w:t>
      </w:r>
      <w:r w:rsidR="00A56E08">
        <w:t>ада</w:t>
      </w:r>
      <w:r w:rsidR="004D1E15" w:rsidRPr="00F6340E">
        <w:t xml:space="preserve">, </w:t>
      </w:r>
      <w:r w:rsidR="0071360A">
        <w:t>пр</w:t>
      </w:r>
      <w:r w:rsidR="00A56E08">
        <w:t>аћ</w:t>
      </w:r>
      <w:r>
        <w:t>е</w:t>
      </w:r>
      <w:r w:rsidR="00A56E08">
        <w:t>ња</w:t>
      </w:r>
      <w:r w:rsidR="004D1E15" w:rsidRPr="00F6340E">
        <w:t xml:space="preserve"> </w:t>
      </w:r>
      <w:r w:rsidR="00A56E08">
        <w:t>и</w:t>
      </w:r>
      <w:r w:rsidR="004D1E15" w:rsidRPr="00F6340E">
        <w:t xml:space="preserve"> </w:t>
      </w:r>
      <w:r w:rsidR="0071360A">
        <w:t>вр</w:t>
      </w:r>
      <w:r>
        <w:t>е</w:t>
      </w:r>
      <w:r w:rsidR="00A56E08">
        <w:t>дно</w:t>
      </w:r>
      <w:r w:rsidR="0071360A">
        <w:t>в</w:t>
      </w:r>
      <w:r w:rsidR="00A56E08">
        <w:t>ања</w:t>
      </w:r>
      <w:r w:rsidR="004D1E15" w:rsidRPr="00F6340E">
        <w:t xml:space="preserve"> </w:t>
      </w:r>
      <w:r w:rsidR="0071360A">
        <w:t>у</w:t>
      </w:r>
      <w:r w:rsidR="004D1E15" w:rsidRPr="00F6340E">
        <w:t xml:space="preserve"> </w:t>
      </w:r>
      <w:r w:rsidR="00A56E08">
        <w:t>об</w:t>
      </w:r>
      <w:r w:rsidR="0071360A">
        <w:t>р</w:t>
      </w:r>
      <w:r w:rsidR="00A56E08">
        <w:t>а</w:t>
      </w:r>
      <w:r w:rsidR="00171F00">
        <w:t>з</w:t>
      </w:r>
      <w:r w:rsidR="00A56E08">
        <w:t>о</w:t>
      </w:r>
      <w:r w:rsidR="0071360A">
        <w:t>в</w:t>
      </w:r>
      <w:r w:rsidR="00A56E08">
        <w:t>ањ</w:t>
      </w:r>
      <w:r w:rsidR="0071360A">
        <w:t>у</w:t>
      </w:r>
      <w:r w:rsidR="004D1E15" w:rsidRPr="00F6340E">
        <w:t xml:space="preserve">, </w:t>
      </w:r>
      <w:r w:rsidR="00A56E08">
        <w:t>на</w:t>
      </w:r>
      <w:r w:rsidR="004D1E15" w:rsidRPr="00F6340E">
        <w:t xml:space="preserve"> </w:t>
      </w:r>
      <w:r w:rsidR="00A56E08">
        <w:t>ј</w:t>
      </w:r>
      <w:r>
        <w:t>е</w:t>
      </w:r>
      <w:r w:rsidR="00A56E08">
        <w:t>дном</w:t>
      </w:r>
      <w:r w:rsidR="004D1E15" w:rsidRPr="00F6340E">
        <w:t xml:space="preserve"> </w:t>
      </w:r>
      <w:r w:rsidR="00A56E08">
        <w:t>мј</w:t>
      </w:r>
      <w:r>
        <w:t>е</w:t>
      </w:r>
      <w:r w:rsidR="0071360A">
        <w:t>сту</w:t>
      </w:r>
      <w:r w:rsidR="00D65353" w:rsidRPr="00F6340E">
        <w:t xml:space="preserve">, </w:t>
      </w:r>
      <w:r w:rsidR="0071360A">
        <w:t>т</w:t>
      </w:r>
      <w:r>
        <w:t>е</w:t>
      </w:r>
      <w:r w:rsidR="00D65353" w:rsidRPr="00F6340E">
        <w:t xml:space="preserve"> </w:t>
      </w:r>
      <w:r w:rsidR="00A56E08">
        <w:t>н</w:t>
      </w:r>
      <w:r w:rsidR="0071360A">
        <w:t>у</w:t>
      </w:r>
      <w:r w:rsidR="00A56E08">
        <w:t>д</w:t>
      </w:r>
      <w:r>
        <w:t>е</w:t>
      </w:r>
      <w:r w:rsidR="00D65353" w:rsidRPr="00F6340E">
        <w:t xml:space="preserve"> </w:t>
      </w:r>
      <w:r w:rsidR="00A56E08">
        <w:t>мог</w:t>
      </w:r>
      <w:r w:rsidR="0071360A">
        <w:t>у</w:t>
      </w:r>
      <w:r w:rsidR="00A56E08">
        <w:t>ћно</w:t>
      </w:r>
      <w:r w:rsidR="0071360A">
        <w:t>ст</w:t>
      </w:r>
      <w:r w:rsidR="00A56E08">
        <w:t>и</w:t>
      </w:r>
      <w:r w:rsidR="004D1E15" w:rsidRPr="00F6340E">
        <w:t xml:space="preserve"> </w:t>
      </w:r>
      <w:r w:rsidR="0071360A">
        <w:t>упр</w:t>
      </w:r>
      <w:r w:rsidR="00A56E08">
        <w:t>а</w:t>
      </w:r>
      <w:r w:rsidR="0071360A">
        <w:t>в</w:t>
      </w:r>
      <w:r w:rsidR="00A56E08">
        <w:t>љања</w:t>
      </w:r>
      <w:r w:rsidR="004D1E15" w:rsidRPr="00F6340E">
        <w:t xml:space="preserve"> </w:t>
      </w:r>
      <w:r w:rsidR="00A56E08">
        <w:t>о</w:t>
      </w:r>
      <w:r w:rsidR="0071360A">
        <w:t>с</w:t>
      </w:r>
      <w:r w:rsidR="00A56E08">
        <w:t>но</w:t>
      </w:r>
      <w:r w:rsidR="0071360A">
        <w:t>в</w:t>
      </w:r>
      <w:r w:rsidR="00A56E08">
        <w:t>ним</w:t>
      </w:r>
      <w:r w:rsidR="004D1E15" w:rsidRPr="00F6340E">
        <w:t xml:space="preserve"> </w:t>
      </w:r>
      <w:r w:rsidR="00A56E08">
        <w:t>мод</w:t>
      </w:r>
      <w:r w:rsidR="0071360A">
        <w:t>у</w:t>
      </w:r>
      <w:r w:rsidR="00A56E08">
        <w:t>лима</w:t>
      </w:r>
      <w:r w:rsidR="004D1E15" w:rsidRPr="00F6340E">
        <w:t>:</w:t>
      </w:r>
    </w:p>
    <w:p w14:paraId="7D72181C" w14:textId="076C4C3E" w:rsidR="004D1E15" w:rsidRPr="00F6340E" w:rsidRDefault="0071360A" w:rsidP="00115925">
      <w:pPr>
        <w:pStyle w:val="Bulletlist"/>
      </w:pPr>
      <w:r>
        <w:t>П</w:t>
      </w:r>
      <w:r w:rsidR="00A56E08">
        <w:t>одаци</w:t>
      </w:r>
      <w:r w:rsidR="004D1E15" w:rsidRPr="00F6340E">
        <w:t xml:space="preserve"> </w:t>
      </w:r>
      <w:r w:rsidR="00A56E08">
        <w:t>о</w:t>
      </w:r>
      <w:r w:rsidR="004D1E15" w:rsidRPr="00F6340E">
        <w:t xml:space="preserve"> </w:t>
      </w:r>
      <w:r w:rsidR="00A56E08">
        <w:t>об</w:t>
      </w:r>
      <w:r>
        <w:t>р</w:t>
      </w:r>
      <w:r w:rsidR="00A56E08">
        <w:t>а</w:t>
      </w:r>
      <w:r w:rsidR="00171F00">
        <w:t>з</w:t>
      </w:r>
      <w:r w:rsidR="00A56E08">
        <w:t>о</w:t>
      </w:r>
      <w:r>
        <w:t>в</w:t>
      </w:r>
      <w:r w:rsidR="00A56E08">
        <w:t>ањ</w:t>
      </w:r>
      <w:r>
        <w:t>у</w:t>
      </w:r>
      <w:r w:rsidR="004D1E15" w:rsidRPr="00F6340E">
        <w:t>,</w:t>
      </w:r>
    </w:p>
    <w:p w14:paraId="1D13D4A6" w14:textId="7354FFE4" w:rsidR="004D1E15" w:rsidRPr="00F6340E" w:rsidRDefault="0071360A" w:rsidP="00115925">
      <w:pPr>
        <w:pStyle w:val="Bulletlist"/>
      </w:pPr>
      <w:r>
        <w:t>П</w:t>
      </w:r>
      <w:r w:rsidR="00A56E08">
        <w:t>одаци</w:t>
      </w:r>
      <w:r w:rsidR="004D1E15" w:rsidRPr="00F6340E">
        <w:t xml:space="preserve"> </w:t>
      </w:r>
      <w:r w:rsidR="00A56E08">
        <w:t>о</w:t>
      </w:r>
      <w:r w:rsidR="004D1E15" w:rsidRPr="00F6340E">
        <w:t xml:space="preserve"> </w:t>
      </w:r>
      <w:r>
        <w:t>у</w:t>
      </w:r>
      <w:r w:rsidR="00A56E08">
        <w:t>ч</w:t>
      </w:r>
      <w:r w:rsidR="00EE6AA2">
        <w:t>е</w:t>
      </w:r>
      <w:r w:rsidR="00A56E08">
        <w:t>ницима</w:t>
      </w:r>
      <w:r w:rsidR="004D1E15" w:rsidRPr="00F6340E">
        <w:t>/</w:t>
      </w:r>
      <w:r>
        <w:t>сту</w:t>
      </w:r>
      <w:r w:rsidR="00A56E08">
        <w:t>д</w:t>
      </w:r>
      <w:r w:rsidR="00EE6AA2">
        <w:t>е</w:t>
      </w:r>
      <w:r w:rsidR="00A56E08">
        <w:t>н</w:t>
      </w:r>
      <w:r>
        <w:t>т</w:t>
      </w:r>
      <w:r w:rsidR="00A56E08">
        <w:t>има</w:t>
      </w:r>
      <w:r w:rsidR="004D1E15" w:rsidRPr="00F6340E">
        <w:t xml:space="preserve"> </w:t>
      </w:r>
      <w:r w:rsidR="00A56E08">
        <w:t>и</w:t>
      </w:r>
      <w:r w:rsidR="004D1E15" w:rsidRPr="00F6340E">
        <w:t xml:space="preserve"> </w:t>
      </w:r>
      <w:r w:rsidR="00A56E08">
        <w:t>њихо</w:t>
      </w:r>
      <w:r>
        <w:t>в</w:t>
      </w:r>
      <w:r w:rsidR="00A56E08">
        <w:t>им</w:t>
      </w:r>
      <w:r w:rsidR="004D1E15" w:rsidRPr="00F6340E">
        <w:t xml:space="preserve"> </w:t>
      </w:r>
      <w:r>
        <w:t>п</w:t>
      </w:r>
      <w:r w:rsidR="00A56E08">
        <w:t>о</w:t>
      </w:r>
      <w:r>
        <w:t>ст</w:t>
      </w:r>
      <w:r w:rsidR="00A56E08">
        <w:t>игн</w:t>
      </w:r>
      <w:r>
        <w:t>у</w:t>
      </w:r>
      <w:r w:rsidR="00A56E08">
        <w:t>ћима</w:t>
      </w:r>
      <w:r w:rsidR="004D1E15" w:rsidRPr="00F6340E">
        <w:t>,</w:t>
      </w:r>
    </w:p>
    <w:p w14:paraId="1CD19C21" w14:textId="38EDC7B2" w:rsidR="004D1E15" w:rsidRPr="00F6340E" w:rsidRDefault="0071360A" w:rsidP="00115925">
      <w:pPr>
        <w:pStyle w:val="Bulletlist"/>
      </w:pPr>
      <w:r>
        <w:t>П</w:t>
      </w:r>
      <w:r w:rsidR="00A56E08">
        <w:t>ода</w:t>
      </w:r>
      <w:r>
        <w:t>т</w:t>
      </w:r>
      <w:r w:rsidR="00A56E08">
        <w:t>к</w:t>
      </w:r>
      <w:r w:rsidR="00EE6AA2">
        <w:t>е</w:t>
      </w:r>
      <w:r w:rsidR="004D1E15" w:rsidRPr="00F6340E">
        <w:t xml:space="preserve"> </w:t>
      </w:r>
      <w:r w:rsidR="00A56E08">
        <w:t>о</w:t>
      </w:r>
      <w:r w:rsidR="004D1E15" w:rsidRPr="00F6340E">
        <w:t xml:space="preserve"> </w:t>
      </w:r>
      <w:r w:rsidR="00A56E08">
        <w:t>на</w:t>
      </w:r>
      <w:r>
        <w:t>ст</w:t>
      </w:r>
      <w:r w:rsidR="00A56E08">
        <w:t>а</w:t>
      </w:r>
      <w:r>
        <w:t>в</w:t>
      </w:r>
      <w:r w:rsidR="00A56E08">
        <w:t>ницима</w:t>
      </w:r>
      <w:r w:rsidR="004D1E15" w:rsidRPr="00F6340E">
        <w:t xml:space="preserve"> </w:t>
      </w:r>
      <w:r w:rsidR="00A56E08">
        <w:t>и</w:t>
      </w:r>
      <w:r w:rsidR="004D1E15" w:rsidRPr="00F6340E">
        <w:t xml:space="preserve"> </w:t>
      </w:r>
      <w:r w:rsidR="00A56E08">
        <w:t>о</w:t>
      </w:r>
      <w:r>
        <w:t>ст</w:t>
      </w:r>
      <w:r w:rsidR="00A56E08">
        <w:t>алим</w:t>
      </w:r>
      <w:r w:rsidR="004D1E15" w:rsidRPr="00F6340E">
        <w:t xml:space="preserve"> </w:t>
      </w:r>
      <w:r w:rsidR="00171F00">
        <w:t>з</w:t>
      </w:r>
      <w:r w:rsidR="00A56E08">
        <w:t>а</w:t>
      </w:r>
      <w:r>
        <w:t>п</w:t>
      </w:r>
      <w:r w:rsidR="00A56E08">
        <w:t>о</w:t>
      </w:r>
      <w:r>
        <w:t>с</w:t>
      </w:r>
      <w:r w:rsidR="00A56E08">
        <w:t>л</w:t>
      </w:r>
      <w:r w:rsidR="00EE6AA2">
        <w:t>е</w:t>
      </w:r>
      <w:r w:rsidR="00A56E08">
        <w:t>ницима</w:t>
      </w:r>
      <w:r w:rsidR="004D1E15" w:rsidRPr="00F6340E">
        <w:t>.</w:t>
      </w:r>
    </w:p>
    <w:p w14:paraId="559F5E90" w14:textId="775E6C8A" w:rsidR="004D1E15" w:rsidRPr="00F6340E" w:rsidRDefault="00EE6AA2" w:rsidP="00115925">
      <w:pPr>
        <w:pStyle w:val="Body"/>
      </w:pPr>
      <w:r>
        <w:t>Е</w:t>
      </w:r>
      <w:r w:rsidR="00A56E08">
        <w:t>МИ</w:t>
      </w:r>
      <w:r w:rsidR="0071360A">
        <w:t>С</w:t>
      </w:r>
      <w:r w:rsidR="004D1E15" w:rsidRPr="00F6340E">
        <w:t xml:space="preserve"> </w:t>
      </w:r>
      <w:r w:rsidR="0071360A">
        <w:t>пр</w:t>
      </w:r>
      <w:r>
        <w:t>е</w:t>
      </w:r>
      <w:r w:rsidR="00A56E08">
        <w:t>д</w:t>
      </w:r>
      <w:r w:rsidR="0071360A">
        <w:t>ст</w:t>
      </w:r>
      <w:r w:rsidR="00A56E08">
        <w:t>а</w:t>
      </w:r>
      <w:r w:rsidR="0071360A">
        <w:t>в</w:t>
      </w:r>
      <w:r w:rsidR="00A56E08">
        <w:t>ља</w:t>
      </w:r>
      <w:r w:rsidR="004D1E15" w:rsidRPr="00F6340E">
        <w:t xml:space="preserve"> </w:t>
      </w:r>
      <w:r w:rsidR="00A56E08">
        <w:t>инфо</w:t>
      </w:r>
      <w:r w:rsidR="0071360A">
        <w:t>р</w:t>
      </w:r>
      <w:r w:rsidR="00A56E08">
        <w:t>ма</w:t>
      </w:r>
      <w:r w:rsidR="0071360A">
        <w:t>т</w:t>
      </w:r>
      <w:r w:rsidR="00A56E08">
        <w:t>ичк</w:t>
      </w:r>
      <w:r>
        <w:t>е</w:t>
      </w:r>
      <w:r w:rsidR="004D1E15" w:rsidRPr="00F6340E">
        <w:t xml:space="preserve"> </w:t>
      </w:r>
      <w:r w:rsidR="0071360A">
        <w:t>с</w:t>
      </w:r>
      <w:r w:rsidR="00A56E08">
        <w:t>и</w:t>
      </w:r>
      <w:r w:rsidR="0071360A">
        <w:t>ст</w:t>
      </w:r>
      <w:r>
        <w:t>е</w:t>
      </w:r>
      <w:r w:rsidR="00A56E08">
        <w:t>м</w:t>
      </w:r>
      <w:r>
        <w:t>е</w:t>
      </w:r>
      <w:r w:rsidR="004D1E15" w:rsidRPr="00F6340E">
        <w:t xml:space="preserve"> </w:t>
      </w:r>
      <w:r w:rsidR="00171F00">
        <w:t>з</w:t>
      </w:r>
      <w:r w:rsidR="00A56E08">
        <w:t>а</w:t>
      </w:r>
      <w:r w:rsidR="004D1E15" w:rsidRPr="00F6340E">
        <w:t xml:space="preserve"> </w:t>
      </w:r>
      <w:r w:rsidR="0071360A">
        <w:t>п</w:t>
      </w:r>
      <w:r w:rsidR="00A56E08">
        <w:t>од</w:t>
      </w:r>
      <w:r w:rsidR="0071360A">
        <w:t>рш</w:t>
      </w:r>
      <w:r w:rsidR="00A56E08">
        <w:t>к</w:t>
      </w:r>
      <w:r w:rsidR="0071360A">
        <w:t>у</w:t>
      </w:r>
      <w:r w:rsidR="004D1E15" w:rsidRPr="00F6340E">
        <w:t xml:space="preserve"> </w:t>
      </w:r>
      <w:r w:rsidR="0071360A">
        <w:t>у</w:t>
      </w:r>
      <w:r w:rsidR="00A56E08">
        <w:t>на</w:t>
      </w:r>
      <w:r w:rsidR="0071360A">
        <w:t>пр</w:t>
      </w:r>
      <w:r w:rsidR="00A56E08">
        <w:t>ј</w:t>
      </w:r>
      <w:r>
        <w:t>е</w:t>
      </w:r>
      <w:r w:rsidR="00A56E08">
        <w:t>ђ</w:t>
      </w:r>
      <w:r>
        <w:t>е</w:t>
      </w:r>
      <w:r w:rsidR="00A56E08">
        <w:t>њ</w:t>
      </w:r>
      <w:r w:rsidR="0071360A">
        <w:t>у</w:t>
      </w:r>
      <w:r w:rsidR="004D1E15" w:rsidRPr="00F6340E">
        <w:t xml:space="preserve"> </w:t>
      </w:r>
      <w:r w:rsidR="00A56E08">
        <w:t>к</w:t>
      </w:r>
      <w:r w:rsidR="0071360A">
        <w:t>в</w:t>
      </w:r>
      <w:r w:rsidR="00A56E08">
        <w:t>али</w:t>
      </w:r>
      <w:r w:rsidR="0071360A">
        <w:t>т</w:t>
      </w:r>
      <w:r>
        <w:t>е</w:t>
      </w:r>
      <w:r w:rsidR="0071360A">
        <w:t>т</w:t>
      </w:r>
      <w:r>
        <w:t>е</w:t>
      </w:r>
      <w:r w:rsidR="004D1E15" w:rsidRPr="00F6340E">
        <w:t xml:space="preserve"> </w:t>
      </w:r>
      <w:r w:rsidR="00A56E08">
        <w:t>на</w:t>
      </w:r>
      <w:r w:rsidR="0071360A">
        <w:t>ст</w:t>
      </w:r>
      <w:r w:rsidR="00A56E08">
        <w:t>а</w:t>
      </w:r>
      <w:r w:rsidR="0071360A">
        <w:t>в</w:t>
      </w:r>
      <w:r>
        <w:t>е</w:t>
      </w:r>
      <w:r w:rsidR="004D1E15" w:rsidRPr="00F6340E">
        <w:t xml:space="preserve"> </w:t>
      </w:r>
      <w:r w:rsidR="00A56E08">
        <w:t>и</w:t>
      </w:r>
      <w:r w:rsidR="004D1E15" w:rsidRPr="00F6340E">
        <w:t xml:space="preserve"> </w:t>
      </w:r>
      <w:r w:rsidR="00A56E08">
        <w:t>об</w:t>
      </w:r>
      <w:r w:rsidR="0071360A">
        <w:t>р</w:t>
      </w:r>
      <w:r w:rsidR="00A56E08">
        <w:t>а</w:t>
      </w:r>
      <w:r w:rsidR="00171F00">
        <w:t>з</w:t>
      </w:r>
      <w:r w:rsidR="00A56E08">
        <w:t>о</w:t>
      </w:r>
      <w:r w:rsidR="0071360A">
        <w:t>в</w:t>
      </w:r>
      <w:r w:rsidR="00A56E08">
        <w:t>ања</w:t>
      </w:r>
      <w:r w:rsidR="004D1E15" w:rsidRPr="00F6340E">
        <w:t xml:space="preserve"> </w:t>
      </w:r>
      <w:r w:rsidR="00A56E08">
        <w:t>к</w:t>
      </w:r>
      <w:r w:rsidR="0071360A">
        <w:t>р</w:t>
      </w:r>
      <w:r w:rsidR="00A56E08">
        <w:t>о</w:t>
      </w:r>
      <w:r w:rsidR="00171F00">
        <w:t>з</w:t>
      </w:r>
      <w:r w:rsidR="004D1E15" w:rsidRPr="00F6340E">
        <w:t xml:space="preserve"> </w:t>
      </w:r>
      <w:r w:rsidR="0071360A">
        <w:t>вр</w:t>
      </w:r>
      <w:r>
        <w:t>е</w:t>
      </w:r>
      <w:r w:rsidR="00A56E08">
        <w:t>дно</w:t>
      </w:r>
      <w:r w:rsidR="0071360A">
        <w:t>в</w:t>
      </w:r>
      <w:r w:rsidR="00A56E08">
        <w:t>ањ</w:t>
      </w:r>
      <w:r>
        <w:t>е</w:t>
      </w:r>
      <w:r w:rsidR="004D1E15" w:rsidRPr="00F6340E">
        <w:t xml:space="preserve"> </w:t>
      </w:r>
      <w:r w:rsidR="0071360A">
        <w:t>пр</w:t>
      </w:r>
      <w:r>
        <w:t>е</w:t>
      </w:r>
      <w:r w:rsidR="00A56E08">
        <w:t>ко</w:t>
      </w:r>
      <w:r w:rsidR="004D1E15" w:rsidRPr="00F6340E">
        <w:t xml:space="preserve"> </w:t>
      </w:r>
      <w:r w:rsidR="00A56E08">
        <w:t>д</w:t>
      </w:r>
      <w:r>
        <w:t>е</w:t>
      </w:r>
      <w:r w:rsidR="00A56E08">
        <w:t>фини</w:t>
      </w:r>
      <w:r w:rsidR="0071360A">
        <w:t>с</w:t>
      </w:r>
      <w:r w:rsidR="00A56E08">
        <w:t>аних</w:t>
      </w:r>
      <w:r w:rsidR="004D1E15" w:rsidRPr="00F6340E">
        <w:t xml:space="preserve"> </w:t>
      </w:r>
      <w:r w:rsidR="0071360A">
        <w:t>в</w:t>
      </w:r>
      <w:r w:rsidR="00A56E08">
        <w:t>а</w:t>
      </w:r>
      <w:r w:rsidR="0071360A">
        <w:t>р</w:t>
      </w:r>
      <w:r w:rsidR="00A56E08">
        <w:t>ијабли</w:t>
      </w:r>
      <w:r w:rsidR="004D1E15" w:rsidRPr="00F6340E">
        <w:t xml:space="preserve"> </w:t>
      </w:r>
      <w:r w:rsidR="00A56E08">
        <w:t>и</w:t>
      </w:r>
      <w:r w:rsidR="004D1E15" w:rsidRPr="00F6340E">
        <w:t xml:space="preserve"> </w:t>
      </w:r>
      <w:r w:rsidR="0071360A">
        <w:t>пр</w:t>
      </w:r>
      <w:r w:rsidR="00A56E08">
        <w:t>и</w:t>
      </w:r>
      <w:r w:rsidR="0071360A">
        <w:t>п</w:t>
      </w:r>
      <w:r w:rsidR="00A56E08">
        <w:t>адај</w:t>
      </w:r>
      <w:r w:rsidR="0071360A">
        <w:t>у</w:t>
      </w:r>
      <w:r w:rsidR="00A56E08">
        <w:t>ћих</w:t>
      </w:r>
      <w:r w:rsidR="004D1E15" w:rsidRPr="00F6340E">
        <w:t xml:space="preserve"> </w:t>
      </w:r>
      <w:r w:rsidR="00A56E08">
        <w:t>индика</w:t>
      </w:r>
      <w:r w:rsidR="0071360A">
        <w:t>т</w:t>
      </w:r>
      <w:r w:rsidR="00A56E08">
        <w:t>о</w:t>
      </w:r>
      <w:r w:rsidR="0071360A">
        <w:t>р</w:t>
      </w:r>
      <w:r w:rsidR="00A56E08">
        <w:t>а</w:t>
      </w:r>
      <w:r w:rsidR="004D1E15" w:rsidRPr="00F6340E">
        <w:t xml:space="preserve">. </w:t>
      </w:r>
      <w:r w:rsidR="0071360A">
        <w:t>Т</w:t>
      </w:r>
      <w:r w:rsidR="00A56E08">
        <w:t>ако</w:t>
      </w:r>
      <w:r w:rsidR="004D1E15" w:rsidRPr="00F6340E">
        <w:t xml:space="preserve">, </w:t>
      </w:r>
      <w:r w:rsidR="0071360A">
        <w:t>п</w:t>
      </w:r>
      <w:r w:rsidR="00A56E08">
        <w:t>о</w:t>
      </w:r>
      <w:r w:rsidR="0071360A">
        <w:t>р</w:t>
      </w:r>
      <w:r>
        <w:t>е</w:t>
      </w:r>
      <w:r w:rsidR="00A56E08">
        <w:t>д</w:t>
      </w:r>
      <w:r w:rsidR="004D1E15" w:rsidRPr="00F6340E">
        <w:t xml:space="preserve"> </w:t>
      </w:r>
      <w:r w:rsidR="00A56E08">
        <w:t>о</w:t>
      </w:r>
      <w:r w:rsidR="0071360A">
        <w:t>с</w:t>
      </w:r>
      <w:r w:rsidR="00A56E08">
        <w:t>но</w:t>
      </w:r>
      <w:r w:rsidR="0071360A">
        <w:t>в</w:t>
      </w:r>
      <w:r w:rsidR="00A56E08">
        <w:t>них</w:t>
      </w:r>
      <w:r w:rsidR="004D1E15" w:rsidRPr="00F6340E">
        <w:t xml:space="preserve"> </w:t>
      </w:r>
      <w:r w:rsidR="00A56E08">
        <w:t>мод</w:t>
      </w:r>
      <w:r w:rsidR="0071360A">
        <w:t>у</w:t>
      </w:r>
      <w:r w:rsidR="00A56E08">
        <w:t>ла</w:t>
      </w:r>
      <w:r w:rsidR="004D1E15" w:rsidRPr="00F6340E">
        <w:t xml:space="preserve"> </w:t>
      </w:r>
      <w:r w:rsidR="00A56E08">
        <w:t>кој</w:t>
      </w:r>
      <w:r>
        <w:t>е</w:t>
      </w:r>
      <w:r w:rsidR="004D1E15" w:rsidRPr="00F6340E">
        <w:t xml:space="preserve"> </w:t>
      </w:r>
      <w:r w:rsidR="0071360A">
        <w:t>п</w:t>
      </w:r>
      <w:r w:rsidR="00A56E08">
        <w:t>о</w:t>
      </w:r>
      <w:r w:rsidR="0071360A">
        <w:t>с</w:t>
      </w:r>
      <w:r w:rsidR="00A56E08">
        <w:t>ј</w:t>
      </w:r>
      <w:r>
        <w:t>е</w:t>
      </w:r>
      <w:r w:rsidR="00A56E08">
        <w:t>д</w:t>
      </w:r>
      <w:r w:rsidR="0071360A">
        <w:t>у</w:t>
      </w:r>
      <w:r w:rsidR="00A56E08">
        <w:t>ј</w:t>
      </w:r>
      <w:r w:rsidR="0071360A">
        <w:t>у</w:t>
      </w:r>
      <w:r w:rsidR="004D1E15" w:rsidRPr="00F6340E">
        <w:t xml:space="preserve"> </w:t>
      </w:r>
      <w:r w:rsidR="00A56E08">
        <w:t>инфо</w:t>
      </w:r>
      <w:r w:rsidR="0071360A">
        <w:t>р</w:t>
      </w:r>
      <w:r w:rsidR="00A56E08">
        <w:t>ма</w:t>
      </w:r>
      <w:r w:rsidR="0071360A">
        <w:t>т</w:t>
      </w:r>
      <w:r w:rsidR="00A56E08">
        <w:t>ички</w:t>
      </w:r>
      <w:r w:rsidR="0016132C" w:rsidRPr="00F6340E">
        <w:t xml:space="preserve"> </w:t>
      </w:r>
      <w:r w:rsidR="0071360A">
        <w:t>с</w:t>
      </w:r>
      <w:r w:rsidR="00A56E08">
        <w:t>и</w:t>
      </w:r>
      <w:r w:rsidR="0071360A">
        <w:t>ст</w:t>
      </w:r>
      <w:r>
        <w:t>е</w:t>
      </w:r>
      <w:r w:rsidR="00A56E08">
        <w:t>ми</w:t>
      </w:r>
      <w:r w:rsidR="00F80805" w:rsidRPr="00F6340E">
        <w:t>,</w:t>
      </w:r>
      <w:r w:rsidR="004D1E15" w:rsidRPr="00F6340E">
        <w:t xml:space="preserve"> </w:t>
      </w:r>
      <w:r w:rsidR="00A56E08">
        <w:t>н</w:t>
      </w:r>
      <w:r w:rsidR="0071360A">
        <w:t>у</w:t>
      </w:r>
      <w:r w:rsidR="00A56E08">
        <w:t>д</w:t>
      </w:r>
      <w:r>
        <w:t>е</w:t>
      </w:r>
      <w:r w:rsidR="00F80805" w:rsidRPr="00F6340E">
        <w:t xml:space="preserve"> </w:t>
      </w:r>
      <w:r w:rsidR="00A56E08">
        <w:t>и</w:t>
      </w:r>
      <w:r w:rsidR="0016132C" w:rsidRPr="00F6340E">
        <w:t xml:space="preserve"> </w:t>
      </w:r>
      <w:r w:rsidR="00A56E08">
        <w:t>мог</w:t>
      </w:r>
      <w:r w:rsidR="0071360A">
        <w:t>у</w:t>
      </w:r>
      <w:r w:rsidR="00A56E08">
        <w:t>ћно</w:t>
      </w:r>
      <w:r w:rsidR="0071360A">
        <w:t>ст</w:t>
      </w:r>
      <w:r w:rsidR="004D1E15" w:rsidRPr="00F6340E">
        <w:t xml:space="preserve"> </w:t>
      </w:r>
      <w:r w:rsidR="0071360A">
        <w:t>пр</w:t>
      </w:r>
      <w:r w:rsidR="00A56E08">
        <w:t>о</w:t>
      </w:r>
      <w:r w:rsidR="0071360A">
        <w:t>ш</w:t>
      </w:r>
      <w:r w:rsidR="00A56E08">
        <w:t>и</w:t>
      </w:r>
      <w:r w:rsidR="0071360A">
        <w:t>р</w:t>
      </w:r>
      <w:r>
        <w:t>е</w:t>
      </w:r>
      <w:r w:rsidR="00A56E08">
        <w:t>ња</w:t>
      </w:r>
      <w:r w:rsidR="004D1E15" w:rsidRPr="00F6340E">
        <w:t xml:space="preserve"> </w:t>
      </w:r>
      <w:r w:rsidR="00A56E08">
        <w:t>мод</w:t>
      </w:r>
      <w:r w:rsidR="0071360A">
        <w:t>у</w:t>
      </w:r>
      <w:r w:rsidR="00A56E08">
        <w:t>ла</w:t>
      </w:r>
      <w:r w:rsidR="004D1E15" w:rsidRPr="00F6340E">
        <w:t xml:space="preserve"> </w:t>
      </w:r>
      <w:r w:rsidR="00A56E08">
        <w:t>гдј</w:t>
      </w:r>
      <w:r>
        <w:t>е</w:t>
      </w:r>
      <w:r w:rsidR="004D1E15" w:rsidRPr="00F6340E">
        <w:t xml:space="preserve"> </w:t>
      </w:r>
      <w:r w:rsidR="00A56E08">
        <w:t>би</w:t>
      </w:r>
      <w:r w:rsidR="004D1E15" w:rsidRPr="00F6340E">
        <w:t xml:space="preserve"> </w:t>
      </w:r>
      <w:r w:rsidR="0071360A">
        <w:t>с</w:t>
      </w:r>
      <w:r>
        <w:t>е</w:t>
      </w:r>
      <w:r w:rsidR="004D1E15" w:rsidRPr="00F6340E">
        <w:t xml:space="preserve"> </w:t>
      </w:r>
      <w:r w:rsidR="0071360A">
        <w:t>п</w:t>
      </w:r>
      <w:r w:rsidR="00A56E08">
        <w:t>о</w:t>
      </w:r>
      <w:r w:rsidR="0071360A">
        <w:t>р</w:t>
      </w:r>
      <w:r>
        <w:t>е</w:t>
      </w:r>
      <w:r w:rsidR="00A56E08">
        <w:t>д</w:t>
      </w:r>
      <w:r w:rsidR="004D1E15" w:rsidRPr="00F6340E">
        <w:t xml:space="preserve"> </w:t>
      </w:r>
      <w:r w:rsidR="00A56E08">
        <w:t>о</w:t>
      </w:r>
      <w:r w:rsidR="0071360A">
        <w:t>с</w:t>
      </w:r>
      <w:r w:rsidR="00A56E08">
        <w:t>но</w:t>
      </w:r>
      <w:r w:rsidR="0071360A">
        <w:t>в</w:t>
      </w:r>
      <w:r w:rsidR="00A56E08">
        <w:t>них</w:t>
      </w:r>
      <w:r w:rsidR="004D1E15" w:rsidRPr="00F6340E">
        <w:t xml:space="preserve">, </w:t>
      </w:r>
      <w:r w:rsidR="00A56E08">
        <w:t>могли</w:t>
      </w:r>
      <w:r w:rsidR="004D1E15" w:rsidRPr="00F6340E">
        <w:t xml:space="preserve"> </w:t>
      </w:r>
      <w:r w:rsidR="00A56E08">
        <w:t>дода</w:t>
      </w:r>
      <w:r w:rsidR="0071360A">
        <w:t>т</w:t>
      </w:r>
      <w:r w:rsidR="00A56E08">
        <w:t>и</w:t>
      </w:r>
      <w:r w:rsidR="004D1E15" w:rsidRPr="00F6340E">
        <w:t xml:space="preserve"> </w:t>
      </w:r>
      <w:r w:rsidR="00A56E08">
        <w:t>и</w:t>
      </w:r>
      <w:r w:rsidR="004D1E15" w:rsidRPr="00F6340E">
        <w:t xml:space="preserve"> </w:t>
      </w:r>
      <w:r w:rsidR="00A56E08">
        <w:t>дода</w:t>
      </w:r>
      <w:r w:rsidR="0071360A">
        <w:t>т</w:t>
      </w:r>
      <w:r w:rsidR="00A56E08">
        <w:t>ни</w:t>
      </w:r>
      <w:r w:rsidR="004D1E15" w:rsidRPr="00F6340E">
        <w:t xml:space="preserve"> </w:t>
      </w:r>
      <w:r w:rsidR="00A56E08">
        <w:t>мод</w:t>
      </w:r>
      <w:r w:rsidR="0071360A">
        <w:t>у</w:t>
      </w:r>
      <w:r w:rsidR="00A56E08">
        <w:t>ли</w:t>
      </w:r>
      <w:r w:rsidR="004D1E15" w:rsidRPr="00F6340E">
        <w:t xml:space="preserve"> </w:t>
      </w:r>
      <w:r w:rsidR="00A56E08">
        <w:t>о</w:t>
      </w:r>
      <w:r w:rsidR="004D1E15" w:rsidRPr="00F6340E">
        <w:t xml:space="preserve"> </w:t>
      </w:r>
      <w:r w:rsidR="00A56E08">
        <w:t>ма</w:t>
      </w:r>
      <w:r w:rsidR="0071360A">
        <w:t>п</w:t>
      </w:r>
      <w:r w:rsidR="00A56E08">
        <w:t>и</w:t>
      </w:r>
      <w:r w:rsidR="0071360A">
        <w:t>р</w:t>
      </w:r>
      <w:r w:rsidR="00A56E08">
        <w:t>ањ</w:t>
      </w:r>
      <w:r w:rsidR="0071360A">
        <w:t>у</w:t>
      </w:r>
      <w:r w:rsidR="004D1E15" w:rsidRPr="00F6340E">
        <w:t xml:space="preserve"> </w:t>
      </w:r>
      <w:r w:rsidR="00A56E08">
        <w:t>Инф</w:t>
      </w:r>
      <w:r w:rsidR="0071360A">
        <w:t>р</w:t>
      </w:r>
      <w:r w:rsidR="00A56E08">
        <w:t>а</w:t>
      </w:r>
      <w:r w:rsidR="0071360A">
        <w:t>стру</w:t>
      </w:r>
      <w:r w:rsidR="00A56E08">
        <w:t>к</w:t>
      </w:r>
      <w:r w:rsidR="0071360A">
        <w:t>тур</w:t>
      </w:r>
      <w:r>
        <w:t>е</w:t>
      </w:r>
      <w:r w:rsidR="0016782E" w:rsidRPr="00F6340E">
        <w:t xml:space="preserve"> </w:t>
      </w:r>
      <w:r w:rsidR="00171F00">
        <w:t>з</w:t>
      </w:r>
      <w:r w:rsidR="00A56E08">
        <w:t>а</w:t>
      </w:r>
      <w:r w:rsidR="0016782E" w:rsidRPr="00F6340E">
        <w:t xml:space="preserve"> </w:t>
      </w:r>
      <w:r w:rsidR="00A56E08">
        <w:t>ИК</w:t>
      </w:r>
      <w:r w:rsidR="0071360A">
        <w:t>Т</w:t>
      </w:r>
      <w:r w:rsidR="004D1E15" w:rsidRPr="00F6340E">
        <w:t xml:space="preserve"> </w:t>
      </w:r>
      <w:r w:rsidR="0071360A">
        <w:t>у</w:t>
      </w:r>
      <w:r w:rsidR="004D1E15" w:rsidRPr="00F6340E">
        <w:t xml:space="preserve"> </w:t>
      </w:r>
      <w:r w:rsidR="00A56E08">
        <w:t>об</w:t>
      </w:r>
      <w:r w:rsidR="0071360A">
        <w:t>р</w:t>
      </w:r>
      <w:r w:rsidR="00A56E08">
        <w:t>а</w:t>
      </w:r>
      <w:r w:rsidR="00171F00">
        <w:t>з</w:t>
      </w:r>
      <w:r w:rsidR="00A56E08">
        <w:t>о</w:t>
      </w:r>
      <w:r w:rsidR="0071360A">
        <w:t>в</w:t>
      </w:r>
      <w:r w:rsidR="00A56E08">
        <w:t>ним</w:t>
      </w:r>
      <w:r w:rsidR="004D1E15" w:rsidRPr="00F6340E">
        <w:t xml:space="preserve"> </w:t>
      </w:r>
      <w:r w:rsidR="00A56E08">
        <w:t>ин</w:t>
      </w:r>
      <w:r w:rsidR="0071360A">
        <w:t>ст</w:t>
      </w:r>
      <w:r w:rsidR="00A56E08">
        <w:t>и</w:t>
      </w:r>
      <w:r w:rsidR="0071360A">
        <w:t>ту</w:t>
      </w:r>
      <w:r w:rsidR="00A56E08">
        <w:t>цијама</w:t>
      </w:r>
      <w:r w:rsidR="004D1E15" w:rsidRPr="00F6340E">
        <w:t xml:space="preserve">, </w:t>
      </w:r>
      <w:r w:rsidR="00A56E08">
        <w:t>као</w:t>
      </w:r>
      <w:r w:rsidR="004D1E15" w:rsidRPr="00F6340E">
        <w:t xml:space="preserve"> </w:t>
      </w:r>
      <w:r w:rsidR="00A56E08">
        <w:t>и</w:t>
      </w:r>
      <w:r w:rsidR="004D1E15" w:rsidRPr="00F6340E">
        <w:t xml:space="preserve"> </w:t>
      </w:r>
      <w:r w:rsidR="00A56E08">
        <w:t>д</w:t>
      </w:r>
      <w:r w:rsidR="0071360A">
        <w:t>ру</w:t>
      </w:r>
      <w:r w:rsidR="00A56E08">
        <w:t>г</w:t>
      </w:r>
      <w:r>
        <w:t>е</w:t>
      </w:r>
      <w:r w:rsidR="004D1E15" w:rsidRPr="00F6340E">
        <w:t xml:space="preserve"> </w:t>
      </w:r>
      <w:r w:rsidR="0071360A">
        <w:t>п</w:t>
      </w:r>
      <w:r w:rsidR="00A56E08">
        <w:t>ода</w:t>
      </w:r>
      <w:r w:rsidR="0071360A">
        <w:t>т</w:t>
      </w:r>
      <w:r w:rsidR="00A56E08">
        <w:t>к</w:t>
      </w:r>
      <w:r>
        <w:t>е</w:t>
      </w:r>
      <w:r w:rsidR="004D1E15" w:rsidRPr="00F6340E">
        <w:t xml:space="preserve"> </w:t>
      </w:r>
      <w:r w:rsidR="00A56E08">
        <w:t>који</w:t>
      </w:r>
      <w:r w:rsidR="004D1E15" w:rsidRPr="00F6340E">
        <w:t xml:space="preserve"> </w:t>
      </w:r>
      <w:r w:rsidR="0071360A">
        <w:t>с</w:t>
      </w:r>
      <w:r>
        <w:t>е</w:t>
      </w:r>
      <w:r w:rsidR="004D1E15" w:rsidRPr="00F6340E">
        <w:t xml:space="preserve"> </w:t>
      </w:r>
      <w:r w:rsidR="00A56E08">
        <w:t>одно</w:t>
      </w:r>
      <w:r w:rsidR="0071360A">
        <w:t>с</w:t>
      </w:r>
      <w:r>
        <w:t>е</w:t>
      </w:r>
      <w:r w:rsidR="004D1E15" w:rsidRPr="00F6340E">
        <w:t xml:space="preserve"> </w:t>
      </w:r>
      <w:r w:rsidR="00A56E08">
        <w:t>на</w:t>
      </w:r>
      <w:r w:rsidR="004D1E15" w:rsidRPr="00F6340E">
        <w:t xml:space="preserve"> </w:t>
      </w:r>
      <w:r w:rsidR="0071360A">
        <w:t>пр</w:t>
      </w:r>
      <w:r w:rsidR="00A56E08">
        <w:t>имј</w:t>
      </w:r>
      <w:r>
        <w:t>е</w:t>
      </w:r>
      <w:r w:rsidR="00A56E08">
        <w:t>н</w:t>
      </w:r>
      <w:r w:rsidR="0071360A">
        <w:t>у</w:t>
      </w:r>
      <w:r w:rsidR="004D1E15" w:rsidRPr="00F6340E">
        <w:t xml:space="preserve"> </w:t>
      </w:r>
      <w:r w:rsidR="00A56E08">
        <w:t>диги</w:t>
      </w:r>
      <w:r w:rsidR="0071360A">
        <w:t>т</w:t>
      </w:r>
      <w:r w:rsidR="00A56E08">
        <w:t>алних</w:t>
      </w:r>
      <w:r w:rsidR="004D1E15" w:rsidRPr="00F6340E">
        <w:t xml:space="preserve"> </w:t>
      </w:r>
      <w:r w:rsidR="00A56E08">
        <w:t>ала</w:t>
      </w:r>
      <w:r w:rsidR="0071360A">
        <w:t>т</w:t>
      </w:r>
      <w:r w:rsidR="00A56E08">
        <w:t>а</w:t>
      </w:r>
      <w:r w:rsidR="004D1E15" w:rsidRPr="00F6340E">
        <w:t xml:space="preserve"> </w:t>
      </w:r>
      <w:r w:rsidR="0071360A">
        <w:t>у</w:t>
      </w:r>
      <w:r w:rsidR="004D1E15" w:rsidRPr="00F6340E">
        <w:t xml:space="preserve"> </w:t>
      </w:r>
      <w:r w:rsidR="00A56E08">
        <w:t>об</w:t>
      </w:r>
      <w:r w:rsidR="0071360A">
        <w:t>р</w:t>
      </w:r>
      <w:r w:rsidR="00A56E08">
        <w:t>а</w:t>
      </w:r>
      <w:r w:rsidR="00171F00">
        <w:t>з</w:t>
      </w:r>
      <w:r w:rsidR="00A56E08">
        <w:t>о</w:t>
      </w:r>
      <w:r w:rsidR="0071360A">
        <w:t>в</w:t>
      </w:r>
      <w:r w:rsidR="00A56E08">
        <w:t>ном</w:t>
      </w:r>
      <w:r w:rsidR="004D1E15" w:rsidRPr="00F6340E">
        <w:t xml:space="preserve"> </w:t>
      </w:r>
      <w:r w:rsidR="0071360A">
        <w:t>пр</w:t>
      </w:r>
      <w:r w:rsidR="00A56E08">
        <w:t>оц</w:t>
      </w:r>
      <w:r>
        <w:t>е</w:t>
      </w:r>
      <w:r w:rsidR="0071360A">
        <w:t>су</w:t>
      </w:r>
      <w:r w:rsidR="004D1E15" w:rsidRPr="00F6340E">
        <w:t xml:space="preserve"> </w:t>
      </w:r>
      <w:r w:rsidR="00A56E08">
        <w:t>и</w:t>
      </w:r>
      <w:r w:rsidR="004D1E15" w:rsidRPr="00F6340E">
        <w:t xml:space="preserve"> </w:t>
      </w:r>
      <w:r w:rsidR="0071360A">
        <w:t>с</w:t>
      </w:r>
      <w:r w:rsidR="00A56E08">
        <w:t>л</w:t>
      </w:r>
      <w:r w:rsidR="004D1E15" w:rsidRPr="00F6340E">
        <w:t xml:space="preserve">. </w:t>
      </w:r>
      <w:r w:rsidR="00A56E08">
        <w:t>На</w:t>
      </w:r>
      <w:r w:rsidR="004D1E15" w:rsidRPr="00F6340E">
        <w:t xml:space="preserve"> </w:t>
      </w:r>
      <w:r w:rsidR="0071360A">
        <w:t>т</w:t>
      </w:r>
      <w:r w:rsidR="00A56E08">
        <w:t>ај</w:t>
      </w:r>
      <w:r w:rsidR="004D1E15" w:rsidRPr="00F6340E">
        <w:t xml:space="preserve"> </w:t>
      </w:r>
      <w:r w:rsidR="00A56E08">
        <w:t>начин</w:t>
      </w:r>
      <w:r w:rsidR="004D1E15" w:rsidRPr="00F6340E">
        <w:t xml:space="preserve"> </w:t>
      </w:r>
      <w:r w:rsidR="00A56E08">
        <w:t>би</w:t>
      </w:r>
      <w:r w:rsidR="004D1E15" w:rsidRPr="00F6340E">
        <w:t xml:space="preserve"> </w:t>
      </w:r>
      <w:r w:rsidR="0071360A">
        <w:t>с</w:t>
      </w:r>
      <w:r>
        <w:t>е</w:t>
      </w:r>
      <w:r w:rsidR="004D1E15" w:rsidRPr="00F6340E">
        <w:t xml:space="preserve"> </w:t>
      </w:r>
      <w:r w:rsidR="00A56E08">
        <w:t>омог</w:t>
      </w:r>
      <w:r w:rsidR="0071360A">
        <w:t>у</w:t>
      </w:r>
      <w:r w:rsidR="00A56E08">
        <w:t>ћио</w:t>
      </w:r>
      <w:r w:rsidR="004D1E15" w:rsidRPr="00F6340E">
        <w:t xml:space="preserve"> </w:t>
      </w:r>
      <w:r w:rsidR="00A56E08">
        <w:t>б</w:t>
      </w:r>
      <w:r w:rsidR="0071360A">
        <w:t>р</w:t>
      </w:r>
      <w:r w:rsidR="00171F00">
        <w:t>ж</w:t>
      </w:r>
      <w:r w:rsidR="00A56E08">
        <w:t>и</w:t>
      </w:r>
      <w:r w:rsidR="004D1E15" w:rsidRPr="00F6340E">
        <w:t xml:space="preserve"> </w:t>
      </w:r>
      <w:r w:rsidR="00A56E08">
        <w:t>и</w:t>
      </w:r>
      <w:r w:rsidR="004D1E15" w:rsidRPr="00F6340E">
        <w:t xml:space="preserve"> </w:t>
      </w:r>
      <w:r w:rsidR="00A56E08">
        <w:t>ј</w:t>
      </w:r>
      <w:r>
        <w:t>е</w:t>
      </w:r>
      <w:r w:rsidR="00A56E08">
        <w:t>дно</w:t>
      </w:r>
      <w:r w:rsidR="0071360A">
        <w:t>ст</w:t>
      </w:r>
      <w:r w:rsidR="00A56E08">
        <w:t>а</w:t>
      </w:r>
      <w:r w:rsidR="0071360A">
        <w:t>в</w:t>
      </w:r>
      <w:r w:rsidR="00A56E08">
        <w:t>нији</w:t>
      </w:r>
      <w:r w:rsidR="004D1E15" w:rsidRPr="00F6340E">
        <w:t xml:space="preserve"> </w:t>
      </w:r>
      <w:r w:rsidR="0071360A">
        <w:t>пр</w:t>
      </w:r>
      <w:r>
        <w:t>е</w:t>
      </w:r>
      <w:r w:rsidR="00A56E08">
        <w:t>гл</w:t>
      </w:r>
      <w:r>
        <w:t>е</w:t>
      </w:r>
      <w:r w:rsidR="00A56E08">
        <w:t>д</w:t>
      </w:r>
      <w:r w:rsidR="004D1E15" w:rsidRPr="00F6340E">
        <w:t xml:space="preserve"> </w:t>
      </w:r>
      <w:r w:rsidR="0071360A">
        <w:t>ст</w:t>
      </w:r>
      <w:r w:rsidR="00A56E08">
        <w:t>ања</w:t>
      </w:r>
      <w:r w:rsidR="004D1E15" w:rsidRPr="00F6340E">
        <w:t xml:space="preserve"> </w:t>
      </w:r>
      <w:r w:rsidR="0071360A">
        <w:t>п</w:t>
      </w:r>
      <w:r w:rsidR="00A56E08">
        <w:t>о</w:t>
      </w:r>
      <w:r w:rsidR="004D1E15" w:rsidRPr="00F6340E">
        <w:t xml:space="preserve"> </w:t>
      </w:r>
      <w:r w:rsidR="00A56E08">
        <w:t>об</w:t>
      </w:r>
      <w:r w:rsidR="0071360A">
        <w:t>р</w:t>
      </w:r>
      <w:r w:rsidR="00A56E08">
        <w:t>а</w:t>
      </w:r>
      <w:r w:rsidR="00171F00">
        <w:t>з</w:t>
      </w:r>
      <w:r w:rsidR="00A56E08">
        <w:t>о</w:t>
      </w:r>
      <w:r w:rsidR="0071360A">
        <w:t>в</w:t>
      </w:r>
      <w:r w:rsidR="00A56E08">
        <w:t>ним</w:t>
      </w:r>
      <w:r w:rsidR="004D1E15" w:rsidRPr="00F6340E">
        <w:t xml:space="preserve"> </w:t>
      </w:r>
      <w:r w:rsidR="00A56E08">
        <w:t>ин</w:t>
      </w:r>
      <w:r w:rsidR="0071360A">
        <w:t>ст</w:t>
      </w:r>
      <w:r w:rsidR="00A56E08">
        <w:t>и</w:t>
      </w:r>
      <w:r w:rsidR="0071360A">
        <w:t>ту</w:t>
      </w:r>
      <w:r w:rsidR="00A56E08">
        <w:t>цијама</w:t>
      </w:r>
      <w:r w:rsidR="004D1E15" w:rsidRPr="00F6340E">
        <w:t xml:space="preserve">, </w:t>
      </w:r>
      <w:r w:rsidR="00A56E08">
        <w:t>а</w:t>
      </w:r>
      <w:r w:rsidR="004D1E15" w:rsidRPr="00F6340E">
        <w:t xml:space="preserve"> </w:t>
      </w:r>
      <w:r w:rsidR="0071360A">
        <w:t>у</w:t>
      </w:r>
      <w:r w:rsidR="00171F00">
        <w:t>з</w:t>
      </w:r>
      <w:r w:rsidR="004D1E15" w:rsidRPr="00F6340E">
        <w:t xml:space="preserve"> </w:t>
      </w:r>
      <w:r w:rsidR="00A56E08">
        <w:t>дода</w:t>
      </w:r>
      <w:r w:rsidR="0071360A">
        <w:t>т</w:t>
      </w:r>
      <w:r w:rsidR="00A56E08">
        <w:t>н</w:t>
      </w:r>
      <w:r w:rsidR="0071360A">
        <w:t>у</w:t>
      </w:r>
      <w:r w:rsidR="004D1E15" w:rsidRPr="00F6340E">
        <w:t xml:space="preserve"> </w:t>
      </w:r>
      <w:r w:rsidR="0071360A">
        <w:t>уп</w:t>
      </w:r>
      <w:r w:rsidR="00A56E08">
        <w:t>о</w:t>
      </w:r>
      <w:r w:rsidR="0071360A">
        <w:t>тр</w:t>
      </w:r>
      <w:r>
        <w:t>е</w:t>
      </w:r>
      <w:r w:rsidR="00A56E08">
        <w:t>б</w:t>
      </w:r>
      <w:r w:rsidR="0071360A">
        <w:t>у</w:t>
      </w:r>
      <w:r w:rsidR="004D1E15" w:rsidRPr="00F6340E">
        <w:t xml:space="preserve"> </w:t>
      </w:r>
      <w:r w:rsidR="0071360A">
        <w:t>у</w:t>
      </w:r>
      <w:r w:rsidR="00A56E08">
        <w:t>мј</w:t>
      </w:r>
      <w:r>
        <w:t>е</w:t>
      </w:r>
      <w:r w:rsidR="0071360A">
        <w:t>т</w:t>
      </w:r>
      <w:r w:rsidR="00A56E08">
        <w:t>н</w:t>
      </w:r>
      <w:r>
        <w:t>е</w:t>
      </w:r>
      <w:r w:rsidR="004D1E15" w:rsidRPr="00F6340E">
        <w:t xml:space="preserve"> </w:t>
      </w:r>
      <w:r w:rsidR="00A56E08">
        <w:t>ин</w:t>
      </w:r>
      <w:r w:rsidR="0071360A">
        <w:t>т</w:t>
      </w:r>
      <w:r>
        <w:t>е</w:t>
      </w:r>
      <w:r w:rsidR="00A56E08">
        <w:t>лиг</w:t>
      </w:r>
      <w:r>
        <w:t>е</w:t>
      </w:r>
      <w:r w:rsidR="00A56E08">
        <w:t>нциј</w:t>
      </w:r>
      <w:r>
        <w:t>е</w:t>
      </w:r>
      <w:r w:rsidR="004D1E15" w:rsidRPr="00F6340E">
        <w:t xml:space="preserve"> (</w:t>
      </w:r>
      <w:r w:rsidR="00A56E08">
        <w:t>АИ</w:t>
      </w:r>
      <w:r w:rsidR="004D1E15" w:rsidRPr="00F6340E">
        <w:t xml:space="preserve">) </w:t>
      </w:r>
      <w:r w:rsidR="00A56E08">
        <w:t>мог</w:t>
      </w:r>
      <w:r w:rsidR="0071360A">
        <w:t>у</w:t>
      </w:r>
      <w:r w:rsidR="00A56E08">
        <w:t>ћ</w:t>
      </w:r>
      <w:r>
        <w:t>е</w:t>
      </w:r>
      <w:r w:rsidR="004D1E15" w:rsidRPr="00F6340E">
        <w:t xml:space="preserve"> </w:t>
      </w:r>
      <w:r w:rsidR="00A56E08">
        <w:t>ј</w:t>
      </w:r>
      <w:r>
        <w:t>е</w:t>
      </w:r>
      <w:r w:rsidR="004D1E15" w:rsidRPr="00F6340E">
        <w:t xml:space="preserve"> </w:t>
      </w:r>
      <w:r w:rsidR="00A56E08">
        <w:t>к</w:t>
      </w:r>
      <w:r w:rsidR="0071360A">
        <w:t>р</w:t>
      </w:r>
      <w:r>
        <w:t>е</w:t>
      </w:r>
      <w:r w:rsidR="00A56E08">
        <w:t>и</w:t>
      </w:r>
      <w:r w:rsidR="0071360A">
        <w:t>р</w:t>
      </w:r>
      <w:r w:rsidR="00A56E08">
        <w:t>а</w:t>
      </w:r>
      <w:r w:rsidR="0071360A">
        <w:t>т</w:t>
      </w:r>
      <w:r w:rsidR="00A56E08">
        <w:t>и</w:t>
      </w:r>
      <w:r w:rsidR="004D1E15" w:rsidRPr="00F6340E">
        <w:t xml:space="preserve"> </w:t>
      </w:r>
      <w:r w:rsidR="00A56E08">
        <w:t>и</w:t>
      </w:r>
      <w:r w:rsidR="004D1E15" w:rsidRPr="00F6340E">
        <w:t xml:space="preserve"> </w:t>
      </w:r>
      <w:r w:rsidR="0071360A">
        <w:t>р</w:t>
      </w:r>
      <w:r w:rsidR="00A56E08">
        <w:t>а</w:t>
      </w:r>
      <w:r w:rsidR="00171F00">
        <w:t>з</w:t>
      </w:r>
      <w:r w:rsidR="00A56E08">
        <w:t>личи</w:t>
      </w:r>
      <w:r w:rsidR="0071360A">
        <w:t>т</w:t>
      </w:r>
      <w:r>
        <w:t>е</w:t>
      </w:r>
      <w:r w:rsidR="004D1E15" w:rsidRPr="00F6340E">
        <w:t xml:space="preserve"> </w:t>
      </w:r>
      <w:r w:rsidR="0071360A">
        <w:t>т</w:t>
      </w:r>
      <w:r w:rsidR="00A56E08">
        <w:t>и</w:t>
      </w:r>
      <w:r w:rsidR="0071360A">
        <w:t>п</w:t>
      </w:r>
      <w:r w:rsidR="00A56E08">
        <w:t>о</w:t>
      </w:r>
      <w:r w:rsidR="0071360A">
        <w:t>в</w:t>
      </w:r>
      <w:r>
        <w:t>е</w:t>
      </w:r>
      <w:r w:rsidR="004D1E15" w:rsidRPr="00F6340E">
        <w:t xml:space="preserve"> </w:t>
      </w:r>
      <w:r w:rsidR="00A56E08">
        <w:t>и</w:t>
      </w:r>
      <w:r w:rsidR="00171F00">
        <w:t>з</w:t>
      </w:r>
      <w:r w:rsidR="0071360A">
        <w:t>в</w:t>
      </w:r>
      <w:r w:rsidR="00A56E08">
        <w:t>ј</w:t>
      </w:r>
      <w:r>
        <w:t>е</w:t>
      </w:r>
      <w:r w:rsidR="0071360A">
        <w:t>шт</w:t>
      </w:r>
      <w:r w:rsidR="00A56E08">
        <w:t>аја</w:t>
      </w:r>
      <w:r w:rsidR="004D1E15" w:rsidRPr="00F6340E">
        <w:t>.</w:t>
      </w:r>
    </w:p>
    <w:p w14:paraId="18F37C62" w14:textId="0695CEBE" w:rsidR="004D1E15" w:rsidRPr="00F6340E" w:rsidRDefault="00A56E08" w:rsidP="000962EB">
      <w:pPr>
        <w:pStyle w:val="Heading3"/>
        <w:numPr>
          <w:ilvl w:val="2"/>
          <w:numId w:val="70"/>
        </w:numPr>
        <w:rPr>
          <w:lang w:val="sr-Cyrl-BA"/>
        </w:rPr>
      </w:pPr>
      <w:bookmarkStart w:id="46" w:name="_Toc119050328"/>
      <w:r>
        <w:rPr>
          <w:lang w:val="sr-Cyrl-BA"/>
        </w:rPr>
        <w:lastRenderedPageBreak/>
        <w:t>О</w:t>
      </w:r>
      <w:r w:rsidR="0071360A">
        <w:rPr>
          <w:lang w:val="sr-Cyrl-BA"/>
        </w:rPr>
        <w:t>с</w:t>
      </w:r>
      <w:r>
        <w:rPr>
          <w:lang w:val="sr-Cyrl-BA"/>
        </w:rPr>
        <w:t>но</w:t>
      </w:r>
      <w:r w:rsidR="0071360A">
        <w:rPr>
          <w:lang w:val="sr-Cyrl-BA"/>
        </w:rPr>
        <w:t>в</w:t>
      </w:r>
      <w:r>
        <w:rPr>
          <w:lang w:val="sr-Cyrl-BA"/>
        </w:rPr>
        <w:t>но</w:t>
      </w:r>
      <w:r w:rsidR="004D1E15" w:rsidRPr="00F6340E">
        <w:rPr>
          <w:lang w:val="sr-Cyrl-BA"/>
        </w:rPr>
        <w:t xml:space="preserve"> </w:t>
      </w:r>
      <w:r>
        <w:rPr>
          <w:lang w:val="sr-Cyrl-BA"/>
        </w:rPr>
        <w:t>и</w:t>
      </w:r>
      <w:r w:rsidR="004D1E15" w:rsidRPr="00F6340E">
        <w:rPr>
          <w:lang w:val="sr-Cyrl-BA"/>
        </w:rPr>
        <w:t xml:space="preserve"> </w:t>
      </w:r>
      <w:r w:rsidR="0071360A">
        <w:rPr>
          <w:lang w:val="sr-Cyrl-BA"/>
        </w:rPr>
        <w:t>ср</w:t>
      </w:r>
      <w:r w:rsidR="00EE6AA2">
        <w:rPr>
          <w:lang w:val="sr-Cyrl-BA"/>
        </w:rPr>
        <w:t>е</w:t>
      </w:r>
      <w:r>
        <w:rPr>
          <w:lang w:val="sr-Cyrl-BA"/>
        </w:rPr>
        <w:t>дњ</w:t>
      </w:r>
      <w:r w:rsidR="00EE6AA2">
        <w:rPr>
          <w:lang w:val="sr-Cyrl-BA"/>
        </w:rPr>
        <w:t>е</w:t>
      </w:r>
      <w:r w:rsidR="004D1E15" w:rsidRPr="00F6340E">
        <w:rPr>
          <w:lang w:val="sr-Cyrl-BA"/>
        </w:rPr>
        <w:t xml:space="preserve"> </w:t>
      </w:r>
      <w:r>
        <w:rPr>
          <w:lang w:val="sr-Cyrl-BA"/>
        </w:rPr>
        <w:t>об</w:t>
      </w:r>
      <w:r w:rsidR="0071360A">
        <w:rPr>
          <w:lang w:val="sr-Cyrl-BA"/>
        </w:rPr>
        <w:t>р</w:t>
      </w:r>
      <w:r>
        <w:rPr>
          <w:lang w:val="sr-Cyrl-BA"/>
        </w:rPr>
        <w:t>а</w:t>
      </w:r>
      <w:r w:rsidR="00171F00">
        <w:rPr>
          <w:lang w:val="sr-Cyrl-BA"/>
        </w:rPr>
        <w:t>з</w:t>
      </w:r>
      <w:r>
        <w:rPr>
          <w:lang w:val="sr-Cyrl-BA"/>
        </w:rPr>
        <w:t>о</w:t>
      </w:r>
      <w:r w:rsidR="0071360A">
        <w:rPr>
          <w:lang w:val="sr-Cyrl-BA"/>
        </w:rPr>
        <w:t>в</w:t>
      </w:r>
      <w:r>
        <w:rPr>
          <w:lang w:val="sr-Cyrl-BA"/>
        </w:rPr>
        <w:t>ањ</w:t>
      </w:r>
      <w:r w:rsidR="00EE6AA2">
        <w:rPr>
          <w:lang w:val="sr-Cyrl-BA"/>
        </w:rPr>
        <w:t>е</w:t>
      </w:r>
      <w:bookmarkEnd w:id="46"/>
    </w:p>
    <w:p w14:paraId="4FF781BC" w14:textId="50FF138F" w:rsidR="004D1E15" w:rsidRPr="00F6340E" w:rsidRDefault="00A56E08" w:rsidP="00115925">
      <w:pPr>
        <w:pStyle w:val="Body"/>
      </w:pPr>
      <w:r>
        <w:t>Инфо</w:t>
      </w:r>
      <w:r w:rsidR="0071360A">
        <w:t>р</w:t>
      </w:r>
      <w:r>
        <w:t>ма</w:t>
      </w:r>
      <w:r w:rsidR="0071360A">
        <w:t>т</w:t>
      </w:r>
      <w:r>
        <w:t>ички</w:t>
      </w:r>
      <w:r w:rsidR="004D1E15" w:rsidRPr="00F6340E">
        <w:t xml:space="preserve"> </w:t>
      </w:r>
      <w:r w:rsidR="0071360A">
        <w:t>с</w:t>
      </w:r>
      <w:r>
        <w:t>и</w:t>
      </w:r>
      <w:r w:rsidR="0071360A">
        <w:t>ст</w:t>
      </w:r>
      <w:r w:rsidR="00EE6AA2">
        <w:t>е</w:t>
      </w:r>
      <w:r>
        <w:t>ми</w:t>
      </w:r>
      <w:r w:rsidR="004D1E15" w:rsidRPr="00F6340E">
        <w:t xml:space="preserve"> </w:t>
      </w:r>
      <w:r w:rsidR="0071360A">
        <w:t>су</w:t>
      </w:r>
      <w:r w:rsidR="004D1E15" w:rsidRPr="00F6340E">
        <w:t xml:space="preserve"> </w:t>
      </w:r>
      <w:r>
        <w:t>н</w:t>
      </w:r>
      <w:r w:rsidR="00EE6AA2">
        <w:t>е</w:t>
      </w:r>
      <w:r>
        <w:t>и</w:t>
      </w:r>
      <w:r w:rsidR="00171F00">
        <w:t>з</w:t>
      </w:r>
      <w:r>
        <w:t>о</w:t>
      </w:r>
      <w:r w:rsidR="0071360A">
        <w:t>ст</w:t>
      </w:r>
      <w:r>
        <w:t>а</w:t>
      </w:r>
      <w:r w:rsidR="0071360A">
        <w:t>в</w:t>
      </w:r>
      <w:r>
        <w:t>на</w:t>
      </w:r>
      <w:r w:rsidR="00AE44FC" w:rsidRPr="00F6340E">
        <w:t xml:space="preserve"> </w:t>
      </w:r>
      <w:r w:rsidR="0071360A">
        <w:t>п</w:t>
      </w:r>
      <w:r>
        <w:t>од</w:t>
      </w:r>
      <w:r w:rsidR="0071360A">
        <w:t>рш</w:t>
      </w:r>
      <w:r>
        <w:t>ка</w:t>
      </w:r>
      <w:r w:rsidR="00C65514" w:rsidRPr="00F6340E">
        <w:t xml:space="preserve"> </w:t>
      </w:r>
      <w:r w:rsidR="0071360A">
        <w:t>у</w:t>
      </w:r>
      <w:r w:rsidR="004D1E15" w:rsidRPr="00F6340E">
        <w:t xml:space="preserve"> </w:t>
      </w:r>
      <w:r w:rsidR="0071360A">
        <w:t>пр</w:t>
      </w:r>
      <w:r w:rsidR="00EE6AA2">
        <w:t>е</w:t>
      </w:r>
      <w:r>
        <w:t>д</w:t>
      </w:r>
      <w:r w:rsidR="0016782E" w:rsidRPr="00F6340E">
        <w:t>-</w:t>
      </w:r>
      <w:r w:rsidR="0071360A">
        <w:t>у</w:t>
      </w:r>
      <w:r>
        <w:t>ни</w:t>
      </w:r>
      <w:r w:rsidR="0071360A">
        <w:t>в</w:t>
      </w:r>
      <w:r w:rsidR="00EE6AA2">
        <w:t>е</w:t>
      </w:r>
      <w:r w:rsidR="0071360A">
        <w:t>р</w:t>
      </w:r>
      <w:r w:rsidR="00171F00">
        <w:t>з</w:t>
      </w:r>
      <w:r>
        <w:t>и</w:t>
      </w:r>
      <w:r w:rsidR="0071360A">
        <w:t>т</w:t>
      </w:r>
      <w:r w:rsidR="00EE6AA2">
        <w:t>е</w:t>
      </w:r>
      <w:r w:rsidR="0071360A">
        <w:t>тс</w:t>
      </w:r>
      <w:r>
        <w:t>ком</w:t>
      </w:r>
      <w:r w:rsidR="004A6A10" w:rsidRPr="00F6340E">
        <w:t xml:space="preserve"> </w:t>
      </w:r>
      <w:r>
        <w:t>об</w:t>
      </w:r>
      <w:r w:rsidR="0071360A">
        <w:t>р</w:t>
      </w:r>
      <w:r>
        <w:t>а</w:t>
      </w:r>
      <w:r w:rsidR="00171F00">
        <w:t>з</w:t>
      </w:r>
      <w:r>
        <w:t>о</w:t>
      </w:r>
      <w:r w:rsidR="0071360A">
        <w:t>в</w:t>
      </w:r>
      <w:r>
        <w:t>ањ</w:t>
      </w:r>
      <w:r w:rsidR="0071360A">
        <w:t>у</w:t>
      </w:r>
      <w:r w:rsidR="0016782E" w:rsidRPr="00F6340E">
        <w:t xml:space="preserve">, </w:t>
      </w:r>
      <w:r>
        <w:t>а</w:t>
      </w:r>
      <w:r w:rsidR="004A6A10" w:rsidRPr="00F6340E">
        <w:t xml:space="preserve"> </w:t>
      </w:r>
      <w:r w:rsidR="0071360A">
        <w:t>п</w:t>
      </w:r>
      <w:r>
        <w:t>о</w:t>
      </w:r>
      <w:r w:rsidR="0071360A">
        <w:t>с</w:t>
      </w:r>
      <w:r w:rsidR="00EE6AA2">
        <w:t>е</w:t>
      </w:r>
      <w:r>
        <w:t>бно</w:t>
      </w:r>
      <w:r w:rsidR="004D1E15" w:rsidRPr="00F6340E">
        <w:t xml:space="preserve"> </w:t>
      </w:r>
      <w:r w:rsidR="0071360A">
        <w:t>у</w:t>
      </w:r>
      <w:r w:rsidR="004D1E15" w:rsidRPr="00F6340E">
        <w:t xml:space="preserve"> </w:t>
      </w:r>
      <w:r w:rsidR="0071360A">
        <w:t>с</w:t>
      </w:r>
      <w:r w:rsidR="00EE6AA2">
        <w:t>е</w:t>
      </w:r>
      <w:r>
        <w:t>гм</w:t>
      </w:r>
      <w:r w:rsidR="00EE6AA2">
        <w:t>е</w:t>
      </w:r>
      <w:r>
        <w:t>н</w:t>
      </w:r>
      <w:r w:rsidR="0071360A">
        <w:t>ту</w:t>
      </w:r>
      <w:r w:rsidR="004D1E15" w:rsidRPr="00F6340E">
        <w:t xml:space="preserve"> </w:t>
      </w:r>
      <w:r w:rsidR="0071360A">
        <w:t>пр</w:t>
      </w:r>
      <w:r>
        <w:t>аћ</w:t>
      </w:r>
      <w:r w:rsidR="00EE6AA2">
        <w:t>е</w:t>
      </w:r>
      <w:r>
        <w:t>ња</w:t>
      </w:r>
      <w:r w:rsidR="004D1E15" w:rsidRPr="00F6340E">
        <w:t xml:space="preserve"> </w:t>
      </w:r>
      <w:r>
        <w:t>и</w:t>
      </w:r>
      <w:r w:rsidR="004D1E15" w:rsidRPr="00F6340E">
        <w:t xml:space="preserve"> </w:t>
      </w:r>
      <w:r w:rsidR="0071360A">
        <w:t>вр</w:t>
      </w:r>
      <w:r w:rsidR="00EE6AA2">
        <w:t>е</w:t>
      </w:r>
      <w:r>
        <w:t>дно</w:t>
      </w:r>
      <w:r w:rsidR="0071360A">
        <w:t>в</w:t>
      </w:r>
      <w:r>
        <w:t>ања</w:t>
      </w:r>
      <w:r w:rsidR="004D1E15" w:rsidRPr="00F6340E">
        <w:t xml:space="preserve"> </w:t>
      </w:r>
      <w:r>
        <w:t>к</w:t>
      </w:r>
      <w:r w:rsidR="0071360A">
        <w:t>в</w:t>
      </w:r>
      <w:r>
        <w:t>али</w:t>
      </w:r>
      <w:r w:rsidR="0071360A">
        <w:t>т</w:t>
      </w:r>
      <w:r w:rsidR="00EE6AA2">
        <w:t>е</w:t>
      </w:r>
      <w:r w:rsidR="0071360A">
        <w:t>т</w:t>
      </w:r>
      <w:r w:rsidR="00EE6AA2">
        <w:t>е</w:t>
      </w:r>
      <w:r w:rsidR="004D1E15" w:rsidRPr="00F6340E">
        <w:t xml:space="preserve"> </w:t>
      </w:r>
      <w:r>
        <w:t>об</w:t>
      </w:r>
      <w:r w:rsidR="0071360A">
        <w:t>р</w:t>
      </w:r>
      <w:r>
        <w:t>а</w:t>
      </w:r>
      <w:r w:rsidR="00171F00">
        <w:t>з</w:t>
      </w:r>
      <w:r>
        <w:t>о</w:t>
      </w:r>
      <w:r w:rsidR="0071360A">
        <w:t>в</w:t>
      </w:r>
      <w:r>
        <w:t>ног</w:t>
      </w:r>
      <w:r w:rsidR="004D1E15" w:rsidRPr="00F6340E">
        <w:t xml:space="preserve"> </w:t>
      </w:r>
      <w:r w:rsidR="0071360A">
        <w:t>пр</w:t>
      </w:r>
      <w:r>
        <w:t>оц</w:t>
      </w:r>
      <w:r w:rsidR="00EE6AA2">
        <w:t>е</w:t>
      </w:r>
      <w:r w:rsidR="0071360A">
        <w:t>с</w:t>
      </w:r>
      <w:r>
        <w:t>а</w:t>
      </w:r>
      <w:r w:rsidR="004D1E15" w:rsidRPr="00F6340E">
        <w:t xml:space="preserve">. </w:t>
      </w:r>
      <w:r>
        <w:t>Инфо</w:t>
      </w:r>
      <w:r w:rsidR="0071360A">
        <w:t>р</w:t>
      </w:r>
      <w:r>
        <w:t>ма</w:t>
      </w:r>
      <w:r w:rsidR="0071360A">
        <w:t>т</w:t>
      </w:r>
      <w:r>
        <w:t>ичким</w:t>
      </w:r>
      <w:r w:rsidR="004D1E15" w:rsidRPr="00F6340E">
        <w:t xml:space="preserve"> </w:t>
      </w:r>
      <w:r w:rsidR="0071360A">
        <w:t>с</w:t>
      </w:r>
      <w:r>
        <w:t>и</w:t>
      </w:r>
      <w:r w:rsidR="0071360A">
        <w:t>ст</w:t>
      </w:r>
      <w:r w:rsidR="00EE6AA2">
        <w:t>е</w:t>
      </w:r>
      <w:r>
        <w:t>мима</w:t>
      </w:r>
      <w:r w:rsidR="004D1E15" w:rsidRPr="00F6340E">
        <w:t xml:space="preserve"> </w:t>
      </w:r>
      <w:r>
        <w:t>ко</w:t>
      </w:r>
      <w:r w:rsidR="0071360A">
        <w:t>р</w:t>
      </w:r>
      <w:r>
        <w:t>и</w:t>
      </w:r>
      <w:r w:rsidR="0071360A">
        <w:t>с</w:t>
      </w:r>
      <w:r>
        <w:t>ник</w:t>
      </w:r>
      <w:r w:rsidR="004D1E15" w:rsidRPr="00F6340E">
        <w:t xml:space="preserve"> </w:t>
      </w:r>
      <w:r>
        <w:t>мо</w:t>
      </w:r>
      <w:r w:rsidR="00171F00">
        <w:t>ж</w:t>
      </w:r>
      <w:r w:rsidR="00EE6AA2">
        <w:t>е</w:t>
      </w:r>
      <w:r w:rsidR="004D1E15" w:rsidRPr="00F6340E">
        <w:t xml:space="preserve"> </w:t>
      </w:r>
      <w:r w:rsidR="0071360A">
        <w:t>пр</w:t>
      </w:r>
      <w:r>
        <w:t>и</w:t>
      </w:r>
      <w:r w:rsidR="0071360A">
        <w:t>ступ</w:t>
      </w:r>
      <w:r>
        <w:t>и</w:t>
      </w:r>
      <w:r w:rsidR="0071360A">
        <w:t>т</w:t>
      </w:r>
      <w:r>
        <w:t>и</w:t>
      </w:r>
      <w:r w:rsidR="004D1E15" w:rsidRPr="00F6340E">
        <w:t xml:space="preserve"> </w:t>
      </w:r>
      <w:r w:rsidR="0071360A">
        <w:t>с</w:t>
      </w:r>
      <w:r>
        <w:t>а</w:t>
      </w:r>
      <w:r w:rsidR="004D1E15" w:rsidRPr="00F6340E">
        <w:t xml:space="preserve"> </w:t>
      </w:r>
      <w:r>
        <w:t>било</w:t>
      </w:r>
      <w:r w:rsidR="004D1E15" w:rsidRPr="00F6340E">
        <w:t xml:space="preserve"> </w:t>
      </w:r>
      <w:r>
        <w:t>кој</w:t>
      </w:r>
      <w:r w:rsidR="00EE6AA2">
        <w:t>е</w:t>
      </w:r>
      <w:r>
        <w:t>г</w:t>
      </w:r>
      <w:r w:rsidR="004D1E15" w:rsidRPr="00F6340E">
        <w:t xml:space="preserve"> </w:t>
      </w:r>
      <w:r>
        <w:t>мј</w:t>
      </w:r>
      <w:r w:rsidR="00EE6AA2">
        <w:t>е</w:t>
      </w:r>
      <w:r w:rsidR="0071360A">
        <w:t>ст</w:t>
      </w:r>
      <w:r>
        <w:t>а</w:t>
      </w:r>
      <w:r w:rsidR="004D1E15" w:rsidRPr="00F6340E">
        <w:t xml:space="preserve"> </w:t>
      </w:r>
      <w:r>
        <w:t>и</w:t>
      </w:r>
      <w:r w:rsidR="004D1E15" w:rsidRPr="00F6340E">
        <w:t xml:space="preserve"> </w:t>
      </w:r>
      <w:r w:rsidR="0071360A">
        <w:t>с</w:t>
      </w:r>
      <w:r>
        <w:t>а</w:t>
      </w:r>
      <w:r w:rsidR="004D1E15" w:rsidRPr="00F6340E">
        <w:t xml:space="preserve"> </w:t>
      </w:r>
      <w:r>
        <w:t>било</w:t>
      </w:r>
      <w:r w:rsidR="004D1E15" w:rsidRPr="00F6340E">
        <w:t xml:space="preserve"> </w:t>
      </w:r>
      <w:r>
        <w:t>кој</w:t>
      </w:r>
      <w:r w:rsidR="00EE6AA2">
        <w:t>е</w:t>
      </w:r>
      <w:r>
        <w:t>г</w:t>
      </w:r>
      <w:r w:rsidR="004D1E15" w:rsidRPr="00F6340E">
        <w:t xml:space="preserve"> </w:t>
      </w:r>
      <w:r w:rsidR="0071360A">
        <w:t>ур</w:t>
      </w:r>
      <w:r w:rsidR="00EE6AA2">
        <w:t>е</w:t>
      </w:r>
      <w:r>
        <w:t>ђаја</w:t>
      </w:r>
      <w:r w:rsidR="004D1E15" w:rsidRPr="00F6340E">
        <w:t xml:space="preserve"> </w:t>
      </w:r>
      <w:r>
        <w:t>ко</w:t>
      </w:r>
      <w:r w:rsidR="0071360A">
        <w:t>р</w:t>
      </w:r>
      <w:r>
        <w:t>и</w:t>
      </w:r>
      <w:r w:rsidR="0071360A">
        <w:t>ст</w:t>
      </w:r>
      <w:r w:rsidR="00EE6AA2">
        <w:t>е</w:t>
      </w:r>
      <w:r>
        <w:t>ћи</w:t>
      </w:r>
      <w:r w:rsidR="004D1E15" w:rsidRPr="00F6340E">
        <w:t xml:space="preserve"> </w:t>
      </w:r>
      <w:r>
        <w:t>ј</w:t>
      </w:r>
      <w:r w:rsidR="00EE6AA2">
        <w:t>е</w:t>
      </w:r>
      <w:r>
        <w:t>дин</w:t>
      </w:r>
      <w:r w:rsidR="0071360A">
        <w:t>ств</w:t>
      </w:r>
      <w:r w:rsidR="00EE6AA2">
        <w:t>е</w:t>
      </w:r>
      <w:r>
        <w:t>ни</w:t>
      </w:r>
      <w:r w:rsidR="004D1E15" w:rsidRPr="00F6340E">
        <w:t xml:space="preserve"> </w:t>
      </w:r>
      <w:r>
        <w:t>ко</w:t>
      </w:r>
      <w:r w:rsidR="0071360A">
        <w:t>р</w:t>
      </w:r>
      <w:r>
        <w:t>и</w:t>
      </w:r>
      <w:r w:rsidR="0071360A">
        <w:t>с</w:t>
      </w:r>
      <w:r>
        <w:t>нички</w:t>
      </w:r>
      <w:r w:rsidR="004D1E15" w:rsidRPr="00F6340E">
        <w:t xml:space="preserve"> </w:t>
      </w:r>
      <w:r w:rsidR="0071360A">
        <w:t>р</w:t>
      </w:r>
      <w:r>
        <w:t>ач</w:t>
      </w:r>
      <w:r w:rsidR="0071360A">
        <w:t>у</w:t>
      </w:r>
      <w:r>
        <w:t>н</w:t>
      </w:r>
      <w:r w:rsidR="004D1E15" w:rsidRPr="00F6340E">
        <w:t xml:space="preserve">. </w:t>
      </w:r>
      <w:r>
        <w:t>К</w:t>
      </w:r>
      <w:r w:rsidR="0071360A">
        <w:t>р</w:t>
      </w:r>
      <w:r>
        <w:t>о</w:t>
      </w:r>
      <w:r w:rsidR="00171F00">
        <w:t>з</w:t>
      </w:r>
      <w:r w:rsidR="004D1E15" w:rsidRPr="00F6340E">
        <w:t xml:space="preserve"> </w:t>
      </w:r>
      <w:r>
        <w:t>д</w:t>
      </w:r>
      <w:r w:rsidR="00EE6AA2">
        <w:t>е</w:t>
      </w:r>
      <w:r>
        <w:t>фини</w:t>
      </w:r>
      <w:r w:rsidR="0071360A">
        <w:t>с</w:t>
      </w:r>
      <w:r>
        <w:t>ањ</w:t>
      </w:r>
      <w:r w:rsidR="00EE6AA2">
        <w:t>е</w:t>
      </w:r>
      <w:r w:rsidR="004D1E15" w:rsidRPr="00F6340E">
        <w:t xml:space="preserve"> </w:t>
      </w:r>
      <w:r w:rsidR="0071360A">
        <w:t>у</w:t>
      </w:r>
      <w:r>
        <w:t>лога</w:t>
      </w:r>
      <w:r w:rsidR="004D1E15" w:rsidRPr="00F6340E">
        <w:t xml:space="preserve"> </w:t>
      </w:r>
      <w:r>
        <w:t>ко</w:t>
      </w:r>
      <w:r w:rsidR="0071360A">
        <w:t>р</w:t>
      </w:r>
      <w:r>
        <w:t>и</w:t>
      </w:r>
      <w:r w:rsidR="0071360A">
        <w:t>с</w:t>
      </w:r>
      <w:r>
        <w:t>ника</w:t>
      </w:r>
      <w:r w:rsidR="004D1E15" w:rsidRPr="00F6340E">
        <w:t xml:space="preserve"> </w:t>
      </w:r>
      <w:r w:rsidR="0071360A">
        <w:t>у</w:t>
      </w:r>
      <w:r w:rsidR="004D1E15" w:rsidRPr="00F6340E">
        <w:t xml:space="preserve"> </w:t>
      </w:r>
      <w:r>
        <w:t>инфо</w:t>
      </w:r>
      <w:r w:rsidR="0071360A">
        <w:t>р</w:t>
      </w:r>
      <w:r>
        <w:t>ма</w:t>
      </w:r>
      <w:r w:rsidR="0071360A">
        <w:t>т</w:t>
      </w:r>
      <w:r>
        <w:t>ичком</w:t>
      </w:r>
      <w:r w:rsidR="004D1E15" w:rsidRPr="00F6340E">
        <w:t xml:space="preserve"> </w:t>
      </w:r>
      <w:r w:rsidR="0071360A">
        <w:t>с</w:t>
      </w:r>
      <w:r>
        <w:t>и</w:t>
      </w:r>
      <w:r w:rsidR="0071360A">
        <w:t>ст</w:t>
      </w:r>
      <w:r w:rsidR="00EE6AA2">
        <w:t>е</w:t>
      </w:r>
      <w:r>
        <w:t>м</w:t>
      </w:r>
      <w:r w:rsidR="0071360A">
        <w:t>у</w:t>
      </w:r>
      <w:r w:rsidR="004D1E15" w:rsidRPr="00F6340E">
        <w:t xml:space="preserve">, </w:t>
      </w:r>
      <w:r>
        <w:t>на</w:t>
      </w:r>
      <w:r w:rsidR="0071360A">
        <w:t>ст</w:t>
      </w:r>
      <w:r>
        <w:t>а</w:t>
      </w:r>
      <w:r w:rsidR="0071360A">
        <w:t>в</w:t>
      </w:r>
      <w:r>
        <w:t>ници</w:t>
      </w:r>
      <w:r w:rsidR="004D1E15" w:rsidRPr="00F6340E">
        <w:t xml:space="preserve">, </w:t>
      </w:r>
      <w:r w:rsidR="0071360A">
        <w:t>р</w:t>
      </w:r>
      <w:r>
        <w:t>а</w:t>
      </w:r>
      <w:r w:rsidR="00171F00">
        <w:t>з</w:t>
      </w:r>
      <w:r w:rsidR="0071360A">
        <w:t>р</w:t>
      </w:r>
      <w:r w:rsidR="00EE6AA2">
        <w:t>е</w:t>
      </w:r>
      <w:r>
        <w:t>дници</w:t>
      </w:r>
      <w:r w:rsidR="004D1E15" w:rsidRPr="00F6340E">
        <w:t xml:space="preserve">, </w:t>
      </w:r>
      <w:r w:rsidR="0071360A">
        <w:t>упр</w:t>
      </w:r>
      <w:r>
        <w:t>а</w:t>
      </w:r>
      <w:r w:rsidR="0071360A">
        <w:t>в</w:t>
      </w:r>
      <w:r>
        <w:t>а</w:t>
      </w:r>
      <w:r w:rsidR="0016782E" w:rsidRPr="00F6340E">
        <w:t xml:space="preserve"> </w:t>
      </w:r>
      <w:r>
        <w:t>и</w:t>
      </w:r>
      <w:r w:rsidR="004D1E15" w:rsidRPr="00F6340E">
        <w:t xml:space="preserve"> </w:t>
      </w:r>
      <w:r>
        <w:t>об</w:t>
      </w:r>
      <w:r w:rsidR="0071360A">
        <w:t>р</w:t>
      </w:r>
      <w:r>
        <w:t>а</w:t>
      </w:r>
      <w:r w:rsidR="00171F00">
        <w:t>з</w:t>
      </w:r>
      <w:r>
        <w:t>о</w:t>
      </w:r>
      <w:r w:rsidR="0071360A">
        <w:t>в</w:t>
      </w:r>
      <w:r>
        <w:t>н</w:t>
      </w:r>
      <w:r w:rsidR="00EE6AA2">
        <w:t>е</w:t>
      </w:r>
      <w:r w:rsidR="004D1E15" w:rsidRPr="00F6340E">
        <w:t xml:space="preserve"> </w:t>
      </w:r>
      <w:r w:rsidR="0071360A">
        <w:t>в</w:t>
      </w:r>
      <w:r>
        <w:t>ла</w:t>
      </w:r>
      <w:r w:rsidR="0071360A">
        <w:t>ст</w:t>
      </w:r>
      <w:r>
        <w:t>и</w:t>
      </w:r>
      <w:r w:rsidR="009D418C" w:rsidRPr="00F6340E">
        <w:t xml:space="preserve"> </w:t>
      </w:r>
      <w:r>
        <w:t>мог</w:t>
      </w:r>
      <w:r w:rsidR="0071360A">
        <w:t>у</w:t>
      </w:r>
      <w:r w:rsidR="004D1E15" w:rsidRPr="00F6340E">
        <w:t xml:space="preserve"> </w:t>
      </w:r>
      <w:r>
        <w:t>на</w:t>
      </w:r>
      <w:r w:rsidR="004D1E15" w:rsidRPr="00F6340E">
        <w:t xml:space="preserve"> </w:t>
      </w:r>
      <w:r>
        <w:t>б</w:t>
      </w:r>
      <w:r w:rsidR="0071360A">
        <w:t>р</w:t>
      </w:r>
      <w:r w:rsidR="00171F00">
        <w:t>з</w:t>
      </w:r>
      <w:r w:rsidR="004D1E15" w:rsidRPr="00F6340E">
        <w:t xml:space="preserve"> </w:t>
      </w:r>
      <w:r>
        <w:t>и</w:t>
      </w:r>
      <w:r w:rsidR="004D1E15" w:rsidRPr="00F6340E">
        <w:t xml:space="preserve"> </w:t>
      </w:r>
      <w:r>
        <w:t>ј</w:t>
      </w:r>
      <w:r w:rsidR="00EE6AA2">
        <w:t>е</w:t>
      </w:r>
      <w:r>
        <w:t>дно</w:t>
      </w:r>
      <w:r w:rsidR="0071360A">
        <w:t>ст</w:t>
      </w:r>
      <w:r>
        <w:t>а</w:t>
      </w:r>
      <w:r w:rsidR="0071360A">
        <w:t>в</w:t>
      </w:r>
      <w:r>
        <w:t>ан</w:t>
      </w:r>
      <w:r w:rsidR="004D1E15" w:rsidRPr="00F6340E">
        <w:t xml:space="preserve"> </w:t>
      </w:r>
      <w:r>
        <w:t>начин</w:t>
      </w:r>
      <w:r w:rsidR="004D1E15" w:rsidRPr="00F6340E">
        <w:t xml:space="preserve"> </w:t>
      </w:r>
      <w:r w:rsidR="0071360A">
        <w:t>пр</w:t>
      </w:r>
      <w:r>
        <w:t>и</w:t>
      </w:r>
      <w:r w:rsidR="0071360A">
        <w:t>ступ</w:t>
      </w:r>
      <w:r>
        <w:t>и</w:t>
      </w:r>
      <w:r w:rsidR="0071360A">
        <w:t>т</w:t>
      </w:r>
      <w:r>
        <w:t>и</w:t>
      </w:r>
      <w:r w:rsidR="004D1E15" w:rsidRPr="00F6340E">
        <w:t xml:space="preserve"> </w:t>
      </w:r>
      <w:r w:rsidR="0071360A">
        <w:t>св</w:t>
      </w:r>
      <w:r>
        <w:t>им</w:t>
      </w:r>
      <w:r w:rsidR="004D1E15" w:rsidRPr="00F6340E">
        <w:t xml:space="preserve"> </w:t>
      </w:r>
      <w:r>
        <w:t>инфо</w:t>
      </w:r>
      <w:r w:rsidR="0071360A">
        <w:t>р</w:t>
      </w:r>
      <w:r>
        <w:t>мацијама</w:t>
      </w:r>
      <w:r w:rsidR="004D1E15" w:rsidRPr="00F6340E">
        <w:t xml:space="preserve"> </w:t>
      </w:r>
      <w:r>
        <w:t>и</w:t>
      </w:r>
      <w:r w:rsidR="004D1E15" w:rsidRPr="00F6340E">
        <w:t xml:space="preserve"> </w:t>
      </w:r>
      <w:r>
        <w:t>к</w:t>
      </w:r>
      <w:r w:rsidR="0071360A">
        <w:t>р</w:t>
      </w:r>
      <w:r w:rsidR="00EE6AA2">
        <w:t>е</w:t>
      </w:r>
      <w:r>
        <w:t>и</w:t>
      </w:r>
      <w:r w:rsidR="0071360A">
        <w:t>р</w:t>
      </w:r>
      <w:r>
        <w:t>а</w:t>
      </w:r>
      <w:r w:rsidR="0071360A">
        <w:t>т</w:t>
      </w:r>
      <w:r>
        <w:t>и</w:t>
      </w:r>
      <w:r w:rsidR="004D1E15" w:rsidRPr="00F6340E">
        <w:t xml:space="preserve"> </w:t>
      </w:r>
      <w:r w:rsidR="0071360A">
        <w:t>р</w:t>
      </w:r>
      <w:r>
        <w:t>а</w:t>
      </w:r>
      <w:r w:rsidR="00171F00">
        <w:t>з</w:t>
      </w:r>
      <w:r>
        <w:t>личи</w:t>
      </w:r>
      <w:r w:rsidR="0071360A">
        <w:t>т</w:t>
      </w:r>
      <w:r w:rsidR="00EE6AA2">
        <w:t>е</w:t>
      </w:r>
      <w:r w:rsidR="004D1E15" w:rsidRPr="00F6340E">
        <w:t xml:space="preserve"> </w:t>
      </w:r>
      <w:r>
        <w:t>и</w:t>
      </w:r>
      <w:r w:rsidR="00171F00">
        <w:t>з</w:t>
      </w:r>
      <w:r w:rsidR="0071360A">
        <w:t>в</w:t>
      </w:r>
      <w:r>
        <w:t>ј</w:t>
      </w:r>
      <w:r w:rsidR="00EE6AA2">
        <w:t>е</w:t>
      </w:r>
      <w:r w:rsidR="0071360A">
        <w:t>шт</w:t>
      </w:r>
      <w:r>
        <w:t>ај</w:t>
      </w:r>
      <w:r w:rsidR="00EE6AA2">
        <w:t>е</w:t>
      </w:r>
      <w:r w:rsidR="004D1E15" w:rsidRPr="00F6340E">
        <w:t xml:space="preserve"> </w:t>
      </w:r>
      <w:r>
        <w:t>који</w:t>
      </w:r>
      <w:r w:rsidR="004D1E15" w:rsidRPr="00F6340E">
        <w:t xml:space="preserve"> </w:t>
      </w:r>
      <w:r w:rsidR="0071360A">
        <w:t>су</w:t>
      </w:r>
      <w:r w:rsidR="004D1E15" w:rsidRPr="00F6340E">
        <w:t xml:space="preserve"> </w:t>
      </w:r>
      <w:r w:rsidR="0071360A">
        <w:t>п</w:t>
      </w:r>
      <w:r>
        <w:t>о</w:t>
      </w:r>
      <w:r w:rsidR="0071360A">
        <w:t>тр</w:t>
      </w:r>
      <w:r w:rsidR="00EE6AA2">
        <w:t>е</w:t>
      </w:r>
      <w:r>
        <w:t>бни</w:t>
      </w:r>
      <w:r w:rsidR="004D1E15" w:rsidRPr="00F6340E">
        <w:t xml:space="preserve">. </w:t>
      </w:r>
    </w:p>
    <w:p w14:paraId="5285865A" w14:textId="32C579D9" w:rsidR="004D1E15" w:rsidRPr="00F6340E" w:rsidRDefault="0071360A" w:rsidP="00115925">
      <w:pPr>
        <w:pStyle w:val="Body"/>
      </w:pPr>
      <w:r>
        <w:t>Св</w:t>
      </w:r>
      <w:r w:rsidR="00A56E08">
        <w:t>аки</w:t>
      </w:r>
      <w:r w:rsidR="004D1E15" w:rsidRPr="00F6340E">
        <w:t xml:space="preserve"> </w:t>
      </w:r>
      <w:r w:rsidR="00A56E08">
        <w:t>инфо</w:t>
      </w:r>
      <w:r>
        <w:t>р</w:t>
      </w:r>
      <w:r w:rsidR="00A56E08">
        <w:t>ма</w:t>
      </w:r>
      <w:r>
        <w:t>т</w:t>
      </w:r>
      <w:r w:rsidR="00A56E08">
        <w:t>ички</w:t>
      </w:r>
      <w:r w:rsidR="004D1E15" w:rsidRPr="00F6340E">
        <w:t xml:space="preserve"> </w:t>
      </w:r>
      <w:r>
        <w:t>с</w:t>
      </w:r>
      <w:r w:rsidR="00A56E08">
        <w:t>и</w:t>
      </w:r>
      <w:r>
        <w:t>ст</w:t>
      </w:r>
      <w:r w:rsidR="00EE6AA2">
        <w:t>е</w:t>
      </w:r>
      <w:r w:rsidR="00A56E08">
        <w:t>м</w:t>
      </w:r>
      <w:r w:rsidR="004D1E15" w:rsidRPr="00F6340E">
        <w:t xml:space="preserve"> </w:t>
      </w:r>
      <w:r w:rsidR="00A56E08">
        <w:t>има</w:t>
      </w:r>
      <w:r w:rsidR="004D1E15" w:rsidRPr="00F6340E">
        <w:t xml:space="preserve"> </w:t>
      </w:r>
      <w:r>
        <w:t>св</w:t>
      </w:r>
      <w:r w:rsidR="00A56E08">
        <w:t>ој</w:t>
      </w:r>
      <w:r w:rsidR="00EE6AA2">
        <w:t>е</w:t>
      </w:r>
      <w:r w:rsidR="004D1E15" w:rsidRPr="00F6340E">
        <w:t xml:space="preserve"> </w:t>
      </w:r>
      <w:r w:rsidR="00A56E08">
        <w:t>мод</w:t>
      </w:r>
      <w:r>
        <w:t>у</w:t>
      </w:r>
      <w:r w:rsidR="00A56E08">
        <w:t>л</w:t>
      </w:r>
      <w:r w:rsidR="00EE6AA2">
        <w:t>е</w:t>
      </w:r>
      <w:r w:rsidR="004D1E15" w:rsidRPr="00F6340E">
        <w:t xml:space="preserve"> </w:t>
      </w:r>
      <w:r w:rsidR="00A56E08">
        <w:t>који</w:t>
      </w:r>
      <w:r w:rsidR="004D1E15" w:rsidRPr="00F6340E">
        <w:t xml:space="preserve"> </w:t>
      </w:r>
      <w:r>
        <w:t>с</w:t>
      </w:r>
      <w:r w:rsidR="00EE6AA2">
        <w:t>е</w:t>
      </w:r>
      <w:r w:rsidR="004D1E15" w:rsidRPr="00F6340E">
        <w:t xml:space="preserve"> </w:t>
      </w:r>
      <w:r w:rsidR="00A56E08">
        <w:t>мог</w:t>
      </w:r>
      <w:r>
        <w:t>у</w:t>
      </w:r>
      <w:r w:rsidR="004D1E15" w:rsidRPr="00F6340E">
        <w:t xml:space="preserve"> </w:t>
      </w:r>
      <w:r>
        <w:t>у</w:t>
      </w:r>
      <w:r w:rsidR="00A56E08">
        <w:t>на</w:t>
      </w:r>
      <w:r>
        <w:t>пр</w:t>
      </w:r>
      <w:r w:rsidR="00A56E08">
        <w:t>ј</w:t>
      </w:r>
      <w:r w:rsidR="00EE6AA2">
        <w:t>е</w:t>
      </w:r>
      <w:r w:rsidR="00A56E08">
        <w:t>ђи</w:t>
      </w:r>
      <w:r>
        <w:t>в</w:t>
      </w:r>
      <w:r w:rsidR="00A56E08">
        <w:t>а</w:t>
      </w:r>
      <w:r>
        <w:t>т</w:t>
      </w:r>
      <w:r w:rsidR="00A56E08">
        <w:t>и</w:t>
      </w:r>
      <w:r w:rsidR="004D1E15" w:rsidRPr="00F6340E">
        <w:t xml:space="preserve"> </w:t>
      </w:r>
      <w:r w:rsidR="00A56E08">
        <w:t>и</w:t>
      </w:r>
      <w:r w:rsidR="004D1E15" w:rsidRPr="00F6340E">
        <w:t>/</w:t>
      </w:r>
      <w:r w:rsidR="00A56E08">
        <w:t>или</w:t>
      </w:r>
      <w:r w:rsidR="004D1E15" w:rsidRPr="00F6340E">
        <w:t xml:space="preserve"> </w:t>
      </w:r>
      <w:r w:rsidR="00A56E08">
        <w:t>дода</w:t>
      </w:r>
      <w:r>
        <w:t>в</w:t>
      </w:r>
      <w:r w:rsidR="00A56E08">
        <w:t>а</w:t>
      </w:r>
      <w:r>
        <w:t>т</w:t>
      </w:r>
      <w:r w:rsidR="00A56E08">
        <w:t>и</w:t>
      </w:r>
      <w:r w:rsidR="004D1E15" w:rsidRPr="00F6340E">
        <w:t xml:space="preserve"> </w:t>
      </w:r>
      <w:r w:rsidR="00A56E08">
        <w:t>но</w:t>
      </w:r>
      <w:r>
        <w:t>в</w:t>
      </w:r>
      <w:r w:rsidR="00A56E08">
        <w:t>и</w:t>
      </w:r>
      <w:r w:rsidR="004D1E15" w:rsidRPr="00F6340E">
        <w:t xml:space="preserve">, </w:t>
      </w:r>
      <w:r w:rsidR="00171F00">
        <w:t>з</w:t>
      </w:r>
      <w:r w:rsidR="00A56E08">
        <w:t>а</w:t>
      </w:r>
      <w:r>
        <w:t>в</w:t>
      </w:r>
      <w:r w:rsidR="00A56E08">
        <w:t>и</w:t>
      </w:r>
      <w:r>
        <w:t>с</w:t>
      </w:r>
      <w:r w:rsidR="00A56E08">
        <w:t>но</w:t>
      </w:r>
      <w:r w:rsidR="004D1E15" w:rsidRPr="00F6340E">
        <w:t xml:space="preserve"> </w:t>
      </w:r>
      <w:r w:rsidR="00A56E08">
        <w:t>о</w:t>
      </w:r>
      <w:r w:rsidR="004D1E15" w:rsidRPr="00F6340E">
        <w:t xml:space="preserve"> </w:t>
      </w:r>
      <w:r>
        <w:t>п</w:t>
      </w:r>
      <w:r w:rsidR="00A56E08">
        <w:t>о</w:t>
      </w:r>
      <w:r>
        <w:t>тр</w:t>
      </w:r>
      <w:r w:rsidR="00EE6AA2">
        <w:t>е</w:t>
      </w:r>
      <w:r w:rsidR="00A56E08">
        <w:t>бама</w:t>
      </w:r>
      <w:r w:rsidR="004D1E15" w:rsidRPr="00F6340E">
        <w:t xml:space="preserve"> </w:t>
      </w:r>
      <w:r w:rsidR="00A56E08">
        <w:t>об</w:t>
      </w:r>
      <w:r>
        <w:t>р</w:t>
      </w:r>
      <w:r w:rsidR="00A56E08">
        <w:t>а</w:t>
      </w:r>
      <w:r w:rsidR="00171F00">
        <w:t>з</w:t>
      </w:r>
      <w:r w:rsidR="00A56E08">
        <w:t>о</w:t>
      </w:r>
      <w:r>
        <w:t>в</w:t>
      </w:r>
      <w:r w:rsidR="00A56E08">
        <w:t>н</w:t>
      </w:r>
      <w:r w:rsidR="00EE6AA2">
        <w:t>е</w:t>
      </w:r>
      <w:r w:rsidR="004D1E15" w:rsidRPr="00F6340E">
        <w:t xml:space="preserve"> </w:t>
      </w:r>
      <w:r w:rsidR="00A56E08">
        <w:t>ин</w:t>
      </w:r>
      <w:r>
        <w:t>ст</w:t>
      </w:r>
      <w:r w:rsidR="00A56E08">
        <w:t>и</w:t>
      </w:r>
      <w:r>
        <w:t>ту</w:t>
      </w:r>
      <w:r w:rsidR="00A56E08">
        <w:t>циј</w:t>
      </w:r>
      <w:r w:rsidR="00EE6AA2">
        <w:t>е</w:t>
      </w:r>
      <w:r w:rsidR="004D1E15" w:rsidRPr="00F6340E">
        <w:t xml:space="preserve">. </w:t>
      </w:r>
      <w:r>
        <w:t>С</w:t>
      </w:r>
      <w:r w:rsidR="00A56E08">
        <w:t>и</w:t>
      </w:r>
      <w:r>
        <w:t>ст</w:t>
      </w:r>
      <w:r w:rsidR="00EE6AA2">
        <w:t>е</w:t>
      </w:r>
      <w:r w:rsidR="00A56E08">
        <w:t>ми</w:t>
      </w:r>
      <w:r w:rsidR="004D1E15" w:rsidRPr="00F6340E">
        <w:t xml:space="preserve"> </w:t>
      </w:r>
      <w:r w:rsidR="00A56E08">
        <w:t>мог</w:t>
      </w:r>
      <w:r>
        <w:t>у</w:t>
      </w:r>
      <w:r w:rsidR="004D1E15" w:rsidRPr="00F6340E">
        <w:t xml:space="preserve"> </w:t>
      </w:r>
      <w:r w:rsidR="00A56E08">
        <w:t>би</w:t>
      </w:r>
      <w:r>
        <w:t>т</w:t>
      </w:r>
      <w:r w:rsidR="00A56E08">
        <w:t>и</w:t>
      </w:r>
      <w:r w:rsidR="004D1E15" w:rsidRPr="00F6340E">
        <w:t xml:space="preserve"> </w:t>
      </w:r>
      <w:r w:rsidR="00A56E08">
        <w:t>ин</w:t>
      </w:r>
      <w:r>
        <w:t>т</w:t>
      </w:r>
      <w:r w:rsidR="00EE6AA2">
        <w:t>е</w:t>
      </w:r>
      <w:r w:rsidR="00A56E08">
        <w:t>г</w:t>
      </w:r>
      <w:r>
        <w:t>р</w:t>
      </w:r>
      <w:r w:rsidR="00A56E08">
        <w:t>и</w:t>
      </w:r>
      <w:r>
        <w:t>с</w:t>
      </w:r>
      <w:r w:rsidR="00A56E08">
        <w:t>ани</w:t>
      </w:r>
      <w:r w:rsidR="004D1E15" w:rsidRPr="00F6340E">
        <w:t xml:space="preserve"> </w:t>
      </w:r>
      <w:r w:rsidR="00A56E08">
        <w:t>или</w:t>
      </w:r>
      <w:r w:rsidR="004D1E15" w:rsidRPr="00F6340E">
        <w:t xml:space="preserve"> </w:t>
      </w:r>
      <w:r w:rsidR="00A56E08">
        <w:t>од</w:t>
      </w:r>
      <w:r>
        <w:t>в</w:t>
      </w:r>
      <w:r w:rsidR="00A56E08">
        <w:t>ој</w:t>
      </w:r>
      <w:r w:rsidR="00EE6AA2">
        <w:t>е</w:t>
      </w:r>
      <w:r w:rsidR="00A56E08">
        <w:t>ни</w:t>
      </w:r>
      <w:r w:rsidR="004D1E15" w:rsidRPr="00F6340E">
        <w:t xml:space="preserve">. </w:t>
      </w:r>
      <w:r>
        <w:t>Т</w:t>
      </w:r>
      <w:r w:rsidR="00A56E08">
        <w:t>ако</w:t>
      </w:r>
      <w:r w:rsidR="004D1E15" w:rsidRPr="00F6340E">
        <w:t xml:space="preserve"> </w:t>
      </w:r>
      <w:r w:rsidR="00A56E08">
        <w:t>н</w:t>
      </w:r>
      <w:r>
        <w:t>пр</w:t>
      </w:r>
      <w:r w:rsidR="004D1E15" w:rsidRPr="00F6340E">
        <w:t xml:space="preserve">. </w:t>
      </w:r>
      <w:r w:rsidR="00EE6AA2">
        <w:t>е</w:t>
      </w:r>
      <w:r w:rsidR="004D1E15" w:rsidRPr="00F6340E">
        <w:t>-</w:t>
      </w:r>
      <w:r w:rsidR="00A56E08">
        <w:t>дн</w:t>
      </w:r>
      <w:r w:rsidR="00EE6AA2">
        <w:t>е</w:t>
      </w:r>
      <w:r>
        <w:t>в</w:t>
      </w:r>
      <w:r w:rsidR="00A56E08">
        <w:t>ник</w:t>
      </w:r>
      <w:r w:rsidR="004D1E15" w:rsidRPr="00F6340E">
        <w:t xml:space="preserve">, </w:t>
      </w:r>
      <w:r w:rsidR="00EE6AA2">
        <w:t>е</w:t>
      </w:r>
      <w:r w:rsidR="004D1E15" w:rsidRPr="00F6340E">
        <w:t>-</w:t>
      </w:r>
      <w:r w:rsidR="00A56E08">
        <w:t>на</w:t>
      </w:r>
      <w:r>
        <w:t>ст</w:t>
      </w:r>
      <w:r w:rsidR="00A56E08">
        <w:t>а</w:t>
      </w:r>
      <w:r>
        <w:t>в</w:t>
      </w:r>
      <w:r w:rsidR="00A56E08">
        <w:t>а</w:t>
      </w:r>
      <w:r w:rsidR="004D1E15" w:rsidRPr="00F6340E">
        <w:t xml:space="preserve">, </w:t>
      </w:r>
      <w:r>
        <w:t>п</w:t>
      </w:r>
      <w:r w:rsidR="00A56E08">
        <w:t>ла</w:t>
      </w:r>
      <w:r>
        <w:t>т</w:t>
      </w:r>
      <w:r w:rsidR="00A56E08">
        <w:t>фо</w:t>
      </w:r>
      <w:r>
        <w:t>р</w:t>
      </w:r>
      <w:r w:rsidR="00A56E08">
        <w:t>ма</w:t>
      </w:r>
      <w:r w:rsidR="004D1E15" w:rsidRPr="00F6340E">
        <w:t xml:space="preserve"> </w:t>
      </w:r>
      <w:r w:rsidR="00171F00">
        <w:t>з</w:t>
      </w:r>
      <w:r w:rsidR="00A56E08">
        <w:t>а</w:t>
      </w:r>
      <w:r w:rsidR="004D1E15" w:rsidRPr="00F6340E">
        <w:t xml:space="preserve"> </w:t>
      </w:r>
      <w:r w:rsidR="00EE6AA2">
        <w:t>е</w:t>
      </w:r>
      <w:r w:rsidR="004D1E15" w:rsidRPr="00F6340E">
        <w:t>-</w:t>
      </w:r>
      <w:r w:rsidR="00A56E08">
        <w:t>к</w:t>
      </w:r>
      <w:r>
        <w:t>урс</w:t>
      </w:r>
      <w:r w:rsidR="00EE6AA2">
        <w:t>е</w:t>
      </w:r>
      <w:r>
        <w:t>в</w:t>
      </w:r>
      <w:r w:rsidR="00EE6AA2">
        <w:t>е</w:t>
      </w:r>
      <w:r w:rsidR="004D1E15" w:rsidRPr="00F6340E">
        <w:t xml:space="preserve">, </w:t>
      </w:r>
      <w:r>
        <w:t>уп</w:t>
      </w:r>
      <w:r w:rsidR="00A56E08">
        <w:t>и</w:t>
      </w:r>
      <w:r>
        <w:t>с</w:t>
      </w:r>
      <w:r w:rsidR="004D1E15" w:rsidRPr="00F6340E">
        <w:t xml:space="preserve"> </w:t>
      </w:r>
      <w:r>
        <w:t>у</w:t>
      </w:r>
      <w:r w:rsidR="00A56E08">
        <w:t>ч</w:t>
      </w:r>
      <w:r w:rsidR="00EE6AA2">
        <w:t>е</w:t>
      </w:r>
      <w:r w:rsidR="00A56E08">
        <w:t>ника</w:t>
      </w:r>
      <w:r w:rsidR="004D1E15" w:rsidRPr="00F6340E">
        <w:t xml:space="preserve"> </w:t>
      </w:r>
      <w:r>
        <w:t>у</w:t>
      </w:r>
      <w:r w:rsidR="004D1E15" w:rsidRPr="00F6340E">
        <w:t xml:space="preserve"> </w:t>
      </w:r>
      <w:r>
        <w:t>ср</w:t>
      </w:r>
      <w:r w:rsidR="00EE6AA2">
        <w:t>е</w:t>
      </w:r>
      <w:r w:rsidR="00A56E08">
        <w:t>дњ</w:t>
      </w:r>
      <w:r>
        <w:t>у</w:t>
      </w:r>
      <w:r w:rsidR="004D1E15" w:rsidRPr="00F6340E">
        <w:t xml:space="preserve"> </w:t>
      </w:r>
      <w:r>
        <w:t>ш</w:t>
      </w:r>
      <w:r w:rsidR="00A56E08">
        <w:t>кол</w:t>
      </w:r>
      <w:r>
        <w:t>у</w:t>
      </w:r>
      <w:r w:rsidR="004D1E15" w:rsidRPr="00F6340E">
        <w:t>/</w:t>
      </w:r>
      <w:r w:rsidR="00A56E08">
        <w:t>фак</w:t>
      </w:r>
      <w:r>
        <w:t>у</w:t>
      </w:r>
      <w:r w:rsidR="00A56E08">
        <w:t>л</w:t>
      </w:r>
      <w:r>
        <w:t>т</w:t>
      </w:r>
      <w:r w:rsidR="00EE6AA2">
        <w:t>е</w:t>
      </w:r>
      <w:r>
        <w:t>т</w:t>
      </w:r>
      <w:r w:rsidR="004D1E15" w:rsidRPr="00F6340E">
        <w:t xml:space="preserve">, </w:t>
      </w:r>
      <w:r w:rsidR="00EE6AA2">
        <w:t>е</w:t>
      </w:r>
      <w:r w:rsidR="00A56E08">
        <w:t>к</w:t>
      </w:r>
      <w:r>
        <w:t>ст</w:t>
      </w:r>
      <w:r w:rsidR="00EE6AA2">
        <w:t>е</w:t>
      </w:r>
      <w:r>
        <w:t>р</w:t>
      </w:r>
      <w:r w:rsidR="00A56E08">
        <w:t>на</w:t>
      </w:r>
      <w:r w:rsidR="004D1E15" w:rsidRPr="00F6340E">
        <w:t xml:space="preserve"> </w:t>
      </w:r>
      <w:r w:rsidR="00A56E08">
        <w:t>ма</w:t>
      </w:r>
      <w:r>
        <w:t>тур</w:t>
      </w:r>
      <w:r w:rsidR="00A56E08">
        <w:t>а</w:t>
      </w:r>
      <w:r w:rsidR="004D1E15" w:rsidRPr="00F6340E">
        <w:t xml:space="preserve">, </w:t>
      </w:r>
      <w:r w:rsidR="00A56E08">
        <w:t>ин</w:t>
      </w:r>
      <w:r>
        <w:t>т</w:t>
      </w:r>
      <w:r w:rsidR="00EE6AA2">
        <w:t>е</w:t>
      </w:r>
      <w:r>
        <w:t>р</w:t>
      </w:r>
      <w:r w:rsidR="00A56E08">
        <w:t>на</w:t>
      </w:r>
      <w:r w:rsidR="004D1E15" w:rsidRPr="00F6340E">
        <w:t xml:space="preserve"> </w:t>
      </w:r>
      <w:r w:rsidR="00A56E08">
        <w:t>и</w:t>
      </w:r>
      <w:r w:rsidR="004D1E15" w:rsidRPr="00F6340E">
        <w:t xml:space="preserve"> </w:t>
      </w:r>
      <w:r w:rsidR="00EE6AA2">
        <w:t>е</w:t>
      </w:r>
      <w:r w:rsidR="00A56E08">
        <w:t>к</w:t>
      </w:r>
      <w:r>
        <w:t>ст</w:t>
      </w:r>
      <w:r w:rsidR="00EE6AA2">
        <w:t>е</w:t>
      </w:r>
      <w:r>
        <w:t>р</w:t>
      </w:r>
      <w:r w:rsidR="00A56E08">
        <w:t>на</w:t>
      </w:r>
      <w:r w:rsidR="004D1E15" w:rsidRPr="00F6340E">
        <w:t xml:space="preserve"> </w:t>
      </w:r>
      <w:r w:rsidR="00EE6AA2">
        <w:t>е</w:t>
      </w:r>
      <w:r>
        <w:t>в</w:t>
      </w:r>
      <w:r w:rsidR="00A56E08">
        <w:t>ал</w:t>
      </w:r>
      <w:r>
        <w:t>у</w:t>
      </w:r>
      <w:r w:rsidR="00A56E08">
        <w:t>ација</w:t>
      </w:r>
      <w:r w:rsidR="004D1E15" w:rsidRPr="00F6340E">
        <w:t xml:space="preserve"> </w:t>
      </w:r>
      <w:r>
        <w:t>ш</w:t>
      </w:r>
      <w:r w:rsidR="00A56E08">
        <w:t>кол</w:t>
      </w:r>
      <w:r w:rsidR="00EE6AA2">
        <w:t>е</w:t>
      </w:r>
      <w:r w:rsidR="004D1E15" w:rsidRPr="00F6340E">
        <w:t xml:space="preserve">, </w:t>
      </w:r>
      <w:r>
        <w:t>у</w:t>
      </w:r>
      <w:r w:rsidR="00A56E08">
        <w:t>колико</w:t>
      </w:r>
      <w:r w:rsidR="004D1E15" w:rsidRPr="00F6340E">
        <w:t xml:space="preserve"> </w:t>
      </w:r>
      <w:r>
        <w:t>су</w:t>
      </w:r>
      <w:r w:rsidR="004D1E15" w:rsidRPr="00F6340E">
        <w:t xml:space="preserve"> </w:t>
      </w:r>
      <w:r w:rsidR="00A56E08">
        <w:t>од</w:t>
      </w:r>
      <w:r>
        <w:t>в</w:t>
      </w:r>
      <w:r w:rsidR="00A56E08">
        <w:t>ој</w:t>
      </w:r>
      <w:r w:rsidR="00EE6AA2">
        <w:t>е</w:t>
      </w:r>
      <w:r w:rsidR="00A56E08">
        <w:t>ни</w:t>
      </w:r>
      <w:r w:rsidR="004D1E15" w:rsidRPr="00F6340E">
        <w:t xml:space="preserve">, </w:t>
      </w:r>
      <w:r>
        <w:t>п</w:t>
      </w:r>
      <w:r w:rsidR="00A56E08">
        <w:t>о</w:t>
      </w:r>
      <w:r>
        <w:t>тр</w:t>
      </w:r>
      <w:r w:rsidR="00EE6AA2">
        <w:t>е</w:t>
      </w:r>
      <w:r w:rsidR="00A56E08">
        <w:t>бно</w:t>
      </w:r>
      <w:r w:rsidR="004D1E15" w:rsidRPr="00F6340E">
        <w:t xml:space="preserve"> </w:t>
      </w:r>
      <w:r w:rsidR="00A56E08">
        <w:t>ј</w:t>
      </w:r>
      <w:r w:rsidR="00EE6AA2">
        <w:t>е</w:t>
      </w:r>
      <w:r w:rsidR="004D1E15" w:rsidRPr="00F6340E">
        <w:t xml:space="preserve"> </w:t>
      </w:r>
      <w:r w:rsidR="00A56E08">
        <w:t>о</w:t>
      </w:r>
      <w:r>
        <w:t>с</w:t>
      </w:r>
      <w:r w:rsidR="00A56E08">
        <w:t>иг</w:t>
      </w:r>
      <w:r>
        <w:t>ур</w:t>
      </w:r>
      <w:r w:rsidR="00A56E08">
        <w:t>а</w:t>
      </w:r>
      <w:r>
        <w:t>т</w:t>
      </w:r>
      <w:r w:rsidR="00A56E08">
        <w:t>и</w:t>
      </w:r>
      <w:r w:rsidR="004D1E15" w:rsidRPr="00F6340E">
        <w:t xml:space="preserve"> </w:t>
      </w:r>
      <w:r>
        <w:t>с</w:t>
      </w:r>
      <w:r w:rsidR="00A56E08">
        <w:t>иг</w:t>
      </w:r>
      <w:r>
        <w:t>ур</w:t>
      </w:r>
      <w:r w:rsidR="00A56E08">
        <w:t>ан</w:t>
      </w:r>
      <w:r w:rsidR="004D1E15" w:rsidRPr="00F6340E">
        <w:t xml:space="preserve"> </w:t>
      </w:r>
      <w:r>
        <w:t>пр</w:t>
      </w:r>
      <w:r w:rsidR="00A56E08">
        <w:t>и</w:t>
      </w:r>
      <w:r>
        <w:t>ступ</w:t>
      </w:r>
      <w:r w:rsidR="004D1E15" w:rsidRPr="00F6340E">
        <w:t xml:space="preserve">, </w:t>
      </w:r>
      <w:r w:rsidR="00A56E08">
        <w:t>ин</w:t>
      </w:r>
      <w:r>
        <w:t>т</w:t>
      </w:r>
      <w:r w:rsidR="00EE6AA2">
        <w:t>е</w:t>
      </w:r>
      <w:r w:rsidR="00A56E08">
        <w:t>г</w:t>
      </w:r>
      <w:r>
        <w:t>р</w:t>
      </w:r>
      <w:r w:rsidR="00A56E08">
        <w:t>и</w:t>
      </w:r>
      <w:r>
        <w:t>т</w:t>
      </w:r>
      <w:r w:rsidR="00EE6AA2">
        <w:t>е</w:t>
      </w:r>
      <w:r>
        <w:t>т</w:t>
      </w:r>
      <w:r w:rsidR="004D1E15" w:rsidRPr="00F6340E">
        <w:t xml:space="preserve">, </w:t>
      </w:r>
      <w:r>
        <w:t>п</w:t>
      </w:r>
      <w:r w:rsidR="00A56E08">
        <w:t>о</w:t>
      </w:r>
      <w:r>
        <w:t>в</w:t>
      </w:r>
      <w:r w:rsidR="00EE6AA2">
        <w:t>е</w:t>
      </w:r>
      <w:r w:rsidR="00171F00">
        <w:t>з</w:t>
      </w:r>
      <w:r w:rsidR="00A56E08">
        <w:t>ано</w:t>
      </w:r>
      <w:r>
        <w:t>ст</w:t>
      </w:r>
      <w:r w:rsidR="004D1E15" w:rsidRPr="00F6340E">
        <w:t xml:space="preserve">, </w:t>
      </w:r>
      <w:r w:rsidR="00A56E08">
        <w:t>ком</w:t>
      </w:r>
      <w:r>
        <w:t>у</w:t>
      </w:r>
      <w:r w:rsidR="00A56E08">
        <w:t>никациј</w:t>
      </w:r>
      <w:r>
        <w:t>у</w:t>
      </w:r>
      <w:r w:rsidR="004D1E15" w:rsidRPr="00F6340E">
        <w:t xml:space="preserve"> </w:t>
      </w:r>
      <w:r w:rsidR="00A56E08">
        <w:t>и</w:t>
      </w:r>
      <w:r w:rsidR="004D1E15" w:rsidRPr="00F6340E">
        <w:t xml:space="preserve"> </w:t>
      </w:r>
      <w:r>
        <w:t>р</w:t>
      </w:r>
      <w:r w:rsidR="00A56E08">
        <w:t>а</w:t>
      </w:r>
      <w:r w:rsidR="00171F00">
        <w:t>з</w:t>
      </w:r>
      <w:r w:rsidR="00A56E08">
        <w:t>мј</w:t>
      </w:r>
      <w:r w:rsidR="00EE6AA2">
        <w:t>е</w:t>
      </w:r>
      <w:r w:rsidR="00A56E08">
        <w:t>н</w:t>
      </w:r>
      <w:r>
        <w:t>у</w:t>
      </w:r>
      <w:r w:rsidR="004D1E15" w:rsidRPr="00F6340E">
        <w:t xml:space="preserve"> </w:t>
      </w:r>
      <w:r>
        <w:t>п</w:t>
      </w:r>
      <w:r w:rsidR="00A56E08">
        <w:t>ода</w:t>
      </w:r>
      <w:r>
        <w:t>т</w:t>
      </w:r>
      <w:r w:rsidR="00A56E08">
        <w:t>ака</w:t>
      </w:r>
      <w:r w:rsidR="004D1E15" w:rsidRPr="00F6340E">
        <w:t>.</w:t>
      </w:r>
    </w:p>
    <w:p w14:paraId="6780097A" w14:textId="5583137C" w:rsidR="004D1E15" w:rsidRPr="00F6340E" w:rsidRDefault="0071360A" w:rsidP="00115925">
      <w:pPr>
        <w:pStyle w:val="Body"/>
      </w:pPr>
      <w:r>
        <w:t>У</w:t>
      </w:r>
      <w:r w:rsidR="004D1E15" w:rsidRPr="00F6340E">
        <w:t xml:space="preserve"> </w:t>
      </w:r>
      <w:r w:rsidR="00A56E08">
        <w:t>инфо</w:t>
      </w:r>
      <w:r>
        <w:t>р</w:t>
      </w:r>
      <w:r w:rsidR="00A56E08">
        <w:t>ма</w:t>
      </w:r>
      <w:r>
        <w:t>т</w:t>
      </w:r>
      <w:r w:rsidR="00A56E08">
        <w:t>ички</w:t>
      </w:r>
      <w:r w:rsidR="004D1E15" w:rsidRPr="00F6340E">
        <w:t xml:space="preserve"> </w:t>
      </w:r>
      <w:r>
        <w:t>с</w:t>
      </w:r>
      <w:r w:rsidR="00A56E08">
        <w:t>и</w:t>
      </w:r>
      <w:r>
        <w:t>ст</w:t>
      </w:r>
      <w:r w:rsidR="00EE6AA2">
        <w:t>е</w:t>
      </w:r>
      <w:r w:rsidR="00A56E08">
        <w:t>м</w:t>
      </w:r>
      <w:r w:rsidR="004D1E15" w:rsidRPr="00F6340E">
        <w:t xml:space="preserve"> </w:t>
      </w:r>
      <w:r w:rsidR="00A56E08">
        <w:t>мог</w:t>
      </w:r>
      <w:r>
        <w:t>у</w:t>
      </w:r>
      <w:r w:rsidR="004D1E15" w:rsidRPr="00F6340E">
        <w:t xml:space="preserve"> </w:t>
      </w:r>
      <w:r w:rsidR="00A56E08">
        <w:t>би</w:t>
      </w:r>
      <w:r>
        <w:t>т</w:t>
      </w:r>
      <w:r w:rsidR="00A56E08">
        <w:t>и</w:t>
      </w:r>
      <w:r w:rsidR="004D1E15" w:rsidRPr="00F6340E">
        <w:t xml:space="preserve"> </w:t>
      </w:r>
      <w:r w:rsidR="00A56E08">
        <w:t>ин</w:t>
      </w:r>
      <w:r>
        <w:t>т</w:t>
      </w:r>
      <w:r w:rsidR="00EE6AA2">
        <w:t>е</w:t>
      </w:r>
      <w:r w:rsidR="00A56E08">
        <w:t>г</w:t>
      </w:r>
      <w:r>
        <w:t>р</w:t>
      </w:r>
      <w:r w:rsidR="00A56E08">
        <w:t>и</w:t>
      </w:r>
      <w:r>
        <w:t>с</w:t>
      </w:r>
      <w:r w:rsidR="00A56E08">
        <w:t>ана</w:t>
      </w:r>
      <w:r w:rsidR="004D1E15" w:rsidRPr="00F6340E">
        <w:t xml:space="preserve"> </w:t>
      </w:r>
      <w:r>
        <w:t>р</w:t>
      </w:r>
      <w:r w:rsidR="00A56E08">
        <w:t>а</w:t>
      </w:r>
      <w:r w:rsidR="00171F00">
        <w:t>з</w:t>
      </w:r>
      <w:r w:rsidR="00A56E08">
        <w:t>личи</w:t>
      </w:r>
      <w:r>
        <w:t>т</w:t>
      </w:r>
      <w:r w:rsidR="00A56E08">
        <w:t>а</w:t>
      </w:r>
      <w:r w:rsidR="004D1E15" w:rsidRPr="00F6340E">
        <w:t xml:space="preserve"> </w:t>
      </w:r>
      <w:r w:rsidR="00A56E08">
        <w:t>од</w:t>
      </w:r>
      <w:r>
        <w:t>в</w:t>
      </w:r>
      <w:r w:rsidR="00A56E08">
        <w:t>ој</w:t>
      </w:r>
      <w:r w:rsidR="00EE6AA2">
        <w:t>е</w:t>
      </w:r>
      <w:r w:rsidR="00A56E08">
        <w:t>на</w:t>
      </w:r>
      <w:r w:rsidR="004D1E15" w:rsidRPr="00F6340E">
        <w:t xml:space="preserve"> </w:t>
      </w:r>
      <w:r>
        <w:t>р</w:t>
      </w:r>
      <w:r w:rsidR="00A56E08">
        <w:t>ј</w:t>
      </w:r>
      <w:r w:rsidR="00EE6AA2">
        <w:t>е</w:t>
      </w:r>
      <w:r>
        <w:t>ш</w:t>
      </w:r>
      <w:r w:rsidR="00EE6AA2">
        <w:t>е</w:t>
      </w:r>
      <w:r w:rsidR="00A56E08">
        <w:t>ња</w:t>
      </w:r>
      <w:r w:rsidR="004D1E15" w:rsidRPr="00F6340E">
        <w:t xml:space="preserve"> </w:t>
      </w:r>
      <w:r w:rsidR="00A56E08">
        <w:t>како</w:t>
      </w:r>
      <w:r w:rsidR="004D1E15" w:rsidRPr="00F6340E">
        <w:t xml:space="preserve"> </w:t>
      </w:r>
      <w:r w:rsidR="00A56E08">
        <w:t>би</w:t>
      </w:r>
      <w:r w:rsidR="004D1E15" w:rsidRPr="00F6340E">
        <w:t xml:space="preserve"> </w:t>
      </w:r>
      <w:r>
        <w:t>св</w:t>
      </w:r>
      <w:r w:rsidR="00A56E08">
        <w:t>им</w:t>
      </w:r>
      <w:r w:rsidR="004D1E15" w:rsidRPr="00F6340E">
        <w:t xml:space="preserve"> </w:t>
      </w:r>
      <w:r w:rsidR="00A56E08">
        <w:t>ко</w:t>
      </w:r>
      <w:r>
        <w:t>р</w:t>
      </w:r>
      <w:r w:rsidR="00A56E08">
        <w:t>и</w:t>
      </w:r>
      <w:r>
        <w:t>с</w:t>
      </w:r>
      <w:r w:rsidR="00A56E08">
        <w:t>ницима</w:t>
      </w:r>
      <w:r w:rsidR="004D1E15" w:rsidRPr="00F6340E">
        <w:t xml:space="preserve"> </w:t>
      </w:r>
      <w:r w:rsidR="00A56E08">
        <w:t>био</w:t>
      </w:r>
      <w:r w:rsidR="004D1E15" w:rsidRPr="00F6340E">
        <w:t xml:space="preserve"> </w:t>
      </w:r>
      <w:r w:rsidR="00A56E08">
        <w:t>омог</w:t>
      </w:r>
      <w:r>
        <w:t>у</w:t>
      </w:r>
      <w:r w:rsidR="00A56E08">
        <w:t>ћ</w:t>
      </w:r>
      <w:r w:rsidR="00EE6AA2">
        <w:t>е</w:t>
      </w:r>
      <w:r w:rsidR="00A56E08">
        <w:t>н</w:t>
      </w:r>
      <w:r w:rsidR="004D1E15" w:rsidRPr="00F6340E">
        <w:t xml:space="preserve"> </w:t>
      </w:r>
      <w:r w:rsidR="00A56E08">
        <w:t>лак</w:t>
      </w:r>
      <w:r>
        <w:t>ш</w:t>
      </w:r>
      <w:r w:rsidR="00A56E08">
        <w:t>и</w:t>
      </w:r>
      <w:r w:rsidR="004D1E15" w:rsidRPr="00F6340E">
        <w:t xml:space="preserve"> </w:t>
      </w:r>
      <w:r>
        <w:t>пр</w:t>
      </w:r>
      <w:r w:rsidR="00A56E08">
        <w:t>и</w:t>
      </w:r>
      <w:r>
        <w:t>ступ</w:t>
      </w:r>
      <w:r w:rsidR="004D1E15" w:rsidRPr="00F6340E">
        <w:t xml:space="preserve"> </w:t>
      </w:r>
      <w:r>
        <w:t>св</w:t>
      </w:r>
      <w:r w:rsidR="00A56E08">
        <w:t>им</w:t>
      </w:r>
      <w:r w:rsidR="004D1E15" w:rsidRPr="00F6340E">
        <w:t xml:space="preserve"> </w:t>
      </w:r>
      <w:r>
        <w:t>р</w:t>
      </w:r>
      <w:r w:rsidR="00EE6AA2">
        <w:t>е</w:t>
      </w:r>
      <w:r>
        <w:t>сурс</w:t>
      </w:r>
      <w:r w:rsidR="00A56E08">
        <w:t>има</w:t>
      </w:r>
      <w:r w:rsidR="004D1E15" w:rsidRPr="00F6340E">
        <w:t xml:space="preserve"> </w:t>
      </w:r>
      <w:r>
        <w:t>с</w:t>
      </w:r>
      <w:r w:rsidR="00A56E08">
        <w:t>а</w:t>
      </w:r>
      <w:r w:rsidR="004D1E15" w:rsidRPr="00F6340E">
        <w:t xml:space="preserve"> </w:t>
      </w:r>
      <w:r w:rsidR="00A56E08">
        <w:t>ј</w:t>
      </w:r>
      <w:r w:rsidR="00EE6AA2">
        <w:t>е</w:t>
      </w:r>
      <w:r w:rsidR="00A56E08">
        <w:t>дин</w:t>
      </w:r>
      <w:r>
        <w:t>ств</w:t>
      </w:r>
      <w:r w:rsidR="00EE6AA2">
        <w:t>е</w:t>
      </w:r>
      <w:r w:rsidR="00A56E08">
        <w:t>ним</w:t>
      </w:r>
      <w:r w:rsidR="004D1E15" w:rsidRPr="00F6340E">
        <w:t xml:space="preserve"> </w:t>
      </w:r>
      <w:r w:rsidR="00A56E08">
        <w:t>ко</w:t>
      </w:r>
      <w:r>
        <w:t>р</w:t>
      </w:r>
      <w:r w:rsidR="00A56E08">
        <w:t>и</w:t>
      </w:r>
      <w:r>
        <w:t>с</w:t>
      </w:r>
      <w:r w:rsidR="00A56E08">
        <w:t>ничким</w:t>
      </w:r>
      <w:r w:rsidR="004D1E15" w:rsidRPr="00F6340E">
        <w:t xml:space="preserve"> </w:t>
      </w:r>
      <w:r>
        <w:t>р</w:t>
      </w:r>
      <w:r w:rsidR="00A56E08">
        <w:t>ач</w:t>
      </w:r>
      <w:r>
        <w:t>у</w:t>
      </w:r>
      <w:r w:rsidR="00A56E08">
        <w:t>ном</w:t>
      </w:r>
      <w:r w:rsidR="004D1E15" w:rsidRPr="00F6340E">
        <w:t xml:space="preserve">. </w:t>
      </w:r>
    </w:p>
    <w:p w14:paraId="6A9BB4D0" w14:textId="5CE03C84" w:rsidR="00260039" w:rsidRPr="00115925" w:rsidRDefault="0071360A" w:rsidP="00115925">
      <w:pPr>
        <w:pStyle w:val="Body"/>
      </w:pPr>
      <w:r>
        <w:t>П</w:t>
      </w:r>
      <w:r w:rsidR="00A56E08">
        <w:t>о</w:t>
      </w:r>
      <w:r>
        <w:t>р</w:t>
      </w:r>
      <w:r w:rsidR="00EE6AA2">
        <w:t>е</w:t>
      </w:r>
      <w:r w:rsidR="00A56E08">
        <w:t>д</w:t>
      </w:r>
      <w:r w:rsidR="004D1E15" w:rsidRPr="00F6340E">
        <w:t xml:space="preserve"> </w:t>
      </w:r>
      <w:r w:rsidR="00A56E08">
        <w:t>на</w:t>
      </w:r>
      <w:r>
        <w:t>ст</w:t>
      </w:r>
      <w:r w:rsidR="00A56E08">
        <w:t>а</w:t>
      </w:r>
      <w:r>
        <w:t>в</w:t>
      </w:r>
      <w:r w:rsidR="00A56E08">
        <w:t>ника</w:t>
      </w:r>
      <w:r w:rsidR="004D1E15" w:rsidRPr="00F6340E">
        <w:t xml:space="preserve">, </w:t>
      </w:r>
      <w:r>
        <w:t>р</w:t>
      </w:r>
      <w:r w:rsidR="00A56E08">
        <w:t>оди</w:t>
      </w:r>
      <w:r>
        <w:t>т</w:t>
      </w:r>
      <w:r w:rsidR="00EE6AA2">
        <w:t>е</w:t>
      </w:r>
      <w:r w:rsidR="00A56E08">
        <w:t>љи</w:t>
      </w:r>
      <w:r w:rsidR="004D1E15" w:rsidRPr="00F6340E">
        <w:t xml:space="preserve"> </w:t>
      </w:r>
      <w:r w:rsidR="00A56E08">
        <w:t>и</w:t>
      </w:r>
      <w:r w:rsidR="004D1E15" w:rsidRPr="00F6340E">
        <w:t xml:space="preserve"> </w:t>
      </w:r>
      <w:r>
        <w:t>у</w:t>
      </w:r>
      <w:r w:rsidR="00A56E08">
        <w:t>ч</w:t>
      </w:r>
      <w:r w:rsidR="00EE6AA2">
        <w:t>е</w:t>
      </w:r>
      <w:r w:rsidR="00A56E08">
        <w:t>ници</w:t>
      </w:r>
      <w:r w:rsidR="004D1E15" w:rsidRPr="00F6340E">
        <w:t xml:space="preserve"> </w:t>
      </w:r>
      <w:r>
        <w:t>т</w:t>
      </w:r>
      <w:r w:rsidR="00A56E08">
        <w:t>акођ</w:t>
      </w:r>
      <w:r w:rsidR="00EE6AA2">
        <w:t>е</w:t>
      </w:r>
      <w:r w:rsidR="004D1E15" w:rsidRPr="00F6340E">
        <w:t xml:space="preserve"> </w:t>
      </w:r>
      <w:r w:rsidR="00A56E08">
        <w:t>имај</w:t>
      </w:r>
      <w:r>
        <w:t>у</w:t>
      </w:r>
      <w:r w:rsidR="004D1E15" w:rsidRPr="00F6340E">
        <w:t xml:space="preserve"> </w:t>
      </w:r>
      <w:r>
        <w:t>пр</w:t>
      </w:r>
      <w:r w:rsidR="00A56E08">
        <w:t>и</w:t>
      </w:r>
      <w:r>
        <w:t>ступ</w:t>
      </w:r>
      <w:r w:rsidR="004D1E15" w:rsidRPr="00F6340E">
        <w:t xml:space="preserve"> </w:t>
      </w:r>
      <w:r w:rsidR="00A56E08">
        <w:t>о</w:t>
      </w:r>
      <w:r>
        <w:t>с</w:t>
      </w:r>
      <w:r w:rsidR="00A56E08">
        <w:t>но</w:t>
      </w:r>
      <w:r>
        <w:t>в</w:t>
      </w:r>
      <w:r w:rsidR="00A56E08">
        <w:t>ним</w:t>
      </w:r>
      <w:r w:rsidR="004D1E15" w:rsidRPr="00F6340E">
        <w:t xml:space="preserve"> </w:t>
      </w:r>
      <w:r>
        <w:t>п</w:t>
      </w:r>
      <w:r w:rsidR="00A56E08">
        <w:t>одацима</w:t>
      </w:r>
      <w:r w:rsidR="004D1E15" w:rsidRPr="00F6340E">
        <w:t xml:space="preserve"> </w:t>
      </w:r>
      <w:r w:rsidR="00A56E08">
        <w:t>као</w:t>
      </w:r>
      <w:r w:rsidR="004D1E15" w:rsidRPr="00F6340E">
        <w:t xml:space="preserve"> </w:t>
      </w:r>
      <w:r>
        <w:t>шт</w:t>
      </w:r>
      <w:r w:rsidR="00A56E08">
        <w:t>о</w:t>
      </w:r>
      <w:r w:rsidR="004D1E15" w:rsidRPr="00F6340E">
        <w:t xml:space="preserve"> </w:t>
      </w:r>
      <w:r>
        <w:t>су</w:t>
      </w:r>
      <w:r w:rsidR="004D1E15" w:rsidRPr="00F6340E">
        <w:t xml:space="preserve"> </w:t>
      </w:r>
      <w:r>
        <w:t>п</w:t>
      </w:r>
      <w:r w:rsidR="00A56E08">
        <w:t>о</w:t>
      </w:r>
      <w:r>
        <w:t>ст</w:t>
      </w:r>
      <w:r w:rsidR="00A56E08">
        <w:t>игн</w:t>
      </w:r>
      <w:r>
        <w:t>у</w:t>
      </w:r>
      <w:r w:rsidR="00A56E08">
        <w:t>ћа</w:t>
      </w:r>
      <w:r w:rsidR="004D1E15" w:rsidRPr="00F6340E">
        <w:t xml:space="preserve"> </w:t>
      </w:r>
      <w:r>
        <w:t>у</w:t>
      </w:r>
      <w:r w:rsidR="00A56E08">
        <w:t>ч</w:t>
      </w:r>
      <w:r w:rsidR="00EE6AA2">
        <w:t>е</w:t>
      </w:r>
      <w:r w:rsidR="00A56E08">
        <w:t>ника</w:t>
      </w:r>
      <w:r w:rsidR="004D1E15" w:rsidRPr="00F6340E">
        <w:t xml:space="preserve">, </w:t>
      </w:r>
      <w:r w:rsidR="00A56E08">
        <w:t>и</w:t>
      </w:r>
      <w:r w:rsidR="00171F00">
        <w:t>з</w:t>
      </w:r>
      <w:r w:rsidR="00A56E08">
        <w:t>о</w:t>
      </w:r>
      <w:r>
        <w:t>ст</w:t>
      </w:r>
      <w:r w:rsidR="00A56E08">
        <w:t>анци</w:t>
      </w:r>
      <w:r w:rsidR="004D1E15" w:rsidRPr="00F6340E">
        <w:t xml:space="preserve">, </w:t>
      </w:r>
      <w:r w:rsidR="00A56E08">
        <w:t>наја</w:t>
      </w:r>
      <w:r>
        <w:t>в</w:t>
      </w:r>
      <w:r w:rsidR="00EE6AA2">
        <w:t>е</w:t>
      </w:r>
      <w:r w:rsidR="004D1E15" w:rsidRPr="00F6340E">
        <w:t xml:space="preserve"> </w:t>
      </w:r>
      <w:r>
        <w:t>п</w:t>
      </w:r>
      <w:r w:rsidR="00A56E08">
        <w:t>и</w:t>
      </w:r>
      <w:r>
        <w:t>с</w:t>
      </w:r>
      <w:r w:rsidR="00A56E08">
        <w:t>м</w:t>
      </w:r>
      <w:r w:rsidR="00EE6AA2">
        <w:t>е</w:t>
      </w:r>
      <w:r w:rsidR="00A56E08">
        <w:t>них</w:t>
      </w:r>
      <w:r w:rsidR="004D1E15" w:rsidRPr="00F6340E">
        <w:t xml:space="preserve"> </w:t>
      </w:r>
      <w:r>
        <w:t>пр</w:t>
      </w:r>
      <w:r w:rsidR="00A56E08">
        <w:t>о</w:t>
      </w:r>
      <w:r>
        <w:t>в</w:t>
      </w:r>
      <w:r w:rsidR="00A56E08">
        <w:t>ј</w:t>
      </w:r>
      <w:r w:rsidR="00EE6AA2">
        <w:t>е</w:t>
      </w:r>
      <w:r>
        <w:t>р</w:t>
      </w:r>
      <w:r w:rsidR="00A56E08">
        <w:t>а</w:t>
      </w:r>
      <w:r w:rsidR="004D1E15" w:rsidRPr="00F6340E">
        <w:t xml:space="preserve"> </w:t>
      </w:r>
      <w:r w:rsidR="00171F00">
        <w:t>з</w:t>
      </w:r>
      <w:r w:rsidR="00A56E08">
        <w:t>нања</w:t>
      </w:r>
      <w:r w:rsidR="004D1E15" w:rsidRPr="00F6340E">
        <w:t xml:space="preserve">, </w:t>
      </w:r>
      <w:r w:rsidR="00A56E08">
        <w:t>наја</w:t>
      </w:r>
      <w:r>
        <w:t>в</w:t>
      </w:r>
      <w:r w:rsidR="00EE6AA2">
        <w:t>е</w:t>
      </w:r>
      <w:r w:rsidR="004D1E15" w:rsidRPr="00F6340E">
        <w:t xml:space="preserve"> </w:t>
      </w:r>
      <w:r>
        <w:t>р</w:t>
      </w:r>
      <w:r w:rsidR="00A56E08">
        <w:t>оди</w:t>
      </w:r>
      <w:r>
        <w:t>т</w:t>
      </w:r>
      <w:r w:rsidR="00EE6AA2">
        <w:t>е</w:t>
      </w:r>
      <w:r w:rsidR="00A56E08">
        <w:t>љ</w:t>
      </w:r>
      <w:r>
        <w:t>с</w:t>
      </w:r>
      <w:r w:rsidR="00A56E08">
        <w:t>ких</w:t>
      </w:r>
      <w:r w:rsidR="004D1E15" w:rsidRPr="00F6340E">
        <w:t xml:space="preserve"> </w:t>
      </w:r>
      <w:r>
        <w:t>с</w:t>
      </w:r>
      <w:r w:rsidR="00A56E08">
        <w:t>а</w:t>
      </w:r>
      <w:r>
        <w:t>ст</w:t>
      </w:r>
      <w:r w:rsidR="00A56E08">
        <w:t>анака</w:t>
      </w:r>
      <w:r w:rsidR="004D1E15" w:rsidRPr="00F6340E">
        <w:t xml:space="preserve">, </w:t>
      </w:r>
      <w:r w:rsidR="00A56E08">
        <w:t>ком</w:t>
      </w:r>
      <w:r>
        <w:t>у</w:t>
      </w:r>
      <w:r w:rsidR="00A56E08">
        <w:t>никација</w:t>
      </w:r>
      <w:r w:rsidR="004D1E15" w:rsidRPr="00F6340E">
        <w:t xml:space="preserve"> </w:t>
      </w:r>
      <w:r>
        <w:t>с</w:t>
      </w:r>
      <w:r w:rsidR="00A56E08">
        <w:t>а</w:t>
      </w:r>
      <w:r w:rsidR="004D1E15" w:rsidRPr="00F6340E">
        <w:t xml:space="preserve"> </w:t>
      </w:r>
      <w:r w:rsidR="00A56E08">
        <w:t>на</w:t>
      </w:r>
      <w:r>
        <w:t>ст</w:t>
      </w:r>
      <w:r w:rsidR="00A56E08">
        <w:t>а</w:t>
      </w:r>
      <w:r>
        <w:t>в</w:t>
      </w:r>
      <w:r w:rsidR="00A56E08">
        <w:t>ницима</w:t>
      </w:r>
      <w:r w:rsidR="004D1E15" w:rsidRPr="00F6340E">
        <w:t xml:space="preserve"> </w:t>
      </w:r>
      <w:r w:rsidR="00A56E08">
        <w:t>и</w:t>
      </w:r>
      <w:r w:rsidR="004D1E15" w:rsidRPr="00F6340E">
        <w:t xml:space="preserve"> </w:t>
      </w:r>
      <w:r w:rsidR="00A56E08">
        <w:t>д</w:t>
      </w:r>
      <w:r>
        <w:t>ру</w:t>
      </w:r>
      <w:r w:rsidR="00A56E08">
        <w:t>г</w:t>
      </w:r>
      <w:r w:rsidR="00EE6AA2">
        <w:t>е</w:t>
      </w:r>
      <w:r w:rsidR="0016782E" w:rsidRPr="00F6340E">
        <w:t xml:space="preserve"> </w:t>
      </w:r>
      <w:r w:rsidR="00A56E08">
        <w:t>оба</w:t>
      </w:r>
      <w:r>
        <w:t>в</w:t>
      </w:r>
      <w:r w:rsidR="00A56E08">
        <w:t>иј</w:t>
      </w:r>
      <w:r w:rsidR="00EE6AA2">
        <w:t>е</w:t>
      </w:r>
      <w:r>
        <w:t>ст</w:t>
      </w:r>
      <w:r w:rsidR="00A56E08">
        <w:t>и</w:t>
      </w:r>
      <w:r w:rsidR="004D1E15" w:rsidRPr="00F6340E">
        <w:t xml:space="preserve">. </w:t>
      </w:r>
    </w:p>
    <w:p w14:paraId="04C2A7E7" w14:textId="70F6F2E2" w:rsidR="004D1E15" w:rsidRPr="00F6340E" w:rsidRDefault="0071360A" w:rsidP="000962EB">
      <w:pPr>
        <w:pStyle w:val="Heading3"/>
        <w:numPr>
          <w:ilvl w:val="2"/>
          <w:numId w:val="70"/>
        </w:numPr>
        <w:rPr>
          <w:lang w:val="sr-Cyrl-BA"/>
        </w:rPr>
      </w:pPr>
      <w:bookmarkStart w:id="47" w:name="_Toc119050329"/>
      <w:r>
        <w:rPr>
          <w:lang w:val="sr-Cyrl-BA"/>
        </w:rPr>
        <w:t>В</w:t>
      </w:r>
      <w:r w:rsidR="00A56E08">
        <w:rPr>
          <w:lang w:val="sr-Cyrl-BA"/>
        </w:rPr>
        <w:t>и</w:t>
      </w:r>
      <w:r>
        <w:rPr>
          <w:lang w:val="sr-Cyrl-BA"/>
        </w:rPr>
        <w:t>с</w:t>
      </w:r>
      <w:r w:rsidR="00A56E08">
        <w:rPr>
          <w:lang w:val="sr-Cyrl-BA"/>
        </w:rPr>
        <w:t>око</w:t>
      </w:r>
      <w:r w:rsidR="004D1E15" w:rsidRPr="00F6340E">
        <w:rPr>
          <w:lang w:val="sr-Cyrl-BA"/>
        </w:rPr>
        <w:t xml:space="preserve"> </w:t>
      </w:r>
      <w:r w:rsidR="00A56E08">
        <w:rPr>
          <w:lang w:val="sr-Cyrl-BA"/>
        </w:rPr>
        <w:t>об</w:t>
      </w:r>
      <w:r>
        <w:rPr>
          <w:lang w:val="sr-Cyrl-BA"/>
        </w:rPr>
        <w:t>р</w:t>
      </w:r>
      <w:r w:rsidR="00A56E08">
        <w:rPr>
          <w:lang w:val="sr-Cyrl-BA"/>
        </w:rPr>
        <w:t>а</w:t>
      </w:r>
      <w:r w:rsidR="00171F00">
        <w:rPr>
          <w:lang w:val="sr-Cyrl-BA"/>
        </w:rPr>
        <w:t>з</w:t>
      </w:r>
      <w:r w:rsidR="00A56E08">
        <w:rPr>
          <w:lang w:val="sr-Cyrl-BA"/>
        </w:rPr>
        <w:t>о</w:t>
      </w:r>
      <w:r>
        <w:rPr>
          <w:lang w:val="sr-Cyrl-BA"/>
        </w:rPr>
        <w:t>в</w:t>
      </w:r>
      <w:r w:rsidR="00A56E08">
        <w:rPr>
          <w:lang w:val="sr-Cyrl-BA"/>
        </w:rPr>
        <w:t>ањ</w:t>
      </w:r>
      <w:r w:rsidR="00EE6AA2">
        <w:rPr>
          <w:lang w:val="sr-Cyrl-BA"/>
        </w:rPr>
        <w:t>е</w:t>
      </w:r>
      <w:bookmarkEnd w:id="47"/>
    </w:p>
    <w:p w14:paraId="3AB003AA" w14:textId="4D8128B8" w:rsidR="004D1E15" w:rsidRPr="00F6340E" w:rsidRDefault="0071360A" w:rsidP="00115925">
      <w:pPr>
        <w:pStyle w:val="Body"/>
      </w:pPr>
      <w:r>
        <w:t>В</w:t>
      </w:r>
      <w:r w:rsidR="00A56E08">
        <w:t>и</w:t>
      </w:r>
      <w:r>
        <w:t>с</w:t>
      </w:r>
      <w:r w:rsidR="00A56E08">
        <w:t>око</w:t>
      </w:r>
      <w:r>
        <w:t>ш</w:t>
      </w:r>
      <w:r w:rsidR="00A56E08">
        <w:t>кол</w:t>
      </w:r>
      <w:r>
        <w:t>с</w:t>
      </w:r>
      <w:r w:rsidR="00A56E08">
        <w:t>к</w:t>
      </w:r>
      <w:r w:rsidR="00EE6AA2">
        <w:t>е</w:t>
      </w:r>
      <w:r w:rsidR="004D1E15" w:rsidRPr="00F6340E">
        <w:t xml:space="preserve"> </w:t>
      </w:r>
      <w:r w:rsidR="00A56E08">
        <w:t>ин</w:t>
      </w:r>
      <w:r>
        <w:t>ст</w:t>
      </w:r>
      <w:r w:rsidR="00A56E08">
        <w:t>и</w:t>
      </w:r>
      <w:r>
        <w:t>ту</w:t>
      </w:r>
      <w:r w:rsidR="00A56E08">
        <w:t>циј</w:t>
      </w:r>
      <w:r w:rsidR="00EE6AA2">
        <w:t>е</w:t>
      </w:r>
      <w:r w:rsidR="004D1E15" w:rsidRPr="00F6340E">
        <w:t xml:space="preserve"> </w:t>
      </w:r>
      <w:r>
        <w:t>су</w:t>
      </w:r>
      <w:r w:rsidR="004D1E15" w:rsidRPr="00F6340E">
        <w:t xml:space="preserve"> </w:t>
      </w:r>
      <w:r w:rsidR="00171F00">
        <w:t>з</w:t>
      </w:r>
      <w:r w:rsidR="00A56E08">
        <w:t>аконима</w:t>
      </w:r>
      <w:r w:rsidR="004D1E15" w:rsidRPr="00F6340E">
        <w:t xml:space="preserve"> </w:t>
      </w:r>
      <w:r w:rsidR="00A56E08">
        <w:t>оба</w:t>
      </w:r>
      <w:r>
        <w:t>в</w:t>
      </w:r>
      <w:r w:rsidR="00EE6AA2">
        <w:t>е</w:t>
      </w:r>
      <w:r w:rsidR="00171F00">
        <w:t>з</w:t>
      </w:r>
      <w:r w:rsidR="00A56E08">
        <w:t>н</w:t>
      </w:r>
      <w:r w:rsidR="00EE6AA2">
        <w:t>е</w:t>
      </w:r>
      <w:r w:rsidR="004D1E15" w:rsidRPr="00F6340E">
        <w:t xml:space="preserve"> </w:t>
      </w:r>
      <w:r w:rsidR="00A56E08">
        <w:t>к</w:t>
      </w:r>
      <w:r>
        <w:t>р</w:t>
      </w:r>
      <w:r w:rsidR="00EE6AA2">
        <w:t>е</w:t>
      </w:r>
      <w:r w:rsidR="00A56E08">
        <w:t>и</w:t>
      </w:r>
      <w:r>
        <w:t>р</w:t>
      </w:r>
      <w:r w:rsidR="00A56E08">
        <w:t>а</w:t>
      </w:r>
      <w:r>
        <w:t>т</w:t>
      </w:r>
      <w:r w:rsidR="00A56E08">
        <w:t>и</w:t>
      </w:r>
      <w:r w:rsidR="004D1E15" w:rsidRPr="00F6340E">
        <w:t xml:space="preserve"> </w:t>
      </w:r>
      <w:r w:rsidR="00A56E08">
        <w:t>ј</w:t>
      </w:r>
      <w:r w:rsidR="00EE6AA2">
        <w:t>е</w:t>
      </w:r>
      <w:r w:rsidR="00A56E08">
        <w:t>дин</w:t>
      </w:r>
      <w:r>
        <w:t>ств</w:t>
      </w:r>
      <w:r w:rsidR="00EE6AA2">
        <w:t>е</w:t>
      </w:r>
      <w:r w:rsidR="00A56E08">
        <w:t>ни</w:t>
      </w:r>
      <w:r w:rsidR="004D1E15" w:rsidRPr="00F6340E">
        <w:t xml:space="preserve"> </w:t>
      </w:r>
      <w:r w:rsidR="00A56E08">
        <w:t>инфо</w:t>
      </w:r>
      <w:r>
        <w:t>р</w:t>
      </w:r>
      <w:r w:rsidR="00A56E08">
        <w:t>ма</w:t>
      </w:r>
      <w:r>
        <w:t>т</w:t>
      </w:r>
      <w:r w:rsidR="00A56E08">
        <w:t>ички</w:t>
      </w:r>
      <w:r w:rsidR="004D1E15" w:rsidRPr="00F6340E">
        <w:t xml:space="preserve"> </w:t>
      </w:r>
      <w:r>
        <w:t>с</w:t>
      </w:r>
      <w:r w:rsidR="00A56E08">
        <w:t>и</w:t>
      </w:r>
      <w:r>
        <w:t>ст</w:t>
      </w:r>
      <w:r w:rsidR="00EE6AA2">
        <w:t>е</w:t>
      </w:r>
      <w:r w:rsidR="00A56E08">
        <w:t>м</w:t>
      </w:r>
      <w:r w:rsidR="004D1E15" w:rsidRPr="00F6340E">
        <w:t xml:space="preserve"> </w:t>
      </w:r>
      <w:r>
        <w:t>у</w:t>
      </w:r>
      <w:r w:rsidR="004D1E15" w:rsidRPr="00F6340E">
        <w:t xml:space="preserve"> </w:t>
      </w:r>
      <w:r w:rsidR="00A56E08">
        <w:t>кој</w:t>
      </w:r>
      <w:r w:rsidR="00EE6AA2">
        <w:t>е</w:t>
      </w:r>
      <w:r w:rsidR="00A56E08">
        <w:t>м</w:t>
      </w:r>
      <w:r w:rsidR="004D1E15" w:rsidRPr="00F6340E">
        <w:t xml:space="preserve"> </w:t>
      </w:r>
      <w:r>
        <w:t>с</w:t>
      </w:r>
      <w:r w:rsidR="00EE6AA2">
        <w:t>е</w:t>
      </w:r>
      <w:r w:rsidR="004D1E15" w:rsidRPr="00F6340E">
        <w:t xml:space="preserve"> </w:t>
      </w:r>
      <w:r w:rsidR="00A56E08">
        <w:t>нала</w:t>
      </w:r>
      <w:r w:rsidR="00171F00">
        <w:t>з</w:t>
      </w:r>
      <w:r w:rsidR="00EE6AA2">
        <w:t>е</w:t>
      </w:r>
      <w:r w:rsidR="004D1E15" w:rsidRPr="00F6340E">
        <w:t xml:space="preserve"> </w:t>
      </w:r>
      <w:r w:rsidR="00171F00">
        <w:t>з</w:t>
      </w:r>
      <w:r w:rsidR="00A56E08">
        <w:t>би</w:t>
      </w:r>
      <w:r>
        <w:t>р</w:t>
      </w:r>
      <w:r w:rsidR="00A56E08">
        <w:t>к</w:t>
      </w:r>
      <w:r w:rsidR="00EE6AA2">
        <w:t>е</w:t>
      </w:r>
      <w:r w:rsidR="004D1E15" w:rsidRPr="00F6340E">
        <w:t xml:space="preserve"> </w:t>
      </w:r>
      <w:r>
        <w:t>п</w:t>
      </w:r>
      <w:r w:rsidR="00A56E08">
        <w:t>ода</w:t>
      </w:r>
      <w:r>
        <w:t>т</w:t>
      </w:r>
      <w:r w:rsidR="00A56E08">
        <w:t>ака</w:t>
      </w:r>
      <w:r w:rsidR="004D1E15" w:rsidRPr="00F6340E">
        <w:t xml:space="preserve"> </w:t>
      </w:r>
      <w:r w:rsidR="00A56E08">
        <w:t>о</w:t>
      </w:r>
      <w:r w:rsidR="004D1E15" w:rsidRPr="00F6340E">
        <w:t xml:space="preserve"> </w:t>
      </w:r>
      <w:r>
        <w:t>сту</w:t>
      </w:r>
      <w:r w:rsidR="00A56E08">
        <w:t>д</w:t>
      </w:r>
      <w:r w:rsidR="00EE6AA2">
        <w:t>е</w:t>
      </w:r>
      <w:r w:rsidR="00A56E08">
        <w:t>н</w:t>
      </w:r>
      <w:r>
        <w:t>т</w:t>
      </w:r>
      <w:r w:rsidR="00A56E08">
        <w:t>има</w:t>
      </w:r>
      <w:r w:rsidR="004D1E15" w:rsidRPr="00F6340E">
        <w:t xml:space="preserve">, </w:t>
      </w:r>
      <w:r w:rsidR="00171F00">
        <w:t>з</w:t>
      </w:r>
      <w:r w:rsidR="00A56E08">
        <w:t>а</w:t>
      </w:r>
      <w:r>
        <w:t>п</w:t>
      </w:r>
      <w:r w:rsidR="00A56E08">
        <w:t>о</w:t>
      </w:r>
      <w:r>
        <w:t>с</w:t>
      </w:r>
      <w:r w:rsidR="00A56E08">
        <w:t>л</w:t>
      </w:r>
      <w:r w:rsidR="00EE6AA2">
        <w:t>е</w:t>
      </w:r>
      <w:r w:rsidR="00A56E08">
        <w:t>ницима</w:t>
      </w:r>
      <w:r w:rsidR="004D1E15" w:rsidRPr="00F6340E">
        <w:t xml:space="preserve"> </w:t>
      </w:r>
      <w:r w:rsidR="00A56E08">
        <w:t>и</w:t>
      </w:r>
      <w:r w:rsidR="004D1E15" w:rsidRPr="00F6340E">
        <w:t xml:space="preserve"> </w:t>
      </w:r>
      <w:r w:rsidR="00A56E08">
        <w:t>анга</w:t>
      </w:r>
      <w:r w:rsidR="00171F00">
        <w:t>ж</w:t>
      </w:r>
      <w:r w:rsidR="00A56E08">
        <w:t>о</w:t>
      </w:r>
      <w:r>
        <w:t>в</w:t>
      </w:r>
      <w:r w:rsidR="00A56E08">
        <w:t>аним</w:t>
      </w:r>
      <w:r w:rsidR="004D1E15" w:rsidRPr="00F6340E">
        <w:t xml:space="preserve"> </w:t>
      </w:r>
      <w:r w:rsidR="00A56E08">
        <w:t>о</w:t>
      </w:r>
      <w:r>
        <w:t>с</w:t>
      </w:r>
      <w:r w:rsidR="00A56E08">
        <w:t>обама</w:t>
      </w:r>
      <w:r w:rsidR="004D1E15" w:rsidRPr="00F6340E">
        <w:t xml:space="preserve">, </w:t>
      </w:r>
      <w:r w:rsidR="00A56E08">
        <w:t>на</w:t>
      </w:r>
      <w:r>
        <w:t>ст</w:t>
      </w:r>
      <w:r w:rsidR="00A56E08">
        <w:t>а</w:t>
      </w:r>
      <w:r>
        <w:t>в</w:t>
      </w:r>
      <w:r w:rsidR="00A56E08">
        <w:t>ном</w:t>
      </w:r>
      <w:r w:rsidR="004D1E15" w:rsidRPr="00F6340E">
        <w:t xml:space="preserve"> </w:t>
      </w:r>
      <w:r>
        <w:t>пр</w:t>
      </w:r>
      <w:r w:rsidR="00A56E08">
        <w:t>оц</w:t>
      </w:r>
      <w:r w:rsidR="00EE6AA2">
        <w:t>е</w:t>
      </w:r>
      <w:r>
        <w:t>су</w:t>
      </w:r>
      <w:r w:rsidR="004D1E15" w:rsidRPr="00F6340E">
        <w:t xml:space="preserve"> </w:t>
      </w:r>
      <w:r w:rsidR="00A56E08">
        <w:t>и</w:t>
      </w:r>
      <w:r w:rsidR="004D1E15" w:rsidRPr="00F6340E">
        <w:t xml:space="preserve"> </w:t>
      </w:r>
      <w:r w:rsidR="00A56E08">
        <w:t>на</w:t>
      </w:r>
      <w:r>
        <w:t>у</w:t>
      </w:r>
      <w:r w:rsidR="00A56E08">
        <w:t>чнои</w:t>
      </w:r>
      <w:r>
        <w:t>стр</w:t>
      </w:r>
      <w:r w:rsidR="00A56E08">
        <w:t>а</w:t>
      </w:r>
      <w:r w:rsidR="00171F00">
        <w:t>ж</w:t>
      </w:r>
      <w:r w:rsidR="00A56E08">
        <w:t>и</w:t>
      </w:r>
      <w:r>
        <w:t>в</w:t>
      </w:r>
      <w:r w:rsidR="00A56E08">
        <w:t>ачком</w:t>
      </w:r>
      <w:r w:rsidR="004D1E15" w:rsidRPr="00F6340E">
        <w:t xml:space="preserve"> </w:t>
      </w:r>
      <w:r>
        <w:t>р</w:t>
      </w:r>
      <w:r w:rsidR="00A56E08">
        <w:t>ад</w:t>
      </w:r>
      <w:r>
        <w:t>у</w:t>
      </w:r>
      <w:r w:rsidR="004D1E15" w:rsidRPr="00F6340E">
        <w:t xml:space="preserve">, </w:t>
      </w:r>
      <w:r>
        <w:t>т</w:t>
      </w:r>
      <w:r w:rsidR="00EE6AA2">
        <w:t>е</w:t>
      </w:r>
      <w:r w:rsidR="004D1E15" w:rsidRPr="00F6340E">
        <w:t xml:space="preserve"> </w:t>
      </w:r>
      <w:r w:rsidR="00A56E08">
        <w:t>имо</w:t>
      </w:r>
      <w:r>
        <w:t>в</w:t>
      </w:r>
      <w:r w:rsidR="00A56E08">
        <w:t>ини</w:t>
      </w:r>
      <w:r w:rsidR="004D1E15" w:rsidRPr="00F6340E">
        <w:t xml:space="preserve">, </w:t>
      </w:r>
      <w:r>
        <w:t>пр</w:t>
      </w:r>
      <w:r w:rsidR="00A56E08">
        <w:t>о</w:t>
      </w:r>
      <w:r>
        <w:t>ст</w:t>
      </w:r>
      <w:r w:rsidR="00A56E08">
        <w:t>о</w:t>
      </w:r>
      <w:r>
        <w:t>р</w:t>
      </w:r>
      <w:r w:rsidR="00A56E08">
        <w:t>ним</w:t>
      </w:r>
      <w:r w:rsidR="004D1E15" w:rsidRPr="00F6340E">
        <w:t xml:space="preserve"> </w:t>
      </w:r>
      <w:r w:rsidR="00A56E08">
        <w:t>и</w:t>
      </w:r>
      <w:r w:rsidR="004D1E15" w:rsidRPr="00F6340E">
        <w:t xml:space="preserve"> </w:t>
      </w:r>
      <w:r w:rsidR="00A56E08">
        <w:t>ма</w:t>
      </w:r>
      <w:r>
        <w:t>т</w:t>
      </w:r>
      <w:r w:rsidR="00EE6AA2">
        <w:t>е</w:t>
      </w:r>
      <w:r>
        <w:t>р</w:t>
      </w:r>
      <w:r w:rsidR="00A56E08">
        <w:t>ијално</w:t>
      </w:r>
      <w:r w:rsidR="004D1E15" w:rsidRPr="00F6340E">
        <w:t>-</w:t>
      </w:r>
      <w:r>
        <w:t>т</w:t>
      </w:r>
      <w:r w:rsidR="00EE6AA2">
        <w:t>е</w:t>
      </w:r>
      <w:r w:rsidR="00A56E08">
        <w:t>хничким</w:t>
      </w:r>
      <w:r w:rsidR="004D1E15" w:rsidRPr="00F6340E">
        <w:t xml:space="preserve"> </w:t>
      </w:r>
      <w:r w:rsidR="00A56E08">
        <w:t>ка</w:t>
      </w:r>
      <w:r>
        <w:t>п</w:t>
      </w:r>
      <w:r w:rsidR="00A56E08">
        <w:t>аци</w:t>
      </w:r>
      <w:r>
        <w:t>т</w:t>
      </w:r>
      <w:r w:rsidR="00EE6AA2">
        <w:t>е</w:t>
      </w:r>
      <w:r>
        <w:t>т</w:t>
      </w:r>
      <w:r w:rsidR="00A56E08">
        <w:t>има</w:t>
      </w:r>
      <w:r w:rsidR="004D1E15" w:rsidRPr="00F6340E">
        <w:t xml:space="preserve">. </w:t>
      </w:r>
      <w:r>
        <w:t>Т</w:t>
      </w:r>
      <w:r w:rsidR="00A56E08">
        <w:t>ака</w:t>
      </w:r>
      <w:r>
        <w:t>в</w:t>
      </w:r>
      <w:r w:rsidR="004D1E15" w:rsidRPr="00F6340E">
        <w:t xml:space="preserve"> </w:t>
      </w:r>
      <w:r>
        <w:t>с</w:t>
      </w:r>
      <w:r w:rsidR="00A56E08">
        <w:t>и</w:t>
      </w:r>
      <w:r>
        <w:t>ст</w:t>
      </w:r>
      <w:r w:rsidR="00EE6AA2">
        <w:t>е</w:t>
      </w:r>
      <w:r w:rsidR="00A56E08">
        <w:t>м</w:t>
      </w:r>
      <w:r w:rsidR="004D1E15" w:rsidRPr="00F6340E">
        <w:t xml:space="preserve"> </w:t>
      </w:r>
      <w:r w:rsidR="00A56E08">
        <w:t>би</w:t>
      </w:r>
      <w:r w:rsidR="004D1E15" w:rsidRPr="00F6340E">
        <w:t xml:space="preserve"> </w:t>
      </w:r>
      <w:r>
        <w:t>тр</w:t>
      </w:r>
      <w:r w:rsidR="00EE6AA2">
        <w:t>е</w:t>
      </w:r>
      <w:r w:rsidR="00A56E08">
        <w:t>бао</w:t>
      </w:r>
      <w:r w:rsidR="004D1E15" w:rsidRPr="00F6340E">
        <w:t xml:space="preserve"> </w:t>
      </w:r>
      <w:r w:rsidR="00A56E08">
        <w:t>о</w:t>
      </w:r>
      <w:r>
        <w:t>с</w:t>
      </w:r>
      <w:r w:rsidR="00A56E08">
        <w:t>иг</w:t>
      </w:r>
      <w:r>
        <w:t>ур</w:t>
      </w:r>
      <w:r w:rsidR="00A56E08">
        <w:t>а</w:t>
      </w:r>
      <w:r>
        <w:t>т</w:t>
      </w:r>
      <w:r w:rsidR="00A56E08">
        <w:t>и</w:t>
      </w:r>
      <w:r w:rsidR="004D1E15" w:rsidRPr="00F6340E">
        <w:t xml:space="preserve"> </w:t>
      </w:r>
      <w:r w:rsidR="00A56E08">
        <w:t>ин</w:t>
      </w:r>
      <w:r>
        <w:t>т</w:t>
      </w:r>
      <w:r w:rsidR="00EE6AA2">
        <w:t>е</w:t>
      </w:r>
      <w:r w:rsidR="00A56E08">
        <w:t>г</w:t>
      </w:r>
      <w:r>
        <w:t>р</w:t>
      </w:r>
      <w:r w:rsidR="00A56E08">
        <w:t>и</w:t>
      </w:r>
      <w:r>
        <w:t>с</w:t>
      </w:r>
      <w:r w:rsidR="00A56E08">
        <w:t>ани</w:t>
      </w:r>
      <w:r w:rsidR="004D1E15" w:rsidRPr="00F6340E">
        <w:t xml:space="preserve"> </w:t>
      </w:r>
      <w:r>
        <w:t>р</w:t>
      </w:r>
      <w:r w:rsidR="00EE6AA2">
        <w:t>е</w:t>
      </w:r>
      <w:r>
        <w:t>сурс</w:t>
      </w:r>
      <w:r w:rsidR="004D1E15" w:rsidRPr="00F6340E">
        <w:t xml:space="preserve"> </w:t>
      </w:r>
      <w:r>
        <w:t>п</w:t>
      </w:r>
      <w:r w:rsidR="00A56E08">
        <w:t>ода</w:t>
      </w:r>
      <w:r>
        <w:t>т</w:t>
      </w:r>
      <w:r w:rsidR="00A56E08">
        <w:t>ака</w:t>
      </w:r>
      <w:r w:rsidR="004D1E15" w:rsidRPr="00F6340E">
        <w:t xml:space="preserve">, </w:t>
      </w:r>
      <w:r w:rsidR="00A56E08">
        <w:t>који</w:t>
      </w:r>
      <w:r w:rsidR="004D1E15" w:rsidRPr="00F6340E">
        <w:t xml:space="preserve"> </w:t>
      </w:r>
      <w:r>
        <w:t>с</w:t>
      </w:r>
      <w:r w:rsidR="00EE6AA2">
        <w:t>е</w:t>
      </w:r>
      <w:r w:rsidR="004D1E15" w:rsidRPr="00F6340E">
        <w:t xml:space="preserve"> </w:t>
      </w:r>
      <w:r w:rsidR="00A56E08">
        <w:t>о</w:t>
      </w:r>
      <w:r>
        <w:t>р</w:t>
      </w:r>
      <w:r w:rsidR="00A56E08">
        <w:t>гани</w:t>
      </w:r>
      <w:r w:rsidR="00171F00">
        <w:t>з</w:t>
      </w:r>
      <w:r>
        <w:t>у</w:t>
      </w:r>
      <w:r w:rsidR="00A56E08">
        <w:t>ј</w:t>
      </w:r>
      <w:r w:rsidR="00EE6AA2">
        <w:t>е</w:t>
      </w:r>
      <w:r w:rsidR="00D343A7" w:rsidRPr="00F6340E">
        <w:t xml:space="preserve"> </w:t>
      </w:r>
      <w:r w:rsidR="00A56E08">
        <w:t>на</w:t>
      </w:r>
      <w:r w:rsidR="004D1E15" w:rsidRPr="00F6340E">
        <w:t xml:space="preserve"> </w:t>
      </w:r>
      <w:r w:rsidR="00A56E08">
        <w:t>нај</w:t>
      </w:r>
      <w:r w:rsidR="00EE6AA2">
        <w:t>е</w:t>
      </w:r>
      <w:r w:rsidR="00A56E08">
        <w:t>ф</w:t>
      </w:r>
      <w:r w:rsidR="00EE6AA2">
        <w:t>е</w:t>
      </w:r>
      <w:r w:rsidR="00A56E08">
        <w:t>к</w:t>
      </w:r>
      <w:r>
        <w:t>т</w:t>
      </w:r>
      <w:r w:rsidR="00A56E08">
        <w:t>и</w:t>
      </w:r>
      <w:r>
        <w:t>в</w:t>
      </w:r>
      <w:r w:rsidR="00A56E08">
        <w:t>нији</w:t>
      </w:r>
      <w:r w:rsidR="004D1E15" w:rsidRPr="00F6340E">
        <w:t xml:space="preserve"> </w:t>
      </w:r>
      <w:r w:rsidR="00A56E08">
        <w:t>и</w:t>
      </w:r>
      <w:r w:rsidR="004D1E15" w:rsidRPr="00F6340E">
        <w:t xml:space="preserve"> </w:t>
      </w:r>
      <w:r w:rsidR="00A56E08">
        <w:t>нај</w:t>
      </w:r>
      <w:r w:rsidR="00EE6AA2">
        <w:t>е</w:t>
      </w:r>
      <w:r w:rsidR="00A56E08">
        <w:t>фика</w:t>
      </w:r>
      <w:r>
        <w:t>с</w:t>
      </w:r>
      <w:r w:rsidR="00A56E08">
        <w:t>нији</w:t>
      </w:r>
      <w:r w:rsidR="004D1E15" w:rsidRPr="00F6340E">
        <w:t xml:space="preserve"> </w:t>
      </w:r>
      <w:r w:rsidR="00A56E08">
        <w:t>начин</w:t>
      </w:r>
      <w:r w:rsidR="004D1E15" w:rsidRPr="00F6340E">
        <w:t xml:space="preserve"> </w:t>
      </w:r>
      <w:r>
        <w:t>у</w:t>
      </w:r>
      <w:r w:rsidR="00E864CA" w:rsidRPr="00F6340E">
        <w:t xml:space="preserve"> </w:t>
      </w:r>
      <w:r>
        <w:t>с</w:t>
      </w:r>
      <w:r w:rsidR="00A56E08">
        <w:t>клад</w:t>
      </w:r>
      <w:r>
        <w:t>у</w:t>
      </w:r>
      <w:r w:rsidR="00B04FA8">
        <w:t xml:space="preserve"> са </w:t>
      </w:r>
      <w:r w:rsidR="00A56E08">
        <w:t>о</w:t>
      </w:r>
      <w:r>
        <w:t>с</w:t>
      </w:r>
      <w:r w:rsidR="00A56E08">
        <w:t>но</w:t>
      </w:r>
      <w:r>
        <w:t>в</w:t>
      </w:r>
      <w:r w:rsidR="00A56E08">
        <w:t>ама</w:t>
      </w:r>
      <w:r w:rsidR="004D1E15" w:rsidRPr="00F6340E">
        <w:t xml:space="preserve"> </w:t>
      </w:r>
      <w:r>
        <w:lastRenderedPageBreak/>
        <w:t>с</w:t>
      </w:r>
      <w:r w:rsidR="00A56E08">
        <w:t>оф</w:t>
      </w:r>
      <w:r>
        <w:t>тв</w:t>
      </w:r>
      <w:r w:rsidR="00EE6AA2">
        <w:t>е</w:t>
      </w:r>
      <w:r>
        <w:t>рс</w:t>
      </w:r>
      <w:r w:rsidR="00A56E08">
        <w:t>ког</w:t>
      </w:r>
      <w:r w:rsidR="004D1E15" w:rsidRPr="00F6340E">
        <w:t xml:space="preserve"> </w:t>
      </w:r>
      <w:r w:rsidR="00A56E08">
        <w:t>ин</w:t>
      </w:r>
      <w:r w:rsidR="00171F00">
        <w:t>ж</w:t>
      </w:r>
      <w:r w:rsidR="00EE6AA2">
        <w:t>е</w:t>
      </w:r>
      <w:r w:rsidR="00A56E08">
        <w:t>њ</w:t>
      </w:r>
      <w:r w:rsidR="00EE6AA2">
        <w:t>е</w:t>
      </w:r>
      <w:r>
        <w:t>р</w:t>
      </w:r>
      <w:r w:rsidR="00A56E08">
        <w:t>инга</w:t>
      </w:r>
      <w:r w:rsidR="004D1E15" w:rsidRPr="00F6340E">
        <w:t xml:space="preserve">, </w:t>
      </w:r>
      <w:r w:rsidR="00A56E08">
        <w:t>а</w:t>
      </w:r>
      <w:r w:rsidR="004D1E15" w:rsidRPr="00F6340E">
        <w:t xml:space="preserve"> </w:t>
      </w:r>
      <w:r>
        <w:t>у</w:t>
      </w:r>
      <w:r w:rsidR="004D1E15" w:rsidRPr="00F6340E">
        <w:t xml:space="preserve"> </w:t>
      </w:r>
      <w:r>
        <w:t>свр</w:t>
      </w:r>
      <w:r w:rsidR="00A56E08">
        <w:t>х</w:t>
      </w:r>
      <w:r>
        <w:t>у</w:t>
      </w:r>
      <w:r w:rsidR="004D1E15" w:rsidRPr="00F6340E">
        <w:t xml:space="preserve"> </w:t>
      </w:r>
      <w:r>
        <w:t>усп</w:t>
      </w:r>
      <w:r w:rsidR="00A56E08">
        <w:t>ј</w:t>
      </w:r>
      <w:r w:rsidR="00EE6AA2">
        <w:t>е</w:t>
      </w:r>
      <w:r>
        <w:t>ш</w:t>
      </w:r>
      <w:r w:rsidR="00A56E08">
        <w:t>ног</w:t>
      </w:r>
      <w:r w:rsidR="004D1E15" w:rsidRPr="00F6340E">
        <w:t xml:space="preserve"> </w:t>
      </w:r>
      <w:r w:rsidR="00A56E08">
        <w:t>и</w:t>
      </w:r>
      <w:r w:rsidR="00171F00">
        <w:t>з</w:t>
      </w:r>
      <w:r>
        <w:t>врш</w:t>
      </w:r>
      <w:r w:rsidR="00A56E08">
        <w:t>а</w:t>
      </w:r>
      <w:r>
        <w:t>в</w:t>
      </w:r>
      <w:r w:rsidR="00A56E08">
        <w:t>ања</w:t>
      </w:r>
      <w:r w:rsidR="004D1E15" w:rsidRPr="00F6340E">
        <w:t xml:space="preserve"> </w:t>
      </w:r>
      <w:r w:rsidR="00171F00">
        <w:t>з</w:t>
      </w:r>
      <w:r w:rsidR="00A56E08">
        <w:t>ада</w:t>
      </w:r>
      <w:r>
        <w:t>т</w:t>
      </w:r>
      <w:r w:rsidR="00A56E08">
        <w:t>ака</w:t>
      </w:r>
      <w:r w:rsidR="004D1E15" w:rsidRPr="00F6340E">
        <w:t xml:space="preserve"> </w:t>
      </w:r>
      <w:r w:rsidR="00A56E08">
        <w:t>надл</w:t>
      </w:r>
      <w:r w:rsidR="00EE6AA2">
        <w:t>е</w:t>
      </w:r>
      <w:r w:rsidR="00171F00">
        <w:t>ж</w:t>
      </w:r>
      <w:r w:rsidR="00A56E08">
        <w:t>них</w:t>
      </w:r>
      <w:r w:rsidR="004D1E15" w:rsidRPr="00F6340E">
        <w:t xml:space="preserve"> </w:t>
      </w:r>
      <w:r w:rsidR="00A56E08">
        <w:t>об</w:t>
      </w:r>
      <w:r>
        <w:t>р</w:t>
      </w:r>
      <w:r w:rsidR="00A56E08">
        <w:t>а</w:t>
      </w:r>
      <w:r w:rsidR="00171F00">
        <w:t>з</w:t>
      </w:r>
      <w:r w:rsidR="00A56E08">
        <w:t>о</w:t>
      </w:r>
      <w:r>
        <w:t>в</w:t>
      </w:r>
      <w:r w:rsidR="00A56E08">
        <w:t>них</w:t>
      </w:r>
      <w:r w:rsidR="004D1E15" w:rsidRPr="00F6340E">
        <w:t xml:space="preserve"> </w:t>
      </w:r>
      <w:r>
        <w:t>в</w:t>
      </w:r>
      <w:r w:rsidR="00A56E08">
        <w:t>ла</w:t>
      </w:r>
      <w:r>
        <w:t>ст</w:t>
      </w:r>
      <w:r w:rsidR="00A56E08">
        <w:t>и</w:t>
      </w:r>
      <w:r w:rsidR="004D1E15" w:rsidRPr="00F6340E">
        <w:t xml:space="preserve">, </w:t>
      </w:r>
      <w:r w:rsidR="00A56E08">
        <w:t>као</w:t>
      </w:r>
      <w:r w:rsidR="004D1E15" w:rsidRPr="00F6340E">
        <w:t xml:space="preserve"> </w:t>
      </w:r>
      <w:r w:rsidR="00A56E08">
        <w:t>и</w:t>
      </w:r>
      <w:r w:rsidR="004D1E15" w:rsidRPr="00F6340E">
        <w:t xml:space="preserve"> </w:t>
      </w:r>
      <w:r w:rsidR="00A56E08">
        <w:t>надл</w:t>
      </w:r>
      <w:r w:rsidR="00EE6AA2">
        <w:t>е</w:t>
      </w:r>
      <w:r w:rsidR="00171F00">
        <w:t>ж</w:t>
      </w:r>
      <w:r w:rsidR="00A56E08">
        <w:t>них</w:t>
      </w:r>
      <w:r w:rsidR="004D1E15" w:rsidRPr="00F6340E">
        <w:t xml:space="preserve"> </w:t>
      </w:r>
      <w:r>
        <w:t>т</w:t>
      </w:r>
      <w:r w:rsidR="00A56E08">
        <w:t>иј</w:t>
      </w:r>
      <w:r w:rsidR="00EE6AA2">
        <w:t>е</w:t>
      </w:r>
      <w:r w:rsidR="00A56E08">
        <w:t>ла</w:t>
      </w:r>
      <w:r w:rsidR="004D1E15" w:rsidRPr="00F6340E">
        <w:t xml:space="preserve"> </w:t>
      </w:r>
      <w:r>
        <w:t>в</w:t>
      </w:r>
      <w:r w:rsidR="00A56E08">
        <w:t>и</w:t>
      </w:r>
      <w:r>
        <w:t>с</w:t>
      </w:r>
      <w:r w:rsidR="00A56E08">
        <w:t>око</w:t>
      </w:r>
      <w:r>
        <w:t>ш</w:t>
      </w:r>
      <w:r w:rsidR="00A56E08">
        <w:t>кол</w:t>
      </w:r>
      <w:r>
        <w:t>с</w:t>
      </w:r>
      <w:r w:rsidR="00A56E08">
        <w:t>к</w:t>
      </w:r>
      <w:r w:rsidR="00EE6AA2">
        <w:t>е</w:t>
      </w:r>
      <w:r w:rsidR="004D1E15" w:rsidRPr="00F6340E">
        <w:t xml:space="preserve"> </w:t>
      </w:r>
      <w:r w:rsidR="00A56E08">
        <w:t>ин</w:t>
      </w:r>
      <w:r>
        <w:t>ст</w:t>
      </w:r>
      <w:r w:rsidR="00A56E08">
        <w:t>и</w:t>
      </w:r>
      <w:r>
        <w:t>ту</w:t>
      </w:r>
      <w:r w:rsidR="00A56E08">
        <w:t>циј</w:t>
      </w:r>
      <w:r w:rsidR="00EE6AA2">
        <w:t>е</w:t>
      </w:r>
      <w:r w:rsidR="004D1E15" w:rsidRPr="00F6340E">
        <w:t xml:space="preserve"> </w:t>
      </w:r>
      <w:r>
        <w:t>у</w:t>
      </w:r>
      <w:r w:rsidR="004D1E15" w:rsidRPr="00F6340E">
        <w:t xml:space="preserve"> </w:t>
      </w:r>
      <w:r w:rsidR="00A56E08">
        <w:t>ок</w:t>
      </w:r>
      <w:r>
        <w:t>в</w:t>
      </w:r>
      <w:r w:rsidR="00A56E08">
        <w:t>и</w:t>
      </w:r>
      <w:r>
        <w:t>ру</w:t>
      </w:r>
      <w:r w:rsidR="004D1E15" w:rsidRPr="00F6340E">
        <w:t xml:space="preserve"> </w:t>
      </w:r>
      <w:r>
        <w:t>утвр</w:t>
      </w:r>
      <w:r w:rsidR="00A56E08">
        <w:t>ђ</w:t>
      </w:r>
      <w:r w:rsidR="00EE6AA2">
        <w:t>е</w:t>
      </w:r>
      <w:r w:rsidR="00A56E08">
        <w:t>них</w:t>
      </w:r>
      <w:r w:rsidR="004D1E15" w:rsidRPr="00F6340E">
        <w:t xml:space="preserve"> </w:t>
      </w:r>
      <w:r w:rsidR="00A56E08">
        <w:t>надл</w:t>
      </w:r>
      <w:r w:rsidR="00EE6AA2">
        <w:t>е</w:t>
      </w:r>
      <w:r w:rsidR="00171F00">
        <w:t>ж</w:t>
      </w:r>
      <w:r w:rsidR="00A56E08">
        <w:t>но</w:t>
      </w:r>
      <w:r>
        <w:t>ст</w:t>
      </w:r>
      <w:r w:rsidR="00A56E08">
        <w:t>и</w:t>
      </w:r>
      <w:r w:rsidR="004D1E15" w:rsidRPr="00F6340E">
        <w:t xml:space="preserve">. </w:t>
      </w:r>
      <w:r>
        <w:t>П</w:t>
      </w:r>
      <w:r w:rsidR="00A56E08">
        <w:t>о</w:t>
      </w:r>
      <w:r>
        <w:t>ст</w:t>
      </w:r>
      <w:r w:rsidR="00A56E08">
        <w:t>ој</w:t>
      </w:r>
      <w:r w:rsidR="00EE6AA2">
        <w:t>е</w:t>
      </w:r>
      <w:r w:rsidR="004D1E15" w:rsidRPr="00F6340E">
        <w:t xml:space="preserve"> </w:t>
      </w:r>
      <w:r>
        <w:t>пр</w:t>
      </w:r>
      <w:r w:rsidR="00A56E08">
        <w:t>имј</w:t>
      </w:r>
      <w:r w:rsidR="00EE6AA2">
        <w:t>е</w:t>
      </w:r>
      <w:r>
        <w:t>р</w:t>
      </w:r>
      <w:r w:rsidR="00A56E08">
        <w:t>и</w:t>
      </w:r>
      <w:r w:rsidR="004D1E15" w:rsidRPr="00F6340E">
        <w:t xml:space="preserve"> </w:t>
      </w:r>
      <w:r w:rsidR="00A56E08">
        <w:t>доб</w:t>
      </w:r>
      <w:r>
        <w:t>р</w:t>
      </w:r>
      <w:r w:rsidR="00EE6AA2">
        <w:t>е</w:t>
      </w:r>
      <w:r w:rsidR="004D1E15" w:rsidRPr="00F6340E">
        <w:t xml:space="preserve"> </w:t>
      </w:r>
      <w:r>
        <w:t>пр</w:t>
      </w:r>
      <w:r w:rsidR="00A56E08">
        <w:t>ак</w:t>
      </w:r>
      <w:r>
        <w:t>с</w:t>
      </w:r>
      <w:r w:rsidR="00EE6AA2">
        <w:t>е</w:t>
      </w:r>
      <w:r w:rsidR="004D1E15" w:rsidRPr="00F6340E">
        <w:t xml:space="preserve"> </w:t>
      </w:r>
      <w:r>
        <w:t>усп</w:t>
      </w:r>
      <w:r w:rsidR="00A56E08">
        <w:t>о</w:t>
      </w:r>
      <w:r>
        <w:t>ст</w:t>
      </w:r>
      <w:r w:rsidR="00A56E08">
        <w:t>а</w:t>
      </w:r>
      <w:r>
        <w:t>в</w:t>
      </w:r>
      <w:r w:rsidR="00A56E08">
        <w:t>љ</w:t>
      </w:r>
      <w:r w:rsidR="00EE6AA2">
        <w:t>е</w:t>
      </w:r>
      <w:r w:rsidR="00A56E08">
        <w:t>них</w:t>
      </w:r>
      <w:r w:rsidR="004D1E15" w:rsidRPr="00F6340E">
        <w:t xml:space="preserve"> </w:t>
      </w:r>
      <w:r w:rsidR="00A56E08">
        <w:t>инфо</w:t>
      </w:r>
      <w:r>
        <w:t>р</w:t>
      </w:r>
      <w:r w:rsidR="00A56E08">
        <w:t>ма</w:t>
      </w:r>
      <w:r>
        <w:t>т</w:t>
      </w:r>
      <w:r w:rsidR="00A56E08">
        <w:t>ичких</w:t>
      </w:r>
      <w:r w:rsidR="004D1E15" w:rsidRPr="00F6340E">
        <w:t xml:space="preserve"> </w:t>
      </w:r>
      <w:r>
        <w:t>с</w:t>
      </w:r>
      <w:r w:rsidR="00A56E08">
        <w:t>и</w:t>
      </w:r>
      <w:r>
        <w:t>ст</w:t>
      </w:r>
      <w:r w:rsidR="00EE6AA2">
        <w:t>е</w:t>
      </w:r>
      <w:r w:rsidR="00A56E08">
        <w:t>ма</w:t>
      </w:r>
      <w:r w:rsidR="004D1E15" w:rsidRPr="00F6340E">
        <w:t xml:space="preserve"> </w:t>
      </w:r>
      <w:r>
        <w:t>у</w:t>
      </w:r>
      <w:r w:rsidR="004D1E15" w:rsidRPr="00F6340E">
        <w:t xml:space="preserve"> </w:t>
      </w:r>
      <w:r w:rsidR="00A56E08">
        <w:t>БиХ</w:t>
      </w:r>
      <w:r w:rsidR="004D1E15" w:rsidRPr="00F6340E">
        <w:t xml:space="preserve">, </w:t>
      </w:r>
      <w:r w:rsidR="00A56E08">
        <w:t>али</w:t>
      </w:r>
      <w:r w:rsidR="004D1E15" w:rsidRPr="00F6340E">
        <w:t xml:space="preserve"> </w:t>
      </w:r>
      <w:r w:rsidR="00A56E08">
        <w:t>и</w:t>
      </w:r>
      <w:r w:rsidR="004D1E15" w:rsidRPr="00F6340E">
        <w:t xml:space="preserve"> </w:t>
      </w:r>
      <w:r w:rsidR="00A56E08">
        <w:t>оних</w:t>
      </w:r>
      <w:r w:rsidR="004D1E15" w:rsidRPr="00F6340E">
        <w:t xml:space="preserve"> </w:t>
      </w:r>
      <w:r w:rsidR="00A56E08">
        <w:t>којима</w:t>
      </w:r>
      <w:r w:rsidR="004D1E15" w:rsidRPr="00F6340E">
        <w:t xml:space="preserve"> </w:t>
      </w:r>
      <w:r w:rsidR="00A56E08">
        <w:t>ј</w:t>
      </w:r>
      <w:r w:rsidR="00EE6AA2">
        <w:t>е</w:t>
      </w:r>
      <w:r w:rsidR="004D1E15" w:rsidRPr="00F6340E">
        <w:t xml:space="preserve"> </w:t>
      </w:r>
      <w:r>
        <w:t>п</w:t>
      </w:r>
      <w:r w:rsidR="00A56E08">
        <w:t>о</w:t>
      </w:r>
      <w:r>
        <w:t>тр</w:t>
      </w:r>
      <w:r w:rsidR="00EE6AA2">
        <w:t>е</w:t>
      </w:r>
      <w:r w:rsidR="00A56E08">
        <w:t>бна</w:t>
      </w:r>
      <w:r w:rsidR="00CD7F5F" w:rsidRPr="00F6340E">
        <w:t xml:space="preserve"> </w:t>
      </w:r>
      <w:r>
        <w:t>р</w:t>
      </w:r>
      <w:r w:rsidR="00EE6AA2">
        <w:t>е</w:t>
      </w:r>
      <w:r>
        <w:t>в</w:t>
      </w:r>
      <w:r w:rsidR="00A56E08">
        <w:t>и</w:t>
      </w:r>
      <w:r>
        <w:t>т</w:t>
      </w:r>
      <w:r w:rsidR="00A56E08">
        <w:t>али</w:t>
      </w:r>
      <w:r w:rsidR="00171F00">
        <w:t>з</w:t>
      </w:r>
      <w:r w:rsidR="00A56E08">
        <w:t>ација</w:t>
      </w:r>
      <w:r w:rsidR="004D1E15" w:rsidRPr="00F6340E">
        <w:t xml:space="preserve"> </w:t>
      </w:r>
      <w:r w:rsidR="00A56E08">
        <w:t>и</w:t>
      </w:r>
      <w:r w:rsidR="004D1E15" w:rsidRPr="00F6340E">
        <w:t xml:space="preserve"> </w:t>
      </w:r>
      <w:r w:rsidR="00A56E08">
        <w:t>а</w:t>
      </w:r>
      <w:r w:rsidR="00171F00">
        <w:t>ж</w:t>
      </w:r>
      <w:r>
        <w:t>ур</w:t>
      </w:r>
      <w:r w:rsidR="00A56E08">
        <w:t>и</w:t>
      </w:r>
      <w:r>
        <w:t>р</w:t>
      </w:r>
      <w:r w:rsidR="00A56E08">
        <w:t>ањ</w:t>
      </w:r>
      <w:r w:rsidR="00EE6AA2">
        <w:t>е</w:t>
      </w:r>
      <w:r w:rsidR="004D1E15" w:rsidRPr="00F6340E">
        <w:t xml:space="preserve">. </w:t>
      </w:r>
      <w:r w:rsidR="004D1E15" w:rsidRPr="00F6340E">
        <w:rPr>
          <w:rStyle w:val="FootnoteReference"/>
          <w:rFonts w:cs="Arial"/>
          <w:noProof w:val="0"/>
          <w:color w:val="000000" w:themeColor="text1"/>
        </w:rPr>
        <w:footnoteReference w:id="24"/>
      </w:r>
    </w:p>
    <w:p w14:paraId="0D8953D2" w14:textId="65210ACE" w:rsidR="004D1E15" w:rsidRPr="00F6340E" w:rsidRDefault="00171F00" w:rsidP="00115925">
      <w:pPr>
        <w:pStyle w:val="Body"/>
      </w:pPr>
      <w:r>
        <w:t>З</w:t>
      </w:r>
      <w:r w:rsidR="00A56E08">
        <w:t>а</w:t>
      </w:r>
      <w:r w:rsidR="004D1E15" w:rsidRPr="00F6340E">
        <w:t xml:space="preserve"> </w:t>
      </w:r>
      <w:r w:rsidR="00A56E08">
        <w:t>н</w:t>
      </w:r>
      <w:r w:rsidR="00EE6AA2">
        <w:t>е</w:t>
      </w:r>
      <w:r w:rsidR="0071360A">
        <w:t>с</w:t>
      </w:r>
      <w:r w:rsidR="00A56E08">
        <w:t>м</w:t>
      </w:r>
      <w:r w:rsidR="00EE6AA2">
        <w:t>е</w:t>
      </w:r>
      <w:r w:rsidR="0071360A">
        <w:t>т</w:t>
      </w:r>
      <w:r w:rsidR="00A56E08">
        <w:t>ан</w:t>
      </w:r>
      <w:r w:rsidR="0071360A">
        <w:t>у</w:t>
      </w:r>
      <w:r w:rsidR="004D1E15" w:rsidRPr="00F6340E">
        <w:t xml:space="preserve"> </w:t>
      </w:r>
      <w:r w:rsidR="00A56E08">
        <w:t>ф</w:t>
      </w:r>
      <w:r w:rsidR="0071360A">
        <w:t>у</w:t>
      </w:r>
      <w:r w:rsidR="00A56E08">
        <w:t>нкционално</w:t>
      </w:r>
      <w:r w:rsidR="0071360A">
        <w:t>ст</w:t>
      </w:r>
      <w:r w:rsidR="004D1E15" w:rsidRPr="00F6340E">
        <w:t xml:space="preserve"> </w:t>
      </w:r>
      <w:r w:rsidR="00EE6AA2">
        <w:t>Е</w:t>
      </w:r>
      <w:r w:rsidR="00A56E08">
        <w:t>МИ</w:t>
      </w:r>
      <w:r w:rsidR="0071360A">
        <w:t>С</w:t>
      </w:r>
      <w:r w:rsidR="004D1E15" w:rsidRPr="00F6340E">
        <w:t>-</w:t>
      </w:r>
      <w:r w:rsidR="00A56E08">
        <w:t>а</w:t>
      </w:r>
      <w:r w:rsidR="004D1E15" w:rsidRPr="00F6340E">
        <w:t xml:space="preserve"> </w:t>
      </w:r>
      <w:r w:rsidR="00A56E08">
        <w:t>као</w:t>
      </w:r>
      <w:r w:rsidR="004D1E15" w:rsidRPr="00F6340E">
        <w:t xml:space="preserve"> </w:t>
      </w:r>
      <w:r w:rsidR="00A56E08">
        <w:t>и</w:t>
      </w:r>
      <w:r w:rsidR="004D1E15" w:rsidRPr="00F6340E">
        <w:t xml:space="preserve"> </w:t>
      </w:r>
      <w:r w:rsidR="0071360A">
        <w:t>св</w:t>
      </w:r>
      <w:r w:rsidR="00A56E08">
        <w:t>их</w:t>
      </w:r>
      <w:r w:rsidR="004D1E15" w:rsidRPr="00F6340E">
        <w:t xml:space="preserve"> </w:t>
      </w:r>
      <w:r w:rsidR="00A56E08">
        <w:t>д</w:t>
      </w:r>
      <w:r w:rsidR="0071360A">
        <w:t>ру</w:t>
      </w:r>
      <w:r w:rsidR="00A56E08">
        <w:t>гих</w:t>
      </w:r>
      <w:r w:rsidR="004D1E15" w:rsidRPr="00F6340E">
        <w:t xml:space="preserve"> </w:t>
      </w:r>
      <w:r w:rsidR="00A56E08">
        <w:t>инфо</w:t>
      </w:r>
      <w:r w:rsidR="0071360A">
        <w:t>р</w:t>
      </w:r>
      <w:r w:rsidR="00A56E08">
        <w:t>ма</w:t>
      </w:r>
      <w:r w:rsidR="0071360A">
        <w:t>т</w:t>
      </w:r>
      <w:r w:rsidR="00A56E08">
        <w:t>ичких</w:t>
      </w:r>
      <w:r w:rsidR="004D1E15" w:rsidRPr="00F6340E">
        <w:t xml:space="preserve"> </w:t>
      </w:r>
      <w:r w:rsidR="0071360A">
        <w:t>с</w:t>
      </w:r>
      <w:r w:rsidR="00A56E08">
        <w:t>и</w:t>
      </w:r>
      <w:r w:rsidR="0071360A">
        <w:t>ст</w:t>
      </w:r>
      <w:r w:rsidR="00EE6AA2">
        <w:t>е</w:t>
      </w:r>
      <w:r w:rsidR="00A56E08">
        <w:t>ма</w:t>
      </w:r>
      <w:r w:rsidR="004D1E15" w:rsidRPr="00F6340E">
        <w:t xml:space="preserve"> </w:t>
      </w:r>
      <w:r w:rsidR="00A56E08">
        <w:t>који</w:t>
      </w:r>
      <w:r w:rsidR="004D1E15" w:rsidRPr="00F6340E">
        <w:t xml:space="preserve"> </w:t>
      </w:r>
      <w:r w:rsidR="0071360A">
        <w:t>с</w:t>
      </w:r>
      <w:r w:rsidR="00EE6AA2">
        <w:t>е</w:t>
      </w:r>
      <w:r w:rsidR="004D1E15" w:rsidRPr="00F6340E">
        <w:t xml:space="preserve"> </w:t>
      </w:r>
      <w:r w:rsidR="00A56E08">
        <w:t>ко</w:t>
      </w:r>
      <w:r w:rsidR="0071360A">
        <w:t>р</w:t>
      </w:r>
      <w:r w:rsidR="00A56E08">
        <w:t>и</w:t>
      </w:r>
      <w:r w:rsidR="0071360A">
        <w:t>ст</w:t>
      </w:r>
      <w:r w:rsidR="00EE6AA2">
        <w:t>е</w:t>
      </w:r>
      <w:r w:rsidR="004D1E15" w:rsidRPr="00F6340E">
        <w:t xml:space="preserve">, </w:t>
      </w:r>
      <w:r w:rsidR="0071360A">
        <w:t>п</w:t>
      </w:r>
      <w:r w:rsidR="00A56E08">
        <w:t>о</w:t>
      </w:r>
      <w:r w:rsidR="0071360A">
        <w:t>тр</w:t>
      </w:r>
      <w:r w:rsidR="00EE6AA2">
        <w:t>е</w:t>
      </w:r>
      <w:r w:rsidR="00A56E08">
        <w:t>бно</w:t>
      </w:r>
      <w:r w:rsidR="004D1E15" w:rsidRPr="00F6340E">
        <w:t xml:space="preserve"> </w:t>
      </w:r>
      <w:r w:rsidR="00A56E08">
        <w:t>ј</w:t>
      </w:r>
      <w:r w:rsidR="00EE6AA2">
        <w:t>е</w:t>
      </w:r>
      <w:r w:rsidR="004D1E15" w:rsidRPr="00F6340E">
        <w:t xml:space="preserve"> </w:t>
      </w:r>
      <w:r w:rsidR="00A56E08">
        <w:t>кон</w:t>
      </w:r>
      <w:r w:rsidR="0071360A">
        <w:t>т</w:t>
      </w:r>
      <w:r w:rsidR="00A56E08">
        <w:t>ин</w:t>
      </w:r>
      <w:r w:rsidR="0071360A">
        <w:t>у</w:t>
      </w:r>
      <w:r w:rsidR="00A56E08">
        <w:t>ално</w:t>
      </w:r>
      <w:r w:rsidR="004D1E15" w:rsidRPr="00F6340E">
        <w:t xml:space="preserve"> </w:t>
      </w:r>
      <w:r w:rsidR="0071360A">
        <w:t>пр</w:t>
      </w:r>
      <w:r w:rsidR="00A56E08">
        <w:t>аћ</w:t>
      </w:r>
      <w:r w:rsidR="00EE6AA2">
        <w:t>е</w:t>
      </w:r>
      <w:r w:rsidR="00A56E08">
        <w:t>њ</w:t>
      </w:r>
      <w:r w:rsidR="00EE6AA2">
        <w:t>е</w:t>
      </w:r>
      <w:r w:rsidR="004D1E15" w:rsidRPr="00F6340E">
        <w:t xml:space="preserve"> </w:t>
      </w:r>
      <w:r w:rsidR="0071360A">
        <w:t>р</w:t>
      </w:r>
      <w:r w:rsidR="00A56E08">
        <w:t>ада</w:t>
      </w:r>
      <w:r w:rsidR="004D1E15" w:rsidRPr="00F6340E">
        <w:t xml:space="preserve">, </w:t>
      </w:r>
      <w:r w:rsidR="00A56E08">
        <w:t>као</w:t>
      </w:r>
      <w:r w:rsidR="004D1E15" w:rsidRPr="00F6340E">
        <w:t xml:space="preserve"> </w:t>
      </w:r>
      <w:r w:rsidR="00A56E08">
        <w:t>и</w:t>
      </w:r>
      <w:r w:rsidR="004D1E15" w:rsidRPr="00F6340E">
        <w:t xml:space="preserve"> </w:t>
      </w:r>
      <w:r w:rsidR="0071360A">
        <w:t>р</w:t>
      </w:r>
      <w:r w:rsidR="00A56E08">
        <w:t>ад</w:t>
      </w:r>
      <w:r w:rsidR="004D1E15" w:rsidRPr="00F6340E">
        <w:t xml:space="preserve"> </w:t>
      </w:r>
      <w:r w:rsidR="00A56E08">
        <w:t>на</w:t>
      </w:r>
      <w:r w:rsidR="004D1E15" w:rsidRPr="00F6340E">
        <w:t xml:space="preserve"> </w:t>
      </w:r>
      <w:r w:rsidR="00A56E08">
        <w:t>да</w:t>
      </w:r>
      <w:r w:rsidR="0071360A">
        <w:t>в</w:t>
      </w:r>
      <w:r w:rsidR="00A56E08">
        <w:t>ањ</w:t>
      </w:r>
      <w:r w:rsidR="0071360A">
        <w:t>у</w:t>
      </w:r>
      <w:r w:rsidR="004D1E15" w:rsidRPr="00F6340E">
        <w:t xml:space="preserve"> </w:t>
      </w:r>
      <w:r w:rsidR="0071360A">
        <w:t>пр</w:t>
      </w:r>
      <w:r w:rsidR="00A56E08">
        <w:t>иј</w:t>
      </w:r>
      <w:r w:rsidR="00EE6AA2">
        <w:t>е</w:t>
      </w:r>
      <w:r w:rsidR="00A56E08">
        <w:t>длога</w:t>
      </w:r>
      <w:r w:rsidR="004D1E15" w:rsidRPr="00F6340E">
        <w:t xml:space="preserve"> </w:t>
      </w:r>
      <w:r>
        <w:t>з</w:t>
      </w:r>
      <w:r w:rsidR="00A56E08">
        <w:t>а</w:t>
      </w:r>
      <w:r w:rsidR="004D1E15" w:rsidRPr="00F6340E">
        <w:t xml:space="preserve"> </w:t>
      </w:r>
      <w:r w:rsidR="0071360A">
        <w:t>п</w:t>
      </w:r>
      <w:r w:rsidR="00A56E08">
        <w:t>обољ</w:t>
      </w:r>
      <w:r w:rsidR="0071360A">
        <w:t>ш</w:t>
      </w:r>
      <w:r w:rsidR="00A56E08">
        <w:t>ањ</w:t>
      </w:r>
      <w:r w:rsidR="00EE6AA2">
        <w:t>е</w:t>
      </w:r>
      <w:r w:rsidR="004D1E15" w:rsidRPr="00F6340E">
        <w:t xml:space="preserve"> </w:t>
      </w:r>
      <w:r w:rsidR="00A56E08">
        <w:t>и</w:t>
      </w:r>
      <w:r w:rsidR="004D1E15" w:rsidRPr="00F6340E">
        <w:t xml:space="preserve"> </w:t>
      </w:r>
      <w:r w:rsidR="0071360A">
        <w:t>р</w:t>
      </w:r>
      <w:r w:rsidR="00A56E08">
        <w:t>а</w:t>
      </w:r>
      <w:r>
        <w:t>з</w:t>
      </w:r>
      <w:r w:rsidR="0071360A">
        <w:t>в</w:t>
      </w:r>
      <w:r w:rsidR="00A56E08">
        <w:t>ијањ</w:t>
      </w:r>
      <w:r w:rsidR="00EE6AA2">
        <w:t>е</w:t>
      </w:r>
      <w:r w:rsidR="004D1E15" w:rsidRPr="00F6340E">
        <w:t xml:space="preserve"> </w:t>
      </w:r>
      <w:r w:rsidR="00A56E08">
        <w:t>њ</w:t>
      </w:r>
      <w:r w:rsidR="00EE6AA2">
        <w:t>е</w:t>
      </w:r>
      <w:r w:rsidR="00A56E08">
        <w:t>го</w:t>
      </w:r>
      <w:r w:rsidR="0071360A">
        <w:t>в</w:t>
      </w:r>
      <w:r w:rsidR="00A56E08">
        <w:t>их</w:t>
      </w:r>
      <w:r w:rsidR="004D1E15" w:rsidRPr="00F6340E">
        <w:t xml:space="preserve"> </w:t>
      </w:r>
      <w:r w:rsidR="00A56E08">
        <w:t>ф</w:t>
      </w:r>
      <w:r w:rsidR="0071360A">
        <w:t>у</w:t>
      </w:r>
      <w:r w:rsidR="00A56E08">
        <w:t>нкционално</w:t>
      </w:r>
      <w:r w:rsidR="0071360A">
        <w:t>ст</w:t>
      </w:r>
      <w:r w:rsidR="00A56E08">
        <w:t>и</w:t>
      </w:r>
      <w:r w:rsidR="004D1E15" w:rsidRPr="00F6340E">
        <w:t>.</w:t>
      </w:r>
    </w:p>
    <w:p w14:paraId="68616891" w14:textId="77777777" w:rsidR="004D1E15" w:rsidRPr="00F6340E" w:rsidRDefault="004D1E15" w:rsidP="004D1E15">
      <w:pPr>
        <w:pStyle w:val="NormalWeb"/>
        <w:spacing w:line="276" w:lineRule="auto"/>
        <w:jc w:val="both"/>
        <w:rPr>
          <w:rFonts w:ascii="Arial" w:hAnsi="Arial" w:cs="Arial"/>
          <w:sz w:val="28"/>
          <w:lang w:val="sr-Cyrl-BA"/>
        </w:rPr>
      </w:pPr>
    </w:p>
    <w:p w14:paraId="60B59E22" w14:textId="77777777" w:rsidR="00D940FD" w:rsidRPr="00F6340E" w:rsidRDefault="00D940FD" w:rsidP="004D1E15">
      <w:pPr>
        <w:pStyle w:val="NormalWeb"/>
        <w:spacing w:line="276" w:lineRule="auto"/>
        <w:jc w:val="both"/>
        <w:rPr>
          <w:rFonts w:ascii="Arial" w:hAnsi="Arial" w:cs="Arial"/>
          <w:sz w:val="28"/>
          <w:lang w:val="sr-Cyrl-BA"/>
        </w:rPr>
      </w:pPr>
    </w:p>
    <w:p w14:paraId="328075CA" w14:textId="77777777" w:rsidR="00D940FD" w:rsidRPr="00F6340E" w:rsidRDefault="00D940FD" w:rsidP="004D1E15">
      <w:pPr>
        <w:pStyle w:val="NormalWeb"/>
        <w:spacing w:line="276" w:lineRule="auto"/>
        <w:jc w:val="both"/>
        <w:rPr>
          <w:rFonts w:ascii="Arial" w:hAnsi="Arial" w:cs="Arial"/>
          <w:sz w:val="28"/>
          <w:lang w:val="sr-Cyrl-BA"/>
        </w:rPr>
      </w:pPr>
    </w:p>
    <w:p w14:paraId="3B806677" w14:textId="72747ED4" w:rsidR="00892898" w:rsidRPr="00F6340E" w:rsidRDefault="00892898" w:rsidP="00892898">
      <w:pPr>
        <w:contextualSpacing/>
        <w:rPr>
          <w:rFonts w:ascii="Arial" w:hAnsi="Arial" w:cs="Arial"/>
          <w:b/>
          <w:color w:val="000000" w:themeColor="text1"/>
          <w:lang w:val="sr-Cyrl-BA"/>
        </w:rPr>
      </w:pPr>
    </w:p>
    <w:p w14:paraId="47E7C3D0" w14:textId="2C404302" w:rsidR="00892898" w:rsidRPr="00F6340E" w:rsidRDefault="0071360A" w:rsidP="000962EB">
      <w:pPr>
        <w:pStyle w:val="Heading1"/>
        <w:numPr>
          <w:ilvl w:val="0"/>
          <w:numId w:val="72"/>
        </w:numPr>
        <w:rPr>
          <w:lang w:val="sr-Cyrl-BA"/>
        </w:rPr>
      </w:pPr>
      <w:bookmarkStart w:id="48" w:name="_Toc119050330"/>
      <w:r>
        <w:rPr>
          <w:lang w:val="sr-Cyrl-BA"/>
        </w:rPr>
        <w:lastRenderedPageBreak/>
        <w:t>Пр</w:t>
      </w:r>
      <w:r w:rsidR="00EE6AA2">
        <w:rPr>
          <w:lang w:val="sr-Cyrl-BA"/>
        </w:rPr>
        <w:t>е</w:t>
      </w:r>
      <w:r>
        <w:rPr>
          <w:lang w:val="sr-Cyrl-BA"/>
        </w:rPr>
        <w:t>п</w:t>
      </w:r>
      <w:r w:rsidR="00A56E08">
        <w:rPr>
          <w:lang w:val="sr-Cyrl-BA"/>
        </w:rPr>
        <w:t>о</w:t>
      </w:r>
      <w:r>
        <w:rPr>
          <w:lang w:val="sr-Cyrl-BA"/>
        </w:rPr>
        <w:t>ру</w:t>
      </w:r>
      <w:r w:rsidR="00A56E08">
        <w:rPr>
          <w:lang w:val="sr-Cyrl-BA"/>
        </w:rPr>
        <w:t>к</w:t>
      </w:r>
      <w:r w:rsidR="00EE6AA2">
        <w:rPr>
          <w:lang w:val="sr-Cyrl-BA"/>
        </w:rPr>
        <w:t>е</w:t>
      </w:r>
      <w:bookmarkEnd w:id="48"/>
    </w:p>
    <w:p w14:paraId="214FE193" w14:textId="77777777" w:rsidR="00892898" w:rsidRPr="00F6340E" w:rsidRDefault="00892898" w:rsidP="00892898">
      <w:pPr>
        <w:contextualSpacing/>
        <w:rPr>
          <w:rFonts w:ascii="Arial" w:hAnsi="Arial" w:cs="Arial"/>
          <w:b/>
          <w:color w:val="000000" w:themeColor="text1"/>
          <w:lang w:val="sr-Cyrl-BA"/>
        </w:rPr>
      </w:pPr>
    </w:p>
    <w:tbl>
      <w:tblPr>
        <w:tblStyle w:val="TableGrid"/>
        <w:tblW w:w="0" w:type="auto"/>
        <w:shd w:val="clear" w:color="auto" w:fill="D9E2F3" w:themeFill="accent1" w:themeFillTint="33"/>
        <w:tblCellMar>
          <w:top w:w="113" w:type="dxa"/>
          <w:bottom w:w="113" w:type="dxa"/>
        </w:tblCellMar>
        <w:tblLook w:val="04A0" w:firstRow="1" w:lastRow="0" w:firstColumn="1" w:lastColumn="0" w:noHBand="0" w:noVBand="1"/>
      </w:tblPr>
      <w:tblGrid>
        <w:gridCol w:w="9014"/>
      </w:tblGrid>
      <w:tr w:rsidR="00892898" w:rsidRPr="00F6340E" w14:paraId="20142F34" w14:textId="77777777" w:rsidTr="00115925">
        <w:trPr>
          <w:trHeight w:val="454"/>
        </w:trPr>
        <w:tc>
          <w:tcPr>
            <w:tcW w:w="9014" w:type="dxa"/>
            <w:shd w:val="clear" w:color="auto" w:fill="00B0F0"/>
            <w:vAlign w:val="center"/>
          </w:tcPr>
          <w:p w14:paraId="108D842B" w14:textId="54FBBDD4" w:rsidR="00892898" w:rsidRPr="00F6340E" w:rsidRDefault="00A56E08" w:rsidP="00115925">
            <w:pPr>
              <w:contextualSpacing/>
              <w:jc w:val="left"/>
              <w:rPr>
                <w:rFonts w:ascii="Arial" w:hAnsi="Arial" w:cs="Arial"/>
                <w:b/>
                <w:color w:val="00B0F0"/>
                <w:lang w:val="sr-Cyrl-BA"/>
              </w:rPr>
            </w:pPr>
            <w:r>
              <w:rPr>
                <w:rFonts w:ascii="Arial" w:hAnsi="Arial" w:cs="Arial"/>
                <w:b/>
                <w:color w:val="000000" w:themeColor="text1"/>
                <w:lang w:val="sr-Cyrl-BA"/>
              </w:rPr>
              <w:t>К</w:t>
            </w:r>
            <w:r w:rsidR="0071360A">
              <w:rPr>
                <w:rFonts w:ascii="Arial" w:hAnsi="Arial" w:cs="Arial"/>
                <w:b/>
                <w:color w:val="000000" w:themeColor="text1"/>
                <w:lang w:val="sr-Cyrl-BA"/>
              </w:rPr>
              <w:t>р</w:t>
            </w:r>
            <w:r w:rsidR="00EE6AA2">
              <w:rPr>
                <w:rFonts w:ascii="Arial" w:hAnsi="Arial" w:cs="Arial"/>
                <w:b/>
                <w:color w:val="000000" w:themeColor="text1"/>
                <w:lang w:val="sr-Cyrl-BA"/>
              </w:rPr>
              <w:t>е</w:t>
            </w:r>
            <w:r>
              <w:rPr>
                <w:rFonts w:ascii="Arial" w:hAnsi="Arial" w:cs="Arial"/>
                <w:b/>
                <w:color w:val="000000" w:themeColor="text1"/>
                <w:lang w:val="sr-Cyrl-BA"/>
              </w:rPr>
              <w:t>и</w:t>
            </w:r>
            <w:r w:rsidR="0071360A">
              <w:rPr>
                <w:rFonts w:ascii="Arial" w:hAnsi="Arial" w:cs="Arial"/>
                <w:b/>
                <w:color w:val="000000" w:themeColor="text1"/>
                <w:lang w:val="sr-Cyrl-BA"/>
              </w:rPr>
              <w:t>р</w:t>
            </w:r>
            <w:r>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ок</w:t>
            </w:r>
            <w:r w:rsidR="0071360A">
              <w:rPr>
                <w:rFonts w:ascii="Arial" w:hAnsi="Arial" w:cs="Arial"/>
                <w:b/>
                <w:color w:val="000000" w:themeColor="text1"/>
                <w:lang w:val="sr-Cyrl-BA"/>
              </w:rPr>
              <w:t>ру</w:t>
            </w:r>
            <w:r w:rsidR="00171F00">
              <w:rPr>
                <w:rFonts w:ascii="Arial" w:hAnsi="Arial" w:cs="Arial"/>
                <w:b/>
                <w:color w:val="000000" w:themeColor="text1"/>
                <w:lang w:val="sr-Cyrl-BA"/>
              </w:rPr>
              <w:t>ж</w:t>
            </w:r>
            <w:r w:rsidR="00EE6AA2">
              <w:rPr>
                <w:rFonts w:ascii="Arial" w:hAnsi="Arial" w:cs="Arial"/>
                <w:b/>
                <w:color w:val="000000" w:themeColor="text1"/>
                <w:lang w:val="sr-Cyrl-BA"/>
              </w:rPr>
              <w:t>е</w:t>
            </w:r>
            <w:r>
              <w:rPr>
                <w:rFonts w:ascii="Arial" w:hAnsi="Arial" w:cs="Arial"/>
                <w:b/>
                <w:color w:val="000000" w:themeColor="text1"/>
                <w:lang w:val="sr-Cyrl-BA"/>
              </w:rPr>
              <w:t>ња</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w:t>
            </w:r>
            <w:r w:rsidR="0071360A">
              <w:rPr>
                <w:rFonts w:ascii="Arial" w:hAnsi="Arial" w:cs="Arial"/>
                <w:b/>
                <w:color w:val="000000" w:themeColor="text1"/>
                <w:lang w:val="sr-Cyrl-BA"/>
              </w:rPr>
              <w:t>в</w:t>
            </w:r>
            <w:r>
              <w:rPr>
                <w:rFonts w:ascii="Arial" w:hAnsi="Arial" w:cs="Arial"/>
                <w:b/>
                <w:color w:val="000000" w:themeColor="text1"/>
                <w:lang w:val="sr-Cyrl-BA"/>
              </w:rPr>
              <w:t>али</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Pr>
                <w:rFonts w:ascii="Arial" w:hAnsi="Arial" w:cs="Arial"/>
                <w:b/>
                <w:color w:val="000000" w:themeColor="text1"/>
                <w:lang w:val="sr-Cyrl-BA"/>
              </w:rPr>
              <w:t>но</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инкл</w:t>
            </w:r>
            <w:r w:rsidR="0071360A">
              <w:rPr>
                <w:rFonts w:ascii="Arial" w:hAnsi="Arial" w:cs="Arial"/>
                <w:b/>
                <w:color w:val="000000" w:themeColor="text1"/>
                <w:lang w:val="sr-Cyrl-BA"/>
              </w:rPr>
              <w:t>у</w:t>
            </w:r>
            <w:r w:rsidR="00171F00">
              <w:rPr>
                <w:rFonts w:ascii="Arial" w:hAnsi="Arial" w:cs="Arial"/>
                <w:b/>
                <w:color w:val="000000" w:themeColor="text1"/>
                <w:lang w:val="sr-Cyrl-BA"/>
              </w:rPr>
              <w:t>з</w:t>
            </w:r>
            <w:r>
              <w:rPr>
                <w:rFonts w:ascii="Arial" w:hAnsi="Arial" w:cs="Arial"/>
                <w:b/>
                <w:color w:val="000000" w:themeColor="text1"/>
                <w:lang w:val="sr-Cyrl-BA"/>
              </w:rPr>
              <w:t>и</w:t>
            </w:r>
            <w:r w:rsidR="0071360A">
              <w:rPr>
                <w:rFonts w:ascii="Arial" w:hAnsi="Arial" w:cs="Arial"/>
                <w:b/>
                <w:color w:val="000000" w:themeColor="text1"/>
                <w:lang w:val="sr-Cyrl-BA"/>
              </w:rPr>
              <w:t>в</w:t>
            </w:r>
            <w:r>
              <w:rPr>
                <w:rFonts w:ascii="Arial" w:hAnsi="Arial" w:cs="Arial"/>
                <w:b/>
                <w:color w:val="000000" w:themeColor="text1"/>
                <w:lang w:val="sr-Cyrl-BA"/>
              </w:rPr>
              <w:t>но</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p>
        </w:tc>
      </w:tr>
      <w:tr w:rsidR="00892898" w:rsidRPr="00F6340E" w14:paraId="75D9FBE6" w14:textId="77777777" w:rsidTr="00115925">
        <w:tc>
          <w:tcPr>
            <w:tcW w:w="9014" w:type="dxa"/>
            <w:shd w:val="clear" w:color="auto" w:fill="E3F4F9"/>
          </w:tcPr>
          <w:p w14:paraId="41639F9A" w14:textId="062ACCAE" w:rsidR="00892898" w:rsidRPr="00F6340E" w:rsidRDefault="0071360A" w:rsidP="00115925">
            <w:pPr>
              <w:pStyle w:val="ListParagraph"/>
              <w:numPr>
                <w:ilvl w:val="0"/>
                <w:numId w:val="36"/>
              </w:numPr>
              <w:jc w:val="left"/>
              <w:rPr>
                <w:rFonts w:ascii="Arial" w:hAnsi="Arial" w:cs="Arial"/>
                <w:b/>
                <w:color w:val="000000" w:themeColor="text1"/>
                <w:lang w:val="sr-Cyrl-BA"/>
              </w:rPr>
            </w:pPr>
            <w:r>
              <w:rPr>
                <w:rFonts w:ascii="Arial" w:hAnsi="Arial" w:cs="Arial"/>
                <w:b/>
                <w:color w:val="000000" w:themeColor="text1"/>
                <w:lang w:val="sr-Cyrl-BA"/>
              </w:rPr>
              <w:t>Уврст</w:t>
            </w:r>
            <w:r w:rsidR="00A56E08">
              <w:rPr>
                <w:rFonts w:ascii="Arial" w:hAnsi="Arial" w:cs="Arial"/>
                <w:b/>
                <w:color w:val="000000" w:themeColor="text1"/>
                <w:lang w:val="sr-Cyrl-BA"/>
              </w:rPr>
              <w:t>и</w:t>
            </w:r>
            <w:r>
              <w:rPr>
                <w:rFonts w:ascii="Arial" w:hAnsi="Arial" w:cs="Arial"/>
                <w:b/>
                <w:color w:val="000000" w:themeColor="text1"/>
                <w:lang w:val="sr-Cyrl-BA"/>
              </w:rPr>
              <w:t>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i/>
                <w:color w:val="000000" w:themeColor="text1"/>
                <w:lang w:val="sr-Cyrl-BA"/>
              </w:rPr>
              <w:t>к</w:t>
            </w:r>
            <w:r>
              <w:rPr>
                <w:rFonts w:ascii="Arial" w:hAnsi="Arial" w:cs="Arial"/>
                <w:b/>
                <w:i/>
                <w:color w:val="000000" w:themeColor="text1"/>
                <w:lang w:val="sr-Cyrl-BA"/>
              </w:rPr>
              <w:t>в</w:t>
            </w:r>
            <w:r w:rsidR="00A56E08">
              <w:rPr>
                <w:rFonts w:ascii="Arial" w:hAnsi="Arial" w:cs="Arial"/>
                <w:b/>
                <w:i/>
                <w:color w:val="000000" w:themeColor="text1"/>
                <w:lang w:val="sr-Cyrl-BA"/>
              </w:rPr>
              <w:t>али</w:t>
            </w:r>
            <w:r>
              <w:rPr>
                <w:rFonts w:ascii="Arial" w:hAnsi="Arial" w:cs="Arial"/>
                <w:b/>
                <w:i/>
                <w:color w:val="000000" w:themeColor="text1"/>
                <w:lang w:val="sr-Cyrl-BA"/>
              </w:rPr>
              <w:t>т</w:t>
            </w:r>
            <w:r w:rsidR="00EE6AA2">
              <w:rPr>
                <w:rFonts w:ascii="Arial" w:hAnsi="Arial" w:cs="Arial"/>
                <w:b/>
                <w:i/>
                <w:color w:val="000000" w:themeColor="text1"/>
                <w:lang w:val="sr-Cyrl-BA"/>
              </w:rPr>
              <w:t>е</w:t>
            </w:r>
            <w:r>
              <w:rPr>
                <w:rFonts w:ascii="Arial" w:hAnsi="Arial" w:cs="Arial"/>
                <w:b/>
                <w:i/>
                <w:color w:val="000000" w:themeColor="text1"/>
                <w:lang w:val="sr-Cyrl-BA"/>
              </w:rPr>
              <w:t>т</w:t>
            </w:r>
            <w:r w:rsidR="00A56E08">
              <w:rPr>
                <w:rFonts w:ascii="Arial" w:hAnsi="Arial" w:cs="Arial"/>
                <w:b/>
                <w:i/>
                <w:color w:val="000000" w:themeColor="text1"/>
                <w:lang w:val="sr-Cyrl-BA"/>
              </w:rPr>
              <w:t>но</w:t>
            </w:r>
            <w:r w:rsidR="00892898" w:rsidRPr="00F6340E">
              <w:rPr>
                <w:rFonts w:ascii="Arial" w:hAnsi="Arial" w:cs="Arial"/>
                <w:b/>
                <w:i/>
                <w:color w:val="000000" w:themeColor="text1"/>
                <w:lang w:val="sr-Cyrl-BA"/>
              </w:rPr>
              <w:t xml:space="preserve"> </w:t>
            </w:r>
            <w:r w:rsidR="00A56E08">
              <w:rPr>
                <w:rFonts w:ascii="Arial" w:hAnsi="Arial" w:cs="Arial"/>
                <w:b/>
                <w:i/>
                <w:color w:val="000000" w:themeColor="text1"/>
                <w:lang w:val="sr-Cyrl-BA"/>
              </w:rPr>
              <w:t>инкл</w:t>
            </w:r>
            <w:r>
              <w:rPr>
                <w:rFonts w:ascii="Arial" w:hAnsi="Arial" w:cs="Arial"/>
                <w:b/>
                <w:i/>
                <w:color w:val="000000" w:themeColor="text1"/>
                <w:lang w:val="sr-Cyrl-BA"/>
              </w:rPr>
              <w:t>у</w:t>
            </w:r>
            <w:r w:rsidR="00171F00">
              <w:rPr>
                <w:rFonts w:ascii="Arial" w:hAnsi="Arial" w:cs="Arial"/>
                <w:b/>
                <w:i/>
                <w:color w:val="000000" w:themeColor="text1"/>
                <w:lang w:val="sr-Cyrl-BA"/>
              </w:rPr>
              <w:t>з</w:t>
            </w:r>
            <w:r w:rsidR="00A56E08">
              <w:rPr>
                <w:rFonts w:ascii="Arial" w:hAnsi="Arial" w:cs="Arial"/>
                <w:b/>
                <w:i/>
                <w:color w:val="000000" w:themeColor="text1"/>
                <w:lang w:val="sr-Cyrl-BA"/>
              </w:rPr>
              <w:t>и</w:t>
            </w:r>
            <w:r>
              <w:rPr>
                <w:rFonts w:ascii="Arial" w:hAnsi="Arial" w:cs="Arial"/>
                <w:b/>
                <w:i/>
                <w:color w:val="000000" w:themeColor="text1"/>
                <w:lang w:val="sr-Cyrl-BA"/>
              </w:rPr>
              <w:t>в</w:t>
            </w:r>
            <w:r w:rsidR="00A56E08">
              <w:rPr>
                <w:rFonts w:ascii="Arial" w:hAnsi="Arial" w:cs="Arial"/>
                <w:b/>
                <w:i/>
                <w:color w:val="000000" w:themeColor="text1"/>
                <w:lang w:val="sr-Cyrl-BA"/>
              </w:rPr>
              <w:t>но</w:t>
            </w:r>
            <w:r w:rsidR="00892898" w:rsidRPr="00F6340E">
              <w:rPr>
                <w:rFonts w:ascii="Arial" w:hAnsi="Arial" w:cs="Arial"/>
                <w:b/>
                <w:i/>
                <w:color w:val="000000" w:themeColor="text1"/>
                <w:lang w:val="sr-Cyrl-BA"/>
              </w:rPr>
              <w:t xml:space="preserve"> </w:t>
            </w:r>
            <w:r w:rsidR="00A56E08">
              <w:rPr>
                <w:rFonts w:ascii="Arial" w:hAnsi="Arial" w:cs="Arial"/>
                <w:b/>
                <w:i/>
                <w:color w:val="000000" w:themeColor="text1"/>
                <w:lang w:val="sr-Cyrl-BA"/>
              </w:rPr>
              <w:t>об</w:t>
            </w:r>
            <w:r>
              <w:rPr>
                <w:rFonts w:ascii="Arial" w:hAnsi="Arial" w:cs="Arial"/>
                <w:b/>
                <w:i/>
                <w:color w:val="000000" w:themeColor="text1"/>
                <w:lang w:val="sr-Cyrl-BA"/>
              </w:rPr>
              <w:t>р</w:t>
            </w:r>
            <w:r w:rsidR="00A56E08">
              <w:rPr>
                <w:rFonts w:ascii="Arial" w:hAnsi="Arial" w:cs="Arial"/>
                <w:b/>
                <w:i/>
                <w:color w:val="000000" w:themeColor="text1"/>
                <w:lang w:val="sr-Cyrl-BA"/>
              </w:rPr>
              <w:t>а</w:t>
            </w:r>
            <w:r w:rsidR="00171F00">
              <w:rPr>
                <w:rFonts w:ascii="Arial" w:hAnsi="Arial" w:cs="Arial"/>
                <w:b/>
                <w:i/>
                <w:color w:val="000000" w:themeColor="text1"/>
                <w:lang w:val="sr-Cyrl-BA"/>
              </w:rPr>
              <w:t>з</w:t>
            </w:r>
            <w:r w:rsidR="00A56E08">
              <w:rPr>
                <w:rFonts w:ascii="Arial" w:hAnsi="Arial" w:cs="Arial"/>
                <w:b/>
                <w:i/>
                <w:color w:val="000000" w:themeColor="text1"/>
                <w:lang w:val="sr-Cyrl-BA"/>
              </w:rPr>
              <w:t>о</w:t>
            </w:r>
            <w:r>
              <w:rPr>
                <w:rFonts w:ascii="Arial" w:hAnsi="Arial" w:cs="Arial"/>
                <w:b/>
                <w:i/>
                <w:color w:val="000000" w:themeColor="text1"/>
                <w:lang w:val="sr-Cyrl-BA"/>
              </w:rPr>
              <w:t>в</w:t>
            </w:r>
            <w:r w:rsidR="00A56E08">
              <w:rPr>
                <w:rFonts w:ascii="Arial" w:hAnsi="Arial" w:cs="Arial"/>
                <w:b/>
                <w:i/>
                <w:color w:val="000000" w:themeColor="text1"/>
                <w:lang w:val="sr-Cyrl-BA"/>
              </w:rPr>
              <w:t>ањ</w:t>
            </w:r>
            <w:r w:rsidR="00EE6AA2">
              <w:rPr>
                <w:rFonts w:ascii="Arial" w:hAnsi="Arial" w:cs="Arial"/>
                <w:b/>
                <w:i/>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као</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в</w:t>
            </w:r>
            <w:r w:rsidR="00EE6AA2">
              <w:rPr>
                <w:rFonts w:ascii="Arial" w:hAnsi="Arial" w:cs="Arial"/>
                <w:b/>
                <w:color w:val="000000" w:themeColor="text1"/>
                <w:lang w:val="sr-Cyrl-BA"/>
              </w:rPr>
              <w:t>е</w:t>
            </w:r>
            <w:r>
              <w:rPr>
                <w:rFonts w:ascii="Arial" w:hAnsi="Arial" w:cs="Arial"/>
                <w:b/>
                <w:color w:val="000000" w:themeColor="text1"/>
                <w:lang w:val="sr-Cyrl-BA"/>
              </w:rPr>
              <w:t>р</w:t>
            </w:r>
            <w:r w:rsidR="00171F00">
              <w:rPr>
                <w:rFonts w:ascii="Arial" w:hAnsi="Arial" w:cs="Arial"/>
                <w:b/>
                <w:color w:val="000000" w:themeColor="text1"/>
                <w:lang w:val="sr-Cyrl-BA"/>
              </w:rPr>
              <w:t>з</w:t>
            </w:r>
            <w:r w:rsidR="00A56E08">
              <w:rPr>
                <w:rFonts w:ascii="Arial" w:hAnsi="Arial" w:cs="Arial"/>
                <w:b/>
                <w:color w:val="000000" w:themeColor="text1"/>
                <w:lang w:val="sr-Cyrl-BA"/>
              </w:rPr>
              <w:t>иј</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i/>
                <w:color w:val="000000" w:themeColor="text1"/>
                <w:lang w:val="sr-Cyrl-BA"/>
              </w:rPr>
              <w:t>об</w:t>
            </w:r>
            <w:r>
              <w:rPr>
                <w:rFonts w:ascii="Arial" w:hAnsi="Arial" w:cs="Arial"/>
                <w:b/>
                <w:i/>
                <w:color w:val="000000" w:themeColor="text1"/>
                <w:lang w:val="sr-Cyrl-BA"/>
              </w:rPr>
              <w:t>р</w:t>
            </w:r>
            <w:r w:rsidR="00A56E08">
              <w:rPr>
                <w:rFonts w:ascii="Arial" w:hAnsi="Arial" w:cs="Arial"/>
                <w:b/>
                <w:i/>
                <w:color w:val="000000" w:themeColor="text1"/>
                <w:lang w:val="sr-Cyrl-BA"/>
              </w:rPr>
              <w:t>а</w:t>
            </w:r>
            <w:r w:rsidR="00171F00">
              <w:rPr>
                <w:rFonts w:ascii="Arial" w:hAnsi="Arial" w:cs="Arial"/>
                <w:b/>
                <w:i/>
                <w:color w:val="000000" w:themeColor="text1"/>
                <w:lang w:val="sr-Cyrl-BA"/>
              </w:rPr>
              <w:t>з</w:t>
            </w:r>
            <w:r w:rsidR="00A56E08">
              <w:rPr>
                <w:rFonts w:ascii="Arial" w:hAnsi="Arial" w:cs="Arial"/>
                <w:b/>
                <w:i/>
                <w:color w:val="000000" w:themeColor="text1"/>
                <w:lang w:val="sr-Cyrl-BA"/>
              </w:rPr>
              <w:t>о</w:t>
            </w:r>
            <w:r>
              <w:rPr>
                <w:rFonts w:ascii="Arial" w:hAnsi="Arial" w:cs="Arial"/>
                <w:b/>
                <w:i/>
                <w:color w:val="000000" w:themeColor="text1"/>
                <w:lang w:val="sr-Cyrl-BA"/>
              </w:rPr>
              <w:t>в</w:t>
            </w:r>
            <w:r w:rsidR="00A56E08">
              <w:rPr>
                <w:rFonts w:ascii="Arial" w:hAnsi="Arial" w:cs="Arial"/>
                <w:b/>
                <w:i/>
                <w:color w:val="000000" w:themeColor="text1"/>
                <w:lang w:val="sr-Cyrl-BA"/>
              </w:rPr>
              <w:t>ања</w:t>
            </w:r>
            <w:r w:rsidR="00892898" w:rsidRPr="00F6340E">
              <w:rPr>
                <w:rFonts w:ascii="Arial" w:hAnsi="Arial" w:cs="Arial"/>
                <w:b/>
                <w:i/>
                <w:color w:val="000000" w:themeColor="text1"/>
                <w:lang w:val="sr-Cyrl-BA"/>
              </w:rPr>
              <w:t xml:space="preserve"> </w:t>
            </w:r>
            <w:r w:rsidR="00171F00">
              <w:rPr>
                <w:rFonts w:ascii="Arial" w:hAnsi="Arial" w:cs="Arial"/>
                <w:b/>
                <w:i/>
                <w:color w:val="000000" w:themeColor="text1"/>
                <w:lang w:val="sr-Cyrl-BA"/>
              </w:rPr>
              <w:t>з</w:t>
            </w:r>
            <w:r w:rsidR="00A56E08">
              <w:rPr>
                <w:rFonts w:ascii="Arial" w:hAnsi="Arial" w:cs="Arial"/>
                <w:b/>
                <w:i/>
                <w:color w:val="000000" w:themeColor="text1"/>
                <w:lang w:val="sr-Cyrl-BA"/>
              </w:rPr>
              <w:t>а</w:t>
            </w:r>
            <w:r w:rsidR="00892898" w:rsidRPr="00F6340E">
              <w:rPr>
                <w:rFonts w:ascii="Arial" w:hAnsi="Arial" w:cs="Arial"/>
                <w:b/>
                <w:i/>
                <w:color w:val="000000" w:themeColor="text1"/>
                <w:lang w:val="sr-Cyrl-BA"/>
              </w:rPr>
              <w:t xml:space="preserve"> </w:t>
            </w:r>
            <w:r>
              <w:rPr>
                <w:rFonts w:ascii="Arial" w:hAnsi="Arial" w:cs="Arial"/>
                <w:b/>
                <w:i/>
                <w:color w:val="000000" w:themeColor="text1"/>
                <w:lang w:val="sr-Cyrl-BA"/>
              </w:rPr>
              <w:t>св</w:t>
            </w:r>
            <w:r w:rsidR="00EE6AA2">
              <w:rPr>
                <w:rFonts w:ascii="Arial" w:hAnsi="Arial" w:cs="Arial"/>
                <w:b/>
                <w:i/>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об</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о</w:t>
            </w:r>
            <w:r>
              <w:rPr>
                <w:rFonts w:ascii="Arial" w:hAnsi="Arial" w:cs="Arial"/>
                <w:b/>
                <w:color w:val="000000" w:themeColor="text1"/>
                <w:lang w:val="sr-Cyrl-BA"/>
              </w:rPr>
              <w:t>в</w:t>
            </w:r>
            <w:r w:rsidR="00A56E08">
              <w:rPr>
                <w:rFonts w:ascii="Arial" w:hAnsi="Arial" w:cs="Arial"/>
                <w:b/>
                <w:color w:val="000000" w:themeColor="text1"/>
                <w:lang w:val="sr-Cyrl-BA"/>
              </w:rPr>
              <w:t>ној</w:t>
            </w:r>
            <w:r w:rsidR="00F43CB3" w:rsidRPr="00F6340E">
              <w:rPr>
                <w:rFonts w:ascii="Arial" w:hAnsi="Arial" w:cs="Arial"/>
                <w:b/>
                <w:color w:val="000000" w:themeColor="text1"/>
                <w:lang w:val="sr-Cyrl-BA"/>
              </w:rPr>
              <w:t xml:space="preserve"> </w:t>
            </w:r>
            <w:r>
              <w:rPr>
                <w:rFonts w:ascii="Arial" w:hAnsi="Arial" w:cs="Arial"/>
                <w:b/>
                <w:color w:val="000000" w:themeColor="text1"/>
                <w:lang w:val="sr-Cyrl-BA"/>
              </w:rPr>
              <w:t>р</w:t>
            </w:r>
            <w:r w:rsidR="00EE6AA2">
              <w:rPr>
                <w:rFonts w:ascii="Arial" w:hAnsi="Arial" w:cs="Arial"/>
                <w:b/>
                <w:color w:val="000000" w:themeColor="text1"/>
                <w:lang w:val="sr-Cyrl-BA"/>
              </w:rPr>
              <w:t>е</w:t>
            </w:r>
            <w:r w:rsidR="00A56E08">
              <w:rPr>
                <w:rFonts w:ascii="Arial" w:hAnsi="Arial" w:cs="Arial"/>
                <w:b/>
                <w:color w:val="000000" w:themeColor="text1"/>
                <w:lang w:val="sr-Cyrl-BA"/>
              </w:rPr>
              <w:t>г</w:t>
            </w:r>
            <w:r>
              <w:rPr>
                <w:rFonts w:ascii="Arial" w:hAnsi="Arial" w:cs="Arial"/>
                <w:b/>
                <w:color w:val="000000" w:themeColor="text1"/>
                <w:lang w:val="sr-Cyrl-BA"/>
              </w:rPr>
              <w:t>у</w:t>
            </w:r>
            <w:r w:rsidR="00A56E08">
              <w:rPr>
                <w:rFonts w:ascii="Arial" w:hAnsi="Arial" w:cs="Arial"/>
                <w:b/>
                <w:color w:val="000000" w:themeColor="text1"/>
                <w:lang w:val="sr-Cyrl-BA"/>
              </w:rPr>
              <w:t>ла</w:t>
            </w:r>
            <w:r>
              <w:rPr>
                <w:rFonts w:ascii="Arial" w:hAnsi="Arial" w:cs="Arial"/>
                <w:b/>
                <w:color w:val="000000" w:themeColor="text1"/>
                <w:lang w:val="sr-Cyrl-BA"/>
              </w:rPr>
              <w:t>т</w:t>
            </w:r>
            <w:r w:rsidR="00A56E08">
              <w:rPr>
                <w:rFonts w:ascii="Arial" w:hAnsi="Arial" w:cs="Arial"/>
                <w:b/>
                <w:color w:val="000000" w:themeColor="text1"/>
                <w:lang w:val="sr-Cyrl-BA"/>
              </w:rPr>
              <w:t>и</w:t>
            </w:r>
            <w:r>
              <w:rPr>
                <w:rFonts w:ascii="Arial" w:hAnsi="Arial" w:cs="Arial"/>
                <w:b/>
                <w:color w:val="000000" w:themeColor="text1"/>
                <w:lang w:val="sr-Cyrl-BA"/>
              </w:rPr>
              <w:t>в</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p>
          <w:p w14:paraId="25EEBC40" w14:textId="045F427B" w:rsidR="00892898" w:rsidRPr="00F6340E" w:rsidRDefault="00A56E08" w:rsidP="00115925">
            <w:pPr>
              <w:pStyle w:val="ListParagraph"/>
              <w:ind w:left="360"/>
              <w:jc w:val="left"/>
              <w:rPr>
                <w:rFonts w:ascii="Arial" w:hAnsi="Arial" w:cs="Arial"/>
                <w:color w:val="000000" w:themeColor="text1"/>
                <w:lang w:val="sr-Cyrl-BA"/>
              </w:rPr>
            </w:pPr>
            <w:r>
              <w:rPr>
                <w:rFonts w:ascii="Arial" w:hAnsi="Arial" w:cs="Arial"/>
                <w:color w:val="000000" w:themeColor="text1"/>
                <w:lang w:val="sr-Cyrl-BA"/>
              </w:rPr>
              <w:t>К</w:t>
            </w:r>
            <w:r w:rsidR="0071360A">
              <w:rPr>
                <w:rFonts w:ascii="Arial" w:hAnsi="Arial" w:cs="Arial"/>
                <w:color w:val="000000" w:themeColor="text1"/>
                <w:lang w:val="sr-Cyrl-BA"/>
              </w:rPr>
              <w:t>в</w:t>
            </w:r>
            <w:r>
              <w:rPr>
                <w:rFonts w:ascii="Arial" w:hAnsi="Arial" w:cs="Arial"/>
                <w:color w:val="000000" w:themeColor="text1"/>
                <w:lang w:val="sr-Cyrl-BA"/>
              </w:rPr>
              <w:t>али</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инкл</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ус</w:t>
            </w:r>
            <w:r>
              <w:rPr>
                <w:rFonts w:ascii="Arial" w:hAnsi="Arial" w:cs="Arial"/>
                <w:color w:val="000000" w:themeColor="text1"/>
                <w:lang w:val="sr-Cyrl-BA"/>
              </w:rPr>
              <w:t>мј</w:t>
            </w:r>
            <w:r w:rsidR="00EE6AA2">
              <w:rPr>
                <w:rFonts w:ascii="Arial" w:hAnsi="Arial" w:cs="Arial"/>
                <w:color w:val="000000" w:themeColor="text1"/>
                <w:lang w:val="sr-Cyrl-BA"/>
              </w:rPr>
              <w:t>е</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ств</w:t>
            </w:r>
            <w:r>
              <w:rPr>
                <w:rFonts w:ascii="Arial" w:hAnsi="Arial" w:cs="Arial"/>
                <w:color w:val="000000" w:themeColor="text1"/>
                <w:lang w:val="sr-Cyrl-BA"/>
              </w:rPr>
              <w:t>а</w:t>
            </w:r>
            <w:r w:rsidR="0071360A">
              <w:rPr>
                <w:rFonts w:ascii="Arial" w:hAnsi="Arial" w:cs="Arial"/>
                <w:color w:val="000000" w:themeColor="text1"/>
                <w:lang w:val="sr-Cyrl-BA"/>
              </w:rPr>
              <w:t>р</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кон</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к</w:t>
            </w:r>
            <w:r w:rsidR="0071360A">
              <w:rPr>
                <w:rFonts w:ascii="Arial" w:hAnsi="Arial" w:cs="Arial"/>
                <w:color w:val="000000" w:themeColor="text1"/>
                <w:lang w:val="sr-Cyrl-BA"/>
              </w:rPr>
              <w:t>сту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кљ</w:t>
            </w:r>
            <w:r w:rsidR="0071360A">
              <w:rPr>
                <w:rFonts w:ascii="Arial" w:hAnsi="Arial" w:cs="Arial"/>
                <w:color w:val="000000" w:themeColor="text1"/>
                <w:lang w:val="sr-Cyrl-BA"/>
              </w:rPr>
              <w:t>у</w:t>
            </w:r>
            <w:r>
              <w:rPr>
                <w:rFonts w:ascii="Arial" w:hAnsi="Arial" w:cs="Arial"/>
                <w:color w:val="000000" w:themeColor="text1"/>
                <w:lang w:val="sr-Cyrl-BA"/>
              </w:rPr>
              <w:t>чи</w:t>
            </w:r>
            <w:r w:rsidR="0071360A">
              <w:rPr>
                <w:rFonts w:ascii="Arial" w:hAnsi="Arial" w:cs="Arial"/>
                <w:color w:val="000000" w:themeColor="text1"/>
                <w:lang w:val="sr-Cyrl-BA"/>
              </w:rPr>
              <w:t>в</w:t>
            </w:r>
            <w:r>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до</w:t>
            </w:r>
            <w:r w:rsidR="0071360A">
              <w:rPr>
                <w:rFonts w:ascii="Arial" w:hAnsi="Arial" w:cs="Arial"/>
                <w:color w:val="000000" w:themeColor="text1"/>
                <w:lang w:val="sr-Cyrl-BA"/>
              </w:rPr>
              <w:t>в</w:t>
            </w:r>
            <w:r>
              <w:rPr>
                <w:rFonts w:ascii="Arial" w:hAnsi="Arial" w:cs="Arial"/>
                <w:color w:val="000000" w:themeColor="text1"/>
                <w:lang w:val="sr-Cyrl-BA"/>
              </w:rPr>
              <w:t>ни</w:t>
            </w:r>
            <w:r w:rsidR="00DB12EE"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w:t>
            </w:r>
            <w:r w:rsidR="0071360A">
              <w:rPr>
                <w:rFonts w:ascii="Arial" w:hAnsi="Arial" w:cs="Arial"/>
                <w:color w:val="000000" w:themeColor="text1"/>
                <w:lang w:val="sr-Cyrl-BA"/>
              </w:rPr>
              <w:t>ст</w:t>
            </w:r>
            <w:r w:rsidR="00EE6AA2">
              <w:rPr>
                <w:rFonts w:ascii="Arial" w:hAnsi="Arial" w:cs="Arial"/>
                <w:color w:val="000000" w:themeColor="text1"/>
                <w:lang w:val="sr-Cyrl-BA"/>
              </w:rPr>
              <w:t>е</w:t>
            </w:r>
            <w:r>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им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ни</w:t>
            </w:r>
            <w:r w:rsidR="0071360A">
              <w:rPr>
                <w:rFonts w:ascii="Arial" w:hAnsi="Arial" w:cs="Arial"/>
                <w:color w:val="000000" w:themeColor="text1"/>
                <w:lang w:val="sr-Cyrl-BA"/>
              </w:rPr>
              <w:t>в</w:t>
            </w:r>
            <w:r>
              <w:rPr>
                <w:rFonts w:ascii="Arial" w:hAnsi="Arial" w:cs="Arial"/>
                <w:color w:val="000000" w:themeColor="text1"/>
                <w:lang w:val="sr-Cyrl-BA"/>
              </w:rPr>
              <w:t>оима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али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ств</w:t>
            </w:r>
            <w:r>
              <w:rPr>
                <w:rFonts w:ascii="Arial" w:hAnsi="Arial" w:cs="Arial"/>
                <w:color w:val="000000" w:themeColor="text1"/>
                <w:lang w:val="sr-Cyrl-BA"/>
              </w:rPr>
              <w:t>а</w:t>
            </w:r>
            <w:r w:rsidR="0071360A">
              <w:rPr>
                <w:rFonts w:ascii="Arial" w:hAnsi="Arial" w:cs="Arial"/>
                <w:color w:val="000000" w:themeColor="text1"/>
                <w:lang w:val="sr-Cyrl-BA"/>
              </w:rPr>
              <w:t>р</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i/>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i/>
                <w:color w:val="000000" w:themeColor="text1"/>
                <w:lang w:val="sr-Cyrl-BA"/>
              </w:rPr>
              <w:t>к</w:t>
            </w:r>
            <w:r w:rsidR="0071360A">
              <w:rPr>
                <w:rFonts w:ascii="Arial" w:hAnsi="Arial" w:cs="Arial"/>
                <w:i/>
                <w:color w:val="000000" w:themeColor="text1"/>
                <w:lang w:val="sr-Cyrl-BA"/>
              </w:rPr>
              <w:t>р</w:t>
            </w:r>
            <w:r>
              <w:rPr>
                <w:rFonts w:ascii="Arial" w:hAnsi="Arial" w:cs="Arial"/>
                <w:i/>
                <w:color w:val="000000" w:themeColor="text1"/>
                <w:lang w:val="sr-Cyrl-BA"/>
              </w:rPr>
              <w:t>о</w:t>
            </w:r>
            <w:r w:rsidR="00171F00">
              <w:rPr>
                <w:rFonts w:ascii="Arial" w:hAnsi="Arial" w:cs="Arial"/>
                <w:i/>
                <w:color w:val="000000" w:themeColor="text1"/>
                <w:lang w:val="sr-Cyrl-BA"/>
              </w:rPr>
              <w:t>з</w:t>
            </w:r>
            <w:r w:rsidR="00892898" w:rsidRPr="00F6340E">
              <w:rPr>
                <w:rFonts w:ascii="Arial" w:hAnsi="Arial" w:cs="Arial"/>
                <w:i/>
                <w:color w:val="000000" w:themeColor="text1"/>
                <w:lang w:val="sr-Cyrl-BA"/>
              </w:rPr>
              <w:t xml:space="preserve"> </w:t>
            </w:r>
            <w:r>
              <w:rPr>
                <w:rFonts w:ascii="Arial" w:hAnsi="Arial" w:cs="Arial"/>
                <w:i/>
                <w:color w:val="000000" w:themeColor="text1"/>
                <w:lang w:val="sr-Cyrl-BA"/>
              </w:rPr>
              <w:t>об</w:t>
            </w:r>
            <w:r w:rsidR="0071360A">
              <w:rPr>
                <w:rFonts w:ascii="Arial" w:hAnsi="Arial" w:cs="Arial"/>
                <w:i/>
                <w:color w:val="000000" w:themeColor="text1"/>
                <w:lang w:val="sr-Cyrl-BA"/>
              </w:rPr>
              <w:t>р</w:t>
            </w:r>
            <w:r>
              <w:rPr>
                <w:rFonts w:ascii="Arial" w:hAnsi="Arial" w:cs="Arial"/>
                <w:i/>
                <w:color w:val="000000" w:themeColor="text1"/>
                <w:lang w:val="sr-Cyrl-BA"/>
              </w:rPr>
              <w:t>а</w:t>
            </w:r>
            <w:r w:rsidR="00171F00">
              <w:rPr>
                <w:rFonts w:ascii="Arial" w:hAnsi="Arial" w:cs="Arial"/>
                <w:i/>
                <w:color w:val="000000" w:themeColor="text1"/>
                <w:lang w:val="sr-Cyrl-BA"/>
              </w:rPr>
              <w:t>з</w:t>
            </w:r>
            <w:r>
              <w:rPr>
                <w:rFonts w:ascii="Arial" w:hAnsi="Arial" w:cs="Arial"/>
                <w:i/>
                <w:color w:val="000000" w:themeColor="text1"/>
                <w:lang w:val="sr-Cyrl-BA"/>
              </w:rPr>
              <w:t>о</w:t>
            </w:r>
            <w:r w:rsidR="0071360A">
              <w:rPr>
                <w:rFonts w:ascii="Arial" w:hAnsi="Arial" w:cs="Arial"/>
                <w:i/>
                <w:color w:val="000000" w:themeColor="text1"/>
                <w:lang w:val="sr-Cyrl-BA"/>
              </w:rPr>
              <w:t>в</w:t>
            </w:r>
            <w:r>
              <w:rPr>
                <w:rFonts w:ascii="Arial" w:hAnsi="Arial" w:cs="Arial"/>
                <w:i/>
                <w:color w:val="000000" w:themeColor="text1"/>
                <w:lang w:val="sr-Cyrl-BA"/>
              </w:rPr>
              <w:t>ањ</w:t>
            </w:r>
            <w:r w:rsidR="00EE6AA2">
              <w:rPr>
                <w:rFonts w:ascii="Arial" w:hAnsi="Arial" w:cs="Arial"/>
                <w:i/>
                <w:color w:val="000000" w:themeColor="text1"/>
                <w:lang w:val="sr-Cyrl-BA"/>
              </w:rPr>
              <w:t>е</w:t>
            </w:r>
            <w:r w:rsidR="00B04FA8">
              <w:rPr>
                <w:rFonts w:ascii="Arial" w:hAnsi="Arial" w:cs="Arial"/>
                <w:i/>
                <w:color w:val="000000" w:themeColor="text1"/>
                <w:lang w:val="sr-Cyrl-BA"/>
              </w:rPr>
              <w:t xml:space="preserve"> са </w:t>
            </w:r>
            <w:r>
              <w:rPr>
                <w:rFonts w:ascii="Arial" w:hAnsi="Arial" w:cs="Arial"/>
                <w:color w:val="000000" w:themeColor="text1"/>
                <w:lang w:val="sr-Cyrl-BA"/>
              </w:rPr>
              <w:t>циљ</w:t>
            </w:r>
            <w:r w:rsidR="00EE6AA2">
              <w:rPr>
                <w:rFonts w:ascii="Arial" w:hAnsi="Arial" w:cs="Arial"/>
                <w:color w:val="000000" w:themeColor="text1"/>
                <w:lang w:val="sr-Cyrl-BA"/>
              </w:rPr>
              <w:t>е</w:t>
            </w:r>
            <w:r>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с</w:t>
            </w:r>
            <w:r>
              <w:rPr>
                <w:rFonts w:ascii="Arial" w:hAnsi="Arial" w:cs="Arial"/>
                <w:color w:val="000000" w:themeColor="text1"/>
                <w:lang w:val="sr-Cyrl-BA"/>
              </w:rPr>
              <w:t>иг</w:t>
            </w:r>
            <w:r w:rsidR="0071360A">
              <w:rPr>
                <w:rFonts w:ascii="Arial" w:hAnsi="Arial" w:cs="Arial"/>
                <w:color w:val="000000" w:themeColor="text1"/>
                <w:lang w:val="sr-Cyrl-BA"/>
              </w:rPr>
              <w:t>ур</w:t>
            </w:r>
            <w:r>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но</w:t>
            </w:r>
            <w:r w:rsidR="0071360A">
              <w:rPr>
                <w:rFonts w:ascii="Arial" w:hAnsi="Arial" w:cs="Arial"/>
                <w:color w:val="000000" w:themeColor="text1"/>
                <w:lang w:val="sr-Cyrl-BA"/>
              </w:rPr>
              <w:t>пр</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ног</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sidR="0071360A">
              <w:rPr>
                <w:rFonts w:ascii="Arial" w:hAnsi="Arial" w:cs="Arial"/>
                <w:color w:val="000000" w:themeColor="text1"/>
                <w:lang w:val="sr-Cyrl-BA"/>
              </w:rPr>
              <w:t>ств</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w:t>
            </w:r>
            <w:r w:rsidR="0071360A">
              <w:rPr>
                <w:rFonts w:ascii="Arial" w:hAnsi="Arial" w:cs="Arial"/>
                <w:color w:val="000000" w:themeColor="text1"/>
                <w:lang w:val="sr-Cyrl-BA"/>
              </w:rPr>
              <w:t>ст</w:t>
            </w:r>
            <w:r>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71360A">
              <w:rPr>
                <w:rFonts w:ascii="Arial" w:hAnsi="Arial" w:cs="Arial"/>
                <w:color w:val="000000" w:themeColor="text1"/>
                <w:lang w:val="sr-Cyrl-BA"/>
              </w:rPr>
              <w:t>с</w:t>
            </w:r>
            <w:r>
              <w:rPr>
                <w:rFonts w:ascii="Arial" w:hAnsi="Arial" w:cs="Arial"/>
                <w:color w:val="000000" w:themeColor="text1"/>
                <w:lang w:val="sr-Cyrl-BA"/>
              </w:rPr>
              <w:t>хода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лани</w:t>
            </w:r>
            <w:r w:rsidR="0071360A">
              <w:rPr>
                <w:rFonts w:ascii="Arial" w:hAnsi="Arial" w:cs="Arial"/>
                <w:color w:val="000000" w:themeColor="text1"/>
                <w:lang w:val="sr-Cyrl-BA"/>
              </w:rPr>
              <w:t>р</w:t>
            </w:r>
            <w:r>
              <w:rPr>
                <w:rFonts w:ascii="Arial" w:hAnsi="Arial" w:cs="Arial"/>
                <w:color w:val="000000" w:themeColor="text1"/>
                <w:lang w:val="sr-Cyrl-BA"/>
              </w:rPr>
              <w:t>аних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ним</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ланом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ог</w:t>
            </w:r>
            <w:r w:rsidR="0071360A">
              <w:rPr>
                <w:rFonts w:ascii="Arial" w:hAnsi="Arial" w:cs="Arial"/>
                <w:color w:val="000000" w:themeColor="text1"/>
                <w:lang w:val="sr-Cyrl-BA"/>
              </w:rPr>
              <w:t>р</w:t>
            </w:r>
            <w:r>
              <w:rPr>
                <w:rFonts w:ascii="Arial" w:hAnsi="Arial" w:cs="Arial"/>
                <w:color w:val="000000" w:themeColor="text1"/>
                <w:lang w:val="sr-Cyrl-BA"/>
              </w:rPr>
              <w:t>амом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в</w:t>
            </w:r>
            <w:r>
              <w:rPr>
                <w:rFonts w:ascii="Arial" w:hAnsi="Arial" w:cs="Arial"/>
                <w:color w:val="000000" w:themeColor="text1"/>
                <w:lang w:val="sr-Cyrl-BA"/>
              </w:rPr>
              <w:t>али</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инкл</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мо</w:t>
            </w:r>
            <w:r w:rsidR="0071360A">
              <w:rPr>
                <w:rFonts w:ascii="Arial" w:hAnsi="Arial" w:cs="Arial"/>
                <w:color w:val="000000" w:themeColor="text1"/>
                <w:lang w:val="sr-Cyrl-BA"/>
              </w:rPr>
              <w:t>р</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sidR="0071360A">
              <w:rPr>
                <w:rFonts w:ascii="Arial" w:hAnsi="Arial" w:cs="Arial"/>
                <w:color w:val="000000" w:themeColor="text1"/>
                <w:lang w:val="sr-Cyrl-BA"/>
              </w:rPr>
              <w:t>у</w:t>
            </w:r>
            <w:r>
              <w:rPr>
                <w:rFonts w:ascii="Arial" w:hAnsi="Arial" w:cs="Arial"/>
                <w:color w:val="000000" w:themeColor="text1"/>
                <w:lang w:val="sr-Cyrl-BA"/>
              </w:rPr>
              <w:t>миј</w:t>
            </w:r>
            <w:r w:rsidR="00EE6AA2">
              <w:rPr>
                <w:rFonts w:ascii="Arial" w:hAnsi="Arial" w:cs="Arial"/>
                <w:color w:val="000000" w:themeColor="text1"/>
                <w:lang w:val="sr-Cyrl-BA"/>
              </w:rPr>
              <w:t>е</w:t>
            </w:r>
            <w:r w:rsidR="0071360A">
              <w:rPr>
                <w:rFonts w:ascii="Arial" w:hAnsi="Arial" w:cs="Arial"/>
                <w:color w:val="000000" w:themeColor="text1"/>
                <w:lang w:val="sr-Cyrl-BA"/>
              </w:rPr>
              <w:t>в</w:t>
            </w:r>
            <w:r>
              <w:rPr>
                <w:rFonts w:ascii="Arial" w:hAnsi="Arial" w:cs="Arial"/>
                <w:color w:val="000000" w:themeColor="text1"/>
                <w:lang w:val="sr-Cyrl-BA"/>
              </w:rPr>
              <w:t>а</w:t>
            </w:r>
            <w:r w:rsidR="0071360A">
              <w:rPr>
                <w:rFonts w:ascii="Arial" w:hAnsi="Arial" w:cs="Arial"/>
                <w:color w:val="000000" w:themeColor="text1"/>
                <w:lang w:val="sr-Cyrl-BA"/>
              </w:rPr>
              <w:t>т</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р</w:t>
            </w:r>
            <w:r>
              <w:rPr>
                <w:rFonts w:ascii="Arial" w:hAnsi="Arial" w:cs="Arial"/>
                <w:color w:val="000000" w:themeColor="text1"/>
                <w:lang w:val="sr-Cyrl-BA"/>
              </w:rPr>
              <w:t>о</w:t>
            </w:r>
            <w:r w:rsidR="00171F00">
              <w:rPr>
                <w:rFonts w:ascii="Arial" w:hAnsi="Arial" w:cs="Arial"/>
                <w:color w:val="000000" w:themeColor="text1"/>
                <w:lang w:val="sr-Cyrl-BA"/>
              </w:rPr>
              <w:t>з</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м</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кљ</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но</w:t>
            </w:r>
            <w:r w:rsidR="0071360A">
              <w:rPr>
                <w:rFonts w:ascii="Arial" w:hAnsi="Arial" w:cs="Arial"/>
                <w:color w:val="000000" w:themeColor="text1"/>
                <w:lang w:val="sr-Cyrl-BA"/>
              </w:rPr>
              <w:t>ст</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б</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р</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личн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лик</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ола</w:t>
            </w:r>
            <w:r w:rsidR="00171F00">
              <w:rPr>
                <w:rFonts w:ascii="Arial" w:hAnsi="Arial" w:cs="Arial"/>
                <w:color w:val="000000" w:themeColor="text1"/>
                <w:lang w:val="sr-Cyrl-BA"/>
              </w:rPr>
              <w:t>з</w:t>
            </w:r>
            <w:r>
              <w:rPr>
                <w:rFonts w:ascii="Arial" w:hAnsi="Arial" w:cs="Arial"/>
                <w:color w:val="000000" w:themeColor="text1"/>
                <w:lang w:val="sr-Cyrl-BA"/>
              </w:rPr>
              <w:t>ника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ника</w:t>
            </w:r>
            <w:r w:rsidR="00892898" w:rsidRPr="00F6340E">
              <w:rPr>
                <w:rFonts w:ascii="Arial" w:hAnsi="Arial" w:cs="Arial"/>
                <w:color w:val="000000" w:themeColor="text1"/>
                <w:lang w:val="sr-Cyrl-BA"/>
              </w:rPr>
              <w:t>/</w:t>
            </w:r>
            <w:r w:rsidR="0071360A">
              <w:rPr>
                <w:rFonts w:ascii="Arial" w:hAnsi="Arial" w:cs="Arial"/>
                <w:color w:val="000000" w:themeColor="text1"/>
                <w:lang w:val="sr-Cyrl-BA"/>
              </w:rPr>
              <w:t>сту</w:t>
            </w:r>
            <w:r>
              <w:rPr>
                <w:rFonts w:ascii="Arial" w:hAnsi="Arial" w:cs="Arial"/>
                <w:color w:val="000000" w:themeColor="text1"/>
                <w:lang w:val="sr-Cyrl-BA"/>
              </w:rPr>
              <w:t>д</w:t>
            </w:r>
            <w:r w:rsidR="00EE6AA2">
              <w:rPr>
                <w:rFonts w:ascii="Arial" w:hAnsi="Arial" w:cs="Arial"/>
                <w:color w:val="000000" w:themeColor="text1"/>
                <w:lang w:val="sr-Cyrl-BA"/>
              </w:rPr>
              <w:t>е</w:t>
            </w:r>
            <w:r>
              <w:rPr>
                <w:rFonts w:ascii="Arial" w:hAnsi="Arial" w:cs="Arial"/>
                <w:color w:val="000000" w:themeColor="text1"/>
                <w:lang w:val="sr-Cyrl-BA"/>
              </w:rPr>
              <w:t>на</w:t>
            </w:r>
            <w:r w:rsidR="0071360A">
              <w:rPr>
                <w:rFonts w:ascii="Arial" w:hAnsi="Arial" w:cs="Arial"/>
                <w:color w:val="000000" w:themeColor="text1"/>
                <w:lang w:val="sr-Cyrl-BA"/>
              </w:rPr>
              <w:t>т</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им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ни</w:t>
            </w:r>
            <w:r w:rsidR="0071360A">
              <w:rPr>
                <w:rFonts w:ascii="Arial" w:hAnsi="Arial" w:cs="Arial"/>
                <w:color w:val="000000" w:themeColor="text1"/>
                <w:lang w:val="sr-Cyrl-BA"/>
              </w:rPr>
              <w:t>в</w:t>
            </w:r>
            <w:r>
              <w:rPr>
                <w:rFonts w:ascii="Arial" w:hAnsi="Arial" w:cs="Arial"/>
                <w:color w:val="000000" w:themeColor="text1"/>
                <w:lang w:val="sr-Cyrl-BA"/>
              </w:rPr>
              <w:t>оима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ања</w:t>
            </w:r>
            <w:r w:rsidR="001E501B" w:rsidRPr="00F6340E">
              <w:rPr>
                <w:rFonts w:ascii="Arial" w:hAnsi="Arial" w:cs="Arial"/>
                <w:color w:val="000000" w:themeColor="text1"/>
                <w:lang w:val="sr-Cyrl-BA"/>
              </w:rPr>
              <w:t>,</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никако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оди</w:t>
            </w:r>
            <w:r w:rsidR="0071360A">
              <w:rPr>
                <w:rFonts w:ascii="Arial" w:hAnsi="Arial" w:cs="Arial"/>
                <w:color w:val="000000" w:themeColor="text1"/>
                <w:lang w:val="sr-Cyrl-BA"/>
              </w:rPr>
              <w:t>т</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ај</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конц</w:t>
            </w:r>
            <w:r w:rsidR="00EE6AA2">
              <w:rPr>
                <w:rFonts w:ascii="Arial" w:hAnsi="Arial" w:cs="Arial"/>
                <w:color w:val="000000" w:themeColor="text1"/>
                <w:lang w:val="sr-Cyrl-BA"/>
              </w:rPr>
              <w:t>е</w:t>
            </w:r>
            <w:r w:rsidR="0071360A">
              <w:rPr>
                <w:rFonts w:ascii="Arial" w:hAnsi="Arial" w:cs="Arial"/>
                <w:color w:val="000000" w:themeColor="text1"/>
                <w:lang w:val="sr-Cyrl-BA"/>
              </w:rPr>
              <w:t>пт</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амо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кљ</w:t>
            </w:r>
            <w:r w:rsidR="0071360A">
              <w:rPr>
                <w:rFonts w:ascii="Arial" w:hAnsi="Arial" w:cs="Arial"/>
                <w:color w:val="000000" w:themeColor="text1"/>
                <w:lang w:val="sr-Cyrl-BA"/>
              </w:rPr>
              <w:t>у</w:t>
            </w:r>
            <w:r>
              <w:rPr>
                <w:rFonts w:ascii="Arial" w:hAnsi="Arial" w:cs="Arial"/>
                <w:color w:val="000000" w:themeColor="text1"/>
                <w:lang w:val="sr-Cyrl-BA"/>
              </w:rPr>
              <w:t>чи</w:t>
            </w:r>
            <w:r w:rsidR="0071360A">
              <w:rPr>
                <w:rFonts w:ascii="Arial" w:hAnsi="Arial" w:cs="Arial"/>
                <w:color w:val="000000" w:themeColor="text1"/>
                <w:lang w:val="sr-Cyrl-BA"/>
              </w:rPr>
              <w:t>в</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дј</w:t>
            </w:r>
            <w:r w:rsidR="00EE6AA2">
              <w:rPr>
                <w:rFonts w:ascii="Arial" w:hAnsi="Arial" w:cs="Arial"/>
                <w:color w:val="000000" w:themeColor="text1"/>
                <w:lang w:val="sr-Cyrl-BA"/>
              </w:rPr>
              <w:t>е</w:t>
            </w:r>
            <w:r>
              <w:rPr>
                <w:rFonts w:ascii="Arial" w:hAnsi="Arial" w:cs="Arial"/>
                <w:color w:val="000000" w:themeColor="text1"/>
                <w:lang w:val="sr-Cyrl-BA"/>
              </w:rPr>
              <w:t>ц</w:t>
            </w:r>
            <w:r w:rsidR="00EE6AA2">
              <w:rPr>
                <w:rFonts w:ascii="Arial" w:hAnsi="Arial" w:cs="Arial"/>
                <w:color w:val="000000" w:themeColor="text1"/>
                <w:lang w:val="sr-Cyrl-BA"/>
              </w:rPr>
              <w:t>е</w:t>
            </w:r>
            <w:r w:rsidR="00B04FA8">
              <w:rPr>
                <w:rFonts w:ascii="Arial" w:hAnsi="Arial" w:cs="Arial"/>
                <w:color w:val="000000" w:themeColor="text1"/>
                <w:lang w:val="sr-Cyrl-BA"/>
              </w:rPr>
              <w:t xml:space="preserve"> са </w:t>
            </w:r>
            <w:r w:rsidR="0071360A">
              <w:rPr>
                <w:rFonts w:ascii="Arial" w:hAnsi="Arial" w:cs="Arial"/>
                <w:color w:val="000000" w:themeColor="text1"/>
                <w:lang w:val="sr-Cyrl-BA"/>
              </w:rPr>
              <w:t>п</w:t>
            </w:r>
            <w:r>
              <w:rPr>
                <w:rFonts w:ascii="Arial" w:hAnsi="Arial" w:cs="Arial"/>
                <w:color w:val="000000" w:themeColor="text1"/>
                <w:lang w:val="sr-Cyrl-BA"/>
              </w:rPr>
              <w:t>о</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ш</w:t>
            </w:r>
            <w:r>
              <w:rPr>
                <w:rFonts w:ascii="Arial" w:hAnsi="Arial" w:cs="Arial"/>
                <w:color w:val="000000" w:themeColor="text1"/>
                <w:lang w:val="sr-Cyrl-BA"/>
              </w:rPr>
              <w:t>коћама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sidR="0071360A">
              <w:rPr>
                <w:rFonts w:ascii="Arial" w:hAnsi="Arial" w:cs="Arial"/>
                <w:color w:val="000000" w:themeColor="text1"/>
                <w:lang w:val="sr-Cyrl-BA"/>
              </w:rPr>
              <w:t>в</w:t>
            </w:r>
            <w:r>
              <w:rPr>
                <w:rFonts w:ascii="Arial" w:hAnsi="Arial" w:cs="Arial"/>
                <w:color w:val="000000" w:themeColor="text1"/>
                <w:lang w:val="sr-Cyrl-BA"/>
              </w:rPr>
              <w:t>ој</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w:t>
            </w:r>
            <w:r>
              <w:rPr>
                <w:rFonts w:ascii="Arial" w:hAnsi="Arial" w:cs="Arial"/>
                <w:color w:val="000000" w:themeColor="text1"/>
                <w:lang w:val="sr-Cyrl-BA"/>
              </w:rPr>
              <w:t>о</w:t>
            </w:r>
            <w:r w:rsidR="0071360A">
              <w:rPr>
                <w:rFonts w:ascii="Arial" w:hAnsi="Arial" w:cs="Arial"/>
                <w:color w:val="000000" w:themeColor="text1"/>
                <w:lang w:val="sr-Cyrl-BA"/>
              </w:rPr>
              <w:t>с</w:t>
            </w:r>
            <w:r>
              <w:rPr>
                <w:rFonts w:ascii="Arial" w:hAnsi="Arial" w:cs="Arial"/>
                <w:color w:val="000000" w:themeColor="text1"/>
                <w:lang w:val="sr-Cyrl-BA"/>
              </w:rPr>
              <w:t>оба</w:t>
            </w:r>
            <w:r w:rsidR="00B04FA8">
              <w:rPr>
                <w:rFonts w:ascii="Arial" w:hAnsi="Arial" w:cs="Arial"/>
                <w:color w:val="000000" w:themeColor="text1"/>
                <w:lang w:val="sr-Cyrl-BA"/>
              </w:rPr>
              <w:t xml:space="preserve"> са </w:t>
            </w:r>
            <w:r>
              <w:rPr>
                <w:rFonts w:ascii="Arial" w:hAnsi="Arial" w:cs="Arial"/>
                <w:color w:val="000000" w:themeColor="text1"/>
                <w:lang w:val="sr-Cyrl-BA"/>
              </w:rPr>
              <w:t>ин</w:t>
            </w:r>
            <w:r w:rsidR="0071360A">
              <w:rPr>
                <w:rFonts w:ascii="Arial" w:hAnsi="Arial" w:cs="Arial"/>
                <w:color w:val="000000" w:themeColor="text1"/>
                <w:lang w:val="sr-Cyrl-BA"/>
              </w:rPr>
              <w:t>в</w:t>
            </w:r>
            <w:r>
              <w:rPr>
                <w:rFonts w:ascii="Arial" w:hAnsi="Arial" w:cs="Arial"/>
                <w:color w:val="000000" w:themeColor="text1"/>
                <w:lang w:val="sr-Cyrl-BA"/>
              </w:rPr>
              <w:t>алиди</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ом</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до</w:t>
            </w:r>
            <w:r w:rsidR="0071360A">
              <w:rPr>
                <w:rFonts w:ascii="Arial" w:hAnsi="Arial" w:cs="Arial"/>
                <w:color w:val="000000" w:themeColor="text1"/>
                <w:lang w:val="sr-Cyrl-BA"/>
              </w:rPr>
              <w:t>в</w:t>
            </w:r>
            <w:r>
              <w:rPr>
                <w:rFonts w:ascii="Arial" w:hAnsi="Arial" w:cs="Arial"/>
                <w:color w:val="000000" w:themeColor="text1"/>
                <w:lang w:val="sr-Cyrl-BA"/>
              </w:rPr>
              <w:t>ни</w:t>
            </w:r>
            <w:r w:rsidR="00DB12EE"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и</w:t>
            </w:r>
            <w:r w:rsidR="0071360A">
              <w:rPr>
                <w:rFonts w:ascii="Arial" w:hAnsi="Arial" w:cs="Arial"/>
                <w:color w:val="000000" w:themeColor="text1"/>
                <w:lang w:val="sr-Cyrl-BA"/>
              </w:rPr>
              <w:t>ст</w:t>
            </w:r>
            <w:r w:rsidR="00EE6AA2">
              <w:rPr>
                <w:rFonts w:ascii="Arial" w:hAnsi="Arial" w:cs="Arial"/>
                <w:color w:val="000000" w:themeColor="text1"/>
                <w:lang w:val="sr-Cyrl-BA"/>
              </w:rPr>
              <w:t>е</w:t>
            </w:r>
            <w:r>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p>
          <w:p w14:paraId="52B8ACE7" w14:textId="614CA2C2" w:rsidR="00892898" w:rsidRPr="00F6340E" w:rsidRDefault="0071360A" w:rsidP="00115925">
            <w:pPr>
              <w:pStyle w:val="ListParagraph"/>
              <w:numPr>
                <w:ilvl w:val="0"/>
                <w:numId w:val="36"/>
              </w:numPr>
              <w:jc w:val="left"/>
              <w:rPr>
                <w:rFonts w:ascii="Arial" w:hAnsi="Arial" w:cs="Arial"/>
                <w:color w:val="000000" w:themeColor="text1"/>
                <w:lang w:val="sr-Cyrl-BA"/>
              </w:rPr>
            </w:pPr>
            <w:r>
              <w:rPr>
                <w:rFonts w:ascii="Arial" w:hAnsi="Arial" w:cs="Arial"/>
                <w:b/>
                <w:color w:val="000000" w:themeColor="text1"/>
                <w:lang w:val="sr-Cyrl-BA"/>
              </w:rPr>
              <w:t>У</w:t>
            </w:r>
            <w:r w:rsidR="00A56E08">
              <w:rPr>
                <w:rFonts w:ascii="Arial" w:hAnsi="Arial" w:cs="Arial"/>
                <w:b/>
                <w:color w:val="000000" w:themeColor="text1"/>
                <w:lang w:val="sr-Cyrl-BA"/>
              </w:rPr>
              <w:t>чини</w:t>
            </w:r>
            <w:r>
              <w:rPr>
                <w:rFonts w:ascii="Arial" w:hAnsi="Arial" w:cs="Arial"/>
                <w:b/>
                <w:color w:val="000000" w:themeColor="text1"/>
                <w:lang w:val="sr-Cyrl-BA"/>
              </w:rPr>
              <w:t>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об</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о</w:t>
            </w:r>
            <w:r>
              <w:rPr>
                <w:rFonts w:ascii="Arial" w:hAnsi="Arial" w:cs="Arial"/>
                <w:b/>
                <w:color w:val="000000" w:themeColor="text1"/>
                <w:lang w:val="sr-Cyrl-BA"/>
              </w:rPr>
              <w:t>в</w:t>
            </w:r>
            <w:r w:rsidR="00A56E08">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ин</w:t>
            </w:r>
            <w:r>
              <w:rPr>
                <w:rFonts w:ascii="Arial" w:hAnsi="Arial" w:cs="Arial"/>
                <w:b/>
                <w:color w:val="000000" w:themeColor="text1"/>
                <w:lang w:val="sr-Cyrl-BA"/>
              </w:rPr>
              <w:t>ст</w:t>
            </w:r>
            <w:r w:rsidR="00A56E08">
              <w:rPr>
                <w:rFonts w:ascii="Arial" w:hAnsi="Arial" w:cs="Arial"/>
                <w:b/>
                <w:color w:val="000000" w:themeColor="text1"/>
                <w:lang w:val="sr-Cyrl-BA"/>
              </w:rPr>
              <w:t>и</w:t>
            </w:r>
            <w:r>
              <w:rPr>
                <w:rFonts w:ascii="Arial" w:hAnsi="Arial" w:cs="Arial"/>
                <w:b/>
                <w:color w:val="000000" w:themeColor="text1"/>
                <w:lang w:val="sr-Cyrl-BA"/>
              </w:rPr>
              <w:t>ту</w:t>
            </w:r>
            <w:r w:rsidR="00A56E08">
              <w:rPr>
                <w:rFonts w:ascii="Arial" w:hAnsi="Arial" w:cs="Arial"/>
                <w:b/>
                <w:color w:val="000000" w:themeColor="text1"/>
                <w:lang w:val="sr-Cyrl-BA"/>
              </w:rPr>
              <w:t>циј</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пр</w:t>
            </w:r>
            <w:r w:rsidR="00A56E08">
              <w:rPr>
                <w:rFonts w:ascii="Arial" w:hAnsi="Arial" w:cs="Arial"/>
                <w:b/>
                <w:color w:val="000000" w:themeColor="text1"/>
                <w:lang w:val="sr-Cyrl-BA"/>
              </w:rPr>
              <w:t>и</w:t>
            </w:r>
            <w:r>
              <w:rPr>
                <w:rFonts w:ascii="Arial" w:hAnsi="Arial" w:cs="Arial"/>
                <w:b/>
                <w:color w:val="000000" w:themeColor="text1"/>
                <w:lang w:val="sr-Cyrl-BA"/>
              </w:rPr>
              <w:t>ступ</w:t>
            </w:r>
            <w:r w:rsidR="00A56E08">
              <w:rPr>
                <w:rFonts w:ascii="Arial" w:hAnsi="Arial" w:cs="Arial"/>
                <w:b/>
                <w:color w:val="000000" w:themeColor="text1"/>
                <w:lang w:val="sr-Cyrl-BA"/>
              </w:rPr>
              <w:t>ачним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A56E08">
              <w:rPr>
                <w:rFonts w:ascii="Arial" w:hAnsi="Arial" w:cs="Arial"/>
                <w:b/>
                <w:color w:val="000000" w:themeColor="text1"/>
                <w:lang w:val="sr-Cyrl-BA"/>
              </w:rPr>
              <w:t>клањањ</w:t>
            </w:r>
            <w:r w:rsidR="00EE6AA2">
              <w:rPr>
                <w:rFonts w:ascii="Arial" w:hAnsi="Arial" w:cs="Arial"/>
                <w:b/>
                <w:color w:val="000000" w:themeColor="text1"/>
                <w:lang w:val="sr-Cyrl-BA"/>
              </w:rPr>
              <w:t>е</w:t>
            </w:r>
            <w:r w:rsidR="00A56E08">
              <w:rPr>
                <w:rFonts w:ascii="Arial" w:hAnsi="Arial" w:cs="Arial"/>
                <w:b/>
                <w:color w:val="000000" w:themeColor="text1"/>
                <w:lang w:val="sr-Cyrl-BA"/>
              </w:rPr>
              <w:t>м</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ком</w:t>
            </w:r>
            <w:r>
              <w:rPr>
                <w:rFonts w:ascii="Arial" w:hAnsi="Arial" w:cs="Arial"/>
                <w:b/>
                <w:color w:val="000000" w:themeColor="text1"/>
                <w:lang w:val="sr-Cyrl-BA"/>
              </w:rPr>
              <w:t>у</w:t>
            </w:r>
            <w:r w:rsidR="00A56E08">
              <w:rPr>
                <w:rFonts w:ascii="Arial" w:hAnsi="Arial" w:cs="Arial"/>
                <w:b/>
                <w:color w:val="000000" w:themeColor="text1"/>
                <w:lang w:val="sr-Cyrl-BA"/>
              </w:rPr>
              <w:t>никационих</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св</w:t>
            </w:r>
            <w:r w:rsidR="00A56E08">
              <w:rPr>
                <w:rFonts w:ascii="Arial" w:hAnsi="Arial" w:cs="Arial"/>
                <w:b/>
                <w:color w:val="000000" w:themeColor="text1"/>
                <w:lang w:val="sr-Cyrl-BA"/>
              </w:rPr>
              <w:t>их</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w:t>
            </w:r>
            <w:r>
              <w:rPr>
                <w:rFonts w:ascii="Arial" w:hAnsi="Arial" w:cs="Arial"/>
                <w:b/>
                <w:color w:val="000000" w:themeColor="text1"/>
                <w:lang w:val="sr-Cyrl-BA"/>
              </w:rPr>
              <w:t>ст</w:t>
            </w:r>
            <w:r w:rsidR="00A56E08">
              <w:rPr>
                <w:rFonts w:ascii="Arial" w:hAnsi="Arial" w:cs="Arial"/>
                <w:b/>
                <w:color w:val="000000" w:themeColor="text1"/>
                <w:lang w:val="sr-Cyrl-BA"/>
              </w:rPr>
              <w:t>алих</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пр</w:t>
            </w:r>
            <w:r w:rsidR="00EE6AA2">
              <w:rPr>
                <w:rFonts w:ascii="Arial" w:hAnsi="Arial" w:cs="Arial"/>
                <w:b/>
                <w:color w:val="000000" w:themeColor="text1"/>
                <w:lang w:val="sr-Cyrl-BA"/>
              </w:rPr>
              <w:t>е</w:t>
            </w:r>
            <w:r>
              <w:rPr>
                <w:rFonts w:ascii="Arial" w:hAnsi="Arial" w:cs="Arial"/>
                <w:b/>
                <w:color w:val="000000" w:themeColor="text1"/>
                <w:lang w:val="sr-Cyrl-BA"/>
              </w:rPr>
              <w:t>пр</w:t>
            </w:r>
            <w:r w:rsidR="00EE6AA2">
              <w:rPr>
                <w:rFonts w:ascii="Arial" w:hAnsi="Arial" w:cs="Arial"/>
                <w:b/>
                <w:color w:val="000000" w:themeColor="text1"/>
                <w:lang w:val="sr-Cyrl-BA"/>
              </w:rPr>
              <w:t>е</w:t>
            </w:r>
            <w:r w:rsidR="00A56E08">
              <w:rPr>
                <w:rFonts w:ascii="Arial" w:hAnsi="Arial" w:cs="Arial"/>
                <w:b/>
                <w:color w:val="000000" w:themeColor="text1"/>
                <w:lang w:val="sr-Cyrl-BA"/>
              </w:rPr>
              <w:t>ка</w:t>
            </w:r>
          </w:p>
          <w:p w14:paraId="11CE08F7" w14:textId="3C0B0846" w:rsidR="00892898" w:rsidRPr="00F6340E" w:rsidRDefault="0071360A" w:rsidP="00115925">
            <w:pPr>
              <w:pStyle w:val="ListParagraph"/>
              <w:ind w:left="360"/>
              <w:jc w:val="left"/>
              <w:rPr>
                <w:lang w:val="sr-Cyrl-BA"/>
              </w:rPr>
            </w:pPr>
            <w:r>
              <w:rPr>
                <w:rFonts w:ascii="Arial" w:hAnsi="Arial" w:cs="Arial"/>
                <w:color w:val="000000" w:themeColor="text1"/>
                <w:lang w:val="sr-Cyrl-BA"/>
              </w:rPr>
              <w:t>У</w:t>
            </w:r>
            <w:r w:rsidR="00A56E08">
              <w:rPr>
                <w:rFonts w:ascii="Arial" w:hAnsi="Arial" w:cs="Arial"/>
                <w:color w:val="000000" w:themeColor="text1"/>
                <w:lang w:val="sr-Cyrl-BA"/>
              </w:rPr>
              <w:t>клањањ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ој</w:t>
            </w:r>
            <w:r w:rsidR="00EE6AA2">
              <w:rPr>
                <w:rFonts w:ascii="Arial" w:hAnsi="Arial" w:cs="Arial"/>
                <w:color w:val="000000" w:themeColor="text1"/>
                <w:lang w:val="sr-Cyrl-BA"/>
              </w:rPr>
              <w:t>е</w:t>
            </w:r>
            <w:r w:rsidR="00A56E08">
              <w:rPr>
                <w:rFonts w:ascii="Arial" w:hAnsi="Arial" w:cs="Arial"/>
                <w:color w:val="000000" w:themeColor="text1"/>
                <w:lang w:val="sr-Cyrl-BA"/>
              </w:rPr>
              <w:t>ћих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EE6AA2">
              <w:rPr>
                <w:rFonts w:ascii="Arial" w:hAnsi="Arial" w:cs="Arial"/>
                <w:color w:val="000000" w:themeColor="text1"/>
                <w:lang w:val="sr-Cyrl-BA"/>
              </w:rPr>
              <w:t>е</w:t>
            </w:r>
            <w:r>
              <w:rPr>
                <w:rFonts w:ascii="Arial" w:hAnsi="Arial" w:cs="Arial"/>
                <w:color w:val="000000" w:themeColor="text1"/>
                <w:lang w:val="sr-Cyrl-BA"/>
              </w:rPr>
              <w:t>пр</w:t>
            </w:r>
            <w:r w:rsidR="00EE6AA2">
              <w:rPr>
                <w:rFonts w:ascii="Arial" w:hAnsi="Arial" w:cs="Arial"/>
                <w:color w:val="000000" w:themeColor="text1"/>
                <w:lang w:val="sr-Cyrl-BA"/>
              </w:rPr>
              <w:t>е</w:t>
            </w:r>
            <w:r w:rsidR="00A56E08">
              <w:rPr>
                <w:rFonts w:ascii="Arial" w:hAnsi="Arial" w:cs="Arial"/>
                <w:color w:val="000000" w:themeColor="text1"/>
                <w:lang w:val="sr-Cyrl-BA"/>
              </w:rPr>
              <w:t>ка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EE6AA2">
              <w:rPr>
                <w:rFonts w:ascii="Arial" w:hAnsi="Arial" w:cs="Arial"/>
                <w:color w:val="000000" w:themeColor="text1"/>
                <w:lang w:val="sr-Cyrl-BA"/>
              </w:rPr>
              <w:t>е</w:t>
            </w:r>
            <w:r w:rsidR="00A56E08">
              <w:rPr>
                <w:rFonts w:ascii="Arial" w:hAnsi="Arial" w:cs="Arial"/>
                <w:color w:val="000000" w:themeColor="text1"/>
                <w:lang w:val="sr-Cyrl-BA"/>
              </w:rPr>
              <w:t>д</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ља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ан</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фак</w:t>
            </w:r>
            <w:r>
              <w:rPr>
                <w:rFonts w:ascii="Arial" w:hAnsi="Arial" w:cs="Arial"/>
                <w:color w:val="000000" w:themeColor="text1"/>
                <w:lang w:val="sr-Cyrl-BA"/>
              </w:rPr>
              <w:t>т</w:t>
            </w:r>
            <w:r w:rsidR="00A56E08">
              <w:rPr>
                <w:rFonts w:ascii="Arial" w:hAnsi="Arial" w:cs="Arial"/>
                <w:color w:val="000000" w:themeColor="text1"/>
                <w:lang w:val="sr-Cyrl-BA"/>
              </w:rPr>
              <w:t>о</w:t>
            </w:r>
            <w:r>
              <w:rPr>
                <w:rFonts w:ascii="Arial" w:hAnsi="Arial" w:cs="Arial"/>
                <w:color w:val="000000" w:themeColor="text1"/>
                <w:lang w:val="sr-Cyrl-BA"/>
              </w:rPr>
              <w:t>р</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EE6AA2">
              <w:rPr>
                <w:rFonts w:ascii="Arial" w:hAnsi="Arial" w:cs="Arial"/>
                <w:color w:val="000000" w:themeColor="text1"/>
                <w:lang w:val="sr-Cyrl-BA"/>
              </w:rPr>
              <w:t>е</w:t>
            </w:r>
            <w:r w:rsidR="00A56E08">
              <w:rPr>
                <w:rFonts w:ascii="Arial" w:hAnsi="Arial" w:cs="Arial"/>
                <w:color w:val="000000" w:themeColor="text1"/>
                <w:lang w:val="sr-Cyrl-BA"/>
              </w:rPr>
              <w:t>м</w:t>
            </w:r>
            <w:r>
              <w:rPr>
                <w:rFonts w:ascii="Arial" w:hAnsi="Arial" w:cs="Arial"/>
                <w:color w:val="000000" w:themeColor="text1"/>
                <w:lang w:val="sr-Cyrl-BA"/>
              </w:rPr>
              <w:t>с</w:t>
            </w:r>
            <w:r w:rsidR="00A56E08">
              <w:rPr>
                <w:rFonts w:ascii="Arial" w:hAnsi="Arial" w:cs="Arial"/>
                <w:color w:val="000000" w:themeColor="text1"/>
                <w:lang w:val="sr-Cyrl-BA"/>
              </w:rPr>
              <w:t>ком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w:t>
            </w:r>
            <w:r>
              <w:rPr>
                <w:rFonts w:ascii="Arial" w:hAnsi="Arial" w:cs="Arial"/>
                <w:color w:val="000000" w:themeColor="text1"/>
                <w:lang w:val="sr-Cyrl-BA"/>
              </w:rPr>
              <w:t>ступу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ств</w:t>
            </w:r>
            <w:r w:rsidR="00A56E08">
              <w:rPr>
                <w:rFonts w:ascii="Arial" w:hAnsi="Arial" w:cs="Arial"/>
                <w:color w:val="000000" w:themeColor="text1"/>
                <w:lang w:val="sr-Cyrl-BA"/>
              </w:rPr>
              <w:t>а</w:t>
            </w:r>
            <w:r>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одно</w:t>
            </w:r>
            <w:r>
              <w:rPr>
                <w:rFonts w:ascii="Arial" w:hAnsi="Arial" w:cs="Arial"/>
                <w:color w:val="000000" w:themeColor="text1"/>
                <w:lang w:val="sr-Cyrl-BA"/>
              </w:rPr>
              <w:t>с</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и</w:t>
            </w:r>
            <w:r>
              <w:rPr>
                <w:rFonts w:ascii="Arial" w:hAnsi="Arial" w:cs="Arial"/>
                <w:color w:val="000000" w:themeColor="text1"/>
                <w:lang w:val="sr-Cyrl-BA"/>
              </w:rPr>
              <w:t>р</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у</w:t>
            </w:r>
            <w:r w:rsidR="00A56E08">
              <w:rPr>
                <w:rFonts w:ascii="Arial" w:hAnsi="Arial" w:cs="Arial"/>
                <w:color w:val="000000" w:themeColor="text1"/>
                <w:lang w:val="sr-Cyrl-BA"/>
              </w:rPr>
              <w:t>ча</w:t>
            </w:r>
            <w:r>
              <w:rPr>
                <w:rFonts w:ascii="Arial" w:hAnsi="Arial" w:cs="Arial"/>
                <w:color w:val="000000" w:themeColor="text1"/>
                <w:lang w:val="sr-Cyrl-BA"/>
              </w:rPr>
              <w:t>в</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илагођ</w:t>
            </w:r>
            <w:r w:rsidR="00EE6AA2">
              <w:rPr>
                <w:rFonts w:ascii="Arial" w:hAnsi="Arial" w:cs="Arial"/>
                <w:color w:val="000000" w:themeColor="text1"/>
                <w:lang w:val="sr-Cyrl-BA"/>
              </w:rPr>
              <w:t>е</w:t>
            </w:r>
            <w:r w:rsidR="00A56E08">
              <w:rPr>
                <w:rFonts w:ascii="Arial" w:hAnsi="Arial" w:cs="Arial"/>
                <w:color w:val="000000" w:themeColor="text1"/>
                <w:lang w:val="sr-Cyrl-BA"/>
              </w:rPr>
              <w:t>ног</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имј</w:t>
            </w:r>
            <w:r w:rsidR="00EE6AA2">
              <w:rPr>
                <w:rFonts w:ascii="Arial" w:hAnsi="Arial" w:cs="Arial"/>
                <w:color w:val="000000" w:themeColor="text1"/>
                <w:lang w:val="sr-Cyrl-BA"/>
              </w:rPr>
              <w:t>е</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којом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одго</w:t>
            </w:r>
            <w:r>
              <w:rPr>
                <w:rFonts w:ascii="Arial" w:hAnsi="Arial" w:cs="Arial"/>
                <w:color w:val="000000" w:themeColor="text1"/>
                <w:lang w:val="sr-Cyrl-BA"/>
              </w:rPr>
              <w:t>в</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ило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сп</w:t>
            </w:r>
            <w:r w:rsidR="00EE6AA2">
              <w:rPr>
                <w:rFonts w:ascii="Arial" w:hAnsi="Arial" w:cs="Arial"/>
                <w:color w:val="000000" w:themeColor="text1"/>
                <w:lang w:val="sr-Cyrl-BA"/>
              </w:rPr>
              <w:t>е</w:t>
            </w:r>
            <w:r w:rsidR="00A56E08">
              <w:rPr>
                <w:rFonts w:ascii="Arial" w:hAnsi="Arial" w:cs="Arial"/>
                <w:color w:val="000000" w:themeColor="text1"/>
                <w:lang w:val="sr-Cyrl-BA"/>
              </w:rPr>
              <w:t>цифичн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92898"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на</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оц</w:t>
            </w:r>
            <w:r w:rsidR="00EE6AA2">
              <w:rPr>
                <w:rFonts w:ascii="Arial" w:hAnsi="Arial" w:cs="Arial"/>
                <w:color w:val="000000" w:themeColor="text1"/>
                <w:lang w:val="sr-Cyrl-BA"/>
              </w:rPr>
              <w:t>е</w:t>
            </w:r>
            <w:r>
              <w:rPr>
                <w:rFonts w:ascii="Arial" w:hAnsi="Arial" w:cs="Arial"/>
                <w:color w:val="000000" w:themeColor="text1"/>
                <w:lang w:val="sr-Cyrl-BA"/>
              </w:rPr>
              <w:t>су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у</w:t>
            </w:r>
            <w:r w:rsidR="00A56E08">
              <w:rPr>
                <w:rFonts w:ascii="Arial" w:hAnsi="Arial" w:cs="Arial"/>
                <w:color w:val="000000" w:themeColor="text1"/>
                <w:lang w:val="sr-Cyrl-BA"/>
              </w:rPr>
              <w:t>ча</w:t>
            </w:r>
            <w:r>
              <w:rPr>
                <w:rFonts w:ascii="Arial" w:hAnsi="Arial" w:cs="Arial"/>
                <w:color w:val="000000" w:themeColor="text1"/>
                <w:lang w:val="sr-Cyrl-BA"/>
              </w:rPr>
              <w:t>в</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али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аћ</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вр</w:t>
            </w:r>
            <w:r w:rsidR="00EE6AA2">
              <w:rPr>
                <w:rFonts w:ascii="Arial" w:hAnsi="Arial" w:cs="Arial"/>
                <w:color w:val="000000" w:themeColor="text1"/>
                <w:lang w:val="sr-Cyrl-BA"/>
              </w:rPr>
              <w:t>е</w:t>
            </w:r>
            <w:r w:rsidR="00A56E08">
              <w:rPr>
                <w:rFonts w:ascii="Arial" w:hAnsi="Arial" w:cs="Arial"/>
                <w:color w:val="000000" w:themeColor="text1"/>
                <w:lang w:val="sr-Cyrl-BA"/>
              </w:rPr>
              <w:t>дно</w:t>
            </w:r>
            <w:r>
              <w:rPr>
                <w:rFonts w:ascii="Arial" w:hAnsi="Arial" w:cs="Arial"/>
                <w:color w:val="000000" w:themeColor="text1"/>
                <w:lang w:val="sr-Cyrl-BA"/>
              </w:rPr>
              <w:t>в</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њихо</w:t>
            </w:r>
            <w:r>
              <w:rPr>
                <w:rFonts w:ascii="Arial" w:hAnsi="Arial" w:cs="Arial"/>
                <w:color w:val="000000" w:themeColor="text1"/>
                <w:lang w:val="sr-Cyrl-BA"/>
              </w:rPr>
              <w:t>в</w:t>
            </w:r>
            <w:r w:rsidR="00A56E08">
              <w:rPr>
                <w:rFonts w:ascii="Arial" w:hAnsi="Arial" w:cs="Arial"/>
                <w:color w:val="000000" w:themeColor="text1"/>
                <w:lang w:val="sr-Cyrl-BA"/>
              </w:rPr>
              <w:t>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игн</w:t>
            </w:r>
            <w:r>
              <w:rPr>
                <w:rFonts w:ascii="Arial" w:hAnsi="Arial" w:cs="Arial"/>
                <w:color w:val="000000" w:themeColor="text1"/>
                <w:lang w:val="sr-Cyrl-BA"/>
              </w:rPr>
              <w:t>у</w:t>
            </w:r>
            <w:r w:rsidR="00A56E08">
              <w:rPr>
                <w:rFonts w:ascii="Arial" w:hAnsi="Arial" w:cs="Arial"/>
                <w:color w:val="000000" w:themeColor="text1"/>
                <w:lang w:val="sr-Cyrl-BA"/>
              </w:rPr>
              <w:t>ћа</w:t>
            </w:r>
            <w:r w:rsidR="00892898" w:rsidRPr="00F6340E">
              <w:rPr>
                <w:rFonts w:ascii="Arial" w:hAnsi="Arial" w:cs="Arial"/>
                <w:color w:val="000000" w:themeColor="text1"/>
                <w:lang w:val="sr-Cyrl-BA"/>
              </w:rPr>
              <w:t>.</w:t>
            </w:r>
            <w:r w:rsidR="007F543C"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имј</w:t>
            </w:r>
            <w:r w:rsidR="00EE6AA2">
              <w:rPr>
                <w:rFonts w:ascii="Arial" w:hAnsi="Arial" w:cs="Arial"/>
                <w:color w:val="000000" w:themeColor="text1"/>
                <w:lang w:val="sr-Cyrl-BA"/>
              </w:rPr>
              <w:t>е</w:t>
            </w:r>
            <w:r w:rsidR="00A56E08">
              <w:rPr>
                <w:rFonts w:ascii="Arial" w:hAnsi="Arial" w:cs="Arial"/>
                <w:color w:val="000000" w:themeColor="text1"/>
                <w:lang w:val="sr-Cyrl-BA"/>
              </w:rPr>
              <w:t>на</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E83305"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w:t>
            </w:r>
            <w:r w:rsidR="00EE6AA2">
              <w:rPr>
                <w:rFonts w:ascii="Arial" w:hAnsi="Arial" w:cs="Arial"/>
                <w:color w:val="000000" w:themeColor="text1"/>
                <w:lang w:val="sr-Cyrl-BA"/>
              </w:rPr>
              <w:t>е</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која</w:t>
            </w:r>
            <w:r w:rsidR="00E83305"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ба</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р</w:t>
            </w:r>
            <w:r w:rsidR="00A56E08">
              <w:rPr>
                <w:rFonts w:ascii="Arial" w:hAnsi="Arial" w:cs="Arial"/>
                <w:color w:val="000000" w:themeColor="text1"/>
                <w:lang w:val="sr-Cyrl-BA"/>
              </w:rPr>
              <w:t>а</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инфо</w:t>
            </w:r>
            <w:r>
              <w:rPr>
                <w:rFonts w:ascii="Arial" w:hAnsi="Arial" w:cs="Arial"/>
                <w:color w:val="000000" w:themeColor="text1"/>
                <w:lang w:val="sr-Cyrl-BA"/>
              </w:rPr>
              <w:t>р</w:t>
            </w:r>
            <w:r w:rsidR="00A56E08">
              <w:rPr>
                <w:rFonts w:ascii="Arial" w:hAnsi="Arial" w:cs="Arial"/>
                <w:color w:val="000000" w:themeColor="text1"/>
                <w:lang w:val="sr-Cyrl-BA"/>
              </w:rPr>
              <w:t>ма</w:t>
            </w:r>
            <w:r>
              <w:rPr>
                <w:rFonts w:ascii="Arial" w:hAnsi="Arial" w:cs="Arial"/>
                <w:color w:val="000000" w:themeColor="text1"/>
                <w:lang w:val="sr-Cyrl-BA"/>
              </w:rPr>
              <w:t>т</w:t>
            </w:r>
            <w:r w:rsidR="00A56E08">
              <w:rPr>
                <w:rFonts w:ascii="Arial" w:hAnsi="Arial" w:cs="Arial"/>
                <w:color w:val="000000" w:themeColor="text1"/>
                <w:lang w:val="sr-Cyrl-BA"/>
              </w:rPr>
              <w:t>ичко</w:t>
            </w:r>
            <w:r w:rsidR="004F6B18" w:rsidRPr="00F6340E">
              <w:rPr>
                <w:rFonts w:ascii="Arial" w:hAnsi="Arial" w:cs="Arial"/>
                <w:color w:val="000000" w:themeColor="text1"/>
                <w:lang w:val="sr-Cyrl-BA"/>
              </w:rPr>
              <w:t xml:space="preserve"> -</w:t>
            </w:r>
            <w:r w:rsidR="00E83305"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у</w:t>
            </w:r>
            <w:r w:rsidR="00A56E08">
              <w:rPr>
                <w:rFonts w:ascii="Arial" w:hAnsi="Arial" w:cs="Arial"/>
                <w:color w:val="000000" w:themeColor="text1"/>
                <w:lang w:val="sr-Cyrl-BA"/>
              </w:rPr>
              <w:t>никационој</w:t>
            </w:r>
            <w:r w:rsidR="00E83305"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хнологији</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омог</w:t>
            </w:r>
            <w:r>
              <w:rPr>
                <w:rFonts w:ascii="Arial" w:hAnsi="Arial" w:cs="Arial"/>
                <w:color w:val="000000" w:themeColor="text1"/>
                <w:lang w:val="sr-Cyrl-BA"/>
              </w:rPr>
              <w:t>у</w:t>
            </w:r>
            <w:r w:rsidR="00A56E08">
              <w:rPr>
                <w:rFonts w:ascii="Arial" w:hAnsi="Arial" w:cs="Arial"/>
                <w:color w:val="000000" w:themeColor="text1"/>
                <w:lang w:val="sr-Cyrl-BA"/>
              </w:rPr>
              <w:t>ћа</w:t>
            </w:r>
            <w:r>
              <w:rPr>
                <w:rFonts w:ascii="Arial" w:hAnsi="Arial" w:cs="Arial"/>
                <w:color w:val="000000" w:themeColor="text1"/>
                <w:lang w:val="sr-Cyrl-BA"/>
              </w:rPr>
              <w:t>в</w:t>
            </w:r>
            <w:r w:rsidR="00A56E08">
              <w:rPr>
                <w:rFonts w:ascii="Arial" w:hAnsi="Arial" w:cs="Arial"/>
                <w:color w:val="000000" w:themeColor="text1"/>
                <w:lang w:val="sr-Cyrl-BA"/>
              </w:rPr>
              <w:t>а</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да</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ници</w:t>
            </w:r>
            <w:r w:rsidR="001123A2" w:rsidRPr="00F6340E">
              <w:rPr>
                <w:rFonts w:ascii="Arial" w:hAnsi="Arial" w:cs="Arial"/>
                <w:color w:val="000000" w:themeColor="text1"/>
                <w:lang w:val="sr-Cyrl-BA"/>
              </w:rPr>
              <w:t>/</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A56E08">
              <w:rPr>
                <w:rFonts w:ascii="Arial" w:hAnsi="Arial" w:cs="Arial"/>
                <w:color w:val="000000" w:themeColor="text1"/>
                <w:lang w:val="sr-Cyrl-BA"/>
              </w:rPr>
              <w:t>и</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ш</w:t>
            </w:r>
            <w:r w:rsidR="00A56E08">
              <w:rPr>
                <w:rFonts w:ascii="Arial" w:hAnsi="Arial" w:cs="Arial"/>
                <w:color w:val="000000" w:themeColor="text1"/>
                <w:lang w:val="sr-Cyrl-BA"/>
              </w:rPr>
              <w:t>коћама</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у</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ој</w:t>
            </w:r>
            <w:r>
              <w:rPr>
                <w:rFonts w:ascii="Arial" w:hAnsi="Arial" w:cs="Arial"/>
                <w:color w:val="000000" w:themeColor="text1"/>
                <w:lang w:val="sr-Cyrl-BA"/>
              </w:rPr>
              <w:t>у</w:t>
            </w:r>
            <w:r w:rsidR="001123A2" w:rsidRPr="00F6340E">
              <w:rPr>
                <w:rFonts w:ascii="Arial" w:hAnsi="Arial" w:cs="Arial"/>
                <w:color w:val="000000" w:themeColor="text1"/>
                <w:lang w:val="sr-Cyrl-BA"/>
              </w:rPr>
              <w:t>/</w:t>
            </w:r>
            <w:r w:rsidR="00A56E08">
              <w:rPr>
                <w:rFonts w:ascii="Arial" w:hAnsi="Arial" w:cs="Arial"/>
                <w:color w:val="000000" w:themeColor="text1"/>
                <w:lang w:val="sr-Cyrl-BA"/>
              </w:rPr>
              <w:t>ин</w:t>
            </w:r>
            <w:r>
              <w:rPr>
                <w:rFonts w:ascii="Arial" w:hAnsi="Arial" w:cs="Arial"/>
                <w:color w:val="000000" w:themeColor="text1"/>
                <w:lang w:val="sr-Cyrl-BA"/>
              </w:rPr>
              <w:t>в</w:t>
            </w:r>
            <w:r w:rsidR="00A56E08">
              <w:rPr>
                <w:rFonts w:ascii="Arial" w:hAnsi="Arial" w:cs="Arial"/>
                <w:color w:val="000000" w:themeColor="text1"/>
                <w:lang w:val="sr-Cyrl-BA"/>
              </w:rPr>
              <w:t>алиди</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ом</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ади</w:t>
            </w:r>
            <w:r>
              <w:rPr>
                <w:rFonts w:ascii="Arial" w:hAnsi="Arial" w:cs="Arial"/>
                <w:color w:val="000000" w:themeColor="text1"/>
                <w:lang w:val="sr-Cyrl-BA"/>
              </w:rPr>
              <w:t>т</w:t>
            </w:r>
            <w:r w:rsidR="00A56E08">
              <w:rPr>
                <w:rFonts w:ascii="Arial" w:hAnsi="Arial" w:cs="Arial"/>
                <w:color w:val="000000" w:themeColor="text1"/>
                <w:lang w:val="sr-Cyrl-BA"/>
              </w:rPr>
              <w:t>и</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чи</w:t>
            </w:r>
            <w:r>
              <w:rPr>
                <w:rFonts w:ascii="Arial" w:hAnsi="Arial" w:cs="Arial"/>
                <w:color w:val="000000" w:themeColor="text1"/>
                <w:lang w:val="sr-Cyrl-BA"/>
              </w:rPr>
              <w:t>т</w:t>
            </w:r>
            <w:r w:rsidR="00A56E08">
              <w:rPr>
                <w:rFonts w:ascii="Arial" w:hAnsi="Arial" w:cs="Arial"/>
                <w:color w:val="000000" w:themeColor="text1"/>
                <w:lang w:val="sr-Cyrl-BA"/>
              </w:rPr>
              <w:t>и</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у</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ту</w:t>
            </w:r>
            <w:r w:rsidR="00A56E08">
              <w:rPr>
                <w:rFonts w:ascii="Arial" w:hAnsi="Arial" w:cs="Arial"/>
                <w:color w:val="000000" w:themeColor="text1"/>
                <w:lang w:val="sr-Cyrl-BA"/>
              </w:rPr>
              <w:t>ацијама</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у</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којима</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њихо</w:t>
            </w:r>
            <w:r>
              <w:rPr>
                <w:rFonts w:ascii="Arial" w:hAnsi="Arial" w:cs="Arial"/>
                <w:color w:val="000000" w:themeColor="text1"/>
                <w:lang w:val="sr-Cyrl-BA"/>
              </w:rPr>
              <w:t>в</w:t>
            </w:r>
            <w:r w:rsidR="00EE6AA2">
              <w:rPr>
                <w:rFonts w:ascii="Arial" w:hAnsi="Arial" w:cs="Arial"/>
                <w:color w:val="000000" w:themeColor="text1"/>
                <w:lang w:val="sr-Cyrl-BA"/>
              </w:rPr>
              <w:t>е</w:t>
            </w:r>
            <w:r w:rsidR="004F6B18" w:rsidRPr="00F6340E">
              <w:rPr>
                <w:rFonts w:ascii="Arial" w:hAnsi="Arial" w:cs="Arial"/>
                <w:color w:val="000000" w:themeColor="text1"/>
                <w:lang w:val="sr-Cyrl-BA"/>
              </w:rPr>
              <w:t xml:space="preserve"> </w:t>
            </w:r>
            <w:r>
              <w:rPr>
                <w:rFonts w:ascii="Arial" w:hAnsi="Arial" w:cs="Arial"/>
                <w:color w:val="000000" w:themeColor="text1"/>
                <w:lang w:val="sr-Cyrl-BA"/>
              </w:rPr>
              <w:t>сп</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обно</w:t>
            </w:r>
            <w:r>
              <w:rPr>
                <w:rFonts w:ascii="Arial" w:hAnsi="Arial" w:cs="Arial"/>
                <w:color w:val="000000" w:themeColor="text1"/>
                <w:lang w:val="sr-Cyrl-BA"/>
              </w:rPr>
              <w:t>ст</w:t>
            </w:r>
            <w:r w:rsidR="00A56E08">
              <w:rPr>
                <w:rFonts w:ascii="Arial" w:hAnsi="Arial" w:cs="Arial"/>
                <w:color w:val="000000" w:themeColor="text1"/>
                <w:lang w:val="sr-Cyrl-BA"/>
              </w:rPr>
              <w:t>и</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доћи</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до</w:t>
            </w:r>
            <w:r w:rsidR="004F6B1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аја</w:t>
            </w:r>
            <w:r w:rsidR="00436C37"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оциј</w:t>
            </w:r>
            <w:r w:rsidR="00EE6AA2">
              <w:rPr>
                <w:rFonts w:ascii="Arial" w:hAnsi="Arial" w:cs="Arial"/>
                <w:color w:val="000000" w:themeColor="text1"/>
                <w:lang w:val="sr-Cyrl-BA"/>
              </w:rPr>
              <w:t>е</w:t>
            </w:r>
            <w:r w:rsidR="00A56E08">
              <w:rPr>
                <w:rFonts w:ascii="Arial" w:hAnsi="Arial" w:cs="Arial"/>
                <w:color w:val="000000" w:themeColor="text1"/>
                <w:lang w:val="sr-Cyrl-BA"/>
              </w:rPr>
              <w:t>ни</w:t>
            </w:r>
            <w:r>
              <w:rPr>
                <w:rFonts w:ascii="Arial" w:hAnsi="Arial" w:cs="Arial"/>
                <w:color w:val="000000" w:themeColor="text1"/>
                <w:lang w:val="sr-Cyrl-BA"/>
              </w:rPr>
              <w:t>т</w:t>
            </w:r>
            <w:r w:rsidR="00A56E08">
              <w:rPr>
                <w:rFonts w:ascii="Arial" w:hAnsi="Arial" w:cs="Arial"/>
                <w:color w:val="000000" w:themeColor="text1"/>
                <w:lang w:val="sr-Cyrl-BA"/>
              </w:rPr>
              <w:t>и</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w:t>
            </w:r>
            <w:r w:rsidR="00EE6AA2">
              <w:rPr>
                <w:rFonts w:ascii="Arial" w:hAnsi="Arial" w:cs="Arial"/>
                <w:color w:val="000000" w:themeColor="text1"/>
                <w:lang w:val="sr-Cyrl-BA"/>
              </w:rPr>
              <w:t>е</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их</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них</w:t>
            </w:r>
            <w:r w:rsidR="006C762F"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ту</w:t>
            </w:r>
            <w:r w:rsidR="00A56E08">
              <w:rPr>
                <w:rFonts w:ascii="Arial" w:hAnsi="Arial" w:cs="Arial"/>
                <w:color w:val="000000" w:themeColor="text1"/>
                <w:lang w:val="sr-Cyrl-BA"/>
              </w:rPr>
              <w:t>ција</w:t>
            </w:r>
            <w:r w:rsidR="001123A2"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на</w:t>
            </w:r>
            <w:r>
              <w:rPr>
                <w:rFonts w:ascii="Arial" w:hAnsi="Arial" w:cs="Arial"/>
                <w:color w:val="000000" w:themeColor="text1"/>
                <w:lang w:val="sr-Cyrl-BA"/>
              </w:rPr>
              <w:t>пр</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56E08">
              <w:rPr>
                <w:rFonts w:ascii="Arial" w:hAnsi="Arial" w:cs="Arial"/>
                <w:color w:val="000000" w:themeColor="text1"/>
                <w:lang w:val="sr-Cyrl-BA"/>
              </w:rPr>
              <w:t>ђ</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w:t>
            </w:r>
            <w:r>
              <w:rPr>
                <w:rFonts w:ascii="Arial" w:hAnsi="Arial" w:cs="Arial"/>
                <w:color w:val="000000" w:themeColor="text1"/>
                <w:lang w:val="sr-Cyrl-BA"/>
              </w:rPr>
              <w:t>ступ</w:t>
            </w:r>
            <w:r w:rsidR="00A56E08">
              <w:rPr>
                <w:rFonts w:ascii="Arial" w:hAnsi="Arial" w:cs="Arial"/>
                <w:color w:val="000000" w:themeColor="text1"/>
                <w:lang w:val="sr-Cyrl-BA"/>
              </w:rPr>
              <w:t>ачно</w:t>
            </w:r>
            <w:r>
              <w:rPr>
                <w:rFonts w:ascii="Arial" w:hAnsi="Arial" w:cs="Arial"/>
                <w:color w:val="000000" w:themeColor="text1"/>
                <w:lang w:val="sr-Cyrl-BA"/>
              </w:rPr>
              <w:t>ст</w:t>
            </w:r>
            <w:r w:rsidR="00A56E08">
              <w:rPr>
                <w:rFonts w:ascii="Arial" w:hAnsi="Arial" w:cs="Arial"/>
                <w:color w:val="000000" w:themeColor="text1"/>
                <w:lang w:val="sr-Cyrl-BA"/>
              </w:rPr>
              <w:t>и</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кон</w:t>
            </w:r>
            <w:r>
              <w:rPr>
                <w:rFonts w:ascii="Arial" w:hAnsi="Arial" w:cs="Arial"/>
                <w:color w:val="000000" w:themeColor="text1"/>
                <w:lang w:val="sr-Cyrl-BA"/>
              </w:rPr>
              <w:t>т</w:t>
            </w:r>
            <w:r w:rsidR="00A56E08">
              <w:rPr>
                <w:rFonts w:ascii="Arial" w:hAnsi="Arial" w:cs="Arial"/>
                <w:color w:val="000000" w:themeColor="text1"/>
                <w:lang w:val="sr-Cyrl-BA"/>
              </w:rPr>
              <w:t>ин</w:t>
            </w:r>
            <w:r>
              <w:rPr>
                <w:rFonts w:ascii="Arial" w:hAnsi="Arial" w:cs="Arial"/>
                <w:color w:val="000000" w:themeColor="text1"/>
                <w:lang w:val="sr-Cyrl-BA"/>
              </w:rPr>
              <w:t>у</w:t>
            </w:r>
            <w:r w:rsidR="00A56E08">
              <w:rPr>
                <w:rFonts w:ascii="Arial" w:hAnsi="Arial" w:cs="Arial"/>
                <w:color w:val="000000" w:themeColor="text1"/>
                <w:lang w:val="sr-Cyrl-BA"/>
              </w:rPr>
              <w:t>ално</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лага</w:t>
            </w:r>
            <w:r>
              <w:rPr>
                <w:rFonts w:ascii="Arial" w:hAnsi="Arial" w:cs="Arial"/>
                <w:color w:val="000000" w:themeColor="text1"/>
                <w:lang w:val="sr-Cyrl-BA"/>
              </w:rPr>
              <w:t>т</w:t>
            </w:r>
            <w:r w:rsidR="00A56E08">
              <w:rPr>
                <w:rFonts w:ascii="Arial" w:hAnsi="Arial" w:cs="Arial"/>
                <w:color w:val="000000" w:themeColor="text1"/>
                <w:lang w:val="sr-Cyrl-BA"/>
              </w:rPr>
              <w:t>и</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у</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т</w:t>
            </w:r>
            <w:r w:rsidR="00A56E08">
              <w:rPr>
                <w:rFonts w:ascii="Arial" w:hAnsi="Arial" w:cs="Arial"/>
                <w:color w:val="000000" w:themeColor="text1"/>
                <w:lang w:val="sr-Cyrl-BA"/>
              </w:rPr>
              <w:t>клањањ</w:t>
            </w:r>
            <w:r w:rsidR="00EE6AA2">
              <w:rPr>
                <w:rFonts w:ascii="Arial" w:hAnsi="Arial" w:cs="Arial"/>
                <w:color w:val="000000" w:themeColor="text1"/>
                <w:lang w:val="sr-Cyrl-BA"/>
              </w:rPr>
              <w:t>е</w:t>
            </w:r>
            <w:r w:rsidR="001123A2" w:rsidRPr="00F6340E">
              <w:rPr>
                <w:rFonts w:ascii="Arial" w:hAnsi="Arial" w:cs="Arial"/>
                <w:color w:val="000000" w:themeColor="text1"/>
                <w:lang w:val="sr-Cyrl-BA"/>
              </w:rPr>
              <w:t xml:space="preserve"> </w:t>
            </w:r>
            <w:r w:rsidR="00A56E08">
              <w:rPr>
                <w:rFonts w:ascii="Arial" w:hAnsi="Arial" w:cs="Arial"/>
                <w:color w:val="000000" w:themeColor="text1"/>
                <w:lang w:val="sr-Cyrl-BA"/>
              </w:rPr>
              <w:t>ид</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т</w:t>
            </w:r>
            <w:r w:rsidR="00A56E08">
              <w:rPr>
                <w:rFonts w:ascii="Arial" w:hAnsi="Arial" w:cs="Arial"/>
                <w:color w:val="000000" w:themeColor="text1"/>
                <w:lang w:val="sr-Cyrl-BA"/>
              </w:rPr>
              <w:t>ифико</w:t>
            </w:r>
            <w:r>
              <w:rPr>
                <w:rFonts w:ascii="Arial" w:hAnsi="Arial" w:cs="Arial"/>
                <w:color w:val="000000" w:themeColor="text1"/>
                <w:lang w:val="sr-Cyrl-BA"/>
              </w:rPr>
              <w:t>в</w:t>
            </w:r>
            <w:r w:rsidR="00A56E08">
              <w:rPr>
                <w:rFonts w:ascii="Arial" w:hAnsi="Arial" w:cs="Arial"/>
                <w:color w:val="000000" w:themeColor="text1"/>
                <w:lang w:val="sr-Cyrl-BA"/>
              </w:rPr>
              <w:t>аних</w:t>
            </w:r>
            <w:r w:rsidR="001123A2"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EE6AA2">
              <w:rPr>
                <w:rFonts w:ascii="Arial" w:hAnsi="Arial" w:cs="Arial"/>
                <w:color w:val="000000" w:themeColor="text1"/>
                <w:lang w:val="sr-Cyrl-BA"/>
              </w:rPr>
              <w:t>е</w:t>
            </w:r>
            <w:r>
              <w:rPr>
                <w:rFonts w:ascii="Arial" w:hAnsi="Arial" w:cs="Arial"/>
                <w:color w:val="000000" w:themeColor="text1"/>
                <w:lang w:val="sr-Cyrl-BA"/>
              </w:rPr>
              <w:t>пр</w:t>
            </w:r>
            <w:r w:rsidR="00EE6AA2">
              <w:rPr>
                <w:rFonts w:ascii="Arial" w:hAnsi="Arial" w:cs="Arial"/>
                <w:color w:val="000000" w:themeColor="text1"/>
                <w:lang w:val="sr-Cyrl-BA"/>
              </w:rPr>
              <w:t>е</w:t>
            </w:r>
            <w:r w:rsidR="00A56E08">
              <w:rPr>
                <w:rFonts w:ascii="Arial" w:hAnsi="Arial" w:cs="Arial"/>
                <w:color w:val="000000" w:themeColor="text1"/>
                <w:lang w:val="sr-Cyrl-BA"/>
              </w:rPr>
              <w:t>ка</w:t>
            </w:r>
            <w:r w:rsidR="001123A2" w:rsidRPr="00F6340E">
              <w:rPr>
                <w:rFonts w:ascii="Arial" w:hAnsi="Arial" w:cs="Arial"/>
                <w:color w:val="000000" w:themeColor="text1"/>
                <w:lang w:val="sr-Cyrl-BA"/>
              </w:rPr>
              <w:t xml:space="preserve">. </w:t>
            </w:r>
          </w:p>
          <w:p w14:paraId="283AA68D" w14:textId="65F26A67" w:rsidR="00892898" w:rsidRPr="00F6340E" w:rsidRDefault="0071360A" w:rsidP="00115925">
            <w:pPr>
              <w:pStyle w:val="ListParagraph"/>
              <w:numPr>
                <w:ilvl w:val="0"/>
                <w:numId w:val="36"/>
              </w:numPr>
              <w:jc w:val="left"/>
              <w:rPr>
                <w:rFonts w:ascii="Arial" w:hAnsi="Arial" w:cs="Arial"/>
                <w:color w:val="000000" w:themeColor="text1"/>
                <w:lang w:val="sr-Cyrl-BA"/>
              </w:rPr>
            </w:pPr>
            <w:r>
              <w:rPr>
                <w:rFonts w:ascii="Arial" w:hAnsi="Arial" w:cs="Arial"/>
                <w:b/>
                <w:color w:val="000000" w:themeColor="text1"/>
                <w:lang w:val="sr-Cyrl-BA"/>
              </w:rPr>
              <w:t>Пр</w:t>
            </w:r>
            <w:r w:rsidR="00A56E08">
              <w:rPr>
                <w:rFonts w:ascii="Arial" w:hAnsi="Arial" w:cs="Arial"/>
                <w:b/>
                <w:color w:val="000000" w:themeColor="text1"/>
                <w:lang w:val="sr-Cyrl-BA"/>
              </w:rPr>
              <w:t>имиј</w:t>
            </w:r>
            <w:r w:rsidR="00EE6AA2">
              <w:rPr>
                <w:rFonts w:ascii="Arial" w:hAnsi="Arial" w:cs="Arial"/>
                <w:b/>
                <w:color w:val="000000" w:themeColor="text1"/>
                <w:lang w:val="sr-Cyrl-BA"/>
              </w:rPr>
              <w:t>е</w:t>
            </w:r>
            <w:r w:rsidR="00A56E08">
              <w:rPr>
                <w:rFonts w:ascii="Arial" w:hAnsi="Arial" w:cs="Arial"/>
                <w:b/>
                <w:color w:val="000000" w:themeColor="text1"/>
                <w:lang w:val="sr-Cyrl-BA"/>
              </w:rPr>
              <w:t>ни</w:t>
            </w:r>
            <w:r>
              <w:rPr>
                <w:rFonts w:ascii="Arial" w:hAnsi="Arial" w:cs="Arial"/>
                <w:b/>
                <w:color w:val="000000" w:themeColor="text1"/>
                <w:lang w:val="sr-Cyrl-BA"/>
              </w:rPr>
              <w:t>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ст</w:t>
            </w:r>
            <w:r w:rsidR="00A56E08">
              <w:rPr>
                <w:rFonts w:ascii="Arial" w:hAnsi="Arial" w:cs="Arial"/>
                <w:b/>
                <w:color w:val="000000" w:themeColor="text1"/>
                <w:lang w:val="sr-Cyrl-BA"/>
              </w:rPr>
              <w:t>анда</w:t>
            </w:r>
            <w:r>
              <w:rPr>
                <w:rFonts w:ascii="Arial" w:hAnsi="Arial" w:cs="Arial"/>
                <w:b/>
                <w:color w:val="000000" w:themeColor="text1"/>
                <w:lang w:val="sr-Cyrl-BA"/>
              </w:rPr>
              <w:t>р</w:t>
            </w:r>
            <w:r w:rsidR="00A56E08">
              <w:rPr>
                <w:rFonts w:ascii="Arial" w:hAnsi="Arial" w:cs="Arial"/>
                <w:b/>
                <w:color w:val="000000" w:themeColor="text1"/>
                <w:lang w:val="sr-Cyrl-BA"/>
              </w:rPr>
              <w:t>д</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ад</w:t>
            </w:r>
            <w:r w:rsidR="00EE6AA2">
              <w:rPr>
                <w:rFonts w:ascii="Arial" w:hAnsi="Arial" w:cs="Arial"/>
                <w:b/>
                <w:color w:val="000000" w:themeColor="text1"/>
                <w:lang w:val="sr-Cyrl-BA"/>
              </w:rPr>
              <w:t>е</w:t>
            </w:r>
            <w:r w:rsidR="00A56E08">
              <w:rPr>
                <w:rFonts w:ascii="Arial" w:hAnsi="Arial" w:cs="Arial"/>
                <w:b/>
                <w:color w:val="000000" w:themeColor="text1"/>
                <w:lang w:val="sr-Cyrl-BA"/>
              </w:rPr>
              <w:t>к</w:t>
            </w:r>
            <w:r>
              <w:rPr>
                <w:rFonts w:ascii="Arial" w:hAnsi="Arial" w:cs="Arial"/>
                <w:b/>
                <w:color w:val="000000" w:themeColor="text1"/>
                <w:lang w:val="sr-Cyrl-BA"/>
              </w:rPr>
              <w:t>в</w:t>
            </w:r>
            <w:r w:rsidR="00A56E08">
              <w:rPr>
                <w:rFonts w:ascii="Arial" w:hAnsi="Arial" w:cs="Arial"/>
                <w:b/>
                <w:color w:val="000000" w:themeColor="text1"/>
                <w:lang w:val="sr-Cyrl-BA"/>
              </w:rPr>
              <w:t>а</w:t>
            </w:r>
            <w:r>
              <w:rPr>
                <w:rFonts w:ascii="Arial" w:hAnsi="Arial" w:cs="Arial"/>
                <w:b/>
                <w:color w:val="000000" w:themeColor="text1"/>
                <w:lang w:val="sr-Cyrl-BA"/>
              </w:rPr>
              <w:t>т</w:t>
            </w:r>
            <w:r w:rsidR="00A56E08">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w:t>
            </w:r>
            <w:r>
              <w:rPr>
                <w:rFonts w:ascii="Arial" w:hAnsi="Arial" w:cs="Arial"/>
                <w:b/>
                <w:color w:val="000000" w:themeColor="text1"/>
                <w:lang w:val="sr-Cyrl-BA"/>
              </w:rPr>
              <w:t>пр</w:t>
            </w:r>
            <w:r w:rsidR="00EE6AA2">
              <w:rPr>
                <w:rFonts w:ascii="Arial" w:hAnsi="Arial" w:cs="Arial"/>
                <w:b/>
                <w:color w:val="000000" w:themeColor="text1"/>
                <w:lang w:val="sr-Cyrl-BA"/>
              </w:rPr>
              <w:t>е</w:t>
            </w:r>
            <w:r w:rsidR="00A56E08">
              <w:rPr>
                <w:rFonts w:ascii="Arial" w:hAnsi="Arial" w:cs="Arial"/>
                <w:b/>
                <w:color w:val="000000" w:themeColor="text1"/>
                <w:lang w:val="sr-Cyrl-BA"/>
              </w:rPr>
              <w:t>мљ</w:t>
            </w:r>
            <w:r w:rsidR="00EE6AA2">
              <w:rPr>
                <w:rFonts w:ascii="Arial" w:hAnsi="Arial" w:cs="Arial"/>
                <w:b/>
                <w:color w:val="000000" w:themeColor="text1"/>
                <w:lang w:val="sr-Cyrl-BA"/>
              </w:rPr>
              <w:t>е</w:t>
            </w:r>
            <w:r w:rsidR="00A56E08">
              <w:rPr>
                <w:rFonts w:ascii="Arial" w:hAnsi="Arial" w:cs="Arial"/>
                <w:b/>
                <w:color w:val="000000" w:themeColor="text1"/>
                <w:lang w:val="sr-Cyrl-BA"/>
              </w:rPr>
              <w:t>но</w:t>
            </w:r>
            <w:r>
              <w:rPr>
                <w:rFonts w:ascii="Arial" w:hAnsi="Arial" w:cs="Arial"/>
                <w:b/>
                <w:color w:val="000000" w:themeColor="text1"/>
                <w:lang w:val="sr-Cyrl-BA"/>
              </w:rPr>
              <w:t>ст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об</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о</w:t>
            </w:r>
            <w:r>
              <w:rPr>
                <w:rFonts w:ascii="Arial" w:hAnsi="Arial" w:cs="Arial"/>
                <w:b/>
                <w:color w:val="000000" w:themeColor="text1"/>
                <w:lang w:val="sr-Cyrl-BA"/>
              </w:rPr>
              <w:t>в</w:t>
            </w:r>
            <w:r w:rsidR="00A56E08">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ин</w:t>
            </w:r>
            <w:r>
              <w:rPr>
                <w:rFonts w:ascii="Arial" w:hAnsi="Arial" w:cs="Arial"/>
                <w:b/>
                <w:color w:val="000000" w:themeColor="text1"/>
                <w:lang w:val="sr-Cyrl-BA"/>
              </w:rPr>
              <w:t>ст</w:t>
            </w:r>
            <w:r w:rsidR="00A56E08">
              <w:rPr>
                <w:rFonts w:ascii="Arial" w:hAnsi="Arial" w:cs="Arial"/>
                <w:b/>
                <w:color w:val="000000" w:themeColor="text1"/>
                <w:lang w:val="sr-Cyrl-BA"/>
              </w:rPr>
              <w:t>и</w:t>
            </w:r>
            <w:r>
              <w:rPr>
                <w:rFonts w:ascii="Arial" w:hAnsi="Arial" w:cs="Arial"/>
                <w:b/>
                <w:color w:val="000000" w:themeColor="text1"/>
                <w:lang w:val="sr-Cyrl-BA"/>
              </w:rPr>
              <w:t>ту</w:t>
            </w:r>
            <w:r w:rsidR="00A56E08">
              <w:rPr>
                <w:rFonts w:ascii="Arial" w:hAnsi="Arial" w:cs="Arial"/>
                <w:b/>
                <w:color w:val="000000" w:themeColor="text1"/>
                <w:lang w:val="sr-Cyrl-BA"/>
              </w:rPr>
              <w:t>циј</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кон</w:t>
            </w:r>
            <w:r>
              <w:rPr>
                <w:rFonts w:ascii="Arial" w:hAnsi="Arial" w:cs="Arial"/>
                <w:b/>
                <w:color w:val="000000" w:themeColor="text1"/>
                <w:lang w:val="sr-Cyrl-BA"/>
              </w:rPr>
              <w:t>т</w:t>
            </w:r>
            <w:r w:rsidR="00EE6AA2">
              <w:rPr>
                <w:rFonts w:ascii="Arial" w:hAnsi="Arial" w:cs="Arial"/>
                <w:b/>
                <w:color w:val="000000" w:themeColor="text1"/>
                <w:lang w:val="sr-Cyrl-BA"/>
              </w:rPr>
              <w:t>е</w:t>
            </w:r>
            <w:r w:rsidR="00A56E08">
              <w:rPr>
                <w:rFonts w:ascii="Arial" w:hAnsi="Arial" w:cs="Arial"/>
                <w:b/>
                <w:color w:val="000000" w:themeColor="text1"/>
                <w:lang w:val="sr-Cyrl-BA"/>
              </w:rPr>
              <w:t>к</w:t>
            </w:r>
            <w:r>
              <w:rPr>
                <w:rFonts w:ascii="Arial" w:hAnsi="Arial" w:cs="Arial"/>
                <w:b/>
                <w:color w:val="000000" w:themeColor="text1"/>
                <w:lang w:val="sr-Cyrl-BA"/>
              </w:rPr>
              <w:t>сту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инкл</w:t>
            </w:r>
            <w:r>
              <w:rPr>
                <w:rFonts w:ascii="Arial" w:hAnsi="Arial" w:cs="Arial"/>
                <w:b/>
                <w:color w:val="000000" w:themeColor="text1"/>
                <w:lang w:val="sr-Cyrl-BA"/>
              </w:rPr>
              <w:t>у</w:t>
            </w:r>
            <w:r w:rsidR="00171F00">
              <w:rPr>
                <w:rFonts w:ascii="Arial" w:hAnsi="Arial" w:cs="Arial"/>
                <w:b/>
                <w:color w:val="000000" w:themeColor="text1"/>
                <w:lang w:val="sr-Cyrl-BA"/>
              </w:rPr>
              <w:t>з</w:t>
            </w:r>
            <w:r w:rsidR="00A56E08">
              <w:rPr>
                <w:rFonts w:ascii="Arial" w:hAnsi="Arial" w:cs="Arial"/>
                <w:b/>
                <w:color w:val="000000" w:themeColor="text1"/>
                <w:lang w:val="sr-Cyrl-BA"/>
              </w:rPr>
              <w:t>и</w:t>
            </w:r>
            <w:r>
              <w:rPr>
                <w:rFonts w:ascii="Arial" w:hAnsi="Arial" w:cs="Arial"/>
                <w:b/>
                <w:color w:val="000000" w:themeColor="text1"/>
                <w:lang w:val="sr-Cyrl-BA"/>
              </w:rPr>
              <w:t>в</w:t>
            </w:r>
            <w:r w:rsidR="00A56E08">
              <w:rPr>
                <w:rFonts w:ascii="Arial" w:hAnsi="Arial" w:cs="Arial"/>
                <w:b/>
                <w:color w:val="000000" w:themeColor="text1"/>
                <w:lang w:val="sr-Cyrl-BA"/>
              </w:rPr>
              <w:t>ног</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об</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о</w:t>
            </w:r>
            <w:r>
              <w:rPr>
                <w:rFonts w:ascii="Arial" w:hAnsi="Arial" w:cs="Arial"/>
                <w:b/>
                <w:color w:val="000000" w:themeColor="text1"/>
                <w:lang w:val="sr-Cyrl-BA"/>
              </w:rPr>
              <w:t>в</w:t>
            </w:r>
            <w:r w:rsidR="00A56E08">
              <w:rPr>
                <w:rFonts w:ascii="Arial" w:hAnsi="Arial" w:cs="Arial"/>
                <w:b/>
                <w:color w:val="000000" w:themeColor="text1"/>
                <w:lang w:val="sr-Cyrl-BA"/>
              </w:rPr>
              <w:t>ања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шт</w:t>
            </w:r>
            <w:r w:rsidR="00A56E08">
              <w:rPr>
                <w:rFonts w:ascii="Arial" w:hAnsi="Arial" w:cs="Arial"/>
                <w:b/>
                <w:color w:val="000000" w:themeColor="text1"/>
                <w:lang w:val="sr-Cyrl-BA"/>
              </w:rPr>
              <w:t>о</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п</w:t>
            </w:r>
            <w:r w:rsidR="00A56E08">
              <w:rPr>
                <w:rFonts w:ascii="Arial" w:hAnsi="Arial" w:cs="Arial"/>
                <w:b/>
                <w:color w:val="000000" w:themeColor="text1"/>
                <w:lang w:val="sr-Cyrl-BA"/>
              </w:rPr>
              <w:t>од</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у</w:t>
            </w:r>
            <w:r w:rsidR="00A56E08">
              <w:rPr>
                <w:rFonts w:ascii="Arial" w:hAnsi="Arial" w:cs="Arial"/>
                <w:b/>
                <w:color w:val="000000" w:themeColor="text1"/>
                <w:lang w:val="sr-Cyrl-BA"/>
              </w:rPr>
              <w:t>миј</w:t>
            </w:r>
            <w:r w:rsidR="00EE6AA2">
              <w:rPr>
                <w:rFonts w:ascii="Arial" w:hAnsi="Arial" w:cs="Arial"/>
                <w:b/>
                <w:color w:val="000000" w:themeColor="text1"/>
                <w:lang w:val="sr-Cyrl-BA"/>
              </w:rPr>
              <w:t>е</w:t>
            </w:r>
            <w:r>
              <w:rPr>
                <w:rFonts w:ascii="Arial" w:hAnsi="Arial" w:cs="Arial"/>
                <w:b/>
                <w:color w:val="000000" w:themeColor="text1"/>
                <w:lang w:val="sr-Cyrl-BA"/>
              </w:rPr>
              <w:t>в</w:t>
            </w:r>
            <w:r w:rsidR="00A56E08">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а</w:t>
            </w:r>
            <w:r>
              <w:rPr>
                <w:rFonts w:ascii="Arial" w:hAnsi="Arial" w:cs="Arial"/>
                <w:b/>
                <w:color w:val="000000" w:themeColor="text1"/>
                <w:lang w:val="sr-Cyrl-BA"/>
              </w:rPr>
              <w:t>с</w:t>
            </w:r>
            <w:r w:rsidR="00A56E08">
              <w:rPr>
                <w:rFonts w:ascii="Arial" w:hAnsi="Arial" w:cs="Arial"/>
                <w:b/>
                <w:color w:val="000000" w:themeColor="text1"/>
                <w:lang w:val="sr-Cyrl-BA"/>
              </w:rPr>
              <w:t>и</w:t>
            </w:r>
            <w:r>
              <w:rPr>
                <w:rFonts w:ascii="Arial" w:hAnsi="Arial" w:cs="Arial"/>
                <w:b/>
                <w:color w:val="000000" w:themeColor="text1"/>
                <w:lang w:val="sr-Cyrl-BA"/>
              </w:rPr>
              <w:t>ст</w:t>
            </w:r>
            <w:r w:rsidR="00A56E08">
              <w:rPr>
                <w:rFonts w:ascii="Arial" w:hAnsi="Arial" w:cs="Arial"/>
                <w:b/>
                <w:color w:val="000000" w:themeColor="text1"/>
                <w:lang w:val="sr-Cyrl-BA"/>
              </w:rPr>
              <w:t>и</w:t>
            </w:r>
            <w:r>
              <w:rPr>
                <w:rFonts w:ascii="Arial" w:hAnsi="Arial" w:cs="Arial"/>
                <w:b/>
                <w:color w:val="000000" w:themeColor="text1"/>
                <w:lang w:val="sr-Cyrl-BA"/>
              </w:rPr>
              <w:t>в</w:t>
            </w:r>
            <w:r w:rsidR="00A56E08">
              <w:rPr>
                <w:rFonts w:ascii="Arial" w:hAnsi="Arial" w:cs="Arial"/>
                <w:b/>
                <w:color w:val="000000" w:themeColor="text1"/>
                <w:lang w:val="sr-Cyrl-BA"/>
              </w:rPr>
              <w:t>н</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т</w:t>
            </w:r>
            <w:r w:rsidR="00EE6AA2">
              <w:rPr>
                <w:rFonts w:ascii="Arial" w:hAnsi="Arial" w:cs="Arial"/>
                <w:b/>
                <w:color w:val="000000" w:themeColor="text1"/>
                <w:lang w:val="sr-Cyrl-BA"/>
              </w:rPr>
              <w:t>е</w:t>
            </w:r>
            <w:r w:rsidR="00A56E08">
              <w:rPr>
                <w:rFonts w:ascii="Arial" w:hAnsi="Arial" w:cs="Arial"/>
                <w:b/>
                <w:color w:val="000000" w:themeColor="text1"/>
                <w:lang w:val="sr-Cyrl-BA"/>
              </w:rPr>
              <w:t>хнологиј</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p>
          <w:p w14:paraId="6D143940" w14:textId="1263C00E" w:rsidR="00892898" w:rsidRPr="00F6340E" w:rsidRDefault="0071360A" w:rsidP="00115925">
            <w:pPr>
              <w:pStyle w:val="ListParagraph"/>
              <w:ind w:left="360"/>
              <w:jc w:val="left"/>
              <w:rPr>
                <w:rFonts w:ascii="Arial" w:hAnsi="Arial" w:cs="Arial"/>
                <w:color w:val="000000" w:themeColor="text1"/>
                <w:lang w:val="sr-Cyrl-BA"/>
              </w:rPr>
            </w:pP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кон</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к</w:t>
            </w:r>
            <w:r>
              <w:rPr>
                <w:rFonts w:ascii="Arial" w:hAnsi="Arial" w:cs="Arial"/>
                <w:color w:val="000000" w:themeColor="text1"/>
                <w:lang w:val="sr-Cyrl-BA"/>
              </w:rPr>
              <w:t>сту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Pr>
                <w:rFonts w:ascii="Arial" w:hAnsi="Arial" w:cs="Arial"/>
                <w:color w:val="000000" w:themeColor="text1"/>
                <w:lang w:val="sr-Cyrl-BA"/>
              </w:rPr>
              <w:t>вр</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A56E08">
              <w:rPr>
                <w:rFonts w:ascii="Arial" w:hAnsi="Arial" w:cs="Arial"/>
                <w:color w:val="000000" w:themeColor="text1"/>
                <w:lang w:val="sr-Cyrl-BA"/>
              </w:rPr>
              <w:t>ног</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у</w:t>
            </w:r>
            <w:r w:rsidR="00A56E08">
              <w:rPr>
                <w:rFonts w:ascii="Arial" w:hAnsi="Arial" w:cs="Arial"/>
                <w:color w:val="000000" w:themeColor="text1"/>
                <w:lang w:val="sr-Cyrl-BA"/>
              </w:rPr>
              <w:t>ча</w:t>
            </w:r>
            <w:r>
              <w:rPr>
                <w:rFonts w:ascii="Arial" w:hAnsi="Arial" w:cs="Arial"/>
                <w:color w:val="000000" w:themeColor="text1"/>
                <w:lang w:val="sr-Cyrl-BA"/>
              </w:rPr>
              <w:t>в</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али</w:t>
            </w:r>
            <w:r w:rsidR="00171F00">
              <w:rPr>
                <w:rFonts w:ascii="Arial" w:hAnsi="Arial" w:cs="Arial"/>
                <w:color w:val="000000" w:themeColor="text1"/>
                <w:lang w:val="sr-Cyrl-BA"/>
              </w:rPr>
              <w:t>з</w:t>
            </w:r>
            <w:r w:rsidR="00A56E08">
              <w:rPr>
                <w:rFonts w:ascii="Arial" w:hAnsi="Arial" w:cs="Arial"/>
                <w:color w:val="000000" w:themeColor="text1"/>
                <w:lang w:val="sr-Cyrl-BA"/>
              </w:rPr>
              <w:t>ациј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424F0"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комбино</w:t>
            </w:r>
            <w:r>
              <w:rPr>
                <w:rFonts w:ascii="Arial" w:hAnsi="Arial" w:cs="Arial"/>
                <w:color w:val="000000" w:themeColor="text1"/>
                <w:lang w:val="sr-Cyrl-BA"/>
              </w:rPr>
              <w:t>в</w:t>
            </w:r>
            <w:r w:rsidR="00A56E08">
              <w:rPr>
                <w:rFonts w:ascii="Arial" w:hAnsi="Arial" w:cs="Arial"/>
                <w:color w:val="000000" w:themeColor="text1"/>
                <w:lang w:val="sr-Cyrl-BA"/>
              </w:rPr>
              <w:t>ан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ака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ту</w:t>
            </w:r>
            <w:r w:rsidR="00A56E08">
              <w:rPr>
                <w:rFonts w:ascii="Arial" w:hAnsi="Arial" w:cs="Arial"/>
                <w:color w:val="000000" w:themeColor="text1"/>
                <w:lang w:val="sr-Cyrl-BA"/>
              </w:rPr>
              <w:t>ција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w:t>
            </w:r>
            <w:r>
              <w:rPr>
                <w:rFonts w:ascii="Arial" w:hAnsi="Arial" w:cs="Arial"/>
                <w:color w:val="000000" w:themeColor="text1"/>
                <w:lang w:val="sr-Cyrl-BA"/>
              </w:rPr>
              <w:t>р</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има</w:t>
            </w:r>
            <w:r>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Инф</w:t>
            </w:r>
            <w:r>
              <w:rPr>
                <w:rFonts w:ascii="Arial" w:hAnsi="Arial" w:cs="Arial"/>
                <w:color w:val="000000" w:themeColor="text1"/>
                <w:lang w:val="sr-Cyrl-BA"/>
              </w:rPr>
              <w:t>р</w:t>
            </w:r>
            <w:r w:rsidR="00A56E08">
              <w:rPr>
                <w:rFonts w:ascii="Arial" w:hAnsi="Arial" w:cs="Arial"/>
                <w:color w:val="000000" w:themeColor="text1"/>
                <w:lang w:val="sr-Cyrl-BA"/>
              </w:rPr>
              <w:t>а</w:t>
            </w:r>
            <w:r>
              <w:rPr>
                <w:rFonts w:ascii="Arial" w:hAnsi="Arial" w:cs="Arial"/>
                <w:color w:val="000000" w:themeColor="text1"/>
                <w:lang w:val="sr-Cyrl-BA"/>
              </w:rPr>
              <w:t>стру</w:t>
            </w:r>
            <w:r w:rsidR="00A56E08">
              <w:rPr>
                <w:rFonts w:ascii="Arial" w:hAnsi="Arial" w:cs="Arial"/>
                <w:color w:val="000000" w:themeColor="text1"/>
                <w:lang w:val="sr-Cyrl-BA"/>
              </w:rPr>
              <w:t>к</w:t>
            </w:r>
            <w:r>
              <w:rPr>
                <w:rFonts w:ascii="Arial" w:hAnsi="Arial" w:cs="Arial"/>
                <w:color w:val="000000" w:themeColor="text1"/>
                <w:lang w:val="sr-Cyrl-BA"/>
              </w:rPr>
              <w:t>туру</w:t>
            </w:r>
            <w:r w:rsidR="00FA763F"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FA763F" w:rsidRPr="00F6340E">
              <w:rPr>
                <w:rFonts w:ascii="Arial" w:hAnsi="Arial" w:cs="Arial"/>
                <w:color w:val="000000" w:themeColor="text1"/>
                <w:lang w:val="sr-Cyrl-BA"/>
              </w:rPr>
              <w:t xml:space="preserve"> </w:t>
            </w:r>
            <w:r w:rsidR="00A56E08">
              <w:rPr>
                <w:rFonts w:ascii="Arial" w:hAnsi="Arial" w:cs="Arial"/>
                <w:color w:val="000000" w:themeColor="text1"/>
                <w:lang w:val="sr-Cyrl-BA"/>
              </w:rPr>
              <w:t>ИК</w:t>
            </w:r>
            <w:r>
              <w:rPr>
                <w:rFonts w:ascii="Arial" w:hAnsi="Arial" w:cs="Arial"/>
                <w:color w:val="000000" w:themeColor="text1"/>
                <w:lang w:val="sr-Cyrl-BA"/>
              </w:rPr>
              <w:t>Т</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E864CA"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клад</w:t>
            </w:r>
            <w:r>
              <w:rPr>
                <w:rFonts w:ascii="Arial" w:hAnsi="Arial" w:cs="Arial"/>
                <w:color w:val="000000" w:themeColor="text1"/>
                <w:lang w:val="sr-Cyrl-BA"/>
              </w:rPr>
              <w:t>у</w:t>
            </w:r>
            <w:r w:rsidR="00B04FA8">
              <w:rPr>
                <w:rFonts w:ascii="Arial" w:hAnsi="Arial" w:cs="Arial"/>
                <w:color w:val="000000" w:themeColor="text1"/>
                <w:lang w:val="sr-Cyrl-BA"/>
              </w:rPr>
              <w:t xml:space="preserve"> са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но</w:t>
            </w:r>
            <w:r>
              <w:rPr>
                <w:rFonts w:ascii="Arial" w:hAnsi="Arial" w:cs="Arial"/>
                <w:color w:val="000000" w:themeColor="text1"/>
                <w:lang w:val="sr-Cyrl-BA"/>
              </w:rPr>
              <w:t>в</w:t>
            </w:r>
            <w:r w:rsidR="00A56E08">
              <w:rPr>
                <w:rFonts w:ascii="Arial" w:hAnsi="Arial" w:cs="Arial"/>
                <w:color w:val="000000" w:themeColor="text1"/>
                <w:lang w:val="sr-Cyrl-BA"/>
              </w:rPr>
              <w:t>ним</w:t>
            </w:r>
            <w:r w:rsidR="00D8219A"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хничким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A56E08">
              <w:rPr>
                <w:rFonts w:ascii="Arial" w:hAnsi="Arial" w:cs="Arial"/>
                <w:color w:val="000000" w:themeColor="text1"/>
                <w:lang w:val="sr-Cyrl-BA"/>
              </w:rPr>
              <w:t>анда</w:t>
            </w:r>
            <w:r>
              <w:rPr>
                <w:rFonts w:ascii="Arial" w:hAnsi="Arial" w:cs="Arial"/>
                <w:color w:val="000000" w:themeColor="text1"/>
                <w:lang w:val="sr-Cyrl-BA"/>
              </w:rPr>
              <w:t>р</w:t>
            </w:r>
            <w:r w:rsidR="00A56E08">
              <w:rPr>
                <w:rFonts w:ascii="Arial" w:hAnsi="Arial" w:cs="Arial"/>
                <w:color w:val="000000" w:themeColor="text1"/>
                <w:lang w:val="sr-Cyrl-BA"/>
              </w:rPr>
              <w:t>дима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ха</w:t>
            </w:r>
            <w:r>
              <w:rPr>
                <w:rFonts w:ascii="Arial" w:hAnsi="Arial" w:cs="Arial"/>
                <w:color w:val="000000" w:themeColor="text1"/>
                <w:lang w:val="sr-Cyrl-BA"/>
              </w:rPr>
              <w:t>р</w:t>
            </w:r>
            <w:r w:rsidR="00A56E08">
              <w:rPr>
                <w:rFonts w:ascii="Arial" w:hAnsi="Arial" w:cs="Arial"/>
                <w:color w:val="000000" w:themeColor="text1"/>
                <w:lang w:val="sr-Cyrl-BA"/>
              </w:rPr>
              <w:t>д</w:t>
            </w:r>
            <w:r>
              <w:rPr>
                <w:rFonts w:ascii="Arial" w:hAnsi="Arial" w:cs="Arial"/>
                <w:color w:val="000000" w:themeColor="text1"/>
                <w:lang w:val="sr-Cyrl-BA"/>
              </w:rPr>
              <w:t>в</w:t>
            </w:r>
            <w:r w:rsidR="00EE6AA2">
              <w:rPr>
                <w:rFonts w:ascii="Arial" w:hAnsi="Arial" w:cs="Arial"/>
                <w:color w:val="000000" w:themeColor="text1"/>
                <w:lang w:val="sr-Cyrl-BA"/>
              </w:rPr>
              <w:t>е</w:t>
            </w:r>
            <w:r>
              <w:rPr>
                <w:rFonts w:ascii="Arial" w:hAnsi="Arial" w:cs="Arial"/>
                <w:color w:val="000000" w:themeColor="text1"/>
                <w:lang w:val="sr-Cyrl-BA"/>
              </w:rPr>
              <w:t>р</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оф</w:t>
            </w:r>
            <w:r>
              <w:rPr>
                <w:rFonts w:ascii="Arial" w:hAnsi="Arial" w:cs="Arial"/>
                <w:color w:val="000000" w:themeColor="text1"/>
                <w:lang w:val="sr-Cyrl-BA"/>
              </w:rPr>
              <w:t>тв</w:t>
            </w:r>
            <w:r w:rsidR="00EE6AA2">
              <w:rPr>
                <w:rFonts w:ascii="Arial" w:hAnsi="Arial" w:cs="Arial"/>
                <w:color w:val="000000" w:themeColor="text1"/>
                <w:lang w:val="sr-Cyrl-BA"/>
              </w:rPr>
              <w:t>е</w:t>
            </w:r>
            <w:r>
              <w:rPr>
                <w:rFonts w:ascii="Arial" w:hAnsi="Arial" w:cs="Arial"/>
                <w:color w:val="000000" w:themeColor="text1"/>
                <w:lang w:val="sr-Cyrl-BA"/>
              </w:rPr>
              <w:t>р</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w:t>
            </w:r>
            <w:r>
              <w:rPr>
                <w:rFonts w:ascii="Arial" w:hAnsi="Arial" w:cs="Arial"/>
                <w:color w:val="000000" w:themeColor="text1"/>
                <w:lang w:val="sr-Cyrl-BA"/>
              </w:rPr>
              <w:t>р</w:t>
            </w:r>
            <w:r w:rsidR="00EE6AA2">
              <w:rPr>
                <w:rFonts w:ascii="Arial" w:hAnsi="Arial" w:cs="Arial"/>
                <w:color w:val="000000" w:themeColor="text1"/>
                <w:lang w:val="sr-Cyrl-BA"/>
              </w:rPr>
              <w:t>е</w:t>
            </w:r>
            <w:r w:rsidR="00171F00">
              <w:rPr>
                <w:rFonts w:ascii="Arial" w:hAnsi="Arial" w:cs="Arial"/>
                <w:color w:val="000000" w:themeColor="text1"/>
                <w:lang w:val="sr-Cyrl-BA"/>
              </w:rPr>
              <w:t>ж</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ла</w:t>
            </w:r>
            <w:r>
              <w:rPr>
                <w:rFonts w:ascii="Arial" w:hAnsi="Arial" w:cs="Arial"/>
                <w:color w:val="000000" w:themeColor="text1"/>
                <w:lang w:val="sr-Cyrl-BA"/>
              </w:rPr>
              <w:t>т</w:t>
            </w:r>
            <w:r w:rsidR="00A56E08">
              <w:rPr>
                <w:rFonts w:ascii="Arial" w:hAnsi="Arial" w:cs="Arial"/>
                <w:color w:val="000000" w:themeColor="text1"/>
                <w:lang w:val="sr-Cyrl-BA"/>
              </w:rPr>
              <w:t>фо</w:t>
            </w:r>
            <w:r>
              <w:rPr>
                <w:rFonts w:ascii="Arial" w:hAnsi="Arial" w:cs="Arial"/>
                <w:color w:val="000000" w:themeColor="text1"/>
                <w:lang w:val="sr-Cyrl-BA"/>
              </w:rPr>
              <w:t>р</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ЛМ</w:t>
            </w:r>
            <w:r>
              <w:rPr>
                <w:rFonts w:ascii="Arial" w:hAnsi="Arial" w:cs="Arial"/>
                <w:color w:val="000000" w:themeColor="text1"/>
                <w:lang w:val="sr-Cyrl-BA"/>
              </w:rPr>
              <w:t>С</w:t>
            </w:r>
            <w:r w:rsidR="00892898" w:rsidRPr="00F6340E">
              <w:rPr>
                <w:rFonts w:ascii="Arial" w:hAnsi="Arial" w:cs="Arial"/>
                <w:color w:val="000000" w:themeColor="text1"/>
                <w:lang w:val="sr-Cyrl-BA"/>
              </w:rPr>
              <w:t xml:space="preserve">). </w:t>
            </w:r>
          </w:p>
          <w:p w14:paraId="3BE537C6" w14:textId="18FC8C5F" w:rsidR="00892898" w:rsidRPr="00F6340E" w:rsidRDefault="0071360A" w:rsidP="00115925">
            <w:pPr>
              <w:pStyle w:val="ListParagraph"/>
              <w:ind w:left="360"/>
              <w:jc w:val="left"/>
              <w:rPr>
                <w:rFonts w:ascii="Arial" w:hAnsi="Arial" w:cs="Arial"/>
                <w:color w:val="000000" w:themeColor="text1"/>
                <w:lang w:val="sr-Cyrl-BA"/>
              </w:rPr>
            </w:pPr>
            <w:r>
              <w:rPr>
                <w:rFonts w:ascii="Arial" w:hAnsi="Arial" w:cs="Arial"/>
                <w:color w:val="000000" w:themeColor="text1"/>
                <w:lang w:val="sr-Cyrl-BA"/>
              </w:rPr>
              <w:t>С</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циљ</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ств</w:t>
            </w:r>
            <w:r w:rsidR="00A56E08">
              <w:rPr>
                <w:rFonts w:ascii="Arial" w:hAnsi="Arial" w:cs="Arial"/>
                <w:color w:val="000000" w:themeColor="text1"/>
                <w:lang w:val="sr-Cyrl-BA"/>
              </w:rPr>
              <w:t>а</w:t>
            </w:r>
            <w:r>
              <w:rPr>
                <w:rFonts w:ascii="Arial" w:hAnsi="Arial" w:cs="Arial"/>
                <w:color w:val="000000" w:themeColor="text1"/>
                <w:lang w:val="sr-Cyrl-BA"/>
              </w:rPr>
              <w:t>р</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ус</w:t>
            </w:r>
            <w:r w:rsidR="00A56E08">
              <w:rPr>
                <w:rFonts w:ascii="Arial" w:hAnsi="Arial" w:cs="Arial"/>
                <w:color w:val="000000" w:themeColor="text1"/>
                <w:lang w:val="sr-Cyrl-BA"/>
              </w:rPr>
              <w:t>ло</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инкл</w:t>
            </w:r>
            <w:r>
              <w:rPr>
                <w:rFonts w:ascii="Arial" w:hAnsi="Arial" w:cs="Arial"/>
                <w:color w:val="000000" w:themeColor="text1"/>
                <w:lang w:val="sr-Cyrl-BA"/>
              </w:rPr>
              <w:t>у</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ту</w:t>
            </w:r>
            <w:r w:rsidR="00A56E08">
              <w:rPr>
                <w:rFonts w:ascii="Arial" w:hAnsi="Arial" w:cs="Arial"/>
                <w:color w:val="000000" w:themeColor="text1"/>
                <w:lang w:val="sr-Cyrl-BA"/>
              </w:rPr>
              <w:t>циј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бај</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има</w:t>
            </w:r>
            <w:r>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ад</w:t>
            </w:r>
            <w:r w:rsidR="00EE6AA2">
              <w:rPr>
                <w:rFonts w:ascii="Arial" w:hAnsi="Arial" w:cs="Arial"/>
                <w:color w:val="000000" w:themeColor="text1"/>
                <w:lang w:val="sr-Cyrl-BA"/>
              </w:rPr>
              <w:t>е</w:t>
            </w:r>
            <w:r w:rsidR="00A56E08">
              <w:rPr>
                <w:rFonts w:ascii="Arial" w:hAnsi="Arial" w:cs="Arial"/>
                <w:color w:val="000000" w:themeColor="text1"/>
                <w:lang w:val="sr-Cyrl-BA"/>
              </w:rPr>
              <w:t>к</w:t>
            </w:r>
            <w:r>
              <w:rPr>
                <w:rFonts w:ascii="Arial" w:hAnsi="Arial" w:cs="Arial"/>
                <w:color w:val="000000" w:themeColor="text1"/>
                <w:lang w:val="sr-Cyrl-BA"/>
              </w:rPr>
              <w:t>в</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н</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могло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одго</w:t>
            </w:r>
            <w:r>
              <w:rPr>
                <w:rFonts w:ascii="Arial" w:hAnsi="Arial" w:cs="Arial"/>
                <w:color w:val="000000" w:themeColor="text1"/>
                <w:lang w:val="sr-Cyrl-BA"/>
              </w:rPr>
              <w:t>в</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сп</w:t>
            </w:r>
            <w:r w:rsidR="00EE6AA2">
              <w:rPr>
                <w:rFonts w:ascii="Arial" w:hAnsi="Arial" w:cs="Arial"/>
                <w:color w:val="000000" w:themeColor="text1"/>
                <w:lang w:val="sr-Cyrl-BA"/>
              </w:rPr>
              <w:t>е</w:t>
            </w:r>
            <w:r w:rsidR="00A56E08">
              <w:rPr>
                <w:rFonts w:ascii="Arial" w:hAnsi="Arial" w:cs="Arial"/>
                <w:color w:val="000000" w:themeColor="text1"/>
                <w:lang w:val="sr-Cyrl-BA"/>
              </w:rPr>
              <w:t>цифичн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сту</w:t>
            </w:r>
            <w:r w:rsidR="00A56E08">
              <w:rPr>
                <w:rFonts w:ascii="Arial" w:hAnsi="Arial" w:cs="Arial"/>
                <w:color w:val="000000" w:themeColor="text1"/>
                <w:lang w:val="sr-Cyrl-BA"/>
              </w:rPr>
              <w:t>д</w:t>
            </w:r>
            <w:r w:rsidR="00EE6AA2">
              <w:rPr>
                <w:rFonts w:ascii="Arial" w:hAnsi="Arial" w:cs="Arial"/>
                <w:color w:val="000000" w:themeColor="text1"/>
                <w:lang w:val="sr-Cyrl-BA"/>
              </w:rPr>
              <w:t>е</w:t>
            </w:r>
            <w:r w:rsidR="00A56E08">
              <w:rPr>
                <w:rFonts w:ascii="Arial" w:hAnsi="Arial" w:cs="Arial"/>
                <w:color w:val="000000" w:themeColor="text1"/>
                <w:lang w:val="sr-Cyrl-BA"/>
              </w:rPr>
              <w:t>на</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у</w:t>
            </w:r>
            <w:r w:rsidR="00A56E08">
              <w:rPr>
                <w:rFonts w:ascii="Arial" w:hAnsi="Arial" w:cs="Arial"/>
                <w:color w:val="000000" w:themeColor="text1"/>
                <w:lang w:val="sr-Cyrl-BA"/>
              </w:rPr>
              <w:t>миј</w:t>
            </w:r>
            <w:r w:rsidR="00EE6AA2">
              <w:rPr>
                <w:rFonts w:ascii="Arial" w:hAnsi="Arial" w:cs="Arial"/>
                <w:color w:val="000000" w:themeColor="text1"/>
                <w:lang w:val="sr-Cyrl-BA"/>
              </w:rPr>
              <w:t>е</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аки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ои</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од</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дио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пр</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DB12EE" w:rsidRPr="00F6340E">
              <w:rPr>
                <w:rFonts w:ascii="Arial" w:hAnsi="Arial" w:cs="Arial"/>
                <w:color w:val="000000" w:themeColor="text1"/>
                <w:lang w:val="sr-Cyrl-BA"/>
              </w:rPr>
              <w:t xml:space="preserve"> </w:t>
            </w:r>
            <w:r w:rsidR="00A56E08">
              <w:rPr>
                <w:rFonts w:ascii="Arial" w:hAnsi="Arial" w:cs="Arial"/>
                <w:color w:val="000000" w:themeColor="text1"/>
                <w:lang w:val="sr-Cyrl-BA"/>
              </w:rPr>
              <w:t>ко</w:t>
            </w:r>
            <w:r>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ст</w:t>
            </w:r>
            <w:r w:rsidR="00A56E08">
              <w:rPr>
                <w:rFonts w:ascii="Arial" w:hAnsi="Arial" w:cs="Arial"/>
                <w:color w:val="000000" w:themeColor="text1"/>
                <w:lang w:val="sr-Cyrl-BA"/>
              </w:rPr>
              <w:t>и</w:t>
            </w:r>
            <w:r w:rsidR="00DB12EE"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од</w:t>
            </w:r>
            <w:r>
              <w:rPr>
                <w:rFonts w:ascii="Arial" w:hAnsi="Arial" w:cs="Arial"/>
                <w:color w:val="000000" w:themeColor="text1"/>
                <w:lang w:val="sr-Cyrl-BA"/>
              </w:rPr>
              <w:t>р</w:t>
            </w:r>
            <w:r w:rsidR="00171F00">
              <w:rPr>
                <w:rFonts w:ascii="Arial" w:hAnsi="Arial" w:cs="Arial"/>
                <w:color w:val="000000" w:themeColor="text1"/>
                <w:lang w:val="sr-Cyrl-BA"/>
              </w:rPr>
              <w:t>ж</w:t>
            </w:r>
            <w:r w:rsidR="00A56E08">
              <w:rPr>
                <w:rFonts w:ascii="Arial" w:hAnsi="Arial" w:cs="Arial"/>
                <w:color w:val="000000" w:themeColor="text1"/>
                <w:lang w:val="sr-Cyrl-BA"/>
              </w:rPr>
              <w:t>ал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в</w:t>
            </w:r>
            <w:r w:rsidR="00EE6AA2">
              <w:rPr>
                <w:rFonts w:ascii="Arial" w:hAnsi="Arial" w:cs="Arial"/>
                <w:color w:val="000000" w:themeColor="text1"/>
                <w:lang w:val="sr-Cyrl-BA"/>
              </w:rPr>
              <w:t>е</w:t>
            </w:r>
            <w:r w:rsidR="00A56E08">
              <w:rPr>
                <w:rFonts w:ascii="Arial" w:hAnsi="Arial" w:cs="Arial"/>
                <w:color w:val="000000" w:themeColor="text1"/>
                <w:lang w:val="sr-Cyrl-BA"/>
              </w:rPr>
              <w:t>ћал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обољ</w:t>
            </w:r>
            <w:r>
              <w:rPr>
                <w:rFonts w:ascii="Arial" w:hAnsi="Arial" w:cs="Arial"/>
                <w:color w:val="000000" w:themeColor="text1"/>
                <w:lang w:val="sr-Cyrl-BA"/>
              </w:rPr>
              <w:t>ш</w:t>
            </w:r>
            <w:r w:rsidR="00A56E08">
              <w:rPr>
                <w:rFonts w:ascii="Arial" w:hAnsi="Arial" w:cs="Arial"/>
                <w:color w:val="000000" w:themeColor="text1"/>
                <w:lang w:val="sr-Cyrl-BA"/>
              </w:rPr>
              <w:t>ал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ф</w:t>
            </w:r>
            <w:r>
              <w:rPr>
                <w:rFonts w:ascii="Arial" w:hAnsi="Arial" w:cs="Arial"/>
                <w:color w:val="000000" w:themeColor="text1"/>
                <w:lang w:val="sr-Cyrl-BA"/>
              </w:rPr>
              <w:t>у</w:t>
            </w:r>
            <w:r w:rsidR="00A56E08">
              <w:rPr>
                <w:rFonts w:ascii="Arial" w:hAnsi="Arial" w:cs="Arial"/>
                <w:color w:val="000000" w:themeColor="text1"/>
                <w:lang w:val="sr-Cyrl-BA"/>
              </w:rPr>
              <w:t>нкционалн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A56E08">
              <w:rPr>
                <w:rFonts w:ascii="Arial" w:hAnsi="Arial" w:cs="Arial"/>
                <w:color w:val="000000" w:themeColor="text1"/>
                <w:lang w:val="sr-Cyrl-BA"/>
              </w:rPr>
              <w:t>ћно</w:t>
            </w:r>
            <w:r>
              <w:rPr>
                <w:rFonts w:ascii="Arial" w:hAnsi="Arial" w:cs="Arial"/>
                <w:color w:val="000000" w:themeColor="text1"/>
                <w:lang w:val="sr-Cyrl-BA"/>
              </w:rPr>
              <w:t>ст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оба</w:t>
            </w:r>
            <w:r w:rsidR="00B04FA8">
              <w:rPr>
                <w:rFonts w:ascii="Arial" w:hAnsi="Arial" w:cs="Arial"/>
                <w:color w:val="000000" w:themeColor="text1"/>
                <w:lang w:val="sr-Cyrl-BA"/>
              </w:rPr>
              <w:t xml:space="preserve"> са </w:t>
            </w:r>
            <w:r w:rsidR="00A56E08">
              <w:rPr>
                <w:rFonts w:ascii="Arial" w:hAnsi="Arial" w:cs="Arial"/>
                <w:color w:val="000000" w:themeColor="text1"/>
                <w:lang w:val="sr-Cyrl-BA"/>
              </w:rPr>
              <w:t>ин</w:t>
            </w:r>
            <w:r>
              <w:rPr>
                <w:rFonts w:ascii="Arial" w:hAnsi="Arial" w:cs="Arial"/>
                <w:color w:val="000000" w:themeColor="text1"/>
                <w:lang w:val="sr-Cyrl-BA"/>
              </w:rPr>
              <w:t>в</w:t>
            </w:r>
            <w:r w:rsidR="00A56E08">
              <w:rPr>
                <w:rFonts w:ascii="Arial" w:hAnsi="Arial" w:cs="Arial"/>
                <w:color w:val="000000" w:themeColor="text1"/>
                <w:lang w:val="sr-Cyrl-BA"/>
              </w:rPr>
              <w:t>алиди</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шт</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омог</w:t>
            </w:r>
            <w:r>
              <w:rPr>
                <w:rFonts w:ascii="Arial" w:hAnsi="Arial" w:cs="Arial"/>
                <w:color w:val="000000" w:themeColor="text1"/>
                <w:lang w:val="sr-Cyrl-BA"/>
              </w:rPr>
              <w:t>у</w:t>
            </w:r>
            <w:r w:rsidR="00A56E08">
              <w:rPr>
                <w:rFonts w:ascii="Arial" w:hAnsi="Arial" w:cs="Arial"/>
                <w:color w:val="000000" w:themeColor="text1"/>
                <w:lang w:val="sr-Cyrl-BA"/>
              </w:rPr>
              <w:t>ћа</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EE6AA2">
              <w:rPr>
                <w:rFonts w:ascii="Arial" w:hAnsi="Arial" w:cs="Arial"/>
                <w:color w:val="000000" w:themeColor="text1"/>
                <w:lang w:val="sr-Cyrl-BA"/>
              </w:rPr>
              <w:t>е</w:t>
            </w:r>
            <w:r w:rsidR="00A56E08">
              <w:rPr>
                <w:rFonts w:ascii="Arial" w:hAnsi="Arial" w:cs="Arial"/>
                <w:color w:val="000000" w:themeColor="text1"/>
                <w:lang w:val="sr-Cyrl-BA"/>
              </w:rPr>
              <w:t>ћи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EE6AA2">
              <w:rPr>
                <w:rFonts w:ascii="Arial" w:hAnsi="Arial" w:cs="Arial"/>
                <w:color w:val="000000" w:themeColor="text1"/>
                <w:lang w:val="sr-Cyrl-BA"/>
              </w:rPr>
              <w:t>е</w:t>
            </w:r>
            <w:r>
              <w:rPr>
                <w:rFonts w:ascii="Arial" w:hAnsi="Arial" w:cs="Arial"/>
                <w:color w:val="000000" w:themeColor="text1"/>
                <w:lang w:val="sr-Cyrl-BA"/>
              </w:rPr>
              <w:t>п</w:t>
            </w:r>
            <w:r w:rsidR="00EE6AA2">
              <w:rPr>
                <w:rFonts w:ascii="Arial" w:hAnsi="Arial" w:cs="Arial"/>
                <w:color w:val="000000" w:themeColor="text1"/>
                <w:lang w:val="sr-Cyrl-BA"/>
              </w:rPr>
              <w:t>е</w:t>
            </w:r>
            <w:r w:rsidR="00A56E08">
              <w:rPr>
                <w:rFonts w:ascii="Arial" w:hAnsi="Arial" w:cs="Arial"/>
                <w:color w:val="000000" w:themeColor="text1"/>
                <w:lang w:val="sr-Cyrl-BA"/>
              </w:rPr>
              <w:t>н</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и</w:t>
            </w:r>
            <w:r>
              <w:rPr>
                <w:rFonts w:ascii="Arial" w:hAnsi="Arial" w:cs="Arial"/>
                <w:color w:val="000000" w:themeColor="text1"/>
                <w:lang w:val="sr-Cyrl-BA"/>
              </w:rPr>
              <w:t>с</w:t>
            </w:r>
            <w:r w:rsidR="00A56E08">
              <w:rPr>
                <w:rFonts w:ascii="Arial" w:hAnsi="Arial" w:cs="Arial"/>
                <w:color w:val="000000" w:themeColor="text1"/>
                <w:lang w:val="sr-Cyrl-BA"/>
              </w:rPr>
              <w:t>но</w:t>
            </w:r>
            <w:r>
              <w:rPr>
                <w:rFonts w:ascii="Arial" w:hAnsi="Arial" w:cs="Arial"/>
                <w:color w:val="000000" w:themeColor="text1"/>
                <w:lang w:val="sr-Cyrl-BA"/>
              </w:rPr>
              <w:t>ст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амо</w:t>
            </w:r>
            <w:r>
              <w:rPr>
                <w:rFonts w:ascii="Arial" w:hAnsi="Arial" w:cs="Arial"/>
                <w:color w:val="000000" w:themeColor="text1"/>
                <w:lang w:val="sr-Cyrl-BA"/>
              </w:rPr>
              <w:t>ст</w:t>
            </w:r>
            <w:r w:rsidR="00A56E08">
              <w:rPr>
                <w:rFonts w:ascii="Arial" w:hAnsi="Arial" w:cs="Arial"/>
                <w:color w:val="000000" w:themeColor="text1"/>
                <w:lang w:val="sr-Cyrl-BA"/>
              </w:rPr>
              <w:t>ално</w:t>
            </w:r>
            <w:r>
              <w:rPr>
                <w:rFonts w:ascii="Arial" w:hAnsi="Arial" w:cs="Arial"/>
                <w:color w:val="000000" w:themeColor="text1"/>
                <w:lang w:val="sr-Cyrl-BA"/>
              </w:rPr>
              <w:t>ст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оц</w:t>
            </w:r>
            <w:r w:rsidR="00EE6AA2">
              <w:rPr>
                <w:rFonts w:ascii="Arial" w:hAnsi="Arial" w:cs="Arial"/>
                <w:color w:val="000000" w:themeColor="text1"/>
                <w:lang w:val="sr-Cyrl-BA"/>
              </w:rPr>
              <w:t>е</w:t>
            </w:r>
            <w:r>
              <w:rPr>
                <w:rFonts w:ascii="Arial" w:hAnsi="Arial" w:cs="Arial"/>
                <w:color w:val="000000" w:themeColor="text1"/>
                <w:lang w:val="sr-Cyrl-BA"/>
              </w:rPr>
              <w:t>с</w:t>
            </w:r>
            <w:r w:rsidR="00A56E08">
              <w:rPr>
                <w:rFonts w:ascii="Arial" w:hAnsi="Arial" w:cs="Arial"/>
                <w:color w:val="000000" w:themeColor="text1"/>
                <w:lang w:val="sr-Cyrl-BA"/>
              </w:rPr>
              <w:t>има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ак</w:t>
            </w:r>
            <w:r>
              <w:rPr>
                <w:rFonts w:ascii="Arial" w:hAnsi="Arial" w:cs="Arial"/>
                <w:color w:val="000000" w:themeColor="text1"/>
                <w:lang w:val="sr-Cyrl-BA"/>
              </w:rPr>
              <w:t>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но</w:t>
            </w:r>
            <w:r>
              <w:rPr>
                <w:rFonts w:ascii="Arial" w:hAnsi="Arial" w:cs="Arial"/>
                <w:color w:val="000000" w:themeColor="text1"/>
                <w:lang w:val="sr-Cyrl-BA"/>
              </w:rPr>
              <w:t>ст</w:t>
            </w:r>
            <w:r w:rsidR="00A56E08">
              <w:rPr>
                <w:rFonts w:ascii="Arial" w:hAnsi="Arial" w:cs="Arial"/>
                <w:color w:val="000000" w:themeColor="text1"/>
                <w:lang w:val="sr-Cyrl-BA"/>
              </w:rPr>
              <w:t>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ству</w:t>
            </w:r>
            <w:r w:rsidR="00A56E08">
              <w:rPr>
                <w:rFonts w:ascii="Arial" w:hAnsi="Arial" w:cs="Arial"/>
                <w:color w:val="000000" w:themeColor="text1"/>
                <w:lang w:val="sr-Cyrl-BA"/>
              </w:rPr>
              <w:t>ј</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омог</w:t>
            </w:r>
            <w:r>
              <w:rPr>
                <w:rFonts w:ascii="Arial" w:hAnsi="Arial" w:cs="Arial"/>
                <w:color w:val="000000" w:themeColor="text1"/>
                <w:lang w:val="sr-Cyrl-BA"/>
              </w:rPr>
              <w:t>у</w:t>
            </w:r>
            <w:r w:rsidR="00A56E08">
              <w:rPr>
                <w:rFonts w:ascii="Arial" w:hAnsi="Arial" w:cs="Arial"/>
                <w:color w:val="000000" w:themeColor="text1"/>
                <w:lang w:val="sr-Cyrl-BA"/>
              </w:rPr>
              <w:t>ћа</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и</w:t>
            </w:r>
            <w:r>
              <w:rPr>
                <w:rFonts w:ascii="Arial" w:hAnsi="Arial" w:cs="Arial"/>
                <w:color w:val="000000" w:themeColor="text1"/>
                <w:lang w:val="sr-Cyrl-BA"/>
              </w:rPr>
              <w:t>ступ</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ад</w:t>
            </w:r>
            <w:r>
              <w:rPr>
                <w:rFonts w:ascii="Arial" w:hAnsi="Arial" w:cs="Arial"/>
                <w:color w:val="000000" w:themeColor="text1"/>
                <w:lang w:val="sr-Cyrl-BA"/>
              </w:rPr>
              <w:t>р</w:t>
            </w:r>
            <w:r w:rsidR="00171F00">
              <w:rPr>
                <w:rFonts w:ascii="Arial" w:hAnsi="Arial" w:cs="Arial"/>
                <w:color w:val="000000" w:themeColor="text1"/>
                <w:lang w:val="sr-Cyrl-BA"/>
              </w:rPr>
              <w:t>ж</w:t>
            </w:r>
            <w:r w:rsidR="00A56E08">
              <w:rPr>
                <w:rFonts w:ascii="Arial" w:hAnsi="Arial" w:cs="Arial"/>
                <w:color w:val="000000" w:themeColor="text1"/>
                <w:lang w:val="sr-Cyrl-BA"/>
              </w:rPr>
              <w:t>ајима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супр</w:t>
            </w:r>
            <w:r w:rsidR="00A56E08">
              <w:rPr>
                <w:rFonts w:ascii="Arial" w:hAnsi="Arial" w:cs="Arial"/>
                <w:color w:val="000000" w:themeColor="text1"/>
                <w:lang w:val="sr-Cyrl-BA"/>
              </w:rPr>
              <w:t>о</w:t>
            </w:r>
            <w:r>
              <w:rPr>
                <w:rFonts w:ascii="Arial" w:hAnsi="Arial" w:cs="Arial"/>
                <w:color w:val="000000" w:themeColor="text1"/>
                <w:lang w:val="sr-Cyrl-BA"/>
              </w:rPr>
              <w:t>т</w:t>
            </w:r>
            <w:r w:rsidR="00A56E08">
              <w:rPr>
                <w:rFonts w:ascii="Arial" w:hAnsi="Arial" w:cs="Arial"/>
                <w:color w:val="000000" w:themeColor="text1"/>
                <w:lang w:val="sr-Cyrl-BA"/>
              </w:rPr>
              <w:t>ном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тпу</w:t>
            </w:r>
            <w:r w:rsidR="00A56E08">
              <w:rPr>
                <w:rFonts w:ascii="Arial" w:hAnsi="Arial" w:cs="Arial"/>
                <w:color w:val="000000" w:themeColor="text1"/>
                <w:lang w:val="sr-Cyrl-BA"/>
              </w:rPr>
              <w:t>но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A56E08">
              <w:rPr>
                <w:rFonts w:ascii="Arial" w:hAnsi="Arial" w:cs="Arial"/>
                <w:color w:val="000000" w:themeColor="text1"/>
                <w:lang w:val="sr-Cyrl-BA"/>
              </w:rPr>
              <w:t>до</w:t>
            </w:r>
            <w:r>
              <w:rPr>
                <w:rFonts w:ascii="Arial" w:hAnsi="Arial" w:cs="Arial"/>
                <w:color w:val="000000" w:themeColor="text1"/>
                <w:lang w:val="sr-Cyrl-BA"/>
              </w:rPr>
              <w:t>ступ</w:t>
            </w:r>
            <w:r w:rsidR="00A56E08">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ш</w:t>
            </w:r>
            <w:r w:rsidR="00A56E08">
              <w:rPr>
                <w:rFonts w:ascii="Arial" w:hAnsi="Arial" w:cs="Arial"/>
                <w:color w:val="000000" w:themeColor="text1"/>
                <w:lang w:val="sr-Cyrl-BA"/>
              </w:rPr>
              <w:t>ко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до</w:t>
            </w:r>
            <w:r>
              <w:rPr>
                <w:rFonts w:ascii="Arial" w:hAnsi="Arial" w:cs="Arial"/>
                <w:color w:val="000000" w:themeColor="text1"/>
                <w:lang w:val="sr-Cyrl-BA"/>
              </w:rPr>
              <w:t>ступ</w:t>
            </w:r>
            <w:r w:rsidR="00A56E08">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обама</w:t>
            </w:r>
            <w:r w:rsidR="00B04FA8">
              <w:rPr>
                <w:rFonts w:ascii="Arial" w:hAnsi="Arial" w:cs="Arial"/>
                <w:color w:val="000000" w:themeColor="text1"/>
                <w:lang w:val="sr-Cyrl-BA"/>
              </w:rPr>
              <w:t xml:space="preserve"> са </w:t>
            </w:r>
            <w:r w:rsidR="00A56E08">
              <w:rPr>
                <w:rFonts w:ascii="Arial" w:hAnsi="Arial" w:cs="Arial"/>
                <w:color w:val="000000" w:themeColor="text1"/>
                <w:lang w:val="sr-Cyrl-BA"/>
              </w:rPr>
              <w:t>ин</w:t>
            </w:r>
            <w:r>
              <w:rPr>
                <w:rFonts w:ascii="Arial" w:hAnsi="Arial" w:cs="Arial"/>
                <w:color w:val="000000" w:themeColor="text1"/>
                <w:lang w:val="sr-Cyrl-BA"/>
              </w:rPr>
              <w:t>в</w:t>
            </w:r>
            <w:r w:rsidR="00A56E08">
              <w:rPr>
                <w:rFonts w:ascii="Arial" w:hAnsi="Arial" w:cs="Arial"/>
                <w:color w:val="000000" w:themeColor="text1"/>
                <w:lang w:val="sr-Cyrl-BA"/>
              </w:rPr>
              <w:t>алиди</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ом</w:t>
            </w:r>
            <w:r w:rsidR="00892898" w:rsidRPr="00F6340E">
              <w:rPr>
                <w:rFonts w:ascii="Arial" w:hAnsi="Arial" w:cs="Arial"/>
                <w:color w:val="000000" w:themeColor="text1"/>
                <w:lang w:val="sr-Cyrl-BA"/>
              </w:rPr>
              <w:t>.</w:t>
            </w:r>
          </w:p>
          <w:p w14:paraId="63997394" w14:textId="7E0F09A3" w:rsidR="00892898" w:rsidRPr="00F6340E" w:rsidRDefault="00A56E08" w:rsidP="00115925">
            <w:pPr>
              <w:pStyle w:val="ListParagraph"/>
              <w:numPr>
                <w:ilvl w:val="0"/>
                <w:numId w:val="36"/>
              </w:numPr>
              <w:jc w:val="left"/>
              <w:rPr>
                <w:rFonts w:ascii="Arial" w:hAnsi="Arial" w:cs="Arial"/>
                <w:color w:val="000000" w:themeColor="text1"/>
                <w:lang w:val="sr-Cyrl-BA"/>
              </w:rPr>
            </w:pP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сп</w:t>
            </w: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обља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w:t>
            </w:r>
            <w:r>
              <w:rPr>
                <w:rFonts w:ascii="Arial" w:eastAsiaTheme="minorHAnsi" w:hAnsi="Arial" w:cs="Arial"/>
                <w:b/>
                <w:color w:val="000000" w:themeColor="text1"/>
                <w:lang w:val="sr-Cyrl-BA"/>
              </w:rPr>
              <w:t>или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на</w:t>
            </w:r>
            <w:r w:rsidR="00171F00">
              <w:rPr>
                <w:rFonts w:ascii="Arial" w:eastAsiaTheme="minorHAnsi" w:hAnsi="Arial" w:cs="Arial"/>
                <w:b/>
                <w:color w:val="000000" w:themeColor="text1"/>
                <w:lang w:val="sr-Cyrl-BA"/>
              </w:rPr>
              <w:t>ж</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ник</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ни</w:t>
            </w:r>
            <w:r w:rsidR="0071360A">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алног</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ди</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ајна</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p>
          <w:p w14:paraId="10F3EE01" w14:textId="45A9ACBA" w:rsidR="00892898" w:rsidRPr="00F6340E" w:rsidRDefault="0071360A" w:rsidP="00115925">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ходна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али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инкл</w:t>
            </w:r>
            <w:r>
              <w:rPr>
                <w:rFonts w:ascii="Arial" w:eastAsiaTheme="minorHAnsi" w:hAnsi="Arial" w:cs="Arial"/>
                <w:color w:val="000000" w:themeColor="text1"/>
                <w:lang w:val="sr-Cyrl-BA"/>
              </w:rPr>
              <w:t>у</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Pr>
                <w:rFonts w:ascii="Arial" w:eastAsiaTheme="minorHAnsi" w:hAnsi="Arial" w:cs="Arial"/>
                <w:color w:val="000000" w:themeColor="text1"/>
                <w:lang w:val="sr-Cyrl-BA"/>
              </w:rPr>
              <w:t>у</w:t>
            </w:r>
            <w:r w:rsidR="00B04FA8">
              <w:rPr>
                <w:rFonts w:ascii="Arial" w:eastAsiaTheme="minorHAnsi" w:hAnsi="Arial" w:cs="Arial"/>
                <w:color w:val="000000" w:themeColor="text1"/>
                <w:lang w:val="sr-Cyrl-BA"/>
              </w:rPr>
              <w:t xml:space="preserve"> </w:t>
            </w:r>
            <w:r w:rsidR="001F2F40">
              <w:rPr>
                <w:rFonts w:ascii="Arial" w:eastAsiaTheme="minorHAnsi" w:hAnsi="Arial" w:cs="Arial"/>
                <w:color w:val="000000" w:themeColor="text1"/>
                <w:lang w:val="sr-Cyrl-BA"/>
              </w:rPr>
              <w:t>с обзиром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ади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конц</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пту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мј</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клањањ</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ка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њ</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ади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оак</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ступу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мј</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но</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ад</w:t>
            </w:r>
            <w:r>
              <w:rPr>
                <w:rFonts w:ascii="Arial" w:hAnsi="Arial" w:cs="Arial"/>
                <w:color w:val="000000" w:themeColor="text1"/>
                <w:lang w:val="sr-Cyrl-BA"/>
              </w:rPr>
              <w:t>р</w:t>
            </w:r>
            <w:r w:rsidR="00171F00">
              <w:rPr>
                <w:rFonts w:ascii="Arial" w:hAnsi="Arial" w:cs="Arial"/>
                <w:color w:val="000000" w:themeColor="text1"/>
                <w:lang w:val="sr-Cyrl-BA"/>
              </w:rPr>
              <w:t>ж</w:t>
            </w:r>
            <w:r w:rsidR="00A56E08">
              <w:rPr>
                <w:rFonts w:ascii="Arial" w:hAnsi="Arial" w:cs="Arial"/>
                <w:color w:val="000000" w:themeColor="text1"/>
                <w:lang w:val="sr-Cyrl-BA"/>
              </w:rPr>
              <w:t>ај</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ступ</w:t>
            </w:r>
            <w:r w:rsidR="00A56E08">
              <w:rPr>
                <w:rFonts w:ascii="Arial" w:hAnsi="Arial" w:cs="Arial"/>
                <w:color w:val="000000" w:themeColor="text1"/>
                <w:lang w:val="sr-Cyrl-BA"/>
              </w:rPr>
              <w:t>к</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Pr>
                <w:rFonts w:ascii="Arial" w:hAnsi="Arial" w:cs="Arial"/>
                <w:color w:val="000000" w:themeColor="text1"/>
                <w:lang w:val="sr-Cyrl-BA"/>
              </w:rPr>
              <w:t>с</w:t>
            </w:r>
            <w:r w:rsidR="00A56E08">
              <w:rPr>
                <w:rFonts w:ascii="Arial" w:hAnsi="Arial" w:cs="Arial"/>
                <w:color w:val="000000" w:themeColor="text1"/>
                <w:lang w:val="sr-Cyrl-BA"/>
              </w:rPr>
              <w:t>ход</w:t>
            </w:r>
            <w:r w:rsidR="00EE6AA2">
              <w:rPr>
                <w:rFonts w:ascii="Arial"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p>
          <w:p w14:paraId="78FE4BCA" w14:textId="648E88B3" w:rsidR="00892898" w:rsidRPr="00F6340E" w:rsidRDefault="00A56E08" w:rsidP="00115925">
            <w:pPr>
              <w:pStyle w:val="ListParagraph"/>
              <w:numPr>
                <w:ilvl w:val="0"/>
                <w:numId w:val="36"/>
              </w:numPr>
              <w:jc w:val="left"/>
              <w:rPr>
                <w:rFonts w:ascii="Arial" w:hAnsi="Arial" w:cs="Arial"/>
                <w:color w:val="000000" w:themeColor="text1"/>
                <w:lang w:val="sr-Cyrl-BA"/>
              </w:rPr>
            </w:pP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иг</w:t>
            </w:r>
            <w:r w:rsidR="0071360A">
              <w:rPr>
                <w:rFonts w:ascii="Arial" w:eastAsiaTheme="minorHAnsi" w:hAnsi="Arial" w:cs="Arial"/>
                <w:b/>
                <w:color w:val="000000" w:themeColor="text1"/>
                <w:lang w:val="sr-Cyrl-BA"/>
              </w:rPr>
              <w:t>ур</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Инф</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стру</w:t>
            </w:r>
            <w:r>
              <w:rPr>
                <w:rFonts w:ascii="Arial" w:eastAsiaTheme="minorHAnsi" w:hAnsi="Arial" w:cs="Arial"/>
                <w:b/>
                <w:color w:val="000000" w:themeColor="text1"/>
                <w:lang w:val="sr-Cyrl-BA"/>
              </w:rPr>
              <w:t>к</w:t>
            </w:r>
            <w:r w:rsidR="0071360A">
              <w:rPr>
                <w:rFonts w:ascii="Arial" w:eastAsiaTheme="minorHAnsi" w:hAnsi="Arial" w:cs="Arial"/>
                <w:b/>
                <w:color w:val="000000" w:themeColor="text1"/>
                <w:lang w:val="sr-Cyrl-BA"/>
              </w:rPr>
              <w:t>туру</w:t>
            </w:r>
            <w:r w:rsidR="00FA763F"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FA763F"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ИК</w:t>
            </w:r>
            <w:r w:rsidR="0071360A">
              <w:rPr>
                <w:rFonts w:ascii="Arial" w:eastAsiaTheme="minorHAnsi" w:hAnsi="Arial" w:cs="Arial"/>
                <w:b/>
                <w:color w:val="000000" w:themeColor="text1"/>
                <w:lang w:val="sr-Cyrl-BA"/>
              </w:rPr>
              <w:t>Т</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која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ћ</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w:t>
            </w:r>
            <w:r>
              <w:rPr>
                <w:rFonts w:ascii="Arial" w:eastAsiaTheme="minorHAnsi" w:hAnsi="Arial" w:cs="Arial"/>
                <w:b/>
                <w:color w:val="000000" w:themeColor="text1"/>
                <w:lang w:val="sr-Cyrl-BA"/>
              </w:rPr>
              <w:t>од</w:t>
            </w:r>
            <w:r w:rsidR="0071360A">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ж</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ни</w:t>
            </w:r>
            <w:r w:rsidR="0071360A">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алног</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ди</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ајна</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p>
          <w:p w14:paraId="4EAE83C3" w14:textId="3C594F56" w:rsidR="00892898" w:rsidRPr="00F6340E" w:rsidRDefault="0071360A" w:rsidP="00115925">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С</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сп</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цифично</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конц</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пт</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мог</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ћно</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диф</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нцијациј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инди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ид</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али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ациј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рс</w:t>
            </w:r>
            <w:r w:rsidR="00A56E08">
              <w:rPr>
                <w:rFonts w:ascii="Arial" w:eastAsiaTheme="minorHAnsi" w:hAnsi="Arial" w:cs="Arial"/>
                <w:color w:val="000000" w:themeColor="text1"/>
                <w:lang w:val="sr-Cyrl-BA"/>
              </w:rPr>
              <w:t>онали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ациј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оц</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су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ИК</w:t>
            </w:r>
            <w:r>
              <w:rPr>
                <w:rFonts w:ascii="Arial" w:eastAsiaTheme="minorHAnsi" w:hAnsi="Arial" w:cs="Arial"/>
                <w:color w:val="000000" w:themeColor="text1"/>
                <w:lang w:val="sr-Cyrl-BA"/>
              </w:rPr>
              <w:t>Т</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инф</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стру</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тур</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ља</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начајн</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рш</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њ</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го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ој</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им</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л</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ацији</w:t>
            </w:r>
            <w:r w:rsidR="00BF261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w:t>
            </w:r>
            <w:r w:rsidR="00BF261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одно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w:t>
            </w:r>
            <w:r w:rsidR="00BF261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BF261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BF261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ха</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в</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рс</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у</w:t>
            </w:r>
            <w:r w:rsidR="0056403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оф</w:t>
            </w:r>
            <w:r>
              <w:rPr>
                <w:rFonts w:ascii="Arial" w:eastAsiaTheme="minorHAnsi" w:hAnsi="Arial" w:cs="Arial"/>
                <w:color w:val="000000" w:themeColor="text1"/>
                <w:lang w:val="sr-Cyrl-BA"/>
              </w:rPr>
              <w:t>тв</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рс</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у</w:t>
            </w:r>
            <w:r w:rsidR="0056403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56403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56403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инф</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стру</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туру</w:t>
            </w:r>
            <w:r w:rsidR="0056403E" w:rsidRPr="00F6340E">
              <w:rPr>
                <w:rStyle w:val="FootnoteReference"/>
                <w:rFonts w:ascii="Arial" w:eastAsiaTheme="minorHAnsi" w:hAnsi="Arial" w:cs="Arial"/>
                <w:color w:val="000000" w:themeColor="text1"/>
                <w:lang w:val="sr-Cyrl-BA"/>
              </w:rPr>
              <w:footnoteReference w:id="25"/>
            </w:r>
            <w:r w:rsidR="0056403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56403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56403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хнологиј</w:t>
            </w:r>
            <w:r>
              <w:rPr>
                <w:rFonts w:ascii="Arial" w:eastAsiaTheme="minorHAnsi" w:hAnsi="Arial" w:cs="Arial"/>
                <w:color w:val="000000" w:themeColor="text1"/>
                <w:lang w:val="sr-Cyrl-BA"/>
              </w:rPr>
              <w:t>у</w:t>
            </w:r>
            <w:r w:rsidR="0056403E" w:rsidRPr="00F6340E">
              <w:rPr>
                <w:rFonts w:ascii="Arial" w:eastAsiaTheme="minorHAnsi" w:hAnsi="Arial" w:cs="Arial"/>
                <w:color w:val="000000" w:themeColor="text1"/>
                <w:lang w:val="sr-Cyrl-BA"/>
              </w:rPr>
              <w:t xml:space="preserve">. </w:t>
            </w:r>
          </w:p>
          <w:p w14:paraId="1801A197" w14:textId="5F646696" w:rsidR="00892898" w:rsidRPr="00F6340E" w:rsidRDefault="0071360A" w:rsidP="00115925">
            <w:pPr>
              <w:pStyle w:val="ListParagraph"/>
              <w:numPr>
                <w:ilvl w:val="0"/>
                <w:numId w:val="36"/>
              </w:numPr>
              <w:jc w:val="left"/>
              <w:rPr>
                <w:rFonts w:ascii="Arial" w:hAnsi="Arial" w:cs="Arial"/>
                <w:color w:val="000000" w:themeColor="text1"/>
                <w:lang w:val="sr-Cyrl-BA"/>
              </w:rPr>
            </w:pPr>
            <w:r>
              <w:rPr>
                <w:rFonts w:ascii="Arial" w:eastAsiaTheme="minorEastAsia" w:hAnsi="Arial" w:cs="Arial"/>
                <w:b/>
                <w:color w:val="000000" w:themeColor="text1"/>
                <w:lang w:val="sr-Cyrl-BA"/>
              </w:rPr>
              <w:t>П</w:t>
            </w:r>
            <w:r w:rsidR="00A56E08">
              <w:rPr>
                <w:rFonts w:ascii="Arial" w:eastAsiaTheme="minorEastAsia" w:hAnsi="Arial" w:cs="Arial"/>
                <w:b/>
                <w:color w:val="000000" w:themeColor="text1"/>
                <w:lang w:val="sr-Cyrl-BA"/>
              </w:rPr>
              <w:t>од</w:t>
            </w:r>
            <w:r>
              <w:rPr>
                <w:rFonts w:ascii="Arial" w:eastAsiaTheme="minorEastAsia" w:hAnsi="Arial" w:cs="Arial"/>
                <w:b/>
                <w:color w:val="000000" w:themeColor="text1"/>
                <w:lang w:val="sr-Cyrl-BA"/>
              </w:rPr>
              <w:t>р</w:t>
            </w:r>
            <w:r w:rsidR="00171F00">
              <w:rPr>
                <w:rFonts w:ascii="Arial" w:eastAsiaTheme="minorEastAsia" w:hAnsi="Arial" w:cs="Arial"/>
                <w:b/>
                <w:color w:val="000000" w:themeColor="text1"/>
                <w:lang w:val="sr-Cyrl-BA"/>
              </w:rPr>
              <w:t>ж</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т</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с</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р</w:t>
            </w:r>
            <w:r w:rsidR="00A56E08">
              <w:rPr>
                <w:rFonts w:ascii="Arial" w:eastAsiaTheme="minorEastAsia" w:hAnsi="Arial" w:cs="Arial"/>
                <w:b/>
                <w:color w:val="000000" w:themeColor="text1"/>
                <w:lang w:val="sr-Cyrl-BA"/>
              </w:rPr>
              <w:t>адничк</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одно</w:t>
            </w:r>
            <w:r>
              <w:rPr>
                <w:rFonts w:ascii="Arial" w:eastAsiaTheme="minorEastAsia" w:hAnsi="Arial" w:cs="Arial"/>
                <w:b/>
                <w:color w:val="000000" w:themeColor="text1"/>
                <w:lang w:val="sr-Cyrl-BA"/>
              </w:rPr>
              <w:t>с</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на</w:t>
            </w:r>
            <w:r>
              <w:rPr>
                <w:rFonts w:ascii="Arial" w:eastAsiaTheme="minorEastAsia" w:hAnsi="Arial" w:cs="Arial"/>
                <w:b/>
                <w:color w:val="000000" w:themeColor="text1"/>
                <w:lang w:val="sr-Cyrl-BA"/>
              </w:rPr>
              <w:t>ст</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ника</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к</w:t>
            </w:r>
            <w:r>
              <w:rPr>
                <w:rFonts w:ascii="Arial" w:eastAsiaTheme="minorEastAsia" w:hAnsi="Arial" w:cs="Arial"/>
                <w:b/>
                <w:color w:val="000000" w:themeColor="text1"/>
                <w:lang w:val="sr-Cyrl-BA"/>
              </w:rPr>
              <w:t>р</w:t>
            </w:r>
            <w:r w:rsidR="00A56E08">
              <w:rPr>
                <w:rFonts w:ascii="Arial" w:eastAsiaTheme="minorEastAsia" w:hAnsi="Arial" w:cs="Arial"/>
                <w:b/>
                <w:color w:val="000000" w:themeColor="text1"/>
                <w:lang w:val="sr-Cyrl-BA"/>
              </w:rPr>
              <w:t>о</w:t>
            </w:r>
            <w:r w:rsidR="00171F00">
              <w:rPr>
                <w:rFonts w:ascii="Arial" w:eastAsiaTheme="minorEastAsia" w:hAnsi="Arial" w:cs="Arial"/>
                <w:b/>
                <w:color w:val="000000" w:themeColor="text1"/>
                <w:lang w:val="sr-Cyrl-BA"/>
              </w:rPr>
              <w:t>з</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пр</w:t>
            </w:r>
            <w:r w:rsidR="00A56E08">
              <w:rPr>
                <w:rFonts w:ascii="Arial" w:eastAsiaTheme="minorEastAsia" w:hAnsi="Arial" w:cs="Arial"/>
                <w:b/>
                <w:color w:val="000000" w:themeColor="text1"/>
                <w:lang w:val="sr-Cyrl-BA"/>
              </w:rPr>
              <w:t>имј</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н</w:t>
            </w:r>
            <w:r>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у</w:t>
            </w:r>
            <w:r w:rsidR="00A56E08">
              <w:rPr>
                <w:rFonts w:ascii="Arial" w:eastAsiaTheme="minorEastAsia" w:hAnsi="Arial" w:cs="Arial"/>
                <w:b/>
                <w:color w:val="000000" w:themeColor="text1"/>
                <w:lang w:val="sr-Cyrl-BA"/>
              </w:rPr>
              <w:t>ни</w:t>
            </w:r>
            <w:r>
              <w:rPr>
                <w:rFonts w:ascii="Arial" w:eastAsiaTheme="minorEastAsia" w:hAnsi="Arial" w:cs="Arial"/>
                <w:b/>
                <w:color w:val="000000" w:themeColor="text1"/>
                <w:lang w:val="sr-Cyrl-BA"/>
              </w:rPr>
              <w:t>в</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р</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алног</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ди</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ајна</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у</w:t>
            </w:r>
            <w:r w:rsidR="00A56E08">
              <w:rPr>
                <w:rFonts w:ascii="Arial" w:eastAsiaTheme="minorEastAsia" w:hAnsi="Arial" w:cs="Arial"/>
                <w:b/>
                <w:color w:val="000000" w:themeColor="text1"/>
                <w:lang w:val="sr-Cyrl-BA"/>
              </w:rPr>
              <w:t>ч</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њ</w:t>
            </w:r>
            <w:r w:rsidR="00EE6AA2">
              <w:rPr>
                <w:rFonts w:ascii="Arial" w:eastAsiaTheme="minorEastAsia" w:hAnsi="Arial" w:cs="Arial"/>
                <w:b/>
                <w:color w:val="000000" w:themeColor="text1"/>
                <w:lang w:val="sr-Cyrl-BA"/>
              </w:rPr>
              <w:t>е</w:t>
            </w:r>
          </w:p>
          <w:p w14:paraId="11A0D7DA" w14:textId="210077F3" w:rsidR="00892898" w:rsidRPr="00F6340E" w:rsidRDefault="0071360A" w:rsidP="00115925">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адничка</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дница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ђ</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обн</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уст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сп</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цифичном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ру</w:t>
            </w:r>
            <w:r w:rsidR="00A56E08">
              <w:rPr>
                <w:rFonts w:ascii="Arial" w:eastAsiaTheme="minorHAnsi" w:hAnsi="Arial" w:cs="Arial"/>
                <w:color w:val="000000" w:themeColor="text1"/>
                <w:lang w:val="sr-Cyrl-BA"/>
              </w:rPr>
              <w:t>чј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али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ш</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w:t>
            </w:r>
            <w:r w:rsidR="00B04FA8">
              <w:rPr>
                <w:rFonts w:ascii="Arial" w:eastAsiaTheme="minorHAnsi" w:hAnsi="Arial" w:cs="Arial"/>
                <w:color w:val="000000" w:themeColor="text1"/>
                <w:lang w:val="sr-Cyrl-BA"/>
              </w:rPr>
              <w:t xml:space="preserve"> са </w:t>
            </w:r>
            <w:r w:rsidR="00A56E08">
              <w:rPr>
                <w:rFonts w:ascii="Arial" w:eastAsiaTheme="minorHAnsi" w:hAnsi="Arial" w:cs="Arial"/>
                <w:color w:val="000000" w:themeColor="text1"/>
                <w:lang w:val="sr-Cyrl-BA"/>
              </w:rPr>
              <w:t>циљ</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ђ</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ња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ла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их</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ком</w:t>
            </w:r>
            <w:r>
              <w:rPr>
                <w:rFonts w:ascii="Arial" w:eastAsiaTheme="minorHAnsi" w:hAnsi="Arial" w:cs="Arial"/>
                <w:color w:val="000000" w:themeColor="text1"/>
                <w:lang w:val="sr-Cyrl-BA"/>
              </w:rPr>
              <w:t>п</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нција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ој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ћ</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ак</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ња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56403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рш</w:t>
            </w:r>
            <w:r w:rsidR="00A56E08">
              <w:rPr>
                <w:rFonts w:ascii="Arial" w:eastAsiaTheme="minorHAnsi" w:hAnsi="Arial" w:cs="Arial"/>
                <w:color w:val="000000" w:themeColor="text1"/>
                <w:lang w:val="sr-Cyrl-BA"/>
              </w:rPr>
              <w:t>ка</w:t>
            </w:r>
            <w:r w:rsidR="007B7C4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7B7C4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мо</w:t>
            </w:r>
            <w:r w:rsidR="00171F00">
              <w:rPr>
                <w:rFonts w:ascii="Arial" w:eastAsiaTheme="minorHAnsi" w:hAnsi="Arial" w:cs="Arial"/>
                <w:color w:val="000000" w:themeColor="text1"/>
                <w:lang w:val="sr-Cyrl-BA"/>
              </w:rPr>
              <w:t>ж</w:t>
            </w:r>
            <w:r w:rsidR="00EE6AA2">
              <w:rPr>
                <w:rFonts w:ascii="Arial" w:eastAsiaTheme="minorHAnsi" w:hAnsi="Arial" w:cs="Arial"/>
                <w:color w:val="000000" w:themeColor="text1"/>
                <w:lang w:val="sr-Cyrl-BA"/>
              </w:rPr>
              <w:t>е</w:t>
            </w:r>
            <w:r w:rsidR="007B7C4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али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7B7C4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7B7C4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ни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sidR="00EE6AA2">
              <w:rPr>
                <w:rFonts w:ascii="Arial" w:eastAsiaTheme="minorHAnsi" w:hAnsi="Arial" w:cs="Arial"/>
                <w:color w:val="000000" w:themeColor="text1"/>
                <w:lang w:val="sr-Cyrl-BA"/>
              </w:rPr>
              <w:t>е</w:t>
            </w:r>
            <w:r w:rsidR="0049103B"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адничких</w:t>
            </w:r>
            <w:r w:rsidR="0049103B"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имо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sidR="0049103B"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A90C7E" w:rsidRPr="00F6340E">
              <w:rPr>
                <w:rFonts w:ascii="Arial" w:eastAsiaTheme="minorHAnsi" w:hAnsi="Arial" w:cs="Arial"/>
                <w:color w:val="000000" w:themeColor="text1"/>
                <w:lang w:val="sr-Cyrl-BA"/>
              </w:rPr>
              <w:t>,</w:t>
            </w:r>
            <w:r w:rsidR="00211A69"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било</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ди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ци</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лина</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них</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или</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ок</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ру</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ог</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дм</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ног</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ру</w:t>
            </w:r>
            <w:r w:rsidR="00A56E08">
              <w:rPr>
                <w:rFonts w:ascii="Arial" w:eastAsiaTheme="minorHAnsi" w:hAnsi="Arial" w:cs="Arial"/>
                <w:color w:val="000000" w:themeColor="text1"/>
                <w:lang w:val="sr-Cyrl-BA"/>
              </w:rPr>
              <w:t>чја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иг</w:t>
            </w:r>
            <w:r>
              <w:rPr>
                <w:rFonts w:ascii="Arial" w:eastAsiaTheme="minorHAnsi" w:hAnsi="Arial" w:cs="Arial"/>
                <w:color w:val="000000" w:themeColor="text1"/>
                <w:lang w:val="sr-Cyrl-BA"/>
              </w:rPr>
              <w:t>ур</w:t>
            </w:r>
            <w:r w:rsidR="00A56E08">
              <w:rPr>
                <w:rFonts w:ascii="Arial" w:eastAsiaTheme="minorHAnsi" w:hAnsi="Arial" w:cs="Arial"/>
                <w:color w:val="000000" w:themeColor="text1"/>
                <w:lang w:val="sr-Cyrl-BA"/>
              </w:rPr>
              <w:t>ањ</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рств</w:t>
            </w:r>
            <w:r w:rsidR="00A56E08">
              <w:rPr>
                <w:rFonts w:ascii="Arial" w:eastAsiaTheme="minorHAnsi" w:hAnsi="Arial" w:cs="Arial"/>
                <w:color w:val="000000" w:themeColor="text1"/>
                <w:lang w:val="sr-Cyrl-BA"/>
              </w:rPr>
              <w:t>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ницима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A90C7E"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или</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од</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стр</w:t>
            </w:r>
            <w:r w:rsidR="00A56E08">
              <w:rPr>
                <w:rFonts w:ascii="Arial" w:eastAsiaTheme="minorHAnsi" w:hAnsi="Arial" w:cs="Arial"/>
                <w:color w:val="000000" w:themeColor="text1"/>
                <w:lang w:val="sr-Cyrl-BA"/>
              </w:rPr>
              <w:t>ан</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BF261E"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w:t>
            </w:r>
            <w:r w:rsidR="00BF261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EE6AA2">
              <w:rPr>
                <w:rFonts w:ascii="Arial" w:eastAsiaTheme="minorHAnsi" w:hAnsi="Arial" w:cs="Arial"/>
                <w:color w:val="000000" w:themeColor="text1"/>
                <w:lang w:val="sr-Cyrl-BA"/>
              </w:rPr>
              <w:t>е</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ђ</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личи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им</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оима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како</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би</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ид</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ја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lastRenderedPageBreak/>
              <w:t>и</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их</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ак</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фл</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ала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рш</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ницима</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им</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л</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ацији</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акционог</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ру</w:t>
            </w:r>
            <w:r w:rsidR="00A56E08">
              <w:rPr>
                <w:rFonts w:ascii="Arial" w:eastAsiaTheme="minorHAnsi" w:hAnsi="Arial" w:cs="Arial"/>
                <w:color w:val="000000" w:themeColor="text1"/>
                <w:lang w:val="sr-Cyrl-BA"/>
              </w:rPr>
              <w:t>чј</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A90C7E"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кљ</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м</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ичних</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ија</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ља</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171F00">
              <w:rPr>
                <w:rFonts w:ascii="Arial" w:eastAsiaTheme="minorHAnsi" w:hAnsi="Arial" w:cs="Arial"/>
                <w:color w:val="000000" w:themeColor="text1"/>
                <w:lang w:val="sr-Cyrl-BA"/>
              </w:rPr>
              <w:t>з</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ру</w:t>
            </w:r>
            <w:r w:rsidR="00A56E08">
              <w:rPr>
                <w:rFonts w:ascii="Arial" w:eastAsiaTheme="minorHAnsi" w:hAnsi="Arial" w:cs="Arial"/>
                <w:color w:val="000000" w:themeColor="text1"/>
                <w:lang w:val="sr-Cyrl-BA"/>
              </w:rPr>
              <w:t>г</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циј</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локалн</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дниц</w:t>
            </w:r>
            <w:r w:rsidR="00EE6AA2">
              <w:rPr>
                <w:rFonts w:ascii="Arial" w:eastAsiaTheme="minorHAnsi" w:hAnsi="Arial" w:cs="Arial"/>
                <w:color w:val="000000" w:themeColor="text1"/>
                <w:lang w:val="sr-Cyrl-BA"/>
              </w:rPr>
              <w:t>е</w:t>
            </w:r>
            <w:r w:rsidR="00A90C7E"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A90C7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w:t>
            </w:r>
            <w:r w:rsidR="00A90C7E" w:rsidRPr="00F6340E">
              <w:rPr>
                <w:rFonts w:ascii="Arial" w:eastAsiaTheme="minorHAnsi" w:hAnsi="Arial" w:cs="Arial"/>
                <w:color w:val="000000" w:themeColor="text1"/>
                <w:lang w:val="sr-Cyrl-BA"/>
              </w:rPr>
              <w:t>.).</w:t>
            </w:r>
          </w:p>
          <w:p w14:paraId="6285904C" w14:textId="1B378581" w:rsidR="00892898" w:rsidRPr="00F6340E" w:rsidRDefault="0071360A" w:rsidP="00115925">
            <w:pPr>
              <w:pStyle w:val="ListParagraph"/>
              <w:numPr>
                <w:ilvl w:val="0"/>
                <w:numId w:val="36"/>
              </w:numPr>
              <w:jc w:val="left"/>
              <w:rPr>
                <w:rFonts w:ascii="Arial" w:eastAsiaTheme="minorHAnsi" w:hAnsi="Arial" w:cs="Arial"/>
                <w:color w:val="000000" w:themeColor="text1"/>
                <w:lang w:val="sr-Cyrl-BA"/>
              </w:rPr>
            </w:pPr>
            <w:r>
              <w:rPr>
                <w:rFonts w:ascii="Arial" w:eastAsiaTheme="minorHAnsi" w:hAnsi="Arial" w:cs="Arial"/>
                <w:b/>
                <w:color w:val="000000" w:themeColor="text1"/>
                <w:lang w:val="sr-Cyrl-BA"/>
              </w:rPr>
              <w:t>Уврст</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ни</w:t>
            </w:r>
            <w:r>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ални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ди</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ајн</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пр</w:t>
            </w:r>
            <w:r w:rsidR="00A56E08">
              <w:rPr>
                <w:rFonts w:ascii="Arial" w:eastAsiaTheme="minorHAnsi" w:hAnsi="Arial" w:cs="Arial"/>
                <w:b/>
                <w:color w:val="000000" w:themeColor="text1"/>
                <w:lang w:val="sr-Cyrl-BA"/>
              </w:rPr>
              <w:t>ог</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ам</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иницијалног</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ника</w:t>
            </w:r>
            <w:r w:rsidR="00892898" w:rsidRPr="00F6340E">
              <w:rPr>
                <w:rFonts w:ascii="Arial" w:eastAsiaTheme="minorHAnsi" w:hAnsi="Arial" w:cs="Arial"/>
                <w:b/>
                <w:color w:val="000000" w:themeColor="text1"/>
                <w:lang w:val="sr-Cyrl-BA"/>
              </w:rPr>
              <w:t xml:space="preserve"> </w:t>
            </w:r>
          </w:p>
          <w:p w14:paraId="4FC348D6" w14:textId="70180B9C" w:rsidR="00892898" w:rsidRPr="00F6340E" w:rsidRDefault="0071360A" w:rsidP="00115925">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сту</w:t>
            </w:r>
            <w:r w:rsidR="00A56E08">
              <w:rPr>
                <w:rFonts w:ascii="Arial" w:eastAsiaTheme="minorHAnsi" w:hAnsi="Arial" w:cs="Arial"/>
                <w:color w:val="000000" w:themeColor="text1"/>
                <w:lang w:val="sr-Cyrl-BA"/>
              </w:rPr>
              <w:t>диј</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к</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ог</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ам</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иницијалног</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ба</w:t>
            </w:r>
            <w:r w:rsidR="0057191F"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кљ</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ад</w:t>
            </w:r>
            <w:r>
              <w:rPr>
                <w:rFonts w:ascii="Arial" w:eastAsiaTheme="minorHAnsi" w:hAnsi="Arial" w:cs="Arial"/>
                <w:color w:val="000000" w:themeColor="text1"/>
                <w:lang w:val="sr-Cyrl-BA"/>
              </w:rPr>
              <w:t>р</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ај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који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одно</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који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обља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сту</w:t>
            </w:r>
            <w:r w:rsidR="00A56E08">
              <w:rPr>
                <w:rFonts w:ascii="Arial" w:eastAsiaTheme="minorHAnsi" w:hAnsi="Arial" w:cs="Arial"/>
                <w:color w:val="000000" w:themeColor="text1"/>
                <w:lang w:val="sr-Cyrl-BA"/>
              </w:rPr>
              <w:t>д</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б</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ћ</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њ</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го</w:t>
            </w:r>
            <w:r>
              <w:rPr>
                <w:rFonts w:ascii="Arial" w:eastAsiaTheme="minorHAnsi" w:hAnsi="Arial" w:cs="Arial"/>
                <w:color w:val="000000" w:themeColor="text1"/>
                <w:lang w:val="sr-Cyrl-BA"/>
              </w:rPr>
              <w:t>ву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али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ица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око</w:t>
            </w:r>
            <w:r>
              <w:rPr>
                <w:rFonts w:ascii="Arial" w:eastAsiaTheme="minorHAnsi" w:hAnsi="Arial" w:cs="Arial"/>
                <w:color w:val="000000" w:themeColor="text1"/>
                <w:lang w:val="sr-Cyrl-BA"/>
              </w:rPr>
              <w:t>ш</w:t>
            </w:r>
            <w:r w:rsidR="00A56E08">
              <w:rPr>
                <w:rFonts w:ascii="Arial" w:eastAsiaTheme="minorHAnsi" w:hAnsi="Arial" w:cs="Arial"/>
                <w:color w:val="000000" w:themeColor="text1"/>
                <w:lang w:val="sr-Cyrl-BA"/>
              </w:rPr>
              <w:t>кол</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ким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цијама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ад</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инци</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има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Д</w:t>
            </w:r>
            <w:r>
              <w:rPr>
                <w:rFonts w:ascii="Arial" w:eastAsiaTheme="minorHAnsi" w:hAnsi="Arial" w:cs="Arial"/>
                <w:color w:val="000000" w:themeColor="text1"/>
                <w:lang w:val="sr-Cyrl-BA"/>
              </w:rPr>
              <w:t>У</w:t>
            </w:r>
            <w:r w:rsidR="00FA763F"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p>
          <w:p w14:paraId="38FDA61A" w14:textId="24F6C222" w:rsidR="00915D1D" w:rsidRPr="00F6340E" w:rsidRDefault="0071360A" w:rsidP="00115925">
            <w:pPr>
              <w:pStyle w:val="ListParagraph"/>
              <w:numPr>
                <w:ilvl w:val="0"/>
                <w:numId w:val="36"/>
              </w:numPr>
              <w:jc w:val="left"/>
              <w:rPr>
                <w:rFonts w:ascii="Arial" w:eastAsiaTheme="minorHAnsi" w:hAnsi="Arial" w:cs="Arial"/>
                <w:b/>
                <w:color w:val="000000" w:themeColor="text1"/>
                <w:lang w:val="sr-Cyrl-BA"/>
              </w:rPr>
            </w:pP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ницима</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w:t>
            </w:r>
            <w:r>
              <w:rPr>
                <w:rFonts w:ascii="Arial" w:eastAsiaTheme="minorHAnsi" w:hAnsi="Arial" w:cs="Arial"/>
                <w:b/>
                <w:color w:val="000000" w:themeColor="text1"/>
                <w:lang w:val="sr-Cyrl-BA"/>
              </w:rPr>
              <w:t>у</w:t>
            </w:r>
            <w:r w:rsidR="00171F00">
              <w:rPr>
                <w:rFonts w:ascii="Arial" w:eastAsiaTheme="minorHAnsi" w:hAnsi="Arial" w:cs="Arial"/>
                <w:b/>
                <w:color w:val="000000" w:themeColor="text1"/>
                <w:lang w:val="sr-Cyrl-BA"/>
              </w:rPr>
              <w:t>ж</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м</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лиј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њ</w:t>
            </w:r>
            <w:r>
              <w:rPr>
                <w:rFonts w:ascii="Arial" w:eastAsiaTheme="minorHAnsi" w:hAnsi="Arial" w:cs="Arial"/>
                <w:b/>
                <w:color w:val="000000" w:themeColor="text1"/>
                <w:lang w:val="sr-Cyrl-BA"/>
              </w:rPr>
              <w:t>у</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омог</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ћи</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915D1D"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пр</w:t>
            </w:r>
            <w:r w:rsidR="00A56E08">
              <w:rPr>
                <w:rFonts w:ascii="Arial" w:eastAsiaTheme="minorHAnsi" w:hAnsi="Arial" w:cs="Arial"/>
                <w:b/>
                <w:color w:val="000000" w:themeColor="text1"/>
                <w:lang w:val="sr-Cyrl-BA"/>
              </w:rPr>
              <w:t>аћ</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sidR="00915D1D"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915D1D"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FA763F"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8424F0"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пут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м</w:t>
            </w:r>
            <w:r w:rsidR="008424F0"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w:t>
            </w:r>
            <w:r w:rsidR="00915D1D"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пут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м</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како</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би</w:t>
            </w:r>
            <w:r w:rsidR="002F4AEA"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иг</w:t>
            </w:r>
            <w:r>
              <w:rPr>
                <w:rFonts w:ascii="Arial" w:eastAsiaTheme="minorHAnsi" w:hAnsi="Arial" w:cs="Arial"/>
                <w:b/>
                <w:color w:val="000000" w:themeColor="text1"/>
                <w:lang w:val="sr-Cyrl-BA"/>
              </w:rPr>
              <w:t>ур</w:t>
            </w:r>
            <w:r w:rsidR="00A56E08">
              <w:rPr>
                <w:rFonts w:ascii="Arial" w:eastAsiaTheme="minorHAnsi" w:hAnsi="Arial" w:cs="Arial"/>
                <w:b/>
                <w:color w:val="000000" w:themeColor="text1"/>
                <w:lang w:val="sr-Cyrl-BA"/>
              </w:rPr>
              <w:t>ало</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њихо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о</w:t>
            </w:r>
            <w:r w:rsidR="002F4AEA"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ств</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ств</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r w:rsidR="002F4AEA"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них</w:t>
            </w:r>
            <w:r w:rsidR="002F4AEA"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игн</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ћа</w:t>
            </w:r>
            <w:r w:rsidR="00460C6D" w:rsidRPr="00F6340E">
              <w:rPr>
                <w:rFonts w:ascii="Arial" w:eastAsiaTheme="minorHAnsi" w:hAnsi="Arial" w:cs="Arial"/>
                <w:b/>
                <w:color w:val="000000" w:themeColor="text1"/>
                <w:lang w:val="sr-Cyrl-BA"/>
              </w:rPr>
              <w:t>.</w:t>
            </w:r>
          </w:p>
        </w:tc>
      </w:tr>
    </w:tbl>
    <w:p w14:paraId="46A19932" w14:textId="77777777" w:rsidR="00892898" w:rsidRDefault="00892898" w:rsidP="00892898">
      <w:pPr>
        <w:contextualSpacing/>
        <w:rPr>
          <w:rFonts w:ascii="Arial" w:hAnsi="Arial" w:cs="Arial"/>
          <w:b/>
          <w:color w:val="000000" w:themeColor="text1"/>
          <w:lang w:val="sr-Cyrl-BA"/>
        </w:rPr>
      </w:pPr>
    </w:p>
    <w:p w14:paraId="3F5E634A" w14:textId="77777777" w:rsidR="00747566" w:rsidRDefault="00747566" w:rsidP="00892898">
      <w:pPr>
        <w:contextualSpacing/>
        <w:rPr>
          <w:rFonts w:ascii="Arial" w:hAnsi="Arial" w:cs="Arial"/>
          <w:b/>
          <w:color w:val="000000" w:themeColor="text1"/>
          <w:lang w:val="sr-Cyrl-BA"/>
        </w:rPr>
      </w:pPr>
    </w:p>
    <w:p w14:paraId="4FEF3BE2" w14:textId="77777777" w:rsidR="00747566" w:rsidRDefault="00747566" w:rsidP="00892898">
      <w:pPr>
        <w:contextualSpacing/>
        <w:rPr>
          <w:rFonts w:ascii="Arial" w:hAnsi="Arial" w:cs="Arial"/>
          <w:b/>
          <w:color w:val="000000" w:themeColor="text1"/>
          <w:lang w:val="sr-Cyrl-BA"/>
        </w:rPr>
      </w:pPr>
    </w:p>
    <w:tbl>
      <w:tblPr>
        <w:tblStyle w:val="TableGrid"/>
        <w:tblW w:w="0" w:type="auto"/>
        <w:shd w:val="clear" w:color="auto" w:fill="D9E2F3" w:themeFill="accent1" w:themeFillTint="33"/>
        <w:tblCellMar>
          <w:top w:w="113" w:type="dxa"/>
          <w:bottom w:w="113" w:type="dxa"/>
        </w:tblCellMar>
        <w:tblLook w:val="04A0" w:firstRow="1" w:lastRow="0" w:firstColumn="1" w:lastColumn="0" w:noHBand="0" w:noVBand="1"/>
      </w:tblPr>
      <w:tblGrid>
        <w:gridCol w:w="9014"/>
      </w:tblGrid>
      <w:tr w:rsidR="00892898" w:rsidRPr="00F6340E" w14:paraId="1485DBB3" w14:textId="77777777" w:rsidTr="00FB5CB7">
        <w:trPr>
          <w:trHeight w:val="454"/>
        </w:trPr>
        <w:tc>
          <w:tcPr>
            <w:tcW w:w="9014" w:type="dxa"/>
            <w:shd w:val="clear" w:color="auto" w:fill="00B0F0"/>
            <w:vAlign w:val="center"/>
          </w:tcPr>
          <w:p w14:paraId="131B2C79" w14:textId="063FADC6" w:rsidR="00892898" w:rsidRPr="00F6340E" w:rsidRDefault="0071360A" w:rsidP="00FB5CB7">
            <w:pPr>
              <w:contextualSpacing/>
              <w:jc w:val="left"/>
              <w:rPr>
                <w:rFonts w:ascii="Arial" w:hAnsi="Arial" w:cs="Arial"/>
                <w:b/>
                <w:color w:val="000000" w:themeColor="text1"/>
                <w:lang w:val="sr-Cyrl-BA"/>
              </w:rPr>
            </w:pPr>
            <w:r>
              <w:rPr>
                <w:rFonts w:ascii="Arial" w:hAnsi="Arial" w:cs="Arial"/>
                <w:b/>
                <w:color w:val="000000" w:themeColor="text1"/>
                <w:lang w:val="sr-Cyrl-BA"/>
              </w:rPr>
              <w:t>Пр</w:t>
            </w:r>
            <w:r w:rsidR="00A56E08">
              <w:rPr>
                <w:rFonts w:ascii="Arial" w:hAnsi="Arial" w:cs="Arial"/>
                <w:b/>
                <w:color w:val="000000" w:themeColor="text1"/>
                <w:lang w:val="sr-Cyrl-BA"/>
              </w:rPr>
              <w:t>аћ</w:t>
            </w:r>
            <w:r w:rsidR="00EE6AA2">
              <w:rPr>
                <w:rFonts w:ascii="Arial" w:hAnsi="Arial" w:cs="Arial"/>
                <w:b/>
                <w:color w:val="000000" w:themeColor="text1"/>
                <w:lang w:val="sr-Cyrl-BA"/>
              </w:rPr>
              <w:t>е</w:t>
            </w:r>
            <w:r w:rsidR="00A56E08">
              <w:rPr>
                <w:rFonts w:ascii="Arial" w:hAnsi="Arial" w:cs="Arial"/>
                <w:b/>
                <w:color w:val="000000" w:themeColor="text1"/>
                <w:lang w:val="sr-Cyrl-BA"/>
              </w:rPr>
              <w:t>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вр</w:t>
            </w:r>
            <w:r w:rsidR="00EE6AA2">
              <w:rPr>
                <w:rFonts w:ascii="Arial" w:hAnsi="Arial" w:cs="Arial"/>
                <w:b/>
                <w:color w:val="000000" w:themeColor="text1"/>
                <w:lang w:val="sr-Cyrl-BA"/>
              </w:rPr>
              <w:t>е</w:t>
            </w:r>
            <w:r w:rsidR="00A56E08">
              <w:rPr>
                <w:rFonts w:ascii="Arial" w:hAnsi="Arial" w:cs="Arial"/>
                <w:b/>
                <w:color w:val="000000" w:themeColor="text1"/>
                <w:lang w:val="sr-Cyrl-BA"/>
              </w:rPr>
              <w:t>дно</w:t>
            </w:r>
            <w:r>
              <w:rPr>
                <w:rFonts w:ascii="Arial" w:hAnsi="Arial" w:cs="Arial"/>
                <w:b/>
                <w:color w:val="000000" w:themeColor="text1"/>
                <w:lang w:val="sr-Cyrl-BA"/>
              </w:rPr>
              <w:t>в</w:t>
            </w:r>
            <w:r w:rsidR="00A56E08">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п</w:t>
            </w:r>
            <w:r w:rsidR="00A56E08">
              <w:rPr>
                <w:rFonts w:ascii="Arial" w:hAnsi="Arial" w:cs="Arial"/>
                <w:b/>
                <w:color w:val="000000" w:themeColor="text1"/>
                <w:lang w:val="sr-Cyrl-BA"/>
              </w:rPr>
              <w:t>о</w:t>
            </w:r>
            <w:r>
              <w:rPr>
                <w:rFonts w:ascii="Arial" w:hAnsi="Arial" w:cs="Arial"/>
                <w:b/>
                <w:color w:val="000000" w:themeColor="text1"/>
                <w:lang w:val="sr-Cyrl-BA"/>
              </w:rPr>
              <w:t>ст</w:t>
            </w:r>
            <w:r w:rsidR="00A56E08">
              <w:rPr>
                <w:rFonts w:ascii="Arial" w:hAnsi="Arial" w:cs="Arial"/>
                <w:b/>
                <w:color w:val="000000" w:themeColor="text1"/>
                <w:lang w:val="sr-Cyrl-BA"/>
              </w:rPr>
              <w:t>игн</w:t>
            </w:r>
            <w:r>
              <w:rPr>
                <w:rFonts w:ascii="Arial" w:hAnsi="Arial" w:cs="Arial"/>
                <w:b/>
                <w:color w:val="000000" w:themeColor="text1"/>
                <w:lang w:val="sr-Cyrl-BA"/>
              </w:rPr>
              <w:t>у</w:t>
            </w:r>
            <w:r w:rsidR="00A56E08">
              <w:rPr>
                <w:rFonts w:ascii="Arial" w:hAnsi="Arial" w:cs="Arial"/>
                <w:b/>
                <w:color w:val="000000" w:themeColor="text1"/>
                <w:lang w:val="sr-Cyrl-BA"/>
              </w:rPr>
              <w:t>ћа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A56E08">
              <w:rPr>
                <w:rFonts w:ascii="Arial" w:hAnsi="Arial" w:cs="Arial"/>
                <w:b/>
                <w:color w:val="000000" w:themeColor="text1"/>
                <w:lang w:val="sr-Cyrl-BA"/>
              </w:rPr>
              <w:t>ч</w:t>
            </w:r>
            <w:r w:rsidR="00EE6AA2">
              <w:rPr>
                <w:rFonts w:ascii="Arial" w:hAnsi="Arial" w:cs="Arial"/>
                <w:b/>
                <w:color w:val="000000" w:themeColor="text1"/>
                <w:lang w:val="sr-Cyrl-BA"/>
              </w:rPr>
              <w:t>е</w:t>
            </w:r>
            <w:r w:rsidR="00A56E08">
              <w:rPr>
                <w:rFonts w:ascii="Arial" w:hAnsi="Arial" w:cs="Arial"/>
                <w:b/>
                <w:color w:val="000000" w:themeColor="text1"/>
                <w:lang w:val="sr-Cyrl-BA"/>
              </w:rPr>
              <w:t>ника</w:t>
            </w:r>
            <w:r w:rsidR="00892898" w:rsidRPr="00F6340E">
              <w:rPr>
                <w:rFonts w:ascii="Arial" w:hAnsi="Arial" w:cs="Arial"/>
                <w:b/>
                <w:color w:val="000000" w:themeColor="text1"/>
                <w:lang w:val="sr-Cyrl-BA"/>
              </w:rPr>
              <w:t>/</w:t>
            </w:r>
            <w:r>
              <w:rPr>
                <w:rFonts w:ascii="Arial" w:hAnsi="Arial" w:cs="Arial"/>
                <w:b/>
                <w:color w:val="000000" w:themeColor="text1"/>
                <w:lang w:val="sr-Cyrl-BA"/>
              </w:rPr>
              <w:t>сту</w:t>
            </w:r>
            <w:r w:rsidR="00A56E08">
              <w:rPr>
                <w:rFonts w:ascii="Arial" w:hAnsi="Arial" w:cs="Arial"/>
                <w:b/>
                <w:color w:val="000000" w:themeColor="text1"/>
                <w:lang w:val="sr-Cyrl-BA"/>
              </w:rPr>
              <w:t>д</w:t>
            </w:r>
            <w:r w:rsidR="00EE6AA2">
              <w:rPr>
                <w:rFonts w:ascii="Arial" w:hAnsi="Arial" w:cs="Arial"/>
                <w:b/>
                <w:color w:val="000000" w:themeColor="text1"/>
                <w:lang w:val="sr-Cyrl-BA"/>
              </w:rPr>
              <w:t>е</w:t>
            </w:r>
            <w:r w:rsidR="00A56E08">
              <w:rPr>
                <w:rFonts w:ascii="Arial" w:hAnsi="Arial" w:cs="Arial"/>
                <w:b/>
                <w:color w:val="000000" w:themeColor="text1"/>
                <w:lang w:val="sr-Cyrl-BA"/>
              </w:rPr>
              <w:t>на</w:t>
            </w:r>
            <w:r>
              <w:rPr>
                <w:rFonts w:ascii="Arial" w:hAnsi="Arial" w:cs="Arial"/>
                <w:b/>
                <w:color w:val="000000" w:themeColor="text1"/>
                <w:lang w:val="sr-Cyrl-BA"/>
              </w:rPr>
              <w:t>т</w:t>
            </w:r>
            <w:r w:rsidR="00A56E08">
              <w:rPr>
                <w:rFonts w:ascii="Arial" w:hAnsi="Arial" w:cs="Arial"/>
                <w:b/>
                <w:color w:val="000000" w:themeColor="text1"/>
                <w:lang w:val="sr-Cyrl-BA"/>
              </w:rPr>
              <w:t>а</w:t>
            </w:r>
          </w:p>
        </w:tc>
      </w:tr>
      <w:tr w:rsidR="00892898" w:rsidRPr="00F6340E" w14:paraId="5A3FA63E" w14:textId="77777777" w:rsidTr="00FB5CB7">
        <w:tc>
          <w:tcPr>
            <w:tcW w:w="9014" w:type="dxa"/>
            <w:shd w:val="clear" w:color="auto" w:fill="E3F4F9"/>
          </w:tcPr>
          <w:p w14:paraId="41B7DD26" w14:textId="3909637C" w:rsidR="005C7318" w:rsidRPr="00F6340E" w:rsidRDefault="0071360A" w:rsidP="00FB5CB7">
            <w:pPr>
              <w:pStyle w:val="CommentText"/>
              <w:numPr>
                <w:ilvl w:val="0"/>
                <w:numId w:val="35"/>
              </w:numPr>
              <w:contextualSpacing/>
              <w:jc w:val="left"/>
              <w:rPr>
                <w:rFonts w:ascii="Arial" w:hAnsi="Arial" w:cs="Arial"/>
                <w:sz w:val="24"/>
                <w:szCs w:val="24"/>
                <w:lang w:val="sr-Cyrl-BA"/>
              </w:rPr>
            </w:pPr>
            <w:r>
              <w:rPr>
                <w:rFonts w:ascii="Arial" w:hAnsi="Arial" w:cs="Arial"/>
                <w:b/>
                <w:sz w:val="24"/>
                <w:szCs w:val="24"/>
                <w:lang w:val="sr-Cyrl-BA"/>
              </w:rPr>
              <w:t>У</w:t>
            </w:r>
            <w:r w:rsidR="00A56E08">
              <w:rPr>
                <w:rFonts w:ascii="Arial" w:hAnsi="Arial" w:cs="Arial"/>
                <w:b/>
                <w:sz w:val="24"/>
                <w:szCs w:val="24"/>
                <w:lang w:val="sr-Cyrl-BA"/>
              </w:rPr>
              <w:t>на</w:t>
            </w:r>
            <w:r>
              <w:rPr>
                <w:rFonts w:ascii="Arial" w:hAnsi="Arial" w:cs="Arial"/>
                <w:b/>
                <w:sz w:val="24"/>
                <w:szCs w:val="24"/>
                <w:lang w:val="sr-Cyrl-BA"/>
              </w:rPr>
              <w:t>пр</w:t>
            </w:r>
            <w:r w:rsidR="00A56E08">
              <w:rPr>
                <w:rFonts w:ascii="Arial" w:hAnsi="Arial" w:cs="Arial"/>
                <w:b/>
                <w:sz w:val="24"/>
                <w:szCs w:val="24"/>
                <w:lang w:val="sr-Cyrl-BA"/>
              </w:rPr>
              <w:t>иј</w:t>
            </w:r>
            <w:r w:rsidR="00EE6AA2">
              <w:rPr>
                <w:rFonts w:ascii="Arial" w:hAnsi="Arial" w:cs="Arial"/>
                <w:b/>
                <w:sz w:val="24"/>
                <w:szCs w:val="24"/>
                <w:lang w:val="sr-Cyrl-BA"/>
              </w:rPr>
              <w:t>е</w:t>
            </w:r>
            <w:r w:rsidR="00A56E08">
              <w:rPr>
                <w:rFonts w:ascii="Arial" w:hAnsi="Arial" w:cs="Arial"/>
                <w:b/>
                <w:sz w:val="24"/>
                <w:szCs w:val="24"/>
                <w:lang w:val="sr-Cyrl-BA"/>
              </w:rPr>
              <w:t>ди</w:t>
            </w:r>
            <w:r>
              <w:rPr>
                <w:rFonts w:ascii="Arial" w:hAnsi="Arial" w:cs="Arial"/>
                <w:b/>
                <w:sz w:val="24"/>
                <w:szCs w:val="24"/>
                <w:lang w:val="sr-Cyrl-BA"/>
              </w:rPr>
              <w:t>т</w:t>
            </w:r>
            <w:r w:rsidR="00A56E08">
              <w:rPr>
                <w:rFonts w:ascii="Arial" w:hAnsi="Arial" w:cs="Arial"/>
                <w:b/>
                <w:sz w:val="24"/>
                <w:szCs w:val="24"/>
                <w:lang w:val="sr-Cyrl-BA"/>
              </w:rPr>
              <w:t>и</w:t>
            </w:r>
            <w:r w:rsidR="005C7318" w:rsidRPr="00F6340E">
              <w:rPr>
                <w:rFonts w:ascii="Arial" w:hAnsi="Arial" w:cs="Arial"/>
                <w:b/>
                <w:sz w:val="24"/>
                <w:szCs w:val="24"/>
                <w:lang w:val="sr-Cyrl-BA"/>
              </w:rPr>
              <w:t xml:space="preserve"> </w:t>
            </w:r>
            <w:r>
              <w:rPr>
                <w:rFonts w:ascii="Arial" w:hAnsi="Arial" w:cs="Arial"/>
                <w:b/>
                <w:sz w:val="24"/>
                <w:szCs w:val="24"/>
                <w:lang w:val="sr-Cyrl-BA"/>
              </w:rPr>
              <w:t>п</w:t>
            </w:r>
            <w:r w:rsidR="00A56E08">
              <w:rPr>
                <w:rFonts w:ascii="Arial" w:hAnsi="Arial" w:cs="Arial"/>
                <w:b/>
                <w:sz w:val="24"/>
                <w:szCs w:val="24"/>
                <w:lang w:val="sr-Cyrl-BA"/>
              </w:rPr>
              <w:t>од</w:t>
            </w:r>
            <w:r w:rsidR="00171F00">
              <w:rPr>
                <w:rFonts w:ascii="Arial" w:hAnsi="Arial" w:cs="Arial"/>
                <w:b/>
                <w:sz w:val="24"/>
                <w:szCs w:val="24"/>
                <w:lang w:val="sr-Cyrl-BA"/>
              </w:rPr>
              <w:t>з</w:t>
            </w:r>
            <w:r w:rsidR="00A56E08">
              <w:rPr>
                <w:rFonts w:ascii="Arial" w:hAnsi="Arial" w:cs="Arial"/>
                <w:b/>
                <w:sz w:val="24"/>
                <w:szCs w:val="24"/>
                <w:lang w:val="sr-Cyrl-BA"/>
              </w:rPr>
              <w:t>акон</w:t>
            </w:r>
            <w:r>
              <w:rPr>
                <w:rFonts w:ascii="Arial" w:hAnsi="Arial" w:cs="Arial"/>
                <w:b/>
                <w:sz w:val="24"/>
                <w:szCs w:val="24"/>
                <w:lang w:val="sr-Cyrl-BA"/>
              </w:rPr>
              <w:t>с</w:t>
            </w:r>
            <w:r w:rsidR="00A56E08">
              <w:rPr>
                <w:rFonts w:ascii="Arial" w:hAnsi="Arial" w:cs="Arial"/>
                <w:b/>
                <w:sz w:val="24"/>
                <w:szCs w:val="24"/>
                <w:lang w:val="sr-Cyrl-BA"/>
              </w:rPr>
              <w:t>к</w:t>
            </w:r>
            <w:r>
              <w:rPr>
                <w:rFonts w:ascii="Arial" w:hAnsi="Arial" w:cs="Arial"/>
                <w:b/>
                <w:sz w:val="24"/>
                <w:szCs w:val="24"/>
                <w:lang w:val="sr-Cyrl-BA"/>
              </w:rPr>
              <w:t>у</w:t>
            </w:r>
            <w:r w:rsidR="005C7318" w:rsidRPr="00F6340E">
              <w:rPr>
                <w:rFonts w:ascii="Arial" w:hAnsi="Arial" w:cs="Arial"/>
                <w:b/>
                <w:sz w:val="24"/>
                <w:szCs w:val="24"/>
                <w:lang w:val="sr-Cyrl-BA"/>
              </w:rPr>
              <w:t xml:space="preserve"> </w:t>
            </w:r>
            <w:r>
              <w:rPr>
                <w:rFonts w:ascii="Arial" w:hAnsi="Arial" w:cs="Arial"/>
                <w:b/>
                <w:sz w:val="24"/>
                <w:szCs w:val="24"/>
                <w:lang w:val="sr-Cyrl-BA"/>
              </w:rPr>
              <w:t>р</w:t>
            </w:r>
            <w:r w:rsidR="00EE6AA2">
              <w:rPr>
                <w:rFonts w:ascii="Arial" w:hAnsi="Arial" w:cs="Arial"/>
                <w:b/>
                <w:sz w:val="24"/>
                <w:szCs w:val="24"/>
                <w:lang w:val="sr-Cyrl-BA"/>
              </w:rPr>
              <w:t>е</w:t>
            </w:r>
            <w:r w:rsidR="00A56E08">
              <w:rPr>
                <w:rFonts w:ascii="Arial" w:hAnsi="Arial" w:cs="Arial"/>
                <w:b/>
                <w:sz w:val="24"/>
                <w:szCs w:val="24"/>
                <w:lang w:val="sr-Cyrl-BA"/>
              </w:rPr>
              <w:t>г</w:t>
            </w:r>
            <w:r>
              <w:rPr>
                <w:rFonts w:ascii="Arial" w:hAnsi="Arial" w:cs="Arial"/>
                <w:b/>
                <w:sz w:val="24"/>
                <w:szCs w:val="24"/>
                <w:lang w:val="sr-Cyrl-BA"/>
              </w:rPr>
              <w:t>у</w:t>
            </w:r>
            <w:r w:rsidR="00A56E08">
              <w:rPr>
                <w:rFonts w:ascii="Arial" w:hAnsi="Arial" w:cs="Arial"/>
                <w:b/>
                <w:sz w:val="24"/>
                <w:szCs w:val="24"/>
                <w:lang w:val="sr-Cyrl-BA"/>
              </w:rPr>
              <w:t>ла</w:t>
            </w:r>
            <w:r>
              <w:rPr>
                <w:rFonts w:ascii="Arial" w:hAnsi="Arial" w:cs="Arial"/>
                <w:b/>
                <w:sz w:val="24"/>
                <w:szCs w:val="24"/>
                <w:lang w:val="sr-Cyrl-BA"/>
              </w:rPr>
              <w:t>т</w:t>
            </w:r>
            <w:r w:rsidR="00A56E08">
              <w:rPr>
                <w:rFonts w:ascii="Arial" w:hAnsi="Arial" w:cs="Arial"/>
                <w:b/>
                <w:sz w:val="24"/>
                <w:szCs w:val="24"/>
                <w:lang w:val="sr-Cyrl-BA"/>
              </w:rPr>
              <w:t>и</w:t>
            </w:r>
            <w:r>
              <w:rPr>
                <w:rFonts w:ascii="Arial" w:hAnsi="Arial" w:cs="Arial"/>
                <w:b/>
                <w:sz w:val="24"/>
                <w:szCs w:val="24"/>
                <w:lang w:val="sr-Cyrl-BA"/>
              </w:rPr>
              <w:t>ву</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о</w:t>
            </w:r>
            <w:r w:rsidR="005C7318" w:rsidRPr="00F6340E">
              <w:rPr>
                <w:rFonts w:ascii="Arial" w:hAnsi="Arial" w:cs="Arial"/>
                <w:b/>
                <w:sz w:val="24"/>
                <w:szCs w:val="24"/>
                <w:lang w:val="sr-Cyrl-BA"/>
              </w:rPr>
              <w:t xml:space="preserve"> </w:t>
            </w:r>
            <w:r>
              <w:rPr>
                <w:rFonts w:ascii="Arial" w:hAnsi="Arial" w:cs="Arial"/>
                <w:b/>
                <w:sz w:val="24"/>
                <w:szCs w:val="24"/>
                <w:lang w:val="sr-Cyrl-BA"/>
              </w:rPr>
              <w:t>вр</w:t>
            </w:r>
            <w:r w:rsidR="00EE6AA2">
              <w:rPr>
                <w:rFonts w:ascii="Arial" w:hAnsi="Arial" w:cs="Arial"/>
                <w:b/>
                <w:sz w:val="24"/>
                <w:szCs w:val="24"/>
                <w:lang w:val="sr-Cyrl-BA"/>
              </w:rPr>
              <w:t>е</w:t>
            </w:r>
            <w:r w:rsidR="00A56E08">
              <w:rPr>
                <w:rFonts w:ascii="Arial" w:hAnsi="Arial" w:cs="Arial"/>
                <w:b/>
                <w:sz w:val="24"/>
                <w:szCs w:val="24"/>
                <w:lang w:val="sr-Cyrl-BA"/>
              </w:rPr>
              <w:t>дно</w:t>
            </w:r>
            <w:r>
              <w:rPr>
                <w:rFonts w:ascii="Arial" w:hAnsi="Arial" w:cs="Arial"/>
                <w:b/>
                <w:sz w:val="24"/>
                <w:szCs w:val="24"/>
                <w:lang w:val="sr-Cyrl-BA"/>
              </w:rPr>
              <w:t>в</w:t>
            </w:r>
            <w:r w:rsidR="00A56E08">
              <w:rPr>
                <w:rFonts w:ascii="Arial" w:hAnsi="Arial" w:cs="Arial"/>
                <w:b/>
                <w:sz w:val="24"/>
                <w:szCs w:val="24"/>
                <w:lang w:val="sr-Cyrl-BA"/>
              </w:rPr>
              <w:t>ањ</w:t>
            </w:r>
            <w:r>
              <w:rPr>
                <w:rFonts w:ascii="Arial" w:hAnsi="Arial" w:cs="Arial"/>
                <w:b/>
                <w:sz w:val="24"/>
                <w:szCs w:val="24"/>
                <w:lang w:val="sr-Cyrl-BA"/>
              </w:rPr>
              <w:t>у</w:t>
            </w:r>
            <w:r w:rsidR="005C7318" w:rsidRPr="00F6340E">
              <w:rPr>
                <w:rFonts w:ascii="Arial" w:hAnsi="Arial" w:cs="Arial"/>
                <w:b/>
                <w:sz w:val="24"/>
                <w:szCs w:val="24"/>
                <w:lang w:val="sr-Cyrl-BA"/>
              </w:rPr>
              <w:t xml:space="preserve"> </w:t>
            </w:r>
            <w:r>
              <w:rPr>
                <w:rFonts w:ascii="Arial" w:hAnsi="Arial" w:cs="Arial"/>
                <w:b/>
                <w:sz w:val="24"/>
                <w:szCs w:val="24"/>
                <w:lang w:val="sr-Cyrl-BA"/>
              </w:rPr>
              <w:t>у</w:t>
            </w:r>
            <w:r w:rsidR="00A56E08">
              <w:rPr>
                <w:rFonts w:ascii="Arial" w:hAnsi="Arial" w:cs="Arial"/>
                <w:b/>
                <w:sz w:val="24"/>
                <w:szCs w:val="24"/>
                <w:lang w:val="sr-Cyrl-BA"/>
              </w:rPr>
              <w:t>ч</w:t>
            </w:r>
            <w:r w:rsidR="00EE6AA2">
              <w:rPr>
                <w:rFonts w:ascii="Arial" w:hAnsi="Arial" w:cs="Arial"/>
                <w:b/>
                <w:sz w:val="24"/>
                <w:szCs w:val="24"/>
                <w:lang w:val="sr-Cyrl-BA"/>
              </w:rPr>
              <w:t>е</w:t>
            </w:r>
            <w:r w:rsidR="00A56E08">
              <w:rPr>
                <w:rFonts w:ascii="Arial" w:hAnsi="Arial" w:cs="Arial"/>
                <w:b/>
                <w:sz w:val="24"/>
                <w:szCs w:val="24"/>
                <w:lang w:val="sr-Cyrl-BA"/>
              </w:rPr>
              <w:t>ничких</w:t>
            </w:r>
            <w:r w:rsidR="005C7318" w:rsidRPr="00F6340E">
              <w:rPr>
                <w:rFonts w:ascii="Arial" w:hAnsi="Arial" w:cs="Arial"/>
                <w:b/>
                <w:sz w:val="24"/>
                <w:szCs w:val="24"/>
                <w:lang w:val="sr-Cyrl-BA"/>
              </w:rPr>
              <w:t xml:space="preserve"> </w:t>
            </w:r>
            <w:r>
              <w:rPr>
                <w:rFonts w:ascii="Arial" w:hAnsi="Arial" w:cs="Arial"/>
                <w:b/>
                <w:sz w:val="24"/>
                <w:szCs w:val="24"/>
                <w:lang w:val="sr-Cyrl-BA"/>
              </w:rPr>
              <w:t>п</w:t>
            </w:r>
            <w:r w:rsidR="00A56E08">
              <w:rPr>
                <w:rFonts w:ascii="Arial" w:hAnsi="Arial" w:cs="Arial"/>
                <w:b/>
                <w:sz w:val="24"/>
                <w:szCs w:val="24"/>
                <w:lang w:val="sr-Cyrl-BA"/>
              </w:rPr>
              <w:t>о</w:t>
            </w:r>
            <w:r>
              <w:rPr>
                <w:rFonts w:ascii="Arial" w:hAnsi="Arial" w:cs="Arial"/>
                <w:b/>
                <w:sz w:val="24"/>
                <w:szCs w:val="24"/>
                <w:lang w:val="sr-Cyrl-BA"/>
              </w:rPr>
              <w:t>ст</w:t>
            </w:r>
            <w:r w:rsidR="00A56E08">
              <w:rPr>
                <w:rFonts w:ascii="Arial" w:hAnsi="Arial" w:cs="Arial"/>
                <w:b/>
                <w:sz w:val="24"/>
                <w:szCs w:val="24"/>
                <w:lang w:val="sr-Cyrl-BA"/>
              </w:rPr>
              <w:t>игн</w:t>
            </w:r>
            <w:r>
              <w:rPr>
                <w:rFonts w:ascii="Arial" w:hAnsi="Arial" w:cs="Arial"/>
                <w:b/>
                <w:sz w:val="24"/>
                <w:szCs w:val="24"/>
                <w:lang w:val="sr-Cyrl-BA"/>
              </w:rPr>
              <w:t>у</w:t>
            </w:r>
            <w:r w:rsidR="00A56E08">
              <w:rPr>
                <w:rFonts w:ascii="Arial" w:hAnsi="Arial" w:cs="Arial"/>
                <w:b/>
                <w:sz w:val="24"/>
                <w:szCs w:val="24"/>
                <w:lang w:val="sr-Cyrl-BA"/>
              </w:rPr>
              <w:t>ћа</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како</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би</w:t>
            </w:r>
            <w:r w:rsidR="005C7318" w:rsidRPr="00F6340E">
              <w:rPr>
                <w:rFonts w:ascii="Arial" w:hAnsi="Arial" w:cs="Arial"/>
                <w:b/>
                <w:sz w:val="24"/>
                <w:szCs w:val="24"/>
                <w:lang w:val="sr-Cyrl-BA"/>
              </w:rPr>
              <w:t xml:space="preserve"> </w:t>
            </w:r>
            <w:r>
              <w:rPr>
                <w:rFonts w:ascii="Arial" w:hAnsi="Arial" w:cs="Arial"/>
                <w:b/>
                <w:sz w:val="24"/>
                <w:szCs w:val="24"/>
                <w:lang w:val="sr-Cyrl-BA"/>
              </w:rPr>
              <w:t>с</w:t>
            </w:r>
            <w:r w:rsidR="00EE6AA2">
              <w:rPr>
                <w:rFonts w:ascii="Arial" w:hAnsi="Arial" w:cs="Arial"/>
                <w:b/>
                <w:sz w:val="24"/>
                <w:szCs w:val="24"/>
                <w:lang w:val="sr-Cyrl-BA"/>
              </w:rPr>
              <w:t>е</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нагла</w:t>
            </w:r>
            <w:r>
              <w:rPr>
                <w:rFonts w:ascii="Arial" w:hAnsi="Arial" w:cs="Arial"/>
                <w:b/>
                <w:sz w:val="24"/>
                <w:szCs w:val="24"/>
                <w:lang w:val="sr-Cyrl-BA"/>
              </w:rPr>
              <w:t>с</w:t>
            </w:r>
            <w:r w:rsidR="00A56E08">
              <w:rPr>
                <w:rFonts w:ascii="Arial" w:hAnsi="Arial" w:cs="Arial"/>
                <w:b/>
                <w:sz w:val="24"/>
                <w:szCs w:val="24"/>
                <w:lang w:val="sr-Cyrl-BA"/>
              </w:rPr>
              <w:t>ак</w:t>
            </w:r>
            <w:r w:rsidR="005C7318" w:rsidRPr="00F6340E">
              <w:rPr>
                <w:rFonts w:ascii="Arial" w:hAnsi="Arial" w:cs="Arial"/>
                <w:b/>
                <w:sz w:val="24"/>
                <w:szCs w:val="24"/>
                <w:lang w:val="sr-Cyrl-BA"/>
              </w:rPr>
              <w:t xml:space="preserve"> </w:t>
            </w:r>
            <w:r>
              <w:rPr>
                <w:rFonts w:ascii="Arial" w:hAnsi="Arial" w:cs="Arial"/>
                <w:b/>
                <w:sz w:val="24"/>
                <w:szCs w:val="24"/>
                <w:lang w:val="sr-Cyrl-BA"/>
              </w:rPr>
              <w:t>ст</w:t>
            </w:r>
            <w:r w:rsidR="00A56E08">
              <w:rPr>
                <w:rFonts w:ascii="Arial" w:hAnsi="Arial" w:cs="Arial"/>
                <w:b/>
                <w:sz w:val="24"/>
                <w:szCs w:val="24"/>
                <w:lang w:val="sr-Cyrl-BA"/>
              </w:rPr>
              <w:t>а</w:t>
            </w:r>
            <w:r>
              <w:rPr>
                <w:rFonts w:ascii="Arial" w:hAnsi="Arial" w:cs="Arial"/>
                <w:b/>
                <w:sz w:val="24"/>
                <w:szCs w:val="24"/>
                <w:lang w:val="sr-Cyrl-BA"/>
              </w:rPr>
              <w:t>в</w:t>
            </w:r>
            <w:r w:rsidR="00A56E08">
              <w:rPr>
                <w:rFonts w:ascii="Arial" w:hAnsi="Arial" w:cs="Arial"/>
                <w:b/>
                <w:sz w:val="24"/>
                <w:szCs w:val="24"/>
                <w:lang w:val="sr-Cyrl-BA"/>
              </w:rPr>
              <w:t>ио</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на</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и</w:t>
            </w:r>
            <w:r w:rsidR="00171F00">
              <w:rPr>
                <w:rFonts w:ascii="Arial" w:hAnsi="Arial" w:cs="Arial"/>
                <w:b/>
                <w:sz w:val="24"/>
                <w:szCs w:val="24"/>
                <w:lang w:val="sr-Cyrl-BA"/>
              </w:rPr>
              <w:t>з</w:t>
            </w:r>
            <w:r w:rsidR="00A56E08">
              <w:rPr>
                <w:rFonts w:ascii="Arial" w:hAnsi="Arial" w:cs="Arial"/>
                <w:b/>
                <w:sz w:val="24"/>
                <w:szCs w:val="24"/>
                <w:lang w:val="sr-Cyrl-BA"/>
              </w:rPr>
              <w:t>балан</w:t>
            </w:r>
            <w:r>
              <w:rPr>
                <w:rFonts w:ascii="Arial" w:hAnsi="Arial" w:cs="Arial"/>
                <w:b/>
                <w:sz w:val="24"/>
                <w:szCs w:val="24"/>
                <w:lang w:val="sr-Cyrl-BA"/>
              </w:rPr>
              <w:t>с</w:t>
            </w:r>
            <w:r w:rsidR="00A56E08">
              <w:rPr>
                <w:rFonts w:ascii="Arial" w:hAnsi="Arial" w:cs="Arial"/>
                <w:b/>
                <w:sz w:val="24"/>
                <w:szCs w:val="24"/>
                <w:lang w:val="sr-Cyrl-BA"/>
              </w:rPr>
              <w:t>и</w:t>
            </w:r>
            <w:r>
              <w:rPr>
                <w:rFonts w:ascii="Arial" w:hAnsi="Arial" w:cs="Arial"/>
                <w:b/>
                <w:sz w:val="24"/>
                <w:szCs w:val="24"/>
                <w:lang w:val="sr-Cyrl-BA"/>
              </w:rPr>
              <w:t>р</w:t>
            </w:r>
            <w:r w:rsidR="00A56E08">
              <w:rPr>
                <w:rFonts w:ascii="Arial" w:hAnsi="Arial" w:cs="Arial"/>
                <w:b/>
                <w:sz w:val="24"/>
                <w:szCs w:val="24"/>
                <w:lang w:val="sr-Cyrl-BA"/>
              </w:rPr>
              <w:t>ан</w:t>
            </w:r>
            <w:r w:rsidR="005C7318" w:rsidRPr="00F6340E">
              <w:rPr>
                <w:rFonts w:ascii="Arial" w:hAnsi="Arial" w:cs="Arial"/>
                <w:b/>
                <w:sz w:val="24"/>
                <w:szCs w:val="24"/>
                <w:lang w:val="sr-Cyrl-BA"/>
              </w:rPr>
              <w:t xml:space="preserve"> </w:t>
            </w:r>
            <w:r>
              <w:rPr>
                <w:rFonts w:ascii="Arial" w:hAnsi="Arial" w:cs="Arial"/>
                <w:b/>
                <w:sz w:val="24"/>
                <w:szCs w:val="24"/>
                <w:lang w:val="sr-Cyrl-BA"/>
              </w:rPr>
              <w:t>с</w:t>
            </w:r>
            <w:r w:rsidR="00A56E08">
              <w:rPr>
                <w:rFonts w:ascii="Arial" w:hAnsi="Arial" w:cs="Arial"/>
                <w:b/>
                <w:sz w:val="24"/>
                <w:szCs w:val="24"/>
                <w:lang w:val="sr-Cyrl-BA"/>
              </w:rPr>
              <w:t>к</w:t>
            </w:r>
            <w:r>
              <w:rPr>
                <w:rFonts w:ascii="Arial" w:hAnsi="Arial" w:cs="Arial"/>
                <w:b/>
                <w:sz w:val="24"/>
                <w:szCs w:val="24"/>
                <w:lang w:val="sr-Cyrl-BA"/>
              </w:rPr>
              <w:t>уп</w:t>
            </w:r>
            <w:r w:rsidR="005C731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ак</w:t>
            </w:r>
            <w:r>
              <w:rPr>
                <w:rFonts w:ascii="Arial" w:hAnsi="Arial" w:cs="Arial"/>
                <w:b/>
                <w:sz w:val="24"/>
                <w:szCs w:val="24"/>
                <w:lang w:val="sr-Cyrl-BA"/>
              </w:rPr>
              <w:t>с</w:t>
            </w:r>
            <w:r w:rsidR="00A56E08">
              <w:rPr>
                <w:rFonts w:ascii="Arial" w:hAnsi="Arial" w:cs="Arial"/>
                <w:b/>
                <w:sz w:val="24"/>
                <w:szCs w:val="24"/>
                <w:lang w:val="sr-Cyrl-BA"/>
              </w:rPr>
              <w:t>и</w:t>
            </w:r>
            <w:r w:rsidR="005C7318" w:rsidRPr="00F6340E">
              <w:rPr>
                <w:rFonts w:ascii="Arial" w:hAnsi="Arial" w:cs="Arial"/>
                <w:b/>
                <w:sz w:val="24"/>
                <w:szCs w:val="24"/>
                <w:lang w:val="sr-Cyrl-BA"/>
              </w:rPr>
              <w:t xml:space="preserve"> </w:t>
            </w:r>
            <w:r>
              <w:rPr>
                <w:rFonts w:ascii="Arial" w:hAnsi="Arial" w:cs="Arial"/>
                <w:b/>
                <w:sz w:val="24"/>
                <w:szCs w:val="24"/>
                <w:lang w:val="sr-Cyrl-BA"/>
              </w:rPr>
              <w:t>вр</w:t>
            </w:r>
            <w:r w:rsidR="00EE6AA2">
              <w:rPr>
                <w:rFonts w:ascii="Arial" w:hAnsi="Arial" w:cs="Arial"/>
                <w:b/>
                <w:sz w:val="24"/>
                <w:szCs w:val="24"/>
                <w:lang w:val="sr-Cyrl-BA"/>
              </w:rPr>
              <w:t>е</w:t>
            </w:r>
            <w:r w:rsidR="00A56E08">
              <w:rPr>
                <w:rFonts w:ascii="Arial" w:hAnsi="Arial" w:cs="Arial"/>
                <w:b/>
                <w:sz w:val="24"/>
                <w:szCs w:val="24"/>
                <w:lang w:val="sr-Cyrl-BA"/>
              </w:rPr>
              <w:t>дно</w:t>
            </w:r>
            <w:r>
              <w:rPr>
                <w:rFonts w:ascii="Arial" w:hAnsi="Arial" w:cs="Arial"/>
                <w:b/>
                <w:sz w:val="24"/>
                <w:szCs w:val="24"/>
                <w:lang w:val="sr-Cyrl-BA"/>
              </w:rPr>
              <w:t>в</w:t>
            </w:r>
            <w:r w:rsidR="00A56E08">
              <w:rPr>
                <w:rFonts w:ascii="Arial" w:hAnsi="Arial" w:cs="Arial"/>
                <w:b/>
                <w:sz w:val="24"/>
                <w:szCs w:val="24"/>
                <w:lang w:val="sr-Cyrl-BA"/>
              </w:rPr>
              <w:t>ања</w:t>
            </w:r>
            <w:r w:rsidR="005C7318" w:rsidRPr="00F6340E">
              <w:rPr>
                <w:rFonts w:ascii="Arial" w:hAnsi="Arial" w:cs="Arial"/>
                <w:b/>
                <w:sz w:val="24"/>
                <w:szCs w:val="24"/>
                <w:lang w:val="sr-Cyrl-BA"/>
              </w:rPr>
              <w:t xml:space="preserve"> </w:t>
            </w:r>
            <w:r>
              <w:rPr>
                <w:rFonts w:ascii="Arial" w:hAnsi="Arial" w:cs="Arial"/>
                <w:b/>
                <w:sz w:val="24"/>
                <w:szCs w:val="24"/>
                <w:lang w:val="sr-Cyrl-BA"/>
              </w:rPr>
              <w:t>у</w:t>
            </w:r>
            <w:r w:rsidR="00A56E08">
              <w:rPr>
                <w:rFonts w:ascii="Arial" w:hAnsi="Arial" w:cs="Arial"/>
                <w:b/>
                <w:sz w:val="24"/>
                <w:szCs w:val="24"/>
                <w:lang w:val="sr-Cyrl-BA"/>
              </w:rPr>
              <w:t>кљ</w:t>
            </w:r>
            <w:r>
              <w:rPr>
                <w:rFonts w:ascii="Arial" w:hAnsi="Arial" w:cs="Arial"/>
                <w:b/>
                <w:sz w:val="24"/>
                <w:szCs w:val="24"/>
                <w:lang w:val="sr-Cyrl-BA"/>
              </w:rPr>
              <w:t>у</w:t>
            </w:r>
            <w:r w:rsidR="00A56E08">
              <w:rPr>
                <w:rFonts w:ascii="Arial" w:hAnsi="Arial" w:cs="Arial"/>
                <w:b/>
                <w:sz w:val="24"/>
                <w:szCs w:val="24"/>
                <w:lang w:val="sr-Cyrl-BA"/>
              </w:rPr>
              <w:t>ч</w:t>
            </w:r>
            <w:r>
              <w:rPr>
                <w:rFonts w:ascii="Arial" w:hAnsi="Arial" w:cs="Arial"/>
                <w:b/>
                <w:sz w:val="24"/>
                <w:szCs w:val="24"/>
                <w:lang w:val="sr-Cyrl-BA"/>
              </w:rPr>
              <w:t>у</w:t>
            </w:r>
            <w:r w:rsidR="00A56E08">
              <w:rPr>
                <w:rFonts w:ascii="Arial" w:hAnsi="Arial" w:cs="Arial"/>
                <w:b/>
                <w:sz w:val="24"/>
                <w:szCs w:val="24"/>
                <w:lang w:val="sr-Cyrl-BA"/>
              </w:rPr>
              <w:t>ј</w:t>
            </w:r>
            <w:r>
              <w:rPr>
                <w:rFonts w:ascii="Arial" w:hAnsi="Arial" w:cs="Arial"/>
                <w:b/>
                <w:sz w:val="24"/>
                <w:szCs w:val="24"/>
                <w:lang w:val="sr-Cyrl-BA"/>
              </w:rPr>
              <w:t>у</w:t>
            </w:r>
            <w:r w:rsidR="00A56E08">
              <w:rPr>
                <w:rFonts w:ascii="Arial" w:hAnsi="Arial" w:cs="Arial"/>
                <w:b/>
                <w:sz w:val="24"/>
                <w:szCs w:val="24"/>
                <w:lang w:val="sr-Cyrl-BA"/>
              </w:rPr>
              <w:t>ћи</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и</w:t>
            </w:r>
            <w:r w:rsidR="005C731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имј</w:t>
            </w:r>
            <w:r w:rsidR="00EE6AA2">
              <w:rPr>
                <w:rFonts w:ascii="Arial" w:hAnsi="Arial" w:cs="Arial"/>
                <w:b/>
                <w:sz w:val="24"/>
                <w:szCs w:val="24"/>
                <w:lang w:val="sr-Cyrl-BA"/>
              </w:rPr>
              <w:t>е</w:t>
            </w:r>
            <w:r w:rsidR="00A56E08">
              <w:rPr>
                <w:rFonts w:ascii="Arial" w:hAnsi="Arial" w:cs="Arial"/>
                <w:b/>
                <w:sz w:val="24"/>
                <w:szCs w:val="24"/>
                <w:lang w:val="sr-Cyrl-BA"/>
              </w:rPr>
              <w:t>н</w:t>
            </w:r>
            <w:r>
              <w:rPr>
                <w:rFonts w:ascii="Arial" w:hAnsi="Arial" w:cs="Arial"/>
                <w:b/>
                <w:sz w:val="24"/>
                <w:szCs w:val="24"/>
                <w:lang w:val="sr-Cyrl-BA"/>
              </w:rPr>
              <w:t>у</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ИК</w:t>
            </w:r>
            <w:r>
              <w:rPr>
                <w:rFonts w:ascii="Arial" w:hAnsi="Arial" w:cs="Arial"/>
                <w:b/>
                <w:sz w:val="24"/>
                <w:szCs w:val="24"/>
                <w:lang w:val="sr-Cyrl-BA"/>
              </w:rPr>
              <w:t>Т</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а</w:t>
            </w:r>
            <w:r w:rsidR="005C7318" w:rsidRPr="00F6340E">
              <w:rPr>
                <w:rFonts w:ascii="Arial" w:hAnsi="Arial" w:cs="Arial"/>
                <w:b/>
                <w:sz w:val="24"/>
                <w:szCs w:val="24"/>
                <w:lang w:val="sr-Cyrl-BA"/>
              </w:rPr>
              <w:t xml:space="preserve"> </w:t>
            </w:r>
            <w:r>
              <w:rPr>
                <w:rFonts w:ascii="Arial" w:hAnsi="Arial" w:cs="Arial"/>
                <w:b/>
                <w:sz w:val="24"/>
                <w:szCs w:val="24"/>
                <w:lang w:val="sr-Cyrl-BA"/>
              </w:rPr>
              <w:t>у</w:t>
            </w:r>
            <w:r w:rsidR="005C7318" w:rsidRPr="00F6340E">
              <w:rPr>
                <w:rFonts w:ascii="Arial" w:hAnsi="Arial" w:cs="Arial"/>
                <w:b/>
                <w:sz w:val="24"/>
                <w:szCs w:val="24"/>
                <w:lang w:val="sr-Cyrl-BA"/>
              </w:rPr>
              <w:t xml:space="preserve"> </w:t>
            </w:r>
            <w:r w:rsidR="00A56E08">
              <w:rPr>
                <w:rFonts w:ascii="Arial" w:hAnsi="Arial" w:cs="Arial"/>
                <w:b/>
                <w:sz w:val="24"/>
                <w:szCs w:val="24"/>
                <w:lang w:val="sr-Cyrl-BA"/>
              </w:rPr>
              <w:t>на</w:t>
            </w:r>
            <w:r>
              <w:rPr>
                <w:rFonts w:ascii="Arial" w:hAnsi="Arial" w:cs="Arial"/>
                <w:b/>
                <w:sz w:val="24"/>
                <w:szCs w:val="24"/>
                <w:lang w:val="sr-Cyrl-BA"/>
              </w:rPr>
              <w:t>в</w:t>
            </w:r>
            <w:r w:rsidR="00EE6AA2">
              <w:rPr>
                <w:rFonts w:ascii="Arial" w:hAnsi="Arial" w:cs="Arial"/>
                <w:b/>
                <w:sz w:val="24"/>
                <w:szCs w:val="24"/>
                <w:lang w:val="sr-Cyrl-BA"/>
              </w:rPr>
              <w:t>е</w:t>
            </w:r>
            <w:r w:rsidR="00A56E08">
              <w:rPr>
                <w:rFonts w:ascii="Arial" w:hAnsi="Arial" w:cs="Arial"/>
                <w:b/>
                <w:sz w:val="24"/>
                <w:szCs w:val="24"/>
                <w:lang w:val="sr-Cyrl-BA"/>
              </w:rPr>
              <w:t>д</w:t>
            </w:r>
            <w:r w:rsidR="00EE6AA2">
              <w:rPr>
                <w:rFonts w:ascii="Arial" w:hAnsi="Arial" w:cs="Arial"/>
                <w:b/>
                <w:sz w:val="24"/>
                <w:szCs w:val="24"/>
                <w:lang w:val="sr-Cyrl-BA"/>
              </w:rPr>
              <w:t>е</w:t>
            </w:r>
            <w:r w:rsidR="00A56E08">
              <w:rPr>
                <w:rFonts w:ascii="Arial" w:hAnsi="Arial" w:cs="Arial"/>
                <w:b/>
                <w:sz w:val="24"/>
                <w:szCs w:val="24"/>
                <w:lang w:val="sr-Cyrl-BA"/>
              </w:rPr>
              <w:t>ном</w:t>
            </w:r>
            <w:r w:rsidR="005C731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оц</w:t>
            </w:r>
            <w:r w:rsidR="00EE6AA2">
              <w:rPr>
                <w:rFonts w:ascii="Arial" w:hAnsi="Arial" w:cs="Arial"/>
                <w:b/>
                <w:sz w:val="24"/>
                <w:szCs w:val="24"/>
                <w:lang w:val="sr-Cyrl-BA"/>
              </w:rPr>
              <w:t>е</w:t>
            </w:r>
            <w:r>
              <w:rPr>
                <w:rFonts w:ascii="Arial" w:hAnsi="Arial" w:cs="Arial"/>
                <w:b/>
                <w:sz w:val="24"/>
                <w:szCs w:val="24"/>
                <w:lang w:val="sr-Cyrl-BA"/>
              </w:rPr>
              <w:t>су</w:t>
            </w:r>
            <w:r w:rsidR="005C7318" w:rsidRPr="00F6340E">
              <w:rPr>
                <w:rFonts w:ascii="Arial" w:hAnsi="Arial" w:cs="Arial"/>
                <w:b/>
                <w:sz w:val="24"/>
                <w:szCs w:val="24"/>
                <w:lang w:val="sr-Cyrl-BA"/>
              </w:rPr>
              <w:t xml:space="preserve">. </w:t>
            </w:r>
          </w:p>
          <w:p w14:paraId="45ABCEE0" w14:textId="4327A10E" w:rsidR="005C7318" w:rsidRPr="00F6340E" w:rsidRDefault="0071360A" w:rsidP="00FB5CB7">
            <w:pPr>
              <w:pStyle w:val="CommentText"/>
              <w:ind w:left="360"/>
              <w:contextualSpacing/>
              <w:jc w:val="left"/>
              <w:rPr>
                <w:rFonts w:ascii="Arial" w:hAnsi="Arial" w:cs="Arial"/>
                <w:sz w:val="24"/>
                <w:szCs w:val="24"/>
                <w:lang w:val="sr-Cyrl-BA"/>
              </w:rPr>
            </w:pPr>
            <w:r>
              <w:rPr>
                <w:rFonts w:ascii="Arial" w:hAnsi="Arial" w:cs="Arial"/>
                <w:sz w:val="24"/>
                <w:szCs w:val="24"/>
                <w:lang w:val="sr-Cyrl-BA"/>
              </w:rPr>
              <w:t>У</w:t>
            </w:r>
            <w:r w:rsidR="00A56E08">
              <w:rPr>
                <w:rFonts w:ascii="Arial" w:hAnsi="Arial" w:cs="Arial"/>
                <w:sz w:val="24"/>
                <w:szCs w:val="24"/>
                <w:lang w:val="sr-Cyrl-BA"/>
              </w:rPr>
              <w:t>на</w:t>
            </w:r>
            <w:r>
              <w:rPr>
                <w:rFonts w:ascii="Arial" w:hAnsi="Arial" w:cs="Arial"/>
                <w:sz w:val="24"/>
                <w:szCs w:val="24"/>
                <w:lang w:val="sr-Cyrl-BA"/>
              </w:rPr>
              <w:t>пр</w:t>
            </w:r>
            <w:r w:rsidR="00A56E08">
              <w:rPr>
                <w:rFonts w:ascii="Arial" w:hAnsi="Arial" w:cs="Arial"/>
                <w:sz w:val="24"/>
                <w:szCs w:val="24"/>
                <w:lang w:val="sr-Cyrl-BA"/>
              </w:rPr>
              <w:t>ј</w:t>
            </w:r>
            <w:r w:rsidR="00EE6AA2">
              <w:rPr>
                <w:rFonts w:ascii="Arial" w:hAnsi="Arial" w:cs="Arial"/>
                <w:sz w:val="24"/>
                <w:szCs w:val="24"/>
                <w:lang w:val="sr-Cyrl-BA"/>
              </w:rPr>
              <w:t>е</w:t>
            </w:r>
            <w:r w:rsidR="00A56E08">
              <w:rPr>
                <w:rFonts w:ascii="Arial" w:hAnsi="Arial" w:cs="Arial"/>
                <w:sz w:val="24"/>
                <w:szCs w:val="24"/>
                <w:lang w:val="sr-Cyrl-BA"/>
              </w:rPr>
              <w:t>ђ</w:t>
            </w:r>
            <w:r w:rsidR="00EE6AA2">
              <w:rPr>
                <w:rFonts w:ascii="Arial" w:hAnsi="Arial" w:cs="Arial"/>
                <w:sz w:val="24"/>
                <w:szCs w:val="24"/>
                <w:lang w:val="sr-Cyrl-BA"/>
              </w:rPr>
              <w:t>е</w:t>
            </w:r>
            <w:r w:rsidR="00A56E08">
              <w:rPr>
                <w:rFonts w:ascii="Arial" w:hAnsi="Arial" w:cs="Arial"/>
                <w:sz w:val="24"/>
                <w:szCs w:val="24"/>
                <w:lang w:val="sr-Cyrl-BA"/>
              </w:rPr>
              <w:t>њ</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од</w:t>
            </w:r>
            <w:r w:rsidR="00171F00">
              <w:rPr>
                <w:rFonts w:ascii="Arial" w:hAnsi="Arial" w:cs="Arial"/>
                <w:sz w:val="24"/>
                <w:szCs w:val="24"/>
                <w:lang w:val="sr-Cyrl-BA"/>
              </w:rPr>
              <w:t>з</w:t>
            </w:r>
            <w:r w:rsidR="00A56E08">
              <w:rPr>
                <w:rFonts w:ascii="Arial" w:hAnsi="Arial" w:cs="Arial"/>
                <w:sz w:val="24"/>
                <w:szCs w:val="24"/>
                <w:lang w:val="sr-Cyrl-BA"/>
              </w:rPr>
              <w:t>акон</w:t>
            </w:r>
            <w:r>
              <w:rPr>
                <w:rFonts w:ascii="Arial" w:hAnsi="Arial" w:cs="Arial"/>
                <w:sz w:val="24"/>
                <w:szCs w:val="24"/>
                <w:lang w:val="sr-Cyrl-BA"/>
              </w:rPr>
              <w:t>с</w:t>
            </w:r>
            <w:r w:rsidR="00A56E08">
              <w:rPr>
                <w:rFonts w:ascii="Arial" w:hAnsi="Arial" w:cs="Arial"/>
                <w:sz w:val="24"/>
                <w:szCs w:val="24"/>
                <w:lang w:val="sr-Cyrl-BA"/>
              </w:rPr>
              <w:t>к</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р</w:t>
            </w:r>
            <w:r w:rsidR="00EE6AA2">
              <w:rPr>
                <w:rFonts w:ascii="Arial" w:hAnsi="Arial" w:cs="Arial"/>
                <w:sz w:val="24"/>
                <w:szCs w:val="24"/>
                <w:lang w:val="sr-Cyrl-BA"/>
              </w:rPr>
              <w:t>е</w:t>
            </w:r>
            <w:r w:rsidR="00A56E08">
              <w:rPr>
                <w:rFonts w:ascii="Arial" w:hAnsi="Arial" w:cs="Arial"/>
                <w:sz w:val="24"/>
                <w:szCs w:val="24"/>
                <w:lang w:val="sr-Cyrl-BA"/>
              </w:rPr>
              <w:t>г</w:t>
            </w:r>
            <w:r>
              <w:rPr>
                <w:rFonts w:ascii="Arial" w:hAnsi="Arial" w:cs="Arial"/>
                <w:sz w:val="24"/>
                <w:szCs w:val="24"/>
                <w:lang w:val="sr-Cyrl-BA"/>
              </w:rPr>
              <w:t>у</w:t>
            </w:r>
            <w:r w:rsidR="00A56E08">
              <w:rPr>
                <w:rFonts w:ascii="Arial" w:hAnsi="Arial" w:cs="Arial"/>
                <w:sz w:val="24"/>
                <w:szCs w:val="24"/>
                <w:lang w:val="sr-Cyrl-BA"/>
              </w:rPr>
              <w:t>ла</w:t>
            </w:r>
            <w:r>
              <w:rPr>
                <w:rFonts w:ascii="Arial" w:hAnsi="Arial" w:cs="Arial"/>
                <w:sz w:val="24"/>
                <w:szCs w:val="24"/>
                <w:lang w:val="sr-Cyrl-BA"/>
              </w:rPr>
              <w:t>т</w:t>
            </w:r>
            <w:r w:rsidR="00A56E08">
              <w:rPr>
                <w:rFonts w:ascii="Arial" w:hAnsi="Arial" w:cs="Arial"/>
                <w:sz w:val="24"/>
                <w:szCs w:val="24"/>
                <w:lang w:val="sr-Cyrl-BA"/>
              </w:rPr>
              <w:t>и</w:t>
            </w:r>
            <w:r>
              <w:rPr>
                <w:rFonts w:ascii="Arial" w:hAnsi="Arial" w:cs="Arial"/>
                <w:sz w:val="24"/>
                <w:szCs w:val="24"/>
                <w:lang w:val="sr-Cyrl-BA"/>
              </w:rPr>
              <w:t>в</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о</w:t>
            </w:r>
            <w:r w:rsidR="005C7318" w:rsidRPr="00F6340E">
              <w:rPr>
                <w:rFonts w:ascii="Arial" w:hAnsi="Arial" w:cs="Arial"/>
                <w:sz w:val="24"/>
                <w:szCs w:val="24"/>
                <w:lang w:val="sr-Cyrl-BA"/>
              </w:rPr>
              <w:t xml:space="preserve"> </w:t>
            </w:r>
            <w:r>
              <w:rPr>
                <w:rFonts w:ascii="Arial" w:hAnsi="Arial" w:cs="Arial"/>
                <w:sz w:val="24"/>
                <w:szCs w:val="24"/>
                <w:lang w:val="sr-Cyrl-BA"/>
              </w:rPr>
              <w:t>вр</w:t>
            </w:r>
            <w:r w:rsidR="00EE6AA2">
              <w:rPr>
                <w:rFonts w:ascii="Arial" w:hAnsi="Arial" w:cs="Arial"/>
                <w:sz w:val="24"/>
                <w:szCs w:val="24"/>
                <w:lang w:val="sr-Cyrl-BA"/>
              </w:rPr>
              <w:t>е</w:t>
            </w:r>
            <w:r w:rsidR="00A56E08">
              <w:rPr>
                <w:rFonts w:ascii="Arial" w:hAnsi="Arial" w:cs="Arial"/>
                <w:sz w:val="24"/>
                <w:szCs w:val="24"/>
                <w:lang w:val="sr-Cyrl-BA"/>
              </w:rPr>
              <w:t>дно</w:t>
            </w:r>
            <w:r>
              <w:rPr>
                <w:rFonts w:ascii="Arial" w:hAnsi="Arial" w:cs="Arial"/>
                <w:sz w:val="24"/>
                <w:szCs w:val="24"/>
                <w:lang w:val="sr-Cyrl-BA"/>
              </w:rPr>
              <w:t>в</w:t>
            </w:r>
            <w:r w:rsidR="00A56E08">
              <w:rPr>
                <w:rFonts w:ascii="Arial" w:hAnsi="Arial" w:cs="Arial"/>
                <w:sz w:val="24"/>
                <w:szCs w:val="24"/>
                <w:lang w:val="sr-Cyrl-BA"/>
              </w:rPr>
              <w:t>ањ</w:t>
            </w:r>
            <w:r>
              <w:rPr>
                <w:rFonts w:ascii="Arial" w:hAnsi="Arial" w:cs="Arial"/>
                <w:sz w:val="24"/>
                <w:szCs w:val="24"/>
                <w:lang w:val="sr-Cyrl-BA"/>
              </w:rPr>
              <w:t>у</w:t>
            </w:r>
            <w:r w:rsidR="005C7318" w:rsidRPr="00F6340E">
              <w:rPr>
                <w:rFonts w:ascii="Arial" w:hAnsi="Arial" w:cs="Arial"/>
                <w:sz w:val="24"/>
                <w:szCs w:val="24"/>
                <w:lang w:val="sr-Cyrl-BA"/>
              </w:rPr>
              <w:t xml:space="preserve"> </w:t>
            </w:r>
            <w:r>
              <w:rPr>
                <w:rFonts w:ascii="Arial" w:hAnsi="Arial" w:cs="Arial"/>
                <w:sz w:val="24"/>
                <w:szCs w:val="24"/>
                <w:lang w:val="sr-Cyrl-BA"/>
              </w:rPr>
              <w:t>тр</w:t>
            </w:r>
            <w:r w:rsidR="00EE6AA2">
              <w:rPr>
                <w:rFonts w:ascii="Arial" w:hAnsi="Arial" w:cs="Arial"/>
                <w:sz w:val="24"/>
                <w:szCs w:val="24"/>
                <w:lang w:val="sr-Cyrl-BA"/>
              </w:rPr>
              <w:t>е</w:t>
            </w:r>
            <w:r w:rsidR="00A56E08">
              <w:rPr>
                <w:rFonts w:ascii="Arial" w:hAnsi="Arial" w:cs="Arial"/>
                <w:sz w:val="24"/>
                <w:szCs w:val="24"/>
                <w:lang w:val="sr-Cyrl-BA"/>
              </w:rPr>
              <w:t>бало</w:t>
            </w:r>
            <w:r w:rsidR="005C7318" w:rsidRPr="00F6340E">
              <w:rPr>
                <w:rFonts w:ascii="Arial" w:hAnsi="Arial" w:cs="Arial"/>
                <w:sz w:val="24"/>
                <w:szCs w:val="24"/>
                <w:lang w:val="sr-Cyrl-BA"/>
              </w:rPr>
              <w:t xml:space="preserve"> </w:t>
            </w:r>
            <w:r w:rsidR="00A56E08">
              <w:rPr>
                <w:rFonts w:ascii="Arial" w:hAnsi="Arial" w:cs="Arial"/>
                <w:sz w:val="24"/>
                <w:szCs w:val="24"/>
                <w:lang w:val="sr-Cyrl-BA"/>
              </w:rPr>
              <w:t>би</w:t>
            </w:r>
            <w:r w:rsidR="005C7318" w:rsidRPr="00F6340E">
              <w:rPr>
                <w:rFonts w:ascii="Arial" w:hAnsi="Arial" w:cs="Arial"/>
                <w:sz w:val="24"/>
                <w:szCs w:val="24"/>
                <w:lang w:val="sr-Cyrl-BA"/>
              </w:rPr>
              <w:t xml:space="preserve"> </w:t>
            </w:r>
            <w:r w:rsidR="00A56E08">
              <w:rPr>
                <w:rFonts w:ascii="Arial" w:hAnsi="Arial" w:cs="Arial"/>
                <w:sz w:val="24"/>
                <w:szCs w:val="24"/>
                <w:lang w:val="sr-Cyrl-BA"/>
              </w:rPr>
              <w:t>да</w:t>
            </w:r>
            <w:r w:rsidR="005C7318" w:rsidRPr="00F6340E">
              <w:rPr>
                <w:rFonts w:ascii="Arial" w:hAnsi="Arial" w:cs="Arial"/>
                <w:sz w:val="24"/>
                <w:szCs w:val="24"/>
                <w:lang w:val="sr-Cyrl-BA"/>
              </w:rPr>
              <w:t xml:space="preserve">: </w:t>
            </w:r>
          </w:p>
          <w:p w14:paraId="6B2C3992" w14:textId="1CAFAED6" w:rsidR="005C7318" w:rsidRPr="00F6340E" w:rsidRDefault="0071360A" w:rsidP="00FB5CB7">
            <w:pPr>
              <w:pStyle w:val="CommentText"/>
              <w:numPr>
                <w:ilvl w:val="0"/>
                <w:numId w:val="45"/>
              </w:numPr>
              <w:contextualSpacing/>
              <w:jc w:val="left"/>
              <w:rPr>
                <w:rFonts w:ascii="Arial" w:hAnsi="Arial" w:cs="Arial"/>
                <w:sz w:val="24"/>
                <w:szCs w:val="24"/>
                <w:lang w:val="sr-Cyrl-BA"/>
              </w:rPr>
            </w:pPr>
            <w:r>
              <w:rPr>
                <w:rFonts w:ascii="Arial" w:hAnsi="Arial" w:cs="Arial"/>
                <w:sz w:val="24"/>
                <w:szCs w:val="24"/>
                <w:lang w:val="sr-Cyrl-BA"/>
              </w:rPr>
              <w:t>ув</w:t>
            </w:r>
            <w:r w:rsidR="00A56E08">
              <w:rPr>
                <w:rFonts w:ascii="Arial" w:hAnsi="Arial" w:cs="Arial"/>
                <w:sz w:val="24"/>
                <w:szCs w:val="24"/>
                <w:lang w:val="sr-Cyrl-BA"/>
              </w:rPr>
              <w:t>а</w:t>
            </w:r>
            <w:r w:rsidR="00171F00">
              <w:rPr>
                <w:rFonts w:ascii="Arial" w:hAnsi="Arial" w:cs="Arial"/>
                <w:sz w:val="24"/>
                <w:szCs w:val="24"/>
                <w:lang w:val="sr-Cyrl-BA"/>
              </w:rPr>
              <w:t>ж</w:t>
            </w:r>
            <w:r w:rsidR="00A56E08">
              <w:rPr>
                <w:rFonts w:ascii="Arial" w:hAnsi="Arial" w:cs="Arial"/>
                <w:sz w:val="24"/>
                <w:szCs w:val="24"/>
                <w:lang w:val="sr-Cyrl-BA"/>
              </w:rPr>
              <w:t>а</w:t>
            </w:r>
            <w:r>
              <w:rPr>
                <w:rFonts w:ascii="Arial" w:hAnsi="Arial" w:cs="Arial"/>
                <w:sz w:val="24"/>
                <w:szCs w:val="24"/>
                <w:lang w:val="sr-Cyrl-BA"/>
              </w:rPr>
              <w:t>в</w:t>
            </w:r>
            <w:r w:rsidR="00A56E08">
              <w:rPr>
                <w:rFonts w:ascii="Arial" w:hAnsi="Arial" w:cs="Arial"/>
                <w:sz w:val="24"/>
                <w:szCs w:val="24"/>
                <w:lang w:val="sr-Cyrl-BA"/>
              </w:rPr>
              <w:t>а</w:t>
            </w:r>
            <w:r w:rsidR="005C7318" w:rsidRPr="00F6340E">
              <w:rPr>
                <w:rFonts w:ascii="Arial" w:hAnsi="Arial" w:cs="Arial"/>
                <w:sz w:val="24"/>
                <w:szCs w:val="24"/>
                <w:lang w:val="sr-Cyrl-BA"/>
              </w:rPr>
              <w:t xml:space="preserve"> </w:t>
            </w:r>
            <w:r>
              <w:rPr>
                <w:rFonts w:ascii="Arial" w:hAnsi="Arial" w:cs="Arial"/>
                <w:sz w:val="24"/>
                <w:szCs w:val="24"/>
                <w:lang w:val="sr-Cyrl-BA"/>
              </w:rPr>
              <w:t>в</w:t>
            </w:r>
            <w:r w:rsidR="00EE6AA2">
              <w:rPr>
                <w:rFonts w:ascii="Arial" w:hAnsi="Arial" w:cs="Arial"/>
                <w:sz w:val="24"/>
                <w:szCs w:val="24"/>
                <w:lang w:val="sr-Cyrl-BA"/>
              </w:rPr>
              <w:t>е</w:t>
            </w:r>
            <w:r w:rsidR="00A56E08">
              <w:rPr>
                <w:rFonts w:ascii="Arial" w:hAnsi="Arial" w:cs="Arial"/>
                <w:sz w:val="24"/>
                <w:szCs w:val="24"/>
                <w:lang w:val="sr-Cyrl-BA"/>
              </w:rPr>
              <w:t>ћ</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о</w:t>
            </w:r>
            <w:r>
              <w:rPr>
                <w:rFonts w:ascii="Arial" w:hAnsi="Arial" w:cs="Arial"/>
                <w:sz w:val="24"/>
                <w:szCs w:val="24"/>
                <w:lang w:val="sr-Cyrl-BA"/>
              </w:rPr>
              <w:t>п</w:t>
            </w:r>
            <w:r w:rsidR="00A56E08">
              <w:rPr>
                <w:rFonts w:ascii="Arial" w:hAnsi="Arial" w:cs="Arial"/>
                <w:sz w:val="24"/>
                <w:szCs w:val="24"/>
                <w:lang w:val="sr-Cyrl-BA"/>
              </w:rPr>
              <w:t>и</w:t>
            </w:r>
            <w:r>
              <w:rPr>
                <w:rFonts w:ascii="Arial" w:hAnsi="Arial" w:cs="Arial"/>
                <w:sz w:val="24"/>
                <w:szCs w:val="24"/>
                <w:lang w:val="sr-Cyrl-BA"/>
              </w:rPr>
              <w:t>с</w:t>
            </w:r>
            <w:r w:rsidR="00A56E08">
              <w:rPr>
                <w:rFonts w:ascii="Arial" w:hAnsi="Arial" w:cs="Arial"/>
                <w:sz w:val="24"/>
                <w:szCs w:val="24"/>
                <w:lang w:val="sr-Cyrl-BA"/>
              </w:rPr>
              <w:t>ан</w:t>
            </w:r>
            <w:r w:rsidR="00EE6AA2">
              <w:rPr>
                <w:rFonts w:ascii="Arial" w:hAnsi="Arial" w:cs="Arial"/>
                <w:sz w:val="24"/>
                <w:szCs w:val="24"/>
                <w:lang w:val="sr-Cyrl-BA"/>
              </w:rPr>
              <w:t>е</w:t>
            </w:r>
            <w:r w:rsidR="00C04EC1" w:rsidRPr="00F6340E">
              <w:rPr>
                <w:rFonts w:ascii="Arial" w:hAnsi="Arial" w:cs="Arial"/>
                <w:sz w:val="24"/>
                <w:szCs w:val="24"/>
                <w:lang w:val="sr-Cyrl-BA"/>
              </w:rPr>
              <w:t xml:space="preserve"> </w:t>
            </w:r>
            <w:r>
              <w:rPr>
                <w:rFonts w:ascii="Arial" w:hAnsi="Arial" w:cs="Arial"/>
                <w:sz w:val="24"/>
                <w:szCs w:val="24"/>
                <w:lang w:val="sr-Cyrl-BA"/>
              </w:rPr>
              <w:t>ст</w:t>
            </w:r>
            <w:r w:rsidR="00A56E08">
              <w:rPr>
                <w:rFonts w:ascii="Arial" w:hAnsi="Arial" w:cs="Arial"/>
                <w:sz w:val="24"/>
                <w:szCs w:val="24"/>
                <w:lang w:val="sr-Cyrl-BA"/>
              </w:rPr>
              <w:t>анда</w:t>
            </w:r>
            <w:r>
              <w:rPr>
                <w:rFonts w:ascii="Arial" w:hAnsi="Arial" w:cs="Arial"/>
                <w:sz w:val="24"/>
                <w:szCs w:val="24"/>
                <w:lang w:val="sr-Cyrl-BA"/>
              </w:rPr>
              <w:t>р</w:t>
            </w:r>
            <w:r w:rsidR="00A56E08">
              <w:rPr>
                <w:rFonts w:ascii="Arial" w:hAnsi="Arial" w:cs="Arial"/>
                <w:sz w:val="24"/>
                <w:szCs w:val="24"/>
                <w:lang w:val="sr-Cyrl-BA"/>
              </w:rPr>
              <w:t>д</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у</w:t>
            </w:r>
            <w:r w:rsidR="00A56E08">
              <w:rPr>
                <w:rFonts w:ascii="Arial" w:hAnsi="Arial" w:cs="Arial"/>
                <w:sz w:val="24"/>
                <w:szCs w:val="24"/>
                <w:lang w:val="sr-Cyrl-BA"/>
              </w:rPr>
              <w:t>ч</w:t>
            </w:r>
            <w:r w:rsidR="00EE6AA2">
              <w:rPr>
                <w:rFonts w:ascii="Arial" w:hAnsi="Arial" w:cs="Arial"/>
                <w:sz w:val="24"/>
                <w:szCs w:val="24"/>
                <w:lang w:val="sr-Cyrl-BA"/>
              </w:rPr>
              <w:t>е</w:t>
            </w:r>
            <w:r w:rsidR="00A56E08">
              <w:rPr>
                <w:rFonts w:ascii="Arial" w:hAnsi="Arial" w:cs="Arial"/>
                <w:sz w:val="24"/>
                <w:szCs w:val="24"/>
                <w:lang w:val="sr-Cyrl-BA"/>
              </w:rPr>
              <w:t>ничких</w:t>
            </w:r>
            <w:r w:rsidR="005C7318"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w:t>
            </w:r>
            <w:r>
              <w:rPr>
                <w:rFonts w:ascii="Arial" w:hAnsi="Arial" w:cs="Arial"/>
                <w:sz w:val="24"/>
                <w:szCs w:val="24"/>
                <w:lang w:val="sr-Cyrl-BA"/>
              </w:rPr>
              <w:t>ст</w:t>
            </w:r>
            <w:r w:rsidR="00A56E08">
              <w:rPr>
                <w:rFonts w:ascii="Arial" w:hAnsi="Arial" w:cs="Arial"/>
                <w:sz w:val="24"/>
                <w:szCs w:val="24"/>
                <w:lang w:val="sr-Cyrl-BA"/>
              </w:rPr>
              <w:t>игн</w:t>
            </w:r>
            <w:r>
              <w:rPr>
                <w:rFonts w:ascii="Arial" w:hAnsi="Arial" w:cs="Arial"/>
                <w:sz w:val="24"/>
                <w:szCs w:val="24"/>
                <w:lang w:val="sr-Cyrl-BA"/>
              </w:rPr>
              <w:t>у</w:t>
            </w:r>
            <w:r w:rsidR="00A56E08">
              <w:rPr>
                <w:rFonts w:ascii="Arial" w:hAnsi="Arial" w:cs="Arial"/>
                <w:sz w:val="24"/>
                <w:szCs w:val="24"/>
                <w:lang w:val="sr-Cyrl-BA"/>
              </w:rPr>
              <w:t>ћа</w:t>
            </w:r>
            <w:r w:rsidR="005C7318" w:rsidRPr="00F6340E">
              <w:rPr>
                <w:rFonts w:ascii="Arial" w:hAnsi="Arial" w:cs="Arial"/>
                <w:sz w:val="24"/>
                <w:szCs w:val="24"/>
                <w:lang w:val="sr-Cyrl-BA"/>
              </w:rPr>
              <w:t xml:space="preserve"> </w:t>
            </w:r>
            <w:r w:rsidR="00A56E08">
              <w:rPr>
                <w:rFonts w:ascii="Arial" w:hAnsi="Arial" w:cs="Arial"/>
                <w:sz w:val="24"/>
                <w:szCs w:val="24"/>
                <w:lang w:val="sr-Cyrl-BA"/>
              </w:rPr>
              <w:t>или</w:t>
            </w:r>
            <w:r w:rsidR="005C7318" w:rsidRPr="00F6340E">
              <w:rPr>
                <w:rFonts w:ascii="Arial" w:hAnsi="Arial" w:cs="Arial"/>
                <w:sz w:val="24"/>
                <w:szCs w:val="24"/>
                <w:lang w:val="sr-Cyrl-BA"/>
              </w:rPr>
              <w:t xml:space="preserve"> </w:t>
            </w:r>
            <w:r w:rsidR="00A56E08">
              <w:rPr>
                <w:rFonts w:ascii="Arial" w:hAnsi="Arial" w:cs="Arial"/>
                <w:sz w:val="24"/>
                <w:szCs w:val="24"/>
                <w:lang w:val="sr-Cyrl-BA"/>
              </w:rPr>
              <w:t>да</w:t>
            </w:r>
            <w:r w:rsidR="005C7318" w:rsidRPr="00F6340E">
              <w:rPr>
                <w:rFonts w:ascii="Arial" w:hAnsi="Arial" w:cs="Arial"/>
                <w:sz w:val="24"/>
                <w:szCs w:val="24"/>
                <w:lang w:val="sr-Cyrl-BA"/>
              </w:rPr>
              <w:t xml:space="preserve"> </w:t>
            </w:r>
            <w:r>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на</w:t>
            </w:r>
            <w:r>
              <w:rPr>
                <w:rFonts w:ascii="Arial" w:hAnsi="Arial" w:cs="Arial"/>
                <w:sz w:val="24"/>
                <w:szCs w:val="24"/>
                <w:lang w:val="sr-Cyrl-BA"/>
              </w:rPr>
              <w:t>пр</w:t>
            </w:r>
            <w:r w:rsidR="00A56E08">
              <w:rPr>
                <w:rFonts w:ascii="Arial" w:hAnsi="Arial" w:cs="Arial"/>
                <w:sz w:val="24"/>
                <w:szCs w:val="24"/>
                <w:lang w:val="sr-Cyrl-BA"/>
              </w:rPr>
              <w:t>а</w:t>
            </w:r>
            <w:r>
              <w:rPr>
                <w:rFonts w:ascii="Arial" w:hAnsi="Arial" w:cs="Arial"/>
                <w:sz w:val="24"/>
                <w:szCs w:val="24"/>
                <w:lang w:val="sr-Cyrl-BA"/>
              </w:rPr>
              <w:t>в</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но</w:t>
            </w:r>
            <w:r>
              <w:rPr>
                <w:rFonts w:ascii="Arial" w:hAnsi="Arial" w:cs="Arial"/>
                <w:sz w:val="24"/>
                <w:szCs w:val="24"/>
                <w:lang w:val="sr-Cyrl-BA"/>
              </w:rPr>
              <w:t>в</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p>
          <w:p w14:paraId="1AA979D9" w14:textId="1A3008F4" w:rsidR="005C7318" w:rsidRPr="00F6340E" w:rsidRDefault="00A56E08" w:rsidP="00FB5CB7">
            <w:pPr>
              <w:pStyle w:val="CommentText"/>
              <w:numPr>
                <w:ilvl w:val="0"/>
                <w:numId w:val="45"/>
              </w:numPr>
              <w:contextualSpacing/>
              <w:jc w:val="left"/>
              <w:rPr>
                <w:rFonts w:ascii="Arial" w:hAnsi="Arial" w:cs="Arial"/>
                <w:sz w:val="24"/>
                <w:szCs w:val="24"/>
                <w:lang w:val="sr-Cyrl-BA"/>
              </w:rPr>
            </w:pPr>
            <w:r>
              <w:rPr>
                <w:rFonts w:ascii="Arial" w:hAnsi="Arial" w:cs="Arial"/>
                <w:sz w:val="24"/>
                <w:szCs w:val="24"/>
                <w:lang w:val="sr-Cyrl-BA"/>
              </w:rPr>
              <w:t>ја</w:t>
            </w:r>
            <w:r w:rsidR="0071360A">
              <w:rPr>
                <w:rFonts w:ascii="Arial" w:hAnsi="Arial" w:cs="Arial"/>
                <w:sz w:val="24"/>
                <w:szCs w:val="24"/>
                <w:lang w:val="sr-Cyrl-BA"/>
              </w:rPr>
              <w:t>с</w:t>
            </w:r>
            <w:r>
              <w:rPr>
                <w:rFonts w:ascii="Arial" w:hAnsi="Arial" w:cs="Arial"/>
                <w:sz w:val="24"/>
                <w:szCs w:val="24"/>
                <w:lang w:val="sr-Cyrl-BA"/>
              </w:rPr>
              <w:t>но</w:t>
            </w:r>
            <w:r w:rsidR="005C7318" w:rsidRPr="00F6340E">
              <w:rPr>
                <w:rFonts w:ascii="Arial" w:hAnsi="Arial" w:cs="Arial"/>
                <w:sz w:val="24"/>
                <w:szCs w:val="24"/>
                <w:lang w:val="sr-Cyrl-BA"/>
              </w:rPr>
              <w:t xml:space="preserve"> </w:t>
            </w:r>
            <w:r>
              <w:rPr>
                <w:rFonts w:ascii="Arial" w:hAnsi="Arial" w:cs="Arial"/>
                <w:sz w:val="24"/>
                <w:szCs w:val="24"/>
                <w:lang w:val="sr-Cyrl-BA"/>
              </w:rPr>
              <w:t>нагла</w:t>
            </w:r>
            <w:r w:rsidR="0071360A">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71360A">
              <w:rPr>
                <w:rFonts w:ascii="Arial" w:hAnsi="Arial" w:cs="Arial"/>
                <w:sz w:val="24"/>
                <w:szCs w:val="24"/>
                <w:lang w:val="sr-Cyrl-BA"/>
              </w:rPr>
              <w:t>пр</w:t>
            </w:r>
            <w:r>
              <w:rPr>
                <w:rFonts w:ascii="Arial" w:hAnsi="Arial" w:cs="Arial"/>
                <w:sz w:val="24"/>
                <w:szCs w:val="24"/>
                <w:lang w:val="sr-Cyrl-BA"/>
              </w:rPr>
              <w:t>имј</w:t>
            </w:r>
            <w:r w:rsidR="00EE6AA2">
              <w:rPr>
                <w:rFonts w:ascii="Arial" w:hAnsi="Arial" w:cs="Arial"/>
                <w:sz w:val="24"/>
                <w:szCs w:val="24"/>
                <w:lang w:val="sr-Cyrl-BA"/>
              </w:rPr>
              <w:t>е</w:t>
            </w:r>
            <w:r>
              <w:rPr>
                <w:rFonts w:ascii="Arial" w:hAnsi="Arial" w:cs="Arial"/>
                <w:sz w:val="24"/>
                <w:szCs w:val="24"/>
                <w:lang w:val="sr-Cyrl-BA"/>
              </w:rPr>
              <w:t>н</w:t>
            </w:r>
            <w:r w:rsidR="0071360A">
              <w:rPr>
                <w:rFonts w:ascii="Arial" w:hAnsi="Arial" w:cs="Arial"/>
                <w:sz w:val="24"/>
                <w:szCs w:val="24"/>
                <w:lang w:val="sr-Cyrl-BA"/>
              </w:rPr>
              <w:t>у</w:t>
            </w:r>
            <w:r w:rsidR="005C7318" w:rsidRPr="00F6340E">
              <w:rPr>
                <w:rFonts w:ascii="Arial" w:hAnsi="Arial" w:cs="Arial"/>
                <w:sz w:val="24"/>
                <w:szCs w:val="24"/>
                <w:lang w:val="sr-Cyrl-BA"/>
              </w:rPr>
              <w:t xml:space="preserve"> </w:t>
            </w:r>
            <w:r w:rsidR="0071360A">
              <w:rPr>
                <w:rFonts w:ascii="Arial" w:hAnsi="Arial" w:cs="Arial"/>
                <w:sz w:val="24"/>
                <w:szCs w:val="24"/>
                <w:lang w:val="sr-Cyrl-BA"/>
              </w:rPr>
              <w:t>вр</w:t>
            </w:r>
            <w:r w:rsidR="00EE6AA2">
              <w:rPr>
                <w:rFonts w:ascii="Arial" w:hAnsi="Arial" w:cs="Arial"/>
                <w:sz w:val="24"/>
                <w:szCs w:val="24"/>
                <w:lang w:val="sr-Cyrl-BA"/>
              </w:rPr>
              <w:t>е</w:t>
            </w:r>
            <w:r>
              <w:rPr>
                <w:rFonts w:ascii="Arial" w:hAnsi="Arial" w:cs="Arial"/>
                <w:sz w:val="24"/>
                <w:szCs w:val="24"/>
                <w:lang w:val="sr-Cyrl-BA"/>
              </w:rPr>
              <w:t>дно</w:t>
            </w:r>
            <w:r w:rsidR="0071360A">
              <w:rPr>
                <w:rFonts w:ascii="Arial" w:hAnsi="Arial" w:cs="Arial"/>
                <w:sz w:val="24"/>
                <w:szCs w:val="24"/>
                <w:lang w:val="sr-Cyrl-BA"/>
              </w:rPr>
              <w:t>в</w:t>
            </w:r>
            <w:r>
              <w:rPr>
                <w:rFonts w:ascii="Arial" w:hAnsi="Arial" w:cs="Arial"/>
                <w:sz w:val="24"/>
                <w:szCs w:val="24"/>
                <w:lang w:val="sr-Cyrl-BA"/>
              </w:rPr>
              <w:t>ања</w:t>
            </w:r>
            <w:r w:rsidR="005C7318" w:rsidRPr="00F6340E">
              <w:rPr>
                <w:rFonts w:ascii="Arial" w:hAnsi="Arial" w:cs="Arial"/>
                <w:sz w:val="24"/>
                <w:szCs w:val="24"/>
                <w:lang w:val="sr-Cyrl-BA"/>
              </w:rPr>
              <w:t xml:space="preserve"> </w:t>
            </w:r>
            <w:r w:rsidR="0071360A">
              <w:rPr>
                <w:rFonts w:ascii="Arial" w:hAnsi="Arial" w:cs="Arial"/>
                <w:sz w:val="24"/>
                <w:szCs w:val="24"/>
                <w:lang w:val="sr-Cyrl-BA"/>
              </w:rPr>
              <w:t>у</w:t>
            </w:r>
            <w:r w:rsidR="005C7318" w:rsidRPr="00F6340E">
              <w:rPr>
                <w:rFonts w:ascii="Arial" w:hAnsi="Arial" w:cs="Arial"/>
                <w:sz w:val="24"/>
                <w:szCs w:val="24"/>
                <w:lang w:val="sr-Cyrl-BA"/>
              </w:rPr>
              <w:t xml:space="preserve"> </w:t>
            </w:r>
            <w:r w:rsidR="0071360A">
              <w:rPr>
                <w:rFonts w:ascii="Arial" w:hAnsi="Arial" w:cs="Arial"/>
                <w:sz w:val="24"/>
                <w:szCs w:val="24"/>
                <w:lang w:val="sr-Cyrl-BA"/>
              </w:rPr>
              <w:t>р</w:t>
            </w:r>
            <w:r>
              <w:rPr>
                <w:rFonts w:ascii="Arial" w:hAnsi="Arial" w:cs="Arial"/>
                <w:sz w:val="24"/>
                <w:szCs w:val="24"/>
                <w:lang w:val="sr-Cyrl-BA"/>
              </w:rPr>
              <w:t>а</w:t>
            </w:r>
            <w:r w:rsidR="00171F00">
              <w:rPr>
                <w:rFonts w:ascii="Arial" w:hAnsi="Arial" w:cs="Arial"/>
                <w:sz w:val="24"/>
                <w:szCs w:val="24"/>
                <w:lang w:val="sr-Cyrl-BA"/>
              </w:rPr>
              <w:t>з</w:t>
            </w:r>
            <w:r>
              <w:rPr>
                <w:rFonts w:ascii="Arial" w:hAnsi="Arial" w:cs="Arial"/>
                <w:sz w:val="24"/>
                <w:szCs w:val="24"/>
                <w:lang w:val="sr-Cyrl-BA"/>
              </w:rPr>
              <w:t>личи</w:t>
            </w:r>
            <w:r w:rsidR="0071360A">
              <w:rPr>
                <w:rFonts w:ascii="Arial" w:hAnsi="Arial" w:cs="Arial"/>
                <w:sz w:val="24"/>
                <w:szCs w:val="24"/>
                <w:lang w:val="sr-Cyrl-BA"/>
              </w:rPr>
              <w:t>т</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71360A">
              <w:rPr>
                <w:rFonts w:ascii="Arial" w:hAnsi="Arial" w:cs="Arial"/>
                <w:sz w:val="24"/>
                <w:szCs w:val="24"/>
                <w:lang w:val="sr-Cyrl-BA"/>
              </w:rPr>
              <w:t>свр</w:t>
            </w:r>
            <w:r>
              <w:rPr>
                <w:rFonts w:ascii="Arial" w:hAnsi="Arial" w:cs="Arial"/>
                <w:sz w:val="24"/>
                <w:szCs w:val="24"/>
                <w:lang w:val="sr-Cyrl-BA"/>
              </w:rPr>
              <w:t>х</w:t>
            </w:r>
            <w:r w:rsidR="00EE6AA2">
              <w:rPr>
                <w:rFonts w:ascii="Arial" w:hAnsi="Arial" w:cs="Arial"/>
                <w:sz w:val="24"/>
                <w:szCs w:val="24"/>
                <w:lang w:val="sr-Cyrl-BA"/>
              </w:rPr>
              <w:t>е</w:t>
            </w:r>
            <w:r w:rsidR="0057191F" w:rsidRPr="00F6340E">
              <w:rPr>
                <w:rFonts w:ascii="Arial" w:hAnsi="Arial" w:cs="Arial"/>
                <w:sz w:val="24"/>
                <w:szCs w:val="24"/>
                <w:lang w:val="sr-Cyrl-BA"/>
              </w:rPr>
              <w:t>,</w:t>
            </w:r>
            <w:r w:rsidR="005C7318" w:rsidRPr="00F6340E">
              <w:rPr>
                <w:rFonts w:ascii="Arial" w:hAnsi="Arial" w:cs="Arial"/>
                <w:sz w:val="24"/>
                <w:szCs w:val="24"/>
                <w:lang w:val="sr-Cyrl-BA"/>
              </w:rPr>
              <w:t xml:space="preserve"> </w:t>
            </w:r>
            <w:r>
              <w:rPr>
                <w:rFonts w:ascii="Arial" w:hAnsi="Arial" w:cs="Arial"/>
                <w:sz w:val="24"/>
                <w:szCs w:val="24"/>
                <w:lang w:val="sr-Cyrl-BA"/>
              </w:rPr>
              <w:t>одно</w:t>
            </w:r>
            <w:r w:rsidR="0071360A">
              <w:rPr>
                <w:rFonts w:ascii="Arial" w:hAnsi="Arial" w:cs="Arial"/>
                <w:sz w:val="24"/>
                <w:szCs w:val="24"/>
                <w:lang w:val="sr-Cyrl-BA"/>
              </w:rPr>
              <w:t>с</w:t>
            </w:r>
            <w:r>
              <w:rPr>
                <w:rFonts w:ascii="Arial" w:hAnsi="Arial" w:cs="Arial"/>
                <w:sz w:val="24"/>
                <w:szCs w:val="24"/>
                <w:lang w:val="sr-Cyrl-BA"/>
              </w:rPr>
              <w:t>но</w:t>
            </w:r>
            <w:r w:rsidR="005C7318" w:rsidRPr="00F6340E">
              <w:rPr>
                <w:rFonts w:ascii="Arial" w:hAnsi="Arial" w:cs="Arial"/>
                <w:sz w:val="24"/>
                <w:szCs w:val="24"/>
                <w:lang w:val="sr-Cyrl-BA"/>
              </w:rPr>
              <w:t xml:space="preserve"> </w:t>
            </w:r>
            <w:r w:rsidR="0071360A">
              <w:rPr>
                <w:rFonts w:ascii="Arial" w:hAnsi="Arial" w:cs="Arial"/>
                <w:sz w:val="24"/>
                <w:szCs w:val="24"/>
                <w:lang w:val="sr-Cyrl-BA"/>
              </w:rPr>
              <w:t>пр</w:t>
            </w:r>
            <w:r>
              <w:rPr>
                <w:rFonts w:ascii="Arial" w:hAnsi="Arial" w:cs="Arial"/>
                <w:sz w:val="24"/>
                <w:szCs w:val="24"/>
                <w:lang w:val="sr-Cyrl-BA"/>
              </w:rPr>
              <w:t>а</w:t>
            </w:r>
            <w:r w:rsidR="0071360A">
              <w:rPr>
                <w:rFonts w:ascii="Arial" w:hAnsi="Arial" w:cs="Arial"/>
                <w:sz w:val="24"/>
                <w:szCs w:val="24"/>
                <w:lang w:val="sr-Cyrl-BA"/>
              </w:rPr>
              <w:t>в</w:t>
            </w:r>
            <w:r>
              <w:rPr>
                <w:rFonts w:ascii="Arial" w:hAnsi="Arial" w:cs="Arial"/>
                <w:sz w:val="24"/>
                <w:szCs w:val="24"/>
                <w:lang w:val="sr-Cyrl-BA"/>
              </w:rPr>
              <w:t>илници</w:t>
            </w:r>
            <w:r w:rsidR="005C7318" w:rsidRPr="00F6340E">
              <w:rPr>
                <w:rFonts w:ascii="Arial" w:hAnsi="Arial" w:cs="Arial"/>
                <w:sz w:val="24"/>
                <w:szCs w:val="24"/>
                <w:lang w:val="sr-Cyrl-BA"/>
              </w:rPr>
              <w:t xml:space="preserve"> </w:t>
            </w:r>
            <w:r w:rsidR="0071360A">
              <w:rPr>
                <w:rFonts w:ascii="Arial" w:hAnsi="Arial" w:cs="Arial"/>
                <w:sz w:val="24"/>
                <w:szCs w:val="24"/>
                <w:lang w:val="sr-Cyrl-BA"/>
              </w:rPr>
              <w:t>тр</w:t>
            </w:r>
            <w:r w:rsidR="00EE6AA2">
              <w:rPr>
                <w:rFonts w:ascii="Arial" w:hAnsi="Arial" w:cs="Arial"/>
                <w:sz w:val="24"/>
                <w:szCs w:val="24"/>
                <w:lang w:val="sr-Cyrl-BA"/>
              </w:rPr>
              <w:t>е</w:t>
            </w:r>
            <w:r>
              <w:rPr>
                <w:rFonts w:ascii="Arial" w:hAnsi="Arial" w:cs="Arial"/>
                <w:sz w:val="24"/>
                <w:szCs w:val="24"/>
                <w:lang w:val="sr-Cyrl-BA"/>
              </w:rPr>
              <w:t>бај</w:t>
            </w:r>
            <w:r w:rsidR="0071360A">
              <w:rPr>
                <w:rFonts w:ascii="Arial" w:hAnsi="Arial" w:cs="Arial"/>
                <w:sz w:val="24"/>
                <w:szCs w:val="24"/>
                <w:lang w:val="sr-Cyrl-BA"/>
              </w:rPr>
              <w:t>у</w:t>
            </w:r>
            <w:r w:rsidR="005C7318" w:rsidRPr="00F6340E">
              <w:rPr>
                <w:rFonts w:ascii="Arial" w:hAnsi="Arial" w:cs="Arial"/>
                <w:sz w:val="24"/>
                <w:szCs w:val="24"/>
                <w:lang w:val="sr-Cyrl-BA"/>
              </w:rPr>
              <w:t xml:space="preserve"> </w:t>
            </w:r>
            <w:r w:rsidR="0071360A">
              <w:rPr>
                <w:rFonts w:ascii="Arial" w:hAnsi="Arial" w:cs="Arial"/>
                <w:sz w:val="24"/>
                <w:szCs w:val="24"/>
                <w:lang w:val="sr-Cyrl-BA"/>
              </w:rPr>
              <w:t>с</w:t>
            </w:r>
            <w:r>
              <w:rPr>
                <w:rFonts w:ascii="Arial" w:hAnsi="Arial" w:cs="Arial"/>
                <w:sz w:val="24"/>
                <w:szCs w:val="24"/>
                <w:lang w:val="sr-Cyrl-BA"/>
              </w:rPr>
              <w:t>ад</w:t>
            </w:r>
            <w:r w:rsidR="0071360A">
              <w:rPr>
                <w:rFonts w:ascii="Arial" w:hAnsi="Arial" w:cs="Arial"/>
                <w:sz w:val="24"/>
                <w:szCs w:val="24"/>
                <w:lang w:val="sr-Cyrl-BA"/>
              </w:rPr>
              <w:t>р</w:t>
            </w:r>
            <w:r w:rsidR="00171F00">
              <w:rPr>
                <w:rFonts w:ascii="Arial" w:hAnsi="Arial" w:cs="Arial"/>
                <w:sz w:val="24"/>
                <w:szCs w:val="24"/>
                <w:lang w:val="sr-Cyrl-BA"/>
              </w:rPr>
              <w:t>ж</w:t>
            </w:r>
            <w:r>
              <w:rPr>
                <w:rFonts w:ascii="Arial" w:hAnsi="Arial" w:cs="Arial"/>
                <w:sz w:val="24"/>
                <w:szCs w:val="24"/>
                <w:lang w:val="sr-Cyrl-BA"/>
              </w:rPr>
              <w:t>а</w:t>
            </w:r>
            <w:r w:rsidR="0071360A">
              <w:rPr>
                <w:rFonts w:ascii="Arial" w:hAnsi="Arial" w:cs="Arial"/>
                <w:sz w:val="24"/>
                <w:szCs w:val="24"/>
                <w:lang w:val="sr-Cyrl-BA"/>
              </w:rPr>
              <w:t>в</w:t>
            </w:r>
            <w:r>
              <w:rPr>
                <w:rFonts w:ascii="Arial" w:hAnsi="Arial" w:cs="Arial"/>
                <w:sz w:val="24"/>
                <w:szCs w:val="24"/>
                <w:lang w:val="sr-Cyrl-BA"/>
              </w:rPr>
              <w:t>а</w:t>
            </w:r>
            <w:r w:rsidR="0071360A">
              <w:rPr>
                <w:rFonts w:ascii="Arial" w:hAnsi="Arial" w:cs="Arial"/>
                <w:sz w:val="24"/>
                <w:szCs w:val="24"/>
                <w:lang w:val="sr-Cyrl-BA"/>
              </w:rPr>
              <w:t>т</w:t>
            </w:r>
            <w:r>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ком</w:t>
            </w:r>
            <w:r w:rsidR="0071360A">
              <w:rPr>
                <w:rFonts w:ascii="Arial" w:hAnsi="Arial" w:cs="Arial"/>
                <w:sz w:val="24"/>
                <w:szCs w:val="24"/>
                <w:lang w:val="sr-Cyrl-BA"/>
              </w:rPr>
              <w:t>п</w:t>
            </w:r>
            <w:r>
              <w:rPr>
                <w:rFonts w:ascii="Arial" w:hAnsi="Arial" w:cs="Arial"/>
                <w:sz w:val="24"/>
                <w:szCs w:val="24"/>
                <w:lang w:val="sr-Cyrl-BA"/>
              </w:rPr>
              <w:t>а</w:t>
            </w:r>
            <w:r w:rsidR="0071360A">
              <w:rPr>
                <w:rFonts w:ascii="Arial" w:hAnsi="Arial" w:cs="Arial"/>
                <w:sz w:val="24"/>
                <w:szCs w:val="24"/>
                <w:lang w:val="sr-Cyrl-BA"/>
              </w:rPr>
              <w:t>р</w:t>
            </w:r>
            <w:r>
              <w:rPr>
                <w:rFonts w:ascii="Arial" w:hAnsi="Arial" w:cs="Arial"/>
                <w:sz w:val="24"/>
                <w:szCs w:val="24"/>
                <w:lang w:val="sr-Cyrl-BA"/>
              </w:rPr>
              <w:t>а</w:t>
            </w:r>
            <w:r w:rsidR="0071360A">
              <w:rPr>
                <w:rFonts w:ascii="Arial" w:hAnsi="Arial" w:cs="Arial"/>
                <w:sz w:val="24"/>
                <w:szCs w:val="24"/>
                <w:lang w:val="sr-Cyrl-BA"/>
              </w:rPr>
              <w:t>т</w:t>
            </w:r>
            <w:r>
              <w:rPr>
                <w:rFonts w:ascii="Arial" w:hAnsi="Arial" w:cs="Arial"/>
                <w:sz w:val="24"/>
                <w:szCs w:val="24"/>
                <w:lang w:val="sr-Cyrl-BA"/>
              </w:rPr>
              <w:t>и</w:t>
            </w:r>
            <w:r w:rsidR="0071360A">
              <w:rPr>
                <w:rFonts w:ascii="Arial" w:hAnsi="Arial" w:cs="Arial"/>
                <w:sz w:val="24"/>
                <w:szCs w:val="24"/>
                <w:lang w:val="sr-Cyrl-BA"/>
              </w:rPr>
              <w:t>в</w:t>
            </w:r>
            <w:r>
              <w:rPr>
                <w:rFonts w:ascii="Arial" w:hAnsi="Arial" w:cs="Arial"/>
                <w:sz w:val="24"/>
                <w:szCs w:val="24"/>
                <w:lang w:val="sr-Cyrl-BA"/>
              </w:rPr>
              <w:t>н</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д</w:t>
            </w:r>
            <w:r w:rsidR="00EE6AA2">
              <w:rPr>
                <w:rFonts w:ascii="Arial" w:hAnsi="Arial" w:cs="Arial"/>
                <w:sz w:val="24"/>
                <w:szCs w:val="24"/>
                <w:lang w:val="sr-Cyrl-BA"/>
              </w:rPr>
              <w:t>е</w:t>
            </w:r>
            <w:r>
              <w:rPr>
                <w:rFonts w:ascii="Arial" w:hAnsi="Arial" w:cs="Arial"/>
                <w:sz w:val="24"/>
                <w:szCs w:val="24"/>
                <w:lang w:val="sr-Cyrl-BA"/>
              </w:rPr>
              <w:t>финициј</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фо</w:t>
            </w:r>
            <w:r w:rsidR="0071360A">
              <w:rPr>
                <w:rFonts w:ascii="Arial" w:hAnsi="Arial" w:cs="Arial"/>
                <w:sz w:val="24"/>
                <w:szCs w:val="24"/>
                <w:lang w:val="sr-Cyrl-BA"/>
              </w:rPr>
              <w:t>р</w:t>
            </w:r>
            <w:r>
              <w:rPr>
                <w:rFonts w:ascii="Arial" w:hAnsi="Arial" w:cs="Arial"/>
                <w:sz w:val="24"/>
                <w:szCs w:val="24"/>
                <w:lang w:val="sr-Cyrl-BA"/>
              </w:rPr>
              <w:t>ма</w:t>
            </w:r>
            <w:r w:rsidR="0071360A">
              <w:rPr>
                <w:rFonts w:ascii="Arial" w:hAnsi="Arial" w:cs="Arial"/>
                <w:sz w:val="24"/>
                <w:szCs w:val="24"/>
                <w:lang w:val="sr-Cyrl-BA"/>
              </w:rPr>
              <w:t>т</w:t>
            </w:r>
            <w:r>
              <w:rPr>
                <w:rFonts w:ascii="Arial" w:hAnsi="Arial" w:cs="Arial"/>
                <w:sz w:val="24"/>
                <w:szCs w:val="24"/>
                <w:lang w:val="sr-Cyrl-BA"/>
              </w:rPr>
              <w:t>и</w:t>
            </w:r>
            <w:r w:rsidR="0071360A">
              <w:rPr>
                <w:rFonts w:ascii="Arial" w:hAnsi="Arial" w:cs="Arial"/>
                <w:sz w:val="24"/>
                <w:szCs w:val="24"/>
                <w:lang w:val="sr-Cyrl-BA"/>
              </w:rPr>
              <w:t>в</w:t>
            </w:r>
            <w:r>
              <w:rPr>
                <w:rFonts w:ascii="Arial" w:hAnsi="Arial" w:cs="Arial"/>
                <w:sz w:val="24"/>
                <w:szCs w:val="24"/>
                <w:lang w:val="sr-Cyrl-BA"/>
              </w:rPr>
              <w:t>ног</w:t>
            </w:r>
            <w:r w:rsidR="005C7318" w:rsidRPr="00F6340E">
              <w:rPr>
                <w:rFonts w:ascii="Arial" w:hAnsi="Arial" w:cs="Arial"/>
                <w:sz w:val="24"/>
                <w:szCs w:val="24"/>
                <w:lang w:val="sr-Cyrl-BA"/>
              </w:rPr>
              <w:t xml:space="preserve"> </w:t>
            </w:r>
            <w:r>
              <w:rPr>
                <w:rFonts w:ascii="Arial" w:hAnsi="Arial" w:cs="Arial"/>
                <w:sz w:val="24"/>
                <w:szCs w:val="24"/>
                <w:lang w:val="sr-Cyrl-BA"/>
              </w:rPr>
              <w:t>и</w:t>
            </w:r>
            <w:r w:rsidR="005C7318" w:rsidRPr="00F6340E">
              <w:rPr>
                <w:rFonts w:ascii="Arial" w:hAnsi="Arial" w:cs="Arial"/>
                <w:sz w:val="24"/>
                <w:szCs w:val="24"/>
                <w:lang w:val="sr-Cyrl-BA"/>
              </w:rPr>
              <w:t xml:space="preserve"> </w:t>
            </w:r>
            <w:r w:rsidR="0071360A">
              <w:rPr>
                <w:rFonts w:ascii="Arial" w:hAnsi="Arial" w:cs="Arial"/>
                <w:sz w:val="24"/>
                <w:szCs w:val="24"/>
                <w:lang w:val="sr-Cyrl-BA"/>
              </w:rPr>
              <w:t>су</w:t>
            </w:r>
            <w:r>
              <w:rPr>
                <w:rFonts w:ascii="Arial" w:hAnsi="Arial" w:cs="Arial"/>
                <w:sz w:val="24"/>
                <w:szCs w:val="24"/>
                <w:lang w:val="sr-Cyrl-BA"/>
              </w:rPr>
              <w:t>ма</w:t>
            </w:r>
            <w:r w:rsidR="0071360A">
              <w:rPr>
                <w:rFonts w:ascii="Arial" w:hAnsi="Arial" w:cs="Arial"/>
                <w:sz w:val="24"/>
                <w:szCs w:val="24"/>
                <w:lang w:val="sr-Cyrl-BA"/>
              </w:rPr>
              <w:t>р</w:t>
            </w:r>
            <w:r>
              <w:rPr>
                <w:rFonts w:ascii="Arial" w:hAnsi="Arial" w:cs="Arial"/>
                <w:sz w:val="24"/>
                <w:szCs w:val="24"/>
                <w:lang w:val="sr-Cyrl-BA"/>
              </w:rPr>
              <w:t>ног</w:t>
            </w:r>
            <w:r w:rsidR="005C7318" w:rsidRPr="00F6340E">
              <w:rPr>
                <w:rFonts w:ascii="Arial" w:hAnsi="Arial" w:cs="Arial"/>
                <w:sz w:val="24"/>
                <w:szCs w:val="24"/>
                <w:lang w:val="sr-Cyrl-BA"/>
              </w:rPr>
              <w:t xml:space="preserve"> </w:t>
            </w:r>
            <w:r w:rsidR="0071360A">
              <w:rPr>
                <w:rFonts w:ascii="Arial" w:hAnsi="Arial" w:cs="Arial"/>
                <w:sz w:val="24"/>
                <w:szCs w:val="24"/>
                <w:lang w:val="sr-Cyrl-BA"/>
              </w:rPr>
              <w:t>вр</w:t>
            </w:r>
            <w:r w:rsidR="00EE6AA2">
              <w:rPr>
                <w:rFonts w:ascii="Arial" w:hAnsi="Arial" w:cs="Arial"/>
                <w:sz w:val="24"/>
                <w:szCs w:val="24"/>
                <w:lang w:val="sr-Cyrl-BA"/>
              </w:rPr>
              <w:t>е</w:t>
            </w:r>
            <w:r>
              <w:rPr>
                <w:rFonts w:ascii="Arial" w:hAnsi="Arial" w:cs="Arial"/>
                <w:sz w:val="24"/>
                <w:szCs w:val="24"/>
                <w:lang w:val="sr-Cyrl-BA"/>
              </w:rPr>
              <w:t>дно</w:t>
            </w:r>
            <w:r w:rsidR="0071360A">
              <w:rPr>
                <w:rFonts w:ascii="Arial" w:hAnsi="Arial" w:cs="Arial"/>
                <w:sz w:val="24"/>
                <w:szCs w:val="24"/>
                <w:lang w:val="sr-Cyrl-BA"/>
              </w:rPr>
              <w:t>в</w:t>
            </w:r>
            <w:r>
              <w:rPr>
                <w:rFonts w:ascii="Arial" w:hAnsi="Arial" w:cs="Arial"/>
                <w:sz w:val="24"/>
                <w:szCs w:val="24"/>
                <w:lang w:val="sr-Cyrl-BA"/>
              </w:rPr>
              <w:t>ањ</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обја</w:t>
            </w:r>
            <w:r w:rsidR="0071360A">
              <w:rPr>
                <w:rFonts w:ascii="Arial" w:hAnsi="Arial" w:cs="Arial"/>
                <w:sz w:val="24"/>
                <w:szCs w:val="24"/>
                <w:lang w:val="sr-Cyrl-BA"/>
              </w:rPr>
              <w:t>ш</w:t>
            </w:r>
            <w:r>
              <w:rPr>
                <w:rFonts w:ascii="Arial" w:hAnsi="Arial" w:cs="Arial"/>
                <w:sz w:val="24"/>
                <w:szCs w:val="24"/>
                <w:lang w:val="sr-Cyrl-BA"/>
              </w:rPr>
              <w:t>њ</w:t>
            </w:r>
            <w:r w:rsidR="00EE6AA2">
              <w:rPr>
                <w:rFonts w:ascii="Arial" w:hAnsi="Arial" w:cs="Arial"/>
                <w:sz w:val="24"/>
                <w:szCs w:val="24"/>
                <w:lang w:val="sr-Cyrl-BA"/>
              </w:rPr>
              <w:t>е</w:t>
            </w:r>
            <w:r>
              <w:rPr>
                <w:rFonts w:ascii="Arial" w:hAnsi="Arial" w:cs="Arial"/>
                <w:sz w:val="24"/>
                <w:szCs w:val="24"/>
                <w:lang w:val="sr-Cyrl-BA"/>
              </w:rPr>
              <w:t>њ</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њихо</w:t>
            </w:r>
            <w:r w:rsidR="0071360A">
              <w:rPr>
                <w:rFonts w:ascii="Arial" w:hAnsi="Arial" w:cs="Arial"/>
                <w:sz w:val="24"/>
                <w:szCs w:val="24"/>
                <w:lang w:val="sr-Cyrl-BA"/>
              </w:rPr>
              <w:t>в</w:t>
            </w:r>
            <w:r>
              <w:rPr>
                <w:rFonts w:ascii="Arial" w:hAnsi="Arial" w:cs="Arial"/>
                <w:sz w:val="24"/>
                <w:szCs w:val="24"/>
                <w:lang w:val="sr-Cyrl-BA"/>
              </w:rPr>
              <w:t>ог</w:t>
            </w:r>
            <w:r w:rsidR="005C7318" w:rsidRPr="00F6340E">
              <w:rPr>
                <w:rFonts w:ascii="Arial" w:hAnsi="Arial" w:cs="Arial"/>
                <w:sz w:val="24"/>
                <w:szCs w:val="24"/>
                <w:lang w:val="sr-Cyrl-BA"/>
              </w:rPr>
              <w:t xml:space="preserve"> </w:t>
            </w:r>
            <w:r>
              <w:rPr>
                <w:rFonts w:ascii="Arial" w:hAnsi="Arial" w:cs="Arial"/>
                <w:sz w:val="24"/>
                <w:szCs w:val="24"/>
                <w:lang w:val="sr-Cyrl-BA"/>
              </w:rPr>
              <w:t>м</w:t>
            </w:r>
            <w:r w:rsidR="00EE6AA2">
              <w:rPr>
                <w:rFonts w:ascii="Arial" w:hAnsi="Arial" w:cs="Arial"/>
                <w:sz w:val="24"/>
                <w:szCs w:val="24"/>
                <w:lang w:val="sr-Cyrl-BA"/>
              </w:rPr>
              <w:t>е</w:t>
            </w:r>
            <w:r>
              <w:rPr>
                <w:rFonts w:ascii="Arial" w:hAnsi="Arial" w:cs="Arial"/>
                <w:sz w:val="24"/>
                <w:szCs w:val="24"/>
                <w:lang w:val="sr-Cyrl-BA"/>
              </w:rPr>
              <w:t>ђ</w:t>
            </w:r>
            <w:r w:rsidR="0071360A">
              <w:rPr>
                <w:rFonts w:ascii="Arial" w:hAnsi="Arial" w:cs="Arial"/>
                <w:sz w:val="24"/>
                <w:szCs w:val="24"/>
                <w:lang w:val="sr-Cyrl-BA"/>
              </w:rPr>
              <w:t>у</w:t>
            </w:r>
            <w:r>
              <w:rPr>
                <w:rFonts w:ascii="Arial" w:hAnsi="Arial" w:cs="Arial"/>
                <w:sz w:val="24"/>
                <w:szCs w:val="24"/>
                <w:lang w:val="sr-Cyrl-BA"/>
              </w:rPr>
              <w:t>одно</w:t>
            </w:r>
            <w:r w:rsidR="0071360A">
              <w:rPr>
                <w:rFonts w:ascii="Arial" w:hAnsi="Arial" w:cs="Arial"/>
                <w:sz w:val="24"/>
                <w:szCs w:val="24"/>
                <w:lang w:val="sr-Cyrl-BA"/>
              </w:rPr>
              <w:t>с</w:t>
            </w:r>
            <w:r>
              <w:rPr>
                <w:rFonts w:ascii="Arial" w:hAnsi="Arial" w:cs="Arial"/>
                <w:sz w:val="24"/>
                <w:szCs w:val="24"/>
                <w:lang w:val="sr-Cyrl-BA"/>
              </w:rPr>
              <w:t>а</w:t>
            </w:r>
            <w:r w:rsidR="005C7318" w:rsidRPr="00F6340E">
              <w:rPr>
                <w:rFonts w:ascii="Arial" w:hAnsi="Arial" w:cs="Arial"/>
                <w:sz w:val="24"/>
                <w:szCs w:val="24"/>
                <w:lang w:val="sr-Cyrl-BA"/>
              </w:rPr>
              <w:t xml:space="preserve"> </w:t>
            </w:r>
            <w:r>
              <w:rPr>
                <w:rFonts w:ascii="Arial" w:hAnsi="Arial" w:cs="Arial"/>
                <w:sz w:val="24"/>
                <w:szCs w:val="24"/>
                <w:lang w:val="sr-Cyrl-BA"/>
              </w:rPr>
              <w:t>и</w:t>
            </w:r>
            <w:r w:rsidR="005C7318" w:rsidRPr="00F6340E">
              <w:rPr>
                <w:rFonts w:ascii="Arial" w:hAnsi="Arial" w:cs="Arial"/>
                <w:sz w:val="24"/>
                <w:szCs w:val="24"/>
                <w:lang w:val="sr-Cyrl-BA"/>
              </w:rPr>
              <w:t xml:space="preserve"> </w:t>
            </w:r>
            <w:r w:rsidR="0071360A">
              <w:rPr>
                <w:rFonts w:ascii="Arial" w:hAnsi="Arial" w:cs="Arial"/>
                <w:sz w:val="24"/>
                <w:szCs w:val="24"/>
                <w:lang w:val="sr-Cyrl-BA"/>
              </w:rPr>
              <w:t>с</w:t>
            </w:r>
            <w:r>
              <w:rPr>
                <w:rFonts w:ascii="Arial" w:hAnsi="Arial" w:cs="Arial"/>
                <w:sz w:val="24"/>
                <w:szCs w:val="24"/>
                <w:lang w:val="sr-Cyrl-BA"/>
              </w:rPr>
              <w:t>ин</w:t>
            </w:r>
            <w:r w:rsidR="00EE6AA2">
              <w:rPr>
                <w:rFonts w:ascii="Arial" w:hAnsi="Arial" w:cs="Arial"/>
                <w:sz w:val="24"/>
                <w:szCs w:val="24"/>
                <w:lang w:val="sr-Cyrl-BA"/>
              </w:rPr>
              <w:t>е</w:t>
            </w:r>
            <w:r w:rsidR="0071360A">
              <w:rPr>
                <w:rFonts w:ascii="Arial" w:hAnsi="Arial" w:cs="Arial"/>
                <w:sz w:val="24"/>
                <w:szCs w:val="24"/>
                <w:lang w:val="sr-Cyrl-BA"/>
              </w:rPr>
              <w:t>р</w:t>
            </w:r>
            <w:r>
              <w:rPr>
                <w:rFonts w:ascii="Arial" w:hAnsi="Arial" w:cs="Arial"/>
                <w:sz w:val="24"/>
                <w:szCs w:val="24"/>
                <w:lang w:val="sr-Cyrl-BA"/>
              </w:rPr>
              <w:t>гиј</w:t>
            </w:r>
            <w:r w:rsidR="0071360A">
              <w:rPr>
                <w:rFonts w:ascii="Arial" w:hAnsi="Arial" w:cs="Arial"/>
                <w:sz w:val="24"/>
                <w:szCs w:val="24"/>
                <w:lang w:val="sr-Cyrl-BA"/>
              </w:rPr>
              <w:t>с</w:t>
            </w:r>
            <w:r>
              <w:rPr>
                <w:rFonts w:ascii="Arial" w:hAnsi="Arial" w:cs="Arial"/>
                <w:sz w:val="24"/>
                <w:szCs w:val="24"/>
                <w:lang w:val="sr-Cyrl-BA"/>
              </w:rPr>
              <w:t>к</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71360A">
              <w:rPr>
                <w:rFonts w:ascii="Arial" w:hAnsi="Arial" w:cs="Arial"/>
                <w:sz w:val="24"/>
                <w:szCs w:val="24"/>
                <w:lang w:val="sr-Cyrl-BA"/>
              </w:rPr>
              <w:t>свр</w:t>
            </w:r>
            <w:r>
              <w:rPr>
                <w:rFonts w:ascii="Arial" w:hAnsi="Arial" w:cs="Arial"/>
                <w:sz w:val="24"/>
                <w:szCs w:val="24"/>
                <w:lang w:val="sr-Cyrl-BA"/>
              </w:rPr>
              <w:t>х</w:t>
            </w:r>
            <w:r w:rsidR="00EE6AA2">
              <w:rPr>
                <w:rFonts w:ascii="Arial" w:hAnsi="Arial" w:cs="Arial"/>
                <w:sz w:val="24"/>
                <w:szCs w:val="24"/>
                <w:lang w:val="sr-Cyrl-BA"/>
              </w:rPr>
              <w:t>е</w:t>
            </w:r>
            <w:r w:rsidR="005C7318" w:rsidRPr="00F6340E">
              <w:rPr>
                <w:rFonts w:ascii="Arial" w:hAnsi="Arial" w:cs="Arial"/>
                <w:sz w:val="24"/>
                <w:szCs w:val="24"/>
                <w:lang w:val="sr-Cyrl-BA"/>
              </w:rPr>
              <w:t>;</w:t>
            </w:r>
          </w:p>
          <w:p w14:paraId="72B42B35" w14:textId="31DC94B3" w:rsidR="005C7318" w:rsidRPr="00F6340E" w:rsidRDefault="00A56E08" w:rsidP="00FB5CB7">
            <w:pPr>
              <w:pStyle w:val="CommentText"/>
              <w:numPr>
                <w:ilvl w:val="0"/>
                <w:numId w:val="45"/>
              </w:numPr>
              <w:contextualSpacing/>
              <w:jc w:val="left"/>
              <w:rPr>
                <w:rFonts w:ascii="Arial" w:hAnsi="Arial" w:cs="Arial"/>
                <w:sz w:val="24"/>
                <w:szCs w:val="24"/>
                <w:lang w:val="sr-Cyrl-BA"/>
              </w:rPr>
            </w:pPr>
            <w:r>
              <w:rPr>
                <w:rFonts w:ascii="Arial" w:hAnsi="Arial" w:cs="Arial"/>
                <w:sz w:val="24"/>
                <w:szCs w:val="24"/>
                <w:lang w:val="sr-Cyrl-BA"/>
              </w:rPr>
              <w:t>ада</w:t>
            </w:r>
            <w:r w:rsidR="0071360A">
              <w:rPr>
                <w:rFonts w:ascii="Arial" w:hAnsi="Arial" w:cs="Arial"/>
                <w:sz w:val="24"/>
                <w:szCs w:val="24"/>
                <w:lang w:val="sr-Cyrl-BA"/>
              </w:rPr>
              <w:t>пт</w:t>
            </w:r>
            <w:r>
              <w:rPr>
                <w:rFonts w:ascii="Arial" w:hAnsi="Arial" w:cs="Arial"/>
                <w:sz w:val="24"/>
                <w:szCs w:val="24"/>
                <w:lang w:val="sr-Cyrl-BA"/>
              </w:rPr>
              <w:t>и</w:t>
            </w:r>
            <w:r w:rsidR="0071360A">
              <w:rPr>
                <w:rFonts w:ascii="Arial" w:hAnsi="Arial" w:cs="Arial"/>
                <w:sz w:val="24"/>
                <w:szCs w:val="24"/>
                <w:lang w:val="sr-Cyrl-BA"/>
              </w:rPr>
              <w:t>р</w:t>
            </w:r>
            <w:r>
              <w:rPr>
                <w:rFonts w:ascii="Arial" w:hAnsi="Arial" w:cs="Arial"/>
                <w:sz w:val="24"/>
                <w:szCs w:val="24"/>
                <w:lang w:val="sr-Cyrl-BA"/>
              </w:rPr>
              <w:t>а</w:t>
            </w:r>
            <w:r w:rsidR="0071360A">
              <w:rPr>
                <w:rFonts w:ascii="Arial" w:hAnsi="Arial" w:cs="Arial"/>
                <w:sz w:val="24"/>
                <w:szCs w:val="24"/>
                <w:lang w:val="sr-Cyrl-BA"/>
              </w:rPr>
              <w:t>т</w:t>
            </w:r>
            <w:r>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начин</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који</w:t>
            </w:r>
            <w:r w:rsidR="005C7318" w:rsidRPr="00F6340E">
              <w:rPr>
                <w:rFonts w:ascii="Arial" w:hAnsi="Arial" w:cs="Arial"/>
                <w:sz w:val="24"/>
                <w:szCs w:val="24"/>
                <w:lang w:val="sr-Cyrl-BA"/>
              </w:rPr>
              <w:t xml:space="preserve"> </w:t>
            </w:r>
            <w:r w:rsidR="0071360A">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одно</w:t>
            </w:r>
            <w:r w:rsidR="0071360A">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на</w:t>
            </w:r>
            <w:r w:rsidR="005C7318" w:rsidRPr="00F6340E">
              <w:rPr>
                <w:rFonts w:ascii="Arial" w:hAnsi="Arial" w:cs="Arial"/>
                <w:sz w:val="24"/>
                <w:szCs w:val="24"/>
                <w:lang w:val="sr-Cyrl-BA"/>
              </w:rPr>
              <w:t xml:space="preserve"> </w:t>
            </w:r>
            <w:r w:rsidR="0071360A">
              <w:rPr>
                <w:rFonts w:ascii="Arial" w:hAnsi="Arial" w:cs="Arial"/>
                <w:sz w:val="24"/>
                <w:szCs w:val="24"/>
                <w:lang w:val="sr-Cyrl-BA"/>
              </w:rPr>
              <w:t>су</w:t>
            </w:r>
            <w:r>
              <w:rPr>
                <w:rFonts w:ascii="Arial" w:hAnsi="Arial" w:cs="Arial"/>
                <w:sz w:val="24"/>
                <w:szCs w:val="24"/>
                <w:lang w:val="sr-Cyrl-BA"/>
              </w:rPr>
              <w:t>ма</w:t>
            </w:r>
            <w:r w:rsidR="0071360A">
              <w:rPr>
                <w:rFonts w:ascii="Arial" w:hAnsi="Arial" w:cs="Arial"/>
                <w:sz w:val="24"/>
                <w:szCs w:val="24"/>
                <w:lang w:val="sr-Cyrl-BA"/>
              </w:rPr>
              <w:t>р</w:t>
            </w:r>
            <w:r>
              <w:rPr>
                <w:rFonts w:ascii="Arial" w:hAnsi="Arial" w:cs="Arial"/>
                <w:sz w:val="24"/>
                <w:szCs w:val="24"/>
                <w:lang w:val="sr-Cyrl-BA"/>
              </w:rPr>
              <w:t>на</w:t>
            </w:r>
            <w:r w:rsidR="005C7318" w:rsidRPr="00F6340E">
              <w:rPr>
                <w:rFonts w:ascii="Arial" w:hAnsi="Arial" w:cs="Arial"/>
                <w:sz w:val="24"/>
                <w:szCs w:val="24"/>
                <w:lang w:val="sr-Cyrl-BA"/>
              </w:rPr>
              <w:t xml:space="preserve"> </w:t>
            </w:r>
            <w:r w:rsidR="0071360A">
              <w:rPr>
                <w:rFonts w:ascii="Arial" w:hAnsi="Arial" w:cs="Arial"/>
                <w:sz w:val="24"/>
                <w:szCs w:val="24"/>
                <w:lang w:val="sr-Cyrl-BA"/>
              </w:rPr>
              <w:t>вр</w:t>
            </w:r>
            <w:r w:rsidR="00EE6AA2">
              <w:rPr>
                <w:rFonts w:ascii="Arial" w:hAnsi="Arial" w:cs="Arial"/>
                <w:sz w:val="24"/>
                <w:szCs w:val="24"/>
                <w:lang w:val="sr-Cyrl-BA"/>
              </w:rPr>
              <w:t>е</w:t>
            </w:r>
            <w:r>
              <w:rPr>
                <w:rFonts w:ascii="Arial" w:hAnsi="Arial" w:cs="Arial"/>
                <w:sz w:val="24"/>
                <w:szCs w:val="24"/>
                <w:lang w:val="sr-Cyrl-BA"/>
              </w:rPr>
              <w:t>дно</w:t>
            </w:r>
            <w:r w:rsidR="0071360A">
              <w:rPr>
                <w:rFonts w:ascii="Arial" w:hAnsi="Arial" w:cs="Arial"/>
                <w:sz w:val="24"/>
                <w:szCs w:val="24"/>
                <w:lang w:val="sr-Cyrl-BA"/>
              </w:rPr>
              <w:t>в</w:t>
            </w:r>
            <w:r>
              <w:rPr>
                <w:rFonts w:ascii="Arial" w:hAnsi="Arial" w:cs="Arial"/>
                <w:sz w:val="24"/>
                <w:szCs w:val="24"/>
                <w:lang w:val="sr-Cyrl-BA"/>
              </w:rPr>
              <w:t>ања</w:t>
            </w:r>
            <w:r w:rsidR="005C7318" w:rsidRPr="00F6340E">
              <w:rPr>
                <w:rFonts w:ascii="Arial" w:hAnsi="Arial" w:cs="Arial"/>
                <w:sz w:val="24"/>
                <w:szCs w:val="24"/>
                <w:lang w:val="sr-Cyrl-BA"/>
              </w:rPr>
              <w:t xml:space="preserve"> (</w:t>
            </w:r>
            <w:r w:rsidR="0071360A">
              <w:rPr>
                <w:rFonts w:ascii="Arial" w:hAnsi="Arial" w:cs="Arial"/>
                <w:sz w:val="24"/>
                <w:szCs w:val="24"/>
                <w:lang w:val="sr-Cyrl-BA"/>
              </w:rPr>
              <w:t>п</w:t>
            </w:r>
            <w:r>
              <w:rPr>
                <w:rFonts w:ascii="Arial" w:hAnsi="Arial" w:cs="Arial"/>
                <w:sz w:val="24"/>
                <w:szCs w:val="24"/>
                <w:lang w:val="sr-Cyrl-BA"/>
              </w:rPr>
              <w:t>обољ</w:t>
            </w:r>
            <w:r w:rsidR="0071360A">
              <w:rPr>
                <w:rFonts w:ascii="Arial" w:hAnsi="Arial" w:cs="Arial"/>
                <w:sz w:val="24"/>
                <w:szCs w:val="24"/>
                <w:lang w:val="sr-Cyrl-BA"/>
              </w:rPr>
              <w:t>ш</w:t>
            </w:r>
            <w:r>
              <w:rPr>
                <w:rFonts w:ascii="Arial" w:hAnsi="Arial" w:cs="Arial"/>
                <w:sz w:val="24"/>
                <w:szCs w:val="24"/>
                <w:lang w:val="sr-Cyrl-BA"/>
              </w:rPr>
              <w:t>а</w:t>
            </w:r>
            <w:r w:rsidR="0071360A">
              <w:rPr>
                <w:rFonts w:ascii="Arial" w:hAnsi="Arial" w:cs="Arial"/>
                <w:sz w:val="24"/>
                <w:szCs w:val="24"/>
                <w:lang w:val="sr-Cyrl-BA"/>
              </w:rPr>
              <w:t>т</w:t>
            </w:r>
            <w:r>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к</w:t>
            </w:r>
            <w:r w:rsidR="0071360A">
              <w:rPr>
                <w:rFonts w:ascii="Arial" w:hAnsi="Arial" w:cs="Arial"/>
                <w:sz w:val="24"/>
                <w:szCs w:val="24"/>
                <w:lang w:val="sr-Cyrl-BA"/>
              </w:rPr>
              <w:t>в</w:t>
            </w:r>
            <w:r>
              <w:rPr>
                <w:rFonts w:ascii="Arial" w:hAnsi="Arial" w:cs="Arial"/>
                <w:sz w:val="24"/>
                <w:szCs w:val="24"/>
                <w:lang w:val="sr-Cyrl-BA"/>
              </w:rPr>
              <w:t>али</w:t>
            </w:r>
            <w:r w:rsidR="0071360A">
              <w:rPr>
                <w:rFonts w:ascii="Arial" w:hAnsi="Arial" w:cs="Arial"/>
                <w:sz w:val="24"/>
                <w:szCs w:val="24"/>
                <w:lang w:val="sr-Cyrl-BA"/>
              </w:rPr>
              <w:t>т</w:t>
            </w:r>
            <w:r>
              <w:rPr>
                <w:rFonts w:ascii="Arial" w:hAnsi="Arial" w:cs="Arial"/>
                <w:sz w:val="24"/>
                <w:szCs w:val="24"/>
                <w:lang w:val="sr-Cyrl-BA"/>
              </w:rPr>
              <w:t>а</w:t>
            </w:r>
            <w:r w:rsidR="0071360A">
              <w:rPr>
                <w:rFonts w:ascii="Arial" w:hAnsi="Arial" w:cs="Arial"/>
                <w:sz w:val="24"/>
                <w:szCs w:val="24"/>
                <w:lang w:val="sr-Cyrl-BA"/>
              </w:rPr>
              <w:t>т</w:t>
            </w:r>
            <w:r>
              <w:rPr>
                <w:rFonts w:ascii="Arial" w:hAnsi="Arial" w:cs="Arial"/>
                <w:sz w:val="24"/>
                <w:szCs w:val="24"/>
                <w:lang w:val="sr-Cyrl-BA"/>
              </w:rPr>
              <w:t>и</w:t>
            </w:r>
            <w:r w:rsidR="0071360A">
              <w:rPr>
                <w:rFonts w:ascii="Arial" w:hAnsi="Arial" w:cs="Arial"/>
                <w:sz w:val="24"/>
                <w:szCs w:val="24"/>
                <w:lang w:val="sr-Cyrl-BA"/>
              </w:rPr>
              <w:t>в</w:t>
            </w:r>
            <w:r>
              <w:rPr>
                <w:rFonts w:ascii="Arial" w:hAnsi="Arial" w:cs="Arial"/>
                <w:sz w:val="24"/>
                <w:szCs w:val="24"/>
                <w:lang w:val="sr-Cyrl-BA"/>
              </w:rPr>
              <w:t>н</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д</w:t>
            </w:r>
            <w:r w:rsidR="00EE6AA2">
              <w:rPr>
                <w:rFonts w:ascii="Arial" w:hAnsi="Arial" w:cs="Arial"/>
                <w:sz w:val="24"/>
                <w:szCs w:val="24"/>
                <w:lang w:val="sr-Cyrl-BA"/>
              </w:rPr>
              <w:t>е</w:t>
            </w:r>
            <w:r w:rsidR="0071360A">
              <w:rPr>
                <w:rFonts w:ascii="Arial" w:hAnsi="Arial" w:cs="Arial"/>
                <w:sz w:val="24"/>
                <w:szCs w:val="24"/>
                <w:lang w:val="sr-Cyrl-BA"/>
              </w:rPr>
              <w:t>с</w:t>
            </w:r>
            <w:r>
              <w:rPr>
                <w:rFonts w:ascii="Arial" w:hAnsi="Arial" w:cs="Arial"/>
                <w:sz w:val="24"/>
                <w:szCs w:val="24"/>
                <w:lang w:val="sr-Cyrl-BA"/>
              </w:rPr>
              <w:t>к</w:t>
            </w:r>
            <w:r w:rsidR="0071360A">
              <w:rPr>
                <w:rFonts w:ascii="Arial" w:hAnsi="Arial" w:cs="Arial"/>
                <w:sz w:val="24"/>
                <w:szCs w:val="24"/>
                <w:lang w:val="sr-Cyrl-BA"/>
              </w:rPr>
              <w:t>р</w:t>
            </w:r>
            <w:r>
              <w:rPr>
                <w:rFonts w:ascii="Arial" w:hAnsi="Arial" w:cs="Arial"/>
                <w:sz w:val="24"/>
                <w:szCs w:val="24"/>
                <w:lang w:val="sr-Cyrl-BA"/>
              </w:rPr>
              <w:t>и</w:t>
            </w:r>
            <w:r w:rsidR="0071360A">
              <w:rPr>
                <w:rFonts w:ascii="Arial" w:hAnsi="Arial" w:cs="Arial"/>
                <w:sz w:val="24"/>
                <w:szCs w:val="24"/>
                <w:lang w:val="sr-Cyrl-BA"/>
              </w:rPr>
              <w:t>пт</w:t>
            </w:r>
            <w:r>
              <w:rPr>
                <w:rFonts w:ascii="Arial" w:hAnsi="Arial" w:cs="Arial"/>
                <w:sz w:val="24"/>
                <w:szCs w:val="24"/>
                <w:lang w:val="sr-Cyrl-BA"/>
              </w:rPr>
              <w:t>о</w:t>
            </w:r>
            <w:r w:rsidR="0071360A">
              <w:rPr>
                <w:rFonts w:ascii="Arial" w:hAnsi="Arial" w:cs="Arial"/>
                <w:sz w:val="24"/>
                <w:szCs w:val="24"/>
                <w:lang w:val="sr-Cyrl-BA"/>
              </w:rPr>
              <w:t>р</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71360A">
              <w:rPr>
                <w:rFonts w:ascii="Arial" w:hAnsi="Arial" w:cs="Arial"/>
                <w:sz w:val="24"/>
                <w:szCs w:val="24"/>
                <w:lang w:val="sr-Cyrl-BA"/>
              </w:rPr>
              <w:t>у</w:t>
            </w:r>
            <w:r w:rsidR="005C7318" w:rsidRPr="00F6340E">
              <w:rPr>
                <w:rFonts w:ascii="Arial" w:hAnsi="Arial" w:cs="Arial"/>
                <w:sz w:val="24"/>
                <w:szCs w:val="24"/>
                <w:lang w:val="sr-Cyrl-BA"/>
              </w:rPr>
              <w:t xml:space="preserve"> </w:t>
            </w:r>
            <w:r w:rsidR="0071360A">
              <w:rPr>
                <w:rFonts w:ascii="Arial" w:hAnsi="Arial" w:cs="Arial"/>
                <w:sz w:val="24"/>
                <w:szCs w:val="24"/>
                <w:lang w:val="sr-Cyrl-BA"/>
              </w:rPr>
              <w:t>с</w:t>
            </w:r>
            <w:r>
              <w:rPr>
                <w:rFonts w:ascii="Arial" w:hAnsi="Arial" w:cs="Arial"/>
                <w:sz w:val="24"/>
                <w:szCs w:val="24"/>
                <w:lang w:val="sr-Cyrl-BA"/>
              </w:rPr>
              <w:t>и</w:t>
            </w:r>
            <w:r w:rsidR="0071360A">
              <w:rPr>
                <w:rFonts w:ascii="Arial" w:hAnsi="Arial" w:cs="Arial"/>
                <w:sz w:val="24"/>
                <w:szCs w:val="24"/>
                <w:lang w:val="sr-Cyrl-BA"/>
              </w:rPr>
              <w:t>ст</w:t>
            </w:r>
            <w:r w:rsidR="00EE6AA2">
              <w:rPr>
                <w:rFonts w:ascii="Arial" w:hAnsi="Arial" w:cs="Arial"/>
                <w:sz w:val="24"/>
                <w:szCs w:val="24"/>
                <w:lang w:val="sr-Cyrl-BA"/>
              </w:rPr>
              <w:t>е</w:t>
            </w:r>
            <w:r>
              <w:rPr>
                <w:rFonts w:ascii="Arial" w:hAnsi="Arial" w:cs="Arial"/>
                <w:sz w:val="24"/>
                <w:szCs w:val="24"/>
                <w:lang w:val="sr-Cyrl-BA"/>
              </w:rPr>
              <w:t>мима</w:t>
            </w:r>
            <w:r w:rsidR="005C7318" w:rsidRPr="00F6340E">
              <w:rPr>
                <w:rFonts w:ascii="Arial" w:hAnsi="Arial" w:cs="Arial"/>
                <w:sz w:val="24"/>
                <w:szCs w:val="24"/>
                <w:lang w:val="sr-Cyrl-BA"/>
              </w:rPr>
              <w:t xml:space="preserve"> </w:t>
            </w:r>
            <w:r w:rsidR="0071360A">
              <w:rPr>
                <w:rFonts w:ascii="Arial" w:hAnsi="Arial" w:cs="Arial"/>
                <w:sz w:val="24"/>
                <w:szCs w:val="24"/>
                <w:lang w:val="sr-Cyrl-BA"/>
              </w:rPr>
              <w:t>вр</w:t>
            </w:r>
            <w:r w:rsidR="00EE6AA2">
              <w:rPr>
                <w:rFonts w:ascii="Arial" w:hAnsi="Arial" w:cs="Arial"/>
                <w:sz w:val="24"/>
                <w:szCs w:val="24"/>
                <w:lang w:val="sr-Cyrl-BA"/>
              </w:rPr>
              <w:t>е</w:t>
            </w:r>
            <w:r>
              <w:rPr>
                <w:rFonts w:ascii="Arial" w:hAnsi="Arial" w:cs="Arial"/>
                <w:sz w:val="24"/>
                <w:szCs w:val="24"/>
                <w:lang w:val="sr-Cyrl-BA"/>
              </w:rPr>
              <w:t>дно</w:t>
            </w:r>
            <w:r w:rsidR="0071360A">
              <w:rPr>
                <w:rFonts w:ascii="Arial" w:hAnsi="Arial" w:cs="Arial"/>
                <w:sz w:val="24"/>
                <w:szCs w:val="24"/>
                <w:lang w:val="sr-Cyrl-BA"/>
              </w:rPr>
              <w:t>в</w:t>
            </w:r>
            <w:r>
              <w:rPr>
                <w:rFonts w:ascii="Arial" w:hAnsi="Arial" w:cs="Arial"/>
                <w:sz w:val="24"/>
                <w:szCs w:val="24"/>
                <w:lang w:val="sr-Cyrl-BA"/>
              </w:rPr>
              <w:t>ања</w:t>
            </w:r>
            <w:r w:rsidR="005C7318" w:rsidRPr="00F6340E">
              <w:rPr>
                <w:rFonts w:ascii="Arial" w:hAnsi="Arial" w:cs="Arial"/>
                <w:sz w:val="24"/>
                <w:szCs w:val="24"/>
                <w:lang w:val="sr-Cyrl-BA"/>
              </w:rPr>
              <w:t xml:space="preserve">) </w:t>
            </w:r>
          </w:p>
          <w:p w14:paraId="0E327B7B" w14:textId="27933464" w:rsidR="005C7318" w:rsidRPr="00F6340E" w:rsidRDefault="0071360A" w:rsidP="00FB5CB7">
            <w:pPr>
              <w:pStyle w:val="CommentText"/>
              <w:numPr>
                <w:ilvl w:val="0"/>
                <w:numId w:val="45"/>
              </w:numPr>
              <w:contextualSpacing/>
              <w:jc w:val="left"/>
              <w:rPr>
                <w:rFonts w:ascii="Arial" w:hAnsi="Arial" w:cs="Arial"/>
                <w:sz w:val="24"/>
                <w:szCs w:val="24"/>
                <w:lang w:val="sr-Cyrl-BA"/>
              </w:rPr>
            </w:pPr>
            <w:r>
              <w:rPr>
                <w:rFonts w:ascii="Arial" w:hAnsi="Arial" w:cs="Arial"/>
                <w:sz w:val="24"/>
                <w:szCs w:val="24"/>
                <w:lang w:val="sr-Cyrl-BA"/>
              </w:rPr>
              <w:t>пр</w:t>
            </w:r>
            <w:r w:rsidR="00A56E08">
              <w:rPr>
                <w:rFonts w:ascii="Arial" w:hAnsi="Arial" w:cs="Arial"/>
                <w:sz w:val="24"/>
                <w:szCs w:val="24"/>
                <w:lang w:val="sr-Cyrl-BA"/>
              </w:rPr>
              <w:t>ик</w:t>
            </w:r>
            <w:r>
              <w:rPr>
                <w:rFonts w:ascii="Arial" w:hAnsi="Arial" w:cs="Arial"/>
                <w:sz w:val="24"/>
                <w:szCs w:val="24"/>
                <w:lang w:val="sr-Cyrl-BA"/>
              </w:rPr>
              <w:t>уп</w:t>
            </w:r>
            <w:r w:rsidR="00A56E08">
              <w:rPr>
                <w:rFonts w:ascii="Arial" w:hAnsi="Arial" w:cs="Arial"/>
                <w:sz w:val="24"/>
                <w:szCs w:val="24"/>
                <w:lang w:val="sr-Cyrl-BA"/>
              </w:rPr>
              <w:t>ља</w:t>
            </w:r>
            <w:r>
              <w:rPr>
                <w:rFonts w:ascii="Arial" w:hAnsi="Arial" w:cs="Arial"/>
                <w:sz w:val="24"/>
                <w:szCs w:val="24"/>
                <w:lang w:val="sr-Cyrl-BA"/>
              </w:rPr>
              <w:t>т</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имј</w:t>
            </w:r>
            <w:r w:rsidR="00EE6AA2">
              <w:rPr>
                <w:rFonts w:ascii="Arial" w:hAnsi="Arial" w:cs="Arial"/>
                <w:sz w:val="24"/>
                <w:szCs w:val="24"/>
                <w:lang w:val="sr-Cyrl-BA"/>
              </w:rPr>
              <w:t>е</w:t>
            </w:r>
            <w:r>
              <w:rPr>
                <w:rFonts w:ascii="Arial" w:hAnsi="Arial" w:cs="Arial"/>
                <w:sz w:val="24"/>
                <w:szCs w:val="24"/>
                <w:lang w:val="sr-Cyrl-BA"/>
              </w:rPr>
              <w:t>р</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доб</w:t>
            </w:r>
            <w:r>
              <w:rPr>
                <w:rFonts w:ascii="Arial" w:hAnsi="Arial" w:cs="Arial"/>
                <w:sz w:val="24"/>
                <w:szCs w:val="24"/>
                <w:lang w:val="sr-Cyrl-BA"/>
              </w:rPr>
              <w:t>р</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ак</w:t>
            </w:r>
            <w:r>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усп</w:t>
            </w:r>
            <w:r w:rsidR="00A56E08">
              <w:rPr>
                <w:rFonts w:ascii="Arial" w:hAnsi="Arial" w:cs="Arial"/>
                <w:sz w:val="24"/>
                <w:szCs w:val="24"/>
                <w:lang w:val="sr-Cyrl-BA"/>
              </w:rPr>
              <w:t>о</w:t>
            </w:r>
            <w:r>
              <w:rPr>
                <w:rFonts w:ascii="Arial" w:hAnsi="Arial" w:cs="Arial"/>
                <w:sz w:val="24"/>
                <w:szCs w:val="24"/>
                <w:lang w:val="sr-Cyrl-BA"/>
              </w:rPr>
              <w:t>ст</w:t>
            </w:r>
            <w:r w:rsidR="00A56E08">
              <w:rPr>
                <w:rFonts w:ascii="Arial" w:hAnsi="Arial" w:cs="Arial"/>
                <w:sz w:val="24"/>
                <w:szCs w:val="24"/>
                <w:lang w:val="sr-Cyrl-BA"/>
              </w:rPr>
              <w:t>а</w:t>
            </w:r>
            <w:r>
              <w:rPr>
                <w:rFonts w:ascii="Arial" w:hAnsi="Arial" w:cs="Arial"/>
                <w:sz w:val="24"/>
                <w:szCs w:val="24"/>
                <w:lang w:val="sr-Cyrl-BA"/>
              </w:rPr>
              <w:t>в</w:t>
            </w:r>
            <w:r w:rsidR="00A56E08">
              <w:rPr>
                <w:rFonts w:ascii="Arial" w:hAnsi="Arial" w:cs="Arial"/>
                <w:sz w:val="24"/>
                <w:szCs w:val="24"/>
                <w:lang w:val="sr-Cyrl-BA"/>
              </w:rPr>
              <w:t>а</w:t>
            </w:r>
            <w:r w:rsidR="005C7318"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ај</w:t>
            </w:r>
            <w:r w:rsidR="00EE6AA2">
              <w:rPr>
                <w:rFonts w:ascii="Arial" w:hAnsi="Arial" w:cs="Arial"/>
                <w:sz w:val="24"/>
                <w:szCs w:val="24"/>
                <w:lang w:val="sr-Cyrl-BA"/>
              </w:rPr>
              <w:t>е</w:t>
            </w:r>
            <w:r w:rsidR="00A56E08">
              <w:rPr>
                <w:rFonts w:ascii="Arial" w:hAnsi="Arial" w:cs="Arial"/>
                <w:sz w:val="24"/>
                <w:szCs w:val="24"/>
                <w:lang w:val="sr-Cyrl-BA"/>
              </w:rPr>
              <w:t>дниц</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ак</w:t>
            </w:r>
            <w:r>
              <w:rPr>
                <w:rFonts w:ascii="Arial" w:hAnsi="Arial" w:cs="Arial"/>
                <w:sz w:val="24"/>
                <w:szCs w:val="24"/>
                <w:lang w:val="sr-Cyrl-BA"/>
              </w:rPr>
              <w:t>с</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sidR="00A56E08">
              <w:rPr>
                <w:rFonts w:ascii="Arial" w:hAnsi="Arial" w:cs="Arial"/>
                <w:sz w:val="24"/>
                <w:szCs w:val="24"/>
                <w:lang w:val="sr-Cyrl-BA"/>
              </w:rPr>
              <w:t>мо</w:t>
            </w:r>
            <w:r w:rsidR="00171F00">
              <w:rPr>
                <w:rFonts w:ascii="Arial" w:hAnsi="Arial" w:cs="Arial"/>
                <w:sz w:val="24"/>
                <w:szCs w:val="24"/>
                <w:lang w:val="sr-Cyrl-BA"/>
              </w:rPr>
              <w:t>ж</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би</w:t>
            </w:r>
            <w:r>
              <w:rPr>
                <w:rFonts w:ascii="Arial" w:hAnsi="Arial" w:cs="Arial"/>
                <w:sz w:val="24"/>
                <w:szCs w:val="24"/>
                <w:lang w:val="sr-Cyrl-BA"/>
              </w:rPr>
              <w:t>т</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ла</w:t>
            </w:r>
            <w:r>
              <w:rPr>
                <w:rFonts w:ascii="Arial" w:hAnsi="Arial" w:cs="Arial"/>
                <w:sz w:val="24"/>
                <w:szCs w:val="24"/>
                <w:lang w:val="sr-Cyrl-BA"/>
              </w:rPr>
              <w:t>т</w:t>
            </w:r>
            <w:r w:rsidR="00A56E08">
              <w:rPr>
                <w:rFonts w:ascii="Arial" w:hAnsi="Arial" w:cs="Arial"/>
                <w:sz w:val="24"/>
                <w:szCs w:val="24"/>
                <w:lang w:val="sr-Cyrl-BA"/>
              </w:rPr>
              <w:t>фо</w:t>
            </w:r>
            <w:r>
              <w:rPr>
                <w:rFonts w:ascii="Arial" w:hAnsi="Arial" w:cs="Arial"/>
                <w:sz w:val="24"/>
                <w:szCs w:val="24"/>
                <w:lang w:val="sr-Cyrl-BA"/>
              </w:rPr>
              <w:t>р</w:t>
            </w:r>
            <w:r w:rsidR="00A56E08">
              <w:rPr>
                <w:rFonts w:ascii="Arial" w:hAnsi="Arial" w:cs="Arial"/>
                <w:sz w:val="24"/>
                <w:szCs w:val="24"/>
                <w:lang w:val="sr-Cyrl-BA"/>
              </w:rPr>
              <w:t>ма</w:t>
            </w:r>
            <w:r w:rsidR="005C7318" w:rsidRPr="00F6340E">
              <w:rPr>
                <w:rFonts w:ascii="Arial" w:hAnsi="Arial" w:cs="Arial"/>
                <w:sz w:val="24"/>
                <w:szCs w:val="24"/>
                <w:lang w:val="sr-Cyrl-BA"/>
              </w:rPr>
              <w:t xml:space="preserve"> </w:t>
            </w:r>
            <w:r>
              <w:rPr>
                <w:rFonts w:ascii="Arial" w:hAnsi="Arial" w:cs="Arial"/>
                <w:sz w:val="24"/>
                <w:szCs w:val="24"/>
                <w:lang w:val="sr-Cyrl-BA"/>
              </w:rPr>
              <w:t>вр</w:t>
            </w:r>
            <w:r w:rsidR="00A56E08">
              <w:rPr>
                <w:rFonts w:ascii="Arial" w:hAnsi="Arial" w:cs="Arial"/>
                <w:sz w:val="24"/>
                <w:szCs w:val="24"/>
                <w:lang w:val="sr-Cyrl-BA"/>
              </w:rPr>
              <w:t>иј</w:t>
            </w:r>
            <w:r w:rsidR="00EE6AA2">
              <w:rPr>
                <w:rFonts w:ascii="Arial" w:hAnsi="Arial" w:cs="Arial"/>
                <w:sz w:val="24"/>
                <w:szCs w:val="24"/>
                <w:lang w:val="sr-Cyrl-BA"/>
              </w:rPr>
              <w:t>е</w:t>
            </w:r>
            <w:r w:rsidR="00A56E08">
              <w:rPr>
                <w:rFonts w:ascii="Arial" w:hAnsi="Arial" w:cs="Arial"/>
                <w:sz w:val="24"/>
                <w:szCs w:val="24"/>
                <w:lang w:val="sr-Cyrl-BA"/>
              </w:rPr>
              <w:t>дна</w:t>
            </w:r>
            <w:r w:rsidR="00FA763F"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а</w:t>
            </w:r>
            <w:r w:rsidR="00171F00">
              <w:rPr>
                <w:rFonts w:ascii="Arial" w:hAnsi="Arial" w:cs="Arial"/>
                <w:sz w:val="24"/>
                <w:szCs w:val="24"/>
                <w:lang w:val="sr-Cyrl-BA"/>
              </w:rPr>
              <w:t>ж</w:t>
            </w:r>
            <w:r w:rsidR="00A56E08">
              <w:rPr>
                <w:rFonts w:ascii="Arial" w:hAnsi="Arial" w:cs="Arial"/>
                <w:sz w:val="24"/>
                <w:szCs w:val="24"/>
                <w:lang w:val="sr-Cyrl-BA"/>
              </w:rPr>
              <w:t>њ</w:t>
            </w:r>
            <w:r w:rsidR="00EE6AA2">
              <w:rPr>
                <w:rFonts w:ascii="Arial" w:hAnsi="Arial" w:cs="Arial"/>
                <w:sz w:val="24"/>
                <w:szCs w:val="24"/>
                <w:lang w:val="sr-Cyrl-BA"/>
              </w:rPr>
              <w:t>е</w:t>
            </w:r>
            <w:r w:rsidR="00FA763F"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ик</w:t>
            </w:r>
            <w:r>
              <w:rPr>
                <w:rFonts w:ascii="Arial" w:hAnsi="Arial" w:cs="Arial"/>
                <w:sz w:val="24"/>
                <w:szCs w:val="24"/>
                <w:lang w:val="sr-Cyrl-BA"/>
              </w:rPr>
              <w:t>уп</w:t>
            </w:r>
            <w:r w:rsidR="00A56E08">
              <w:rPr>
                <w:rFonts w:ascii="Arial" w:hAnsi="Arial" w:cs="Arial"/>
                <w:sz w:val="24"/>
                <w:szCs w:val="24"/>
                <w:lang w:val="sr-Cyrl-BA"/>
              </w:rPr>
              <w:t>љањ</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имј</w:t>
            </w:r>
            <w:r w:rsidR="00EE6AA2">
              <w:rPr>
                <w:rFonts w:ascii="Arial" w:hAnsi="Arial" w:cs="Arial"/>
                <w:sz w:val="24"/>
                <w:szCs w:val="24"/>
                <w:lang w:val="sr-Cyrl-BA"/>
              </w:rPr>
              <w:t>е</w:t>
            </w:r>
            <w:r>
              <w:rPr>
                <w:rFonts w:ascii="Arial" w:hAnsi="Arial" w:cs="Arial"/>
                <w:sz w:val="24"/>
                <w:szCs w:val="24"/>
                <w:lang w:val="sr-Cyrl-BA"/>
              </w:rPr>
              <w:t>р</w:t>
            </w:r>
            <w:r w:rsidR="00A56E08">
              <w:rPr>
                <w:rFonts w:ascii="Arial" w:hAnsi="Arial" w:cs="Arial"/>
                <w:sz w:val="24"/>
                <w:szCs w:val="24"/>
                <w:lang w:val="sr-Cyrl-BA"/>
              </w:rPr>
              <w:t>а</w:t>
            </w:r>
            <w:r w:rsidR="005C7318" w:rsidRPr="00F6340E">
              <w:rPr>
                <w:rFonts w:ascii="Arial" w:hAnsi="Arial" w:cs="Arial"/>
                <w:sz w:val="24"/>
                <w:szCs w:val="24"/>
                <w:lang w:val="sr-Cyrl-BA"/>
              </w:rPr>
              <w:t xml:space="preserve"> </w:t>
            </w:r>
            <w:r>
              <w:rPr>
                <w:rFonts w:ascii="Arial" w:hAnsi="Arial" w:cs="Arial"/>
                <w:sz w:val="24"/>
                <w:szCs w:val="24"/>
                <w:lang w:val="sr-Cyrl-BA"/>
              </w:rPr>
              <w:t>шт</w:t>
            </w:r>
            <w:r w:rsidR="00A56E08">
              <w:rPr>
                <w:rFonts w:ascii="Arial" w:hAnsi="Arial" w:cs="Arial"/>
                <w:sz w:val="24"/>
                <w:szCs w:val="24"/>
                <w:lang w:val="sr-Cyrl-BA"/>
              </w:rPr>
              <w:t>о</w:t>
            </w:r>
            <w:r w:rsidR="005C7318" w:rsidRPr="00F6340E">
              <w:rPr>
                <w:rFonts w:ascii="Arial" w:hAnsi="Arial" w:cs="Arial"/>
                <w:sz w:val="24"/>
                <w:szCs w:val="24"/>
                <w:lang w:val="sr-Cyrl-BA"/>
              </w:rPr>
              <w:t xml:space="preserve"> </w:t>
            </w:r>
            <w:r>
              <w:rPr>
                <w:rFonts w:ascii="Arial" w:hAnsi="Arial" w:cs="Arial"/>
                <w:sz w:val="24"/>
                <w:szCs w:val="24"/>
                <w:lang w:val="sr-Cyrl-BA"/>
              </w:rPr>
              <w:t>с</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даљ</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мо</w:t>
            </w:r>
            <w:r w:rsidR="00171F00">
              <w:rPr>
                <w:rFonts w:ascii="Arial" w:hAnsi="Arial" w:cs="Arial"/>
                <w:sz w:val="24"/>
                <w:szCs w:val="24"/>
                <w:lang w:val="sr-Cyrl-BA"/>
              </w:rPr>
              <w:t>ж</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ди</w:t>
            </w:r>
            <w:r>
              <w:rPr>
                <w:rFonts w:ascii="Arial" w:hAnsi="Arial" w:cs="Arial"/>
                <w:sz w:val="24"/>
                <w:szCs w:val="24"/>
                <w:lang w:val="sr-Cyrl-BA"/>
              </w:rPr>
              <w:t>стр</w:t>
            </w:r>
            <w:r w:rsidR="00A56E08">
              <w:rPr>
                <w:rFonts w:ascii="Arial" w:hAnsi="Arial" w:cs="Arial"/>
                <w:sz w:val="24"/>
                <w:szCs w:val="24"/>
                <w:lang w:val="sr-Cyrl-BA"/>
              </w:rPr>
              <w:t>иб</w:t>
            </w:r>
            <w:r>
              <w:rPr>
                <w:rFonts w:ascii="Arial" w:hAnsi="Arial" w:cs="Arial"/>
                <w:sz w:val="24"/>
                <w:szCs w:val="24"/>
                <w:lang w:val="sr-Cyrl-BA"/>
              </w:rPr>
              <w:t>у</w:t>
            </w:r>
            <w:r w:rsidR="00A56E08">
              <w:rPr>
                <w:rFonts w:ascii="Arial" w:hAnsi="Arial" w:cs="Arial"/>
                <w:sz w:val="24"/>
                <w:szCs w:val="24"/>
                <w:lang w:val="sr-Cyrl-BA"/>
              </w:rPr>
              <w:t>и</w:t>
            </w:r>
            <w:r>
              <w:rPr>
                <w:rFonts w:ascii="Arial" w:hAnsi="Arial" w:cs="Arial"/>
                <w:sz w:val="24"/>
                <w:szCs w:val="24"/>
                <w:lang w:val="sr-Cyrl-BA"/>
              </w:rPr>
              <w:t>р</w:t>
            </w:r>
            <w:r w:rsidR="00A56E08">
              <w:rPr>
                <w:rFonts w:ascii="Arial" w:hAnsi="Arial" w:cs="Arial"/>
                <w:sz w:val="24"/>
                <w:szCs w:val="24"/>
                <w:lang w:val="sr-Cyrl-BA"/>
              </w:rPr>
              <w:t>а</w:t>
            </w:r>
            <w:r>
              <w:rPr>
                <w:rFonts w:ascii="Arial" w:hAnsi="Arial" w:cs="Arial"/>
                <w:sz w:val="24"/>
                <w:szCs w:val="24"/>
                <w:lang w:val="sr-Cyrl-BA"/>
              </w:rPr>
              <w:t>т</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sidR="00171F00">
              <w:rPr>
                <w:rFonts w:ascii="Arial" w:hAnsi="Arial" w:cs="Arial"/>
                <w:sz w:val="24"/>
                <w:szCs w:val="24"/>
                <w:lang w:val="sr-Cyrl-BA"/>
              </w:rPr>
              <w:t>з</w:t>
            </w:r>
            <w:r w:rsidR="00A56E08">
              <w:rPr>
                <w:rFonts w:ascii="Arial" w:hAnsi="Arial" w:cs="Arial"/>
                <w:sz w:val="24"/>
                <w:szCs w:val="24"/>
                <w:lang w:val="sr-Cyrl-BA"/>
              </w:rPr>
              <w:t>а</w:t>
            </w:r>
            <w:r w:rsidR="005C7318"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w:t>
            </w:r>
            <w:r>
              <w:rPr>
                <w:rFonts w:ascii="Arial" w:hAnsi="Arial" w:cs="Arial"/>
                <w:sz w:val="24"/>
                <w:szCs w:val="24"/>
                <w:lang w:val="sr-Cyrl-BA"/>
              </w:rPr>
              <w:t>тр</w:t>
            </w:r>
            <w:r w:rsidR="00EE6AA2">
              <w:rPr>
                <w:rFonts w:ascii="Arial" w:hAnsi="Arial" w:cs="Arial"/>
                <w:sz w:val="24"/>
                <w:szCs w:val="24"/>
                <w:lang w:val="sr-Cyrl-BA"/>
              </w:rPr>
              <w:t>е</w:t>
            </w:r>
            <w:r w:rsidR="00A56E08">
              <w:rPr>
                <w:rFonts w:ascii="Arial" w:hAnsi="Arial" w:cs="Arial"/>
                <w:sz w:val="24"/>
                <w:szCs w:val="24"/>
                <w:lang w:val="sr-Cyrl-BA"/>
              </w:rPr>
              <w:t>б</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пр</w:t>
            </w:r>
            <w:r w:rsidR="00A56E08">
              <w:rPr>
                <w:rFonts w:ascii="Arial" w:hAnsi="Arial" w:cs="Arial"/>
                <w:sz w:val="24"/>
                <w:szCs w:val="24"/>
                <w:lang w:val="sr-Cyrl-BA"/>
              </w:rPr>
              <w:t>аћ</w:t>
            </w:r>
            <w:r w:rsidR="00EE6AA2">
              <w:rPr>
                <w:rFonts w:ascii="Arial" w:hAnsi="Arial" w:cs="Arial"/>
                <w:sz w:val="24"/>
                <w:szCs w:val="24"/>
                <w:lang w:val="sr-Cyrl-BA"/>
              </w:rPr>
              <w:t>е</w:t>
            </w:r>
            <w:r w:rsidR="00A56E08">
              <w:rPr>
                <w:rFonts w:ascii="Arial" w:hAnsi="Arial" w:cs="Arial"/>
                <w:sz w:val="24"/>
                <w:szCs w:val="24"/>
                <w:lang w:val="sr-Cyrl-BA"/>
              </w:rPr>
              <w:t>ња</w:t>
            </w:r>
            <w:r w:rsidR="005C7318" w:rsidRPr="00F6340E">
              <w:rPr>
                <w:rFonts w:ascii="Arial" w:hAnsi="Arial" w:cs="Arial"/>
                <w:sz w:val="24"/>
                <w:szCs w:val="24"/>
                <w:lang w:val="sr-Cyrl-BA"/>
              </w:rPr>
              <w:t xml:space="preserve"> </w:t>
            </w:r>
            <w:r w:rsidR="00A56E08">
              <w:rPr>
                <w:rFonts w:ascii="Arial" w:hAnsi="Arial" w:cs="Arial"/>
                <w:sz w:val="24"/>
                <w:szCs w:val="24"/>
                <w:lang w:val="sr-Cyrl-BA"/>
              </w:rPr>
              <w:t>к</w:t>
            </w:r>
            <w:r>
              <w:rPr>
                <w:rFonts w:ascii="Arial" w:hAnsi="Arial" w:cs="Arial"/>
                <w:sz w:val="24"/>
                <w:szCs w:val="24"/>
                <w:lang w:val="sr-Cyrl-BA"/>
              </w:rPr>
              <w:t>в</w:t>
            </w:r>
            <w:r w:rsidR="00A56E08">
              <w:rPr>
                <w:rFonts w:ascii="Arial" w:hAnsi="Arial" w:cs="Arial"/>
                <w:sz w:val="24"/>
                <w:szCs w:val="24"/>
                <w:lang w:val="sr-Cyrl-BA"/>
              </w:rPr>
              <w:t>али</w:t>
            </w:r>
            <w:r>
              <w:rPr>
                <w:rFonts w:ascii="Arial" w:hAnsi="Arial" w:cs="Arial"/>
                <w:sz w:val="24"/>
                <w:szCs w:val="24"/>
                <w:lang w:val="sr-Cyrl-BA"/>
              </w:rPr>
              <w:t>т</w:t>
            </w:r>
            <w:r w:rsidR="00EE6AA2">
              <w:rPr>
                <w:rFonts w:ascii="Arial" w:hAnsi="Arial" w:cs="Arial"/>
                <w:sz w:val="24"/>
                <w:szCs w:val="24"/>
                <w:lang w:val="sr-Cyrl-BA"/>
              </w:rPr>
              <w:t>е</w:t>
            </w:r>
            <w:r>
              <w:rPr>
                <w:rFonts w:ascii="Arial" w:hAnsi="Arial" w:cs="Arial"/>
                <w:sz w:val="24"/>
                <w:szCs w:val="24"/>
                <w:lang w:val="sr-Cyrl-BA"/>
              </w:rPr>
              <w:t>т</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Pr>
                <w:rFonts w:ascii="Arial" w:hAnsi="Arial" w:cs="Arial"/>
                <w:sz w:val="24"/>
                <w:szCs w:val="24"/>
                <w:lang w:val="sr-Cyrl-BA"/>
              </w:rPr>
              <w:t>вр</w:t>
            </w:r>
            <w:r w:rsidR="00EE6AA2">
              <w:rPr>
                <w:rFonts w:ascii="Arial" w:hAnsi="Arial" w:cs="Arial"/>
                <w:sz w:val="24"/>
                <w:szCs w:val="24"/>
                <w:lang w:val="sr-Cyrl-BA"/>
              </w:rPr>
              <w:t>е</w:t>
            </w:r>
            <w:r w:rsidR="00A56E08">
              <w:rPr>
                <w:rFonts w:ascii="Arial" w:hAnsi="Arial" w:cs="Arial"/>
                <w:sz w:val="24"/>
                <w:szCs w:val="24"/>
                <w:lang w:val="sr-Cyrl-BA"/>
              </w:rPr>
              <w:t>дно</w:t>
            </w:r>
            <w:r>
              <w:rPr>
                <w:rFonts w:ascii="Arial" w:hAnsi="Arial" w:cs="Arial"/>
                <w:sz w:val="24"/>
                <w:szCs w:val="24"/>
                <w:lang w:val="sr-Cyrl-BA"/>
              </w:rPr>
              <w:t>в</w:t>
            </w:r>
            <w:r w:rsidR="00A56E08">
              <w:rPr>
                <w:rFonts w:ascii="Arial" w:hAnsi="Arial" w:cs="Arial"/>
                <w:sz w:val="24"/>
                <w:szCs w:val="24"/>
                <w:lang w:val="sr-Cyrl-BA"/>
              </w:rPr>
              <w:t>ања</w:t>
            </w:r>
            <w:r w:rsidR="005C7318" w:rsidRPr="00F6340E">
              <w:rPr>
                <w:rFonts w:ascii="Arial" w:hAnsi="Arial" w:cs="Arial"/>
                <w:sz w:val="24"/>
                <w:szCs w:val="24"/>
                <w:lang w:val="sr-Cyrl-BA"/>
              </w:rPr>
              <w:t xml:space="preserve"> </w:t>
            </w:r>
            <w:r w:rsidR="00A56E08">
              <w:rPr>
                <w:rFonts w:ascii="Arial" w:hAnsi="Arial" w:cs="Arial"/>
                <w:sz w:val="24"/>
                <w:szCs w:val="24"/>
                <w:lang w:val="sr-Cyrl-BA"/>
              </w:rPr>
              <w:t>од</w:t>
            </w:r>
            <w:r w:rsidR="005C7318" w:rsidRPr="00F6340E">
              <w:rPr>
                <w:rFonts w:ascii="Arial" w:hAnsi="Arial" w:cs="Arial"/>
                <w:sz w:val="24"/>
                <w:szCs w:val="24"/>
                <w:lang w:val="sr-Cyrl-BA"/>
              </w:rPr>
              <w:t xml:space="preserve"> </w:t>
            </w:r>
            <w:r>
              <w:rPr>
                <w:rFonts w:ascii="Arial" w:hAnsi="Arial" w:cs="Arial"/>
                <w:sz w:val="24"/>
                <w:szCs w:val="24"/>
                <w:lang w:val="sr-Cyrl-BA"/>
              </w:rPr>
              <w:t>стр</w:t>
            </w:r>
            <w:r w:rsidR="00A56E08">
              <w:rPr>
                <w:rFonts w:ascii="Arial" w:hAnsi="Arial" w:cs="Arial"/>
                <w:sz w:val="24"/>
                <w:szCs w:val="24"/>
                <w:lang w:val="sr-Cyrl-BA"/>
              </w:rPr>
              <w:t>ан</w:t>
            </w:r>
            <w:r w:rsidR="00EE6AA2">
              <w:rPr>
                <w:rFonts w:ascii="Arial" w:hAnsi="Arial" w:cs="Arial"/>
                <w:sz w:val="24"/>
                <w:szCs w:val="24"/>
                <w:lang w:val="sr-Cyrl-BA"/>
              </w:rPr>
              <w:t>е</w:t>
            </w:r>
            <w:r w:rsidR="005C7318" w:rsidRPr="00F6340E">
              <w:rPr>
                <w:rFonts w:ascii="Arial" w:hAnsi="Arial" w:cs="Arial"/>
                <w:sz w:val="24"/>
                <w:szCs w:val="24"/>
                <w:lang w:val="sr-Cyrl-BA"/>
              </w:rPr>
              <w:t xml:space="preserve"> </w:t>
            </w:r>
            <w:r w:rsidR="00A56E08">
              <w:rPr>
                <w:rFonts w:ascii="Arial" w:hAnsi="Arial" w:cs="Arial"/>
                <w:sz w:val="24"/>
                <w:szCs w:val="24"/>
                <w:lang w:val="sr-Cyrl-BA"/>
              </w:rPr>
              <w:t>надл</w:t>
            </w:r>
            <w:r w:rsidR="00EE6AA2">
              <w:rPr>
                <w:rFonts w:ascii="Arial" w:hAnsi="Arial" w:cs="Arial"/>
                <w:sz w:val="24"/>
                <w:szCs w:val="24"/>
                <w:lang w:val="sr-Cyrl-BA"/>
              </w:rPr>
              <w:t>е</w:t>
            </w:r>
            <w:r w:rsidR="00171F00">
              <w:rPr>
                <w:rFonts w:ascii="Arial" w:hAnsi="Arial" w:cs="Arial"/>
                <w:sz w:val="24"/>
                <w:szCs w:val="24"/>
                <w:lang w:val="sr-Cyrl-BA"/>
              </w:rPr>
              <w:t>ж</w:t>
            </w:r>
            <w:r w:rsidR="00A56E08">
              <w:rPr>
                <w:rFonts w:ascii="Arial" w:hAnsi="Arial" w:cs="Arial"/>
                <w:sz w:val="24"/>
                <w:szCs w:val="24"/>
                <w:lang w:val="sr-Cyrl-BA"/>
              </w:rPr>
              <w:t>них</w:t>
            </w:r>
            <w:r w:rsidR="005C7318" w:rsidRPr="00F6340E">
              <w:rPr>
                <w:rFonts w:ascii="Arial" w:hAnsi="Arial" w:cs="Arial"/>
                <w:sz w:val="24"/>
                <w:szCs w:val="24"/>
                <w:lang w:val="sr-Cyrl-BA"/>
              </w:rPr>
              <w:t xml:space="preserve"> </w:t>
            </w:r>
            <w:r>
              <w:rPr>
                <w:rFonts w:ascii="Arial" w:hAnsi="Arial" w:cs="Arial"/>
                <w:sz w:val="24"/>
                <w:szCs w:val="24"/>
                <w:lang w:val="sr-Cyrl-BA"/>
              </w:rPr>
              <w:t>в</w:t>
            </w:r>
            <w:r w:rsidR="00A56E08">
              <w:rPr>
                <w:rFonts w:ascii="Arial" w:hAnsi="Arial" w:cs="Arial"/>
                <w:sz w:val="24"/>
                <w:szCs w:val="24"/>
                <w:lang w:val="sr-Cyrl-BA"/>
              </w:rPr>
              <w:t>ла</w:t>
            </w:r>
            <w:r>
              <w:rPr>
                <w:rFonts w:ascii="Arial" w:hAnsi="Arial" w:cs="Arial"/>
                <w:sz w:val="24"/>
                <w:szCs w:val="24"/>
                <w:lang w:val="sr-Cyrl-BA"/>
              </w:rPr>
              <w:t>ст</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sidR="00A56E08">
              <w:rPr>
                <w:rFonts w:ascii="Arial" w:hAnsi="Arial" w:cs="Arial"/>
                <w:sz w:val="24"/>
                <w:szCs w:val="24"/>
                <w:lang w:val="sr-Cyrl-BA"/>
              </w:rPr>
              <w:t>али</w:t>
            </w:r>
            <w:r w:rsidR="005C7318" w:rsidRPr="00F6340E">
              <w:rPr>
                <w:rFonts w:ascii="Arial" w:hAnsi="Arial" w:cs="Arial"/>
                <w:sz w:val="24"/>
                <w:szCs w:val="24"/>
                <w:lang w:val="sr-Cyrl-BA"/>
              </w:rPr>
              <w:t xml:space="preserve"> </w:t>
            </w:r>
            <w:r w:rsidR="00A56E08">
              <w:rPr>
                <w:rFonts w:ascii="Arial" w:hAnsi="Arial" w:cs="Arial"/>
                <w:sz w:val="24"/>
                <w:szCs w:val="24"/>
                <w:lang w:val="sr-Cyrl-BA"/>
              </w:rPr>
              <w:t>и</w:t>
            </w:r>
            <w:r w:rsidR="005C7318" w:rsidRPr="00F6340E">
              <w:rPr>
                <w:rFonts w:ascii="Arial" w:hAnsi="Arial" w:cs="Arial"/>
                <w:sz w:val="24"/>
                <w:szCs w:val="24"/>
                <w:lang w:val="sr-Cyrl-BA"/>
              </w:rPr>
              <w:t xml:space="preserve"> </w:t>
            </w:r>
            <w:r w:rsidR="00A56E08">
              <w:rPr>
                <w:rFonts w:ascii="Arial" w:hAnsi="Arial" w:cs="Arial"/>
                <w:sz w:val="24"/>
                <w:szCs w:val="24"/>
                <w:lang w:val="sr-Cyrl-BA"/>
              </w:rPr>
              <w:t>као</w:t>
            </w:r>
            <w:r w:rsidR="005C7318" w:rsidRPr="00F6340E">
              <w:rPr>
                <w:rFonts w:ascii="Arial" w:hAnsi="Arial" w:cs="Arial"/>
                <w:sz w:val="24"/>
                <w:szCs w:val="24"/>
                <w:lang w:val="sr-Cyrl-BA"/>
              </w:rPr>
              <w:t xml:space="preserve"> </w:t>
            </w:r>
            <w:r>
              <w:rPr>
                <w:rFonts w:ascii="Arial" w:hAnsi="Arial" w:cs="Arial"/>
                <w:sz w:val="24"/>
                <w:szCs w:val="24"/>
                <w:lang w:val="sr-Cyrl-BA"/>
              </w:rPr>
              <w:t>п</w:t>
            </w:r>
            <w:r w:rsidR="00A56E08">
              <w:rPr>
                <w:rFonts w:ascii="Arial" w:hAnsi="Arial" w:cs="Arial"/>
                <w:sz w:val="24"/>
                <w:szCs w:val="24"/>
                <w:lang w:val="sr-Cyrl-BA"/>
              </w:rPr>
              <w:t>од</w:t>
            </w:r>
            <w:r>
              <w:rPr>
                <w:rFonts w:ascii="Arial" w:hAnsi="Arial" w:cs="Arial"/>
                <w:sz w:val="24"/>
                <w:szCs w:val="24"/>
                <w:lang w:val="sr-Cyrl-BA"/>
              </w:rPr>
              <w:t>рш</w:t>
            </w:r>
            <w:r w:rsidR="00A56E08">
              <w:rPr>
                <w:rFonts w:ascii="Arial" w:hAnsi="Arial" w:cs="Arial"/>
                <w:sz w:val="24"/>
                <w:szCs w:val="24"/>
                <w:lang w:val="sr-Cyrl-BA"/>
              </w:rPr>
              <w:t>ка</w:t>
            </w:r>
            <w:r w:rsidR="0057191F" w:rsidRPr="00F6340E">
              <w:rPr>
                <w:rFonts w:ascii="Arial" w:hAnsi="Arial" w:cs="Arial"/>
                <w:sz w:val="24"/>
                <w:szCs w:val="24"/>
                <w:lang w:val="sr-Cyrl-BA"/>
              </w:rPr>
              <w:t xml:space="preserve"> </w:t>
            </w:r>
            <w:r w:rsidR="00A56E08">
              <w:rPr>
                <w:rFonts w:ascii="Arial" w:hAnsi="Arial" w:cs="Arial"/>
                <w:sz w:val="24"/>
                <w:szCs w:val="24"/>
                <w:lang w:val="sr-Cyrl-BA"/>
              </w:rPr>
              <w:t>о</w:t>
            </w:r>
            <w:r>
              <w:rPr>
                <w:rFonts w:ascii="Arial" w:hAnsi="Arial" w:cs="Arial"/>
                <w:sz w:val="24"/>
                <w:szCs w:val="24"/>
                <w:lang w:val="sr-Cyrl-BA"/>
              </w:rPr>
              <w:t>ст</w:t>
            </w:r>
            <w:r w:rsidR="00A56E08">
              <w:rPr>
                <w:rFonts w:ascii="Arial" w:hAnsi="Arial" w:cs="Arial"/>
                <w:sz w:val="24"/>
                <w:szCs w:val="24"/>
                <w:lang w:val="sr-Cyrl-BA"/>
              </w:rPr>
              <w:t>алим</w:t>
            </w:r>
            <w:r w:rsidR="005C7318" w:rsidRPr="00F6340E">
              <w:rPr>
                <w:rFonts w:ascii="Arial" w:hAnsi="Arial" w:cs="Arial"/>
                <w:sz w:val="24"/>
                <w:szCs w:val="24"/>
                <w:lang w:val="sr-Cyrl-BA"/>
              </w:rPr>
              <w:t xml:space="preserve"> </w:t>
            </w:r>
            <w:r w:rsidR="00A56E08">
              <w:rPr>
                <w:rFonts w:ascii="Arial" w:hAnsi="Arial" w:cs="Arial"/>
                <w:sz w:val="24"/>
                <w:szCs w:val="24"/>
                <w:lang w:val="sr-Cyrl-BA"/>
              </w:rPr>
              <w:t>на</w:t>
            </w:r>
            <w:r>
              <w:rPr>
                <w:rFonts w:ascii="Arial" w:hAnsi="Arial" w:cs="Arial"/>
                <w:sz w:val="24"/>
                <w:szCs w:val="24"/>
                <w:lang w:val="sr-Cyrl-BA"/>
              </w:rPr>
              <w:t>ст</w:t>
            </w:r>
            <w:r w:rsidR="00A56E08">
              <w:rPr>
                <w:rFonts w:ascii="Arial" w:hAnsi="Arial" w:cs="Arial"/>
                <w:sz w:val="24"/>
                <w:szCs w:val="24"/>
                <w:lang w:val="sr-Cyrl-BA"/>
              </w:rPr>
              <w:t>а</w:t>
            </w:r>
            <w:r>
              <w:rPr>
                <w:rFonts w:ascii="Arial" w:hAnsi="Arial" w:cs="Arial"/>
                <w:sz w:val="24"/>
                <w:szCs w:val="24"/>
                <w:lang w:val="sr-Cyrl-BA"/>
              </w:rPr>
              <w:t>в</w:t>
            </w:r>
            <w:r w:rsidR="00A56E08">
              <w:rPr>
                <w:rFonts w:ascii="Arial" w:hAnsi="Arial" w:cs="Arial"/>
                <w:sz w:val="24"/>
                <w:szCs w:val="24"/>
                <w:lang w:val="sr-Cyrl-BA"/>
              </w:rPr>
              <w:t>ницима</w:t>
            </w:r>
            <w:r w:rsidR="005C7318" w:rsidRPr="00F6340E">
              <w:rPr>
                <w:rFonts w:ascii="Arial" w:hAnsi="Arial" w:cs="Arial"/>
                <w:sz w:val="24"/>
                <w:szCs w:val="24"/>
                <w:lang w:val="sr-Cyrl-BA"/>
              </w:rPr>
              <w:t>)</w:t>
            </w:r>
          </w:p>
          <w:p w14:paraId="6E4A2F47" w14:textId="44E1193D" w:rsidR="00892898" w:rsidRPr="00F6340E" w:rsidRDefault="0071360A" w:rsidP="00FB5CB7">
            <w:pPr>
              <w:pStyle w:val="CommentText"/>
              <w:numPr>
                <w:ilvl w:val="0"/>
                <w:numId w:val="35"/>
              </w:numPr>
              <w:contextualSpacing/>
              <w:jc w:val="left"/>
              <w:rPr>
                <w:rFonts w:ascii="Arial" w:hAnsi="Arial" w:cs="Arial"/>
                <w:sz w:val="24"/>
                <w:szCs w:val="24"/>
                <w:lang w:val="sr-Cyrl-BA"/>
              </w:rPr>
            </w:pPr>
            <w:r>
              <w:rPr>
                <w:rFonts w:ascii="Arial" w:hAnsi="Arial" w:cs="Arial"/>
                <w:b/>
                <w:sz w:val="24"/>
                <w:szCs w:val="24"/>
                <w:lang w:val="sr-Cyrl-BA"/>
              </w:rPr>
              <w:t>У</w:t>
            </w:r>
            <w:r w:rsidR="00A56E08">
              <w:rPr>
                <w:rFonts w:ascii="Arial" w:hAnsi="Arial" w:cs="Arial"/>
                <w:b/>
                <w:sz w:val="24"/>
                <w:szCs w:val="24"/>
                <w:lang w:val="sr-Cyrl-BA"/>
              </w:rPr>
              <w:t>на</w:t>
            </w:r>
            <w:r>
              <w:rPr>
                <w:rFonts w:ascii="Arial" w:hAnsi="Arial" w:cs="Arial"/>
                <w:b/>
                <w:sz w:val="24"/>
                <w:szCs w:val="24"/>
                <w:lang w:val="sr-Cyrl-BA"/>
              </w:rPr>
              <w:t>пр</w:t>
            </w:r>
            <w:r w:rsidR="00A56E08">
              <w:rPr>
                <w:rFonts w:ascii="Arial" w:hAnsi="Arial" w:cs="Arial"/>
                <w:b/>
                <w:sz w:val="24"/>
                <w:szCs w:val="24"/>
                <w:lang w:val="sr-Cyrl-BA"/>
              </w:rPr>
              <w:t>иј</w:t>
            </w:r>
            <w:r w:rsidR="00EE6AA2">
              <w:rPr>
                <w:rFonts w:ascii="Arial" w:hAnsi="Arial" w:cs="Arial"/>
                <w:b/>
                <w:sz w:val="24"/>
                <w:szCs w:val="24"/>
                <w:lang w:val="sr-Cyrl-BA"/>
              </w:rPr>
              <w:t>е</w:t>
            </w:r>
            <w:r w:rsidR="00A56E08">
              <w:rPr>
                <w:rFonts w:ascii="Arial" w:hAnsi="Arial" w:cs="Arial"/>
                <w:b/>
                <w:sz w:val="24"/>
                <w:szCs w:val="24"/>
                <w:lang w:val="sr-Cyrl-BA"/>
              </w:rPr>
              <w:t>ди</w:t>
            </w:r>
            <w:r>
              <w:rPr>
                <w:rFonts w:ascii="Arial" w:hAnsi="Arial" w:cs="Arial"/>
                <w:b/>
                <w:sz w:val="24"/>
                <w:szCs w:val="24"/>
                <w:lang w:val="sr-Cyrl-BA"/>
              </w:rPr>
              <w:t>т</w:t>
            </w:r>
            <w:r w:rsidR="00A56E08">
              <w:rPr>
                <w:rFonts w:ascii="Arial" w:hAnsi="Arial" w:cs="Arial"/>
                <w:b/>
                <w:sz w:val="24"/>
                <w:szCs w:val="24"/>
                <w:lang w:val="sr-Cyrl-BA"/>
              </w:rPr>
              <w:t>и</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об</w:t>
            </w:r>
            <w:r>
              <w:rPr>
                <w:rFonts w:ascii="Arial" w:hAnsi="Arial" w:cs="Arial"/>
                <w:b/>
                <w:sz w:val="24"/>
                <w:szCs w:val="24"/>
                <w:lang w:val="sr-Cyrl-BA"/>
              </w:rPr>
              <w:t>у</w:t>
            </w:r>
            <w:r w:rsidR="00A56E08">
              <w:rPr>
                <w:rFonts w:ascii="Arial" w:hAnsi="Arial" w:cs="Arial"/>
                <w:b/>
                <w:sz w:val="24"/>
                <w:szCs w:val="24"/>
                <w:lang w:val="sr-Cyrl-BA"/>
              </w:rPr>
              <w:t>х</w:t>
            </w:r>
            <w:r>
              <w:rPr>
                <w:rFonts w:ascii="Arial" w:hAnsi="Arial" w:cs="Arial"/>
                <w:b/>
                <w:sz w:val="24"/>
                <w:szCs w:val="24"/>
                <w:lang w:val="sr-Cyrl-BA"/>
              </w:rPr>
              <w:t>в</w:t>
            </w:r>
            <w:r w:rsidR="00A56E08">
              <w:rPr>
                <w:rFonts w:ascii="Arial" w:hAnsi="Arial" w:cs="Arial"/>
                <w:b/>
                <w:sz w:val="24"/>
                <w:szCs w:val="24"/>
                <w:lang w:val="sr-Cyrl-BA"/>
              </w:rPr>
              <w:t>а</w:t>
            </w:r>
            <w:r>
              <w:rPr>
                <w:rFonts w:ascii="Arial" w:hAnsi="Arial" w:cs="Arial"/>
                <w:b/>
                <w:sz w:val="24"/>
                <w:szCs w:val="24"/>
                <w:lang w:val="sr-Cyrl-BA"/>
              </w:rPr>
              <w:t>т</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и</w:t>
            </w:r>
            <w:r w:rsidR="00892898" w:rsidRPr="00F6340E">
              <w:rPr>
                <w:rFonts w:ascii="Arial" w:hAnsi="Arial" w:cs="Arial"/>
                <w:b/>
                <w:sz w:val="24"/>
                <w:szCs w:val="24"/>
                <w:lang w:val="sr-Cyrl-BA"/>
              </w:rPr>
              <w:t xml:space="preserve"> </w:t>
            </w:r>
            <w:r>
              <w:rPr>
                <w:rFonts w:ascii="Arial" w:hAnsi="Arial" w:cs="Arial"/>
                <w:b/>
                <w:sz w:val="24"/>
                <w:szCs w:val="24"/>
                <w:lang w:val="sr-Cyrl-BA"/>
              </w:rPr>
              <w:t>с</w:t>
            </w:r>
            <w:r w:rsidR="00A56E08">
              <w:rPr>
                <w:rFonts w:ascii="Arial" w:hAnsi="Arial" w:cs="Arial"/>
                <w:b/>
                <w:sz w:val="24"/>
                <w:szCs w:val="24"/>
                <w:lang w:val="sr-Cyrl-BA"/>
              </w:rPr>
              <w:t>ад</w:t>
            </w:r>
            <w:r>
              <w:rPr>
                <w:rFonts w:ascii="Arial" w:hAnsi="Arial" w:cs="Arial"/>
                <w:b/>
                <w:sz w:val="24"/>
                <w:szCs w:val="24"/>
                <w:lang w:val="sr-Cyrl-BA"/>
              </w:rPr>
              <w:t>р</w:t>
            </w:r>
            <w:r w:rsidR="00171F00">
              <w:rPr>
                <w:rFonts w:ascii="Arial" w:hAnsi="Arial" w:cs="Arial"/>
                <w:b/>
                <w:sz w:val="24"/>
                <w:szCs w:val="24"/>
                <w:lang w:val="sr-Cyrl-BA"/>
              </w:rPr>
              <w:t>ж</w:t>
            </w:r>
            <w:r w:rsidR="00A56E08">
              <w:rPr>
                <w:rFonts w:ascii="Arial" w:hAnsi="Arial" w:cs="Arial"/>
                <w:b/>
                <w:sz w:val="24"/>
                <w:szCs w:val="24"/>
                <w:lang w:val="sr-Cyrl-BA"/>
              </w:rPr>
              <w:t>ај</w:t>
            </w:r>
            <w:r w:rsidR="00EE6AA2">
              <w:rPr>
                <w:rFonts w:ascii="Arial" w:hAnsi="Arial" w:cs="Arial"/>
                <w:b/>
                <w:sz w:val="24"/>
                <w:szCs w:val="24"/>
                <w:lang w:val="sr-Cyrl-BA"/>
              </w:rPr>
              <w:t>е</w:t>
            </w:r>
            <w:r w:rsidR="00892898" w:rsidRPr="00F6340E">
              <w:rPr>
                <w:rFonts w:ascii="Arial" w:hAnsi="Arial" w:cs="Arial"/>
                <w:b/>
                <w:sz w:val="24"/>
                <w:szCs w:val="24"/>
                <w:lang w:val="sr-Cyrl-BA"/>
              </w:rPr>
              <w:t xml:space="preserve"> </w:t>
            </w:r>
            <w:r>
              <w:rPr>
                <w:rFonts w:ascii="Arial" w:hAnsi="Arial" w:cs="Arial"/>
                <w:b/>
                <w:sz w:val="24"/>
                <w:szCs w:val="24"/>
                <w:lang w:val="sr-Cyrl-BA"/>
              </w:rPr>
              <w:t>у</w:t>
            </w:r>
            <w:r w:rsidR="0089289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ог</w:t>
            </w:r>
            <w:r>
              <w:rPr>
                <w:rFonts w:ascii="Arial" w:hAnsi="Arial" w:cs="Arial"/>
                <w:b/>
                <w:sz w:val="24"/>
                <w:szCs w:val="24"/>
                <w:lang w:val="sr-Cyrl-BA"/>
              </w:rPr>
              <w:t>р</w:t>
            </w:r>
            <w:r w:rsidR="00A56E08">
              <w:rPr>
                <w:rFonts w:ascii="Arial" w:hAnsi="Arial" w:cs="Arial"/>
                <w:b/>
                <w:sz w:val="24"/>
                <w:szCs w:val="24"/>
                <w:lang w:val="sr-Cyrl-BA"/>
              </w:rPr>
              <w:t>амима</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иницијалног</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об</w:t>
            </w:r>
            <w:r>
              <w:rPr>
                <w:rFonts w:ascii="Arial" w:hAnsi="Arial" w:cs="Arial"/>
                <w:b/>
                <w:sz w:val="24"/>
                <w:szCs w:val="24"/>
                <w:lang w:val="sr-Cyrl-BA"/>
              </w:rPr>
              <w:t>р</w:t>
            </w:r>
            <w:r w:rsidR="00A56E08">
              <w:rPr>
                <w:rFonts w:ascii="Arial" w:hAnsi="Arial" w:cs="Arial"/>
                <w:b/>
                <w:sz w:val="24"/>
                <w:szCs w:val="24"/>
                <w:lang w:val="sr-Cyrl-BA"/>
              </w:rPr>
              <w:t>а</w:t>
            </w:r>
            <w:r w:rsidR="00171F00">
              <w:rPr>
                <w:rFonts w:ascii="Arial" w:hAnsi="Arial" w:cs="Arial"/>
                <w:b/>
                <w:sz w:val="24"/>
                <w:szCs w:val="24"/>
                <w:lang w:val="sr-Cyrl-BA"/>
              </w:rPr>
              <w:t>з</w:t>
            </w:r>
            <w:r w:rsidR="00A56E08">
              <w:rPr>
                <w:rFonts w:ascii="Arial" w:hAnsi="Arial" w:cs="Arial"/>
                <w:b/>
                <w:sz w:val="24"/>
                <w:szCs w:val="24"/>
                <w:lang w:val="sr-Cyrl-BA"/>
              </w:rPr>
              <w:t>о</w:t>
            </w:r>
            <w:r>
              <w:rPr>
                <w:rFonts w:ascii="Arial" w:hAnsi="Arial" w:cs="Arial"/>
                <w:b/>
                <w:sz w:val="24"/>
                <w:szCs w:val="24"/>
                <w:lang w:val="sr-Cyrl-BA"/>
              </w:rPr>
              <w:t>в</w:t>
            </w:r>
            <w:r w:rsidR="00A56E08">
              <w:rPr>
                <w:rFonts w:ascii="Arial" w:hAnsi="Arial" w:cs="Arial"/>
                <w:b/>
                <w:sz w:val="24"/>
                <w:szCs w:val="24"/>
                <w:lang w:val="sr-Cyrl-BA"/>
              </w:rPr>
              <w:t>ања</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на</w:t>
            </w:r>
            <w:r>
              <w:rPr>
                <w:rFonts w:ascii="Arial" w:hAnsi="Arial" w:cs="Arial"/>
                <w:b/>
                <w:sz w:val="24"/>
                <w:szCs w:val="24"/>
                <w:lang w:val="sr-Cyrl-BA"/>
              </w:rPr>
              <w:t>ст</w:t>
            </w:r>
            <w:r w:rsidR="00A56E08">
              <w:rPr>
                <w:rFonts w:ascii="Arial" w:hAnsi="Arial" w:cs="Arial"/>
                <w:b/>
                <w:sz w:val="24"/>
                <w:szCs w:val="24"/>
                <w:lang w:val="sr-Cyrl-BA"/>
              </w:rPr>
              <w:t>а</w:t>
            </w:r>
            <w:r>
              <w:rPr>
                <w:rFonts w:ascii="Arial" w:hAnsi="Arial" w:cs="Arial"/>
                <w:b/>
                <w:sz w:val="24"/>
                <w:szCs w:val="24"/>
                <w:lang w:val="sr-Cyrl-BA"/>
              </w:rPr>
              <w:t>в</w:t>
            </w:r>
            <w:r w:rsidR="00A56E08">
              <w:rPr>
                <w:rFonts w:ascii="Arial" w:hAnsi="Arial" w:cs="Arial"/>
                <w:b/>
                <w:sz w:val="24"/>
                <w:szCs w:val="24"/>
                <w:lang w:val="sr-Cyrl-BA"/>
              </w:rPr>
              <w:t>ника</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који</w:t>
            </w:r>
            <w:r w:rsidR="00892898" w:rsidRPr="00F6340E">
              <w:rPr>
                <w:rFonts w:ascii="Arial" w:hAnsi="Arial" w:cs="Arial"/>
                <w:b/>
                <w:sz w:val="24"/>
                <w:szCs w:val="24"/>
                <w:lang w:val="sr-Cyrl-BA"/>
              </w:rPr>
              <w:t xml:space="preserve"> </w:t>
            </w:r>
            <w:r>
              <w:rPr>
                <w:rFonts w:ascii="Arial" w:hAnsi="Arial" w:cs="Arial"/>
                <w:b/>
                <w:sz w:val="24"/>
                <w:szCs w:val="24"/>
                <w:lang w:val="sr-Cyrl-BA"/>
              </w:rPr>
              <w:t>с</w:t>
            </w:r>
            <w:r w:rsidR="00EE6AA2">
              <w:rPr>
                <w:rFonts w:ascii="Arial" w:hAnsi="Arial" w:cs="Arial"/>
                <w:b/>
                <w:sz w:val="24"/>
                <w:szCs w:val="24"/>
                <w:lang w:val="sr-Cyrl-BA"/>
              </w:rPr>
              <w:t>е</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одно</w:t>
            </w:r>
            <w:r>
              <w:rPr>
                <w:rFonts w:ascii="Arial" w:hAnsi="Arial" w:cs="Arial"/>
                <w:b/>
                <w:sz w:val="24"/>
                <w:szCs w:val="24"/>
                <w:lang w:val="sr-Cyrl-BA"/>
              </w:rPr>
              <w:t>с</w:t>
            </w:r>
            <w:r w:rsidR="00EE6AA2">
              <w:rPr>
                <w:rFonts w:ascii="Arial" w:hAnsi="Arial" w:cs="Arial"/>
                <w:b/>
                <w:sz w:val="24"/>
                <w:szCs w:val="24"/>
                <w:lang w:val="sr-Cyrl-BA"/>
              </w:rPr>
              <w:t>е</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на</w:t>
            </w:r>
            <w:r w:rsidR="00892898" w:rsidRPr="00F6340E">
              <w:rPr>
                <w:rFonts w:ascii="Arial" w:hAnsi="Arial" w:cs="Arial"/>
                <w:b/>
                <w:sz w:val="24"/>
                <w:szCs w:val="24"/>
                <w:lang w:val="sr-Cyrl-BA"/>
              </w:rPr>
              <w:t xml:space="preserve"> </w:t>
            </w:r>
            <w:r>
              <w:rPr>
                <w:rFonts w:ascii="Arial" w:hAnsi="Arial" w:cs="Arial"/>
                <w:b/>
                <w:sz w:val="24"/>
                <w:szCs w:val="24"/>
                <w:lang w:val="sr-Cyrl-BA"/>
              </w:rPr>
              <w:t>вр</w:t>
            </w:r>
            <w:r w:rsidR="00EE6AA2">
              <w:rPr>
                <w:rFonts w:ascii="Arial" w:hAnsi="Arial" w:cs="Arial"/>
                <w:b/>
                <w:sz w:val="24"/>
                <w:szCs w:val="24"/>
                <w:lang w:val="sr-Cyrl-BA"/>
              </w:rPr>
              <w:t>е</w:t>
            </w:r>
            <w:r w:rsidR="00A56E08">
              <w:rPr>
                <w:rFonts w:ascii="Arial" w:hAnsi="Arial" w:cs="Arial"/>
                <w:b/>
                <w:sz w:val="24"/>
                <w:szCs w:val="24"/>
                <w:lang w:val="sr-Cyrl-BA"/>
              </w:rPr>
              <w:t>дно</w:t>
            </w:r>
            <w:r>
              <w:rPr>
                <w:rFonts w:ascii="Arial" w:hAnsi="Arial" w:cs="Arial"/>
                <w:b/>
                <w:sz w:val="24"/>
                <w:szCs w:val="24"/>
                <w:lang w:val="sr-Cyrl-BA"/>
              </w:rPr>
              <w:t>в</w:t>
            </w:r>
            <w:r w:rsidR="00A56E08">
              <w:rPr>
                <w:rFonts w:ascii="Arial" w:hAnsi="Arial" w:cs="Arial"/>
                <w:b/>
                <w:sz w:val="24"/>
                <w:szCs w:val="24"/>
                <w:lang w:val="sr-Cyrl-BA"/>
              </w:rPr>
              <w:t>ањ</w:t>
            </w:r>
            <w:r w:rsidR="00EE6AA2">
              <w:rPr>
                <w:rFonts w:ascii="Arial" w:hAnsi="Arial" w:cs="Arial"/>
                <w:b/>
                <w:sz w:val="24"/>
                <w:szCs w:val="24"/>
                <w:lang w:val="sr-Cyrl-BA"/>
              </w:rPr>
              <w:t>е</w:t>
            </w:r>
            <w:r w:rsidR="00285908" w:rsidRPr="00F6340E">
              <w:rPr>
                <w:rFonts w:ascii="Arial" w:hAnsi="Arial" w:cs="Arial"/>
                <w:b/>
                <w:sz w:val="24"/>
                <w:szCs w:val="24"/>
                <w:lang w:val="sr-Cyrl-BA"/>
              </w:rPr>
              <w:t xml:space="preserve"> </w:t>
            </w:r>
            <w:r>
              <w:rPr>
                <w:rFonts w:ascii="Arial" w:hAnsi="Arial" w:cs="Arial"/>
                <w:b/>
                <w:sz w:val="24"/>
                <w:szCs w:val="24"/>
                <w:lang w:val="sr-Cyrl-BA"/>
              </w:rPr>
              <w:t>у</w:t>
            </w:r>
            <w:r w:rsidR="00A56E08">
              <w:rPr>
                <w:rFonts w:ascii="Arial" w:hAnsi="Arial" w:cs="Arial"/>
                <w:b/>
                <w:sz w:val="24"/>
                <w:szCs w:val="24"/>
                <w:lang w:val="sr-Cyrl-BA"/>
              </w:rPr>
              <w:t>ч</w:t>
            </w:r>
            <w:r w:rsidR="00EE6AA2">
              <w:rPr>
                <w:rFonts w:ascii="Arial" w:hAnsi="Arial" w:cs="Arial"/>
                <w:b/>
                <w:sz w:val="24"/>
                <w:szCs w:val="24"/>
                <w:lang w:val="sr-Cyrl-BA"/>
              </w:rPr>
              <w:t>е</w:t>
            </w:r>
            <w:r w:rsidR="00A56E08">
              <w:rPr>
                <w:rFonts w:ascii="Arial" w:hAnsi="Arial" w:cs="Arial"/>
                <w:b/>
                <w:sz w:val="24"/>
                <w:szCs w:val="24"/>
                <w:lang w:val="sr-Cyrl-BA"/>
              </w:rPr>
              <w:t>ничких</w:t>
            </w:r>
            <w:r w:rsidR="00892898" w:rsidRPr="00F6340E">
              <w:rPr>
                <w:rFonts w:ascii="Arial" w:hAnsi="Arial" w:cs="Arial"/>
                <w:b/>
                <w:sz w:val="24"/>
                <w:szCs w:val="24"/>
                <w:lang w:val="sr-Cyrl-BA"/>
              </w:rPr>
              <w:t xml:space="preserve"> </w:t>
            </w:r>
            <w:r>
              <w:rPr>
                <w:rFonts w:ascii="Arial" w:hAnsi="Arial" w:cs="Arial"/>
                <w:b/>
                <w:sz w:val="24"/>
                <w:szCs w:val="24"/>
                <w:lang w:val="sr-Cyrl-BA"/>
              </w:rPr>
              <w:t>п</w:t>
            </w:r>
            <w:r w:rsidR="00A56E08">
              <w:rPr>
                <w:rFonts w:ascii="Arial" w:hAnsi="Arial" w:cs="Arial"/>
                <w:b/>
                <w:sz w:val="24"/>
                <w:szCs w:val="24"/>
                <w:lang w:val="sr-Cyrl-BA"/>
              </w:rPr>
              <w:t>о</w:t>
            </w:r>
            <w:r>
              <w:rPr>
                <w:rFonts w:ascii="Arial" w:hAnsi="Arial" w:cs="Arial"/>
                <w:b/>
                <w:sz w:val="24"/>
                <w:szCs w:val="24"/>
                <w:lang w:val="sr-Cyrl-BA"/>
              </w:rPr>
              <w:t>ст</w:t>
            </w:r>
            <w:r w:rsidR="00A56E08">
              <w:rPr>
                <w:rFonts w:ascii="Arial" w:hAnsi="Arial" w:cs="Arial"/>
                <w:b/>
                <w:sz w:val="24"/>
                <w:szCs w:val="24"/>
                <w:lang w:val="sr-Cyrl-BA"/>
              </w:rPr>
              <w:t>игн</w:t>
            </w:r>
            <w:r>
              <w:rPr>
                <w:rFonts w:ascii="Arial" w:hAnsi="Arial" w:cs="Arial"/>
                <w:b/>
                <w:sz w:val="24"/>
                <w:szCs w:val="24"/>
                <w:lang w:val="sr-Cyrl-BA"/>
              </w:rPr>
              <w:t>у</w:t>
            </w:r>
            <w:r w:rsidR="00A56E08">
              <w:rPr>
                <w:rFonts w:ascii="Arial" w:hAnsi="Arial" w:cs="Arial"/>
                <w:b/>
                <w:sz w:val="24"/>
                <w:szCs w:val="24"/>
                <w:lang w:val="sr-Cyrl-BA"/>
              </w:rPr>
              <w:t>ћа</w:t>
            </w:r>
            <w:r w:rsidR="00892898" w:rsidRPr="00F6340E">
              <w:rPr>
                <w:rFonts w:ascii="Arial" w:hAnsi="Arial" w:cs="Arial"/>
                <w:b/>
                <w:sz w:val="24"/>
                <w:szCs w:val="24"/>
                <w:lang w:val="sr-Cyrl-BA"/>
              </w:rPr>
              <w:t xml:space="preserve"> </w:t>
            </w:r>
            <w:r>
              <w:rPr>
                <w:rFonts w:ascii="Arial" w:hAnsi="Arial" w:cs="Arial"/>
                <w:b/>
                <w:sz w:val="24"/>
                <w:szCs w:val="24"/>
                <w:lang w:val="sr-Cyrl-BA"/>
              </w:rPr>
              <w:t>у</w:t>
            </w:r>
            <w:r w:rsidR="00A56E08">
              <w:rPr>
                <w:rFonts w:ascii="Arial" w:hAnsi="Arial" w:cs="Arial"/>
                <w:b/>
                <w:sz w:val="24"/>
                <w:szCs w:val="24"/>
                <w:lang w:val="sr-Cyrl-BA"/>
              </w:rPr>
              <w:t>кљ</w:t>
            </w:r>
            <w:r>
              <w:rPr>
                <w:rFonts w:ascii="Arial" w:hAnsi="Arial" w:cs="Arial"/>
                <w:b/>
                <w:sz w:val="24"/>
                <w:szCs w:val="24"/>
                <w:lang w:val="sr-Cyrl-BA"/>
              </w:rPr>
              <w:t>у</w:t>
            </w:r>
            <w:r w:rsidR="00A56E08">
              <w:rPr>
                <w:rFonts w:ascii="Arial" w:hAnsi="Arial" w:cs="Arial"/>
                <w:b/>
                <w:sz w:val="24"/>
                <w:szCs w:val="24"/>
                <w:lang w:val="sr-Cyrl-BA"/>
              </w:rPr>
              <w:t>ч</w:t>
            </w:r>
            <w:r>
              <w:rPr>
                <w:rFonts w:ascii="Arial" w:hAnsi="Arial" w:cs="Arial"/>
                <w:b/>
                <w:sz w:val="24"/>
                <w:szCs w:val="24"/>
                <w:lang w:val="sr-Cyrl-BA"/>
              </w:rPr>
              <w:t>у</w:t>
            </w:r>
            <w:r w:rsidR="00A56E08">
              <w:rPr>
                <w:rFonts w:ascii="Arial" w:hAnsi="Arial" w:cs="Arial"/>
                <w:b/>
                <w:sz w:val="24"/>
                <w:szCs w:val="24"/>
                <w:lang w:val="sr-Cyrl-BA"/>
              </w:rPr>
              <w:t>ј</w:t>
            </w:r>
            <w:r>
              <w:rPr>
                <w:rFonts w:ascii="Arial" w:hAnsi="Arial" w:cs="Arial"/>
                <w:b/>
                <w:sz w:val="24"/>
                <w:szCs w:val="24"/>
                <w:lang w:val="sr-Cyrl-BA"/>
              </w:rPr>
              <w:t>у</w:t>
            </w:r>
            <w:r w:rsidR="00A56E08">
              <w:rPr>
                <w:rFonts w:ascii="Arial" w:hAnsi="Arial" w:cs="Arial"/>
                <w:b/>
                <w:sz w:val="24"/>
                <w:szCs w:val="24"/>
                <w:lang w:val="sr-Cyrl-BA"/>
              </w:rPr>
              <w:t>ћи</w:t>
            </w:r>
            <w:r w:rsidR="0089289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имј</w:t>
            </w:r>
            <w:r w:rsidR="00EE6AA2">
              <w:rPr>
                <w:rFonts w:ascii="Arial" w:hAnsi="Arial" w:cs="Arial"/>
                <w:b/>
                <w:sz w:val="24"/>
                <w:szCs w:val="24"/>
                <w:lang w:val="sr-Cyrl-BA"/>
              </w:rPr>
              <w:t>е</w:t>
            </w:r>
            <w:r w:rsidR="00A56E08">
              <w:rPr>
                <w:rFonts w:ascii="Arial" w:hAnsi="Arial" w:cs="Arial"/>
                <w:b/>
                <w:sz w:val="24"/>
                <w:szCs w:val="24"/>
                <w:lang w:val="sr-Cyrl-BA"/>
              </w:rPr>
              <w:t>н</w:t>
            </w:r>
            <w:r>
              <w:rPr>
                <w:rFonts w:ascii="Arial" w:hAnsi="Arial" w:cs="Arial"/>
                <w:b/>
                <w:sz w:val="24"/>
                <w:szCs w:val="24"/>
                <w:lang w:val="sr-Cyrl-BA"/>
              </w:rPr>
              <w:t>у</w:t>
            </w:r>
            <w:r w:rsidR="00892898" w:rsidRPr="00F6340E">
              <w:rPr>
                <w:rFonts w:ascii="Arial" w:hAnsi="Arial" w:cs="Arial"/>
                <w:b/>
                <w:sz w:val="24"/>
                <w:szCs w:val="24"/>
                <w:lang w:val="sr-Cyrl-BA"/>
              </w:rPr>
              <w:t xml:space="preserve"> </w:t>
            </w:r>
            <w:r w:rsidR="00A56E08">
              <w:rPr>
                <w:rFonts w:ascii="Arial" w:hAnsi="Arial" w:cs="Arial"/>
                <w:b/>
                <w:sz w:val="24"/>
                <w:szCs w:val="24"/>
                <w:lang w:val="sr-Cyrl-BA"/>
              </w:rPr>
              <w:t>ИК</w:t>
            </w:r>
            <w:r>
              <w:rPr>
                <w:rFonts w:ascii="Arial" w:hAnsi="Arial" w:cs="Arial"/>
                <w:b/>
                <w:sz w:val="24"/>
                <w:szCs w:val="24"/>
                <w:lang w:val="sr-Cyrl-BA"/>
              </w:rPr>
              <w:t>Т</w:t>
            </w:r>
            <w:r w:rsidR="00FA763F" w:rsidRPr="00F6340E">
              <w:rPr>
                <w:rFonts w:ascii="Arial" w:hAnsi="Arial" w:cs="Arial"/>
                <w:b/>
                <w:sz w:val="24"/>
                <w:szCs w:val="24"/>
                <w:lang w:val="sr-Cyrl-BA"/>
              </w:rPr>
              <w:t>-</w:t>
            </w:r>
            <w:r w:rsidR="00A56E08">
              <w:rPr>
                <w:rFonts w:ascii="Arial" w:hAnsi="Arial" w:cs="Arial"/>
                <w:b/>
                <w:sz w:val="24"/>
                <w:szCs w:val="24"/>
                <w:lang w:val="sr-Cyrl-BA"/>
              </w:rPr>
              <w:t>а</w:t>
            </w:r>
            <w:r w:rsidR="00892898" w:rsidRPr="00F6340E">
              <w:rPr>
                <w:rFonts w:ascii="Arial" w:hAnsi="Arial" w:cs="Arial"/>
                <w:b/>
                <w:sz w:val="24"/>
                <w:szCs w:val="24"/>
                <w:lang w:val="sr-Cyrl-BA"/>
              </w:rPr>
              <w:t xml:space="preserve"> </w:t>
            </w:r>
            <w:r>
              <w:rPr>
                <w:rFonts w:ascii="Arial" w:hAnsi="Arial" w:cs="Arial"/>
                <w:b/>
                <w:sz w:val="24"/>
                <w:szCs w:val="24"/>
                <w:lang w:val="sr-Cyrl-BA"/>
              </w:rPr>
              <w:t>у</w:t>
            </w:r>
            <w:r w:rsidR="00892898" w:rsidRPr="00F6340E">
              <w:rPr>
                <w:rFonts w:ascii="Arial" w:hAnsi="Arial" w:cs="Arial"/>
                <w:b/>
                <w:sz w:val="24"/>
                <w:szCs w:val="24"/>
                <w:lang w:val="sr-Cyrl-BA"/>
              </w:rPr>
              <w:t xml:space="preserve"> </w:t>
            </w:r>
            <w:r>
              <w:rPr>
                <w:rFonts w:ascii="Arial" w:hAnsi="Arial" w:cs="Arial"/>
                <w:b/>
                <w:sz w:val="24"/>
                <w:szCs w:val="24"/>
                <w:lang w:val="sr-Cyrl-BA"/>
              </w:rPr>
              <w:t>пр</w:t>
            </w:r>
            <w:r w:rsidR="00A56E08">
              <w:rPr>
                <w:rFonts w:ascii="Arial" w:hAnsi="Arial" w:cs="Arial"/>
                <w:b/>
                <w:sz w:val="24"/>
                <w:szCs w:val="24"/>
                <w:lang w:val="sr-Cyrl-BA"/>
              </w:rPr>
              <w:t>оц</w:t>
            </w:r>
            <w:r w:rsidR="00EE6AA2">
              <w:rPr>
                <w:rFonts w:ascii="Arial" w:hAnsi="Arial" w:cs="Arial"/>
                <w:b/>
                <w:sz w:val="24"/>
                <w:szCs w:val="24"/>
                <w:lang w:val="sr-Cyrl-BA"/>
              </w:rPr>
              <w:t>е</w:t>
            </w:r>
            <w:r>
              <w:rPr>
                <w:rFonts w:ascii="Arial" w:hAnsi="Arial" w:cs="Arial"/>
                <w:b/>
                <w:sz w:val="24"/>
                <w:szCs w:val="24"/>
                <w:lang w:val="sr-Cyrl-BA"/>
              </w:rPr>
              <w:t>су</w:t>
            </w:r>
            <w:r w:rsidR="00892898" w:rsidRPr="00F6340E">
              <w:rPr>
                <w:rFonts w:ascii="Arial" w:hAnsi="Arial" w:cs="Arial"/>
                <w:b/>
                <w:sz w:val="24"/>
                <w:szCs w:val="24"/>
                <w:lang w:val="sr-Cyrl-BA"/>
              </w:rPr>
              <w:t xml:space="preserve"> </w:t>
            </w:r>
            <w:r>
              <w:rPr>
                <w:rFonts w:ascii="Arial" w:hAnsi="Arial" w:cs="Arial"/>
                <w:b/>
                <w:sz w:val="24"/>
                <w:szCs w:val="24"/>
                <w:lang w:val="sr-Cyrl-BA"/>
              </w:rPr>
              <w:t>вр</w:t>
            </w:r>
            <w:r w:rsidR="00EE6AA2">
              <w:rPr>
                <w:rFonts w:ascii="Arial" w:hAnsi="Arial" w:cs="Arial"/>
                <w:b/>
                <w:sz w:val="24"/>
                <w:szCs w:val="24"/>
                <w:lang w:val="sr-Cyrl-BA"/>
              </w:rPr>
              <w:t>е</w:t>
            </w:r>
            <w:r w:rsidR="00A56E08">
              <w:rPr>
                <w:rFonts w:ascii="Arial" w:hAnsi="Arial" w:cs="Arial"/>
                <w:b/>
                <w:sz w:val="24"/>
                <w:szCs w:val="24"/>
                <w:lang w:val="sr-Cyrl-BA"/>
              </w:rPr>
              <w:t>дно</w:t>
            </w:r>
            <w:r>
              <w:rPr>
                <w:rFonts w:ascii="Arial" w:hAnsi="Arial" w:cs="Arial"/>
                <w:b/>
                <w:sz w:val="24"/>
                <w:szCs w:val="24"/>
                <w:lang w:val="sr-Cyrl-BA"/>
              </w:rPr>
              <w:t>в</w:t>
            </w:r>
            <w:r w:rsidR="00A56E08">
              <w:rPr>
                <w:rFonts w:ascii="Arial" w:hAnsi="Arial" w:cs="Arial"/>
                <w:b/>
                <w:sz w:val="24"/>
                <w:szCs w:val="24"/>
                <w:lang w:val="sr-Cyrl-BA"/>
              </w:rPr>
              <w:t>ања</w:t>
            </w:r>
          </w:p>
          <w:p w14:paraId="1A03A35A" w14:textId="06CF73DC" w:rsidR="00892898" w:rsidRPr="00F6340E" w:rsidRDefault="00A56E08"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К</w:t>
            </w:r>
            <w:r w:rsidR="0071360A">
              <w:rPr>
                <w:rFonts w:ascii="Arial" w:eastAsia="Times New Roman" w:hAnsi="Arial" w:cs="Arial"/>
                <w:b/>
                <w:color w:val="000000"/>
                <w:lang w:val="sr-Cyrl-BA"/>
              </w:rPr>
              <w:t>р</w:t>
            </w:r>
            <w:r w:rsidR="00EE6AA2">
              <w:rPr>
                <w:rFonts w:ascii="Arial" w:eastAsia="Times New Roman" w:hAnsi="Arial" w:cs="Arial"/>
                <w:b/>
                <w:color w:val="000000"/>
                <w:lang w:val="sr-Cyrl-BA"/>
              </w:rPr>
              <w:t>е</w:t>
            </w:r>
            <w:r>
              <w:rPr>
                <w:rFonts w:ascii="Arial" w:eastAsia="Times New Roman" w:hAnsi="Arial" w:cs="Arial"/>
                <w:b/>
                <w:color w:val="000000"/>
                <w:lang w:val="sr-Cyrl-BA"/>
              </w:rPr>
              <w:t>и</w:t>
            </w:r>
            <w:r w:rsidR="0071360A">
              <w:rPr>
                <w:rFonts w:ascii="Arial" w:eastAsia="Times New Roman" w:hAnsi="Arial" w:cs="Arial"/>
                <w:b/>
                <w:color w:val="000000"/>
                <w:lang w:val="sr-Cyrl-BA"/>
              </w:rPr>
              <w:t>р</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w:t>
            </w:r>
            <w:r>
              <w:rPr>
                <w:rFonts w:ascii="Arial" w:eastAsia="Times New Roman" w:hAnsi="Arial" w:cs="Arial"/>
                <w:b/>
                <w:color w:val="000000"/>
                <w:lang w:val="sr-Cyrl-BA"/>
              </w:rPr>
              <w:t>или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а</w:t>
            </w:r>
            <w:r w:rsidR="00171F00">
              <w:rPr>
                <w:rFonts w:ascii="Arial" w:eastAsia="Times New Roman" w:hAnsi="Arial" w:cs="Arial"/>
                <w:b/>
                <w:color w:val="000000"/>
                <w:lang w:val="sr-Cyrl-BA"/>
              </w:rPr>
              <w:t>ж</w:t>
            </w:r>
            <w:r w:rsidR="0071360A">
              <w:rPr>
                <w:rFonts w:ascii="Arial" w:eastAsia="Times New Roman" w:hAnsi="Arial" w:cs="Arial"/>
                <w:b/>
                <w:color w:val="000000"/>
                <w:lang w:val="sr-Cyrl-BA"/>
              </w:rPr>
              <w:t>ур</w:t>
            </w:r>
            <w:r>
              <w:rPr>
                <w:rFonts w:ascii="Arial" w:eastAsia="Times New Roman" w:hAnsi="Arial" w:cs="Arial"/>
                <w:b/>
                <w:color w:val="000000"/>
                <w:lang w:val="sr-Cyrl-BA"/>
              </w:rPr>
              <w:t>и</w:t>
            </w:r>
            <w:r w:rsidR="0071360A">
              <w:rPr>
                <w:rFonts w:ascii="Arial" w:eastAsia="Times New Roman" w:hAnsi="Arial" w:cs="Arial"/>
                <w:b/>
                <w:color w:val="000000"/>
                <w:lang w:val="sr-Cyrl-BA"/>
              </w:rPr>
              <w:t>р</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мод</w:t>
            </w:r>
            <w:r w:rsidR="0071360A">
              <w:rPr>
                <w:rFonts w:ascii="Arial" w:eastAsia="Times New Roman" w:hAnsi="Arial" w:cs="Arial"/>
                <w:b/>
                <w:color w:val="000000"/>
                <w:lang w:val="sr-Cyrl-BA"/>
              </w:rPr>
              <w:t>у</w:t>
            </w:r>
            <w:r>
              <w:rPr>
                <w:rFonts w:ascii="Arial" w:eastAsia="Times New Roman" w:hAnsi="Arial" w:cs="Arial"/>
                <w:b/>
                <w:color w:val="000000"/>
                <w:lang w:val="sr-Cyrl-BA"/>
              </w:rPr>
              <w:t>л</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пр</w:t>
            </w:r>
            <w:r>
              <w:rPr>
                <w:rFonts w:ascii="Arial" w:eastAsia="Times New Roman" w:hAnsi="Arial" w:cs="Arial"/>
                <w:b/>
                <w:color w:val="000000"/>
                <w:lang w:val="sr-Cyrl-BA"/>
              </w:rPr>
              <w:t>аћ</w:t>
            </w:r>
            <w:r w:rsidR="00EE6AA2">
              <w:rPr>
                <w:rFonts w:ascii="Arial" w:eastAsia="Times New Roman" w:hAnsi="Arial" w:cs="Arial"/>
                <w:b/>
                <w:color w:val="000000"/>
                <w:lang w:val="sr-Cyrl-BA"/>
              </w:rPr>
              <w:t>е</w:t>
            </w:r>
            <w:r>
              <w:rPr>
                <w:rFonts w:ascii="Arial" w:eastAsia="Times New Roman" w:hAnsi="Arial" w:cs="Arial"/>
                <w:b/>
                <w:color w:val="000000"/>
                <w:lang w:val="sr-Cyrl-BA"/>
              </w:rPr>
              <w:t>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вр</w:t>
            </w:r>
            <w:r w:rsidR="00EE6AA2">
              <w:rPr>
                <w:rFonts w:ascii="Arial" w:eastAsia="Times New Roman" w:hAnsi="Arial" w:cs="Arial"/>
                <w:b/>
                <w:color w:val="000000"/>
                <w:lang w:val="sr-Cyrl-BA"/>
              </w:rPr>
              <w:t>е</w:t>
            </w:r>
            <w:r>
              <w:rPr>
                <w:rFonts w:ascii="Arial" w:eastAsia="Times New Roman" w:hAnsi="Arial" w:cs="Arial"/>
                <w:b/>
                <w:color w:val="000000"/>
                <w:lang w:val="sr-Cyrl-BA"/>
              </w:rPr>
              <w:t>дно</w:t>
            </w:r>
            <w:r w:rsidR="0071360A">
              <w:rPr>
                <w:rFonts w:ascii="Arial" w:eastAsia="Times New Roman" w:hAnsi="Arial" w:cs="Arial"/>
                <w:b/>
                <w:color w:val="000000"/>
                <w:lang w:val="sr-Cyrl-BA"/>
              </w:rPr>
              <w:t>в</w:t>
            </w:r>
            <w:r>
              <w:rPr>
                <w:rFonts w:ascii="Arial" w:eastAsia="Times New Roman" w:hAnsi="Arial" w:cs="Arial"/>
                <w:b/>
                <w:color w:val="000000"/>
                <w:lang w:val="sr-Cyrl-BA"/>
              </w:rPr>
              <w:t>ањ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w:t>
            </w:r>
            <w:r>
              <w:rPr>
                <w:rFonts w:ascii="Arial" w:eastAsia="Times New Roman" w:hAnsi="Arial" w:cs="Arial"/>
                <w:b/>
                <w:color w:val="000000"/>
                <w:lang w:val="sr-Cyrl-BA"/>
              </w:rPr>
              <w:t>о</w:t>
            </w:r>
            <w:r w:rsidR="0071360A">
              <w:rPr>
                <w:rFonts w:ascii="Arial" w:eastAsia="Times New Roman" w:hAnsi="Arial" w:cs="Arial"/>
                <w:b/>
                <w:color w:val="000000"/>
                <w:lang w:val="sr-Cyrl-BA"/>
              </w:rPr>
              <w:t>ст</w:t>
            </w:r>
            <w:r>
              <w:rPr>
                <w:rFonts w:ascii="Arial" w:eastAsia="Times New Roman" w:hAnsi="Arial" w:cs="Arial"/>
                <w:b/>
                <w:color w:val="000000"/>
                <w:lang w:val="sr-Cyrl-BA"/>
              </w:rPr>
              <w:t>игн</w:t>
            </w:r>
            <w:r w:rsidR="0071360A">
              <w:rPr>
                <w:rFonts w:ascii="Arial" w:eastAsia="Times New Roman" w:hAnsi="Arial" w:cs="Arial"/>
                <w:b/>
                <w:color w:val="000000"/>
                <w:lang w:val="sr-Cyrl-BA"/>
              </w:rPr>
              <w:t>у</w:t>
            </w:r>
            <w:r>
              <w:rPr>
                <w:rFonts w:ascii="Arial" w:eastAsia="Times New Roman" w:hAnsi="Arial" w:cs="Arial"/>
                <w:b/>
                <w:color w:val="000000"/>
                <w:lang w:val="sr-Cyrl-BA"/>
              </w:rPr>
              <w:t>ћа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w:t>
            </w:r>
            <w:r w:rsidR="00EE6AA2">
              <w:rPr>
                <w:rFonts w:ascii="Arial" w:eastAsia="Times New Roman" w:hAnsi="Arial" w:cs="Arial"/>
                <w:b/>
                <w:color w:val="000000"/>
                <w:lang w:val="sr-Cyrl-BA"/>
              </w:rPr>
              <w:t>е</w:t>
            </w:r>
            <w:r>
              <w:rPr>
                <w:rFonts w:ascii="Arial" w:eastAsia="Times New Roman" w:hAnsi="Arial" w:cs="Arial"/>
                <w:b/>
                <w:color w:val="000000"/>
                <w:lang w:val="sr-Cyrl-BA"/>
              </w:rPr>
              <w:t>ника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w:t>
            </w:r>
            <w:r w:rsidR="0071360A">
              <w:rPr>
                <w:rFonts w:ascii="Arial" w:eastAsia="Times New Roman" w:hAnsi="Arial" w:cs="Arial"/>
                <w:b/>
                <w:color w:val="000000"/>
                <w:lang w:val="sr-Cyrl-BA"/>
              </w:rPr>
              <w:t>с</w:t>
            </w:r>
            <w:r>
              <w:rPr>
                <w:rFonts w:ascii="Arial" w:eastAsia="Times New Roman" w:hAnsi="Arial" w:cs="Arial"/>
                <w:b/>
                <w:color w:val="000000"/>
                <w:lang w:val="sr-Cyrl-BA"/>
              </w:rPr>
              <w:t>но</w:t>
            </w:r>
            <w:r w:rsidR="0071360A">
              <w:rPr>
                <w:rFonts w:ascii="Arial" w:eastAsia="Times New Roman" w:hAnsi="Arial" w:cs="Arial"/>
                <w:b/>
                <w:color w:val="000000"/>
                <w:lang w:val="sr-Cyrl-BA"/>
              </w:rPr>
              <w:t>в</w:t>
            </w:r>
            <w:r>
              <w:rPr>
                <w:rFonts w:ascii="Arial" w:eastAsia="Times New Roman" w:hAnsi="Arial" w:cs="Arial"/>
                <w:b/>
                <w:color w:val="000000"/>
                <w:lang w:val="sr-Cyrl-BA"/>
              </w:rPr>
              <w:t>них</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ср</w:t>
            </w:r>
            <w:r w:rsidR="00EE6AA2">
              <w:rPr>
                <w:rFonts w:ascii="Arial" w:eastAsia="Times New Roman" w:hAnsi="Arial" w:cs="Arial"/>
                <w:b/>
                <w:color w:val="000000"/>
                <w:lang w:val="sr-Cyrl-BA"/>
              </w:rPr>
              <w:t>е</w:t>
            </w:r>
            <w:r>
              <w:rPr>
                <w:rFonts w:ascii="Arial" w:eastAsia="Times New Roman" w:hAnsi="Arial" w:cs="Arial"/>
                <w:b/>
                <w:color w:val="000000"/>
                <w:lang w:val="sr-Cyrl-BA"/>
              </w:rPr>
              <w:t>дњих</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ш</w:t>
            </w:r>
            <w:r>
              <w:rPr>
                <w:rFonts w:ascii="Arial" w:eastAsia="Times New Roman" w:hAnsi="Arial" w:cs="Arial"/>
                <w:b/>
                <w:color w:val="000000"/>
                <w:lang w:val="sr-Cyrl-BA"/>
              </w:rPr>
              <w:t>кола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н</w:t>
            </w:r>
            <w:r w:rsidR="0071360A">
              <w:rPr>
                <w:rFonts w:ascii="Arial" w:eastAsia="Times New Roman" w:hAnsi="Arial" w:cs="Arial"/>
                <w:b/>
                <w:color w:val="000000"/>
                <w:lang w:val="sr-Cyrl-BA"/>
              </w:rPr>
              <w:t>пр</w:t>
            </w:r>
            <w:r w:rsidR="00892898" w:rsidRPr="00F6340E">
              <w:rPr>
                <w:rFonts w:ascii="Arial" w:eastAsia="Times New Roman" w:hAnsi="Arial" w:cs="Arial"/>
                <w:b/>
                <w:color w:val="000000"/>
                <w:lang w:val="sr-Cyrl-BA"/>
              </w:rPr>
              <w:t xml:space="preserve">. </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w:t>
            </w:r>
            <w:r>
              <w:rPr>
                <w:rFonts w:ascii="Arial" w:eastAsia="Times New Roman" w:hAnsi="Arial" w:cs="Arial"/>
                <w:b/>
                <w:color w:val="000000"/>
                <w:lang w:val="sr-Cyrl-BA"/>
              </w:rPr>
              <w:t>дн</w:t>
            </w:r>
            <w:r w:rsidR="00EE6AA2">
              <w:rPr>
                <w:rFonts w:ascii="Arial" w:eastAsia="Times New Roman" w:hAnsi="Arial" w:cs="Arial"/>
                <w:b/>
                <w:color w:val="000000"/>
                <w:lang w:val="sr-Cyrl-BA"/>
              </w:rPr>
              <w:t>е</w:t>
            </w:r>
            <w:r w:rsidR="0071360A">
              <w:rPr>
                <w:rFonts w:ascii="Arial" w:eastAsia="Times New Roman" w:hAnsi="Arial" w:cs="Arial"/>
                <w:b/>
                <w:color w:val="000000"/>
                <w:lang w:val="sr-Cyrl-BA"/>
              </w:rPr>
              <w:t>в</w:t>
            </w:r>
            <w:r>
              <w:rPr>
                <w:rFonts w:ascii="Arial" w:eastAsia="Times New Roman" w:hAnsi="Arial" w:cs="Arial"/>
                <w:b/>
                <w:color w:val="000000"/>
                <w:lang w:val="sr-Cyrl-BA"/>
              </w:rPr>
              <w:t>ник</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који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мог</w:t>
            </w:r>
            <w:r w:rsidR="0071360A">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би</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ин</w:t>
            </w:r>
            <w:r w:rsidR="0071360A">
              <w:rPr>
                <w:rFonts w:ascii="Arial" w:eastAsia="Times New Roman" w:hAnsi="Arial" w:cs="Arial"/>
                <w:b/>
                <w:color w:val="000000"/>
                <w:lang w:val="sr-Cyrl-BA"/>
              </w:rPr>
              <w:t>т</w:t>
            </w:r>
            <w:r w:rsidR="00EE6AA2">
              <w:rPr>
                <w:rFonts w:ascii="Arial" w:eastAsia="Times New Roman" w:hAnsi="Arial" w:cs="Arial"/>
                <w:b/>
                <w:color w:val="000000"/>
                <w:lang w:val="sr-Cyrl-BA"/>
              </w:rPr>
              <w:t>е</w:t>
            </w:r>
            <w:r>
              <w:rPr>
                <w:rFonts w:ascii="Arial" w:eastAsia="Times New Roman" w:hAnsi="Arial" w:cs="Arial"/>
                <w:b/>
                <w:color w:val="000000"/>
                <w:lang w:val="sr-Cyrl-BA"/>
              </w:rPr>
              <w:t>г</w:t>
            </w:r>
            <w:r w:rsidR="0071360A">
              <w:rPr>
                <w:rFonts w:ascii="Arial" w:eastAsia="Times New Roman" w:hAnsi="Arial" w:cs="Arial"/>
                <w:b/>
                <w:color w:val="000000"/>
                <w:lang w:val="sr-Cyrl-BA"/>
              </w:rPr>
              <w:t>р</w:t>
            </w:r>
            <w:r>
              <w:rPr>
                <w:rFonts w:ascii="Arial" w:eastAsia="Times New Roman" w:hAnsi="Arial" w:cs="Arial"/>
                <w:b/>
                <w:color w:val="000000"/>
                <w:lang w:val="sr-Cyrl-BA"/>
              </w:rPr>
              <w:t>и</w:t>
            </w:r>
            <w:r w:rsidR="0071360A">
              <w:rPr>
                <w:rFonts w:ascii="Arial" w:eastAsia="Times New Roman" w:hAnsi="Arial" w:cs="Arial"/>
                <w:b/>
                <w:color w:val="000000"/>
                <w:lang w:val="sr-Cyrl-BA"/>
              </w:rPr>
              <w:t>с</w:t>
            </w:r>
            <w:r>
              <w:rPr>
                <w:rFonts w:ascii="Arial" w:eastAsia="Times New Roman" w:hAnsi="Arial" w:cs="Arial"/>
                <w:b/>
                <w:color w:val="000000"/>
                <w:lang w:val="sr-Cyrl-BA"/>
              </w:rPr>
              <w:t>ани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sidR="001F47D7"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или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од</w:t>
            </w:r>
            <w:r w:rsidR="0071360A">
              <w:rPr>
                <w:rFonts w:ascii="Arial" w:eastAsia="Times New Roman" w:hAnsi="Arial" w:cs="Arial"/>
                <w:b/>
                <w:color w:val="000000"/>
                <w:lang w:val="sr-Cyrl-BA"/>
              </w:rPr>
              <w:t>в</w:t>
            </w:r>
            <w:r>
              <w:rPr>
                <w:rFonts w:ascii="Arial" w:eastAsia="Times New Roman" w:hAnsi="Arial" w:cs="Arial"/>
                <w:b/>
                <w:color w:val="000000"/>
                <w:lang w:val="sr-Cyrl-BA"/>
              </w:rPr>
              <w:t>ој</w:t>
            </w:r>
            <w:r w:rsidR="00EE6AA2">
              <w:rPr>
                <w:rFonts w:ascii="Arial" w:eastAsia="Times New Roman" w:hAnsi="Arial" w:cs="Arial"/>
                <w:b/>
                <w:color w:val="000000"/>
                <w:lang w:val="sr-Cyrl-BA"/>
              </w:rPr>
              <w:t>е</w:t>
            </w:r>
            <w:r>
              <w:rPr>
                <w:rFonts w:ascii="Arial" w:eastAsia="Times New Roman" w:hAnsi="Arial" w:cs="Arial"/>
                <w:b/>
                <w:color w:val="000000"/>
                <w:lang w:val="sr-Cyrl-BA"/>
              </w:rPr>
              <w:t>ни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од</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w:t>
            </w:r>
            <w:r>
              <w:rPr>
                <w:rFonts w:ascii="Arial" w:eastAsia="Times New Roman" w:hAnsi="Arial" w:cs="Arial"/>
                <w:b/>
                <w:color w:val="000000"/>
                <w:lang w:val="sr-Cyrl-BA"/>
              </w:rPr>
              <w:t>о</w:t>
            </w:r>
            <w:r w:rsidR="0071360A">
              <w:rPr>
                <w:rFonts w:ascii="Arial" w:eastAsia="Times New Roman" w:hAnsi="Arial" w:cs="Arial"/>
                <w:b/>
                <w:color w:val="000000"/>
                <w:lang w:val="sr-Cyrl-BA"/>
              </w:rPr>
              <w:t>ст</w:t>
            </w:r>
            <w:r>
              <w:rPr>
                <w:rFonts w:ascii="Arial" w:eastAsia="Times New Roman" w:hAnsi="Arial" w:cs="Arial"/>
                <w:b/>
                <w:color w:val="000000"/>
                <w:lang w:val="sr-Cyrl-BA"/>
              </w:rPr>
              <w:t>ој</w:t>
            </w:r>
            <w:r w:rsidR="00EE6AA2">
              <w:rPr>
                <w:rFonts w:ascii="Arial" w:eastAsia="Times New Roman" w:hAnsi="Arial" w:cs="Arial"/>
                <w:b/>
                <w:color w:val="000000"/>
                <w:lang w:val="sr-Cyrl-BA"/>
              </w:rPr>
              <w:t>е</w:t>
            </w:r>
            <w:r>
              <w:rPr>
                <w:rFonts w:ascii="Arial" w:eastAsia="Times New Roman" w:hAnsi="Arial" w:cs="Arial"/>
                <w:b/>
                <w:color w:val="000000"/>
                <w:lang w:val="sr-Cyrl-BA"/>
              </w:rPr>
              <w:t>ћих</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инфо</w:t>
            </w:r>
            <w:r w:rsidR="0071360A">
              <w:rPr>
                <w:rFonts w:ascii="Arial" w:eastAsia="Times New Roman" w:hAnsi="Arial" w:cs="Arial"/>
                <w:b/>
                <w:color w:val="000000"/>
                <w:lang w:val="sr-Cyrl-BA"/>
              </w:rPr>
              <w:t>р</w:t>
            </w:r>
            <w:r>
              <w:rPr>
                <w:rFonts w:ascii="Arial" w:eastAsia="Times New Roman" w:hAnsi="Arial" w:cs="Arial"/>
                <w:b/>
                <w:color w:val="000000"/>
                <w:lang w:val="sr-Cyrl-BA"/>
              </w:rPr>
              <w:t>ма</w:t>
            </w:r>
            <w:r w:rsidR="0071360A">
              <w:rPr>
                <w:rFonts w:ascii="Arial" w:eastAsia="Times New Roman" w:hAnsi="Arial" w:cs="Arial"/>
                <w:b/>
                <w:color w:val="000000"/>
                <w:lang w:val="sr-Cyrl-BA"/>
              </w:rPr>
              <w:t>т</w:t>
            </w:r>
            <w:r>
              <w:rPr>
                <w:rFonts w:ascii="Arial" w:eastAsia="Times New Roman" w:hAnsi="Arial" w:cs="Arial"/>
                <w:b/>
                <w:color w:val="000000"/>
                <w:lang w:val="sr-Cyrl-BA"/>
              </w:rPr>
              <w:t>ичких</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w:t>
            </w:r>
            <w:r>
              <w:rPr>
                <w:rFonts w:ascii="Arial" w:eastAsia="Times New Roman" w:hAnsi="Arial" w:cs="Arial"/>
                <w:b/>
                <w:color w:val="000000"/>
                <w:lang w:val="sr-Cyrl-BA"/>
              </w:rPr>
              <w:t>и</w:t>
            </w:r>
            <w:r w:rsidR="0071360A">
              <w:rPr>
                <w:rFonts w:ascii="Arial" w:eastAsia="Times New Roman" w:hAnsi="Arial" w:cs="Arial"/>
                <w:b/>
                <w:color w:val="000000"/>
                <w:lang w:val="sr-Cyrl-BA"/>
              </w:rPr>
              <w:t>ст</w:t>
            </w:r>
            <w:r w:rsidR="00EE6AA2">
              <w:rPr>
                <w:rFonts w:ascii="Arial" w:eastAsia="Times New Roman" w:hAnsi="Arial" w:cs="Arial"/>
                <w:b/>
                <w:color w:val="000000"/>
                <w:lang w:val="sr-Cyrl-BA"/>
              </w:rPr>
              <w:t>е</w:t>
            </w:r>
            <w:r>
              <w:rPr>
                <w:rFonts w:ascii="Arial" w:eastAsia="Times New Roman" w:hAnsi="Arial" w:cs="Arial"/>
                <w:b/>
                <w:color w:val="000000"/>
                <w:lang w:val="sr-Cyrl-BA"/>
              </w:rPr>
              <w:t>ма</w:t>
            </w:r>
          </w:p>
          <w:p w14:paraId="189E6D51" w14:textId="690FA548" w:rsidR="00892898" w:rsidRPr="00F6340E" w:rsidRDefault="0071360A" w:rsidP="00FB5CB7">
            <w:pPr>
              <w:pStyle w:val="ListParagraph"/>
              <w:ind w:left="360"/>
              <w:jc w:val="left"/>
              <w:rPr>
                <w:rFonts w:ascii="Arial" w:eastAsia="Times New Roman" w:hAnsi="Arial" w:cs="Arial"/>
                <w:color w:val="000000"/>
                <w:lang w:val="sr-Cyrl-BA"/>
              </w:rPr>
            </w:pPr>
            <w:r>
              <w:rPr>
                <w:rFonts w:ascii="Arial" w:eastAsia="Times New Roman" w:hAnsi="Arial" w:cs="Arial"/>
                <w:color w:val="000000"/>
                <w:lang w:val="sr-Cyrl-BA"/>
              </w:rPr>
              <w:t>Т</w:t>
            </w:r>
            <w:r w:rsidR="00A56E08">
              <w:rPr>
                <w:rFonts w:ascii="Arial" w:eastAsia="Times New Roman" w:hAnsi="Arial" w:cs="Arial"/>
                <w:color w:val="000000"/>
                <w:lang w:val="sr-Cyrl-BA"/>
              </w:rPr>
              <w:t>ака</w:t>
            </w:r>
            <w:r>
              <w:rPr>
                <w:rFonts w:ascii="Arial" w:eastAsia="Times New Roman" w:hAnsi="Arial" w:cs="Arial"/>
                <w:color w:val="000000"/>
                <w:lang w:val="sr-Cyrl-BA"/>
              </w:rPr>
              <w:t>в</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мод</w:t>
            </w:r>
            <w:r>
              <w:rPr>
                <w:rFonts w:ascii="Arial" w:eastAsia="Times New Roman" w:hAnsi="Arial" w:cs="Arial"/>
                <w:color w:val="000000"/>
                <w:lang w:val="sr-Cyrl-BA"/>
              </w:rPr>
              <w:t>у</w:t>
            </w:r>
            <w:r w:rsidR="00A56E08">
              <w:rPr>
                <w:rFonts w:ascii="Arial" w:eastAsia="Times New Roman" w:hAnsi="Arial" w:cs="Arial"/>
                <w:color w:val="000000"/>
                <w:lang w:val="sr-Cyrl-BA"/>
              </w:rPr>
              <w:t>л</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омог</w:t>
            </w:r>
            <w:r>
              <w:rPr>
                <w:rFonts w:ascii="Arial" w:eastAsia="Times New Roman" w:hAnsi="Arial" w:cs="Arial"/>
                <w:color w:val="000000"/>
                <w:lang w:val="sr-Cyrl-BA"/>
              </w:rPr>
              <w:t>у</w:t>
            </w:r>
            <w:r w:rsidR="00A56E08">
              <w:rPr>
                <w:rFonts w:ascii="Arial" w:eastAsia="Times New Roman" w:hAnsi="Arial" w:cs="Arial"/>
                <w:color w:val="000000"/>
                <w:lang w:val="sr-Cyrl-BA"/>
              </w:rPr>
              <w:t>ћа</w:t>
            </w:r>
            <w:r>
              <w:rPr>
                <w:rFonts w:ascii="Arial" w:eastAsia="Times New Roman" w:hAnsi="Arial" w:cs="Arial"/>
                <w:color w:val="000000"/>
                <w:lang w:val="sr-Cyrl-BA"/>
              </w:rPr>
              <w:t>в</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дно</w:t>
            </w:r>
            <w:r>
              <w:rPr>
                <w:rFonts w:ascii="Arial" w:eastAsia="Times New Roman" w:hAnsi="Arial" w:cs="Arial"/>
                <w:color w:val="000000"/>
                <w:lang w:val="sr-Cyrl-BA"/>
              </w:rPr>
              <w:t>ст</w:t>
            </w:r>
            <w:r w:rsidR="00A56E08">
              <w:rPr>
                <w:rFonts w:ascii="Arial" w:eastAsia="Times New Roman" w:hAnsi="Arial" w:cs="Arial"/>
                <w:color w:val="000000"/>
                <w:lang w:val="sr-Cyrl-BA"/>
              </w:rPr>
              <w:t>а</w:t>
            </w:r>
            <w:r>
              <w:rPr>
                <w:rFonts w:ascii="Arial" w:eastAsia="Times New Roman" w:hAnsi="Arial" w:cs="Arial"/>
                <w:color w:val="000000"/>
                <w:lang w:val="sr-Cyrl-BA"/>
              </w:rPr>
              <w:t>в</w:t>
            </w:r>
            <w:r w:rsidR="00A56E08">
              <w:rPr>
                <w:rFonts w:ascii="Arial" w:eastAsia="Times New Roman" w:hAnsi="Arial" w:cs="Arial"/>
                <w:color w:val="000000"/>
                <w:lang w:val="sr-Cyrl-BA"/>
              </w:rPr>
              <w:t>ниј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Pr>
                <w:rFonts w:ascii="Arial" w:eastAsia="Times New Roman" w:hAnsi="Arial" w:cs="Arial"/>
                <w:color w:val="000000"/>
                <w:lang w:val="sr-Cyrl-BA"/>
              </w:rPr>
              <w:t>в</w:t>
            </w:r>
            <w:r w:rsidR="00A56E08">
              <w:rPr>
                <w:rFonts w:ascii="Arial" w:eastAsia="Times New Roman" w:hAnsi="Arial" w:cs="Arial"/>
                <w:color w:val="000000"/>
                <w:lang w:val="sr-Cyrl-BA"/>
              </w:rPr>
              <w:t>ид</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т</w:t>
            </w:r>
            <w:r w:rsidR="00A56E08">
              <w:rPr>
                <w:rFonts w:ascii="Arial" w:eastAsia="Times New Roman" w:hAnsi="Arial" w:cs="Arial"/>
                <w:color w:val="000000"/>
                <w:lang w:val="sr-Cyrl-BA"/>
              </w:rPr>
              <w:t>и</w:t>
            </w:r>
            <w:r>
              <w:rPr>
                <w:rFonts w:ascii="Arial" w:eastAsia="Times New Roman" w:hAnsi="Arial" w:cs="Arial"/>
                <w:color w:val="000000"/>
                <w:lang w:val="sr-Cyrl-BA"/>
              </w:rPr>
              <w:t>р</w:t>
            </w:r>
            <w:r w:rsidR="00A56E08">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аћ</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Pr>
                <w:rFonts w:ascii="Arial" w:eastAsia="Times New Roman" w:hAnsi="Arial" w:cs="Arial"/>
                <w:color w:val="000000"/>
                <w:lang w:val="sr-Cyrl-BA"/>
              </w:rPr>
              <w:t>пр</w:t>
            </w:r>
            <w:r w:rsidR="00EE6AA2">
              <w:rPr>
                <w:rFonts w:ascii="Arial" w:eastAsia="Times New Roman" w:hAnsi="Arial" w:cs="Arial"/>
                <w:color w:val="000000"/>
                <w:lang w:val="sr-Cyrl-BA"/>
              </w:rPr>
              <w:t>е</w:t>
            </w:r>
            <w:r>
              <w:rPr>
                <w:rFonts w:ascii="Arial" w:eastAsia="Times New Roman" w:hAnsi="Arial" w:cs="Arial"/>
                <w:color w:val="000000"/>
                <w:lang w:val="sr-Cyrl-BA"/>
              </w:rPr>
              <w:t>т</w:t>
            </w:r>
            <w:r w:rsidR="00A56E08">
              <w:rPr>
                <w:rFonts w:ascii="Arial" w:eastAsia="Times New Roman" w:hAnsi="Arial" w:cs="Arial"/>
                <w:color w:val="000000"/>
                <w:lang w:val="sr-Cyrl-BA"/>
              </w:rPr>
              <w:t>ка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ч</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w:t>
            </w:r>
            <w:r>
              <w:rPr>
                <w:rFonts w:ascii="Arial" w:eastAsia="Times New Roman" w:hAnsi="Arial" w:cs="Arial"/>
                <w:color w:val="000000"/>
                <w:lang w:val="sr-Cyrl-BA"/>
              </w:rPr>
              <w:t>с</w:t>
            </w:r>
            <w:r w:rsidR="00A56E08">
              <w:rPr>
                <w:rFonts w:ascii="Arial" w:eastAsia="Times New Roman" w:hAnsi="Arial" w:cs="Arial"/>
                <w:color w:val="000000"/>
                <w:lang w:val="sr-Cyrl-BA"/>
              </w:rPr>
              <w:t>иг</w:t>
            </w:r>
            <w:r>
              <w:rPr>
                <w:rFonts w:ascii="Arial" w:eastAsia="Times New Roman" w:hAnsi="Arial" w:cs="Arial"/>
                <w:color w:val="000000"/>
                <w:lang w:val="sr-Cyrl-BA"/>
              </w:rPr>
              <w:t>ур</w:t>
            </w:r>
            <w:r w:rsidR="00A56E08">
              <w:rPr>
                <w:rFonts w:ascii="Arial" w:eastAsia="Times New Roman" w:hAnsi="Arial" w:cs="Arial"/>
                <w:color w:val="000000"/>
                <w:lang w:val="sr-Cyrl-BA"/>
              </w:rPr>
              <w:t>а</w:t>
            </w:r>
            <w:r>
              <w:rPr>
                <w:rFonts w:ascii="Arial" w:eastAsia="Times New Roman" w:hAnsi="Arial" w:cs="Arial"/>
                <w:color w:val="000000"/>
                <w:lang w:val="sr-Cyrl-BA"/>
              </w:rPr>
              <w:t>в</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тр</w:t>
            </w:r>
            <w:r w:rsidR="00A56E08">
              <w:rPr>
                <w:rFonts w:ascii="Arial" w:eastAsia="Times New Roman" w:hAnsi="Arial" w:cs="Arial"/>
                <w:color w:val="000000"/>
                <w:lang w:val="sr-Cyrl-BA"/>
              </w:rPr>
              <w:t>ан</w:t>
            </w:r>
            <w:r>
              <w:rPr>
                <w:rFonts w:ascii="Arial" w:eastAsia="Times New Roman" w:hAnsi="Arial" w:cs="Arial"/>
                <w:color w:val="000000"/>
                <w:lang w:val="sr-Cyrl-BA"/>
              </w:rPr>
              <w:t>сп</w:t>
            </w:r>
            <w:r w:rsidR="00A56E08">
              <w:rPr>
                <w:rFonts w:ascii="Arial" w:eastAsia="Times New Roman" w:hAnsi="Arial" w:cs="Arial"/>
                <w:color w:val="000000"/>
                <w:lang w:val="sr-Cyrl-BA"/>
              </w:rPr>
              <w:t>а</w:t>
            </w:r>
            <w:r>
              <w:rPr>
                <w:rFonts w:ascii="Arial" w:eastAsia="Times New Roman" w:hAnsi="Arial" w:cs="Arial"/>
                <w:color w:val="000000"/>
                <w:lang w:val="sr-Cyrl-BA"/>
              </w:rPr>
              <w:t>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т</w:t>
            </w:r>
            <w:r w:rsidR="00A56E08">
              <w:rPr>
                <w:rFonts w:ascii="Arial" w:eastAsia="Times New Roman" w:hAnsi="Arial" w:cs="Arial"/>
                <w:color w:val="000000"/>
                <w:lang w:val="sr-Cyrl-BA"/>
              </w:rPr>
              <w:t>но</w:t>
            </w:r>
            <w:r>
              <w:rPr>
                <w:rFonts w:ascii="Arial" w:eastAsia="Times New Roman" w:hAnsi="Arial" w:cs="Arial"/>
                <w:color w:val="000000"/>
                <w:lang w:val="sr-Cyrl-BA"/>
              </w:rPr>
              <w:t>ст</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до</w:t>
            </w:r>
            <w:r>
              <w:rPr>
                <w:rFonts w:ascii="Arial" w:eastAsia="Times New Roman" w:hAnsi="Arial" w:cs="Arial"/>
                <w:color w:val="000000"/>
                <w:lang w:val="sr-Cyrl-BA"/>
              </w:rPr>
              <w:t>ступ</w:t>
            </w:r>
            <w:r w:rsidR="00A56E08">
              <w:rPr>
                <w:rFonts w:ascii="Arial" w:eastAsia="Times New Roman" w:hAnsi="Arial" w:cs="Arial"/>
                <w:color w:val="000000"/>
                <w:lang w:val="sr-Cyrl-BA"/>
              </w:rPr>
              <w:t>но</w:t>
            </w:r>
            <w:r>
              <w:rPr>
                <w:rFonts w:ascii="Arial" w:eastAsia="Times New Roman" w:hAnsi="Arial" w:cs="Arial"/>
                <w:color w:val="000000"/>
                <w:lang w:val="sr-Cyrl-BA"/>
              </w:rPr>
              <w:t>ст</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инфо</w:t>
            </w:r>
            <w:r>
              <w:rPr>
                <w:rFonts w:ascii="Arial" w:eastAsia="Times New Roman" w:hAnsi="Arial" w:cs="Arial"/>
                <w:color w:val="000000"/>
                <w:lang w:val="sr-Cyrl-BA"/>
              </w:rPr>
              <w:t>р</w:t>
            </w:r>
            <w:r w:rsidR="00A56E08">
              <w:rPr>
                <w:rFonts w:ascii="Arial" w:eastAsia="Times New Roman" w:hAnsi="Arial" w:cs="Arial"/>
                <w:color w:val="000000"/>
                <w:lang w:val="sr-Cyrl-BA"/>
              </w:rPr>
              <w:t>мација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ч</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ницима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р</w:t>
            </w:r>
            <w:r w:rsidR="00A56E08">
              <w:rPr>
                <w:rFonts w:ascii="Arial" w:eastAsia="Times New Roman" w:hAnsi="Arial" w:cs="Arial"/>
                <w:color w:val="000000"/>
                <w:lang w:val="sr-Cyrl-BA"/>
              </w:rPr>
              <w:t>оди</w:t>
            </w:r>
            <w:r>
              <w:rPr>
                <w:rFonts w:ascii="Arial" w:eastAsia="Times New Roman" w:hAnsi="Arial" w:cs="Arial"/>
                <w:color w:val="000000"/>
                <w:lang w:val="sr-Cyrl-BA"/>
              </w:rPr>
              <w:t>т</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љима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Pr>
                <w:rFonts w:ascii="Arial" w:eastAsia="Times New Roman" w:hAnsi="Arial" w:cs="Arial"/>
                <w:color w:val="000000"/>
                <w:lang w:val="sr-Cyrl-BA"/>
              </w:rPr>
              <w:t>ст</w:t>
            </w:r>
            <w:r w:rsidR="00A56E08">
              <w:rPr>
                <w:rFonts w:ascii="Arial" w:eastAsia="Times New Roman" w:hAnsi="Arial" w:cs="Arial"/>
                <w:color w:val="000000"/>
                <w:lang w:val="sr-Cyrl-BA"/>
              </w:rPr>
              <w:t>а</w:t>
            </w:r>
            <w:r>
              <w:rPr>
                <w:rFonts w:ascii="Arial" w:eastAsia="Times New Roman" w:hAnsi="Arial" w:cs="Arial"/>
                <w:color w:val="000000"/>
                <w:lang w:val="sr-Cyrl-BA"/>
              </w:rPr>
              <w:t>в</w:t>
            </w:r>
            <w:r w:rsidR="00A56E08">
              <w:rPr>
                <w:rFonts w:ascii="Arial" w:eastAsia="Times New Roman" w:hAnsi="Arial" w:cs="Arial"/>
                <w:color w:val="000000"/>
                <w:lang w:val="sr-Cyrl-BA"/>
              </w:rPr>
              <w:t>ницима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али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надл</w:t>
            </w:r>
            <w:r w:rsidR="00EE6AA2">
              <w:rPr>
                <w:rFonts w:ascii="Arial" w:eastAsia="Times New Roman" w:hAnsi="Arial" w:cs="Arial"/>
                <w:color w:val="000000"/>
                <w:lang w:val="sr-Cyrl-BA"/>
              </w:rPr>
              <w:t>е</w:t>
            </w:r>
            <w:r w:rsidR="00171F00">
              <w:rPr>
                <w:rFonts w:ascii="Arial" w:eastAsia="Times New Roman" w:hAnsi="Arial" w:cs="Arial"/>
                <w:color w:val="000000"/>
                <w:lang w:val="sr-Cyrl-BA"/>
              </w:rPr>
              <w:t>ж</w:t>
            </w:r>
            <w:r w:rsidR="00A56E08">
              <w:rPr>
                <w:rFonts w:ascii="Arial" w:eastAsia="Times New Roman" w:hAnsi="Arial" w:cs="Arial"/>
                <w:color w:val="000000"/>
                <w:lang w:val="sr-Cyrl-BA"/>
              </w:rPr>
              <w:t>ним</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мини</w:t>
            </w:r>
            <w:r>
              <w:rPr>
                <w:rFonts w:ascii="Arial" w:eastAsia="Times New Roman" w:hAnsi="Arial" w:cs="Arial"/>
                <w:color w:val="000000"/>
                <w:lang w:val="sr-Cyrl-BA"/>
              </w:rPr>
              <w:t>ст</w:t>
            </w:r>
            <w:r w:rsidR="00A56E08">
              <w:rPr>
                <w:rFonts w:ascii="Arial" w:eastAsia="Times New Roman" w:hAnsi="Arial" w:cs="Arial"/>
                <w:color w:val="000000"/>
                <w:lang w:val="sr-Cyrl-BA"/>
              </w:rPr>
              <w:t>а</w:t>
            </w:r>
            <w:r>
              <w:rPr>
                <w:rFonts w:ascii="Arial" w:eastAsia="Times New Roman" w:hAnsi="Arial" w:cs="Arial"/>
                <w:color w:val="000000"/>
                <w:lang w:val="sr-Cyrl-BA"/>
              </w:rPr>
              <w:t>рств</w:t>
            </w:r>
            <w:r w:rsidR="00A56E08">
              <w:rPr>
                <w:rFonts w:ascii="Arial" w:eastAsia="Times New Roman" w:hAnsi="Arial" w:cs="Arial"/>
                <w:color w:val="000000"/>
                <w:lang w:val="sr-Cyrl-BA"/>
              </w:rPr>
              <w:t>има</w:t>
            </w:r>
            <w:r w:rsidR="00892898" w:rsidRPr="00F6340E">
              <w:rPr>
                <w:rFonts w:ascii="Arial" w:eastAsia="Times New Roman" w:hAnsi="Arial" w:cs="Arial"/>
                <w:color w:val="000000"/>
                <w:lang w:val="sr-Cyrl-BA"/>
              </w:rPr>
              <w:t xml:space="preserve">.  </w:t>
            </w:r>
          </w:p>
          <w:p w14:paraId="10D48A0E" w14:textId="75CB8DA7" w:rsidR="00892898" w:rsidRPr="00F6340E" w:rsidRDefault="0071360A"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Р</w:t>
            </w:r>
            <w:r w:rsidR="00A56E08">
              <w:rPr>
                <w:rFonts w:ascii="Arial" w:eastAsia="Times New Roman" w:hAnsi="Arial" w:cs="Arial"/>
                <w:b/>
                <w:color w:val="000000"/>
                <w:lang w:val="sr-Cyrl-BA"/>
              </w:rPr>
              <w:t>а</w:t>
            </w:r>
            <w:r w:rsidR="00171F00">
              <w:rPr>
                <w:rFonts w:ascii="Arial" w:eastAsia="Times New Roman" w:hAnsi="Arial" w:cs="Arial"/>
                <w:b/>
                <w:color w:val="000000"/>
                <w:lang w:val="sr-Cyrl-BA"/>
              </w:rPr>
              <w:t>з</w:t>
            </w:r>
            <w:r>
              <w:rPr>
                <w:rFonts w:ascii="Arial" w:eastAsia="Times New Roman" w:hAnsi="Arial" w:cs="Arial"/>
                <w:b/>
                <w:color w:val="000000"/>
                <w:lang w:val="sr-Cyrl-BA"/>
              </w:rPr>
              <w:t>в</w:t>
            </w:r>
            <w:r w:rsidR="00A56E08">
              <w:rPr>
                <w:rFonts w:ascii="Arial" w:eastAsia="Times New Roman" w:hAnsi="Arial" w:cs="Arial"/>
                <w:b/>
                <w:color w:val="000000"/>
                <w:lang w:val="sr-Cyrl-BA"/>
              </w:rPr>
              <w:t>и</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w:t>
            </w:r>
            <w:r w:rsidR="00A56E08">
              <w:rPr>
                <w:rFonts w:ascii="Arial" w:eastAsia="Times New Roman" w:hAnsi="Arial" w:cs="Arial"/>
                <w:b/>
                <w:color w:val="000000"/>
                <w:lang w:val="sr-Cyrl-BA"/>
              </w:rPr>
              <w:t>или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у</w:t>
            </w:r>
            <w:r w:rsidR="00A56E08">
              <w:rPr>
                <w:rFonts w:ascii="Arial" w:eastAsia="Times New Roman" w:hAnsi="Arial" w:cs="Arial"/>
                <w:b/>
                <w:color w:val="000000"/>
                <w:lang w:val="sr-Cyrl-BA"/>
              </w:rPr>
              <w:t>на</w:t>
            </w:r>
            <w:r>
              <w:rPr>
                <w:rFonts w:ascii="Arial" w:eastAsia="Times New Roman" w:hAnsi="Arial" w:cs="Arial"/>
                <w:b/>
                <w:color w:val="000000"/>
                <w:lang w:val="sr-Cyrl-BA"/>
              </w:rPr>
              <w:t>пр</w:t>
            </w:r>
            <w:r w:rsidR="00A56E08">
              <w:rPr>
                <w:rFonts w:ascii="Arial" w:eastAsia="Times New Roman" w:hAnsi="Arial" w:cs="Arial"/>
                <w:b/>
                <w:color w:val="000000"/>
                <w:lang w:val="sr-Cyrl-BA"/>
              </w:rPr>
              <w:t>иј</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ди</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ст</w:t>
            </w:r>
            <w:r w:rsidR="00A56E08">
              <w:rPr>
                <w:rFonts w:ascii="Arial" w:eastAsia="Times New Roman" w:hAnsi="Arial" w:cs="Arial"/>
                <w:b/>
                <w:color w:val="000000"/>
                <w:lang w:val="sr-Cyrl-BA"/>
              </w:rPr>
              <w:t>ој</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ћ</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ла</w:t>
            </w:r>
            <w:r>
              <w:rPr>
                <w:rFonts w:ascii="Arial" w:eastAsia="Times New Roman" w:hAnsi="Arial" w:cs="Arial"/>
                <w:b/>
                <w:color w:val="000000"/>
                <w:lang w:val="sr-Cyrl-BA"/>
              </w:rPr>
              <w:t>т</w:t>
            </w:r>
            <w:r w:rsidR="00A56E08">
              <w:rPr>
                <w:rFonts w:ascii="Arial" w:eastAsia="Times New Roman" w:hAnsi="Arial" w:cs="Arial"/>
                <w:b/>
                <w:color w:val="000000"/>
                <w:lang w:val="sr-Cyrl-BA"/>
              </w:rPr>
              <w:t>фо</w:t>
            </w:r>
            <w:r>
              <w:rPr>
                <w:rFonts w:ascii="Arial" w:eastAsia="Times New Roman" w:hAnsi="Arial" w:cs="Arial"/>
                <w:b/>
                <w:color w:val="000000"/>
                <w:lang w:val="sr-Cyrl-BA"/>
              </w:rPr>
              <w:t>р</w:t>
            </w:r>
            <w:r w:rsidR="00A56E08">
              <w:rPr>
                <w:rFonts w:ascii="Arial" w:eastAsia="Times New Roman" w:hAnsi="Arial" w:cs="Arial"/>
                <w:b/>
                <w:color w:val="000000"/>
                <w:lang w:val="sr-Cyrl-BA"/>
              </w:rPr>
              <w:t>м</w:t>
            </w:r>
            <w:r w:rsidR="00EE6AA2">
              <w:rPr>
                <w:rFonts w:ascii="Arial" w:eastAsia="Times New Roman" w:hAnsi="Arial" w:cs="Arial"/>
                <w:b/>
                <w:color w:val="000000"/>
                <w:lang w:val="sr-Cyrl-BA"/>
              </w:rPr>
              <w:t>е</w:t>
            </w:r>
            <w:r w:rsidR="000C6F5F" w:rsidRPr="00F6340E">
              <w:rPr>
                <w:rFonts w:ascii="Arial" w:eastAsia="Times New Roman" w:hAnsi="Arial" w:cs="Arial"/>
                <w:b/>
                <w:color w:val="000000"/>
                <w:lang w:val="sr-Cyrl-BA"/>
              </w:rPr>
              <w:t>/</w:t>
            </w:r>
            <w:r w:rsidR="00A56E08">
              <w:rPr>
                <w:rFonts w:ascii="Arial" w:eastAsia="Times New Roman" w:hAnsi="Arial" w:cs="Arial"/>
                <w:b/>
                <w:color w:val="000000"/>
                <w:lang w:val="sr-Cyrl-BA"/>
              </w:rPr>
              <w:t>инфо</w:t>
            </w:r>
            <w:r>
              <w:rPr>
                <w:rFonts w:ascii="Arial" w:eastAsia="Times New Roman" w:hAnsi="Arial" w:cs="Arial"/>
                <w:b/>
                <w:color w:val="000000"/>
                <w:lang w:val="sr-Cyrl-BA"/>
              </w:rPr>
              <w:t>р</w:t>
            </w:r>
            <w:r w:rsidR="00A56E08">
              <w:rPr>
                <w:rFonts w:ascii="Arial" w:eastAsia="Times New Roman" w:hAnsi="Arial" w:cs="Arial"/>
                <w:b/>
                <w:color w:val="000000"/>
                <w:lang w:val="sr-Cyrl-BA"/>
              </w:rPr>
              <w:t>ма</w:t>
            </w:r>
            <w:r>
              <w:rPr>
                <w:rFonts w:ascii="Arial" w:eastAsia="Times New Roman" w:hAnsi="Arial" w:cs="Arial"/>
                <w:b/>
                <w:color w:val="000000"/>
                <w:lang w:val="sr-Cyrl-BA"/>
              </w:rPr>
              <w:t>т</w:t>
            </w:r>
            <w:r w:rsidR="00A56E08">
              <w:rPr>
                <w:rFonts w:ascii="Arial" w:eastAsia="Times New Roman" w:hAnsi="Arial" w:cs="Arial"/>
                <w:b/>
                <w:color w:val="000000"/>
                <w:lang w:val="sr-Cyrl-BA"/>
              </w:rPr>
              <w:t>ичк</w:t>
            </w:r>
            <w:r w:rsidR="00EE6AA2">
              <w:rPr>
                <w:rFonts w:ascii="Arial" w:eastAsia="Times New Roman" w:hAnsi="Arial" w:cs="Arial"/>
                <w:b/>
                <w:color w:val="000000"/>
                <w:lang w:val="sr-Cyrl-BA"/>
              </w:rPr>
              <w:t>е</w:t>
            </w:r>
            <w:r w:rsidR="000C6F5F"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w:t>
            </w:r>
            <w:r w:rsidR="00A56E08">
              <w:rPr>
                <w:rFonts w:ascii="Arial" w:eastAsia="Times New Roman" w:hAnsi="Arial" w:cs="Arial"/>
                <w:b/>
                <w:color w:val="000000"/>
                <w:lang w:val="sr-Cyrl-BA"/>
              </w:rPr>
              <w:t>и</w:t>
            </w:r>
            <w:r>
              <w:rPr>
                <w:rFonts w:ascii="Arial" w:eastAsia="Times New Roman" w:hAnsi="Arial" w:cs="Arial"/>
                <w:b/>
                <w:color w:val="000000"/>
                <w:lang w:val="sr-Cyrl-BA"/>
              </w:rPr>
              <w:t>ст</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м</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аћ</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ст</w:t>
            </w:r>
            <w:r w:rsidR="00A56E08">
              <w:rPr>
                <w:rFonts w:ascii="Arial" w:eastAsia="Times New Roman" w:hAnsi="Arial" w:cs="Arial"/>
                <w:b/>
                <w:color w:val="000000"/>
                <w:lang w:val="sr-Cyrl-BA"/>
              </w:rPr>
              <w:t>игн</w:t>
            </w:r>
            <w:r>
              <w:rPr>
                <w:rFonts w:ascii="Arial" w:eastAsia="Times New Roman" w:hAnsi="Arial" w:cs="Arial"/>
                <w:b/>
                <w:color w:val="000000"/>
                <w:lang w:val="sr-Cyrl-BA"/>
              </w:rPr>
              <w:t>у</w:t>
            </w:r>
            <w:r w:rsidR="00A56E08">
              <w:rPr>
                <w:rFonts w:ascii="Arial" w:eastAsia="Times New Roman" w:hAnsi="Arial" w:cs="Arial"/>
                <w:b/>
                <w:color w:val="000000"/>
                <w:lang w:val="sr-Cyrl-BA"/>
              </w:rPr>
              <w:t>ћа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сту</w:t>
            </w:r>
            <w:r w:rsidR="00A56E08">
              <w:rPr>
                <w:rFonts w:ascii="Arial" w:eastAsia="Times New Roman" w:hAnsi="Arial" w:cs="Arial"/>
                <w:b/>
                <w:color w:val="000000"/>
                <w:lang w:val="sr-Cyrl-BA"/>
              </w:rPr>
              <w:t>д</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на</w:t>
            </w:r>
            <w:r>
              <w:rPr>
                <w:rFonts w:ascii="Arial" w:eastAsia="Times New Roman" w:hAnsi="Arial" w:cs="Arial"/>
                <w:b/>
                <w:color w:val="000000"/>
                <w:lang w:val="sr-Cyrl-BA"/>
              </w:rPr>
              <w:t>т</w:t>
            </w:r>
            <w:r w:rsidR="00A56E08">
              <w:rPr>
                <w:rFonts w:ascii="Arial" w:eastAsia="Times New Roman" w:hAnsi="Arial" w:cs="Arial"/>
                <w:b/>
                <w:color w:val="000000"/>
                <w:lang w:val="sr-Cyrl-BA"/>
              </w:rPr>
              <w:t>а</w:t>
            </w:r>
            <w:r w:rsidR="00A90C7E" w:rsidRPr="00F6340E">
              <w:rPr>
                <w:rStyle w:val="FootnoteReference"/>
                <w:rFonts w:ascii="Arial" w:eastAsia="Times New Roman" w:hAnsi="Arial" w:cs="Arial"/>
                <w:b/>
                <w:color w:val="000000"/>
                <w:lang w:val="sr-Cyrl-BA"/>
              </w:rPr>
              <w:footnoteReference w:id="26"/>
            </w:r>
          </w:p>
          <w:p w14:paraId="44C0F575" w14:textId="0101C86F" w:rsidR="00892898" w:rsidRPr="00F6340E" w:rsidRDefault="0071360A" w:rsidP="00FB5CB7">
            <w:pPr>
              <w:pStyle w:val="ListParagraph"/>
              <w:ind w:left="360"/>
              <w:jc w:val="left"/>
              <w:rPr>
                <w:rFonts w:ascii="Arial" w:eastAsia="Times New Roman" w:hAnsi="Arial" w:cs="Arial"/>
                <w:color w:val="000000"/>
                <w:lang w:val="sr-Cyrl-BA"/>
              </w:rPr>
            </w:pPr>
            <w:r>
              <w:rPr>
                <w:rFonts w:ascii="Arial" w:eastAsia="Times New Roman" w:hAnsi="Arial" w:cs="Arial"/>
                <w:color w:val="000000"/>
                <w:lang w:val="sr-Cyrl-BA"/>
              </w:rPr>
              <w:t>Пр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ма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оба</w:t>
            </w:r>
            <w:r>
              <w:rPr>
                <w:rFonts w:ascii="Arial" w:eastAsia="Times New Roman" w:hAnsi="Arial" w:cs="Arial"/>
                <w:color w:val="000000"/>
                <w:lang w:val="sr-Cyrl-BA"/>
              </w:rPr>
              <w:t>в</w:t>
            </w:r>
            <w:r w:rsidR="00EE6AA2">
              <w:rPr>
                <w:rFonts w:ascii="Arial" w:eastAsia="Times New Roman" w:hAnsi="Arial" w:cs="Arial"/>
                <w:color w:val="000000"/>
                <w:lang w:val="sr-Cyrl-BA"/>
              </w:rPr>
              <w:t>е</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ама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кон</w:t>
            </w:r>
            <w:r>
              <w:rPr>
                <w:rFonts w:ascii="Arial" w:eastAsia="Times New Roman" w:hAnsi="Arial" w:cs="Arial"/>
                <w:color w:val="000000"/>
                <w:lang w:val="sr-Cyrl-BA"/>
              </w:rPr>
              <w:t>т</w:t>
            </w:r>
            <w:r w:rsidR="00A56E08">
              <w:rPr>
                <w:rFonts w:ascii="Arial" w:eastAsia="Times New Roman" w:hAnsi="Arial" w:cs="Arial"/>
                <w:color w:val="000000"/>
                <w:lang w:val="sr-Cyrl-BA"/>
              </w:rPr>
              <w:t>ин</w:t>
            </w:r>
            <w:r>
              <w:rPr>
                <w:rFonts w:ascii="Arial" w:eastAsia="Times New Roman" w:hAnsi="Arial" w:cs="Arial"/>
                <w:color w:val="000000"/>
                <w:lang w:val="sr-Cyrl-BA"/>
              </w:rPr>
              <w:t>у</w:t>
            </w:r>
            <w:r w:rsidR="00A56E08">
              <w:rPr>
                <w:rFonts w:ascii="Arial" w:eastAsia="Times New Roman" w:hAnsi="Arial" w:cs="Arial"/>
                <w:color w:val="000000"/>
                <w:lang w:val="sr-Cyrl-BA"/>
              </w:rPr>
              <w:t>алног</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аћ</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ња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вр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дно</w:t>
            </w:r>
            <w:r>
              <w:rPr>
                <w:rFonts w:ascii="Arial" w:eastAsia="Times New Roman" w:hAnsi="Arial" w:cs="Arial"/>
                <w:color w:val="000000"/>
                <w:lang w:val="sr-Cyrl-BA"/>
              </w:rPr>
              <w:t>в</w:t>
            </w:r>
            <w:r w:rsidR="00A56E08">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о</w:t>
            </w:r>
            <w:r>
              <w:rPr>
                <w:rFonts w:ascii="Arial" w:eastAsia="Times New Roman" w:hAnsi="Arial" w:cs="Arial"/>
                <w:color w:val="000000"/>
                <w:lang w:val="sr-Cyrl-BA"/>
              </w:rPr>
              <w:t>ст</w:t>
            </w:r>
            <w:r w:rsidR="00A56E08">
              <w:rPr>
                <w:rFonts w:ascii="Arial" w:eastAsia="Times New Roman" w:hAnsi="Arial" w:cs="Arial"/>
                <w:color w:val="000000"/>
                <w:lang w:val="sr-Cyrl-BA"/>
              </w:rPr>
              <w:t>игн</w:t>
            </w:r>
            <w:r>
              <w:rPr>
                <w:rFonts w:ascii="Arial" w:eastAsia="Times New Roman" w:hAnsi="Arial" w:cs="Arial"/>
                <w:color w:val="000000"/>
                <w:lang w:val="sr-Cyrl-BA"/>
              </w:rPr>
              <w:t>у</w:t>
            </w:r>
            <w:r w:rsidR="00A56E08">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сту</w:t>
            </w:r>
            <w:r w:rsidR="00A56E08">
              <w:rPr>
                <w:rFonts w:ascii="Arial" w:eastAsia="Times New Roman" w:hAnsi="Arial" w:cs="Arial"/>
                <w:color w:val="000000"/>
                <w:lang w:val="sr-Cyrl-BA"/>
              </w:rPr>
              <w:t>д</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на</w:t>
            </w:r>
            <w:r>
              <w:rPr>
                <w:rFonts w:ascii="Arial" w:eastAsia="Times New Roman" w:hAnsi="Arial" w:cs="Arial"/>
                <w:color w:val="000000"/>
                <w:lang w:val="sr-Cyrl-BA"/>
              </w:rPr>
              <w:t>т</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т</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тр</w:t>
            </w:r>
            <w:r w:rsidR="00A56E08">
              <w:rPr>
                <w:rFonts w:ascii="Arial" w:eastAsia="Times New Roman" w:hAnsi="Arial" w:cs="Arial"/>
                <w:color w:val="000000"/>
                <w:lang w:val="sr-Cyrl-BA"/>
              </w:rPr>
              <w:t>ан</w:t>
            </w:r>
            <w:r>
              <w:rPr>
                <w:rFonts w:ascii="Arial" w:eastAsia="Times New Roman" w:hAnsi="Arial" w:cs="Arial"/>
                <w:color w:val="000000"/>
                <w:lang w:val="sr-Cyrl-BA"/>
              </w:rPr>
              <w:t>сп</w:t>
            </w:r>
            <w:r w:rsidR="00A56E08">
              <w:rPr>
                <w:rFonts w:ascii="Arial" w:eastAsia="Times New Roman" w:hAnsi="Arial" w:cs="Arial"/>
                <w:color w:val="000000"/>
                <w:lang w:val="sr-Cyrl-BA"/>
              </w:rPr>
              <w:t>а</w:t>
            </w:r>
            <w:r>
              <w:rPr>
                <w:rFonts w:ascii="Arial" w:eastAsia="Times New Roman" w:hAnsi="Arial" w:cs="Arial"/>
                <w:color w:val="000000"/>
                <w:lang w:val="sr-Cyrl-BA"/>
              </w:rPr>
              <w:t>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т</w:t>
            </w:r>
            <w:r w:rsidR="00A56E08">
              <w:rPr>
                <w:rFonts w:ascii="Arial" w:eastAsia="Times New Roman" w:hAnsi="Arial" w:cs="Arial"/>
                <w:color w:val="000000"/>
                <w:lang w:val="sr-Cyrl-BA"/>
              </w:rPr>
              <w:t>но</w:t>
            </w:r>
            <w:r>
              <w:rPr>
                <w:rFonts w:ascii="Arial" w:eastAsia="Times New Roman" w:hAnsi="Arial" w:cs="Arial"/>
                <w:color w:val="000000"/>
                <w:lang w:val="sr-Cyrl-BA"/>
              </w:rPr>
              <w:t>ст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до</w:t>
            </w:r>
            <w:r>
              <w:rPr>
                <w:rFonts w:ascii="Arial" w:eastAsia="Times New Roman" w:hAnsi="Arial" w:cs="Arial"/>
                <w:color w:val="000000"/>
                <w:lang w:val="sr-Cyrl-BA"/>
              </w:rPr>
              <w:t>ступ</w:t>
            </w:r>
            <w:r w:rsidR="00A56E08">
              <w:rPr>
                <w:rFonts w:ascii="Arial" w:eastAsia="Times New Roman" w:hAnsi="Arial" w:cs="Arial"/>
                <w:color w:val="000000"/>
                <w:lang w:val="sr-Cyrl-BA"/>
              </w:rPr>
              <w:t>но</w:t>
            </w:r>
            <w:r>
              <w:rPr>
                <w:rFonts w:ascii="Arial" w:eastAsia="Times New Roman" w:hAnsi="Arial" w:cs="Arial"/>
                <w:color w:val="000000"/>
                <w:lang w:val="sr-Cyrl-BA"/>
              </w:rPr>
              <w:t>ст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но</w:t>
            </w:r>
            <w:r>
              <w:rPr>
                <w:rFonts w:ascii="Arial" w:eastAsia="Times New Roman" w:hAnsi="Arial" w:cs="Arial"/>
                <w:color w:val="000000"/>
                <w:lang w:val="sr-Cyrl-BA"/>
              </w:rPr>
              <w:t>с</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инфо</w:t>
            </w:r>
            <w:r>
              <w:rPr>
                <w:rFonts w:ascii="Arial" w:eastAsia="Times New Roman" w:hAnsi="Arial" w:cs="Arial"/>
                <w:color w:val="000000"/>
                <w:lang w:val="sr-Cyrl-BA"/>
              </w:rPr>
              <w:t>р</w:t>
            </w:r>
            <w:r w:rsidR="00A56E08">
              <w:rPr>
                <w:rFonts w:ascii="Arial" w:eastAsia="Times New Roman" w:hAnsi="Arial" w:cs="Arial"/>
                <w:color w:val="000000"/>
                <w:lang w:val="sr-Cyrl-BA"/>
              </w:rPr>
              <w:t>мација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кој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одно</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о</w:t>
            </w:r>
            <w:r>
              <w:rPr>
                <w:rFonts w:ascii="Arial" w:eastAsia="Times New Roman" w:hAnsi="Arial" w:cs="Arial"/>
                <w:color w:val="000000"/>
                <w:lang w:val="sr-Cyrl-BA"/>
              </w:rPr>
              <w:t>ст</w:t>
            </w:r>
            <w:r w:rsidR="00A56E08">
              <w:rPr>
                <w:rFonts w:ascii="Arial" w:eastAsia="Times New Roman" w:hAnsi="Arial" w:cs="Arial"/>
                <w:color w:val="000000"/>
                <w:lang w:val="sr-Cyrl-BA"/>
              </w:rPr>
              <w:t>игн</w:t>
            </w:r>
            <w:r>
              <w:rPr>
                <w:rFonts w:ascii="Arial" w:eastAsia="Times New Roman" w:hAnsi="Arial" w:cs="Arial"/>
                <w:color w:val="000000"/>
                <w:lang w:val="sr-Cyrl-BA"/>
              </w:rPr>
              <w:t>у</w:t>
            </w:r>
            <w:r w:rsidR="00A56E08">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сту</w:t>
            </w:r>
            <w:r w:rsidR="00A56E08">
              <w:rPr>
                <w:rFonts w:ascii="Arial" w:eastAsia="Times New Roman" w:hAnsi="Arial" w:cs="Arial"/>
                <w:color w:val="000000"/>
                <w:lang w:val="sr-Cyrl-BA"/>
              </w:rPr>
              <w:t>д</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на</w:t>
            </w:r>
            <w:r>
              <w:rPr>
                <w:rFonts w:ascii="Arial" w:eastAsia="Times New Roman" w:hAnsi="Arial" w:cs="Arial"/>
                <w:color w:val="000000"/>
                <w:lang w:val="sr-Cyrl-BA"/>
              </w:rPr>
              <w:t>т</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в</w:t>
            </w:r>
            <w:r w:rsidR="00A56E08">
              <w:rPr>
                <w:rFonts w:ascii="Arial" w:eastAsia="Times New Roman" w:hAnsi="Arial" w:cs="Arial"/>
                <w:color w:val="000000"/>
                <w:lang w:val="sr-Cyrl-BA"/>
              </w:rPr>
              <w:t>и</w:t>
            </w:r>
            <w:r>
              <w:rPr>
                <w:rFonts w:ascii="Arial" w:eastAsia="Times New Roman" w:hAnsi="Arial" w:cs="Arial"/>
                <w:color w:val="000000"/>
                <w:lang w:val="sr-Cyrl-BA"/>
              </w:rPr>
              <w:t>с</w:t>
            </w:r>
            <w:r w:rsidR="00A56E08">
              <w:rPr>
                <w:rFonts w:ascii="Arial" w:eastAsia="Times New Roman" w:hAnsi="Arial" w:cs="Arial"/>
                <w:color w:val="000000"/>
                <w:lang w:val="sr-Cyrl-BA"/>
              </w:rPr>
              <w:t>око</w:t>
            </w:r>
            <w:r>
              <w:rPr>
                <w:rFonts w:ascii="Arial" w:eastAsia="Times New Roman" w:hAnsi="Arial" w:cs="Arial"/>
                <w:color w:val="000000"/>
                <w:lang w:val="sr-Cyrl-BA"/>
              </w:rPr>
              <w:t>ш</w:t>
            </w:r>
            <w:r w:rsidR="00A56E08">
              <w:rPr>
                <w:rFonts w:ascii="Arial" w:eastAsia="Times New Roman" w:hAnsi="Arial" w:cs="Arial"/>
                <w:color w:val="000000"/>
                <w:lang w:val="sr-Cyrl-BA"/>
              </w:rPr>
              <w:t>кол</w:t>
            </w:r>
            <w:r>
              <w:rPr>
                <w:rFonts w:ascii="Arial" w:eastAsia="Times New Roman" w:hAnsi="Arial" w:cs="Arial"/>
                <w:color w:val="000000"/>
                <w:lang w:val="sr-Cyrl-BA"/>
              </w:rPr>
              <w:t>с</w:t>
            </w:r>
            <w:r w:rsidR="00A56E08">
              <w:rPr>
                <w:rFonts w:ascii="Arial" w:eastAsia="Times New Roman" w:hAnsi="Arial" w:cs="Arial"/>
                <w:color w:val="000000"/>
                <w:lang w:val="sr-Cyrl-BA"/>
              </w:rPr>
              <w:t>к</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ин</w:t>
            </w:r>
            <w:r>
              <w:rPr>
                <w:rFonts w:ascii="Arial" w:eastAsia="Times New Roman" w:hAnsi="Arial" w:cs="Arial"/>
                <w:color w:val="000000"/>
                <w:lang w:val="sr-Cyrl-BA"/>
              </w:rPr>
              <w:t>ст</w:t>
            </w:r>
            <w:r w:rsidR="00A56E08">
              <w:rPr>
                <w:rFonts w:ascii="Arial" w:eastAsia="Times New Roman" w:hAnsi="Arial" w:cs="Arial"/>
                <w:color w:val="000000"/>
                <w:lang w:val="sr-Cyrl-BA"/>
              </w:rPr>
              <w:t>и</w:t>
            </w:r>
            <w:r>
              <w:rPr>
                <w:rFonts w:ascii="Arial" w:eastAsia="Times New Roman" w:hAnsi="Arial" w:cs="Arial"/>
                <w:color w:val="000000"/>
                <w:lang w:val="sr-Cyrl-BA"/>
              </w:rPr>
              <w:t>ту</w:t>
            </w:r>
            <w:r w:rsidR="00A56E08">
              <w:rPr>
                <w:rFonts w:ascii="Arial" w:eastAsia="Times New Roman" w:hAnsi="Arial" w:cs="Arial"/>
                <w:color w:val="000000"/>
                <w:lang w:val="sr-Cyrl-BA"/>
              </w:rPr>
              <w:t>циј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д</w:t>
            </w:r>
            <w:r>
              <w:rPr>
                <w:rFonts w:ascii="Arial" w:eastAsia="Times New Roman" w:hAnsi="Arial" w:cs="Arial"/>
                <w:color w:val="000000"/>
                <w:lang w:val="sr-Cyrl-BA"/>
              </w:rPr>
              <w:t>у</w:t>
            </w:r>
            <w:r w:rsidR="00171F00">
              <w:rPr>
                <w:rFonts w:ascii="Arial" w:eastAsia="Times New Roman" w:hAnsi="Arial" w:cs="Arial"/>
                <w:color w:val="000000"/>
                <w:lang w:val="sr-Cyrl-BA"/>
              </w:rPr>
              <w:t>ж</w:t>
            </w:r>
            <w:r w:rsidR="00A56E08">
              <w:rPr>
                <w:rFonts w:ascii="Arial" w:eastAsia="Times New Roman" w:hAnsi="Arial" w:cs="Arial"/>
                <w:color w:val="000000"/>
                <w:lang w:val="sr-Cyrl-BA"/>
              </w:rPr>
              <w:t>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w:t>
            </w:r>
            <w:r>
              <w:rPr>
                <w:rFonts w:ascii="Arial" w:eastAsia="Times New Roman" w:hAnsi="Arial" w:cs="Arial"/>
                <w:color w:val="000000"/>
                <w:lang w:val="sr-Cyrl-BA"/>
              </w:rPr>
              <w:t>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и</w:t>
            </w:r>
            <w:r>
              <w:rPr>
                <w:rFonts w:ascii="Arial" w:eastAsia="Times New Roman" w:hAnsi="Arial" w:cs="Arial"/>
                <w:color w:val="000000"/>
                <w:lang w:val="sr-Cyrl-BA"/>
              </w:rPr>
              <w:t>р</w:t>
            </w:r>
            <w:r w:rsidR="00A56E08">
              <w:rPr>
                <w:rFonts w:ascii="Arial" w:eastAsia="Times New Roman" w:hAnsi="Arial" w:cs="Arial"/>
                <w:color w:val="000000"/>
                <w:lang w:val="sr-Cyrl-BA"/>
              </w:rPr>
              <w:t>а</w:t>
            </w:r>
            <w:r>
              <w:rPr>
                <w:rFonts w:ascii="Arial" w:eastAsia="Times New Roman" w:hAnsi="Arial" w:cs="Arial"/>
                <w:color w:val="000000"/>
                <w:lang w:val="sr-Cyrl-BA"/>
              </w:rPr>
              <w:t>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ла</w:t>
            </w:r>
            <w:r>
              <w:rPr>
                <w:rFonts w:ascii="Arial" w:eastAsia="Times New Roman" w:hAnsi="Arial" w:cs="Arial"/>
                <w:color w:val="000000"/>
                <w:lang w:val="sr-Cyrl-BA"/>
              </w:rPr>
              <w:t>т</w:t>
            </w:r>
            <w:r w:rsidR="00A56E08">
              <w:rPr>
                <w:rFonts w:ascii="Arial" w:eastAsia="Times New Roman" w:hAnsi="Arial" w:cs="Arial"/>
                <w:color w:val="000000"/>
                <w:lang w:val="sr-Cyrl-BA"/>
              </w:rPr>
              <w:t>фо</w:t>
            </w:r>
            <w:r>
              <w:rPr>
                <w:rFonts w:ascii="Arial" w:eastAsia="Times New Roman" w:hAnsi="Arial" w:cs="Arial"/>
                <w:color w:val="000000"/>
                <w:lang w:val="sr-Cyrl-BA"/>
              </w:rPr>
              <w:t>р</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аћ</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вр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дно</w:t>
            </w:r>
            <w:r>
              <w:rPr>
                <w:rFonts w:ascii="Arial" w:eastAsia="Times New Roman" w:hAnsi="Arial" w:cs="Arial"/>
                <w:color w:val="000000"/>
                <w:lang w:val="sr-Cyrl-BA"/>
              </w:rPr>
              <w:t>в</w:t>
            </w:r>
            <w:r w:rsidR="00A56E08">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док</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в</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ћ</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о</w:t>
            </w:r>
            <w:r>
              <w:rPr>
                <w:rFonts w:ascii="Arial" w:eastAsia="Times New Roman" w:hAnsi="Arial" w:cs="Arial"/>
                <w:color w:val="000000"/>
                <w:lang w:val="sr-Cyrl-BA"/>
              </w:rPr>
              <w:t>ст</w:t>
            </w:r>
            <w:r w:rsidR="00A56E08">
              <w:rPr>
                <w:rFonts w:ascii="Arial" w:eastAsia="Times New Roman" w:hAnsi="Arial" w:cs="Arial"/>
                <w:color w:val="000000"/>
                <w:lang w:val="sr-Cyrl-BA"/>
              </w:rPr>
              <w:t>ој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ћ</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ла</w:t>
            </w:r>
            <w:r>
              <w:rPr>
                <w:rFonts w:ascii="Arial" w:eastAsia="Times New Roman" w:hAnsi="Arial" w:cs="Arial"/>
                <w:color w:val="000000"/>
                <w:lang w:val="sr-Cyrl-BA"/>
              </w:rPr>
              <w:t>т</w:t>
            </w:r>
            <w:r w:rsidR="00A56E08">
              <w:rPr>
                <w:rFonts w:ascii="Arial" w:eastAsia="Times New Roman" w:hAnsi="Arial" w:cs="Arial"/>
                <w:color w:val="000000"/>
                <w:lang w:val="sr-Cyrl-BA"/>
              </w:rPr>
              <w:t>фо</w:t>
            </w:r>
            <w:r>
              <w:rPr>
                <w:rFonts w:ascii="Arial" w:eastAsia="Times New Roman" w:hAnsi="Arial" w:cs="Arial"/>
                <w:color w:val="000000"/>
                <w:lang w:val="sr-Cyrl-BA"/>
              </w:rPr>
              <w:t>р</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тр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бај</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би</w:t>
            </w:r>
            <w:r>
              <w:rPr>
                <w:rFonts w:ascii="Arial" w:eastAsia="Times New Roman" w:hAnsi="Arial" w:cs="Arial"/>
                <w:color w:val="000000"/>
                <w:lang w:val="sr-Cyrl-BA"/>
              </w:rPr>
              <w:t>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ино</w:t>
            </w:r>
            <w:r>
              <w:rPr>
                <w:rFonts w:ascii="Arial" w:eastAsia="Times New Roman" w:hAnsi="Arial" w:cs="Arial"/>
                <w:color w:val="000000"/>
                <w:lang w:val="sr-Cyrl-BA"/>
              </w:rPr>
              <w:t>в</w:t>
            </w:r>
            <w:r w:rsidR="00A56E08">
              <w:rPr>
                <w:rFonts w:ascii="Arial" w:eastAsia="Times New Roman" w:hAnsi="Arial" w:cs="Arial"/>
                <w:color w:val="000000"/>
                <w:lang w:val="sr-Cyrl-BA"/>
              </w:rPr>
              <w:t>и</w:t>
            </w:r>
            <w:r>
              <w:rPr>
                <w:rFonts w:ascii="Arial" w:eastAsia="Times New Roman" w:hAnsi="Arial" w:cs="Arial"/>
                <w:color w:val="000000"/>
                <w:lang w:val="sr-Cyrl-BA"/>
              </w:rPr>
              <w:t>р</w:t>
            </w:r>
            <w:r w:rsidR="00A56E08">
              <w:rPr>
                <w:rFonts w:ascii="Arial" w:eastAsia="Times New Roman" w:hAnsi="Arial" w:cs="Arial"/>
                <w:color w:val="000000"/>
                <w:lang w:val="sr-Cyrl-BA"/>
              </w:rPr>
              <w:t>ан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w:t>
            </w:r>
            <w:r w:rsidR="00171F00">
              <w:rPr>
                <w:rFonts w:ascii="Arial" w:eastAsia="Times New Roman" w:hAnsi="Arial" w:cs="Arial"/>
                <w:color w:val="000000"/>
                <w:lang w:val="sr-Cyrl-BA"/>
              </w:rPr>
              <w:t>ж</w:t>
            </w:r>
            <w:r>
              <w:rPr>
                <w:rFonts w:ascii="Arial" w:eastAsia="Times New Roman" w:hAnsi="Arial" w:cs="Arial"/>
                <w:color w:val="000000"/>
                <w:lang w:val="sr-Cyrl-BA"/>
              </w:rPr>
              <w:t>ур</w:t>
            </w:r>
            <w:r w:rsidR="00A56E08">
              <w:rPr>
                <w:rFonts w:ascii="Arial" w:eastAsia="Times New Roman" w:hAnsi="Arial" w:cs="Arial"/>
                <w:color w:val="000000"/>
                <w:lang w:val="sr-Cyrl-BA"/>
              </w:rPr>
              <w:t>и</w:t>
            </w:r>
            <w:r>
              <w:rPr>
                <w:rFonts w:ascii="Arial" w:eastAsia="Times New Roman" w:hAnsi="Arial" w:cs="Arial"/>
                <w:color w:val="000000"/>
                <w:lang w:val="sr-Cyrl-BA"/>
              </w:rPr>
              <w:t>р</w:t>
            </w:r>
            <w:r w:rsidR="00A56E08">
              <w:rPr>
                <w:rFonts w:ascii="Arial" w:eastAsia="Times New Roman" w:hAnsi="Arial" w:cs="Arial"/>
                <w:color w:val="000000"/>
                <w:lang w:val="sr-Cyrl-BA"/>
              </w:rPr>
              <w:t>ан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E864CA"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A56E08">
              <w:rPr>
                <w:rFonts w:ascii="Arial" w:eastAsia="Times New Roman" w:hAnsi="Arial" w:cs="Arial"/>
                <w:color w:val="000000"/>
                <w:lang w:val="sr-Cyrl-BA"/>
              </w:rPr>
              <w:t>клад</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A56E08">
              <w:rPr>
                <w:rFonts w:ascii="Arial" w:eastAsia="Times New Roman" w:hAnsi="Arial" w:cs="Arial"/>
                <w:color w:val="000000"/>
                <w:lang w:val="sr-Cyrl-BA"/>
              </w:rPr>
              <w:t>а</w:t>
            </w:r>
            <w:r>
              <w:rPr>
                <w:rFonts w:ascii="Arial" w:eastAsia="Times New Roman" w:hAnsi="Arial" w:cs="Arial"/>
                <w:color w:val="000000"/>
                <w:lang w:val="sr-Cyrl-BA"/>
              </w:rPr>
              <w:t>вр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ним</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тр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ндо</w:t>
            </w:r>
            <w:r>
              <w:rPr>
                <w:rFonts w:ascii="Arial" w:eastAsia="Times New Roman" w:hAnsi="Arial" w:cs="Arial"/>
                <w:color w:val="000000"/>
                <w:lang w:val="sr-Cyrl-BA"/>
              </w:rPr>
              <w:t>в</w:t>
            </w:r>
            <w:r w:rsidR="00A56E08">
              <w:rPr>
                <w:rFonts w:ascii="Arial" w:eastAsia="Times New Roman" w:hAnsi="Arial" w:cs="Arial"/>
                <w:color w:val="000000"/>
                <w:lang w:val="sr-Cyrl-BA"/>
              </w:rPr>
              <w:t>има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од</w:t>
            </w:r>
            <w:r>
              <w:rPr>
                <w:rFonts w:ascii="Arial" w:eastAsia="Times New Roman" w:hAnsi="Arial" w:cs="Arial"/>
                <w:color w:val="000000"/>
                <w:lang w:val="sr-Cyrl-BA"/>
              </w:rPr>
              <w:t>ру</w:t>
            </w:r>
            <w:r w:rsidR="00A56E08">
              <w:rPr>
                <w:rFonts w:ascii="Arial" w:eastAsia="Times New Roman" w:hAnsi="Arial" w:cs="Arial"/>
                <w:color w:val="000000"/>
                <w:lang w:val="sr-Cyrl-BA"/>
              </w:rPr>
              <w:t>чј</w:t>
            </w:r>
            <w:r>
              <w:rPr>
                <w:rFonts w:ascii="Arial" w:eastAsia="Times New Roman" w:hAnsi="Arial" w:cs="Arial"/>
                <w:color w:val="000000"/>
                <w:lang w:val="sr-Cyrl-BA"/>
              </w:rPr>
              <w:t>у</w:t>
            </w:r>
            <w:r w:rsidR="00FA763F"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ИК</w:t>
            </w:r>
            <w:r>
              <w:rPr>
                <w:rFonts w:ascii="Arial" w:eastAsia="Times New Roman" w:hAnsi="Arial" w:cs="Arial"/>
                <w:color w:val="000000"/>
                <w:lang w:val="sr-Cyrl-BA"/>
              </w:rPr>
              <w:t>Т</w:t>
            </w:r>
            <w:r w:rsidR="00FA763F" w:rsidRPr="00F6340E">
              <w:rPr>
                <w:rFonts w:ascii="Arial" w:eastAsia="Times New Roman" w:hAnsi="Arial" w:cs="Arial"/>
                <w:color w:val="000000"/>
                <w:lang w:val="sr-Cyrl-BA"/>
              </w:rPr>
              <w:t>-</w:t>
            </w:r>
            <w:r w:rsidR="00A56E08">
              <w:rPr>
                <w:rFonts w:ascii="Arial" w:eastAsia="Times New Roman" w:hAnsi="Arial" w:cs="Arial"/>
                <w:color w:val="000000"/>
                <w:lang w:val="sr-Cyrl-BA"/>
              </w:rPr>
              <w:t>а</w:t>
            </w:r>
            <w:r w:rsidR="00FA763F"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FA763F"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кон</w:t>
            </w:r>
            <w:r>
              <w:rPr>
                <w:rFonts w:ascii="Arial" w:eastAsia="Times New Roman" w:hAnsi="Arial" w:cs="Arial"/>
                <w:color w:val="000000"/>
                <w:lang w:val="sr-Cyrl-BA"/>
              </w:rPr>
              <w:t>т</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к</w:t>
            </w:r>
            <w:r>
              <w:rPr>
                <w:rFonts w:ascii="Arial" w:eastAsia="Times New Roman" w:hAnsi="Arial" w:cs="Arial"/>
                <w:color w:val="000000"/>
                <w:lang w:val="sr-Cyrl-BA"/>
              </w:rPr>
              <w:t>сту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аћ</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ња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вр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дно</w:t>
            </w:r>
            <w:r>
              <w:rPr>
                <w:rFonts w:ascii="Arial" w:eastAsia="Times New Roman" w:hAnsi="Arial" w:cs="Arial"/>
                <w:color w:val="000000"/>
                <w:lang w:val="sr-Cyrl-BA"/>
              </w:rPr>
              <w:t>в</w:t>
            </w:r>
            <w:r w:rsidR="00A56E08">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о</w:t>
            </w:r>
            <w:r>
              <w:rPr>
                <w:rFonts w:ascii="Arial" w:eastAsia="Times New Roman" w:hAnsi="Arial" w:cs="Arial"/>
                <w:color w:val="000000"/>
                <w:lang w:val="sr-Cyrl-BA"/>
              </w:rPr>
              <w:t>ст</w:t>
            </w:r>
            <w:r w:rsidR="00A56E08">
              <w:rPr>
                <w:rFonts w:ascii="Arial" w:eastAsia="Times New Roman" w:hAnsi="Arial" w:cs="Arial"/>
                <w:color w:val="000000"/>
                <w:lang w:val="sr-Cyrl-BA"/>
              </w:rPr>
              <w:t>игн</w:t>
            </w:r>
            <w:r>
              <w:rPr>
                <w:rFonts w:ascii="Arial" w:eastAsia="Times New Roman" w:hAnsi="Arial" w:cs="Arial"/>
                <w:color w:val="000000"/>
                <w:lang w:val="sr-Cyrl-BA"/>
              </w:rPr>
              <w:t>у</w:t>
            </w:r>
            <w:r w:rsidR="00A56E08">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на</w:t>
            </w:r>
            <w:r>
              <w:rPr>
                <w:rFonts w:ascii="Arial" w:eastAsia="Times New Roman" w:hAnsi="Arial" w:cs="Arial"/>
                <w:color w:val="000000"/>
                <w:lang w:val="sr-Cyrl-BA"/>
              </w:rPr>
              <w:t>пр</w:t>
            </w:r>
            <w:r w:rsidR="00A56E08">
              <w:rPr>
                <w:rFonts w:ascii="Arial" w:eastAsia="Times New Roman" w:hAnsi="Arial" w:cs="Arial"/>
                <w:color w:val="000000"/>
                <w:lang w:val="sr-Cyrl-BA"/>
              </w:rPr>
              <w:t>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ђ</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w:t>
            </w:r>
            <w:r w:rsidR="00A56E08">
              <w:rPr>
                <w:rFonts w:ascii="Arial" w:eastAsia="Times New Roman" w:hAnsi="Arial" w:cs="Arial"/>
                <w:color w:val="000000"/>
                <w:lang w:val="sr-Cyrl-BA"/>
              </w:rPr>
              <w:t>ла</w:t>
            </w:r>
            <w:r>
              <w:rPr>
                <w:rFonts w:ascii="Arial" w:eastAsia="Times New Roman" w:hAnsi="Arial" w:cs="Arial"/>
                <w:color w:val="000000"/>
                <w:lang w:val="sr-Cyrl-BA"/>
              </w:rPr>
              <w:t>т</w:t>
            </w:r>
            <w:r w:rsidR="00A56E08">
              <w:rPr>
                <w:rFonts w:ascii="Arial" w:eastAsia="Times New Roman" w:hAnsi="Arial" w:cs="Arial"/>
                <w:color w:val="000000"/>
                <w:lang w:val="sr-Cyrl-BA"/>
              </w:rPr>
              <w:t>фо</w:t>
            </w:r>
            <w:r>
              <w:rPr>
                <w:rFonts w:ascii="Arial" w:eastAsia="Times New Roman" w:hAnsi="Arial" w:cs="Arial"/>
                <w:color w:val="000000"/>
                <w:lang w:val="sr-Cyrl-BA"/>
              </w:rPr>
              <w:t>р</w:t>
            </w:r>
            <w:r w:rsidR="00A56E08">
              <w:rPr>
                <w:rFonts w:ascii="Arial" w:eastAsia="Times New Roman" w:hAnsi="Arial" w:cs="Arial"/>
                <w:color w:val="000000"/>
                <w:lang w:val="sr-Cyrl-BA"/>
              </w:rPr>
              <w:t>ми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мо</w:t>
            </w:r>
            <w:r w:rsidR="00171F00">
              <w:rPr>
                <w:rFonts w:ascii="Arial" w:eastAsia="Times New Roman" w:hAnsi="Arial" w:cs="Arial"/>
                <w:color w:val="000000"/>
                <w:lang w:val="sr-Cyrl-BA"/>
              </w:rPr>
              <w:t>ж</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од</w:t>
            </w:r>
            <w:r>
              <w:rPr>
                <w:rFonts w:ascii="Arial" w:eastAsia="Times New Roman" w:hAnsi="Arial" w:cs="Arial"/>
                <w:color w:val="000000"/>
                <w:lang w:val="sr-Cyrl-BA"/>
              </w:rPr>
              <w:t>в</w:t>
            </w:r>
            <w:r w:rsidR="00A56E08">
              <w:rPr>
                <w:rFonts w:ascii="Arial" w:eastAsia="Times New Roman" w:hAnsi="Arial" w:cs="Arial"/>
                <w:color w:val="000000"/>
                <w:lang w:val="sr-Cyrl-BA"/>
              </w:rPr>
              <w:t>ија</w:t>
            </w:r>
            <w:r>
              <w:rPr>
                <w:rFonts w:ascii="Arial" w:eastAsia="Times New Roman" w:hAnsi="Arial" w:cs="Arial"/>
                <w:color w:val="000000"/>
                <w:lang w:val="sr-Cyrl-BA"/>
              </w:rPr>
              <w:t>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ни</w:t>
            </w:r>
            <w:r>
              <w:rPr>
                <w:rFonts w:ascii="Arial" w:eastAsia="Times New Roman" w:hAnsi="Arial" w:cs="Arial"/>
                <w:color w:val="000000"/>
                <w:lang w:val="sr-Cyrl-BA"/>
              </w:rPr>
              <w:t>в</w:t>
            </w:r>
            <w:r w:rsidR="00A56E08">
              <w:rPr>
                <w:rFonts w:ascii="Arial" w:eastAsia="Times New Roman" w:hAnsi="Arial" w:cs="Arial"/>
                <w:color w:val="000000"/>
                <w:lang w:val="sr-Cyrl-BA"/>
              </w:rPr>
              <w:t>о</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админи</w:t>
            </w:r>
            <w:r>
              <w:rPr>
                <w:rFonts w:ascii="Arial" w:eastAsia="Times New Roman" w:hAnsi="Arial" w:cs="Arial"/>
                <w:color w:val="000000"/>
                <w:lang w:val="sr-Cyrl-BA"/>
              </w:rPr>
              <w:t>стр</w:t>
            </w:r>
            <w:r w:rsidR="00A56E08">
              <w:rPr>
                <w:rFonts w:ascii="Arial" w:eastAsia="Times New Roman" w:hAnsi="Arial" w:cs="Arial"/>
                <w:color w:val="000000"/>
                <w:lang w:val="sr-Cyrl-BA"/>
              </w:rPr>
              <w:t>а</w:t>
            </w:r>
            <w:r>
              <w:rPr>
                <w:rFonts w:ascii="Arial" w:eastAsia="Times New Roman" w:hAnsi="Arial" w:cs="Arial"/>
                <w:color w:val="000000"/>
                <w:lang w:val="sr-Cyrl-BA"/>
              </w:rPr>
              <w:t>т</w:t>
            </w:r>
            <w:r w:rsidR="00A56E08">
              <w:rPr>
                <w:rFonts w:ascii="Arial" w:eastAsia="Times New Roman" w:hAnsi="Arial" w:cs="Arial"/>
                <w:color w:val="000000"/>
                <w:lang w:val="sr-Cyrl-BA"/>
              </w:rPr>
              <w:t>и</w:t>
            </w:r>
            <w:r>
              <w:rPr>
                <w:rFonts w:ascii="Arial" w:eastAsia="Times New Roman" w:hAnsi="Arial" w:cs="Arial"/>
                <w:color w:val="000000"/>
                <w:lang w:val="sr-Cyrl-BA"/>
              </w:rPr>
              <w:t>в</w:t>
            </w:r>
            <w:r w:rsidR="00A56E08">
              <w:rPr>
                <w:rFonts w:ascii="Arial" w:eastAsia="Times New Roman" w:hAnsi="Arial" w:cs="Arial"/>
                <w:color w:val="000000"/>
                <w:lang w:val="sr-Cyrl-BA"/>
              </w:rPr>
              <w:t>них</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диница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или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ни</w:t>
            </w:r>
            <w:r>
              <w:rPr>
                <w:rFonts w:ascii="Arial" w:eastAsia="Times New Roman" w:hAnsi="Arial" w:cs="Arial"/>
                <w:color w:val="000000"/>
                <w:lang w:val="sr-Cyrl-BA"/>
              </w:rPr>
              <w:t>в</w:t>
            </w:r>
            <w:r w:rsidR="00EE6AA2">
              <w:rPr>
                <w:rFonts w:ascii="Arial" w:eastAsia="Times New Roman" w:hAnsi="Arial" w:cs="Arial"/>
                <w:color w:val="000000"/>
                <w:lang w:val="sr-Cyrl-BA"/>
              </w:rPr>
              <w:t>е</w:t>
            </w:r>
            <w:r>
              <w:rPr>
                <w:rFonts w:ascii="Arial" w:eastAsia="Times New Roman" w:hAnsi="Arial" w:cs="Arial"/>
                <w:color w:val="000000"/>
                <w:lang w:val="sr-Cyrl-BA"/>
              </w:rPr>
              <w:t>р</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и</w:t>
            </w:r>
            <w:r>
              <w:rPr>
                <w:rFonts w:ascii="Arial" w:eastAsia="Times New Roman" w:hAnsi="Arial" w:cs="Arial"/>
                <w:color w:val="000000"/>
                <w:lang w:val="sr-Cyrl-BA"/>
              </w:rPr>
              <w:t>т</w:t>
            </w:r>
            <w:r w:rsidR="00EE6AA2">
              <w:rPr>
                <w:rFonts w:ascii="Arial" w:eastAsia="Times New Roman" w:hAnsi="Arial" w:cs="Arial"/>
                <w:color w:val="000000"/>
                <w:lang w:val="sr-Cyrl-BA"/>
              </w:rPr>
              <w:t>е</w:t>
            </w:r>
            <w:r>
              <w:rPr>
                <w:rFonts w:ascii="Arial" w:eastAsia="Times New Roman" w:hAnsi="Arial" w:cs="Arial"/>
                <w:color w:val="000000"/>
                <w:lang w:val="sr-Cyrl-BA"/>
              </w:rPr>
              <w:t>т</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p>
          <w:p w14:paraId="39955016" w14:textId="7107C5AF" w:rsidR="00892898" w:rsidRPr="00F6340E" w:rsidRDefault="00A56E08"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К</w:t>
            </w:r>
            <w:r w:rsidR="0071360A">
              <w:rPr>
                <w:rFonts w:ascii="Arial" w:eastAsia="Times New Roman" w:hAnsi="Arial" w:cs="Arial"/>
                <w:b/>
                <w:color w:val="000000"/>
                <w:lang w:val="sr-Cyrl-BA"/>
              </w:rPr>
              <w:t>р</w:t>
            </w:r>
            <w:r w:rsidR="00EE6AA2">
              <w:rPr>
                <w:rFonts w:ascii="Arial" w:eastAsia="Times New Roman" w:hAnsi="Arial" w:cs="Arial"/>
                <w:b/>
                <w:color w:val="000000"/>
                <w:lang w:val="sr-Cyrl-BA"/>
              </w:rPr>
              <w:t>е</w:t>
            </w:r>
            <w:r>
              <w:rPr>
                <w:rFonts w:ascii="Arial" w:eastAsia="Times New Roman" w:hAnsi="Arial" w:cs="Arial"/>
                <w:b/>
                <w:color w:val="000000"/>
                <w:lang w:val="sr-Cyrl-BA"/>
              </w:rPr>
              <w:t>и</w:t>
            </w:r>
            <w:r w:rsidR="0071360A">
              <w:rPr>
                <w:rFonts w:ascii="Arial" w:eastAsia="Times New Roman" w:hAnsi="Arial" w:cs="Arial"/>
                <w:b/>
                <w:color w:val="000000"/>
                <w:lang w:val="sr-Cyrl-BA"/>
              </w:rPr>
              <w:t>р</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ст</w:t>
            </w:r>
            <w:r>
              <w:rPr>
                <w:rFonts w:ascii="Arial" w:eastAsia="Times New Roman" w:hAnsi="Arial" w:cs="Arial"/>
                <w:b/>
                <w:color w:val="000000"/>
                <w:lang w:val="sr-Cyrl-BA"/>
              </w:rPr>
              <w:t>анда</w:t>
            </w:r>
            <w:r w:rsidR="0071360A">
              <w:rPr>
                <w:rFonts w:ascii="Arial" w:eastAsia="Times New Roman" w:hAnsi="Arial" w:cs="Arial"/>
                <w:b/>
                <w:color w:val="000000"/>
                <w:lang w:val="sr-Cyrl-BA"/>
              </w:rPr>
              <w:t>р</w:t>
            </w:r>
            <w:r>
              <w:rPr>
                <w:rFonts w:ascii="Arial" w:eastAsia="Times New Roman" w:hAnsi="Arial" w:cs="Arial"/>
                <w:b/>
                <w:color w:val="000000"/>
                <w:lang w:val="sr-Cyrl-BA"/>
              </w:rPr>
              <w:t>ди</w:t>
            </w:r>
            <w:r w:rsidR="00171F00">
              <w:rPr>
                <w:rFonts w:ascii="Arial" w:eastAsia="Times New Roman" w:hAnsi="Arial" w:cs="Arial"/>
                <w:b/>
                <w:color w:val="000000"/>
                <w:lang w:val="sr-Cyrl-BA"/>
              </w:rPr>
              <w:t>з</w:t>
            </w:r>
            <w:r>
              <w:rPr>
                <w:rFonts w:ascii="Arial" w:eastAsia="Times New Roman" w:hAnsi="Arial" w:cs="Arial"/>
                <w:b/>
                <w:color w:val="000000"/>
                <w:lang w:val="sr-Cyrl-BA"/>
              </w:rPr>
              <w:t>о</w:t>
            </w:r>
            <w:r w:rsidR="0071360A">
              <w:rPr>
                <w:rFonts w:ascii="Arial" w:eastAsia="Times New Roman" w:hAnsi="Arial" w:cs="Arial"/>
                <w:b/>
                <w:color w:val="000000"/>
                <w:lang w:val="sr-Cyrl-BA"/>
              </w:rPr>
              <w:t>в</w:t>
            </w:r>
            <w:r>
              <w:rPr>
                <w:rFonts w:ascii="Arial" w:eastAsia="Times New Roman" w:hAnsi="Arial" w:cs="Arial"/>
                <w:b/>
                <w:color w:val="000000"/>
                <w:lang w:val="sr-Cyrl-BA"/>
              </w:rPr>
              <w:t>ан</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w:t>
            </w:r>
            <w:r>
              <w:rPr>
                <w:rFonts w:ascii="Arial" w:eastAsia="Times New Roman" w:hAnsi="Arial" w:cs="Arial"/>
                <w:b/>
                <w:color w:val="000000"/>
                <w:lang w:val="sr-Cyrl-BA"/>
              </w:rPr>
              <w:t>и</w:t>
            </w:r>
            <w:r w:rsidR="0071360A">
              <w:rPr>
                <w:rFonts w:ascii="Arial" w:eastAsia="Times New Roman" w:hAnsi="Arial" w:cs="Arial"/>
                <w:b/>
                <w:color w:val="000000"/>
                <w:lang w:val="sr-Cyrl-BA"/>
              </w:rPr>
              <w:t>ст</w:t>
            </w:r>
            <w:r w:rsidR="00EE6AA2">
              <w:rPr>
                <w:rFonts w:ascii="Arial" w:eastAsia="Times New Roman" w:hAnsi="Arial" w:cs="Arial"/>
                <w:b/>
                <w:color w:val="000000"/>
                <w:lang w:val="sr-Cyrl-BA"/>
              </w:rPr>
              <w:t>е</w:t>
            </w:r>
            <w:r>
              <w:rPr>
                <w:rFonts w:ascii="Arial" w:eastAsia="Times New Roman" w:hAnsi="Arial" w:cs="Arial"/>
                <w:b/>
                <w:color w:val="000000"/>
                <w:lang w:val="sr-Cyrl-BA"/>
              </w:rPr>
              <w:t>м</w:t>
            </w:r>
            <w:r w:rsidR="00EE6AA2">
              <w:rPr>
                <w:rFonts w:ascii="Arial" w:eastAsia="Times New Roman" w:hAnsi="Arial" w:cs="Arial"/>
                <w:b/>
                <w:color w:val="000000"/>
                <w:lang w:val="sr-Cyrl-BA"/>
              </w:rPr>
              <w:t>е</w:t>
            </w:r>
            <w:r w:rsidR="001F47D7"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фо</w:t>
            </w:r>
            <w:r w:rsidR="0071360A">
              <w:rPr>
                <w:rFonts w:ascii="Arial" w:eastAsia="Times New Roman" w:hAnsi="Arial" w:cs="Arial"/>
                <w:b/>
                <w:color w:val="000000"/>
                <w:lang w:val="sr-Cyrl-BA"/>
              </w:rPr>
              <w:t>р</w:t>
            </w:r>
            <w:r>
              <w:rPr>
                <w:rFonts w:ascii="Arial" w:eastAsia="Times New Roman" w:hAnsi="Arial" w:cs="Arial"/>
                <w:b/>
                <w:color w:val="000000"/>
                <w:lang w:val="sr-Cyrl-BA"/>
              </w:rPr>
              <w:t>ма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71360A">
              <w:rPr>
                <w:rFonts w:ascii="Arial" w:eastAsia="Times New Roman" w:hAnsi="Arial" w:cs="Arial"/>
                <w:b/>
                <w:color w:val="000000"/>
                <w:lang w:val="sr-Cyrl-BA"/>
              </w:rPr>
              <w:t>в</w:t>
            </w:r>
            <w:r>
              <w:rPr>
                <w:rFonts w:ascii="Arial" w:eastAsia="Times New Roman" w:hAnsi="Arial" w:cs="Arial"/>
                <w:b/>
                <w:color w:val="000000"/>
                <w:lang w:val="sr-Cyrl-BA"/>
              </w:rPr>
              <w:t>но</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су</w:t>
            </w:r>
            <w:r>
              <w:rPr>
                <w:rFonts w:ascii="Arial" w:eastAsia="Times New Roman" w:hAnsi="Arial" w:cs="Arial"/>
                <w:b/>
                <w:color w:val="000000"/>
                <w:lang w:val="sr-Cyrl-BA"/>
              </w:rPr>
              <w:t>ма</w:t>
            </w:r>
            <w:r w:rsidR="0071360A">
              <w:rPr>
                <w:rFonts w:ascii="Arial" w:eastAsia="Times New Roman" w:hAnsi="Arial" w:cs="Arial"/>
                <w:b/>
                <w:color w:val="000000"/>
                <w:lang w:val="sr-Cyrl-BA"/>
              </w:rPr>
              <w:t>р</w:t>
            </w:r>
            <w:r>
              <w:rPr>
                <w:rFonts w:ascii="Arial" w:eastAsia="Times New Roman" w:hAnsi="Arial" w:cs="Arial"/>
                <w:b/>
                <w:color w:val="000000"/>
                <w:lang w:val="sr-Cyrl-BA"/>
              </w:rPr>
              <w:t>но</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вр</w:t>
            </w:r>
            <w:r w:rsidR="00EE6AA2">
              <w:rPr>
                <w:rFonts w:ascii="Arial" w:eastAsia="Times New Roman" w:hAnsi="Arial" w:cs="Arial"/>
                <w:b/>
                <w:color w:val="000000"/>
                <w:lang w:val="sr-Cyrl-BA"/>
              </w:rPr>
              <w:t>е</w:t>
            </w:r>
            <w:r>
              <w:rPr>
                <w:rFonts w:ascii="Arial" w:eastAsia="Times New Roman" w:hAnsi="Arial" w:cs="Arial"/>
                <w:b/>
                <w:color w:val="000000"/>
                <w:lang w:val="sr-Cyrl-BA"/>
              </w:rPr>
              <w:t>дно</w:t>
            </w:r>
            <w:r w:rsidR="0071360A">
              <w:rPr>
                <w:rFonts w:ascii="Arial" w:eastAsia="Times New Roman" w:hAnsi="Arial" w:cs="Arial"/>
                <w:b/>
                <w:color w:val="000000"/>
                <w:lang w:val="sr-Cyrl-BA"/>
              </w:rPr>
              <w:t>в</w:t>
            </w:r>
            <w:r>
              <w:rPr>
                <w:rFonts w:ascii="Arial" w:eastAsia="Times New Roman" w:hAnsi="Arial" w:cs="Arial"/>
                <w:b/>
                <w:color w:val="000000"/>
                <w:lang w:val="sr-Cyrl-BA"/>
              </w:rPr>
              <w:t>ањ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w:t>
            </w:r>
            <w:r>
              <w:rPr>
                <w:rFonts w:ascii="Arial" w:eastAsia="Times New Roman" w:hAnsi="Arial" w:cs="Arial"/>
                <w:b/>
                <w:color w:val="000000"/>
                <w:lang w:val="sr-Cyrl-BA"/>
              </w:rPr>
              <w:t>о</w:t>
            </w:r>
            <w:r w:rsidR="0071360A">
              <w:rPr>
                <w:rFonts w:ascii="Arial" w:eastAsia="Times New Roman" w:hAnsi="Arial" w:cs="Arial"/>
                <w:b/>
                <w:color w:val="000000"/>
                <w:lang w:val="sr-Cyrl-BA"/>
              </w:rPr>
              <w:t>ст</w:t>
            </w:r>
            <w:r>
              <w:rPr>
                <w:rFonts w:ascii="Arial" w:eastAsia="Times New Roman" w:hAnsi="Arial" w:cs="Arial"/>
                <w:b/>
                <w:color w:val="000000"/>
                <w:lang w:val="sr-Cyrl-BA"/>
              </w:rPr>
              <w:t>игн</w:t>
            </w:r>
            <w:r w:rsidR="0071360A">
              <w:rPr>
                <w:rFonts w:ascii="Arial" w:eastAsia="Times New Roman" w:hAnsi="Arial" w:cs="Arial"/>
                <w:b/>
                <w:color w:val="000000"/>
                <w:lang w:val="sr-Cyrl-BA"/>
              </w:rPr>
              <w:t>у</w:t>
            </w:r>
            <w:r>
              <w:rPr>
                <w:rFonts w:ascii="Arial" w:eastAsia="Times New Roman" w:hAnsi="Arial" w:cs="Arial"/>
                <w:b/>
                <w:color w:val="000000"/>
                <w:lang w:val="sr-Cyrl-BA"/>
              </w:rPr>
              <w:t>ћа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w:t>
            </w:r>
            <w:r w:rsidR="00EE6AA2">
              <w:rPr>
                <w:rFonts w:ascii="Arial" w:eastAsia="Times New Roman" w:hAnsi="Arial" w:cs="Arial"/>
                <w:b/>
                <w:color w:val="000000"/>
                <w:lang w:val="sr-Cyrl-BA"/>
              </w:rPr>
              <w:t>е</w:t>
            </w:r>
            <w:r>
              <w:rPr>
                <w:rFonts w:ascii="Arial" w:eastAsia="Times New Roman" w:hAnsi="Arial" w:cs="Arial"/>
                <w:b/>
                <w:color w:val="000000"/>
                <w:lang w:val="sr-Cyrl-BA"/>
              </w:rPr>
              <w:t>ника</w:t>
            </w:r>
            <w:r w:rsidR="00892898" w:rsidRPr="00F6340E">
              <w:rPr>
                <w:rFonts w:ascii="Arial" w:eastAsia="Times New Roman" w:hAnsi="Arial" w:cs="Arial"/>
                <w:b/>
                <w:color w:val="000000"/>
                <w:lang w:val="sr-Cyrl-BA"/>
              </w:rPr>
              <w:t>/</w:t>
            </w:r>
            <w:r w:rsidR="0071360A">
              <w:rPr>
                <w:rFonts w:ascii="Arial" w:eastAsia="Times New Roman" w:hAnsi="Arial" w:cs="Arial"/>
                <w:b/>
                <w:color w:val="000000"/>
                <w:lang w:val="sr-Cyrl-BA"/>
              </w:rPr>
              <w:t>сту</w:t>
            </w:r>
            <w:r>
              <w:rPr>
                <w:rFonts w:ascii="Arial" w:eastAsia="Times New Roman" w:hAnsi="Arial" w:cs="Arial"/>
                <w:b/>
                <w:color w:val="000000"/>
                <w:lang w:val="sr-Cyrl-BA"/>
              </w:rPr>
              <w:t>д</w:t>
            </w:r>
            <w:r w:rsidR="00EE6AA2">
              <w:rPr>
                <w:rFonts w:ascii="Arial" w:eastAsia="Times New Roman" w:hAnsi="Arial" w:cs="Arial"/>
                <w:b/>
                <w:color w:val="000000"/>
                <w:lang w:val="sr-Cyrl-BA"/>
              </w:rPr>
              <w:t>е</w:t>
            </w:r>
            <w:r>
              <w:rPr>
                <w:rFonts w:ascii="Arial" w:eastAsia="Times New Roman" w:hAnsi="Arial" w:cs="Arial"/>
                <w:b/>
                <w:color w:val="000000"/>
                <w:lang w:val="sr-Cyrl-BA"/>
              </w:rPr>
              <w:t>на</w:t>
            </w:r>
            <w:r w:rsidR="0071360A">
              <w:rPr>
                <w:rFonts w:ascii="Arial" w:eastAsia="Times New Roman" w:hAnsi="Arial" w:cs="Arial"/>
                <w:b/>
                <w:color w:val="000000"/>
                <w:lang w:val="sr-Cyrl-BA"/>
              </w:rPr>
              <w:t>т</w:t>
            </w:r>
            <w:r>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w:t>
            </w:r>
          </w:p>
          <w:p w14:paraId="302E39E1" w14:textId="15A2E24E" w:rsidR="00892898" w:rsidRPr="00F6340E" w:rsidRDefault="00A56E08" w:rsidP="00FB5CB7">
            <w:pPr>
              <w:pStyle w:val="ListParagraph"/>
              <w:ind w:left="360"/>
              <w:jc w:val="left"/>
              <w:rPr>
                <w:rFonts w:ascii="Arial" w:eastAsia="Times New Roman" w:hAnsi="Arial" w:cs="Arial"/>
                <w:color w:val="000000"/>
                <w:lang w:val="sr-Cyrl-BA"/>
              </w:rPr>
            </w:pPr>
            <w:r>
              <w:rPr>
                <w:rFonts w:ascii="Arial" w:eastAsia="Times New Roman" w:hAnsi="Arial" w:cs="Arial"/>
                <w:color w:val="000000"/>
                <w:lang w:val="sr-Cyrl-BA"/>
              </w:rPr>
              <w:t>К</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и</w:t>
            </w:r>
            <w:r w:rsidR="0071360A">
              <w:rPr>
                <w:rFonts w:ascii="Arial" w:eastAsia="Times New Roman" w:hAnsi="Arial" w:cs="Arial"/>
                <w:color w:val="000000"/>
                <w:lang w:val="sr-Cyrl-BA"/>
              </w:rPr>
              <w:t>р</w:t>
            </w:r>
            <w:r>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w:t>
            </w:r>
            <w:r>
              <w:rPr>
                <w:rFonts w:ascii="Arial" w:eastAsia="Times New Roman" w:hAnsi="Arial" w:cs="Arial"/>
                <w:color w:val="000000"/>
                <w:lang w:val="sr-Cyrl-BA"/>
              </w:rPr>
              <w:t>анда</w:t>
            </w:r>
            <w:r w:rsidR="0071360A">
              <w:rPr>
                <w:rFonts w:ascii="Arial" w:eastAsia="Times New Roman" w:hAnsi="Arial" w:cs="Arial"/>
                <w:color w:val="000000"/>
                <w:lang w:val="sr-Cyrl-BA"/>
              </w:rPr>
              <w:t>р</w:t>
            </w:r>
            <w:r>
              <w:rPr>
                <w:rFonts w:ascii="Arial" w:eastAsia="Times New Roman" w:hAnsi="Arial" w:cs="Arial"/>
                <w:color w:val="000000"/>
                <w:lang w:val="sr-Cyrl-BA"/>
              </w:rPr>
              <w:t>ди</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аног</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и</w:t>
            </w:r>
            <w:r w:rsidR="0071360A">
              <w:rPr>
                <w:rFonts w:ascii="Arial" w:eastAsia="Times New Roman" w:hAnsi="Arial" w:cs="Arial"/>
                <w:color w:val="000000"/>
                <w:lang w:val="sr-Cyrl-BA"/>
              </w:rPr>
              <w:t>ст</w:t>
            </w:r>
            <w:r w:rsidR="00EE6AA2">
              <w:rPr>
                <w:rFonts w:ascii="Arial" w:eastAsia="Times New Roman" w:hAnsi="Arial" w:cs="Arial"/>
                <w:color w:val="000000"/>
                <w:lang w:val="sr-Cyrl-BA"/>
              </w:rPr>
              <w:t>е</w:t>
            </w:r>
            <w:r>
              <w:rPr>
                <w:rFonts w:ascii="Arial" w:eastAsia="Times New Roman" w:hAnsi="Arial" w:cs="Arial"/>
                <w:color w:val="000000"/>
                <w:lang w:val="sr-Cyrl-BA"/>
              </w:rPr>
              <w:t>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који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би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ад</w:t>
            </w:r>
            <w:r w:rsidR="0071360A">
              <w:rPr>
                <w:rFonts w:ascii="Arial" w:eastAsia="Times New Roman" w:hAnsi="Arial" w:cs="Arial"/>
                <w:color w:val="000000"/>
                <w:lang w:val="sr-Cyrl-BA"/>
              </w:rPr>
              <w:t>р</w:t>
            </w:r>
            <w:r w:rsidR="00171F00">
              <w:rPr>
                <w:rFonts w:ascii="Arial" w:eastAsia="Times New Roman" w:hAnsi="Arial" w:cs="Arial"/>
                <w:color w:val="000000"/>
                <w:lang w:val="sr-Cyrl-BA"/>
              </w:rPr>
              <w:t>ж</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ао</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в</w:t>
            </w:r>
            <w:r>
              <w:rPr>
                <w:rFonts w:ascii="Arial" w:eastAsia="Times New Roman" w:hAnsi="Arial" w:cs="Arial"/>
                <w:color w:val="000000"/>
                <w:lang w:val="sr-Cyrl-BA"/>
              </w:rPr>
              <w:t>али</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в</w:t>
            </w:r>
            <w:r>
              <w:rPr>
                <w:rFonts w:ascii="Arial" w:eastAsia="Times New Roman" w:hAnsi="Arial" w:cs="Arial"/>
                <w:color w:val="000000"/>
                <w:lang w:val="sr-Cyrl-BA"/>
              </w:rPr>
              <w:t>ан</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с</w:t>
            </w:r>
            <w:r>
              <w:rPr>
                <w:rFonts w:ascii="Arial" w:eastAsia="Times New Roman" w:hAnsi="Arial" w:cs="Arial"/>
                <w:color w:val="000000"/>
                <w:lang w:val="sr-Cyrl-BA"/>
              </w:rPr>
              <w:t>к</w:t>
            </w:r>
            <w:r w:rsidR="0071360A">
              <w:rPr>
                <w:rFonts w:ascii="Arial" w:eastAsia="Times New Roman" w:hAnsi="Arial" w:cs="Arial"/>
                <w:color w:val="000000"/>
                <w:lang w:val="sr-Cyrl-BA"/>
              </w:rPr>
              <w:t>р</w:t>
            </w:r>
            <w:r>
              <w:rPr>
                <w:rFonts w:ascii="Arial" w:eastAsia="Times New Roman" w:hAnsi="Arial" w:cs="Arial"/>
                <w:color w:val="000000"/>
                <w:lang w:val="sr-Cyrl-BA"/>
              </w:rPr>
              <w:t>и</w:t>
            </w:r>
            <w:r w:rsidR="0071360A">
              <w:rPr>
                <w:rFonts w:ascii="Arial" w:eastAsia="Times New Roman" w:hAnsi="Arial" w:cs="Arial"/>
                <w:color w:val="000000"/>
                <w:lang w:val="sr-Cyrl-BA"/>
              </w:rPr>
              <w:t>пт</w:t>
            </w:r>
            <w:r>
              <w:rPr>
                <w:rFonts w:ascii="Arial" w:eastAsia="Times New Roman" w:hAnsi="Arial" w:cs="Arial"/>
                <w:color w:val="000000"/>
                <w:lang w:val="sr-Cyrl-BA"/>
              </w:rPr>
              <w:t>о</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фо</w:t>
            </w:r>
            <w:r w:rsidR="0071360A">
              <w:rPr>
                <w:rFonts w:ascii="Arial" w:eastAsia="Times New Roman" w:hAnsi="Arial" w:cs="Arial"/>
                <w:color w:val="000000"/>
                <w:lang w:val="sr-Cyrl-BA"/>
              </w:rPr>
              <w:t>р</w:t>
            </w:r>
            <w:r>
              <w:rPr>
                <w:rFonts w:ascii="Arial" w:eastAsia="Times New Roman" w:hAnsi="Arial" w:cs="Arial"/>
                <w:color w:val="000000"/>
                <w:lang w:val="sr-Cyrl-BA"/>
              </w:rPr>
              <w:t>ма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ног</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су</w:t>
            </w:r>
            <w:r>
              <w:rPr>
                <w:rFonts w:ascii="Arial" w:eastAsia="Times New Roman" w:hAnsi="Arial" w:cs="Arial"/>
                <w:color w:val="000000"/>
                <w:lang w:val="sr-Cyrl-BA"/>
              </w:rPr>
              <w:t>ма</w:t>
            </w:r>
            <w:r w:rsidR="0071360A">
              <w:rPr>
                <w:rFonts w:ascii="Arial" w:eastAsia="Times New Roman" w:hAnsi="Arial" w:cs="Arial"/>
                <w:color w:val="000000"/>
                <w:lang w:val="sr-Cyrl-BA"/>
              </w:rPr>
              <w:t>р</w:t>
            </w:r>
            <w:r>
              <w:rPr>
                <w:rFonts w:ascii="Arial" w:eastAsia="Times New Roman" w:hAnsi="Arial" w:cs="Arial"/>
                <w:color w:val="000000"/>
                <w:lang w:val="sr-Cyrl-BA"/>
              </w:rPr>
              <w:t>ног</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вр</w:t>
            </w:r>
            <w:r w:rsidR="00EE6AA2">
              <w:rPr>
                <w:rFonts w:ascii="Arial" w:eastAsia="Times New Roman" w:hAnsi="Arial" w:cs="Arial"/>
                <w:color w:val="000000"/>
                <w:lang w:val="sr-Cyrl-BA"/>
              </w:rPr>
              <w:t>е</w:t>
            </w:r>
            <w:r>
              <w:rPr>
                <w:rFonts w:ascii="Arial" w:eastAsia="Times New Roman" w:hAnsi="Arial" w:cs="Arial"/>
                <w:color w:val="000000"/>
                <w:lang w:val="sr-Cyrl-BA"/>
              </w:rPr>
              <w:t>дно</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ст</w:t>
            </w:r>
            <w:r>
              <w:rPr>
                <w:rFonts w:ascii="Arial" w:eastAsia="Times New Roman" w:hAnsi="Arial" w:cs="Arial"/>
                <w:color w:val="000000"/>
                <w:lang w:val="sr-Cyrl-BA"/>
              </w:rPr>
              <w:t>игн</w:t>
            </w:r>
            <w:r w:rsidR="0071360A">
              <w:rPr>
                <w:rFonts w:ascii="Arial" w:eastAsia="Times New Roman" w:hAnsi="Arial" w:cs="Arial"/>
                <w:color w:val="000000"/>
                <w:lang w:val="sr-Cyrl-BA"/>
              </w:rPr>
              <w:t>у</w:t>
            </w:r>
            <w:r>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ницима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тр</w:t>
            </w:r>
            <w:r w:rsidR="00EE6AA2">
              <w:rPr>
                <w:rFonts w:ascii="Arial" w:eastAsia="Times New Roman" w:hAnsi="Arial" w:cs="Arial"/>
                <w:color w:val="000000"/>
                <w:lang w:val="sr-Cyrl-BA"/>
              </w:rPr>
              <w:t>е</w:t>
            </w:r>
            <w:r>
              <w:rPr>
                <w:rFonts w:ascii="Arial" w:eastAsia="Times New Roman" w:hAnsi="Arial" w:cs="Arial"/>
                <w:color w:val="000000"/>
                <w:lang w:val="sr-Cyrl-BA"/>
              </w:rPr>
              <w:t>бно</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до</w:t>
            </w:r>
            <w:r w:rsidR="0071360A">
              <w:rPr>
                <w:rFonts w:ascii="Arial" w:eastAsia="Times New Roman" w:hAnsi="Arial" w:cs="Arial"/>
                <w:color w:val="000000"/>
                <w:lang w:val="sr-Cyrl-BA"/>
              </w:rPr>
              <w:t>пр</w:t>
            </w:r>
            <w:r>
              <w:rPr>
                <w:rFonts w:ascii="Arial" w:eastAsia="Times New Roman" w:hAnsi="Arial" w:cs="Arial"/>
                <w:color w:val="000000"/>
                <w:lang w:val="sr-Cyrl-BA"/>
              </w:rPr>
              <w:t>ино</w:t>
            </w:r>
            <w:r w:rsidR="0071360A">
              <w:rPr>
                <w:rFonts w:ascii="Arial" w:eastAsia="Times New Roman" w:hAnsi="Arial" w:cs="Arial"/>
                <w:color w:val="000000"/>
                <w:lang w:val="sr-Cyrl-BA"/>
              </w:rPr>
              <w:t>с</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lastRenderedPageBreak/>
              <w:t>у</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днача</w:t>
            </w:r>
            <w:r w:rsidR="0071360A">
              <w:rPr>
                <w:rFonts w:ascii="Arial" w:eastAsia="Times New Roman" w:hAnsi="Arial" w:cs="Arial"/>
                <w:color w:val="000000"/>
                <w:lang w:val="sr-Cyrl-BA"/>
              </w:rPr>
              <w:t>в</w:t>
            </w:r>
            <w:r>
              <w:rPr>
                <w:rFonts w:ascii="Arial" w:eastAsia="Times New Roman" w:hAnsi="Arial" w:cs="Arial"/>
                <w:color w:val="000000"/>
                <w:lang w:val="sr-Cyrl-BA"/>
              </w:rPr>
              <w:t>ањ</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р</w:t>
            </w:r>
            <w:r>
              <w:rPr>
                <w:rFonts w:ascii="Arial" w:eastAsia="Times New Roman" w:hAnsi="Arial" w:cs="Arial"/>
                <w:color w:val="000000"/>
                <w:lang w:val="sr-Cyrl-BA"/>
              </w:rPr>
              <w:t>и</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ија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вр</w:t>
            </w:r>
            <w:r w:rsidR="00EE6AA2">
              <w:rPr>
                <w:rFonts w:ascii="Arial" w:eastAsia="Times New Roman" w:hAnsi="Arial" w:cs="Arial"/>
                <w:color w:val="000000"/>
                <w:lang w:val="sr-Cyrl-BA"/>
              </w:rPr>
              <w:t>е</w:t>
            </w:r>
            <w:r>
              <w:rPr>
                <w:rFonts w:ascii="Arial" w:eastAsia="Times New Roman" w:hAnsi="Arial" w:cs="Arial"/>
                <w:color w:val="000000"/>
                <w:lang w:val="sr-Cyrl-BA"/>
              </w:rPr>
              <w:t>дно</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од</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стр</w:t>
            </w:r>
            <w:r>
              <w:rPr>
                <w:rFonts w:ascii="Arial" w:eastAsia="Times New Roman" w:hAnsi="Arial" w:cs="Arial"/>
                <w:color w:val="000000"/>
                <w:lang w:val="sr-Cyrl-BA"/>
              </w:rPr>
              <w:t>ан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св</w:t>
            </w:r>
            <w:r>
              <w:rPr>
                <w:rFonts w:ascii="Arial" w:eastAsia="Times New Roman" w:hAnsi="Arial" w:cs="Arial"/>
                <w:color w:val="000000"/>
                <w:lang w:val="sr-Cyrl-BA"/>
              </w:rPr>
              <w:t>их</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sidR="0071360A">
              <w:rPr>
                <w:rFonts w:ascii="Arial" w:eastAsia="Times New Roman" w:hAnsi="Arial" w:cs="Arial"/>
                <w:color w:val="000000"/>
                <w:lang w:val="sr-Cyrl-BA"/>
              </w:rPr>
              <w:t>у</w:t>
            </w:r>
            <w:r>
              <w:rPr>
                <w:rFonts w:ascii="Arial" w:eastAsia="Times New Roman" w:hAnsi="Arial" w:cs="Arial"/>
                <w:color w:val="000000"/>
                <w:lang w:val="sr-Cyrl-BA"/>
              </w:rPr>
              <w:t>миј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в</w:t>
            </w:r>
            <w:r>
              <w:rPr>
                <w:rFonts w:ascii="Arial" w:eastAsia="Times New Roman" w:hAnsi="Arial" w:cs="Arial"/>
                <w:color w:val="000000"/>
                <w:lang w:val="sr-Cyrl-BA"/>
              </w:rPr>
              <w:t>ањ</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р</w:t>
            </w:r>
            <w:r>
              <w:rPr>
                <w:rFonts w:ascii="Arial" w:eastAsia="Times New Roman" w:hAnsi="Arial" w:cs="Arial"/>
                <w:color w:val="000000"/>
                <w:lang w:val="sr-Cyrl-BA"/>
              </w:rPr>
              <w:t>и</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ија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од</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стр</w:t>
            </w:r>
            <w:r>
              <w:rPr>
                <w:rFonts w:ascii="Arial" w:eastAsia="Times New Roman" w:hAnsi="Arial" w:cs="Arial"/>
                <w:color w:val="000000"/>
                <w:lang w:val="sr-Cyrl-BA"/>
              </w:rPr>
              <w:t>ан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и</w:t>
            </w:r>
            <w:r w:rsidR="0071360A">
              <w:rPr>
                <w:rFonts w:ascii="Arial" w:eastAsia="Times New Roman" w:hAnsi="Arial" w:cs="Arial"/>
                <w:color w:val="000000"/>
                <w:lang w:val="sr-Cyrl-BA"/>
              </w:rPr>
              <w:t>ст</w:t>
            </w:r>
            <w:r w:rsidR="00EE6AA2">
              <w:rPr>
                <w:rFonts w:ascii="Arial" w:eastAsia="Times New Roman" w:hAnsi="Arial" w:cs="Arial"/>
                <w:color w:val="000000"/>
                <w:lang w:val="sr-Cyrl-BA"/>
              </w:rPr>
              <w:t>е</w:t>
            </w:r>
            <w:r>
              <w:rPr>
                <w:rFonts w:ascii="Arial" w:eastAsia="Times New Roman" w:hAnsi="Arial" w:cs="Arial"/>
                <w:color w:val="000000"/>
                <w:lang w:val="sr-Cyrl-BA"/>
              </w:rPr>
              <w:t>м</w:t>
            </w:r>
            <w:r w:rsidR="001F47D7"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w:t>
            </w:r>
            <w:r>
              <w:rPr>
                <w:rFonts w:ascii="Arial" w:eastAsia="Times New Roman" w:hAnsi="Arial" w:cs="Arial"/>
                <w:color w:val="000000"/>
                <w:lang w:val="sr-Cyrl-BA"/>
              </w:rPr>
              <w:t>анда</w:t>
            </w:r>
            <w:r w:rsidR="0071360A">
              <w:rPr>
                <w:rFonts w:ascii="Arial" w:eastAsia="Times New Roman" w:hAnsi="Arial" w:cs="Arial"/>
                <w:color w:val="000000"/>
                <w:lang w:val="sr-Cyrl-BA"/>
              </w:rPr>
              <w:t>р</w:t>
            </w:r>
            <w:r>
              <w:rPr>
                <w:rFonts w:ascii="Arial" w:eastAsia="Times New Roman" w:hAnsi="Arial" w:cs="Arial"/>
                <w:color w:val="000000"/>
                <w:lang w:val="sr-Cyrl-BA"/>
              </w:rPr>
              <w:t>ди</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ан</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ни</w:t>
            </w:r>
            <w:r w:rsidR="0071360A">
              <w:rPr>
                <w:rFonts w:ascii="Arial" w:eastAsia="Times New Roman" w:hAnsi="Arial" w:cs="Arial"/>
                <w:color w:val="000000"/>
                <w:lang w:val="sr-Cyrl-BA"/>
              </w:rPr>
              <w:t>в</w:t>
            </w:r>
            <w:r>
              <w:rPr>
                <w:rFonts w:ascii="Arial" w:eastAsia="Times New Roman" w:hAnsi="Arial" w:cs="Arial"/>
                <w:color w:val="000000"/>
                <w:lang w:val="sr-Cyrl-BA"/>
              </w:rPr>
              <w:t>о</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ст</w:t>
            </w:r>
            <w:r>
              <w:rPr>
                <w:rFonts w:ascii="Arial" w:eastAsia="Times New Roman" w:hAnsi="Arial" w:cs="Arial"/>
                <w:color w:val="000000"/>
                <w:lang w:val="sr-Cyrl-BA"/>
              </w:rPr>
              <w:t>и</w:t>
            </w:r>
            <w:r w:rsidR="0071360A">
              <w:rPr>
                <w:rFonts w:ascii="Arial" w:eastAsia="Times New Roman" w:hAnsi="Arial" w:cs="Arial"/>
                <w:color w:val="000000"/>
                <w:lang w:val="sr-Cyrl-BA"/>
              </w:rPr>
              <w:t>ту</w:t>
            </w:r>
            <w:r>
              <w:rPr>
                <w:rFonts w:ascii="Arial" w:eastAsia="Times New Roman" w:hAnsi="Arial" w:cs="Arial"/>
                <w:color w:val="000000"/>
                <w:lang w:val="sr-Cyrl-BA"/>
              </w:rPr>
              <w:t>циј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sidR="00E864CA"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клад</w:t>
            </w:r>
            <w:r w:rsidR="0071360A">
              <w:rPr>
                <w:rFonts w:ascii="Arial" w:eastAsia="Times New Roman" w:hAnsi="Arial" w:cs="Arial"/>
                <w:color w:val="000000"/>
                <w:lang w:val="sr-Cyrl-BA"/>
              </w:rPr>
              <w:t>у</w:t>
            </w:r>
            <w:r w:rsidR="00B04FA8">
              <w:rPr>
                <w:rFonts w:ascii="Arial" w:eastAsia="Times New Roman" w:hAnsi="Arial" w:cs="Arial"/>
                <w:color w:val="000000"/>
                <w:lang w:val="sr-Cyrl-BA"/>
              </w:rPr>
              <w:t xml:space="preserve"> са </w:t>
            </w:r>
            <w:r>
              <w:rPr>
                <w:rFonts w:ascii="Arial" w:eastAsia="Times New Roman" w:hAnsi="Arial" w:cs="Arial"/>
                <w:color w:val="000000"/>
                <w:lang w:val="sr-Cyrl-BA"/>
              </w:rPr>
              <w:t>ни</w:t>
            </w:r>
            <w:r w:rsidR="0071360A">
              <w:rPr>
                <w:rFonts w:ascii="Arial" w:eastAsia="Times New Roman" w:hAnsi="Arial" w:cs="Arial"/>
                <w:color w:val="000000"/>
                <w:lang w:val="sr-Cyrl-BA"/>
              </w:rPr>
              <w:t>в</w:t>
            </w:r>
            <w:r>
              <w:rPr>
                <w:rFonts w:ascii="Arial" w:eastAsia="Times New Roman" w:hAnsi="Arial" w:cs="Arial"/>
                <w:color w:val="000000"/>
                <w:lang w:val="sr-Cyrl-BA"/>
              </w:rPr>
              <w:t>оом</w:t>
            </w:r>
            <w:r w:rsidR="00FA763F"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Мо</w:t>
            </w:r>
            <w:r w:rsidR="00171F00">
              <w:rPr>
                <w:rFonts w:ascii="Arial" w:eastAsia="Times New Roman" w:hAnsi="Arial" w:cs="Arial"/>
                <w:color w:val="000000"/>
                <w:lang w:val="sr-Cyrl-BA"/>
              </w:rPr>
              <w:t>ж</w:t>
            </w:r>
            <w:r w:rsidR="00EE6AA2">
              <w:rPr>
                <w:rFonts w:ascii="Arial" w:eastAsia="Times New Roman" w:hAnsi="Arial" w:cs="Arial"/>
                <w:color w:val="000000"/>
                <w:lang w:val="sr-Cyrl-BA"/>
              </w:rPr>
              <w:t>е</w:t>
            </w:r>
            <w:r w:rsidR="0057191F"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и</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као</w:t>
            </w:r>
            <w:r w:rsidR="001F47D7"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аб</w:t>
            </w:r>
            <w:r w:rsidR="00EE6AA2">
              <w:rPr>
                <w:rFonts w:ascii="Arial" w:eastAsia="Times New Roman" w:hAnsi="Arial" w:cs="Arial"/>
                <w:color w:val="000000"/>
                <w:lang w:val="sr-Cyrl-BA"/>
              </w:rPr>
              <w:t>е</w:t>
            </w:r>
            <w:r>
              <w:rPr>
                <w:rFonts w:ascii="Arial" w:eastAsia="Times New Roman" w:hAnsi="Arial" w:cs="Arial"/>
                <w:color w:val="000000"/>
                <w:lang w:val="sr-Cyrl-BA"/>
              </w:rPr>
              <w:t>ла</w:t>
            </w:r>
            <w:r w:rsidR="001F47D7"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1F47D7"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имј</w:t>
            </w:r>
            <w:r w:rsidR="00EE6AA2">
              <w:rPr>
                <w:rFonts w:ascii="Arial" w:eastAsia="Times New Roman" w:hAnsi="Arial" w:cs="Arial"/>
                <w:color w:val="000000"/>
                <w:lang w:val="sr-Cyrl-BA"/>
              </w:rPr>
              <w:t>е</w:t>
            </w:r>
            <w:r>
              <w:rPr>
                <w:rFonts w:ascii="Arial" w:eastAsia="Times New Roman" w:hAnsi="Arial" w:cs="Arial"/>
                <w:color w:val="000000"/>
                <w:lang w:val="sr-Cyrl-BA"/>
              </w:rPr>
              <w:t>њи</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1F47D7" w:rsidRPr="00F6340E">
              <w:rPr>
                <w:rFonts w:ascii="Arial" w:eastAsia="Times New Roman" w:hAnsi="Arial" w:cs="Arial"/>
                <w:color w:val="000000"/>
                <w:lang w:val="sr-Cyrl-BA"/>
              </w:rPr>
              <w:t>/</w:t>
            </w:r>
            <w:r w:rsidR="0071360A">
              <w:rPr>
                <w:rFonts w:ascii="Arial" w:eastAsia="Times New Roman" w:hAnsi="Arial" w:cs="Arial"/>
                <w:color w:val="000000"/>
                <w:lang w:val="sr-Cyrl-BA"/>
              </w:rPr>
              <w:t>уп</w:t>
            </w:r>
            <w:r>
              <w:rPr>
                <w:rFonts w:ascii="Arial" w:eastAsia="Times New Roman" w:hAnsi="Arial" w:cs="Arial"/>
                <w:color w:val="000000"/>
                <w:lang w:val="sr-Cyrl-BA"/>
              </w:rPr>
              <w:t>о</w:t>
            </w:r>
            <w:r w:rsidR="0071360A">
              <w:rPr>
                <w:rFonts w:ascii="Arial" w:eastAsia="Times New Roman" w:hAnsi="Arial" w:cs="Arial"/>
                <w:color w:val="000000"/>
                <w:lang w:val="sr-Cyrl-BA"/>
              </w:rPr>
              <w:t>тр</w:t>
            </w:r>
            <w:r>
              <w:rPr>
                <w:rFonts w:ascii="Arial" w:eastAsia="Times New Roman" w:hAnsi="Arial" w:cs="Arial"/>
                <w:color w:val="000000"/>
                <w:lang w:val="sr-Cyrl-BA"/>
              </w:rPr>
              <w:t>иј</w:t>
            </w:r>
            <w:r w:rsidR="00EE6AA2">
              <w:rPr>
                <w:rFonts w:ascii="Arial" w:eastAsia="Times New Roman" w:hAnsi="Arial" w:cs="Arial"/>
                <w:color w:val="000000"/>
                <w:lang w:val="sr-Cyrl-BA"/>
              </w:rPr>
              <w:t>е</w:t>
            </w:r>
            <w:r>
              <w:rPr>
                <w:rFonts w:ascii="Arial" w:eastAsia="Times New Roman" w:hAnsi="Arial" w:cs="Arial"/>
                <w:color w:val="000000"/>
                <w:lang w:val="sr-Cyrl-BA"/>
              </w:rPr>
              <w:t>би</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B04FA8">
              <w:rPr>
                <w:rFonts w:ascii="Arial" w:eastAsia="Times New Roman" w:hAnsi="Arial" w:cs="Arial"/>
                <w:color w:val="000000"/>
                <w:lang w:val="sr-Cyrl-BA"/>
              </w:rPr>
              <w:t xml:space="preserve"> са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ст</w:t>
            </w:r>
            <w:r>
              <w:rPr>
                <w:rFonts w:ascii="Arial" w:eastAsia="Times New Roman" w:hAnsi="Arial" w:cs="Arial"/>
                <w:color w:val="000000"/>
                <w:lang w:val="sr-Cyrl-BA"/>
              </w:rPr>
              <w:t>ој</w:t>
            </w:r>
            <w:r w:rsidR="00EE6AA2">
              <w:rPr>
                <w:rFonts w:ascii="Arial" w:eastAsia="Times New Roman" w:hAnsi="Arial" w:cs="Arial"/>
                <w:color w:val="000000"/>
                <w:lang w:val="sr-Cyrl-BA"/>
              </w:rPr>
              <w:t>е</w:t>
            </w:r>
            <w:r>
              <w:rPr>
                <w:rFonts w:ascii="Arial" w:eastAsia="Times New Roman" w:hAnsi="Arial" w:cs="Arial"/>
                <w:color w:val="000000"/>
                <w:lang w:val="sr-Cyrl-BA"/>
              </w:rPr>
              <w:t>ћом</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ла</w:t>
            </w:r>
            <w:r w:rsidR="0071360A">
              <w:rPr>
                <w:rFonts w:ascii="Arial" w:eastAsia="Times New Roman" w:hAnsi="Arial" w:cs="Arial"/>
                <w:color w:val="000000"/>
                <w:lang w:val="sr-Cyrl-BA"/>
              </w:rPr>
              <w:t>т</w:t>
            </w:r>
            <w:r>
              <w:rPr>
                <w:rFonts w:ascii="Arial" w:eastAsia="Times New Roman" w:hAnsi="Arial" w:cs="Arial"/>
                <w:color w:val="000000"/>
                <w:lang w:val="sr-Cyrl-BA"/>
              </w:rPr>
              <w:t>фо</w:t>
            </w:r>
            <w:r w:rsidR="0071360A">
              <w:rPr>
                <w:rFonts w:ascii="Arial" w:eastAsia="Times New Roman" w:hAnsi="Arial" w:cs="Arial"/>
                <w:color w:val="000000"/>
                <w:lang w:val="sr-Cyrl-BA"/>
              </w:rPr>
              <w:t>р</w:t>
            </w:r>
            <w:r>
              <w:rPr>
                <w:rFonts w:ascii="Arial" w:eastAsia="Times New Roman" w:hAnsi="Arial" w:cs="Arial"/>
                <w:color w:val="000000"/>
                <w:lang w:val="sr-Cyrl-BA"/>
              </w:rPr>
              <w:t>мом</w:t>
            </w:r>
            <w:r w:rsidR="00FA763F"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sidR="00EE6AA2">
              <w:rPr>
                <w:rFonts w:ascii="Arial" w:eastAsia="Times New Roman" w:hAnsi="Arial" w:cs="Arial"/>
                <w:color w:val="000000"/>
                <w:lang w:val="sr-Cyrl-BA"/>
              </w:rPr>
              <w:t>е</w:t>
            </w:r>
            <w:r w:rsidR="008424F0"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пут</w:t>
            </w:r>
            <w:r w:rsidR="00EE6AA2">
              <w:rPr>
                <w:rFonts w:ascii="Arial" w:eastAsia="Times New Roman" w:hAnsi="Arial" w:cs="Arial"/>
                <w:color w:val="000000"/>
                <w:lang w:val="sr-Cyrl-BA"/>
              </w:rPr>
              <w:t>е</w:t>
            </w:r>
            <w:r>
              <w:rPr>
                <w:rFonts w:ascii="Arial" w:eastAsia="Times New Roman" w:hAnsi="Arial" w:cs="Arial"/>
                <w:color w:val="000000"/>
                <w:lang w:val="sr-Cyrl-BA"/>
              </w:rPr>
              <w:t>м</w:t>
            </w:r>
            <w:r w:rsidR="008424F0"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ш</w:t>
            </w:r>
            <w:r w:rsidR="00EE6AA2">
              <w:rPr>
                <w:rFonts w:ascii="Arial" w:eastAsia="Times New Roman" w:hAnsi="Arial" w:cs="Arial"/>
                <w:color w:val="000000"/>
                <w:lang w:val="sr-Cyrl-BA"/>
              </w:rPr>
              <w:t>е</w:t>
            </w:r>
            <w:r>
              <w:rPr>
                <w:rFonts w:ascii="Arial" w:eastAsia="Times New Roman" w:hAnsi="Arial" w:cs="Arial"/>
                <w:color w:val="000000"/>
                <w:lang w:val="sr-Cyrl-BA"/>
              </w:rPr>
              <w:t>њима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ЛМ</w:t>
            </w:r>
            <w:r w:rsidR="0071360A">
              <w:rPr>
                <w:rFonts w:ascii="Arial" w:eastAsia="Times New Roman" w:hAnsi="Arial" w:cs="Arial"/>
                <w:color w:val="000000"/>
                <w:lang w:val="sr-Cyrl-BA"/>
              </w:rPr>
              <w:t>С</w:t>
            </w:r>
            <w:r w:rsidR="0057191F"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w:t>
            </w:r>
            <w:r w:rsidR="0071360A">
              <w:rPr>
                <w:rFonts w:ascii="Arial" w:eastAsia="Times New Roman" w:hAnsi="Arial" w:cs="Arial"/>
                <w:color w:val="000000"/>
                <w:lang w:val="sr-Cyrl-BA"/>
              </w:rPr>
              <w:t>р</w:t>
            </w:r>
            <w:r w:rsidR="00892898" w:rsidRPr="00F6340E">
              <w:rPr>
                <w:rFonts w:ascii="Arial" w:eastAsia="Times New Roman" w:hAnsi="Arial" w:cs="Arial"/>
                <w:color w:val="000000"/>
                <w:lang w:val="sr-Cyrl-BA"/>
              </w:rPr>
              <w:t xml:space="preserve">. </w:t>
            </w:r>
          </w:p>
          <w:p w14:paraId="786F3710" w14:textId="6DF8C06A" w:rsidR="00892898" w:rsidRPr="00F6340E" w:rsidRDefault="0071360A"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Усп</w:t>
            </w:r>
            <w:r w:rsidR="00A56E08">
              <w:rPr>
                <w:rFonts w:ascii="Arial" w:eastAsia="Times New Roman" w:hAnsi="Arial" w:cs="Arial"/>
                <w:b/>
                <w:color w:val="000000"/>
                <w:lang w:val="sr-Cyrl-BA"/>
              </w:rPr>
              <w:t>о</w:t>
            </w:r>
            <w:r>
              <w:rPr>
                <w:rFonts w:ascii="Arial" w:eastAsia="Times New Roman" w:hAnsi="Arial" w:cs="Arial"/>
                <w:b/>
                <w:color w:val="000000"/>
                <w:lang w:val="sr-Cyrl-BA"/>
              </w:rPr>
              <w:t>ст</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A56E08">
              <w:rPr>
                <w:rFonts w:ascii="Arial" w:eastAsia="Times New Roman" w:hAnsi="Arial" w:cs="Arial"/>
                <w:b/>
                <w:color w:val="000000"/>
                <w:lang w:val="sr-Cyrl-BA"/>
              </w:rPr>
              <w:t>и</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ин</w:t>
            </w:r>
            <w:r>
              <w:rPr>
                <w:rFonts w:ascii="Arial" w:eastAsia="Times New Roman" w:hAnsi="Arial" w:cs="Arial"/>
                <w:b/>
                <w:color w:val="000000"/>
                <w:lang w:val="sr-Cyrl-BA"/>
              </w:rPr>
              <w:t>т</w:t>
            </w:r>
            <w:r w:rsidR="00EE6AA2">
              <w:rPr>
                <w:rFonts w:ascii="Arial" w:eastAsia="Times New Roman" w:hAnsi="Arial" w:cs="Arial"/>
                <w:b/>
                <w:color w:val="000000"/>
                <w:lang w:val="sr-Cyrl-BA"/>
              </w:rPr>
              <w:t>е</w:t>
            </w:r>
            <w:r>
              <w:rPr>
                <w:rFonts w:ascii="Arial" w:eastAsia="Times New Roman" w:hAnsi="Arial" w:cs="Arial"/>
                <w:b/>
                <w:color w:val="000000"/>
                <w:lang w:val="sr-Cyrl-BA"/>
              </w:rPr>
              <w:t>р</w:t>
            </w:r>
            <w:r w:rsidR="00A56E08">
              <w:rPr>
                <w:rFonts w:ascii="Arial" w:eastAsia="Times New Roman" w:hAnsi="Arial" w:cs="Arial"/>
                <w:b/>
                <w:color w:val="000000"/>
                <w:lang w:val="sr-Cyrl-BA"/>
              </w:rPr>
              <w:t>н</w:t>
            </w:r>
            <w:r w:rsidR="00EE6AA2">
              <w:rPr>
                <w:rFonts w:ascii="Arial" w:eastAsia="Times New Roman" w:hAnsi="Arial" w:cs="Arial"/>
                <w:b/>
                <w:color w:val="000000"/>
                <w:lang w:val="sr-Cyrl-BA"/>
              </w:rPr>
              <w:t>е</w:t>
            </w:r>
            <w:r>
              <w:rPr>
                <w:rFonts w:ascii="Arial" w:eastAsia="Times New Roman" w:hAnsi="Arial" w:cs="Arial"/>
                <w:b/>
                <w:color w:val="000000"/>
                <w:lang w:val="sr-Cyrl-BA"/>
              </w:rPr>
              <w:t>т</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стр</w:t>
            </w:r>
            <w:r w:rsidR="00A56E08">
              <w:rPr>
                <w:rFonts w:ascii="Arial" w:eastAsia="Times New Roman" w:hAnsi="Arial" w:cs="Arial"/>
                <w:b/>
                <w:color w:val="000000"/>
                <w:lang w:val="sr-Cyrl-BA"/>
              </w:rPr>
              <w:t>аниц</w:t>
            </w:r>
            <w:r w:rsidR="00EE6AA2">
              <w:rPr>
                <w:rFonts w:ascii="Arial" w:eastAsia="Times New Roman" w:hAnsi="Arial" w:cs="Arial"/>
                <w:b/>
                <w:color w:val="000000"/>
                <w:lang w:val="sr-Cyrl-BA"/>
              </w:rPr>
              <w:t>е</w:t>
            </w:r>
            <w:r w:rsidR="00867BD5"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св</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ћ</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w:t>
            </w:r>
            <w:r w:rsidR="00EE6AA2">
              <w:rPr>
                <w:rFonts w:ascii="Arial" w:eastAsia="Times New Roman" w:hAnsi="Arial" w:cs="Arial"/>
                <w:b/>
                <w:color w:val="000000"/>
                <w:lang w:val="sr-Cyrl-BA"/>
              </w:rPr>
              <w:t>е</w:t>
            </w:r>
            <w:r w:rsidR="00867BD5"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w:t>
            </w:r>
            <w:r>
              <w:rPr>
                <w:rFonts w:ascii="Arial" w:eastAsia="Times New Roman" w:hAnsi="Arial" w:cs="Arial"/>
                <w:b/>
                <w:color w:val="000000"/>
                <w:lang w:val="sr-Cyrl-BA"/>
              </w:rPr>
              <w:t>с</w:t>
            </w:r>
            <w:r w:rsidR="00A56E08">
              <w:rPr>
                <w:rFonts w:ascii="Arial" w:eastAsia="Times New Roman" w:hAnsi="Arial" w:cs="Arial"/>
                <w:b/>
                <w:color w:val="000000"/>
                <w:lang w:val="sr-Cyrl-BA"/>
              </w:rPr>
              <w:t>кљ</w:t>
            </w:r>
            <w:r>
              <w:rPr>
                <w:rFonts w:ascii="Arial" w:eastAsia="Times New Roman" w:hAnsi="Arial" w:cs="Arial"/>
                <w:b/>
                <w:color w:val="000000"/>
                <w:lang w:val="sr-Cyrl-BA"/>
              </w:rPr>
              <w:t>у</w:t>
            </w:r>
            <w:r w:rsidR="00A56E08">
              <w:rPr>
                <w:rFonts w:ascii="Arial" w:eastAsia="Times New Roman" w:hAnsi="Arial" w:cs="Arial"/>
                <w:b/>
                <w:color w:val="000000"/>
                <w:lang w:val="sr-Cyrl-BA"/>
              </w:rPr>
              <w:t>чи</w:t>
            </w:r>
            <w:r>
              <w:rPr>
                <w:rFonts w:ascii="Arial" w:eastAsia="Times New Roman" w:hAnsi="Arial" w:cs="Arial"/>
                <w:b/>
                <w:color w:val="000000"/>
                <w:lang w:val="sr-Cyrl-BA"/>
              </w:rPr>
              <w:t>в</w:t>
            </w:r>
            <w:r w:rsidR="00A56E08">
              <w:rPr>
                <w:rFonts w:ascii="Arial" w:eastAsia="Times New Roman" w:hAnsi="Arial" w:cs="Arial"/>
                <w:b/>
                <w:color w:val="000000"/>
                <w:lang w:val="sr-Cyrl-BA"/>
              </w:rPr>
              <w:t>о</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омоцији</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w:t>
            </w:r>
            <w:r>
              <w:rPr>
                <w:rFonts w:ascii="Arial" w:eastAsia="Times New Roman" w:hAnsi="Arial" w:cs="Arial"/>
                <w:b/>
                <w:color w:val="000000"/>
                <w:lang w:val="sr-Cyrl-BA"/>
              </w:rPr>
              <w:t>ПП</w:t>
            </w:r>
            <w:r w:rsidR="00867BD5" w:rsidRPr="00F6340E">
              <w:rPr>
                <w:rFonts w:ascii="Arial" w:eastAsia="Times New Roman" w:hAnsi="Arial" w:cs="Arial"/>
                <w:b/>
                <w:color w:val="000000"/>
                <w:lang w:val="sr-Cyrl-BA"/>
              </w:rPr>
              <w:t>-</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w:t>
            </w:r>
            <w:r>
              <w:rPr>
                <w:rFonts w:ascii="Arial" w:eastAsia="Times New Roman" w:hAnsi="Arial" w:cs="Arial"/>
                <w:b/>
                <w:color w:val="000000"/>
                <w:lang w:val="sr-Cyrl-BA"/>
              </w:rPr>
              <w:t>с</w:t>
            </w:r>
            <w:r w:rsidR="00A56E08">
              <w:rPr>
                <w:rFonts w:ascii="Arial" w:eastAsia="Times New Roman" w:hAnsi="Arial" w:cs="Arial"/>
                <w:b/>
                <w:color w:val="000000"/>
                <w:lang w:val="sr-Cyrl-BA"/>
              </w:rPr>
              <w:t>но</w:t>
            </w:r>
            <w:r>
              <w:rPr>
                <w:rFonts w:ascii="Arial" w:eastAsia="Times New Roman" w:hAnsi="Arial" w:cs="Arial"/>
                <w:b/>
                <w:color w:val="000000"/>
                <w:lang w:val="sr-Cyrl-BA"/>
              </w:rPr>
              <w:t>в</w:t>
            </w:r>
            <w:r w:rsidR="00A56E08">
              <w:rPr>
                <w:rFonts w:ascii="Arial" w:eastAsia="Times New Roman" w:hAnsi="Arial" w:cs="Arial"/>
                <w:b/>
                <w:color w:val="000000"/>
                <w:lang w:val="sr-Cyrl-BA"/>
              </w:rPr>
              <w:t>ан</w:t>
            </w:r>
            <w:r w:rsidR="00EE6AA2">
              <w:rPr>
                <w:rFonts w:ascii="Arial" w:eastAsia="Times New Roman" w:hAnsi="Arial" w:cs="Arial"/>
                <w:b/>
                <w:color w:val="000000"/>
                <w:lang w:val="sr-Cyrl-BA"/>
              </w:rPr>
              <w:t>е</w:t>
            </w:r>
            <w:r w:rsidR="00FA763F"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ком</w:t>
            </w:r>
            <w:r>
              <w:rPr>
                <w:rFonts w:ascii="Arial" w:eastAsia="Times New Roman" w:hAnsi="Arial" w:cs="Arial"/>
                <w:b/>
                <w:color w:val="000000"/>
                <w:lang w:val="sr-Cyrl-BA"/>
              </w:rPr>
              <w:t>п</w:t>
            </w:r>
            <w:r w:rsidR="00EE6AA2">
              <w:rPr>
                <w:rFonts w:ascii="Arial" w:eastAsia="Times New Roman" w:hAnsi="Arial" w:cs="Arial"/>
                <w:b/>
                <w:color w:val="000000"/>
                <w:lang w:val="sr-Cyrl-BA"/>
              </w:rPr>
              <w:t>е</w:t>
            </w:r>
            <w:r>
              <w:rPr>
                <w:rFonts w:ascii="Arial" w:eastAsia="Times New Roman" w:hAnsi="Arial" w:cs="Arial"/>
                <w:b/>
                <w:color w:val="000000"/>
                <w:lang w:val="sr-Cyrl-BA"/>
              </w:rPr>
              <w:t>т</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нцијама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w:t>
            </w:r>
            <w:r w:rsidR="00B04FA8">
              <w:rPr>
                <w:rFonts w:ascii="Arial" w:eastAsia="Times New Roman" w:hAnsi="Arial" w:cs="Arial"/>
                <w:b/>
                <w:color w:val="000000"/>
                <w:lang w:val="sr-Cyrl-BA"/>
              </w:rPr>
              <w:t xml:space="preserve"> са </w:t>
            </w:r>
            <w:r>
              <w:rPr>
                <w:rFonts w:ascii="Arial" w:eastAsia="Times New Roman" w:hAnsi="Arial" w:cs="Arial"/>
                <w:b/>
                <w:color w:val="000000"/>
                <w:lang w:val="sr-Cyrl-BA"/>
              </w:rPr>
              <w:t>т</w:t>
            </w:r>
            <w:r w:rsidR="00A56E08">
              <w:rPr>
                <w:rFonts w:ascii="Arial" w:eastAsia="Times New Roman" w:hAnsi="Arial" w:cs="Arial"/>
                <w:b/>
                <w:color w:val="000000"/>
                <w:lang w:val="sr-Cyrl-BA"/>
              </w:rPr>
              <w:t>им</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в</w:t>
            </w:r>
            <w:r w:rsidR="00EE6AA2">
              <w:rPr>
                <w:rFonts w:ascii="Arial" w:eastAsia="Times New Roman" w:hAnsi="Arial" w:cs="Arial"/>
                <w:b/>
                <w:color w:val="000000"/>
                <w:lang w:val="sr-Cyrl-BA"/>
              </w:rPr>
              <w:t>е</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аним</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ак</w:t>
            </w:r>
            <w:r>
              <w:rPr>
                <w:rFonts w:ascii="Arial" w:eastAsia="Times New Roman" w:hAnsi="Arial" w:cs="Arial"/>
                <w:b/>
                <w:color w:val="000000"/>
                <w:lang w:val="sr-Cyrl-BA"/>
              </w:rPr>
              <w:t>с</w:t>
            </w:r>
            <w:r w:rsidR="00A56E08">
              <w:rPr>
                <w:rFonts w:ascii="Arial" w:eastAsia="Times New Roman" w:hAnsi="Arial" w:cs="Arial"/>
                <w:b/>
                <w:color w:val="000000"/>
                <w:lang w:val="sr-Cyrl-BA"/>
              </w:rPr>
              <w:t>ама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вр</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дно</w:t>
            </w:r>
            <w:r>
              <w:rPr>
                <w:rFonts w:ascii="Arial" w:eastAsia="Times New Roman" w:hAnsi="Arial" w:cs="Arial"/>
                <w:b/>
                <w:color w:val="000000"/>
                <w:lang w:val="sr-Cyrl-BA"/>
              </w:rPr>
              <w:t>в</w:t>
            </w:r>
            <w:r w:rsidR="00A56E08">
              <w:rPr>
                <w:rFonts w:ascii="Arial" w:eastAsia="Times New Roman" w:hAnsi="Arial" w:cs="Arial"/>
                <w:b/>
                <w:color w:val="000000"/>
                <w:lang w:val="sr-Cyrl-BA"/>
              </w:rPr>
              <w:t>ања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као</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р</w:t>
            </w:r>
            <w:r w:rsidR="00EE6AA2">
              <w:rPr>
                <w:rFonts w:ascii="Arial" w:eastAsia="Times New Roman" w:hAnsi="Arial" w:cs="Arial"/>
                <w:b/>
                <w:color w:val="000000"/>
                <w:lang w:val="sr-Cyrl-BA"/>
              </w:rPr>
              <w:t>е</w:t>
            </w:r>
            <w:r>
              <w:rPr>
                <w:rFonts w:ascii="Arial" w:eastAsia="Times New Roman" w:hAnsi="Arial" w:cs="Arial"/>
                <w:b/>
                <w:color w:val="000000"/>
                <w:lang w:val="sr-Cyrl-BA"/>
              </w:rPr>
              <w:t>сурс</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р</w:t>
            </w:r>
            <w:r w:rsidR="00A56E08">
              <w:rPr>
                <w:rFonts w:ascii="Arial" w:eastAsia="Times New Roman" w:hAnsi="Arial" w:cs="Arial"/>
                <w:b/>
                <w:color w:val="000000"/>
                <w:lang w:val="sr-Cyrl-BA"/>
              </w:rPr>
              <w:t>а</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ми</w:t>
            </w:r>
            <w:r>
              <w:rPr>
                <w:rFonts w:ascii="Arial" w:eastAsia="Times New Roman" w:hAnsi="Arial" w:cs="Arial"/>
                <w:b/>
                <w:color w:val="000000"/>
                <w:lang w:val="sr-Cyrl-BA"/>
              </w:rPr>
              <w:t>ш</w:t>
            </w:r>
            <w:r w:rsidR="00A56E08">
              <w:rPr>
                <w:rFonts w:ascii="Arial" w:eastAsia="Times New Roman" w:hAnsi="Arial" w:cs="Arial"/>
                <w:b/>
                <w:color w:val="000000"/>
                <w:lang w:val="sr-Cyrl-BA"/>
              </w:rPr>
              <w:t>љањ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р</w:t>
            </w:r>
            <w:r w:rsidR="00A56E08">
              <w:rPr>
                <w:rFonts w:ascii="Arial" w:eastAsia="Times New Roman" w:hAnsi="Arial" w:cs="Arial"/>
                <w:b/>
                <w:color w:val="000000"/>
                <w:lang w:val="sr-Cyrl-BA"/>
              </w:rPr>
              <w:t>а</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мј</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ак</w:t>
            </w:r>
            <w:r>
              <w:rPr>
                <w:rFonts w:ascii="Arial" w:eastAsia="Times New Roman" w:hAnsi="Arial" w:cs="Arial"/>
                <w:b/>
                <w:color w:val="000000"/>
                <w:lang w:val="sr-Cyrl-BA"/>
              </w:rPr>
              <w:t>с</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т</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као</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диги</w:t>
            </w:r>
            <w:r>
              <w:rPr>
                <w:rFonts w:ascii="Arial" w:eastAsia="Times New Roman" w:hAnsi="Arial" w:cs="Arial"/>
                <w:b/>
                <w:color w:val="000000"/>
                <w:lang w:val="sr-Cyrl-BA"/>
              </w:rPr>
              <w:t>т</w:t>
            </w:r>
            <w:r w:rsidR="00A56E08">
              <w:rPr>
                <w:rFonts w:ascii="Arial" w:eastAsia="Times New Roman" w:hAnsi="Arial" w:cs="Arial"/>
                <w:b/>
                <w:color w:val="000000"/>
                <w:lang w:val="sr-Cyrl-BA"/>
              </w:rPr>
              <w:t>алн</w:t>
            </w:r>
            <w:r>
              <w:rPr>
                <w:rFonts w:ascii="Arial" w:eastAsia="Times New Roman" w:hAnsi="Arial" w:cs="Arial"/>
                <w:b/>
                <w:color w:val="000000"/>
                <w:lang w:val="sr-Cyrl-BA"/>
              </w:rPr>
              <w:t>у</w:t>
            </w:r>
            <w:r w:rsidR="00FA763F"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књи</w:t>
            </w:r>
            <w:r w:rsidR="00171F00">
              <w:rPr>
                <w:rFonts w:ascii="Arial" w:eastAsia="Times New Roman" w:hAnsi="Arial" w:cs="Arial"/>
                <w:b/>
                <w:color w:val="000000"/>
                <w:lang w:val="sr-Cyrl-BA"/>
              </w:rPr>
              <w:t>ж</w:t>
            </w:r>
            <w:r w:rsidR="00A56E08">
              <w:rPr>
                <w:rFonts w:ascii="Arial" w:eastAsia="Times New Roman" w:hAnsi="Arial" w:cs="Arial"/>
                <w:b/>
                <w:color w:val="000000"/>
                <w:lang w:val="sr-Cyrl-BA"/>
              </w:rPr>
              <w:t>ниц</w:t>
            </w:r>
            <w:r>
              <w:rPr>
                <w:rFonts w:ascii="Arial" w:eastAsia="Times New Roman" w:hAnsi="Arial" w:cs="Arial"/>
                <w:b/>
                <w:color w:val="000000"/>
                <w:lang w:val="sr-Cyrl-BA"/>
              </w:rPr>
              <w:t>у</w:t>
            </w:r>
            <w:r w:rsidR="00FA763F"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ком</w:t>
            </w:r>
            <w:r>
              <w:rPr>
                <w:rFonts w:ascii="Arial" w:eastAsia="Times New Roman" w:hAnsi="Arial" w:cs="Arial"/>
                <w:b/>
                <w:color w:val="000000"/>
                <w:lang w:val="sr-Cyrl-BA"/>
              </w:rPr>
              <w:t>у</w:t>
            </w:r>
            <w:r w:rsidR="00A56E08">
              <w:rPr>
                <w:rFonts w:ascii="Arial" w:eastAsia="Times New Roman" w:hAnsi="Arial" w:cs="Arial"/>
                <w:b/>
                <w:color w:val="000000"/>
                <w:lang w:val="sr-Cyrl-BA"/>
              </w:rPr>
              <w:t>никациј</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омоћ</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Pr>
                <w:rFonts w:ascii="Arial" w:eastAsia="Times New Roman" w:hAnsi="Arial" w:cs="Arial"/>
                <w:b/>
                <w:color w:val="000000"/>
                <w:lang w:val="sr-Cyrl-BA"/>
              </w:rPr>
              <w:t>ст</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A56E08">
              <w:rPr>
                <w:rFonts w:ascii="Arial" w:eastAsia="Times New Roman" w:hAnsi="Arial" w:cs="Arial"/>
                <w:b/>
                <w:color w:val="000000"/>
                <w:lang w:val="sr-Cyrl-BA"/>
              </w:rPr>
              <w:t>ницима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доно</w:t>
            </w:r>
            <w:r>
              <w:rPr>
                <w:rFonts w:ascii="Arial" w:eastAsia="Times New Roman" w:hAnsi="Arial" w:cs="Arial"/>
                <w:b/>
                <w:color w:val="000000"/>
                <w:lang w:val="sr-Cyrl-BA"/>
              </w:rPr>
              <w:t>ш</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њ</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w:t>
            </w:r>
            <w:r>
              <w:rPr>
                <w:rFonts w:ascii="Arial" w:eastAsia="Times New Roman" w:hAnsi="Arial" w:cs="Arial"/>
                <w:b/>
                <w:color w:val="000000"/>
                <w:lang w:val="sr-Cyrl-BA"/>
              </w:rPr>
              <w:t>ур</w:t>
            </w:r>
            <w:r w:rsidR="00A56E08">
              <w:rPr>
                <w:rFonts w:ascii="Arial" w:eastAsia="Times New Roman" w:hAnsi="Arial" w:cs="Arial"/>
                <w:b/>
                <w:color w:val="000000"/>
                <w:lang w:val="sr-Cyrl-BA"/>
              </w:rPr>
              <w:t>ик</w:t>
            </w:r>
            <w:r>
              <w:rPr>
                <w:rFonts w:ascii="Arial" w:eastAsia="Times New Roman" w:hAnsi="Arial" w:cs="Arial"/>
                <w:b/>
                <w:color w:val="000000"/>
                <w:lang w:val="sr-Cyrl-BA"/>
              </w:rPr>
              <w:t>у</w:t>
            </w:r>
            <w:r w:rsidR="00A56E08">
              <w:rPr>
                <w:rFonts w:ascii="Arial" w:eastAsia="Times New Roman" w:hAnsi="Arial" w:cs="Arial"/>
                <w:b/>
                <w:color w:val="000000"/>
                <w:lang w:val="sr-Cyrl-BA"/>
              </w:rPr>
              <w:t>ла</w:t>
            </w:r>
            <w:r>
              <w:rPr>
                <w:rFonts w:ascii="Arial" w:eastAsia="Times New Roman" w:hAnsi="Arial" w:cs="Arial"/>
                <w:b/>
                <w:color w:val="000000"/>
                <w:lang w:val="sr-Cyrl-BA"/>
              </w:rPr>
              <w:t>р</w:t>
            </w:r>
            <w:r w:rsidR="00A56E08">
              <w:rPr>
                <w:rFonts w:ascii="Arial" w:eastAsia="Times New Roman" w:hAnsi="Arial" w:cs="Arial"/>
                <w:b/>
                <w:color w:val="000000"/>
                <w:lang w:val="sr-Cyrl-BA"/>
              </w:rPr>
              <w:t>них</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даго</w:t>
            </w:r>
            <w:r>
              <w:rPr>
                <w:rFonts w:ascii="Arial" w:eastAsia="Times New Roman" w:hAnsi="Arial" w:cs="Arial"/>
                <w:b/>
                <w:color w:val="000000"/>
                <w:lang w:val="sr-Cyrl-BA"/>
              </w:rPr>
              <w:t>ш</w:t>
            </w:r>
            <w:r w:rsidR="00A56E08">
              <w:rPr>
                <w:rFonts w:ascii="Arial" w:eastAsia="Times New Roman" w:hAnsi="Arial" w:cs="Arial"/>
                <w:b/>
                <w:color w:val="000000"/>
                <w:lang w:val="sr-Cyrl-BA"/>
              </w:rPr>
              <w:t>ких</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одл</w:t>
            </w:r>
            <w:r>
              <w:rPr>
                <w:rFonts w:ascii="Arial" w:eastAsia="Times New Roman" w:hAnsi="Arial" w:cs="Arial"/>
                <w:b/>
                <w:color w:val="000000"/>
                <w:lang w:val="sr-Cyrl-BA"/>
              </w:rPr>
              <w:t>у</w:t>
            </w:r>
            <w:r w:rsidR="00A56E08">
              <w:rPr>
                <w:rFonts w:ascii="Arial" w:eastAsia="Times New Roman" w:hAnsi="Arial" w:cs="Arial"/>
                <w:b/>
                <w:color w:val="000000"/>
                <w:lang w:val="sr-Cyrl-BA"/>
              </w:rPr>
              <w:t>ка</w:t>
            </w:r>
            <w:r w:rsidR="00892898" w:rsidRPr="00F6340E">
              <w:rPr>
                <w:rFonts w:ascii="Arial" w:eastAsia="Times New Roman" w:hAnsi="Arial" w:cs="Arial"/>
                <w:b/>
                <w:color w:val="000000"/>
                <w:lang w:val="sr-Cyrl-BA"/>
              </w:rPr>
              <w:t xml:space="preserve">. </w:t>
            </w:r>
          </w:p>
          <w:p w14:paraId="0AA87411" w14:textId="776449EF" w:rsidR="00EA1AE1" w:rsidRPr="00F6340E" w:rsidRDefault="00A56E08" w:rsidP="00FB5CB7">
            <w:pPr>
              <w:pStyle w:val="ListParagraph"/>
              <w:ind w:left="360"/>
              <w:jc w:val="left"/>
              <w:rPr>
                <w:rFonts w:ascii="Arial" w:eastAsia="Times New Roman" w:hAnsi="Arial" w:cs="Arial"/>
                <w:b/>
                <w:color w:val="000000"/>
                <w:lang w:val="sr-Cyrl-BA"/>
              </w:rPr>
            </w:pPr>
            <w:r>
              <w:rPr>
                <w:rFonts w:ascii="Arial" w:eastAsia="Times New Roman" w:hAnsi="Arial" w:cs="Arial"/>
                <w:color w:val="000000"/>
                <w:lang w:val="sr-Cyrl-BA"/>
              </w:rPr>
              <w:t>Ин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т</w:t>
            </w:r>
            <w:r w:rsidR="00EA1AE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стр</w:t>
            </w:r>
            <w:r>
              <w:rPr>
                <w:rFonts w:ascii="Arial" w:eastAsia="Times New Roman" w:hAnsi="Arial" w:cs="Arial"/>
                <w:color w:val="000000"/>
                <w:lang w:val="sr-Cyrl-BA"/>
              </w:rPr>
              <w:t>аниц</w:t>
            </w:r>
            <w:r w:rsidR="00EE6AA2">
              <w:rPr>
                <w:rFonts w:ascii="Arial" w:eastAsia="Times New Roman" w:hAnsi="Arial" w:cs="Arial"/>
                <w:color w:val="000000"/>
                <w:lang w:val="sr-Cyrl-BA"/>
              </w:rPr>
              <w:t>е</w:t>
            </w:r>
            <w:r w:rsidR="00867BD5"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мог</w:t>
            </w:r>
            <w:r w:rsidR="0071360A">
              <w:rPr>
                <w:rFonts w:ascii="Arial" w:eastAsia="Times New Roman" w:hAnsi="Arial" w:cs="Arial"/>
                <w:color w:val="000000"/>
                <w:lang w:val="sr-Cyrl-BA"/>
              </w:rPr>
              <w:t>у</w:t>
            </w:r>
            <w:r>
              <w:rPr>
                <w:rFonts w:ascii="Arial" w:eastAsia="Times New Roman" w:hAnsi="Arial" w:cs="Arial"/>
                <w:color w:val="000000"/>
                <w:lang w:val="sr-Cyrl-BA"/>
              </w:rPr>
              <w:t>ћ</w:t>
            </w:r>
            <w:r w:rsidR="00EE6AA2">
              <w:rPr>
                <w:rFonts w:ascii="Arial" w:eastAsia="Times New Roman" w:hAnsi="Arial" w:cs="Arial"/>
                <w:color w:val="000000"/>
                <w:lang w:val="sr-Cyrl-BA"/>
              </w:rPr>
              <w:t>е</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и</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ни</w:t>
            </w:r>
            <w:r w:rsidR="0071360A">
              <w:rPr>
                <w:rFonts w:ascii="Arial" w:eastAsia="Times New Roman" w:hAnsi="Arial" w:cs="Arial"/>
                <w:color w:val="000000"/>
                <w:lang w:val="sr-Cyrl-BA"/>
              </w:rPr>
              <w:t>в</w:t>
            </w:r>
            <w:r>
              <w:rPr>
                <w:rFonts w:ascii="Arial" w:eastAsia="Times New Roman" w:hAnsi="Arial" w:cs="Arial"/>
                <w:color w:val="000000"/>
                <w:lang w:val="sr-Cyrl-BA"/>
              </w:rPr>
              <w:t>о</w:t>
            </w:r>
            <w:r w:rsidR="0071360A">
              <w:rPr>
                <w:rFonts w:ascii="Arial" w:eastAsia="Times New Roman" w:hAnsi="Arial" w:cs="Arial"/>
                <w:color w:val="000000"/>
                <w:lang w:val="sr-Cyrl-BA"/>
              </w:rPr>
              <w:t>у</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админи</w:t>
            </w:r>
            <w:r w:rsidR="0071360A">
              <w:rPr>
                <w:rFonts w:ascii="Arial" w:eastAsia="Times New Roman" w:hAnsi="Arial" w:cs="Arial"/>
                <w:color w:val="000000"/>
                <w:lang w:val="sr-Cyrl-BA"/>
              </w:rPr>
              <w:t>стр</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них</w:t>
            </w:r>
            <w:r w:rsidR="00EA1AE1"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диница</w:t>
            </w:r>
            <w:r w:rsidR="00550707"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ако</w:t>
            </w:r>
            <w:r w:rsidR="005C7318" w:rsidRPr="00F6340E">
              <w:rPr>
                <w:rFonts w:ascii="Arial" w:eastAsia="Times New Roman" w:hAnsi="Arial" w:cs="Arial"/>
                <w:color w:val="000000"/>
                <w:lang w:val="sr-Cyrl-BA"/>
              </w:rPr>
              <w:t xml:space="preserve"> </w:t>
            </w:r>
            <w:r>
              <w:rPr>
                <w:rFonts w:ascii="Arial" w:eastAsia="Times New Roman" w:hAnsi="Arial" w:cs="Arial"/>
                <w:color w:val="000000"/>
                <w:lang w:val="sr-Cyrl-BA"/>
              </w:rPr>
              <w:t>да</w:t>
            </w:r>
            <w:r w:rsidR="005C7318"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у</w:t>
            </w:r>
            <w:r>
              <w:rPr>
                <w:rFonts w:ascii="Arial" w:eastAsia="Times New Roman" w:hAnsi="Arial" w:cs="Arial"/>
                <w:color w:val="000000"/>
                <w:lang w:val="sr-Cyrl-BA"/>
              </w:rPr>
              <w:t>х</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ај</w:t>
            </w:r>
            <w:r w:rsidR="0071360A">
              <w:rPr>
                <w:rFonts w:ascii="Arial" w:eastAsia="Times New Roman" w:hAnsi="Arial" w:cs="Arial"/>
                <w:color w:val="000000"/>
                <w:lang w:val="sr-Cyrl-BA"/>
              </w:rPr>
              <w:t>у</w:t>
            </w:r>
            <w:r w:rsidR="00103E94"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св</w:t>
            </w:r>
            <w:r w:rsidR="00EE6AA2">
              <w:rPr>
                <w:rFonts w:ascii="Arial" w:eastAsia="Times New Roman" w:hAnsi="Arial" w:cs="Arial"/>
                <w:color w:val="000000"/>
                <w:lang w:val="sr-Cyrl-BA"/>
              </w:rPr>
              <w:t>е</w:t>
            </w:r>
            <w:r w:rsidR="00103E94" w:rsidRPr="00F6340E">
              <w:rPr>
                <w:rFonts w:ascii="Arial" w:eastAsia="Times New Roman" w:hAnsi="Arial" w:cs="Arial"/>
                <w:color w:val="000000"/>
                <w:lang w:val="sr-Cyrl-BA"/>
              </w:rPr>
              <w:t xml:space="preserve"> </w:t>
            </w:r>
            <w:r>
              <w:rPr>
                <w:rFonts w:ascii="Arial" w:eastAsia="Times New Roman" w:hAnsi="Arial" w:cs="Arial"/>
                <w:color w:val="000000"/>
                <w:lang w:val="sr-Cyrl-BA"/>
              </w:rPr>
              <w:t>ни</w:t>
            </w:r>
            <w:r w:rsidR="0071360A">
              <w:rPr>
                <w:rFonts w:ascii="Arial" w:eastAsia="Times New Roman" w:hAnsi="Arial" w:cs="Arial"/>
                <w:color w:val="000000"/>
                <w:lang w:val="sr-Cyrl-BA"/>
              </w:rPr>
              <w:t>в</w:t>
            </w:r>
            <w:r>
              <w:rPr>
                <w:rFonts w:ascii="Arial" w:eastAsia="Times New Roman" w:hAnsi="Arial" w:cs="Arial"/>
                <w:color w:val="000000"/>
                <w:lang w:val="sr-Cyrl-BA"/>
              </w:rPr>
              <w:t>о</w:t>
            </w:r>
            <w:r w:rsidR="00EE6AA2">
              <w:rPr>
                <w:rFonts w:ascii="Arial" w:eastAsia="Times New Roman" w:hAnsi="Arial" w:cs="Arial"/>
                <w:color w:val="000000"/>
                <w:lang w:val="sr-Cyrl-BA"/>
              </w:rPr>
              <w:t>е</w:t>
            </w:r>
            <w:r w:rsidR="00103E94"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5C731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н</w:t>
            </w:r>
            <w:r w:rsidR="0071360A">
              <w:rPr>
                <w:rFonts w:ascii="Arial" w:eastAsia="Times New Roman" w:hAnsi="Arial" w:cs="Arial"/>
                <w:color w:val="000000"/>
                <w:lang w:val="sr-Cyrl-BA"/>
              </w:rPr>
              <w:t>ут</w:t>
            </w:r>
            <w:r>
              <w:rPr>
                <w:rFonts w:ascii="Arial" w:eastAsia="Times New Roman" w:hAnsi="Arial" w:cs="Arial"/>
                <w:color w:val="000000"/>
                <w:lang w:val="sr-Cyrl-BA"/>
              </w:rPr>
              <w:t>а</w:t>
            </w:r>
            <w:r w:rsidR="0071360A">
              <w:rPr>
                <w:rFonts w:ascii="Arial" w:eastAsia="Times New Roman" w:hAnsi="Arial" w:cs="Arial"/>
                <w:color w:val="000000"/>
                <w:lang w:val="sr-Cyrl-BA"/>
              </w:rPr>
              <w:t>р</w:t>
            </w:r>
            <w:r w:rsidR="005C731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дн</w:t>
            </w:r>
            <w:r w:rsidR="00EE6AA2">
              <w:rPr>
                <w:rFonts w:ascii="Arial" w:eastAsia="Times New Roman" w:hAnsi="Arial" w:cs="Arial"/>
                <w:color w:val="000000"/>
                <w:lang w:val="sr-Cyrl-BA"/>
              </w:rPr>
              <w:t>е</w:t>
            </w:r>
            <w:r w:rsidR="005C7318" w:rsidRPr="00F6340E">
              <w:rPr>
                <w:rFonts w:ascii="Arial" w:eastAsia="Times New Roman" w:hAnsi="Arial" w:cs="Arial"/>
                <w:color w:val="000000"/>
                <w:lang w:val="sr-Cyrl-BA"/>
              </w:rPr>
              <w:t xml:space="preserve"> </w:t>
            </w:r>
            <w:r>
              <w:rPr>
                <w:rFonts w:ascii="Arial" w:eastAsia="Times New Roman" w:hAnsi="Arial" w:cs="Arial"/>
                <w:color w:val="000000"/>
                <w:lang w:val="sr-Cyrl-BA"/>
              </w:rPr>
              <w:t>админи</w:t>
            </w:r>
            <w:r w:rsidR="0071360A">
              <w:rPr>
                <w:rFonts w:ascii="Arial" w:eastAsia="Times New Roman" w:hAnsi="Arial" w:cs="Arial"/>
                <w:color w:val="000000"/>
                <w:lang w:val="sr-Cyrl-BA"/>
              </w:rPr>
              <w:t>стр</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5C731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диниц</w:t>
            </w:r>
            <w:r w:rsidR="00EE6AA2">
              <w:rPr>
                <w:rFonts w:ascii="Arial" w:eastAsia="Times New Roman" w:hAnsi="Arial" w:cs="Arial"/>
                <w:color w:val="000000"/>
                <w:lang w:val="sr-Cyrl-BA"/>
              </w:rPr>
              <w:t>е</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о</w:t>
            </w:r>
            <w:r w:rsidR="0071360A">
              <w:rPr>
                <w:rFonts w:ascii="Arial" w:eastAsia="Times New Roman" w:hAnsi="Arial" w:cs="Arial"/>
                <w:color w:val="000000"/>
                <w:lang w:val="sr-Cyrl-BA"/>
              </w:rPr>
              <w:t>ст</w:t>
            </w:r>
            <w:r>
              <w:rPr>
                <w:rFonts w:ascii="Arial" w:eastAsia="Times New Roman" w:hAnsi="Arial" w:cs="Arial"/>
                <w:color w:val="000000"/>
                <w:lang w:val="sr-Cyrl-BA"/>
              </w:rPr>
              <w:t>о</w:t>
            </w:r>
            <w:r w:rsidR="0071360A">
              <w:rPr>
                <w:rFonts w:ascii="Arial" w:eastAsia="Times New Roman" w:hAnsi="Arial" w:cs="Arial"/>
                <w:color w:val="000000"/>
                <w:lang w:val="sr-Cyrl-BA"/>
              </w:rPr>
              <w:t>р</w:t>
            </w:r>
            <w:r w:rsidR="00B04FA8">
              <w:rPr>
                <w:rFonts w:ascii="Arial" w:eastAsia="Times New Roman" w:hAnsi="Arial" w:cs="Arial"/>
                <w:color w:val="000000"/>
                <w:lang w:val="sr-Cyrl-BA"/>
              </w:rPr>
              <w:t xml:space="preserve"> са </w:t>
            </w:r>
            <w:r w:rsidR="0071360A">
              <w:rPr>
                <w:rFonts w:ascii="Arial" w:eastAsia="Times New Roman" w:hAnsi="Arial" w:cs="Arial"/>
                <w:color w:val="000000"/>
                <w:lang w:val="sr-Cyrl-BA"/>
              </w:rPr>
              <w:t>т</w:t>
            </w:r>
            <w:r>
              <w:rPr>
                <w:rFonts w:ascii="Arial" w:eastAsia="Times New Roman" w:hAnsi="Arial" w:cs="Arial"/>
                <w:color w:val="000000"/>
                <w:lang w:val="sr-Cyrl-BA"/>
              </w:rPr>
              <w:t>ак</w:t>
            </w:r>
            <w:r w:rsidR="0071360A">
              <w:rPr>
                <w:rFonts w:ascii="Arial" w:eastAsia="Times New Roman" w:hAnsi="Arial" w:cs="Arial"/>
                <w:color w:val="000000"/>
                <w:lang w:val="sr-Cyrl-BA"/>
              </w:rPr>
              <w:t>в</w:t>
            </w:r>
            <w:r>
              <w:rPr>
                <w:rFonts w:ascii="Arial" w:eastAsia="Times New Roman" w:hAnsi="Arial" w:cs="Arial"/>
                <w:color w:val="000000"/>
                <w:lang w:val="sr-Cyrl-BA"/>
              </w:rPr>
              <w:t>им</w:t>
            </w:r>
            <w:r w:rsidR="00D343A7" w:rsidRPr="00F6340E">
              <w:rPr>
                <w:rFonts w:ascii="Arial" w:eastAsia="Times New Roman" w:hAnsi="Arial" w:cs="Arial"/>
                <w:color w:val="000000"/>
                <w:lang w:val="sr-Cyrl-BA"/>
              </w:rPr>
              <w:t xml:space="preserve"> </w:t>
            </w:r>
            <w:r>
              <w:rPr>
                <w:rFonts w:ascii="Arial" w:eastAsia="Times New Roman" w:hAnsi="Arial" w:cs="Arial"/>
                <w:color w:val="000000"/>
                <w:lang w:val="sr-Cyrl-BA"/>
              </w:rPr>
              <w:t>конц</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пт</w:t>
            </w:r>
            <w:r>
              <w:rPr>
                <w:rFonts w:ascii="Arial" w:eastAsia="Times New Roman" w:hAnsi="Arial" w:cs="Arial"/>
                <w:color w:val="000000"/>
                <w:lang w:val="sr-Cyrl-BA"/>
              </w:rPr>
              <w:t>ом</w:t>
            </w:r>
            <w:r w:rsidR="00D343A7"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sidR="00EE6AA2">
              <w:rPr>
                <w:rFonts w:ascii="Arial" w:eastAsia="Times New Roman" w:hAnsi="Arial" w:cs="Arial"/>
                <w:color w:val="000000"/>
                <w:lang w:val="sr-Cyrl-BA"/>
              </w:rPr>
              <w:t>е</w:t>
            </w:r>
            <w:r>
              <w:rPr>
                <w:rFonts w:ascii="Arial" w:eastAsia="Times New Roman" w:hAnsi="Arial" w:cs="Arial"/>
                <w:color w:val="000000"/>
                <w:lang w:val="sr-Cyrl-BA"/>
              </w:rPr>
              <w:t>д</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ља</w:t>
            </w:r>
            <w:r w:rsidR="00D12E32"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начајн</w:t>
            </w:r>
            <w:r w:rsidR="0071360A">
              <w:rPr>
                <w:rFonts w:ascii="Arial" w:eastAsia="Times New Roman" w:hAnsi="Arial" w:cs="Arial"/>
                <w:color w:val="000000"/>
                <w:lang w:val="sr-Cyrl-BA"/>
              </w:rPr>
              <w:t>у</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од</w:t>
            </w:r>
            <w:r w:rsidR="0071360A">
              <w:rPr>
                <w:rFonts w:ascii="Arial" w:eastAsia="Times New Roman" w:hAnsi="Arial" w:cs="Arial"/>
                <w:color w:val="000000"/>
                <w:lang w:val="sr-Cyrl-BA"/>
              </w:rPr>
              <w:t>рш</w:t>
            </w:r>
            <w:r>
              <w:rPr>
                <w:rFonts w:ascii="Arial" w:eastAsia="Times New Roman" w:hAnsi="Arial" w:cs="Arial"/>
                <w:color w:val="000000"/>
                <w:lang w:val="sr-Cyrl-BA"/>
              </w:rPr>
              <w:t>к</w:t>
            </w:r>
            <w:r w:rsidR="0071360A">
              <w:rPr>
                <w:rFonts w:ascii="Arial" w:eastAsia="Times New Roman" w:hAnsi="Arial" w:cs="Arial"/>
                <w:color w:val="000000"/>
                <w:lang w:val="sr-Cyrl-BA"/>
              </w:rPr>
              <w:t>у</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w:t>
            </w:r>
            <w:r w:rsidR="0071360A">
              <w:rPr>
                <w:rFonts w:ascii="Arial" w:eastAsia="Times New Roman" w:hAnsi="Arial" w:cs="Arial"/>
                <w:color w:val="000000"/>
                <w:lang w:val="sr-Cyrl-BA"/>
              </w:rPr>
              <w:t>р</w:t>
            </w:r>
            <w:r>
              <w:rPr>
                <w:rFonts w:ascii="Arial" w:eastAsia="Times New Roman" w:hAnsi="Arial" w:cs="Arial"/>
                <w:color w:val="000000"/>
                <w:lang w:val="sr-Cyrl-BA"/>
              </w:rPr>
              <w:t>адничким</w:t>
            </w:r>
            <w:r w:rsidR="00D12E32"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ај</w:t>
            </w:r>
            <w:r w:rsidR="00EE6AA2">
              <w:rPr>
                <w:rFonts w:ascii="Arial" w:eastAsia="Times New Roman" w:hAnsi="Arial" w:cs="Arial"/>
                <w:color w:val="000000"/>
                <w:lang w:val="sr-Cyrl-BA"/>
              </w:rPr>
              <w:t>е</w:t>
            </w:r>
            <w:r>
              <w:rPr>
                <w:rFonts w:ascii="Arial" w:eastAsia="Times New Roman" w:hAnsi="Arial" w:cs="Arial"/>
                <w:color w:val="000000"/>
                <w:lang w:val="sr-Cyrl-BA"/>
              </w:rPr>
              <w:t>дницама</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ника</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било</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да</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sidR="00EE6AA2">
              <w:rPr>
                <w:rFonts w:ascii="Arial" w:eastAsia="Times New Roman" w:hAnsi="Arial" w:cs="Arial"/>
                <w:color w:val="000000"/>
                <w:lang w:val="sr-Cyrl-BA"/>
              </w:rPr>
              <w:t>е</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Pr>
                <w:rFonts w:ascii="Arial" w:eastAsia="Times New Roman" w:hAnsi="Arial" w:cs="Arial"/>
                <w:color w:val="000000"/>
                <w:lang w:val="sr-Cyrl-BA"/>
              </w:rPr>
              <w:t>ади</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w:t>
            </w:r>
            <w:r w:rsidR="0071360A">
              <w:rPr>
                <w:rFonts w:ascii="Arial" w:eastAsia="Times New Roman" w:hAnsi="Arial" w:cs="Arial"/>
                <w:color w:val="000000"/>
                <w:lang w:val="sr-Cyrl-BA"/>
              </w:rPr>
              <w:t>ступу</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ус</w:t>
            </w:r>
            <w:r>
              <w:rPr>
                <w:rFonts w:ascii="Arial" w:eastAsia="Times New Roman" w:hAnsi="Arial" w:cs="Arial"/>
                <w:color w:val="000000"/>
                <w:lang w:val="sr-Cyrl-BA"/>
              </w:rPr>
              <w:t>мј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ном</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од</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EE6AA2">
              <w:rPr>
                <w:rFonts w:ascii="Arial" w:eastAsia="Times New Roman" w:hAnsi="Arial" w:cs="Arial"/>
                <w:color w:val="000000"/>
                <w:lang w:val="sr-Cyrl-BA"/>
              </w:rPr>
              <w:t>е</w:t>
            </w:r>
            <w:r>
              <w:rPr>
                <w:rFonts w:ascii="Arial" w:eastAsia="Times New Roman" w:hAnsi="Arial" w:cs="Arial"/>
                <w:color w:val="000000"/>
                <w:lang w:val="sr-Cyrl-BA"/>
              </w:rPr>
              <w:t>но</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но</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од</w:t>
            </w:r>
            <w:r w:rsidR="0071360A">
              <w:rPr>
                <w:rFonts w:ascii="Arial" w:eastAsia="Times New Roman" w:hAnsi="Arial" w:cs="Arial"/>
                <w:color w:val="000000"/>
                <w:lang w:val="sr-Cyrl-BA"/>
              </w:rPr>
              <w:t>ру</w:t>
            </w:r>
            <w:r>
              <w:rPr>
                <w:rFonts w:ascii="Arial" w:eastAsia="Times New Roman" w:hAnsi="Arial" w:cs="Arial"/>
                <w:color w:val="000000"/>
                <w:lang w:val="sr-Cyrl-BA"/>
              </w:rPr>
              <w:t>чј</w:t>
            </w:r>
            <w:r w:rsidR="00EE6AA2">
              <w:rPr>
                <w:rFonts w:ascii="Arial" w:eastAsia="Times New Roman" w:hAnsi="Arial" w:cs="Arial"/>
                <w:color w:val="000000"/>
                <w:lang w:val="sr-Cyrl-BA"/>
              </w:rPr>
              <w:t>е</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или</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ди</w:t>
            </w:r>
            <w:r w:rsidR="0071360A">
              <w:rPr>
                <w:rFonts w:ascii="Arial" w:eastAsia="Times New Roman" w:hAnsi="Arial" w:cs="Arial"/>
                <w:color w:val="000000"/>
                <w:lang w:val="sr-Cyrl-BA"/>
              </w:rPr>
              <w:t>с</w:t>
            </w:r>
            <w:r>
              <w:rPr>
                <w:rFonts w:ascii="Arial" w:eastAsia="Times New Roman" w:hAnsi="Arial" w:cs="Arial"/>
                <w:color w:val="000000"/>
                <w:lang w:val="sr-Cyrl-BA"/>
              </w:rPr>
              <w:t>ци</w:t>
            </w:r>
            <w:r w:rsidR="0071360A">
              <w:rPr>
                <w:rFonts w:ascii="Arial" w:eastAsia="Times New Roman" w:hAnsi="Arial" w:cs="Arial"/>
                <w:color w:val="000000"/>
                <w:lang w:val="sr-Cyrl-BA"/>
              </w:rPr>
              <w:t>п</w:t>
            </w:r>
            <w:r>
              <w:rPr>
                <w:rFonts w:ascii="Arial" w:eastAsia="Times New Roman" w:hAnsi="Arial" w:cs="Arial"/>
                <w:color w:val="000000"/>
                <w:lang w:val="sr-Cyrl-BA"/>
              </w:rPr>
              <w:t>лина</w:t>
            </w:r>
            <w:r w:rsidR="0071360A">
              <w:rPr>
                <w:rFonts w:ascii="Arial" w:eastAsia="Times New Roman" w:hAnsi="Arial" w:cs="Arial"/>
                <w:color w:val="000000"/>
                <w:lang w:val="sr-Cyrl-BA"/>
              </w:rPr>
              <w:t>р</w:t>
            </w:r>
            <w:r>
              <w:rPr>
                <w:rFonts w:ascii="Arial" w:eastAsia="Times New Roman" w:hAnsi="Arial" w:cs="Arial"/>
                <w:color w:val="000000"/>
                <w:lang w:val="sr-Cyrl-BA"/>
              </w:rPr>
              <w:t>ном</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w:t>
            </w:r>
            <w:r w:rsidR="0071360A">
              <w:rPr>
                <w:rFonts w:ascii="Arial" w:eastAsia="Times New Roman" w:hAnsi="Arial" w:cs="Arial"/>
                <w:color w:val="000000"/>
                <w:lang w:val="sr-Cyrl-BA"/>
              </w:rPr>
              <w:t>ступу</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о</w:t>
            </w:r>
            <w:r w:rsidR="0057191F"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акођ</w:t>
            </w:r>
            <w:r w:rsidR="00EE6AA2">
              <w:rPr>
                <w:rFonts w:ascii="Arial" w:eastAsia="Times New Roman" w:hAnsi="Arial" w:cs="Arial"/>
                <w:color w:val="000000"/>
                <w:lang w:val="sr-Cyrl-BA"/>
              </w:rPr>
              <w:t>е</w:t>
            </w:r>
            <w:r w:rsidR="0057191F" w:rsidRPr="00F6340E">
              <w:rPr>
                <w:rFonts w:ascii="Arial" w:eastAsia="Times New Roman" w:hAnsi="Arial" w:cs="Arial"/>
                <w:color w:val="000000"/>
                <w:lang w:val="sr-Cyrl-BA"/>
              </w:rPr>
              <w:t xml:space="preserve">, </w:t>
            </w:r>
            <w:r>
              <w:rPr>
                <w:rFonts w:ascii="Arial" w:eastAsia="Times New Roman" w:hAnsi="Arial" w:cs="Arial"/>
                <w:color w:val="000000"/>
                <w:lang w:val="sr-Cyrl-BA"/>
              </w:rPr>
              <w:t>омог</w:t>
            </w:r>
            <w:r w:rsidR="0071360A">
              <w:rPr>
                <w:rFonts w:ascii="Arial" w:eastAsia="Times New Roman" w:hAnsi="Arial" w:cs="Arial"/>
                <w:color w:val="000000"/>
                <w:lang w:val="sr-Cyrl-BA"/>
              </w:rPr>
              <w:t>у</w:t>
            </w:r>
            <w:r>
              <w:rPr>
                <w:rFonts w:ascii="Arial" w:eastAsia="Times New Roman" w:hAnsi="Arial" w:cs="Arial"/>
                <w:color w:val="000000"/>
                <w:lang w:val="sr-Cyrl-BA"/>
              </w:rPr>
              <w:t>ћа</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ув</w:t>
            </w:r>
            <w:r>
              <w:rPr>
                <w:rFonts w:ascii="Arial" w:eastAsia="Times New Roman" w:hAnsi="Arial" w:cs="Arial"/>
                <w:color w:val="000000"/>
                <w:lang w:val="sr-Cyrl-BA"/>
              </w:rPr>
              <w:t>ид</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м</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71360A">
              <w:rPr>
                <w:rFonts w:ascii="Arial" w:eastAsia="Times New Roman" w:hAnsi="Arial" w:cs="Arial"/>
                <w:color w:val="000000"/>
                <w:lang w:val="sr-Cyrl-BA"/>
              </w:rPr>
              <w:t>упр</w:t>
            </w:r>
            <w:r w:rsidR="00EE6AA2">
              <w:rPr>
                <w:rFonts w:ascii="Arial" w:eastAsia="Times New Roman" w:hAnsi="Arial" w:cs="Arial"/>
                <w:color w:val="000000"/>
                <w:lang w:val="sr-Cyrl-BA"/>
              </w:rPr>
              <w:t>е</w:t>
            </w:r>
            <w:r>
              <w:rPr>
                <w:rFonts w:ascii="Arial" w:eastAsia="Times New Roman" w:hAnsi="Arial" w:cs="Arial"/>
                <w:color w:val="000000"/>
                <w:lang w:val="sr-Cyrl-BA"/>
              </w:rPr>
              <w:t>дм</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т</w:t>
            </w:r>
            <w:r>
              <w:rPr>
                <w:rFonts w:ascii="Arial" w:eastAsia="Times New Roman" w:hAnsi="Arial" w:cs="Arial"/>
                <w:color w:val="000000"/>
                <w:lang w:val="sr-Cyrl-BA"/>
              </w:rPr>
              <w:t>ни</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sidR="00EE6AA2">
              <w:rPr>
                <w:rFonts w:ascii="Arial" w:eastAsia="Times New Roman" w:hAnsi="Arial" w:cs="Arial"/>
                <w:color w:val="000000"/>
                <w:lang w:val="sr-Cyrl-BA"/>
              </w:rPr>
              <w:t>е</w:t>
            </w:r>
            <w:r>
              <w:rPr>
                <w:rFonts w:ascii="Arial" w:eastAsia="Times New Roman" w:hAnsi="Arial" w:cs="Arial"/>
                <w:color w:val="000000"/>
                <w:lang w:val="sr-Cyrl-BA"/>
              </w:rPr>
              <w:t>но</w:t>
            </w:r>
            <w:r w:rsidR="0071360A">
              <w:rPr>
                <w:rFonts w:ascii="Arial" w:eastAsia="Times New Roman" w:hAnsi="Arial" w:cs="Arial"/>
                <w:color w:val="000000"/>
                <w:lang w:val="sr-Cyrl-BA"/>
              </w:rPr>
              <w:t>с</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ад</w:t>
            </w:r>
            <w:r w:rsidR="0071360A">
              <w:rPr>
                <w:rFonts w:ascii="Arial" w:eastAsia="Times New Roman" w:hAnsi="Arial" w:cs="Arial"/>
                <w:color w:val="000000"/>
                <w:lang w:val="sr-Cyrl-BA"/>
              </w:rPr>
              <w:t>р</w:t>
            </w:r>
            <w:r w:rsidR="00171F00">
              <w:rPr>
                <w:rFonts w:ascii="Arial" w:eastAsia="Times New Roman" w:hAnsi="Arial" w:cs="Arial"/>
                <w:color w:val="000000"/>
                <w:lang w:val="sr-Cyrl-BA"/>
              </w:rPr>
              <w:t>ж</w:t>
            </w:r>
            <w:r>
              <w:rPr>
                <w:rFonts w:ascii="Arial" w:eastAsia="Times New Roman" w:hAnsi="Arial" w:cs="Arial"/>
                <w:color w:val="000000"/>
                <w:lang w:val="sr-Cyrl-BA"/>
              </w:rPr>
              <w:t>аја</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оходно</w:t>
            </w:r>
            <w:r w:rsidR="0071360A">
              <w:rPr>
                <w:rFonts w:ascii="Arial" w:eastAsia="Times New Roman" w:hAnsi="Arial" w:cs="Arial"/>
                <w:color w:val="000000"/>
                <w:lang w:val="sr-Cyrl-BA"/>
              </w:rPr>
              <w:t>ст</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инфо</w:t>
            </w:r>
            <w:r w:rsidR="0071360A">
              <w:rPr>
                <w:rFonts w:ascii="Arial" w:eastAsia="Times New Roman" w:hAnsi="Arial" w:cs="Arial"/>
                <w:color w:val="000000"/>
                <w:lang w:val="sr-Cyrl-BA"/>
              </w:rPr>
              <w:t>р</w:t>
            </w:r>
            <w:r>
              <w:rPr>
                <w:rFonts w:ascii="Arial" w:eastAsia="Times New Roman" w:hAnsi="Arial" w:cs="Arial"/>
                <w:color w:val="000000"/>
                <w:lang w:val="sr-Cyrl-BA"/>
              </w:rPr>
              <w:t>мација</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имј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доб</w:t>
            </w:r>
            <w:r w:rsidR="0071360A">
              <w:rPr>
                <w:rFonts w:ascii="Arial" w:eastAsia="Times New Roman" w:hAnsi="Arial" w:cs="Arial"/>
                <w:color w:val="000000"/>
                <w:lang w:val="sr-Cyrl-BA"/>
              </w:rPr>
              <w:t>р</w:t>
            </w:r>
            <w:r>
              <w:rPr>
                <w:rFonts w:ascii="Arial" w:eastAsia="Times New Roman" w:hAnsi="Arial" w:cs="Arial"/>
                <w:color w:val="000000"/>
                <w:lang w:val="sr-Cyrl-BA"/>
              </w:rPr>
              <w:t>их</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ак</w:t>
            </w:r>
            <w:r w:rsidR="0071360A">
              <w:rPr>
                <w:rFonts w:ascii="Arial" w:eastAsia="Times New Roman" w:hAnsi="Arial" w:cs="Arial"/>
                <w:color w:val="000000"/>
                <w:lang w:val="sr-Cyrl-BA"/>
              </w:rPr>
              <w:t>с</w:t>
            </w:r>
            <w:r>
              <w:rPr>
                <w:rFonts w:ascii="Arial" w:eastAsia="Times New Roman" w:hAnsi="Arial" w:cs="Arial"/>
                <w:color w:val="000000"/>
                <w:lang w:val="sr-Cyrl-BA"/>
              </w:rPr>
              <w:t>и</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м</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71360A">
              <w:rPr>
                <w:rFonts w:ascii="Arial" w:eastAsia="Times New Roman" w:hAnsi="Arial" w:cs="Arial"/>
                <w:color w:val="000000"/>
                <w:lang w:val="sr-Cyrl-BA"/>
              </w:rPr>
              <w:t>у</w:t>
            </w:r>
            <w:r w:rsidR="00D12E32"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личи</w:t>
            </w:r>
            <w:r w:rsidR="0071360A">
              <w:rPr>
                <w:rFonts w:ascii="Arial" w:eastAsia="Times New Roman" w:hAnsi="Arial" w:cs="Arial"/>
                <w:color w:val="000000"/>
                <w:lang w:val="sr-Cyrl-BA"/>
              </w:rPr>
              <w:t>т</w:t>
            </w:r>
            <w:r>
              <w:rPr>
                <w:rFonts w:ascii="Arial" w:eastAsia="Times New Roman" w:hAnsi="Arial" w:cs="Arial"/>
                <w:color w:val="000000"/>
                <w:lang w:val="sr-Cyrl-BA"/>
              </w:rPr>
              <w:t>им</w:t>
            </w:r>
            <w:r w:rsidR="00D12E32" w:rsidRPr="00F6340E">
              <w:rPr>
                <w:rFonts w:ascii="Arial" w:eastAsia="Times New Roman" w:hAnsi="Arial" w:cs="Arial"/>
                <w:color w:val="000000"/>
                <w:lang w:val="sr-Cyrl-BA"/>
              </w:rPr>
              <w:t xml:space="preserve"> </w:t>
            </w:r>
            <w:r>
              <w:rPr>
                <w:rFonts w:ascii="Arial" w:eastAsia="Times New Roman" w:hAnsi="Arial" w:cs="Arial"/>
                <w:color w:val="000000"/>
                <w:lang w:val="sr-Cyrl-BA"/>
              </w:rPr>
              <w:t>ни</w:t>
            </w:r>
            <w:r w:rsidR="0071360A">
              <w:rPr>
                <w:rFonts w:ascii="Arial" w:eastAsia="Times New Roman" w:hAnsi="Arial" w:cs="Arial"/>
                <w:color w:val="000000"/>
                <w:lang w:val="sr-Cyrl-BA"/>
              </w:rPr>
              <w:t>в</w:t>
            </w:r>
            <w:r>
              <w:rPr>
                <w:rFonts w:ascii="Arial" w:eastAsia="Times New Roman" w:hAnsi="Arial" w:cs="Arial"/>
                <w:color w:val="000000"/>
                <w:lang w:val="sr-Cyrl-BA"/>
              </w:rPr>
              <w:t>оима</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A3065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шт</w:t>
            </w:r>
            <w:r>
              <w:rPr>
                <w:rFonts w:ascii="Arial" w:eastAsia="Times New Roman" w:hAnsi="Arial" w:cs="Arial"/>
                <w:color w:val="000000"/>
                <w:lang w:val="sr-Cyrl-BA"/>
              </w:rPr>
              <w:t>о</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мо</w:t>
            </w:r>
            <w:r w:rsidR="00171F00">
              <w:rPr>
                <w:rFonts w:ascii="Arial" w:eastAsia="Times New Roman" w:hAnsi="Arial" w:cs="Arial"/>
                <w:color w:val="000000"/>
                <w:lang w:val="sr-Cyrl-BA"/>
              </w:rPr>
              <w:t>ж</w:t>
            </w:r>
            <w:r w:rsidR="00EE6AA2">
              <w:rPr>
                <w:rFonts w:ascii="Arial" w:eastAsia="Times New Roman" w:hAnsi="Arial" w:cs="Arial"/>
                <w:color w:val="000000"/>
                <w:lang w:val="sr-Cyrl-BA"/>
              </w:rPr>
              <w:t>е</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има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доб</w:t>
            </w:r>
            <w:r w:rsidR="0071360A">
              <w:rPr>
                <w:rFonts w:ascii="Arial" w:eastAsia="Times New Roman" w:hAnsi="Arial" w:cs="Arial"/>
                <w:color w:val="000000"/>
                <w:lang w:val="sr-Cyrl-BA"/>
              </w:rPr>
              <w:t>ру</w:t>
            </w:r>
            <w:r w:rsidR="00A3065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sidR="00EE6AA2">
              <w:rPr>
                <w:rFonts w:ascii="Arial" w:eastAsia="Times New Roman" w:hAnsi="Arial" w:cs="Arial"/>
                <w:color w:val="000000"/>
                <w:lang w:val="sr-Cyrl-BA"/>
              </w:rPr>
              <w:t>е</w:t>
            </w:r>
            <w:r>
              <w:rPr>
                <w:rFonts w:ascii="Arial" w:eastAsia="Times New Roman" w:hAnsi="Arial" w:cs="Arial"/>
                <w:color w:val="000000"/>
                <w:lang w:val="sr-Cyrl-BA"/>
              </w:rPr>
              <w:t>дик</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71360A">
              <w:rPr>
                <w:rFonts w:ascii="Arial" w:eastAsia="Times New Roman" w:hAnsi="Arial" w:cs="Arial"/>
                <w:color w:val="000000"/>
                <w:lang w:val="sr-Cyrl-BA"/>
              </w:rPr>
              <w:t>у</w:t>
            </w:r>
            <w:r w:rsidR="00A3065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вр</w:t>
            </w:r>
            <w:r>
              <w:rPr>
                <w:rFonts w:ascii="Arial" w:eastAsia="Times New Roman" w:hAnsi="Arial" w:cs="Arial"/>
                <w:color w:val="000000"/>
                <w:lang w:val="sr-Cyrl-BA"/>
              </w:rPr>
              <w:t>иј</w:t>
            </w:r>
            <w:r w:rsidR="00EE6AA2">
              <w:rPr>
                <w:rFonts w:ascii="Arial" w:eastAsia="Times New Roman" w:hAnsi="Arial" w:cs="Arial"/>
                <w:color w:val="000000"/>
                <w:lang w:val="sr-Cyrl-BA"/>
              </w:rPr>
              <w:t>е</w:t>
            </w:r>
            <w:r>
              <w:rPr>
                <w:rFonts w:ascii="Arial" w:eastAsia="Times New Roman" w:hAnsi="Arial" w:cs="Arial"/>
                <w:color w:val="000000"/>
                <w:lang w:val="sr-Cyrl-BA"/>
              </w:rPr>
              <w:t>дно</w:t>
            </w:r>
            <w:r w:rsidR="0071360A">
              <w:rPr>
                <w:rFonts w:ascii="Arial" w:eastAsia="Times New Roman" w:hAnsi="Arial" w:cs="Arial"/>
                <w:color w:val="000000"/>
                <w:lang w:val="sr-Cyrl-BA"/>
              </w:rPr>
              <w:t>ст</w:t>
            </w:r>
            <w:r w:rsidR="00A3065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доно</w:t>
            </w:r>
            <w:r w:rsidR="0071360A">
              <w:rPr>
                <w:rFonts w:ascii="Arial" w:eastAsia="Times New Roman" w:hAnsi="Arial" w:cs="Arial"/>
                <w:color w:val="000000"/>
                <w:lang w:val="sr-Cyrl-BA"/>
              </w:rPr>
              <w:t>ш</w:t>
            </w:r>
            <w:r w:rsidR="00EE6AA2">
              <w:rPr>
                <w:rFonts w:ascii="Arial" w:eastAsia="Times New Roman" w:hAnsi="Arial" w:cs="Arial"/>
                <w:color w:val="000000"/>
                <w:lang w:val="sr-Cyrl-BA"/>
              </w:rPr>
              <w:t>е</w:t>
            </w:r>
            <w:r>
              <w:rPr>
                <w:rFonts w:ascii="Arial" w:eastAsia="Times New Roman" w:hAnsi="Arial" w:cs="Arial"/>
                <w:color w:val="000000"/>
                <w:lang w:val="sr-Cyrl-BA"/>
              </w:rPr>
              <w:t>њ</w:t>
            </w:r>
            <w:r w:rsidR="0071360A">
              <w:rPr>
                <w:rFonts w:ascii="Arial" w:eastAsia="Times New Roman" w:hAnsi="Arial" w:cs="Arial"/>
                <w:color w:val="000000"/>
                <w:lang w:val="sr-Cyrl-BA"/>
              </w:rPr>
              <w:t>у</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од</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EE6AA2">
              <w:rPr>
                <w:rFonts w:ascii="Arial" w:eastAsia="Times New Roman" w:hAnsi="Arial" w:cs="Arial"/>
                <w:color w:val="000000"/>
                <w:lang w:val="sr-Cyrl-BA"/>
              </w:rPr>
              <w:t>е</w:t>
            </w:r>
            <w:r>
              <w:rPr>
                <w:rFonts w:ascii="Arial" w:eastAsia="Times New Roman" w:hAnsi="Arial" w:cs="Arial"/>
                <w:color w:val="000000"/>
                <w:lang w:val="sr-Cyrl-BA"/>
              </w:rPr>
              <w:t>них</w:t>
            </w:r>
            <w:r w:rsidR="00A30651"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sidR="00EE6AA2">
              <w:rPr>
                <w:rFonts w:ascii="Arial" w:eastAsia="Times New Roman" w:hAnsi="Arial" w:cs="Arial"/>
                <w:color w:val="000000"/>
                <w:lang w:val="sr-Cyrl-BA"/>
              </w:rPr>
              <w:t>е</w:t>
            </w:r>
            <w:r>
              <w:rPr>
                <w:rFonts w:ascii="Arial" w:eastAsia="Times New Roman" w:hAnsi="Arial" w:cs="Arial"/>
                <w:color w:val="000000"/>
                <w:lang w:val="sr-Cyrl-BA"/>
              </w:rPr>
              <w:t>даго</w:t>
            </w:r>
            <w:r w:rsidR="0071360A">
              <w:rPr>
                <w:rFonts w:ascii="Arial" w:eastAsia="Times New Roman" w:hAnsi="Arial" w:cs="Arial"/>
                <w:color w:val="000000"/>
                <w:lang w:val="sr-Cyrl-BA"/>
              </w:rPr>
              <w:t>ш</w:t>
            </w:r>
            <w:r>
              <w:rPr>
                <w:rFonts w:ascii="Arial" w:eastAsia="Times New Roman" w:hAnsi="Arial" w:cs="Arial"/>
                <w:color w:val="000000"/>
                <w:lang w:val="sr-Cyrl-BA"/>
              </w:rPr>
              <w:t>ких</w:t>
            </w:r>
            <w:r w:rsidR="00A30651" w:rsidRPr="00F6340E">
              <w:rPr>
                <w:rFonts w:ascii="Arial" w:eastAsia="Times New Roman" w:hAnsi="Arial" w:cs="Arial"/>
                <w:color w:val="000000"/>
                <w:lang w:val="sr-Cyrl-BA"/>
              </w:rPr>
              <w:t xml:space="preserve"> </w:t>
            </w:r>
            <w:r>
              <w:rPr>
                <w:rFonts w:ascii="Arial" w:eastAsia="Times New Roman" w:hAnsi="Arial" w:cs="Arial"/>
                <w:color w:val="000000"/>
                <w:lang w:val="sr-Cyrl-BA"/>
              </w:rPr>
              <w:t>одл</w:t>
            </w:r>
            <w:r w:rsidR="0071360A">
              <w:rPr>
                <w:rFonts w:ascii="Arial" w:eastAsia="Times New Roman" w:hAnsi="Arial" w:cs="Arial"/>
                <w:color w:val="000000"/>
                <w:lang w:val="sr-Cyrl-BA"/>
              </w:rPr>
              <w:t>у</w:t>
            </w:r>
            <w:r>
              <w:rPr>
                <w:rFonts w:ascii="Arial" w:eastAsia="Times New Roman" w:hAnsi="Arial" w:cs="Arial"/>
                <w:color w:val="000000"/>
                <w:lang w:val="sr-Cyrl-BA"/>
              </w:rPr>
              <w:t>ка</w:t>
            </w:r>
            <w:r w:rsidR="00A30651" w:rsidRPr="00F6340E">
              <w:rPr>
                <w:rFonts w:ascii="Arial" w:eastAsia="Times New Roman" w:hAnsi="Arial" w:cs="Arial"/>
                <w:color w:val="000000"/>
                <w:lang w:val="sr-Cyrl-BA"/>
              </w:rPr>
              <w:t xml:space="preserve">. </w:t>
            </w:r>
            <w:r w:rsidR="00D12E32" w:rsidRPr="00F6340E">
              <w:rPr>
                <w:rFonts w:ascii="Arial" w:eastAsia="Times New Roman" w:hAnsi="Arial" w:cs="Arial"/>
                <w:color w:val="000000"/>
                <w:lang w:val="sr-Cyrl-BA"/>
              </w:rPr>
              <w:t xml:space="preserve"> </w:t>
            </w:r>
          </w:p>
          <w:p w14:paraId="5DA06835" w14:textId="35705995" w:rsidR="00892898" w:rsidRPr="00F6340E" w:rsidRDefault="0071360A"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Пр</w:t>
            </w:r>
            <w:r w:rsidR="00A56E08">
              <w:rPr>
                <w:rFonts w:ascii="Arial" w:eastAsia="Times New Roman" w:hAnsi="Arial" w:cs="Arial"/>
                <w:b/>
                <w:color w:val="000000"/>
                <w:lang w:val="sr-Cyrl-BA"/>
              </w:rPr>
              <w:t>омо</w:t>
            </w:r>
            <w:r>
              <w:rPr>
                <w:rFonts w:ascii="Arial" w:eastAsia="Times New Roman" w:hAnsi="Arial" w:cs="Arial"/>
                <w:b/>
                <w:color w:val="000000"/>
                <w:lang w:val="sr-Cyrl-BA"/>
              </w:rPr>
              <w:t>в</w:t>
            </w:r>
            <w:r w:rsidR="00A56E08">
              <w:rPr>
                <w:rFonts w:ascii="Arial" w:eastAsia="Times New Roman" w:hAnsi="Arial" w:cs="Arial"/>
                <w:b/>
                <w:color w:val="000000"/>
                <w:lang w:val="sr-Cyrl-BA"/>
              </w:rPr>
              <w:t>и</w:t>
            </w:r>
            <w:r>
              <w:rPr>
                <w:rFonts w:ascii="Arial" w:eastAsia="Times New Roman" w:hAnsi="Arial" w:cs="Arial"/>
                <w:b/>
                <w:color w:val="000000"/>
                <w:lang w:val="sr-Cyrl-BA"/>
              </w:rPr>
              <w:t>с</w:t>
            </w:r>
            <w:r w:rsidR="00A56E08">
              <w:rPr>
                <w:rFonts w:ascii="Arial" w:eastAsia="Times New Roman" w:hAnsi="Arial" w:cs="Arial"/>
                <w:b/>
                <w:color w:val="000000"/>
                <w:lang w:val="sr-Cyrl-BA"/>
              </w:rPr>
              <w:t>а</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кон</w:t>
            </w:r>
            <w:r>
              <w:rPr>
                <w:rFonts w:ascii="Arial" w:eastAsia="Times New Roman" w:hAnsi="Arial" w:cs="Arial"/>
                <w:b/>
                <w:color w:val="000000"/>
                <w:lang w:val="sr-Cyrl-BA"/>
              </w:rPr>
              <w:t>т</w:t>
            </w:r>
            <w:r w:rsidR="00A56E08">
              <w:rPr>
                <w:rFonts w:ascii="Arial" w:eastAsia="Times New Roman" w:hAnsi="Arial" w:cs="Arial"/>
                <w:b/>
                <w:color w:val="000000"/>
                <w:lang w:val="sr-Cyrl-BA"/>
              </w:rPr>
              <w:t>ин</w:t>
            </w:r>
            <w:r>
              <w:rPr>
                <w:rFonts w:ascii="Arial" w:eastAsia="Times New Roman" w:hAnsi="Arial" w:cs="Arial"/>
                <w:b/>
                <w:color w:val="000000"/>
                <w:lang w:val="sr-Cyrl-BA"/>
              </w:rPr>
              <w:t>у</w:t>
            </w:r>
            <w:r w:rsidR="00A56E08">
              <w:rPr>
                <w:rFonts w:ascii="Arial" w:eastAsia="Times New Roman" w:hAnsi="Arial" w:cs="Arial"/>
                <w:b/>
                <w:color w:val="000000"/>
                <w:lang w:val="sr-Cyrl-BA"/>
              </w:rPr>
              <w:t>алн</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о</w:t>
            </w:r>
            <w:r>
              <w:rPr>
                <w:rFonts w:ascii="Arial" w:eastAsia="Times New Roman" w:hAnsi="Arial" w:cs="Arial"/>
                <w:b/>
                <w:color w:val="000000"/>
                <w:lang w:val="sr-Cyrl-BA"/>
              </w:rPr>
              <w:t>в</w:t>
            </w:r>
            <w:r w:rsidR="00A56E08">
              <w:rPr>
                <w:rFonts w:ascii="Arial" w:eastAsia="Times New Roman" w:hAnsi="Arial" w:cs="Arial"/>
                <w:b/>
                <w:color w:val="000000"/>
                <w:lang w:val="sr-Cyrl-BA"/>
              </w:rPr>
              <w:t>ј</w:t>
            </w:r>
            <w:r w:rsidR="00EE6AA2">
              <w:rPr>
                <w:rFonts w:ascii="Arial" w:eastAsia="Times New Roman" w:hAnsi="Arial" w:cs="Arial"/>
                <w:b/>
                <w:color w:val="000000"/>
                <w:lang w:val="sr-Cyrl-BA"/>
              </w:rPr>
              <w:t>е</w:t>
            </w:r>
            <w:r>
              <w:rPr>
                <w:rFonts w:ascii="Arial" w:eastAsia="Times New Roman" w:hAnsi="Arial" w:cs="Arial"/>
                <w:b/>
                <w:color w:val="000000"/>
                <w:lang w:val="sr-Cyrl-BA"/>
              </w:rPr>
              <w:t>ру</w:t>
            </w:r>
            <w:r w:rsidR="00892898" w:rsidRPr="00F6340E">
              <w:rPr>
                <w:rFonts w:ascii="Arial" w:eastAsia="Times New Roman" w:hAnsi="Arial" w:cs="Arial"/>
                <w:b/>
                <w:color w:val="000000"/>
                <w:lang w:val="sr-Cyrl-BA"/>
              </w:rPr>
              <w:t xml:space="preserve"> </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нања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w:t>
            </w:r>
            <w:r>
              <w:rPr>
                <w:rFonts w:ascii="Arial" w:eastAsia="Times New Roman" w:hAnsi="Arial" w:cs="Arial"/>
                <w:b/>
                <w:color w:val="000000"/>
                <w:lang w:val="sr-Cyrl-BA"/>
              </w:rPr>
              <w:t>р</w:t>
            </w:r>
            <w:r w:rsidR="00A56E08">
              <w:rPr>
                <w:rFonts w:ascii="Arial" w:eastAsia="Times New Roman" w:hAnsi="Arial" w:cs="Arial"/>
                <w:b/>
                <w:color w:val="000000"/>
                <w:lang w:val="sr-Cyrl-BA"/>
              </w:rPr>
              <w:t>о</w:t>
            </w:r>
            <w:r w:rsidR="00171F00">
              <w:rPr>
                <w:rFonts w:ascii="Arial" w:eastAsia="Times New Roman" w:hAnsi="Arial" w:cs="Arial"/>
                <w:b/>
                <w:color w:val="000000"/>
                <w:lang w:val="sr-Cyrl-BA"/>
              </w:rPr>
              <w:t>з</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имј</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диги</w:t>
            </w:r>
            <w:r>
              <w:rPr>
                <w:rFonts w:ascii="Arial" w:eastAsia="Times New Roman" w:hAnsi="Arial" w:cs="Arial"/>
                <w:b/>
                <w:color w:val="000000"/>
                <w:lang w:val="sr-Cyrl-BA"/>
              </w:rPr>
              <w:t>т</w:t>
            </w:r>
            <w:r w:rsidR="00A56E08">
              <w:rPr>
                <w:rFonts w:ascii="Arial" w:eastAsia="Times New Roman" w:hAnsi="Arial" w:cs="Arial"/>
                <w:b/>
                <w:color w:val="000000"/>
                <w:lang w:val="sr-Cyrl-BA"/>
              </w:rPr>
              <w:t>алних</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ала</w:t>
            </w:r>
            <w:r>
              <w:rPr>
                <w:rFonts w:ascii="Arial" w:eastAsia="Times New Roman" w:hAnsi="Arial" w:cs="Arial"/>
                <w:b/>
                <w:color w:val="000000"/>
                <w:lang w:val="sr-Cyrl-BA"/>
              </w:rPr>
              <w:t>т</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w:t>
            </w:r>
            <w:r w:rsidR="00EE6AA2">
              <w:rPr>
                <w:rFonts w:ascii="Arial" w:eastAsia="Times New Roman" w:hAnsi="Arial" w:cs="Arial"/>
                <w:b/>
                <w:color w:val="000000"/>
                <w:lang w:val="sr-Cyrl-BA"/>
              </w:rPr>
              <w:t>е</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A56E08">
              <w:rPr>
                <w:rFonts w:ascii="Arial" w:eastAsia="Times New Roman" w:hAnsi="Arial" w:cs="Arial"/>
                <w:b/>
                <w:color w:val="000000"/>
                <w:lang w:val="sr-Cyrl-BA"/>
              </w:rPr>
              <w:t>и</w:t>
            </w:r>
            <w:r>
              <w:rPr>
                <w:rFonts w:ascii="Arial" w:eastAsia="Times New Roman" w:hAnsi="Arial" w:cs="Arial"/>
                <w:b/>
                <w:color w:val="000000"/>
                <w:lang w:val="sr-Cyrl-BA"/>
              </w:rPr>
              <w:t>с</w:t>
            </w:r>
            <w:r w:rsidR="00A56E08">
              <w:rPr>
                <w:rFonts w:ascii="Arial" w:eastAsia="Times New Roman" w:hAnsi="Arial" w:cs="Arial"/>
                <w:b/>
                <w:color w:val="000000"/>
                <w:lang w:val="sr-Cyrl-BA"/>
              </w:rPr>
              <w:t>но</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мод</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л</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Pr>
                <w:rFonts w:ascii="Arial" w:eastAsia="Times New Roman" w:hAnsi="Arial" w:cs="Arial"/>
                <w:b/>
                <w:color w:val="000000"/>
                <w:lang w:val="sr-Cyrl-BA"/>
              </w:rPr>
              <w:t>ст</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p>
          <w:p w14:paraId="6DCA9BC8" w14:textId="4F49C68A" w:rsidR="00892898" w:rsidRPr="005549C9" w:rsidRDefault="00A56E08" w:rsidP="00FB5CB7">
            <w:pPr>
              <w:pStyle w:val="ListParagraph"/>
              <w:ind w:left="360"/>
              <w:jc w:val="left"/>
              <w:rPr>
                <w:rFonts w:ascii="Arial" w:eastAsia="Times New Roman" w:hAnsi="Arial" w:cs="Arial"/>
                <w:color w:val="000000"/>
                <w:lang w:val="sr-Cyrl-BA"/>
              </w:rPr>
            </w:pPr>
            <w:r>
              <w:rPr>
                <w:rFonts w:ascii="Arial" w:eastAsia="Times New Roman" w:hAnsi="Arial" w:cs="Arial"/>
                <w:color w:val="000000"/>
                <w:lang w:val="sr-Cyrl-BA"/>
              </w:rPr>
              <w:t>Диги</w:t>
            </w:r>
            <w:r w:rsidR="0071360A">
              <w:rPr>
                <w:rFonts w:ascii="Arial" w:eastAsia="Times New Roman" w:hAnsi="Arial" w:cs="Arial"/>
                <w:color w:val="000000"/>
                <w:lang w:val="sr-Cyrl-BA"/>
              </w:rPr>
              <w:t>т</w:t>
            </w:r>
            <w:r>
              <w:rPr>
                <w:rFonts w:ascii="Arial" w:eastAsia="Times New Roman" w:hAnsi="Arial" w:cs="Arial"/>
                <w:color w:val="000000"/>
                <w:lang w:val="sr-Cyrl-BA"/>
              </w:rPr>
              <w:t>ални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ала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дај</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б</w:t>
            </w:r>
            <w:r w:rsidR="0071360A">
              <w:rPr>
                <w:rFonts w:ascii="Arial" w:eastAsia="Times New Roman" w:hAnsi="Arial" w:cs="Arial"/>
                <w:color w:val="000000"/>
                <w:lang w:val="sr-Cyrl-BA"/>
              </w:rPr>
              <w:t>р</w:t>
            </w:r>
            <w:r>
              <w:rPr>
                <w:rFonts w:ascii="Arial" w:eastAsia="Times New Roman" w:hAnsi="Arial" w:cs="Arial"/>
                <w:color w:val="000000"/>
                <w:lang w:val="sr-Cyrl-BA"/>
              </w:rPr>
              <w:t>ојн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мог</w:t>
            </w:r>
            <w:r w:rsidR="0071360A">
              <w:rPr>
                <w:rFonts w:ascii="Arial" w:eastAsia="Times New Roman" w:hAnsi="Arial" w:cs="Arial"/>
                <w:color w:val="000000"/>
                <w:lang w:val="sr-Cyrl-BA"/>
              </w:rPr>
              <w:t>у</w:t>
            </w:r>
            <w:r>
              <w:rPr>
                <w:rFonts w:ascii="Arial" w:eastAsia="Times New Roman" w:hAnsi="Arial" w:cs="Arial"/>
                <w:color w:val="000000"/>
                <w:lang w:val="sr-Cyrl-BA"/>
              </w:rPr>
              <w:t>ћно</w:t>
            </w:r>
            <w:r w:rsidR="0071360A">
              <w:rPr>
                <w:rFonts w:ascii="Arial" w:eastAsia="Times New Roman" w:hAnsi="Arial" w:cs="Arial"/>
                <w:color w:val="000000"/>
                <w:lang w:val="sr-Cyrl-BA"/>
              </w:rPr>
              <w:t>ст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ак</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нања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м</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с</w:t>
            </w:r>
            <w:r>
              <w:rPr>
                <w:rFonts w:ascii="Arial" w:eastAsia="Times New Roman" w:hAnsi="Arial" w:cs="Arial"/>
                <w:color w:val="000000"/>
                <w:lang w:val="sr-Cyrl-BA"/>
              </w:rPr>
              <w:t>иг</w:t>
            </w:r>
            <w:r w:rsidR="0071360A">
              <w:rPr>
                <w:rFonts w:ascii="Arial" w:eastAsia="Times New Roman" w:hAnsi="Arial" w:cs="Arial"/>
                <w:color w:val="000000"/>
                <w:lang w:val="sr-Cyrl-BA"/>
              </w:rPr>
              <w:t>ур</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тр</w:t>
            </w:r>
            <w:r>
              <w:rPr>
                <w:rFonts w:ascii="Arial" w:eastAsia="Times New Roman" w:hAnsi="Arial" w:cs="Arial"/>
                <w:color w:val="000000"/>
                <w:lang w:val="sr-Cyrl-BA"/>
              </w:rPr>
              <w:t>ан</w:t>
            </w:r>
            <w:r w:rsidR="0071360A">
              <w:rPr>
                <w:rFonts w:ascii="Arial" w:eastAsia="Times New Roman" w:hAnsi="Arial" w:cs="Arial"/>
                <w:color w:val="000000"/>
                <w:lang w:val="sr-Cyrl-BA"/>
              </w:rPr>
              <w:t>сп</w:t>
            </w:r>
            <w:r>
              <w:rPr>
                <w:rFonts w:ascii="Arial" w:eastAsia="Times New Roman" w:hAnsi="Arial" w:cs="Arial"/>
                <w:color w:val="000000"/>
                <w:lang w:val="sr-Cyrl-BA"/>
              </w:rPr>
              <w:t>а</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н</w:t>
            </w:r>
            <w:r w:rsidR="0071360A">
              <w:rPr>
                <w:rFonts w:ascii="Arial" w:eastAsia="Times New Roman" w:hAnsi="Arial" w:cs="Arial"/>
                <w:color w:val="000000"/>
                <w:lang w:val="sr-Cyrl-BA"/>
              </w:rPr>
              <w:t>т</w:t>
            </w:r>
            <w:r>
              <w:rPr>
                <w:rFonts w:ascii="Arial" w:eastAsia="Times New Roman" w:hAnsi="Arial" w:cs="Arial"/>
                <w:color w:val="000000"/>
                <w:lang w:val="sr-Cyrl-BA"/>
              </w:rPr>
              <w:t>но</w:t>
            </w:r>
            <w:r w:rsidR="0071360A">
              <w:rPr>
                <w:rFonts w:ascii="Arial" w:eastAsia="Times New Roman" w:hAnsi="Arial" w:cs="Arial"/>
                <w:color w:val="000000"/>
                <w:lang w:val="sr-Cyrl-BA"/>
              </w:rPr>
              <w:t>ст</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вр</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инфо</w:t>
            </w:r>
            <w:r w:rsidR="0071360A">
              <w:rPr>
                <w:rFonts w:ascii="Arial" w:eastAsia="Times New Roman" w:hAnsi="Arial" w:cs="Arial"/>
                <w:color w:val="000000"/>
                <w:lang w:val="sr-Cyrl-BA"/>
              </w:rPr>
              <w:t>р</w:t>
            </w:r>
            <w:r>
              <w:rPr>
                <w:rFonts w:ascii="Arial" w:eastAsia="Times New Roman" w:hAnsi="Arial" w:cs="Arial"/>
                <w:color w:val="000000"/>
                <w:lang w:val="sr-Cyrl-BA"/>
              </w:rPr>
              <w:t>мација</w:t>
            </w:r>
            <w:r w:rsidR="00892898"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Pr>
                <w:rFonts w:ascii="Arial" w:eastAsia="Times New Roman" w:hAnsi="Arial" w:cs="Arial"/>
                <w:color w:val="000000"/>
                <w:lang w:val="sr-Cyrl-BA"/>
              </w:rPr>
              <w:t>ф</w:t>
            </w:r>
            <w:r w:rsidR="00EE6AA2">
              <w:rPr>
                <w:rFonts w:ascii="Arial" w:eastAsia="Times New Roman" w:hAnsi="Arial" w:cs="Arial"/>
                <w:color w:val="000000"/>
                <w:lang w:val="sr-Cyrl-BA"/>
              </w:rPr>
              <w:t>е</w:t>
            </w:r>
            <w:r>
              <w:rPr>
                <w:rFonts w:ascii="Arial" w:eastAsia="Times New Roman" w:hAnsi="Arial" w:cs="Arial"/>
                <w:color w:val="000000"/>
                <w:lang w:val="sr-Cyrl-BA"/>
              </w:rPr>
              <w:t>к</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но</w:t>
            </w:r>
            <w:r w:rsidR="0071360A">
              <w:rPr>
                <w:rFonts w:ascii="Arial" w:eastAsia="Times New Roman" w:hAnsi="Arial" w:cs="Arial"/>
                <w:color w:val="000000"/>
                <w:lang w:val="sr-Cyrl-BA"/>
              </w:rPr>
              <w:t>ст</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нања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кон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Pr>
                <w:rFonts w:ascii="Arial" w:eastAsia="Times New Roman" w:hAnsi="Arial" w:cs="Arial"/>
                <w:color w:val="000000"/>
                <w:lang w:val="sr-Cyrl-BA"/>
              </w:rPr>
              <w:t>к</w:t>
            </w:r>
            <w:r w:rsidR="0071360A">
              <w:rPr>
                <w:rFonts w:ascii="Arial" w:eastAsia="Times New Roman" w:hAnsi="Arial" w:cs="Arial"/>
                <w:color w:val="000000"/>
                <w:lang w:val="sr-Cyrl-BA"/>
              </w:rPr>
              <w:t>сту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њ</w:t>
            </w:r>
            <w:r w:rsidR="00EE6AA2">
              <w:rPr>
                <w:rFonts w:ascii="Arial" w:eastAsia="Times New Roman" w:hAnsi="Arial" w:cs="Arial"/>
                <w:color w:val="000000"/>
                <w:lang w:val="sr-Cyrl-BA"/>
              </w:rPr>
              <w:t>е</w:t>
            </w:r>
            <w:r>
              <w:rPr>
                <w:rFonts w:ascii="Arial" w:eastAsia="Times New Roman" w:hAnsi="Arial" w:cs="Arial"/>
                <w:color w:val="000000"/>
                <w:lang w:val="sr-Cyrl-BA"/>
              </w:rPr>
              <w:t>го</w:t>
            </w:r>
            <w:r w:rsidR="0071360A">
              <w:rPr>
                <w:rFonts w:ascii="Arial" w:eastAsia="Times New Roman" w:hAnsi="Arial" w:cs="Arial"/>
                <w:color w:val="000000"/>
                <w:lang w:val="sr-Cyrl-BA"/>
              </w:rPr>
              <w:t>в</w:t>
            </w:r>
            <w:r>
              <w:rPr>
                <w:rFonts w:ascii="Arial" w:eastAsia="Times New Roman" w:hAnsi="Arial" w:cs="Arial"/>
                <w:color w:val="000000"/>
                <w:lang w:val="sr-Cyrl-BA"/>
              </w:rPr>
              <w:t>ог</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на</w:t>
            </w:r>
            <w:r w:rsidR="0071360A">
              <w:rPr>
                <w:rFonts w:ascii="Arial" w:eastAsia="Times New Roman" w:hAnsi="Arial" w:cs="Arial"/>
                <w:color w:val="000000"/>
                <w:lang w:val="sr-Cyrl-BA"/>
              </w:rPr>
              <w:t>пр</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EE6AA2">
              <w:rPr>
                <w:rFonts w:ascii="Arial" w:eastAsia="Times New Roman" w:hAnsi="Arial" w:cs="Arial"/>
                <w:color w:val="000000"/>
                <w:lang w:val="sr-Cyrl-BA"/>
              </w:rPr>
              <w:t>е</w:t>
            </w:r>
            <w:r>
              <w:rPr>
                <w:rFonts w:ascii="Arial" w:eastAsia="Times New Roman" w:hAnsi="Arial" w:cs="Arial"/>
                <w:color w:val="000000"/>
                <w:lang w:val="sr-Cyrl-BA"/>
              </w:rPr>
              <w:t>ња</w:t>
            </w:r>
            <w:r w:rsidR="00B04FA8">
              <w:rPr>
                <w:rFonts w:ascii="Arial" w:eastAsia="Times New Roman" w:hAnsi="Arial" w:cs="Arial"/>
                <w:color w:val="000000"/>
                <w:lang w:val="sr-Cyrl-BA"/>
              </w:rPr>
              <w:t xml:space="preserve"> </w:t>
            </w:r>
            <w:r w:rsidR="001F2F40">
              <w:rPr>
                <w:rFonts w:ascii="Arial" w:eastAsia="Times New Roman" w:hAnsi="Arial" w:cs="Arial"/>
                <w:color w:val="000000"/>
                <w:lang w:val="sr-Cyrl-BA"/>
              </w:rPr>
              <w:t>с обзиром</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оц</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с</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ла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но</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инди</w:t>
            </w:r>
            <w:r w:rsidR="0071360A">
              <w:rPr>
                <w:rFonts w:ascii="Arial" w:eastAsia="Times New Roman" w:hAnsi="Arial" w:cs="Arial"/>
                <w:color w:val="000000"/>
                <w:lang w:val="sr-Cyrl-BA"/>
              </w:rPr>
              <w:t>в</w:t>
            </w:r>
            <w:r>
              <w:rPr>
                <w:rFonts w:ascii="Arial" w:eastAsia="Times New Roman" w:hAnsi="Arial" w:cs="Arial"/>
                <w:color w:val="000000"/>
                <w:lang w:val="sr-Cyrl-BA"/>
              </w:rPr>
              <w:t>ид</w:t>
            </w:r>
            <w:r w:rsidR="0071360A">
              <w:rPr>
                <w:rFonts w:ascii="Arial" w:eastAsia="Times New Roman" w:hAnsi="Arial" w:cs="Arial"/>
                <w:color w:val="000000"/>
                <w:lang w:val="sr-Cyrl-BA"/>
              </w:rPr>
              <w:t>у</w:t>
            </w:r>
            <w:r>
              <w:rPr>
                <w:rFonts w:ascii="Arial" w:eastAsia="Times New Roman" w:hAnsi="Arial" w:cs="Arial"/>
                <w:color w:val="000000"/>
                <w:lang w:val="sr-Cyrl-BA"/>
              </w:rPr>
              <w:t>али</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ан</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Оцј</w:t>
            </w:r>
            <w:r w:rsidR="00EE6AA2">
              <w:rPr>
                <w:rFonts w:ascii="Arial" w:eastAsia="Times New Roman" w:hAnsi="Arial" w:cs="Arial"/>
                <w:color w:val="000000"/>
                <w:lang w:val="sr-Cyrl-BA"/>
              </w:rPr>
              <w:t>е</w:t>
            </w:r>
            <w:r>
              <w:rPr>
                <w:rFonts w:ascii="Arial" w:eastAsia="Times New Roman" w:hAnsi="Arial" w:cs="Arial"/>
                <w:color w:val="000000"/>
                <w:lang w:val="sr-Cyrl-BA"/>
              </w:rPr>
              <w:t>њи</w:t>
            </w:r>
            <w:r w:rsidR="0071360A">
              <w:rPr>
                <w:rFonts w:ascii="Arial" w:eastAsia="Times New Roman" w:hAnsi="Arial" w:cs="Arial"/>
                <w:color w:val="000000"/>
                <w:lang w:val="sr-Cyrl-BA"/>
              </w:rPr>
              <w:t>в</w:t>
            </w:r>
            <w:r>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мог</w:t>
            </w:r>
            <w:r w:rsidR="0071360A">
              <w:rPr>
                <w:rFonts w:ascii="Arial" w:eastAsia="Times New Roman" w:hAnsi="Arial" w:cs="Arial"/>
                <w:color w:val="000000"/>
                <w:lang w:val="sr-Cyrl-BA"/>
              </w:rPr>
              <w:t>у</w:t>
            </w:r>
            <w:r>
              <w:rPr>
                <w:rFonts w:ascii="Arial" w:eastAsia="Times New Roman" w:hAnsi="Arial" w:cs="Arial"/>
                <w:color w:val="000000"/>
                <w:lang w:val="sr-Cyrl-BA"/>
              </w:rPr>
              <w:t>ћ</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w:t>
            </w:r>
            <w:r w:rsidR="0071360A">
              <w:rPr>
                <w:rFonts w:ascii="Arial" w:eastAsia="Times New Roman" w:hAnsi="Arial" w:cs="Arial"/>
                <w:color w:val="000000"/>
                <w:lang w:val="sr-Cyrl-BA"/>
              </w:rPr>
              <w:t>р</w:t>
            </w:r>
            <w:r>
              <w:rPr>
                <w:rFonts w:ascii="Arial" w:eastAsia="Times New Roman" w:hAnsi="Arial" w:cs="Arial"/>
                <w:color w:val="000000"/>
                <w:lang w:val="sr-Cyrl-BA"/>
              </w:rPr>
              <w:t>о</w:t>
            </w:r>
            <w:r w:rsidR="00171F00">
              <w:rPr>
                <w:rFonts w:ascii="Arial" w:eastAsia="Times New Roman" w:hAnsi="Arial" w:cs="Arial"/>
                <w:color w:val="000000"/>
                <w:lang w:val="sr-Cyrl-BA"/>
              </w:rPr>
              <w:t>з</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имј</w:t>
            </w:r>
            <w:r w:rsidR="00EE6AA2">
              <w:rPr>
                <w:rFonts w:ascii="Arial" w:eastAsia="Times New Roman" w:hAnsi="Arial" w:cs="Arial"/>
                <w:color w:val="000000"/>
                <w:lang w:val="sr-Cyrl-BA"/>
              </w:rPr>
              <w:t>е</w:t>
            </w:r>
            <w:r>
              <w:rPr>
                <w:rFonts w:ascii="Arial" w:eastAsia="Times New Roman" w:hAnsi="Arial" w:cs="Arial"/>
                <w:color w:val="000000"/>
                <w:lang w:val="sr-Cyrl-BA"/>
              </w:rPr>
              <w:t>н</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ла</w:t>
            </w:r>
            <w:r w:rsidR="0071360A">
              <w:rPr>
                <w:rFonts w:ascii="Arial" w:eastAsia="Times New Roman" w:hAnsi="Arial" w:cs="Arial"/>
                <w:color w:val="000000"/>
                <w:lang w:val="sr-Cyrl-BA"/>
              </w:rPr>
              <w:t>т</w:t>
            </w:r>
            <w:r>
              <w:rPr>
                <w:rFonts w:ascii="Arial" w:eastAsia="Times New Roman" w:hAnsi="Arial" w:cs="Arial"/>
                <w:color w:val="000000"/>
                <w:lang w:val="sr-Cyrl-BA"/>
              </w:rPr>
              <w:t>фо</w:t>
            </w:r>
            <w:r w:rsidR="0071360A">
              <w:rPr>
                <w:rFonts w:ascii="Arial" w:eastAsia="Times New Roman" w:hAnsi="Arial" w:cs="Arial"/>
                <w:color w:val="000000"/>
                <w:lang w:val="sr-Cyrl-BA"/>
              </w:rPr>
              <w:t>р</w:t>
            </w:r>
            <w:r>
              <w:rPr>
                <w:rFonts w:ascii="Arial" w:eastAsia="Times New Roman" w:hAnsi="Arial" w:cs="Arial"/>
                <w:color w:val="000000"/>
                <w:lang w:val="sr-Cyrl-BA"/>
              </w:rPr>
              <w:t>м</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w:t>
            </w:r>
            <w:r>
              <w:rPr>
                <w:rFonts w:ascii="Arial" w:eastAsia="Times New Roman" w:hAnsi="Arial" w:cs="Arial"/>
                <w:color w:val="000000"/>
                <w:lang w:val="sr-Cyrl-BA"/>
              </w:rPr>
              <w:t>маила</w:t>
            </w:r>
            <w:r w:rsidR="00892898" w:rsidRPr="005549C9">
              <w:rPr>
                <w:rFonts w:ascii="Arial" w:eastAsia="Times New Roman" w:hAnsi="Arial" w:cs="Arial"/>
                <w:color w:val="000000"/>
                <w:lang w:val="sr-Cyrl-BA"/>
              </w:rPr>
              <w:t xml:space="preserve">, </w:t>
            </w:r>
            <w:r w:rsidR="005549C9" w:rsidRPr="005549C9">
              <w:rPr>
                <w:rFonts w:ascii="Arial" w:eastAsia="Times New Roman" w:hAnsi="Arial" w:cs="Arial"/>
                <w:color w:val="000000"/>
                <w:lang w:val="sr-Cyrl-BA"/>
              </w:rPr>
              <w:t>стриминг</w:t>
            </w:r>
            <w:r w:rsidR="00892898" w:rsidRPr="005549C9">
              <w:rPr>
                <w:rFonts w:ascii="Arial" w:eastAsia="Times New Roman" w:hAnsi="Arial" w:cs="Arial"/>
                <w:color w:val="000000"/>
                <w:lang w:val="sr-Cyrl-BA"/>
              </w:rPr>
              <w:t xml:space="preserve"> </w:t>
            </w:r>
            <w:r w:rsidRPr="005549C9">
              <w:rPr>
                <w:rFonts w:ascii="Arial" w:eastAsia="Times New Roman" w:hAnsi="Arial" w:cs="Arial"/>
                <w:color w:val="000000"/>
                <w:lang w:val="sr-Cyrl-BA"/>
              </w:rPr>
              <w:t>м</w:t>
            </w:r>
            <w:r w:rsidR="00EE6AA2" w:rsidRPr="005549C9">
              <w:rPr>
                <w:rFonts w:ascii="Arial" w:eastAsia="Times New Roman" w:hAnsi="Arial" w:cs="Arial"/>
                <w:color w:val="000000"/>
                <w:lang w:val="sr-Cyrl-BA"/>
              </w:rPr>
              <w:t>е</w:t>
            </w:r>
            <w:r w:rsidRPr="005549C9">
              <w:rPr>
                <w:rFonts w:ascii="Arial" w:eastAsia="Times New Roman" w:hAnsi="Arial" w:cs="Arial"/>
                <w:color w:val="000000"/>
                <w:lang w:val="sr-Cyrl-BA"/>
              </w:rPr>
              <w:t>дија</w:t>
            </w:r>
            <w:r w:rsidR="00892898" w:rsidRPr="005549C9">
              <w:rPr>
                <w:rFonts w:ascii="Arial" w:eastAsia="Times New Roman" w:hAnsi="Arial" w:cs="Arial"/>
                <w:color w:val="000000"/>
                <w:lang w:val="sr-Cyrl-BA"/>
              </w:rPr>
              <w:t xml:space="preserve">, </w:t>
            </w:r>
            <w:r w:rsidRPr="005549C9">
              <w:rPr>
                <w:rFonts w:ascii="Arial" w:eastAsia="Times New Roman" w:hAnsi="Arial" w:cs="Arial"/>
                <w:color w:val="000000"/>
                <w:lang w:val="sr-Cyrl-BA"/>
              </w:rPr>
              <w:t>ин</w:t>
            </w:r>
            <w:r w:rsidR="0071360A" w:rsidRPr="005549C9">
              <w:rPr>
                <w:rFonts w:ascii="Arial" w:eastAsia="Times New Roman" w:hAnsi="Arial" w:cs="Arial"/>
                <w:color w:val="000000"/>
                <w:lang w:val="sr-Cyrl-BA"/>
              </w:rPr>
              <w:t>т</w:t>
            </w:r>
            <w:r w:rsidR="00EE6AA2" w:rsidRPr="005549C9">
              <w:rPr>
                <w:rFonts w:ascii="Arial" w:eastAsia="Times New Roman" w:hAnsi="Arial" w:cs="Arial"/>
                <w:color w:val="000000"/>
                <w:lang w:val="sr-Cyrl-BA"/>
              </w:rPr>
              <w:t>е</w:t>
            </w:r>
            <w:r w:rsidR="0071360A" w:rsidRPr="005549C9">
              <w:rPr>
                <w:rFonts w:ascii="Arial" w:eastAsia="Times New Roman" w:hAnsi="Arial" w:cs="Arial"/>
                <w:color w:val="000000"/>
                <w:lang w:val="sr-Cyrl-BA"/>
              </w:rPr>
              <w:t>р</w:t>
            </w:r>
            <w:r w:rsidRPr="005549C9">
              <w:rPr>
                <w:rFonts w:ascii="Arial" w:eastAsia="Times New Roman" w:hAnsi="Arial" w:cs="Arial"/>
                <w:color w:val="000000"/>
                <w:lang w:val="sr-Cyrl-BA"/>
              </w:rPr>
              <w:t>ак</w:t>
            </w:r>
            <w:r w:rsidR="0071360A" w:rsidRPr="005549C9">
              <w:rPr>
                <w:rFonts w:ascii="Arial" w:eastAsia="Times New Roman" w:hAnsi="Arial" w:cs="Arial"/>
                <w:color w:val="000000"/>
                <w:lang w:val="sr-Cyrl-BA"/>
              </w:rPr>
              <w:t>т</w:t>
            </w:r>
            <w:r w:rsidRPr="005549C9">
              <w:rPr>
                <w:rFonts w:ascii="Arial" w:eastAsia="Times New Roman" w:hAnsi="Arial" w:cs="Arial"/>
                <w:color w:val="000000"/>
                <w:lang w:val="sr-Cyrl-BA"/>
              </w:rPr>
              <w:t>и</w:t>
            </w:r>
            <w:r w:rsidR="0071360A" w:rsidRPr="005549C9">
              <w:rPr>
                <w:rFonts w:ascii="Arial" w:eastAsia="Times New Roman" w:hAnsi="Arial" w:cs="Arial"/>
                <w:color w:val="000000"/>
                <w:lang w:val="sr-Cyrl-BA"/>
              </w:rPr>
              <w:t>в</w:t>
            </w:r>
            <w:r w:rsidRPr="005549C9">
              <w:rPr>
                <w:rFonts w:ascii="Arial" w:eastAsia="Times New Roman" w:hAnsi="Arial" w:cs="Arial"/>
                <w:color w:val="000000"/>
                <w:lang w:val="sr-Cyrl-BA"/>
              </w:rPr>
              <w:t>них</w:t>
            </w:r>
            <w:r w:rsidR="00892898" w:rsidRPr="005549C9">
              <w:rPr>
                <w:rFonts w:ascii="Arial" w:eastAsia="Times New Roman" w:hAnsi="Arial" w:cs="Arial"/>
                <w:color w:val="000000"/>
                <w:lang w:val="sr-Cyrl-BA"/>
              </w:rPr>
              <w:t xml:space="preserve"> </w:t>
            </w:r>
            <w:r w:rsidRPr="005549C9">
              <w:rPr>
                <w:rFonts w:ascii="Arial" w:eastAsia="Times New Roman" w:hAnsi="Arial" w:cs="Arial"/>
                <w:color w:val="000000"/>
                <w:lang w:val="sr-Cyrl-BA"/>
              </w:rPr>
              <w:t>к</w:t>
            </w:r>
            <w:r w:rsidR="0071360A" w:rsidRPr="005549C9">
              <w:rPr>
                <w:rFonts w:ascii="Arial" w:eastAsia="Times New Roman" w:hAnsi="Arial" w:cs="Arial"/>
                <w:color w:val="000000"/>
                <w:lang w:val="sr-Cyrl-BA"/>
              </w:rPr>
              <w:t>в</w:t>
            </w:r>
            <w:r w:rsidRPr="005549C9">
              <w:rPr>
                <w:rFonts w:ascii="Arial" w:eastAsia="Times New Roman" w:hAnsi="Arial" w:cs="Arial"/>
                <w:color w:val="000000"/>
                <w:lang w:val="sr-Cyrl-BA"/>
              </w:rPr>
              <w:t>и</w:t>
            </w:r>
            <w:r w:rsidR="00171F00" w:rsidRPr="005549C9">
              <w:rPr>
                <w:rFonts w:ascii="Arial" w:eastAsia="Times New Roman" w:hAnsi="Arial" w:cs="Arial"/>
                <w:color w:val="000000"/>
                <w:lang w:val="sr-Cyrl-BA"/>
              </w:rPr>
              <w:t>з</w:t>
            </w:r>
            <w:r w:rsidRPr="005549C9">
              <w:rPr>
                <w:rFonts w:ascii="Arial" w:eastAsia="Times New Roman" w:hAnsi="Arial" w:cs="Arial"/>
                <w:color w:val="000000"/>
                <w:lang w:val="sr-Cyrl-BA"/>
              </w:rPr>
              <w:t>о</w:t>
            </w:r>
            <w:r w:rsidR="0071360A" w:rsidRPr="005549C9">
              <w:rPr>
                <w:rFonts w:ascii="Arial" w:eastAsia="Times New Roman" w:hAnsi="Arial" w:cs="Arial"/>
                <w:color w:val="000000"/>
                <w:lang w:val="sr-Cyrl-BA"/>
              </w:rPr>
              <w:t>в</w:t>
            </w:r>
            <w:r w:rsidRPr="005549C9">
              <w:rPr>
                <w:rFonts w:ascii="Arial" w:eastAsia="Times New Roman" w:hAnsi="Arial" w:cs="Arial"/>
                <w:color w:val="000000"/>
                <w:lang w:val="sr-Cyrl-BA"/>
              </w:rPr>
              <w:t>а</w:t>
            </w:r>
            <w:r w:rsidR="00892898" w:rsidRPr="005549C9">
              <w:rPr>
                <w:rFonts w:ascii="Arial" w:eastAsia="Times New Roman" w:hAnsi="Arial" w:cs="Arial"/>
                <w:color w:val="000000"/>
                <w:lang w:val="sr-Cyrl-BA"/>
              </w:rPr>
              <w:t xml:space="preserve"> </w:t>
            </w:r>
            <w:r w:rsidR="00171F00" w:rsidRPr="005549C9">
              <w:rPr>
                <w:rFonts w:ascii="Arial" w:eastAsia="Times New Roman" w:hAnsi="Arial" w:cs="Arial"/>
                <w:color w:val="000000"/>
                <w:lang w:val="sr-Cyrl-BA"/>
              </w:rPr>
              <w:t>з</w:t>
            </w:r>
            <w:r w:rsidRPr="005549C9">
              <w:rPr>
                <w:rFonts w:ascii="Arial" w:eastAsia="Times New Roman" w:hAnsi="Arial" w:cs="Arial"/>
                <w:color w:val="000000"/>
                <w:lang w:val="sr-Cyrl-BA"/>
              </w:rPr>
              <w:t>нања</w:t>
            </w:r>
            <w:r w:rsidR="0057191F" w:rsidRPr="005549C9">
              <w:rPr>
                <w:rFonts w:ascii="Arial" w:eastAsia="Times New Roman" w:hAnsi="Arial" w:cs="Arial"/>
                <w:color w:val="000000"/>
                <w:lang w:val="sr-Cyrl-BA"/>
              </w:rPr>
              <w:t xml:space="preserve"> </w:t>
            </w:r>
            <w:r w:rsidRPr="005549C9">
              <w:rPr>
                <w:rFonts w:ascii="Arial" w:eastAsia="Times New Roman" w:hAnsi="Arial" w:cs="Arial"/>
                <w:color w:val="000000"/>
                <w:lang w:val="sr-Cyrl-BA"/>
              </w:rPr>
              <w:t>и</w:t>
            </w:r>
            <w:r w:rsidR="00892898" w:rsidRPr="005549C9">
              <w:rPr>
                <w:rFonts w:ascii="Arial" w:eastAsia="Times New Roman" w:hAnsi="Arial" w:cs="Arial"/>
                <w:color w:val="000000"/>
                <w:lang w:val="sr-Cyrl-BA"/>
              </w:rPr>
              <w:t xml:space="preserve"> </w:t>
            </w:r>
            <w:r w:rsidR="0071360A" w:rsidRPr="005549C9">
              <w:rPr>
                <w:rFonts w:ascii="Arial" w:eastAsia="Times New Roman" w:hAnsi="Arial" w:cs="Arial"/>
                <w:color w:val="000000"/>
                <w:lang w:val="sr-Cyrl-BA"/>
              </w:rPr>
              <w:t>с</w:t>
            </w:r>
            <w:r w:rsidRPr="005549C9">
              <w:rPr>
                <w:rFonts w:ascii="Arial" w:eastAsia="Times New Roman" w:hAnsi="Arial" w:cs="Arial"/>
                <w:color w:val="000000"/>
                <w:lang w:val="sr-Cyrl-BA"/>
              </w:rPr>
              <w:t>амо</w:t>
            </w:r>
            <w:r w:rsidR="0071360A" w:rsidRPr="005549C9">
              <w:rPr>
                <w:rFonts w:ascii="Arial" w:eastAsia="Times New Roman" w:hAnsi="Arial" w:cs="Arial"/>
                <w:color w:val="000000"/>
                <w:lang w:val="sr-Cyrl-BA"/>
              </w:rPr>
              <w:t>ст</w:t>
            </w:r>
            <w:r w:rsidRPr="005549C9">
              <w:rPr>
                <w:rFonts w:ascii="Arial" w:eastAsia="Times New Roman" w:hAnsi="Arial" w:cs="Arial"/>
                <w:color w:val="000000"/>
                <w:lang w:val="sr-Cyrl-BA"/>
              </w:rPr>
              <w:t>алних</w:t>
            </w:r>
            <w:r w:rsidR="00892898" w:rsidRPr="005549C9">
              <w:rPr>
                <w:rFonts w:ascii="Arial" w:eastAsia="Times New Roman" w:hAnsi="Arial" w:cs="Arial"/>
                <w:color w:val="000000"/>
                <w:lang w:val="sr-Cyrl-BA"/>
              </w:rPr>
              <w:t xml:space="preserve"> </w:t>
            </w:r>
            <w:r w:rsidRPr="005549C9">
              <w:rPr>
                <w:rFonts w:ascii="Arial" w:eastAsia="Times New Roman" w:hAnsi="Arial" w:cs="Arial"/>
                <w:color w:val="000000"/>
                <w:lang w:val="sr-Cyrl-BA"/>
              </w:rPr>
              <w:t>и</w:t>
            </w:r>
            <w:r w:rsidR="0071360A" w:rsidRPr="005549C9">
              <w:rPr>
                <w:rFonts w:ascii="Arial" w:eastAsia="Times New Roman" w:hAnsi="Arial" w:cs="Arial"/>
                <w:color w:val="000000"/>
                <w:lang w:val="sr-Cyrl-BA"/>
              </w:rPr>
              <w:t>стр</w:t>
            </w:r>
            <w:r w:rsidRPr="005549C9">
              <w:rPr>
                <w:rFonts w:ascii="Arial" w:eastAsia="Times New Roman" w:hAnsi="Arial" w:cs="Arial"/>
                <w:color w:val="000000"/>
                <w:lang w:val="sr-Cyrl-BA"/>
              </w:rPr>
              <w:t>а</w:t>
            </w:r>
            <w:r w:rsidR="00171F00" w:rsidRPr="005549C9">
              <w:rPr>
                <w:rFonts w:ascii="Arial" w:eastAsia="Times New Roman" w:hAnsi="Arial" w:cs="Arial"/>
                <w:color w:val="000000"/>
                <w:lang w:val="sr-Cyrl-BA"/>
              </w:rPr>
              <w:t>ж</w:t>
            </w:r>
            <w:r w:rsidRPr="005549C9">
              <w:rPr>
                <w:rFonts w:ascii="Arial" w:eastAsia="Times New Roman" w:hAnsi="Arial" w:cs="Arial"/>
                <w:color w:val="000000"/>
                <w:lang w:val="sr-Cyrl-BA"/>
              </w:rPr>
              <w:t>и</w:t>
            </w:r>
            <w:r w:rsidR="0071360A" w:rsidRPr="005549C9">
              <w:rPr>
                <w:rFonts w:ascii="Arial" w:eastAsia="Times New Roman" w:hAnsi="Arial" w:cs="Arial"/>
                <w:color w:val="000000"/>
                <w:lang w:val="sr-Cyrl-BA"/>
              </w:rPr>
              <w:t>в</w:t>
            </w:r>
            <w:r w:rsidRPr="005549C9">
              <w:rPr>
                <w:rFonts w:ascii="Arial" w:eastAsia="Times New Roman" w:hAnsi="Arial" w:cs="Arial"/>
                <w:color w:val="000000"/>
                <w:lang w:val="sr-Cyrl-BA"/>
              </w:rPr>
              <w:t>ачких</w:t>
            </w:r>
            <w:r w:rsidR="00892898" w:rsidRPr="005549C9">
              <w:rPr>
                <w:rFonts w:ascii="Arial" w:eastAsia="Times New Roman" w:hAnsi="Arial" w:cs="Arial"/>
                <w:color w:val="000000"/>
                <w:lang w:val="sr-Cyrl-BA"/>
              </w:rPr>
              <w:t xml:space="preserve"> </w:t>
            </w:r>
            <w:r w:rsidR="00171F00" w:rsidRPr="005549C9">
              <w:rPr>
                <w:rFonts w:ascii="Arial" w:eastAsia="Times New Roman" w:hAnsi="Arial" w:cs="Arial"/>
                <w:color w:val="000000"/>
                <w:lang w:val="sr-Cyrl-BA"/>
              </w:rPr>
              <w:t>з</w:t>
            </w:r>
            <w:r w:rsidRPr="005549C9">
              <w:rPr>
                <w:rFonts w:ascii="Arial" w:eastAsia="Times New Roman" w:hAnsi="Arial" w:cs="Arial"/>
                <w:color w:val="000000"/>
                <w:lang w:val="sr-Cyrl-BA"/>
              </w:rPr>
              <w:t>ада</w:t>
            </w:r>
            <w:r w:rsidR="0071360A" w:rsidRPr="005549C9">
              <w:rPr>
                <w:rFonts w:ascii="Arial" w:eastAsia="Times New Roman" w:hAnsi="Arial" w:cs="Arial"/>
                <w:color w:val="000000"/>
                <w:lang w:val="sr-Cyrl-BA"/>
              </w:rPr>
              <w:t>т</w:t>
            </w:r>
            <w:r w:rsidRPr="005549C9">
              <w:rPr>
                <w:rFonts w:ascii="Arial" w:eastAsia="Times New Roman" w:hAnsi="Arial" w:cs="Arial"/>
                <w:color w:val="000000"/>
                <w:lang w:val="sr-Cyrl-BA"/>
              </w:rPr>
              <w:t>ака</w:t>
            </w:r>
            <w:r w:rsidR="00892898" w:rsidRPr="005549C9">
              <w:rPr>
                <w:rFonts w:ascii="Arial" w:eastAsia="Times New Roman" w:hAnsi="Arial" w:cs="Arial"/>
                <w:color w:val="000000"/>
                <w:lang w:val="sr-Cyrl-BA"/>
              </w:rPr>
              <w:t xml:space="preserve">. </w:t>
            </w:r>
          </w:p>
          <w:p w14:paraId="196EF255" w14:textId="481B988D" w:rsidR="00892898" w:rsidRPr="00F6340E" w:rsidRDefault="0071360A" w:rsidP="00FB5CB7">
            <w:pPr>
              <w:pStyle w:val="ListParagraph"/>
              <w:numPr>
                <w:ilvl w:val="0"/>
                <w:numId w:val="35"/>
              </w:numPr>
              <w:jc w:val="left"/>
              <w:rPr>
                <w:rFonts w:ascii="Arial" w:eastAsia="Times New Roman" w:hAnsi="Arial" w:cs="Arial"/>
                <w:b/>
                <w:color w:val="000000"/>
                <w:lang w:val="sr-Cyrl-BA"/>
              </w:rPr>
            </w:pPr>
            <w:r>
              <w:rPr>
                <w:rFonts w:ascii="Arial" w:eastAsia="Times New Roman" w:hAnsi="Arial" w:cs="Arial"/>
                <w:b/>
                <w:color w:val="000000"/>
                <w:lang w:val="sr-Cyrl-BA"/>
              </w:rPr>
              <w:t>Ус</w:t>
            </w:r>
            <w:r w:rsidR="00A56E08">
              <w:rPr>
                <w:rFonts w:ascii="Arial" w:eastAsia="Times New Roman" w:hAnsi="Arial" w:cs="Arial"/>
                <w:b/>
                <w:color w:val="000000"/>
                <w:lang w:val="sr-Cyrl-BA"/>
              </w:rPr>
              <w:t>клади</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вр</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дно</w:t>
            </w:r>
            <w:r>
              <w:rPr>
                <w:rFonts w:ascii="Arial" w:eastAsia="Times New Roman" w:hAnsi="Arial" w:cs="Arial"/>
                <w:b/>
                <w:color w:val="000000"/>
                <w:lang w:val="sr-Cyrl-BA"/>
              </w:rPr>
              <w:t>в</w:t>
            </w:r>
            <w:r w:rsidR="00A56E08">
              <w:rPr>
                <w:rFonts w:ascii="Arial" w:eastAsia="Times New Roman" w:hAnsi="Arial" w:cs="Arial"/>
                <w:b/>
                <w:color w:val="000000"/>
                <w:lang w:val="sr-Cyrl-BA"/>
              </w:rPr>
              <w:t>ањ</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ст</w:t>
            </w:r>
            <w:r w:rsidR="00A56E08">
              <w:rPr>
                <w:rFonts w:ascii="Arial" w:eastAsia="Times New Roman" w:hAnsi="Arial" w:cs="Arial"/>
                <w:b/>
                <w:color w:val="000000"/>
                <w:lang w:val="sr-Cyrl-BA"/>
              </w:rPr>
              <w:t>игн</w:t>
            </w:r>
            <w:r>
              <w:rPr>
                <w:rFonts w:ascii="Arial" w:eastAsia="Times New Roman" w:hAnsi="Arial" w:cs="Arial"/>
                <w:b/>
                <w:color w:val="000000"/>
                <w:lang w:val="sr-Cyrl-BA"/>
              </w:rPr>
              <w:t>у</w:t>
            </w:r>
            <w:r w:rsidR="00A56E08">
              <w:rPr>
                <w:rFonts w:ascii="Arial" w:eastAsia="Times New Roman" w:hAnsi="Arial" w:cs="Arial"/>
                <w:b/>
                <w:color w:val="000000"/>
                <w:lang w:val="sr-Cyrl-BA"/>
              </w:rPr>
              <w:t>ћа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w:t>
            </w:r>
            <w:r>
              <w:rPr>
                <w:rFonts w:ascii="Arial" w:eastAsia="Times New Roman" w:hAnsi="Arial" w:cs="Arial"/>
                <w:b/>
                <w:color w:val="000000"/>
                <w:lang w:val="sr-Cyrl-BA"/>
              </w:rPr>
              <w:t>пт</w:t>
            </w:r>
            <w:r w:rsidR="00A56E08">
              <w:rPr>
                <w:rFonts w:ascii="Arial" w:eastAsia="Times New Roman" w:hAnsi="Arial" w:cs="Arial"/>
                <w:b/>
                <w:color w:val="000000"/>
                <w:lang w:val="sr-Cyrl-BA"/>
              </w:rPr>
              <w:t>ималним</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w:t>
            </w:r>
            <w:r>
              <w:rPr>
                <w:rFonts w:ascii="Arial" w:eastAsia="Times New Roman" w:hAnsi="Arial" w:cs="Arial"/>
                <w:b/>
                <w:color w:val="000000"/>
                <w:lang w:val="sr-Cyrl-BA"/>
              </w:rPr>
              <w:t>пт</w:t>
            </w:r>
            <w:r w:rsidR="00EE6AA2">
              <w:rPr>
                <w:rFonts w:ascii="Arial" w:eastAsia="Times New Roman" w:hAnsi="Arial" w:cs="Arial"/>
                <w:b/>
                <w:color w:val="000000"/>
                <w:lang w:val="sr-Cyrl-BA"/>
              </w:rPr>
              <w:t>е</w:t>
            </w:r>
            <w:r>
              <w:rPr>
                <w:rFonts w:ascii="Arial" w:eastAsia="Times New Roman" w:hAnsi="Arial" w:cs="Arial"/>
                <w:b/>
                <w:color w:val="000000"/>
                <w:lang w:val="sr-Cyrl-BA"/>
              </w:rPr>
              <w:t>р</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ћ</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њ</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м</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у</w:t>
            </w:r>
            <w:r w:rsidR="00A56E08">
              <w:rPr>
                <w:rFonts w:ascii="Arial" w:eastAsia="Times New Roman" w:hAnsi="Arial" w:cs="Arial"/>
                <w:b/>
                <w:color w:val="000000"/>
                <w:lang w:val="sr-Cyrl-BA"/>
              </w:rPr>
              <w:t>ч</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ника</w:t>
            </w:r>
            <w:r w:rsidR="00892898" w:rsidRPr="00F6340E">
              <w:rPr>
                <w:rFonts w:ascii="Arial" w:eastAsia="Times New Roman" w:hAnsi="Arial" w:cs="Arial"/>
                <w:b/>
                <w:color w:val="000000"/>
                <w:lang w:val="sr-Cyrl-BA"/>
              </w:rPr>
              <w:t>/</w:t>
            </w:r>
            <w:r>
              <w:rPr>
                <w:rFonts w:ascii="Arial" w:eastAsia="Times New Roman" w:hAnsi="Arial" w:cs="Arial"/>
                <w:b/>
                <w:color w:val="000000"/>
                <w:lang w:val="sr-Cyrl-BA"/>
              </w:rPr>
              <w:t>сту</w:t>
            </w:r>
            <w:r w:rsidR="00A56E08">
              <w:rPr>
                <w:rFonts w:ascii="Arial" w:eastAsia="Times New Roman" w:hAnsi="Arial" w:cs="Arial"/>
                <w:b/>
                <w:color w:val="000000"/>
                <w:lang w:val="sr-Cyrl-BA"/>
              </w:rPr>
              <w:t>д</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на</w:t>
            </w:r>
            <w:r>
              <w:rPr>
                <w:rFonts w:ascii="Arial" w:eastAsia="Times New Roman" w:hAnsi="Arial" w:cs="Arial"/>
                <w:b/>
                <w:color w:val="000000"/>
                <w:lang w:val="sr-Cyrl-BA"/>
              </w:rPr>
              <w:t>т</w:t>
            </w:r>
            <w:r w:rsidR="00A56E08">
              <w:rPr>
                <w:rFonts w:ascii="Arial" w:eastAsia="Times New Roman" w:hAnsi="Arial" w:cs="Arial"/>
                <w:b/>
                <w:color w:val="000000"/>
                <w:lang w:val="sr-Cyrl-BA"/>
              </w:rPr>
              <w:t>а</w:t>
            </w:r>
          </w:p>
          <w:p w14:paraId="2D2AB3C7" w14:textId="5DDA529A" w:rsidR="00892898" w:rsidRPr="00F6340E" w:rsidRDefault="00A56E08" w:rsidP="00FB5CB7">
            <w:pPr>
              <w:pStyle w:val="ListParagraph"/>
              <w:ind w:left="360"/>
              <w:jc w:val="left"/>
              <w:rPr>
                <w:rFonts w:ascii="Arial" w:eastAsia="Times New Roman" w:hAnsi="Arial" w:cs="Arial"/>
                <w:color w:val="000000"/>
                <w:lang w:val="sr-Cyrl-BA"/>
              </w:rPr>
            </w:pPr>
            <w:r>
              <w:rPr>
                <w:rFonts w:ascii="Arial" w:eastAsia="Times New Roman" w:hAnsi="Arial" w:cs="Arial"/>
                <w:color w:val="000000"/>
                <w:lang w:val="sr-Cyrl-BA"/>
              </w:rPr>
              <w:t>О</w:t>
            </w:r>
            <w:r w:rsidR="0071360A">
              <w:rPr>
                <w:rFonts w:ascii="Arial" w:eastAsia="Times New Roman" w:hAnsi="Arial" w:cs="Arial"/>
                <w:color w:val="000000"/>
                <w:lang w:val="sr-Cyrl-BA"/>
              </w:rPr>
              <w:t>п</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ационали</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пт</w:t>
            </w:r>
            <w:r>
              <w:rPr>
                <w:rFonts w:ascii="Arial" w:eastAsia="Times New Roman" w:hAnsi="Arial" w:cs="Arial"/>
                <w:color w:val="000000"/>
                <w:lang w:val="sr-Cyrl-BA"/>
              </w:rPr>
              <w:t>имално</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пт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ћ</w:t>
            </w:r>
            <w:r w:rsidR="00EE6AA2">
              <w:rPr>
                <w:rFonts w:ascii="Arial" w:eastAsia="Times New Roman" w:hAnsi="Arial" w:cs="Arial"/>
                <w:color w:val="000000"/>
                <w:lang w:val="sr-Cyrl-BA"/>
              </w:rPr>
              <w:t>е</w:t>
            </w:r>
            <w:r>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тр</w:t>
            </w:r>
            <w:r w:rsidR="00EE6AA2">
              <w:rPr>
                <w:rFonts w:ascii="Arial" w:eastAsia="Times New Roman" w:hAnsi="Arial" w:cs="Arial"/>
                <w:color w:val="000000"/>
                <w:lang w:val="sr-Cyrl-BA"/>
              </w:rPr>
              <w:t>е</w:t>
            </w:r>
            <w:r>
              <w:rPr>
                <w:rFonts w:ascii="Arial" w:eastAsia="Times New Roman" w:hAnsi="Arial" w:cs="Arial"/>
                <w:color w:val="000000"/>
                <w:lang w:val="sr-Cyrl-BA"/>
              </w:rPr>
              <w:t>би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оно</w:t>
            </w:r>
            <w:r w:rsidR="0071360A">
              <w:rPr>
                <w:rFonts w:ascii="Arial" w:eastAsia="Times New Roman" w:hAnsi="Arial" w:cs="Arial"/>
                <w:color w:val="000000"/>
                <w:lang w:val="sr-Cyrl-BA"/>
              </w:rPr>
              <w:t>в</w:t>
            </w:r>
            <w:r>
              <w:rPr>
                <w:rFonts w:ascii="Arial" w:eastAsia="Times New Roman" w:hAnsi="Arial" w:cs="Arial"/>
                <w:color w:val="000000"/>
                <w:lang w:val="sr-Cyrl-BA"/>
              </w:rPr>
              <w:t>о</w:t>
            </w:r>
            <w:r w:rsidR="009A10E7"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sidR="0071360A">
              <w:rPr>
                <w:rFonts w:ascii="Arial" w:eastAsia="Times New Roman" w:hAnsi="Arial" w:cs="Arial"/>
                <w:color w:val="000000"/>
                <w:lang w:val="sr-Cyrl-BA"/>
              </w:rPr>
              <w:t>в</w:t>
            </w:r>
            <w:r>
              <w:rPr>
                <w:rFonts w:ascii="Arial" w:eastAsia="Times New Roman" w:hAnsi="Arial" w:cs="Arial"/>
                <w:color w:val="000000"/>
                <w:lang w:val="sr-Cyrl-BA"/>
              </w:rPr>
              <w:t>и</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9A10E7" w:rsidRPr="00F6340E">
              <w:rPr>
                <w:rFonts w:ascii="Arial" w:eastAsia="Times New Roman" w:hAnsi="Arial" w:cs="Arial"/>
                <w:color w:val="000000"/>
                <w:lang w:val="sr-Cyrl-BA"/>
              </w:rPr>
              <w:t xml:space="preserve"> </w:t>
            </w:r>
            <w:r>
              <w:rPr>
                <w:rFonts w:ascii="Arial" w:eastAsia="Times New Roman" w:hAnsi="Arial" w:cs="Arial"/>
                <w:color w:val="000000"/>
                <w:lang w:val="sr-Cyrl-BA"/>
              </w:rPr>
              <w:t>конц</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пт</w:t>
            </w:r>
            <w:r w:rsidR="00CD7F5F"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а</w:t>
            </w:r>
            <w:r w:rsidR="00CD7F5F"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тр</w:t>
            </w:r>
            <w:r w:rsidR="00EE6AA2">
              <w:rPr>
                <w:rFonts w:ascii="Arial" w:eastAsia="Times New Roman" w:hAnsi="Arial" w:cs="Arial"/>
                <w:color w:val="000000"/>
                <w:lang w:val="sr-Cyrl-BA"/>
              </w:rPr>
              <w:t>е</w:t>
            </w:r>
            <w:r>
              <w:rPr>
                <w:rFonts w:ascii="Arial" w:eastAsia="Times New Roman" w:hAnsi="Arial" w:cs="Arial"/>
                <w:color w:val="000000"/>
                <w:lang w:val="sr-Cyrl-BA"/>
              </w:rPr>
              <w:t>н</w:t>
            </w:r>
            <w:r w:rsidR="0071360A">
              <w:rPr>
                <w:rFonts w:ascii="Arial" w:eastAsia="Times New Roman" w:hAnsi="Arial" w:cs="Arial"/>
                <w:color w:val="000000"/>
                <w:lang w:val="sr-Cyrl-BA"/>
              </w:rPr>
              <w:t>ут</w:t>
            </w:r>
            <w:r>
              <w:rPr>
                <w:rFonts w:ascii="Arial" w:eastAsia="Times New Roman" w:hAnsi="Arial" w:cs="Arial"/>
                <w:color w:val="000000"/>
                <w:lang w:val="sr-Cyrl-BA"/>
              </w:rPr>
              <w:t>но</w:t>
            </w:r>
            <w:r w:rsidR="00CD7F5F"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171F00">
              <w:rPr>
                <w:rFonts w:ascii="Arial" w:eastAsia="Times New Roman" w:hAnsi="Arial" w:cs="Arial"/>
                <w:color w:val="000000"/>
                <w:lang w:val="sr-Cyrl-BA"/>
              </w:rPr>
              <w:t>ж</w:t>
            </w:r>
            <w:r w:rsidR="00EE6AA2">
              <w:rPr>
                <w:rFonts w:ascii="Arial" w:eastAsia="Times New Roman" w:hAnsi="Arial" w:cs="Arial"/>
                <w:color w:val="000000"/>
                <w:lang w:val="sr-Cyrl-BA"/>
              </w:rPr>
              <w:t>е</w:t>
            </w:r>
            <w:r>
              <w:rPr>
                <w:rFonts w:ascii="Arial" w:eastAsia="Times New Roman" w:hAnsi="Arial" w:cs="Arial"/>
                <w:color w:val="000000"/>
                <w:lang w:val="sr-Cyrl-BA"/>
              </w:rPr>
              <w:t>ћ</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а</w:t>
            </w:r>
            <w:r w:rsidR="0071360A">
              <w:rPr>
                <w:rFonts w:ascii="Arial" w:eastAsia="Times New Roman" w:hAnsi="Arial" w:cs="Arial"/>
                <w:color w:val="000000"/>
                <w:lang w:val="sr-Cyrl-BA"/>
              </w:rPr>
              <w:t>в</w:t>
            </w:r>
            <w:r>
              <w:rPr>
                <w:rFonts w:ascii="Arial" w:eastAsia="Times New Roman" w:hAnsi="Arial" w:cs="Arial"/>
                <w:color w:val="000000"/>
                <w:lang w:val="sr-Cyrl-BA"/>
              </w:rPr>
              <w:t>илник</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који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г</w:t>
            </w:r>
            <w:r w:rsidR="0071360A">
              <w:rPr>
                <w:rFonts w:ascii="Arial" w:eastAsia="Times New Roman" w:hAnsi="Arial" w:cs="Arial"/>
                <w:color w:val="000000"/>
                <w:lang w:val="sr-Cyrl-BA"/>
              </w:rPr>
              <w:t>у</w:t>
            </w:r>
            <w:r>
              <w:rPr>
                <w:rFonts w:ascii="Arial" w:eastAsia="Times New Roman" w:hAnsi="Arial" w:cs="Arial"/>
                <w:color w:val="000000"/>
                <w:lang w:val="sr-Cyrl-BA"/>
              </w:rPr>
              <w:t>ли</w:t>
            </w:r>
            <w:r w:rsidR="0071360A">
              <w:rPr>
                <w:rFonts w:ascii="Arial" w:eastAsia="Times New Roman" w:hAnsi="Arial" w:cs="Arial"/>
                <w:color w:val="000000"/>
                <w:lang w:val="sr-Cyrl-BA"/>
              </w:rPr>
              <w:t>шу</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вр</w:t>
            </w:r>
            <w:r w:rsidR="00EE6AA2">
              <w:rPr>
                <w:rFonts w:ascii="Arial" w:eastAsia="Times New Roman" w:hAnsi="Arial" w:cs="Arial"/>
                <w:color w:val="000000"/>
                <w:lang w:val="sr-Cyrl-BA"/>
              </w:rPr>
              <w:t>е</w:t>
            </w:r>
            <w:r>
              <w:rPr>
                <w:rFonts w:ascii="Arial" w:eastAsia="Times New Roman" w:hAnsi="Arial" w:cs="Arial"/>
                <w:color w:val="000000"/>
                <w:lang w:val="sr-Cyrl-BA"/>
              </w:rPr>
              <w:t>дно</w:t>
            </w:r>
            <w:r w:rsidR="0071360A">
              <w:rPr>
                <w:rFonts w:ascii="Arial" w:eastAsia="Times New Roman" w:hAnsi="Arial" w:cs="Arial"/>
                <w:color w:val="000000"/>
                <w:lang w:val="sr-Cyrl-BA"/>
              </w:rPr>
              <w:t>в</w:t>
            </w:r>
            <w:r>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ст</w:t>
            </w:r>
            <w:r>
              <w:rPr>
                <w:rFonts w:ascii="Arial" w:eastAsia="Times New Roman" w:hAnsi="Arial" w:cs="Arial"/>
                <w:color w:val="000000"/>
                <w:lang w:val="sr-Cyrl-BA"/>
              </w:rPr>
              <w:t>игн</w:t>
            </w:r>
            <w:r w:rsidR="0071360A">
              <w:rPr>
                <w:rFonts w:ascii="Arial" w:eastAsia="Times New Roman" w:hAnsi="Arial" w:cs="Arial"/>
                <w:color w:val="000000"/>
                <w:lang w:val="sr-Cyrl-BA"/>
              </w:rPr>
              <w:t>у</w:t>
            </w:r>
            <w:r>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w:t>
            </w:r>
            <w:r>
              <w:rPr>
                <w:rFonts w:ascii="Arial" w:eastAsia="Times New Roman" w:hAnsi="Arial" w:cs="Arial"/>
                <w:color w:val="000000"/>
                <w:lang w:val="sr-Cyrl-BA"/>
              </w:rPr>
              <w:t>и</w:t>
            </w:r>
            <w:r w:rsidR="0071360A">
              <w:rPr>
                <w:rFonts w:ascii="Arial" w:eastAsia="Times New Roman" w:hAnsi="Arial" w:cs="Arial"/>
                <w:color w:val="000000"/>
                <w:lang w:val="sr-Cyrl-BA"/>
              </w:rPr>
              <w:t>с</w:t>
            </w:r>
            <w:r>
              <w:rPr>
                <w:rFonts w:ascii="Arial" w:eastAsia="Times New Roman" w:hAnsi="Arial" w:cs="Arial"/>
                <w:color w:val="000000"/>
                <w:lang w:val="sr-Cyrl-BA"/>
              </w:rPr>
              <w:t>око</w:t>
            </w:r>
            <w:r w:rsidR="0071360A">
              <w:rPr>
                <w:rFonts w:ascii="Arial" w:eastAsia="Times New Roman" w:hAnsi="Arial" w:cs="Arial"/>
                <w:color w:val="000000"/>
                <w:lang w:val="sr-Cyrl-BA"/>
              </w:rPr>
              <w:t>ш</w:t>
            </w:r>
            <w:r>
              <w:rPr>
                <w:rFonts w:ascii="Arial" w:eastAsia="Times New Roman" w:hAnsi="Arial" w:cs="Arial"/>
                <w:color w:val="000000"/>
                <w:lang w:val="sr-Cyrl-BA"/>
              </w:rPr>
              <w:t>кол</w:t>
            </w:r>
            <w:r w:rsidR="0071360A">
              <w:rPr>
                <w:rFonts w:ascii="Arial" w:eastAsia="Times New Roman" w:hAnsi="Arial" w:cs="Arial"/>
                <w:color w:val="000000"/>
                <w:lang w:val="sr-Cyrl-BA"/>
              </w:rPr>
              <w:t>с</w:t>
            </w:r>
            <w:r>
              <w:rPr>
                <w:rFonts w:ascii="Arial" w:eastAsia="Times New Roman" w:hAnsi="Arial" w:cs="Arial"/>
                <w:color w:val="000000"/>
                <w:lang w:val="sr-Cyrl-BA"/>
              </w:rPr>
              <w:t>ким</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ст</w:t>
            </w:r>
            <w:r>
              <w:rPr>
                <w:rFonts w:ascii="Arial" w:eastAsia="Times New Roman" w:hAnsi="Arial" w:cs="Arial"/>
                <w:color w:val="000000"/>
                <w:lang w:val="sr-Cyrl-BA"/>
              </w:rPr>
              <w:t>и</w:t>
            </w:r>
            <w:r w:rsidR="0071360A">
              <w:rPr>
                <w:rFonts w:ascii="Arial" w:eastAsia="Times New Roman" w:hAnsi="Arial" w:cs="Arial"/>
                <w:color w:val="000000"/>
                <w:lang w:val="sr-Cyrl-BA"/>
              </w:rPr>
              <w:t>ту</w:t>
            </w:r>
            <w:r>
              <w:rPr>
                <w:rFonts w:ascii="Arial" w:eastAsia="Times New Roman" w:hAnsi="Arial" w:cs="Arial"/>
                <w:color w:val="000000"/>
                <w:lang w:val="sr-Cyrl-BA"/>
              </w:rPr>
              <w:t>цијама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ај</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дио</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г</w:t>
            </w:r>
            <w:r w:rsidR="0071360A">
              <w:rPr>
                <w:rFonts w:ascii="Arial" w:eastAsia="Times New Roman" w:hAnsi="Arial" w:cs="Arial"/>
                <w:color w:val="000000"/>
                <w:lang w:val="sr-Cyrl-BA"/>
              </w:rPr>
              <w:t>у</w:t>
            </w:r>
            <w:r>
              <w:rPr>
                <w:rFonts w:ascii="Arial" w:eastAsia="Times New Roman" w:hAnsi="Arial" w:cs="Arial"/>
                <w:color w:val="000000"/>
                <w:lang w:val="sr-Cyrl-BA"/>
              </w:rPr>
              <w:t>ли</w:t>
            </w:r>
            <w:r w:rsidR="0071360A">
              <w:rPr>
                <w:rFonts w:ascii="Arial" w:eastAsia="Times New Roman" w:hAnsi="Arial" w:cs="Arial"/>
                <w:color w:val="000000"/>
                <w:lang w:val="sr-Cyrl-BA"/>
              </w:rPr>
              <w:t>с</w:t>
            </w:r>
            <w:r>
              <w:rPr>
                <w:rFonts w:ascii="Arial" w:eastAsia="Times New Roman" w:hAnsi="Arial" w:cs="Arial"/>
                <w:color w:val="000000"/>
                <w:lang w:val="sr-Cyrl-BA"/>
              </w:rPr>
              <w:t>ан</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бодо</w:t>
            </w:r>
            <w:r w:rsidR="0071360A">
              <w:rPr>
                <w:rFonts w:ascii="Arial" w:eastAsia="Times New Roman" w:hAnsi="Arial" w:cs="Arial"/>
                <w:color w:val="000000"/>
                <w:lang w:val="sr-Cyrl-BA"/>
              </w:rPr>
              <w:t>в</w:t>
            </w:r>
            <w:r>
              <w:rPr>
                <w:rFonts w:ascii="Arial" w:eastAsia="Times New Roman" w:hAnsi="Arial" w:cs="Arial"/>
                <w:color w:val="000000"/>
                <w:lang w:val="sr-Cyrl-BA"/>
              </w:rPr>
              <w:t>има</w:t>
            </w:r>
            <w:r w:rsidR="00D46A3E"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Pr>
                <w:rFonts w:ascii="Arial" w:eastAsia="Times New Roman" w:hAnsi="Arial" w:cs="Arial"/>
                <w:color w:val="000000"/>
                <w:lang w:val="sr-Cyrl-BA"/>
              </w:rPr>
              <w:t>Ц</w:t>
            </w:r>
            <w:r w:rsidR="0071360A">
              <w:rPr>
                <w:rFonts w:ascii="Arial" w:eastAsia="Times New Roman" w:hAnsi="Arial" w:cs="Arial"/>
                <w:color w:val="000000"/>
                <w:lang w:val="sr-Cyrl-BA"/>
              </w:rPr>
              <w:t>ТС</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који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фини</w:t>
            </w:r>
            <w:r w:rsidR="0071360A">
              <w:rPr>
                <w:rFonts w:ascii="Arial" w:eastAsia="Times New Roman" w:hAnsi="Arial" w:cs="Arial"/>
                <w:color w:val="000000"/>
                <w:lang w:val="sr-Cyrl-BA"/>
              </w:rPr>
              <w:t>шу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пт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sidR="00EE6AA2">
              <w:rPr>
                <w:rFonts w:ascii="Arial" w:eastAsia="Times New Roman" w:hAnsi="Arial" w:cs="Arial"/>
                <w:color w:val="000000"/>
                <w:lang w:val="sr-Cyrl-BA"/>
              </w:rPr>
              <w:t>е</w:t>
            </w:r>
            <w:r>
              <w:rPr>
                <w:rFonts w:ascii="Arial" w:eastAsia="Times New Roman" w:hAnsi="Arial" w:cs="Arial"/>
                <w:color w:val="000000"/>
                <w:lang w:val="sr-Cyrl-BA"/>
              </w:rPr>
              <w:t>ћ</w:t>
            </w:r>
            <w:r w:rsidR="00EE6AA2">
              <w:rPr>
                <w:rFonts w:ascii="Arial" w:eastAsia="Times New Roman" w:hAnsi="Arial" w:cs="Arial"/>
                <w:color w:val="000000"/>
                <w:lang w:val="sr-Cyrl-BA"/>
              </w:rPr>
              <w:t>е</w:t>
            </w:r>
            <w:r>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p>
        </w:tc>
      </w:tr>
    </w:tbl>
    <w:p w14:paraId="56D98744" w14:textId="77777777" w:rsidR="00892898" w:rsidRPr="00F6340E" w:rsidRDefault="00892898" w:rsidP="00892898">
      <w:pPr>
        <w:contextualSpacing/>
        <w:rPr>
          <w:rFonts w:ascii="Arial" w:hAnsi="Arial" w:cs="Arial"/>
          <w:b/>
          <w:color w:val="000000" w:themeColor="text1"/>
          <w:lang w:val="sr-Cyrl-BA"/>
        </w:rPr>
      </w:pPr>
    </w:p>
    <w:p w14:paraId="7227275F" w14:textId="77777777" w:rsidR="00892898" w:rsidRDefault="00892898" w:rsidP="00892898">
      <w:pPr>
        <w:contextualSpacing/>
        <w:rPr>
          <w:rFonts w:ascii="Arial" w:hAnsi="Arial" w:cs="Arial"/>
          <w:b/>
          <w:color w:val="000000" w:themeColor="text1"/>
          <w:lang w:val="sr-Cyrl-BA"/>
        </w:rPr>
      </w:pPr>
    </w:p>
    <w:p w14:paraId="45FDDF78" w14:textId="77777777" w:rsidR="00747566" w:rsidRDefault="00747566" w:rsidP="00892898">
      <w:pPr>
        <w:contextualSpacing/>
        <w:rPr>
          <w:rFonts w:ascii="Arial" w:hAnsi="Arial" w:cs="Arial"/>
          <w:b/>
          <w:color w:val="000000" w:themeColor="text1"/>
          <w:lang w:val="sr-Cyrl-BA"/>
        </w:rPr>
      </w:pPr>
    </w:p>
    <w:tbl>
      <w:tblPr>
        <w:tblStyle w:val="TableGrid"/>
        <w:tblW w:w="0" w:type="auto"/>
        <w:shd w:val="clear" w:color="auto" w:fill="D9E2F3" w:themeFill="accent1" w:themeFillTint="33"/>
        <w:tblCellMar>
          <w:top w:w="113" w:type="dxa"/>
          <w:bottom w:w="113" w:type="dxa"/>
        </w:tblCellMar>
        <w:tblLook w:val="04A0" w:firstRow="1" w:lastRow="0" w:firstColumn="1" w:lastColumn="0" w:noHBand="0" w:noVBand="1"/>
      </w:tblPr>
      <w:tblGrid>
        <w:gridCol w:w="9014"/>
      </w:tblGrid>
      <w:tr w:rsidR="00892898" w:rsidRPr="00F6340E" w14:paraId="209787FE" w14:textId="77777777" w:rsidTr="00FB5CB7">
        <w:tc>
          <w:tcPr>
            <w:tcW w:w="9014" w:type="dxa"/>
            <w:shd w:val="clear" w:color="auto" w:fill="00B0F0"/>
            <w:vAlign w:val="center"/>
          </w:tcPr>
          <w:p w14:paraId="631E6863" w14:textId="3CEF7A04" w:rsidR="00892898" w:rsidRPr="00F6340E" w:rsidRDefault="0071360A" w:rsidP="00FB5CB7">
            <w:pPr>
              <w:jc w:val="left"/>
              <w:rPr>
                <w:rFonts w:ascii="Arial" w:hAnsi="Arial" w:cs="Arial"/>
                <w:b/>
                <w:bCs/>
                <w:color w:val="00B0F0"/>
                <w:lang w:val="sr-Cyrl-BA"/>
              </w:rPr>
            </w:pPr>
            <w:bookmarkStart w:id="50" w:name="_Toc111470236"/>
            <w:bookmarkStart w:id="51" w:name="_Toc111470501"/>
            <w:r>
              <w:rPr>
                <w:rFonts w:ascii="Arial" w:hAnsi="Arial" w:cs="Arial"/>
                <w:b/>
                <w:bCs/>
                <w:lang w:val="sr-Cyrl-BA"/>
              </w:rPr>
              <w:t>Ств</w:t>
            </w:r>
            <w:r w:rsidR="00A56E08">
              <w:rPr>
                <w:rFonts w:ascii="Arial" w:hAnsi="Arial" w:cs="Arial"/>
                <w:b/>
                <w:bCs/>
                <w:lang w:val="sr-Cyrl-BA"/>
              </w:rPr>
              <w:t>а</w:t>
            </w:r>
            <w:r>
              <w:rPr>
                <w:rFonts w:ascii="Arial" w:hAnsi="Arial" w:cs="Arial"/>
                <w:b/>
                <w:bCs/>
                <w:lang w:val="sr-Cyrl-BA"/>
              </w:rPr>
              <w:t>р</w:t>
            </w:r>
            <w:r w:rsidR="00A56E08">
              <w:rPr>
                <w:rFonts w:ascii="Arial" w:hAnsi="Arial" w:cs="Arial"/>
                <w:b/>
                <w:bCs/>
                <w:lang w:val="sr-Cyrl-BA"/>
              </w:rPr>
              <w:t>ањ</w:t>
            </w:r>
            <w:r w:rsidR="00EE6AA2">
              <w:rPr>
                <w:rFonts w:ascii="Arial" w:hAnsi="Arial" w:cs="Arial"/>
                <w:b/>
                <w:bCs/>
                <w:lang w:val="sr-Cyrl-BA"/>
              </w:rPr>
              <w:t>е</w:t>
            </w:r>
            <w:r w:rsidR="00892898" w:rsidRPr="00F6340E">
              <w:rPr>
                <w:rFonts w:ascii="Arial" w:hAnsi="Arial" w:cs="Arial"/>
                <w:b/>
                <w:bCs/>
                <w:lang w:val="sr-Cyrl-BA"/>
              </w:rPr>
              <w:t xml:space="preserve"> </w:t>
            </w:r>
            <w:r>
              <w:rPr>
                <w:rFonts w:ascii="Arial" w:hAnsi="Arial" w:cs="Arial"/>
                <w:b/>
                <w:bCs/>
                <w:lang w:val="sr-Cyrl-BA"/>
              </w:rPr>
              <w:t>пр</w:t>
            </w:r>
            <w:r w:rsidR="00EE6AA2">
              <w:rPr>
                <w:rFonts w:ascii="Arial" w:hAnsi="Arial" w:cs="Arial"/>
                <w:b/>
                <w:bCs/>
                <w:lang w:val="sr-Cyrl-BA"/>
              </w:rPr>
              <w:t>е</w:t>
            </w:r>
            <w:r>
              <w:rPr>
                <w:rFonts w:ascii="Arial" w:hAnsi="Arial" w:cs="Arial"/>
                <w:b/>
                <w:bCs/>
                <w:lang w:val="sr-Cyrl-BA"/>
              </w:rPr>
              <w:t>тп</w:t>
            </w:r>
            <w:r w:rsidR="00A56E08">
              <w:rPr>
                <w:rFonts w:ascii="Arial" w:hAnsi="Arial" w:cs="Arial"/>
                <w:b/>
                <w:bCs/>
                <w:lang w:val="sr-Cyrl-BA"/>
              </w:rPr>
              <w:t>о</w:t>
            </w:r>
            <w:r>
              <w:rPr>
                <w:rFonts w:ascii="Arial" w:hAnsi="Arial" w:cs="Arial"/>
                <w:b/>
                <w:bCs/>
                <w:lang w:val="sr-Cyrl-BA"/>
              </w:rPr>
              <w:t>ст</w:t>
            </w:r>
            <w:r w:rsidR="00A56E08">
              <w:rPr>
                <w:rFonts w:ascii="Arial" w:hAnsi="Arial" w:cs="Arial"/>
                <w:b/>
                <w:bCs/>
                <w:lang w:val="sr-Cyrl-BA"/>
              </w:rPr>
              <w:t>а</w:t>
            </w:r>
            <w:r>
              <w:rPr>
                <w:rFonts w:ascii="Arial" w:hAnsi="Arial" w:cs="Arial"/>
                <w:b/>
                <w:bCs/>
                <w:lang w:val="sr-Cyrl-BA"/>
              </w:rPr>
              <w:t>в</w:t>
            </w:r>
            <w:r w:rsidR="00A56E08">
              <w:rPr>
                <w:rFonts w:ascii="Arial" w:hAnsi="Arial" w:cs="Arial"/>
                <w:b/>
                <w:bCs/>
                <w:lang w:val="sr-Cyrl-BA"/>
              </w:rPr>
              <w:t>ки</w:t>
            </w:r>
            <w:r w:rsidR="00892898" w:rsidRPr="00F6340E">
              <w:rPr>
                <w:rFonts w:ascii="Arial" w:hAnsi="Arial" w:cs="Arial"/>
                <w:b/>
                <w:bCs/>
                <w:lang w:val="sr-Cyrl-BA"/>
              </w:rPr>
              <w:t xml:space="preserve"> </w:t>
            </w:r>
            <w:r w:rsidR="00171F00">
              <w:rPr>
                <w:rFonts w:ascii="Arial" w:hAnsi="Arial" w:cs="Arial"/>
                <w:b/>
                <w:bCs/>
                <w:lang w:val="sr-Cyrl-BA"/>
              </w:rPr>
              <w:t>з</w:t>
            </w:r>
            <w:r w:rsidR="00A56E08">
              <w:rPr>
                <w:rFonts w:ascii="Arial" w:hAnsi="Arial" w:cs="Arial"/>
                <w:b/>
                <w:bCs/>
                <w:lang w:val="sr-Cyrl-BA"/>
              </w:rPr>
              <w:t>а</w:t>
            </w:r>
            <w:r w:rsidR="00892898" w:rsidRPr="00F6340E">
              <w:rPr>
                <w:rFonts w:ascii="Arial" w:hAnsi="Arial" w:cs="Arial"/>
                <w:b/>
                <w:bCs/>
                <w:lang w:val="sr-Cyrl-BA"/>
              </w:rPr>
              <w:t xml:space="preserve"> </w:t>
            </w:r>
            <w:r w:rsidR="00EE6AA2">
              <w:rPr>
                <w:rFonts w:ascii="Arial" w:hAnsi="Arial" w:cs="Arial"/>
                <w:b/>
                <w:bCs/>
                <w:lang w:val="sr-Cyrl-BA"/>
              </w:rPr>
              <w:t>е</w:t>
            </w:r>
            <w:r w:rsidR="00A56E08">
              <w:rPr>
                <w:rFonts w:ascii="Arial" w:hAnsi="Arial" w:cs="Arial"/>
                <w:b/>
                <w:bCs/>
                <w:lang w:val="sr-Cyrl-BA"/>
              </w:rPr>
              <w:t>фика</w:t>
            </w:r>
            <w:r>
              <w:rPr>
                <w:rFonts w:ascii="Arial" w:hAnsi="Arial" w:cs="Arial"/>
                <w:b/>
                <w:bCs/>
                <w:lang w:val="sr-Cyrl-BA"/>
              </w:rPr>
              <w:t>с</w:t>
            </w:r>
            <w:r w:rsidR="00A56E08">
              <w:rPr>
                <w:rFonts w:ascii="Arial" w:hAnsi="Arial" w:cs="Arial"/>
                <w:b/>
                <w:bCs/>
                <w:lang w:val="sr-Cyrl-BA"/>
              </w:rPr>
              <w:t>н</w:t>
            </w:r>
            <w:r>
              <w:rPr>
                <w:rFonts w:ascii="Arial" w:hAnsi="Arial" w:cs="Arial"/>
                <w:b/>
                <w:bCs/>
                <w:lang w:val="sr-Cyrl-BA"/>
              </w:rPr>
              <w:t>у</w:t>
            </w:r>
            <w:r w:rsidR="00892898" w:rsidRPr="00F6340E">
              <w:rPr>
                <w:rFonts w:ascii="Arial" w:hAnsi="Arial" w:cs="Arial"/>
                <w:b/>
                <w:bCs/>
                <w:lang w:val="sr-Cyrl-BA"/>
              </w:rPr>
              <w:t xml:space="preserve"> </w:t>
            </w:r>
            <w:r>
              <w:rPr>
                <w:rFonts w:ascii="Arial" w:hAnsi="Arial" w:cs="Arial"/>
                <w:b/>
                <w:bCs/>
                <w:lang w:val="sr-Cyrl-BA"/>
              </w:rPr>
              <w:t>уп</w:t>
            </w:r>
            <w:r w:rsidR="00A56E08">
              <w:rPr>
                <w:rFonts w:ascii="Arial" w:hAnsi="Arial" w:cs="Arial"/>
                <w:b/>
                <w:bCs/>
                <w:lang w:val="sr-Cyrl-BA"/>
              </w:rPr>
              <w:t>о</w:t>
            </w:r>
            <w:r>
              <w:rPr>
                <w:rFonts w:ascii="Arial" w:hAnsi="Arial" w:cs="Arial"/>
                <w:b/>
                <w:bCs/>
                <w:lang w:val="sr-Cyrl-BA"/>
              </w:rPr>
              <w:t>тр</w:t>
            </w:r>
            <w:r w:rsidR="00EE6AA2">
              <w:rPr>
                <w:rFonts w:ascii="Arial" w:hAnsi="Arial" w:cs="Arial"/>
                <w:b/>
                <w:bCs/>
                <w:lang w:val="sr-Cyrl-BA"/>
              </w:rPr>
              <w:t>е</w:t>
            </w:r>
            <w:r w:rsidR="00A56E08">
              <w:rPr>
                <w:rFonts w:ascii="Arial" w:hAnsi="Arial" w:cs="Arial"/>
                <w:b/>
                <w:bCs/>
                <w:lang w:val="sr-Cyrl-BA"/>
              </w:rPr>
              <w:t>б</w:t>
            </w:r>
            <w:r>
              <w:rPr>
                <w:rFonts w:ascii="Arial" w:hAnsi="Arial" w:cs="Arial"/>
                <w:b/>
                <w:bCs/>
                <w:lang w:val="sr-Cyrl-BA"/>
              </w:rPr>
              <w:t>у</w:t>
            </w:r>
            <w:r w:rsidR="00892898" w:rsidRPr="00F6340E">
              <w:rPr>
                <w:rFonts w:ascii="Arial" w:hAnsi="Arial" w:cs="Arial"/>
                <w:b/>
                <w:bCs/>
                <w:lang w:val="sr-Cyrl-BA"/>
              </w:rPr>
              <w:t xml:space="preserve"> </w:t>
            </w:r>
            <w:r w:rsidR="00A56E08">
              <w:rPr>
                <w:rFonts w:ascii="Arial" w:hAnsi="Arial" w:cs="Arial"/>
                <w:b/>
                <w:bCs/>
                <w:lang w:val="sr-Cyrl-BA"/>
              </w:rPr>
              <w:t>ИК</w:t>
            </w:r>
            <w:r>
              <w:rPr>
                <w:rFonts w:ascii="Arial" w:hAnsi="Arial" w:cs="Arial"/>
                <w:b/>
                <w:bCs/>
                <w:lang w:val="sr-Cyrl-BA"/>
              </w:rPr>
              <w:t>Т</w:t>
            </w:r>
            <w:r w:rsidR="00892898" w:rsidRPr="00F6340E">
              <w:rPr>
                <w:rFonts w:ascii="Arial" w:hAnsi="Arial" w:cs="Arial"/>
                <w:b/>
                <w:bCs/>
                <w:lang w:val="sr-Cyrl-BA"/>
              </w:rPr>
              <w:t>-</w:t>
            </w:r>
            <w:r w:rsidR="00A56E08">
              <w:rPr>
                <w:rFonts w:ascii="Arial" w:hAnsi="Arial" w:cs="Arial"/>
                <w:b/>
                <w:bCs/>
                <w:lang w:val="sr-Cyrl-BA"/>
              </w:rPr>
              <w:t>а</w:t>
            </w:r>
            <w:r w:rsidR="00892898" w:rsidRPr="00F6340E">
              <w:rPr>
                <w:rFonts w:ascii="Arial" w:hAnsi="Arial" w:cs="Arial"/>
                <w:b/>
                <w:bCs/>
                <w:lang w:val="sr-Cyrl-BA"/>
              </w:rPr>
              <w:t xml:space="preserve"> </w:t>
            </w:r>
            <w:r>
              <w:rPr>
                <w:rFonts w:ascii="Arial" w:hAnsi="Arial" w:cs="Arial"/>
                <w:b/>
                <w:bCs/>
                <w:lang w:val="sr-Cyrl-BA"/>
              </w:rPr>
              <w:t>у</w:t>
            </w:r>
            <w:r w:rsidR="00947928" w:rsidRPr="00F6340E">
              <w:rPr>
                <w:rFonts w:ascii="Arial" w:hAnsi="Arial" w:cs="Arial"/>
                <w:b/>
                <w:bCs/>
                <w:lang w:val="sr-Cyrl-BA"/>
              </w:rPr>
              <w:t xml:space="preserve"> </w:t>
            </w:r>
            <w:r w:rsidR="00A56E08">
              <w:rPr>
                <w:rFonts w:ascii="Arial" w:hAnsi="Arial" w:cs="Arial"/>
                <w:b/>
                <w:bCs/>
                <w:lang w:val="sr-Cyrl-BA"/>
              </w:rPr>
              <w:t>на</w:t>
            </w:r>
            <w:r>
              <w:rPr>
                <w:rFonts w:ascii="Arial" w:hAnsi="Arial" w:cs="Arial"/>
                <w:b/>
                <w:bCs/>
                <w:lang w:val="sr-Cyrl-BA"/>
              </w:rPr>
              <w:t>ст</w:t>
            </w:r>
            <w:r w:rsidR="00A56E08">
              <w:rPr>
                <w:rFonts w:ascii="Arial" w:hAnsi="Arial" w:cs="Arial"/>
                <w:b/>
                <w:bCs/>
                <w:lang w:val="sr-Cyrl-BA"/>
              </w:rPr>
              <w:t>а</w:t>
            </w:r>
            <w:r>
              <w:rPr>
                <w:rFonts w:ascii="Arial" w:hAnsi="Arial" w:cs="Arial"/>
                <w:b/>
                <w:bCs/>
                <w:lang w:val="sr-Cyrl-BA"/>
              </w:rPr>
              <w:t>в</w:t>
            </w:r>
            <w:r w:rsidR="00A56E08">
              <w:rPr>
                <w:rFonts w:ascii="Arial" w:hAnsi="Arial" w:cs="Arial"/>
                <w:b/>
                <w:bCs/>
                <w:lang w:val="sr-Cyrl-BA"/>
              </w:rPr>
              <w:t>и</w:t>
            </w:r>
            <w:r w:rsidR="00947928" w:rsidRPr="00F6340E">
              <w:rPr>
                <w:rFonts w:ascii="Arial" w:hAnsi="Arial" w:cs="Arial"/>
                <w:b/>
                <w:bCs/>
                <w:lang w:val="sr-Cyrl-BA"/>
              </w:rPr>
              <w:t xml:space="preserve"> </w:t>
            </w:r>
            <w:r>
              <w:rPr>
                <w:rFonts w:ascii="Arial" w:hAnsi="Arial" w:cs="Arial"/>
                <w:b/>
                <w:bCs/>
                <w:lang w:val="sr-Cyrl-BA"/>
              </w:rPr>
              <w:t>пут</w:t>
            </w:r>
            <w:r w:rsidR="00EE6AA2">
              <w:rPr>
                <w:rFonts w:ascii="Arial" w:hAnsi="Arial" w:cs="Arial"/>
                <w:b/>
                <w:bCs/>
                <w:lang w:val="sr-Cyrl-BA"/>
              </w:rPr>
              <w:t>е</w:t>
            </w:r>
            <w:r w:rsidR="00A56E08">
              <w:rPr>
                <w:rFonts w:ascii="Arial" w:hAnsi="Arial" w:cs="Arial"/>
                <w:b/>
                <w:bCs/>
                <w:lang w:val="sr-Cyrl-BA"/>
              </w:rPr>
              <w:t>м</w:t>
            </w:r>
            <w:r w:rsidR="00947928" w:rsidRPr="00F6340E">
              <w:rPr>
                <w:rFonts w:ascii="Arial" w:hAnsi="Arial" w:cs="Arial"/>
                <w:b/>
                <w:bCs/>
                <w:lang w:val="sr-Cyrl-BA"/>
              </w:rPr>
              <w:t xml:space="preserve"> </w:t>
            </w:r>
            <w:r w:rsidR="00A56E08">
              <w:rPr>
                <w:rFonts w:ascii="Arial" w:hAnsi="Arial" w:cs="Arial"/>
                <w:b/>
                <w:bCs/>
                <w:lang w:val="sr-Cyrl-BA"/>
              </w:rPr>
              <w:t>ин</w:t>
            </w:r>
            <w:r>
              <w:rPr>
                <w:rFonts w:ascii="Arial" w:hAnsi="Arial" w:cs="Arial"/>
                <w:b/>
                <w:bCs/>
                <w:lang w:val="sr-Cyrl-BA"/>
              </w:rPr>
              <w:t>т</w:t>
            </w:r>
            <w:r w:rsidR="00EE6AA2">
              <w:rPr>
                <w:rFonts w:ascii="Arial" w:hAnsi="Arial" w:cs="Arial"/>
                <w:b/>
                <w:bCs/>
                <w:lang w:val="sr-Cyrl-BA"/>
              </w:rPr>
              <w:t>е</w:t>
            </w:r>
            <w:r>
              <w:rPr>
                <w:rFonts w:ascii="Arial" w:hAnsi="Arial" w:cs="Arial"/>
                <w:b/>
                <w:bCs/>
                <w:lang w:val="sr-Cyrl-BA"/>
              </w:rPr>
              <w:t>р</w:t>
            </w:r>
            <w:r w:rsidR="00A56E08">
              <w:rPr>
                <w:rFonts w:ascii="Arial" w:hAnsi="Arial" w:cs="Arial"/>
                <w:b/>
                <w:bCs/>
                <w:lang w:val="sr-Cyrl-BA"/>
              </w:rPr>
              <w:t>н</w:t>
            </w:r>
            <w:r w:rsidR="00EE6AA2">
              <w:rPr>
                <w:rFonts w:ascii="Arial" w:hAnsi="Arial" w:cs="Arial"/>
                <w:b/>
                <w:bCs/>
                <w:lang w:val="sr-Cyrl-BA"/>
              </w:rPr>
              <w:t>е</w:t>
            </w:r>
            <w:r>
              <w:rPr>
                <w:rFonts w:ascii="Arial" w:hAnsi="Arial" w:cs="Arial"/>
                <w:b/>
                <w:bCs/>
                <w:lang w:val="sr-Cyrl-BA"/>
              </w:rPr>
              <w:t>т</w:t>
            </w:r>
            <w:r w:rsidR="00A56E08">
              <w:rPr>
                <w:rFonts w:ascii="Arial" w:hAnsi="Arial" w:cs="Arial"/>
                <w:b/>
                <w:bCs/>
                <w:lang w:val="sr-Cyrl-BA"/>
              </w:rPr>
              <w:t>а</w:t>
            </w:r>
            <w:r w:rsidR="00947928" w:rsidRPr="00F6340E">
              <w:rPr>
                <w:rFonts w:ascii="Arial" w:hAnsi="Arial" w:cs="Arial"/>
                <w:b/>
                <w:bCs/>
                <w:lang w:val="sr-Cyrl-BA"/>
              </w:rPr>
              <w:t xml:space="preserve"> </w:t>
            </w:r>
            <w:r w:rsidR="00A56E08">
              <w:rPr>
                <w:rFonts w:ascii="Arial" w:hAnsi="Arial" w:cs="Arial"/>
                <w:b/>
                <w:bCs/>
                <w:lang w:val="sr-Cyrl-BA"/>
              </w:rPr>
              <w:t>и</w:t>
            </w:r>
            <w:r w:rsidR="00892898" w:rsidRPr="00F6340E">
              <w:rPr>
                <w:rFonts w:ascii="Arial" w:hAnsi="Arial" w:cs="Arial"/>
                <w:b/>
                <w:bCs/>
                <w:lang w:val="sr-Cyrl-BA"/>
              </w:rPr>
              <w:t xml:space="preserve"> </w:t>
            </w:r>
            <w:r w:rsidR="00A56E08">
              <w:rPr>
                <w:rFonts w:ascii="Arial" w:hAnsi="Arial" w:cs="Arial"/>
                <w:b/>
                <w:bCs/>
                <w:lang w:val="sr-Cyrl-BA"/>
              </w:rPr>
              <w:t>комбино</w:t>
            </w:r>
            <w:r>
              <w:rPr>
                <w:rFonts w:ascii="Arial" w:hAnsi="Arial" w:cs="Arial"/>
                <w:b/>
                <w:bCs/>
                <w:lang w:val="sr-Cyrl-BA"/>
              </w:rPr>
              <w:t>в</w:t>
            </w:r>
            <w:r w:rsidR="00A56E08">
              <w:rPr>
                <w:rFonts w:ascii="Arial" w:hAnsi="Arial" w:cs="Arial"/>
                <w:b/>
                <w:bCs/>
                <w:lang w:val="sr-Cyrl-BA"/>
              </w:rPr>
              <w:t>аној</w:t>
            </w:r>
            <w:r w:rsidR="00892898" w:rsidRPr="00F6340E">
              <w:rPr>
                <w:rFonts w:ascii="Arial" w:hAnsi="Arial" w:cs="Arial"/>
                <w:b/>
                <w:bCs/>
                <w:lang w:val="sr-Cyrl-BA"/>
              </w:rPr>
              <w:t xml:space="preserve"> </w:t>
            </w:r>
            <w:r w:rsidR="00A56E08">
              <w:rPr>
                <w:rFonts w:ascii="Arial" w:hAnsi="Arial" w:cs="Arial"/>
                <w:b/>
                <w:bCs/>
                <w:lang w:val="sr-Cyrl-BA"/>
              </w:rPr>
              <w:t>на</w:t>
            </w:r>
            <w:r>
              <w:rPr>
                <w:rFonts w:ascii="Arial" w:hAnsi="Arial" w:cs="Arial"/>
                <w:b/>
                <w:bCs/>
                <w:lang w:val="sr-Cyrl-BA"/>
              </w:rPr>
              <w:t>ст</w:t>
            </w:r>
            <w:r w:rsidR="00A56E08">
              <w:rPr>
                <w:rFonts w:ascii="Arial" w:hAnsi="Arial" w:cs="Arial"/>
                <w:b/>
                <w:bCs/>
                <w:lang w:val="sr-Cyrl-BA"/>
              </w:rPr>
              <w:t>а</w:t>
            </w:r>
            <w:r>
              <w:rPr>
                <w:rFonts w:ascii="Arial" w:hAnsi="Arial" w:cs="Arial"/>
                <w:b/>
                <w:bCs/>
                <w:lang w:val="sr-Cyrl-BA"/>
              </w:rPr>
              <w:t>в</w:t>
            </w:r>
            <w:r w:rsidR="00A56E08">
              <w:rPr>
                <w:rFonts w:ascii="Arial" w:hAnsi="Arial" w:cs="Arial"/>
                <w:b/>
                <w:bCs/>
                <w:lang w:val="sr-Cyrl-BA"/>
              </w:rPr>
              <w:t>и</w:t>
            </w:r>
            <w:bookmarkEnd w:id="50"/>
            <w:bookmarkEnd w:id="51"/>
          </w:p>
        </w:tc>
      </w:tr>
      <w:tr w:rsidR="00892898" w:rsidRPr="00F6340E" w14:paraId="0E6B9D13" w14:textId="77777777" w:rsidTr="00FB5CB7">
        <w:trPr>
          <w:trHeight w:val="6670"/>
        </w:trPr>
        <w:tc>
          <w:tcPr>
            <w:tcW w:w="9014" w:type="dxa"/>
            <w:shd w:val="clear" w:color="auto" w:fill="E3F4F9"/>
          </w:tcPr>
          <w:p w14:paraId="7048CF92" w14:textId="5D6E11D8" w:rsidR="00892898" w:rsidRPr="00F6340E" w:rsidRDefault="0071360A" w:rsidP="00FB5CB7">
            <w:pPr>
              <w:numPr>
                <w:ilvl w:val="0"/>
                <w:numId w:val="37"/>
              </w:numPr>
              <w:contextualSpacing/>
              <w:jc w:val="left"/>
              <w:textAlignment w:val="baseline"/>
              <w:rPr>
                <w:rFonts w:ascii="Arial" w:eastAsiaTheme="minorHAnsi" w:hAnsi="Arial" w:cs="Arial"/>
                <w:b/>
                <w:color w:val="000000"/>
                <w:lang w:val="sr-Cyrl-BA"/>
              </w:rPr>
            </w:pPr>
            <w:r>
              <w:rPr>
                <w:rFonts w:ascii="Arial" w:eastAsiaTheme="minorHAnsi" w:hAnsi="Arial" w:cs="Arial"/>
                <w:b/>
                <w:color w:val="000000"/>
                <w:lang w:val="sr-Cyrl-BA"/>
              </w:rPr>
              <w:t>С</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циљ</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м</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усп</w:t>
            </w:r>
            <w:r w:rsidR="00A56E08">
              <w:rPr>
                <w:rFonts w:ascii="Arial" w:eastAsiaTheme="minorHAnsi" w:hAnsi="Arial" w:cs="Arial"/>
                <w:b/>
                <w:color w:val="000000"/>
                <w:lang w:val="sr-Cyrl-BA"/>
              </w:rPr>
              <w:t>ј</w:t>
            </w:r>
            <w:r w:rsidR="00EE6AA2">
              <w:rPr>
                <w:rFonts w:ascii="Arial" w:eastAsiaTheme="minorHAnsi" w:hAnsi="Arial" w:cs="Arial"/>
                <w:b/>
                <w:color w:val="000000"/>
                <w:lang w:val="sr-Cyrl-BA"/>
              </w:rPr>
              <w:t>е</w:t>
            </w:r>
            <w:r>
              <w:rPr>
                <w:rFonts w:ascii="Arial" w:eastAsiaTheme="minorHAnsi" w:hAnsi="Arial" w:cs="Arial"/>
                <w:b/>
                <w:color w:val="000000"/>
                <w:lang w:val="sr-Cyrl-BA"/>
              </w:rPr>
              <w:t>ш</w:t>
            </w:r>
            <w:r w:rsidR="00A56E08">
              <w:rPr>
                <w:rFonts w:ascii="Arial" w:eastAsiaTheme="minorHAnsi" w:hAnsi="Arial" w:cs="Arial"/>
                <w:b/>
                <w:color w:val="000000"/>
                <w:lang w:val="sr-Cyrl-BA"/>
              </w:rPr>
              <w:t>ног</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о</w:t>
            </w:r>
            <w:r>
              <w:rPr>
                <w:rFonts w:ascii="Arial" w:eastAsiaTheme="minorHAnsi" w:hAnsi="Arial" w:cs="Arial"/>
                <w:b/>
                <w:color w:val="000000"/>
                <w:lang w:val="sr-Cyrl-BA"/>
              </w:rPr>
              <w:t>ств</w:t>
            </w:r>
            <w:r w:rsidR="00A56E08">
              <w:rPr>
                <w:rFonts w:ascii="Arial" w:eastAsiaTheme="minorHAnsi" w:hAnsi="Arial" w:cs="Arial"/>
                <w:b/>
                <w:color w:val="000000"/>
                <w:lang w:val="sr-Cyrl-BA"/>
              </w:rPr>
              <w:t>а</w:t>
            </w:r>
            <w:r>
              <w:rPr>
                <w:rFonts w:ascii="Arial" w:eastAsiaTheme="minorHAnsi" w:hAnsi="Arial" w:cs="Arial"/>
                <w:b/>
                <w:color w:val="000000"/>
                <w:lang w:val="sr-Cyrl-BA"/>
              </w:rPr>
              <w:t>р</w:t>
            </w:r>
            <w:r w:rsidR="00A56E08">
              <w:rPr>
                <w:rFonts w:ascii="Arial" w:eastAsiaTheme="minorHAnsi" w:hAnsi="Arial" w:cs="Arial"/>
                <w:b/>
                <w:color w:val="000000"/>
                <w:lang w:val="sr-Cyrl-BA"/>
              </w:rPr>
              <w:t>и</w:t>
            </w:r>
            <w:r>
              <w:rPr>
                <w:rFonts w:ascii="Arial" w:eastAsiaTheme="minorHAnsi" w:hAnsi="Arial" w:cs="Arial"/>
                <w:b/>
                <w:color w:val="000000"/>
                <w:lang w:val="sr-Cyrl-BA"/>
              </w:rPr>
              <w:t>в</w:t>
            </w:r>
            <w:r w:rsidR="00A56E08">
              <w:rPr>
                <w:rFonts w:ascii="Arial" w:eastAsiaTheme="minorHAnsi" w:hAnsi="Arial" w:cs="Arial"/>
                <w:b/>
                <w:color w:val="000000"/>
                <w:lang w:val="sr-Cyrl-BA"/>
              </w:rPr>
              <w:t>ања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на</w:t>
            </w:r>
            <w:r>
              <w:rPr>
                <w:rFonts w:ascii="Arial" w:eastAsiaTheme="minorHAnsi" w:hAnsi="Arial" w:cs="Arial"/>
                <w:b/>
                <w:color w:val="000000"/>
                <w:lang w:val="sr-Cyrl-BA"/>
              </w:rPr>
              <w:t>ст</w:t>
            </w:r>
            <w:r w:rsidR="00A56E08">
              <w:rPr>
                <w:rFonts w:ascii="Arial" w:eastAsiaTheme="minorHAnsi" w:hAnsi="Arial" w:cs="Arial"/>
                <w:b/>
                <w:color w:val="000000"/>
                <w:lang w:val="sr-Cyrl-BA"/>
              </w:rPr>
              <w:t>а</w:t>
            </w:r>
            <w:r>
              <w:rPr>
                <w:rFonts w:ascii="Arial" w:eastAsiaTheme="minorHAnsi" w:hAnsi="Arial" w:cs="Arial"/>
                <w:b/>
                <w:color w:val="000000"/>
                <w:lang w:val="sr-Cyrl-BA"/>
              </w:rPr>
              <w:t>в</w:t>
            </w:r>
            <w:r w:rsidR="00EE6AA2">
              <w:rPr>
                <w:rFonts w:ascii="Arial" w:eastAsiaTheme="minorHAnsi" w:hAnsi="Arial" w:cs="Arial"/>
                <w:b/>
                <w:color w:val="000000"/>
                <w:lang w:val="sr-Cyrl-BA"/>
              </w:rPr>
              <w:t>е</w:t>
            </w:r>
            <w:r w:rsidR="008424F0"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пут</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м</w:t>
            </w:r>
            <w:r w:rsidR="008424F0"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ин</w:t>
            </w:r>
            <w:r>
              <w:rPr>
                <w:rFonts w:ascii="Arial" w:eastAsiaTheme="minorHAnsi" w:hAnsi="Arial" w:cs="Arial"/>
                <w:b/>
                <w:color w:val="000000"/>
                <w:lang w:val="sr-Cyrl-BA"/>
              </w:rPr>
              <w:t>т</w:t>
            </w:r>
            <w:r w:rsidR="00EE6AA2">
              <w:rPr>
                <w:rFonts w:ascii="Arial" w:eastAsiaTheme="minorHAnsi" w:hAnsi="Arial" w:cs="Arial"/>
                <w:b/>
                <w:color w:val="000000"/>
                <w:lang w:val="sr-Cyrl-BA"/>
              </w:rPr>
              <w:t>е</w:t>
            </w:r>
            <w:r>
              <w:rPr>
                <w:rFonts w:ascii="Arial" w:eastAsiaTheme="minorHAnsi" w:hAnsi="Arial" w:cs="Arial"/>
                <w:b/>
                <w:color w:val="000000"/>
                <w:lang w:val="sr-Cyrl-BA"/>
              </w:rPr>
              <w:t>р</w:t>
            </w:r>
            <w:r w:rsidR="00A56E08">
              <w:rPr>
                <w:rFonts w:ascii="Arial" w:eastAsiaTheme="minorHAnsi" w:hAnsi="Arial" w:cs="Arial"/>
                <w:b/>
                <w:color w:val="000000"/>
                <w:lang w:val="sr-Cyrl-BA"/>
              </w:rPr>
              <w:t>н</w:t>
            </w:r>
            <w:r w:rsidR="00EE6AA2">
              <w:rPr>
                <w:rFonts w:ascii="Arial" w:eastAsiaTheme="minorHAnsi" w:hAnsi="Arial" w:cs="Arial"/>
                <w:b/>
                <w:color w:val="000000"/>
                <w:lang w:val="sr-Cyrl-BA"/>
              </w:rPr>
              <w:t>е</w:t>
            </w:r>
            <w:r>
              <w:rPr>
                <w:rFonts w:ascii="Arial" w:eastAsiaTheme="minorHAnsi" w:hAnsi="Arial" w:cs="Arial"/>
                <w:b/>
                <w:color w:val="000000"/>
                <w:lang w:val="sr-Cyrl-BA"/>
              </w:rPr>
              <w:t>т</w:t>
            </w:r>
            <w:r w:rsidR="00A56E08">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комбино</w:t>
            </w:r>
            <w:r>
              <w:rPr>
                <w:rFonts w:ascii="Arial" w:eastAsiaTheme="minorHAnsi" w:hAnsi="Arial" w:cs="Arial"/>
                <w:b/>
                <w:color w:val="000000"/>
                <w:lang w:val="sr-Cyrl-BA"/>
              </w:rPr>
              <w:t>в</w:t>
            </w:r>
            <w:r w:rsidR="00A56E08">
              <w:rPr>
                <w:rFonts w:ascii="Arial" w:eastAsiaTheme="minorHAnsi" w:hAnsi="Arial" w:cs="Arial"/>
                <w:b/>
                <w:color w:val="000000"/>
                <w:lang w:val="sr-Cyrl-BA"/>
              </w:rPr>
              <w:t>ан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на</w:t>
            </w:r>
            <w:r>
              <w:rPr>
                <w:rFonts w:ascii="Arial" w:eastAsiaTheme="minorHAnsi" w:hAnsi="Arial" w:cs="Arial"/>
                <w:b/>
                <w:color w:val="000000"/>
                <w:lang w:val="sr-Cyrl-BA"/>
              </w:rPr>
              <w:t>ст</w:t>
            </w:r>
            <w:r w:rsidR="00A56E08">
              <w:rPr>
                <w:rFonts w:ascii="Arial" w:eastAsiaTheme="minorHAnsi" w:hAnsi="Arial" w:cs="Arial"/>
                <w:b/>
                <w:color w:val="000000"/>
                <w:lang w:val="sr-Cyrl-BA"/>
              </w:rPr>
              <w:t>а</w:t>
            </w:r>
            <w:r>
              <w:rPr>
                <w:rFonts w:ascii="Arial" w:eastAsiaTheme="minorHAnsi" w:hAnsi="Arial" w:cs="Arial"/>
                <w:b/>
                <w:color w:val="000000"/>
                <w:lang w:val="sr-Cyrl-BA"/>
              </w:rPr>
              <w:t>в</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п</w:t>
            </w:r>
            <w:r w:rsidR="00A56E08">
              <w:rPr>
                <w:rFonts w:ascii="Arial" w:eastAsiaTheme="minorHAnsi" w:hAnsi="Arial" w:cs="Arial"/>
                <w:b/>
                <w:color w:val="000000"/>
                <w:lang w:val="sr-Cyrl-BA"/>
              </w:rPr>
              <w:t>о</w:t>
            </w:r>
            <w:r>
              <w:rPr>
                <w:rFonts w:ascii="Arial" w:eastAsiaTheme="minorHAnsi" w:hAnsi="Arial" w:cs="Arial"/>
                <w:b/>
                <w:color w:val="000000"/>
                <w:lang w:val="sr-Cyrl-BA"/>
              </w:rPr>
              <w:t>тр</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бно</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ј</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св</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њ</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л</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м</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н</w:t>
            </w:r>
            <w:r>
              <w:rPr>
                <w:rFonts w:ascii="Arial" w:eastAsiaTheme="minorHAnsi" w:hAnsi="Arial" w:cs="Arial"/>
                <w:b/>
                <w:color w:val="000000"/>
                <w:lang w:val="sr-Cyrl-BA"/>
              </w:rPr>
              <w:t>т</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уврст</w:t>
            </w:r>
            <w:r w:rsidR="00A56E08">
              <w:rPr>
                <w:rFonts w:ascii="Arial" w:eastAsiaTheme="minorHAnsi" w:hAnsi="Arial" w:cs="Arial"/>
                <w:b/>
                <w:color w:val="000000"/>
                <w:lang w:val="sr-Cyrl-BA"/>
              </w:rPr>
              <w:t>и</w:t>
            </w:r>
            <w:r>
              <w:rPr>
                <w:rFonts w:ascii="Arial" w:eastAsiaTheme="minorHAnsi" w:hAnsi="Arial" w:cs="Arial"/>
                <w:b/>
                <w:color w:val="000000"/>
                <w:lang w:val="sr-Cyrl-BA"/>
              </w:rPr>
              <w:t>т</w:t>
            </w:r>
            <w:r w:rsidR="00A56E08">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hAnsi="Arial" w:cs="Arial"/>
                <w:b/>
                <w:lang w:val="sr-Cyrl-BA"/>
              </w:rPr>
              <w:t>у</w:t>
            </w:r>
            <w:r w:rsidR="00892898"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акон</w:t>
            </w:r>
            <w:r w:rsidR="00EE6AA2">
              <w:rPr>
                <w:rFonts w:ascii="Arial" w:hAnsi="Arial" w:cs="Arial"/>
                <w:b/>
                <w:lang w:val="sr-Cyrl-BA"/>
              </w:rPr>
              <w:t>е</w:t>
            </w:r>
            <w:r w:rsidR="00892898" w:rsidRPr="00F6340E">
              <w:rPr>
                <w:rFonts w:ascii="Arial" w:hAnsi="Arial" w:cs="Arial"/>
                <w:b/>
                <w:lang w:val="sr-Cyrl-BA"/>
              </w:rPr>
              <w:t>/</w:t>
            </w:r>
            <w:r>
              <w:rPr>
                <w:rFonts w:ascii="Arial" w:hAnsi="Arial" w:cs="Arial"/>
                <w:b/>
                <w:lang w:val="sr-Cyrl-BA"/>
              </w:rPr>
              <w:t>пр</w:t>
            </w:r>
            <w:r w:rsidR="00A56E08">
              <w:rPr>
                <w:rFonts w:ascii="Arial" w:hAnsi="Arial" w:cs="Arial"/>
                <w:b/>
                <w:lang w:val="sr-Cyrl-BA"/>
              </w:rPr>
              <w:t>а</w:t>
            </w:r>
            <w:r>
              <w:rPr>
                <w:rFonts w:ascii="Arial" w:hAnsi="Arial" w:cs="Arial"/>
                <w:b/>
                <w:lang w:val="sr-Cyrl-BA"/>
              </w:rPr>
              <w:t>в</w:t>
            </w:r>
            <w:r w:rsidR="00A56E08">
              <w:rPr>
                <w:rFonts w:ascii="Arial" w:hAnsi="Arial" w:cs="Arial"/>
                <w:b/>
                <w:lang w:val="sr-Cyrl-BA"/>
              </w:rPr>
              <w:t>илник</w:t>
            </w:r>
            <w:r w:rsidR="00EE6AA2">
              <w:rPr>
                <w:rFonts w:ascii="Arial" w:hAnsi="Arial" w:cs="Arial"/>
                <w:b/>
                <w:lang w:val="sr-Cyrl-BA"/>
              </w:rPr>
              <w:t>е</w:t>
            </w:r>
            <w:r w:rsidR="00892898" w:rsidRPr="00F6340E">
              <w:rPr>
                <w:rFonts w:ascii="Arial" w:hAnsi="Arial" w:cs="Arial"/>
                <w:b/>
                <w:lang w:val="sr-Cyrl-BA"/>
              </w:rPr>
              <w:t>/</w:t>
            </w:r>
            <w:r>
              <w:rPr>
                <w:rFonts w:ascii="Arial" w:hAnsi="Arial" w:cs="Arial"/>
                <w:b/>
                <w:lang w:val="sr-Cyrl-BA"/>
              </w:rPr>
              <w:t>ур</w:t>
            </w:r>
            <w:r w:rsidR="00EE6AA2">
              <w:rPr>
                <w:rFonts w:ascii="Arial" w:hAnsi="Arial" w:cs="Arial"/>
                <w:b/>
                <w:lang w:val="sr-Cyrl-BA"/>
              </w:rPr>
              <w:t>е</w:t>
            </w:r>
            <w:r w:rsidR="00A56E08">
              <w:rPr>
                <w:rFonts w:ascii="Arial" w:hAnsi="Arial" w:cs="Arial"/>
                <w:b/>
                <w:lang w:val="sr-Cyrl-BA"/>
              </w:rPr>
              <w:t>дб</w:t>
            </w:r>
            <w:r w:rsidR="00EE6AA2">
              <w:rPr>
                <w:rFonts w:ascii="Arial" w:hAnsi="Arial" w:cs="Arial"/>
                <w:b/>
                <w:lang w:val="sr-Cyrl-BA"/>
              </w:rPr>
              <w:t>е</w:t>
            </w:r>
            <w:r w:rsidR="00892898" w:rsidRPr="00F6340E">
              <w:rPr>
                <w:rFonts w:ascii="Arial" w:hAnsi="Arial" w:cs="Arial"/>
                <w:b/>
                <w:lang w:val="sr-Cyrl-BA"/>
              </w:rPr>
              <w:t>:</w:t>
            </w:r>
          </w:p>
          <w:p w14:paraId="34500C00" w14:textId="45E77AB0" w:rsidR="00892898" w:rsidRPr="00F6340E" w:rsidRDefault="0071360A" w:rsidP="00FB5CB7">
            <w:pPr>
              <w:pStyle w:val="ListParagraph"/>
              <w:numPr>
                <w:ilvl w:val="0"/>
                <w:numId w:val="38"/>
              </w:numPr>
              <w:jc w:val="left"/>
              <w:textAlignment w:val="baseline"/>
              <w:rPr>
                <w:rFonts w:ascii="Arial" w:eastAsiaTheme="minorHAnsi" w:hAnsi="Arial" w:cs="Arial"/>
                <w:color w:val="000000"/>
                <w:lang w:val="sr-Cyrl-BA"/>
              </w:rPr>
            </w:pPr>
            <w:r>
              <w:rPr>
                <w:rFonts w:ascii="Arial" w:eastAsiaTheme="minorHAnsi" w:hAnsi="Arial" w:cs="Arial"/>
                <w:color w:val="000000"/>
                <w:lang w:val="sr-Cyrl-BA"/>
              </w:rPr>
              <w:t>у</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w:t>
            </w:r>
            <w:r w:rsidR="00A56E08">
              <w:rPr>
                <w:rFonts w:ascii="Arial" w:eastAsiaTheme="minorHAnsi" w:hAnsi="Arial" w:cs="Arial"/>
                <w:color w:val="000000"/>
                <w:lang w:val="sr-Cyrl-BA"/>
              </w:rPr>
              <w:t>о</w:t>
            </w:r>
            <w:r>
              <w:rPr>
                <w:rFonts w:ascii="Arial" w:eastAsiaTheme="minorHAnsi" w:hAnsi="Arial" w:cs="Arial"/>
                <w:color w:val="000000"/>
                <w:lang w:val="sr-Cyrl-BA"/>
              </w:rPr>
              <w:t>ст</w:t>
            </w:r>
            <w:r w:rsidR="00A56E08">
              <w:rPr>
                <w:rFonts w:ascii="Arial" w:eastAsiaTheme="minorHAnsi" w:hAnsi="Arial" w:cs="Arial"/>
                <w:color w:val="000000"/>
                <w:lang w:val="sr-Cyrl-BA"/>
              </w:rPr>
              <w:t>ој</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ћ</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м</w:t>
            </w:r>
            <w:r w:rsidR="0057191F" w:rsidRPr="00F6340E">
              <w:rPr>
                <w:rFonts w:ascii="Arial" w:eastAsiaTheme="minorHAnsi" w:hAnsi="Arial" w:cs="Arial"/>
                <w:color w:val="000000"/>
                <w:lang w:val="sr-Cyrl-BA"/>
              </w:rPr>
              <w:t xml:space="preserve"> </w:t>
            </w:r>
            <w:r w:rsidR="00171F00">
              <w:rPr>
                <w:rFonts w:ascii="Arial" w:eastAsiaTheme="minorHAnsi" w:hAnsi="Arial" w:cs="Arial"/>
                <w:color w:val="000000"/>
                <w:lang w:val="sr-Cyrl-BA"/>
              </w:rPr>
              <w:t>з</w:t>
            </w:r>
            <w:r w:rsidR="00A56E08">
              <w:rPr>
                <w:rFonts w:ascii="Arial" w:eastAsiaTheme="minorHAnsi" w:hAnsi="Arial" w:cs="Arial"/>
                <w:color w:val="000000"/>
                <w:lang w:val="sr-Cyrl-BA"/>
              </w:rPr>
              <w:t>аконода</w:t>
            </w:r>
            <w:r>
              <w:rPr>
                <w:rFonts w:ascii="Arial" w:eastAsiaTheme="minorHAnsi" w:hAnsi="Arial" w:cs="Arial"/>
                <w:color w:val="000000"/>
                <w:lang w:val="sr-Cyrl-BA"/>
              </w:rPr>
              <w:t>вству</w:t>
            </w:r>
            <w:r w:rsidR="0057191F" w:rsidRPr="00F6340E">
              <w:rPr>
                <w:rFonts w:ascii="Arial" w:eastAsiaTheme="minorHAnsi" w:hAnsi="Arial" w:cs="Arial"/>
                <w:color w:val="000000"/>
                <w:lang w:val="sr-Cyrl-BA"/>
              </w:rPr>
              <w:t xml:space="preserve"> </w:t>
            </w:r>
            <w:r>
              <w:rPr>
                <w:rFonts w:ascii="Arial" w:eastAsiaTheme="minorHAnsi" w:hAnsi="Arial" w:cs="Arial"/>
                <w:color w:val="000000"/>
                <w:lang w:val="sr-Cyrl-BA"/>
              </w:rPr>
              <w:t>тр</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ба</w:t>
            </w:r>
            <w:r w:rsidR="0057191F" w:rsidRPr="00F6340E">
              <w:rPr>
                <w:rFonts w:ascii="Arial" w:eastAsiaTheme="minorHAnsi" w:hAnsi="Arial" w:cs="Arial"/>
                <w:color w:val="000000"/>
                <w:lang w:val="sr-Cyrl-BA"/>
              </w:rPr>
              <w:t xml:space="preserve"> </w:t>
            </w:r>
            <w:r>
              <w:rPr>
                <w:rFonts w:ascii="Arial" w:eastAsiaTheme="minorHAnsi" w:hAnsi="Arial" w:cs="Arial"/>
                <w:color w:val="000000"/>
                <w:lang w:val="sr-Cyrl-BA"/>
              </w:rPr>
              <w:t>в</w:t>
            </w:r>
            <w:r w:rsidR="00EE6AA2">
              <w:rPr>
                <w:rFonts w:ascii="Arial" w:eastAsiaTheme="minorHAnsi" w:hAnsi="Arial" w:cs="Arial"/>
                <w:color w:val="000000"/>
                <w:lang w:val="sr-Cyrl-BA"/>
              </w:rPr>
              <w:t>е</w:t>
            </w:r>
            <w:r>
              <w:rPr>
                <w:rFonts w:ascii="Arial" w:eastAsiaTheme="minorHAnsi" w:hAnsi="Arial" w:cs="Arial"/>
                <w:color w:val="000000"/>
                <w:lang w:val="sr-Cyrl-BA"/>
              </w:rPr>
              <w:t>р</w:t>
            </w:r>
            <w:r w:rsidR="00A56E08">
              <w:rPr>
                <w:rFonts w:ascii="Arial" w:eastAsiaTheme="minorHAnsi" w:hAnsi="Arial" w:cs="Arial"/>
                <w:color w:val="000000"/>
                <w:lang w:val="sr-Cyrl-BA"/>
              </w:rPr>
              <w:t>ифико</w:t>
            </w:r>
            <w:r>
              <w:rPr>
                <w:rFonts w:ascii="Arial" w:eastAsiaTheme="minorHAnsi" w:hAnsi="Arial" w:cs="Arial"/>
                <w:color w:val="000000"/>
                <w:lang w:val="sr-Cyrl-BA"/>
              </w:rPr>
              <w:t>в</w:t>
            </w:r>
            <w:r w:rsidR="00A56E08">
              <w:rPr>
                <w:rFonts w:ascii="Arial" w:eastAsiaTheme="minorHAnsi" w:hAnsi="Arial" w:cs="Arial"/>
                <w:color w:val="000000"/>
                <w:lang w:val="sr-Cyrl-BA"/>
              </w:rPr>
              <w:t>а</w:t>
            </w:r>
            <w:r>
              <w:rPr>
                <w:rFonts w:ascii="Arial" w:eastAsiaTheme="minorHAnsi" w:hAnsi="Arial" w:cs="Arial"/>
                <w:color w:val="000000"/>
                <w:lang w:val="sr-Cyrl-BA"/>
              </w:rPr>
              <w:t>т</w:t>
            </w:r>
            <w:r w:rsidR="00A56E08">
              <w:rPr>
                <w:rFonts w:ascii="Arial" w:eastAsiaTheme="minorHAnsi" w:hAnsi="Arial" w:cs="Arial"/>
                <w:color w:val="000000"/>
                <w:lang w:val="sr-Cyrl-BA"/>
              </w:rPr>
              <w:t>и</w:t>
            </w:r>
            <w:r w:rsidR="0057191F"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на</w:t>
            </w:r>
            <w:r>
              <w:rPr>
                <w:rFonts w:ascii="Arial" w:eastAsiaTheme="minorHAnsi" w:hAnsi="Arial" w:cs="Arial"/>
                <w:color w:val="000000"/>
                <w:lang w:val="sr-Cyrl-BA"/>
              </w:rPr>
              <w:t>ст</w:t>
            </w:r>
            <w:r w:rsidR="00A56E08">
              <w:rPr>
                <w:rFonts w:ascii="Arial" w:eastAsiaTheme="minorHAnsi" w:hAnsi="Arial" w:cs="Arial"/>
                <w:color w:val="000000"/>
                <w:lang w:val="sr-Cyrl-BA"/>
              </w:rPr>
              <w:t>а</w:t>
            </w:r>
            <w:r>
              <w:rPr>
                <w:rFonts w:ascii="Arial" w:eastAsiaTheme="minorHAnsi" w:hAnsi="Arial" w:cs="Arial"/>
                <w:color w:val="000000"/>
                <w:lang w:val="sr-Cyrl-BA"/>
              </w:rPr>
              <w:t>ву</w:t>
            </w:r>
            <w:r w:rsidR="008424F0" w:rsidRPr="00F6340E">
              <w:rPr>
                <w:rFonts w:ascii="Arial" w:eastAsiaTheme="minorHAnsi" w:hAnsi="Arial" w:cs="Arial"/>
                <w:color w:val="000000"/>
                <w:lang w:val="sr-Cyrl-BA"/>
              </w:rPr>
              <w:t xml:space="preserve"> </w:t>
            </w:r>
            <w:r>
              <w:rPr>
                <w:rFonts w:ascii="Arial" w:eastAsiaTheme="minorHAnsi" w:hAnsi="Arial" w:cs="Arial"/>
                <w:color w:val="000000"/>
                <w:lang w:val="sr-Cyrl-BA"/>
              </w:rPr>
              <w:t>пут</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м</w:t>
            </w:r>
            <w:r w:rsidR="008424F0"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ин</w:t>
            </w:r>
            <w:r>
              <w:rPr>
                <w:rFonts w:ascii="Arial" w:eastAsiaTheme="minorHAnsi" w:hAnsi="Arial" w:cs="Arial"/>
                <w:color w:val="000000"/>
                <w:lang w:val="sr-Cyrl-BA"/>
              </w:rPr>
              <w:t>т</w:t>
            </w:r>
            <w:r w:rsidR="00EE6AA2">
              <w:rPr>
                <w:rFonts w:ascii="Arial" w:eastAsiaTheme="minorHAnsi" w:hAnsi="Arial" w:cs="Arial"/>
                <w:color w:val="000000"/>
                <w:lang w:val="sr-Cyrl-BA"/>
              </w:rPr>
              <w:t>е</w:t>
            </w:r>
            <w:r>
              <w:rPr>
                <w:rFonts w:ascii="Arial" w:eastAsiaTheme="minorHAnsi" w:hAnsi="Arial" w:cs="Arial"/>
                <w:color w:val="000000"/>
                <w:lang w:val="sr-Cyrl-BA"/>
              </w:rPr>
              <w:t>р</w:t>
            </w:r>
            <w:r w:rsidR="00A56E08">
              <w:rPr>
                <w:rFonts w:ascii="Arial" w:eastAsiaTheme="minorHAnsi" w:hAnsi="Arial" w:cs="Arial"/>
                <w:color w:val="000000"/>
                <w:lang w:val="sr-Cyrl-BA"/>
              </w:rPr>
              <w:t>н</w:t>
            </w:r>
            <w:r w:rsidR="00EE6AA2">
              <w:rPr>
                <w:rFonts w:ascii="Arial" w:eastAsiaTheme="minorHAnsi" w:hAnsi="Arial" w:cs="Arial"/>
                <w:color w:val="000000"/>
                <w:lang w:val="sr-Cyrl-BA"/>
              </w:rPr>
              <w:t>е</w:t>
            </w:r>
            <w:r>
              <w:rPr>
                <w:rFonts w:ascii="Arial" w:eastAsiaTheme="minorHAnsi" w:hAnsi="Arial" w:cs="Arial"/>
                <w:color w:val="000000"/>
                <w:lang w:val="sr-Cyrl-BA"/>
              </w:rPr>
              <w:t>т</w:t>
            </w:r>
            <w:r w:rsidR="00A56E08">
              <w:rPr>
                <w:rFonts w:ascii="Arial" w:eastAsiaTheme="minorHAnsi" w:hAnsi="Arial" w:cs="Arial"/>
                <w:color w:val="000000"/>
                <w:lang w:val="sr-Cyrl-BA"/>
              </w:rPr>
              <w:t>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комбино</w:t>
            </w:r>
            <w:r>
              <w:rPr>
                <w:rFonts w:ascii="Arial" w:eastAsiaTheme="minorHAnsi" w:hAnsi="Arial" w:cs="Arial"/>
                <w:color w:val="000000"/>
                <w:lang w:val="sr-Cyrl-BA"/>
              </w:rPr>
              <w:t>в</w:t>
            </w:r>
            <w:r w:rsidR="00A56E08">
              <w:rPr>
                <w:rFonts w:ascii="Arial" w:eastAsiaTheme="minorHAnsi" w:hAnsi="Arial" w:cs="Arial"/>
                <w:color w:val="000000"/>
                <w:lang w:val="sr-Cyrl-BA"/>
              </w:rPr>
              <w:t>ан</w:t>
            </w:r>
            <w:r>
              <w:rPr>
                <w:rFonts w:ascii="Arial" w:eastAsiaTheme="minorHAnsi" w:hAnsi="Arial" w:cs="Arial"/>
                <w:color w:val="000000"/>
                <w:lang w:val="sr-Cyrl-BA"/>
              </w:rPr>
              <w:t>у</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на</w:t>
            </w:r>
            <w:r>
              <w:rPr>
                <w:rFonts w:ascii="Arial" w:eastAsiaTheme="minorHAnsi" w:hAnsi="Arial" w:cs="Arial"/>
                <w:color w:val="000000"/>
                <w:lang w:val="sr-Cyrl-BA"/>
              </w:rPr>
              <w:t>ст</w:t>
            </w:r>
            <w:r w:rsidR="00A56E08">
              <w:rPr>
                <w:rFonts w:ascii="Arial" w:eastAsiaTheme="minorHAnsi" w:hAnsi="Arial" w:cs="Arial"/>
                <w:color w:val="000000"/>
                <w:lang w:val="sr-Cyrl-BA"/>
              </w:rPr>
              <w:t>а</w:t>
            </w:r>
            <w:r>
              <w:rPr>
                <w:rFonts w:ascii="Arial" w:eastAsiaTheme="minorHAnsi" w:hAnsi="Arial" w:cs="Arial"/>
                <w:color w:val="000000"/>
                <w:lang w:val="sr-Cyrl-BA"/>
              </w:rPr>
              <w:t>ву</w:t>
            </w:r>
            <w:r w:rsidR="00892898" w:rsidRPr="00F6340E">
              <w:rPr>
                <w:rFonts w:ascii="Arial" w:eastAsiaTheme="minorHAnsi" w:hAnsi="Arial" w:cs="Arial"/>
                <w:color w:val="000000"/>
                <w:lang w:val="sr-Cyrl-BA"/>
              </w:rPr>
              <w:t xml:space="preserve"> </w:t>
            </w:r>
          </w:p>
          <w:p w14:paraId="7DE92E7E" w14:textId="561285C5" w:rsidR="00892898" w:rsidRPr="00F6340E" w:rsidRDefault="0071360A" w:rsidP="00FB5CB7">
            <w:pPr>
              <w:pStyle w:val="ListParagraph"/>
              <w:numPr>
                <w:ilvl w:val="0"/>
                <w:numId w:val="38"/>
              </w:numPr>
              <w:jc w:val="left"/>
              <w:textAlignment w:val="baseline"/>
              <w:rPr>
                <w:rFonts w:ascii="Arial" w:eastAsiaTheme="minorHAnsi" w:hAnsi="Arial" w:cs="Arial"/>
                <w:color w:val="000000"/>
                <w:lang w:val="sr-Cyrl-BA"/>
              </w:rPr>
            </w:pPr>
            <w:r>
              <w:rPr>
                <w:rFonts w:ascii="Arial" w:hAnsi="Arial" w:cs="Arial"/>
                <w:lang w:val="sr-Cyrl-BA"/>
              </w:rPr>
              <w:t>уврст</w:t>
            </w:r>
            <w:r w:rsidR="00A56E08">
              <w:rPr>
                <w:rFonts w:ascii="Arial" w:hAnsi="Arial" w:cs="Arial"/>
                <w:lang w:val="sr-Cyrl-BA"/>
              </w:rPr>
              <w:t>и</w:t>
            </w:r>
            <w:r>
              <w:rPr>
                <w:rFonts w:ascii="Arial" w:hAnsi="Arial" w:cs="Arial"/>
                <w:lang w:val="sr-Cyrl-BA"/>
              </w:rPr>
              <w:t>т</w:t>
            </w:r>
            <w:r w:rsidR="00A56E08">
              <w:rPr>
                <w:rFonts w:ascii="Arial" w:hAnsi="Arial" w:cs="Arial"/>
                <w:lang w:val="sr-Cyrl-BA"/>
              </w:rPr>
              <w:t>и</w:t>
            </w:r>
            <w:r w:rsidR="00892898" w:rsidRPr="00F6340E">
              <w:rPr>
                <w:rFonts w:ascii="Arial" w:hAnsi="Arial" w:cs="Arial"/>
                <w:lang w:val="sr-Cyrl-BA"/>
              </w:rPr>
              <w:t xml:space="preserve"> </w:t>
            </w:r>
            <w:r w:rsidR="00EE6AA2">
              <w:rPr>
                <w:rFonts w:ascii="Arial" w:hAnsi="Arial" w:cs="Arial"/>
                <w:lang w:val="sr-Cyrl-BA"/>
              </w:rPr>
              <w:t>е</w:t>
            </w:r>
            <w:r w:rsidR="00A56E08">
              <w:rPr>
                <w:rFonts w:ascii="Arial" w:hAnsi="Arial" w:cs="Arial"/>
                <w:lang w:val="sr-Cyrl-BA"/>
              </w:rPr>
              <w:t>л</w:t>
            </w:r>
            <w:r w:rsidR="00EE6AA2">
              <w:rPr>
                <w:rFonts w:ascii="Arial" w:hAnsi="Arial" w:cs="Arial"/>
                <w:lang w:val="sr-Cyrl-BA"/>
              </w:rPr>
              <w:t>е</w:t>
            </w:r>
            <w:r w:rsidR="00A56E08">
              <w:rPr>
                <w:rFonts w:ascii="Arial" w:hAnsi="Arial" w:cs="Arial"/>
                <w:lang w:val="sr-Cyrl-BA"/>
              </w:rPr>
              <w:t>к</w:t>
            </w:r>
            <w:r>
              <w:rPr>
                <w:rFonts w:ascii="Arial" w:hAnsi="Arial" w:cs="Arial"/>
                <w:lang w:val="sr-Cyrl-BA"/>
              </w:rPr>
              <w:t>тр</w:t>
            </w:r>
            <w:r w:rsidR="00A56E08">
              <w:rPr>
                <w:rFonts w:ascii="Arial" w:hAnsi="Arial" w:cs="Arial"/>
                <w:lang w:val="sr-Cyrl-BA"/>
              </w:rPr>
              <w:t>он</w:t>
            </w:r>
            <w:r>
              <w:rPr>
                <w:rFonts w:ascii="Arial" w:hAnsi="Arial" w:cs="Arial"/>
                <w:lang w:val="sr-Cyrl-BA"/>
              </w:rPr>
              <w:t>с</w:t>
            </w:r>
            <w:r w:rsidR="00A56E08">
              <w:rPr>
                <w:rFonts w:ascii="Arial" w:hAnsi="Arial" w:cs="Arial"/>
                <w:lang w:val="sr-Cyrl-BA"/>
              </w:rPr>
              <w:t>ко</w:t>
            </w:r>
            <w:r w:rsidR="00892898" w:rsidRPr="00F6340E">
              <w:rPr>
                <w:rFonts w:ascii="Arial" w:hAnsi="Arial" w:cs="Arial"/>
                <w:lang w:val="sr-Cyrl-BA"/>
              </w:rPr>
              <w:t xml:space="preserve"> </w:t>
            </w:r>
            <w:r>
              <w:rPr>
                <w:rFonts w:ascii="Arial" w:hAnsi="Arial" w:cs="Arial"/>
                <w:lang w:val="sr-Cyrl-BA"/>
              </w:rPr>
              <w:t>в</w:t>
            </w:r>
            <w:r w:rsidR="00A56E08">
              <w:rPr>
                <w:rFonts w:ascii="Arial" w:hAnsi="Arial" w:cs="Arial"/>
                <w:lang w:val="sr-Cyrl-BA"/>
              </w:rPr>
              <w:t>ођ</w:t>
            </w:r>
            <w:r w:rsidR="00EE6AA2">
              <w:rPr>
                <w:rFonts w:ascii="Arial" w:hAnsi="Arial" w:cs="Arial"/>
                <w:lang w:val="sr-Cyrl-BA"/>
              </w:rPr>
              <w:t>е</w:t>
            </w:r>
            <w:r w:rsidR="00A56E08">
              <w:rPr>
                <w:rFonts w:ascii="Arial" w:hAnsi="Arial" w:cs="Arial"/>
                <w:lang w:val="sr-Cyrl-BA"/>
              </w:rPr>
              <w:t>њ</w:t>
            </w:r>
            <w:r w:rsidR="00EE6AA2">
              <w:rPr>
                <w:rFonts w:ascii="Arial" w:hAnsi="Arial" w:cs="Arial"/>
                <w:lang w:val="sr-Cyrl-BA"/>
              </w:rPr>
              <w:t>е</w:t>
            </w:r>
            <w:r w:rsidR="00892898" w:rsidRPr="00F6340E">
              <w:rPr>
                <w:rFonts w:ascii="Arial" w:hAnsi="Arial" w:cs="Arial"/>
                <w:lang w:val="sr-Cyrl-BA"/>
              </w:rPr>
              <w:t xml:space="preserve"> </w:t>
            </w:r>
            <w:r w:rsidR="00EE6AA2">
              <w:rPr>
                <w:rFonts w:ascii="Arial" w:hAnsi="Arial" w:cs="Arial"/>
                <w:lang w:val="sr-Cyrl-BA"/>
              </w:rPr>
              <w:t>е</w:t>
            </w:r>
            <w:r>
              <w:rPr>
                <w:rFonts w:ascii="Arial" w:hAnsi="Arial" w:cs="Arial"/>
                <w:lang w:val="sr-Cyrl-BA"/>
              </w:rPr>
              <w:t>в</w:t>
            </w:r>
            <w:r w:rsidR="00A56E08">
              <w:rPr>
                <w:rFonts w:ascii="Arial" w:hAnsi="Arial" w:cs="Arial"/>
                <w:lang w:val="sr-Cyrl-BA"/>
              </w:rPr>
              <w:t>ид</w:t>
            </w:r>
            <w:r w:rsidR="00EE6AA2">
              <w:rPr>
                <w:rFonts w:ascii="Arial" w:hAnsi="Arial" w:cs="Arial"/>
                <w:lang w:val="sr-Cyrl-BA"/>
              </w:rPr>
              <w:t>е</w:t>
            </w:r>
            <w:r w:rsidR="00A56E08">
              <w:rPr>
                <w:rFonts w:ascii="Arial" w:hAnsi="Arial" w:cs="Arial"/>
                <w:lang w:val="sr-Cyrl-BA"/>
              </w:rPr>
              <w:t>нциј</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док</w:t>
            </w:r>
            <w:r>
              <w:rPr>
                <w:rFonts w:ascii="Arial" w:hAnsi="Arial" w:cs="Arial"/>
                <w:lang w:val="sr-Cyrl-BA"/>
              </w:rPr>
              <w:t>у</w:t>
            </w:r>
            <w:r w:rsidR="00A56E08">
              <w:rPr>
                <w:rFonts w:ascii="Arial" w:hAnsi="Arial" w:cs="Arial"/>
                <w:lang w:val="sr-Cyrl-BA"/>
              </w:rPr>
              <w:t>м</w:t>
            </w:r>
            <w:r w:rsidR="00EE6AA2">
              <w:rPr>
                <w:rFonts w:ascii="Arial" w:hAnsi="Arial" w:cs="Arial"/>
                <w:lang w:val="sr-Cyrl-BA"/>
              </w:rPr>
              <w:t>е</w:t>
            </w:r>
            <w:r w:rsidR="00A56E08">
              <w:rPr>
                <w:rFonts w:ascii="Arial" w:hAnsi="Arial" w:cs="Arial"/>
                <w:lang w:val="sr-Cyrl-BA"/>
              </w:rPr>
              <w:t>н</w:t>
            </w:r>
            <w:r>
              <w:rPr>
                <w:rFonts w:ascii="Arial" w:hAnsi="Arial" w:cs="Arial"/>
                <w:lang w:val="sr-Cyrl-BA"/>
              </w:rPr>
              <w:t>т</w:t>
            </w:r>
            <w:r w:rsidR="00A56E08">
              <w:rPr>
                <w:rFonts w:ascii="Arial" w:hAnsi="Arial" w:cs="Arial"/>
                <w:lang w:val="sr-Cyrl-BA"/>
              </w:rPr>
              <w:t>ациј</w:t>
            </w:r>
            <w:r w:rsidR="00EE6AA2">
              <w:rPr>
                <w:rFonts w:ascii="Arial" w:hAnsi="Arial" w:cs="Arial"/>
                <w:lang w:val="sr-Cyrl-BA"/>
              </w:rPr>
              <w:t>е</w:t>
            </w:r>
          </w:p>
          <w:p w14:paraId="75A99773" w14:textId="58AB11A0" w:rsidR="00892898" w:rsidRPr="00F6340E" w:rsidRDefault="0071360A" w:rsidP="00FB5CB7">
            <w:pPr>
              <w:pStyle w:val="ListParagraph"/>
              <w:numPr>
                <w:ilvl w:val="0"/>
                <w:numId w:val="38"/>
              </w:numPr>
              <w:jc w:val="left"/>
              <w:textAlignment w:val="baseline"/>
              <w:rPr>
                <w:rFonts w:ascii="Arial" w:eastAsiaTheme="minorHAnsi" w:hAnsi="Arial" w:cs="Arial"/>
                <w:color w:val="000000"/>
                <w:lang w:val="sr-Cyrl-BA"/>
              </w:rPr>
            </w:pP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годи</w:t>
            </w:r>
            <w:r>
              <w:rPr>
                <w:rFonts w:ascii="Arial" w:hAnsi="Arial" w:cs="Arial"/>
                <w:lang w:val="sr-Cyrl-BA"/>
              </w:rPr>
              <w:t>ш</w:t>
            </w:r>
            <w:r w:rsidR="00A56E08">
              <w:rPr>
                <w:rFonts w:ascii="Arial" w:hAnsi="Arial" w:cs="Arial"/>
                <w:lang w:val="sr-Cyrl-BA"/>
              </w:rPr>
              <w:t>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ог</w:t>
            </w:r>
            <w:r>
              <w:rPr>
                <w:rFonts w:ascii="Arial" w:hAnsi="Arial" w:cs="Arial"/>
                <w:lang w:val="sr-Cyrl-BA"/>
              </w:rPr>
              <w:t>р</w:t>
            </w:r>
            <w:r w:rsidR="00A56E08">
              <w:rPr>
                <w:rFonts w:ascii="Arial" w:hAnsi="Arial" w:cs="Arial"/>
                <w:lang w:val="sr-Cyrl-BA"/>
              </w:rPr>
              <w:t>ам</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ада</w:t>
            </w:r>
            <w:r w:rsidR="00892898" w:rsidRPr="00F6340E">
              <w:rPr>
                <w:rFonts w:ascii="Arial" w:hAnsi="Arial" w:cs="Arial"/>
                <w:lang w:val="sr-Cyrl-BA"/>
              </w:rPr>
              <w:t xml:space="preserve"> </w:t>
            </w:r>
            <w:r>
              <w:rPr>
                <w:rFonts w:ascii="Arial" w:hAnsi="Arial" w:cs="Arial"/>
                <w:lang w:val="sr-Cyrl-BA"/>
              </w:rPr>
              <w:t>ш</w:t>
            </w:r>
            <w:r w:rsidR="00A56E08">
              <w:rPr>
                <w:rFonts w:ascii="Arial" w:hAnsi="Arial" w:cs="Arial"/>
                <w:lang w:val="sr-Cyrl-BA"/>
              </w:rPr>
              <w:t>кола</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акад</w:t>
            </w:r>
            <w:r w:rsidR="00EE6AA2">
              <w:rPr>
                <w:rFonts w:ascii="Arial" w:hAnsi="Arial" w:cs="Arial"/>
                <w:lang w:val="sr-Cyrl-BA"/>
              </w:rPr>
              <w:t>е</w:t>
            </w:r>
            <w:r w:rsidR="00A56E08">
              <w:rPr>
                <w:rFonts w:ascii="Arial" w:hAnsi="Arial" w:cs="Arial"/>
                <w:lang w:val="sr-Cyrl-BA"/>
              </w:rPr>
              <w:t>м</w:t>
            </w:r>
            <w:r>
              <w:rPr>
                <w:rFonts w:ascii="Arial" w:hAnsi="Arial" w:cs="Arial"/>
                <w:lang w:val="sr-Cyrl-BA"/>
              </w:rPr>
              <w:t>с</w:t>
            </w:r>
            <w:r w:rsidR="00A56E08">
              <w:rPr>
                <w:rFonts w:ascii="Arial" w:hAnsi="Arial" w:cs="Arial"/>
                <w:lang w:val="sr-Cyrl-BA"/>
              </w:rPr>
              <w:t>к</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кал</w:t>
            </w:r>
            <w:r w:rsidR="00EE6AA2">
              <w:rPr>
                <w:rFonts w:ascii="Arial" w:hAnsi="Arial" w:cs="Arial"/>
                <w:lang w:val="sr-Cyrl-BA"/>
              </w:rPr>
              <w:t>е</w:t>
            </w:r>
            <w:r w:rsidR="00A56E08">
              <w:rPr>
                <w:rFonts w:ascii="Arial" w:hAnsi="Arial" w:cs="Arial"/>
                <w:lang w:val="sr-Cyrl-BA"/>
              </w:rPr>
              <w:t>нда</w:t>
            </w:r>
            <w:r>
              <w:rPr>
                <w:rFonts w:ascii="Arial" w:hAnsi="Arial" w:cs="Arial"/>
                <w:lang w:val="sr-Cyrl-BA"/>
              </w:rPr>
              <w:t>р</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уврст</w:t>
            </w:r>
            <w:r w:rsidR="00A56E08">
              <w:rPr>
                <w:rFonts w:ascii="Arial" w:hAnsi="Arial" w:cs="Arial"/>
                <w:lang w:val="sr-Cyrl-BA"/>
              </w:rPr>
              <w:t>и</w:t>
            </w:r>
            <w:r>
              <w:rPr>
                <w:rFonts w:ascii="Arial" w:hAnsi="Arial" w:cs="Arial"/>
                <w:lang w:val="sr-Cyrl-BA"/>
              </w:rPr>
              <w:t>т</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на</w:t>
            </w:r>
            <w:r>
              <w:rPr>
                <w:rFonts w:ascii="Arial" w:hAnsi="Arial" w:cs="Arial"/>
                <w:lang w:val="sr-Cyrl-BA"/>
              </w:rPr>
              <w:t>ст</w:t>
            </w:r>
            <w:r w:rsidR="00A56E08">
              <w:rPr>
                <w:rFonts w:ascii="Arial" w:hAnsi="Arial" w:cs="Arial"/>
                <w:lang w:val="sr-Cyrl-BA"/>
              </w:rPr>
              <w:t>а</w:t>
            </w:r>
            <w:r>
              <w:rPr>
                <w:rFonts w:ascii="Arial" w:hAnsi="Arial" w:cs="Arial"/>
                <w:lang w:val="sr-Cyrl-BA"/>
              </w:rPr>
              <w:t>ву</w:t>
            </w:r>
            <w:r w:rsidR="008424F0" w:rsidRPr="00F6340E">
              <w:rPr>
                <w:rFonts w:ascii="Arial" w:hAnsi="Arial" w:cs="Arial"/>
                <w:lang w:val="sr-Cyrl-BA"/>
              </w:rPr>
              <w:t xml:space="preserve"> </w:t>
            </w:r>
            <w:r>
              <w:rPr>
                <w:rFonts w:ascii="Arial" w:hAnsi="Arial" w:cs="Arial"/>
                <w:lang w:val="sr-Cyrl-BA"/>
              </w:rPr>
              <w:t>пут</w:t>
            </w:r>
            <w:r w:rsidR="00EE6AA2">
              <w:rPr>
                <w:rFonts w:ascii="Arial" w:hAnsi="Arial" w:cs="Arial"/>
                <w:lang w:val="sr-Cyrl-BA"/>
              </w:rPr>
              <w:t>е</w:t>
            </w:r>
            <w:r w:rsidR="00A56E08">
              <w:rPr>
                <w:rFonts w:ascii="Arial" w:hAnsi="Arial" w:cs="Arial"/>
                <w:lang w:val="sr-Cyrl-BA"/>
              </w:rPr>
              <w:t>м</w:t>
            </w:r>
            <w:r w:rsidR="008424F0"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т</w:t>
            </w:r>
            <w:r w:rsidR="00EE6AA2">
              <w:rPr>
                <w:rFonts w:ascii="Arial" w:hAnsi="Arial" w:cs="Arial"/>
                <w:lang w:val="sr-Cyrl-BA"/>
              </w:rPr>
              <w:t>е</w:t>
            </w:r>
            <w:r>
              <w:rPr>
                <w:rFonts w:ascii="Arial" w:hAnsi="Arial" w:cs="Arial"/>
                <w:lang w:val="sr-Cyrl-BA"/>
              </w:rPr>
              <w:t>р</w:t>
            </w:r>
            <w:r w:rsidR="00A56E08">
              <w:rPr>
                <w:rFonts w:ascii="Arial" w:hAnsi="Arial" w:cs="Arial"/>
                <w:lang w:val="sr-Cyrl-BA"/>
              </w:rPr>
              <w:t>н</w:t>
            </w:r>
            <w:r w:rsidR="00EE6AA2">
              <w:rPr>
                <w:rFonts w:ascii="Arial" w:hAnsi="Arial" w:cs="Arial"/>
                <w:lang w:val="sr-Cyrl-BA"/>
              </w:rPr>
              <w:t>е</w:t>
            </w:r>
            <w:r>
              <w:rPr>
                <w:rFonts w:ascii="Arial" w:hAnsi="Arial" w:cs="Arial"/>
                <w:lang w:val="sr-Cyrl-BA"/>
              </w:rPr>
              <w:t>т</w:t>
            </w:r>
            <w:r w:rsidR="00A56E08">
              <w:rPr>
                <w:rFonts w:ascii="Arial" w:hAnsi="Arial" w:cs="Arial"/>
                <w:lang w:val="sr-Cyrl-BA"/>
              </w:rPr>
              <w:t>а</w:t>
            </w:r>
            <w:r w:rsidR="00892898" w:rsidRPr="00F6340E">
              <w:rPr>
                <w:rFonts w:ascii="Arial" w:hAnsi="Arial" w:cs="Arial"/>
                <w:lang w:val="sr-Cyrl-BA"/>
              </w:rPr>
              <w:t xml:space="preserve"> </w:t>
            </w:r>
            <w:r w:rsidR="00A56E08">
              <w:rPr>
                <w:rFonts w:ascii="Arial" w:hAnsi="Arial" w:cs="Arial"/>
                <w:lang w:val="sr-Cyrl-BA"/>
              </w:rPr>
              <w:t>како</w:t>
            </w:r>
            <w:r w:rsidR="00892898" w:rsidRPr="00F6340E">
              <w:rPr>
                <w:rFonts w:ascii="Arial" w:hAnsi="Arial" w:cs="Arial"/>
                <w:lang w:val="sr-Cyrl-BA"/>
              </w:rPr>
              <w:t xml:space="preserve"> </w:t>
            </w:r>
            <w:r w:rsidR="00A56E08">
              <w:rPr>
                <w:rFonts w:ascii="Arial" w:hAnsi="Arial" w:cs="Arial"/>
                <w:lang w:val="sr-Cyrl-BA"/>
              </w:rPr>
              <w:t>би</w:t>
            </w:r>
            <w:r w:rsidR="00892898" w:rsidRPr="00F6340E">
              <w:rPr>
                <w:rFonts w:ascii="Arial" w:hAnsi="Arial" w:cs="Arial"/>
                <w:lang w:val="sr-Cyrl-BA"/>
              </w:rPr>
              <w:t xml:space="preserve"> </w:t>
            </w:r>
            <w:r>
              <w:rPr>
                <w:rFonts w:ascii="Arial" w:hAnsi="Arial" w:cs="Arial"/>
                <w:lang w:val="sr-Cyrl-BA"/>
              </w:rPr>
              <w:t>с</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с</w:t>
            </w:r>
            <w:r w:rsidR="00A56E08">
              <w:rPr>
                <w:rFonts w:ascii="Arial" w:hAnsi="Arial" w:cs="Arial"/>
                <w:lang w:val="sr-Cyrl-BA"/>
              </w:rPr>
              <w:t>иг</w:t>
            </w:r>
            <w:r>
              <w:rPr>
                <w:rFonts w:ascii="Arial" w:hAnsi="Arial" w:cs="Arial"/>
                <w:lang w:val="sr-Cyrl-BA"/>
              </w:rPr>
              <w:t>ур</w:t>
            </w:r>
            <w:r w:rsidR="00A56E08">
              <w:rPr>
                <w:rFonts w:ascii="Arial" w:hAnsi="Arial" w:cs="Arial"/>
                <w:lang w:val="sr-Cyrl-BA"/>
              </w:rPr>
              <w:t>ао</w:t>
            </w:r>
            <w:r w:rsidR="00D46A3E" w:rsidRPr="00F6340E">
              <w:rPr>
                <w:rFonts w:ascii="Arial" w:hAnsi="Arial" w:cs="Arial"/>
                <w:lang w:val="sr-Cyrl-BA"/>
              </w:rPr>
              <w:t xml:space="preserve"> </w:t>
            </w:r>
            <w:r w:rsidR="00A56E08">
              <w:rPr>
                <w:rFonts w:ascii="Arial" w:hAnsi="Arial" w:cs="Arial"/>
                <w:lang w:val="sr-Cyrl-BA"/>
              </w:rPr>
              <w:t>кон</w:t>
            </w:r>
            <w:r>
              <w:rPr>
                <w:rFonts w:ascii="Arial" w:hAnsi="Arial" w:cs="Arial"/>
                <w:lang w:val="sr-Cyrl-BA"/>
              </w:rPr>
              <w:t>т</w:t>
            </w:r>
            <w:r w:rsidR="00A56E08">
              <w:rPr>
                <w:rFonts w:ascii="Arial" w:hAnsi="Arial" w:cs="Arial"/>
                <w:lang w:val="sr-Cyrl-BA"/>
              </w:rPr>
              <w:t>ин</w:t>
            </w:r>
            <w:r>
              <w:rPr>
                <w:rFonts w:ascii="Arial" w:hAnsi="Arial" w:cs="Arial"/>
                <w:lang w:val="sr-Cyrl-BA"/>
              </w:rPr>
              <w:t>у</w:t>
            </w:r>
            <w:r w:rsidR="00A56E08">
              <w:rPr>
                <w:rFonts w:ascii="Arial" w:hAnsi="Arial" w:cs="Arial"/>
                <w:lang w:val="sr-Cyrl-BA"/>
              </w:rPr>
              <w:t>и</w:t>
            </w:r>
            <w:r>
              <w:rPr>
                <w:rFonts w:ascii="Arial" w:hAnsi="Arial" w:cs="Arial"/>
                <w:lang w:val="sr-Cyrl-BA"/>
              </w:rPr>
              <w:t>т</w:t>
            </w:r>
            <w:r w:rsidR="00EE6AA2">
              <w:rPr>
                <w:rFonts w:ascii="Arial" w:hAnsi="Arial" w:cs="Arial"/>
                <w:lang w:val="sr-Cyrl-BA"/>
              </w:rPr>
              <w:t>е</w:t>
            </w:r>
            <w:r>
              <w:rPr>
                <w:rFonts w:ascii="Arial" w:hAnsi="Arial" w:cs="Arial"/>
                <w:lang w:val="sr-Cyrl-BA"/>
              </w:rPr>
              <w:t>т</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уп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би</w:t>
            </w:r>
            <w:r w:rsidR="00892898" w:rsidRPr="00F6340E">
              <w:rPr>
                <w:rFonts w:ascii="Arial" w:hAnsi="Arial" w:cs="Arial"/>
                <w:lang w:val="sr-Cyrl-BA"/>
              </w:rPr>
              <w:t xml:space="preserve"> </w:t>
            </w:r>
            <w:r>
              <w:rPr>
                <w:rFonts w:ascii="Arial" w:hAnsi="Arial" w:cs="Arial"/>
                <w:lang w:val="sr-Cyrl-BA"/>
              </w:rPr>
              <w:t>св</w:t>
            </w:r>
            <w:r w:rsidR="00A56E08">
              <w:rPr>
                <w:rFonts w:ascii="Arial" w:hAnsi="Arial" w:cs="Arial"/>
                <w:lang w:val="sr-Cyrl-BA"/>
              </w:rPr>
              <w:t>их</w:t>
            </w:r>
            <w:r w:rsidR="00892898" w:rsidRPr="00F6340E">
              <w:rPr>
                <w:rFonts w:ascii="Arial" w:hAnsi="Arial" w:cs="Arial"/>
                <w:lang w:val="sr-Cyrl-BA"/>
              </w:rPr>
              <w:t xml:space="preserve"> </w:t>
            </w:r>
            <w:r w:rsidR="00A56E08">
              <w:rPr>
                <w:rFonts w:ascii="Arial" w:hAnsi="Arial" w:cs="Arial"/>
                <w:lang w:val="sr-Cyrl-BA"/>
              </w:rPr>
              <w:t>ала</w:t>
            </w:r>
            <w:r>
              <w:rPr>
                <w:rFonts w:ascii="Arial" w:hAnsi="Arial" w:cs="Arial"/>
                <w:lang w:val="sr-Cyrl-BA"/>
              </w:rPr>
              <w:t>т</w:t>
            </w:r>
            <w:r w:rsidR="00A56E08">
              <w:rPr>
                <w:rFonts w:ascii="Arial" w:hAnsi="Arial" w:cs="Arial"/>
                <w:lang w:val="sr-Cyrl-BA"/>
              </w:rPr>
              <w:t>а</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ла</w:t>
            </w:r>
            <w:r>
              <w:rPr>
                <w:rFonts w:ascii="Arial" w:hAnsi="Arial" w:cs="Arial"/>
                <w:lang w:val="sr-Cyrl-BA"/>
              </w:rPr>
              <w:t>т</w:t>
            </w:r>
            <w:r w:rsidR="00A56E08">
              <w:rPr>
                <w:rFonts w:ascii="Arial" w:hAnsi="Arial" w:cs="Arial"/>
                <w:lang w:val="sr-Cyrl-BA"/>
              </w:rPr>
              <w:t>фо</w:t>
            </w:r>
            <w:r>
              <w:rPr>
                <w:rFonts w:ascii="Arial" w:hAnsi="Arial" w:cs="Arial"/>
                <w:lang w:val="sr-Cyrl-BA"/>
              </w:rPr>
              <w:t>р</w:t>
            </w:r>
            <w:r w:rsidR="00A56E08">
              <w:rPr>
                <w:rFonts w:ascii="Arial" w:hAnsi="Arial" w:cs="Arial"/>
                <w:lang w:val="sr-Cyrl-BA"/>
              </w:rPr>
              <w:t>ми</w:t>
            </w:r>
            <w:r w:rsidR="00D46A3E" w:rsidRPr="00F6340E">
              <w:rPr>
                <w:rFonts w:ascii="Arial" w:hAnsi="Arial" w:cs="Arial"/>
                <w:lang w:val="sr-Cyrl-BA"/>
              </w:rPr>
              <w:t xml:space="preserve"> </w:t>
            </w:r>
            <w:r w:rsidR="00A56E08">
              <w:rPr>
                <w:rFonts w:ascii="Arial" w:hAnsi="Arial" w:cs="Arial"/>
                <w:lang w:val="sr-Cyrl-BA"/>
              </w:rPr>
              <w:t>ИК</w:t>
            </w:r>
            <w:r>
              <w:rPr>
                <w:rFonts w:ascii="Arial" w:hAnsi="Arial" w:cs="Arial"/>
                <w:lang w:val="sr-Cyrl-BA"/>
              </w:rPr>
              <w:t>Т</w:t>
            </w:r>
            <w:r w:rsidR="00D46A3E" w:rsidRPr="00F6340E">
              <w:rPr>
                <w:rFonts w:ascii="Arial" w:hAnsi="Arial" w:cs="Arial"/>
                <w:lang w:val="sr-Cyrl-BA"/>
              </w:rPr>
              <w:t>-</w:t>
            </w:r>
            <w:r w:rsidR="00A56E08">
              <w:rPr>
                <w:rFonts w:ascii="Arial" w:hAnsi="Arial" w:cs="Arial"/>
                <w:lang w:val="sr-Cyrl-BA"/>
              </w:rPr>
              <w:t>а</w:t>
            </w:r>
            <w:r w:rsidR="00892898" w:rsidRPr="00F6340E">
              <w:rPr>
                <w:rFonts w:ascii="Arial" w:hAnsi="Arial" w:cs="Arial"/>
                <w:lang w:val="sr-Cyrl-BA"/>
              </w:rPr>
              <w:t>,</w:t>
            </w:r>
          </w:p>
          <w:p w14:paraId="06240467" w14:textId="1E737DFE" w:rsidR="00892898" w:rsidRPr="00F6340E" w:rsidRDefault="0071360A" w:rsidP="00FB5CB7">
            <w:pPr>
              <w:pStyle w:val="ListParagraph"/>
              <w:numPr>
                <w:ilvl w:val="0"/>
                <w:numId w:val="37"/>
              </w:numPr>
              <w:jc w:val="left"/>
              <w:textAlignment w:val="baseline"/>
              <w:rPr>
                <w:rFonts w:ascii="Arial" w:eastAsiaTheme="minorEastAsia" w:hAnsi="Arial" w:cs="Arial"/>
                <w:b/>
                <w:color w:val="000000"/>
                <w:lang w:val="sr-Cyrl-BA"/>
              </w:rPr>
            </w:pPr>
            <w:r>
              <w:rPr>
                <w:rFonts w:ascii="Arial" w:hAnsi="Arial" w:cs="Arial"/>
                <w:b/>
                <w:lang w:val="sr-Cyrl-BA"/>
              </w:rPr>
              <w:t>Ус</w:t>
            </w:r>
            <w:r w:rsidR="00A56E08">
              <w:rPr>
                <w:rFonts w:ascii="Arial" w:hAnsi="Arial" w:cs="Arial"/>
                <w:b/>
                <w:lang w:val="sr-Cyrl-BA"/>
              </w:rPr>
              <w:t>клади</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п</w:t>
            </w:r>
            <w:r w:rsidR="00EE6AA2">
              <w:rPr>
                <w:rFonts w:ascii="Arial" w:hAnsi="Arial" w:cs="Arial"/>
                <w:b/>
                <w:lang w:val="sr-Cyrl-BA"/>
              </w:rPr>
              <w:t>е</w:t>
            </w:r>
            <w:r w:rsidR="00A56E08">
              <w:rPr>
                <w:rFonts w:ascii="Arial" w:hAnsi="Arial" w:cs="Arial"/>
                <w:b/>
                <w:lang w:val="sr-Cyrl-BA"/>
              </w:rPr>
              <w:t>даго</w:t>
            </w:r>
            <w:r>
              <w:rPr>
                <w:rFonts w:ascii="Arial" w:hAnsi="Arial" w:cs="Arial"/>
                <w:b/>
                <w:lang w:val="sr-Cyrl-BA"/>
              </w:rPr>
              <w:t>ш</w:t>
            </w:r>
            <w:r w:rsidR="00A56E08">
              <w:rPr>
                <w:rFonts w:ascii="Arial" w:hAnsi="Arial" w:cs="Arial"/>
                <w:b/>
                <w:lang w:val="sr-Cyrl-BA"/>
              </w:rPr>
              <w:t>к</w:t>
            </w:r>
            <w:r w:rsidR="00EE6AA2">
              <w:rPr>
                <w:rFonts w:ascii="Arial" w:hAnsi="Arial" w:cs="Arial"/>
                <w:b/>
                <w:lang w:val="sr-Cyrl-BA"/>
              </w:rPr>
              <w:t>е</w:t>
            </w:r>
            <w:r w:rsidR="00C04EC1" w:rsidRPr="00F6340E">
              <w:rPr>
                <w:rFonts w:ascii="Arial" w:hAnsi="Arial" w:cs="Arial"/>
                <w:b/>
                <w:lang w:val="sr-Cyrl-BA"/>
              </w:rPr>
              <w:t xml:space="preserve"> </w:t>
            </w:r>
            <w:r>
              <w:rPr>
                <w:rFonts w:ascii="Arial" w:hAnsi="Arial" w:cs="Arial"/>
                <w:b/>
                <w:lang w:val="sr-Cyrl-BA"/>
              </w:rPr>
              <w:t>ст</w:t>
            </w:r>
            <w:r w:rsidR="00A56E08">
              <w:rPr>
                <w:rFonts w:ascii="Arial" w:hAnsi="Arial" w:cs="Arial"/>
                <w:b/>
                <w:lang w:val="sr-Cyrl-BA"/>
              </w:rPr>
              <w:t>анда</w:t>
            </w:r>
            <w:r>
              <w:rPr>
                <w:rFonts w:ascii="Arial" w:hAnsi="Arial" w:cs="Arial"/>
                <w:b/>
                <w:lang w:val="sr-Cyrl-BA"/>
              </w:rPr>
              <w:t>р</w:t>
            </w:r>
            <w:r w:rsidR="00A56E08">
              <w:rPr>
                <w:rFonts w:ascii="Arial" w:hAnsi="Arial" w:cs="Arial"/>
                <w:b/>
                <w:lang w:val="sr-Cyrl-BA"/>
              </w:rPr>
              <w:t>д</w:t>
            </w:r>
            <w:r w:rsidR="00EE6AA2">
              <w:rPr>
                <w:rFonts w:ascii="Arial" w:hAnsi="Arial" w:cs="Arial"/>
                <w:b/>
                <w:lang w:val="sr-Cyrl-BA"/>
              </w:rPr>
              <w:t>е</w:t>
            </w:r>
            <w:r w:rsidR="00B04FA8">
              <w:rPr>
                <w:rFonts w:ascii="Arial" w:hAnsi="Arial" w:cs="Arial"/>
                <w:b/>
                <w:lang w:val="sr-Cyrl-BA"/>
              </w:rPr>
              <w:t xml:space="preserve"> са </w:t>
            </w:r>
            <w:r w:rsidR="00A56E08">
              <w:rPr>
                <w:rFonts w:ascii="Arial" w:hAnsi="Arial" w:cs="Arial"/>
                <w:b/>
                <w:lang w:val="sr-Cyrl-BA"/>
              </w:rPr>
              <w:t>О</w:t>
            </w:r>
            <w:r>
              <w:rPr>
                <w:rFonts w:ascii="Arial" w:hAnsi="Arial" w:cs="Arial"/>
                <w:b/>
                <w:lang w:val="sr-Cyrl-BA"/>
              </w:rPr>
              <w:t>с</w:t>
            </w:r>
            <w:r w:rsidR="00A56E08">
              <w:rPr>
                <w:rFonts w:ascii="Arial" w:hAnsi="Arial" w:cs="Arial"/>
                <w:b/>
                <w:lang w:val="sr-Cyrl-BA"/>
              </w:rPr>
              <w:t>но</w:t>
            </w:r>
            <w:r>
              <w:rPr>
                <w:rFonts w:ascii="Arial" w:hAnsi="Arial" w:cs="Arial"/>
                <w:b/>
                <w:lang w:val="sr-Cyrl-BA"/>
              </w:rPr>
              <w:t>в</w:t>
            </w:r>
            <w:r w:rsidR="00A56E08">
              <w:rPr>
                <w:rFonts w:ascii="Arial" w:hAnsi="Arial" w:cs="Arial"/>
                <w:b/>
                <w:lang w:val="sr-Cyrl-BA"/>
              </w:rPr>
              <w:t>ним</w:t>
            </w:r>
            <w:r w:rsidR="00D97AD8" w:rsidRPr="00F6340E">
              <w:rPr>
                <w:rFonts w:ascii="Arial" w:hAnsi="Arial" w:cs="Arial"/>
                <w:b/>
                <w:lang w:val="sr-Cyrl-BA"/>
              </w:rPr>
              <w:t xml:space="preserve"> </w:t>
            </w:r>
            <w:r>
              <w:rPr>
                <w:rFonts w:ascii="Arial" w:hAnsi="Arial" w:cs="Arial"/>
                <w:b/>
                <w:lang w:val="sr-Cyrl-BA"/>
              </w:rPr>
              <w:t>т</w:t>
            </w:r>
            <w:r w:rsidR="00EE6AA2">
              <w:rPr>
                <w:rFonts w:ascii="Arial" w:hAnsi="Arial" w:cs="Arial"/>
                <w:b/>
                <w:lang w:val="sr-Cyrl-BA"/>
              </w:rPr>
              <w:t>е</w:t>
            </w:r>
            <w:r w:rsidR="00A56E08">
              <w:rPr>
                <w:rFonts w:ascii="Arial" w:hAnsi="Arial" w:cs="Arial"/>
                <w:b/>
                <w:lang w:val="sr-Cyrl-BA"/>
              </w:rPr>
              <w:t>хничким</w:t>
            </w:r>
            <w:r w:rsidR="00D97AD8" w:rsidRPr="00F6340E">
              <w:rPr>
                <w:rFonts w:ascii="Arial" w:hAnsi="Arial" w:cs="Arial"/>
                <w:b/>
                <w:lang w:val="sr-Cyrl-BA"/>
              </w:rPr>
              <w:t xml:space="preserve"> </w:t>
            </w:r>
            <w:r>
              <w:rPr>
                <w:rFonts w:ascii="Arial" w:hAnsi="Arial" w:cs="Arial"/>
                <w:b/>
                <w:lang w:val="sr-Cyrl-BA"/>
              </w:rPr>
              <w:t>ст</w:t>
            </w:r>
            <w:r w:rsidR="00A56E08">
              <w:rPr>
                <w:rFonts w:ascii="Arial" w:hAnsi="Arial" w:cs="Arial"/>
                <w:b/>
                <w:lang w:val="sr-Cyrl-BA"/>
              </w:rPr>
              <w:t>анда</w:t>
            </w:r>
            <w:r>
              <w:rPr>
                <w:rFonts w:ascii="Arial" w:hAnsi="Arial" w:cs="Arial"/>
                <w:b/>
                <w:lang w:val="sr-Cyrl-BA"/>
              </w:rPr>
              <w:t>р</w:t>
            </w:r>
            <w:r w:rsidR="00A56E08">
              <w:rPr>
                <w:rFonts w:ascii="Arial" w:hAnsi="Arial" w:cs="Arial"/>
                <w:b/>
                <w:lang w:val="sr-Cyrl-BA"/>
              </w:rPr>
              <w:t>дима</w:t>
            </w:r>
            <w:r w:rsidR="00E352FA" w:rsidRPr="00F6340E">
              <w:rPr>
                <w:rStyle w:val="CommentReference"/>
                <w:rFonts w:ascii="Arial" w:hAnsi="Arial" w:cs="Arial"/>
                <w:b/>
                <w:sz w:val="24"/>
                <w:szCs w:val="24"/>
                <w:lang w:val="sr-Cyrl-BA"/>
              </w:rPr>
              <w:t xml:space="preserve"> </w:t>
            </w:r>
            <w:r>
              <w:rPr>
                <w:rStyle w:val="CommentReference"/>
                <w:rFonts w:ascii="Arial" w:hAnsi="Arial" w:cs="Arial"/>
                <w:b/>
                <w:sz w:val="24"/>
                <w:szCs w:val="24"/>
                <w:lang w:val="sr-Cyrl-BA"/>
              </w:rPr>
              <w:t>у</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кон</w:t>
            </w:r>
            <w:r>
              <w:rPr>
                <w:rStyle w:val="CommentReference"/>
                <w:rFonts w:ascii="Arial" w:hAnsi="Arial" w:cs="Arial"/>
                <w:b/>
                <w:sz w:val="24"/>
                <w:szCs w:val="24"/>
                <w:lang w:val="sr-Cyrl-BA"/>
              </w:rPr>
              <w:t>т</w:t>
            </w:r>
            <w:r w:rsidR="00EE6AA2">
              <w:rPr>
                <w:rStyle w:val="CommentReference"/>
                <w:rFonts w:ascii="Arial" w:hAnsi="Arial" w:cs="Arial"/>
                <w:b/>
                <w:sz w:val="24"/>
                <w:szCs w:val="24"/>
                <w:lang w:val="sr-Cyrl-BA"/>
              </w:rPr>
              <w:t>е</w:t>
            </w:r>
            <w:r w:rsidR="00A56E08">
              <w:rPr>
                <w:rStyle w:val="CommentReference"/>
                <w:rFonts w:ascii="Arial" w:hAnsi="Arial" w:cs="Arial"/>
                <w:b/>
                <w:sz w:val="24"/>
                <w:szCs w:val="24"/>
                <w:lang w:val="sr-Cyrl-BA"/>
              </w:rPr>
              <w:t>к</w:t>
            </w:r>
            <w:r>
              <w:rPr>
                <w:rStyle w:val="CommentReference"/>
                <w:rFonts w:ascii="Arial" w:hAnsi="Arial" w:cs="Arial"/>
                <w:b/>
                <w:sz w:val="24"/>
                <w:szCs w:val="24"/>
                <w:lang w:val="sr-Cyrl-BA"/>
              </w:rPr>
              <w:t>сту</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им</w:t>
            </w:r>
            <w:r>
              <w:rPr>
                <w:rStyle w:val="CommentReference"/>
                <w:rFonts w:ascii="Arial" w:hAnsi="Arial" w:cs="Arial"/>
                <w:b/>
                <w:sz w:val="24"/>
                <w:szCs w:val="24"/>
                <w:lang w:val="sr-Cyrl-BA"/>
              </w:rPr>
              <w:t>п</w:t>
            </w:r>
            <w:r w:rsidR="00A56E08">
              <w:rPr>
                <w:rStyle w:val="CommentReference"/>
                <w:rFonts w:ascii="Arial" w:hAnsi="Arial" w:cs="Arial"/>
                <w:b/>
                <w:sz w:val="24"/>
                <w:szCs w:val="24"/>
                <w:lang w:val="sr-Cyrl-BA"/>
              </w:rPr>
              <w:t>л</w:t>
            </w:r>
            <w:r w:rsidR="00EE6AA2">
              <w:rPr>
                <w:rStyle w:val="CommentReference"/>
                <w:rFonts w:ascii="Arial" w:hAnsi="Arial" w:cs="Arial"/>
                <w:b/>
                <w:sz w:val="24"/>
                <w:szCs w:val="24"/>
                <w:lang w:val="sr-Cyrl-BA"/>
              </w:rPr>
              <w:t>е</w:t>
            </w:r>
            <w:r w:rsidR="00A56E08">
              <w:rPr>
                <w:rStyle w:val="CommentReference"/>
                <w:rFonts w:ascii="Arial" w:hAnsi="Arial" w:cs="Arial"/>
                <w:b/>
                <w:sz w:val="24"/>
                <w:szCs w:val="24"/>
                <w:lang w:val="sr-Cyrl-BA"/>
              </w:rPr>
              <w:t>м</w:t>
            </w:r>
            <w:r w:rsidR="00EE6AA2">
              <w:rPr>
                <w:rStyle w:val="CommentReference"/>
                <w:rFonts w:ascii="Arial" w:hAnsi="Arial" w:cs="Arial"/>
                <w:b/>
                <w:sz w:val="24"/>
                <w:szCs w:val="24"/>
                <w:lang w:val="sr-Cyrl-BA"/>
              </w:rPr>
              <w:t>е</w:t>
            </w:r>
            <w:r w:rsidR="00A56E08">
              <w:rPr>
                <w:rStyle w:val="CommentReference"/>
                <w:rFonts w:ascii="Arial" w:hAnsi="Arial" w:cs="Arial"/>
                <w:b/>
                <w:sz w:val="24"/>
                <w:szCs w:val="24"/>
                <w:lang w:val="sr-Cyrl-BA"/>
              </w:rPr>
              <w:t>н</w:t>
            </w:r>
            <w:r>
              <w:rPr>
                <w:rStyle w:val="CommentReference"/>
                <w:rFonts w:ascii="Arial" w:hAnsi="Arial" w:cs="Arial"/>
                <w:b/>
                <w:sz w:val="24"/>
                <w:szCs w:val="24"/>
                <w:lang w:val="sr-Cyrl-BA"/>
              </w:rPr>
              <w:t>т</w:t>
            </w:r>
            <w:r w:rsidR="00A56E08">
              <w:rPr>
                <w:rStyle w:val="CommentReference"/>
                <w:rFonts w:ascii="Arial" w:hAnsi="Arial" w:cs="Arial"/>
                <w:b/>
                <w:sz w:val="24"/>
                <w:szCs w:val="24"/>
                <w:lang w:val="sr-Cyrl-BA"/>
              </w:rPr>
              <w:t>ациј</w:t>
            </w:r>
            <w:r w:rsidR="00EE6AA2">
              <w:rPr>
                <w:rStyle w:val="CommentReference"/>
                <w:rFonts w:ascii="Arial" w:hAnsi="Arial" w:cs="Arial"/>
                <w:b/>
                <w:sz w:val="24"/>
                <w:szCs w:val="24"/>
                <w:lang w:val="sr-Cyrl-BA"/>
              </w:rPr>
              <w:t>е</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на</w:t>
            </w:r>
            <w:r>
              <w:rPr>
                <w:rStyle w:val="CommentReference"/>
                <w:rFonts w:ascii="Arial" w:hAnsi="Arial" w:cs="Arial"/>
                <w:b/>
                <w:sz w:val="24"/>
                <w:szCs w:val="24"/>
                <w:lang w:val="sr-Cyrl-BA"/>
              </w:rPr>
              <w:t>ст</w:t>
            </w:r>
            <w:r w:rsidR="00A56E08">
              <w:rPr>
                <w:rStyle w:val="CommentReference"/>
                <w:rFonts w:ascii="Arial" w:hAnsi="Arial" w:cs="Arial"/>
                <w:b/>
                <w:sz w:val="24"/>
                <w:szCs w:val="24"/>
                <w:lang w:val="sr-Cyrl-BA"/>
              </w:rPr>
              <w:t>а</w:t>
            </w:r>
            <w:r>
              <w:rPr>
                <w:rStyle w:val="CommentReference"/>
                <w:rFonts w:ascii="Arial" w:hAnsi="Arial" w:cs="Arial"/>
                <w:b/>
                <w:sz w:val="24"/>
                <w:szCs w:val="24"/>
                <w:lang w:val="sr-Cyrl-BA"/>
              </w:rPr>
              <w:t>в</w:t>
            </w:r>
            <w:r w:rsidR="00EE6AA2">
              <w:rPr>
                <w:rStyle w:val="CommentReference"/>
                <w:rFonts w:ascii="Arial" w:hAnsi="Arial" w:cs="Arial"/>
                <w:b/>
                <w:sz w:val="24"/>
                <w:szCs w:val="24"/>
                <w:lang w:val="sr-Cyrl-BA"/>
              </w:rPr>
              <w:t>е</w:t>
            </w:r>
            <w:r w:rsidR="008424F0" w:rsidRPr="00F6340E">
              <w:rPr>
                <w:rStyle w:val="CommentReference"/>
                <w:rFonts w:ascii="Arial" w:hAnsi="Arial" w:cs="Arial"/>
                <w:b/>
                <w:sz w:val="24"/>
                <w:szCs w:val="24"/>
                <w:lang w:val="sr-Cyrl-BA"/>
              </w:rPr>
              <w:t xml:space="preserve"> </w:t>
            </w:r>
            <w:r>
              <w:rPr>
                <w:rStyle w:val="CommentReference"/>
                <w:rFonts w:ascii="Arial" w:hAnsi="Arial" w:cs="Arial"/>
                <w:b/>
                <w:sz w:val="24"/>
                <w:szCs w:val="24"/>
                <w:lang w:val="sr-Cyrl-BA"/>
              </w:rPr>
              <w:t>пут</w:t>
            </w:r>
            <w:r w:rsidR="00EE6AA2">
              <w:rPr>
                <w:rStyle w:val="CommentReference"/>
                <w:rFonts w:ascii="Arial" w:hAnsi="Arial" w:cs="Arial"/>
                <w:b/>
                <w:sz w:val="24"/>
                <w:szCs w:val="24"/>
                <w:lang w:val="sr-Cyrl-BA"/>
              </w:rPr>
              <w:t>е</w:t>
            </w:r>
            <w:r w:rsidR="00A56E08">
              <w:rPr>
                <w:rStyle w:val="CommentReference"/>
                <w:rFonts w:ascii="Arial" w:hAnsi="Arial" w:cs="Arial"/>
                <w:b/>
                <w:sz w:val="24"/>
                <w:szCs w:val="24"/>
                <w:lang w:val="sr-Cyrl-BA"/>
              </w:rPr>
              <w:t>м</w:t>
            </w:r>
            <w:r w:rsidR="008424F0"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ин</w:t>
            </w:r>
            <w:r>
              <w:rPr>
                <w:rStyle w:val="CommentReference"/>
                <w:rFonts w:ascii="Arial" w:hAnsi="Arial" w:cs="Arial"/>
                <w:b/>
                <w:sz w:val="24"/>
                <w:szCs w:val="24"/>
                <w:lang w:val="sr-Cyrl-BA"/>
              </w:rPr>
              <w:t>т</w:t>
            </w:r>
            <w:r w:rsidR="00EE6AA2">
              <w:rPr>
                <w:rStyle w:val="CommentReference"/>
                <w:rFonts w:ascii="Arial" w:hAnsi="Arial" w:cs="Arial"/>
                <w:b/>
                <w:sz w:val="24"/>
                <w:szCs w:val="24"/>
                <w:lang w:val="sr-Cyrl-BA"/>
              </w:rPr>
              <w:t>е</w:t>
            </w:r>
            <w:r>
              <w:rPr>
                <w:rStyle w:val="CommentReference"/>
                <w:rFonts w:ascii="Arial" w:hAnsi="Arial" w:cs="Arial"/>
                <w:b/>
                <w:sz w:val="24"/>
                <w:szCs w:val="24"/>
                <w:lang w:val="sr-Cyrl-BA"/>
              </w:rPr>
              <w:t>р</w:t>
            </w:r>
            <w:r w:rsidR="00A56E08">
              <w:rPr>
                <w:rStyle w:val="CommentReference"/>
                <w:rFonts w:ascii="Arial" w:hAnsi="Arial" w:cs="Arial"/>
                <w:b/>
                <w:sz w:val="24"/>
                <w:szCs w:val="24"/>
                <w:lang w:val="sr-Cyrl-BA"/>
              </w:rPr>
              <w:t>н</w:t>
            </w:r>
            <w:r w:rsidR="00EE6AA2">
              <w:rPr>
                <w:rStyle w:val="CommentReference"/>
                <w:rFonts w:ascii="Arial" w:hAnsi="Arial" w:cs="Arial"/>
                <w:b/>
                <w:sz w:val="24"/>
                <w:szCs w:val="24"/>
                <w:lang w:val="sr-Cyrl-BA"/>
              </w:rPr>
              <w:t>е</w:t>
            </w:r>
            <w:r>
              <w:rPr>
                <w:rStyle w:val="CommentReference"/>
                <w:rFonts w:ascii="Arial" w:hAnsi="Arial" w:cs="Arial"/>
                <w:b/>
                <w:sz w:val="24"/>
                <w:szCs w:val="24"/>
                <w:lang w:val="sr-Cyrl-BA"/>
              </w:rPr>
              <w:t>т</w:t>
            </w:r>
            <w:r w:rsidR="00A56E08">
              <w:rPr>
                <w:rStyle w:val="CommentReference"/>
                <w:rFonts w:ascii="Arial" w:hAnsi="Arial" w:cs="Arial"/>
                <w:b/>
                <w:sz w:val="24"/>
                <w:szCs w:val="24"/>
                <w:lang w:val="sr-Cyrl-BA"/>
              </w:rPr>
              <w:t>а</w:t>
            </w:r>
            <w:r w:rsidR="00FC62A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и</w:t>
            </w:r>
            <w:r w:rsidR="00FC62A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комбино</w:t>
            </w:r>
            <w:r>
              <w:rPr>
                <w:rStyle w:val="CommentReference"/>
                <w:rFonts w:ascii="Arial" w:hAnsi="Arial" w:cs="Arial"/>
                <w:b/>
                <w:sz w:val="24"/>
                <w:szCs w:val="24"/>
                <w:lang w:val="sr-Cyrl-BA"/>
              </w:rPr>
              <w:t>в</w:t>
            </w:r>
            <w:r w:rsidR="00A56E08">
              <w:rPr>
                <w:rStyle w:val="CommentReference"/>
                <w:rFonts w:ascii="Arial" w:hAnsi="Arial" w:cs="Arial"/>
                <w:b/>
                <w:sz w:val="24"/>
                <w:szCs w:val="24"/>
                <w:lang w:val="sr-Cyrl-BA"/>
              </w:rPr>
              <w:t>ан</w:t>
            </w:r>
            <w:r w:rsidR="00EE6AA2">
              <w:rPr>
                <w:rStyle w:val="CommentReference"/>
                <w:rFonts w:ascii="Arial" w:hAnsi="Arial" w:cs="Arial"/>
                <w:b/>
                <w:sz w:val="24"/>
                <w:szCs w:val="24"/>
                <w:lang w:val="sr-Cyrl-BA"/>
              </w:rPr>
              <w:t>е</w:t>
            </w:r>
            <w:r w:rsidR="00FC62A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на</w:t>
            </w:r>
            <w:r>
              <w:rPr>
                <w:rStyle w:val="CommentReference"/>
                <w:rFonts w:ascii="Arial" w:hAnsi="Arial" w:cs="Arial"/>
                <w:b/>
                <w:sz w:val="24"/>
                <w:szCs w:val="24"/>
                <w:lang w:val="sr-Cyrl-BA"/>
              </w:rPr>
              <w:t>ст</w:t>
            </w:r>
            <w:r w:rsidR="00A56E08">
              <w:rPr>
                <w:rStyle w:val="CommentReference"/>
                <w:rFonts w:ascii="Arial" w:hAnsi="Arial" w:cs="Arial"/>
                <w:b/>
                <w:sz w:val="24"/>
                <w:szCs w:val="24"/>
                <w:lang w:val="sr-Cyrl-BA"/>
              </w:rPr>
              <w:t>а</w:t>
            </w:r>
            <w:r>
              <w:rPr>
                <w:rStyle w:val="CommentReference"/>
                <w:rFonts w:ascii="Arial" w:hAnsi="Arial" w:cs="Arial"/>
                <w:b/>
                <w:sz w:val="24"/>
                <w:szCs w:val="24"/>
                <w:lang w:val="sr-Cyrl-BA"/>
              </w:rPr>
              <w:t>в</w:t>
            </w:r>
            <w:r w:rsidR="00EE6AA2">
              <w:rPr>
                <w:rStyle w:val="CommentReference"/>
                <w:rFonts w:ascii="Arial" w:hAnsi="Arial" w:cs="Arial"/>
                <w:b/>
                <w:sz w:val="24"/>
                <w:szCs w:val="24"/>
                <w:lang w:val="sr-Cyrl-BA"/>
              </w:rPr>
              <w:t>е</w:t>
            </w:r>
            <w:r w:rsidR="00D46A3E" w:rsidRPr="00F6340E">
              <w:rPr>
                <w:rStyle w:val="CommentReference"/>
                <w:rFonts w:ascii="Arial" w:hAnsi="Arial" w:cs="Arial"/>
                <w:b/>
                <w:sz w:val="24"/>
                <w:szCs w:val="24"/>
                <w:lang w:val="sr-Cyrl-BA"/>
              </w:rPr>
              <w:t>,</w:t>
            </w:r>
            <w:r w:rsidR="00FC62A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а</w:t>
            </w:r>
            <w:r w:rsidR="00FC62A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који</w:t>
            </w:r>
            <w:r w:rsidR="00E352FA" w:rsidRPr="00F6340E">
              <w:rPr>
                <w:rStyle w:val="CommentReference"/>
                <w:rFonts w:ascii="Arial" w:hAnsi="Arial" w:cs="Arial"/>
                <w:b/>
                <w:sz w:val="24"/>
                <w:szCs w:val="24"/>
                <w:lang w:val="sr-Cyrl-BA"/>
              </w:rPr>
              <w:t xml:space="preserve"> </w:t>
            </w:r>
            <w:r>
              <w:rPr>
                <w:rStyle w:val="CommentReference"/>
                <w:rFonts w:ascii="Arial" w:hAnsi="Arial" w:cs="Arial"/>
                <w:b/>
                <w:sz w:val="24"/>
                <w:szCs w:val="24"/>
                <w:lang w:val="sr-Cyrl-BA"/>
              </w:rPr>
              <w:t>с</w:t>
            </w:r>
            <w:r w:rsidR="00EE6AA2">
              <w:rPr>
                <w:rStyle w:val="CommentReference"/>
                <w:rFonts w:ascii="Arial" w:hAnsi="Arial" w:cs="Arial"/>
                <w:b/>
                <w:sz w:val="24"/>
                <w:szCs w:val="24"/>
                <w:lang w:val="sr-Cyrl-BA"/>
              </w:rPr>
              <w:t>е</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одно</w:t>
            </w:r>
            <w:r>
              <w:rPr>
                <w:rStyle w:val="CommentReference"/>
                <w:rFonts w:ascii="Arial" w:hAnsi="Arial" w:cs="Arial"/>
                <w:b/>
                <w:sz w:val="24"/>
                <w:szCs w:val="24"/>
                <w:lang w:val="sr-Cyrl-BA"/>
              </w:rPr>
              <w:t>с</w:t>
            </w:r>
            <w:r w:rsidR="00EE6AA2">
              <w:rPr>
                <w:rStyle w:val="CommentReference"/>
                <w:rFonts w:ascii="Arial" w:hAnsi="Arial" w:cs="Arial"/>
                <w:b/>
                <w:sz w:val="24"/>
                <w:szCs w:val="24"/>
                <w:lang w:val="sr-Cyrl-BA"/>
              </w:rPr>
              <w:t>е</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на</w:t>
            </w:r>
            <w:r w:rsidR="00E352FA"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инф</w:t>
            </w:r>
            <w:r>
              <w:rPr>
                <w:rStyle w:val="CommentReference"/>
                <w:rFonts w:ascii="Arial" w:hAnsi="Arial" w:cs="Arial"/>
                <w:b/>
                <w:sz w:val="24"/>
                <w:szCs w:val="24"/>
                <w:lang w:val="sr-Cyrl-BA"/>
              </w:rPr>
              <w:t>р</w:t>
            </w:r>
            <w:r w:rsidR="00A56E08">
              <w:rPr>
                <w:rStyle w:val="CommentReference"/>
                <w:rFonts w:ascii="Arial" w:hAnsi="Arial" w:cs="Arial"/>
                <w:b/>
                <w:sz w:val="24"/>
                <w:szCs w:val="24"/>
                <w:lang w:val="sr-Cyrl-BA"/>
              </w:rPr>
              <w:t>а</w:t>
            </w:r>
            <w:r>
              <w:rPr>
                <w:rStyle w:val="CommentReference"/>
                <w:rFonts w:ascii="Arial" w:hAnsi="Arial" w:cs="Arial"/>
                <w:b/>
                <w:sz w:val="24"/>
                <w:szCs w:val="24"/>
                <w:lang w:val="sr-Cyrl-BA"/>
              </w:rPr>
              <w:t>стру</w:t>
            </w:r>
            <w:r w:rsidR="00A56E08">
              <w:rPr>
                <w:rStyle w:val="CommentReference"/>
                <w:rFonts w:ascii="Arial" w:hAnsi="Arial" w:cs="Arial"/>
                <w:b/>
                <w:sz w:val="24"/>
                <w:szCs w:val="24"/>
                <w:lang w:val="sr-Cyrl-BA"/>
              </w:rPr>
              <w:t>к</w:t>
            </w:r>
            <w:r>
              <w:rPr>
                <w:rStyle w:val="CommentReference"/>
                <w:rFonts w:ascii="Arial" w:hAnsi="Arial" w:cs="Arial"/>
                <w:b/>
                <w:sz w:val="24"/>
                <w:szCs w:val="24"/>
                <w:lang w:val="sr-Cyrl-BA"/>
              </w:rPr>
              <w:t>туру</w:t>
            </w:r>
            <w:r w:rsidR="0057191F" w:rsidRPr="00F6340E">
              <w:rPr>
                <w:rStyle w:val="CommentReference"/>
                <w:rFonts w:ascii="Arial" w:hAnsi="Arial" w:cs="Arial"/>
                <w:b/>
                <w:sz w:val="24"/>
                <w:szCs w:val="24"/>
                <w:lang w:val="sr-Cyrl-BA"/>
              </w:rPr>
              <w:t xml:space="preserve"> </w:t>
            </w:r>
            <w:r w:rsidR="00171F00">
              <w:rPr>
                <w:rStyle w:val="CommentReference"/>
                <w:rFonts w:ascii="Arial" w:hAnsi="Arial" w:cs="Arial"/>
                <w:b/>
                <w:sz w:val="24"/>
                <w:szCs w:val="24"/>
                <w:lang w:val="sr-Cyrl-BA"/>
              </w:rPr>
              <w:t>з</w:t>
            </w:r>
            <w:r w:rsidR="00A56E08">
              <w:rPr>
                <w:rStyle w:val="CommentReference"/>
                <w:rFonts w:ascii="Arial" w:hAnsi="Arial" w:cs="Arial"/>
                <w:b/>
                <w:sz w:val="24"/>
                <w:szCs w:val="24"/>
                <w:lang w:val="sr-Cyrl-BA"/>
              </w:rPr>
              <w:t>а</w:t>
            </w:r>
            <w:r w:rsidR="00FA763F" w:rsidRPr="00F6340E">
              <w:rPr>
                <w:rStyle w:val="CommentReference"/>
                <w:rFonts w:ascii="Arial" w:hAnsi="Arial" w:cs="Arial"/>
                <w:b/>
                <w:sz w:val="24"/>
                <w:szCs w:val="24"/>
                <w:lang w:val="sr-Cyrl-BA"/>
              </w:rPr>
              <w:t xml:space="preserve"> </w:t>
            </w:r>
            <w:r w:rsidR="00A56E08">
              <w:rPr>
                <w:rStyle w:val="CommentReference"/>
                <w:rFonts w:ascii="Arial" w:hAnsi="Arial" w:cs="Arial"/>
                <w:b/>
                <w:sz w:val="24"/>
                <w:szCs w:val="24"/>
                <w:lang w:val="sr-Cyrl-BA"/>
              </w:rPr>
              <w:t>ИК</w:t>
            </w:r>
            <w:r>
              <w:rPr>
                <w:rStyle w:val="CommentReference"/>
                <w:rFonts w:ascii="Arial" w:hAnsi="Arial" w:cs="Arial"/>
                <w:b/>
                <w:sz w:val="24"/>
                <w:szCs w:val="24"/>
                <w:lang w:val="sr-Cyrl-BA"/>
              </w:rPr>
              <w:t>Т</w:t>
            </w:r>
            <w:r w:rsidR="00892898"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пр</w:t>
            </w:r>
            <w:r w:rsidR="00EE6AA2">
              <w:rPr>
                <w:rFonts w:ascii="Arial" w:hAnsi="Arial" w:cs="Arial"/>
                <w:b/>
                <w:lang w:val="sr-Cyrl-BA"/>
              </w:rPr>
              <w:t>е</w:t>
            </w:r>
            <w:r w:rsidR="00A56E08">
              <w:rPr>
                <w:rFonts w:ascii="Arial" w:hAnsi="Arial" w:cs="Arial"/>
                <w:b/>
                <w:lang w:val="sr-Cyrl-BA"/>
              </w:rPr>
              <w:t>м</w:t>
            </w:r>
            <w:r>
              <w:rPr>
                <w:rFonts w:ascii="Arial" w:hAnsi="Arial" w:cs="Arial"/>
                <w:b/>
                <w:lang w:val="sr-Cyrl-BA"/>
              </w:rPr>
              <w:t>у</w:t>
            </w:r>
            <w:r w:rsidR="00D46A3E"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w:t>
            </w:r>
            <w:r w:rsidR="00D46A3E" w:rsidRPr="00F6340E">
              <w:rPr>
                <w:rFonts w:ascii="Arial" w:hAnsi="Arial" w:cs="Arial"/>
                <w:b/>
                <w:lang w:val="sr-Cyrl-BA"/>
              </w:rPr>
              <w:t xml:space="preserve"> </w:t>
            </w:r>
            <w:r w:rsidR="00A56E08">
              <w:rPr>
                <w:rFonts w:ascii="Arial" w:hAnsi="Arial" w:cs="Arial"/>
                <w:b/>
                <w:lang w:val="sr-Cyrl-BA"/>
              </w:rPr>
              <w:t>ИК</w:t>
            </w:r>
            <w:r>
              <w:rPr>
                <w:rFonts w:ascii="Arial" w:hAnsi="Arial" w:cs="Arial"/>
                <w:b/>
                <w:lang w:val="sr-Cyrl-BA"/>
              </w:rPr>
              <w:t>Т</w:t>
            </w:r>
            <w:r w:rsidR="00892898"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ла</w:t>
            </w:r>
            <w:r>
              <w:rPr>
                <w:rFonts w:ascii="Arial" w:hAnsi="Arial" w:cs="Arial"/>
                <w:b/>
                <w:lang w:val="sr-Cyrl-BA"/>
              </w:rPr>
              <w:t>т</w:t>
            </w:r>
            <w:r w:rsidR="00A56E08">
              <w:rPr>
                <w:rFonts w:ascii="Arial" w:hAnsi="Arial" w:cs="Arial"/>
                <w:b/>
                <w:lang w:val="sr-Cyrl-BA"/>
              </w:rPr>
              <w:t>фо</w:t>
            </w:r>
            <w:r>
              <w:rPr>
                <w:rFonts w:ascii="Arial" w:hAnsi="Arial" w:cs="Arial"/>
                <w:b/>
                <w:lang w:val="sr-Cyrl-BA"/>
              </w:rPr>
              <w:t>р</w:t>
            </w:r>
            <w:r w:rsidR="00A56E08">
              <w:rPr>
                <w:rFonts w:ascii="Arial" w:hAnsi="Arial" w:cs="Arial"/>
                <w:b/>
                <w:lang w:val="sr-Cyrl-BA"/>
              </w:rPr>
              <w:t>м</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ЛМ</w:t>
            </w:r>
            <w:r>
              <w:rPr>
                <w:rFonts w:ascii="Arial" w:hAnsi="Arial" w:cs="Arial"/>
                <w:b/>
                <w:lang w:val="sr-Cyrl-BA"/>
              </w:rPr>
              <w:t>С</w:t>
            </w:r>
            <w:r w:rsidR="00892898" w:rsidRPr="00F6340E">
              <w:rPr>
                <w:rFonts w:ascii="Arial" w:hAnsi="Arial" w:cs="Arial"/>
                <w:b/>
                <w:lang w:val="sr-Cyrl-BA"/>
              </w:rPr>
              <w:t xml:space="preserve">, </w:t>
            </w:r>
            <w:r w:rsidR="00A56E08">
              <w:rPr>
                <w:rFonts w:ascii="Arial" w:hAnsi="Arial" w:cs="Arial"/>
                <w:b/>
                <w:lang w:val="sr-Cyrl-BA"/>
              </w:rPr>
              <w:t>од</w:t>
            </w:r>
            <w:r>
              <w:rPr>
                <w:rFonts w:ascii="Arial" w:hAnsi="Arial" w:cs="Arial"/>
                <w:b/>
                <w:lang w:val="sr-Cyrl-BA"/>
              </w:rPr>
              <w:t>р</w:t>
            </w:r>
            <w:r w:rsidR="00171F00">
              <w:rPr>
                <w:rFonts w:ascii="Arial" w:hAnsi="Arial" w:cs="Arial"/>
                <w:b/>
                <w:lang w:val="sr-Cyrl-BA"/>
              </w:rPr>
              <w:t>ж</w:t>
            </w:r>
            <w:r w:rsidR="00A56E08">
              <w:rPr>
                <w:rFonts w:ascii="Arial" w:hAnsi="Arial" w:cs="Arial"/>
                <w:b/>
                <w:lang w:val="sr-Cyrl-BA"/>
              </w:rPr>
              <w:t>а</w:t>
            </w:r>
            <w:r>
              <w:rPr>
                <w:rFonts w:ascii="Arial" w:hAnsi="Arial" w:cs="Arial"/>
                <w:b/>
                <w:lang w:val="sr-Cyrl-BA"/>
              </w:rPr>
              <w:t>в</w:t>
            </w:r>
            <w:r w:rsidR="00A56E08">
              <w:rPr>
                <w:rFonts w:ascii="Arial" w:hAnsi="Arial" w:cs="Arial"/>
                <w:b/>
                <w:lang w:val="sr-Cyrl-BA"/>
              </w:rPr>
              <w:t>ањ</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пру</w:t>
            </w:r>
            <w:r w:rsidR="00171F00">
              <w:rPr>
                <w:rFonts w:ascii="Arial" w:hAnsi="Arial" w:cs="Arial"/>
                <w:b/>
                <w:lang w:val="sr-Cyrl-BA"/>
              </w:rPr>
              <w:t>ж</w:t>
            </w:r>
            <w:r w:rsidR="00A56E08">
              <w:rPr>
                <w:rFonts w:ascii="Arial" w:hAnsi="Arial" w:cs="Arial"/>
                <w:b/>
                <w:lang w:val="sr-Cyrl-BA"/>
              </w:rPr>
              <w:t>ањ</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од</w:t>
            </w:r>
            <w:r>
              <w:rPr>
                <w:rFonts w:ascii="Arial" w:hAnsi="Arial" w:cs="Arial"/>
                <w:b/>
                <w:lang w:val="sr-Cyrl-BA"/>
              </w:rPr>
              <w:t>рш</w:t>
            </w:r>
            <w:r w:rsidR="00A56E08">
              <w:rPr>
                <w:rFonts w:ascii="Arial" w:hAnsi="Arial" w:cs="Arial"/>
                <w:b/>
                <w:lang w:val="sr-Cyrl-BA"/>
              </w:rPr>
              <w:t>к</w:t>
            </w:r>
            <w:r w:rsidR="00EE6AA2">
              <w:rPr>
                <w:rFonts w:ascii="Arial" w:hAnsi="Arial" w:cs="Arial"/>
                <w:b/>
                <w:lang w:val="sr-Cyrl-BA"/>
              </w:rPr>
              <w:t>е</w:t>
            </w:r>
            <w:r w:rsidR="00892898" w:rsidRPr="00F6340E">
              <w:rPr>
                <w:rFonts w:ascii="Arial" w:hAnsi="Arial" w:cs="Arial"/>
                <w:b/>
                <w:lang w:val="sr-Cyrl-BA"/>
              </w:rPr>
              <w:t xml:space="preserve">, </w:t>
            </w:r>
            <w:r w:rsidR="00EE6AA2">
              <w:rPr>
                <w:rFonts w:ascii="Arial" w:hAnsi="Arial" w:cs="Arial"/>
                <w:b/>
                <w:lang w:val="sr-Cyrl-BA"/>
              </w:rPr>
              <w:t>Е</w:t>
            </w:r>
            <w:r w:rsidR="00892898" w:rsidRPr="00F6340E">
              <w:rPr>
                <w:rFonts w:ascii="Arial" w:hAnsi="Arial" w:cs="Arial"/>
                <w:b/>
                <w:lang w:val="sr-Cyrl-BA"/>
              </w:rPr>
              <w:t>-</w:t>
            </w:r>
            <w:r w:rsidR="00A56E08">
              <w:rPr>
                <w:rFonts w:ascii="Arial" w:hAnsi="Arial" w:cs="Arial"/>
                <w:b/>
                <w:lang w:val="sr-Cyrl-BA"/>
              </w:rPr>
              <w:t>дн</w:t>
            </w:r>
            <w:r w:rsidR="00EE6AA2">
              <w:rPr>
                <w:rFonts w:ascii="Arial" w:hAnsi="Arial" w:cs="Arial"/>
                <w:b/>
                <w:lang w:val="sr-Cyrl-BA"/>
              </w:rPr>
              <w:t>е</w:t>
            </w:r>
            <w:r>
              <w:rPr>
                <w:rFonts w:ascii="Arial" w:hAnsi="Arial" w:cs="Arial"/>
                <w:b/>
                <w:lang w:val="sr-Cyrl-BA"/>
              </w:rPr>
              <w:t>в</w:t>
            </w:r>
            <w:r w:rsidR="00A56E08">
              <w:rPr>
                <w:rFonts w:ascii="Arial" w:hAnsi="Arial" w:cs="Arial"/>
                <w:b/>
                <w:lang w:val="sr-Cyrl-BA"/>
              </w:rPr>
              <w:t>ник</w:t>
            </w:r>
            <w:r w:rsidR="00892898" w:rsidRPr="00F6340E">
              <w:rPr>
                <w:rFonts w:ascii="Arial" w:hAnsi="Arial" w:cs="Arial"/>
                <w:b/>
                <w:lang w:val="sr-Cyrl-BA"/>
              </w:rPr>
              <w:t xml:space="preserve">, </w:t>
            </w:r>
            <w:r w:rsidR="00EE6AA2">
              <w:rPr>
                <w:rFonts w:ascii="Arial" w:hAnsi="Arial" w:cs="Arial"/>
                <w:b/>
                <w:lang w:val="sr-Cyrl-BA"/>
              </w:rPr>
              <w:t>Е</w:t>
            </w:r>
            <w:r w:rsidR="00A56E08">
              <w:rPr>
                <w:rFonts w:ascii="Arial" w:hAnsi="Arial" w:cs="Arial"/>
                <w:b/>
                <w:lang w:val="sr-Cyrl-BA"/>
              </w:rPr>
              <w:t>МИ</w:t>
            </w:r>
            <w:r>
              <w:rPr>
                <w:rFonts w:ascii="Arial" w:hAnsi="Arial" w:cs="Arial"/>
                <w:b/>
                <w:lang w:val="sr-Cyrl-BA"/>
              </w:rPr>
              <w:t>С</w:t>
            </w:r>
            <w:r w:rsidR="00892898" w:rsidRPr="00F6340E">
              <w:rPr>
                <w:rFonts w:ascii="Arial" w:hAnsi="Arial" w:cs="Arial"/>
                <w:b/>
                <w:lang w:val="sr-Cyrl-BA"/>
              </w:rPr>
              <w:t xml:space="preserve"> </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с</w:t>
            </w:r>
            <w:r w:rsidR="00A56E08">
              <w:rPr>
                <w:rFonts w:ascii="Arial" w:hAnsi="Arial" w:cs="Arial"/>
                <w:b/>
                <w:lang w:val="sr-Cyrl-BA"/>
              </w:rPr>
              <w:t>л</w:t>
            </w:r>
            <w:r w:rsidR="00892898" w:rsidRPr="00F6340E">
              <w:rPr>
                <w:rFonts w:ascii="Arial" w:hAnsi="Arial" w:cs="Arial"/>
                <w:b/>
                <w:lang w:val="sr-Cyrl-BA"/>
              </w:rPr>
              <w:t>.)</w:t>
            </w:r>
          </w:p>
          <w:p w14:paraId="2EC98D01" w14:textId="488D4127" w:rsidR="00892898" w:rsidRPr="00F6340E" w:rsidRDefault="00A56E08" w:rsidP="00FB5CB7">
            <w:pPr>
              <w:pStyle w:val="ListParagraph"/>
              <w:numPr>
                <w:ilvl w:val="0"/>
                <w:numId w:val="37"/>
              </w:numPr>
              <w:jc w:val="left"/>
              <w:rPr>
                <w:rFonts w:ascii="Arial" w:eastAsia="Times New Roman" w:hAnsi="Arial" w:cs="Arial"/>
                <w:b/>
                <w:color w:val="000000"/>
                <w:lang w:val="sr-Cyrl-BA"/>
              </w:rPr>
            </w:pPr>
            <w:r>
              <w:rPr>
                <w:rFonts w:ascii="Arial" w:hAnsi="Arial" w:cs="Arial"/>
                <w:b/>
                <w:lang w:val="sr-Cyrl-BA"/>
              </w:rPr>
              <w:t>И</w:t>
            </w:r>
            <w:r w:rsidR="00171F00">
              <w:rPr>
                <w:rFonts w:ascii="Arial" w:hAnsi="Arial" w:cs="Arial"/>
                <w:b/>
                <w:lang w:val="sr-Cyrl-BA"/>
              </w:rPr>
              <w:t>з</w:t>
            </w:r>
            <w:r w:rsidR="0071360A">
              <w:rPr>
                <w:rFonts w:ascii="Arial" w:hAnsi="Arial" w:cs="Arial"/>
                <w:b/>
                <w:lang w:val="sr-Cyrl-BA"/>
              </w:rPr>
              <w:t>р</w:t>
            </w:r>
            <w:r>
              <w:rPr>
                <w:rFonts w:ascii="Arial" w:hAnsi="Arial" w:cs="Arial"/>
                <w:b/>
                <w:lang w:val="sr-Cyrl-BA"/>
              </w:rPr>
              <w:t>ади</w:t>
            </w:r>
            <w:r w:rsidR="0071360A">
              <w:rPr>
                <w:rFonts w:ascii="Arial" w:hAnsi="Arial" w:cs="Arial"/>
                <w:b/>
                <w:lang w:val="sr-Cyrl-BA"/>
              </w:rPr>
              <w:t>т</w:t>
            </w:r>
            <w:r>
              <w:rPr>
                <w:rFonts w:ascii="Arial" w:hAnsi="Arial" w:cs="Arial"/>
                <w:b/>
                <w:lang w:val="sr-Cyrl-BA"/>
              </w:rPr>
              <w:t>и</w:t>
            </w:r>
            <w:r w:rsidR="00892898" w:rsidRPr="00F6340E">
              <w:rPr>
                <w:rFonts w:ascii="Arial" w:hAnsi="Arial" w:cs="Arial"/>
                <w:b/>
                <w:lang w:val="sr-Cyrl-BA"/>
              </w:rPr>
              <w:t xml:space="preserve"> </w:t>
            </w:r>
            <w:r w:rsidR="0071360A">
              <w:rPr>
                <w:rFonts w:ascii="Arial" w:hAnsi="Arial" w:cs="Arial"/>
                <w:b/>
                <w:lang w:val="sr-Cyrl-BA"/>
              </w:rPr>
              <w:t>ст</w:t>
            </w:r>
            <w:r>
              <w:rPr>
                <w:rFonts w:ascii="Arial" w:hAnsi="Arial" w:cs="Arial"/>
                <w:b/>
                <w:lang w:val="sr-Cyrl-BA"/>
              </w:rPr>
              <w:t>анда</w:t>
            </w:r>
            <w:r w:rsidR="0071360A">
              <w:rPr>
                <w:rFonts w:ascii="Arial" w:hAnsi="Arial" w:cs="Arial"/>
                <w:b/>
                <w:lang w:val="sr-Cyrl-BA"/>
              </w:rPr>
              <w:t>р</w:t>
            </w:r>
            <w:r>
              <w:rPr>
                <w:rFonts w:ascii="Arial" w:hAnsi="Arial" w:cs="Arial"/>
                <w:b/>
                <w:lang w:val="sr-Cyrl-BA"/>
              </w:rPr>
              <w:t>д</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к</w:t>
            </w:r>
            <w:r w:rsidR="0071360A">
              <w:rPr>
                <w:rFonts w:ascii="Arial" w:hAnsi="Arial" w:cs="Arial"/>
                <w:b/>
                <w:lang w:val="sr-Cyrl-BA"/>
              </w:rPr>
              <w:t>в</w:t>
            </w:r>
            <w:r>
              <w:rPr>
                <w:rFonts w:ascii="Arial" w:hAnsi="Arial" w:cs="Arial"/>
                <w:b/>
                <w:lang w:val="sr-Cyrl-BA"/>
              </w:rPr>
              <w:t>али</w:t>
            </w:r>
            <w:r w:rsidR="0071360A">
              <w:rPr>
                <w:rFonts w:ascii="Arial" w:hAnsi="Arial" w:cs="Arial"/>
                <w:b/>
                <w:lang w:val="sr-Cyrl-BA"/>
              </w:rPr>
              <w:t>т</w:t>
            </w:r>
            <w:r w:rsidR="00EE6AA2">
              <w:rPr>
                <w:rFonts w:ascii="Arial" w:hAnsi="Arial" w:cs="Arial"/>
                <w:b/>
                <w:lang w:val="sr-Cyrl-BA"/>
              </w:rPr>
              <w:t>е</w:t>
            </w:r>
            <w:r w:rsidR="0071360A">
              <w:rPr>
                <w:rFonts w:ascii="Arial" w:hAnsi="Arial" w:cs="Arial"/>
                <w:b/>
                <w:lang w:val="sr-Cyrl-BA"/>
              </w:rPr>
              <w:t>т</w:t>
            </w:r>
            <w:r>
              <w:rPr>
                <w:rFonts w:ascii="Arial" w:hAnsi="Arial" w:cs="Arial"/>
                <w:b/>
                <w:lang w:val="sr-Cyrl-BA"/>
              </w:rPr>
              <w:t>а</w:t>
            </w:r>
            <w:r w:rsidR="00892898" w:rsidRPr="00F6340E">
              <w:rPr>
                <w:rFonts w:ascii="Arial" w:hAnsi="Arial" w:cs="Arial"/>
                <w:b/>
                <w:lang w:val="sr-Cyrl-BA"/>
              </w:rPr>
              <w:t xml:space="preserve"> </w:t>
            </w:r>
            <w:r>
              <w:rPr>
                <w:rFonts w:ascii="Arial" w:hAnsi="Arial" w:cs="Arial"/>
                <w:b/>
                <w:lang w:val="sr-Cyrl-BA"/>
              </w:rPr>
              <w:t>диги</w:t>
            </w:r>
            <w:r w:rsidR="0071360A">
              <w:rPr>
                <w:rFonts w:ascii="Arial" w:hAnsi="Arial" w:cs="Arial"/>
                <w:b/>
                <w:lang w:val="sr-Cyrl-BA"/>
              </w:rPr>
              <w:t>т</w:t>
            </w:r>
            <w:r>
              <w:rPr>
                <w:rFonts w:ascii="Arial" w:hAnsi="Arial" w:cs="Arial"/>
                <w:b/>
                <w:lang w:val="sr-Cyrl-BA"/>
              </w:rPr>
              <w:t>алних</w:t>
            </w:r>
            <w:r w:rsidR="00892898"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них</w:t>
            </w:r>
            <w:r w:rsidR="00892898" w:rsidRPr="00F6340E">
              <w:rPr>
                <w:rFonts w:ascii="Arial" w:hAnsi="Arial" w:cs="Arial"/>
                <w:b/>
                <w:lang w:val="sr-Cyrl-BA"/>
              </w:rPr>
              <w:t xml:space="preserve"> </w:t>
            </w:r>
            <w:r w:rsidR="0071360A">
              <w:rPr>
                <w:rFonts w:ascii="Arial" w:hAnsi="Arial" w:cs="Arial"/>
                <w:b/>
                <w:lang w:val="sr-Cyrl-BA"/>
              </w:rPr>
              <w:t>с</w:t>
            </w:r>
            <w:r>
              <w:rPr>
                <w:rFonts w:ascii="Arial" w:hAnsi="Arial" w:cs="Arial"/>
                <w:b/>
                <w:lang w:val="sr-Cyrl-BA"/>
              </w:rPr>
              <w:t>ад</w:t>
            </w:r>
            <w:r w:rsidR="0071360A">
              <w:rPr>
                <w:rFonts w:ascii="Arial" w:hAnsi="Arial" w:cs="Arial"/>
                <w:b/>
                <w:lang w:val="sr-Cyrl-BA"/>
              </w:rPr>
              <w:t>р</w:t>
            </w:r>
            <w:r w:rsidR="00171F00">
              <w:rPr>
                <w:rFonts w:ascii="Arial" w:hAnsi="Arial" w:cs="Arial"/>
                <w:b/>
                <w:lang w:val="sr-Cyrl-BA"/>
              </w:rPr>
              <w:t>ж</w:t>
            </w:r>
            <w:r>
              <w:rPr>
                <w:rFonts w:ascii="Arial" w:hAnsi="Arial" w:cs="Arial"/>
                <w:b/>
                <w:lang w:val="sr-Cyrl-BA"/>
              </w:rPr>
              <w:t>аја</w:t>
            </w:r>
            <w:r w:rsidR="00BF261E" w:rsidRPr="00F6340E">
              <w:rPr>
                <w:rFonts w:ascii="Arial" w:hAnsi="Arial" w:cs="Arial"/>
                <w:b/>
                <w:lang w:val="sr-Cyrl-BA"/>
              </w:rPr>
              <w:t xml:space="preserve">, </w:t>
            </w:r>
            <w:r w:rsidR="0071360A">
              <w:rPr>
                <w:rFonts w:ascii="Arial" w:hAnsi="Arial" w:cs="Arial"/>
                <w:b/>
                <w:lang w:val="sr-Cyrl-BA"/>
              </w:rPr>
              <w:t>у</w:t>
            </w:r>
            <w:r>
              <w:rPr>
                <w:rFonts w:ascii="Arial" w:hAnsi="Arial" w:cs="Arial"/>
                <w:b/>
                <w:lang w:val="sr-Cyrl-BA"/>
              </w:rPr>
              <w:t>кљ</w:t>
            </w:r>
            <w:r w:rsidR="0071360A">
              <w:rPr>
                <w:rFonts w:ascii="Arial" w:hAnsi="Arial" w:cs="Arial"/>
                <w:b/>
                <w:lang w:val="sr-Cyrl-BA"/>
              </w:rPr>
              <w:t>у</w:t>
            </w:r>
            <w:r>
              <w:rPr>
                <w:rFonts w:ascii="Arial" w:hAnsi="Arial" w:cs="Arial"/>
                <w:b/>
                <w:lang w:val="sr-Cyrl-BA"/>
              </w:rPr>
              <w:t>ч</w:t>
            </w:r>
            <w:r w:rsidR="0071360A">
              <w:rPr>
                <w:rFonts w:ascii="Arial" w:hAnsi="Arial" w:cs="Arial"/>
                <w:b/>
                <w:lang w:val="sr-Cyrl-BA"/>
              </w:rPr>
              <w:t>у</w:t>
            </w:r>
            <w:r>
              <w:rPr>
                <w:rFonts w:ascii="Arial" w:hAnsi="Arial" w:cs="Arial"/>
                <w:b/>
                <w:lang w:val="sr-Cyrl-BA"/>
              </w:rPr>
              <w:t>ј</w:t>
            </w:r>
            <w:r w:rsidR="0071360A">
              <w:rPr>
                <w:rFonts w:ascii="Arial" w:hAnsi="Arial" w:cs="Arial"/>
                <w:b/>
                <w:lang w:val="sr-Cyrl-BA"/>
              </w:rPr>
              <w:t>у</w:t>
            </w:r>
            <w:r>
              <w:rPr>
                <w:rFonts w:ascii="Arial" w:hAnsi="Arial" w:cs="Arial"/>
                <w:b/>
                <w:lang w:val="sr-Cyrl-BA"/>
              </w:rPr>
              <w:t>ћи</w:t>
            </w:r>
            <w:r w:rsidR="00BF261E" w:rsidRPr="00F6340E">
              <w:rPr>
                <w:rFonts w:ascii="Arial" w:hAnsi="Arial" w:cs="Arial"/>
                <w:b/>
                <w:lang w:val="sr-Cyrl-BA"/>
              </w:rPr>
              <w:t xml:space="preserve"> </w:t>
            </w:r>
            <w:r>
              <w:rPr>
                <w:rFonts w:ascii="Arial" w:hAnsi="Arial" w:cs="Arial"/>
                <w:b/>
                <w:lang w:val="sr-Cyrl-BA"/>
              </w:rPr>
              <w:t>и</w:t>
            </w:r>
            <w:r w:rsidR="00BF261E" w:rsidRPr="00F6340E">
              <w:rPr>
                <w:rFonts w:ascii="Arial" w:hAnsi="Arial" w:cs="Arial"/>
                <w:b/>
                <w:lang w:val="sr-Cyrl-BA"/>
              </w:rPr>
              <w:t xml:space="preserve"> </w:t>
            </w:r>
            <w:r w:rsidR="0071360A">
              <w:rPr>
                <w:rFonts w:ascii="Arial" w:hAnsi="Arial" w:cs="Arial"/>
                <w:b/>
                <w:lang w:val="sr-Cyrl-BA"/>
              </w:rPr>
              <w:t>ст</w:t>
            </w:r>
            <w:r>
              <w:rPr>
                <w:rFonts w:ascii="Arial" w:hAnsi="Arial" w:cs="Arial"/>
                <w:b/>
                <w:lang w:val="sr-Cyrl-BA"/>
              </w:rPr>
              <w:t>анда</w:t>
            </w:r>
            <w:r w:rsidR="0071360A">
              <w:rPr>
                <w:rFonts w:ascii="Arial" w:hAnsi="Arial" w:cs="Arial"/>
                <w:b/>
                <w:lang w:val="sr-Cyrl-BA"/>
              </w:rPr>
              <w:t>р</w:t>
            </w:r>
            <w:r>
              <w:rPr>
                <w:rFonts w:ascii="Arial" w:hAnsi="Arial" w:cs="Arial"/>
                <w:b/>
                <w:lang w:val="sr-Cyrl-BA"/>
              </w:rPr>
              <w:t>д</w:t>
            </w:r>
            <w:r w:rsidR="00EE6AA2">
              <w:rPr>
                <w:rFonts w:ascii="Arial" w:hAnsi="Arial" w:cs="Arial"/>
                <w:b/>
                <w:lang w:val="sr-Cyrl-BA"/>
              </w:rPr>
              <w:t>е</w:t>
            </w:r>
            <w:r w:rsidR="00BF261E" w:rsidRPr="00F6340E">
              <w:rPr>
                <w:rFonts w:ascii="Arial" w:hAnsi="Arial" w:cs="Arial"/>
                <w:b/>
                <w:lang w:val="sr-Cyrl-BA"/>
              </w:rPr>
              <w:t xml:space="preserve"> </w:t>
            </w:r>
            <w:r>
              <w:rPr>
                <w:rFonts w:ascii="Arial" w:hAnsi="Arial" w:cs="Arial"/>
                <w:b/>
                <w:lang w:val="sr-Cyrl-BA"/>
              </w:rPr>
              <w:t>к</w:t>
            </w:r>
            <w:r w:rsidR="0071360A">
              <w:rPr>
                <w:rFonts w:ascii="Arial" w:hAnsi="Arial" w:cs="Arial"/>
                <w:b/>
                <w:lang w:val="sr-Cyrl-BA"/>
              </w:rPr>
              <w:t>в</w:t>
            </w:r>
            <w:r>
              <w:rPr>
                <w:rFonts w:ascii="Arial" w:hAnsi="Arial" w:cs="Arial"/>
                <w:b/>
                <w:lang w:val="sr-Cyrl-BA"/>
              </w:rPr>
              <w:t>али</w:t>
            </w:r>
            <w:r w:rsidR="0071360A">
              <w:rPr>
                <w:rFonts w:ascii="Arial" w:hAnsi="Arial" w:cs="Arial"/>
                <w:b/>
                <w:lang w:val="sr-Cyrl-BA"/>
              </w:rPr>
              <w:t>т</w:t>
            </w:r>
            <w:r w:rsidR="00EE6AA2">
              <w:rPr>
                <w:rFonts w:ascii="Arial" w:hAnsi="Arial" w:cs="Arial"/>
                <w:b/>
                <w:lang w:val="sr-Cyrl-BA"/>
              </w:rPr>
              <w:t>е</w:t>
            </w:r>
            <w:r w:rsidR="0071360A">
              <w:rPr>
                <w:rFonts w:ascii="Arial" w:hAnsi="Arial" w:cs="Arial"/>
                <w:b/>
                <w:lang w:val="sr-Cyrl-BA"/>
              </w:rPr>
              <w:t>т</w:t>
            </w:r>
            <w:r>
              <w:rPr>
                <w:rFonts w:ascii="Arial" w:hAnsi="Arial" w:cs="Arial"/>
                <w:b/>
                <w:lang w:val="sr-Cyrl-BA"/>
              </w:rPr>
              <w:t>а</w:t>
            </w:r>
            <w:r w:rsidR="00BF261E" w:rsidRPr="00F6340E">
              <w:rPr>
                <w:rFonts w:ascii="Arial" w:hAnsi="Arial" w:cs="Arial"/>
                <w:b/>
                <w:lang w:val="sr-Cyrl-BA"/>
              </w:rPr>
              <w:t xml:space="preserve"> </w:t>
            </w:r>
            <w:r>
              <w:rPr>
                <w:rFonts w:ascii="Arial" w:hAnsi="Arial" w:cs="Arial"/>
                <w:b/>
                <w:lang w:val="sr-Cyrl-BA"/>
              </w:rPr>
              <w:t>диги</w:t>
            </w:r>
            <w:r w:rsidR="0071360A">
              <w:rPr>
                <w:rFonts w:ascii="Arial" w:hAnsi="Arial" w:cs="Arial"/>
                <w:b/>
                <w:lang w:val="sr-Cyrl-BA"/>
              </w:rPr>
              <w:t>т</w:t>
            </w:r>
            <w:r>
              <w:rPr>
                <w:rFonts w:ascii="Arial" w:hAnsi="Arial" w:cs="Arial"/>
                <w:b/>
                <w:lang w:val="sr-Cyrl-BA"/>
              </w:rPr>
              <w:t>алних</w:t>
            </w:r>
            <w:r w:rsidR="00BF261E" w:rsidRPr="00F6340E">
              <w:rPr>
                <w:rFonts w:ascii="Arial" w:hAnsi="Arial" w:cs="Arial"/>
                <w:b/>
                <w:lang w:val="sr-Cyrl-BA"/>
              </w:rPr>
              <w:t xml:space="preserve"> </w:t>
            </w:r>
            <w:r w:rsidR="0071360A">
              <w:rPr>
                <w:rFonts w:ascii="Arial" w:hAnsi="Arial" w:cs="Arial"/>
                <w:b/>
                <w:lang w:val="sr-Cyrl-BA"/>
              </w:rPr>
              <w:t>у</w:t>
            </w:r>
            <w:r>
              <w:rPr>
                <w:rFonts w:ascii="Arial" w:hAnsi="Arial" w:cs="Arial"/>
                <w:b/>
                <w:lang w:val="sr-Cyrl-BA"/>
              </w:rPr>
              <w:t>џб</w:t>
            </w:r>
            <w:r w:rsidR="00EE6AA2">
              <w:rPr>
                <w:rFonts w:ascii="Arial" w:hAnsi="Arial" w:cs="Arial"/>
                <w:b/>
                <w:lang w:val="sr-Cyrl-BA"/>
              </w:rPr>
              <w:t>е</w:t>
            </w:r>
            <w:r>
              <w:rPr>
                <w:rFonts w:ascii="Arial" w:hAnsi="Arial" w:cs="Arial"/>
                <w:b/>
                <w:lang w:val="sr-Cyrl-BA"/>
              </w:rPr>
              <w:t>ника</w:t>
            </w:r>
            <w:r w:rsidR="00892898" w:rsidRPr="00F6340E">
              <w:rPr>
                <w:rFonts w:ascii="Arial" w:hAnsi="Arial" w:cs="Arial"/>
                <w:b/>
                <w:lang w:val="sr-Cyrl-BA"/>
              </w:rPr>
              <w:t xml:space="preserve">, </w:t>
            </w:r>
            <w:r>
              <w:rPr>
                <w:rFonts w:ascii="Arial" w:hAnsi="Arial" w:cs="Arial"/>
                <w:b/>
                <w:lang w:val="sr-Cyrl-BA"/>
              </w:rPr>
              <w:t>к</w:t>
            </w:r>
            <w:r w:rsidR="0071360A">
              <w:rPr>
                <w:rFonts w:ascii="Arial" w:hAnsi="Arial" w:cs="Arial"/>
                <w:b/>
                <w:lang w:val="sr-Cyrl-BA"/>
              </w:rPr>
              <w:t>р</w:t>
            </w:r>
            <w:r w:rsidR="00EE6AA2">
              <w:rPr>
                <w:rFonts w:ascii="Arial" w:hAnsi="Arial" w:cs="Arial"/>
                <w:b/>
                <w:lang w:val="sr-Cyrl-BA"/>
              </w:rPr>
              <w:t>е</w:t>
            </w:r>
            <w:r>
              <w:rPr>
                <w:rFonts w:ascii="Arial" w:hAnsi="Arial" w:cs="Arial"/>
                <w:b/>
                <w:lang w:val="sr-Cyrl-BA"/>
              </w:rPr>
              <w:t>и</w:t>
            </w:r>
            <w:r w:rsidR="0071360A">
              <w:rPr>
                <w:rFonts w:ascii="Arial" w:hAnsi="Arial" w:cs="Arial"/>
                <w:b/>
                <w:lang w:val="sr-Cyrl-BA"/>
              </w:rPr>
              <w:t>р</w:t>
            </w:r>
            <w:r>
              <w:rPr>
                <w:rFonts w:ascii="Arial" w:hAnsi="Arial" w:cs="Arial"/>
                <w:b/>
                <w:lang w:val="sr-Cyrl-BA"/>
              </w:rPr>
              <w:t>а</w:t>
            </w:r>
            <w:r w:rsidR="0071360A">
              <w:rPr>
                <w:rFonts w:ascii="Arial" w:hAnsi="Arial" w:cs="Arial"/>
                <w:b/>
                <w:lang w:val="sr-Cyrl-BA"/>
              </w:rPr>
              <w:t>т</w:t>
            </w:r>
            <w:r>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диги</w:t>
            </w:r>
            <w:r w:rsidR="0071360A">
              <w:rPr>
                <w:rFonts w:ascii="Arial" w:hAnsi="Arial" w:cs="Arial"/>
                <w:b/>
                <w:lang w:val="sr-Cyrl-BA"/>
              </w:rPr>
              <w:t>т</w:t>
            </w:r>
            <w:r>
              <w:rPr>
                <w:rFonts w:ascii="Arial" w:hAnsi="Arial" w:cs="Arial"/>
                <w:b/>
                <w:lang w:val="sr-Cyrl-BA"/>
              </w:rPr>
              <w:t>алн</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н</w:t>
            </w:r>
            <w:r w:rsidR="00EE6AA2">
              <w:rPr>
                <w:rFonts w:ascii="Arial" w:hAnsi="Arial" w:cs="Arial"/>
                <w:b/>
                <w:lang w:val="sr-Cyrl-BA"/>
              </w:rPr>
              <w:t>е</w:t>
            </w:r>
            <w:r w:rsidR="00892898" w:rsidRPr="00F6340E">
              <w:rPr>
                <w:rFonts w:ascii="Arial" w:hAnsi="Arial" w:cs="Arial"/>
                <w:b/>
                <w:lang w:val="sr-Cyrl-BA"/>
              </w:rPr>
              <w:t xml:space="preserve"> </w:t>
            </w:r>
            <w:r w:rsidR="0071360A">
              <w:rPr>
                <w:rFonts w:ascii="Arial" w:hAnsi="Arial" w:cs="Arial"/>
                <w:b/>
                <w:lang w:val="sr-Cyrl-BA"/>
              </w:rPr>
              <w:t>с</w:t>
            </w:r>
            <w:r>
              <w:rPr>
                <w:rFonts w:ascii="Arial" w:hAnsi="Arial" w:cs="Arial"/>
                <w:b/>
                <w:lang w:val="sr-Cyrl-BA"/>
              </w:rPr>
              <w:t>ад</w:t>
            </w:r>
            <w:r w:rsidR="0071360A">
              <w:rPr>
                <w:rFonts w:ascii="Arial" w:hAnsi="Arial" w:cs="Arial"/>
                <w:b/>
                <w:lang w:val="sr-Cyrl-BA"/>
              </w:rPr>
              <w:t>р</w:t>
            </w:r>
            <w:r w:rsidR="00171F00">
              <w:rPr>
                <w:rFonts w:ascii="Arial" w:hAnsi="Arial" w:cs="Arial"/>
                <w:b/>
                <w:lang w:val="sr-Cyrl-BA"/>
              </w:rPr>
              <w:t>ж</w:t>
            </w:r>
            <w:r>
              <w:rPr>
                <w:rFonts w:ascii="Arial" w:hAnsi="Arial" w:cs="Arial"/>
                <w:b/>
                <w:lang w:val="sr-Cyrl-BA"/>
              </w:rPr>
              <w:t>ај</w:t>
            </w:r>
            <w:r w:rsidR="00EE6AA2">
              <w:rPr>
                <w:rFonts w:ascii="Arial" w:hAnsi="Arial" w:cs="Arial"/>
                <w:b/>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чини</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их</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до</w:t>
            </w:r>
            <w:r w:rsidR="0071360A">
              <w:rPr>
                <w:rFonts w:ascii="Arial" w:eastAsia="Times New Roman" w:hAnsi="Arial" w:cs="Arial"/>
                <w:b/>
                <w:color w:val="000000"/>
                <w:lang w:val="sr-Cyrl-BA"/>
              </w:rPr>
              <w:t>ступ</w:t>
            </w:r>
            <w:r>
              <w:rPr>
                <w:rFonts w:ascii="Arial" w:eastAsia="Times New Roman" w:hAnsi="Arial" w:cs="Arial"/>
                <w:b/>
                <w:color w:val="000000"/>
                <w:lang w:val="sr-Cyrl-BA"/>
              </w:rPr>
              <w:t>нима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w:t>
            </w:r>
            <w:r w:rsidR="00EE6AA2">
              <w:rPr>
                <w:rFonts w:ascii="Arial" w:eastAsia="Times New Roman" w:hAnsi="Arial" w:cs="Arial"/>
                <w:b/>
                <w:color w:val="000000"/>
                <w:lang w:val="sr-Cyrl-BA"/>
              </w:rPr>
              <w:t>е</w:t>
            </w:r>
            <w:r>
              <w:rPr>
                <w:rFonts w:ascii="Arial" w:eastAsia="Times New Roman" w:hAnsi="Arial" w:cs="Arial"/>
                <w:b/>
                <w:color w:val="000000"/>
                <w:lang w:val="sr-Cyrl-BA"/>
              </w:rPr>
              <w:t>ницима</w:t>
            </w:r>
            <w:r w:rsidR="00892898" w:rsidRPr="00F6340E">
              <w:rPr>
                <w:rFonts w:ascii="Arial" w:eastAsia="Times New Roman" w:hAnsi="Arial" w:cs="Arial"/>
                <w:b/>
                <w:color w:val="000000"/>
                <w:lang w:val="sr-Cyrl-BA"/>
              </w:rPr>
              <w:t>/</w:t>
            </w:r>
            <w:r w:rsidR="0071360A">
              <w:rPr>
                <w:rFonts w:ascii="Arial" w:eastAsia="Times New Roman" w:hAnsi="Arial" w:cs="Arial"/>
                <w:b/>
                <w:color w:val="000000"/>
                <w:lang w:val="sr-Cyrl-BA"/>
              </w:rPr>
              <w:t>сту</w:t>
            </w:r>
            <w:r>
              <w:rPr>
                <w:rFonts w:ascii="Arial" w:eastAsia="Times New Roman" w:hAnsi="Arial" w:cs="Arial"/>
                <w:b/>
                <w:color w:val="000000"/>
                <w:lang w:val="sr-Cyrl-BA"/>
              </w:rPr>
              <w:t>д</w:t>
            </w:r>
            <w:r w:rsidR="00EE6AA2">
              <w:rPr>
                <w:rFonts w:ascii="Arial" w:eastAsia="Times New Roman" w:hAnsi="Arial" w:cs="Arial"/>
                <w:b/>
                <w:color w:val="000000"/>
                <w:lang w:val="sr-Cyrl-BA"/>
              </w:rPr>
              <w:t>е</w:t>
            </w:r>
            <w:r>
              <w:rPr>
                <w:rFonts w:ascii="Arial" w:eastAsia="Times New Roman" w:hAnsi="Arial" w:cs="Arial"/>
                <w:b/>
                <w:color w:val="000000"/>
                <w:lang w:val="sr-Cyrl-BA"/>
              </w:rPr>
              <w:t>н</w:t>
            </w:r>
            <w:r w:rsidR="0071360A">
              <w:rPr>
                <w:rFonts w:ascii="Arial" w:eastAsia="Times New Roman" w:hAnsi="Arial" w:cs="Arial"/>
                <w:b/>
                <w:color w:val="000000"/>
                <w:lang w:val="sr-Cyrl-BA"/>
              </w:rPr>
              <w:t>т</w:t>
            </w:r>
            <w:r>
              <w:rPr>
                <w:rFonts w:ascii="Arial" w:eastAsia="Times New Roman" w:hAnsi="Arial" w:cs="Arial"/>
                <w:b/>
                <w:color w:val="000000"/>
                <w:lang w:val="sr-Cyrl-BA"/>
              </w:rPr>
              <w:t>има</w:t>
            </w:r>
            <w:r w:rsidR="00892898" w:rsidRPr="00F6340E">
              <w:rPr>
                <w:rFonts w:ascii="Arial" w:eastAsia="Times New Roman" w:hAnsi="Arial" w:cs="Arial"/>
                <w:b/>
                <w:color w:val="000000"/>
                <w:lang w:val="sr-Cyrl-BA"/>
              </w:rPr>
              <w:t xml:space="preserve"> </w:t>
            </w:r>
          </w:p>
          <w:p w14:paraId="053331F0" w14:textId="43690040" w:rsidR="00892898" w:rsidRPr="00F6340E" w:rsidRDefault="00A56E08" w:rsidP="00FB5CB7">
            <w:pPr>
              <w:ind w:left="360"/>
              <w:contextualSpacing/>
              <w:jc w:val="left"/>
              <w:rPr>
                <w:rFonts w:ascii="Arial" w:eastAsia="Times New Roman" w:hAnsi="Arial" w:cs="Arial"/>
                <w:color w:val="000000"/>
                <w:lang w:val="sr-Cyrl-BA"/>
              </w:rPr>
            </w:pPr>
            <w:r>
              <w:rPr>
                <w:rFonts w:ascii="Arial" w:eastAsia="Times New Roman" w:hAnsi="Arial" w:cs="Arial"/>
                <w:color w:val="000000"/>
                <w:lang w:val="sr-Cyrl-BA"/>
              </w:rPr>
              <w:t>До</w:t>
            </w:r>
            <w:r w:rsidR="0071360A">
              <w:rPr>
                <w:rFonts w:ascii="Arial" w:eastAsia="Times New Roman" w:hAnsi="Arial" w:cs="Arial"/>
                <w:color w:val="000000"/>
                <w:lang w:val="sr-Cyrl-BA"/>
              </w:rPr>
              <w:t>ступ</w:t>
            </w:r>
            <w:r>
              <w:rPr>
                <w:rFonts w:ascii="Arial" w:eastAsia="Times New Roman" w:hAnsi="Arial" w:cs="Arial"/>
                <w:color w:val="000000"/>
                <w:lang w:val="sr-Cyrl-BA"/>
              </w:rPr>
              <w:t>но</w:t>
            </w:r>
            <w:r w:rsidR="0071360A">
              <w:rPr>
                <w:rFonts w:ascii="Arial" w:eastAsia="Times New Roman" w:hAnsi="Arial" w:cs="Arial"/>
                <w:color w:val="000000"/>
                <w:lang w:val="sr-Cyrl-BA"/>
              </w:rPr>
              <w:t>ст</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ног</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ад</w:t>
            </w:r>
            <w:r w:rsidR="0071360A">
              <w:rPr>
                <w:rFonts w:ascii="Arial" w:eastAsia="Times New Roman" w:hAnsi="Arial" w:cs="Arial"/>
                <w:color w:val="000000"/>
                <w:lang w:val="sr-Cyrl-BA"/>
              </w:rPr>
              <w:t>р</w:t>
            </w:r>
            <w:r w:rsidR="00171F00">
              <w:rPr>
                <w:rFonts w:ascii="Arial" w:eastAsia="Times New Roman" w:hAnsi="Arial" w:cs="Arial"/>
                <w:color w:val="000000"/>
                <w:lang w:val="sr-Cyrl-BA"/>
              </w:rPr>
              <w:t>ж</w:t>
            </w:r>
            <w:r>
              <w:rPr>
                <w:rFonts w:ascii="Arial" w:eastAsia="Times New Roman" w:hAnsi="Arial" w:cs="Arial"/>
                <w:color w:val="000000"/>
                <w:lang w:val="sr-Cyrl-BA"/>
              </w:rPr>
              <w:t>аја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Pr>
                <w:rFonts w:ascii="Arial" w:eastAsia="Times New Roman" w:hAnsi="Arial" w:cs="Arial"/>
                <w:color w:val="000000"/>
                <w:lang w:val="sr-Cyrl-BA"/>
              </w:rPr>
              <w:t>л</w:t>
            </w:r>
            <w:r w:rsidR="00EE6AA2">
              <w:rPr>
                <w:rFonts w:ascii="Arial" w:eastAsia="Times New Roman" w:hAnsi="Arial" w:cs="Arial"/>
                <w:color w:val="000000"/>
                <w:lang w:val="sr-Cyrl-BA"/>
              </w:rPr>
              <w:t>е</w:t>
            </w:r>
            <w:r>
              <w:rPr>
                <w:rFonts w:ascii="Arial" w:eastAsia="Times New Roman" w:hAnsi="Arial" w:cs="Arial"/>
                <w:color w:val="000000"/>
                <w:lang w:val="sr-Cyrl-BA"/>
              </w:rPr>
              <w:t>к</w:t>
            </w:r>
            <w:r w:rsidR="0071360A">
              <w:rPr>
                <w:rFonts w:ascii="Arial" w:eastAsia="Times New Roman" w:hAnsi="Arial" w:cs="Arial"/>
                <w:color w:val="000000"/>
                <w:lang w:val="sr-Cyrl-BA"/>
              </w:rPr>
              <w:t>тр</w:t>
            </w:r>
            <w:r>
              <w:rPr>
                <w:rFonts w:ascii="Arial" w:eastAsia="Times New Roman" w:hAnsi="Arial" w:cs="Arial"/>
                <w:color w:val="000000"/>
                <w:lang w:val="sr-Cyrl-BA"/>
              </w:rPr>
              <w:t>он</w:t>
            </w:r>
            <w:r w:rsidR="0071360A">
              <w:rPr>
                <w:rFonts w:ascii="Arial" w:eastAsia="Times New Roman" w:hAnsi="Arial" w:cs="Arial"/>
                <w:color w:val="000000"/>
                <w:lang w:val="sr-Cyrl-BA"/>
              </w:rPr>
              <w:t>с</w:t>
            </w:r>
            <w:r>
              <w:rPr>
                <w:rFonts w:ascii="Arial" w:eastAsia="Times New Roman" w:hAnsi="Arial" w:cs="Arial"/>
                <w:color w:val="000000"/>
                <w:lang w:val="sr-Cyrl-BA"/>
              </w:rPr>
              <w:t>ком</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фо</w:t>
            </w:r>
            <w:r w:rsidR="0071360A">
              <w:rPr>
                <w:rFonts w:ascii="Arial" w:eastAsia="Times New Roman" w:hAnsi="Arial" w:cs="Arial"/>
                <w:color w:val="000000"/>
                <w:lang w:val="sr-Cyrl-BA"/>
              </w:rPr>
              <w:t>р</w:t>
            </w:r>
            <w:r>
              <w:rPr>
                <w:rFonts w:ascii="Arial" w:eastAsia="Times New Roman" w:hAnsi="Arial" w:cs="Arial"/>
                <w:color w:val="000000"/>
                <w:lang w:val="sr-Cyrl-BA"/>
              </w:rPr>
              <w:t>ма</w:t>
            </w:r>
            <w:r w:rsidR="0071360A">
              <w:rPr>
                <w:rFonts w:ascii="Arial" w:eastAsia="Times New Roman" w:hAnsi="Arial" w:cs="Arial"/>
                <w:color w:val="000000"/>
                <w:lang w:val="sr-Cyrl-BA"/>
              </w:rPr>
              <w:t>ту</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ств</w:t>
            </w:r>
            <w:r>
              <w:rPr>
                <w:rFonts w:ascii="Arial" w:eastAsia="Times New Roman" w:hAnsi="Arial" w:cs="Arial"/>
                <w:color w:val="000000"/>
                <w:lang w:val="sr-Cyrl-BA"/>
              </w:rPr>
              <w:t>а</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в</w:t>
            </w:r>
            <w:r w:rsidR="00EE6AA2">
              <w:rPr>
                <w:rFonts w:ascii="Arial" w:eastAsia="Times New Roman" w:hAnsi="Arial" w:cs="Arial"/>
                <w:color w:val="000000"/>
                <w:lang w:val="sr-Cyrl-BA"/>
              </w:rPr>
              <w:t>е</w:t>
            </w:r>
            <w:r>
              <w:rPr>
                <w:rFonts w:ascii="Arial" w:eastAsia="Times New Roman" w:hAnsi="Arial" w:cs="Arial"/>
                <w:color w:val="000000"/>
                <w:lang w:val="sr-Cyrl-BA"/>
              </w:rPr>
              <w:t>ћ</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мог</w:t>
            </w:r>
            <w:r w:rsidR="0071360A">
              <w:rPr>
                <w:rFonts w:ascii="Arial" w:eastAsia="Times New Roman" w:hAnsi="Arial" w:cs="Arial"/>
                <w:color w:val="000000"/>
                <w:lang w:val="sr-Cyrl-BA"/>
              </w:rPr>
              <w:t>у</w:t>
            </w:r>
            <w:r>
              <w:rPr>
                <w:rFonts w:ascii="Arial" w:eastAsia="Times New Roman" w:hAnsi="Arial" w:cs="Arial"/>
                <w:color w:val="000000"/>
                <w:lang w:val="sr-Cyrl-BA"/>
              </w:rPr>
              <w:t>ћно</w:t>
            </w:r>
            <w:r w:rsidR="0071360A">
              <w:rPr>
                <w:rFonts w:ascii="Arial" w:eastAsia="Times New Roman" w:hAnsi="Arial" w:cs="Arial"/>
                <w:color w:val="000000"/>
                <w:lang w:val="sr-Cyrl-BA"/>
              </w:rPr>
              <w:t>ст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ња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од</w:t>
            </w:r>
            <w:r w:rsidR="0071360A">
              <w:rPr>
                <w:rFonts w:ascii="Arial" w:eastAsia="Times New Roman" w:hAnsi="Arial" w:cs="Arial"/>
                <w:color w:val="000000"/>
                <w:lang w:val="sr-Cyrl-BA"/>
              </w:rPr>
              <w:t>у</w:t>
            </w:r>
            <w:r>
              <w:rPr>
                <w:rFonts w:ascii="Arial" w:eastAsia="Times New Roman" w:hAnsi="Arial" w:cs="Arial"/>
                <w:color w:val="000000"/>
                <w:lang w:val="sr-Cyrl-BA"/>
              </w:rPr>
              <w:t>ча</w:t>
            </w:r>
            <w:r w:rsidR="0071360A">
              <w:rPr>
                <w:rFonts w:ascii="Arial" w:eastAsia="Times New Roman" w:hAnsi="Arial" w:cs="Arial"/>
                <w:color w:val="000000"/>
                <w:lang w:val="sr-Cyrl-BA"/>
              </w:rPr>
              <w:t>в</w:t>
            </w:r>
            <w:r>
              <w:rPr>
                <w:rFonts w:ascii="Arial" w:eastAsia="Times New Roman" w:hAnsi="Arial" w:cs="Arial"/>
                <w:color w:val="000000"/>
                <w:lang w:val="sr-Cyrl-BA"/>
              </w:rPr>
              <w:t>ања</w:t>
            </w:r>
            <w:r w:rsidR="0025422F" w:rsidRPr="00F6340E">
              <w:rPr>
                <w:rFonts w:ascii="Arial" w:eastAsia="Times New Roman" w:hAnsi="Arial" w:cs="Arial"/>
                <w:color w:val="000000"/>
                <w:lang w:val="sr-Cyrl-BA"/>
              </w:rPr>
              <w:t>,</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им</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на</w:t>
            </w:r>
            <w:r w:rsidR="0071360A">
              <w:rPr>
                <w:rFonts w:ascii="Arial" w:eastAsia="Times New Roman" w:hAnsi="Arial" w:cs="Arial"/>
                <w:color w:val="000000"/>
                <w:lang w:val="sr-Cyrl-BA"/>
              </w:rPr>
              <w:t>пр</w:t>
            </w:r>
            <w:r>
              <w:rPr>
                <w:rFonts w:ascii="Arial" w:eastAsia="Times New Roman" w:hAnsi="Arial" w:cs="Arial"/>
                <w:color w:val="000000"/>
                <w:lang w:val="sr-Cyrl-BA"/>
              </w:rPr>
              <w:t>ј</w:t>
            </w:r>
            <w:r w:rsidR="00EE6AA2">
              <w:rPr>
                <w:rFonts w:ascii="Arial" w:eastAsia="Times New Roman" w:hAnsi="Arial" w:cs="Arial"/>
                <w:color w:val="000000"/>
                <w:lang w:val="sr-Cyrl-BA"/>
              </w:rPr>
              <w:t>е</w:t>
            </w:r>
            <w:r>
              <w:rPr>
                <w:rFonts w:ascii="Arial" w:eastAsia="Times New Roman" w:hAnsi="Arial" w:cs="Arial"/>
                <w:color w:val="000000"/>
                <w:lang w:val="sr-Cyrl-BA"/>
              </w:rPr>
              <w:t>ђ</w:t>
            </w:r>
            <w:r w:rsidR="00EE6AA2">
              <w:rPr>
                <w:rFonts w:ascii="Arial" w:eastAsia="Times New Roman" w:hAnsi="Arial" w:cs="Arial"/>
                <w:color w:val="000000"/>
                <w:lang w:val="sr-Cyrl-BA"/>
              </w:rPr>
              <w:t>е</w:t>
            </w:r>
            <w:r>
              <w:rPr>
                <w:rFonts w:ascii="Arial" w:eastAsia="Times New Roman" w:hAnsi="Arial" w:cs="Arial"/>
                <w:color w:val="000000"/>
                <w:lang w:val="sr-Cyrl-BA"/>
              </w:rPr>
              <w:t>ња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ст</w:t>
            </w:r>
            <w:r>
              <w:rPr>
                <w:rFonts w:ascii="Arial" w:eastAsia="Times New Roman" w:hAnsi="Arial" w:cs="Arial"/>
                <w:color w:val="000000"/>
                <w:lang w:val="sr-Cyrl-BA"/>
              </w:rPr>
              <w:t>игн</w:t>
            </w:r>
            <w:r w:rsidR="0071360A">
              <w:rPr>
                <w:rFonts w:ascii="Arial" w:eastAsia="Times New Roman" w:hAnsi="Arial" w:cs="Arial"/>
                <w:color w:val="000000"/>
                <w:lang w:val="sr-Cyrl-BA"/>
              </w:rPr>
              <w:t>у</w:t>
            </w:r>
            <w:r>
              <w:rPr>
                <w:rFonts w:ascii="Arial" w:eastAsia="Times New Roman" w:hAnsi="Arial" w:cs="Arial"/>
                <w:color w:val="000000"/>
                <w:lang w:val="sr-Cyrl-BA"/>
              </w:rPr>
              <w:t>ћа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w:t>
            </w:r>
            <w:r w:rsidR="0071360A">
              <w:rPr>
                <w:rFonts w:ascii="Arial" w:eastAsia="Times New Roman" w:hAnsi="Arial" w:cs="Arial"/>
                <w:color w:val="000000"/>
                <w:lang w:val="sr-Cyrl-BA"/>
              </w:rPr>
              <w:t>с</w:t>
            </w:r>
            <w:r>
              <w:rPr>
                <w:rFonts w:ascii="Arial" w:eastAsia="Times New Roman" w:hAnsi="Arial" w:cs="Arial"/>
                <w:color w:val="000000"/>
                <w:lang w:val="sr-Cyrl-BA"/>
              </w:rPr>
              <w:t>им</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т</w:t>
            </w:r>
            <w:r>
              <w:rPr>
                <w:rFonts w:ascii="Arial" w:eastAsia="Times New Roman" w:hAnsi="Arial" w:cs="Arial"/>
                <w:color w:val="000000"/>
                <w:lang w:val="sr-Cyrl-BA"/>
              </w:rPr>
              <w:t>ога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диги</w:t>
            </w:r>
            <w:r w:rsidR="0071360A">
              <w:rPr>
                <w:rFonts w:ascii="Arial" w:eastAsia="Times New Roman" w:hAnsi="Arial" w:cs="Arial"/>
                <w:color w:val="000000"/>
                <w:lang w:val="sr-Cyrl-BA"/>
              </w:rPr>
              <w:t>т</w:t>
            </w:r>
            <w:r>
              <w:rPr>
                <w:rFonts w:ascii="Arial" w:eastAsia="Times New Roman" w:hAnsi="Arial" w:cs="Arial"/>
                <w:color w:val="000000"/>
                <w:lang w:val="sr-Cyrl-BA"/>
              </w:rPr>
              <w:t>ални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об</w:t>
            </w:r>
            <w:r w:rsidR="0071360A">
              <w:rPr>
                <w:rFonts w:ascii="Arial" w:eastAsia="Times New Roman" w:hAnsi="Arial" w:cs="Arial"/>
                <w:color w:val="000000"/>
                <w:lang w:val="sr-Cyrl-BA"/>
              </w:rPr>
              <w:t>р</w:t>
            </w:r>
            <w:r>
              <w:rPr>
                <w:rFonts w:ascii="Arial" w:eastAsia="Times New Roman" w:hAnsi="Arial" w:cs="Arial"/>
                <w:color w:val="000000"/>
                <w:lang w:val="sr-Cyrl-BA"/>
              </w:rPr>
              <w:t>а</w:t>
            </w:r>
            <w:r w:rsidR="00171F00">
              <w:rPr>
                <w:rFonts w:ascii="Arial" w:eastAsia="Times New Roman" w:hAnsi="Arial" w:cs="Arial"/>
                <w:color w:val="000000"/>
                <w:lang w:val="sr-Cyrl-BA"/>
              </w:rPr>
              <w:t>з</w:t>
            </w:r>
            <w:r>
              <w:rPr>
                <w:rFonts w:ascii="Arial" w:eastAsia="Times New Roman" w:hAnsi="Arial" w:cs="Arial"/>
                <w:color w:val="000000"/>
                <w:lang w:val="sr-Cyrl-BA"/>
              </w:rPr>
              <w:t>о</w:t>
            </w:r>
            <w:r w:rsidR="0071360A">
              <w:rPr>
                <w:rFonts w:ascii="Arial" w:eastAsia="Times New Roman" w:hAnsi="Arial" w:cs="Arial"/>
                <w:color w:val="000000"/>
                <w:lang w:val="sr-Cyrl-BA"/>
              </w:rPr>
              <w:t>в</w:t>
            </w:r>
            <w:r>
              <w:rPr>
                <w:rFonts w:ascii="Arial" w:eastAsia="Times New Roman" w:hAnsi="Arial" w:cs="Arial"/>
                <w:color w:val="000000"/>
                <w:lang w:val="sr-Cyrl-BA"/>
              </w:rPr>
              <w:t>ни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ад</w:t>
            </w:r>
            <w:r w:rsidR="0071360A">
              <w:rPr>
                <w:rFonts w:ascii="Arial" w:eastAsia="Times New Roman" w:hAnsi="Arial" w:cs="Arial"/>
                <w:color w:val="000000"/>
                <w:lang w:val="sr-Cyrl-BA"/>
              </w:rPr>
              <w:t>р</w:t>
            </w:r>
            <w:r w:rsidR="00171F00">
              <w:rPr>
                <w:rFonts w:ascii="Arial" w:eastAsia="Times New Roman" w:hAnsi="Arial" w:cs="Arial"/>
                <w:color w:val="000000"/>
                <w:lang w:val="sr-Cyrl-BA"/>
              </w:rPr>
              <w:t>ж</w:t>
            </w:r>
            <w:r>
              <w:rPr>
                <w:rFonts w:ascii="Arial" w:eastAsia="Times New Roman" w:hAnsi="Arial" w:cs="Arial"/>
                <w:color w:val="000000"/>
                <w:lang w:val="sr-Cyrl-BA"/>
              </w:rPr>
              <w:t>аји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њихо</w:t>
            </w:r>
            <w:r w:rsidR="0071360A">
              <w:rPr>
                <w:rFonts w:ascii="Arial" w:eastAsia="Times New Roman" w:hAnsi="Arial" w:cs="Arial"/>
                <w:color w:val="000000"/>
                <w:lang w:val="sr-Cyrl-BA"/>
              </w:rPr>
              <w:t>в</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имј</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до</w:t>
            </w:r>
            <w:r w:rsidR="0071360A">
              <w:rPr>
                <w:rFonts w:ascii="Arial" w:eastAsia="Times New Roman" w:hAnsi="Arial" w:cs="Arial"/>
                <w:color w:val="000000"/>
                <w:lang w:val="sr-Cyrl-BA"/>
              </w:rPr>
              <w:t>пр</w:t>
            </w:r>
            <w:r>
              <w:rPr>
                <w:rFonts w:ascii="Arial" w:eastAsia="Times New Roman" w:hAnsi="Arial" w:cs="Arial"/>
                <w:color w:val="000000"/>
                <w:lang w:val="sr-Cyrl-BA"/>
              </w:rPr>
              <w:t>ино</w:t>
            </w:r>
            <w:r w:rsidR="0071360A">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инкл</w:t>
            </w:r>
            <w:r w:rsidR="0071360A">
              <w:rPr>
                <w:rFonts w:ascii="Arial" w:eastAsia="Times New Roman" w:hAnsi="Arial" w:cs="Arial"/>
                <w:color w:val="000000"/>
                <w:lang w:val="sr-Cyrl-BA"/>
              </w:rPr>
              <w:t>у</w:t>
            </w:r>
            <w:r w:rsidR="00171F00">
              <w:rPr>
                <w:rFonts w:ascii="Arial" w:eastAsia="Times New Roman" w:hAnsi="Arial" w:cs="Arial"/>
                <w:color w:val="000000"/>
                <w:lang w:val="sr-Cyrl-BA"/>
              </w:rPr>
              <w:t>з</w:t>
            </w:r>
            <w:r>
              <w:rPr>
                <w:rFonts w:ascii="Arial" w:eastAsia="Times New Roman" w:hAnsi="Arial" w:cs="Arial"/>
                <w:color w:val="000000"/>
                <w:lang w:val="sr-Cyrl-BA"/>
              </w:rPr>
              <w:t>и</w:t>
            </w:r>
            <w:r w:rsidR="0071360A">
              <w:rPr>
                <w:rFonts w:ascii="Arial" w:eastAsia="Times New Roman" w:hAnsi="Arial" w:cs="Arial"/>
                <w:color w:val="000000"/>
                <w:lang w:val="sr-Cyrl-BA"/>
              </w:rPr>
              <w:t>в</w:t>
            </w:r>
            <w:r>
              <w:rPr>
                <w:rFonts w:ascii="Arial" w:eastAsia="Times New Roman" w:hAnsi="Arial" w:cs="Arial"/>
                <w:color w:val="000000"/>
                <w:lang w:val="sr-Cyrl-BA"/>
              </w:rPr>
              <w:t>но</w:t>
            </w:r>
            <w:r w:rsidR="0071360A">
              <w:rPr>
                <w:rFonts w:ascii="Arial" w:eastAsia="Times New Roman" w:hAnsi="Arial" w:cs="Arial"/>
                <w:color w:val="000000"/>
                <w:lang w:val="sr-Cyrl-BA"/>
              </w:rPr>
              <w:t>ст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б</w:t>
            </w:r>
            <w:r w:rsidR="0071360A">
              <w:rPr>
                <w:rFonts w:ascii="Arial" w:eastAsia="Times New Roman" w:hAnsi="Arial" w:cs="Arial"/>
                <w:color w:val="000000"/>
                <w:lang w:val="sr-Cyrl-BA"/>
              </w:rPr>
              <w:t>у</w:t>
            </w:r>
            <w:r>
              <w:rPr>
                <w:rFonts w:ascii="Arial" w:eastAsia="Times New Roman" w:hAnsi="Arial" w:cs="Arial"/>
                <w:color w:val="000000"/>
                <w:lang w:val="sr-Cyrl-BA"/>
              </w:rPr>
              <w:t>д</w:t>
            </w:r>
            <w:r w:rsidR="0071360A">
              <w:rPr>
                <w:rFonts w:ascii="Arial" w:eastAsia="Times New Roman" w:hAnsi="Arial" w:cs="Arial"/>
                <w:color w:val="000000"/>
                <w:lang w:val="sr-Cyrl-BA"/>
              </w:rPr>
              <w:t>у</w:t>
            </w:r>
            <w:r>
              <w:rPr>
                <w:rFonts w:ascii="Arial" w:eastAsia="Times New Roman" w:hAnsi="Arial" w:cs="Arial"/>
                <w:color w:val="000000"/>
                <w:lang w:val="sr-Cyrl-BA"/>
              </w:rPr>
              <w:t>ћи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да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w:t>
            </w:r>
            <w:r>
              <w:rPr>
                <w:rFonts w:ascii="Arial" w:eastAsia="Times New Roman" w:hAnsi="Arial" w:cs="Arial"/>
                <w:color w:val="000000"/>
                <w:lang w:val="sr-Cyrl-BA"/>
              </w:rPr>
              <w:t>ма</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ијал</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св</w:t>
            </w:r>
            <w:r>
              <w:rPr>
                <w:rFonts w:ascii="Arial" w:eastAsia="Times New Roman" w:hAnsi="Arial" w:cs="Arial"/>
                <w:color w:val="000000"/>
                <w:lang w:val="sr-Cyrl-BA"/>
              </w:rPr>
              <w:t>ојим</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сп</w:t>
            </w:r>
            <w:r w:rsidR="00EE6AA2">
              <w:rPr>
                <w:rFonts w:ascii="Arial" w:eastAsia="Times New Roman" w:hAnsi="Arial" w:cs="Arial"/>
                <w:color w:val="000000"/>
                <w:lang w:val="sr-Cyrl-BA"/>
              </w:rPr>
              <w:t>е</w:t>
            </w:r>
            <w:r>
              <w:rPr>
                <w:rFonts w:ascii="Arial" w:eastAsia="Times New Roman" w:hAnsi="Arial" w:cs="Arial"/>
                <w:color w:val="000000"/>
                <w:lang w:val="sr-Cyrl-BA"/>
              </w:rPr>
              <w:t>цифично</w:t>
            </w:r>
            <w:r w:rsidR="0071360A">
              <w:rPr>
                <w:rFonts w:ascii="Arial" w:eastAsia="Times New Roman" w:hAnsi="Arial" w:cs="Arial"/>
                <w:color w:val="000000"/>
                <w:lang w:val="sr-Cyrl-BA"/>
              </w:rPr>
              <w:t>ст</w:t>
            </w:r>
            <w:r>
              <w:rPr>
                <w:rFonts w:ascii="Arial" w:eastAsia="Times New Roman" w:hAnsi="Arial" w:cs="Arial"/>
                <w:color w:val="000000"/>
                <w:lang w:val="sr-Cyrl-BA"/>
              </w:rPr>
              <w:t>има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пр</w:t>
            </w:r>
            <w:r>
              <w:rPr>
                <w:rFonts w:ascii="Arial" w:eastAsia="Times New Roman" w:hAnsi="Arial" w:cs="Arial"/>
                <w:color w:val="000000"/>
                <w:lang w:val="sr-Cyrl-BA"/>
              </w:rPr>
              <w:t>и</w:t>
            </w:r>
            <w:r w:rsidR="0071360A">
              <w:rPr>
                <w:rFonts w:ascii="Arial" w:eastAsia="Times New Roman" w:hAnsi="Arial" w:cs="Arial"/>
                <w:color w:val="000000"/>
                <w:lang w:val="sr-Cyrl-BA"/>
              </w:rPr>
              <w:t>ступ</w:t>
            </w:r>
            <w:r>
              <w:rPr>
                <w:rFonts w:ascii="Arial" w:eastAsia="Times New Roman" w:hAnsi="Arial" w:cs="Arial"/>
                <w:color w:val="000000"/>
                <w:lang w:val="sr-Cyrl-BA"/>
              </w:rPr>
              <w:t>ачнији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мо</w:t>
            </w:r>
            <w:r w:rsidR="00171F00">
              <w:rPr>
                <w:rFonts w:ascii="Arial" w:eastAsia="Times New Roman" w:hAnsi="Arial" w:cs="Arial"/>
                <w:color w:val="000000"/>
                <w:lang w:val="sr-Cyrl-BA"/>
              </w:rPr>
              <w:t>ж</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одго</w:t>
            </w:r>
            <w:r w:rsidR="0071360A">
              <w:rPr>
                <w:rFonts w:ascii="Arial" w:eastAsia="Times New Roman" w:hAnsi="Arial" w:cs="Arial"/>
                <w:color w:val="000000"/>
                <w:lang w:val="sr-Cyrl-BA"/>
              </w:rPr>
              <w:t>в</w:t>
            </w:r>
            <w:r>
              <w:rPr>
                <w:rFonts w:ascii="Arial" w:eastAsia="Times New Roman" w:hAnsi="Arial" w:cs="Arial"/>
                <w:color w:val="000000"/>
                <w:lang w:val="sr-Cyrl-BA"/>
              </w:rPr>
              <w:t>о</w:t>
            </w:r>
            <w:r w:rsidR="0071360A">
              <w:rPr>
                <w:rFonts w:ascii="Arial" w:eastAsia="Times New Roman" w:hAnsi="Arial" w:cs="Arial"/>
                <w:color w:val="000000"/>
                <w:lang w:val="sr-Cyrl-BA"/>
              </w:rPr>
              <w:t>р</w:t>
            </w:r>
            <w:r>
              <w:rPr>
                <w:rFonts w:ascii="Arial" w:eastAsia="Times New Roman" w:hAnsi="Arial" w:cs="Arial"/>
                <w:color w:val="000000"/>
                <w:lang w:val="sr-Cyrl-BA"/>
              </w:rPr>
              <w:t>и</w:t>
            </w:r>
            <w:r w:rsidR="0071360A">
              <w:rPr>
                <w:rFonts w:ascii="Arial" w:eastAsia="Times New Roman" w:hAnsi="Arial" w:cs="Arial"/>
                <w:color w:val="000000"/>
                <w:lang w:val="sr-Cyrl-BA"/>
              </w:rPr>
              <w:t>т</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личн</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w:t>
            </w:r>
            <w:r w:rsidR="0071360A">
              <w:rPr>
                <w:rFonts w:ascii="Arial" w:eastAsia="Times New Roman" w:hAnsi="Arial" w:cs="Arial"/>
                <w:color w:val="000000"/>
                <w:lang w:val="sr-Cyrl-BA"/>
              </w:rPr>
              <w:t>тр</w:t>
            </w:r>
            <w:r w:rsidR="00EE6AA2">
              <w:rPr>
                <w:rFonts w:ascii="Arial" w:eastAsia="Times New Roman" w:hAnsi="Arial" w:cs="Arial"/>
                <w:color w:val="000000"/>
                <w:lang w:val="sr-Cyrl-BA"/>
              </w:rPr>
              <w:t>е</w:t>
            </w:r>
            <w:r>
              <w:rPr>
                <w:rFonts w:ascii="Arial" w:eastAsia="Times New Roman" w:hAnsi="Arial" w:cs="Arial"/>
                <w:color w:val="000000"/>
                <w:lang w:val="sr-Cyrl-BA"/>
              </w:rPr>
              <w:t>б</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w:t>
            </w:r>
            <w:r w:rsidR="0071360A">
              <w:rPr>
                <w:rFonts w:ascii="Arial" w:eastAsia="Times New Roman" w:hAnsi="Arial" w:cs="Arial"/>
                <w:color w:val="000000"/>
                <w:lang w:val="sr-Cyrl-BA"/>
              </w:rPr>
              <w:t>сту</w:t>
            </w:r>
            <w:r>
              <w:rPr>
                <w:rFonts w:ascii="Arial" w:eastAsia="Times New Roman" w:hAnsi="Arial" w:cs="Arial"/>
                <w:color w:val="000000"/>
                <w:lang w:val="sr-Cyrl-BA"/>
              </w:rPr>
              <w:t>д</w:t>
            </w:r>
            <w:r w:rsidR="00EE6AA2">
              <w:rPr>
                <w:rFonts w:ascii="Arial" w:eastAsia="Times New Roman" w:hAnsi="Arial" w:cs="Arial"/>
                <w:color w:val="000000"/>
                <w:lang w:val="sr-Cyrl-BA"/>
              </w:rPr>
              <w:t>е</w:t>
            </w:r>
            <w:r>
              <w:rPr>
                <w:rFonts w:ascii="Arial" w:eastAsia="Times New Roman" w:hAnsi="Arial" w:cs="Arial"/>
                <w:color w:val="000000"/>
                <w:lang w:val="sr-Cyrl-BA"/>
              </w:rPr>
              <w:t>на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ња</w:t>
            </w:r>
            <w:r w:rsidR="00892898" w:rsidRPr="00F6340E">
              <w:rPr>
                <w:rFonts w:ascii="Arial" w:eastAsia="Times New Roman" w:hAnsi="Arial" w:cs="Arial"/>
                <w:color w:val="000000"/>
                <w:lang w:val="sr-Cyrl-BA"/>
              </w:rPr>
              <w:t>.</w:t>
            </w:r>
          </w:p>
          <w:p w14:paraId="180F7E1C" w14:textId="4C46B2FE" w:rsidR="00892898" w:rsidRPr="00F6340E" w:rsidRDefault="0071360A" w:rsidP="00FB5CB7">
            <w:pPr>
              <w:pStyle w:val="ListParagraph"/>
              <w:numPr>
                <w:ilvl w:val="0"/>
                <w:numId w:val="37"/>
              </w:numPr>
              <w:jc w:val="left"/>
              <w:textAlignment w:val="baseline"/>
              <w:rPr>
                <w:rFonts w:ascii="Arial" w:eastAsiaTheme="minorHAnsi" w:hAnsi="Arial" w:cs="Arial"/>
                <w:b/>
                <w:color w:val="000000"/>
                <w:lang w:val="sr-Cyrl-BA"/>
              </w:rPr>
            </w:pPr>
            <w:r>
              <w:rPr>
                <w:rFonts w:ascii="Arial" w:hAnsi="Arial" w:cs="Arial"/>
                <w:b/>
                <w:lang w:val="sr-Cyrl-BA"/>
              </w:rPr>
              <w:t>П</w:t>
            </w:r>
            <w:r w:rsidR="00A56E08">
              <w:rPr>
                <w:rFonts w:ascii="Arial" w:hAnsi="Arial" w:cs="Arial"/>
                <w:b/>
                <w:lang w:val="sr-Cyrl-BA"/>
              </w:rPr>
              <w:t>од</w:t>
            </w:r>
            <w:r w:rsidR="00171F00">
              <w:rPr>
                <w:rFonts w:ascii="Arial" w:hAnsi="Arial" w:cs="Arial"/>
                <w:b/>
                <w:lang w:val="sr-Cyrl-BA"/>
              </w:rPr>
              <w:t>з</w:t>
            </w:r>
            <w:r w:rsidR="00A56E08">
              <w:rPr>
                <w:rFonts w:ascii="Arial" w:hAnsi="Arial" w:cs="Arial"/>
                <w:b/>
                <w:lang w:val="sr-Cyrl-BA"/>
              </w:rPr>
              <w:t>акон</w:t>
            </w:r>
            <w:r>
              <w:rPr>
                <w:rFonts w:ascii="Arial" w:hAnsi="Arial" w:cs="Arial"/>
                <w:b/>
                <w:lang w:val="sr-Cyrl-BA"/>
              </w:rPr>
              <w:t>с</w:t>
            </w:r>
            <w:r w:rsidR="00A56E08">
              <w:rPr>
                <w:rFonts w:ascii="Arial" w:hAnsi="Arial" w:cs="Arial"/>
                <w:b/>
                <w:lang w:val="sr-Cyrl-BA"/>
              </w:rPr>
              <w:t>ком</w:t>
            </w:r>
            <w:r w:rsidR="00892898" w:rsidRPr="00F6340E">
              <w:rPr>
                <w:rFonts w:ascii="Arial" w:hAnsi="Arial" w:cs="Arial"/>
                <w:b/>
                <w:lang w:val="sr-Cyrl-BA"/>
              </w:rPr>
              <w:t xml:space="preserve"> </w:t>
            </w:r>
            <w:r>
              <w:rPr>
                <w:rFonts w:ascii="Arial" w:hAnsi="Arial" w:cs="Arial"/>
                <w:b/>
                <w:lang w:val="sr-Cyrl-BA"/>
              </w:rPr>
              <w:t>р</w:t>
            </w:r>
            <w:r w:rsidR="00EE6AA2">
              <w:rPr>
                <w:rFonts w:ascii="Arial" w:hAnsi="Arial" w:cs="Arial"/>
                <w:b/>
                <w:lang w:val="sr-Cyrl-BA"/>
              </w:rPr>
              <w:t>е</w:t>
            </w:r>
            <w:r w:rsidR="00A56E08">
              <w:rPr>
                <w:rFonts w:ascii="Arial" w:hAnsi="Arial" w:cs="Arial"/>
                <w:b/>
                <w:lang w:val="sr-Cyrl-BA"/>
              </w:rPr>
              <w:t>г</w:t>
            </w:r>
            <w:r>
              <w:rPr>
                <w:rFonts w:ascii="Arial" w:hAnsi="Arial" w:cs="Arial"/>
                <w:b/>
                <w:lang w:val="sr-Cyrl-BA"/>
              </w:rPr>
              <w:t>у</w:t>
            </w:r>
            <w:r w:rsidR="00A56E08">
              <w:rPr>
                <w:rFonts w:ascii="Arial" w:hAnsi="Arial" w:cs="Arial"/>
                <w:b/>
                <w:lang w:val="sr-Cyrl-BA"/>
              </w:rPr>
              <w:t>ла</w:t>
            </w:r>
            <w:r>
              <w:rPr>
                <w:rFonts w:ascii="Arial" w:hAnsi="Arial" w:cs="Arial"/>
                <w:b/>
                <w:lang w:val="sr-Cyrl-BA"/>
              </w:rPr>
              <w:t>т</w:t>
            </w:r>
            <w:r w:rsidR="00A56E08">
              <w:rPr>
                <w:rFonts w:ascii="Arial" w:hAnsi="Arial" w:cs="Arial"/>
                <w:b/>
                <w:lang w:val="sr-Cyrl-BA"/>
              </w:rPr>
              <w:t>и</w:t>
            </w:r>
            <w:r>
              <w:rPr>
                <w:rFonts w:ascii="Arial" w:hAnsi="Arial" w:cs="Arial"/>
                <w:b/>
                <w:lang w:val="sr-Cyrl-BA"/>
              </w:rPr>
              <w:t>в</w:t>
            </w:r>
            <w:r w:rsidR="00A56E08">
              <w:rPr>
                <w:rFonts w:ascii="Arial" w:hAnsi="Arial" w:cs="Arial"/>
                <w:b/>
                <w:lang w:val="sr-Cyrl-BA"/>
              </w:rPr>
              <w:t>ом</w:t>
            </w:r>
            <w:r w:rsidR="00892898" w:rsidRPr="00F6340E">
              <w:rPr>
                <w:rFonts w:ascii="Arial" w:hAnsi="Arial" w:cs="Arial"/>
                <w:b/>
                <w:lang w:val="sr-Cyrl-BA"/>
              </w:rPr>
              <w:t xml:space="preserve"> </w:t>
            </w:r>
            <w:r w:rsidR="00A56E08">
              <w:rPr>
                <w:rFonts w:ascii="Arial" w:hAnsi="Arial" w:cs="Arial"/>
                <w:b/>
                <w:lang w:val="sr-Cyrl-BA"/>
              </w:rPr>
              <w:t>д</w:t>
            </w:r>
            <w:r w:rsidR="00EE6AA2">
              <w:rPr>
                <w:rFonts w:ascii="Arial" w:hAnsi="Arial" w:cs="Arial"/>
                <w:b/>
                <w:lang w:val="sr-Cyrl-BA"/>
              </w:rPr>
              <w:t>е</w:t>
            </w:r>
            <w:r w:rsidR="00A56E08">
              <w:rPr>
                <w:rFonts w:ascii="Arial" w:hAnsi="Arial" w:cs="Arial"/>
                <w:b/>
                <w:lang w:val="sr-Cyrl-BA"/>
              </w:rPr>
              <w:t>фини</w:t>
            </w:r>
            <w:r>
              <w:rPr>
                <w:rFonts w:ascii="Arial" w:hAnsi="Arial" w:cs="Arial"/>
                <w:b/>
                <w:lang w:val="sr-Cyrl-BA"/>
              </w:rPr>
              <w:t>с</w:t>
            </w:r>
            <w:r w:rsidR="00A56E08">
              <w:rPr>
                <w:rFonts w:ascii="Arial" w:hAnsi="Arial" w:cs="Arial"/>
                <w:b/>
                <w:lang w:val="sr-Cyrl-BA"/>
              </w:rPr>
              <w:t>а</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sidR="00A56E08">
              <w:rPr>
                <w:rFonts w:ascii="Arial" w:hAnsi="Arial" w:cs="Arial"/>
                <w:b/>
                <w:lang w:val="sr-Cyrl-BA"/>
              </w:rPr>
              <w:t>код</w:t>
            </w:r>
            <w:r w:rsidR="00EE6AA2">
              <w:rPr>
                <w:rFonts w:ascii="Arial" w:hAnsi="Arial" w:cs="Arial"/>
                <w:b/>
                <w:lang w:val="sr-Cyrl-BA"/>
              </w:rPr>
              <w:t>е</w:t>
            </w:r>
            <w:r w:rsidR="00A56E08">
              <w:rPr>
                <w:rFonts w:ascii="Arial" w:hAnsi="Arial" w:cs="Arial"/>
                <w:b/>
                <w:lang w:val="sr-Cyrl-BA"/>
              </w:rPr>
              <w:t>к</w:t>
            </w:r>
            <w:r>
              <w:rPr>
                <w:rFonts w:ascii="Arial" w:hAnsi="Arial" w:cs="Arial"/>
                <w:b/>
                <w:lang w:val="sr-Cyrl-BA"/>
              </w:rPr>
              <w:t>с</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она</w:t>
            </w:r>
            <w:r>
              <w:rPr>
                <w:rFonts w:ascii="Arial" w:hAnsi="Arial" w:cs="Arial"/>
                <w:b/>
                <w:lang w:val="sr-Cyrl-BA"/>
              </w:rPr>
              <w:t>ш</w:t>
            </w:r>
            <w:r w:rsidR="00A56E08">
              <w:rPr>
                <w:rFonts w:ascii="Arial" w:hAnsi="Arial" w:cs="Arial"/>
                <w:b/>
                <w:lang w:val="sr-Cyrl-BA"/>
              </w:rPr>
              <w:t>ања</w:t>
            </w:r>
            <w:r w:rsidR="00892898" w:rsidRPr="00F6340E">
              <w:rPr>
                <w:rFonts w:ascii="Arial" w:hAnsi="Arial" w:cs="Arial"/>
                <w:b/>
                <w:lang w:val="sr-Cyrl-BA"/>
              </w:rPr>
              <w:t xml:space="preserve"> </w:t>
            </w:r>
            <w:r>
              <w:rPr>
                <w:rFonts w:ascii="Arial" w:hAnsi="Arial" w:cs="Arial"/>
                <w:b/>
                <w:lang w:val="sr-Cyrl-BA"/>
              </w:rPr>
              <w:t>у</w:t>
            </w:r>
            <w:r w:rsidR="00A56E08">
              <w:rPr>
                <w:rFonts w:ascii="Arial" w:hAnsi="Arial" w:cs="Arial"/>
                <w:b/>
                <w:lang w:val="sr-Cyrl-BA"/>
              </w:rPr>
              <w:t>ч</w:t>
            </w:r>
            <w:r w:rsidR="00EE6AA2">
              <w:rPr>
                <w:rFonts w:ascii="Arial" w:hAnsi="Arial" w:cs="Arial"/>
                <w:b/>
                <w:lang w:val="sr-Cyrl-BA"/>
              </w:rPr>
              <w:t>е</w:t>
            </w:r>
            <w:r w:rsidR="00A56E08">
              <w:rPr>
                <w:rFonts w:ascii="Arial" w:hAnsi="Arial" w:cs="Arial"/>
                <w:b/>
                <w:lang w:val="sr-Cyrl-BA"/>
              </w:rPr>
              <w:t>ника</w:t>
            </w:r>
            <w:r w:rsidR="00892898" w:rsidRPr="00F6340E">
              <w:rPr>
                <w:rFonts w:ascii="Arial" w:hAnsi="Arial" w:cs="Arial"/>
                <w:b/>
                <w:lang w:val="sr-Cyrl-BA"/>
              </w:rPr>
              <w:t>/</w:t>
            </w:r>
            <w:r>
              <w:rPr>
                <w:rFonts w:ascii="Arial" w:hAnsi="Arial" w:cs="Arial"/>
                <w:b/>
                <w:lang w:val="sr-Cyrl-BA"/>
              </w:rPr>
              <w:t>сту</w:t>
            </w:r>
            <w:r w:rsidR="00A56E08">
              <w:rPr>
                <w:rFonts w:ascii="Arial" w:hAnsi="Arial" w:cs="Arial"/>
                <w:b/>
                <w:lang w:val="sr-Cyrl-BA"/>
              </w:rPr>
              <w:t>д</w:t>
            </w:r>
            <w:r w:rsidR="00EE6AA2">
              <w:rPr>
                <w:rFonts w:ascii="Arial" w:hAnsi="Arial" w:cs="Arial"/>
                <w:b/>
                <w:lang w:val="sr-Cyrl-BA"/>
              </w:rPr>
              <w:t>е</w:t>
            </w:r>
            <w:r w:rsidR="00A56E08">
              <w:rPr>
                <w:rFonts w:ascii="Arial" w:hAnsi="Arial" w:cs="Arial"/>
                <w:b/>
                <w:lang w:val="sr-Cyrl-BA"/>
              </w:rPr>
              <w:t>на</w:t>
            </w:r>
            <w:r>
              <w:rPr>
                <w:rFonts w:ascii="Arial" w:hAnsi="Arial" w:cs="Arial"/>
                <w:b/>
                <w:lang w:val="sr-Cyrl-BA"/>
              </w:rPr>
              <w:t>т</w:t>
            </w:r>
            <w:r w:rsidR="00A56E08">
              <w:rPr>
                <w:rFonts w:ascii="Arial" w:hAnsi="Arial" w:cs="Arial"/>
                <w:b/>
                <w:lang w:val="sr-Cyrl-BA"/>
              </w:rPr>
              <w:t>а</w:t>
            </w:r>
            <w:r w:rsidR="00892898" w:rsidRPr="00F6340E">
              <w:rPr>
                <w:rFonts w:ascii="Arial" w:hAnsi="Arial" w:cs="Arial"/>
                <w:b/>
                <w:lang w:val="sr-Cyrl-BA"/>
              </w:rPr>
              <w:t xml:space="preserve">, </w:t>
            </w:r>
            <w:r w:rsidR="00A56E08">
              <w:rPr>
                <w:rFonts w:ascii="Arial" w:hAnsi="Arial" w:cs="Arial"/>
                <w:b/>
                <w:lang w:val="sr-Cyrl-BA"/>
              </w:rPr>
              <w:t>на</w:t>
            </w:r>
            <w:r>
              <w:rPr>
                <w:rFonts w:ascii="Arial" w:hAnsi="Arial" w:cs="Arial"/>
                <w:b/>
                <w:lang w:val="sr-Cyrl-BA"/>
              </w:rPr>
              <w:t>ст</w:t>
            </w:r>
            <w:r w:rsidR="00A56E08">
              <w:rPr>
                <w:rFonts w:ascii="Arial" w:hAnsi="Arial" w:cs="Arial"/>
                <w:b/>
                <w:lang w:val="sr-Cyrl-BA"/>
              </w:rPr>
              <w:t>а</w:t>
            </w:r>
            <w:r>
              <w:rPr>
                <w:rFonts w:ascii="Arial" w:hAnsi="Arial" w:cs="Arial"/>
                <w:b/>
                <w:lang w:val="sr-Cyrl-BA"/>
              </w:rPr>
              <w:t>в</w:t>
            </w:r>
            <w:r w:rsidR="00A56E08">
              <w:rPr>
                <w:rFonts w:ascii="Arial" w:hAnsi="Arial" w:cs="Arial"/>
                <w:b/>
                <w:lang w:val="sr-Cyrl-BA"/>
              </w:rPr>
              <w:t>ника</w:t>
            </w:r>
            <w:r w:rsidR="00867BD5" w:rsidRPr="00F6340E">
              <w:rPr>
                <w:rFonts w:ascii="Arial" w:hAnsi="Arial" w:cs="Arial"/>
                <w:b/>
                <w:lang w:val="sr-Cyrl-BA"/>
              </w:rPr>
              <w:t>/</w:t>
            </w:r>
            <w:r>
              <w:rPr>
                <w:rFonts w:ascii="Arial" w:hAnsi="Arial" w:cs="Arial"/>
                <w:b/>
                <w:lang w:val="sr-Cyrl-BA"/>
              </w:rPr>
              <w:t>пр</w:t>
            </w:r>
            <w:r w:rsidR="00A56E08">
              <w:rPr>
                <w:rFonts w:ascii="Arial" w:hAnsi="Arial" w:cs="Arial"/>
                <w:b/>
                <w:lang w:val="sr-Cyrl-BA"/>
              </w:rPr>
              <w:t>оф</w:t>
            </w:r>
            <w:r w:rsidR="00EE6AA2">
              <w:rPr>
                <w:rFonts w:ascii="Arial" w:hAnsi="Arial" w:cs="Arial"/>
                <w:b/>
                <w:lang w:val="sr-Cyrl-BA"/>
              </w:rPr>
              <w:t>е</w:t>
            </w:r>
            <w:r>
              <w:rPr>
                <w:rFonts w:ascii="Arial" w:hAnsi="Arial" w:cs="Arial"/>
                <w:b/>
                <w:lang w:val="sr-Cyrl-BA"/>
              </w:rPr>
              <w:t>с</w:t>
            </w:r>
            <w:r w:rsidR="00A56E08">
              <w:rPr>
                <w:rFonts w:ascii="Arial" w:hAnsi="Arial" w:cs="Arial"/>
                <w:b/>
                <w:lang w:val="sr-Cyrl-BA"/>
              </w:rPr>
              <w:t>о</w:t>
            </w:r>
            <w:r>
              <w:rPr>
                <w:rFonts w:ascii="Arial" w:hAnsi="Arial" w:cs="Arial"/>
                <w:b/>
                <w:lang w:val="sr-Cyrl-BA"/>
              </w:rPr>
              <w:t>р</w:t>
            </w:r>
            <w:r w:rsidR="00A56E08">
              <w:rPr>
                <w:rFonts w:ascii="Arial" w:hAnsi="Arial" w:cs="Arial"/>
                <w:b/>
                <w:lang w:val="sr-Cyrl-BA"/>
              </w:rPr>
              <w:t>а</w:t>
            </w:r>
            <w:r w:rsidR="00892898" w:rsidRPr="00F6340E">
              <w:rPr>
                <w:rFonts w:ascii="Arial" w:hAnsi="Arial" w:cs="Arial"/>
                <w:b/>
                <w:lang w:val="sr-Cyrl-BA"/>
              </w:rPr>
              <w:t xml:space="preserve"> </w:t>
            </w:r>
            <w:r w:rsidR="00A56E08">
              <w:rPr>
                <w:rFonts w:ascii="Arial" w:hAnsi="Arial" w:cs="Arial"/>
                <w:b/>
                <w:lang w:val="sr-Cyrl-BA"/>
              </w:rPr>
              <w:t>и</w:t>
            </w:r>
            <w:r w:rsidR="00892898"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ст</w:t>
            </w:r>
            <w:r w:rsidR="00A56E08">
              <w:rPr>
                <w:rFonts w:ascii="Arial" w:hAnsi="Arial" w:cs="Arial"/>
                <w:b/>
                <w:lang w:val="sr-Cyrl-BA"/>
              </w:rPr>
              <w:t>алих</w:t>
            </w:r>
            <w:r w:rsidR="00892898" w:rsidRPr="00F6340E">
              <w:rPr>
                <w:rFonts w:ascii="Arial" w:hAnsi="Arial" w:cs="Arial"/>
                <w:b/>
                <w:lang w:val="sr-Cyrl-BA"/>
              </w:rPr>
              <w:t xml:space="preserve"> </w:t>
            </w:r>
            <w:r w:rsidR="00A56E08">
              <w:rPr>
                <w:rFonts w:ascii="Arial" w:hAnsi="Arial" w:cs="Arial"/>
                <w:b/>
                <w:lang w:val="sr-Cyrl-BA"/>
              </w:rPr>
              <w:t>ак</w:t>
            </w:r>
            <w:r>
              <w:rPr>
                <w:rFonts w:ascii="Arial" w:hAnsi="Arial" w:cs="Arial"/>
                <w:b/>
                <w:lang w:val="sr-Cyrl-BA"/>
              </w:rPr>
              <w:t>т</w:t>
            </w:r>
            <w:r w:rsidR="00EE6AA2">
              <w:rPr>
                <w:rFonts w:ascii="Arial" w:hAnsi="Arial" w:cs="Arial"/>
                <w:b/>
                <w:lang w:val="sr-Cyrl-BA"/>
              </w:rPr>
              <w:t>е</w:t>
            </w:r>
            <w:r>
              <w:rPr>
                <w:rFonts w:ascii="Arial" w:hAnsi="Arial" w:cs="Arial"/>
                <w:b/>
                <w:lang w:val="sr-Cyrl-BA"/>
              </w:rPr>
              <w:t>р</w:t>
            </w:r>
            <w:r w:rsidR="00A56E08">
              <w:rPr>
                <w:rFonts w:ascii="Arial" w:hAnsi="Arial" w:cs="Arial"/>
                <w:b/>
                <w:lang w:val="sr-Cyrl-BA"/>
              </w:rPr>
              <w:t>а</w:t>
            </w:r>
            <w:r w:rsidR="00892898" w:rsidRPr="00F6340E">
              <w:rPr>
                <w:rFonts w:ascii="Arial" w:hAnsi="Arial" w:cs="Arial"/>
                <w:b/>
                <w:lang w:val="sr-Cyrl-BA"/>
              </w:rPr>
              <w:t xml:space="preserve"> </w:t>
            </w:r>
            <w:r w:rsidR="00A56E08">
              <w:rPr>
                <w:rFonts w:ascii="Arial" w:hAnsi="Arial" w:cs="Arial"/>
                <w:b/>
                <w:lang w:val="sr-Cyrl-BA"/>
              </w:rPr>
              <w:t>об</w:t>
            </w:r>
            <w:r>
              <w:rPr>
                <w:rFonts w:ascii="Arial" w:hAnsi="Arial" w:cs="Arial"/>
                <w:b/>
                <w:lang w:val="sr-Cyrl-BA"/>
              </w:rPr>
              <w:t>р</w:t>
            </w:r>
            <w:r w:rsidR="00A56E08">
              <w:rPr>
                <w:rFonts w:ascii="Arial" w:hAnsi="Arial" w:cs="Arial"/>
                <w:b/>
                <w:lang w:val="sr-Cyrl-BA"/>
              </w:rPr>
              <w:t>а</w:t>
            </w:r>
            <w:r w:rsidR="00171F00">
              <w:rPr>
                <w:rFonts w:ascii="Arial" w:hAnsi="Arial" w:cs="Arial"/>
                <w:b/>
                <w:lang w:val="sr-Cyrl-BA"/>
              </w:rPr>
              <w:t>з</w:t>
            </w:r>
            <w:r w:rsidR="00A56E08">
              <w:rPr>
                <w:rFonts w:ascii="Arial" w:hAnsi="Arial" w:cs="Arial"/>
                <w:b/>
                <w:lang w:val="sr-Cyrl-BA"/>
              </w:rPr>
              <w:t>о</w:t>
            </w:r>
            <w:r>
              <w:rPr>
                <w:rFonts w:ascii="Arial" w:hAnsi="Arial" w:cs="Arial"/>
                <w:b/>
                <w:lang w:val="sr-Cyrl-BA"/>
              </w:rPr>
              <w:t>в</w:t>
            </w:r>
            <w:r w:rsidR="00A56E08">
              <w:rPr>
                <w:rFonts w:ascii="Arial" w:hAnsi="Arial" w:cs="Arial"/>
                <w:b/>
                <w:lang w:val="sr-Cyrl-BA"/>
              </w:rPr>
              <w:t>ног</w:t>
            </w:r>
            <w:r w:rsidR="00892898" w:rsidRPr="00F6340E">
              <w:rPr>
                <w:rFonts w:ascii="Arial" w:hAnsi="Arial" w:cs="Arial"/>
                <w:b/>
                <w:lang w:val="sr-Cyrl-BA"/>
              </w:rPr>
              <w:t xml:space="preserve"> </w:t>
            </w:r>
            <w:r>
              <w:rPr>
                <w:rFonts w:ascii="Arial" w:hAnsi="Arial" w:cs="Arial"/>
                <w:b/>
                <w:lang w:val="sr-Cyrl-BA"/>
              </w:rPr>
              <w:t>пр</w:t>
            </w:r>
            <w:r w:rsidR="00A56E08">
              <w:rPr>
                <w:rFonts w:ascii="Arial" w:hAnsi="Arial" w:cs="Arial"/>
                <w:b/>
                <w:lang w:val="sr-Cyrl-BA"/>
              </w:rPr>
              <w:t>оц</w:t>
            </w:r>
            <w:r w:rsidR="00EE6AA2">
              <w:rPr>
                <w:rFonts w:ascii="Arial" w:hAnsi="Arial" w:cs="Arial"/>
                <w:b/>
                <w:lang w:val="sr-Cyrl-BA"/>
              </w:rPr>
              <w:t>е</w:t>
            </w:r>
            <w:r>
              <w:rPr>
                <w:rFonts w:ascii="Arial" w:hAnsi="Arial" w:cs="Arial"/>
                <w:b/>
                <w:lang w:val="sr-Cyrl-BA"/>
              </w:rPr>
              <w:t>с</w:t>
            </w:r>
            <w:r w:rsidR="00A56E08">
              <w:rPr>
                <w:rFonts w:ascii="Arial" w:hAnsi="Arial" w:cs="Arial"/>
                <w:b/>
                <w:lang w:val="sr-Cyrl-BA"/>
              </w:rPr>
              <w:t>а</w:t>
            </w:r>
            <w:r w:rsidR="00892898" w:rsidRPr="00F6340E">
              <w:rPr>
                <w:rFonts w:ascii="Arial" w:hAnsi="Arial" w:cs="Arial"/>
                <w:b/>
                <w:lang w:val="sr-Cyrl-BA"/>
              </w:rPr>
              <w:t xml:space="preserve"> </w:t>
            </w:r>
            <w:r>
              <w:rPr>
                <w:rFonts w:ascii="Arial" w:hAnsi="Arial" w:cs="Arial"/>
                <w:b/>
                <w:lang w:val="sr-Cyrl-BA"/>
              </w:rPr>
              <w:t>у</w:t>
            </w:r>
            <w:r w:rsidR="00947928" w:rsidRPr="00F6340E">
              <w:rPr>
                <w:rFonts w:ascii="Arial" w:hAnsi="Arial" w:cs="Arial"/>
                <w:b/>
                <w:lang w:val="sr-Cyrl-BA"/>
              </w:rPr>
              <w:t xml:space="preserve"> </w:t>
            </w:r>
            <w:r w:rsidR="00A56E08">
              <w:rPr>
                <w:rFonts w:ascii="Arial" w:hAnsi="Arial" w:cs="Arial"/>
                <w:b/>
                <w:lang w:val="sr-Cyrl-BA"/>
              </w:rPr>
              <w:t>ок</w:t>
            </w:r>
            <w:r>
              <w:rPr>
                <w:rFonts w:ascii="Arial" w:hAnsi="Arial" w:cs="Arial"/>
                <w:b/>
                <w:lang w:val="sr-Cyrl-BA"/>
              </w:rPr>
              <w:t>ру</w:t>
            </w:r>
            <w:r w:rsidR="00171F00">
              <w:rPr>
                <w:rFonts w:ascii="Arial" w:hAnsi="Arial" w:cs="Arial"/>
                <w:b/>
                <w:lang w:val="sr-Cyrl-BA"/>
              </w:rPr>
              <w:t>ж</w:t>
            </w:r>
            <w:r w:rsidR="00EE6AA2">
              <w:rPr>
                <w:rFonts w:ascii="Arial" w:hAnsi="Arial" w:cs="Arial"/>
                <w:b/>
                <w:lang w:val="sr-Cyrl-BA"/>
              </w:rPr>
              <w:t>е</w:t>
            </w:r>
            <w:r w:rsidR="00A56E08">
              <w:rPr>
                <w:rFonts w:ascii="Arial" w:hAnsi="Arial" w:cs="Arial"/>
                <w:b/>
                <w:lang w:val="sr-Cyrl-BA"/>
              </w:rPr>
              <w:t>њ</w:t>
            </w:r>
            <w:r>
              <w:rPr>
                <w:rFonts w:ascii="Arial" w:hAnsi="Arial" w:cs="Arial"/>
                <w:b/>
                <w:lang w:val="sr-Cyrl-BA"/>
              </w:rPr>
              <w:t>у</w:t>
            </w:r>
            <w:r w:rsidR="00D46A3E" w:rsidRPr="00F6340E">
              <w:rPr>
                <w:rFonts w:ascii="Arial" w:hAnsi="Arial" w:cs="Arial"/>
                <w:b/>
                <w:lang w:val="sr-Cyrl-BA"/>
              </w:rPr>
              <w:t xml:space="preserve"> </w:t>
            </w:r>
            <w:r w:rsidR="00A56E08">
              <w:rPr>
                <w:rFonts w:ascii="Arial" w:hAnsi="Arial" w:cs="Arial"/>
                <w:b/>
                <w:lang w:val="sr-Cyrl-BA"/>
              </w:rPr>
              <w:t>на</w:t>
            </w:r>
            <w:r>
              <w:rPr>
                <w:rFonts w:ascii="Arial" w:hAnsi="Arial" w:cs="Arial"/>
                <w:b/>
                <w:lang w:val="sr-Cyrl-BA"/>
              </w:rPr>
              <w:t>ст</w:t>
            </w:r>
            <w:r w:rsidR="00A56E08">
              <w:rPr>
                <w:rFonts w:ascii="Arial" w:hAnsi="Arial" w:cs="Arial"/>
                <w:b/>
                <w:lang w:val="sr-Cyrl-BA"/>
              </w:rPr>
              <w:t>а</w:t>
            </w:r>
            <w:r>
              <w:rPr>
                <w:rFonts w:ascii="Arial" w:hAnsi="Arial" w:cs="Arial"/>
                <w:b/>
                <w:lang w:val="sr-Cyrl-BA"/>
              </w:rPr>
              <w:t>в</w:t>
            </w:r>
            <w:r w:rsidR="00EE6AA2">
              <w:rPr>
                <w:rFonts w:ascii="Arial" w:hAnsi="Arial" w:cs="Arial"/>
                <w:b/>
                <w:lang w:val="sr-Cyrl-BA"/>
              </w:rPr>
              <w:t>е</w:t>
            </w:r>
            <w:r w:rsidR="00947928" w:rsidRPr="00F6340E">
              <w:rPr>
                <w:rFonts w:ascii="Arial" w:hAnsi="Arial" w:cs="Arial"/>
                <w:b/>
                <w:lang w:val="sr-Cyrl-BA"/>
              </w:rPr>
              <w:t xml:space="preserve"> </w:t>
            </w:r>
            <w:r>
              <w:rPr>
                <w:rFonts w:ascii="Arial" w:hAnsi="Arial" w:cs="Arial"/>
                <w:b/>
                <w:lang w:val="sr-Cyrl-BA"/>
              </w:rPr>
              <w:t>пут</w:t>
            </w:r>
            <w:r w:rsidR="00EE6AA2">
              <w:rPr>
                <w:rFonts w:ascii="Arial" w:hAnsi="Arial" w:cs="Arial"/>
                <w:b/>
                <w:lang w:val="sr-Cyrl-BA"/>
              </w:rPr>
              <w:t>е</w:t>
            </w:r>
            <w:r w:rsidR="00A56E08">
              <w:rPr>
                <w:rFonts w:ascii="Arial" w:hAnsi="Arial" w:cs="Arial"/>
                <w:b/>
                <w:lang w:val="sr-Cyrl-BA"/>
              </w:rPr>
              <w:t>м</w:t>
            </w:r>
            <w:r w:rsidR="00947928" w:rsidRPr="00F6340E">
              <w:rPr>
                <w:rFonts w:ascii="Arial" w:hAnsi="Arial" w:cs="Arial"/>
                <w:b/>
                <w:lang w:val="sr-Cyrl-BA"/>
              </w:rPr>
              <w:t xml:space="preserve"> </w:t>
            </w:r>
            <w:r w:rsidR="00A56E08">
              <w:rPr>
                <w:rFonts w:ascii="Arial" w:hAnsi="Arial" w:cs="Arial"/>
                <w:b/>
                <w:lang w:val="sr-Cyrl-BA"/>
              </w:rPr>
              <w:t>ин</w:t>
            </w:r>
            <w:r>
              <w:rPr>
                <w:rFonts w:ascii="Arial" w:hAnsi="Arial" w:cs="Arial"/>
                <w:b/>
                <w:lang w:val="sr-Cyrl-BA"/>
              </w:rPr>
              <w:t>т</w:t>
            </w:r>
            <w:r w:rsidR="00EE6AA2">
              <w:rPr>
                <w:rFonts w:ascii="Arial" w:hAnsi="Arial" w:cs="Arial"/>
                <w:b/>
                <w:lang w:val="sr-Cyrl-BA"/>
              </w:rPr>
              <w:t>е</w:t>
            </w:r>
            <w:r>
              <w:rPr>
                <w:rFonts w:ascii="Arial" w:hAnsi="Arial" w:cs="Arial"/>
                <w:b/>
                <w:lang w:val="sr-Cyrl-BA"/>
              </w:rPr>
              <w:t>р</w:t>
            </w:r>
            <w:r w:rsidR="00A56E08">
              <w:rPr>
                <w:rFonts w:ascii="Arial" w:hAnsi="Arial" w:cs="Arial"/>
                <w:b/>
                <w:lang w:val="sr-Cyrl-BA"/>
              </w:rPr>
              <w:t>н</w:t>
            </w:r>
            <w:r w:rsidR="00EE6AA2">
              <w:rPr>
                <w:rFonts w:ascii="Arial" w:hAnsi="Arial" w:cs="Arial"/>
                <w:b/>
                <w:lang w:val="sr-Cyrl-BA"/>
              </w:rPr>
              <w:t>е</w:t>
            </w:r>
            <w:r>
              <w:rPr>
                <w:rFonts w:ascii="Arial" w:hAnsi="Arial" w:cs="Arial"/>
                <w:b/>
                <w:lang w:val="sr-Cyrl-BA"/>
              </w:rPr>
              <w:t>т</w:t>
            </w:r>
            <w:r w:rsidR="00A56E08">
              <w:rPr>
                <w:rFonts w:ascii="Arial" w:hAnsi="Arial" w:cs="Arial"/>
                <w:b/>
                <w:lang w:val="sr-Cyrl-BA"/>
              </w:rPr>
              <w:t>а</w:t>
            </w:r>
            <w:r w:rsidR="00892898" w:rsidRPr="00F6340E">
              <w:rPr>
                <w:rFonts w:ascii="Arial" w:hAnsi="Arial" w:cs="Arial"/>
                <w:b/>
                <w:lang w:val="sr-Cyrl-BA"/>
              </w:rPr>
              <w:t>.</w:t>
            </w:r>
          </w:p>
          <w:p w14:paraId="2E93F91A" w14:textId="75EFA2FF" w:rsidR="00AD1658" w:rsidRPr="00F6340E" w:rsidRDefault="00A56E08" w:rsidP="00FB5CB7">
            <w:pPr>
              <w:pStyle w:val="ListParagraph"/>
              <w:numPr>
                <w:ilvl w:val="0"/>
                <w:numId w:val="37"/>
              </w:numPr>
              <w:jc w:val="left"/>
              <w:textAlignment w:val="baseline"/>
              <w:rPr>
                <w:rFonts w:ascii="Arial" w:eastAsiaTheme="minorHAnsi" w:hAnsi="Arial" w:cs="Arial"/>
                <w:b/>
                <w:color w:val="000000"/>
                <w:lang w:val="sr-Cyrl-BA"/>
              </w:rPr>
            </w:pPr>
            <w:r>
              <w:rPr>
                <w:rFonts w:ascii="Arial" w:hAnsi="Arial" w:cs="Arial"/>
                <w:b/>
                <w:lang w:val="sr-Cyrl-BA"/>
              </w:rPr>
              <w:t>О</w:t>
            </w:r>
            <w:r w:rsidR="0071360A">
              <w:rPr>
                <w:rFonts w:ascii="Arial" w:hAnsi="Arial" w:cs="Arial"/>
                <w:b/>
                <w:lang w:val="sr-Cyrl-BA"/>
              </w:rPr>
              <w:t>с</w:t>
            </w:r>
            <w:r>
              <w:rPr>
                <w:rFonts w:ascii="Arial" w:hAnsi="Arial" w:cs="Arial"/>
                <w:b/>
                <w:lang w:val="sr-Cyrl-BA"/>
              </w:rPr>
              <w:t>иг</w:t>
            </w:r>
            <w:r w:rsidR="0071360A">
              <w:rPr>
                <w:rFonts w:ascii="Arial" w:hAnsi="Arial" w:cs="Arial"/>
                <w:b/>
                <w:lang w:val="sr-Cyrl-BA"/>
              </w:rPr>
              <w:t>ур</w:t>
            </w:r>
            <w:r>
              <w:rPr>
                <w:rFonts w:ascii="Arial" w:hAnsi="Arial" w:cs="Arial"/>
                <w:b/>
                <w:lang w:val="sr-Cyrl-BA"/>
              </w:rPr>
              <w:t>а</w:t>
            </w:r>
            <w:r w:rsidR="0071360A">
              <w:rPr>
                <w:rFonts w:ascii="Arial" w:hAnsi="Arial" w:cs="Arial"/>
                <w:b/>
                <w:lang w:val="sr-Cyrl-BA"/>
              </w:rPr>
              <w:t>т</w:t>
            </w:r>
            <w:r>
              <w:rPr>
                <w:rFonts w:ascii="Arial" w:hAnsi="Arial" w:cs="Arial"/>
                <w:b/>
                <w:lang w:val="sr-Cyrl-BA"/>
              </w:rPr>
              <w:t>и</w:t>
            </w:r>
            <w:r w:rsidR="00A600AF" w:rsidRPr="00F6340E">
              <w:rPr>
                <w:rFonts w:ascii="Arial" w:hAnsi="Arial" w:cs="Arial"/>
                <w:b/>
                <w:lang w:val="sr-Cyrl-BA"/>
              </w:rPr>
              <w:t xml:space="preserve"> </w:t>
            </w:r>
            <w:r w:rsidR="00171F00">
              <w:rPr>
                <w:rFonts w:ascii="Arial" w:hAnsi="Arial" w:cs="Arial"/>
                <w:b/>
                <w:lang w:val="sr-Cyrl-BA"/>
              </w:rPr>
              <w:t>з</w:t>
            </w:r>
            <w:r>
              <w:rPr>
                <w:rFonts w:ascii="Arial" w:hAnsi="Arial" w:cs="Arial"/>
                <w:b/>
                <w:lang w:val="sr-Cyrl-BA"/>
              </w:rPr>
              <w:t>а</w:t>
            </w:r>
            <w:r w:rsidR="0071360A">
              <w:rPr>
                <w:rFonts w:ascii="Arial" w:hAnsi="Arial" w:cs="Arial"/>
                <w:b/>
                <w:lang w:val="sr-Cyrl-BA"/>
              </w:rPr>
              <w:t>шт</w:t>
            </w:r>
            <w:r>
              <w:rPr>
                <w:rFonts w:ascii="Arial" w:hAnsi="Arial" w:cs="Arial"/>
                <w:b/>
                <w:lang w:val="sr-Cyrl-BA"/>
              </w:rPr>
              <w:t>и</w:t>
            </w:r>
            <w:r w:rsidR="0071360A">
              <w:rPr>
                <w:rFonts w:ascii="Arial" w:hAnsi="Arial" w:cs="Arial"/>
                <w:b/>
                <w:lang w:val="sr-Cyrl-BA"/>
              </w:rPr>
              <w:t>ту</w:t>
            </w:r>
            <w:r w:rsidR="00A600AF" w:rsidRPr="00F6340E">
              <w:rPr>
                <w:rFonts w:ascii="Arial" w:hAnsi="Arial" w:cs="Arial"/>
                <w:b/>
                <w:lang w:val="sr-Cyrl-BA"/>
              </w:rPr>
              <w:t xml:space="preserve"> </w:t>
            </w:r>
            <w:r>
              <w:rPr>
                <w:rFonts w:ascii="Arial" w:hAnsi="Arial" w:cs="Arial"/>
                <w:b/>
                <w:lang w:val="sr-Cyrl-BA"/>
              </w:rPr>
              <w:t>личних</w:t>
            </w:r>
            <w:r w:rsidR="00A600AF" w:rsidRPr="00F6340E">
              <w:rPr>
                <w:rFonts w:ascii="Arial" w:hAnsi="Arial" w:cs="Arial"/>
                <w:b/>
                <w:lang w:val="sr-Cyrl-BA"/>
              </w:rPr>
              <w:t xml:space="preserve"> </w:t>
            </w:r>
            <w:r w:rsidR="0071360A">
              <w:rPr>
                <w:rFonts w:ascii="Arial" w:hAnsi="Arial" w:cs="Arial"/>
                <w:b/>
                <w:lang w:val="sr-Cyrl-BA"/>
              </w:rPr>
              <w:t>п</w:t>
            </w:r>
            <w:r>
              <w:rPr>
                <w:rFonts w:ascii="Arial" w:hAnsi="Arial" w:cs="Arial"/>
                <w:b/>
                <w:lang w:val="sr-Cyrl-BA"/>
              </w:rPr>
              <w:t>ода</w:t>
            </w:r>
            <w:r w:rsidR="0071360A">
              <w:rPr>
                <w:rFonts w:ascii="Arial" w:hAnsi="Arial" w:cs="Arial"/>
                <w:b/>
                <w:lang w:val="sr-Cyrl-BA"/>
              </w:rPr>
              <w:t>т</w:t>
            </w:r>
            <w:r>
              <w:rPr>
                <w:rFonts w:ascii="Arial" w:hAnsi="Arial" w:cs="Arial"/>
                <w:b/>
                <w:lang w:val="sr-Cyrl-BA"/>
              </w:rPr>
              <w:t>ака</w:t>
            </w:r>
            <w:r w:rsidR="00A600AF" w:rsidRPr="00F6340E">
              <w:rPr>
                <w:rFonts w:ascii="Arial" w:hAnsi="Arial" w:cs="Arial"/>
                <w:b/>
                <w:lang w:val="sr-Cyrl-BA"/>
              </w:rPr>
              <w:t xml:space="preserve"> </w:t>
            </w:r>
            <w:r w:rsidR="0071360A">
              <w:rPr>
                <w:rFonts w:ascii="Arial" w:hAnsi="Arial" w:cs="Arial"/>
                <w:b/>
                <w:lang w:val="sr-Cyrl-BA"/>
              </w:rPr>
              <w:t>у</w:t>
            </w:r>
            <w:r w:rsidR="00E864CA" w:rsidRPr="00F6340E">
              <w:rPr>
                <w:rFonts w:ascii="Arial" w:hAnsi="Arial" w:cs="Arial"/>
                <w:b/>
                <w:lang w:val="sr-Cyrl-BA"/>
              </w:rPr>
              <w:t xml:space="preserve"> </w:t>
            </w:r>
            <w:r w:rsidR="0071360A">
              <w:rPr>
                <w:rFonts w:ascii="Arial" w:hAnsi="Arial" w:cs="Arial"/>
                <w:b/>
                <w:lang w:val="sr-Cyrl-BA"/>
              </w:rPr>
              <w:t>с</w:t>
            </w:r>
            <w:r>
              <w:rPr>
                <w:rFonts w:ascii="Arial" w:hAnsi="Arial" w:cs="Arial"/>
                <w:b/>
                <w:lang w:val="sr-Cyrl-BA"/>
              </w:rPr>
              <w:t>клад</w:t>
            </w:r>
            <w:r w:rsidR="0071360A">
              <w:rPr>
                <w:rFonts w:ascii="Arial" w:hAnsi="Arial" w:cs="Arial"/>
                <w:b/>
                <w:lang w:val="sr-Cyrl-BA"/>
              </w:rPr>
              <w:t>у</w:t>
            </w:r>
            <w:r w:rsidR="00B04FA8">
              <w:rPr>
                <w:rFonts w:ascii="Arial" w:hAnsi="Arial" w:cs="Arial"/>
                <w:b/>
                <w:lang w:val="sr-Cyrl-BA"/>
              </w:rPr>
              <w:t xml:space="preserve"> са </w:t>
            </w:r>
            <w:r w:rsidR="0071360A">
              <w:rPr>
                <w:rFonts w:ascii="Arial" w:hAnsi="Arial" w:cs="Arial"/>
                <w:b/>
                <w:lang w:val="sr-Cyrl-BA"/>
              </w:rPr>
              <w:t>в</w:t>
            </w:r>
            <w:r>
              <w:rPr>
                <w:rFonts w:ascii="Arial" w:hAnsi="Arial" w:cs="Arial"/>
                <w:b/>
                <w:lang w:val="sr-Cyrl-BA"/>
              </w:rPr>
              <w:t>а</w:t>
            </w:r>
            <w:r w:rsidR="00171F00">
              <w:rPr>
                <w:rFonts w:ascii="Arial" w:hAnsi="Arial" w:cs="Arial"/>
                <w:b/>
                <w:lang w:val="sr-Cyrl-BA"/>
              </w:rPr>
              <w:t>ж</w:t>
            </w:r>
            <w:r w:rsidR="00EE6AA2">
              <w:rPr>
                <w:rFonts w:ascii="Arial" w:hAnsi="Arial" w:cs="Arial"/>
                <w:b/>
                <w:lang w:val="sr-Cyrl-BA"/>
              </w:rPr>
              <w:t>е</w:t>
            </w:r>
            <w:r>
              <w:rPr>
                <w:rFonts w:ascii="Arial" w:hAnsi="Arial" w:cs="Arial"/>
                <w:b/>
                <w:lang w:val="sr-Cyrl-BA"/>
              </w:rPr>
              <w:t>ћом</w:t>
            </w:r>
            <w:r w:rsidR="000B435D" w:rsidRPr="00F6340E">
              <w:rPr>
                <w:rFonts w:ascii="Arial" w:hAnsi="Arial" w:cs="Arial"/>
                <w:b/>
                <w:lang w:val="sr-Cyrl-BA"/>
              </w:rPr>
              <w:t xml:space="preserve"> </w:t>
            </w:r>
            <w:r w:rsidR="0071360A">
              <w:rPr>
                <w:rFonts w:ascii="Arial" w:hAnsi="Arial" w:cs="Arial"/>
                <w:b/>
                <w:lang w:val="sr-Cyrl-BA"/>
              </w:rPr>
              <w:t>р</w:t>
            </w:r>
            <w:r w:rsidR="00EE6AA2">
              <w:rPr>
                <w:rFonts w:ascii="Arial" w:hAnsi="Arial" w:cs="Arial"/>
                <w:b/>
                <w:lang w:val="sr-Cyrl-BA"/>
              </w:rPr>
              <w:t>е</w:t>
            </w:r>
            <w:r>
              <w:rPr>
                <w:rFonts w:ascii="Arial" w:hAnsi="Arial" w:cs="Arial"/>
                <w:b/>
                <w:lang w:val="sr-Cyrl-BA"/>
              </w:rPr>
              <w:t>г</w:t>
            </w:r>
            <w:r w:rsidR="0071360A">
              <w:rPr>
                <w:rFonts w:ascii="Arial" w:hAnsi="Arial" w:cs="Arial"/>
                <w:b/>
                <w:lang w:val="sr-Cyrl-BA"/>
              </w:rPr>
              <w:t>у</w:t>
            </w:r>
            <w:r>
              <w:rPr>
                <w:rFonts w:ascii="Arial" w:hAnsi="Arial" w:cs="Arial"/>
                <w:b/>
                <w:lang w:val="sr-Cyrl-BA"/>
              </w:rPr>
              <w:t>ла</w:t>
            </w:r>
            <w:r w:rsidR="0071360A">
              <w:rPr>
                <w:rFonts w:ascii="Arial" w:hAnsi="Arial" w:cs="Arial"/>
                <w:b/>
                <w:lang w:val="sr-Cyrl-BA"/>
              </w:rPr>
              <w:t>т</w:t>
            </w:r>
            <w:r>
              <w:rPr>
                <w:rFonts w:ascii="Arial" w:hAnsi="Arial" w:cs="Arial"/>
                <w:b/>
                <w:lang w:val="sr-Cyrl-BA"/>
              </w:rPr>
              <w:t>и</w:t>
            </w:r>
            <w:r w:rsidR="0071360A">
              <w:rPr>
                <w:rFonts w:ascii="Arial" w:hAnsi="Arial" w:cs="Arial"/>
                <w:b/>
                <w:lang w:val="sr-Cyrl-BA"/>
              </w:rPr>
              <w:t>в</w:t>
            </w:r>
            <w:r>
              <w:rPr>
                <w:rFonts w:ascii="Arial" w:hAnsi="Arial" w:cs="Arial"/>
                <w:b/>
                <w:lang w:val="sr-Cyrl-BA"/>
              </w:rPr>
              <w:t>ом</w:t>
            </w:r>
            <w:r w:rsidR="00D46A3E" w:rsidRPr="00F6340E">
              <w:rPr>
                <w:rFonts w:ascii="Arial" w:hAnsi="Arial" w:cs="Arial"/>
                <w:b/>
                <w:lang w:val="sr-Cyrl-BA"/>
              </w:rPr>
              <w:t>,</w:t>
            </w:r>
            <w:r w:rsidR="000B435D" w:rsidRPr="00F6340E">
              <w:rPr>
                <w:rFonts w:ascii="Arial" w:hAnsi="Arial" w:cs="Arial"/>
                <w:b/>
                <w:lang w:val="sr-Cyrl-BA"/>
              </w:rPr>
              <w:t xml:space="preserve"> </w:t>
            </w:r>
            <w:r>
              <w:rPr>
                <w:rFonts w:ascii="Arial" w:hAnsi="Arial" w:cs="Arial"/>
                <w:b/>
                <w:lang w:val="sr-Cyrl-BA"/>
              </w:rPr>
              <w:t>одно</w:t>
            </w:r>
            <w:r w:rsidR="0071360A">
              <w:rPr>
                <w:rFonts w:ascii="Arial" w:hAnsi="Arial" w:cs="Arial"/>
                <w:b/>
                <w:lang w:val="sr-Cyrl-BA"/>
              </w:rPr>
              <w:t>с</w:t>
            </w:r>
            <w:r>
              <w:rPr>
                <w:rFonts w:ascii="Arial" w:hAnsi="Arial" w:cs="Arial"/>
                <w:b/>
                <w:lang w:val="sr-Cyrl-BA"/>
              </w:rPr>
              <w:t>но</w:t>
            </w:r>
            <w:r w:rsidR="000B435D" w:rsidRPr="00F6340E">
              <w:rPr>
                <w:rFonts w:ascii="Arial" w:hAnsi="Arial" w:cs="Arial"/>
                <w:b/>
                <w:lang w:val="sr-Cyrl-BA"/>
              </w:rPr>
              <w:t xml:space="preserve"> </w:t>
            </w:r>
            <w:r>
              <w:rPr>
                <w:rFonts w:ascii="Arial" w:hAnsi="Arial" w:cs="Arial"/>
                <w:b/>
                <w:lang w:val="sr-Cyrl-BA"/>
              </w:rPr>
              <w:t>О</w:t>
            </w:r>
            <w:r w:rsidR="0071360A">
              <w:rPr>
                <w:rFonts w:ascii="Arial" w:hAnsi="Arial" w:cs="Arial"/>
                <w:b/>
                <w:lang w:val="sr-Cyrl-BA"/>
              </w:rPr>
              <w:t>пшт</w:t>
            </w:r>
            <w:r>
              <w:rPr>
                <w:rFonts w:ascii="Arial" w:hAnsi="Arial" w:cs="Arial"/>
                <w:b/>
                <w:lang w:val="sr-Cyrl-BA"/>
              </w:rPr>
              <w:t>ом</w:t>
            </w:r>
            <w:r w:rsidR="000B435D" w:rsidRPr="00F6340E">
              <w:rPr>
                <w:rFonts w:ascii="Arial" w:hAnsi="Arial" w:cs="Arial"/>
                <w:b/>
                <w:lang w:val="sr-Cyrl-BA"/>
              </w:rPr>
              <w:t xml:space="preserve"> </w:t>
            </w:r>
            <w:r w:rsidR="0071360A">
              <w:rPr>
                <w:rFonts w:ascii="Arial" w:hAnsi="Arial" w:cs="Arial"/>
                <w:b/>
                <w:lang w:val="sr-Cyrl-BA"/>
              </w:rPr>
              <w:t>ур</w:t>
            </w:r>
            <w:r w:rsidR="00EE6AA2">
              <w:rPr>
                <w:rFonts w:ascii="Arial" w:hAnsi="Arial" w:cs="Arial"/>
                <w:b/>
                <w:lang w:val="sr-Cyrl-BA"/>
              </w:rPr>
              <w:t>е</w:t>
            </w:r>
            <w:r>
              <w:rPr>
                <w:rFonts w:ascii="Arial" w:hAnsi="Arial" w:cs="Arial"/>
                <w:b/>
                <w:lang w:val="sr-Cyrl-BA"/>
              </w:rPr>
              <w:t>дбом</w:t>
            </w:r>
            <w:r w:rsidR="000B435D" w:rsidRPr="00F6340E">
              <w:rPr>
                <w:rFonts w:ascii="Arial" w:hAnsi="Arial" w:cs="Arial"/>
                <w:b/>
                <w:lang w:val="sr-Cyrl-BA"/>
              </w:rPr>
              <w:t xml:space="preserve"> </w:t>
            </w:r>
            <w:r>
              <w:rPr>
                <w:rFonts w:ascii="Arial" w:hAnsi="Arial" w:cs="Arial"/>
                <w:b/>
                <w:lang w:val="sr-Cyrl-BA"/>
              </w:rPr>
              <w:t>о</w:t>
            </w:r>
            <w:r w:rsidR="000B435D" w:rsidRPr="00F6340E">
              <w:rPr>
                <w:rFonts w:ascii="Arial" w:hAnsi="Arial" w:cs="Arial"/>
                <w:b/>
                <w:lang w:val="sr-Cyrl-BA"/>
              </w:rPr>
              <w:t xml:space="preserve"> </w:t>
            </w:r>
            <w:r w:rsidR="00171F00">
              <w:rPr>
                <w:rFonts w:ascii="Arial" w:hAnsi="Arial" w:cs="Arial"/>
                <w:b/>
                <w:lang w:val="sr-Cyrl-BA"/>
              </w:rPr>
              <w:t>з</w:t>
            </w:r>
            <w:r>
              <w:rPr>
                <w:rFonts w:ascii="Arial" w:hAnsi="Arial" w:cs="Arial"/>
                <w:b/>
                <w:lang w:val="sr-Cyrl-BA"/>
              </w:rPr>
              <w:t>а</w:t>
            </w:r>
            <w:r w:rsidR="0071360A">
              <w:rPr>
                <w:rFonts w:ascii="Arial" w:hAnsi="Arial" w:cs="Arial"/>
                <w:b/>
                <w:lang w:val="sr-Cyrl-BA"/>
              </w:rPr>
              <w:t>шт</w:t>
            </w:r>
            <w:r>
              <w:rPr>
                <w:rFonts w:ascii="Arial" w:hAnsi="Arial" w:cs="Arial"/>
                <w:b/>
                <w:lang w:val="sr-Cyrl-BA"/>
              </w:rPr>
              <w:t>и</w:t>
            </w:r>
            <w:r w:rsidR="0071360A">
              <w:rPr>
                <w:rFonts w:ascii="Arial" w:hAnsi="Arial" w:cs="Arial"/>
                <w:b/>
                <w:lang w:val="sr-Cyrl-BA"/>
              </w:rPr>
              <w:t>т</w:t>
            </w:r>
            <w:r>
              <w:rPr>
                <w:rFonts w:ascii="Arial" w:hAnsi="Arial" w:cs="Arial"/>
                <w:b/>
                <w:lang w:val="sr-Cyrl-BA"/>
              </w:rPr>
              <w:t>и</w:t>
            </w:r>
            <w:r w:rsidR="000B435D" w:rsidRPr="00F6340E">
              <w:rPr>
                <w:rFonts w:ascii="Arial" w:hAnsi="Arial" w:cs="Arial"/>
                <w:b/>
                <w:lang w:val="sr-Cyrl-BA"/>
              </w:rPr>
              <w:t xml:space="preserve"> </w:t>
            </w:r>
            <w:r w:rsidR="0071360A">
              <w:rPr>
                <w:rFonts w:ascii="Arial" w:hAnsi="Arial" w:cs="Arial"/>
                <w:b/>
                <w:lang w:val="sr-Cyrl-BA"/>
              </w:rPr>
              <w:t>п</w:t>
            </w:r>
            <w:r>
              <w:rPr>
                <w:rFonts w:ascii="Arial" w:hAnsi="Arial" w:cs="Arial"/>
                <w:b/>
                <w:lang w:val="sr-Cyrl-BA"/>
              </w:rPr>
              <w:t>ода</w:t>
            </w:r>
            <w:r w:rsidR="0071360A">
              <w:rPr>
                <w:rFonts w:ascii="Arial" w:hAnsi="Arial" w:cs="Arial"/>
                <w:b/>
                <w:lang w:val="sr-Cyrl-BA"/>
              </w:rPr>
              <w:t>т</w:t>
            </w:r>
            <w:r>
              <w:rPr>
                <w:rFonts w:ascii="Arial" w:hAnsi="Arial" w:cs="Arial"/>
                <w:b/>
                <w:lang w:val="sr-Cyrl-BA"/>
              </w:rPr>
              <w:t>ака</w:t>
            </w:r>
            <w:r w:rsidR="000B435D" w:rsidRPr="00F6340E">
              <w:rPr>
                <w:rFonts w:ascii="Arial" w:hAnsi="Arial" w:cs="Arial"/>
                <w:b/>
                <w:lang w:val="sr-Cyrl-BA"/>
              </w:rPr>
              <w:t xml:space="preserve"> (</w:t>
            </w:r>
            <w:r>
              <w:rPr>
                <w:rFonts w:ascii="Arial" w:hAnsi="Arial" w:cs="Arial"/>
                <w:b/>
                <w:lang w:val="sr-Cyrl-BA"/>
              </w:rPr>
              <w:t>ГД</w:t>
            </w:r>
            <w:r w:rsidR="0071360A">
              <w:rPr>
                <w:rFonts w:ascii="Arial" w:hAnsi="Arial" w:cs="Arial"/>
                <w:b/>
                <w:lang w:val="sr-Cyrl-BA"/>
              </w:rPr>
              <w:t>ПР</w:t>
            </w:r>
            <w:r w:rsidR="000B435D" w:rsidRPr="00F6340E">
              <w:rPr>
                <w:rFonts w:ascii="Arial" w:hAnsi="Arial" w:cs="Arial"/>
                <w:b/>
                <w:lang w:val="sr-Cyrl-BA"/>
              </w:rPr>
              <w:t xml:space="preserve">) </w:t>
            </w:r>
          </w:p>
          <w:p w14:paraId="2565BB4F" w14:textId="74C8E519" w:rsidR="00892898" w:rsidRPr="00F6340E" w:rsidRDefault="00A56E08"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иг</w:t>
            </w:r>
            <w:r w:rsidR="0071360A">
              <w:rPr>
                <w:rFonts w:ascii="Arial" w:eastAsia="Times New Roman" w:hAnsi="Arial" w:cs="Arial"/>
                <w:b/>
                <w:color w:val="000000" w:themeColor="text1"/>
                <w:lang w:val="sr-Cyrl-BA"/>
              </w:rPr>
              <w:t>ур</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ад</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к</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н</w:t>
            </w:r>
            <w:r w:rsidR="0071360A">
              <w:rPr>
                <w:rFonts w:ascii="Arial" w:eastAsia="Times New Roman" w:hAnsi="Arial" w:cs="Arial"/>
                <w:b/>
                <w:color w:val="000000" w:themeColor="text1"/>
                <w:lang w:val="sr-Cyrl-BA"/>
              </w:rPr>
              <w:t>у</w:t>
            </w:r>
            <w:r w:rsidR="00103E94"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ач</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рс</w:t>
            </w:r>
            <w:r>
              <w:rPr>
                <w:rFonts w:ascii="Arial" w:eastAsia="Times New Roman" w:hAnsi="Arial" w:cs="Arial"/>
                <w:b/>
                <w:color w:val="000000" w:themeColor="text1"/>
                <w:lang w:val="sr-Cyrl-BA"/>
              </w:rPr>
              <w:t>к</w:t>
            </w:r>
            <w:r w:rsidR="0071360A">
              <w:rPr>
                <w:rFonts w:ascii="Arial" w:eastAsia="Times New Roman" w:hAnsi="Arial" w:cs="Arial"/>
                <w:b/>
                <w:color w:val="000000" w:themeColor="text1"/>
                <w:lang w:val="sr-Cyrl-BA"/>
              </w:rPr>
              <w:t>у</w:t>
            </w:r>
            <w:r w:rsidR="00A877D3"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пр</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м</w:t>
            </w:r>
            <w:r w:rsidR="0071360A">
              <w:rPr>
                <w:rFonts w:ascii="Arial" w:eastAsia="Times New Roman" w:hAnsi="Arial" w:cs="Arial"/>
                <w:b/>
                <w:color w:val="000000" w:themeColor="text1"/>
                <w:lang w:val="sr-Cyrl-BA"/>
              </w:rPr>
              <w:t>у</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ни</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у</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об</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а</w:t>
            </w:r>
            <w:r w:rsidR="00171F00">
              <w:rPr>
                <w:rFonts w:ascii="Arial" w:eastAsia="Times New Roman" w:hAnsi="Arial" w:cs="Arial"/>
                <w:b/>
                <w:color w:val="000000" w:themeColor="text1"/>
                <w:lang w:val="sr-Cyrl-BA"/>
              </w:rPr>
              <w:t>з</w:t>
            </w: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н</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ин</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и</w:t>
            </w:r>
            <w:r w:rsidR="0071360A">
              <w:rPr>
                <w:rFonts w:ascii="Arial" w:eastAsia="Times New Roman" w:hAnsi="Arial" w:cs="Arial"/>
                <w:b/>
                <w:color w:val="000000" w:themeColor="text1"/>
                <w:lang w:val="sr-Cyrl-BA"/>
              </w:rPr>
              <w:t>ту</w:t>
            </w:r>
            <w:r>
              <w:rPr>
                <w:rFonts w:ascii="Arial" w:eastAsia="Times New Roman" w:hAnsi="Arial" w:cs="Arial"/>
                <w:b/>
                <w:color w:val="000000" w:themeColor="text1"/>
                <w:lang w:val="sr-Cyrl-BA"/>
              </w:rPr>
              <w:t>циј</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sidR="00E864CA"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клад</w:t>
            </w:r>
            <w:r w:rsidR="0071360A">
              <w:rPr>
                <w:rFonts w:ascii="Arial" w:eastAsia="Times New Roman" w:hAnsi="Arial" w:cs="Arial"/>
                <w:b/>
                <w:color w:val="000000" w:themeColor="text1"/>
                <w:lang w:val="sr-Cyrl-BA"/>
              </w:rPr>
              <w:t>у</w:t>
            </w:r>
            <w:r w:rsidR="00B04FA8">
              <w:rPr>
                <w:rFonts w:ascii="Arial" w:eastAsia="Times New Roman" w:hAnsi="Arial" w:cs="Arial"/>
                <w:b/>
                <w:color w:val="000000" w:themeColor="text1"/>
                <w:lang w:val="sr-Cyrl-BA"/>
              </w:rPr>
              <w:t xml:space="preserve"> са </w:t>
            </w:r>
            <w:r>
              <w:rPr>
                <w:rFonts w:ascii="Arial" w:eastAsia="Times New Roman" w:hAnsi="Arial" w:cs="Arial"/>
                <w:b/>
                <w:color w:val="000000" w:themeColor="text1"/>
                <w:lang w:val="sr-Cyrl-BA"/>
              </w:rPr>
              <w:t>д</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фини</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аним</w:t>
            </w:r>
            <w:r w:rsidR="00892898" w:rsidRPr="00F6340E">
              <w:rPr>
                <w:rFonts w:ascii="Arial" w:eastAsia="Times New Roman" w:hAnsi="Arial" w:cs="Arial"/>
                <w:b/>
                <w:color w:val="000000" w:themeColor="text1"/>
                <w:lang w:val="sr-Cyrl-BA"/>
              </w:rPr>
              <w:t xml:space="preserve"> </w:t>
            </w:r>
            <w:hyperlink r:id="rId30" w:history="1">
              <w:r w:rsidR="0071360A">
                <w:rPr>
                  <w:rStyle w:val="Hyperlink"/>
                  <w:rFonts w:ascii="Arial" w:eastAsia="Times New Roman" w:hAnsi="Arial" w:cs="Arial"/>
                  <w:b/>
                  <w:lang w:val="sr-Cyrl-BA"/>
                </w:rPr>
                <w:t>Ст</w:t>
              </w:r>
              <w:r>
                <w:rPr>
                  <w:rStyle w:val="Hyperlink"/>
                  <w:rFonts w:ascii="Arial" w:eastAsia="Times New Roman" w:hAnsi="Arial" w:cs="Arial"/>
                  <w:b/>
                  <w:lang w:val="sr-Cyrl-BA"/>
                </w:rPr>
                <w:t>анда</w:t>
              </w:r>
              <w:r w:rsidR="0071360A">
                <w:rPr>
                  <w:rStyle w:val="Hyperlink"/>
                  <w:rFonts w:ascii="Arial" w:eastAsia="Times New Roman" w:hAnsi="Arial" w:cs="Arial"/>
                  <w:b/>
                  <w:lang w:val="sr-Cyrl-BA"/>
                </w:rPr>
                <w:t>р</w:t>
              </w:r>
              <w:r>
                <w:rPr>
                  <w:rStyle w:val="Hyperlink"/>
                  <w:rFonts w:ascii="Arial" w:eastAsia="Times New Roman" w:hAnsi="Arial" w:cs="Arial"/>
                  <w:b/>
                  <w:lang w:val="sr-Cyrl-BA"/>
                </w:rPr>
                <w:t>дима</w:t>
              </w:r>
              <w:r w:rsidR="00892898" w:rsidRPr="00F6340E">
                <w:rPr>
                  <w:rStyle w:val="Hyperlink"/>
                  <w:rFonts w:ascii="Arial" w:eastAsia="Times New Roman" w:hAnsi="Arial" w:cs="Arial"/>
                  <w:b/>
                  <w:lang w:val="sr-Cyrl-BA"/>
                </w:rPr>
                <w:t xml:space="preserve"> </w:t>
              </w:r>
              <w:r w:rsidR="0071360A">
                <w:rPr>
                  <w:rStyle w:val="Hyperlink"/>
                  <w:rFonts w:ascii="Arial" w:eastAsia="Times New Roman" w:hAnsi="Arial" w:cs="Arial"/>
                  <w:b/>
                  <w:lang w:val="sr-Cyrl-BA"/>
                </w:rPr>
                <w:t>т</w:t>
              </w:r>
              <w:r w:rsidR="00EE6AA2">
                <w:rPr>
                  <w:rStyle w:val="Hyperlink"/>
                  <w:rFonts w:ascii="Arial" w:eastAsia="Times New Roman" w:hAnsi="Arial" w:cs="Arial"/>
                  <w:b/>
                  <w:lang w:val="sr-Cyrl-BA"/>
                </w:rPr>
                <w:t>е</w:t>
              </w:r>
              <w:r w:rsidR="00892898" w:rsidRPr="00F6340E">
                <w:rPr>
                  <w:rStyle w:val="Hyperlink"/>
                  <w:rFonts w:ascii="Arial" w:eastAsia="Times New Roman" w:hAnsi="Arial" w:cs="Arial"/>
                  <w:b/>
                  <w:lang w:val="sr-Cyrl-BA"/>
                </w:rPr>
                <w:t xml:space="preserve"> </w:t>
              </w:r>
              <w:r w:rsidR="0071360A">
                <w:rPr>
                  <w:rStyle w:val="Hyperlink"/>
                  <w:rFonts w:ascii="Arial" w:hAnsi="Arial" w:cs="Arial"/>
                  <w:b/>
                  <w:lang w:val="sr-Cyrl-BA"/>
                </w:rPr>
                <w:t>п</w:t>
              </w:r>
              <w:r>
                <w:rPr>
                  <w:rStyle w:val="Hyperlink"/>
                  <w:rFonts w:ascii="Arial" w:hAnsi="Arial" w:cs="Arial"/>
                  <w:b/>
                  <w:lang w:val="sr-Cyrl-BA"/>
                </w:rPr>
                <w:t>о</w:t>
              </w:r>
              <w:r w:rsidR="0071360A">
                <w:rPr>
                  <w:rStyle w:val="Hyperlink"/>
                  <w:rFonts w:ascii="Arial" w:hAnsi="Arial" w:cs="Arial"/>
                  <w:b/>
                  <w:lang w:val="sr-Cyrl-BA"/>
                </w:rPr>
                <w:t>ст</w:t>
              </w:r>
              <w:r>
                <w:rPr>
                  <w:rStyle w:val="Hyperlink"/>
                  <w:rFonts w:ascii="Arial" w:hAnsi="Arial" w:cs="Arial"/>
                  <w:b/>
                  <w:lang w:val="sr-Cyrl-BA"/>
                </w:rPr>
                <w:t>а</w:t>
              </w:r>
              <w:r w:rsidR="0071360A">
                <w:rPr>
                  <w:rStyle w:val="Hyperlink"/>
                  <w:rFonts w:ascii="Arial" w:hAnsi="Arial" w:cs="Arial"/>
                  <w:b/>
                  <w:lang w:val="sr-Cyrl-BA"/>
                </w:rPr>
                <w:t>в</w:t>
              </w:r>
              <w:r>
                <w:rPr>
                  <w:rStyle w:val="Hyperlink"/>
                  <w:rFonts w:ascii="Arial" w:hAnsi="Arial" w:cs="Arial"/>
                  <w:b/>
                  <w:lang w:val="sr-Cyrl-BA"/>
                </w:rPr>
                <w:t>љ</w:t>
              </w:r>
              <w:r w:rsidR="00EE6AA2">
                <w:rPr>
                  <w:rStyle w:val="Hyperlink"/>
                  <w:rFonts w:ascii="Arial" w:hAnsi="Arial" w:cs="Arial"/>
                  <w:b/>
                  <w:lang w:val="sr-Cyrl-BA"/>
                </w:rPr>
                <w:t>е</w:t>
              </w:r>
              <w:r>
                <w:rPr>
                  <w:rStyle w:val="Hyperlink"/>
                  <w:rFonts w:ascii="Arial" w:hAnsi="Arial" w:cs="Arial"/>
                  <w:b/>
                  <w:lang w:val="sr-Cyrl-BA"/>
                </w:rPr>
                <w:t>ним</w:t>
              </w:r>
              <w:r w:rsidR="00892898" w:rsidRPr="00F6340E">
                <w:rPr>
                  <w:rStyle w:val="Hyperlink"/>
                  <w:rFonts w:ascii="Arial" w:hAnsi="Arial" w:cs="Arial"/>
                  <w:b/>
                  <w:lang w:val="sr-Cyrl-BA"/>
                </w:rPr>
                <w:t xml:space="preserve"> </w:t>
              </w:r>
              <w:r>
                <w:rPr>
                  <w:rStyle w:val="Hyperlink"/>
                  <w:rFonts w:ascii="Arial" w:hAnsi="Arial" w:cs="Arial"/>
                  <w:b/>
                  <w:lang w:val="sr-Cyrl-BA"/>
                </w:rPr>
                <w:t>циљ</w:t>
              </w:r>
              <w:r w:rsidR="00EE6AA2">
                <w:rPr>
                  <w:rStyle w:val="Hyperlink"/>
                  <w:rFonts w:ascii="Arial" w:hAnsi="Arial" w:cs="Arial"/>
                  <w:b/>
                  <w:lang w:val="sr-Cyrl-BA"/>
                </w:rPr>
                <w:t>е</w:t>
              </w:r>
              <w:r w:rsidR="0071360A">
                <w:rPr>
                  <w:rStyle w:val="Hyperlink"/>
                  <w:rFonts w:ascii="Arial" w:hAnsi="Arial" w:cs="Arial"/>
                  <w:b/>
                  <w:lang w:val="sr-Cyrl-BA"/>
                </w:rPr>
                <w:t>в</w:t>
              </w:r>
              <w:r>
                <w:rPr>
                  <w:rStyle w:val="Hyperlink"/>
                  <w:rFonts w:ascii="Arial" w:hAnsi="Arial" w:cs="Arial"/>
                  <w:b/>
                  <w:lang w:val="sr-Cyrl-BA"/>
                </w:rPr>
                <w:t>има</w:t>
              </w:r>
              <w:r w:rsidR="00892898" w:rsidRPr="00F6340E">
                <w:rPr>
                  <w:rStyle w:val="Hyperlink"/>
                  <w:rFonts w:ascii="Arial" w:hAnsi="Arial" w:cs="Arial"/>
                  <w:b/>
                  <w:lang w:val="sr-Cyrl-BA"/>
                </w:rPr>
                <w:t xml:space="preserve"> </w:t>
              </w:r>
              <w:r>
                <w:rPr>
                  <w:rStyle w:val="Hyperlink"/>
                  <w:rFonts w:ascii="Arial" w:hAnsi="Arial" w:cs="Arial"/>
                  <w:b/>
                  <w:lang w:val="sr-Cyrl-BA"/>
                </w:rPr>
                <w:t>од</w:t>
              </w:r>
              <w:r w:rsidR="0071360A">
                <w:rPr>
                  <w:rStyle w:val="Hyperlink"/>
                  <w:rFonts w:ascii="Arial" w:hAnsi="Arial" w:cs="Arial"/>
                  <w:b/>
                  <w:lang w:val="sr-Cyrl-BA"/>
                </w:rPr>
                <w:t>р</w:t>
              </w:r>
              <w:r w:rsidR="00171F00">
                <w:rPr>
                  <w:rStyle w:val="Hyperlink"/>
                  <w:rFonts w:ascii="Arial" w:hAnsi="Arial" w:cs="Arial"/>
                  <w:b/>
                  <w:lang w:val="sr-Cyrl-BA"/>
                </w:rPr>
                <w:t>ж</w:t>
              </w:r>
              <w:r>
                <w:rPr>
                  <w:rStyle w:val="Hyperlink"/>
                  <w:rFonts w:ascii="Arial" w:hAnsi="Arial" w:cs="Arial"/>
                  <w:b/>
                  <w:lang w:val="sr-Cyrl-BA"/>
                </w:rPr>
                <w:t>и</w:t>
              </w:r>
              <w:r w:rsidR="0071360A">
                <w:rPr>
                  <w:rStyle w:val="Hyperlink"/>
                  <w:rFonts w:ascii="Arial" w:hAnsi="Arial" w:cs="Arial"/>
                  <w:b/>
                  <w:lang w:val="sr-Cyrl-BA"/>
                </w:rPr>
                <w:t>в</w:t>
              </w:r>
              <w:r>
                <w:rPr>
                  <w:rStyle w:val="Hyperlink"/>
                  <w:rFonts w:ascii="Arial" w:hAnsi="Arial" w:cs="Arial"/>
                  <w:b/>
                  <w:lang w:val="sr-Cyrl-BA"/>
                </w:rPr>
                <w:t>ог</w:t>
              </w:r>
              <w:r w:rsidR="00892898" w:rsidRPr="00F6340E">
                <w:rPr>
                  <w:rStyle w:val="Hyperlink"/>
                  <w:rFonts w:ascii="Arial" w:hAnsi="Arial" w:cs="Arial"/>
                  <w:b/>
                  <w:lang w:val="sr-Cyrl-BA"/>
                </w:rPr>
                <w:t xml:space="preserve"> </w:t>
              </w:r>
              <w:r w:rsidR="0071360A">
                <w:rPr>
                  <w:rStyle w:val="Hyperlink"/>
                  <w:rFonts w:ascii="Arial" w:hAnsi="Arial" w:cs="Arial"/>
                  <w:b/>
                  <w:lang w:val="sr-Cyrl-BA"/>
                </w:rPr>
                <w:t>р</w:t>
              </w:r>
              <w:r>
                <w:rPr>
                  <w:rStyle w:val="Hyperlink"/>
                  <w:rFonts w:ascii="Arial" w:hAnsi="Arial" w:cs="Arial"/>
                  <w:b/>
                  <w:lang w:val="sr-Cyrl-BA"/>
                </w:rPr>
                <w:t>а</w:t>
              </w:r>
              <w:r w:rsidR="00171F00">
                <w:rPr>
                  <w:rStyle w:val="Hyperlink"/>
                  <w:rFonts w:ascii="Arial" w:hAnsi="Arial" w:cs="Arial"/>
                  <w:b/>
                  <w:lang w:val="sr-Cyrl-BA"/>
                </w:rPr>
                <w:t>з</w:t>
              </w:r>
              <w:r w:rsidR="0071360A">
                <w:rPr>
                  <w:rStyle w:val="Hyperlink"/>
                  <w:rFonts w:ascii="Arial" w:hAnsi="Arial" w:cs="Arial"/>
                  <w:b/>
                  <w:lang w:val="sr-Cyrl-BA"/>
                </w:rPr>
                <w:t>в</w:t>
              </w:r>
              <w:r>
                <w:rPr>
                  <w:rStyle w:val="Hyperlink"/>
                  <w:rFonts w:ascii="Arial" w:hAnsi="Arial" w:cs="Arial"/>
                  <w:b/>
                  <w:lang w:val="sr-Cyrl-BA"/>
                </w:rPr>
                <w:t>оја</w:t>
              </w:r>
              <w:r w:rsidR="00892898" w:rsidRPr="00F6340E">
                <w:rPr>
                  <w:rStyle w:val="Hyperlink"/>
                  <w:rFonts w:ascii="Arial" w:hAnsi="Arial" w:cs="Arial"/>
                  <w:b/>
                  <w:lang w:val="sr-Cyrl-BA"/>
                </w:rPr>
                <w:t xml:space="preserve"> </w:t>
              </w:r>
              <w:r w:rsidR="00171F00">
                <w:rPr>
                  <w:rStyle w:val="Hyperlink"/>
                  <w:rFonts w:ascii="Arial" w:hAnsi="Arial" w:cs="Arial"/>
                  <w:b/>
                  <w:lang w:val="sr-Cyrl-BA"/>
                </w:rPr>
                <w:t>з</w:t>
              </w:r>
              <w:r>
                <w:rPr>
                  <w:rStyle w:val="Hyperlink"/>
                  <w:rFonts w:ascii="Arial" w:hAnsi="Arial" w:cs="Arial"/>
                  <w:b/>
                  <w:lang w:val="sr-Cyrl-BA"/>
                </w:rPr>
                <w:t>а</w:t>
              </w:r>
              <w:r w:rsidR="00892898" w:rsidRPr="00F6340E">
                <w:rPr>
                  <w:rStyle w:val="Hyperlink"/>
                  <w:rFonts w:ascii="Arial" w:hAnsi="Arial" w:cs="Arial"/>
                  <w:b/>
                  <w:lang w:val="sr-Cyrl-BA"/>
                </w:rPr>
                <w:t xml:space="preserve"> </w:t>
              </w:r>
              <w:r>
                <w:rPr>
                  <w:rStyle w:val="Hyperlink"/>
                  <w:rFonts w:ascii="Arial" w:hAnsi="Arial" w:cs="Arial"/>
                  <w:b/>
                  <w:lang w:val="sr-Cyrl-BA"/>
                </w:rPr>
                <w:t>БиХ</w:t>
              </w:r>
              <w:r w:rsidR="00892898" w:rsidRPr="00F6340E">
                <w:rPr>
                  <w:rStyle w:val="Hyperlink"/>
                  <w:rFonts w:ascii="Arial" w:hAnsi="Arial" w:cs="Arial"/>
                  <w:b/>
                  <w:lang w:val="sr-Cyrl-BA"/>
                </w:rPr>
                <w:t xml:space="preserve"> </w:t>
              </w:r>
              <w:r>
                <w:rPr>
                  <w:rStyle w:val="Hyperlink"/>
                  <w:rFonts w:ascii="Arial" w:hAnsi="Arial" w:cs="Arial"/>
                  <w:b/>
                  <w:lang w:val="sr-Cyrl-BA"/>
                </w:rPr>
                <w:t>до</w:t>
              </w:r>
              <w:r w:rsidR="00892898" w:rsidRPr="00F6340E">
                <w:rPr>
                  <w:rStyle w:val="Hyperlink"/>
                  <w:rFonts w:ascii="Arial" w:hAnsi="Arial" w:cs="Arial"/>
                  <w:b/>
                  <w:lang w:val="sr-Cyrl-BA"/>
                </w:rPr>
                <w:t xml:space="preserve"> 2030.</w:t>
              </w:r>
            </w:hyperlink>
            <w:r w:rsidR="00892898" w:rsidRPr="00F6340E">
              <w:rPr>
                <w:rFonts w:ascii="Arial" w:hAnsi="Arial" w:cs="Arial"/>
                <w:lang w:val="sr-Cyrl-BA"/>
              </w:rPr>
              <w:t xml:space="preserve"> </w:t>
            </w:r>
          </w:p>
          <w:p w14:paraId="4ACF95F2" w14:textId="5FA44636" w:rsidR="00892898" w:rsidRPr="00F6340E" w:rsidRDefault="00171F00" w:rsidP="00FB5CB7">
            <w:pPr>
              <w:pStyle w:val="ListParagraph"/>
              <w:numPr>
                <w:ilvl w:val="0"/>
                <w:numId w:val="39"/>
              </w:numPr>
              <w:jc w:val="left"/>
              <w:rPr>
                <w:rFonts w:ascii="Arial" w:eastAsia="Times New Roman" w:hAnsi="Arial" w:cs="Arial"/>
                <w:lang w:val="sr-Cyrl-BA"/>
              </w:rPr>
            </w:pPr>
            <w:r>
              <w:rPr>
                <w:rFonts w:ascii="Arial" w:eastAsia="Times New Roman" w:hAnsi="Arial" w:cs="Arial"/>
                <w:lang w:val="sr-Cyrl-BA"/>
              </w:rPr>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71360A">
              <w:rPr>
                <w:rFonts w:ascii="Arial" w:eastAsia="Times New Roman" w:hAnsi="Arial" w:cs="Arial"/>
                <w:lang w:val="sr-Cyrl-BA"/>
              </w:rPr>
              <w:t>ст</w:t>
            </w:r>
            <w:r w:rsidR="00A56E08">
              <w:rPr>
                <w:rFonts w:ascii="Arial" w:eastAsia="Times New Roman" w:hAnsi="Arial" w:cs="Arial"/>
                <w:lang w:val="sr-Cyrl-BA"/>
              </w:rPr>
              <w:t>а</w:t>
            </w:r>
            <w:r w:rsidR="0071360A">
              <w:rPr>
                <w:rFonts w:ascii="Arial" w:eastAsia="Times New Roman" w:hAnsi="Arial" w:cs="Arial"/>
                <w:lang w:val="sr-Cyrl-BA"/>
              </w:rPr>
              <w:t>в</w:t>
            </w:r>
            <w:r w:rsidR="00A56E08">
              <w:rPr>
                <w:rFonts w:ascii="Arial" w:eastAsia="Times New Roman" w:hAnsi="Arial" w:cs="Arial"/>
                <w:lang w:val="sr-Cyrl-BA"/>
              </w:rPr>
              <w:t>ник</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E864CA" w:rsidRPr="00F6340E">
              <w:rPr>
                <w:rFonts w:ascii="Arial" w:eastAsia="Times New Roman" w:hAnsi="Arial" w:cs="Arial"/>
                <w:lang w:val="sr-Cyrl-BA"/>
              </w:rPr>
              <w:t xml:space="preserve"> </w:t>
            </w:r>
            <w:r w:rsidR="0071360A">
              <w:rPr>
                <w:rFonts w:ascii="Arial" w:eastAsia="Times New Roman" w:hAnsi="Arial" w:cs="Arial"/>
                <w:lang w:val="sr-Cyrl-BA"/>
              </w:rPr>
              <w:t>с</w:t>
            </w:r>
            <w:r w:rsidR="00A56E08">
              <w:rPr>
                <w:rFonts w:ascii="Arial" w:eastAsia="Times New Roman" w:hAnsi="Arial" w:cs="Arial"/>
                <w:lang w:val="sr-Cyrl-BA"/>
              </w:rPr>
              <w:t>клад</w:t>
            </w:r>
            <w:r w:rsidR="0071360A">
              <w:rPr>
                <w:rFonts w:ascii="Arial" w:eastAsia="Times New Roman" w:hAnsi="Arial" w:cs="Arial"/>
                <w:lang w:val="sr-Cyrl-BA"/>
              </w:rPr>
              <w:t>у</w:t>
            </w:r>
            <w:r w:rsidR="00892898" w:rsidRPr="00F6340E">
              <w:rPr>
                <w:rFonts w:ascii="Arial" w:eastAsia="Times New Roman" w:hAnsi="Arial" w:cs="Arial"/>
                <w:lang w:val="sr-Cyrl-BA"/>
              </w:rPr>
              <w:t xml:space="preserve"> </w:t>
            </w:r>
            <w:r w:rsidR="0071360A">
              <w:rPr>
                <w:rFonts w:ascii="Arial" w:eastAsia="Times New Roman" w:hAnsi="Arial" w:cs="Arial"/>
                <w:lang w:val="sr-Cyrl-BA"/>
              </w:rPr>
              <w:t>с</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сп</w:t>
            </w:r>
            <w:r w:rsidR="00EE6AA2">
              <w:rPr>
                <w:rFonts w:ascii="Arial" w:eastAsia="Times New Roman" w:hAnsi="Arial" w:cs="Arial"/>
                <w:lang w:val="sr-Cyrl-BA"/>
              </w:rPr>
              <w:t>е</w:t>
            </w:r>
            <w:r w:rsidR="00A56E08">
              <w:rPr>
                <w:rFonts w:ascii="Arial" w:eastAsia="Times New Roman" w:hAnsi="Arial" w:cs="Arial"/>
                <w:lang w:val="sr-Cyrl-BA"/>
              </w:rPr>
              <w:t>цифичним</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71360A">
              <w:rPr>
                <w:rFonts w:ascii="Arial" w:eastAsia="Times New Roman" w:hAnsi="Arial" w:cs="Arial"/>
                <w:lang w:val="sr-Cyrl-BA"/>
              </w:rPr>
              <w:t>ст</w:t>
            </w:r>
            <w:r w:rsidR="00A56E08">
              <w:rPr>
                <w:rFonts w:ascii="Arial" w:eastAsia="Times New Roman" w:hAnsi="Arial" w:cs="Arial"/>
                <w:lang w:val="sr-Cyrl-BA"/>
              </w:rPr>
              <w:t>а</w:t>
            </w:r>
            <w:r w:rsidR="0071360A">
              <w:rPr>
                <w:rFonts w:ascii="Arial" w:eastAsia="Times New Roman" w:hAnsi="Arial" w:cs="Arial"/>
                <w:lang w:val="sr-Cyrl-BA"/>
              </w:rPr>
              <w:t>в</w:t>
            </w:r>
            <w:r w:rsidR="00A56E08">
              <w:rPr>
                <w:rFonts w:ascii="Arial" w:eastAsia="Times New Roman" w:hAnsi="Arial" w:cs="Arial"/>
                <w:lang w:val="sr-Cyrl-BA"/>
              </w:rPr>
              <w:t>ним</w:t>
            </w:r>
            <w:r w:rsidR="00892898" w:rsidRPr="00F6340E">
              <w:rPr>
                <w:rFonts w:ascii="Arial" w:eastAsia="Times New Roman" w:hAnsi="Arial" w:cs="Arial"/>
                <w:lang w:val="sr-Cyrl-BA"/>
              </w:rPr>
              <w:t xml:space="preserve"> </w:t>
            </w:r>
            <w:r w:rsidR="0071360A">
              <w:rPr>
                <w:rFonts w:ascii="Arial" w:eastAsia="Times New Roman" w:hAnsi="Arial" w:cs="Arial"/>
                <w:lang w:val="sr-Cyrl-BA"/>
              </w:rPr>
              <w:t>п</w:t>
            </w:r>
            <w:r w:rsidR="00A56E08">
              <w:rPr>
                <w:rFonts w:ascii="Arial" w:eastAsia="Times New Roman" w:hAnsi="Arial" w:cs="Arial"/>
                <w:lang w:val="sr-Cyrl-BA"/>
              </w:rPr>
              <w:t>од</w:t>
            </w:r>
            <w:r w:rsidR="0071360A">
              <w:rPr>
                <w:rFonts w:ascii="Arial" w:eastAsia="Times New Roman" w:hAnsi="Arial" w:cs="Arial"/>
                <w:lang w:val="sr-Cyrl-BA"/>
              </w:rPr>
              <w:t>ру</w:t>
            </w:r>
            <w:r w:rsidR="00A56E08">
              <w:rPr>
                <w:rFonts w:ascii="Arial" w:eastAsia="Times New Roman" w:hAnsi="Arial" w:cs="Arial"/>
                <w:lang w:val="sr-Cyrl-BA"/>
              </w:rPr>
              <w:t>чј</w:t>
            </w:r>
            <w:r w:rsidR="00EE6AA2">
              <w:rPr>
                <w:rFonts w:ascii="Arial" w:eastAsia="Times New Roman" w:hAnsi="Arial" w:cs="Arial"/>
                <w:lang w:val="sr-Cyrl-BA"/>
              </w:rPr>
              <w:t>е</w:t>
            </w:r>
            <w:r w:rsidR="00A56E08">
              <w:rPr>
                <w:rFonts w:ascii="Arial" w:eastAsia="Times New Roman" w:hAnsi="Arial" w:cs="Arial"/>
                <w:lang w:val="sr-Cyrl-BA"/>
              </w:rPr>
              <w:t>м</w:t>
            </w:r>
            <w:r w:rsidR="00892898" w:rsidRPr="00F6340E">
              <w:rPr>
                <w:rFonts w:ascii="Arial" w:eastAsia="Times New Roman" w:hAnsi="Arial" w:cs="Arial"/>
                <w:lang w:val="sr-Cyrl-BA"/>
              </w:rPr>
              <w:t xml:space="preserve"> </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71360A">
              <w:rPr>
                <w:rFonts w:ascii="Arial" w:eastAsia="Times New Roman" w:hAnsi="Arial" w:cs="Arial"/>
                <w:lang w:val="sr-Cyrl-BA"/>
              </w:rPr>
              <w:t>п</w:t>
            </w:r>
            <w:r w:rsidR="00A56E08">
              <w:rPr>
                <w:rFonts w:ascii="Arial" w:eastAsia="Times New Roman" w:hAnsi="Arial" w:cs="Arial"/>
                <w:lang w:val="sr-Cyrl-BA"/>
              </w:rPr>
              <w:t>о</w:t>
            </w:r>
            <w:r w:rsidR="0071360A">
              <w:rPr>
                <w:rFonts w:ascii="Arial" w:eastAsia="Times New Roman" w:hAnsi="Arial" w:cs="Arial"/>
                <w:lang w:val="sr-Cyrl-BA"/>
              </w:rPr>
              <w:t>тр</w:t>
            </w:r>
            <w:r w:rsidR="00EE6AA2">
              <w:rPr>
                <w:rFonts w:ascii="Arial" w:eastAsia="Times New Roman" w:hAnsi="Arial" w:cs="Arial"/>
                <w:lang w:val="sr-Cyrl-BA"/>
              </w:rPr>
              <w:t>е</w:t>
            </w:r>
            <w:r w:rsidR="00A56E08">
              <w:rPr>
                <w:rFonts w:ascii="Arial" w:eastAsia="Times New Roman" w:hAnsi="Arial" w:cs="Arial"/>
                <w:lang w:val="sr-Cyrl-BA"/>
              </w:rPr>
              <w:t>бама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71360A">
              <w:rPr>
                <w:rFonts w:ascii="Arial" w:eastAsia="Times New Roman" w:hAnsi="Arial" w:cs="Arial"/>
                <w:lang w:val="sr-Cyrl-BA"/>
              </w:rPr>
              <w:t>ст</w:t>
            </w:r>
            <w:r w:rsidR="00A56E08">
              <w:rPr>
                <w:rFonts w:ascii="Arial" w:eastAsia="Times New Roman" w:hAnsi="Arial" w:cs="Arial"/>
                <w:lang w:val="sr-Cyrl-BA"/>
              </w:rPr>
              <w:t>а</w:t>
            </w:r>
            <w:r w:rsidR="0071360A">
              <w:rPr>
                <w:rFonts w:ascii="Arial" w:eastAsia="Times New Roman" w:hAnsi="Arial" w:cs="Arial"/>
                <w:lang w:val="sr-Cyrl-BA"/>
              </w:rPr>
              <w:t>в</w:t>
            </w:r>
            <w:r w:rsidR="00A56E08">
              <w:rPr>
                <w:rFonts w:ascii="Arial" w:eastAsia="Times New Roman" w:hAnsi="Arial" w:cs="Arial"/>
                <w:lang w:val="sr-Cyrl-BA"/>
              </w:rPr>
              <w:t>ника</w:t>
            </w:r>
          </w:p>
          <w:p w14:paraId="18B8535C" w14:textId="554CF79B" w:rsidR="00892898" w:rsidRPr="00F6340E" w:rsidRDefault="00171F00" w:rsidP="00FB5CB7">
            <w:pPr>
              <w:pStyle w:val="ListParagraph"/>
              <w:numPr>
                <w:ilvl w:val="0"/>
                <w:numId w:val="39"/>
              </w:numPr>
              <w:jc w:val="left"/>
              <w:rPr>
                <w:rFonts w:ascii="Arial" w:eastAsia="Times New Roman" w:hAnsi="Arial" w:cs="Arial"/>
                <w:lang w:val="sr-Cyrl-BA"/>
              </w:rPr>
            </w:pPr>
            <w:r>
              <w:rPr>
                <w:rFonts w:ascii="Arial" w:eastAsia="Times New Roman" w:hAnsi="Arial" w:cs="Arial"/>
                <w:lang w:val="sr-Cyrl-BA"/>
              </w:rPr>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A56E08">
              <w:rPr>
                <w:rFonts w:ascii="Arial" w:eastAsia="Times New Roman" w:hAnsi="Arial" w:cs="Arial"/>
                <w:lang w:val="sr-Cyrl-BA"/>
              </w:rPr>
              <w:t>ч</w:t>
            </w:r>
            <w:r w:rsidR="00EE6AA2">
              <w:rPr>
                <w:rFonts w:ascii="Arial" w:eastAsia="Times New Roman" w:hAnsi="Arial" w:cs="Arial"/>
                <w:lang w:val="sr-Cyrl-BA"/>
              </w:rPr>
              <w:t>е</w:t>
            </w:r>
            <w:r w:rsidR="00A56E08">
              <w:rPr>
                <w:rFonts w:ascii="Arial" w:eastAsia="Times New Roman" w:hAnsi="Arial" w:cs="Arial"/>
                <w:lang w:val="sr-Cyrl-BA"/>
              </w:rPr>
              <w:t>ник</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A56E08">
              <w:rPr>
                <w:rFonts w:ascii="Arial" w:eastAsia="Times New Roman" w:hAnsi="Arial" w:cs="Arial"/>
                <w:lang w:val="sr-Cyrl-BA"/>
              </w:rPr>
              <w:t>о</w:t>
            </w:r>
            <w:r w:rsidR="0071360A">
              <w:rPr>
                <w:rFonts w:ascii="Arial" w:eastAsia="Times New Roman" w:hAnsi="Arial" w:cs="Arial"/>
                <w:lang w:val="sr-Cyrl-BA"/>
              </w:rPr>
              <w:t>с</w:t>
            </w:r>
            <w:r w:rsidR="00A56E08">
              <w:rPr>
                <w:rFonts w:ascii="Arial" w:eastAsia="Times New Roman" w:hAnsi="Arial" w:cs="Arial"/>
                <w:lang w:val="sr-Cyrl-BA"/>
              </w:rPr>
              <w:t>но</w:t>
            </w:r>
            <w:r w:rsidR="0071360A">
              <w:rPr>
                <w:rFonts w:ascii="Arial" w:eastAsia="Times New Roman" w:hAnsi="Arial" w:cs="Arial"/>
                <w:lang w:val="sr-Cyrl-BA"/>
              </w:rPr>
              <w:t>в</w:t>
            </w:r>
            <w:r w:rsidR="00A56E08">
              <w:rPr>
                <w:rFonts w:ascii="Arial" w:eastAsia="Times New Roman" w:hAnsi="Arial" w:cs="Arial"/>
                <w:lang w:val="sr-Cyrl-BA"/>
              </w:rPr>
              <w:t>них</w:t>
            </w:r>
            <w:r w:rsidR="00892898" w:rsidRPr="00F6340E">
              <w:rPr>
                <w:rFonts w:ascii="Arial" w:eastAsia="Times New Roman" w:hAnsi="Arial" w:cs="Arial"/>
                <w:lang w:val="sr-Cyrl-BA"/>
              </w:rPr>
              <w:t xml:space="preserve"> </w:t>
            </w:r>
            <w:r w:rsidR="0071360A">
              <w:rPr>
                <w:rFonts w:ascii="Arial" w:eastAsia="Times New Roman" w:hAnsi="Arial" w:cs="Arial"/>
                <w:lang w:val="sr-Cyrl-BA"/>
              </w:rPr>
              <w:t>ш</w:t>
            </w:r>
            <w:r w:rsidR="00A56E08">
              <w:rPr>
                <w:rFonts w:ascii="Arial" w:eastAsia="Times New Roman" w:hAnsi="Arial" w:cs="Arial"/>
                <w:lang w:val="sr-Cyrl-BA"/>
              </w:rPr>
              <w:t>кола</w:t>
            </w:r>
            <w:r w:rsidR="00892898" w:rsidRPr="00F6340E">
              <w:rPr>
                <w:rFonts w:ascii="Arial" w:eastAsia="Times New Roman" w:hAnsi="Arial" w:cs="Arial"/>
                <w:lang w:val="sr-Cyrl-BA"/>
              </w:rPr>
              <w:t xml:space="preserve">: </w:t>
            </w:r>
            <w:r w:rsidR="00A56E08">
              <w:rPr>
                <w:rFonts w:ascii="Arial" w:eastAsia="Times New Roman" w:hAnsi="Arial" w:cs="Arial"/>
                <w:lang w:val="sr-Cyrl-BA"/>
              </w:rPr>
              <w:t>ч</w:t>
            </w:r>
            <w:r w:rsidR="00EE6AA2">
              <w:rPr>
                <w:rFonts w:ascii="Arial" w:eastAsia="Times New Roman" w:hAnsi="Arial" w:cs="Arial"/>
                <w:lang w:val="sr-Cyrl-BA"/>
              </w:rPr>
              <w:t>е</w:t>
            </w:r>
            <w:r w:rsidR="0071360A">
              <w:rPr>
                <w:rFonts w:ascii="Arial" w:eastAsia="Times New Roman" w:hAnsi="Arial" w:cs="Arial"/>
                <w:lang w:val="sr-Cyrl-BA"/>
              </w:rPr>
              <w:t>т</w:t>
            </w:r>
            <w:r w:rsidR="00A56E08">
              <w:rPr>
                <w:rFonts w:ascii="Arial" w:eastAsia="Times New Roman" w:hAnsi="Arial" w:cs="Arial"/>
                <w:lang w:val="sr-Cyrl-BA"/>
              </w:rPr>
              <w:t>и</w:t>
            </w:r>
            <w:r w:rsidR="0071360A">
              <w:rPr>
                <w:rFonts w:ascii="Arial" w:eastAsia="Times New Roman" w:hAnsi="Arial" w:cs="Arial"/>
                <w:lang w:val="sr-Cyrl-BA"/>
              </w:rPr>
              <w:t>р</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A56E08">
              <w:rPr>
                <w:rFonts w:ascii="Arial" w:eastAsia="Times New Roman" w:hAnsi="Arial" w:cs="Arial"/>
                <w:lang w:val="sr-Cyrl-BA"/>
              </w:rPr>
              <w:t>ч</w:t>
            </w:r>
            <w:r w:rsidR="00EE6AA2">
              <w:rPr>
                <w:rFonts w:ascii="Arial" w:eastAsia="Times New Roman" w:hAnsi="Arial" w:cs="Arial"/>
                <w:lang w:val="sr-Cyrl-BA"/>
              </w:rPr>
              <w:t>е</w:t>
            </w:r>
            <w:r w:rsidR="00A56E08">
              <w:rPr>
                <w:rFonts w:ascii="Arial" w:eastAsia="Times New Roman" w:hAnsi="Arial" w:cs="Arial"/>
                <w:lang w:val="sr-Cyrl-BA"/>
              </w:rPr>
              <w:t>ника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892898" w:rsidRPr="00F6340E">
              <w:rPr>
                <w:rFonts w:ascii="Arial" w:eastAsia="Times New Roman" w:hAnsi="Arial" w:cs="Arial"/>
                <w:lang w:val="sr-Cyrl-BA"/>
              </w:rPr>
              <w:t xml:space="preserve"> </w:t>
            </w:r>
            <w:r w:rsidR="00A56E08">
              <w:rPr>
                <w:rFonts w:ascii="Arial" w:eastAsia="Times New Roman" w:hAnsi="Arial" w:cs="Arial"/>
                <w:lang w:val="sr-Cyrl-BA"/>
              </w:rPr>
              <w:t>ј</w:t>
            </w:r>
            <w:r w:rsidR="00EE6AA2">
              <w:rPr>
                <w:rFonts w:ascii="Arial" w:eastAsia="Times New Roman" w:hAnsi="Arial" w:cs="Arial"/>
                <w:lang w:val="sr-Cyrl-BA"/>
              </w:rPr>
              <w:t>е</w:t>
            </w:r>
            <w:r w:rsidR="00A56E08">
              <w:rPr>
                <w:rFonts w:ascii="Arial" w:eastAsia="Times New Roman" w:hAnsi="Arial" w:cs="Arial"/>
                <w:lang w:val="sr-Cyrl-BA"/>
              </w:rPr>
              <w:t>дан</w:t>
            </w:r>
            <w:r w:rsidR="00D46A3E" w:rsidRPr="00F6340E">
              <w:rPr>
                <w:rFonts w:ascii="Arial" w:eastAsia="Times New Roman" w:hAnsi="Arial" w:cs="Arial"/>
                <w:lang w:val="sr-Cyrl-BA"/>
              </w:rPr>
              <w:t xml:space="preserve"> </w:t>
            </w:r>
            <w:r w:rsidR="0071360A">
              <w:rPr>
                <w:rFonts w:ascii="Arial" w:eastAsia="Times New Roman" w:hAnsi="Arial" w:cs="Arial"/>
                <w:lang w:val="sr-Cyrl-BA"/>
              </w:rPr>
              <w:t>р</w:t>
            </w:r>
            <w:r w:rsidR="00A56E08">
              <w:rPr>
                <w:rFonts w:ascii="Arial" w:eastAsia="Times New Roman" w:hAnsi="Arial" w:cs="Arial"/>
                <w:lang w:val="sr-Cyrl-BA"/>
              </w:rPr>
              <w:t>ач</w:t>
            </w:r>
            <w:r w:rsidR="0071360A">
              <w:rPr>
                <w:rFonts w:ascii="Arial" w:eastAsia="Times New Roman" w:hAnsi="Arial" w:cs="Arial"/>
                <w:lang w:val="sr-Cyrl-BA"/>
              </w:rPr>
              <w:t>у</w:t>
            </w:r>
            <w:r w:rsidR="00A56E08">
              <w:rPr>
                <w:rFonts w:ascii="Arial" w:eastAsia="Times New Roman" w:hAnsi="Arial" w:cs="Arial"/>
                <w:lang w:val="sr-Cyrl-BA"/>
              </w:rPr>
              <w:t>на</w:t>
            </w:r>
            <w:r w:rsidR="0071360A">
              <w:rPr>
                <w:rFonts w:ascii="Arial" w:eastAsia="Times New Roman" w:hAnsi="Arial" w:cs="Arial"/>
                <w:lang w:val="sr-Cyrl-BA"/>
              </w:rPr>
              <w:t>р</w:t>
            </w:r>
          </w:p>
          <w:p w14:paraId="7262C038" w14:textId="473B1A8E" w:rsidR="00892898" w:rsidRPr="00F6340E" w:rsidRDefault="00171F00" w:rsidP="00FB5CB7">
            <w:pPr>
              <w:pStyle w:val="ListParagraph"/>
              <w:numPr>
                <w:ilvl w:val="0"/>
                <w:numId w:val="39"/>
              </w:numPr>
              <w:jc w:val="left"/>
              <w:rPr>
                <w:rFonts w:ascii="Arial" w:eastAsia="Times New Roman" w:hAnsi="Arial" w:cs="Arial"/>
                <w:lang w:val="sr-Cyrl-BA"/>
              </w:rPr>
            </w:pPr>
            <w:r>
              <w:rPr>
                <w:rFonts w:ascii="Arial" w:eastAsia="Times New Roman" w:hAnsi="Arial" w:cs="Arial"/>
                <w:lang w:val="sr-Cyrl-BA"/>
              </w:rPr>
              <w:lastRenderedPageBreak/>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A56E08">
              <w:rPr>
                <w:rFonts w:ascii="Arial" w:eastAsia="Times New Roman" w:hAnsi="Arial" w:cs="Arial"/>
                <w:lang w:val="sr-Cyrl-BA"/>
              </w:rPr>
              <w:t>ч</w:t>
            </w:r>
            <w:r w:rsidR="00EE6AA2">
              <w:rPr>
                <w:rFonts w:ascii="Arial" w:eastAsia="Times New Roman" w:hAnsi="Arial" w:cs="Arial"/>
                <w:lang w:val="sr-Cyrl-BA"/>
              </w:rPr>
              <w:t>е</w:t>
            </w:r>
            <w:r w:rsidR="00A56E08">
              <w:rPr>
                <w:rFonts w:ascii="Arial" w:eastAsia="Times New Roman" w:hAnsi="Arial" w:cs="Arial"/>
                <w:lang w:val="sr-Cyrl-BA"/>
              </w:rPr>
              <w:t>ник</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71360A">
              <w:rPr>
                <w:rFonts w:ascii="Arial" w:eastAsia="Times New Roman" w:hAnsi="Arial" w:cs="Arial"/>
                <w:lang w:val="sr-Cyrl-BA"/>
              </w:rPr>
              <w:t>ср</w:t>
            </w:r>
            <w:r w:rsidR="00EE6AA2">
              <w:rPr>
                <w:rFonts w:ascii="Arial" w:eastAsia="Times New Roman" w:hAnsi="Arial" w:cs="Arial"/>
                <w:lang w:val="sr-Cyrl-BA"/>
              </w:rPr>
              <w:t>е</w:t>
            </w:r>
            <w:r w:rsidR="00A56E08">
              <w:rPr>
                <w:rFonts w:ascii="Arial" w:eastAsia="Times New Roman" w:hAnsi="Arial" w:cs="Arial"/>
                <w:lang w:val="sr-Cyrl-BA"/>
              </w:rPr>
              <w:t>дњих</w:t>
            </w:r>
            <w:r w:rsidR="00892898" w:rsidRPr="00F6340E">
              <w:rPr>
                <w:rFonts w:ascii="Arial" w:eastAsia="Times New Roman" w:hAnsi="Arial" w:cs="Arial"/>
                <w:lang w:val="sr-Cyrl-BA"/>
              </w:rPr>
              <w:t xml:space="preserve"> </w:t>
            </w:r>
            <w:r w:rsidR="0071360A">
              <w:rPr>
                <w:rFonts w:ascii="Arial" w:eastAsia="Times New Roman" w:hAnsi="Arial" w:cs="Arial"/>
                <w:lang w:val="sr-Cyrl-BA"/>
              </w:rPr>
              <w:t>ш</w:t>
            </w:r>
            <w:r w:rsidR="00A56E08">
              <w:rPr>
                <w:rFonts w:ascii="Arial" w:eastAsia="Times New Roman" w:hAnsi="Arial" w:cs="Arial"/>
                <w:lang w:val="sr-Cyrl-BA"/>
              </w:rPr>
              <w:t>кола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тр</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A56E08">
              <w:rPr>
                <w:rFonts w:ascii="Arial" w:eastAsia="Times New Roman" w:hAnsi="Arial" w:cs="Arial"/>
                <w:lang w:val="sr-Cyrl-BA"/>
              </w:rPr>
              <w:t>ч</w:t>
            </w:r>
            <w:r w:rsidR="00EE6AA2">
              <w:rPr>
                <w:rFonts w:ascii="Arial" w:eastAsia="Times New Roman" w:hAnsi="Arial" w:cs="Arial"/>
                <w:lang w:val="sr-Cyrl-BA"/>
              </w:rPr>
              <w:t>е</w:t>
            </w:r>
            <w:r w:rsidR="00A56E08">
              <w:rPr>
                <w:rFonts w:ascii="Arial" w:eastAsia="Times New Roman" w:hAnsi="Arial" w:cs="Arial"/>
                <w:lang w:val="sr-Cyrl-BA"/>
              </w:rPr>
              <w:t>ника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892898" w:rsidRPr="00F6340E">
              <w:rPr>
                <w:rFonts w:ascii="Arial" w:eastAsia="Times New Roman" w:hAnsi="Arial" w:cs="Arial"/>
                <w:lang w:val="sr-Cyrl-BA"/>
              </w:rPr>
              <w:t xml:space="preserve"> </w:t>
            </w:r>
            <w:r w:rsidR="00A56E08">
              <w:rPr>
                <w:rFonts w:ascii="Arial" w:eastAsia="Times New Roman" w:hAnsi="Arial" w:cs="Arial"/>
                <w:lang w:val="sr-Cyrl-BA"/>
              </w:rPr>
              <w:t>ј</w:t>
            </w:r>
            <w:r w:rsidR="00EE6AA2">
              <w:rPr>
                <w:rFonts w:ascii="Arial" w:eastAsia="Times New Roman" w:hAnsi="Arial" w:cs="Arial"/>
                <w:lang w:val="sr-Cyrl-BA"/>
              </w:rPr>
              <w:t>е</w:t>
            </w:r>
            <w:r w:rsidR="00A56E08">
              <w:rPr>
                <w:rFonts w:ascii="Arial" w:eastAsia="Times New Roman" w:hAnsi="Arial" w:cs="Arial"/>
                <w:lang w:val="sr-Cyrl-BA"/>
              </w:rPr>
              <w:t>дан</w:t>
            </w:r>
            <w:r w:rsidR="00D46A3E" w:rsidRPr="00F6340E">
              <w:rPr>
                <w:rFonts w:ascii="Arial" w:eastAsia="Times New Roman" w:hAnsi="Arial" w:cs="Arial"/>
                <w:lang w:val="sr-Cyrl-BA"/>
              </w:rPr>
              <w:t xml:space="preserve"> </w:t>
            </w:r>
            <w:r w:rsidR="0071360A">
              <w:rPr>
                <w:rFonts w:ascii="Arial" w:eastAsia="Times New Roman" w:hAnsi="Arial" w:cs="Arial"/>
                <w:lang w:val="sr-Cyrl-BA"/>
              </w:rPr>
              <w:t>р</w:t>
            </w:r>
            <w:r w:rsidR="00A56E08">
              <w:rPr>
                <w:rFonts w:ascii="Arial" w:eastAsia="Times New Roman" w:hAnsi="Arial" w:cs="Arial"/>
                <w:lang w:val="sr-Cyrl-BA"/>
              </w:rPr>
              <w:t>ач</w:t>
            </w:r>
            <w:r w:rsidR="0071360A">
              <w:rPr>
                <w:rFonts w:ascii="Arial" w:eastAsia="Times New Roman" w:hAnsi="Arial" w:cs="Arial"/>
                <w:lang w:val="sr-Cyrl-BA"/>
              </w:rPr>
              <w:t>у</w:t>
            </w:r>
            <w:r w:rsidR="00A56E08">
              <w:rPr>
                <w:rFonts w:ascii="Arial" w:eastAsia="Times New Roman" w:hAnsi="Arial" w:cs="Arial"/>
                <w:lang w:val="sr-Cyrl-BA"/>
              </w:rPr>
              <w:t>на</w:t>
            </w:r>
            <w:r w:rsidR="0071360A">
              <w:rPr>
                <w:rFonts w:ascii="Arial" w:eastAsia="Times New Roman" w:hAnsi="Arial" w:cs="Arial"/>
                <w:lang w:val="sr-Cyrl-BA"/>
              </w:rPr>
              <w:t>р</w:t>
            </w:r>
          </w:p>
          <w:p w14:paraId="51750F57" w14:textId="4A2E9406" w:rsidR="00892898" w:rsidRPr="00F6340E" w:rsidRDefault="00171F00" w:rsidP="00FB5CB7">
            <w:pPr>
              <w:pStyle w:val="ListParagraph"/>
              <w:numPr>
                <w:ilvl w:val="0"/>
                <w:numId w:val="39"/>
              </w:numPr>
              <w:jc w:val="left"/>
              <w:rPr>
                <w:rFonts w:ascii="Arial" w:eastAsia="Times New Roman" w:hAnsi="Arial" w:cs="Arial"/>
                <w:lang w:val="sr-Cyrl-BA"/>
              </w:rPr>
            </w:pPr>
            <w:r>
              <w:rPr>
                <w:rFonts w:ascii="Arial" w:eastAsia="Times New Roman" w:hAnsi="Arial" w:cs="Arial"/>
                <w:lang w:val="sr-Cyrl-BA"/>
              </w:rPr>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п</w:t>
            </w:r>
            <w:r w:rsidR="00A56E08">
              <w:rPr>
                <w:rFonts w:ascii="Arial" w:eastAsia="Times New Roman" w:hAnsi="Arial" w:cs="Arial"/>
                <w:lang w:val="sr-Cyrl-BA"/>
              </w:rPr>
              <w:t>о</w:t>
            </w:r>
            <w:r w:rsidR="0071360A">
              <w:rPr>
                <w:rFonts w:ascii="Arial" w:eastAsia="Times New Roman" w:hAnsi="Arial" w:cs="Arial"/>
                <w:lang w:val="sr-Cyrl-BA"/>
              </w:rPr>
              <w:t>тр</w:t>
            </w:r>
            <w:r w:rsidR="00EE6AA2">
              <w:rPr>
                <w:rFonts w:ascii="Arial" w:eastAsia="Times New Roman" w:hAnsi="Arial" w:cs="Arial"/>
                <w:lang w:val="sr-Cyrl-BA"/>
              </w:rPr>
              <w:t>е</w:t>
            </w:r>
            <w:r w:rsidR="00A56E08">
              <w:rPr>
                <w:rFonts w:ascii="Arial" w:eastAsia="Times New Roman" w:hAnsi="Arial" w:cs="Arial"/>
                <w:lang w:val="sr-Cyrl-BA"/>
              </w:rPr>
              <w:t>б</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71360A">
              <w:rPr>
                <w:rFonts w:ascii="Arial" w:eastAsia="Times New Roman" w:hAnsi="Arial" w:cs="Arial"/>
                <w:lang w:val="sr-Cyrl-BA"/>
              </w:rPr>
              <w:t>сту</w:t>
            </w:r>
            <w:r w:rsidR="00A56E08">
              <w:rPr>
                <w:rFonts w:ascii="Arial" w:eastAsia="Times New Roman" w:hAnsi="Arial" w:cs="Arial"/>
                <w:lang w:val="sr-Cyrl-BA"/>
              </w:rPr>
              <w:t>д</w:t>
            </w:r>
            <w:r w:rsidR="00EE6AA2">
              <w:rPr>
                <w:rFonts w:ascii="Arial" w:eastAsia="Times New Roman" w:hAnsi="Arial" w:cs="Arial"/>
                <w:lang w:val="sr-Cyrl-BA"/>
              </w:rPr>
              <w:t>е</w:t>
            </w:r>
            <w:r w:rsidR="00A56E08">
              <w:rPr>
                <w:rFonts w:ascii="Arial" w:eastAsia="Times New Roman" w:hAnsi="Arial" w:cs="Arial"/>
                <w:lang w:val="sr-Cyrl-BA"/>
              </w:rPr>
              <w:t>на</w:t>
            </w:r>
            <w:r w:rsidR="0071360A">
              <w:rPr>
                <w:rFonts w:ascii="Arial" w:eastAsia="Times New Roman" w:hAnsi="Arial" w:cs="Arial"/>
                <w:lang w:val="sr-Cyrl-BA"/>
              </w:rPr>
              <w:t>т</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усп</w:t>
            </w:r>
            <w:r w:rsidR="00A56E08">
              <w:rPr>
                <w:rFonts w:ascii="Arial" w:eastAsia="Times New Roman" w:hAnsi="Arial" w:cs="Arial"/>
                <w:lang w:val="sr-Cyrl-BA"/>
              </w:rPr>
              <w:t>о</w:t>
            </w:r>
            <w:r w:rsidR="0071360A">
              <w:rPr>
                <w:rFonts w:ascii="Arial" w:eastAsia="Times New Roman" w:hAnsi="Arial" w:cs="Arial"/>
                <w:lang w:val="sr-Cyrl-BA"/>
              </w:rPr>
              <w:t>ст</w:t>
            </w:r>
            <w:r w:rsidR="00A56E08">
              <w:rPr>
                <w:rFonts w:ascii="Arial" w:eastAsia="Times New Roman" w:hAnsi="Arial" w:cs="Arial"/>
                <w:lang w:val="sr-Cyrl-BA"/>
              </w:rPr>
              <w:t>а</w:t>
            </w:r>
            <w:r w:rsidR="0071360A">
              <w:rPr>
                <w:rFonts w:ascii="Arial" w:eastAsia="Times New Roman" w:hAnsi="Arial" w:cs="Arial"/>
                <w:lang w:val="sr-Cyrl-BA"/>
              </w:rPr>
              <w:t>в</w:t>
            </w:r>
            <w:r w:rsidR="00A56E08">
              <w:rPr>
                <w:rFonts w:ascii="Arial" w:eastAsia="Times New Roman" w:hAnsi="Arial" w:cs="Arial"/>
                <w:lang w:val="sr-Cyrl-BA"/>
              </w:rPr>
              <w:t>и</w:t>
            </w:r>
            <w:r w:rsidR="0071360A">
              <w:rPr>
                <w:rFonts w:ascii="Arial" w:eastAsia="Times New Roman" w:hAnsi="Arial" w:cs="Arial"/>
                <w:lang w:val="sr-Cyrl-BA"/>
              </w:rPr>
              <w:t>т</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A56E08">
              <w:rPr>
                <w:rFonts w:ascii="Arial" w:eastAsia="Times New Roman" w:hAnsi="Arial" w:cs="Arial"/>
                <w:lang w:val="sr-Cyrl-BA"/>
              </w:rPr>
              <w:t>инфо</w:t>
            </w:r>
            <w:r w:rsidR="0071360A">
              <w:rPr>
                <w:rFonts w:ascii="Arial" w:eastAsia="Times New Roman" w:hAnsi="Arial" w:cs="Arial"/>
                <w:lang w:val="sr-Cyrl-BA"/>
              </w:rPr>
              <w:t>р</w:t>
            </w:r>
            <w:r w:rsidR="00A56E08">
              <w:rPr>
                <w:rFonts w:ascii="Arial" w:eastAsia="Times New Roman" w:hAnsi="Arial" w:cs="Arial"/>
                <w:lang w:val="sr-Cyrl-BA"/>
              </w:rPr>
              <w:t>ма</w:t>
            </w:r>
            <w:r w:rsidR="0071360A">
              <w:rPr>
                <w:rFonts w:ascii="Arial" w:eastAsia="Times New Roman" w:hAnsi="Arial" w:cs="Arial"/>
                <w:lang w:val="sr-Cyrl-BA"/>
              </w:rPr>
              <w:t>т</w:t>
            </w:r>
            <w:r w:rsidR="00A56E08">
              <w:rPr>
                <w:rFonts w:ascii="Arial" w:eastAsia="Times New Roman" w:hAnsi="Arial" w:cs="Arial"/>
                <w:lang w:val="sr-Cyrl-BA"/>
              </w:rPr>
              <w:t>ички</w:t>
            </w:r>
            <w:r w:rsidR="0057191F" w:rsidRPr="00F6340E">
              <w:rPr>
                <w:rFonts w:ascii="Arial" w:eastAsia="Times New Roman" w:hAnsi="Arial" w:cs="Arial"/>
                <w:lang w:val="sr-Cyrl-BA"/>
              </w:rPr>
              <w:t xml:space="preserve"> </w:t>
            </w:r>
            <w:r w:rsidR="00A56E08">
              <w:rPr>
                <w:rFonts w:ascii="Arial" w:eastAsia="Times New Roman" w:hAnsi="Arial" w:cs="Arial"/>
                <w:lang w:val="sr-Cyrl-BA"/>
              </w:rPr>
              <w:t>ц</w:t>
            </w:r>
            <w:r w:rsidR="00EE6AA2">
              <w:rPr>
                <w:rFonts w:ascii="Arial" w:eastAsia="Times New Roman" w:hAnsi="Arial" w:cs="Arial"/>
                <w:lang w:val="sr-Cyrl-BA"/>
              </w:rPr>
              <w:t>е</w:t>
            </w:r>
            <w:r w:rsidR="00A56E08">
              <w:rPr>
                <w:rFonts w:ascii="Arial" w:eastAsia="Times New Roman" w:hAnsi="Arial" w:cs="Arial"/>
                <w:lang w:val="sr-Cyrl-BA"/>
              </w:rPr>
              <w:t>н</w:t>
            </w:r>
            <w:r w:rsidR="0071360A">
              <w:rPr>
                <w:rFonts w:ascii="Arial" w:eastAsia="Times New Roman" w:hAnsi="Arial" w:cs="Arial"/>
                <w:lang w:val="sr-Cyrl-BA"/>
              </w:rPr>
              <w:t>т</w:t>
            </w:r>
            <w:r w:rsidR="00A56E08">
              <w:rPr>
                <w:rFonts w:ascii="Arial" w:eastAsia="Times New Roman" w:hAnsi="Arial" w:cs="Arial"/>
                <w:lang w:val="sr-Cyrl-BA"/>
              </w:rPr>
              <w:t>а</w:t>
            </w:r>
            <w:r w:rsidR="0071360A">
              <w:rPr>
                <w:rFonts w:ascii="Arial" w:eastAsia="Times New Roman" w:hAnsi="Arial" w:cs="Arial"/>
                <w:lang w:val="sr-Cyrl-BA"/>
              </w:rPr>
              <w:t>р</w:t>
            </w:r>
            <w:r w:rsidR="00B04FA8">
              <w:rPr>
                <w:rFonts w:ascii="Arial" w:eastAsia="Times New Roman" w:hAnsi="Arial" w:cs="Arial"/>
                <w:lang w:val="sr-Cyrl-BA"/>
              </w:rPr>
              <w:t xml:space="preserve"> са </w:t>
            </w:r>
            <w:r w:rsidR="00A56E08">
              <w:rPr>
                <w:rFonts w:ascii="Arial" w:eastAsia="Times New Roman" w:hAnsi="Arial" w:cs="Arial"/>
                <w:lang w:val="sr-Cyrl-BA"/>
              </w:rPr>
              <w:t>ад</w:t>
            </w:r>
            <w:r w:rsidR="00EE6AA2">
              <w:rPr>
                <w:rFonts w:ascii="Arial" w:eastAsia="Times New Roman" w:hAnsi="Arial" w:cs="Arial"/>
                <w:lang w:val="sr-Cyrl-BA"/>
              </w:rPr>
              <w:t>е</w:t>
            </w:r>
            <w:r w:rsidR="00A56E08">
              <w:rPr>
                <w:rFonts w:ascii="Arial" w:eastAsia="Times New Roman" w:hAnsi="Arial" w:cs="Arial"/>
                <w:lang w:val="sr-Cyrl-BA"/>
              </w:rPr>
              <w:t>к</w:t>
            </w:r>
            <w:r w:rsidR="0071360A">
              <w:rPr>
                <w:rFonts w:ascii="Arial" w:eastAsia="Times New Roman" w:hAnsi="Arial" w:cs="Arial"/>
                <w:lang w:val="sr-Cyrl-BA"/>
              </w:rPr>
              <w:t>в</w:t>
            </w:r>
            <w:r w:rsidR="00A56E08">
              <w:rPr>
                <w:rFonts w:ascii="Arial" w:eastAsia="Times New Roman" w:hAnsi="Arial" w:cs="Arial"/>
                <w:lang w:val="sr-Cyrl-BA"/>
              </w:rPr>
              <w:t>а</w:t>
            </w:r>
            <w:r w:rsidR="0071360A">
              <w:rPr>
                <w:rFonts w:ascii="Arial" w:eastAsia="Times New Roman" w:hAnsi="Arial" w:cs="Arial"/>
                <w:lang w:val="sr-Cyrl-BA"/>
              </w:rPr>
              <w:t>т</w:t>
            </w:r>
            <w:r w:rsidR="00A56E08">
              <w:rPr>
                <w:rFonts w:ascii="Arial" w:eastAsia="Times New Roman" w:hAnsi="Arial" w:cs="Arial"/>
                <w:lang w:val="sr-Cyrl-BA"/>
              </w:rPr>
              <w:t>ном</w:t>
            </w:r>
            <w:r w:rsidR="00892898" w:rsidRPr="00F6340E">
              <w:rPr>
                <w:rFonts w:ascii="Arial" w:eastAsia="Times New Roman" w:hAnsi="Arial" w:cs="Arial"/>
                <w:lang w:val="sr-Cyrl-BA"/>
              </w:rPr>
              <w:t xml:space="preserve"> </w:t>
            </w:r>
            <w:r w:rsidR="00A56E08">
              <w:rPr>
                <w:rFonts w:ascii="Arial" w:eastAsia="Times New Roman" w:hAnsi="Arial" w:cs="Arial"/>
                <w:lang w:val="sr-Cyrl-BA"/>
              </w:rPr>
              <w:t>о</w:t>
            </w:r>
            <w:r w:rsidR="0071360A">
              <w:rPr>
                <w:rFonts w:ascii="Arial" w:eastAsia="Times New Roman" w:hAnsi="Arial" w:cs="Arial"/>
                <w:lang w:val="sr-Cyrl-BA"/>
              </w:rPr>
              <w:t>пр</w:t>
            </w:r>
            <w:r w:rsidR="00EE6AA2">
              <w:rPr>
                <w:rFonts w:ascii="Arial" w:eastAsia="Times New Roman" w:hAnsi="Arial" w:cs="Arial"/>
                <w:lang w:val="sr-Cyrl-BA"/>
              </w:rPr>
              <w:t>е</w:t>
            </w:r>
            <w:r w:rsidR="00A56E08">
              <w:rPr>
                <w:rFonts w:ascii="Arial" w:eastAsia="Times New Roman" w:hAnsi="Arial" w:cs="Arial"/>
                <w:lang w:val="sr-Cyrl-BA"/>
              </w:rPr>
              <w:t>мом</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892898" w:rsidRPr="00F6340E">
              <w:rPr>
                <w:rFonts w:ascii="Arial" w:eastAsia="Times New Roman" w:hAnsi="Arial" w:cs="Arial"/>
                <w:lang w:val="sr-Cyrl-BA"/>
              </w:rPr>
              <w:t xml:space="preserve"> </w:t>
            </w:r>
            <w:r w:rsidR="00A56E08">
              <w:rPr>
                <w:rFonts w:ascii="Arial" w:eastAsia="Times New Roman" w:hAnsi="Arial" w:cs="Arial"/>
                <w:lang w:val="sr-Cyrl-BA"/>
              </w:rPr>
              <w:t>одно</w:t>
            </w:r>
            <w:r w:rsidR="0071360A">
              <w:rPr>
                <w:rFonts w:ascii="Arial" w:eastAsia="Times New Roman" w:hAnsi="Arial" w:cs="Arial"/>
                <w:lang w:val="sr-Cyrl-BA"/>
              </w:rPr>
              <w:t>су</w:t>
            </w:r>
            <w:r w:rsidR="00892898" w:rsidRPr="00F6340E">
              <w:rPr>
                <w:rFonts w:ascii="Arial" w:eastAsia="Times New Roman" w:hAnsi="Arial" w:cs="Arial"/>
                <w:lang w:val="sr-Cyrl-BA"/>
              </w:rPr>
              <w:t xml:space="preserve"> </w:t>
            </w:r>
            <w:r w:rsidR="00A56E08">
              <w:rPr>
                <w:rFonts w:ascii="Arial" w:eastAsia="Times New Roman" w:hAnsi="Arial" w:cs="Arial"/>
                <w:lang w:val="sr-Cyrl-BA"/>
              </w:rPr>
              <w:t>на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сп</w:t>
            </w:r>
            <w:r w:rsidR="00EE6AA2">
              <w:rPr>
                <w:rFonts w:ascii="Arial" w:eastAsia="Times New Roman" w:hAnsi="Arial" w:cs="Arial"/>
                <w:lang w:val="sr-Cyrl-BA"/>
              </w:rPr>
              <w:t>е</w:t>
            </w:r>
            <w:r w:rsidR="00A56E08">
              <w:rPr>
                <w:rFonts w:ascii="Arial" w:eastAsia="Times New Roman" w:hAnsi="Arial" w:cs="Arial"/>
                <w:lang w:val="sr-Cyrl-BA"/>
              </w:rPr>
              <w:t>цифично</w:t>
            </w:r>
            <w:r w:rsidR="0071360A">
              <w:rPr>
                <w:rFonts w:ascii="Arial" w:eastAsia="Times New Roman" w:hAnsi="Arial" w:cs="Arial"/>
                <w:lang w:val="sr-Cyrl-BA"/>
              </w:rPr>
              <w:t>ст</w:t>
            </w:r>
            <w:r w:rsidR="00892898" w:rsidRPr="00F6340E">
              <w:rPr>
                <w:rFonts w:ascii="Arial" w:eastAsia="Times New Roman" w:hAnsi="Arial" w:cs="Arial"/>
                <w:lang w:val="sr-Cyrl-BA"/>
              </w:rPr>
              <w:t xml:space="preserve"> </w:t>
            </w:r>
            <w:r w:rsidR="0071360A">
              <w:rPr>
                <w:rFonts w:ascii="Arial" w:eastAsia="Times New Roman" w:hAnsi="Arial" w:cs="Arial"/>
                <w:lang w:val="sr-Cyrl-BA"/>
              </w:rPr>
              <w:t>сту</w:t>
            </w:r>
            <w:r w:rsidR="00A56E08">
              <w:rPr>
                <w:rFonts w:ascii="Arial" w:eastAsia="Times New Roman" w:hAnsi="Arial" w:cs="Arial"/>
                <w:lang w:val="sr-Cyrl-BA"/>
              </w:rPr>
              <w:t>диј</w:t>
            </w:r>
            <w:r w:rsidR="0071360A">
              <w:rPr>
                <w:rFonts w:ascii="Arial" w:eastAsia="Times New Roman" w:hAnsi="Arial" w:cs="Arial"/>
                <w:lang w:val="sr-Cyrl-BA"/>
              </w:rPr>
              <w:t>с</w:t>
            </w:r>
            <w:r w:rsidR="00A56E08">
              <w:rPr>
                <w:rFonts w:ascii="Arial" w:eastAsia="Times New Roman" w:hAnsi="Arial" w:cs="Arial"/>
                <w:lang w:val="sr-Cyrl-BA"/>
              </w:rPr>
              <w:t>ког</w:t>
            </w:r>
            <w:r w:rsidR="00892898" w:rsidRPr="00F6340E">
              <w:rPr>
                <w:rFonts w:ascii="Arial" w:eastAsia="Times New Roman" w:hAnsi="Arial" w:cs="Arial"/>
                <w:lang w:val="sr-Cyrl-BA"/>
              </w:rPr>
              <w:t xml:space="preserve"> </w:t>
            </w:r>
            <w:r w:rsidR="0071360A">
              <w:rPr>
                <w:rFonts w:ascii="Arial" w:eastAsia="Times New Roman" w:hAnsi="Arial" w:cs="Arial"/>
                <w:lang w:val="sr-Cyrl-BA"/>
              </w:rPr>
              <w:t>пр</w:t>
            </w:r>
            <w:r w:rsidR="00A56E08">
              <w:rPr>
                <w:rFonts w:ascii="Arial" w:eastAsia="Times New Roman" w:hAnsi="Arial" w:cs="Arial"/>
                <w:lang w:val="sr-Cyrl-BA"/>
              </w:rPr>
              <w:t>ог</w:t>
            </w:r>
            <w:r w:rsidR="0071360A">
              <w:rPr>
                <w:rFonts w:ascii="Arial" w:eastAsia="Times New Roman" w:hAnsi="Arial" w:cs="Arial"/>
                <w:lang w:val="sr-Cyrl-BA"/>
              </w:rPr>
              <w:t>р</w:t>
            </w:r>
            <w:r w:rsidR="00A56E08">
              <w:rPr>
                <w:rFonts w:ascii="Arial" w:eastAsia="Times New Roman" w:hAnsi="Arial" w:cs="Arial"/>
                <w:lang w:val="sr-Cyrl-BA"/>
              </w:rPr>
              <w:t>ама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A56E08">
              <w:rPr>
                <w:rFonts w:ascii="Arial" w:eastAsia="Times New Roman" w:hAnsi="Arial" w:cs="Arial"/>
                <w:lang w:val="sr-Cyrl-BA"/>
              </w:rPr>
              <w:t>б</w:t>
            </w:r>
            <w:r w:rsidR="0071360A">
              <w:rPr>
                <w:rFonts w:ascii="Arial" w:eastAsia="Times New Roman" w:hAnsi="Arial" w:cs="Arial"/>
                <w:lang w:val="sr-Cyrl-BA"/>
              </w:rPr>
              <w:t>р</w:t>
            </w:r>
            <w:r w:rsidR="00A56E08">
              <w:rPr>
                <w:rFonts w:ascii="Arial" w:eastAsia="Times New Roman" w:hAnsi="Arial" w:cs="Arial"/>
                <w:lang w:val="sr-Cyrl-BA"/>
              </w:rPr>
              <w:t>оја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сту</w:t>
            </w:r>
            <w:r w:rsidR="00A56E08">
              <w:rPr>
                <w:rFonts w:ascii="Arial" w:eastAsia="Times New Roman" w:hAnsi="Arial" w:cs="Arial"/>
                <w:lang w:val="sr-Cyrl-BA"/>
              </w:rPr>
              <w:t>д</w:t>
            </w:r>
            <w:r w:rsidR="00EE6AA2">
              <w:rPr>
                <w:rFonts w:ascii="Arial" w:eastAsia="Times New Roman" w:hAnsi="Arial" w:cs="Arial"/>
                <w:lang w:val="sr-Cyrl-BA"/>
              </w:rPr>
              <w:t>е</w:t>
            </w:r>
            <w:r w:rsidR="00A56E08">
              <w:rPr>
                <w:rFonts w:ascii="Arial" w:eastAsia="Times New Roman" w:hAnsi="Arial" w:cs="Arial"/>
                <w:lang w:val="sr-Cyrl-BA"/>
              </w:rPr>
              <w:t>на</w:t>
            </w:r>
            <w:r w:rsidR="0071360A">
              <w:rPr>
                <w:rFonts w:ascii="Arial" w:eastAsia="Times New Roman" w:hAnsi="Arial" w:cs="Arial"/>
                <w:lang w:val="sr-Cyrl-BA"/>
              </w:rPr>
              <w:t>т</w:t>
            </w:r>
            <w:r w:rsidR="00A56E08">
              <w:rPr>
                <w:rFonts w:ascii="Arial" w:eastAsia="Times New Roman" w:hAnsi="Arial" w:cs="Arial"/>
                <w:lang w:val="sr-Cyrl-BA"/>
              </w:rPr>
              <w:t>а</w:t>
            </w:r>
          </w:p>
          <w:p w14:paraId="12DA6522" w14:textId="6CD895A6" w:rsidR="00892898" w:rsidRPr="00F6340E" w:rsidRDefault="00171F00" w:rsidP="00FB5CB7">
            <w:pPr>
              <w:pStyle w:val="ListParagraph"/>
              <w:numPr>
                <w:ilvl w:val="0"/>
                <w:numId w:val="39"/>
              </w:numPr>
              <w:jc w:val="left"/>
              <w:rPr>
                <w:rFonts w:ascii="Arial" w:eastAsia="Times New Roman" w:hAnsi="Arial" w:cs="Arial"/>
                <w:lang w:val="sr-Cyrl-BA"/>
              </w:rPr>
            </w:pPr>
            <w:r>
              <w:rPr>
                <w:rFonts w:ascii="Arial" w:eastAsia="Times New Roman" w:hAnsi="Arial" w:cs="Arial"/>
                <w:lang w:val="sr-Cyrl-BA"/>
              </w:rPr>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71360A">
              <w:rPr>
                <w:rFonts w:ascii="Arial" w:eastAsia="Times New Roman" w:hAnsi="Arial" w:cs="Arial"/>
                <w:lang w:val="sr-Cyrl-BA"/>
              </w:rPr>
              <w:t>п</w:t>
            </w:r>
            <w:r w:rsidR="00A56E08">
              <w:rPr>
                <w:rFonts w:ascii="Arial" w:eastAsia="Times New Roman" w:hAnsi="Arial" w:cs="Arial"/>
                <w:lang w:val="sr-Cyrl-BA"/>
              </w:rPr>
              <w:t>о</w:t>
            </w:r>
            <w:r w:rsidR="0071360A">
              <w:rPr>
                <w:rFonts w:ascii="Arial" w:eastAsia="Times New Roman" w:hAnsi="Arial" w:cs="Arial"/>
                <w:lang w:val="sr-Cyrl-BA"/>
              </w:rPr>
              <w:t>тр</w:t>
            </w:r>
            <w:r w:rsidR="00EE6AA2">
              <w:rPr>
                <w:rFonts w:ascii="Arial" w:eastAsia="Times New Roman" w:hAnsi="Arial" w:cs="Arial"/>
                <w:lang w:val="sr-Cyrl-BA"/>
              </w:rPr>
              <w:t>е</w:t>
            </w:r>
            <w:r w:rsidR="00A56E08">
              <w:rPr>
                <w:rFonts w:ascii="Arial" w:eastAsia="Times New Roman" w:hAnsi="Arial" w:cs="Arial"/>
                <w:lang w:val="sr-Cyrl-BA"/>
              </w:rPr>
              <w:t>б</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A56E08">
              <w:rPr>
                <w:rFonts w:ascii="Arial" w:eastAsia="Times New Roman" w:hAnsi="Arial" w:cs="Arial"/>
                <w:lang w:val="sr-Cyrl-BA"/>
              </w:rPr>
              <w:t>м</w:t>
            </w:r>
            <w:r w:rsidR="00EE6AA2">
              <w:rPr>
                <w:rFonts w:ascii="Arial" w:eastAsia="Times New Roman" w:hAnsi="Arial" w:cs="Arial"/>
                <w:lang w:val="sr-Cyrl-BA"/>
              </w:rPr>
              <w:t>е</w:t>
            </w:r>
            <w:r w:rsidR="00A56E08">
              <w:rPr>
                <w:rFonts w:ascii="Arial" w:eastAsia="Times New Roman" w:hAnsi="Arial" w:cs="Arial"/>
                <w:lang w:val="sr-Cyrl-BA"/>
              </w:rPr>
              <w:t>наџм</w:t>
            </w:r>
            <w:r w:rsidR="00EE6AA2">
              <w:rPr>
                <w:rFonts w:ascii="Arial" w:eastAsia="Times New Roman" w:hAnsi="Arial" w:cs="Arial"/>
                <w:lang w:val="sr-Cyrl-BA"/>
              </w:rPr>
              <w:t>е</w:t>
            </w:r>
            <w:r w:rsidR="00A56E08">
              <w:rPr>
                <w:rFonts w:ascii="Arial" w:eastAsia="Times New Roman" w:hAnsi="Arial" w:cs="Arial"/>
                <w:lang w:val="sr-Cyrl-BA"/>
              </w:rPr>
              <w:t>н</w:t>
            </w:r>
            <w:r w:rsidR="0071360A">
              <w:rPr>
                <w:rFonts w:ascii="Arial" w:eastAsia="Times New Roman" w:hAnsi="Arial" w:cs="Arial"/>
                <w:lang w:val="sr-Cyrl-BA"/>
              </w:rPr>
              <w:t>т</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и</w:t>
            </w:r>
            <w:r w:rsidR="00892898" w:rsidRPr="00F6340E">
              <w:rPr>
                <w:rFonts w:ascii="Arial" w:eastAsia="Times New Roman" w:hAnsi="Arial" w:cs="Arial"/>
                <w:lang w:val="sr-Cyrl-BA"/>
              </w:rPr>
              <w:t xml:space="preserve"> </w:t>
            </w:r>
            <w:r w:rsidR="00A56E08">
              <w:rPr>
                <w:rFonts w:ascii="Arial" w:eastAsia="Times New Roman" w:hAnsi="Arial" w:cs="Arial"/>
                <w:lang w:val="sr-Cyrl-BA"/>
              </w:rPr>
              <w:t>д</w:t>
            </w:r>
            <w:r w:rsidR="0071360A">
              <w:rPr>
                <w:rFonts w:ascii="Arial" w:eastAsia="Times New Roman" w:hAnsi="Arial" w:cs="Arial"/>
                <w:lang w:val="sr-Cyrl-BA"/>
              </w:rPr>
              <w:t>ру</w:t>
            </w:r>
            <w:r w:rsidR="00A56E08">
              <w:rPr>
                <w:rFonts w:ascii="Arial" w:eastAsia="Times New Roman" w:hAnsi="Arial" w:cs="Arial"/>
                <w:lang w:val="sr-Cyrl-BA"/>
              </w:rPr>
              <w:t>гог</w:t>
            </w:r>
            <w:r w:rsidR="00892898" w:rsidRPr="00F6340E">
              <w:rPr>
                <w:rFonts w:ascii="Arial" w:eastAsia="Times New Roman" w:hAnsi="Arial" w:cs="Arial"/>
                <w:lang w:val="sr-Cyrl-BA"/>
              </w:rPr>
              <w:t xml:space="preserve"> </w:t>
            </w:r>
            <w:r w:rsidR="00A56E08">
              <w:rPr>
                <w:rFonts w:ascii="Arial" w:eastAsia="Times New Roman" w:hAnsi="Arial" w:cs="Arial"/>
                <w:lang w:val="sr-Cyrl-BA"/>
              </w:rPr>
              <w:t>о</w:t>
            </w:r>
            <w:r w:rsidR="0071360A">
              <w:rPr>
                <w:rFonts w:ascii="Arial" w:eastAsia="Times New Roman" w:hAnsi="Arial" w:cs="Arial"/>
                <w:lang w:val="sr-Cyrl-BA"/>
              </w:rPr>
              <w:t>с</w:t>
            </w:r>
            <w:r w:rsidR="00A56E08">
              <w:rPr>
                <w:rFonts w:ascii="Arial" w:eastAsia="Times New Roman" w:hAnsi="Arial" w:cs="Arial"/>
                <w:lang w:val="sr-Cyrl-BA"/>
              </w:rPr>
              <w:t>обља</w:t>
            </w:r>
          </w:p>
          <w:p w14:paraId="5F668BBD" w14:textId="05EFB62D" w:rsidR="00892898" w:rsidRPr="00F6340E" w:rsidRDefault="0071360A" w:rsidP="00FB5CB7">
            <w:pPr>
              <w:pStyle w:val="ListParagraph"/>
              <w:numPr>
                <w:ilvl w:val="0"/>
                <w:numId w:val="37"/>
              </w:numPr>
              <w:jc w:val="left"/>
              <w:textAlignment w:val="baseline"/>
              <w:rPr>
                <w:rFonts w:ascii="Arial" w:eastAsiaTheme="minorHAnsi" w:hAnsi="Arial" w:cs="Arial"/>
                <w:b/>
                <w:color w:val="000000"/>
                <w:lang w:val="sr-Cyrl-BA"/>
              </w:rPr>
            </w:pPr>
            <w:r>
              <w:rPr>
                <w:rFonts w:ascii="Arial" w:hAnsi="Arial" w:cs="Arial"/>
                <w:b/>
                <w:lang w:val="sr-Cyrl-BA"/>
              </w:rPr>
              <w:t>Р</w:t>
            </w:r>
            <w:r w:rsidR="00EE6AA2">
              <w:rPr>
                <w:rFonts w:ascii="Arial" w:hAnsi="Arial" w:cs="Arial"/>
                <w:b/>
                <w:lang w:val="sr-Cyrl-BA"/>
              </w:rPr>
              <w:t>е</w:t>
            </w:r>
            <w:r w:rsidR="00A56E08">
              <w:rPr>
                <w:rFonts w:ascii="Arial" w:hAnsi="Arial" w:cs="Arial"/>
                <w:b/>
                <w:lang w:val="sr-Cyrl-BA"/>
              </w:rPr>
              <w:t>до</w:t>
            </w:r>
            <w:r>
              <w:rPr>
                <w:rFonts w:ascii="Arial" w:hAnsi="Arial" w:cs="Arial"/>
                <w:b/>
                <w:lang w:val="sr-Cyrl-BA"/>
              </w:rPr>
              <w:t>в</w:t>
            </w:r>
            <w:r w:rsidR="00A56E08">
              <w:rPr>
                <w:rFonts w:ascii="Arial" w:hAnsi="Arial" w:cs="Arial"/>
                <w:b/>
                <w:lang w:val="sr-Cyrl-BA"/>
              </w:rPr>
              <w:t>но</w:t>
            </w:r>
            <w:r w:rsidR="00892898" w:rsidRPr="00F6340E">
              <w:rPr>
                <w:rFonts w:ascii="Arial" w:hAnsi="Arial" w:cs="Arial"/>
                <w:b/>
                <w:lang w:val="sr-Cyrl-BA"/>
              </w:rPr>
              <w:t xml:space="preserve"> </w:t>
            </w:r>
            <w:r w:rsidR="00A56E08">
              <w:rPr>
                <w:rFonts w:ascii="Arial" w:hAnsi="Arial" w:cs="Arial"/>
                <w:b/>
                <w:lang w:val="sr-Cyrl-BA"/>
              </w:rPr>
              <w:t>а</w:t>
            </w:r>
            <w:r w:rsidR="00171F00">
              <w:rPr>
                <w:rFonts w:ascii="Arial" w:hAnsi="Arial" w:cs="Arial"/>
                <w:b/>
                <w:lang w:val="sr-Cyrl-BA"/>
              </w:rPr>
              <w:t>ж</w:t>
            </w:r>
            <w:r>
              <w:rPr>
                <w:rFonts w:ascii="Arial" w:hAnsi="Arial" w:cs="Arial"/>
                <w:b/>
                <w:lang w:val="sr-Cyrl-BA"/>
              </w:rPr>
              <w:t>ур</w:t>
            </w:r>
            <w:r w:rsidR="00A56E08">
              <w:rPr>
                <w:rFonts w:ascii="Arial" w:hAnsi="Arial" w:cs="Arial"/>
                <w:b/>
                <w:lang w:val="sr-Cyrl-BA"/>
              </w:rPr>
              <w:t>и</w:t>
            </w:r>
            <w:r>
              <w:rPr>
                <w:rFonts w:ascii="Arial" w:hAnsi="Arial" w:cs="Arial"/>
                <w:b/>
                <w:lang w:val="sr-Cyrl-BA"/>
              </w:rPr>
              <w:t>р</w:t>
            </w:r>
            <w:r w:rsidR="00A56E08">
              <w:rPr>
                <w:rFonts w:ascii="Arial" w:hAnsi="Arial" w:cs="Arial"/>
                <w:b/>
                <w:lang w:val="sr-Cyrl-BA"/>
              </w:rPr>
              <w:t>а</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ода</w:t>
            </w:r>
            <w:r>
              <w:rPr>
                <w:rFonts w:ascii="Arial" w:hAnsi="Arial" w:cs="Arial"/>
                <w:b/>
                <w:lang w:val="sr-Cyrl-BA"/>
              </w:rPr>
              <w:t>т</w:t>
            </w:r>
            <w:r w:rsidR="00A56E08">
              <w:rPr>
                <w:rFonts w:ascii="Arial" w:hAnsi="Arial" w:cs="Arial"/>
                <w:b/>
                <w:lang w:val="sr-Cyrl-BA"/>
              </w:rPr>
              <w:t>к</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о</w:t>
            </w:r>
            <w:r w:rsidR="00892898"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пр</w:t>
            </w:r>
            <w:r w:rsidR="00EE6AA2">
              <w:rPr>
                <w:rFonts w:ascii="Arial" w:hAnsi="Arial" w:cs="Arial"/>
                <w:b/>
                <w:lang w:val="sr-Cyrl-BA"/>
              </w:rPr>
              <w:t>е</w:t>
            </w:r>
            <w:r w:rsidR="00A56E08">
              <w:rPr>
                <w:rFonts w:ascii="Arial" w:hAnsi="Arial" w:cs="Arial"/>
                <w:b/>
                <w:lang w:val="sr-Cyrl-BA"/>
              </w:rPr>
              <w:t>мљ</w:t>
            </w:r>
            <w:r w:rsidR="00EE6AA2">
              <w:rPr>
                <w:rFonts w:ascii="Arial" w:hAnsi="Arial" w:cs="Arial"/>
                <w:b/>
                <w:lang w:val="sr-Cyrl-BA"/>
              </w:rPr>
              <w:t>е</w:t>
            </w:r>
            <w:r w:rsidR="00A56E08">
              <w:rPr>
                <w:rFonts w:ascii="Arial" w:hAnsi="Arial" w:cs="Arial"/>
                <w:b/>
                <w:lang w:val="sr-Cyrl-BA"/>
              </w:rPr>
              <w:t>но</w:t>
            </w:r>
            <w:r>
              <w:rPr>
                <w:rFonts w:ascii="Arial" w:hAnsi="Arial" w:cs="Arial"/>
                <w:b/>
                <w:lang w:val="sr-Cyrl-BA"/>
              </w:rPr>
              <w:t>ст</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ш</w:t>
            </w:r>
            <w:r w:rsidR="00A56E08">
              <w:rPr>
                <w:rFonts w:ascii="Arial" w:hAnsi="Arial" w:cs="Arial"/>
                <w:b/>
                <w:lang w:val="sr-Cyrl-BA"/>
              </w:rPr>
              <w:t>кола</w:t>
            </w:r>
            <w:r w:rsidR="00892898"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пр</w:t>
            </w:r>
            <w:r w:rsidR="00EE6AA2">
              <w:rPr>
                <w:rFonts w:ascii="Arial" w:hAnsi="Arial" w:cs="Arial"/>
                <w:b/>
                <w:lang w:val="sr-Cyrl-BA"/>
              </w:rPr>
              <w:t>е</w:t>
            </w:r>
            <w:r w:rsidR="00A56E08">
              <w:rPr>
                <w:rFonts w:ascii="Arial" w:hAnsi="Arial" w:cs="Arial"/>
                <w:b/>
                <w:lang w:val="sr-Cyrl-BA"/>
              </w:rPr>
              <w:t>мом</w:t>
            </w:r>
            <w:r w:rsidR="00892898"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w:t>
            </w:r>
            <w:r w:rsidR="00D46A3E" w:rsidRPr="00F6340E">
              <w:rPr>
                <w:rFonts w:ascii="Arial" w:hAnsi="Arial" w:cs="Arial"/>
                <w:b/>
                <w:lang w:val="sr-Cyrl-BA"/>
              </w:rPr>
              <w:t xml:space="preserve"> </w:t>
            </w:r>
            <w:r w:rsidR="00A56E08">
              <w:rPr>
                <w:rFonts w:ascii="Arial" w:hAnsi="Arial" w:cs="Arial"/>
                <w:b/>
                <w:lang w:val="sr-Cyrl-BA"/>
              </w:rPr>
              <w:t>ИК</w:t>
            </w:r>
            <w:r>
              <w:rPr>
                <w:rFonts w:ascii="Arial" w:hAnsi="Arial" w:cs="Arial"/>
                <w:b/>
                <w:lang w:val="sr-Cyrl-BA"/>
              </w:rPr>
              <w:t>Т</w:t>
            </w:r>
            <w:r w:rsidR="00D46A3E" w:rsidRPr="00F6340E">
              <w:rPr>
                <w:rFonts w:ascii="Arial" w:hAnsi="Arial" w:cs="Arial"/>
                <w:b/>
                <w:lang w:val="sr-Cyrl-BA"/>
              </w:rPr>
              <w:t xml:space="preserve"> </w:t>
            </w:r>
            <w:r w:rsidR="00A56E08">
              <w:rPr>
                <w:rFonts w:ascii="Arial" w:hAnsi="Arial" w:cs="Arial"/>
                <w:b/>
                <w:lang w:val="sr-Cyrl-BA"/>
              </w:rPr>
              <w:t>и</w:t>
            </w:r>
            <w:r w:rsidR="00892898" w:rsidRPr="00F6340E">
              <w:rPr>
                <w:rFonts w:ascii="Arial" w:hAnsi="Arial" w:cs="Arial"/>
                <w:b/>
                <w:lang w:val="sr-Cyrl-BA"/>
              </w:rPr>
              <w:t xml:space="preserve"> </w:t>
            </w:r>
            <w:r w:rsidR="005549C9">
              <w:rPr>
                <w:rFonts w:ascii="Arial" w:hAnsi="Arial" w:cs="Arial"/>
                <w:b/>
                <w:lang w:val="sr-Cyrl-BA"/>
              </w:rPr>
              <w:t>интернет</w:t>
            </w:r>
            <w:r w:rsidR="00892898" w:rsidRPr="00F6340E">
              <w:rPr>
                <w:rFonts w:ascii="Arial" w:hAnsi="Arial" w:cs="Arial"/>
                <w:b/>
                <w:lang w:val="sr-Cyrl-BA"/>
              </w:rPr>
              <w:t xml:space="preserve"> </w:t>
            </w:r>
            <w:r w:rsidR="00A56E08">
              <w:rPr>
                <w:rFonts w:ascii="Arial" w:hAnsi="Arial" w:cs="Arial"/>
                <w:b/>
                <w:lang w:val="sr-Cyrl-BA"/>
              </w:rPr>
              <w:t>кон</w:t>
            </w:r>
            <w:r w:rsidR="00EE6AA2">
              <w:rPr>
                <w:rFonts w:ascii="Arial" w:hAnsi="Arial" w:cs="Arial"/>
                <w:b/>
                <w:lang w:val="sr-Cyrl-BA"/>
              </w:rPr>
              <w:t>е</w:t>
            </w:r>
            <w:r w:rsidR="00A56E08">
              <w:rPr>
                <w:rFonts w:ascii="Arial" w:hAnsi="Arial" w:cs="Arial"/>
                <w:b/>
                <w:lang w:val="sr-Cyrl-BA"/>
              </w:rPr>
              <w:t>кцијом</w:t>
            </w:r>
            <w:r w:rsidR="00892898" w:rsidRPr="00F6340E">
              <w:rPr>
                <w:rFonts w:ascii="Arial" w:hAnsi="Arial" w:cs="Arial"/>
                <w:b/>
                <w:lang w:val="sr-Cyrl-BA"/>
              </w:rPr>
              <w:t xml:space="preserve"> </w:t>
            </w:r>
            <w:r>
              <w:rPr>
                <w:rFonts w:ascii="Arial" w:hAnsi="Arial" w:cs="Arial"/>
                <w:b/>
                <w:lang w:val="sr-Cyrl-BA"/>
              </w:rPr>
              <w:t>у</w:t>
            </w:r>
            <w:r w:rsidR="00E864CA" w:rsidRPr="00F6340E">
              <w:rPr>
                <w:rFonts w:ascii="Arial" w:hAnsi="Arial" w:cs="Arial"/>
                <w:b/>
                <w:lang w:val="sr-Cyrl-BA"/>
              </w:rPr>
              <w:t xml:space="preserve"> </w:t>
            </w:r>
            <w:r>
              <w:rPr>
                <w:rFonts w:ascii="Arial" w:hAnsi="Arial" w:cs="Arial"/>
                <w:b/>
                <w:lang w:val="sr-Cyrl-BA"/>
              </w:rPr>
              <w:t>с</w:t>
            </w:r>
            <w:r w:rsidR="00A56E08">
              <w:rPr>
                <w:rFonts w:ascii="Arial" w:hAnsi="Arial" w:cs="Arial"/>
                <w:b/>
                <w:lang w:val="sr-Cyrl-BA"/>
              </w:rPr>
              <w:t>клад</w:t>
            </w:r>
            <w:r>
              <w:rPr>
                <w:rFonts w:ascii="Arial" w:hAnsi="Arial" w:cs="Arial"/>
                <w:b/>
                <w:lang w:val="sr-Cyrl-BA"/>
              </w:rPr>
              <w:t>у</w:t>
            </w:r>
            <w:r w:rsidR="00B04FA8">
              <w:rPr>
                <w:rFonts w:ascii="Arial" w:hAnsi="Arial" w:cs="Arial"/>
                <w:b/>
                <w:lang w:val="sr-Cyrl-BA"/>
              </w:rPr>
              <w:t xml:space="preserve"> са </w:t>
            </w:r>
            <w:hyperlink r:id="rId31" w:history="1">
              <w:r w:rsidR="00A56E08">
                <w:rPr>
                  <w:rStyle w:val="Hyperlink"/>
                  <w:rFonts w:ascii="Arial" w:hAnsi="Arial" w:cs="Arial"/>
                  <w:b/>
                  <w:lang w:val="sr-Cyrl-BA"/>
                </w:rPr>
                <w:t>О</w:t>
              </w:r>
              <w:r>
                <w:rPr>
                  <w:rStyle w:val="Hyperlink"/>
                  <w:rFonts w:ascii="Arial" w:hAnsi="Arial" w:cs="Arial"/>
                  <w:b/>
                  <w:lang w:val="sr-Cyrl-BA"/>
                </w:rPr>
                <w:t>с</w:t>
              </w:r>
              <w:r w:rsidR="00A56E08">
                <w:rPr>
                  <w:rStyle w:val="Hyperlink"/>
                  <w:rFonts w:ascii="Arial" w:hAnsi="Arial" w:cs="Arial"/>
                  <w:b/>
                  <w:lang w:val="sr-Cyrl-BA"/>
                </w:rPr>
                <w:t>но</w:t>
              </w:r>
              <w:r>
                <w:rPr>
                  <w:rStyle w:val="Hyperlink"/>
                  <w:rFonts w:ascii="Arial" w:hAnsi="Arial" w:cs="Arial"/>
                  <w:b/>
                  <w:lang w:val="sr-Cyrl-BA"/>
                </w:rPr>
                <w:t>в</w:t>
              </w:r>
              <w:r w:rsidR="00A56E08">
                <w:rPr>
                  <w:rStyle w:val="Hyperlink"/>
                  <w:rFonts w:ascii="Arial" w:hAnsi="Arial" w:cs="Arial"/>
                  <w:b/>
                  <w:lang w:val="sr-Cyrl-BA"/>
                </w:rPr>
                <w:t>ним</w:t>
              </w:r>
              <w:r w:rsidR="00892898" w:rsidRPr="00F6340E">
                <w:rPr>
                  <w:rStyle w:val="Hyperlink"/>
                  <w:rFonts w:ascii="Arial" w:hAnsi="Arial" w:cs="Arial"/>
                  <w:b/>
                  <w:lang w:val="sr-Cyrl-BA"/>
                </w:rPr>
                <w:t xml:space="preserve"> </w:t>
              </w:r>
              <w:r>
                <w:rPr>
                  <w:rStyle w:val="Hyperlink"/>
                  <w:rFonts w:ascii="Arial" w:hAnsi="Arial" w:cs="Arial"/>
                  <w:b/>
                  <w:lang w:val="sr-Cyrl-BA"/>
                </w:rPr>
                <w:t>т</w:t>
              </w:r>
              <w:r w:rsidR="00EE6AA2">
                <w:rPr>
                  <w:rStyle w:val="Hyperlink"/>
                  <w:rFonts w:ascii="Arial" w:hAnsi="Arial" w:cs="Arial"/>
                  <w:b/>
                  <w:lang w:val="sr-Cyrl-BA"/>
                </w:rPr>
                <w:t>е</w:t>
              </w:r>
              <w:r w:rsidR="00A56E08">
                <w:rPr>
                  <w:rStyle w:val="Hyperlink"/>
                  <w:rFonts w:ascii="Arial" w:hAnsi="Arial" w:cs="Arial"/>
                  <w:b/>
                  <w:lang w:val="sr-Cyrl-BA"/>
                </w:rPr>
                <w:t>хничким</w:t>
              </w:r>
              <w:r w:rsidR="00892898" w:rsidRPr="00F6340E">
                <w:rPr>
                  <w:rStyle w:val="Hyperlink"/>
                  <w:rFonts w:ascii="Arial" w:hAnsi="Arial" w:cs="Arial"/>
                  <w:b/>
                  <w:lang w:val="sr-Cyrl-BA"/>
                </w:rPr>
                <w:t xml:space="preserve"> </w:t>
              </w:r>
              <w:r>
                <w:rPr>
                  <w:rStyle w:val="Hyperlink"/>
                  <w:rFonts w:ascii="Arial" w:hAnsi="Arial" w:cs="Arial"/>
                  <w:b/>
                  <w:lang w:val="sr-Cyrl-BA"/>
                </w:rPr>
                <w:t>ст</w:t>
              </w:r>
              <w:r w:rsidR="00A56E08">
                <w:rPr>
                  <w:rStyle w:val="Hyperlink"/>
                  <w:rFonts w:ascii="Arial" w:hAnsi="Arial" w:cs="Arial"/>
                  <w:b/>
                  <w:lang w:val="sr-Cyrl-BA"/>
                </w:rPr>
                <w:t>анда</w:t>
              </w:r>
              <w:r>
                <w:rPr>
                  <w:rStyle w:val="Hyperlink"/>
                  <w:rFonts w:ascii="Arial" w:hAnsi="Arial" w:cs="Arial"/>
                  <w:b/>
                  <w:lang w:val="sr-Cyrl-BA"/>
                </w:rPr>
                <w:t>р</w:t>
              </w:r>
              <w:r w:rsidR="00A56E08">
                <w:rPr>
                  <w:rStyle w:val="Hyperlink"/>
                  <w:rFonts w:ascii="Arial" w:hAnsi="Arial" w:cs="Arial"/>
                  <w:b/>
                  <w:lang w:val="sr-Cyrl-BA"/>
                </w:rPr>
                <w:t>дима</w:t>
              </w:r>
              <w:r w:rsidR="00892898" w:rsidRPr="00F6340E">
                <w:rPr>
                  <w:rStyle w:val="Hyperlink"/>
                  <w:rFonts w:ascii="Arial" w:hAnsi="Arial" w:cs="Arial"/>
                  <w:b/>
                  <w:lang w:val="sr-Cyrl-BA"/>
                </w:rPr>
                <w:t xml:space="preserve"> </w:t>
              </w:r>
              <w:r w:rsidR="00171F00">
                <w:rPr>
                  <w:rStyle w:val="Hyperlink"/>
                  <w:rFonts w:ascii="Arial" w:hAnsi="Arial" w:cs="Arial"/>
                  <w:b/>
                  <w:lang w:val="sr-Cyrl-BA"/>
                </w:rPr>
                <w:t>з</w:t>
              </w:r>
              <w:r w:rsidR="00A56E08">
                <w:rPr>
                  <w:rStyle w:val="Hyperlink"/>
                  <w:rFonts w:ascii="Arial" w:hAnsi="Arial" w:cs="Arial"/>
                  <w:b/>
                  <w:lang w:val="sr-Cyrl-BA"/>
                </w:rPr>
                <w:t>а</w:t>
              </w:r>
              <w:r w:rsidR="00892898" w:rsidRPr="00F6340E">
                <w:rPr>
                  <w:rStyle w:val="Hyperlink"/>
                  <w:rFonts w:ascii="Arial" w:hAnsi="Arial" w:cs="Arial"/>
                  <w:b/>
                  <w:lang w:val="sr-Cyrl-BA"/>
                </w:rPr>
                <w:t xml:space="preserve"> </w:t>
              </w:r>
              <w:r w:rsidR="00A56E08">
                <w:rPr>
                  <w:rStyle w:val="Hyperlink"/>
                  <w:rFonts w:ascii="Arial" w:hAnsi="Arial" w:cs="Arial"/>
                  <w:b/>
                  <w:lang w:val="sr-Cyrl-BA"/>
                </w:rPr>
                <w:t>ала</w:t>
              </w:r>
              <w:r>
                <w:rPr>
                  <w:rStyle w:val="Hyperlink"/>
                  <w:rFonts w:ascii="Arial" w:hAnsi="Arial" w:cs="Arial"/>
                  <w:b/>
                  <w:lang w:val="sr-Cyrl-BA"/>
                </w:rPr>
                <w:t>т</w:t>
              </w:r>
              <w:r w:rsidR="00EE6AA2">
                <w:rPr>
                  <w:rStyle w:val="Hyperlink"/>
                  <w:rFonts w:ascii="Arial" w:hAnsi="Arial" w:cs="Arial"/>
                  <w:b/>
                  <w:lang w:val="sr-Cyrl-BA"/>
                </w:rPr>
                <w:t>е</w:t>
              </w:r>
              <w:r w:rsidR="00892898" w:rsidRPr="00F6340E">
                <w:rPr>
                  <w:rStyle w:val="Hyperlink"/>
                  <w:rFonts w:ascii="Arial" w:hAnsi="Arial" w:cs="Arial"/>
                  <w:b/>
                  <w:lang w:val="sr-Cyrl-BA"/>
                </w:rPr>
                <w:t xml:space="preserve"> </w:t>
              </w:r>
              <w:r w:rsidR="00A56E08">
                <w:rPr>
                  <w:rStyle w:val="Hyperlink"/>
                  <w:rFonts w:ascii="Arial" w:hAnsi="Arial" w:cs="Arial"/>
                  <w:b/>
                  <w:lang w:val="sr-Cyrl-BA"/>
                </w:rPr>
                <w:t>инфо</w:t>
              </w:r>
              <w:r>
                <w:rPr>
                  <w:rStyle w:val="Hyperlink"/>
                  <w:rFonts w:ascii="Arial" w:hAnsi="Arial" w:cs="Arial"/>
                  <w:b/>
                  <w:lang w:val="sr-Cyrl-BA"/>
                </w:rPr>
                <w:t>р</w:t>
              </w:r>
              <w:r w:rsidR="00A56E08">
                <w:rPr>
                  <w:rStyle w:val="Hyperlink"/>
                  <w:rFonts w:ascii="Arial" w:hAnsi="Arial" w:cs="Arial"/>
                  <w:b/>
                  <w:lang w:val="sr-Cyrl-BA"/>
                </w:rPr>
                <w:t>ма</w:t>
              </w:r>
              <w:r>
                <w:rPr>
                  <w:rStyle w:val="Hyperlink"/>
                  <w:rFonts w:ascii="Arial" w:hAnsi="Arial" w:cs="Arial"/>
                  <w:b/>
                  <w:lang w:val="sr-Cyrl-BA"/>
                </w:rPr>
                <w:t>т</w:t>
              </w:r>
              <w:r w:rsidR="00A56E08">
                <w:rPr>
                  <w:rStyle w:val="Hyperlink"/>
                  <w:rFonts w:ascii="Arial" w:hAnsi="Arial" w:cs="Arial"/>
                  <w:b/>
                  <w:lang w:val="sr-Cyrl-BA"/>
                </w:rPr>
                <w:t>ичких</w:t>
              </w:r>
              <w:r w:rsidR="00E864CA" w:rsidRPr="00F6340E">
                <w:rPr>
                  <w:rStyle w:val="Hyperlink"/>
                  <w:rFonts w:ascii="Arial" w:hAnsi="Arial" w:cs="Arial"/>
                  <w:b/>
                  <w:lang w:val="sr-Cyrl-BA"/>
                </w:rPr>
                <w:t>-</w:t>
              </w:r>
              <w:r w:rsidR="00A56E08">
                <w:rPr>
                  <w:rStyle w:val="Hyperlink"/>
                  <w:rFonts w:ascii="Arial" w:hAnsi="Arial" w:cs="Arial"/>
                  <w:b/>
                  <w:lang w:val="sr-Cyrl-BA"/>
                </w:rPr>
                <w:t>ком</w:t>
              </w:r>
              <w:r>
                <w:rPr>
                  <w:rStyle w:val="Hyperlink"/>
                  <w:rFonts w:ascii="Arial" w:hAnsi="Arial" w:cs="Arial"/>
                  <w:b/>
                  <w:lang w:val="sr-Cyrl-BA"/>
                </w:rPr>
                <w:t>у</w:t>
              </w:r>
              <w:r w:rsidR="00A56E08">
                <w:rPr>
                  <w:rStyle w:val="Hyperlink"/>
                  <w:rFonts w:ascii="Arial" w:hAnsi="Arial" w:cs="Arial"/>
                  <w:b/>
                  <w:lang w:val="sr-Cyrl-BA"/>
                </w:rPr>
                <w:t>никационих</w:t>
              </w:r>
              <w:r w:rsidR="00892898" w:rsidRPr="00F6340E">
                <w:rPr>
                  <w:rStyle w:val="Hyperlink"/>
                  <w:rFonts w:ascii="Arial" w:hAnsi="Arial" w:cs="Arial"/>
                  <w:b/>
                  <w:lang w:val="sr-Cyrl-BA"/>
                </w:rPr>
                <w:t xml:space="preserve"> </w:t>
              </w:r>
              <w:r>
                <w:rPr>
                  <w:rStyle w:val="Hyperlink"/>
                  <w:rFonts w:ascii="Arial" w:hAnsi="Arial" w:cs="Arial"/>
                  <w:b/>
                  <w:lang w:val="sr-Cyrl-BA"/>
                </w:rPr>
                <w:t>т</w:t>
              </w:r>
              <w:r w:rsidR="00EE6AA2">
                <w:rPr>
                  <w:rStyle w:val="Hyperlink"/>
                  <w:rFonts w:ascii="Arial" w:hAnsi="Arial" w:cs="Arial"/>
                  <w:b/>
                  <w:lang w:val="sr-Cyrl-BA"/>
                </w:rPr>
                <w:t>е</w:t>
              </w:r>
              <w:r w:rsidR="00A56E08">
                <w:rPr>
                  <w:rStyle w:val="Hyperlink"/>
                  <w:rFonts w:ascii="Arial" w:hAnsi="Arial" w:cs="Arial"/>
                  <w:b/>
                  <w:lang w:val="sr-Cyrl-BA"/>
                </w:rPr>
                <w:t>хнологија</w:t>
              </w:r>
              <w:r w:rsidR="00892898" w:rsidRPr="00F6340E">
                <w:rPr>
                  <w:rStyle w:val="Hyperlink"/>
                  <w:rFonts w:ascii="Arial" w:hAnsi="Arial" w:cs="Arial"/>
                  <w:b/>
                  <w:lang w:val="sr-Cyrl-BA"/>
                </w:rPr>
                <w:t xml:space="preserve"> </w:t>
              </w:r>
              <w:r>
                <w:rPr>
                  <w:rStyle w:val="Hyperlink"/>
                  <w:rFonts w:ascii="Arial" w:hAnsi="Arial" w:cs="Arial"/>
                  <w:b/>
                  <w:lang w:val="sr-Cyrl-BA"/>
                </w:rPr>
                <w:t>у</w:t>
              </w:r>
              <w:r w:rsidR="00892898" w:rsidRPr="00F6340E">
                <w:rPr>
                  <w:rStyle w:val="Hyperlink"/>
                  <w:rFonts w:ascii="Arial" w:hAnsi="Arial" w:cs="Arial"/>
                  <w:b/>
                  <w:lang w:val="sr-Cyrl-BA"/>
                </w:rPr>
                <w:t xml:space="preserve"> </w:t>
              </w:r>
              <w:r w:rsidR="00A56E08">
                <w:rPr>
                  <w:rStyle w:val="Hyperlink"/>
                  <w:rFonts w:ascii="Arial" w:hAnsi="Arial" w:cs="Arial"/>
                  <w:b/>
                  <w:lang w:val="sr-Cyrl-BA"/>
                </w:rPr>
                <w:t>об</w:t>
              </w:r>
              <w:r>
                <w:rPr>
                  <w:rStyle w:val="Hyperlink"/>
                  <w:rFonts w:ascii="Arial" w:hAnsi="Arial" w:cs="Arial"/>
                  <w:b/>
                  <w:lang w:val="sr-Cyrl-BA"/>
                </w:rPr>
                <w:t>р</w:t>
              </w:r>
              <w:r w:rsidR="00A56E08">
                <w:rPr>
                  <w:rStyle w:val="Hyperlink"/>
                  <w:rFonts w:ascii="Arial" w:hAnsi="Arial" w:cs="Arial"/>
                  <w:b/>
                  <w:lang w:val="sr-Cyrl-BA"/>
                </w:rPr>
                <w:t>а</w:t>
              </w:r>
              <w:r w:rsidR="00171F00">
                <w:rPr>
                  <w:rStyle w:val="Hyperlink"/>
                  <w:rFonts w:ascii="Arial" w:hAnsi="Arial" w:cs="Arial"/>
                  <w:b/>
                  <w:lang w:val="sr-Cyrl-BA"/>
                </w:rPr>
                <w:t>з</w:t>
              </w:r>
              <w:r w:rsidR="00A56E08">
                <w:rPr>
                  <w:rStyle w:val="Hyperlink"/>
                  <w:rFonts w:ascii="Arial" w:hAnsi="Arial" w:cs="Arial"/>
                  <w:b/>
                  <w:lang w:val="sr-Cyrl-BA"/>
                </w:rPr>
                <w:t>о</w:t>
              </w:r>
              <w:r>
                <w:rPr>
                  <w:rStyle w:val="Hyperlink"/>
                  <w:rFonts w:ascii="Arial" w:hAnsi="Arial" w:cs="Arial"/>
                  <w:b/>
                  <w:lang w:val="sr-Cyrl-BA"/>
                </w:rPr>
                <w:t>в</w:t>
              </w:r>
              <w:r w:rsidR="00A56E08">
                <w:rPr>
                  <w:rStyle w:val="Hyperlink"/>
                  <w:rFonts w:ascii="Arial" w:hAnsi="Arial" w:cs="Arial"/>
                  <w:b/>
                  <w:lang w:val="sr-Cyrl-BA"/>
                </w:rPr>
                <w:t>ним</w:t>
              </w:r>
              <w:r w:rsidR="00892898" w:rsidRPr="00F6340E">
                <w:rPr>
                  <w:rStyle w:val="Hyperlink"/>
                  <w:rFonts w:ascii="Arial" w:hAnsi="Arial" w:cs="Arial"/>
                  <w:b/>
                  <w:lang w:val="sr-Cyrl-BA"/>
                </w:rPr>
                <w:t xml:space="preserve"> </w:t>
              </w:r>
              <w:r>
                <w:rPr>
                  <w:rStyle w:val="Hyperlink"/>
                  <w:rFonts w:ascii="Arial" w:hAnsi="Arial" w:cs="Arial"/>
                  <w:b/>
                  <w:lang w:val="sr-Cyrl-BA"/>
                </w:rPr>
                <w:t>с</w:t>
              </w:r>
              <w:r w:rsidR="00A56E08">
                <w:rPr>
                  <w:rStyle w:val="Hyperlink"/>
                  <w:rFonts w:ascii="Arial" w:hAnsi="Arial" w:cs="Arial"/>
                  <w:b/>
                  <w:lang w:val="sr-Cyrl-BA"/>
                </w:rPr>
                <w:t>и</w:t>
              </w:r>
              <w:r>
                <w:rPr>
                  <w:rStyle w:val="Hyperlink"/>
                  <w:rFonts w:ascii="Arial" w:hAnsi="Arial" w:cs="Arial"/>
                  <w:b/>
                  <w:lang w:val="sr-Cyrl-BA"/>
                </w:rPr>
                <w:t>ст</w:t>
              </w:r>
              <w:r w:rsidR="00EE6AA2">
                <w:rPr>
                  <w:rStyle w:val="Hyperlink"/>
                  <w:rFonts w:ascii="Arial" w:hAnsi="Arial" w:cs="Arial"/>
                  <w:b/>
                  <w:lang w:val="sr-Cyrl-BA"/>
                </w:rPr>
                <w:t>е</w:t>
              </w:r>
              <w:r w:rsidR="00A56E08">
                <w:rPr>
                  <w:rStyle w:val="Hyperlink"/>
                  <w:rFonts w:ascii="Arial" w:hAnsi="Arial" w:cs="Arial"/>
                  <w:b/>
                  <w:lang w:val="sr-Cyrl-BA"/>
                </w:rPr>
                <w:t>мима</w:t>
              </w:r>
              <w:r w:rsidR="00892898" w:rsidRPr="00F6340E">
                <w:rPr>
                  <w:rStyle w:val="Hyperlink"/>
                  <w:rFonts w:ascii="Arial" w:hAnsi="Arial" w:cs="Arial"/>
                  <w:b/>
                  <w:lang w:val="sr-Cyrl-BA"/>
                </w:rPr>
                <w:t xml:space="preserve"> </w:t>
              </w:r>
              <w:r>
                <w:rPr>
                  <w:rStyle w:val="Hyperlink"/>
                  <w:rFonts w:ascii="Arial" w:hAnsi="Arial" w:cs="Arial"/>
                  <w:b/>
                  <w:lang w:val="sr-Cyrl-BA"/>
                </w:rPr>
                <w:t>у</w:t>
              </w:r>
              <w:r w:rsidR="00892898" w:rsidRPr="00F6340E">
                <w:rPr>
                  <w:rStyle w:val="Hyperlink"/>
                  <w:rFonts w:ascii="Arial" w:hAnsi="Arial" w:cs="Arial"/>
                  <w:b/>
                  <w:lang w:val="sr-Cyrl-BA"/>
                </w:rPr>
                <w:t xml:space="preserve"> </w:t>
              </w:r>
              <w:r w:rsidR="00A56E08">
                <w:rPr>
                  <w:rStyle w:val="Hyperlink"/>
                  <w:rFonts w:ascii="Arial" w:hAnsi="Arial" w:cs="Arial"/>
                  <w:b/>
                  <w:lang w:val="sr-Cyrl-BA"/>
                </w:rPr>
                <w:t>Бо</w:t>
              </w:r>
              <w:r>
                <w:rPr>
                  <w:rStyle w:val="Hyperlink"/>
                  <w:rFonts w:ascii="Arial" w:hAnsi="Arial" w:cs="Arial"/>
                  <w:b/>
                  <w:lang w:val="sr-Cyrl-BA"/>
                </w:rPr>
                <w:t>с</w:t>
              </w:r>
              <w:r w:rsidR="00A56E08">
                <w:rPr>
                  <w:rStyle w:val="Hyperlink"/>
                  <w:rFonts w:ascii="Arial" w:hAnsi="Arial" w:cs="Arial"/>
                  <w:b/>
                  <w:lang w:val="sr-Cyrl-BA"/>
                </w:rPr>
                <w:t>ни</w:t>
              </w:r>
              <w:r w:rsidR="00892898" w:rsidRPr="00F6340E">
                <w:rPr>
                  <w:rStyle w:val="Hyperlink"/>
                  <w:rFonts w:ascii="Arial" w:hAnsi="Arial" w:cs="Arial"/>
                  <w:b/>
                  <w:lang w:val="sr-Cyrl-BA"/>
                </w:rPr>
                <w:t xml:space="preserve"> </w:t>
              </w:r>
              <w:r w:rsidR="00A56E08">
                <w:rPr>
                  <w:rStyle w:val="Hyperlink"/>
                  <w:rFonts w:ascii="Arial" w:hAnsi="Arial" w:cs="Arial"/>
                  <w:b/>
                  <w:lang w:val="sr-Cyrl-BA"/>
                </w:rPr>
                <w:t>и</w:t>
              </w:r>
              <w:r w:rsidR="00892898" w:rsidRPr="00F6340E">
                <w:rPr>
                  <w:rStyle w:val="Hyperlink"/>
                  <w:rFonts w:ascii="Arial" w:hAnsi="Arial" w:cs="Arial"/>
                  <w:b/>
                  <w:lang w:val="sr-Cyrl-BA"/>
                </w:rPr>
                <w:t xml:space="preserve"> </w:t>
              </w:r>
              <w:r w:rsidR="00A56E08">
                <w:rPr>
                  <w:rStyle w:val="Hyperlink"/>
                  <w:rFonts w:ascii="Arial" w:hAnsi="Arial" w:cs="Arial"/>
                  <w:b/>
                  <w:lang w:val="sr-Cyrl-BA"/>
                </w:rPr>
                <w:t>Х</w:t>
              </w:r>
              <w:r w:rsidR="00EE6AA2">
                <w:rPr>
                  <w:rStyle w:val="Hyperlink"/>
                  <w:rFonts w:ascii="Arial" w:hAnsi="Arial" w:cs="Arial"/>
                  <w:b/>
                  <w:lang w:val="sr-Cyrl-BA"/>
                </w:rPr>
                <w:t>е</w:t>
              </w:r>
              <w:r>
                <w:rPr>
                  <w:rStyle w:val="Hyperlink"/>
                  <w:rFonts w:ascii="Arial" w:hAnsi="Arial" w:cs="Arial"/>
                  <w:b/>
                  <w:lang w:val="sr-Cyrl-BA"/>
                </w:rPr>
                <w:t>р</w:t>
              </w:r>
              <w:r w:rsidR="00A56E08">
                <w:rPr>
                  <w:rStyle w:val="Hyperlink"/>
                  <w:rFonts w:ascii="Arial" w:hAnsi="Arial" w:cs="Arial"/>
                  <w:b/>
                  <w:lang w:val="sr-Cyrl-BA"/>
                </w:rPr>
                <w:t>ц</w:t>
              </w:r>
              <w:r w:rsidR="00EE6AA2">
                <w:rPr>
                  <w:rStyle w:val="Hyperlink"/>
                  <w:rFonts w:ascii="Arial" w:hAnsi="Arial" w:cs="Arial"/>
                  <w:b/>
                  <w:lang w:val="sr-Cyrl-BA"/>
                </w:rPr>
                <w:t>е</w:t>
              </w:r>
              <w:r w:rsidR="00A56E08">
                <w:rPr>
                  <w:rStyle w:val="Hyperlink"/>
                  <w:rFonts w:ascii="Arial" w:hAnsi="Arial" w:cs="Arial"/>
                  <w:b/>
                  <w:lang w:val="sr-Cyrl-BA"/>
                </w:rPr>
                <w:t>го</w:t>
              </w:r>
              <w:r>
                <w:rPr>
                  <w:rStyle w:val="Hyperlink"/>
                  <w:rFonts w:ascii="Arial" w:hAnsi="Arial" w:cs="Arial"/>
                  <w:b/>
                  <w:lang w:val="sr-Cyrl-BA"/>
                </w:rPr>
                <w:t>в</w:t>
              </w:r>
              <w:r w:rsidR="00A56E08">
                <w:rPr>
                  <w:rStyle w:val="Hyperlink"/>
                  <w:rFonts w:ascii="Arial" w:hAnsi="Arial" w:cs="Arial"/>
                  <w:b/>
                  <w:lang w:val="sr-Cyrl-BA"/>
                </w:rPr>
                <w:t>ини</w:t>
              </w:r>
              <w:r w:rsidR="00892898" w:rsidRPr="00F6340E">
                <w:rPr>
                  <w:rStyle w:val="Hyperlink"/>
                  <w:rFonts w:ascii="Arial" w:hAnsi="Arial" w:cs="Arial"/>
                  <w:b/>
                  <w:lang w:val="sr-Cyrl-BA"/>
                </w:rPr>
                <w:t xml:space="preserve"> (2021)</w:t>
              </w:r>
            </w:hyperlink>
            <w:r w:rsidR="00892898" w:rsidRPr="00F6340E">
              <w:rPr>
                <w:rFonts w:ascii="Arial" w:hAnsi="Arial" w:cs="Arial"/>
                <w:b/>
                <w:lang w:val="sr-Cyrl-BA"/>
              </w:rPr>
              <w:t xml:space="preserve"> </w:t>
            </w:r>
            <w:r>
              <w:rPr>
                <w:rFonts w:ascii="Arial" w:hAnsi="Arial" w:cs="Arial"/>
                <w:b/>
                <w:lang w:val="sr-Cyrl-BA"/>
              </w:rPr>
              <w:t>т</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ид</w:t>
            </w:r>
            <w:r w:rsidR="00EE6AA2">
              <w:rPr>
                <w:rFonts w:ascii="Arial" w:hAnsi="Arial" w:cs="Arial"/>
                <w:b/>
                <w:lang w:val="sr-Cyrl-BA"/>
              </w:rPr>
              <w:t>е</w:t>
            </w:r>
            <w:r w:rsidR="00A56E08">
              <w:rPr>
                <w:rFonts w:ascii="Arial" w:hAnsi="Arial" w:cs="Arial"/>
                <w:b/>
                <w:lang w:val="sr-Cyrl-BA"/>
              </w:rPr>
              <w:t>н</w:t>
            </w:r>
            <w:r>
              <w:rPr>
                <w:rFonts w:ascii="Arial" w:hAnsi="Arial" w:cs="Arial"/>
                <w:b/>
                <w:lang w:val="sr-Cyrl-BA"/>
              </w:rPr>
              <w:t>т</w:t>
            </w:r>
            <w:r w:rsidR="00A56E08">
              <w:rPr>
                <w:rFonts w:ascii="Arial" w:hAnsi="Arial" w:cs="Arial"/>
                <w:b/>
                <w:lang w:val="sr-Cyrl-BA"/>
              </w:rPr>
              <w:t>ифико</w:t>
            </w:r>
            <w:r>
              <w:rPr>
                <w:rFonts w:ascii="Arial" w:hAnsi="Arial" w:cs="Arial"/>
                <w:b/>
                <w:lang w:val="sr-Cyrl-BA"/>
              </w:rPr>
              <w:t>в</w:t>
            </w:r>
            <w:r w:rsidR="00A56E08">
              <w:rPr>
                <w:rFonts w:ascii="Arial" w:hAnsi="Arial" w:cs="Arial"/>
                <w:b/>
                <w:lang w:val="sr-Cyrl-BA"/>
              </w:rPr>
              <w:t>а</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р</w:t>
            </w:r>
            <w:r w:rsidR="00A56E08">
              <w:rPr>
                <w:rFonts w:ascii="Arial" w:hAnsi="Arial" w:cs="Arial"/>
                <w:b/>
                <w:lang w:val="sr-Cyrl-BA"/>
              </w:rPr>
              <w:t>ањи</w:t>
            </w:r>
            <w:r>
              <w:rPr>
                <w:rFonts w:ascii="Arial" w:hAnsi="Arial" w:cs="Arial"/>
                <w:b/>
                <w:lang w:val="sr-Cyrl-BA"/>
              </w:rPr>
              <w:t>в</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ш</w:t>
            </w:r>
            <w:r w:rsidR="00A56E08">
              <w:rPr>
                <w:rFonts w:ascii="Arial" w:hAnsi="Arial" w:cs="Arial"/>
                <w:b/>
                <w:lang w:val="sr-Cyrl-BA"/>
              </w:rPr>
              <w:t>кол</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кој</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ћ</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би</w:t>
            </w:r>
            <w:r>
              <w:rPr>
                <w:rFonts w:ascii="Arial" w:hAnsi="Arial" w:cs="Arial"/>
                <w:b/>
                <w:lang w:val="sr-Cyrl-BA"/>
              </w:rPr>
              <w:t>т</w:t>
            </w:r>
            <w:r w:rsidR="00A56E08">
              <w:rPr>
                <w:rFonts w:ascii="Arial" w:hAnsi="Arial" w:cs="Arial"/>
                <w:b/>
                <w:lang w:val="sr-Cyrl-BA"/>
              </w:rPr>
              <w:t>и</w:t>
            </w:r>
            <w:r w:rsidR="00D46A3E" w:rsidRPr="00F6340E">
              <w:rPr>
                <w:rFonts w:ascii="Arial" w:hAnsi="Arial" w:cs="Arial"/>
                <w:b/>
                <w:lang w:val="sr-Cyrl-BA"/>
              </w:rPr>
              <w:t xml:space="preserve"> </w:t>
            </w:r>
            <w:r>
              <w:rPr>
                <w:rFonts w:ascii="Arial" w:hAnsi="Arial" w:cs="Arial"/>
                <w:b/>
                <w:lang w:val="sr-Cyrl-BA"/>
              </w:rPr>
              <w:t>пр</w:t>
            </w:r>
            <w:r w:rsidR="00A56E08">
              <w:rPr>
                <w:rFonts w:ascii="Arial" w:hAnsi="Arial" w:cs="Arial"/>
                <w:b/>
                <w:lang w:val="sr-Cyrl-BA"/>
              </w:rPr>
              <w:t>ио</w:t>
            </w:r>
            <w:r>
              <w:rPr>
                <w:rFonts w:ascii="Arial" w:hAnsi="Arial" w:cs="Arial"/>
                <w:b/>
                <w:lang w:val="sr-Cyrl-BA"/>
              </w:rPr>
              <w:t>р</w:t>
            </w:r>
            <w:r w:rsidR="00A56E08">
              <w:rPr>
                <w:rFonts w:ascii="Arial" w:hAnsi="Arial" w:cs="Arial"/>
                <w:b/>
                <w:lang w:val="sr-Cyrl-BA"/>
              </w:rPr>
              <w:t>и</w:t>
            </w:r>
            <w:r>
              <w:rPr>
                <w:rFonts w:ascii="Arial" w:hAnsi="Arial" w:cs="Arial"/>
                <w:b/>
                <w:lang w:val="sr-Cyrl-BA"/>
              </w:rPr>
              <w:t>т</w:t>
            </w:r>
            <w:r w:rsidR="00EE6AA2">
              <w:rPr>
                <w:rFonts w:ascii="Arial" w:hAnsi="Arial" w:cs="Arial"/>
                <w:b/>
                <w:lang w:val="sr-Cyrl-BA"/>
              </w:rPr>
              <w:t>е</w:t>
            </w:r>
            <w:r>
              <w:rPr>
                <w:rFonts w:ascii="Arial" w:hAnsi="Arial" w:cs="Arial"/>
                <w:b/>
                <w:lang w:val="sr-Cyrl-BA"/>
              </w:rPr>
              <w:t>т</w:t>
            </w:r>
            <w:r w:rsidR="00D46A3E"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w:t>
            </w:r>
            <w:r w:rsidR="00892898" w:rsidRPr="00F6340E">
              <w:rPr>
                <w:rFonts w:ascii="Arial" w:hAnsi="Arial" w:cs="Arial"/>
                <w:b/>
                <w:lang w:val="sr-Cyrl-BA"/>
              </w:rPr>
              <w:t xml:space="preserve"> </w:t>
            </w:r>
            <w:r>
              <w:rPr>
                <w:rFonts w:ascii="Arial" w:hAnsi="Arial" w:cs="Arial"/>
                <w:b/>
                <w:lang w:val="sr-Cyrl-BA"/>
              </w:rPr>
              <w:t>у</w:t>
            </w:r>
            <w:r w:rsidR="00A56E08">
              <w:rPr>
                <w:rFonts w:ascii="Arial" w:hAnsi="Arial" w:cs="Arial"/>
                <w:b/>
                <w:lang w:val="sr-Cyrl-BA"/>
              </w:rPr>
              <w:t>на</w:t>
            </w:r>
            <w:r>
              <w:rPr>
                <w:rFonts w:ascii="Arial" w:hAnsi="Arial" w:cs="Arial"/>
                <w:b/>
                <w:lang w:val="sr-Cyrl-BA"/>
              </w:rPr>
              <w:t>пр</w:t>
            </w:r>
            <w:r w:rsidR="00A56E08">
              <w:rPr>
                <w:rFonts w:ascii="Arial" w:hAnsi="Arial" w:cs="Arial"/>
                <w:b/>
                <w:lang w:val="sr-Cyrl-BA"/>
              </w:rPr>
              <w:t>ј</w:t>
            </w:r>
            <w:r w:rsidR="00EE6AA2">
              <w:rPr>
                <w:rFonts w:ascii="Arial" w:hAnsi="Arial" w:cs="Arial"/>
                <w:b/>
                <w:lang w:val="sr-Cyrl-BA"/>
              </w:rPr>
              <w:t>е</w:t>
            </w:r>
            <w:r w:rsidR="00A56E08">
              <w:rPr>
                <w:rFonts w:ascii="Arial" w:hAnsi="Arial" w:cs="Arial"/>
                <w:b/>
                <w:lang w:val="sr-Cyrl-BA"/>
              </w:rPr>
              <w:t>ђ</w:t>
            </w:r>
            <w:r w:rsidR="00EE6AA2">
              <w:rPr>
                <w:rFonts w:ascii="Arial" w:hAnsi="Arial" w:cs="Arial"/>
                <w:b/>
                <w:lang w:val="sr-Cyrl-BA"/>
              </w:rPr>
              <w:t>е</w:t>
            </w:r>
            <w:r w:rsidR="00A56E08">
              <w:rPr>
                <w:rFonts w:ascii="Arial" w:hAnsi="Arial" w:cs="Arial"/>
                <w:b/>
                <w:lang w:val="sr-Cyrl-BA"/>
              </w:rPr>
              <w:t>њ</w:t>
            </w:r>
            <w:r w:rsidR="00EE6AA2">
              <w:rPr>
                <w:rFonts w:ascii="Arial" w:hAnsi="Arial" w:cs="Arial"/>
                <w:b/>
                <w:lang w:val="sr-Cyrl-BA"/>
              </w:rPr>
              <w:t>е</w:t>
            </w:r>
            <w:r w:rsidR="00892898" w:rsidRPr="00F6340E">
              <w:rPr>
                <w:rFonts w:ascii="Arial" w:hAnsi="Arial" w:cs="Arial"/>
                <w:b/>
                <w:lang w:val="sr-Cyrl-BA"/>
              </w:rPr>
              <w:t xml:space="preserve"> </w:t>
            </w:r>
            <w:r w:rsidR="00A56E08">
              <w:rPr>
                <w:rFonts w:ascii="Arial" w:hAnsi="Arial" w:cs="Arial"/>
                <w:b/>
                <w:lang w:val="sr-Cyrl-BA"/>
              </w:rPr>
              <w:t>Инф</w:t>
            </w:r>
            <w:r>
              <w:rPr>
                <w:rFonts w:ascii="Arial" w:hAnsi="Arial" w:cs="Arial"/>
                <w:b/>
                <w:lang w:val="sr-Cyrl-BA"/>
              </w:rPr>
              <w:t>р</w:t>
            </w:r>
            <w:r w:rsidR="00A56E08">
              <w:rPr>
                <w:rFonts w:ascii="Arial" w:hAnsi="Arial" w:cs="Arial"/>
                <w:b/>
                <w:lang w:val="sr-Cyrl-BA"/>
              </w:rPr>
              <w:t>а</w:t>
            </w:r>
            <w:r>
              <w:rPr>
                <w:rFonts w:ascii="Arial" w:hAnsi="Arial" w:cs="Arial"/>
                <w:b/>
                <w:lang w:val="sr-Cyrl-BA"/>
              </w:rPr>
              <w:t>стру</w:t>
            </w:r>
            <w:r w:rsidR="00A56E08">
              <w:rPr>
                <w:rFonts w:ascii="Arial" w:hAnsi="Arial" w:cs="Arial"/>
                <w:b/>
                <w:lang w:val="sr-Cyrl-BA"/>
              </w:rPr>
              <w:t>к</w:t>
            </w:r>
            <w:r>
              <w:rPr>
                <w:rFonts w:ascii="Arial" w:hAnsi="Arial" w:cs="Arial"/>
                <w:b/>
                <w:lang w:val="sr-Cyrl-BA"/>
              </w:rPr>
              <w:t>тур</w:t>
            </w:r>
            <w:r w:rsidR="00EE6AA2">
              <w:rPr>
                <w:rFonts w:ascii="Arial" w:hAnsi="Arial" w:cs="Arial"/>
                <w:b/>
                <w:lang w:val="sr-Cyrl-BA"/>
              </w:rPr>
              <w:t>е</w:t>
            </w:r>
            <w:r w:rsidR="0016782E"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w:t>
            </w:r>
            <w:r w:rsidR="0016782E" w:rsidRPr="00F6340E">
              <w:rPr>
                <w:rFonts w:ascii="Arial" w:hAnsi="Arial" w:cs="Arial"/>
                <w:b/>
                <w:lang w:val="sr-Cyrl-BA"/>
              </w:rPr>
              <w:t xml:space="preserve"> </w:t>
            </w:r>
            <w:r w:rsidR="00A56E08">
              <w:rPr>
                <w:rFonts w:ascii="Arial" w:hAnsi="Arial" w:cs="Arial"/>
                <w:b/>
                <w:lang w:val="sr-Cyrl-BA"/>
              </w:rPr>
              <w:t>ИК</w:t>
            </w:r>
            <w:r>
              <w:rPr>
                <w:rFonts w:ascii="Arial" w:hAnsi="Arial" w:cs="Arial"/>
                <w:b/>
                <w:lang w:val="sr-Cyrl-BA"/>
              </w:rPr>
              <w:t>Т</w:t>
            </w:r>
            <w:r w:rsidR="00892898" w:rsidRPr="00F6340E">
              <w:rPr>
                <w:rFonts w:ascii="Arial" w:hAnsi="Arial" w:cs="Arial"/>
                <w:b/>
                <w:lang w:val="sr-Cyrl-BA"/>
              </w:rPr>
              <w:t>.</w:t>
            </w:r>
          </w:p>
          <w:p w14:paraId="7C0BA8F3" w14:textId="75DD0CCD" w:rsidR="00892898" w:rsidRPr="00F6340E" w:rsidRDefault="00A56E08"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color w:val="000000"/>
                <w:lang w:val="sr-Cyrl-BA"/>
              </w:rPr>
              <w:t>О</w:t>
            </w:r>
            <w:r w:rsidR="0071360A">
              <w:rPr>
                <w:rFonts w:ascii="Arial" w:eastAsia="Times New Roman" w:hAnsi="Arial" w:cs="Arial"/>
                <w:b/>
                <w:color w:val="000000"/>
                <w:lang w:val="sr-Cyrl-BA"/>
              </w:rPr>
              <w:t>с</w:t>
            </w:r>
            <w:r>
              <w:rPr>
                <w:rFonts w:ascii="Arial" w:eastAsia="Times New Roman" w:hAnsi="Arial" w:cs="Arial"/>
                <w:b/>
                <w:color w:val="000000"/>
                <w:lang w:val="sr-Cyrl-BA"/>
              </w:rPr>
              <w:t>иг</w:t>
            </w:r>
            <w:r w:rsidR="0071360A">
              <w:rPr>
                <w:rFonts w:ascii="Arial" w:eastAsia="Times New Roman" w:hAnsi="Arial" w:cs="Arial"/>
                <w:b/>
                <w:color w:val="000000"/>
                <w:lang w:val="sr-Cyrl-BA"/>
              </w:rPr>
              <w:t>ур</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к</w:t>
            </w:r>
            <w:r w:rsidR="0071360A">
              <w:rPr>
                <w:rFonts w:ascii="Arial" w:eastAsia="Times New Roman" w:hAnsi="Arial" w:cs="Arial"/>
                <w:b/>
                <w:color w:val="000000"/>
                <w:lang w:val="sr-Cyrl-BA"/>
              </w:rPr>
              <w:t>в</w:t>
            </w:r>
            <w:r>
              <w:rPr>
                <w:rFonts w:ascii="Arial" w:eastAsia="Times New Roman" w:hAnsi="Arial" w:cs="Arial"/>
                <w:b/>
                <w:color w:val="000000"/>
                <w:lang w:val="sr-Cyrl-BA"/>
              </w:rPr>
              <w:t>али</w:t>
            </w:r>
            <w:r w:rsidR="0071360A">
              <w:rPr>
                <w:rFonts w:ascii="Arial" w:eastAsia="Times New Roman" w:hAnsi="Arial" w:cs="Arial"/>
                <w:b/>
                <w:color w:val="000000"/>
                <w:lang w:val="sr-Cyrl-BA"/>
              </w:rPr>
              <w:t>т</w:t>
            </w:r>
            <w:r w:rsidR="00EE6AA2">
              <w:rPr>
                <w:rFonts w:ascii="Arial" w:eastAsia="Times New Roman" w:hAnsi="Arial" w:cs="Arial"/>
                <w:b/>
                <w:color w:val="000000"/>
                <w:lang w:val="sr-Cyrl-BA"/>
              </w:rPr>
              <w:t>е</w:t>
            </w:r>
            <w:r w:rsidR="0071360A">
              <w:rPr>
                <w:rFonts w:ascii="Arial" w:eastAsia="Times New Roman" w:hAnsi="Arial" w:cs="Arial"/>
                <w:b/>
                <w:color w:val="000000"/>
                <w:lang w:val="sr-Cyrl-BA"/>
              </w:rPr>
              <w:t>т</w:t>
            </w:r>
            <w:r>
              <w:rPr>
                <w:rFonts w:ascii="Arial" w:eastAsia="Times New Roman" w:hAnsi="Arial" w:cs="Arial"/>
                <w:b/>
                <w:color w:val="000000"/>
                <w:lang w:val="sr-Cyrl-BA"/>
              </w:rPr>
              <w:t>н</w:t>
            </w:r>
            <w:r w:rsidR="0071360A">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м</w:t>
            </w:r>
            <w:r w:rsidR="0071360A">
              <w:rPr>
                <w:rFonts w:ascii="Arial" w:eastAsia="Times New Roman" w:hAnsi="Arial" w:cs="Arial"/>
                <w:b/>
                <w:color w:val="000000"/>
                <w:lang w:val="sr-Cyrl-BA"/>
              </w:rPr>
              <w:t>р</w:t>
            </w:r>
            <w:r w:rsidR="00EE6AA2">
              <w:rPr>
                <w:rFonts w:ascii="Arial" w:eastAsia="Times New Roman" w:hAnsi="Arial" w:cs="Arial"/>
                <w:b/>
                <w:color w:val="000000"/>
                <w:lang w:val="sr-Cyrl-BA"/>
              </w:rPr>
              <w:t>е</w:t>
            </w:r>
            <w:r w:rsidR="00171F00">
              <w:rPr>
                <w:rFonts w:ascii="Arial" w:eastAsia="Times New Roman" w:hAnsi="Arial" w:cs="Arial"/>
                <w:b/>
                <w:color w:val="000000"/>
                <w:lang w:val="sr-Cyrl-BA"/>
              </w:rPr>
              <w:t>ж</w:t>
            </w:r>
            <w:r>
              <w:rPr>
                <w:rFonts w:ascii="Arial" w:eastAsia="Times New Roman" w:hAnsi="Arial" w:cs="Arial"/>
                <w:b/>
                <w:color w:val="000000"/>
                <w:lang w:val="sr-Cyrl-BA"/>
              </w:rPr>
              <w:t>н</w:t>
            </w:r>
            <w:r w:rsidR="0071360A">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инф</w:t>
            </w:r>
            <w:r w:rsidR="0071360A">
              <w:rPr>
                <w:rFonts w:ascii="Arial" w:eastAsia="Times New Roman" w:hAnsi="Arial" w:cs="Arial"/>
                <w:b/>
                <w:color w:val="000000"/>
                <w:lang w:val="sr-Cyrl-BA"/>
              </w:rPr>
              <w:t>р</w:t>
            </w:r>
            <w:r>
              <w:rPr>
                <w:rFonts w:ascii="Arial" w:eastAsia="Times New Roman" w:hAnsi="Arial" w:cs="Arial"/>
                <w:b/>
                <w:color w:val="000000"/>
                <w:lang w:val="sr-Cyrl-BA"/>
              </w:rPr>
              <w:t>а</w:t>
            </w:r>
            <w:r w:rsidR="0071360A">
              <w:rPr>
                <w:rFonts w:ascii="Arial" w:eastAsia="Times New Roman" w:hAnsi="Arial" w:cs="Arial"/>
                <w:b/>
                <w:color w:val="000000"/>
                <w:lang w:val="sr-Cyrl-BA"/>
              </w:rPr>
              <w:t>стру</w:t>
            </w:r>
            <w:r>
              <w:rPr>
                <w:rFonts w:ascii="Arial" w:eastAsia="Times New Roman" w:hAnsi="Arial" w:cs="Arial"/>
                <w:b/>
                <w:color w:val="000000"/>
                <w:lang w:val="sr-Cyrl-BA"/>
              </w:rPr>
              <w:t>к</w:t>
            </w:r>
            <w:r w:rsidR="0071360A">
              <w:rPr>
                <w:rFonts w:ascii="Arial" w:eastAsia="Times New Roman" w:hAnsi="Arial" w:cs="Arial"/>
                <w:b/>
                <w:color w:val="000000"/>
                <w:lang w:val="sr-Cyrl-BA"/>
              </w:rPr>
              <w:t>туру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која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омог</w:t>
            </w:r>
            <w:r w:rsidR="0071360A">
              <w:rPr>
                <w:rFonts w:ascii="Arial" w:eastAsia="Times New Roman" w:hAnsi="Arial" w:cs="Arial"/>
                <w:b/>
                <w:color w:val="000000"/>
                <w:lang w:val="sr-Cyrl-BA"/>
              </w:rPr>
              <w:t>у</w:t>
            </w:r>
            <w:r>
              <w:rPr>
                <w:rFonts w:ascii="Arial" w:eastAsia="Times New Roman" w:hAnsi="Arial" w:cs="Arial"/>
                <w:b/>
                <w:color w:val="000000"/>
                <w:lang w:val="sr-Cyrl-BA"/>
              </w:rPr>
              <w:t>ћа</w:t>
            </w:r>
            <w:r w:rsidR="0071360A">
              <w:rPr>
                <w:rFonts w:ascii="Arial" w:eastAsia="Times New Roman" w:hAnsi="Arial" w:cs="Arial"/>
                <w:b/>
                <w:color w:val="000000"/>
                <w:lang w:val="sr-Cyrl-BA"/>
              </w:rPr>
              <w:t>в</w:t>
            </w:r>
            <w:r>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о</w:t>
            </w:r>
            <w:r w:rsidR="0071360A">
              <w:rPr>
                <w:rFonts w:ascii="Arial" w:eastAsiaTheme="minorHAnsi" w:hAnsi="Arial" w:cs="Arial"/>
                <w:b/>
                <w:color w:val="000000"/>
                <w:lang w:val="sr-Cyrl-BA"/>
              </w:rPr>
              <w:t>в</w:t>
            </w:r>
            <w:r w:rsidR="00EE6AA2">
              <w:rPr>
                <w:rFonts w:ascii="Arial" w:eastAsiaTheme="minorHAnsi" w:hAnsi="Arial" w:cs="Arial"/>
                <w:b/>
                <w:color w:val="000000"/>
                <w:lang w:val="sr-Cyrl-BA"/>
              </w:rPr>
              <w:t>е</w:t>
            </w:r>
            <w:r w:rsidR="00171F00">
              <w:rPr>
                <w:rFonts w:ascii="Arial" w:eastAsiaTheme="minorHAnsi" w:hAnsi="Arial" w:cs="Arial"/>
                <w:b/>
                <w:color w:val="000000"/>
                <w:lang w:val="sr-Cyrl-BA"/>
              </w:rPr>
              <w:t>з</w:t>
            </w:r>
            <w:r>
              <w:rPr>
                <w:rFonts w:ascii="Arial" w:eastAsiaTheme="minorHAnsi" w:hAnsi="Arial" w:cs="Arial"/>
                <w:b/>
                <w:color w:val="000000"/>
                <w:lang w:val="sr-Cyrl-BA"/>
              </w:rPr>
              <w:t>ано</w:t>
            </w:r>
            <w:r w:rsidR="0071360A">
              <w:rPr>
                <w:rFonts w:ascii="Arial" w:eastAsiaTheme="minorHAnsi" w:hAnsi="Arial" w:cs="Arial"/>
                <w:b/>
                <w:color w:val="000000"/>
                <w:lang w:val="sr-Cyrl-BA"/>
              </w:rPr>
              <w:t>ст</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диги</w:t>
            </w:r>
            <w:r w:rsidR="0071360A">
              <w:rPr>
                <w:rFonts w:ascii="Arial" w:eastAsiaTheme="minorHAnsi" w:hAnsi="Arial" w:cs="Arial"/>
                <w:b/>
                <w:color w:val="000000"/>
                <w:lang w:val="sr-Cyrl-BA"/>
              </w:rPr>
              <w:t>т</w:t>
            </w:r>
            <w:r>
              <w:rPr>
                <w:rFonts w:ascii="Arial" w:eastAsiaTheme="minorHAnsi" w:hAnsi="Arial" w:cs="Arial"/>
                <w:b/>
                <w:color w:val="000000"/>
                <w:lang w:val="sr-Cyrl-BA"/>
              </w:rPr>
              <w:t>алних</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ур</w:t>
            </w:r>
            <w:r w:rsidR="00EE6AA2">
              <w:rPr>
                <w:rFonts w:ascii="Arial" w:eastAsiaTheme="minorHAnsi" w:hAnsi="Arial" w:cs="Arial"/>
                <w:b/>
                <w:color w:val="000000"/>
                <w:lang w:val="sr-Cyrl-BA"/>
              </w:rPr>
              <w:t>е</w:t>
            </w:r>
            <w:r>
              <w:rPr>
                <w:rFonts w:ascii="Arial" w:eastAsiaTheme="minorHAnsi" w:hAnsi="Arial" w:cs="Arial"/>
                <w:b/>
                <w:color w:val="000000"/>
                <w:lang w:val="sr-Cyrl-BA"/>
              </w:rPr>
              <w:t>ђаја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б</w:t>
            </w:r>
            <w:r w:rsidR="0071360A">
              <w:rPr>
                <w:rFonts w:ascii="Arial" w:eastAsiaTheme="minorHAnsi" w:hAnsi="Arial" w:cs="Arial"/>
                <w:b/>
                <w:color w:val="000000"/>
                <w:lang w:val="sr-Cyrl-BA"/>
              </w:rPr>
              <w:t>р</w:t>
            </w:r>
            <w:r w:rsidR="00171F00">
              <w:rPr>
                <w:rFonts w:ascii="Arial" w:eastAsiaTheme="minorHAnsi" w:hAnsi="Arial" w:cs="Arial"/>
                <w:b/>
                <w:color w:val="000000"/>
                <w:lang w:val="sr-Cyrl-BA"/>
              </w:rPr>
              <w:t>ж</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најч</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ш</w:t>
            </w:r>
            <w:r>
              <w:rPr>
                <w:rFonts w:ascii="Arial" w:eastAsiaTheme="minorHAnsi" w:hAnsi="Arial" w:cs="Arial"/>
                <w:b/>
                <w:color w:val="000000"/>
                <w:lang w:val="sr-Cyrl-BA"/>
              </w:rPr>
              <w:t>ћ</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w:t>
            </w:r>
            <w:r w:rsidR="0071360A">
              <w:rPr>
                <w:rFonts w:ascii="Arial" w:eastAsiaTheme="minorHAnsi" w:hAnsi="Arial" w:cs="Arial"/>
                <w:b/>
                <w:color w:val="000000"/>
                <w:lang w:val="sr-Cyrl-BA"/>
              </w:rPr>
              <w:t>пт</w:t>
            </w:r>
            <w:r>
              <w:rPr>
                <w:rFonts w:ascii="Arial" w:eastAsiaTheme="minorHAnsi" w:hAnsi="Arial" w:cs="Arial"/>
                <w:b/>
                <w:color w:val="000000"/>
                <w:lang w:val="sr-Cyrl-BA"/>
              </w:rPr>
              <w:t>ички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ин</w:t>
            </w:r>
            <w:r w:rsidR="0071360A">
              <w:rPr>
                <w:rFonts w:ascii="Arial" w:eastAsiaTheme="minorHAnsi" w:hAnsi="Arial" w:cs="Arial"/>
                <w:b/>
                <w:color w:val="000000"/>
                <w:lang w:val="sr-Cyrl-BA"/>
              </w:rPr>
              <w:t>т</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w:t>
            </w:r>
            <w:r>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т</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пут</w:t>
            </w:r>
            <w:r w:rsidR="00EE6AA2">
              <w:rPr>
                <w:rFonts w:ascii="Arial" w:eastAsiaTheme="minorHAnsi" w:hAnsi="Arial" w:cs="Arial"/>
                <w:b/>
                <w:color w:val="000000"/>
                <w:lang w:val="sr-Cyrl-BA"/>
              </w:rPr>
              <w:t>е</w:t>
            </w:r>
            <w:r>
              <w:rPr>
                <w:rFonts w:ascii="Arial" w:eastAsiaTheme="minorHAnsi" w:hAnsi="Arial" w:cs="Arial"/>
                <w:b/>
                <w:color w:val="000000"/>
                <w:lang w:val="sr-Cyrl-BA"/>
              </w:rPr>
              <w:t>м</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локалн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ж</w:t>
            </w:r>
            <w:r>
              <w:rPr>
                <w:rFonts w:ascii="Arial" w:eastAsiaTheme="minorHAnsi" w:hAnsi="Arial" w:cs="Arial"/>
                <w:b/>
                <w:color w:val="000000"/>
                <w:lang w:val="sr-Cyrl-BA"/>
              </w:rPr>
              <w:t>ичн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w:t>
            </w:r>
            <w:r>
              <w:rPr>
                <w:rFonts w:ascii="Arial" w:eastAsiaTheme="minorHAnsi" w:hAnsi="Arial" w:cs="Arial"/>
                <w:b/>
                <w:color w:val="000000"/>
                <w:lang w:val="sr-Cyrl-BA"/>
              </w:rPr>
              <w:t>или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б</w:t>
            </w:r>
            <w:r w:rsidR="00EE6AA2">
              <w:rPr>
                <w:rFonts w:ascii="Arial" w:eastAsiaTheme="minorHAnsi" w:hAnsi="Arial" w:cs="Arial"/>
                <w:b/>
                <w:color w:val="000000"/>
                <w:lang w:val="sr-Cyrl-BA"/>
              </w:rPr>
              <w:t>е</w:t>
            </w:r>
            <w:r w:rsidR="00171F00">
              <w:rPr>
                <w:rFonts w:ascii="Arial" w:eastAsiaTheme="minorHAnsi" w:hAnsi="Arial" w:cs="Arial"/>
                <w:b/>
                <w:color w:val="000000"/>
                <w:lang w:val="sr-Cyrl-BA"/>
              </w:rPr>
              <w:t>ж</w:t>
            </w:r>
            <w:r>
              <w:rPr>
                <w:rFonts w:ascii="Arial" w:eastAsiaTheme="minorHAnsi" w:hAnsi="Arial" w:cs="Arial"/>
                <w:b/>
                <w:color w:val="000000"/>
                <w:lang w:val="sr-Cyrl-BA"/>
              </w:rPr>
              <w:t>ичн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м</w:t>
            </w:r>
            <w:r w:rsidR="0071360A">
              <w:rPr>
                <w:rFonts w:ascii="Arial" w:eastAsiaTheme="minorHAnsi" w:hAnsi="Arial" w:cs="Arial"/>
                <w:b/>
                <w:color w:val="000000"/>
                <w:lang w:val="sr-Cyrl-BA"/>
              </w:rPr>
              <w:t>р</w:t>
            </w:r>
            <w:r w:rsidR="00EE6AA2">
              <w:rPr>
                <w:rFonts w:ascii="Arial" w:eastAsiaTheme="minorHAnsi" w:hAnsi="Arial" w:cs="Arial"/>
                <w:b/>
                <w:color w:val="000000"/>
                <w:lang w:val="sr-Cyrl-BA"/>
              </w:rPr>
              <w:t>е</w:t>
            </w:r>
            <w:r w:rsidR="00171F00">
              <w:rPr>
                <w:rFonts w:ascii="Arial" w:eastAsiaTheme="minorHAnsi" w:hAnsi="Arial" w:cs="Arial"/>
                <w:b/>
                <w:color w:val="000000"/>
                <w:lang w:val="sr-Cyrl-BA"/>
              </w:rPr>
              <w:t>ж</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w:t>
            </w:r>
            <w:r w:rsidR="0071360A">
              <w:rPr>
                <w:rFonts w:ascii="Arial" w:eastAsiaTheme="minorHAnsi" w:hAnsi="Arial" w:cs="Arial"/>
                <w:b/>
                <w:color w:val="000000"/>
                <w:lang w:val="sr-Cyrl-BA"/>
              </w:rPr>
              <w:t>в</w:t>
            </w:r>
            <w:r>
              <w:rPr>
                <w:rFonts w:ascii="Arial" w:eastAsiaTheme="minorHAnsi" w:hAnsi="Arial" w:cs="Arial"/>
                <w:b/>
                <w:color w:val="000000"/>
                <w:lang w:val="sr-Cyrl-BA"/>
              </w:rPr>
              <w:t>и</w:t>
            </w:r>
            <w:r w:rsidR="0071360A">
              <w:rPr>
                <w:rFonts w:ascii="Arial" w:eastAsiaTheme="minorHAnsi" w:hAnsi="Arial" w:cs="Arial"/>
                <w:b/>
                <w:color w:val="000000"/>
                <w:lang w:val="sr-Cyrl-BA"/>
              </w:rPr>
              <w:t>с</w:t>
            </w:r>
            <w:r>
              <w:rPr>
                <w:rFonts w:ascii="Arial" w:eastAsiaTheme="minorHAnsi" w:hAnsi="Arial" w:cs="Arial"/>
                <w:b/>
                <w:color w:val="000000"/>
                <w:lang w:val="sr-Cyrl-BA"/>
              </w:rPr>
              <w:t>но</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од</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а</w:t>
            </w:r>
            <w:r w:rsidR="0071360A">
              <w:rPr>
                <w:rFonts w:ascii="Arial" w:eastAsiaTheme="minorHAnsi" w:hAnsi="Arial" w:cs="Arial"/>
                <w:b/>
                <w:color w:val="000000"/>
                <w:lang w:val="sr-Cyrl-BA"/>
              </w:rPr>
              <w:t>р</w:t>
            </w:r>
            <w:r>
              <w:rPr>
                <w:rFonts w:ascii="Arial" w:eastAsiaTheme="minorHAnsi" w:hAnsi="Arial" w:cs="Arial"/>
                <w:b/>
                <w:color w:val="000000"/>
                <w:lang w:val="sr-Cyrl-BA"/>
              </w:rPr>
              <w:t>хи</w:t>
            </w:r>
            <w:r w:rsidR="0071360A">
              <w:rPr>
                <w:rFonts w:ascii="Arial" w:eastAsiaTheme="minorHAnsi" w:hAnsi="Arial" w:cs="Arial"/>
                <w:b/>
                <w:color w:val="000000"/>
                <w:lang w:val="sr-Cyrl-BA"/>
              </w:rPr>
              <w:t>т</w:t>
            </w:r>
            <w:r w:rsidR="00EE6AA2">
              <w:rPr>
                <w:rFonts w:ascii="Arial" w:eastAsiaTheme="minorHAnsi" w:hAnsi="Arial" w:cs="Arial"/>
                <w:b/>
                <w:color w:val="000000"/>
                <w:lang w:val="sr-Cyrl-BA"/>
              </w:rPr>
              <w:t>е</w:t>
            </w:r>
            <w:r>
              <w:rPr>
                <w:rFonts w:ascii="Arial" w:eastAsiaTheme="minorHAnsi" w:hAnsi="Arial" w:cs="Arial"/>
                <w:b/>
                <w:color w:val="000000"/>
                <w:lang w:val="sr-Cyrl-BA"/>
              </w:rPr>
              <w:t>к</w:t>
            </w:r>
            <w:r w:rsidR="0071360A">
              <w:rPr>
                <w:rFonts w:ascii="Arial" w:eastAsiaTheme="minorHAnsi" w:hAnsi="Arial" w:cs="Arial"/>
                <w:b/>
                <w:color w:val="000000"/>
                <w:lang w:val="sr-Cyrl-BA"/>
              </w:rPr>
              <w:t>тур</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г</w:t>
            </w:r>
            <w:r w:rsidR="0071360A">
              <w:rPr>
                <w:rFonts w:ascii="Arial" w:eastAsiaTheme="minorHAnsi" w:hAnsi="Arial" w:cs="Arial"/>
                <w:b/>
                <w:color w:val="000000"/>
                <w:lang w:val="sr-Cyrl-BA"/>
              </w:rPr>
              <w:t>р</w:t>
            </w:r>
            <w:r>
              <w:rPr>
                <w:rFonts w:ascii="Arial" w:eastAsiaTheme="minorHAnsi" w:hAnsi="Arial" w:cs="Arial"/>
                <w:b/>
                <w:color w:val="000000"/>
                <w:lang w:val="sr-Cyrl-BA"/>
              </w:rPr>
              <w:t>ад</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w:t>
            </w:r>
          </w:p>
          <w:p w14:paraId="665D6391" w14:textId="5201A92B" w:rsidR="00892898" w:rsidRPr="00F6340E" w:rsidRDefault="00A56E08"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color w:val="000000"/>
                <w:lang w:val="sr-Cyrl-BA"/>
              </w:rPr>
              <w:t>О</w:t>
            </w:r>
            <w:r w:rsidR="0071360A">
              <w:rPr>
                <w:rFonts w:ascii="Arial" w:eastAsia="Times New Roman" w:hAnsi="Arial" w:cs="Arial"/>
                <w:b/>
                <w:color w:val="000000"/>
                <w:lang w:val="sr-Cyrl-BA"/>
              </w:rPr>
              <w:t>пр</w:t>
            </w:r>
            <w:r w:rsidR="00EE6AA2">
              <w:rPr>
                <w:rFonts w:ascii="Arial" w:eastAsia="Times New Roman" w:hAnsi="Arial" w:cs="Arial"/>
                <w:b/>
                <w:color w:val="000000"/>
                <w:lang w:val="sr-Cyrl-BA"/>
              </w:rPr>
              <w:t>е</w:t>
            </w:r>
            <w:r>
              <w:rPr>
                <w:rFonts w:ascii="Arial" w:eastAsia="Times New Roman" w:hAnsi="Arial" w:cs="Arial"/>
                <w:b/>
                <w:color w:val="000000"/>
                <w:lang w:val="sr-Cyrl-BA"/>
              </w:rPr>
              <w:t>ми</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чиониц</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71360A">
              <w:rPr>
                <w:rFonts w:ascii="Arial" w:eastAsiaTheme="minorHAnsi" w:hAnsi="Arial" w:cs="Arial"/>
                <w:b/>
                <w:color w:val="000000"/>
                <w:lang w:val="sr-Cyrl-BA"/>
              </w:rPr>
              <w:t>пр</w:t>
            </w:r>
            <w:r w:rsidR="00EE6AA2">
              <w:rPr>
                <w:rFonts w:ascii="Arial" w:eastAsiaTheme="minorHAnsi" w:hAnsi="Arial" w:cs="Arial"/>
                <w:b/>
                <w:color w:val="000000"/>
                <w:lang w:val="sr-Cyrl-BA"/>
              </w:rPr>
              <w:t>е</w:t>
            </w:r>
            <w:r w:rsidR="00171F00">
              <w:rPr>
                <w:rFonts w:ascii="Arial" w:eastAsiaTheme="minorHAnsi" w:hAnsi="Arial" w:cs="Arial"/>
                <w:b/>
                <w:color w:val="000000"/>
                <w:lang w:val="sr-Cyrl-BA"/>
              </w:rPr>
              <w:t>з</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71360A">
              <w:rPr>
                <w:rFonts w:ascii="Arial" w:eastAsiaTheme="minorHAnsi" w:hAnsi="Arial" w:cs="Arial"/>
                <w:b/>
                <w:color w:val="000000"/>
                <w:lang w:val="sr-Cyrl-BA"/>
              </w:rPr>
              <w:t>т</w:t>
            </w:r>
            <w:r>
              <w:rPr>
                <w:rFonts w:ascii="Arial" w:eastAsiaTheme="minorHAnsi" w:hAnsi="Arial" w:cs="Arial"/>
                <w:b/>
                <w:color w:val="000000"/>
                <w:lang w:val="sr-Cyrl-BA"/>
              </w:rPr>
              <w:t>ационим</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ин</w:t>
            </w:r>
            <w:r w:rsidR="0071360A">
              <w:rPr>
                <w:rFonts w:ascii="Arial" w:eastAsiaTheme="minorHAnsi" w:hAnsi="Arial" w:cs="Arial"/>
                <w:b/>
                <w:color w:val="000000"/>
                <w:lang w:val="sr-Cyrl-BA"/>
              </w:rPr>
              <w:t>т</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w:t>
            </w:r>
            <w:r>
              <w:rPr>
                <w:rFonts w:ascii="Arial" w:eastAsiaTheme="minorHAnsi" w:hAnsi="Arial" w:cs="Arial"/>
                <w:b/>
                <w:color w:val="000000"/>
                <w:lang w:val="sr-Cyrl-BA"/>
              </w:rPr>
              <w:t>ак</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71360A">
              <w:rPr>
                <w:rFonts w:ascii="Arial" w:eastAsiaTheme="minorHAnsi" w:hAnsi="Arial" w:cs="Arial"/>
                <w:b/>
                <w:color w:val="000000"/>
                <w:lang w:val="sr-Cyrl-BA"/>
              </w:rPr>
              <w:t>в</w:t>
            </w:r>
            <w:r>
              <w:rPr>
                <w:rFonts w:ascii="Arial" w:eastAsiaTheme="minorHAnsi" w:hAnsi="Arial" w:cs="Arial"/>
                <w:b/>
                <w:color w:val="000000"/>
                <w:lang w:val="sr-Cyrl-BA"/>
              </w:rPr>
              <w:t>ним</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ур</w:t>
            </w:r>
            <w:r w:rsidR="00EE6AA2">
              <w:rPr>
                <w:rFonts w:ascii="Arial" w:eastAsiaTheme="minorHAnsi" w:hAnsi="Arial" w:cs="Arial"/>
                <w:b/>
                <w:color w:val="000000"/>
                <w:lang w:val="sr-Cyrl-BA"/>
              </w:rPr>
              <w:t>е</w:t>
            </w:r>
            <w:r>
              <w:rPr>
                <w:rFonts w:ascii="Arial" w:eastAsiaTheme="minorHAnsi" w:hAnsi="Arial" w:cs="Arial"/>
                <w:b/>
                <w:color w:val="000000"/>
                <w:lang w:val="sr-Cyrl-BA"/>
              </w:rPr>
              <w:t>ђајима</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ам</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т</w:t>
            </w:r>
            <w:r>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т</w:t>
            </w:r>
            <w:r>
              <w:rPr>
                <w:rFonts w:ascii="Arial" w:eastAsiaTheme="minorHAnsi" w:hAnsi="Arial" w:cs="Arial"/>
                <w:b/>
                <w:color w:val="000000"/>
                <w:lang w:val="sr-Cyrl-BA"/>
              </w:rPr>
              <w:t>абл</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Pr>
                <w:rFonts w:ascii="Arial" w:eastAsiaTheme="minorHAnsi" w:hAnsi="Arial" w:cs="Arial"/>
                <w:b/>
                <w:color w:val="000000"/>
                <w:lang w:val="sr-Cyrl-BA"/>
              </w:rPr>
              <w:t>ој</w:t>
            </w:r>
            <w:r w:rsidR="00EE6AA2">
              <w:rPr>
                <w:rFonts w:ascii="Arial" w:eastAsiaTheme="minorHAnsi" w:hAnsi="Arial" w:cs="Arial"/>
                <w:b/>
                <w:color w:val="000000"/>
                <w:lang w:val="sr-Cyrl-BA"/>
              </w:rPr>
              <w:t>е</w:t>
            </w:r>
            <w:r>
              <w:rPr>
                <w:rFonts w:ascii="Arial" w:eastAsiaTheme="minorHAnsi" w:hAnsi="Arial" w:cs="Arial"/>
                <w:b/>
                <w:color w:val="000000"/>
                <w:lang w:val="sr-Cyrl-BA"/>
              </w:rPr>
              <w:t>к</w:t>
            </w:r>
            <w:r w:rsidR="0071360A">
              <w:rPr>
                <w:rFonts w:ascii="Arial" w:eastAsiaTheme="minorHAnsi" w:hAnsi="Arial" w:cs="Arial"/>
                <w:b/>
                <w:color w:val="000000"/>
                <w:lang w:val="sr-Cyrl-BA"/>
              </w:rPr>
              <w:t>т</w:t>
            </w:r>
            <w:r>
              <w:rPr>
                <w:rFonts w:ascii="Arial" w:eastAsiaTheme="minorHAnsi" w:hAnsi="Arial" w:cs="Arial"/>
                <w:b/>
                <w:color w:val="000000"/>
                <w:lang w:val="sr-Cyrl-BA"/>
              </w:rPr>
              <w:t>о</w:t>
            </w:r>
            <w:r w:rsidR="0071360A">
              <w:rPr>
                <w:rFonts w:ascii="Arial" w:eastAsiaTheme="minorHAnsi" w:hAnsi="Arial" w:cs="Arial"/>
                <w:b/>
                <w:color w:val="000000"/>
                <w:lang w:val="sr-Cyrl-BA"/>
              </w:rPr>
              <w:t>р</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Ц</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ла</w:t>
            </w:r>
            <w:r w:rsidR="0071360A">
              <w:rPr>
                <w:rFonts w:ascii="Arial" w:eastAsiaTheme="minorHAnsi" w:hAnsi="Arial" w:cs="Arial"/>
                <w:b/>
                <w:color w:val="000000"/>
                <w:lang w:val="sr-Cyrl-BA"/>
              </w:rPr>
              <w:t>пт</w:t>
            </w:r>
            <w:r>
              <w:rPr>
                <w:rFonts w:ascii="Arial" w:eastAsiaTheme="minorHAnsi" w:hAnsi="Arial" w:cs="Arial"/>
                <w:b/>
                <w:color w:val="000000"/>
                <w:lang w:val="sr-Cyrl-BA"/>
              </w:rPr>
              <w:t>о</w:t>
            </w:r>
            <w:r w:rsidR="0071360A">
              <w:rPr>
                <w:rFonts w:ascii="Arial" w:eastAsiaTheme="minorHAnsi" w:hAnsi="Arial" w:cs="Arial"/>
                <w:b/>
                <w:color w:val="000000"/>
                <w:lang w:val="sr-Cyrl-BA"/>
              </w:rPr>
              <w:t>п</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w:t>
            </w:r>
          </w:p>
          <w:p w14:paraId="27C1A418" w14:textId="4DEFEBB6" w:rsidR="00892898" w:rsidRPr="00F6340E" w:rsidRDefault="0071360A"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lang w:val="sr-Cyrl-BA"/>
              </w:rPr>
              <w:t>П</w:t>
            </w:r>
            <w:r w:rsidR="00A56E08">
              <w:rPr>
                <w:rFonts w:ascii="Arial" w:eastAsia="Times New Roman" w:hAnsi="Arial" w:cs="Arial"/>
                <w:b/>
                <w:lang w:val="sr-Cyrl-BA"/>
              </w:rPr>
              <w:t>лани</w:t>
            </w:r>
            <w:r>
              <w:rPr>
                <w:rFonts w:ascii="Arial" w:eastAsia="Times New Roman" w:hAnsi="Arial" w:cs="Arial"/>
                <w:b/>
                <w:lang w:val="sr-Cyrl-BA"/>
              </w:rPr>
              <w:t>р</w:t>
            </w:r>
            <w:r w:rsidR="00A56E08">
              <w:rPr>
                <w:rFonts w:ascii="Arial" w:eastAsia="Times New Roman" w:hAnsi="Arial" w:cs="Arial"/>
                <w:b/>
                <w:lang w:val="sr-Cyrl-BA"/>
              </w:rPr>
              <w:t>а</w:t>
            </w:r>
            <w:r>
              <w:rPr>
                <w:rFonts w:ascii="Arial" w:eastAsia="Times New Roman" w:hAnsi="Arial" w:cs="Arial"/>
                <w:b/>
                <w:lang w:val="sr-Cyrl-BA"/>
              </w:rPr>
              <w:t>т</w:t>
            </w:r>
            <w:r w:rsidR="00A56E08">
              <w:rPr>
                <w:rFonts w:ascii="Arial" w:eastAsia="Times New Roman" w:hAnsi="Arial" w:cs="Arial"/>
                <w:b/>
                <w:lang w:val="sr-Cyrl-BA"/>
              </w:rPr>
              <w:t>и</w:t>
            </w:r>
            <w:r w:rsidR="00892898" w:rsidRPr="00F6340E">
              <w:rPr>
                <w:rFonts w:ascii="Arial" w:eastAsia="Times New Roman" w:hAnsi="Arial" w:cs="Arial"/>
                <w:b/>
                <w:lang w:val="sr-Cyrl-BA"/>
              </w:rPr>
              <w:t xml:space="preserve"> </w:t>
            </w:r>
            <w:r w:rsidR="00A56E08">
              <w:rPr>
                <w:rFonts w:ascii="Arial" w:eastAsia="Times New Roman" w:hAnsi="Arial" w:cs="Arial"/>
                <w:b/>
                <w:lang w:val="sr-Cyrl-BA"/>
              </w:rPr>
              <w:t>б</w:t>
            </w:r>
            <w:r>
              <w:rPr>
                <w:rFonts w:ascii="Arial" w:eastAsia="Times New Roman" w:hAnsi="Arial" w:cs="Arial"/>
                <w:b/>
                <w:lang w:val="sr-Cyrl-BA"/>
              </w:rPr>
              <w:t>у</w:t>
            </w:r>
            <w:r w:rsidR="00A56E08">
              <w:rPr>
                <w:rFonts w:ascii="Arial" w:eastAsia="Times New Roman" w:hAnsi="Arial" w:cs="Arial"/>
                <w:b/>
                <w:lang w:val="sr-Cyrl-BA"/>
              </w:rPr>
              <w:t>џ</w:t>
            </w:r>
            <w:r w:rsidR="00EE6AA2">
              <w:rPr>
                <w:rFonts w:ascii="Arial" w:eastAsia="Times New Roman" w:hAnsi="Arial" w:cs="Arial"/>
                <w:b/>
                <w:lang w:val="sr-Cyrl-BA"/>
              </w:rPr>
              <w:t>е</w:t>
            </w:r>
            <w:r>
              <w:rPr>
                <w:rFonts w:ascii="Arial" w:eastAsia="Times New Roman" w:hAnsi="Arial" w:cs="Arial"/>
                <w:b/>
                <w:lang w:val="sr-Cyrl-BA"/>
              </w:rPr>
              <w:t>тс</w:t>
            </w:r>
            <w:r w:rsidR="00A56E08">
              <w:rPr>
                <w:rFonts w:ascii="Arial" w:eastAsia="Times New Roman" w:hAnsi="Arial" w:cs="Arial"/>
                <w:b/>
                <w:lang w:val="sr-Cyrl-BA"/>
              </w:rPr>
              <w:t>ка</w:t>
            </w:r>
            <w:r w:rsidR="00892898" w:rsidRPr="00F6340E">
              <w:rPr>
                <w:rFonts w:ascii="Arial" w:eastAsia="Times New Roman" w:hAnsi="Arial" w:cs="Arial"/>
                <w:b/>
                <w:lang w:val="sr-Cyrl-BA"/>
              </w:rPr>
              <w:t xml:space="preserve"> </w:t>
            </w:r>
            <w:r>
              <w:rPr>
                <w:rFonts w:ascii="Arial" w:eastAsia="Times New Roman" w:hAnsi="Arial" w:cs="Arial"/>
                <w:b/>
                <w:lang w:val="sr-Cyrl-BA"/>
              </w:rPr>
              <w:t>ср</w:t>
            </w:r>
            <w:r w:rsidR="00EE6AA2">
              <w:rPr>
                <w:rFonts w:ascii="Arial" w:eastAsia="Times New Roman" w:hAnsi="Arial" w:cs="Arial"/>
                <w:b/>
                <w:lang w:val="sr-Cyrl-BA"/>
              </w:rPr>
              <w:t>е</w:t>
            </w:r>
            <w:r w:rsidR="00A56E08">
              <w:rPr>
                <w:rFonts w:ascii="Arial" w:eastAsia="Times New Roman" w:hAnsi="Arial" w:cs="Arial"/>
                <w:b/>
                <w:lang w:val="sr-Cyrl-BA"/>
              </w:rPr>
              <w:t>д</w:t>
            </w:r>
            <w:r>
              <w:rPr>
                <w:rFonts w:ascii="Arial" w:eastAsia="Times New Roman" w:hAnsi="Arial" w:cs="Arial"/>
                <w:b/>
                <w:lang w:val="sr-Cyrl-BA"/>
              </w:rPr>
              <w:t>ств</w:t>
            </w:r>
            <w:r w:rsidR="00A56E08">
              <w:rPr>
                <w:rFonts w:ascii="Arial" w:eastAsia="Times New Roman" w:hAnsi="Arial" w:cs="Arial"/>
                <w:b/>
                <w:lang w:val="sr-Cyrl-BA"/>
              </w:rPr>
              <w:t>а</w:t>
            </w:r>
            <w:r w:rsidR="00892898" w:rsidRPr="00F6340E">
              <w:rPr>
                <w:rFonts w:ascii="Arial" w:eastAsia="Times New Roman" w:hAnsi="Arial" w:cs="Arial"/>
                <w:b/>
                <w:lang w:val="sr-Cyrl-BA"/>
              </w:rPr>
              <w:t xml:space="preserve"> </w:t>
            </w:r>
            <w:r w:rsidR="00171F00">
              <w:rPr>
                <w:rFonts w:ascii="Arial" w:eastAsia="Times New Roman" w:hAnsi="Arial" w:cs="Arial"/>
                <w:b/>
                <w:lang w:val="sr-Cyrl-BA"/>
              </w:rPr>
              <w:t>з</w:t>
            </w:r>
            <w:r w:rsidR="00A56E08">
              <w:rPr>
                <w:rFonts w:ascii="Arial" w:eastAsia="Times New Roman" w:hAnsi="Arial" w:cs="Arial"/>
                <w:b/>
                <w:lang w:val="sr-Cyrl-BA"/>
              </w:rPr>
              <w:t>а</w:t>
            </w:r>
            <w:r w:rsidR="00892898" w:rsidRPr="00F6340E">
              <w:rPr>
                <w:rFonts w:ascii="Arial" w:eastAsia="Times New Roman" w:hAnsi="Arial" w:cs="Arial"/>
                <w:b/>
                <w:lang w:val="sr-Cyrl-BA"/>
              </w:rPr>
              <w:t>:</w:t>
            </w:r>
          </w:p>
          <w:p w14:paraId="4AC0EE35" w14:textId="2FEFEC06" w:rsidR="00892898" w:rsidRPr="00F6340E" w:rsidRDefault="00A56E08" w:rsidP="00FB5CB7">
            <w:pPr>
              <w:pStyle w:val="ListParagraph"/>
              <w:numPr>
                <w:ilvl w:val="1"/>
                <w:numId w:val="37"/>
              </w:numPr>
              <w:tabs>
                <w:tab w:val="clear" w:pos="1080"/>
              </w:tabs>
              <w:jc w:val="left"/>
              <w:rPr>
                <w:rFonts w:ascii="Arial" w:eastAsia="Times New Roman" w:hAnsi="Arial" w:cs="Arial"/>
                <w:lang w:val="sr-Cyrl-BA"/>
              </w:rPr>
            </w:pPr>
            <w:r>
              <w:rPr>
                <w:rFonts w:ascii="Arial" w:eastAsia="Times New Roman" w:hAnsi="Arial" w:cs="Arial"/>
                <w:lang w:val="sr-Cyrl-BA"/>
              </w:rPr>
              <w:t>Инф</w:t>
            </w:r>
            <w:r w:rsidR="0071360A">
              <w:rPr>
                <w:rFonts w:ascii="Arial" w:eastAsia="Times New Roman" w:hAnsi="Arial" w:cs="Arial"/>
                <w:lang w:val="sr-Cyrl-BA"/>
              </w:rPr>
              <w:t>р</w:t>
            </w:r>
            <w:r>
              <w:rPr>
                <w:rFonts w:ascii="Arial" w:eastAsia="Times New Roman" w:hAnsi="Arial" w:cs="Arial"/>
                <w:lang w:val="sr-Cyrl-BA"/>
              </w:rPr>
              <w:t>а</w:t>
            </w:r>
            <w:r w:rsidR="0071360A">
              <w:rPr>
                <w:rFonts w:ascii="Arial" w:eastAsia="Times New Roman" w:hAnsi="Arial" w:cs="Arial"/>
                <w:lang w:val="sr-Cyrl-BA"/>
              </w:rPr>
              <w:t>стру</w:t>
            </w:r>
            <w:r>
              <w:rPr>
                <w:rFonts w:ascii="Arial" w:eastAsia="Times New Roman" w:hAnsi="Arial" w:cs="Arial"/>
                <w:lang w:val="sr-Cyrl-BA"/>
              </w:rPr>
              <w:t>к</w:t>
            </w:r>
            <w:r w:rsidR="0071360A">
              <w:rPr>
                <w:rFonts w:ascii="Arial" w:eastAsia="Times New Roman" w:hAnsi="Arial" w:cs="Arial"/>
                <w:lang w:val="sr-Cyrl-BA"/>
              </w:rPr>
              <w:t>туру</w:t>
            </w:r>
            <w:r w:rsidR="00FA763F" w:rsidRPr="00F6340E">
              <w:rPr>
                <w:rFonts w:ascii="Arial" w:eastAsia="Times New Roman" w:hAnsi="Arial" w:cs="Arial"/>
                <w:lang w:val="sr-Cyrl-BA"/>
              </w:rPr>
              <w:t xml:space="preserve"> </w:t>
            </w:r>
            <w:r w:rsidR="00171F00">
              <w:rPr>
                <w:rFonts w:ascii="Arial" w:eastAsia="Times New Roman" w:hAnsi="Arial" w:cs="Arial"/>
                <w:lang w:val="sr-Cyrl-BA"/>
              </w:rPr>
              <w:t>з</w:t>
            </w:r>
            <w:r>
              <w:rPr>
                <w:rFonts w:ascii="Arial" w:eastAsia="Times New Roman" w:hAnsi="Arial" w:cs="Arial"/>
                <w:lang w:val="sr-Cyrl-BA"/>
              </w:rPr>
              <w:t>а</w:t>
            </w:r>
            <w:r w:rsidR="00FA763F" w:rsidRPr="00F6340E">
              <w:rPr>
                <w:rFonts w:ascii="Arial" w:eastAsia="Times New Roman" w:hAnsi="Arial" w:cs="Arial"/>
                <w:lang w:val="sr-Cyrl-BA"/>
              </w:rPr>
              <w:t xml:space="preserve"> </w:t>
            </w:r>
            <w:r>
              <w:rPr>
                <w:rFonts w:ascii="Arial" w:eastAsia="Times New Roman" w:hAnsi="Arial" w:cs="Arial"/>
                <w:lang w:val="sr-Cyrl-BA"/>
              </w:rPr>
              <w:t>ИК</w:t>
            </w:r>
            <w:r w:rsidR="0071360A">
              <w:rPr>
                <w:rFonts w:ascii="Arial" w:eastAsia="Times New Roman" w:hAnsi="Arial" w:cs="Arial"/>
                <w:lang w:val="sr-Cyrl-BA"/>
              </w:rPr>
              <w:t>Т</w:t>
            </w:r>
            <w:r w:rsidR="00892898" w:rsidRPr="00F6340E">
              <w:rPr>
                <w:rFonts w:ascii="Arial" w:eastAsia="Times New Roman" w:hAnsi="Arial" w:cs="Arial"/>
                <w:lang w:val="sr-Cyrl-BA"/>
              </w:rPr>
              <w:t xml:space="preserve"> </w:t>
            </w:r>
            <w:r w:rsidR="0071360A">
              <w:rPr>
                <w:rFonts w:ascii="Arial" w:eastAsia="Times New Roman" w:hAnsi="Arial" w:cs="Arial"/>
                <w:lang w:val="sr-Cyrl-BA"/>
              </w:rPr>
              <w:t>у</w:t>
            </w:r>
            <w:r w:rsidR="00892898" w:rsidRPr="00F6340E">
              <w:rPr>
                <w:rFonts w:ascii="Arial" w:eastAsia="Times New Roman" w:hAnsi="Arial" w:cs="Arial"/>
                <w:lang w:val="sr-Cyrl-BA"/>
              </w:rPr>
              <w:t xml:space="preserve"> </w:t>
            </w:r>
            <w:r>
              <w:rPr>
                <w:rFonts w:ascii="Arial" w:eastAsia="Times New Roman" w:hAnsi="Arial" w:cs="Arial"/>
                <w:lang w:val="sr-Cyrl-BA"/>
              </w:rPr>
              <w:t>об</w:t>
            </w:r>
            <w:r w:rsidR="0071360A">
              <w:rPr>
                <w:rFonts w:ascii="Arial" w:eastAsia="Times New Roman" w:hAnsi="Arial" w:cs="Arial"/>
                <w:lang w:val="sr-Cyrl-BA"/>
              </w:rPr>
              <w:t>р</w:t>
            </w:r>
            <w:r>
              <w:rPr>
                <w:rFonts w:ascii="Arial" w:eastAsia="Times New Roman" w:hAnsi="Arial" w:cs="Arial"/>
                <w:lang w:val="sr-Cyrl-BA"/>
              </w:rPr>
              <w:t>а</w:t>
            </w:r>
            <w:r w:rsidR="00171F00">
              <w:rPr>
                <w:rFonts w:ascii="Arial" w:eastAsia="Times New Roman" w:hAnsi="Arial" w:cs="Arial"/>
                <w:lang w:val="sr-Cyrl-BA"/>
              </w:rPr>
              <w:t>з</w:t>
            </w:r>
            <w:r>
              <w:rPr>
                <w:rFonts w:ascii="Arial" w:eastAsia="Times New Roman" w:hAnsi="Arial" w:cs="Arial"/>
                <w:lang w:val="sr-Cyrl-BA"/>
              </w:rPr>
              <w:t>о</w:t>
            </w:r>
            <w:r w:rsidR="0071360A">
              <w:rPr>
                <w:rFonts w:ascii="Arial" w:eastAsia="Times New Roman" w:hAnsi="Arial" w:cs="Arial"/>
                <w:lang w:val="sr-Cyrl-BA"/>
              </w:rPr>
              <w:t>в</w:t>
            </w:r>
            <w:r>
              <w:rPr>
                <w:rFonts w:ascii="Arial" w:eastAsia="Times New Roman" w:hAnsi="Arial" w:cs="Arial"/>
                <w:lang w:val="sr-Cyrl-BA"/>
              </w:rPr>
              <w:t>ним</w:t>
            </w:r>
            <w:r w:rsidR="00892898" w:rsidRPr="00F6340E">
              <w:rPr>
                <w:rFonts w:ascii="Arial" w:eastAsia="Times New Roman" w:hAnsi="Arial" w:cs="Arial"/>
                <w:lang w:val="sr-Cyrl-BA"/>
              </w:rPr>
              <w:t xml:space="preserve"> </w:t>
            </w:r>
            <w:r>
              <w:rPr>
                <w:rFonts w:ascii="Arial" w:eastAsia="Times New Roman" w:hAnsi="Arial" w:cs="Arial"/>
                <w:lang w:val="sr-Cyrl-BA"/>
              </w:rPr>
              <w:t>ин</w:t>
            </w:r>
            <w:r w:rsidR="0071360A">
              <w:rPr>
                <w:rFonts w:ascii="Arial" w:eastAsia="Times New Roman" w:hAnsi="Arial" w:cs="Arial"/>
                <w:lang w:val="sr-Cyrl-BA"/>
              </w:rPr>
              <w:t>ст</w:t>
            </w:r>
            <w:r>
              <w:rPr>
                <w:rFonts w:ascii="Arial" w:eastAsia="Times New Roman" w:hAnsi="Arial" w:cs="Arial"/>
                <w:lang w:val="sr-Cyrl-BA"/>
              </w:rPr>
              <w:t>и</w:t>
            </w:r>
            <w:r w:rsidR="0071360A">
              <w:rPr>
                <w:rFonts w:ascii="Arial" w:eastAsia="Times New Roman" w:hAnsi="Arial" w:cs="Arial"/>
                <w:lang w:val="sr-Cyrl-BA"/>
              </w:rPr>
              <w:t>ту</w:t>
            </w:r>
            <w:r>
              <w:rPr>
                <w:rFonts w:ascii="Arial" w:eastAsia="Times New Roman" w:hAnsi="Arial" w:cs="Arial"/>
                <w:lang w:val="sr-Cyrl-BA"/>
              </w:rPr>
              <w:t>цијама</w:t>
            </w:r>
            <w:r w:rsidR="00892898" w:rsidRPr="00F6340E">
              <w:rPr>
                <w:rFonts w:ascii="Arial" w:eastAsia="Times New Roman" w:hAnsi="Arial" w:cs="Arial"/>
                <w:lang w:val="sr-Cyrl-BA"/>
              </w:rPr>
              <w:t xml:space="preserve"> </w:t>
            </w:r>
            <w:r>
              <w:rPr>
                <w:rFonts w:ascii="Arial" w:eastAsia="Times New Roman" w:hAnsi="Arial" w:cs="Arial"/>
                <w:lang w:val="sr-Cyrl-BA"/>
              </w:rPr>
              <w:t>на</w:t>
            </w:r>
            <w:r w:rsidR="00892898" w:rsidRPr="00F6340E">
              <w:rPr>
                <w:rFonts w:ascii="Arial" w:eastAsia="Times New Roman" w:hAnsi="Arial" w:cs="Arial"/>
                <w:lang w:val="sr-Cyrl-BA"/>
              </w:rPr>
              <w:t xml:space="preserve"> </w:t>
            </w:r>
            <w:r w:rsidR="0071360A">
              <w:rPr>
                <w:rFonts w:ascii="Arial" w:eastAsia="Times New Roman" w:hAnsi="Arial" w:cs="Arial"/>
                <w:lang w:val="sr-Cyrl-BA"/>
              </w:rPr>
              <w:t>св</w:t>
            </w:r>
            <w:r>
              <w:rPr>
                <w:rFonts w:ascii="Arial" w:eastAsia="Times New Roman" w:hAnsi="Arial" w:cs="Arial"/>
                <w:lang w:val="sr-Cyrl-BA"/>
              </w:rPr>
              <w:t>им</w:t>
            </w:r>
            <w:r w:rsidR="00892898" w:rsidRPr="00F6340E">
              <w:rPr>
                <w:rFonts w:ascii="Arial" w:eastAsia="Times New Roman" w:hAnsi="Arial" w:cs="Arial"/>
                <w:lang w:val="sr-Cyrl-BA"/>
              </w:rPr>
              <w:t xml:space="preserve"> </w:t>
            </w:r>
            <w:r>
              <w:rPr>
                <w:rFonts w:ascii="Arial" w:eastAsia="Times New Roman" w:hAnsi="Arial" w:cs="Arial"/>
                <w:lang w:val="sr-Cyrl-BA"/>
              </w:rPr>
              <w:t>ни</w:t>
            </w:r>
            <w:r w:rsidR="0071360A">
              <w:rPr>
                <w:rFonts w:ascii="Arial" w:eastAsia="Times New Roman" w:hAnsi="Arial" w:cs="Arial"/>
                <w:lang w:val="sr-Cyrl-BA"/>
              </w:rPr>
              <w:t>в</w:t>
            </w:r>
            <w:r>
              <w:rPr>
                <w:rFonts w:ascii="Arial" w:eastAsia="Times New Roman" w:hAnsi="Arial" w:cs="Arial"/>
                <w:lang w:val="sr-Cyrl-BA"/>
              </w:rPr>
              <w:t>оима</w:t>
            </w:r>
          </w:p>
          <w:p w14:paraId="667F37A6" w14:textId="5F7B2B91" w:rsidR="00892898" w:rsidRPr="00F6340E" w:rsidRDefault="00A56E08" w:rsidP="00FB5CB7">
            <w:pPr>
              <w:pStyle w:val="ListParagraph"/>
              <w:numPr>
                <w:ilvl w:val="0"/>
                <w:numId w:val="42"/>
              </w:numPr>
              <w:jc w:val="left"/>
              <w:textAlignment w:val="baseline"/>
              <w:rPr>
                <w:rFonts w:ascii="Arial" w:eastAsia="Times New Roman" w:hAnsi="Arial" w:cs="Arial"/>
                <w:lang w:val="sr-Cyrl-BA"/>
              </w:rPr>
            </w:pPr>
            <w:r>
              <w:rPr>
                <w:rFonts w:ascii="Arial" w:eastAsiaTheme="minorHAnsi" w:hAnsi="Arial" w:cs="Arial"/>
                <w:color w:val="000000"/>
                <w:lang w:val="sr-Cyrl-BA"/>
              </w:rPr>
              <w:t>к</w:t>
            </w:r>
            <w:r w:rsidR="0071360A">
              <w:rPr>
                <w:rFonts w:ascii="Arial" w:eastAsiaTheme="minorHAnsi" w:hAnsi="Arial" w:cs="Arial"/>
                <w:color w:val="000000"/>
                <w:lang w:val="sr-Cyrl-BA"/>
              </w:rPr>
              <w:t>уп</w:t>
            </w:r>
            <w:r>
              <w:rPr>
                <w:rFonts w:ascii="Arial" w:eastAsiaTheme="minorHAnsi" w:hAnsi="Arial" w:cs="Arial"/>
                <w:color w:val="000000"/>
                <w:lang w:val="sr-Cyrl-BA"/>
              </w:rPr>
              <w:t>о</w:t>
            </w:r>
            <w:r w:rsidR="0071360A">
              <w:rPr>
                <w:rFonts w:ascii="Arial" w:eastAsiaTheme="minorHAnsi" w:hAnsi="Arial" w:cs="Arial"/>
                <w:color w:val="000000"/>
                <w:lang w:val="sr-Cyrl-BA"/>
              </w:rPr>
              <w:t>в</w:t>
            </w:r>
            <w:r>
              <w:rPr>
                <w:rFonts w:ascii="Arial" w:eastAsiaTheme="minorHAnsi" w:hAnsi="Arial" w:cs="Arial"/>
                <w:color w:val="000000"/>
                <w:lang w:val="sr-Cyrl-BA"/>
              </w:rPr>
              <w:t>ин</w:t>
            </w:r>
            <w:r w:rsidR="0071360A">
              <w:rPr>
                <w:rFonts w:ascii="Arial" w:eastAsiaTheme="minorHAnsi" w:hAnsi="Arial" w:cs="Arial"/>
                <w:color w:val="000000"/>
                <w:lang w:val="sr-Cyrl-BA"/>
              </w:rPr>
              <w:t>у</w:t>
            </w:r>
            <w:r w:rsidR="00892898" w:rsidRPr="00F6340E">
              <w:rPr>
                <w:rFonts w:ascii="Arial" w:eastAsiaTheme="minorHAnsi" w:hAnsi="Arial" w:cs="Arial"/>
                <w:color w:val="000000"/>
                <w:lang w:val="sr-Cyrl-BA"/>
              </w:rPr>
              <w:t xml:space="preserve"> </w:t>
            </w:r>
            <w:r w:rsidR="0071360A">
              <w:rPr>
                <w:rFonts w:ascii="Arial" w:eastAsia="Times New Roman" w:hAnsi="Arial" w:cs="Arial"/>
                <w:color w:val="000000"/>
                <w:lang w:val="sr-Cyrl-BA"/>
              </w:rPr>
              <w:t>с</w:t>
            </w:r>
            <w:r>
              <w:rPr>
                <w:rFonts w:ascii="Arial" w:eastAsia="Times New Roman" w:hAnsi="Arial" w:cs="Arial"/>
                <w:color w:val="000000"/>
                <w:lang w:val="sr-Cyrl-BA"/>
              </w:rPr>
              <w:t>оф</w:t>
            </w:r>
            <w:r w:rsidR="0071360A">
              <w:rPr>
                <w:rFonts w:ascii="Arial" w:eastAsia="Times New Roman" w:hAnsi="Arial" w:cs="Arial"/>
                <w:color w:val="000000"/>
                <w:lang w:val="sr-Cyrl-BA"/>
              </w:rPr>
              <w:t>тв</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рс</w:t>
            </w:r>
            <w:r>
              <w:rPr>
                <w:rFonts w:ascii="Arial" w:eastAsia="Times New Roman" w:hAnsi="Arial" w:cs="Arial"/>
                <w:color w:val="000000"/>
                <w:lang w:val="sr-Cyrl-BA"/>
              </w:rPr>
              <w:t>ких</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ак</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ала</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ла</w:t>
            </w:r>
            <w:r w:rsidR="0071360A">
              <w:rPr>
                <w:rFonts w:ascii="Arial" w:eastAsia="Times New Roman" w:hAnsi="Arial" w:cs="Arial"/>
                <w:color w:val="000000"/>
                <w:lang w:val="sr-Cyrl-BA"/>
              </w:rPr>
              <w:t>т</w:t>
            </w:r>
            <w:r>
              <w:rPr>
                <w:rFonts w:ascii="Arial" w:eastAsia="Times New Roman" w:hAnsi="Arial" w:cs="Arial"/>
                <w:color w:val="000000"/>
                <w:lang w:val="sr-Cyrl-BA"/>
              </w:rPr>
              <w:t>фо</w:t>
            </w:r>
            <w:r w:rsidR="0071360A">
              <w:rPr>
                <w:rFonts w:ascii="Arial" w:eastAsia="Times New Roman" w:hAnsi="Arial" w:cs="Arial"/>
                <w:color w:val="000000"/>
                <w:lang w:val="sr-Cyrl-BA"/>
              </w:rPr>
              <w:t>р</w:t>
            </w:r>
            <w:r>
              <w:rPr>
                <w:rFonts w:ascii="Arial" w:eastAsia="Times New Roman" w:hAnsi="Arial" w:cs="Arial"/>
                <w:color w:val="000000"/>
                <w:lang w:val="sr-Cyrl-BA"/>
              </w:rPr>
              <w:t>ми</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на</w:t>
            </w:r>
            <w:r w:rsidR="0071360A">
              <w:rPr>
                <w:rFonts w:ascii="Arial" w:eastAsia="Times New Roman" w:hAnsi="Arial" w:cs="Arial"/>
                <w:color w:val="000000"/>
                <w:lang w:val="sr-Cyrl-BA"/>
              </w:rPr>
              <w:t>ст</w:t>
            </w:r>
            <w:r>
              <w:rPr>
                <w:rFonts w:ascii="Arial" w:eastAsia="Times New Roman" w:hAnsi="Arial" w:cs="Arial"/>
                <w:color w:val="000000"/>
                <w:lang w:val="sr-Cyrl-BA"/>
              </w:rPr>
              <w:t>а</w:t>
            </w:r>
            <w:r w:rsidR="0071360A">
              <w:rPr>
                <w:rFonts w:ascii="Arial" w:eastAsia="Times New Roman" w:hAnsi="Arial" w:cs="Arial"/>
                <w:color w:val="000000"/>
                <w:lang w:val="sr-Cyrl-BA"/>
              </w:rPr>
              <w:t>в</w:t>
            </w:r>
            <w:r w:rsidR="00EE6AA2">
              <w:rPr>
                <w:rFonts w:ascii="Arial" w:eastAsia="Times New Roman" w:hAnsi="Arial" w:cs="Arial"/>
                <w:color w:val="000000"/>
                <w:lang w:val="sr-Cyrl-BA"/>
              </w:rPr>
              <w:t>е</w:t>
            </w:r>
            <w:r w:rsidR="008424F0"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пут</w:t>
            </w:r>
            <w:r w:rsidR="00EE6AA2">
              <w:rPr>
                <w:rFonts w:ascii="Arial" w:eastAsia="Times New Roman" w:hAnsi="Arial" w:cs="Arial"/>
                <w:color w:val="000000"/>
                <w:lang w:val="sr-Cyrl-BA"/>
              </w:rPr>
              <w:t>е</w:t>
            </w:r>
            <w:r>
              <w:rPr>
                <w:rFonts w:ascii="Arial" w:eastAsia="Times New Roman" w:hAnsi="Arial" w:cs="Arial"/>
                <w:color w:val="000000"/>
                <w:lang w:val="sr-Cyrl-BA"/>
              </w:rPr>
              <w:t>м</w:t>
            </w:r>
            <w:r w:rsidR="008424F0" w:rsidRPr="00F6340E">
              <w:rPr>
                <w:rFonts w:ascii="Arial" w:eastAsia="Times New Roman" w:hAnsi="Arial" w:cs="Arial"/>
                <w:color w:val="000000"/>
                <w:lang w:val="sr-Cyrl-BA"/>
              </w:rPr>
              <w:t xml:space="preserve"> </w:t>
            </w:r>
            <w:r>
              <w:rPr>
                <w:rFonts w:ascii="Arial" w:eastAsia="Times New Roman" w:hAnsi="Arial" w:cs="Arial"/>
                <w:color w:val="000000"/>
                <w:lang w:val="sr-Cyrl-BA"/>
              </w:rPr>
              <w:t>ин</w:t>
            </w:r>
            <w:r w:rsidR="0071360A">
              <w:rPr>
                <w:rFonts w:ascii="Arial" w:eastAsia="Times New Roman" w:hAnsi="Arial" w:cs="Arial"/>
                <w:color w:val="000000"/>
                <w:lang w:val="sr-Cyrl-BA"/>
              </w:rPr>
              <w:t>т</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р</w:t>
            </w:r>
            <w:r>
              <w:rPr>
                <w:rFonts w:ascii="Arial" w:eastAsia="Times New Roman" w:hAnsi="Arial" w:cs="Arial"/>
                <w:color w:val="000000"/>
                <w:lang w:val="sr-Cyrl-BA"/>
              </w:rPr>
              <w:t>н</w:t>
            </w:r>
            <w:r w:rsidR="00EE6AA2">
              <w:rPr>
                <w:rFonts w:ascii="Arial" w:eastAsia="Times New Roman" w:hAnsi="Arial" w:cs="Arial"/>
                <w:color w:val="000000"/>
                <w:lang w:val="sr-Cyrl-BA"/>
              </w:rPr>
              <w:t>е</w:t>
            </w:r>
            <w:r w:rsidR="0071360A">
              <w:rPr>
                <w:rFonts w:ascii="Arial" w:eastAsia="Times New Roman" w:hAnsi="Arial" w:cs="Arial"/>
                <w:color w:val="000000"/>
                <w:lang w:val="sr-Cyrl-BA"/>
              </w:rPr>
              <w:t>т</w:t>
            </w:r>
            <w:r>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у</w:t>
            </w:r>
            <w:r>
              <w:rPr>
                <w:rFonts w:ascii="Arial" w:eastAsia="Times New Roman" w:hAnsi="Arial" w:cs="Arial"/>
                <w:color w:val="000000"/>
                <w:lang w:val="sr-Cyrl-BA"/>
              </w:rPr>
              <w:t>ч</w:t>
            </w:r>
            <w:r w:rsidR="00EE6AA2">
              <w:rPr>
                <w:rFonts w:ascii="Arial" w:eastAsia="Times New Roman" w:hAnsi="Arial" w:cs="Arial"/>
                <w:color w:val="000000"/>
                <w:lang w:val="sr-Cyrl-BA"/>
              </w:rPr>
              <w:t>е</w:t>
            </w:r>
            <w:r>
              <w:rPr>
                <w:rFonts w:ascii="Arial" w:eastAsia="Times New Roman" w:hAnsi="Arial" w:cs="Arial"/>
                <w:color w:val="000000"/>
                <w:lang w:val="sr-Cyrl-BA"/>
              </w:rPr>
              <w:t>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71360A">
              <w:rPr>
                <w:rFonts w:ascii="Arial" w:eastAsia="Times New Roman" w:hAnsi="Arial" w:cs="Arial"/>
                <w:color w:val="000000"/>
                <w:lang w:val="sr-Cyrl-BA"/>
              </w:rPr>
              <w:t>п</w:t>
            </w:r>
            <w:r>
              <w:rPr>
                <w:rFonts w:ascii="Arial" w:eastAsia="Times New Roman" w:hAnsi="Arial" w:cs="Arial"/>
                <w:color w:val="000000"/>
                <w:lang w:val="sr-Cyrl-BA"/>
              </w:rPr>
              <w:t>од</w:t>
            </w:r>
            <w:r w:rsidR="0071360A">
              <w:rPr>
                <w:rFonts w:ascii="Arial" w:eastAsia="Times New Roman" w:hAnsi="Arial" w:cs="Arial"/>
                <w:color w:val="000000"/>
                <w:lang w:val="sr-Cyrl-BA"/>
              </w:rPr>
              <w:t>у</w:t>
            </w:r>
            <w:r>
              <w:rPr>
                <w:rFonts w:ascii="Arial" w:eastAsia="Times New Roman" w:hAnsi="Arial" w:cs="Arial"/>
                <w:color w:val="000000"/>
                <w:lang w:val="sr-Cyrl-BA"/>
              </w:rPr>
              <w:t>ча</w:t>
            </w:r>
            <w:r w:rsidR="0071360A">
              <w:rPr>
                <w:rFonts w:ascii="Arial" w:eastAsia="Times New Roman" w:hAnsi="Arial" w:cs="Arial"/>
                <w:color w:val="000000"/>
                <w:lang w:val="sr-Cyrl-BA"/>
              </w:rPr>
              <w:t>в</w:t>
            </w:r>
            <w:r>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lang w:val="sr-Cyrl-BA"/>
              </w:rPr>
              <w:t xml:space="preserve"> </w:t>
            </w:r>
            <w:r>
              <w:rPr>
                <w:rFonts w:ascii="Arial" w:eastAsia="Times New Roman" w:hAnsi="Arial" w:cs="Arial"/>
                <w:lang w:val="sr-Cyrl-BA"/>
              </w:rPr>
              <w:t>и</w:t>
            </w:r>
            <w:r w:rsidR="00892898" w:rsidRPr="00F6340E">
              <w:rPr>
                <w:rFonts w:ascii="Arial" w:eastAsia="Times New Roman" w:hAnsi="Arial" w:cs="Arial"/>
                <w:lang w:val="sr-Cyrl-BA"/>
              </w:rPr>
              <w:t xml:space="preserve"> </w:t>
            </w:r>
          </w:p>
          <w:p w14:paraId="3986D7B0" w14:textId="4DA538BC" w:rsidR="00892898" w:rsidRPr="00F6340E" w:rsidRDefault="0071360A" w:rsidP="00FB5CB7">
            <w:pPr>
              <w:pStyle w:val="ListParagraph"/>
              <w:numPr>
                <w:ilvl w:val="0"/>
                <w:numId w:val="42"/>
              </w:numPr>
              <w:jc w:val="left"/>
              <w:textAlignment w:val="baseline"/>
              <w:rPr>
                <w:rFonts w:ascii="Arial" w:eastAsia="Times New Roman" w:hAnsi="Arial" w:cs="Arial"/>
                <w:lang w:val="sr-Cyrl-BA"/>
              </w:rPr>
            </w:pPr>
            <w:r>
              <w:rPr>
                <w:rFonts w:ascii="Arial" w:eastAsia="Times New Roman" w:hAnsi="Arial" w:cs="Arial"/>
                <w:lang w:val="sr-Cyrl-BA"/>
              </w:rPr>
              <w:t>пр</w:t>
            </w:r>
            <w:r w:rsidR="00A56E08">
              <w:rPr>
                <w:rFonts w:ascii="Arial" w:eastAsia="Times New Roman" w:hAnsi="Arial" w:cs="Arial"/>
                <w:lang w:val="sr-Cyrl-BA"/>
              </w:rPr>
              <w:t>о</w:t>
            </w:r>
            <w:r>
              <w:rPr>
                <w:rFonts w:ascii="Arial" w:eastAsia="Times New Roman" w:hAnsi="Arial" w:cs="Arial"/>
                <w:lang w:val="sr-Cyrl-BA"/>
              </w:rPr>
              <w:t>т</w:t>
            </w:r>
            <w:r w:rsidR="00A56E08">
              <w:rPr>
                <w:rFonts w:ascii="Arial" w:eastAsia="Times New Roman" w:hAnsi="Arial" w:cs="Arial"/>
                <w:lang w:val="sr-Cyrl-BA"/>
              </w:rPr>
              <w:t>окол</w:t>
            </w:r>
            <w:r w:rsidR="00892898" w:rsidRPr="00F6340E">
              <w:rPr>
                <w:rFonts w:ascii="Arial" w:eastAsia="Times New Roman" w:hAnsi="Arial" w:cs="Arial"/>
                <w:lang w:val="sr-Cyrl-BA"/>
              </w:rPr>
              <w:t xml:space="preserve"> </w:t>
            </w:r>
            <w:r w:rsidR="00171F00">
              <w:rPr>
                <w:rFonts w:ascii="Arial" w:eastAsia="Times New Roman" w:hAnsi="Arial" w:cs="Arial"/>
                <w:lang w:val="sr-Cyrl-BA"/>
              </w:rPr>
              <w:t>з</w:t>
            </w:r>
            <w:r w:rsidR="00A56E08">
              <w:rPr>
                <w:rFonts w:ascii="Arial" w:eastAsia="Times New Roman" w:hAnsi="Arial" w:cs="Arial"/>
                <w:lang w:val="sr-Cyrl-BA"/>
              </w:rPr>
              <w:t>а</w:t>
            </w:r>
            <w:r w:rsidR="00892898" w:rsidRPr="00F6340E">
              <w:rPr>
                <w:rFonts w:ascii="Arial" w:eastAsia="Times New Roman" w:hAnsi="Arial" w:cs="Arial"/>
                <w:lang w:val="sr-Cyrl-BA"/>
              </w:rPr>
              <w:t xml:space="preserve"> </w:t>
            </w:r>
            <w:r w:rsidR="00A56E08">
              <w:rPr>
                <w:rFonts w:ascii="Arial" w:eastAsia="Times New Roman" w:hAnsi="Arial" w:cs="Arial"/>
                <w:lang w:val="sr-Cyrl-BA"/>
              </w:rPr>
              <w:t>од</w:t>
            </w:r>
            <w:r>
              <w:rPr>
                <w:rFonts w:ascii="Arial" w:eastAsia="Times New Roman" w:hAnsi="Arial" w:cs="Arial"/>
                <w:lang w:val="sr-Cyrl-BA"/>
              </w:rPr>
              <w:t>р</w:t>
            </w:r>
            <w:r w:rsidR="00171F00">
              <w:rPr>
                <w:rFonts w:ascii="Arial" w:eastAsia="Times New Roman" w:hAnsi="Arial" w:cs="Arial"/>
                <w:lang w:val="sr-Cyrl-BA"/>
              </w:rPr>
              <w:t>ж</w:t>
            </w:r>
            <w:r w:rsidR="00A56E08">
              <w:rPr>
                <w:rFonts w:ascii="Arial" w:eastAsia="Times New Roman" w:hAnsi="Arial" w:cs="Arial"/>
                <w:lang w:val="sr-Cyrl-BA"/>
              </w:rPr>
              <w:t>а</w:t>
            </w:r>
            <w:r>
              <w:rPr>
                <w:rFonts w:ascii="Arial" w:eastAsia="Times New Roman" w:hAnsi="Arial" w:cs="Arial"/>
                <w:lang w:val="sr-Cyrl-BA"/>
              </w:rPr>
              <w:t>в</w:t>
            </w:r>
            <w:r w:rsidR="00A56E08">
              <w:rPr>
                <w:rFonts w:ascii="Arial" w:eastAsia="Times New Roman" w:hAnsi="Arial" w:cs="Arial"/>
                <w:lang w:val="sr-Cyrl-BA"/>
              </w:rPr>
              <w:t>ањ</w:t>
            </w:r>
            <w:r w:rsidR="00EE6AA2">
              <w:rPr>
                <w:rFonts w:ascii="Arial" w:eastAsia="Times New Roman" w:hAnsi="Arial" w:cs="Arial"/>
                <w:lang w:val="sr-Cyrl-BA"/>
              </w:rPr>
              <w:t>е</w:t>
            </w:r>
            <w:r w:rsidR="00892898" w:rsidRPr="00F6340E">
              <w:rPr>
                <w:rFonts w:ascii="Arial" w:eastAsia="Times New Roman" w:hAnsi="Arial" w:cs="Arial"/>
                <w:lang w:val="sr-Cyrl-BA"/>
              </w:rPr>
              <w:t xml:space="preserve"> </w:t>
            </w:r>
            <w:r w:rsidR="00A56E08">
              <w:rPr>
                <w:rFonts w:ascii="Arial" w:eastAsia="Times New Roman" w:hAnsi="Arial" w:cs="Arial"/>
                <w:lang w:val="sr-Cyrl-BA"/>
              </w:rPr>
              <w:t>о</w:t>
            </w:r>
            <w:r>
              <w:rPr>
                <w:rFonts w:ascii="Arial" w:eastAsia="Times New Roman" w:hAnsi="Arial" w:cs="Arial"/>
                <w:lang w:val="sr-Cyrl-BA"/>
              </w:rPr>
              <w:t>пр</w:t>
            </w:r>
            <w:r w:rsidR="00EE6AA2">
              <w:rPr>
                <w:rFonts w:ascii="Arial" w:eastAsia="Times New Roman" w:hAnsi="Arial" w:cs="Arial"/>
                <w:lang w:val="sr-Cyrl-BA"/>
              </w:rPr>
              <w:t>е</w:t>
            </w:r>
            <w:r w:rsidR="00A56E08">
              <w:rPr>
                <w:rFonts w:ascii="Arial" w:eastAsia="Times New Roman" w:hAnsi="Arial" w:cs="Arial"/>
                <w:lang w:val="sr-Cyrl-BA"/>
              </w:rPr>
              <w:t>м</w:t>
            </w:r>
            <w:r w:rsidR="00EE6AA2">
              <w:rPr>
                <w:rFonts w:ascii="Arial" w:eastAsia="Times New Roman" w:hAnsi="Arial" w:cs="Arial"/>
                <w:lang w:val="sr-Cyrl-BA"/>
              </w:rPr>
              <w:t>е</w:t>
            </w:r>
          </w:p>
          <w:p w14:paraId="6BBCE933" w14:textId="5E9700D1" w:rsidR="37A7DAD0" w:rsidRPr="00F6340E" w:rsidRDefault="00A56E08" w:rsidP="00FB5CB7">
            <w:pPr>
              <w:pStyle w:val="ListParagraph"/>
              <w:numPr>
                <w:ilvl w:val="0"/>
                <w:numId w:val="42"/>
              </w:numPr>
              <w:jc w:val="left"/>
              <w:rPr>
                <w:rFonts w:ascii="Arial" w:eastAsia="Times New Roman" w:hAnsi="Arial" w:cs="Arial"/>
                <w:lang w:val="sr-Cyrl-BA"/>
              </w:rPr>
            </w:pPr>
            <w:r>
              <w:rPr>
                <w:rFonts w:ascii="Arial" w:eastAsia="Times New Roman" w:hAnsi="Arial" w:cs="Arial"/>
                <w:lang w:val="sr-Cyrl-BA"/>
              </w:rPr>
              <w:t>наба</w:t>
            </w:r>
            <w:r w:rsidR="0071360A">
              <w:rPr>
                <w:rFonts w:ascii="Arial" w:eastAsia="Times New Roman" w:hAnsi="Arial" w:cs="Arial"/>
                <w:lang w:val="sr-Cyrl-BA"/>
              </w:rPr>
              <w:t>в</w:t>
            </w:r>
            <w:r>
              <w:rPr>
                <w:rFonts w:ascii="Arial" w:eastAsia="Times New Roman" w:hAnsi="Arial" w:cs="Arial"/>
                <w:lang w:val="sr-Cyrl-BA"/>
              </w:rPr>
              <w:t>к</w:t>
            </w:r>
            <w:r w:rsidR="0071360A">
              <w:rPr>
                <w:rFonts w:ascii="Arial" w:eastAsia="Times New Roman" w:hAnsi="Arial" w:cs="Arial"/>
                <w:lang w:val="sr-Cyrl-BA"/>
              </w:rPr>
              <w:t>у</w:t>
            </w:r>
            <w:r w:rsidR="00E03288" w:rsidRPr="00F6340E">
              <w:rPr>
                <w:rFonts w:ascii="Arial" w:eastAsia="Times New Roman" w:hAnsi="Arial" w:cs="Arial"/>
                <w:lang w:val="sr-Cyrl-BA"/>
              </w:rPr>
              <w:t xml:space="preserve"> </w:t>
            </w:r>
            <w:r>
              <w:rPr>
                <w:rFonts w:ascii="Arial" w:eastAsia="Times New Roman" w:hAnsi="Arial" w:cs="Arial"/>
                <w:lang w:val="sr-Cyrl-BA"/>
              </w:rPr>
              <w:t>и</w:t>
            </w:r>
            <w:r w:rsidR="00E03288" w:rsidRPr="00F6340E">
              <w:rPr>
                <w:rFonts w:ascii="Arial" w:eastAsia="Times New Roman" w:hAnsi="Arial" w:cs="Arial"/>
                <w:lang w:val="sr-Cyrl-BA"/>
              </w:rPr>
              <w:t xml:space="preserve"> </w:t>
            </w:r>
            <w:r>
              <w:rPr>
                <w:rFonts w:ascii="Arial" w:eastAsia="Times New Roman" w:hAnsi="Arial" w:cs="Arial"/>
                <w:lang w:val="sr-Cyrl-BA"/>
              </w:rPr>
              <w:t>од</w:t>
            </w:r>
            <w:r w:rsidR="0071360A">
              <w:rPr>
                <w:rFonts w:ascii="Arial" w:eastAsia="Times New Roman" w:hAnsi="Arial" w:cs="Arial"/>
                <w:lang w:val="sr-Cyrl-BA"/>
              </w:rPr>
              <w:t>р</w:t>
            </w:r>
            <w:r w:rsidR="00171F00">
              <w:rPr>
                <w:rFonts w:ascii="Arial" w:eastAsia="Times New Roman" w:hAnsi="Arial" w:cs="Arial"/>
                <w:lang w:val="sr-Cyrl-BA"/>
              </w:rPr>
              <w:t>ж</w:t>
            </w:r>
            <w:r>
              <w:rPr>
                <w:rFonts w:ascii="Arial" w:eastAsia="Times New Roman" w:hAnsi="Arial" w:cs="Arial"/>
                <w:lang w:val="sr-Cyrl-BA"/>
              </w:rPr>
              <w:t>а</w:t>
            </w:r>
            <w:r w:rsidR="0071360A">
              <w:rPr>
                <w:rFonts w:ascii="Arial" w:eastAsia="Times New Roman" w:hAnsi="Arial" w:cs="Arial"/>
                <w:lang w:val="sr-Cyrl-BA"/>
              </w:rPr>
              <w:t>в</w:t>
            </w:r>
            <w:r>
              <w:rPr>
                <w:rFonts w:ascii="Arial" w:eastAsia="Times New Roman" w:hAnsi="Arial" w:cs="Arial"/>
                <w:lang w:val="sr-Cyrl-BA"/>
              </w:rPr>
              <w:t>ањ</w:t>
            </w:r>
            <w:r w:rsidR="00EE6AA2">
              <w:rPr>
                <w:rFonts w:ascii="Arial" w:eastAsia="Times New Roman" w:hAnsi="Arial" w:cs="Arial"/>
                <w:lang w:val="sr-Cyrl-BA"/>
              </w:rPr>
              <w:t>е</w:t>
            </w:r>
            <w:r w:rsidR="00E03288" w:rsidRPr="00F6340E">
              <w:rPr>
                <w:rFonts w:ascii="Arial" w:eastAsia="Times New Roman" w:hAnsi="Arial" w:cs="Arial"/>
                <w:lang w:val="sr-Cyrl-BA"/>
              </w:rPr>
              <w:t xml:space="preserve"> </w:t>
            </w:r>
            <w:r>
              <w:rPr>
                <w:rFonts w:ascii="Arial" w:eastAsia="Times New Roman" w:hAnsi="Arial" w:cs="Arial"/>
                <w:lang w:val="sr-Cyrl-BA"/>
              </w:rPr>
              <w:t>а</w:t>
            </w:r>
            <w:r w:rsidR="0071360A">
              <w:rPr>
                <w:rFonts w:ascii="Arial" w:eastAsia="Times New Roman" w:hAnsi="Arial" w:cs="Arial"/>
                <w:lang w:val="sr-Cyrl-BA"/>
              </w:rPr>
              <w:t>с</w:t>
            </w:r>
            <w:r>
              <w:rPr>
                <w:rFonts w:ascii="Arial" w:eastAsia="Times New Roman" w:hAnsi="Arial" w:cs="Arial"/>
                <w:lang w:val="sr-Cyrl-BA"/>
              </w:rPr>
              <w:t>и</w:t>
            </w:r>
            <w:r w:rsidR="0071360A">
              <w:rPr>
                <w:rFonts w:ascii="Arial" w:eastAsia="Times New Roman" w:hAnsi="Arial" w:cs="Arial"/>
                <w:lang w:val="sr-Cyrl-BA"/>
              </w:rPr>
              <w:t>ст</w:t>
            </w:r>
            <w:r>
              <w:rPr>
                <w:rFonts w:ascii="Arial" w:eastAsia="Times New Roman" w:hAnsi="Arial" w:cs="Arial"/>
                <w:lang w:val="sr-Cyrl-BA"/>
              </w:rPr>
              <w:t>и</w:t>
            </w:r>
            <w:r w:rsidR="0071360A">
              <w:rPr>
                <w:rFonts w:ascii="Arial" w:eastAsia="Times New Roman" w:hAnsi="Arial" w:cs="Arial"/>
                <w:lang w:val="sr-Cyrl-BA"/>
              </w:rPr>
              <w:t>в</w:t>
            </w:r>
            <w:r>
              <w:rPr>
                <w:rFonts w:ascii="Arial" w:eastAsia="Times New Roman" w:hAnsi="Arial" w:cs="Arial"/>
                <w:lang w:val="sr-Cyrl-BA"/>
              </w:rPr>
              <w:t>н</w:t>
            </w:r>
            <w:r w:rsidR="00EE6AA2">
              <w:rPr>
                <w:rFonts w:ascii="Arial" w:eastAsia="Times New Roman" w:hAnsi="Arial" w:cs="Arial"/>
                <w:lang w:val="sr-Cyrl-BA"/>
              </w:rPr>
              <w:t>е</w:t>
            </w:r>
            <w:r w:rsidR="00E03288" w:rsidRPr="00F6340E">
              <w:rPr>
                <w:rFonts w:ascii="Arial" w:eastAsia="Times New Roman" w:hAnsi="Arial" w:cs="Arial"/>
                <w:lang w:val="sr-Cyrl-BA"/>
              </w:rPr>
              <w:t xml:space="preserve"> </w:t>
            </w:r>
            <w:r w:rsidR="0071360A">
              <w:rPr>
                <w:rFonts w:ascii="Arial" w:eastAsia="Times New Roman" w:hAnsi="Arial" w:cs="Arial"/>
                <w:lang w:val="sr-Cyrl-BA"/>
              </w:rPr>
              <w:t>т</w:t>
            </w:r>
            <w:r w:rsidR="00EE6AA2">
              <w:rPr>
                <w:rFonts w:ascii="Arial" w:eastAsia="Times New Roman" w:hAnsi="Arial" w:cs="Arial"/>
                <w:lang w:val="sr-Cyrl-BA"/>
              </w:rPr>
              <w:t>е</w:t>
            </w:r>
            <w:r>
              <w:rPr>
                <w:rFonts w:ascii="Arial" w:eastAsia="Times New Roman" w:hAnsi="Arial" w:cs="Arial"/>
                <w:lang w:val="sr-Cyrl-BA"/>
              </w:rPr>
              <w:t>хнологиј</w:t>
            </w:r>
            <w:r w:rsidR="00EE6AA2">
              <w:rPr>
                <w:rFonts w:ascii="Arial" w:eastAsia="Times New Roman" w:hAnsi="Arial" w:cs="Arial"/>
                <w:lang w:val="sr-Cyrl-BA"/>
              </w:rPr>
              <w:t>е</w:t>
            </w:r>
            <w:r w:rsidR="00E03288" w:rsidRPr="00F6340E">
              <w:rPr>
                <w:rFonts w:ascii="Arial" w:eastAsia="Times New Roman" w:hAnsi="Arial" w:cs="Arial"/>
                <w:lang w:val="sr-Cyrl-BA"/>
              </w:rPr>
              <w:t>.</w:t>
            </w:r>
          </w:p>
          <w:p w14:paraId="050D427F" w14:textId="1BB73264" w:rsidR="00892898" w:rsidRPr="00F6340E" w:rsidRDefault="00A56E08" w:rsidP="00FB5CB7">
            <w:pPr>
              <w:numPr>
                <w:ilvl w:val="0"/>
                <w:numId w:val="37"/>
              </w:numPr>
              <w:contextualSpacing/>
              <w:jc w:val="left"/>
              <w:textAlignment w:val="baseline"/>
              <w:rPr>
                <w:rFonts w:ascii="Arial" w:eastAsia="Times New Roman" w:hAnsi="Arial" w:cs="Arial"/>
                <w:b/>
                <w:color w:val="000000"/>
                <w:lang w:val="sr-Cyrl-BA"/>
              </w:rPr>
            </w:pP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ств</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ја</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но</w:t>
            </w:r>
            <w:r w:rsidR="00FC62AA" w:rsidRPr="00F6340E">
              <w:rPr>
                <w:rFonts w:ascii="Arial" w:eastAsiaTheme="minorEastAsia" w:hAnsi="Arial" w:cs="Arial"/>
                <w:b/>
                <w:color w:val="000000" w:themeColor="text1"/>
                <w:lang w:val="sr-Cyrl-BA"/>
              </w:rPr>
              <w:t xml:space="preserve"> – </w:t>
            </w:r>
            <w:r w:rsidR="0071360A">
              <w:rPr>
                <w:rFonts w:ascii="Arial" w:eastAsiaTheme="minorEastAsia" w:hAnsi="Arial" w:cs="Arial"/>
                <w:b/>
                <w:color w:val="000000" w:themeColor="text1"/>
                <w:lang w:val="sr-Cyrl-BA"/>
              </w:rPr>
              <w:t>пр</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на</w:t>
            </w:r>
            <w:r w:rsidR="00FC62AA"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п</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рт</w:t>
            </w:r>
            <w:r>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рств</w:t>
            </w:r>
            <w:r>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п</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с</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бн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у</w:t>
            </w:r>
            <w:r>
              <w:rPr>
                <w:rFonts w:ascii="Arial" w:eastAsiaTheme="minorEastAsia" w:hAnsi="Arial" w:cs="Arial"/>
                <w:b/>
                <w:color w:val="000000" w:themeColor="text1"/>
                <w:lang w:val="sr-Cyrl-BA"/>
              </w:rPr>
              <w:t>го</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п</w:t>
            </w:r>
            <w:r>
              <w:rPr>
                <w:rFonts w:ascii="Arial" w:eastAsiaTheme="minorEastAsia" w:hAnsi="Arial" w:cs="Arial"/>
                <w:b/>
                <w:color w:val="000000" w:themeColor="text1"/>
                <w:lang w:val="sr-Cyrl-BA"/>
              </w:rPr>
              <w:t>огодно</w:t>
            </w:r>
            <w:r w:rsidR="0071360A">
              <w:rPr>
                <w:rFonts w:ascii="Arial" w:eastAsiaTheme="minorEastAsia" w:hAnsi="Arial" w:cs="Arial"/>
                <w:b/>
                <w:color w:val="000000" w:themeColor="text1"/>
                <w:lang w:val="sr-Cyrl-BA"/>
              </w:rPr>
              <w:t>ст</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w:t>
            </w:r>
            <w:r w:rsidR="00171F00">
              <w:rPr>
                <w:rFonts w:ascii="Arial" w:eastAsiaTheme="minorEastAsia" w:hAnsi="Arial" w:cs="Arial"/>
                <w:b/>
                <w:color w:val="000000" w:themeColor="text1"/>
                <w:lang w:val="sr-Cyrl-BA"/>
              </w:rPr>
              <w:t>з</w:t>
            </w:r>
            <w:r>
              <w:rPr>
                <w:rFonts w:ascii="Arial" w:eastAsiaTheme="minorEastAsia" w:hAnsi="Arial" w:cs="Arial"/>
                <w:b/>
                <w:color w:val="000000" w:themeColor="text1"/>
                <w:lang w:val="sr-Cyrl-BA"/>
              </w:rPr>
              <w:t>м</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ђ</w:t>
            </w:r>
            <w:r w:rsidR="0071360A">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пру</w:t>
            </w:r>
            <w:r w:rsidR="00171F00">
              <w:rPr>
                <w:rFonts w:ascii="Arial" w:eastAsiaTheme="minorEastAsia" w:hAnsi="Arial" w:cs="Arial"/>
                <w:b/>
                <w:color w:val="000000" w:themeColor="text1"/>
                <w:lang w:val="sr-Cyrl-BA"/>
              </w:rPr>
              <w:t>ж</w:t>
            </w:r>
            <w:r>
              <w:rPr>
                <w:rFonts w:ascii="Arial" w:eastAsiaTheme="minorEastAsia" w:hAnsi="Arial" w:cs="Arial"/>
                <w:b/>
                <w:color w:val="000000" w:themeColor="text1"/>
                <w:lang w:val="sr-Cyrl-BA"/>
              </w:rPr>
              <w:t>алаца</w:t>
            </w:r>
            <w:r w:rsidR="00D46A3E"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ин</w:t>
            </w:r>
            <w:r w:rsidR="0071360A">
              <w:rPr>
                <w:rFonts w:ascii="Arial" w:eastAsiaTheme="minorEastAsia" w:hAnsi="Arial" w:cs="Arial"/>
                <w:b/>
                <w:color w:val="000000" w:themeColor="text1"/>
                <w:lang w:val="sr-Cyrl-BA"/>
              </w:rPr>
              <w:t>т</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т</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ус</w:t>
            </w:r>
            <w:r>
              <w:rPr>
                <w:rFonts w:ascii="Arial" w:eastAsiaTheme="minorEastAsia" w:hAnsi="Arial" w:cs="Arial"/>
                <w:b/>
                <w:color w:val="000000" w:themeColor="text1"/>
                <w:lang w:val="sr-Cyrl-BA"/>
              </w:rPr>
              <w:t>л</w:t>
            </w:r>
            <w:r w:rsidR="0071360A">
              <w:rPr>
                <w:rFonts w:ascii="Arial" w:eastAsiaTheme="minorEastAsia" w:hAnsi="Arial" w:cs="Arial"/>
                <w:b/>
                <w:color w:val="000000" w:themeColor="text1"/>
                <w:lang w:val="sr-Cyrl-BA"/>
              </w:rPr>
              <w:t>у</w:t>
            </w:r>
            <w:r>
              <w:rPr>
                <w:rFonts w:ascii="Arial" w:eastAsiaTheme="minorEastAsia" w:hAnsi="Arial" w:cs="Arial"/>
                <w:b/>
                <w:color w:val="000000" w:themeColor="text1"/>
                <w:lang w:val="sr-Cyrl-BA"/>
              </w:rPr>
              <w:t>га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об</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а</w:t>
            </w:r>
            <w:r w:rsidR="00171F00">
              <w:rPr>
                <w:rFonts w:ascii="Arial" w:eastAsiaTheme="minorEastAsia" w:hAnsi="Arial" w:cs="Arial"/>
                <w:b/>
                <w:color w:val="000000" w:themeColor="text1"/>
                <w:lang w:val="sr-Cyrl-BA"/>
              </w:rPr>
              <w:t>з</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них</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ин</w:t>
            </w:r>
            <w:r w:rsidR="0071360A">
              <w:rPr>
                <w:rFonts w:ascii="Arial" w:eastAsiaTheme="minorEastAsia" w:hAnsi="Arial" w:cs="Arial"/>
                <w:b/>
                <w:color w:val="000000" w:themeColor="text1"/>
                <w:lang w:val="sr-Cyrl-BA"/>
              </w:rPr>
              <w:t>ст</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ту</w:t>
            </w:r>
            <w:r>
              <w:rPr>
                <w:rFonts w:ascii="Arial" w:eastAsiaTheme="minorEastAsia" w:hAnsi="Arial" w:cs="Arial"/>
                <w:b/>
                <w:color w:val="000000" w:themeColor="text1"/>
                <w:lang w:val="sr-Cyrl-BA"/>
              </w:rPr>
              <w:t>ција</w:t>
            </w:r>
          </w:p>
          <w:p w14:paraId="007A1A52" w14:textId="39BCF8A3" w:rsidR="00FC62AA" w:rsidRPr="00F6340E" w:rsidRDefault="0071360A" w:rsidP="00FB5CB7">
            <w:pPr>
              <w:ind w:left="360"/>
              <w:contextualSpacing/>
              <w:jc w:val="left"/>
              <w:textAlignment w:val="baseline"/>
              <w:rPr>
                <w:rFonts w:ascii="Arial" w:eastAsia="Times New Roman" w:hAnsi="Arial" w:cs="Arial"/>
                <w:b/>
                <w:color w:val="000000"/>
                <w:lang w:val="sr-Cyrl-BA"/>
              </w:rPr>
            </w:pPr>
            <w:r>
              <w:rPr>
                <w:rFonts w:ascii="Arial" w:hAnsi="Arial" w:cs="Arial"/>
                <w:lang w:val="sr-Cyrl-BA"/>
              </w:rPr>
              <w:t>В</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но</w:t>
            </w:r>
            <w:r w:rsidR="00FC62AA" w:rsidRPr="00F6340E">
              <w:rPr>
                <w:rFonts w:ascii="Arial" w:hAnsi="Arial" w:cs="Arial"/>
                <w:lang w:val="sr-Cyrl-BA"/>
              </w:rPr>
              <w:t xml:space="preserve"> </w:t>
            </w:r>
            <w:r w:rsidR="00A56E08">
              <w:rPr>
                <w:rFonts w:ascii="Arial" w:hAnsi="Arial" w:cs="Arial"/>
                <w:lang w:val="sr-Cyrl-BA"/>
              </w:rPr>
              <w:t>ј</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да</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огодно</w:t>
            </w:r>
            <w:r>
              <w:rPr>
                <w:rFonts w:ascii="Arial" w:hAnsi="Arial" w:cs="Arial"/>
                <w:lang w:val="sr-Cyrl-BA"/>
              </w:rPr>
              <w:t>ст</w:t>
            </w:r>
            <w:r w:rsidR="00A56E08">
              <w:rPr>
                <w:rFonts w:ascii="Arial" w:hAnsi="Arial" w:cs="Arial"/>
                <w:lang w:val="sr-Cyrl-BA"/>
              </w:rPr>
              <w:t>и</w:t>
            </w:r>
            <w:r w:rsidR="00FC62AA" w:rsidRPr="00F6340E">
              <w:rPr>
                <w:rFonts w:ascii="Arial" w:hAnsi="Arial" w:cs="Arial"/>
                <w:lang w:val="sr-Cyrl-BA"/>
              </w:rPr>
              <w:t xml:space="preserve"> </w:t>
            </w:r>
            <w:r w:rsidR="00A56E08">
              <w:rPr>
                <w:rFonts w:ascii="Arial" w:hAnsi="Arial" w:cs="Arial"/>
                <w:lang w:val="sr-Cyrl-BA"/>
              </w:rPr>
              <w:t>б</w:t>
            </w:r>
            <w:r>
              <w:rPr>
                <w:rFonts w:ascii="Arial" w:hAnsi="Arial" w:cs="Arial"/>
                <w:lang w:val="sr-Cyrl-BA"/>
              </w:rPr>
              <w:t>у</w:t>
            </w:r>
            <w:r w:rsidR="00A56E08">
              <w:rPr>
                <w:rFonts w:ascii="Arial" w:hAnsi="Arial" w:cs="Arial"/>
                <w:lang w:val="sr-Cyrl-BA"/>
              </w:rPr>
              <w:t>д</w:t>
            </w:r>
            <w:r>
              <w:rPr>
                <w:rFonts w:ascii="Arial" w:hAnsi="Arial" w:cs="Arial"/>
                <w:lang w:val="sr-Cyrl-BA"/>
              </w:rPr>
              <w:t>у</w:t>
            </w:r>
            <w:r w:rsidR="00FC62AA" w:rsidRPr="00F6340E">
              <w:rPr>
                <w:rFonts w:ascii="Arial" w:hAnsi="Arial" w:cs="Arial"/>
                <w:lang w:val="sr-Cyrl-BA"/>
              </w:rPr>
              <w:t xml:space="preserve"> </w:t>
            </w:r>
            <w:r w:rsidR="00A56E08">
              <w:rPr>
                <w:rFonts w:ascii="Arial" w:hAnsi="Arial" w:cs="Arial"/>
                <w:lang w:val="sr-Cyrl-BA"/>
              </w:rPr>
              <w:t>д</w:t>
            </w:r>
            <w:r w:rsidR="00EE6AA2">
              <w:rPr>
                <w:rFonts w:ascii="Arial" w:hAnsi="Arial" w:cs="Arial"/>
                <w:lang w:val="sr-Cyrl-BA"/>
              </w:rPr>
              <w:t>е</w:t>
            </w:r>
            <w:r w:rsidR="00A56E08">
              <w:rPr>
                <w:rFonts w:ascii="Arial" w:hAnsi="Arial" w:cs="Arial"/>
                <w:lang w:val="sr-Cyrl-BA"/>
              </w:rPr>
              <w:t>фини</w:t>
            </w:r>
            <w:r>
              <w:rPr>
                <w:rFonts w:ascii="Arial" w:hAnsi="Arial" w:cs="Arial"/>
                <w:lang w:val="sr-Cyrl-BA"/>
              </w:rPr>
              <w:t>с</w:t>
            </w:r>
            <w:r w:rsidR="00A56E08">
              <w:rPr>
                <w:rFonts w:ascii="Arial" w:hAnsi="Arial" w:cs="Arial"/>
                <w:lang w:val="sr-Cyrl-BA"/>
              </w:rPr>
              <w:t>ан</w:t>
            </w:r>
            <w:r w:rsidR="00EE6AA2">
              <w:rPr>
                <w:rFonts w:ascii="Arial" w:hAnsi="Arial" w:cs="Arial"/>
                <w:lang w:val="sr-Cyrl-BA"/>
              </w:rPr>
              <w:t>е</w:t>
            </w:r>
            <w:r w:rsidR="00FC62AA" w:rsidRPr="00F6340E">
              <w:rPr>
                <w:rFonts w:ascii="Arial" w:hAnsi="Arial" w:cs="Arial"/>
                <w:lang w:val="sr-Cyrl-BA"/>
              </w:rPr>
              <w:t xml:space="preserve"> </w:t>
            </w:r>
            <w:r>
              <w:rPr>
                <w:rFonts w:ascii="Arial" w:hAnsi="Arial" w:cs="Arial"/>
                <w:lang w:val="sr-Cyrl-BA"/>
              </w:rPr>
              <w:t>у</w:t>
            </w:r>
            <w:r w:rsidR="00E864CA"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клад</w:t>
            </w:r>
            <w:r>
              <w:rPr>
                <w:rFonts w:ascii="Arial" w:hAnsi="Arial" w:cs="Arial"/>
                <w:lang w:val="sr-Cyrl-BA"/>
              </w:rPr>
              <w:t>у</w:t>
            </w:r>
            <w:r w:rsidR="00FC62AA"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а</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бама</w:t>
            </w:r>
            <w:r w:rsidR="00FC62AA"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них</w:t>
            </w:r>
            <w:r w:rsidR="00FC62AA"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ст</w:t>
            </w:r>
            <w:r w:rsidR="00A56E08">
              <w:rPr>
                <w:rFonts w:ascii="Arial" w:hAnsi="Arial" w:cs="Arial"/>
                <w:lang w:val="sr-Cyrl-BA"/>
              </w:rPr>
              <w:t>и</w:t>
            </w:r>
            <w:r>
              <w:rPr>
                <w:rFonts w:ascii="Arial" w:hAnsi="Arial" w:cs="Arial"/>
                <w:lang w:val="sr-Cyrl-BA"/>
              </w:rPr>
              <w:t>ту</w:t>
            </w:r>
            <w:r w:rsidR="00A56E08">
              <w:rPr>
                <w:rFonts w:ascii="Arial" w:hAnsi="Arial" w:cs="Arial"/>
                <w:lang w:val="sr-Cyrl-BA"/>
              </w:rPr>
              <w:t>ција</w:t>
            </w:r>
            <w:r w:rsidR="00FC62AA" w:rsidRPr="00F6340E">
              <w:rPr>
                <w:rFonts w:ascii="Arial" w:hAnsi="Arial" w:cs="Arial"/>
                <w:lang w:val="sr-Cyrl-BA"/>
              </w:rPr>
              <w:t xml:space="preserve">, </w:t>
            </w:r>
            <w:r w:rsidR="00A56E08">
              <w:rPr>
                <w:rFonts w:ascii="Arial" w:hAnsi="Arial" w:cs="Arial"/>
                <w:lang w:val="sr-Cyrl-BA"/>
              </w:rPr>
              <w:t>одно</w:t>
            </w:r>
            <w:r>
              <w:rPr>
                <w:rFonts w:ascii="Arial" w:hAnsi="Arial" w:cs="Arial"/>
                <w:lang w:val="sr-Cyrl-BA"/>
              </w:rPr>
              <w:t>с</w:t>
            </w:r>
            <w:r w:rsidR="00A56E08">
              <w:rPr>
                <w:rFonts w:ascii="Arial" w:hAnsi="Arial" w:cs="Arial"/>
                <w:lang w:val="sr-Cyrl-BA"/>
              </w:rPr>
              <w:t>но</w:t>
            </w:r>
            <w:r w:rsidR="00FC62AA" w:rsidRPr="00F6340E">
              <w:rPr>
                <w:rFonts w:ascii="Arial" w:hAnsi="Arial" w:cs="Arial"/>
                <w:lang w:val="sr-Cyrl-BA"/>
              </w:rPr>
              <w:t xml:space="preserve"> </w:t>
            </w:r>
            <w:r w:rsidR="00A56E08">
              <w:rPr>
                <w:rFonts w:ascii="Arial" w:hAnsi="Arial" w:cs="Arial"/>
                <w:lang w:val="sr-Cyrl-BA"/>
              </w:rPr>
              <w:t>да</w:t>
            </w:r>
            <w:r w:rsidR="00FC62AA" w:rsidRPr="00F6340E">
              <w:rPr>
                <w:rFonts w:ascii="Arial" w:hAnsi="Arial" w:cs="Arial"/>
                <w:lang w:val="sr-Cyrl-BA"/>
              </w:rPr>
              <w:t xml:space="preserve"> </w:t>
            </w:r>
            <w:r>
              <w:rPr>
                <w:rFonts w:ascii="Arial" w:hAnsi="Arial" w:cs="Arial"/>
                <w:lang w:val="sr-Cyrl-BA"/>
              </w:rPr>
              <w:t>с</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к</w:t>
            </w:r>
            <w:r>
              <w:rPr>
                <w:rFonts w:ascii="Arial" w:hAnsi="Arial" w:cs="Arial"/>
                <w:lang w:val="sr-Cyrl-BA"/>
              </w:rPr>
              <w:t>р</w:t>
            </w:r>
            <w:r w:rsidR="00EE6AA2">
              <w:rPr>
                <w:rFonts w:ascii="Arial" w:hAnsi="Arial" w:cs="Arial"/>
                <w:lang w:val="sr-Cyrl-BA"/>
              </w:rPr>
              <w:t>е</w:t>
            </w:r>
            <w:r w:rsidR="00A56E08">
              <w:rPr>
                <w:rFonts w:ascii="Arial" w:hAnsi="Arial" w:cs="Arial"/>
                <w:lang w:val="sr-Cyrl-BA"/>
              </w:rPr>
              <w:t>и</w:t>
            </w:r>
            <w:r>
              <w:rPr>
                <w:rFonts w:ascii="Arial" w:hAnsi="Arial" w:cs="Arial"/>
                <w:lang w:val="sr-Cyrl-BA"/>
              </w:rPr>
              <w:t>р</w:t>
            </w:r>
            <w:r w:rsidR="00A56E08">
              <w:rPr>
                <w:rFonts w:ascii="Arial" w:hAnsi="Arial" w:cs="Arial"/>
                <w:lang w:val="sr-Cyrl-BA"/>
              </w:rPr>
              <w:t>ај</w:t>
            </w:r>
            <w:r>
              <w:rPr>
                <w:rFonts w:ascii="Arial" w:hAnsi="Arial" w:cs="Arial"/>
                <w:lang w:val="sr-Cyrl-BA"/>
              </w:rPr>
              <w:t>у</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ак</w:t>
            </w:r>
            <w:r w:rsidR="00EE6AA2">
              <w:rPr>
                <w:rFonts w:ascii="Arial" w:hAnsi="Arial" w:cs="Arial"/>
                <w:lang w:val="sr-Cyrl-BA"/>
              </w:rPr>
              <w:t>е</w:t>
            </w:r>
            <w:r>
              <w:rPr>
                <w:rFonts w:ascii="Arial" w:hAnsi="Arial" w:cs="Arial"/>
                <w:lang w:val="sr-Cyrl-BA"/>
              </w:rPr>
              <w:t>т</w:t>
            </w:r>
            <w:r w:rsidR="00A56E08">
              <w:rPr>
                <w:rFonts w:ascii="Arial" w:hAnsi="Arial" w:cs="Arial"/>
                <w:lang w:val="sr-Cyrl-BA"/>
              </w:rPr>
              <w:t>и</w:t>
            </w:r>
            <w:r w:rsidR="00FC62AA" w:rsidRPr="00F6340E">
              <w:rPr>
                <w:rFonts w:ascii="Arial" w:hAnsi="Arial" w:cs="Arial"/>
                <w:lang w:val="sr-Cyrl-BA"/>
              </w:rPr>
              <w:t xml:space="preserve"> </w:t>
            </w:r>
            <w:r>
              <w:rPr>
                <w:rFonts w:ascii="Arial" w:hAnsi="Arial" w:cs="Arial"/>
                <w:lang w:val="sr-Cyrl-BA"/>
              </w:rPr>
              <w:t>ус</w:t>
            </w:r>
            <w:r w:rsidR="00A56E08">
              <w:rPr>
                <w:rFonts w:ascii="Arial" w:hAnsi="Arial" w:cs="Arial"/>
                <w:lang w:val="sr-Cyrl-BA"/>
              </w:rPr>
              <w:t>л</w:t>
            </w:r>
            <w:r>
              <w:rPr>
                <w:rFonts w:ascii="Arial" w:hAnsi="Arial" w:cs="Arial"/>
                <w:lang w:val="sr-Cyrl-BA"/>
              </w:rPr>
              <w:t>у</w:t>
            </w:r>
            <w:r w:rsidR="00A56E08">
              <w:rPr>
                <w:rFonts w:ascii="Arial" w:hAnsi="Arial" w:cs="Arial"/>
                <w:lang w:val="sr-Cyrl-BA"/>
              </w:rPr>
              <w:t>га</w:t>
            </w:r>
            <w:r w:rsidR="00FC62AA" w:rsidRPr="00F6340E">
              <w:rPr>
                <w:rFonts w:ascii="Arial" w:hAnsi="Arial" w:cs="Arial"/>
                <w:lang w:val="sr-Cyrl-BA"/>
              </w:rPr>
              <w:t xml:space="preserve"> </w:t>
            </w:r>
            <w:r>
              <w:rPr>
                <w:rFonts w:ascii="Arial" w:hAnsi="Arial" w:cs="Arial"/>
                <w:lang w:val="sr-Cyrl-BA"/>
              </w:rPr>
              <w:t>у</w:t>
            </w:r>
            <w:r w:rsidR="00E864CA"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клад</w:t>
            </w:r>
            <w:r>
              <w:rPr>
                <w:rFonts w:ascii="Arial" w:hAnsi="Arial" w:cs="Arial"/>
                <w:lang w:val="sr-Cyrl-BA"/>
              </w:rPr>
              <w:t>у</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w:t>
            </w:r>
            <w:r>
              <w:rPr>
                <w:rFonts w:ascii="Arial" w:hAnsi="Arial" w:cs="Arial"/>
                <w:lang w:val="sr-Cyrl-BA"/>
              </w:rPr>
              <w:t>р</w:t>
            </w:r>
            <w:r w:rsidR="00A56E08">
              <w:rPr>
                <w:rFonts w:ascii="Arial" w:hAnsi="Arial" w:cs="Arial"/>
                <w:lang w:val="sr-Cyrl-BA"/>
              </w:rPr>
              <w:t>ам</w:t>
            </w:r>
            <w:r w:rsidR="00EE6AA2">
              <w:rPr>
                <w:rFonts w:ascii="Arial" w:hAnsi="Arial" w:cs="Arial"/>
                <w:lang w:val="sr-Cyrl-BA"/>
              </w:rPr>
              <w:t>е</w:t>
            </w:r>
            <w:r>
              <w:rPr>
                <w:rFonts w:ascii="Arial" w:hAnsi="Arial" w:cs="Arial"/>
                <w:lang w:val="sr-Cyrl-BA"/>
              </w:rPr>
              <w:t>тр</w:t>
            </w:r>
            <w:r w:rsidR="00A56E08">
              <w:rPr>
                <w:rFonts w:ascii="Arial" w:hAnsi="Arial" w:cs="Arial"/>
                <w:lang w:val="sr-Cyrl-BA"/>
              </w:rPr>
              <w:t>има</w:t>
            </w:r>
            <w:r w:rsidR="00FC62AA"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н</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ст</w:t>
            </w:r>
            <w:r w:rsidR="00A56E08">
              <w:rPr>
                <w:rFonts w:ascii="Arial" w:hAnsi="Arial" w:cs="Arial"/>
                <w:lang w:val="sr-Cyrl-BA"/>
              </w:rPr>
              <w:t>и</w:t>
            </w:r>
            <w:r>
              <w:rPr>
                <w:rFonts w:ascii="Arial" w:hAnsi="Arial" w:cs="Arial"/>
                <w:lang w:val="sr-Cyrl-BA"/>
              </w:rPr>
              <w:t>ту</w:t>
            </w:r>
            <w:r w:rsidR="00A56E08">
              <w:rPr>
                <w:rFonts w:ascii="Arial" w:hAnsi="Arial" w:cs="Arial"/>
                <w:lang w:val="sr-Cyrl-BA"/>
              </w:rPr>
              <w:t>циј</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која</w:t>
            </w:r>
            <w:r w:rsidR="00FC62AA" w:rsidRPr="00F6340E">
              <w:rPr>
                <w:rFonts w:ascii="Arial" w:hAnsi="Arial" w:cs="Arial"/>
                <w:lang w:val="sr-Cyrl-BA"/>
              </w:rPr>
              <w:t xml:space="preserve"> </w:t>
            </w:r>
            <w:r w:rsidR="00A56E08">
              <w:rPr>
                <w:rFonts w:ascii="Arial" w:hAnsi="Arial" w:cs="Arial"/>
                <w:lang w:val="sr-Cyrl-BA"/>
              </w:rPr>
              <w:t>д</w:t>
            </w:r>
            <w:r w:rsidR="00EE6AA2">
              <w:rPr>
                <w:rFonts w:ascii="Arial" w:hAnsi="Arial" w:cs="Arial"/>
                <w:lang w:val="sr-Cyrl-BA"/>
              </w:rPr>
              <w:t>е</w:t>
            </w:r>
            <w:r w:rsidR="00A56E08">
              <w:rPr>
                <w:rFonts w:ascii="Arial" w:hAnsi="Arial" w:cs="Arial"/>
                <w:lang w:val="sr-Cyrl-BA"/>
              </w:rPr>
              <w:t>фини</w:t>
            </w:r>
            <w:r>
              <w:rPr>
                <w:rFonts w:ascii="Arial" w:hAnsi="Arial" w:cs="Arial"/>
                <w:lang w:val="sr-Cyrl-BA"/>
              </w:rPr>
              <w:t>ш</w:t>
            </w:r>
            <w:r w:rsidR="00EE6AA2">
              <w:rPr>
                <w:rFonts w:ascii="Arial" w:hAnsi="Arial" w:cs="Arial"/>
                <w:lang w:val="sr-Cyrl-BA"/>
              </w:rPr>
              <w:t>е</w:t>
            </w:r>
            <w:r w:rsidR="00743C0E"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w:t>
            </w:r>
            <w:r>
              <w:rPr>
                <w:rFonts w:ascii="Arial" w:hAnsi="Arial" w:cs="Arial"/>
                <w:lang w:val="sr-Cyrl-BA"/>
              </w:rPr>
              <w:t>у</w:t>
            </w:r>
            <w:r w:rsidR="00FC62AA"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FC62AA" w:rsidRPr="00F6340E">
              <w:rPr>
                <w:rFonts w:ascii="Arial" w:hAnsi="Arial" w:cs="Arial"/>
                <w:lang w:val="sr-Cyrl-BA"/>
              </w:rPr>
              <w:t xml:space="preserve"> </w:t>
            </w:r>
            <w:r>
              <w:rPr>
                <w:rFonts w:ascii="Arial" w:hAnsi="Arial" w:cs="Arial"/>
                <w:lang w:val="sr-Cyrl-BA"/>
              </w:rPr>
              <w:t>сп</w:t>
            </w:r>
            <w:r w:rsidR="00EE6AA2">
              <w:rPr>
                <w:rFonts w:ascii="Arial" w:hAnsi="Arial" w:cs="Arial"/>
                <w:lang w:val="sr-Cyrl-BA"/>
              </w:rPr>
              <w:t>е</w:t>
            </w:r>
            <w:r w:rsidR="00A56E08">
              <w:rPr>
                <w:rFonts w:ascii="Arial" w:hAnsi="Arial" w:cs="Arial"/>
                <w:lang w:val="sr-Cyrl-BA"/>
              </w:rPr>
              <w:t>цифичним</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ак</w:t>
            </w:r>
            <w:r w:rsidR="00EE6AA2">
              <w:rPr>
                <w:rFonts w:ascii="Arial" w:hAnsi="Arial" w:cs="Arial"/>
                <w:lang w:val="sr-Cyrl-BA"/>
              </w:rPr>
              <w:t>е</w:t>
            </w:r>
            <w:r>
              <w:rPr>
                <w:rFonts w:ascii="Arial" w:hAnsi="Arial" w:cs="Arial"/>
                <w:lang w:val="sr-Cyrl-BA"/>
              </w:rPr>
              <w:t>т</w:t>
            </w:r>
            <w:r w:rsidR="00A56E08">
              <w:rPr>
                <w:rFonts w:ascii="Arial" w:hAnsi="Arial" w:cs="Arial"/>
                <w:lang w:val="sr-Cyrl-BA"/>
              </w:rPr>
              <w:t>ом</w:t>
            </w:r>
            <w:r w:rsidR="00FC62AA" w:rsidRPr="00F6340E">
              <w:rPr>
                <w:rFonts w:ascii="Arial" w:hAnsi="Arial" w:cs="Arial"/>
                <w:lang w:val="sr-Cyrl-BA"/>
              </w:rPr>
              <w:t xml:space="preserve"> </w:t>
            </w:r>
            <w:r>
              <w:rPr>
                <w:rFonts w:ascii="Arial" w:hAnsi="Arial" w:cs="Arial"/>
                <w:lang w:val="sr-Cyrl-BA"/>
              </w:rPr>
              <w:t>ус</w:t>
            </w:r>
            <w:r w:rsidR="00A56E08">
              <w:rPr>
                <w:rFonts w:ascii="Arial" w:hAnsi="Arial" w:cs="Arial"/>
                <w:lang w:val="sr-Cyrl-BA"/>
              </w:rPr>
              <w:t>л</w:t>
            </w:r>
            <w:r>
              <w:rPr>
                <w:rFonts w:ascii="Arial" w:hAnsi="Arial" w:cs="Arial"/>
                <w:lang w:val="sr-Cyrl-BA"/>
              </w:rPr>
              <w:t>у</w:t>
            </w:r>
            <w:r w:rsidR="00A56E08">
              <w:rPr>
                <w:rFonts w:ascii="Arial" w:hAnsi="Arial" w:cs="Arial"/>
                <w:lang w:val="sr-Cyrl-BA"/>
              </w:rPr>
              <w:t>га</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w:t>
            </w:r>
            <w:r>
              <w:rPr>
                <w:rFonts w:ascii="Arial" w:hAnsi="Arial" w:cs="Arial"/>
                <w:lang w:val="sr-Cyrl-BA"/>
              </w:rPr>
              <w:t>р</w:t>
            </w:r>
            <w:r w:rsidR="00A56E08">
              <w:rPr>
                <w:rFonts w:ascii="Arial" w:hAnsi="Arial" w:cs="Arial"/>
                <w:lang w:val="sr-Cyrl-BA"/>
              </w:rPr>
              <w:t>ам</w:t>
            </w:r>
            <w:r w:rsidR="00EE6AA2">
              <w:rPr>
                <w:rFonts w:ascii="Arial" w:hAnsi="Arial" w:cs="Arial"/>
                <w:lang w:val="sr-Cyrl-BA"/>
              </w:rPr>
              <w:t>е</w:t>
            </w:r>
            <w:r>
              <w:rPr>
                <w:rFonts w:ascii="Arial" w:hAnsi="Arial" w:cs="Arial"/>
                <w:lang w:val="sr-Cyrl-BA"/>
              </w:rPr>
              <w:t>тр</w:t>
            </w:r>
            <w:r w:rsidR="00A56E08">
              <w:rPr>
                <w:rFonts w:ascii="Arial" w:hAnsi="Arial" w:cs="Arial"/>
                <w:lang w:val="sr-Cyrl-BA"/>
              </w:rPr>
              <w:t>и</w:t>
            </w:r>
            <w:r w:rsidR="00FC62AA" w:rsidRPr="00F6340E">
              <w:rPr>
                <w:rFonts w:ascii="Arial" w:hAnsi="Arial" w:cs="Arial"/>
                <w:lang w:val="sr-Cyrl-BA"/>
              </w:rPr>
              <w:t xml:space="preserve"> </w:t>
            </w:r>
            <w:r w:rsidR="00A56E08">
              <w:rPr>
                <w:rFonts w:ascii="Arial" w:hAnsi="Arial" w:cs="Arial"/>
                <w:lang w:val="sr-Cyrl-BA"/>
              </w:rPr>
              <w:t>мог</w:t>
            </w:r>
            <w:r>
              <w:rPr>
                <w:rFonts w:ascii="Arial" w:hAnsi="Arial" w:cs="Arial"/>
                <w:lang w:val="sr-Cyrl-BA"/>
              </w:rPr>
              <w:t>у</w:t>
            </w:r>
            <w:r w:rsidR="00FC62AA"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кљ</w:t>
            </w:r>
            <w:r>
              <w:rPr>
                <w:rFonts w:ascii="Arial" w:hAnsi="Arial" w:cs="Arial"/>
                <w:lang w:val="sr-Cyrl-BA"/>
              </w:rPr>
              <w:t>у</w:t>
            </w:r>
            <w:r w:rsidR="00A56E08">
              <w:rPr>
                <w:rFonts w:ascii="Arial" w:hAnsi="Arial" w:cs="Arial"/>
                <w:lang w:val="sr-Cyrl-BA"/>
              </w:rPr>
              <w:t>чи</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и</w:t>
            </w:r>
            <w:r w:rsidR="00FC62AA" w:rsidRPr="00F6340E">
              <w:rPr>
                <w:rFonts w:ascii="Arial" w:hAnsi="Arial" w:cs="Arial"/>
                <w:lang w:val="sr-Cyrl-BA"/>
              </w:rPr>
              <w:t xml:space="preserve">: </w:t>
            </w:r>
            <w:r w:rsidR="00A56E08">
              <w:rPr>
                <w:rFonts w:ascii="Arial" w:hAnsi="Arial" w:cs="Arial"/>
                <w:lang w:val="sr-Cyrl-BA"/>
              </w:rPr>
              <w:t>к</w:t>
            </w:r>
            <w:r>
              <w:rPr>
                <w:rFonts w:ascii="Arial" w:hAnsi="Arial" w:cs="Arial"/>
                <w:lang w:val="sr-Cyrl-BA"/>
              </w:rPr>
              <w:t>в</w:t>
            </w:r>
            <w:r w:rsidR="00A56E08">
              <w:rPr>
                <w:rFonts w:ascii="Arial" w:hAnsi="Arial" w:cs="Arial"/>
                <w:lang w:val="sr-Cyrl-BA"/>
              </w:rPr>
              <w:t>ад</w:t>
            </w:r>
            <w:r>
              <w:rPr>
                <w:rFonts w:ascii="Arial" w:hAnsi="Arial" w:cs="Arial"/>
                <w:lang w:val="sr-Cyrl-BA"/>
              </w:rPr>
              <w:t>р</w:t>
            </w:r>
            <w:r w:rsidR="00A56E08">
              <w:rPr>
                <w:rFonts w:ascii="Arial" w:hAnsi="Arial" w:cs="Arial"/>
                <w:lang w:val="sr-Cyrl-BA"/>
              </w:rPr>
              <w:t>а</w:t>
            </w:r>
            <w:r>
              <w:rPr>
                <w:rFonts w:ascii="Arial" w:hAnsi="Arial" w:cs="Arial"/>
                <w:lang w:val="sr-Cyrl-BA"/>
              </w:rPr>
              <w:t>туру</w:t>
            </w:r>
            <w:r w:rsidR="00FC62AA"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н</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ст</w:t>
            </w:r>
            <w:r w:rsidR="00A56E08">
              <w:rPr>
                <w:rFonts w:ascii="Arial" w:hAnsi="Arial" w:cs="Arial"/>
                <w:lang w:val="sr-Cyrl-BA"/>
              </w:rPr>
              <w:t>и</w:t>
            </w:r>
            <w:r>
              <w:rPr>
                <w:rFonts w:ascii="Arial" w:hAnsi="Arial" w:cs="Arial"/>
                <w:lang w:val="sr-Cyrl-BA"/>
              </w:rPr>
              <w:t>ту</w:t>
            </w:r>
            <w:r w:rsidR="00A56E08">
              <w:rPr>
                <w:rFonts w:ascii="Arial" w:hAnsi="Arial" w:cs="Arial"/>
                <w:lang w:val="sr-Cyrl-BA"/>
              </w:rPr>
              <w:t>циј</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б</w:t>
            </w:r>
            <w:r>
              <w:rPr>
                <w:rFonts w:ascii="Arial" w:hAnsi="Arial" w:cs="Arial"/>
                <w:lang w:val="sr-Cyrl-BA"/>
              </w:rPr>
              <w:t>р</w:t>
            </w:r>
            <w:r w:rsidR="00A56E08">
              <w:rPr>
                <w:rFonts w:ascii="Arial" w:hAnsi="Arial" w:cs="Arial"/>
                <w:lang w:val="sr-Cyrl-BA"/>
              </w:rPr>
              <w:t>ој</w:t>
            </w:r>
            <w:r w:rsidR="00FC62AA"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ч</w:t>
            </w:r>
            <w:r w:rsidR="00EE6AA2">
              <w:rPr>
                <w:rFonts w:ascii="Arial" w:hAnsi="Arial" w:cs="Arial"/>
                <w:lang w:val="sr-Cyrl-BA"/>
              </w:rPr>
              <w:t>е</w:t>
            </w:r>
            <w:r w:rsidR="00A56E08">
              <w:rPr>
                <w:rFonts w:ascii="Arial" w:hAnsi="Arial" w:cs="Arial"/>
                <w:lang w:val="sr-Cyrl-BA"/>
              </w:rPr>
              <w:t>ника</w:t>
            </w:r>
            <w:r w:rsidR="00FC62AA" w:rsidRPr="00F6340E">
              <w:rPr>
                <w:rFonts w:ascii="Arial" w:hAnsi="Arial" w:cs="Arial"/>
                <w:lang w:val="sr-Cyrl-BA"/>
              </w:rPr>
              <w:t>/</w:t>
            </w:r>
            <w:r>
              <w:rPr>
                <w:rFonts w:ascii="Arial" w:hAnsi="Arial" w:cs="Arial"/>
                <w:lang w:val="sr-Cyrl-BA"/>
              </w:rPr>
              <w:t>сту</w:t>
            </w:r>
            <w:r w:rsidR="00A56E08">
              <w:rPr>
                <w:rFonts w:ascii="Arial" w:hAnsi="Arial" w:cs="Arial"/>
                <w:lang w:val="sr-Cyrl-BA"/>
              </w:rPr>
              <w:t>д</w:t>
            </w:r>
            <w:r w:rsidR="00EE6AA2">
              <w:rPr>
                <w:rFonts w:ascii="Arial" w:hAnsi="Arial" w:cs="Arial"/>
                <w:lang w:val="sr-Cyrl-BA"/>
              </w:rPr>
              <w:t>е</w:t>
            </w:r>
            <w:r w:rsidR="00A56E08">
              <w:rPr>
                <w:rFonts w:ascii="Arial" w:hAnsi="Arial" w:cs="Arial"/>
                <w:lang w:val="sr-Cyrl-BA"/>
              </w:rPr>
              <w:t>на</w:t>
            </w:r>
            <w:r>
              <w:rPr>
                <w:rFonts w:ascii="Arial" w:hAnsi="Arial" w:cs="Arial"/>
                <w:lang w:val="sr-Cyrl-BA"/>
              </w:rPr>
              <w:t>т</w:t>
            </w:r>
            <w:r w:rsidR="00A56E08">
              <w:rPr>
                <w:rFonts w:ascii="Arial" w:hAnsi="Arial" w:cs="Arial"/>
                <w:lang w:val="sr-Cyrl-BA"/>
              </w:rPr>
              <w:t>а</w:t>
            </w:r>
            <w:r w:rsidR="00FC62AA" w:rsidRPr="00F6340E">
              <w:rPr>
                <w:rFonts w:ascii="Arial" w:hAnsi="Arial" w:cs="Arial"/>
                <w:lang w:val="sr-Cyrl-BA"/>
              </w:rPr>
              <w:t xml:space="preserve">, </w:t>
            </w:r>
            <w:r w:rsidR="00A56E08">
              <w:rPr>
                <w:rFonts w:ascii="Arial" w:hAnsi="Arial" w:cs="Arial"/>
                <w:lang w:val="sr-Cyrl-BA"/>
              </w:rPr>
              <w:t>на</w:t>
            </w:r>
            <w:r>
              <w:rPr>
                <w:rFonts w:ascii="Arial" w:hAnsi="Arial" w:cs="Arial"/>
                <w:lang w:val="sr-Cyrl-BA"/>
              </w:rPr>
              <w:t>ст</w:t>
            </w:r>
            <w:r w:rsidR="00A56E08">
              <w:rPr>
                <w:rFonts w:ascii="Arial" w:hAnsi="Arial" w:cs="Arial"/>
                <w:lang w:val="sr-Cyrl-BA"/>
              </w:rPr>
              <w:t>а</w:t>
            </w:r>
            <w:r>
              <w:rPr>
                <w:rFonts w:ascii="Arial" w:hAnsi="Arial" w:cs="Arial"/>
                <w:lang w:val="sr-Cyrl-BA"/>
              </w:rPr>
              <w:t>в</w:t>
            </w:r>
            <w:r w:rsidR="00A56E08">
              <w:rPr>
                <w:rFonts w:ascii="Arial" w:hAnsi="Arial" w:cs="Arial"/>
                <w:lang w:val="sr-Cyrl-BA"/>
              </w:rPr>
              <w:t>ника</w:t>
            </w:r>
            <w:r w:rsidR="00FC62AA" w:rsidRPr="00F6340E">
              <w:rPr>
                <w:rFonts w:ascii="Arial" w:hAnsi="Arial" w:cs="Arial"/>
                <w:lang w:val="sr-Cyrl-BA"/>
              </w:rPr>
              <w:t xml:space="preserve"> </w:t>
            </w:r>
            <w:r w:rsidR="00A56E08">
              <w:rPr>
                <w:rFonts w:ascii="Arial" w:hAnsi="Arial" w:cs="Arial"/>
                <w:lang w:val="sr-Cyrl-BA"/>
              </w:rPr>
              <w:t>и</w:t>
            </w:r>
            <w:r w:rsidR="00FC62AA"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л</w:t>
            </w:r>
            <w:r w:rsidR="00FC62AA" w:rsidRPr="00F6340E">
              <w:rPr>
                <w:rFonts w:ascii="Arial" w:hAnsi="Arial" w:cs="Arial"/>
                <w:lang w:val="sr-Cyrl-BA"/>
              </w:rPr>
              <w:t xml:space="preserve">. </w:t>
            </w:r>
            <w:r w:rsidR="00A56E08">
              <w:rPr>
                <w:rFonts w:ascii="Arial" w:hAnsi="Arial" w:cs="Arial"/>
                <w:lang w:val="sr-Cyrl-BA"/>
              </w:rPr>
              <w:t>Како</w:t>
            </w:r>
            <w:r w:rsidR="00FC62AA" w:rsidRPr="00F6340E">
              <w:rPr>
                <w:rFonts w:ascii="Arial" w:hAnsi="Arial" w:cs="Arial"/>
                <w:lang w:val="sr-Cyrl-BA"/>
              </w:rPr>
              <w:t xml:space="preserve"> </w:t>
            </w:r>
            <w:r w:rsidR="00A56E08">
              <w:rPr>
                <w:rFonts w:ascii="Arial" w:hAnsi="Arial" w:cs="Arial"/>
                <w:lang w:val="sr-Cyrl-BA"/>
              </w:rPr>
              <w:t>би</w:t>
            </w:r>
            <w:r w:rsidR="00FC62AA" w:rsidRPr="00F6340E">
              <w:rPr>
                <w:rFonts w:ascii="Arial" w:hAnsi="Arial" w:cs="Arial"/>
                <w:lang w:val="sr-Cyrl-BA"/>
              </w:rPr>
              <w:t xml:space="preserve"> </w:t>
            </w:r>
            <w:r>
              <w:rPr>
                <w:rFonts w:ascii="Arial" w:hAnsi="Arial" w:cs="Arial"/>
                <w:lang w:val="sr-Cyrl-BA"/>
              </w:rPr>
              <w:t>с</w:t>
            </w:r>
            <w:r w:rsidR="00EE6AA2">
              <w:rPr>
                <w:rFonts w:ascii="Arial" w:hAnsi="Arial" w:cs="Arial"/>
                <w:lang w:val="sr-Cyrl-BA"/>
              </w:rPr>
              <w:t>е</w:t>
            </w:r>
            <w:r w:rsidR="00FC62AA"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омо</w:t>
            </w:r>
            <w:r>
              <w:rPr>
                <w:rFonts w:ascii="Arial" w:hAnsi="Arial" w:cs="Arial"/>
                <w:lang w:val="sr-Cyrl-BA"/>
              </w:rPr>
              <w:t>в</w:t>
            </w:r>
            <w:r w:rsidR="00A56E08">
              <w:rPr>
                <w:rFonts w:ascii="Arial" w:hAnsi="Arial" w:cs="Arial"/>
                <w:lang w:val="sr-Cyrl-BA"/>
              </w:rPr>
              <w:t>и</w:t>
            </w:r>
            <w:r>
              <w:rPr>
                <w:rFonts w:ascii="Arial" w:hAnsi="Arial" w:cs="Arial"/>
                <w:lang w:val="sr-Cyrl-BA"/>
              </w:rPr>
              <w:t>с</w:t>
            </w:r>
            <w:r w:rsidR="00A56E08">
              <w:rPr>
                <w:rFonts w:ascii="Arial" w:hAnsi="Arial" w:cs="Arial"/>
                <w:lang w:val="sr-Cyrl-BA"/>
              </w:rPr>
              <w:t>ала</w:t>
            </w:r>
            <w:r w:rsidR="00FC62AA"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илика</w:t>
            </w:r>
            <w:r w:rsidR="00FC62AA"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FC62AA" w:rsidRPr="00F6340E">
              <w:rPr>
                <w:rFonts w:ascii="Arial" w:hAnsi="Arial" w:cs="Arial"/>
                <w:lang w:val="sr-Cyrl-BA"/>
              </w:rPr>
              <w:t xml:space="preserve"> </w:t>
            </w:r>
            <w:r w:rsidR="00A56E08">
              <w:rPr>
                <w:rFonts w:ascii="Arial" w:hAnsi="Arial" w:cs="Arial"/>
                <w:lang w:val="sr-Cyrl-BA"/>
              </w:rPr>
              <w:t>ја</w:t>
            </w:r>
            <w:r>
              <w:rPr>
                <w:rFonts w:ascii="Arial" w:hAnsi="Arial" w:cs="Arial"/>
                <w:lang w:val="sr-Cyrl-BA"/>
              </w:rPr>
              <w:t>в</w:t>
            </w:r>
            <w:r w:rsidR="00A56E08">
              <w:rPr>
                <w:rFonts w:ascii="Arial" w:hAnsi="Arial" w:cs="Arial"/>
                <w:lang w:val="sr-Cyrl-BA"/>
              </w:rPr>
              <w:t>но</w:t>
            </w:r>
            <w:r w:rsidR="00FC62AA" w:rsidRPr="00F6340E">
              <w:rPr>
                <w:rFonts w:ascii="Arial" w:hAnsi="Arial" w:cs="Arial"/>
                <w:lang w:val="sr-Cyrl-BA"/>
              </w:rPr>
              <w:t>-</w:t>
            </w:r>
            <w:r>
              <w:rPr>
                <w:rFonts w:ascii="Arial" w:hAnsi="Arial" w:cs="Arial"/>
                <w:lang w:val="sr-Cyrl-BA"/>
              </w:rPr>
              <w:t>пр</w:t>
            </w:r>
            <w:r w:rsidR="00A56E08">
              <w:rPr>
                <w:rFonts w:ascii="Arial" w:hAnsi="Arial" w:cs="Arial"/>
                <w:lang w:val="sr-Cyrl-BA"/>
              </w:rPr>
              <w:t>и</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на</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w:t>
            </w:r>
            <w:r>
              <w:rPr>
                <w:rFonts w:ascii="Arial" w:hAnsi="Arial" w:cs="Arial"/>
                <w:lang w:val="sr-Cyrl-BA"/>
              </w:rPr>
              <w:t>рт</w:t>
            </w:r>
            <w:r w:rsidR="00A56E08">
              <w:rPr>
                <w:rFonts w:ascii="Arial" w:hAnsi="Arial" w:cs="Arial"/>
                <w:lang w:val="sr-Cyrl-BA"/>
              </w:rPr>
              <w:t>н</w:t>
            </w:r>
            <w:r w:rsidR="00EE6AA2">
              <w:rPr>
                <w:rFonts w:ascii="Arial" w:hAnsi="Arial" w:cs="Arial"/>
                <w:lang w:val="sr-Cyrl-BA"/>
              </w:rPr>
              <w:t>е</w:t>
            </w:r>
            <w:r>
              <w:rPr>
                <w:rFonts w:ascii="Arial" w:hAnsi="Arial" w:cs="Arial"/>
                <w:lang w:val="sr-Cyrl-BA"/>
              </w:rPr>
              <w:t>рств</w:t>
            </w:r>
            <w:r w:rsidR="00A56E08">
              <w:rPr>
                <w:rFonts w:ascii="Arial" w:hAnsi="Arial" w:cs="Arial"/>
                <w:lang w:val="sr-Cyrl-BA"/>
              </w:rPr>
              <w:t>а</w:t>
            </w:r>
            <w:r w:rsidR="00FC62AA" w:rsidRPr="00F6340E">
              <w:rPr>
                <w:rFonts w:ascii="Arial" w:hAnsi="Arial" w:cs="Arial"/>
                <w:lang w:val="sr-Cyrl-BA"/>
              </w:rPr>
              <w:t xml:space="preserve"> </w:t>
            </w:r>
            <w:r>
              <w:rPr>
                <w:rFonts w:ascii="Arial" w:hAnsi="Arial" w:cs="Arial"/>
                <w:lang w:val="sr-Cyrl-BA"/>
              </w:rPr>
              <w:t>у</w:t>
            </w:r>
            <w:r w:rsidR="00FC62AA"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в</w:t>
            </w:r>
            <w:r w:rsidR="00A56E08">
              <w:rPr>
                <w:rFonts w:ascii="Arial" w:hAnsi="Arial" w:cs="Arial"/>
                <w:lang w:val="sr-Cyrl-BA"/>
              </w:rPr>
              <w:t>ој</w:t>
            </w:r>
            <w:r w:rsidR="00FC62AA" w:rsidRPr="00F6340E">
              <w:rPr>
                <w:rFonts w:ascii="Arial" w:hAnsi="Arial" w:cs="Arial"/>
                <w:lang w:val="sr-Cyrl-BA"/>
              </w:rPr>
              <w:t xml:space="preserve"> </w:t>
            </w:r>
            <w:r w:rsidR="00A56E08">
              <w:rPr>
                <w:rFonts w:ascii="Arial" w:hAnsi="Arial" w:cs="Arial"/>
                <w:lang w:val="sr-Cyrl-BA"/>
              </w:rPr>
              <w:t>обла</w:t>
            </w:r>
            <w:r>
              <w:rPr>
                <w:rFonts w:ascii="Arial" w:hAnsi="Arial" w:cs="Arial"/>
                <w:lang w:val="sr-Cyrl-BA"/>
              </w:rPr>
              <w:t>ст</w:t>
            </w:r>
            <w:r w:rsidR="00A56E08">
              <w:rPr>
                <w:rFonts w:ascii="Arial" w:hAnsi="Arial" w:cs="Arial"/>
                <w:lang w:val="sr-Cyrl-BA"/>
              </w:rPr>
              <w:t>и</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бно</w:t>
            </w:r>
            <w:r w:rsidR="00FC62AA" w:rsidRPr="00F6340E">
              <w:rPr>
                <w:rFonts w:ascii="Arial" w:hAnsi="Arial" w:cs="Arial"/>
                <w:lang w:val="sr-Cyrl-BA"/>
              </w:rPr>
              <w:t xml:space="preserve"> </w:t>
            </w:r>
            <w:r w:rsidR="00A56E08">
              <w:rPr>
                <w:rFonts w:ascii="Arial" w:hAnsi="Arial" w:cs="Arial"/>
                <w:lang w:val="sr-Cyrl-BA"/>
              </w:rPr>
              <w:t>ј</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ид</w:t>
            </w:r>
            <w:r w:rsidR="00EE6AA2">
              <w:rPr>
                <w:rFonts w:ascii="Arial" w:hAnsi="Arial" w:cs="Arial"/>
                <w:lang w:val="sr-Cyrl-BA"/>
              </w:rPr>
              <w:t>е</w:t>
            </w:r>
            <w:r w:rsidR="00A56E08">
              <w:rPr>
                <w:rFonts w:ascii="Arial" w:hAnsi="Arial" w:cs="Arial"/>
                <w:lang w:val="sr-Cyrl-BA"/>
              </w:rPr>
              <w:t>н</w:t>
            </w:r>
            <w:r>
              <w:rPr>
                <w:rFonts w:ascii="Arial" w:hAnsi="Arial" w:cs="Arial"/>
                <w:lang w:val="sr-Cyrl-BA"/>
              </w:rPr>
              <w:t>т</w:t>
            </w:r>
            <w:r w:rsidR="00A56E08">
              <w:rPr>
                <w:rFonts w:ascii="Arial" w:hAnsi="Arial" w:cs="Arial"/>
                <w:lang w:val="sr-Cyrl-BA"/>
              </w:rPr>
              <w:t>ифико</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и</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w:t>
            </w:r>
            <w:r w:rsidR="00EE6AA2">
              <w:rPr>
                <w:rFonts w:ascii="Arial" w:hAnsi="Arial" w:cs="Arial"/>
                <w:lang w:val="sr-Cyrl-BA"/>
              </w:rPr>
              <w:t>е</w:t>
            </w:r>
            <w:r w:rsidR="00FC62AA"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них</w:t>
            </w:r>
            <w:r w:rsidR="00FC62AA"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ст</w:t>
            </w:r>
            <w:r w:rsidR="00A56E08">
              <w:rPr>
                <w:rFonts w:ascii="Arial" w:hAnsi="Arial" w:cs="Arial"/>
                <w:lang w:val="sr-Cyrl-BA"/>
              </w:rPr>
              <w:t>и</w:t>
            </w:r>
            <w:r>
              <w:rPr>
                <w:rFonts w:ascii="Arial" w:hAnsi="Arial" w:cs="Arial"/>
                <w:lang w:val="sr-Cyrl-BA"/>
              </w:rPr>
              <w:t>ту</w:t>
            </w:r>
            <w:r w:rsidR="00A56E08">
              <w:rPr>
                <w:rFonts w:ascii="Arial" w:hAnsi="Arial" w:cs="Arial"/>
                <w:lang w:val="sr-Cyrl-BA"/>
              </w:rPr>
              <w:t>ција</w:t>
            </w:r>
            <w:r w:rsidR="00FC62AA" w:rsidRPr="00F6340E">
              <w:rPr>
                <w:rFonts w:ascii="Arial" w:hAnsi="Arial" w:cs="Arial"/>
                <w:lang w:val="sr-Cyrl-BA"/>
              </w:rPr>
              <w:t xml:space="preserve"> </w:t>
            </w:r>
            <w:r w:rsidR="00A56E08">
              <w:rPr>
                <w:rFonts w:ascii="Arial" w:hAnsi="Arial" w:cs="Arial"/>
                <w:lang w:val="sr-Cyrl-BA"/>
              </w:rPr>
              <w:t>и</w:t>
            </w:r>
            <w:r w:rsidR="00FC62AA"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w:t>
            </w:r>
            <w:r w:rsidR="00EE6AA2">
              <w:rPr>
                <w:rFonts w:ascii="Arial" w:hAnsi="Arial" w:cs="Arial"/>
                <w:lang w:val="sr-Cyrl-BA"/>
              </w:rPr>
              <w:t>е</w:t>
            </w:r>
            <w:r w:rsidR="00A56E08">
              <w:rPr>
                <w:rFonts w:ascii="Arial" w:hAnsi="Arial" w:cs="Arial"/>
                <w:lang w:val="sr-Cyrl-BA"/>
              </w:rPr>
              <w:t>нцијалних</w:t>
            </w:r>
            <w:r w:rsidR="00FC62AA" w:rsidRPr="00F6340E">
              <w:rPr>
                <w:rFonts w:ascii="Arial" w:hAnsi="Arial" w:cs="Arial"/>
                <w:lang w:val="sr-Cyrl-BA"/>
              </w:rPr>
              <w:t xml:space="preserve"> </w:t>
            </w:r>
            <w:r>
              <w:rPr>
                <w:rFonts w:ascii="Arial" w:hAnsi="Arial" w:cs="Arial"/>
                <w:lang w:val="sr-Cyrl-BA"/>
              </w:rPr>
              <w:t>пру</w:t>
            </w:r>
            <w:r w:rsidR="00171F00">
              <w:rPr>
                <w:rFonts w:ascii="Arial" w:hAnsi="Arial" w:cs="Arial"/>
                <w:lang w:val="sr-Cyrl-BA"/>
              </w:rPr>
              <w:t>ж</w:t>
            </w:r>
            <w:r w:rsidR="00A56E08">
              <w:rPr>
                <w:rFonts w:ascii="Arial" w:hAnsi="Arial" w:cs="Arial"/>
                <w:lang w:val="sr-Cyrl-BA"/>
              </w:rPr>
              <w:t>алаца</w:t>
            </w:r>
            <w:r w:rsidR="00D46A3E" w:rsidRPr="00F6340E">
              <w:rPr>
                <w:rFonts w:ascii="Arial" w:hAnsi="Arial" w:cs="Arial"/>
                <w:lang w:val="sr-Cyrl-BA"/>
              </w:rPr>
              <w:t xml:space="preserve"> </w:t>
            </w:r>
            <w:r>
              <w:rPr>
                <w:rFonts w:ascii="Arial" w:hAnsi="Arial" w:cs="Arial"/>
                <w:lang w:val="sr-Cyrl-BA"/>
              </w:rPr>
              <w:t>ус</w:t>
            </w:r>
            <w:r w:rsidR="00A56E08">
              <w:rPr>
                <w:rFonts w:ascii="Arial" w:hAnsi="Arial" w:cs="Arial"/>
                <w:lang w:val="sr-Cyrl-BA"/>
              </w:rPr>
              <w:t>л</w:t>
            </w:r>
            <w:r>
              <w:rPr>
                <w:rFonts w:ascii="Arial" w:hAnsi="Arial" w:cs="Arial"/>
                <w:lang w:val="sr-Cyrl-BA"/>
              </w:rPr>
              <w:t>у</w:t>
            </w:r>
            <w:r w:rsidR="00A56E08">
              <w:rPr>
                <w:rFonts w:ascii="Arial" w:hAnsi="Arial" w:cs="Arial"/>
                <w:lang w:val="sr-Cyrl-BA"/>
              </w:rPr>
              <w:t>га</w:t>
            </w:r>
            <w:r w:rsidR="00FC62AA" w:rsidRPr="00F6340E">
              <w:rPr>
                <w:rFonts w:ascii="Arial" w:hAnsi="Arial" w:cs="Arial"/>
                <w:lang w:val="sr-Cyrl-BA"/>
              </w:rPr>
              <w:t>.</w:t>
            </w:r>
          </w:p>
          <w:p w14:paraId="68BCC785" w14:textId="42E5C68F" w:rsidR="00892898" w:rsidRPr="00F6340E" w:rsidRDefault="00A56E08" w:rsidP="00FB5CB7">
            <w:pPr>
              <w:numPr>
                <w:ilvl w:val="0"/>
                <w:numId w:val="37"/>
              </w:numPr>
              <w:contextualSpacing/>
              <w:jc w:val="left"/>
              <w:textAlignment w:val="baseline"/>
              <w:rPr>
                <w:rFonts w:ascii="Arial" w:eastAsia="Times New Roman" w:hAnsi="Arial" w:cs="Arial"/>
                <w:b/>
                <w:color w:val="000000"/>
                <w:lang w:val="sr-Cyrl-BA"/>
              </w:rPr>
            </w:pPr>
            <w:r>
              <w:rPr>
                <w:rFonts w:ascii="Arial" w:eastAsiaTheme="minorHAnsi" w:hAnsi="Arial" w:cs="Arial"/>
                <w:b/>
                <w:color w:val="000000"/>
                <w:lang w:val="sr-Cyrl-BA"/>
              </w:rPr>
              <w:t>О</w:t>
            </w:r>
            <w:r w:rsidR="0071360A">
              <w:rPr>
                <w:rFonts w:ascii="Arial" w:eastAsiaTheme="minorHAnsi" w:hAnsi="Arial" w:cs="Arial"/>
                <w:b/>
                <w:color w:val="000000"/>
                <w:lang w:val="sr-Cyrl-BA"/>
              </w:rPr>
              <w:t>с</w:t>
            </w:r>
            <w:r>
              <w:rPr>
                <w:rFonts w:ascii="Arial" w:eastAsiaTheme="minorHAnsi" w:hAnsi="Arial" w:cs="Arial"/>
                <w:b/>
                <w:color w:val="000000"/>
                <w:lang w:val="sr-Cyrl-BA"/>
              </w:rPr>
              <w:t>иг</w:t>
            </w:r>
            <w:r w:rsidR="0071360A">
              <w:rPr>
                <w:rFonts w:ascii="Arial" w:eastAsiaTheme="minorHAnsi" w:hAnsi="Arial" w:cs="Arial"/>
                <w:b/>
                <w:color w:val="000000"/>
                <w:lang w:val="sr-Cyrl-BA"/>
              </w:rPr>
              <w:t>ур</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т</w:t>
            </w:r>
            <w:r w:rsidR="00EE6AA2">
              <w:rPr>
                <w:rFonts w:ascii="Arial" w:eastAsiaTheme="minorHAnsi" w:hAnsi="Arial" w:cs="Arial"/>
                <w:b/>
                <w:color w:val="000000"/>
                <w:lang w:val="sr-Cyrl-BA"/>
              </w:rPr>
              <w:t>е</w:t>
            </w:r>
            <w:r>
              <w:rPr>
                <w:rFonts w:ascii="Arial" w:eastAsiaTheme="minorHAnsi" w:hAnsi="Arial" w:cs="Arial"/>
                <w:b/>
                <w:color w:val="000000"/>
                <w:lang w:val="sr-Cyrl-BA"/>
              </w:rPr>
              <w:t>хничк</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од</w:t>
            </w:r>
            <w:r w:rsidR="0071360A">
              <w:rPr>
                <w:rFonts w:ascii="Arial" w:eastAsiaTheme="minorHAnsi" w:hAnsi="Arial" w:cs="Arial"/>
                <w:b/>
                <w:color w:val="000000"/>
                <w:lang w:val="sr-Cyrl-BA"/>
              </w:rPr>
              <w:t>рш</w:t>
            </w:r>
            <w:r>
              <w:rPr>
                <w:rFonts w:ascii="Arial" w:eastAsiaTheme="minorHAnsi" w:hAnsi="Arial" w:cs="Arial"/>
                <w:b/>
                <w:color w:val="000000"/>
                <w:lang w:val="sr-Cyrl-BA"/>
              </w:rPr>
              <w:t>к</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71360A">
              <w:rPr>
                <w:rFonts w:ascii="Arial" w:eastAsiaTheme="minorHAnsi" w:hAnsi="Arial" w:cs="Arial"/>
                <w:b/>
                <w:color w:val="000000"/>
                <w:lang w:val="sr-Cyrl-BA"/>
              </w:rPr>
              <w:t>ст</w:t>
            </w:r>
            <w:r>
              <w:rPr>
                <w:rFonts w:ascii="Arial" w:eastAsiaTheme="minorHAnsi" w:hAnsi="Arial" w:cs="Arial"/>
                <w:b/>
                <w:color w:val="000000"/>
                <w:lang w:val="sr-Cyrl-BA"/>
              </w:rPr>
              <w:t>а</w:t>
            </w:r>
            <w:r w:rsidR="0071360A">
              <w:rPr>
                <w:rFonts w:ascii="Arial" w:eastAsiaTheme="minorHAnsi" w:hAnsi="Arial" w:cs="Arial"/>
                <w:b/>
                <w:color w:val="000000"/>
                <w:lang w:val="sr-Cyrl-BA"/>
              </w:rPr>
              <w:t>в</w:t>
            </w:r>
            <w:r>
              <w:rPr>
                <w:rFonts w:ascii="Arial" w:eastAsiaTheme="minorHAnsi" w:hAnsi="Arial" w:cs="Arial"/>
                <w:b/>
                <w:color w:val="000000"/>
                <w:lang w:val="sr-Cyrl-BA"/>
              </w:rPr>
              <w:t>ницима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ни</w:t>
            </w:r>
            <w:r w:rsidR="0071360A">
              <w:rPr>
                <w:rFonts w:ascii="Arial" w:eastAsiaTheme="minorHAnsi" w:hAnsi="Arial" w:cs="Arial"/>
                <w:b/>
                <w:color w:val="000000"/>
                <w:lang w:val="sr-Cyrl-BA"/>
              </w:rPr>
              <w:t>в</w:t>
            </w:r>
            <w:r>
              <w:rPr>
                <w:rFonts w:ascii="Arial" w:eastAsiaTheme="minorHAnsi" w:hAnsi="Arial" w:cs="Arial"/>
                <w:b/>
                <w:color w:val="000000"/>
                <w:lang w:val="sr-Cyrl-BA"/>
              </w:rPr>
              <w:t>о</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171F00">
              <w:rPr>
                <w:rFonts w:ascii="Arial" w:eastAsiaTheme="minorHAnsi" w:hAnsi="Arial" w:cs="Arial"/>
                <w:b/>
                <w:color w:val="000000"/>
                <w:lang w:val="sr-Cyrl-BA"/>
              </w:rPr>
              <w:t>з</w:t>
            </w:r>
            <w:r>
              <w:rPr>
                <w:rFonts w:ascii="Arial" w:eastAsiaTheme="minorHAnsi" w:hAnsi="Arial" w:cs="Arial"/>
                <w:b/>
                <w:color w:val="000000"/>
                <w:lang w:val="sr-Cyrl-BA"/>
              </w:rPr>
              <w:t>о</w:t>
            </w:r>
            <w:r w:rsidR="0071360A">
              <w:rPr>
                <w:rFonts w:ascii="Arial" w:eastAsiaTheme="minorHAnsi" w:hAnsi="Arial" w:cs="Arial"/>
                <w:b/>
                <w:color w:val="000000"/>
                <w:lang w:val="sr-Cyrl-BA"/>
              </w:rPr>
              <w:t>в</w:t>
            </w:r>
            <w:r>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ин</w:t>
            </w:r>
            <w:r w:rsidR="0071360A">
              <w:rPr>
                <w:rFonts w:ascii="Arial" w:eastAsiaTheme="minorHAnsi" w:hAnsi="Arial" w:cs="Arial"/>
                <w:b/>
                <w:color w:val="000000"/>
                <w:lang w:val="sr-Cyrl-BA"/>
              </w:rPr>
              <w:t>ст</w:t>
            </w:r>
            <w:r>
              <w:rPr>
                <w:rFonts w:ascii="Arial" w:eastAsiaTheme="minorHAnsi" w:hAnsi="Arial" w:cs="Arial"/>
                <w:b/>
                <w:color w:val="000000"/>
                <w:lang w:val="sr-Cyrl-BA"/>
              </w:rPr>
              <w:t>и</w:t>
            </w:r>
            <w:r w:rsidR="0071360A">
              <w:rPr>
                <w:rFonts w:ascii="Arial" w:eastAsiaTheme="minorHAnsi" w:hAnsi="Arial" w:cs="Arial"/>
                <w:b/>
                <w:color w:val="000000"/>
                <w:lang w:val="sr-Cyrl-BA"/>
              </w:rPr>
              <w:t>ту</w:t>
            </w:r>
            <w:r>
              <w:rPr>
                <w:rFonts w:ascii="Arial" w:eastAsiaTheme="minorHAnsi" w:hAnsi="Arial" w:cs="Arial"/>
                <w:b/>
                <w:color w:val="000000"/>
                <w:lang w:val="sr-Cyrl-BA"/>
              </w:rPr>
              <w:t>циј</w:t>
            </w:r>
            <w:r w:rsidR="00EE6AA2">
              <w:rPr>
                <w:rFonts w:ascii="Arial" w:eastAsiaTheme="minorHAnsi" w:hAnsi="Arial" w:cs="Arial"/>
                <w:b/>
                <w:color w:val="000000"/>
                <w:lang w:val="sr-Cyrl-BA"/>
              </w:rPr>
              <w:t>е</w:t>
            </w:r>
          </w:p>
          <w:p w14:paraId="2D3F1ACD" w14:textId="45AD7EA6" w:rsidR="00892898" w:rsidRPr="00F6340E" w:rsidRDefault="0071360A" w:rsidP="00FB5CB7">
            <w:pPr>
              <w:ind w:left="360"/>
              <w:contextualSpacing/>
              <w:jc w:val="left"/>
              <w:textAlignment w:val="baseline"/>
              <w:rPr>
                <w:rFonts w:ascii="Arial" w:eastAsiaTheme="minorEastAsia" w:hAnsi="Arial" w:cs="Arial"/>
                <w:color w:val="000000"/>
                <w:lang w:val="sr-Cyrl-BA"/>
              </w:rPr>
            </w:pPr>
            <w:r>
              <w:rPr>
                <w:rFonts w:ascii="Arial" w:eastAsiaTheme="minorEastAsia" w:hAnsi="Arial" w:cs="Arial"/>
                <w:color w:val="000000" w:themeColor="text1"/>
                <w:lang w:val="sr-Cyrl-BA"/>
              </w:rPr>
              <w:t>Т</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хничка</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рш</w:t>
            </w:r>
            <w:r w:rsidR="00A56E08">
              <w:rPr>
                <w:rFonts w:ascii="Arial" w:eastAsiaTheme="minorEastAsia" w:hAnsi="Arial" w:cs="Arial"/>
                <w:color w:val="000000" w:themeColor="text1"/>
                <w:lang w:val="sr-Cyrl-BA"/>
              </w:rPr>
              <w:t>ка</w:t>
            </w:r>
            <w:r w:rsidR="0057191F"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д</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аја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као</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с</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бно</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ж</w:t>
            </w:r>
            <w:r w:rsidR="00A56E08">
              <w:rPr>
                <w:rFonts w:ascii="Arial" w:eastAsiaTheme="minorEastAsia" w:hAnsi="Arial" w:cs="Arial"/>
                <w:color w:val="000000" w:themeColor="text1"/>
                <w:lang w:val="sr-Cyrl-BA"/>
              </w:rPr>
              <w:t>на</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им</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л</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м</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ацији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EE6AA2">
              <w:rPr>
                <w:rFonts w:ascii="Arial" w:eastAsiaTheme="minorEastAsia" w:hAnsi="Arial" w:cs="Arial"/>
                <w:color w:val="000000" w:themeColor="text1"/>
                <w:lang w:val="sr-Cyrl-BA"/>
              </w:rPr>
              <w:t>е</w:t>
            </w:r>
            <w:r w:rsidR="00C47A01"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пут</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м</w:t>
            </w:r>
            <w:r w:rsidR="00C47A01"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ин</w:t>
            </w:r>
            <w:r>
              <w:rPr>
                <w:rFonts w:ascii="Arial" w:eastAsiaTheme="minorEastAsia" w:hAnsi="Arial" w:cs="Arial"/>
                <w:color w:val="000000" w:themeColor="text1"/>
                <w:lang w:val="sr-Cyrl-BA"/>
              </w:rPr>
              <w:t>т</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н</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Мо</w:t>
            </w:r>
            <w:r w:rsidR="00171F00">
              <w:rPr>
                <w:rFonts w:ascii="Arial" w:eastAsiaTheme="minorEastAsia" w:hAnsi="Arial" w:cs="Arial"/>
                <w:color w:val="000000" w:themeColor="text1"/>
                <w:lang w:val="sr-Cyrl-BA"/>
              </w:rPr>
              <w:t>ж</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р</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али</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ана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од</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стр</w:t>
            </w:r>
            <w:r w:rsidR="00A56E08">
              <w:rPr>
                <w:rFonts w:ascii="Arial" w:eastAsiaTheme="minorEastAsia" w:hAnsi="Arial" w:cs="Arial"/>
                <w:color w:val="000000" w:themeColor="text1"/>
                <w:lang w:val="sr-Cyrl-BA"/>
              </w:rPr>
              <w:t>ан</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с</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бн</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л</w:t>
            </w:r>
            <w:r>
              <w:rPr>
                <w:rFonts w:ascii="Arial" w:eastAsiaTheme="minorEastAsia" w:hAnsi="Arial" w:cs="Arial"/>
                <w:color w:val="000000" w:themeColor="text1"/>
                <w:lang w:val="sr-Cyrl-BA"/>
              </w:rPr>
              <w:t>у</w:t>
            </w:r>
            <w:r w:rsidR="00171F00">
              <w:rPr>
                <w:rFonts w:ascii="Arial" w:eastAsiaTheme="minorEastAsia" w:hAnsi="Arial" w:cs="Arial"/>
                <w:color w:val="000000" w:themeColor="text1"/>
                <w:lang w:val="sr-Cyrl-BA"/>
              </w:rPr>
              <w:t>ж</w:t>
            </w:r>
            <w:r w:rsidR="00A56E08">
              <w:rPr>
                <w:rFonts w:ascii="Arial" w:eastAsiaTheme="minorEastAsia" w:hAnsi="Arial" w:cs="Arial"/>
                <w:color w:val="000000" w:themeColor="text1"/>
                <w:lang w:val="sr-Cyrl-BA"/>
              </w:rPr>
              <w:t>б</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Т</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или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ника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инфо</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ма</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ик</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об</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ној</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ин</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ту</w:t>
            </w:r>
            <w:r w:rsidR="00A56E08">
              <w:rPr>
                <w:rFonts w:ascii="Arial" w:eastAsiaTheme="minorEastAsia" w:hAnsi="Arial" w:cs="Arial"/>
                <w:color w:val="000000" w:themeColor="text1"/>
                <w:lang w:val="sr-Cyrl-BA"/>
              </w:rPr>
              <w:t>цији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или</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омоћ</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ника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171F00">
              <w:rPr>
                <w:rFonts w:ascii="Arial" w:eastAsiaTheme="minorEastAsia" w:hAnsi="Arial" w:cs="Arial"/>
                <w:color w:val="000000" w:themeColor="text1"/>
                <w:lang w:val="sr-Cyrl-BA"/>
              </w:rPr>
              <w:t>з</w:t>
            </w:r>
            <w:r w:rsidR="00892898" w:rsidRPr="00F6340E">
              <w:rPr>
                <w:rFonts w:ascii="Arial" w:eastAsiaTheme="minorEastAsia" w:hAnsi="Arial" w:cs="Arial"/>
                <w:color w:val="000000" w:themeColor="text1"/>
                <w:lang w:val="sr-Cyrl-BA"/>
              </w:rPr>
              <w:t xml:space="preserve"> </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дниц</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пр</w:t>
            </w:r>
            <w:r w:rsidR="00A56E08">
              <w:rPr>
                <w:rFonts w:ascii="Arial" w:eastAsiaTheme="minorEastAsia" w:hAnsi="Arial" w:cs="Arial"/>
                <w:color w:val="000000" w:themeColor="text1"/>
                <w:lang w:val="sr-Cyrl-BA"/>
              </w:rPr>
              <w:t>ак</w:t>
            </w:r>
            <w:r>
              <w:rPr>
                <w:rFonts w:ascii="Arial" w:eastAsiaTheme="minorEastAsia" w:hAnsi="Arial" w:cs="Arial"/>
                <w:color w:val="000000" w:themeColor="text1"/>
                <w:lang w:val="sr-Cyrl-BA"/>
              </w:rPr>
              <w:t>с</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рш</w:t>
            </w:r>
            <w:r w:rsidR="00A56E08">
              <w:rPr>
                <w:rFonts w:ascii="Arial" w:eastAsiaTheme="minorEastAsia" w:hAnsi="Arial" w:cs="Arial"/>
                <w:color w:val="000000" w:themeColor="text1"/>
                <w:lang w:val="sr-Cyrl-BA"/>
              </w:rPr>
              <w:t>ка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мо</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кљ</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чи</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о</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од</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стру</w:t>
            </w:r>
            <w:r w:rsidR="00A56E08">
              <w:rPr>
                <w:rFonts w:ascii="Arial" w:eastAsiaTheme="minorEastAsia" w:hAnsi="Arial" w:cs="Arial"/>
                <w:color w:val="000000" w:themeColor="text1"/>
                <w:lang w:val="sr-Cyrl-BA"/>
              </w:rPr>
              <w:t>чњака</w:t>
            </w:r>
            <w:r w:rsidR="00892898" w:rsidRPr="00F6340E">
              <w:rPr>
                <w:rFonts w:ascii="Arial" w:eastAsiaTheme="minorEastAsia" w:hAnsi="Arial" w:cs="Arial"/>
                <w:color w:val="000000" w:themeColor="text1"/>
                <w:lang w:val="sr-Cyrl-BA"/>
              </w:rPr>
              <w:t xml:space="preserve"> </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Т</w:t>
            </w:r>
            <w:r w:rsidR="00D46A3E"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в</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ћ</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мо</w:t>
            </w:r>
            <w:r w:rsidR="00171F00">
              <w:rPr>
                <w:rFonts w:ascii="Arial" w:eastAsiaTheme="minorEastAsia" w:hAnsi="Arial" w:cs="Arial"/>
                <w:color w:val="000000" w:themeColor="text1"/>
                <w:lang w:val="sr-Cyrl-BA"/>
              </w:rPr>
              <w:t>ж</w:t>
            </w:r>
            <w:r w:rsidR="00EE6AA2">
              <w:rPr>
                <w:rFonts w:ascii="Arial" w:eastAsiaTheme="minorEastAsia" w:hAnsi="Arial" w:cs="Arial"/>
                <w:color w:val="000000" w:themeColor="text1"/>
                <w:lang w:val="sr-Cyrl-BA"/>
              </w:rPr>
              <w:t>е</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иг</w:t>
            </w:r>
            <w:r>
              <w:rPr>
                <w:rFonts w:ascii="Arial" w:eastAsiaTheme="minorEastAsia" w:hAnsi="Arial" w:cs="Arial"/>
                <w:color w:val="000000" w:themeColor="text1"/>
                <w:lang w:val="sr-Cyrl-BA"/>
              </w:rPr>
              <w:t>ур</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ин</w:t>
            </w:r>
            <w:r>
              <w:rPr>
                <w:rFonts w:ascii="Arial" w:eastAsiaTheme="minorEastAsia" w:hAnsi="Arial" w:cs="Arial"/>
                <w:color w:val="000000" w:themeColor="text1"/>
                <w:lang w:val="sr-Cyrl-BA"/>
              </w:rPr>
              <w:t>т</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ди</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ци</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лина</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но</w:t>
            </w:r>
            <w:r>
              <w:rPr>
                <w:rFonts w:ascii="Arial" w:eastAsiaTheme="minorEastAsia" w:hAnsi="Arial" w:cs="Arial"/>
                <w:color w:val="000000" w:themeColor="text1"/>
                <w:lang w:val="sr-Cyrl-BA"/>
              </w:rPr>
              <w:t>ст</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која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ћ</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дини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нања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171F00">
              <w:rPr>
                <w:rFonts w:ascii="Arial" w:eastAsiaTheme="minorEastAsia" w:hAnsi="Arial" w:cs="Arial"/>
                <w:color w:val="000000" w:themeColor="text1"/>
                <w:lang w:val="sr-Cyrl-BA"/>
              </w:rPr>
              <w:t>з</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ру</w:t>
            </w:r>
            <w:r w:rsidR="00A56E08">
              <w:rPr>
                <w:rFonts w:ascii="Arial" w:eastAsiaTheme="minorEastAsia" w:hAnsi="Arial" w:cs="Arial"/>
                <w:color w:val="000000" w:themeColor="text1"/>
                <w:lang w:val="sr-Cyrl-BA"/>
              </w:rPr>
              <w:t>чја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ИК</w:t>
            </w:r>
            <w:r>
              <w:rPr>
                <w:rFonts w:ascii="Arial" w:eastAsiaTheme="minorEastAsia" w:hAnsi="Arial" w:cs="Arial"/>
                <w:color w:val="000000" w:themeColor="text1"/>
                <w:lang w:val="sr-Cyrl-BA"/>
              </w:rPr>
              <w:t>Т</w:t>
            </w:r>
            <w:r w:rsidR="00D46A3E" w:rsidRPr="00F6340E">
              <w:rPr>
                <w:rFonts w:ascii="Arial" w:eastAsiaTheme="minorEastAsia" w:hAnsi="Arial" w:cs="Arial"/>
                <w:color w:val="000000" w:themeColor="text1"/>
                <w:lang w:val="sr-Cyrl-BA"/>
              </w:rPr>
              <w:t>-</w:t>
            </w:r>
            <w:r w:rsidR="00A56E08">
              <w:rPr>
                <w:rFonts w:ascii="Arial" w:eastAsiaTheme="minorEastAsia" w:hAnsi="Arial" w:cs="Arial"/>
                <w:color w:val="000000" w:themeColor="text1"/>
                <w:lang w:val="sr-Cyrl-BA"/>
              </w:rPr>
              <w:t>а</w:t>
            </w:r>
            <w:r w:rsidR="00D46A3E"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ничк</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пр</w:t>
            </w:r>
            <w:r w:rsidR="00A56E08">
              <w:rPr>
                <w:rFonts w:ascii="Arial" w:eastAsiaTheme="minorEastAsia" w:hAnsi="Arial" w:cs="Arial"/>
                <w:color w:val="000000" w:themeColor="text1"/>
                <w:lang w:val="sr-Cyrl-BA"/>
              </w:rPr>
              <w:t>оф</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иј</w:t>
            </w:r>
            <w:r w:rsidR="00EE6AA2">
              <w:rPr>
                <w:rFonts w:ascii="Arial" w:eastAsiaTheme="minorEastAsia" w:hAnsi="Arial" w:cs="Arial"/>
                <w:color w:val="000000" w:themeColor="text1"/>
                <w:lang w:val="sr-Cyrl-BA"/>
              </w:rPr>
              <w:t>е</w:t>
            </w:r>
            <w:r w:rsidR="00D315C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w:t>
            </w:r>
            <w:r>
              <w:rPr>
                <w:rFonts w:ascii="Arial" w:eastAsiaTheme="minorEastAsia" w:hAnsi="Arial" w:cs="Arial"/>
                <w:color w:val="000000" w:themeColor="text1"/>
                <w:lang w:val="sr-Cyrl-BA"/>
              </w:rPr>
              <w:t>пр</w:t>
            </w:r>
            <w:r w:rsidR="00D315C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г</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афички</w:t>
            </w:r>
            <w:r w:rsidR="00D315C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ди</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ајн</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и</w:t>
            </w:r>
            <w:r w:rsidR="00D315C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ид</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о</w:t>
            </w:r>
            <w:r w:rsidR="00D315C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пр</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ц</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D315C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D315C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л</w:t>
            </w:r>
            <w:r w:rsidR="00D315C3" w:rsidRPr="00F6340E">
              <w:rPr>
                <w:rFonts w:ascii="Arial" w:eastAsiaTheme="minorEastAsia" w:hAnsi="Arial" w:cs="Arial"/>
                <w:color w:val="000000" w:themeColor="text1"/>
                <w:lang w:val="sr-Cyrl-BA"/>
              </w:rPr>
              <w:t>.)</w:t>
            </w:r>
            <w:r w:rsidR="00892898" w:rsidRPr="00F6340E">
              <w:rPr>
                <w:rFonts w:ascii="Arial" w:eastAsiaTheme="minorEastAsia" w:hAnsi="Arial" w:cs="Arial"/>
                <w:color w:val="000000" w:themeColor="text1"/>
                <w:lang w:val="sr-Cyrl-BA"/>
              </w:rPr>
              <w:t>.</w:t>
            </w:r>
          </w:p>
          <w:p w14:paraId="68F3EA02" w14:textId="5CD25BE3" w:rsidR="00892898" w:rsidRPr="00F6340E" w:rsidRDefault="00A56E08" w:rsidP="00FB5CB7">
            <w:pPr>
              <w:pStyle w:val="ListParagraph"/>
              <w:numPr>
                <w:ilvl w:val="0"/>
                <w:numId w:val="37"/>
              </w:numPr>
              <w:jc w:val="left"/>
              <w:textAlignment w:val="baseline"/>
              <w:rPr>
                <w:rFonts w:ascii="Arial" w:eastAsia="Times New Roman" w:hAnsi="Arial" w:cs="Arial"/>
                <w:b/>
                <w:color w:val="000000"/>
                <w:lang w:val="sr-Cyrl-BA"/>
              </w:rPr>
            </w:pP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иг</w:t>
            </w:r>
            <w:r w:rsidR="0071360A">
              <w:rPr>
                <w:rFonts w:ascii="Arial" w:eastAsia="Times New Roman" w:hAnsi="Arial" w:cs="Arial"/>
                <w:b/>
                <w:color w:val="000000" w:themeColor="text1"/>
                <w:lang w:val="sr-Cyrl-BA"/>
              </w:rPr>
              <w:t>ур</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Pr>
                <w:rFonts w:ascii="Arial" w:eastAsiaTheme="minorEastAsia" w:hAnsi="Arial" w:cs="Arial"/>
                <w:b/>
                <w:color w:val="000000" w:themeColor="text1"/>
                <w:lang w:val="sr-Cyrl-BA"/>
              </w:rPr>
              <w:t>мј</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ст</w:t>
            </w:r>
            <w:r>
              <w:rPr>
                <w:rFonts w:ascii="Arial" w:eastAsiaTheme="minorEastAsia" w:hAnsi="Arial" w:cs="Arial"/>
                <w:b/>
                <w:color w:val="000000" w:themeColor="text1"/>
                <w:lang w:val="sr-Cyrl-BA"/>
              </w:rPr>
              <w:t>о</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bCs/>
                <w:color w:val="000000" w:themeColor="text1"/>
                <w:lang w:val="sr-Cyrl-BA"/>
              </w:rPr>
              <w:t>с</w:t>
            </w:r>
            <w:r>
              <w:rPr>
                <w:rFonts w:ascii="Arial" w:eastAsiaTheme="minorEastAsia" w:hAnsi="Arial" w:cs="Arial"/>
                <w:b/>
                <w:bCs/>
                <w:color w:val="000000" w:themeColor="text1"/>
                <w:lang w:val="sr-Cyrl-BA"/>
              </w:rPr>
              <w:t>иг</w:t>
            </w:r>
            <w:r w:rsidR="0071360A">
              <w:rPr>
                <w:rFonts w:ascii="Arial" w:eastAsiaTheme="minorEastAsia" w:hAnsi="Arial" w:cs="Arial"/>
                <w:b/>
                <w:bCs/>
                <w:color w:val="000000" w:themeColor="text1"/>
                <w:lang w:val="sr-Cyrl-BA"/>
              </w:rPr>
              <w:t>ур</w:t>
            </w:r>
            <w:r>
              <w:rPr>
                <w:rFonts w:ascii="Arial" w:eastAsiaTheme="minorEastAsia" w:hAnsi="Arial" w:cs="Arial"/>
                <w:b/>
                <w:bCs/>
                <w:color w:val="000000" w:themeColor="text1"/>
                <w:lang w:val="sr-Cyrl-BA"/>
              </w:rPr>
              <w:t>н</w:t>
            </w:r>
            <w:r w:rsidR="0071360A">
              <w:rPr>
                <w:rFonts w:ascii="Arial" w:eastAsiaTheme="minorEastAsia" w:hAnsi="Arial" w:cs="Arial"/>
                <w:b/>
                <w:bCs/>
                <w:color w:val="000000" w:themeColor="text1"/>
                <w:lang w:val="sr-Cyrl-BA"/>
              </w:rPr>
              <w:t>у</w:t>
            </w:r>
            <w:r w:rsidR="00892898" w:rsidRPr="00F6340E">
              <w:rPr>
                <w:rFonts w:ascii="Arial" w:eastAsiaTheme="minorEastAsia" w:hAnsi="Arial" w:cs="Arial"/>
                <w:b/>
                <w:bCs/>
                <w:color w:val="000000" w:themeColor="text1"/>
                <w:lang w:val="sr-Cyrl-BA"/>
              </w:rPr>
              <w:t xml:space="preserve"> </w:t>
            </w:r>
            <w:r w:rsidR="0071360A">
              <w:rPr>
                <w:rFonts w:ascii="Arial" w:eastAsiaTheme="minorEastAsia" w:hAnsi="Arial" w:cs="Arial"/>
                <w:b/>
                <w:color w:val="000000" w:themeColor="text1"/>
                <w:lang w:val="sr-Cyrl-BA"/>
              </w:rPr>
              <w:t>п</w:t>
            </w:r>
            <w:r>
              <w:rPr>
                <w:rFonts w:ascii="Arial" w:eastAsiaTheme="minorEastAsia" w:hAnsi="Arial" w:cs="Arial"/>
                <w:b/>
                <w:color w:val="000000" w:themeColor="text1"/>
                <w:lang w:val="sr-Cyrl-BA"/>
              </w:rPr>
              <w:t>ох</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ан</w:t>
            </w:r>
            <w:r w:rsidR="0071360A">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диги</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алних</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с</w:t>
            </w:r>
            <w:r>
              <w:rPr>
                <w:rFonts w:ascii="Arial" w:eastAsiaTheme="minorEastAsia" w:hAnsi="Arial" w:cs="Arial"/>
                <w:b/>
                <w:color w:val="000000" w:themeColor="text1"/>
                <w:lang w:val="sr-Cyrl-BA"/>
              </w:rPr>
              <w:t>ад</w:t>
            </w:r>
            <w:r w:rsidR="0071360A">
              <w:rPr>
                <w:rFonts w:ascii="Arial" w:eastAsiaTheme="minorEastAsia" w:hAnsi="Arial" w:cs="Arial"/>
                <w:b/>
                <w:color w:val="000000" w:themeColor="text1"/>
                <w:lang w:val="sr-Cyrl-BA"/>
              </w:rPr>
              <w:t>р</w:t>
            </w:r>
            <w:r w:rsidR="00171F00">
              <w:rPr>
                <w:rFonts w:ascii="Arial" w:eastAsiaTheme="minorEastAsia" w:hAnsi="Arial" w:cs="Arial"/>
                <w:b/>
                <w:color w:val="000000" w:themeColor="text1"/>
                <w:lang w:val="sr-Cyrl-BA"/>
              </w:rPr>
              <w:t>ж</w:t>
            </w:r>
            <w:r>
              <w:rPr>
                <w:rFonts w:ascii="Arial" w:eastAsiaTheme="minorEastAsia" w:hAnsi="Arial" w:cs="Arial"/>
                <w:b/>
                <w:color w:val="000000" w:themeColor="text1"/>
                <w:lang w:val="sr-Cyrl-BA"/>
              </w:rPr>
              <w:t>аја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одно</w:t>
            </w:r>
            <w:r w:rsidR="0071360A">
              <w:rPr>
                <w:rFonts w:ascii="Arial" w:eastAsiaTheme="minorEastAsia" w:hAnsi="Arial" w:cs="Arial"/>
                <w:b/>
                <w:color w:val="000000" w:themeColor="text1"/>
                <w:lang w:val="sr-Cyrl-BA"/>
              </w:rPr>
              <w:t>с</w:t>
            </w:r>
            <w:r>
              <w:rPr>
                <w:rFonts w:ascii="Arial" w:eastAsiaTheme="minorEastAsia" w:hAnsi="Arial" w:cs="Arial"/>
                <w:b/>
                <w:color w:val="000000" w:themeColor="text1"/>
                <w:lang w:val="sr-Cyrl-BA"/>
              </w:rPr>
              <w:t>но</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р</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п</w:t>
            </w:r>
            <w:r>
              <w:rPr>
                <w:rFonts w:ascii="Arial" w:eastAsiaTheme="minorEastAsia" w:hAnsi="Arial" w:cs="Arial"/>
                <w:b/>
                <w:color w:val="000000" w:themeColor="text1"/>
                <w:lang w:val="sr-Cyrl-BA"/>
              </w:rPr>
              <w:t>о</w:t>
            </w:r>
            <w:r w:rsidR="00171F00">
              <w:rPr>
                <w:rFonts w:ascii="Arial" w:eastAsiaTheme="minorEastAsia" w:hAnsi="Arial" w:cs="Arial"/>
                <w:b/>
                <w:color w:val="000000" w:themeColor="text1"/>
                <w:lang w:val="sr-Cyrl-BA"/>
              </w:rPr>
              <w:t>з</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иј</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на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ни</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админи</w:t>
            </w:r>
            <w:r w:rsidR="0071360A">
              <w:rPr>
                <w:rFonts w:ascii="Arial" w:eastAsiaTheme="minorEastAsia" w:hAnsi="Arial" w:cs="Arial"/>
                <w:b/>
                <w:color w:val="000000" w:themeColor="text1"/>
                <w:lang w:val="sr-Cyrl-BA"/>
              </w:rPr>
              <w:t>стр</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в</w:t>
            </w:r>
            <w:r>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ј</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диниц</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p>
          <w:p w14:paraId="70655020" w14:textId="07692AAD" w:rsidR="00892898" w:rsidRPr="00F6340E" w:rsidRDefault="0071360A" w:rsidP="00FB5CB7">
            <w:pPr>
              <w:pStyle w:val="ListParagraph"/>
              <w:ind w:left="360"/>
              <w:jc w:val="left"/>
              <w:textAlignment w:val="baseline"/>
              <w:rPr>
                <w:rFonts w:ascii="Arial" w:eastAsiaTheme="minorHAnsi" w:hAnsi="Arial" w:cs="Arial"/>
                <w:color w:val="000000"/>
                <w:lang w:val="sr-Cyrl-BA"/>
              </w:rPr>
            </w:pPr>
            <w:r>
              <w:rPr>
                <w:rFonts w:ascii="Arial" w:eastAsiaTheme="minorHAnsi" w:hAnsi="Arial" w:cs="Arial"/>
                <w:color w:val="000000"/>
                <w:lang w:val="sr-Cyrl-BA"/>
              </w:rPr>
              <w:t>Р</w:t>
            </w:r>
            <w:r w:rsidR="00EE6AA2">
              <w:rPr>
                <w:rFonts w:ascii="Arial" w:eastAsiaTheme="minorHAnsi" w:hAnsi="Arial" w:cs="Arial"/>
                <w:color w:val="000000"/>
                <w:lang w:val="sr-Cyrl-BA"/>
              </w:rPr>
              <w:t>е</w:t>
            </w:r>
            <w:r>
              <w:rPr>
                <w:rFonts w:ascii="Arial" w:eastAsiaTheme="minorHAnsi" w:hAnsi="Arial" w:cs="Arial"/>
                <w:color w:val="000000"/>
                <w:lang w:val="sr-Cyrl-BA"/>
              </w:rPr>
              <w:t>п</w:t>
            </w:r>
            <w:r w:rsidR="00A56E08">
              <w:rPr>
                <w:rFonts w:ascii="Arial" w:eastAsiaTheme="minorHAnsi" w:hAnsi="Arial" w:cs="Arial"/>
                <w:color w:val="000000"/>
                <w:lang w:val="sr-Cyrl-BA"/>
              </w:rPr>
              <w:t>о</w:t>
            </w:r>
            <w:r w:rsidR="00171F00">
              <w:rPr>
                <w:rFonts w:ascii="Arial" w:eastAsiaTheme="minorHAnsi" w:hAnsi="Arial" w:cs="Arial"/>
                <w:color w:val="000000"/>
                <w:lang w:val="sr-Cyrl-BA"/>
              </w:rPr>
              <w:t>з</w:t>
            </w:r>
            <w:r w:rsidR="00A56E08">
              <w:rPr>
                <w:rFonts w:ascii="Arial" w:eastAsiaTheme="minorHAnsi" w:hAnsi="Arial" w:cs="Arial"/>
                <w:color w:val="000000"/>
                <w:lang w:val="sr-Cyrl-BA"/>
              </w:rPr>
              <w:t>и</w:t>
            </w:r>
            <w:r>
              <w:rPr>
                <w:rFonts w:ascii="Arial" w:eastAsiaTheme="minorHAnsi" w:hAnsi="Arial" w:cs="Arial"/>
                <w:color w:val="000000"/>
                <w:lang w:val="sr-Cyrl-BA"/>
              </w:rPr>
              <w:t>т</w:t>
            </w:r>
            <w:r w:rsidR="00A56E08">
              <w:rPr>
                <w:rFonts w:ascii="Arial" w:eastAsiaTheme="minorHAnsi" w:hAnsi="Arial" w:cs="Arial"/>
                <w:color w:val="000000"/>
                <w:lang w:val="sr-Cyrl-BA"/>
              </w:rPr>
              <w:t>о</w:t>
            </w:r>
            <w:r>
              <w:rPr>
                <w:rFonts w:ascii="Arial" w:eastAsiaTheme="minorHAnsi" w:hAnsi="Arial" w:cs="Arial"/>
                <w:color w:val="000000"/>
                <w:lang w:val="sr-Cyrl-BA"/>
              </w:rPr>
              <w:t>р</w:t>
            </w:r>
            <w:r w:rsidR="00A56E08">
              <w:rPr>
                <w:rFonts w:ascii="Arial" w:eastAsiaTheme="minorHAnsi" w:hAnsi="Arial" w:cs="Arial"/>
                <w:color w:val="000000"/>
                <w:lang w:val="sr-Cyrl-BA"/>
              </w:rPr>
              <w:t>иј</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омог</w:t>
            </w:r>
            <w:r>
              <w:rPr>
                <w:rFonts w:ascii="Arial" w:eastAsiaTheme="minorHAnsi" w:hAnsi="Arial" w:cs="Arial"/>
                <w:color w:val="000000"/>
                <w:lang w:val="sr-Cyrl-BA"/>
              </w:rPr>
              <w:t>у</w:t>
            </w:r>
            <w:r w:rsidR="00A56E08">
              <w:rPr>
                <w:rFonts w:ascii="Arial" w:eastAsiaTheme="minorHAnsi" w:hAnsi="Arial" w:cs="Arial"/>
                <w:color w:val="000000"/>
                <w:lang w:val="sr-Cyrl-BA"/>
              </w:rPr>
              <w:t>ћа</w:t>
            </w:r>
            <w:r>
              <w:rPr>
                <w:rFonts w:ascii="Arial" w:eastAsiaTheme="minorHAnsi" w:hAnsi="Arial" w:cs="Arial"/>
                <w:color w:val="000000"/>
                <w:lang w:val="sr-Cyrl-BA"/>
              </w:rPr>
              <w:t>в</w:t>
            </w:r>
            <w:r w:rsidR="00A56E08">
              <w:rPr>
                <w:rFonts w:ascii="Arial" w:eastAsiaTheme="minorHAnsi" w:hAnsi="Arial" w:cs="Arial"/>
                <w:color w:val="000000"/>
                <w:lang w:val="sr-Cyrl-BA"/>
              </w:rPr>
              <w:t>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до</w:t>
            </w:r>
            <w:r>
              <w:rPr>
                <w:rFonts w:ascii="Arial" w:eastAsiaTheme="minorHAnsi" w:hAnsi="Arial" w:cs="Arial"/>
                <w:color w:val="000000"/>
                <w:lang w:val="sr-Cyrl-BA"/>
              </w:rPr>
              <w:t>ступ</w:t>
            </w:r>
            <w:r w:rsidR="00A56E08">
              <w:rPr>
                <w:rFonts w:ascii="Arial" w:eastAsiaTheme="minorHAnsi" w:hAnsi="Arial" w:cs="Arial"/>
                <w:color w:val="000000"/>
                <w:lang w:val="sr-Cyrl-BA"/>
              </w:rPr>
              <w:t>но</w:t>
            </w:r>
            <w:r>
              <w:rPr>
                <w:rFonts w:ascii="Arial" w:eastAsiaTheme="minorHAnsi" w:hAnsi="Arial" w:cs="Arial"/>
                <w:color w:val="000000"/>
                <w:lang w:val="sr-Cyrl-BA"/>
              </w:rPr>
              <w:t>ст</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пр</w:t>
            </w:r>
            <w:r w:rsidR="00A56E08">
              <w:rPr>
                <w:rFonts w:ascii="Arial" w:eastAsiaTheme="minorHAnsi" w:hAnsi="Arial" w:cs="Arial"/>
                <w:color w:val="000000"/>
                <w:lang w:val="sr-Cyrl-BA"/>
              </w:rPr>
              <w:t>и</w:t>
            </w:r>
            <w:r>
              <w:rPr>
                <w:rFonts w:ascii="Arial" w:eastAsiaTheme="minorHAnsi" w:hAnsi="Arial" w:cs="Arial"/>
                <w:color w:val="000000"/>
                <w:lang w:val="sr-Cyrl-BA"/>
              </w:rPr>
              <w:t>ступ</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диги</w:t>
            </w:r>
            <w:r>
              <w:rPr>
                <w:rFonts w:ascii="Arial" w:eastAsiaTheme="minorHAnsi" w:hAnsi="Arial" w:cs="Arial"/>
                <w:color w:val="000000"/>
                <w:lang w:val="sr-Cyrl-BA"/>
              </w:rPr>
              <w:t>т</w:t>
            </w:r>
            <w:r w:rsidR="00A56E08">
              <w:rPr>
                <w:rFonts w:ascii="Arial" w:eastAsiaTheme="minorHAnsi" w:hAnsi="Arial" w:cs="Arial"/>
                <w:color w:val="000000"/>
                <w:lang w:val="sr-Cyrl-BA"/>
              </w:rPr>
              <w:t>алним</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с</w:t>
            </w:r>
            <w:r w:rsidR="00A56E08">
              <w:rPr>
                <w:rFonts w:ascii="Arial" w:eastAsiaTheme="minorHAnsi" w:hAnsi="Arial" w:cs="Arial"/>
                <w:color w:val="000000"/>
                <w:lang w:val="sr-Cyrl-BA"/>
              </w:rPr>
              <w:t>ад</w:t>
            </w:r>
            <w:r>
              <w:rPr>
                <w:rFonts w:ascii="Arial" w:eastAsiaTheme="minorHAnsi" w:hAnsi="Arial" w:cs="Arial"/>
                <w:color w:val="000000"/>
                <w:lang w:val="sr-Cyrl-BA"/>
              </w:rPr>
              <w:t>р</w:t>
            </w:r>
            <w:r w:rsidR="00171F00">
              <w:rPr>
                <w:rFonts w:ascii="Arial" w:eastAsiaTheme="minorHAnsi" w:hAnsi="Arial" w:cs="Arial"/>
                <w:color w:val="000000"/>
                <w:lang w:val="sr-Cyrl-BA"/>
              </w:rPr>
              <w:t>ж</w:t>
            </w:r>
            <w:r w:rsidR="00A56E08">
              <w:rPr>
                <w:rFonts w:ascii="Arial" w:eastAsiaTheme="minorHAnsi" w:hAnsi="Arial" w:cs="Arial"/>
                <w:color w:val="000000"/>
                <w:lang w:val="sr-Cyrl-BA"/>
              </w:rPr>
              <w:t>ајима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на</w:t>
            </w:r>
            <w:r>
              <w:rPr>
                <w:rFonts w:ascii="Arial" w:eastAsiaTheme="minorHAnsi" w:hAnsi="Arial" w:cs="Arial"/>
                <w:color w:val="000000"/>
                <w:lang w:val="sr-Cyrl-BA"/>
              </w:rPr>
              <w:t>ст</w:t>
            </w:r>
            <w:r w:rsidR="00A56E08">
              <w:rPr>
                <w:rFonts w:ascii="Arial" w:eastAsiaTheme="minorHAnsi" w:hAnsi="Arial" w:cs="Arial"/>
                <w:color w:val="000000"/>
                <w:lang w:val="sr-Cyrl-BA"/>
              </w:rPr>
              <w:t>а</w:t>
            </w:r>
            <w:r>
              <w:rPr>
                <w:rFonts w:ascii="Arial" w:eastAsiaTheme="minorHAnsi" w:hAnsi="Arial" w:cs="Arial"/>
                <w:color w:val="000000"/>
                <w:lang w:val="sr-Cyrl-BA"/>
              </w:rPr>
              <w:t>в</w:t>
            </w:r>
            <w:r w:rsidR="00A56E08">
              <w:rPr>
                <w:rFonts w:ascii="Arial" w:eastAsiaTheme="minorHAnsi" w:hAnsi="Arial" w:cs="Arial"/>
                <w:color w:val="000000"/>
                <w:lang w:val="sr-Cyrl-BA"/>
              </w:rPr>
              <w:t>ницима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у</w:t>
            </w:r>
            <w:r w:rsidR="00A56E08">
              <w:rPr>
                <w:rFonts w:ascii="Arial" w:eastAsiaTheme="minorHAnsi" w:hAnsi="Arial" w:cs="Arial"/>
                <w:color w:val="000000"/>
                <w:lang w:val="sr-Cyrl-BA"/>
              </w:rPr>
              <w:t>ч</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ницима</w:t>
            </w:r>
            <w:r w:rsidR="00892898" w:rsidRPr="00F6340E">
              <w:rPr>
                <w:rFonts w:ascii="Arial" w:eastAsiaTheme="minorHAnsi" w:hAnsi="Arial" w:cs="Arial"/>
                <w:color w:val="000000"/>
                <w:lang w:val="sr-Cyrl-BA"/>
              </w:rPr>
              <w:t>/</w:t>
            </w:r>
            <w:r>
              <w:rPr>
                <w:rFonts w:ascii="Arial" w:eastAsiaTheme="minorHAnsi" w:hAnsi="Arial" w:cs="Arial"/>
                <w:color w:val="000000"/>
                <w:lang w:val="sr-Cyrl-BA"/>
              </w:rPr>
              <w:t>сту</w:t>
            </w:r>
            <w:r w:rsidR="00A56E08">
              <w:rPr>
                <w:rFonts w:ascii="Arial" w:eastAsiaTheme="minorHAnsi" w:hAnsi="Arial" w:cs="Arial"/>
                <w:color w:val="000000"/>
                <w:lang w:val="sr-Cyrl-BA"/>
              </w:rPr>
              <w:t>д</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н</w:t>
            </w:r>
            <w:r>
              <w:rPr>
                <w:rFonts w:ascii="Arial" w:eastAsiaTheme="minorHAnsi" w:hAnsi="Arial" w:cs="Arial"/>
                <w:color w:val="000000"/>
                <w:lang w:val="sr-Cyrl-BA"/>
              </w:rPr>
              <w:t>т</w:t>
            </w:r>
            <w:r w:rsidR="00A56E08">
              <w:rPr>
                <w:rFonts w:ascii="Arial" w:eastAsiaTheme="minorHAnsi" w:hAnsi="Arial" w:cs="Arial"/>
                <w:color w:val="000000"/>
                <w:lang w:val="sr-Cyrl-BA"/>
              </w:rPr>
              <w:t>има</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Р</w:t>
            </w:r>
            <w:r w:rsidR="00A56E08">
              <w:rPr>
                <w:rFonts w:ascii="Arial" w:eastAsiaTheme="minorHAnsi" w:hAnsi="Arial" w:cs="Arial"/>
                <w:color w:val="000000"/>
                <w:lang w:val="sr-Cyrl-BA"/>
              </w:rPr>
              <w:t>ади</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с</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об</w:t>
            </w:r>
            <w:r>
              <w:rPr>
                <w:rFonts w:ascii="Arial" w:eastAsiaTheme="minorHAnsi" w:hAnsi="Arial" w:cs="Arial"/>
                <w:color w:val="000000"/>
                <w:lang w:val="sr-Cyrl-BA"/>
              </w:rPr>
              <w:t>р</w:t>
            </w:r>
            <w:r w:rsidR="00A56E08">
              <w:rPr>
                <w:rFonts w:ascii="Arial" w:eastAsiaTheme="minorHAnsi" w:hAnsi="Arial" w:cs="Arial"/>
                <w:color w:val="000000"/>
                <w:lang w:val="sr-Cyrl-BA"/>
              </w:rPr>
              <w:t>а</w:t>
            </w:r>
            <w:r w:rsidR="00171F00">
              <w:rPr>
                <w:rFonts w:ascii="Arial" w:eastAsiaTheme="minorHAnsi" w:hAnsi="Arial" w:cs="Arial"/>
                <w:color w:val="000000"/>
                <w:lang w:val="sr-Cyrl-BA"/>
              </w:rPr>
              <w:t>з</w:t>
            </w:r>
            <w:r w:rsidR="00A56E08">
              <w:rPr>
                <w:rFonts w:ascii="Arial" w:eastAsiaTheme="minorHAnsi" w:hAnsi="Arial" w:cs="Arial"/>
                <w:color w:val="000000"/>
                <w:lang w:val="sr-Cyrl-BA"/>
              </w:rPr>
              <w:t>о</w:t>
            </w:r>
            <w:r>
              <w:rPr>
                <w:rFonts w:ascii="Arial" w:eastAsiaTheme="minorHAnsi" w:hAnsi="Arial" w:cs="Arial"/>
                <w:color w:val="000000"/>
                <w:lang w:val="sr-Cyrl-BA"/>
              </w:rPr>
              <w:t>в</w:t>
            </w:r>
            <w:r w:rsidR="00A56E08">
              <w:rPr>
                <w:rFonts w:ascii="Arial" w:eastAsiaTheme="minorHAnsi" w:hAnsi="Arial" w:cs="Arial"/>
                <w:color w:val="000000"/>
                <w:lang w:val="sr-Cyrl-BA"/>
              </w:rPr>
              <w:t>ним</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с</w:t>
            </w:r>
            <w:r w:rsidR="00A56E08">
              <w:rPr>
                <w:rFonts w:ascii="Arial" w:eastAsiaTheme="minorHAnsi" w:hAnsi="Arial" w:cs="Arial"/>
                <w:color w:val="000000"/>
                <w:lang w:val="sr-Cyrl-BA"/>
              </w:rPr>
              <w:t>ад</w:t>
            </w:r>
            <w:r>
              <w:rPr>
                <w:rFonts w:ascii="Arial" w:eastAsiaTheme="minorHAnsi" w:hAnsi="Arial" w:cs="Arial"/>
                <w:color w:val="000000"/>
                <w:lang w:val="sr-Cyrl-BA"/>
              </w:rPr>
              <w:t>р</w:t>
            </w:r>
            <w:r w:rsidR="00171F00">
              <w:rPr>
                <w:rFonts w:ascii="Arial" w:eastAsiaTheme="minorHAnsi" w:hAnsi="Arial" w:cs="Arial"/>
                <w:color w:val="000000"/>
                <w:lang w:val="sr-Cyrl-BA"/>
              </w:rPr>
              <w:t>ж</w:t>
            </w:r>
            <w:r w:rsidR="00A56E08">
              <w:rPr>
                <w:rFonts w:ascii="Arial" w:eastAsiaTheme="minorHAnsi" w:hAnsi="Arial" w:cs="Arial"/>
                <w:color w:val="000000"/>
                <w:lang w:val="sr-Cyrl-BA"/>
              </w:rPr>
              <w:t>ајима</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у</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диги</w:t>
            </w:r>
            <w:r>
              <w:rPr>
                <w:rFonts w:ascii="Arial" w:eastAsiaTheme="minorHAnsi" w:hAnsi="Arial" w:cs="Arial"/>
                <w:color w:val="000000"/>
                <w:lang w:val="sr-Cyrl-BA"/>
              </w:rPr>
              <w:t>т</w:t>
            </w:r>
            <w:r w:rsidR="00A56E08">
              <w:rPr>
                <w:rFonts w:ascii="Arial" w:eastAsiaTheme="minorHAnsi" w:hAnsi="Arial" w:cs="Arial"/>
                <w:color w:val="000000"/>
                <w:lang w:val="sr-Cyrl-BA"/>
              </w:rPr>
              <w:t>алном</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фо</w:t>
            </w:r>
            <w:r>
              <w:rPr>
                <w:rFonts w:ascii="Arial" w:eastAsiaTheme="minorHAnsi" w:hAnsi="Arial" w:cs="Arial"/>
                <w:color w:val="000000"/>
                <w:lang w:val="sr-Cyrl-BA"/>
              </w:rPr>
              <w:t>р</w:t>
            </w:r>
            <w:r w:rsidR="00A56E08">
              <w:rPr>
                <w:rFonts w:ascii="Arial" w:eastAsiaTheme="minorHAnsi" w:hAnsi="Arial" w:cs="Arial"/>
                <w:color w:val="000000"/>
                <w:lang w:val="sr-Cyrl-BA"/>
              </w:rPr>
              <w:t>ма</w:t>
            </w:r>
            <w:r>
              <w:rPr>
                <w:rFonts w:ascii="Arial" w:eastAsiaTheme="minorHAnsi" w:hAnsi="Arial" w:cs="Arial"/>
                <w:color w:val="000000"/>
                <w:lang w:val="sr-Cyrl-BA"/>
              </w:rPr>
              <w:t>ту</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који</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с</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ко</w:t>
            </w:r>
            <w:r>
              <w:rPr>
                <w:rFonts w:ascii="Arial" w:eastAsiaTheme="minorHAnsi" w:hAnsi="Arial" w:cs="Arial"/>
                <w:color w:val="000000"/>
                <w:lang w:val="sr-Cyrl-BA"/>
              </w:rPr>
              <w:t>р</w:t>
            </w:r>
            <w:r w:rsidR="00A56E08">
              <w:rPr>
                <w:rFonts w:ascii="Arial" w:eastAsiaTheme="minorHAnsi" w:hAnsi="Arial" w:cs="Arial"/>
                <w:color w:val="000000"/>
                <w:lang w:val="sr-Cyrl-BA"/>
              </w:rPr>
              <w:t>и</w:t>
            </w:r>
            <w:r>
              <w:rPr>
                <w:rFonts w:ascii="Arial" w:eastAsiaTheme="minorHAnsi" w:hAnsi="Arial" w:cs="Arial"/>
                <w:color w:val="000000"/>
                <w:lang w:val="sr-Cyrl-BA"/>
              </w:rPr>
              <w:t>ст</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или</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их</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ј</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мог</w:t>
            </w:r>
            <w:r>
              <w:rPr>
                <w:rFonts w:ascii="Arial" w:eastAsiaTheme="minorHAnsi" w:hAnsi="Arial" w:cs="Arial"/>
                <w:color w:val="000000"/>
                <w:lang w:val="sr-Cyrl-BA"/>
              </w:rPr>
              <w:t>у</w:t>
            </w:r>
            <w:r w:rsidR="00A56E08">
              <w:rPr>
                <w:rFonts w:ascii="Arial" w:eastAsiaTheme="minorHAnsi" w:hAnsi="Arial" w:cs="Arial"/>
                <w:color w:val="000000"/>
                <w:lang w:val="sr-Cyrl-BA"/>
              </w:rPr>
              <w:t>ћ</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уп</w:t>
            </w:r>
            <w:r w:rsidR="00A56E08">
              <w:rPr>
                <w:rFonts w:ascii="Arial" w:eastAsiaTheme="minorHAnsi" w:hAnsi="Arial" w:cs="Arial"/>
                <w:color w:val="000000"/>
                <w:lang w:val="sr-Cyrl-BA"/>
              </w:rPr>
              <w:t>о</w:t>
            </w:r>
            <w:r>
              <w:rPr>
                <w:rFonts w:ascii="Arial" w:eastAsiaTheme="minorHAnsi" w:hAnsi="Arial" w:cs="Arial"/>
                <w:color w:val="000000"/>
                <w:lang w:val="sr-Cyrl-BA"/>
              </w:rPr>
              <w:t>тр</w:t>
            </w:r>
            <w:r w:rsidR="00A56E08">
              <w:rPr>
                <w:rFonts w:ascii="Arial" w:eastAsiaTheme="minorHAnsi" w:hAnsi="Arial" w:cs="Arial"/>
                <w:color w:val="000000"/>
                <w:lang w:val="sr-Cyrl-BA"/>
              </w:rPr>
              <w:t>иј</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би</w:t>
            </w:r>
            <w:r>
              <w:rPr>
                <w:rFonts w:ascii="Arial" w:eastAsiaTheme="minorHAnsi" w:hAnsi="Arial" w:cs="Arial"/>
                <w:color w:val="000000"/>
                <w:lang w:val="sr-Cyrl-BA"/>
              </w:rPr>
              <w:t>т</w:t>
            </w:r>
            <w:r w:rsidR="00A56E08">
              <w:rPr>
                <w:rFonts w:ascii="Arial" w:eastAsiaTheme="minorHAnsi" w:hAnsi="Arial" w:cs="Arial"/>
                <w:color w:val="000000"/>
                <w:lang w:val="sr-Cyrl-BA"/>
              </w:rPr>
              <w:t>и</w:t>
            </w:r>
            <w:r w:rsidR="00D46A3E" w:rsidRPr="00F6340E">
              <w:rPr>
                <w:rFonts w:ascii="Arial" w:eastAsiaTheme="minorHAnsi" w:hAnsi="Arial" w:cs="Arial"/>
                <w:color w:val="000000"/>
                <w:lang w:val="sr-Cyrl-BA"/>
              </w:rPr>
              <w:t xml:space="preserve"> </w:t>
            </w:r>
            <w:r>
              <w:rPr>
                <w:rFonts w:ascii="Arial" w:eastAsiaTheme="minorHAnsi" w:hAnsi="Arial" w:cs="Arial"/>
                <w:color w:val="000000"/>
                <w:lang w:val="sr-Cyrl-BA"/>
              </w:rPr>
              <w:t>у</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об</w:t>
            </w:r>
            <w:r>
              <w:rPr>
                <w:rFonts w:ascii="Arial" w:eastAsiaTheme="minorHAnsi" w:hAnsi="Arial" w:cs="Arial"/>
                <w:color w:val="000000"/>
                <w:lang w:val="sr-Cyrl-BA"/>
              </w:rPr>
              <w:t>р</w:t>
            </w:r>
            <w:r w:rsidR="00A56E08">
              <w:rPr>
                <w:rFonts w:ascii="Arial" w:eastAsiaTheme="minorHAnsi" w:hAnsi="Arial" w:cs="Arial"/>
                <w:color w:val="000000"/>
                <w:lang w:val="sr-Cyrl-BA"/>
              </w:rPr>
              <w:t>а</w:t>
            </w:r>
            <w:r w:rsidR="00171F00">
              <w:rPr>
                <w:rFonts w:ascii="Arial" w:eastAsiaTheme="minorHAnsi" w:hAnsi="Arial" w:cs="Arial"/>
                <w:color w:val="000000"/>
                <w:lang w:val="sr-Cyrl-BA"/>
              </w:rPr>
              <w:t>з</w:t>
            </w:r>
            <w:r w:rsidR="00A56E08">
              <w:rPr>
                <w:rFonts w:ascii="Arial" w:eastAsiaTheme="minorHAnsi" w:hAnsi="Arial" w:cs="Arial"/>
                <w:color w:val="000000"/>
                <w:lang w:val="sr-Cyrl-BA"/>
              </w:rPr>
              <w:t>о</w:t>
            </w:r>
            <w:r>
              <w:rPr>
                <w:rFonts w:ascii="Arial" w:eastAsiaTheme="minorHAnsi" w:hAnsi="Arial" w:cs="Arial"/>
                <w:color w:val="000000"/>
                <w:lang w:val="sr-Cyrl-BA"/>
              </w:rPr>
              <w:t>в</w:t>
            </w:r>
            <w:r w:rsidR="00A56E08">
              <w:rPr>
                <w:rFonts w:ascii="Arial" w:eastAsiaTheme="minorHAnsi" w:hAnsi="Arial" w:cs="Arial"/>
                <w:color w:val="000000"/>
                <w:lang w:val="sr-Cyrl-BA"/>
              </w:rPr>
              <w:t>ном</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пр</w:t>
            </w:r>
            <w:r w:rsidR="00A56E08">
              <w:rPr>
                <w:rFonts w:ascii="Arial" w:eastAsiaTheme="minorHAnsi" w:hAnsi="Arial" w:cs="Arial"/>
                <w:color w:val="000000"/>
                <w:lang w:val="sr-Cyrl-BA"/>
              </w:rPr>
              <w:t>оц</w:t>
            </w:r>
            <w:r w:rsidR="00EE6AA2">
              <w:rPr>
                <w:rFonts w:ascii="Arial" w:eastAsiaTheme="minorHAnsi" w:hAnsi="Arial" w:cs="Arial"/>
                <w:color w:val="000000"/>
                <w:lang w:val="sr-Cyrl-BA"/>
              </w:rPr>
              <w:t>е</w:t>
            </w:r>
            <w:r>
              <w:rPr>
                <w:rFonts w:ascii="Arial" w:eastAsiaTheme="minorHAnsi" w:hAnsi="Arial" w:cs="Arial"/>
                <w:color w:val="000000"/>
                <w:lang w:val="sr-Cyrl-BA"/>
              </w:rPr>
              <w:t>су</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Р</w:t>
            </w:r>
            <w:r w:rsidR="00EE6AA2">
              <w:rPr>
                <w:rFonts w:ascii="Arial" w:eastAsiaTheme="minorHAnsi" w:hAnsi="Arial" w:cs="Arial"/>
                <w:color w:val="000000"/>
                <w:lang w:val="sr-Cyrl-BA"/>
              </w:rPr>
              <w:t>е</w:t>
            </w:r>
            <w:r>
              <w:rPr>
                <w:rFonts w:ascii="Arial" w:eastAsiaTheme="minorHAnsi" w:hAnsi="Arial" w:cs="Arial"/>
                <w:color w:val="000000"/>
                <w:lang w:val="sr-Cyrl-BA"/>
              </w:rPr>
              <w:t>п</w:t>
            </w:r>
            <w:r w:rsidR="00A56E08">
              <w:rPr>
                <w:rFonts w:ascii="Arial" w:eastAsiaTheme="minorHAnsi" w:hAnsi="Arial" w:cs="Arial"/>
                <w:color w:val="000000"/>
                <w:lang w:val="sr-Cyrl-BA"/>
              </w:rPr>
              <w:t>о</w:t>
            </w:r>
            <w:r w:rsidR="00171F00">
              <w:rPr>
                <w:rFonts w:ascii="Arial" w:eastAsiaTheme="minorHAnsi" w:hAnsi="Arial" w:cs="Arial"/>
                <w:color w:val="000000"/>
                <w:lang w:val="sr-Cyrl-BA"/>
              </w:rPr>
              <w:t>з</w:t>
            </w:r>
            <w:r w:rsidR="00A56E08">
              <w:rPr>
                <w:rFonts w:ascii="Arial" w:eastAsiaTheme="minorHAnsi" w:hAnsi="Arial" w:cs="Arial"/>
                <w:color w:val="000000"/>
                <w:lang w:val="sr-Cyrl-BA"/>
              </w:rPr>
              <w:t>и</w:t>
            </w:r>
            <w:r>
              <w:rPr>
                <w:rFonts w:ascii="Arial" w:eastAsiaTheme="minorHAnsi" w:hAnsi="Arial" w:cs="Arial"/>
                <w:color w:val="000000"/>
                <w:lang w:val="sr-Cyrl-BA"/>
              </w:rPr>
              <w:t>т</w:t>
            </w:r>
            <w:r w:rsidR="00A56E08">
              <w:rPr>
                <w:rFonts w:ascii="Arial" w:eastAsiaTheme="minorHAnsi" w:hAnsi="Arial" w:cs="Arial"/>
                <w:color w:val="000000"/>
                <w:lang w:val="sr-Cyrl-BA"/>
              </w:rPr>
              <w:t>о</w:t>
            </w:r>
            <w:r>
              <w:rPr>
                <w:rFonts w:ascii="Arial" w:eastAsiaTheme="minorHAnsi" w:hAnsi="Arial" w:cs="Arial"/>
                <w:color w:val="000000"/>
                <w:lang w:val="sr-Cyrl-BA"/>
              </w:rPr>
              <w:t>р</w:t>
            </w:r>
            <w:r w:rsidR="00A56E08">
              <w:rPr>
                <w:rFonts w:ascii="Arial" w:eastAsiaTheme="minorHAnsi" w:hAnsi="Arial" w:cs="Arial"/>
                <w:color w:val="000000"/>
                <w:lang w:val="sr-Cyrl-BA"/>
              </w:rPr>
              <w:t>иј</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т</w:t>
            </w:r>
            <w:r w:rsidR="00A56E08">
              <w:rPr>
                <w:rFonts w:ascii="Arial" w:eastAsiaTheme="minorHAnsi" w:hAnsi="Arial" w:cs="Arial"/>
                <w:color w:val="000000"/>
                <w:lang w:val="sr-Cyrl-BA"/>
              </w:rPr>
              <w:t>акођ</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мо</w:t>
            </w:r>
            <w:r w:rsidR="00171F00">
              <w:rPr>
                <w:rFonts w:ascii="Arial" w:eastAsiaTheme="minorHAnsi" w:hAnsi="Arial" w:cs="Arial"/>
                <w:color w:val="000000"/>
                <w:lang w:val="sr-Cyrl-BA"/>
              </w:rPr>
              <w:t>ж</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с</w:t>
            </w:r>
            <w:r w:rsidR="00A56E08">
              <w:rPr>
                <w:rFonts w:ascii="Arial" w:eastAsiaTheme="minorHAnsi" w:hAnsi="Arial" w:cs="Arial"/>
                <w:color w:val="000000"/>
                <w:lang w:val="sr-Cyrl-BA"/>
              </w:rPr>
              <w:t>ад</w:t>
            </w:r>
            <w:r>
              <w:rPr>
                <w:rFonts w:ascii="Arial" w:eastAsiaTheme="minorHAnsi" w:hAnsi="Arial" w:cs="Arial"/>
                <w:color w:val="000000"/>
                <w:lang w:val="sr-Cyrl-BA"/>
              </w:rPr>
              <w:t>р</w:t>
            </w:r>
            <w:r w:rsidR="00171F00">
              <w:rPr>
                <w:rFonts w:ascii="Arial" w:eastAsiaTheme="minorHAnsi" w:hAnsi="Arial" w:cs="Arial"/>
                <w:color w:val="000000"/>
                <w:lang w:val="sr-Cyrl-BA"/>
              </w:rPr>
              <w:t>ж</w:t>
            </w:r>
            <w:r w:rsidR="00A56E08">
              <w:rPr>
                <w:rFonts w:ascii="Arial" w:eastAsiaTheme="minorHAnsi" w:hAnsi="Arial" w:cs="Arial"/>
                <w:color w:val="000000"/>
                <w:lang w:val="sr-Cyrl-BA"/>
              </w:rPr>
              <w:t>а</w:t>
            </w:r>
            <w:r>
              <w:rPr>
                <w:rFonts w:ascii="Arial" w:eastAsiaTheme="minorHAnsi" w:hAnsi="Arial" w:cs="Arial"/>
                <w:color w:val="000000"/>
                <w:lang w:val="sr-Cyrl-BA"/>
              </w:rPr>
              <w:t>в</w:t>
            </w:r>
            <w:r w:rsidR="00A56E08">
              <w:rPr>
                <w:rFonts w:ascii="Arial" w:eastAsiaTheme="minorHAnsi" w:hAnsi="Arial" w:cs="Arial"/>
                <w:color w:val="000000"/>
                <w:lang w:val="sr-Cyrl-BA"/>
              </w:rPr>
              <w:t>а</w:t>
            </w:r>
            <w:r>
              <w:rPr>
                <w:rFonts w:ascii="Arial" w:eastAsiaTheme="minorHAnsi" w:hAnsi="Arial" w:cs="Arial"/>
                <w:color w:val="000000"/>
                <w:lang w:val="sr-Cyrl-BA"/>
              </w:rPr>
              <w:t>т</w:t>
            </w:r>
            <w:r w:rsidR="00A56E08">
              <w:rPr>
                <w:rFonts w:ascii="Arial" w:eastAsiaTheme="minorHAnsi" w:hAnsi="Arial" w:cs="Arial"/>
                <w:color w:val="000000"/>
                <w:lang w:val="sr-Cyrl-BA"/>
              </w:rPr>
              <w:t>и</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на</w:t>
            </w:r>
            <w:r>
              <w:rPr>
                <w:rFonts w:ascii="Arial" w:eastAsiaTheme="minorHAnsi" w:hAnsi="Arial" w:cs="Arial"/>
                <w:color w:val="000000"/>
                <w:lang w:val="sr-Cyrl-BA"/>
              </w:rPr>
              <w:t>ст</w:t>
            </w:r>
            <w:r w:rsidR="00A56E08">
              <w:rPr>
                <w:rFonts w:ascii="Arial" w:eastAsiaTheme="minorHAnsi" w:hAnsi="Arial" w:cs="Arial"/>
                <w:color w:val="000000"/>
                <w:lang w:val="sr-Cyrl-BA"/>
              </w:rPr>
              <w:t>а</w:t>
            </w:r>
            <w:r>
              <w:rPr>
                <w:rFonts w:ascii="Arial" w:eastAsiaTheme="minorHAnsi" w:hAnsi="Arial" w:cs="Arial"/>
                <w:color w:val="000000"/>
                <w:lang w:val="sr-Cyrl-BA"/>
              </w:rPr>
              <w:t>в</w:t>
            </w:r>
            <w:r w:rsidR="00A56E08">
              <w:rPr>
                <w:rFonts w:ascii="Arial" w:eastAsiaTheme="minorHAnsi" w:hAnsi="Arial" w:cs="Arial"/>
                <w:color w:val="000000"/>
                <w:lang w:val="sr-Cyrl-BA"/>
              </w:rPr>
              <w:t>н</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пр</w:t>
            </w:r>
            <w:r w:rsidR="00A56E08">
              <w:rPr>
                <w:rFonts w:ascii="Arial" w:eastAsiaTheme="minorHAnsi" w:hAnsi="Arial" w:cs="Arial"/>
                <w:color w:val="000000"/>
                <w:lang w:val="sr-Cyrl-BA"/>
              </w:rPr>
              <w:t>и</w:t>
            </w:r>
            <w:r>
              <w:rPr>
                <w:rFonts w:ascii="Arial" w:eastAsiaTheme="minorHAnsi" w:hAnsi="Arial" w:cs="Arial"/>
                <w:color w:val="000000"/>
                <w:lang w:val="sr-Cyrl-BA"/>
              </w:rPr>
              <w:t>пр</w:t>
            </w:r>
            <w:r w:rsidR="00EE6AA2">
              <w:rPr>
                <w:rFonts w:ascii="Arial" w:eastAsiaTheme="minorHAnsi" w:hAnsi="Arial" w:cs="Arial"/>
                <w:color w:val="000000"/>
                <w:lang w:val="sr-Cyrl-BA"/>
              </w:rPr>
              <w:t>е</w:t>
            </w:r>
            <w:r w:rsidR="00A56E08">
              <w:rPr>
                <w:rFonts w:ascii="Arial" w:eastAsiaTheme="minorHAnsi" w:hAnsi="Arial" w:cs="Arial"/>
                <w:color w:val="000000"/>
                <w:lang w:val="sr-Cyrl-BA"/>
              </w:rPr>
              <w:t>м</w:t>
            </w:r>
            <w:r w:rsidR="00EE6AA2">
              <w:rPr>
                <w:rFonts w:ascii="Arial" w:eastAsiaTheme="minorHAnsi" w:hAnsi="Arial" w:cs="Arial"/>
                <w:color w:val="000000"/>
                <w:lang w:val="sr-Cyrl-BA"/>
              </w:rPr>
              <w:t>е</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пр</w:t>
            </w:r>
            <w:r w:rsidR="00A56E08">
              <w:rPr>
                <w:rFonts w:ascii="Arial" w:eastAsiaTheme="minorHAnsi" w:hAnsi="Arial" w:cs="Arial"/>
                <w:color w:val="000000"/>
                <w:lang w:val="sr-Cyrl-BA"/>
              </w:rPr>
              <w:t>имј</w:t>
            </w:r>
            <w:r w:rsidR="00EE6AA2">
              <w:rPr>
                <w:rFonts w:ascii="Arial" w:eastAsiaTheme="minorHAnsi" w:hAnsi="Arial" w:cs="Arial"/>
                <w:color w:val="000000"/>
                <w:lang w:val="sr-Cyrl-BA"/>
              </w:rPr>
              <w:t>е</w:t>
            </w:r>
            <w:r>
              <w:rPr>
                <w:rFonts w:ascii="Arial" w:eastAsiaTheme="minorHAnsi" w:hAnsi="Arial" w:cs="Arial"/>
                <w:color w:val="000000"/>
                <w:lang w:val="sr-Cyrl-BA"/>
              </w:rPr>
              <w:t>р</w:t>
            </w:r>
            <w:r w:rsidR="00A56E08">
              <w:rPr>
                <w:rFonts w:ascii="Arial" w:eastAsiaTheme="minorHAnsi" w:hAnsi="Arial" w:cs="Arial"/>
                <w:color w:val="000000"/>
                <w:lang w:val="sr-Cyrl-BA"/>
              </w:rPr>
              <w:t>а</w:t>
            </w:r>
            <w:r w:rsidR="00892898" w:rsidRPr="00F6340E">
              <w:rPr>
                <w:rFonts w:ascii="Arial" w:eastAsiaTheme="minorHAnsi" w:hAnsi="Arial" w:cs="Arial"/>
                <w:color w:val="000000"/>
                <w:lang w:val="sr-Cyrl-BA"/>
              </w:rPr>
              <w:t xml:space="preserve"> </w:t>
            </w:r>
            <w:r w:rsidR="00A56E08">
              <w:rPr>
                <w:rFonts w:ascii="Arial" w:eastAsiaTheme="minorHAnsi" w:hAnsi="Arial" w:cs="Arial"/>
                <w:color w:val="000000"/>
                <w:lang w:val="sr-Cyrl-BA"/>
              </w:rPr>
              <w:t>доб</w:t>
            </w:r>
            <w:r>
              <w:rPr>
                <w:rFonts w:ascii="Arial" w:eastAsiaTheme="minorHAnsi" w:hAnsi="Arial" w:cs="Arial"/>
                <w:color w:val="000000"/>
                <w:lang w:val="sr-Cyrl-BA"/>
              </w:rPr>
              <w:t>р</w:t>
            </w:r>
            <w:r w:rsidR="00A56E08">
              <w:rPr>
                <w:rFonts w:ascii="Arial" w:eastAsiaTheme="minorHAnsi" w:hAnsi="Arial" w:cs="Arial"/>
                <w:color w:val="000000"/>
                <w:lang w:val="sr-Cyrl-BA"/>
              </w:rPr>
              <w:t>их</w:t>
            </w:r>
            <w:r w:rsidR="00892898" w:rsidRPr="00F6340E">
              <w:rPr>
                <w:rFonts w:ascii="Arial" w:eastAsiaTheme="minorHAnsi" w:hAnsi="Arial" w:cs="Arial"/>
                <w:color w:val="000000"/>
                <w:lang w:val="sr-Cyrl-BA"/>
              </w:rPr>
              <w:t xml:space="preserve"> </w:t>
            </w:r>
            <w:r>
              <w:rPr>
                <w:rFonts w:ascii="Arial" w:eastAsiaTheme="minorHAnsi" w:hAnsi="Arial" w:cs="Arial"/>
                <w:color w:val="000000"/>
                <w:lang w:val="sr-Cyrl-BA"/>
              </w:rPr>
              <w:t>пр</w:t>
            </w:r>
            <w:r w:rsidR="00A56E08">
              <w:rPr>
                <w:rFonts w:ascii="Arial" w:eastAsiaTheme="minorHAnsi" w:hAnsi="Arial" w:cs="Arial"/>
                <w:color w:val="000000"/>
                <w:lang w:val="sr-Cyrl-BA"/>
              </w:rPr>
              <w:t>ак</w:t>
            </w:r>
            <w:r>
              <w:rPr>
                <w:rFonts w:ascii="Arial" w:eastAsiaTheme="minorHAnsi" w:hAnsi="Arial" w:cs="Arial"/>
                <w:color w:val="000000"/>
                <w:lang w:val="sr-Cyrl-BA"/>
              </w:rPr>
              <w:t>с</w:t>
            </w:r>
            <w:r w:rsidR="00A56E08">
              <w:rPr>
                <w:rFonts w:ascii="Arial" w:eastAsiaTheme="minorHAnsi" w:hAnsi="Arial" w:cs="Arial"/>
                <w:color w:val="000000"/>
                <w:lang w:val="sr-Cyrl-BA"/>
              </w:rPr>
              <w:t>и</w:t>
            </w:r>
            <w:r w:rsidR="00892898" w:rsidRPr="00F6340E">
              <w:rPr>
                <w:rFonts w:ascii="Arial" w:eastAsiaTheme="minorHAnsi" w:hAnsi="Arial" w:cs="Arial"/>
                <w:color w:val="000000"/>
                <w:lang w:val="sr-Cyrl-BA"/>
              </w:rPr>
              <w:t xml:space="preserve">. </w:t>
            </w:r>
          </w:p>
          <w:p w14:paraId="65CFCF01" w14:textId="11C3AEB9" w:rsidR="00BB049E" w:rsidRPr="00F6340E" w:rsidRDefault="00A56E08" w:rsidP="00FB5CB7">
            <w:pPr>
              <w:pStyle w:val="ListParagraph"/>
              <w:numPr>
                <w:ilvl w:val="0"/>
                <w:numId w:val="37"/>
              </w:numPr>
              <w:jc w:val="left"/>
              <w:textAlignment w:val="baseline"/>
              <w:rPr>
                <w:rFonts w:ascii="Arial" w:eastAsiaTheme="minorEastAsia" w:hAnsi="Arial" w:cs="Arial"/>
                <w:b/>
                <w:color w:val="000000" w:themeColor="text1"/>
                <w:lang w:val="sr-Cyrl-BA"/>
              </w:rPr>
            </w:pPr>
            <w:r>
              <w:rPr>
                <w:rFonts w:ascii="Arial" w:eastAsiaTheme="minorEastAsia" w:hAnsi="Arial" w:cs="Arial"/>
                <w:b/>
                <w:color w:val="000000" w:themeColor="text1"/>
                <w:lang w:val="sr-Cyrl-BA"/>
              </w:rPr>
              <w:t>К</w:t>
            </w:r>
            <w:r w:rsidR="0071360A">
              <w:rPr>
                <w:rFonts w:ascii="Arial" w:eastAsiaTheme="minorEastAsia" w:hAnsi="Arial" w:cs="Arial"/>
                <w:b/>
                <w:color w:val="000000" w:themeColor="text1"/>
                <w:lang w:val="sr-Cyrl-BA"/>
              </w:rPr>
              <w:t>р</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с</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ст</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м</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инфо</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ма</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ичк</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71360A">
              <w:rPr>
                <w:rFonts w:ascii="Arial" w:eastAsiaTheme="minorEastAsia" w:hAnsi="Arial" w:cs="Arial"/>
                <w:b/>
                <w:color w:val="000000" w:themeColor="text1"/>
                <w:lang w:val="sr-Cyrl-BA"/>
              </w:rPr>
              <w:t>с</w:t>
            </w:r>
            <w:r>
              <w:rPr>
                <w:rFonts w:ascii="Arial" w:eastAsiaTheme="minorEastAsia" w:hAnsi="Arial" w:cs="Arial"/>
                <w:b/>
                <w:color w:val="000000" w:themeColor="text1"/>
                <w:lang w:val="sr-Cyrl-BA"/>
              </w:rPr>
              <w:t>иг</w:t>
            </w:r>
            <w:r w:rsidR="0071360A">
              <w:rPr>
                <w:rFonts w:ascii="Arial" w:eastAsiaTheme="minorEastAsia" w:hAnsi="Arial" w:cs="Arial"/>
                <w:b/>
                <w:color w:val="000000" w:themeColor="text1"/>
                <w:lang w:val="sr-Cyrl-BA"/>
              </w:rPr>
              <w:t>ур</w:t>
            </w:r>
            <w:r>
              <w:rPr>
                <w:rFonts w:ascii="Arial" w:eastAsiaTheme="minorEastAsia" w:hAnsi="Arial" w:cs="Arial"/>
                <w:b/>
                <w:color w:val="000000" w:themeColor="text1"/>
                <w:lang w:val="sr-Cyrl-BA"/>
              </w:rPr>
              <w:t>но</w:t>
            </w:r>
            <w:r w:rsidR="0071360A">
              <w:rPr>
                <w:rFonts w:ascii="Arial" w:eastAsiaTheme="minorEastAsia" w:hAnsi="Arial" w:cs="Arial"/>
                <w:b/>
                <w:color w:val="000000" w:themeColor="text1"/>
                <w:lang w:val="sr-Cyrl-BA"/>
              </w:rPr>
              <w:t>ст</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шт</w:t>
            </w:r>
            <w:r>
              <w:rPr>
                <w:rFonts w:ascii="Arial" w:eastAsiaTheme="minorEastAsia" w:hAnsi="Arial" w:cs="Arial"/>
                <w:b/>
                <w:color w:val="000000" w:themeColor="text1"/>
                <w:lang w:val="sr-Cyrl-BA"/>
              </w:rPr>
              <w:t>и</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них</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мј</w:t>
            </w:r>
            <w:r w:rsidR="00EE6AA2">
              <w:rPr>
                <w:rFonts w:ascii="Arial" w:eastAsiaTheme="minorEastAsia" w:hAnsi="Arial" w:cs="Arial"/>
                <w:b/>
                <w:color w:val="000000" w:themeColor="text1"/>
                <w:lang w:val="sr-Cyrl-BA"/>
              </w:rPr>
              <w:t>е</w:t>
            </w:r>
            <w:r w:rsidR="0071360A">
              <w:rPr>
                <w:rFonts w:ascii="Arial" w:eastAsiaTheme="minorEastAsia" w:hAnsi="Arial" w:cs="Arial"/>
                <w:b/>
                <w:color w:val="000000" w:themeColor="text1"/>
                <w:lang w:val="sr-Cyrl-BA"/>
              </w:rPr>
              <w:t>р</w:t>
            </w:r>
            <w:r>
              <w:rPr>
                <w:rFonts w:ascii="Arial" w:eastAsiaTheme="minorEastAsia" w:hAnsi="Arial" w:cs="Arial"/>
                <w:b/>
                <w:color w:val="000000" w:themeColor="text1"/>
                <w:lang w:val="sr-Cyrl-BA"/>
              </w:rPr>
              <w:t>а</w:t>
            </w:r>
            <w:r w:rsidR="00E0328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кој</w:t>
            </w:r>
            <w:r w:rsidR="00EE6AA2">
              <w:rPr>
                <w:rFonts w:ascii="Arial" w:eastAsiaTheme="minorEastAsia" w:hAnsi="Arial" w:cs="Arial"/>
                <w:b/>
                <w:color w:val="000000" w:themeColor="text1"/>
                <w:lang w:val="sr-Cyrl-BA"/>
              </w:rPr>
              <w:t>е</w:t>
            </w:r>
            <w:r w:rsidR="00BB049E"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ћ</w:t>
            </w:r>
            <w:r w:rsidR="00EE6AA2">
              <w:rPr>
                <w:rFonts w:ascii="Arial" w:eastAsiaTheme="minorEastAsia" w:hAnsi="Arial" w:cs="Arial"/>
                <w:b/>
                <w:color w:val="000000" w:themeColor="text1"/>
                <w:lang w:val="sr-Cyrl-BA"/>
              </w:rPr>
              <w:t>е</w:t>
            </w:r>
            <w:r w:rsidR="00BB049E"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о</w:t>
            </w:r>
            <w:r w:rsidR="0071360A">
              <w:rPr>
                <w:rFonts w:ascii="Arial" w:eastAsiaTheme="minorEastAsia" w:hAnsi="Arial" w:cs="Arial"/>
                <w:b/>
                <w:color w:val="000000" w:themeColor="text1"/>
                <w:lang w:val="sr-Cyrl-BA"/>
              </w:rPr>
              <w:t>с</w:t>
            </w:r>
            <w:r>
              <w:rPr>
                <w:rFonts w:ascii="Arial" w:eastAsiaTheme="minorEastAsia" w:hAnsi="Arial" w:cs="Arial"/>
                <w:b/>
                <w:color w:val="000000" w:themeColor="text1"/>
                <w:lang w:val="sr-Cyrl-BA"/>
              </w:rPr>
              <w:t>иг</w:t>
            </w:r>
            <w:r w:rsidR="0071360A">
              <w:rPr>
                <w:rFonts w:ascii="Arial" w:eastAsiaTheme="minorEastAsia" w:hAnsi="Arial" w:cs="Arial"/>
                <w:b/>
                <w:color w:val="000000" w:themeColor="text1"/>
                <w:lang w:val="sr-Cyrl-BA"/>
              </w:rPr>
              <w:t>ур</w:t>
            </w:r>
            <w:r>
              <w:rPr>
                <w:rFonts w:ascii="Arial" w:eastAsiaTheme="minorEastAsia" w:hAnsi="Arial" w:cs="Arial"/>
                <w:b/>
                <w:color w:val="000000" w:themeColor="text1"/>
                <w:lang w:val="sr-Cyrl-BA"/>
              </w:rPr>
              <w:t>а</w:t>
            </w:r>
            <w:r w:rsidR="0071360A">
              <w:rPr>
                <w:rFonts w:ascii="Arial" w:eastAsiaTheme="minorEastAsia" w:hAnsi="Arial" w:cs="Arial"/>
                <w:b/>
                <w:color w:val="000000" w:themeColor="text1"/>
                <w:lang w:val="sr-Cyrl-BA"/>
              </w:rPr>
              <w:t>т</w:t>
            </w:r>
            <w:r>
              <w:rPr>
                <w:rFonts w:ascii="Arial" w:eastAsiaTheme="minorEastAsia" w:hAnsi="Arial" w:cs="Arial"/>
                <w:b/>
                <w:color w:val="000000" w:themeColor="text1"/>
                <w:lang w:val="sr-Cyrl-BA"/>
              </w:rPr>
              <w:t>и</w:t>
            </w:r>
            <w:r w:rsidR="00BB049E" w:rsidRPr="00F6340E">
              <w:rPr>
                <w:rFonts w:ascii="Arial" w:eastAsiaTheme="minorEastAsia" w:hAnsi="Arial" w:cs="Arial"/>
                <w:b/>
                <w:color w:val="000000" w:themeColor="text1"/>
                <w:lang w:val="sr-Cyrl-BA"/>
              </w:rPr>
              <w:t xml:space="preserve"> </w:t>
            </w:r>
            <w:r w:rsidR="00171F00">
              <w:rPr>
                <w:rFonts w:ascii="Arial" w:eastAsia="Arial" w:hAnsi="Arial" w:cs="Arial"/>
                <w:b/>
                <w:color w:val="000000"/>
                <w:lang w:val="sr-Cyrl-BA"/>
              </w:rPr>
              <w:t>з</w:t>
            </w:r>
            <w:r>
              <w:rPr>
                <w:rFonts w:ascii="Arial" w:eastAsia="Arial" w:hAnsi="Arial" w:cs="Arial"/>
                <w:b/>
                <w:color w:val="000000"/>
                <w:lang w:val="sr-Cyrl-BA"/>
              </w:rPr>
              <w:t>а</w:t>
            </w:r>
            <w:r w:rsidR="0071360A">
              <w:rPr>
                <w:rFonts w:ascii="Arial" w:eastAsia="Arial" w:hAnsi="Arial" w:cs="Arial"/>
                <w:b/>
                <w:color w:val="000000"/>
                <w:lang w:val="sr-Cyrl-BA"/>
              </w:rPr>
              <w:t>шт</w:t>
            </w:r>
            <w:r>
              <w:rPr>
                <w:rFonts w:ascii="Arial" w:eastAsia="Arial" w:hAnsi="Arial" w:cs="Arial"/>
                <w:b/>
                <w:color w:val="000000"/>
                <w:lang w:val="sr-Cyrl-BA"/>
              </w:rPr>
              <w:t>и</w:t>
            </w:r>
            <w:r w:rsidR="0071360A">
              <w:rPr>
                <w:rFonts w:ascii="Arial" w:eastAsia="Arial" w:hAnsi="Arial" w:cs="Arial"/>
                <w:b/>
                <w:color w:val="000000"/>
                <w:lang w:val="sr-Cyrl-BA"/>
              </w:rPr>
              <w:t>ту</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пр</w:t>
            </w:r>
            <w:r>
              <w:rPr>
                <w:rFonts w:ascii="Arial" w:eastAsia="Arial" w:hAnsi="Arial" w:cs="Arial"/>
                <w:b/>
                <w:color w:val="000000"/>
                <w:lang w:val="sr-Cyrl-BA"/>
              </w:rPr>
              <w:t>и</w:t>
            </w:r>
            <w:r w:rsidR="0071360A">
              <w:rPr>
                <w:rFonts w:ascii="Arial" w:eastAsia="Arial" w:hAnsi="Arial" w:cs="Arial"/>
                <w:b/>
                <w:color w:val="000000"/>
                <w:lang w:val="sr-Cyrl-BA"/>
              </w:rPr>
              <w:t>ступ</w:t>
            </w:r>
            <w:r>
              <w:rPr>
                <w:rFonts w:ascii="Arial" w:eastAsia="Arial" w:hAnsi="Arial" w:cs="Arial"/>
                <w:b/>
                <w:color w:val="000000"/>
                <w:lang w:val="sr-Cyrl-BA"/>
              </w:rPr>
              <w:t>а</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надгл</w:t>
            </w:r>
            <w:r w:rsidR="00EE6AA2">
              <w:rPr>
                <w:rFonts w:ascii="Arial" w:eastAsia="Arial" w:hAnsi="Arial" w:cs="Arial"/>
                <w:b/>
                <w:color w:val="000000"/>
                <w:lang w:val="sr-Cyrl-BA"/>
              </w:rPr>
              <w:t>е</w:t>
            </w:r>
            <w:r>
              <w:rPr>
                <w:rFonts w:ascii="Arial" w:eastAsia="Arial" w:hAnsi="Arial" w:cs="Arial"/>
                <w:b/>
                <w:color w:val="000000"/>
                <w:lang w:val="sr-Cyrl-BA"/>
              </w:rPr>
              <w:t>дањ</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р</w:t>
            </w:r>
            <w:r>
              <w:rPr>
                <w:rFonts w:ascii="Arial" w:eastAsia="Arial" w:hAnsi="Arial" w:cs="Arial"/>
                <w:b/>
                <w:color w:val="000000"/>
                <w:lang w:val="sr-Cyrl-BA"/>
              </w:rPr>
              <w:t>ада</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и</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ур</w:t>
            </w:r>
            <w:r w:rsidR="00EE6AA2">
              <w:rPr>
                <w:rFonts w:ascii="Arial" w:eastAsia="Arial" w:hAnsi="Arial" w:cs="Arial"/>
                <w:b/>
                <w:color w:val="000000"/>
                <w:lang w:val="sr-Cyrl-BA"/>
              </w:rPr>
              <w:t>е</w:t>
            </w:r>
            <w:r>
              <w:rPr>
                <w:rFonts w:ascii="Arial" w:eastAsia="Arial" w:hAnsi="Arial" w:cs="Arial"/>
                <w:b/>
                <w:color w:val="000000"/>
                <w:lang w:val="sr-Cyrl-BA"/>
              </w:rPr>
              <w:t>ђаја</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циј</w:t>
            </w:r>
            <w:r w:rsidR="00EE6AA2">
              <w:rPr>
                <w:rFonts w:ascii="Arial" w:eastAsia="Arial" w:hAnsi="Arial" w:cs="Arial"/>
                <w:b/>
                <w:color w:val="000000"/>
                <w:lang w:val="sr-Cyrl-BA"/>
              </w:rPr>
              <w:t>е</w:t>
            </w:r>
            <w:r>
              <w:rPr>
                <w:rFonts w:ascii="Arial" w:eastAsia="Arial" w:hAnsi="Arial" w:cs="Arial"/>
                <w:b/>
                <w:color w:val="000000"/>
                <w:lang w:val="sr-Cyrl-BA"/>
              </w:rPr>
              <w:t>л</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инф</w:t>
            </w:r>
            <w:r w:rsidR="0071360A">
              <w:rPr>
                <w:rFonts w:ascii="Arial" w:eastAsia="Arial" w:hAnsi="Arial" w:cs="Arial"/>
                <w:b/>
                <w:color w:val="000000"/>
                <w:lang w:val="sr-Cyrl-BA"/>
              </w:rPr>
              <w:t>р</w:t>
            </w:r>
            <w:r>
              <w:rPr>
                <w:rFonts w:ascii="Arial" w:eastAsia="Arial" w:hAnsi="Arial" w:cs="Arial"/>
                <w:b/>
                <w:color w:val="000000"/>
                <w:lang w:val="sr-Cyrl-BA"/>
              </w:rPr>
              <w:t>а</w:t>
            </w:r>
            <w:r w:rsidR="0071360A">
              <w:rPr>
                <w:rFonts w:ascii="Arial" w:eastAsia="Arial" w:hAnsi="Arial" w:cs="Arial"/>
                <w:b/>
                <w:color w:val="000000"/>
                <w:lang w:val="sr-Cyrl-BA"/>
              </w:rPr>
              <w:t>стру</w:t>
            </w:r>
            <w:r>
              <w:rPr>
                <w:rFonts w:ascii="Arial" w:eastAsia="Arial" w:hAnsi="Arial" w:cs="Arial"/>
                <w:b/>
                <w:color w:val="000000"/>
                <w:lang w:val="sr-Cyrl-BA"/>
              </w:rPr>
              <w:t>к</w:t>
            </w:r>
            <w:r w:rsidR="0071360A">
              <w:rPr>
                <w:rFonts w:ascii="Arial" w:eastAsia="Arial" w:hAnsi="Arial" w:cs="Arial"/>
                <w:b/>
                <w:color w:val="000000"/>
                <w:lang w:val="sr-Cyrl-BA"/>
              </w:rPr>
              <w:t>тур</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у</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об</w:t>
            </w:r>
            <w:r w:rsidR="0071360A">
              <w:rPr>
                <w:rFonts w:ascii="Arial" w:eastAsia="Arial" w:hAnsi="Arial" w:cs="Arial"/>
                <w:b/>
                <w:color w:val="000000"/>
                <w:lang w:val="sr-Cyrl-BA"/>
              </w:rPr>
              <w:t>р</w:t>
            </w:r>
            <w:r>
              <w:rPr>
                <w:rFonts w:ascii="Arial" w:eastAsia="Arial" w:hAnsi="Arial" w:cs="Arial"/>
                <w:b/>
                <w:color w:val="000000"/>
                <w:lang w:val="sr-Cyrl-BA"/>
              </w:rPr>
              <w:t>а</w:t>
            </w:r>
            <w:r w:rsidR="00171F00">
              <w:rPr>
                <w:rFonts w:ascii="Arial" w:eastAsia="Arial" w:hAnsi="Arial" w:cs="Arial"/>
                <w:b/>
                <w:color w:val="000000"/>
                <w:lang w:val="sr-Cyrl-BA"/>
              </w:rPr>
              <w:t>з</w:t>
            </w:r>
            <w:r>
              <w:rPr>
                <w:rFonts w:ascii="Arial" w:eastAsia="Arial" w:hAnsi="Arial" w:cs="Arial"/>
                <w:b/>
                <w:color w:val="000000"/>
                <w:lang w:val="sr-Cyrl-BA"/>
              </w:rPr>
              <w:t>о</w:t>
            </w:r>
            <w:r w:rsidR="0071360A">
              <w:rPr>
                <w:rFonts w:ascii="Arial" w:eastAsia="Arial" w:hAnsi="Arial" w:cs="Arial"/>
                <w:b/>
                <w:color w:val="000000"/>
                <w:lang w:val="sr-Cyrl-BA"/>
              </w:rPr>
              <w:t>в</w:t>
            </w:r>
            <w:r>
              <w:rPr>
                <w:rFonts w:ascii="Arial" w:eastAsia="Arial" w:hAnsi="Arial" w:cs="Arial"/>
                <w:b/>
                <w:color w:val="000000"/>
                <w:lang w:val="sr-Cyrl-BA"/>
              </w:rPr>
              <w:t>ној</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ин</w:t>
            </w:r>
            <w:r w:rsidR="0071360A">
              <w:rPr>
                <w:rFonts w:ascii="Arial" w:eastAsia="Arial" w:hAnsi="Arial" w:cs="Arial"/>
                <w:b/>
                <w:color w:val="000000"/>
                <w:lang w:val="sr-Cyrl-BA"/>
              </w:rPr>
              <w:t>ст</w:t>
            </w:r>
            <w:r>
              <w:rPr>
                <w:rFonts w:ascii="Arial" w:eastAsia="Arial" w:hAnsi="Arial" w:cs="Arial"/>
                <w:b/>
                <w:color w:val="000000"/>
                <w:lang w:val="sr-Cyrl-BA"/>
              </w:rPr>
              <w:t>и</w:t>
            </w:r>
            <w:r w:rsidR="0071360A">
              <w:rPr>
                <w:rFonts w:ascii="Arial" w:eastAsia="Arial" w:hAnsi="Arial" w:cs="Arial"/>
                <w:b/>
                <w:color w:val="000000"/>
                <w:lang w:val="sr-Cyrl-BA"/>
              </w:rPr>
              <w:t>ту</w:t>
            </w:r>
            <w:r>
              <w:rPr>
                <w:rFonts w:ascii="Arial" w:eastAsia="Arial" w:hAnsi="Arial" w:cs="Arial"/>
                <w:b/>
                <w:color w:val="000000"/>
                <w:lang w:val="sr-Cyrl-BA"/>
              </w:rPr>
              <w:t>цији</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т</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sidR="0071360A">
              <w:rPr>
                <w:rFonts w:ascii="Arial" w:eastAsia="Arial" w:hAnsi="Arial" w:cs="Arial"/>
                <w:b/>
                <w:color w:val="000000"/>
                <w:lang w:val="sr-Cyrl-BA"/>
              </w:rPr>
              <w:t>спр</w:t>
            </w:r>
            <w:r>
              <w:rPr>
                <w:rFonts w:ascii="Arial" w:eastAsia="Arial" w:hAnsi="Arial" w:cs="Arial"/>
                <w:b/>
                <w:color w:val="000000"/>
                <w:lang w:val="sr-Cyrl-BA"/>
              </w:rPr>
              <w:t>ј</w:t>
            </w:r>
            <w:r w:rsidR="00EE6AA2">
              <w:rPr>
                <w:rFonts w:ascii="Arial" w:eastAsia="Arial" w:hAnsi="Arial" w:cs="Arial"/>
                <w:b/>
                <w:color w:val="000000"/>
                <w:lang w:val="sr-Cyrl-BA"/>
              </w:rPr>
              <w:t>е</w:t>
            </w:r>
            <w:r>
              <w:rPr>
                <w:rFonts w:ascii="Arial" w:eastAsia="Arial" w:hAnsi="Arial" w:cs="Arial"/>
                <w:b/>
                <w:color w:val="000000"/>
                <w:lang w:val="sr-Cyrl-BA"/>
              </w:rPr>
              <w:t>ча</w:t>
            </w:r>
            <w:r w:rsidR="0071360A">
              <w:rPr>
                <w:rFonts w:ascii="Arial" w:eastAsia="Arial" w:hAnsi="Arial" w:cs="Arial"/>
                <w:b/>
                <w:color w:val="000000"/>
                <w:lang w:val="sr-Cyrl-BA"/>
              </w:rPr>
              <w:t>в</w:t>
            </w:r>
            <w:r>
              <w:rPr>
                <w:rFonts w:ascii="Arial" w:eastAsia="Arial" w:hAnsi="Arial" w:cs="Arial"/>
                <w:b/>
                <w:color w:val="000000"/>
                <w:lang w:val="sr-Cyrl-BA"/>
              </w:rPr>
              <w:t>ањ</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sidR="00171F00">
              <w:rPr>
                <w:rFonts w:ascii="Arial" w:eastAsia="Arial" w:hAnsi="Arial" w:cs="Arial"/>
                <w:b/>
                <w:color w:val="000000"/>
                <w:lang w:val="sr-Cyrl-BA"/>
              </w:rPr>
              <w:t>з</w:t>
            </w:r>
            <w:r>
              <w:rPr>
                <w:rFonts w:ascii="Arial" w:eastAsia="Arial" w:hAnsi="Arial" w:cs="Arial"/>
                <w:b/>
                <w:color w:val="000000"/>
                <w:lang w:val="sr-Cyrl-BA"/>
              </w:rPr>
              <w:t>ло</w:t>
            </w:r>
            <w:r w:rsidR="0071360A">
              <w:rPr>
                <w:rFonts w:ascii="Arial" w:eastAsia="Arial" w:hAnsi="Arial" w:cs="Arial"/>
                <w:b/>
                <w:color w:val="000000"/>
                <w:lang w:val="sr-Cyrl-BA"/>
              </w:rPr>
              <w:t>уп</w:t>
            </w:r>
            <w:r>
              <w:rPr>
                <w:rFonts w:ascii="Arial" w:eastAsia="Arial" w:hAnsi="Arial" w:cs="Arial"/>
                <w:b/>
                <w:color w:val="000000"/>
                <w:lang w:val="sr-Cyrl-BA"/>
              </w:rPr>
              <w:t>о</w:t>
            </w:r>
            <w:r w:rsidR="0071360A">
              <w:rPr>
                <w:rFonts w:ascii="Arial" w:eastAsia="Arial" w:hAnsi="Arial" w:cs="Arial"/>
                <w:b/>
                <w:color w:val="000000"/>
                <w:lang w:val="sr-Cyrl-BA"/>
              </w:rPr>
              <w:t>тр</w:t>
            </w:r>
            <w:r w:rsidR="00EE6AA2">
              <w:rPr>
                <w:rFonts w:ascii="Arial" w:eastAsia="Arial" w:hAnsi="Arial" w:cs="Arial"/>
                <w:b/>
                <w:color w:val="000000"/>
                <w:lang w:val="sr-Cyrl-BA"/>
              </w:rPr>
              <w:t>е</w:t>
            </w:r>
            <w:r>
              <w:rPr>
                <w:rFonts w:ascii="Arial" w:eastAsia="Arial" w:hAnsi="Arial" w:cs="Arial"/>
                <w:b/>
                <w:color w:val="000000"/>
                <w:lang w:val="sr-Cyrl-BA"/>
              </w:rPr>
              <w:t>б</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ид</w:t>
            </w:r>
            <w:r w:rsidR="00EE6AA2">
              <w:rPr>
                <w:rFonts w:ascii="Arial" w:eastAsia="Arial" w:hAnsi="Arial" w:cs="Arial"/>
                <w:b/>
                <w:color w:val="000000"/>
                <w:lang w:val="sr-Cyrl-BA"/>
              </w:rPr>
              <w:t>е</w:t>
            </w:r>
            <w:r>
              <w:rPr>
                <w:rFonts w:ascii="Arial" w:eastAsia="Arial" w:hAnsi="Arial" w:cs="Arial"/>
                <w:b/>
                <w:color w:val="000000"/>
                <w:lang w:val="sr-Cyrl-BA"/>
              </w:rPr>
              <w:t>н</w:t>
            </w:r>
            <w:r w:rsidR="0071360A">
              <w:rPr>
                <w:rFonts w:ascii="Arial" w:eastAsia="Arial" w:hAnsi="Arial" w:cs="Arial"/>
                <w:b/>
                <w:color w:val="000000"/>
                <w:lang w:val="sr-Cyrl-BA"/>
              </w:rPr>
              <w:t>т</w:t>
            </w:r>
            <w:r>
              <w:rPr>
                <w:rFonts w:ascii="Arial" w:eastAsia="Arial" w:hAnsi="Arial" w:cs="Arial"/>
                <w:b/>
                <w:color w:val="000000"/>
                <w:lang w:val="sr-Cyrl-BA"/>
              </w:rPr>
              <w:t>и</w:t>
            </w:r>
            <w:r w:rsidR="0071360A">
              <w:rPr>
                <w:rFonts w:ascii="Arial" w:eastAsia="Arial" w:hAnsi="Arial" w:cs="Arial"/>
                <w:b/>
                <w:color w:val="000000"/>
                <w:lang w:val="sr-Cyrl-BA"/>
              </w:rPr>
              <w:t>т</w:t>
            </w:r>
            <w:r w:rsidR="00EE6AA2">
              <w:rPr>
                <w:rFonts w:ascii="Arial" w:eastAsia="Arial" w:hAnsi="Arial" w:cs="Arial"/>
                <w:b/>
                <w:color w:val="000000"/>
                <w:lang w:val="sr-Cyrl-BA"/>
              </w:rPr>
              <w:t>е</w:t>
            </w:r>
            <w:r w:rsidR="0071360A">
              <w:rPr>
                <w:rFonts w:ascii="Arial" w:eastAsia="Arial" w:hAnsi="Arial" w:cs="Arial"/>
                <w:b/>
                <w:color w:val="000000"/>
                <w:lang w:val="sr-Cyrl-BA"/>
              </w:rPr>
              <w:t>т</w:t>
            </w:r>
            <w:r>
              <w:rPr>
                <w:rFonts w:ascii="Arial" w:eastAsia="Arial" w:hAnsi="Arial" w:cs="Arial"/>
                <w:b/>
                <w:color w:val="000000"/>
                <w:lang w:val="sr-Cyrl-BA"/>
              </w:rPr>
              <w:t>а</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и</w:t>
            </w:r>
            <w:r w:rsidR="00BB049E" w:rsidRPr="00F6340E">
              <w:rPr>
                <w:rFonts w:ascii="Arial" w:eastAsia="Arial" w:hAnsi="Arial" w:cs="Arial"/>
                <w:b/>
                <w:color w:val="000000"/>
                <w:lang w:val="sr-Cyrl-BA"/>
              </w:rPr>
              <w:t xml:space="preserve"> </w:t>
            </w:r>
            <w:r>
              <w:rPr>
                <w:rFonts w:ascii="Arial" w:eastAsia="Arial" w:hAnsi="Arial" w:cs="Arial"/>
                <w:b/>
                <w:color w:val="000000"/>
                <w:lang w:val="sr-Cyrl-BA"/>
              </w:rPr>
              <w:t>н</w:t>
            </w:r>
            <w:r w:rsidR="00EE6AA2">
              <w:rPr>
                <w:rFonts w:ascii="Arial" w:eastAsia="Arial" w:hAnsi="Arial" w:cs="Arial"/>
                <w:b/>
                <w:color w:val="000000"/>
                <w:lang w:val="sr-Cyrl-BA"/>
              </w:rPr>
              <w:t>е</w:t>
            </w:r>
            <w:r>
              <w:rPr>
                <w:rFonts w:ascii="Arial" w:eastAsia="Arial" w:hAnsi="Arial" w:cs="Arial"/>
                <w:b/>
                <w:color w:val="000000"/>
                <w:lang w:val="sr-Cyrl-BA"/>
              </w:rPr>
              <w:t>о</w:t>
            </w:r>
            <w:r w:rsidR="0071360A">
              <w:rPr>
                <w:rFonts w:ascii="Arial" w:eastAsia="Arial" w:hAnsi="Arial" w:cs="Arial"/>
                <w:b/>
                <w:color w:val="000000"/>
                <w:lang w:val="sr-Cyrl-BA"/>
              </w:rPr>
              <w:t>в</w:t>
            </w:r>
            <w:r>
              <w:rPr>
                <w:rFonts w:ascii="Arial" w:eastAsia="Arial" w:hAnsi="Arial" w:cs="Arial"/>
                <w:b/>
                <w:color w:val="000000"/>
                <w:lang w:val="sr-Cyrl-BA"/>
              </w:rPr>
              <w:t>ла</w:t>
            </w:r>
            <w:r w:rsidR="0071360A">
              <w:rPr>
                <w:rFonts w:ascii="Arial" w:eastAsia="Arial" w:hAnsi="Arial" w:cs="Arial"/>
                <w:b/>
                <w:color w:val="000000"/>
                <w:lang w:val="sr-Cyrl-BA"/>
              </w:rPr>
              <w:t>шт</w:t>
            </w:r>
            <w:r w:rsidR="00EE6AA2">
              <w:rPr>
                <w:rFonts w:ascii="Arial" w:eastAsia="Arial" w:hAnsi="Arial" w:cs="Arial"/>
                <w:b/>
                <w:color w:val="000000"/>
                <w:lang w:val="sr-Cyrl-BA"/>
              </w:rPr>
              <w:t>е</w:t>
            </w:r>
            <w:r>
              <w:rPr>
                <w:rFonts w:ascii="Arial" w:eastAsia="Arial" w:hAnsi="Arial" w:cs="Arial"/>
                <w:b/>
                <w:color w:val="000000"/>
                <w:lang w:val="sr-Cyrl-BA"/>
              </w:rPr>
              <w:t>н</w:t>
            </w:r>
            <w:r w:rsidR="00EE6AA2">
              <w:rPr>
                <w:rFonts w:ascii="Arial" w:eastAsia="Arial" w:hAnsi="Arial" w:cs="Arial"/>
                <w:b/>
                <w:color w:val="000000"/>
                <w:lang w:val="sr-Cyrl-BA"/>
              </w:rPr>
              <w:t>е</w:t>
            </w:r>
            <w:r w:rsidR="00D46A3E" w:rsidRPr="00F6340E">
              <w:rPr>
                <w:rFonts w:ascii="Arial" w:eastAsia="Arial" w:hAnsi="Arial" w:cs="Arial"/>
                <w:b/>
                <w:color w:val="000000"/>
                <w:lang w:val="sr-Cyrl-BA"/>
              </w:rPr>
              <w:t xml:space="preserve"> </w:t>
            </w:r>
            <w:r w:rsidR="0071360A">
              <w:rPr>
                <w:rFonts w:ascii="Arial" w:eastAsia="Arial" w:hAnsi="Arial" w:cs="Arial"/>
                <w:b/>
                <w:color w:val="000000"/>
                <w:lang w:val="sr-Cyrl-BA"/>
              </w:rPr>
              <w:t>уп</w:t>
            </w:r>
            <w:r>
              <w:rPr>
                <w:rFonts w:ascii="Arial" w:eastAsia="Arial" w:hAnsi="Arial" w:cs="Arial"/>
                <w:b/>
                <w:color w:val="000000"/>
                <w:lang w:val="sr-Cyrl-BA"/>
              </w:rPr>
              <w:t>о</w:t>
            </w:r>
            <w:r w:rsidR="0071360A">
              <w:rPr>
                <w:rFonts w:ascii="Arial" w:eastAsia="Arial" w:hAnsi="Arial" w:cs="Arial"/>
                <w:b/>
                <w:color w:val="000000"/>
                <w:lang w:val="sr-Cyrl-BA"/>
              </w:rPr>
              <w:t>тр</w:t>
            </w:r>
            <w:r w:rsidR="00EE6AA2">
              <w:rPr>
                <w:rFonts w:ascii="Arial" w:eastAsia="Arial" w:hAnsi="Arial" w:cs="Arial"/>
                <w:b/>
                <w:color w:val="000000"/>
                <w:lang w:val="sr-Cyrl-BA"/>
              </w:rPr>
              <w:t>е</w:t>
            </w:r>
            <w:r>
              <w:rPr>
                <w:rFonts w:ascii="Arial" w:eastAsia="Arial" w:hAnsi="Arial" w:cs="Arial"/>
                <w:b/>
                <w:color w:val="000000"/>
                <w:lang w:val="sr-Cyrl-BA"/>
              </w:rPr>
              <w:t>б</w:t>
            </w:r>
            <w:r w:rsidR="00EE6AA2">
              <w:rPr>
                <w:rFonts w:ascii="Arial" w:eastAsia="Arial" w:hAnsi="Arial" w:cs="Arial"/>
                <w:b/>
                <w:color w:val="000000"/>
                <w:lang w:val="sr-Cyrl-BA"/>
              </w:rPr>
              <w:t>е</w:t>
            </w:r>
            <w:r w:rsidR="00BB049E" w:rsidRPr="00F6340E">
              <w:rPr>
                <w:rFonts w:ascii="Arial" w:eastAsia="Arial" w:hAnsi="Arial" w:cs="Arial"/>
                <w:b/>
                <w:color w:val="000000"/>
                <w:lang w:val="sr-Cyrl-BA"/>
              </w:rPr>
              <w:t>.</w:t>
            </w:r>
          </w:p>
          <w:p w14:paraId="4E9DDA24" w14:textId="01930BA8" w:rsidR="00892898" w:rsidRPr="00F6340E" w:rsidRDefault="00A56E08" w:rsidP="00FB5CB7">
            <w:pPr>
              <w:pStyle w:val="ListParagraph"/>
              <w:numPr>
                <w:ilvl w:val="0"/>
                <w:numId w:val="37"/>
              </w:numPr>
              <w:jc w:val="left"/>
              <w:textAlignment w:val="baseline"/>
              <w:rPr>
                <w:rFonts w:ascii="Arial" w:eastAsiaTheme="minorHAnsi" w:hAnsi="Arial" w:cs="Arial"/>
                <w:b/>
                <w:color w:val="000000"/>
                <w:lang w:val="sr-Cyrl-BA"/>
              </w:rPr>
            </w:pPr>
            <w:r>
              <w:rPr>
                <w:rFonts w:ascii="Arial" w:eastAsiaTheme="minorHAnsi" w:hAnsi="Arial" w:cs="Arial"/>
                <w:b/>
                <w:color w:val="000000"/>
                <w:lang w:val="sr-Cyrl-BA"/>
              </w:rPr>
              <w:t>Омог</w:t>
            </w:r>
            <w:r w:rsidR="0071360A">
              <w:rPr>
                <w:rFonts w:ascii="Arial" w:eastAsiaTheme="minorHAnsi" w:hAnsi="Arial" w:cs="Arial"/>
                <w:b/>
                <w:color w:val="000000"/>
                <w:lang w:val="sr-Cyrl-BA"/>
              </w:rPr>
              <w:t>у</w:t>
            </w:r>
            <w:r>
              <w:rPr>
                <w:rFonts w:ascii="Arial" w:eastAsiaTheme="minorHAnsi" w:hAnsi="Arial" w:cs="Arial"/>
                <w:b/>
                <w:color w:val="000000"/>
                <w:lang w:val="sr-Cyrl-BA"/>
              </w:rPr>
              <w:t>ћи</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уп</w:t>
            </w:r>
            <w:r>
              <w:rPr>
                <w:rFonts w:ascii="Arial" w:eastAsiaTheme="minorHAnsi" w:hAnsi="Arial" w:cs="Arial"/>
                <w:b/>
                <w:color w:val="000000"/>
                <w:lang w:val="sr-Cyrl-BA"/>
              </w:rPr>
              <w:t>о</w:t>
            </w:r>
            <w:r w:rsidR="0071360A">
              <w:rPr>
                <w:rFonts w:ascii="Arial" w:eastAsiaTheme="minorHAnsi" w:hAnsi="Arial" w:cs="Arial"/>
                <w:b/>
                <w:color w:val="000000"/>
                <w:lang w:val="sr-Cyrl-BA"/>
              </w:rPr>
              <w:t>тр</w:t>
            </w:r>
            <w:r w:rsidR="00EE6AA2">
              <w:rPr>
                <w:rFonts w:ascii="Arial" w:eastAsiaTheme="minorHAnsi" w:hAnsi="Arial" w:cs="Arial"/>
                <w:b/>
                <w:color w:val="000000"/>
                <w:lang w:val="sr-Cyrl-BA"/>
              </w:rPr>
              <w:t>е</w:t>
            </w:r>
            <w:r>
              <w:rPr>
                <w:rFonts w:ascii="Arial" w:eastAsiaTheme="minorHAnsi" w:hAnsi="Arial" w:cs="Arial"/>
                <w:b/>
                <w:color w:val="000000"/>
                <w:lang w:val="sr-Cyrl-BA"/>
              </w:rPr>
              <w:t>б</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лиц</w:t>
            </w:r>
            <w:r w:rsidR="00EE6AA2">
              <w:rPr>
                <w:rFonts w:ascii="Arial" w:eastAsiaTheme="minorHAnsi" w:hAnsi="Arial" w:cs="Arial"/>
                <w:b/>
                <w:color w:val="000000"/>
                <w:lang w:val="sr-Cyrl-BA"/>
              </w:rPr>
              <w:t>е</w:t>
            </w:r>
            <w:r>
              <w:rPr>
                <w:rFonts w:ascii="Arial" w:eastAsiaTheme="minorHAnsi" w:hAnsi="Arial" w:cs="Arial"/>
                <w:b/>
                <w:color w:val="000000"/>
                <w:lang w:val="sr-Cyrl-BA"/>
              </w:rPr>
              <w:t>нци</w:t>
            </w:r>
            <w:r w:rsidR="0071360A">
              <w:rPr>
                <w:rFonts w:ascii="Arial" w:eastAsiaTheme="minorHAnsi" w:hAnsi="Arial" w:cs="Arial"/>
                <w:b/>
                <w:color w:val="000000"/>
                <w:lang w:val="sr-Cyrl-BA"/>
              </w:rPr>
              <w:t>р</w:t>
            </w:r>
            <w:r>
              <w:rPr>
                <w:rFonts w:ascii="Arial" w:eastAsiaTheme="minorHAnsi" w:hAnsi="Arial" w:cs="Arial"/>
                <w:b/>
                <w:color w:val="000000"/>
                <w:lang w:val="sr-Cyrl-BA"/>
              </w:rPr>
              <w:t>аних</w:t>
            </w:r>
            <w:r w:rsidR="00C10AE9"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Pr>
                <w:rFonts w:ascii="Arial" w:eastAsiaTheme="minorHAnsi" w:hAnsi="Arial" w:cs="Arial"/>
                <w:b/>
                <w:color w:val="000000"/>
                <w:lang w:val="sr-Cyrl-BA"/>
              </w:rPr>
              <w:t>оф</w:t>
            </w:r>
            <w:r w:rsidR="0071360A">
              <w:rPr>
                <w:rFonts w:ascii="Arial" w:eastAsiaTheme="minorHAnsi" w:hAnsi="Arial" w:cs="Arial"/>
                <w:b/>
                <w:color w:val="000000"/>
                <w:lang w:val="sr-Cyrl-BA"/>
              </w:rPr>
              <w:t>тв</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CC6DCA"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Pr>
                <w:rFonts w:ascii="Arial" w:eastAsiaTheme="minorHAnsi" w:hAnsi="Arial" w:cs="Arial"/>
                <w:b/>
                <w:color w:val="000000"/>
                <w:lang w:val="sr-Cyrl-BA"/>
              </w:rPr>
              <w:t>и</w:t>
            </w:r>
            <w:r w:rsidR="0071360A">
              <w:rPr>
                <w:rFonts w:ascii="Arial" w:eastAsiaTheme="minorHAnsi" w:hAnsi="Arial" w:cs="Arial"/>
                <w:b/>
                <w:color w:val="000000"/>
                <w:lang w:val="sr-Cyrl-BA"/>
              </w:rPr>
              <w:t>ст</w:t>
            </w:r>
            <w:r w:rsidR="00EE6AA2">
              <w:rPr>
                <w:rFonts w:ascii="Arial" w:eastAsiaTheme="minorHAnsi" w:hAnsi="Arial" w:cs="Arial"/>
                <w:b/>
                <w:color w:val="000000"/>
                <w:lang w:val="sr-Cyrl-BA"/>
              </w:rPr>
              <w:t>е</w:t>
            </w:r>
            <w:r>
              <w:rPr>
                <w:rFonts w:ascii="Arial" w:eastAsiaTheme="minorHAnsi" w:hAnsi="Arial" w:cs="Arial"/>
                <w:b/>
                <w:color w:val="000000"/>
                <w:lang w:val="sr-Cyrl-BA"/>
              </w:rPr>
              <w:t>м</w:t>
            </w:r>
            <w:r w:rsidR="0071360A">
              <w:rPr>
                <w:rFonts w:ascii="Arial" w:eastAsiaTheme="minorHAnsi" w:hAnsi="Arial" w:cs="Arial"/>
                <w:b/>
                <w:color w:val="000000"/>
                <w:lang w:val="sr-Cyrl-BA"/>
              </w:rPr>
              <w:t>с</w:t>
            </w:r>
            <w:r>
              <w:rPr>
                <w:rFonts w:ascii="Arial" w:eastAsiaTheme="minorHAnsi" w:hAnsi="Arial" w:cs="Arial"/>
                <w:b/>
                <w:color w:val="000000"/>
                <w:lang w:val="sr-Cyrl-BA"/>
              </w:rPr>
              <w:t>ко</w:t>
            </w:r>
            <w:r w:rsidR="00D46A3E"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CC6DCA"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а</w:t>
            </w:r>
            <w:r w:rsidR="0071360A">
              <w:rPr>
                <w:rFonts w:ascii="Arial" w:eastAsiaTheme="minorHAnsi" w:hAnsi="Arial" w:cs="Arial"/>
                <w:b/>
                <w:color w:val="000000"/>
                <w:lang w:val="sr-Cyrl-BA"/>
              </w:rPr>
              <w:t>п</w:t>
            </w:r>
            <w:r>
              <w:rPr>
                <w:rFonts w:ascii="Arial" w:eastAsiaTheme="minorHAnsi" w:hAnsi="Arial" w:cs="Arial"/>
                <w:b/>
                <w:color w:val="000000"/>
                <w:lang w:val="sr-Cyrl-BA"/>
              </w:rPr>
              <w:t>лика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71360A">
              <w:rPr>
                <w:rFonts w:ascii="Arial" w:eastAsiaTheme="minorHAnsi" w:hAnsi="Arial" w:cs="Arial"/>
                <w:b/>
                <w:color w:val="000000"/>
                <w:lang w:val="sr-Cyrl-BA"/>
              </w:rPr>
              <w:t>в</w:t>
            </w:r>
            <w:r>
              <w:rPr>
                <w:rFonts w:ascii="Arial" w:eastAsiaTheme="minorHAnsi" w:hAnsi="Arial" w:cs="Arial"/>
                <w:b/>
                <w:color w:val="000000"/>
                <w:lang w:val="sr-Cyrl-BA"/>
              </w:rPr>
              <w:t>ни</w:t>
            </w:r>
            <w:r w:rsidR="00CC6DCA" w:rsidRPr="00F6340E">
              <w:rPr>
                <w:rFonts w:ascii="Arial" w:eastAsiaTheme="minorHAnsi" w:hAnsi="Arial" w:cs="Arial"/>
                <w:b/>
                <w:color w:val="000000"/>
                <w:lang w:val="sr-Cyrl-BA"/>
              </w:rPr>
              <w:t>/</w:t>
            </w:r>
            <w:r w:rsidR="0071360A">
              <w:rPr>
                <w:rFonts w:ascii="Arial" w:eastAsiaTheme="minorHAnsi" w:hAnsi="Arial" w:cs="Arial"/>
                <w:b/>
                <w:color w:val="000000"/>
                <w:lang w:val="sr-Cyrl-BA"/>
              </w:rPr>
              <w:t>ус</w:t>
            </w:r>
            <w:r>
              <w:rPr>
                <w:rFonts w:ascii="Arial" w:eastAsiaTheme="minorHAnsi" w:hAnsi="Arial" w:cs="Arial"/>
                <w:b/>
                <w:color w:val="000000"/>
                <w:lang w:val="sr-Cyrl-BA"/>
              </w:rPr>
              <w:t>л</w:t>
            </w:r>
            <w:r w:rsidR="0071360A">
              <w:rPr>
                <w:rFonts w:ascii="Arial" w:eastAsiaTheme="minorHAnsi" w:hAnsi="Arial" w:cs="Arial"/>
                <w:b/>
                <w:color w:val="000000"/>
                <w:lang w:val="sr-Cyrl-BA"/>
              </w:rPr>
              <w:t>у</w:t>
            </w:r>
            <w:r w:rsidR="00171F00">
              <w:rPr>
                <w:rFonts w:ascii="Arial" w:eastAsiaTheme="minorHAnsi" w:hAnsi="Arial" w:cs="Arial"/>
                <w:b/>
                <w:color w:val="000000"/>
                <w:lang w:val="sr-Cyrl-BA"/>
              </w:rPr>
              <w:t>ж</w:t>
            </w:r>
            <w:r>
              <w:rPr>
                <w:rFonts w:ascii="Arial" w:eastAsiaTheme="minorHAnsi" w:hAnsi="Arial" w:cs="Arial"/>
                <w:b/>
                <w:color w:val="000000"/>
                <w:lang w:val="sr-Cyrl-BA"/>
              </w:rPr>
              <w:t>ни</w:t>
            </w:r>
            <w:r w:rsidR="00CC6DCA"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Pr>
                <w:rFonts w:ascii="Arial" w:eastAsiaTheme="minorHAnsi" w:hAnsi="Arial" w:cs="Arial"/>
                <w:b/>
                <w:color w:val="000000"/>
                <w:lang w:val="sr-Cyrl-BA"/>
              </w:rPr>
              <w:t>оф</w:t>
            </w:r>
            <w:r w:rsidR="0071360A">
              <w:rPr>
                <w:rFonts w:ascii="Arial" w:eastAsiaTheme="minorHAnsi" w:hAnsi="Arial" w:cs="Arial"/>
                <w:b/>
                <w:color w:val="000000"/>
                <w:lang w:val="sr-Cyrl-BA"/>
              </w:rPr>
              <w:t>тв</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w:t>
            </w:r>
            <w:r w:rsidR="00CC6DCA"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w:t>
            </w:r>
            <w:r w:rsidR="00CC6DCA"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од</w:t>
            </w:r>
            <w:r w:rsidR="0071360A">
              <w:rPr>
                <w:rFonts w:ascii="Arial" w:eastAsiaTheme="minorHAnsi" w:hAnsi="Arial" w:cs="Arial"/>
                <w:b/>
                <w:color w:val="000000"/>
                <w:lang w:val="sr-Cyrl-BA"/>
              </w:rPr>
              <w:t>р</w:t>
            </w:r>
            <w:r w:rsidR="00EE6AA2">
              <w:rPr>
                <w:rFonts w:ascii="Arial" w:eastAsiaTheme="minorHAnsi" w:hAnsi="Arial" w:cs="Arial"/>
                <w:b/>
                <w:color w:val="000000"/>
                <w:lang w:val="sr-Cyrl-BA"/>
              </w:rPr>
              <w:t>е</w:t>
            </w:r>
            <w:r>
              <w:rPr>
                <w:rFonts w:ascii="Arial" w:eastAsiaTheme="minorHAnsi" w:hAnsi="Arial" w:cs="Arial"/>
                <w:b/>
                <w:color w:val="000000"/>
                <w:lang w:val="sr-Cyrl-BA"/>
              </w:rPr>
              <w:t>ђ</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71360A">
              <w:rPr>
                <w:rFonts w:ascii="Arial" w:eastAsiaTheme="minorHAnsi" w:hAnsi="Arial" w:cs="Arial"/>
                <w:b/>
                <w:color w:val="000000"/>
                <w:lang w:val="sr-Cyrl-BA"/>
              </w:rPr>
              <w:t>у</w:t>
            </w:r>
            <w:r w:rsidR="00CC6DCA"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намј</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71360A">
              <w:rPr>
                <w:rFonts w:ascii="Arial" w:eastAsiaTheme="minorHAnsi" w:hAnsi="Arial" w:cs="Arial"/>
                <w:b/>
                <w:color w:val="000000"/>
                <w:lang w:val="sr-Cyrl-BA"/>
              </w:rPr>
              <w:t>у</w:t>
            </w:r>
            <w:r w:rsidR="00CC6DCA"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171F00">
              <w:rPr>
                <w:rFonts w:ascii="Arial" w:eastAsiaTheme="minorHAnsi" w:hAnsi="Arial" w:cs="Arial"/>
                <w:b/>
                <w:color w:val="000000"/>
                <w:lang w:val="sr-Cyrl-BA"/>
              </w:rPr>
              <w:t>з</w:t>
            </w:r>
            <w:r>
              <w:rPr>
                <w:rFonts w:ascii="Arial" w:eastAsiaTheme="minorHAnsi" w:hAnsi="Arial" w:cs="Arial"/>
                <w:b/>
                <w:color w:val="000000"/>
                <w:lang w:val="sr-Cyrl-BA"/>
              </w:rPr>
              <w:t>о</w:t>
            </w:r>
            <w:r w:rsidR="0071360A">
              <w:rPr>
                <w:rFonts w:ascii="Arial" w:eastAsiaTheme="minorHAnsi" w:hAnsi="Arial" w:cs="Arial"/>
                <w:b/>
                <w:color w:val="000000"/>
                <w:lang w:val="sr-Cyrl-BA"/>
              </w:rPr>
              <w:t>в</w:t>
            </w:r>
            <w:r>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ин</w:t>
            </w:r>
            <w:r w:rsidR="0071360A">
              <w:rPr>
                <w:rFonts w:ascii="Arial" w:eastAsiaTheme="minorHAnsi" w:hAnsi="Arial" w:cs="Arial"/>
                <w:b/>
                <w:color w:val="000000"/>
                <w:lang w:val="sr-Cyrl-BA"/>
              </w:rPr>
              <w:t>ст</w:t>
            </w:r>
            <w:r>
              <w:rPr>
                <w:rFonts w:ascii="Arial" w:eastAsiaTheme="minorHAnsi" w:hAnsi="Arial" w:cs="Arial"/>
                <w:b/>
                <w:color w:val="000000"/>
                <w:lang w:val="sr-Cyrl-BA"/>
              </w:rPr>
              <w:t>и</w:t>
            </w:r>
            <w:r w:rsidR="0071360A">
              <w:rPr>
                <w:rFonts w:ascii="Arial" w:eastAsiaTheme="minorHAnsi" w:hAnsi="Arial" w:cs="Arial"/>
                <w:b/>
                <w:color w:val="000000"/>
                <w:lang w:val="sr-Cyrl-BA"/>
              </w:rPr>
              <w:t>ту</w:t>
            </w:r>
            <w:r>
              <w:rPr>
                <w:rFonts w:ascii="Arial" w:eastAsiaTheme="minorHAnsi" w:hAnsi="Arial" w:cs="Arial"/>
                <w:b/>
                <w:color w:val="000000"/>
                <w:lang w:val="sr-Cyrl-BA"/>
              </w:rPr>
              <w:t>циј</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или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б</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сп</w:t>
            </w:r>
            <w:r>
              <w:rPr>
                <w:rFonts w:ascii="Arial" w:eastAsiaTheme="minorHAnsi" w:hAnsi="Arial" w:cs="Arial"/>
                <w:b/>
                <w:color w:val="000000"/>
                <w:lang w:val="sr-Cyrl-BA"/>
              </w:rPr>
              <w:t>ла</w:t>
            </w:r>
            <w:r w:rsidR="0071360A">
              <w:rPr>
                <w:rFonts w:ascii="Arial" w:eastAsiaTheme="minorHAnsi" w:hAnsi="Arial" w:cs="Arial"/>
                <w:b/>
                <w:color w:val="000000"/>
                <w:lang w:val="sr-Cyrl-BA"/>
              </w:rPr>
              <w:t>т</w:t>
            </w:r>
            <w:r>
              <w:rPr>
                <w:rFonts w:ascii="Arial" w:eastAsiaTheme="minorHAnsi" w:hAnsi="Arial" w:cs="Arial"/>
                <w:b/>
                <w:color w:val="000000"/>
                <w:lang w:val="sr-Cyrl-BA"/>
              </w:rPr>
              <w:t>ни</w:t>
            </w:r>
            <w:r w:rsidR="00C10AE9"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амј</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71360A">
              <w:rPr>
                <w:rFonts w:ascii="Arial" w:eastAsiaTheme="minorHAnsi" w:hAnsi="Arial" w:cs="Arial"/>
                <w:b/>
                <w:color w:val="000000"/>
                <w:lang w:val="sr-Cyrl-BA"/>
              </w:rPr>
              <w:t>с</w:t>
            </w:r>
            <w:r>
              <w:rPr>
                <w:rFonts w:ascii="Arial" w:eastAsiaTheme="minorHAnsi" w:hAnsi="Arial" w:cs="Arial"/>
                <w:b/>
                <w:color w:val="000000"/>
                <w:lang w:val="sr-Cyrl-BA"/>
              </w:rPr>
              <w:t>ки</w:t>
            </w:r>
            <w:r w:rsidR="00C10AE9"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Pr>
                <w:rFonts w:ascii="Arial" w:eastAsiaTheme="minorHAnsi" w:hAnsi="Arial" w:cs="Arial"/>
                <w:b/>
                <w:color w:val="000000"/>
                <w:lang w:val="sr-Cyrl-BA"/>
              </w:rPr>
              <w:t>оф</w:t>
            </w:r>
            <w:r w:rsidR="0071360A">
              <w:rPr>
                <w:rFonts w:ascii="Arial" w:eastAsiaTheme="minorHAnsi" w:hAnsi="Arial" w:cs="Arial"/>
                <w:b/>
                <w:color w:val="000000"/>
                <w:lang w:val="sr-Cyrl-BA"/>
              </w:rPr>
              <w:t>тв</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w:t>
            </w:r>
            <w:r w:rsidR="00892898" w:rsidRPr="00F6340E">
              <w:rPr>
                <w:rFonts w:ascii="Arial" w:eastAsiaTheme="minorHAnsi" w:hAnsi="Arial" w:cs="Arial"/>
                <w:b/>
                <w:color w:val="000000"/>
                <w:lang w:val="sr-Cyrl-BA"/>
              </w:rPr>
              <w:t>.</w:t>
            </w:r>
            <w:r w:rsidR="00892898" w:rsidRPr="00F6340E">
              <w:rPr>
                <w:rFonts w:ascii="Arial" w:eastAsiaTheme="minorHAnsi" w:hAnsi="Arial" w:cs="Arial"/>
                <w:b/>
                <w:color w:val="000000"/>
                <w:lang w:val="sr-Cyrl-BA"/>
              </w:rPr>
              <w:tab/>
            </w:r>
          </w:p>
          <w:p w14:paraId="18C67950" w14:textId="1F94AD76" w:rsidR="00892898" w:rsidRPr="00F6340E" w:rsidRDefault="00A56E08" w:rsidP="00FB5CB7">
            <w:pPr>
              <w:pStyle w:val="ListParagraph"/>
              <w:numPr>
                <w:ilvl w:val="0"/>
                <w:numId w:val="37"/>
              </w:numPr>
              <w:jc w:val="left"/>
              <w:textAlignment w:val="baseline"/>
              <w:rPr>
                <w:rFonts w:ascii="Arial" w:eastAsiaTheme="minorHAnsi" w:hAnsi="Arial" w:cs="Arial"/>
                <w:b/>
                <w:color w:val="000000"/>
                <w:lang w:val="sr-Cyrl-BA"/>
              </w:rPr>
            </w:pPr>
            <w:r>
              <w:rPr>
                <w:rFonts w:ascii="Arial" w:eastAsiaTheme="minorHAnsi" w:hAnsi="Arial" w:cs="Arial"/>
                <w:b/>
                <w:color w:val="000000"/>
                <w:lang w:val="sr-Cyrl-BA"/>
              </w:rPr>
              <w:t>Ма</w:t>
            </w:r>
            <w:r w:rsidR="0071360A">
              <w:rPr>
                <w:rFonts w:ascii="Arial" w:eastAsiaTheme="minorHAnsi" w:hAnsi="Arial" w:cs="Arial"/>
                <w:b/>
                <w:color w:val="000000"/>
                <w:lang w:val="sr-Cyrl-BA"/>
              </w:rPr>
              <w:t>п</w:t>
            </w:r>
            <w:r>
              <w:rPr>
                <w:rFonts w:ascii="Arial" w:eastAsiaTheme="minorHAnsi" w:hAnsi="Arial" w:cs="Arial"/>
                <w:b/>
                <w:color w:val="000000"/>
                <w:lang w:val="sr-Cyrl-BA"/>
              </w:rPr>
              <w:t>и</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Pr>
                <w:rFonts w:ascii="Arial" w:eastAsiaTheme="minorHAnsi" w:hAnsi="Arial" w:cs="Arial"/>
                <w:b/>
                <w:color w:val="000000"/>
                <w:lang w:val="sr-Cyrl-BA"/>
              </w:rPr>
              <w:t>оф</w:t>
            </w:r>
            <w:r w:rsidR="0071360A">
              <w:rPr>
                <w:rFonts w:ascii="Arial" w:eastAsiaTheme="minorHAnsi" w:hAnsi="Arial" w:cs="Arial"/>
                <w:b/>
                <w:color w:val="000000"/>
                <w:lang w:val="sr-Cyrl-BA"/>
              </w:rPr>
              <w:t>тв</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рс</w:t>
            </w:r>
            <w:r>
              <w:rPr>
                <w:rFonts w:ascii="Arial" w:eastAsiaTheme="minorHAnsi" w:hAnsi="Arial" w:cs="Arial"/>
                <w:b/>
                <w:color w:val="000000"/>
                <w:lang w:val="sr-Cyrl-BA"/>
              </w:rPr>
              <w:t>к</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ак</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т</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који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најко</w:t>
            </w:r>
            <w:r w:rsidR="0071360A">
              <w:rPr>
                <w:rFonts w:ascii="Arial" w:eastAsiaTheme="minorHAnsi" w:hAnsi="Arial" w:cs="Arial"/>
                <w:b/>
                <w:color w:val="000000"/>
                <w:lang w:val="sr-Cyrl-BA"/>
              </w:rPr>
              <w:t>р</w:t>
            </w:r>
            <w:r>
              <w:rPr>
                <w:rFonts w:ascii="Arial" w:eastAsiaTheme="minorHAnsi" w:hAnsi="Arial" w:cs="Arial"/>
                <w:b/>
                <w:color w:val="000000"/>
                <w:lang w:val="sr-Cyrl-BA"/>
              </w:rPr>
              <w:t>и</w:t>
            </w:r>
            <w:r w:rsidR="0071360A">
              <w:rPr>
                <w:rFonts w:ascii="Arial" w:eastAsiaTheme="minorHAnsi" w:hAnsi="Arial" w:cs="Arial"/>
                <w:b/>
                <w:color w:val="000000"/>
                <w:lang w:val="sr-Cyrl-BA"/>
              </w:rPr>
              <w:t>с</w:t>
            </w:r>
            <w:r>
              <w:rPr>
                <w:rFonts w:ascii="Arial" w:eastAsiaTheme="minorHAnsi" w:hAnsi="Arial" w:cs="Arial"/>
                <w:b/>
                <w:color w:val="000000"/>
                <w:lang w:val="sr-Cyrl-BA"/>
              </w:rPr>
              <w:t>нији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71360A">
              <w:rPr>
                <w:rFonts w:ascii="Arial" w:eastAsiaTheme="minorHAnsi" w:hAnsi="Arial" w:cs="Arial"/>
                <w:b/>
                <w:color w:val="000000"/>
                <w:lang w:val="sr-Cyrl-BA"/>
              </w:rPr>
              <w:t>ст</w:t>
            </w:r>
            <w:r>
              <w:rPr>
                <w:rFonts w:ascii="Arial" w:eastAsiaTheme="minorHAnsi" w:hAnsi="Arial" w:cs="Arial"/>
                <w:b/>
                <w:color w:val="000000"/>
                <w:lang w:val="sr-Cyrl-BA"/>
              </w:rPr>
              <w:t>а</w:t>
            </w:r>
            <w:r w:rsidR="0071360A">
              <w:rPr>
                <w:rFonts w:ascii="Arial" w:eastAsiaTheme="minorHAnsi" w:hAnsi="Arial" w:cs="Arial"/>
                <w:b/>
                <w:color w:val="000000"/>
                <w:lang w:val="sr-Cyrl-BA"/>
              </w:rPr>
              <w:t>в</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171F00">
              <w:rPr>
                <w:rFonts w:ascii="Arial" w:eastAsiaTheme="minorHAnsi" w:hAnsi="Arial" w:cs="Arial"/>
                <w:b/>
                <w:color w:val="000000"/>
                <w:lang w:val="sr-Cyrl-BA"/>
              </w:rPr>
              <w:t>з</w:t>
            </w:r>
            <w:r>
              <w:rPr>
                <w:rFonts w:ascii="Arial" w:eastAsiaTheme="minorHAnsi" w:hAnsi="Arial" w:cs="Arial"/>
                <w:b/>
                <w:color w:val="000000"/>
                <w:lang w:val="sr-Cyrl-BA"/>
              </w:rPr>
              <w:t>и</w:t>
            </w:r>
            <w:r w:rsidR="0071360A">
              <w:rPr>
                <w:rFonts w:ascii="Arial" w:eastAsiaTheme="minorHAnsi" w:hAnsi="Arial" w:cs="Arial"/>
                <w:b/>
                <w:color w:val="000000"/>
                <w:lang w:val="sr-Cyrl-BA"/>
              </w:rPr>
              <w:t>р</w:t>
            </w:r>
            <w:r>
              <w:rPr>
                <w:rFonts w:ascii="Arial" w:eastAsiaTheme="minorHAnsi" w:hAnsi="Arial" w:cs="Arial"/>
                <w:b/>
                <w:color w:val="000000"/>
                <w:lang w:val="sr-Cyrl-BA"/>
              </w:rPr>
              <w:t>ом</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ни</w:t>
            </w:r>
            <w:r w:rsidR="0071360A">
              <w:rPr>
                <w:rFonts w:ascii="Arial" w:eastAsiaTheme="minorHAnsi" w:hAnsi="Arial" w:cs="Arial"/>
                <w:b/>
                <w:color w:val="000000"/>
                <w:lang w:val="sr-Cyrl-BA"/>
              </w:rPr>
              <w:t>в</w:t>
            </w:r>
            <w:r>
              <w:rPr>
                <w:rFonts w:ascii="Arial" w:eastAsiaTheme="minorHAnsi" w:hAnsi="Arial" w:cs="Arial"/>
                <w:b/>
                <w:color w:val="000000"/>
                <w:lang w:val="sr-Cyrl-BA"/>
              </w:rPr>
              <w:t>о</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171F00">
              <w:rPr>
                <w:rFonts w:ascii="Arial" w:eastAsiaTheme="minorHAnsi" w:hAnsi="Arial" w:cs="Arial"/>
                <w:b/>
                <w:color w:val="000000"/>
                <w:lang w:val="sr-Cyrl-BA"/>
              </w:rPr>
              <w:t>з</w:t>
            </w:r>
            <w:r>
              <w:rPr>
                <w:rFonts w:ascii="Arial" w:eastAsiaTheme="minorHAnsi" w:hAnsi="Arial" w:cs="Arial"/>
                <w:b/>
                <w:color w:val="000000"/>
                <w:lang w:val="sr-Cyrl-BA"/>
              </w:rPr>
              <w:t>о</w:t>
            </w:r>
            <w:r w:rsidR="0071360A">
              <w:rPr>
                <w:rFonts w:ascii="Arial" w:eastAsiaTheme="minorHAnsi" w:hAnsi="Arial" w:cs="Arial"/>
                <w:b/>
                <w:color w:val="000000"/>
                <w:lang w:val="sr-Cyrl-BA"/>
              </w:rPr>
              <w:t>в</w:t>
            </w:r>
            <w:r>
              <w:rPr>
                <w:rFonts w:ascii="Arial" w:eastAsiaTheme="minorHAnsi" w:hAnsi="Arial" w:cs="Arial"/>
                <w:b/>
                <w:color w:val="000000"/>
                <w:lang w:val="sr-Cyrl-BA"/>
              </w:rPr>
              <w:t>ања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sidR="00EE6AA2">
              <w:rPr>
                <w:rFonts w:ascii="Arial" w:eastAsiaTheme="minorHAnsi" w:hAnsi="Arial" w:cs="Arial"/>
                <w:b/>
                <w:color w:val="000000"/>
                <w:lang w:val="sr-Cyrl-BA"/>
              </w:rPr>
              <w:t>е</w:t>
            </w:r>
            <w:r>
              <w:rPr>
                <w:rFonts w:ascii="Arial" w:eastAsiaTheme="minorHAnsi" w:hAnsi="Arial" w:cs="Arial"/>
                <w:b/>
                <w:color w:val="000000"/>
                <w:lang w:val="sr-Cyrl-BA"/>
              </w:rPr>
              <w:t>дм</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т</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од</w:t>
            </w:r>
            <w:r w:rsidR="0071360A">
              <w:rPr>
                <w:rFonts w:ascii="Arial" w:eastAsiaTheme="minorHAnsi" w:hAnsi="Arial" w:cs="Arial"/>
                <w:b/>
                <w:color w:val="000000"/>
                <w:lang w:val="sr-Cyrl-BA"/>
              </w:rPr>
              <w:t>у</w:t>
            </w:r>
            <w:r>
              <w:rPr>
                <w:rFonts w:ascii="Arial" w:eastAsiaTheme="minorHAnsi" w:hAnsi="Arial" w:cs="Arial"/>
                <w:b/>
                <w:color w:val="000000"/>
                <w:lang w:val="sr-Cyrl-BA"/>
              </w:rPr>
              <w:t>ча</w:t>
            </w:r>
            <w:r w:rsidR="0071360A">
              <w:rPr>
                <w:rFonts w:ascii="Arial" w:eastAsiaTheme="minorHAnsi" w:hAnsi="Arial" w:cs="Arial"/>
                <w:b/>
                <w:color w:val="000000"/>
                <w:lang w:val="sr-Cyrl-BA"/>
              </w:rPr>
              <w:t>в</w:t>
            </w:r>
            <w:r>
              <w:rPr>
                <w:rFonts w:ascii="Arial" w:eastAsiaTheme="minorHAnsi" w:hAnsi="Arial" w:cs="Arial"/>
                <w:b/>
                <w:color w:val="000000"/>
                <w:lang w:val="sr-Cyrl-BA"/>
              </w:rPr>
              <w:t>ања</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п</w:t>
            </w:r>
            <w:r>
              <w:rPr>
                <w:rFonts w:ascii="Arial" w:eastAsiaTheme="minorHAnsi" w:hAnsi="Arial" w:cs="Arial"/>
                <w:b/>
                <w:color w:val="000000"/>
                <w:lang w:val="sr-Cyrl-BA"/>
              </w:rPr>
              <w:t>о</w:t>
            </w:r>
            <w:r w:rsidR="0071360A">
              <w:rPr>
                <w:rFonts w:ascii="Arial" w:eastAsiaTheme="minorHAnsi" w:hAnsi="Arial" w:cs="Arial"/>
                <w:b/>
                <w:color w:val="000000"/>
                <w:lang w:val="sr-Cyrl-BA"/>
              </w:rPr>
              <w:t>ру</w:t>
            </w:r>
            <w:r>
              <w:rPr>
                <w:rFonts w:ascii="Arial" w:eastAsiaTheme="minorHAnsi" w:hAnsi="Arial" w:cs="Arial"/>
                <w:b/>
                <w:color w:val="000000"/>
                <w:lang w:val="sr-Cyrl-BA"/>
              </w:rPr>
              <w:t>чи</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их</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71360A">
              <w:rPr>
                <w:rFonts w:ascii="Arial" w:eastAsiaTheme="minorHAnsi" w:hAnsi="Arial" w:cs="Arial"/>
                <w:b/>
                <w:color w:val="000000"/>
                <w:lang w:val="sr-Cyrl-BA"/>
              </w:rPr>
              <w:t>ст</w:t>
            </w:r>
            <w:r>
              <w:rPr>
                <w:rFonts w:ascii="Arial" w:eastAsiaTheme="minorHAnsi" w:hAnsi="Arial" w:cs="Arial"/>
                <w:b/>
                <w:color w:val="000000"/>
                <w:lang w:val="sr-Cyrl-BA"/>
              </w:rPr>
              <w:t>а</w:t>
            </w:r>
            <w:r w:rsidR="0071360A">
              <w:rPr>
                <w:rFonts w:ascii="Arial" w:eastAsiaTheme="minorHAnsi" w:hAnsi="Arial" w:cs="Arial"/>
                <w:b/>
                <w:color w:val="000000"/>
                <w:lang w:val="sr-Cyrl-BA"/>
              </w:rPr>
              <w:t>в</w:t>
            </w:r>
            <w:r>
              <w:rPr>
                <w:rFonts w:ascii="Arial" w:eastAsiaTheme="minorHAnsi" w:hAnsi="Arial" w:cs="Arial"/>
                <w:b/>
                <w:color w:val="000000"/>
                <w:lang w:val="sr-Cyrl-BA"/>
              </w:rPr>
              <w:t>ницима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к</w:t>
            </w:r>
            <w:r w:rsidR="0071360A">
              <w:rPr>
                <w:rFonts w:ascii="Arial" w:eastAsiaTheme="minorHAnsi" w:hAnsi="Arial" w:cs="Arial"/>
                <w:b/>
                <w:color w:val="000000"/>
                <w:lang w:val="sr-Cyrl-BA"/>
              </w:rPr>
              <w:t>р</w:t>
            </w:r>
            <w:r w:rsidR="00EE6AA2">
              <w:rPr>
                <w:rFonts w:ascii="Arial" w:eastAsiaTheme="minorHAnsi" w:hAnsi="Arial" w:cs="Arial"/>
                <w:b/>
                <w:color w:val="000000"/>
                <w:lang w:val="sr-Cyrl-BA"/>
              </w:rPr>
              <w:t>е</w:t>
            </w:r>
            <w:r>
              <w:rPr>
                <w:rFonts w:ascii="Arial" w:eastAsiaTheme="minorHAnsi" w:hAnsi="Arial" w:cs="Arial"/>
                <w:b/>
                <w:color w:val="000000"/>
                <w:lang w:val="sr-Cyrl-BA"/>
              </w:rPr>
              <w:t>и</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Pr>
                <w:rFonts w:ascii="Arial" w:eastAsiaTheme="minorHAnsi" w:hAnsi="Arial" w:cs="Arial"/>
                <w:b/>
                <w:color w:val="000000"/>
                <w:lang w:val="sr-Cyrl-BA"/>
              </w:rPr>
              <w:t>ог</w:t>
            </w:r>
            <w:r w:rsidR="0071360A">
              <w:rPr>
                <w:rFonts w:ascii="Arial" w:eastAsiaTheme="minorHAnsi" w:hAnsi="Arial" w:cs="Arial"/>
                <w:b/>
                <w:color w:val="000000"/>
                <w:lang w:val="sr-Cyrl-BA"/>
              </w:rPr>
              <w:t>р</w:t>
            </w:r>
            <w:r>
              <w:rPr>
                <w:rFonts w:ascii="Arial" w:eastAsiaTheme="minorHAnsi" w:hAnsi="Arial" w:cs="Arial"/>
                <w:b/>
                <w:color w:val="000000"/>
                <w:lang w:val="sr-Cyrl-BA"/>
              </w:rPr>
              <w:t>ам</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71360A">
              <w:rPr>
                <w:rFonts w:ascii="Arial" w:eastAsiaTheme="minorHAnsi" w:hAnsi="Arial" w:cs="Arial"/>
                <w:b/>
                <w:color w:val="000000"/>
                <w:lang w:val="sr-Cyrl-BA"/>
              </w:rPr>
              <w:t>у</w:t>
            </w:r>
            <w:r>
              <w:rPr>
                <w:rFonts w:ascii="Arial" w:eastAsiaTheme="minorHAnsi" w:hAnsi="Arial" w:cs="Arial"/>
                <w:b/>
                <w:color w:val="000000"/>
                <w:lang w:val="sr-Cyrl-BA"/>
              </w:rPr>
              <w:t>к</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71360A">
              <w:rPr>
                <w:rFonts w:ascii="Arial" w:eastAsiaTheme="minorHAnsi" w:hAnsi="Arial" w:cs="Arial"/>
                <w:b/>
                <w:color w:val="000000"/>
                <w:lang w:val="sr-Cyrl-BA"/>
              </w:rPr>
              <w:t>ст</w:t>
            </w:r>
            <w:r>
              <w:rPr>
                <w:rFonts w:ascii="Arial" w:eastAsiaTheme="minorHAnsi" w:hAnsi="Arial" w:cs="Arial"/>
                <w:b/>
                <w:color w:val="000000"/>
                <w:lang w:val="sr-Cyrl-BA"/>
              </w:rPr>
              <w:t>а</w:t>
            </w:r>
            <w:r w:rsidR="0071360A">
              <w:rPr>
                <w:rFonts w:ascii="Arial" w:eastAsiaTheme="minorHAnsi" w:hAnsi="Arial" w:cs="Arial"/>
                <w:b/>
                <w:color w:val="000000"/>
                <w:lang w:val="sr-Cyrl-BA"/>
              </w:rPr>
              <w:t>в</w:t>
            </w:r>
            <w:r>
              <w:rPr>
                <w:rFonts w:ascii="Arial" w:eastAsiaTheme="minorHAnsi" w:hAnsi="Arial" w:cs="Arial"/>
                <w:b/>
                <w:color w:val="000000"/>
                <w:lang w:val="sr-Cyrl-BA"/>
              </w:rPr>
              <w:t>ника</w:t>
            </w:r>
            <w:r w:rsidR="00892898"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Pr>
                <w:rFonts w:ascii="Arial" w:eastAsiaTheme="minorHAnsi" w:hAnsi="Arial" w:cs="Arial"/>
                <w:b/>
                <w:color w:val="000000"/>
                <w:lang w:val="sr-Cyrl-BA"/>
              </w:rPr>
              <w:t>имј</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т</w:t>
            </w:r>
            <w:r>
              <w:rPr>
                <w:rFonts w:ascii="Arial" w:eastAsiaTheme="minorHAnsi" w:hAnsi="Arial" w:cs="Arial"/>
                <w:b/>
                <w:color w:val="000000"/>
                <w:lang w:val="sr-Cyrl-BA"/>
              </w:rPr>
              <w:t>их</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ала</w:t>
            </w:r>
            <w:r w:rsidR="0071360A">
              <w:rPr>
                <w:rFonts w:ascii="Arial" w:eastAsiaTheme="minorHAnsi" w:hAnsi="Arial" w:cs="Arial"/>
                <w:b/>
                <w:color w:val="000000"/>
                <w:lang w:val="sr-Cyrl-BA"/>
              </w:rPr>
              <w:t>т</w:t>
            </w:r>
            <w:r>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p>
          <w:p w14:paraId="1128AA90" w14:textId="2469D129" w:rsidR="00892898" w:rsidRPr="00F6340E" w:rsidRDefault="0071360A" w:rsidP="00FB5CB7">
            <w:pPr>
              <w:pStyle w:val="ListParagraph"/>
              <w:numPr>
                <w:ilvl w:val="0"/>
                <w:numId w:val="37"/>
              </w:numPr>
              <w:jc w:val="left"/>
              <w:textAlignment w:val="baseline"/>
              <w:rPr>
                <w:rFonts w:ascii="Arial" w:eastAsiaTheme="minorHAnsi" w:hAnsi="Arial" w:cs="Arial"/>
                <w:b/>
                <w:color w:val="000000"/>
                <w:lang w:val="sr-Cyrl-BA"/>
              </w:rPr>
            </w:pPr>
            <w:r>
              <w:rPr>
                <w:rFonts w:ascii="Arial" w:eastAsiaTheme="minorHAnsi" w:hAnsi="Arial" w:cs="Arial"/>
                <w:b/>
                <w:color w:val="000000"/>
                <w:lang w:val="sr-Cyrl-BA"/>
              </w:rPr>
              <w:t>П</w:t>
            </w:r>
            <w:r w:rsidR="00A56E08">
              <w:rPr>
                <w:rFonts w:ascii="Arial" w:eastAsiaTheme="minorHAnsi" w:hAnsi="Arial" w:cs="Arial"/>
                <w:b/>
                <w:color w:val="000000"/>
                <w:lang w:val="sr-Cyrl-BA"/>
              </w:rPr>
              <w:t>о</w:t>
            </w:r>
            <w:r>
              <w:rPr>
                <w:rFonts w:ascii="Arial" w:eastAsiaTheme="minorHAnsi" w:hAnsi="Arial" w:cs="Arial"/>
                <w:b/>
                <w:color w:val="000000"/>
                <w:lang w:val="sr-Cyrl-BA"/>
              </w:rPr>
              <w:t>т</w:t>
            </w:r>
            <w:r w:rsidR="00A56E08">
              <w:rPr>
                <w:rFonts w:ascii="Arial" w:eastAsiaTheme="minorHAnsi" w:hAnsi="Arial" w:cs="Arial"/>
                <w:b/>
                <w:color w:val="000000"/>
                <w:lang w:val="sr-Cyrl-BA"/>
              </w:rPr>
              <w:t>ица</w:t>
            </w:r>
            <w:r>
              <w:rPr>
                <w:rFonts w:ascii="Arial" w:eastAsiaTheme="minorHAnsi" w:hAnsi="Arial" w:cs="Arial"/>
                <w:b/>
                <w:color w:val="000000"/>
                <w:lang w:val="sr-Cyrl-BA"/>
              </w:rPr>
              <w:t>т</w:t>
            </w:r>
            <w:r w:rsidR="00A56E08">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р</w:t>
            </w:r>
            <w:r w:rsidR="00A56E08">
              <w:rPr>
                <w:rFonts w:ascii="Arial" w:eastAsiaTheme="minorHAnsi" w:hAnsi="Arial" w:cs="Arial"/>
                <w:b/>
                <w:color w:val="000000"/>
                <w:lang w:val="sr-Cyrl-BA"/>
              </w:rPr>
              <w:t>а</w:t>
            </w:r>
            <w:r w:rsidR="00171F00">
              <w:rPr>
                <w:rFonts w:ascii="Arial" w:eastAsiaTheme="minorHAnsi" w:hAnsi="Arial" w:cs="Arial"/>
                <w:b/>
                <w:color w:val="000000"/>
                <w:lang w:val="sr-Cyrl-BA"/>
              </w:rPr>
              <w:t>з</w:t>
            </w:r>
            <w:r>
              <w:rPr>
                <w:rFonts w:ascii="Arial" w:eastAsiaTheme="minorHAnsi" w:hAnsi="Arial" w:cs="Arial"/>
                <w:b/>
                <w:color w:val="000000"/>
                <w:lang w:val="sr-Cyrl-BA"/>
              </w:rPr>
              <w:t>в</w:t>
            </w:r>
            <w:r w:rsidR="00A56E08">
              <w:rPr>
                <w:rFonts w:ascii="Arial" w:eastAsiaTheme="minorHAnsi" w:hAnsi="Arial" w:cs="Arial"/>
                <w:b/>
                <w:color w:val="000000"/>
                <w:lang w:val="sr-Cyrl-BA"/>
              </w:rPr>
              <w:t>ој</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в</w:t>
            </w:r>
            <w:r w:rsidR="00A56E08">
              <w:rPr>
                <w:rFonts w:ascii="Arial" w:eastAsiaTheme="minorHAnsi" w:hAnsi="Arial" w:cs="Arial"/>
                <w:b/>
                <w:color w:val="000000"/>
                <w:lang w:val="sr-Cyrl-BA"/>
              </w:rPr>
              <w:t>ла</w:t>
            </w:r>
            <w:r>
              <w:rPr>
                <w:rFonts w:ascii="Arial" w:eastAsiaTheme="minorHAnsi" w:hAnsi="Arial" w:cs="Arial"/>
                <w:b/>
                <w:color w:val="000000"/>
                <w:lang w:val="sr-Cyrl-BA"/>
              </w:rPr>
              <w:t>ст</w:t>
            </w:r>
            <w:r w:rsidR="00A56E08">
              <w:rPr>
                <w:rFonts w:ascii="Arial" w:eastAsiaTheme="minorHAnsi" w:hAnsi="Arial" w:cs="Arial"/>
                <w:b/>
                <w:color w:val="000000"/>
                <w:lang w:val="sr-Cyrl-BA"/>
              </w:rPr>
              <w:t>и</w:t>
            </w:r>
            <w:r>
              <w:rPr>
                <w:rFonts w:ascii="Arial" w:eastAsiaTheme="minorHAnsi" w:hAnsi="Arial" w:cs="Arial"/>
                <w:b/>
                <w:color w:val="000000"/>
                <w:lang w:val="sr-Cyrl-BA"/>
              </w:rPr>
              <w:t>т</w:t>
            </w:r>
            <w:r w:rsidR="00A56E08">
              <w:rPr>
                <w:rFonts w:ascii="Arial" w:eastAsiaTheme="minorHAnsi" w:hAnsi="Arial" w:cs="Arial"/>
                <w:b/>
                <w:color w:val="000000"/>
                <w:lang w:val="sr-Cyrl-BA"/>
              </w:rPr>
              <w:t>их</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диги</w:t>
            </w:r>
            <w:r>
              <w:rPr>
                <w:rFonts w:ascii="Arial" w:eastAsiaTheme="minorHAnsi" w:hAnsi="Arial" w:cs="Arial"/>
                <w:b/>
                <w:color w:val="000000"/>
                <w:lang w:val="sr-Cyrl-BA"/>
              </w:rPr>
              <w:t>т</w:t>
            </w:r>
            <w:r w:rsidR="00A56E08">
              <w:rPr>
                <w:rFonts w:ascii="Arial" w:eastAsiaTheme="minorHAnsi" w:hAnsi="Arial" w:cs="Arial"/>
                <w:b/>
                <w:color w:val="000000"/>
                <w:lang w:val="sr-Cyrl-BA"/>
              </w:rPr>
              <w:t>алних</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ала</w:t>
            </w:r>
            <w:r>
              <w:rPr>
                <w:rFonts w:ascii="Arial" w:eastAsiaTheme="minorHAnsi" w:hAnsi="Arial" w:cs="Arial"/>
                <w:b/>
                <w:color w:val="000000"/>
                <w:lang w:val="sr-Cyrl-BA"/>
              </w:rPr>
              <w:t>т</w:t>
            </w:r>
            <w:r w:rsidR="00A56E08">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ни</w:t>
            </w:r>
            <w:r>
              <w:rPr>
                <w:rFonts w:ascii="Arial" w:eastAsiaTheme="minorHAnsi" w:hAnsi="Arial" w:cs="Arial"/>
                <w:b/>
                <w:color w:val="000000"/>
                <w:lang w:val="sr-Cyrl-BA"/>
              </w:rPr>
              <w:t>в</w:t>
            </w:r>
            <w:r w:rsidR="00A56E08">
              <w:rPr>
                <w:rFonts w:ascii="Arial" w:eastAsiaTheme="minorHAnsi" w:hAnsi="Arial" w:cs="Arial"/>
                <w:b/>
                <w:color w:val="000000"/>
                <w:lang w:val="sr-Cyrl-BA"/>
              </w:rPr>
              <w:t>о</w:t>
            </w:r>
            <w:r>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админи</w:t>
            </w:r>
            <w:r>
              <w:rPr>
                <w:rFonts w:ascii="Arial" w:eastAsiaTheme="minorHAnsi" w:hAnsi="Arial" w:cs="Arial"/>
                <w:b/>
                <w:color w:val="000000"/>
                <w:lang w:val="sr-Cyrl-BA"/>
              </w:rPr>
              <w:t>стр</w:t>
            </w:r>
            <w:r w:rsidR="00A56E08">
              <w:rPr>
                <w:rFonts w:ascii="Arial" w:eastAsiaTheme="minorHAnsi" w:hAnsi="Arial" w:cs="Arial"/>
                <w:b/>
                <w:color w:val="000000"/>
                <w:lang w:val="sr-Cyrl-BA"/>
              </w:rPr>
              <w:t>а</w:t>
            </w:r>
            <w:r>
              <w:rPr>
                <w:rFonts w:ascii="Arial" w:eastAsiaTheme="minorHAnsi" w:hAnsi="Arial" w:cs="Arial"/>
                <w:b/>
                <w:color w:val="000000"/>
                <w:lang w:val="sr-Cyrl-BA"/>
              </w:rPr>
              <w:t>т</w:t>
            </w:r>
            <w:r w:rsidR="00A56E08">
              <w:rPr>
                <w:rFonts w:ascii="Arial" w:eastAsiaTheme="minorHAnsi" w:hAnsi="Arial" w:cs="Arial"/>
                <w:b/>
                <w:color w:val="000000"/>
                <w:lang w:val="sr-Cyrl-BA"/>
              </w:rPr>
              <w:t>и</w:t>
            </w:r>
            <w:r>
              <w:rPr>
                <w:rFonts w:ascii="Arial" w:eastAsiaTheme="minorHAnsi" w:hAnsi="Arial" w:cs="Arial"/>
                <w:b/>
                <w:color w:val="000000"/>
                <w:lang w:val="sr-Cyrl-BA"/>
              </w:rPr>
              <w:t>в</w:t>
            </w:r>
            <w:r w:rsidR="00A56E08">
              <w:rPr>
                <w:rFonts w:ascii="Arial" w:eastAsiaTheme="minorHAnsi" w:hAnsi="Arial" w:cs="Arial"/>
                <w:b/>
                <w:color w:val="000000"/>
                <w:lang w:val="sr-Cyrl-BA"/>
              </w:rPr>
              <w:t>них</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ј</w:t>
            </w:r>
            <w:r w:rsidR="00EE6AA2">
              <w:rPr>
                <w:rFonts w:ascii="Arial" w:eastAsiaTheme="minorHAnsi" w:hAnsi="Arial" w:cs="Arial"/>
                <w:b/>
                <w:color w:val="000000"/>
                <w:lang w:val="sr-Cyrl-BA"/>
              </w:rPr>
              <w:t>е</w:t>
            </w:r>
            <w:r w:rsidR="00A56E08">
              <w:rPr>
                <w:rFonts w:ascii="Arial" w:eastAsiaTheme="minorHAnsi" w:hAnsi="Arial" w:cs="Arial"/>
                <w:b/>
                <w:color w:val="000000"/>
                <w:lang w:val="sr-Cyrl-BA"/>
              </w:rPr>
              <w:t>диница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или</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ни</w:t>
            </w:r>
            <w:r>
              <w:rPr>
                <w:rFonts w:ascii="Arial" w:eastAsiaTheme="minorHAnsi" w:hAnsi="Arial" w:cs="Arial"/>
                <w:b/>
                <w:color w:val="000000"/>
                <w:lang w:val="sr-Cyrl-BA"/>
              </w:rPr>
              <w:t>в</w:t>
            </w:r>
            <w:r w:rsidR="00A56E08">
              <w:rPr>
                <w:rFonts w:ascii="Arial" w:eastAsiaTheme="minorHAnsi" w:hAnsi="Arial" w:cs="Arial"/>
                <w:b/>
                <w:color w:val="000000"/>
                <w:lang w:val="sr-Cyrl-BA"/>
              </w:rPr>
              <w:t>о</w:t>
            </w:r>
            <w:r>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об</w:t>
            </w:r>
            <w:r>
              <w:rPr>
                <w:rFonts w:ascii="Arial" w:eastAsiaTheme="minorHAnsi" w:hAnsi="Arial" w:cs="Arial"/>
                <w:b/>
                <w:color w:val="000000"/>
                <w:lang w:val="sr-Cyrl-BA"/>
              </w:rPr>
              <w:t>р</w:t>
            </w:r>
            <w:r w:rsidR="00A56E08">
              <w:rPr>
                <w:rFonts w:ascii="Arial" w:eastAsiaTheme="minorHAnsi" w:hAnsi="Arial" w:cs="Arial"/>
                <w:b/>
                <w:color w:val="000000"/>
                <w:lang w:val="sr-Cyrl-BA"/>
              </w:rPr>
              <w:t>а</w:t>
            </w:r>
            <w:r w:rsidR="00171F00">
              <w:rPr>
                <w:rFonts w:ascii="Arial" w:eastAsiaTheme="minorHAnsi" w:hAnsi="Arial" w:cs="Arial"/>
                <w:b/>
                <w:color w:val="000000"/>
                <w:lang w:val="sr-Cyrl-BA"/>
              </w:rPr>
              <w:t>з</w:t>
            </w:r>
            <w:r w:rsidR="00A56E08">
              <w:rPr>
                <w:rFonts w:ascii="Arial" w:eastAsiaTheme="minorHAnsi" w:hAnsi="Arial" w:cs="Arial"/>
                <w:b/>
                <w:color w:val="000000"/>
                <w:lang w:val="sr-Cyrl-BA"/>
              </w:rPr>
              <w:t>о</w:t>
            </w:r>
            <w:r>
              <w:rPr>
                <w:rFonts w:ascii="Arial" w:eastAsiaTheme="minorHAnsi" w:hAnsi="Arial" w:cs="Arial"/>
                <w:b/>
                <w:color w:val="000000"/>
                <w:lang w:val="sr-Cyrl-BA"/>
              </w:rPr>
              <w:t>в</w:t>
            </w:r>
            <w:r w:rsidR="00A56E08">
              <w:rPr>
                <w:rFonts w:ascii="Arial" w:eastAsiaTheme="minorHAnsi" w:hAnsi="Arial" w:cs="Arial"/>
                <w:b/>
                <w:color w:val="000000"/>
                <w:lang w:val="sr-Cyrl-BA"/>
              </w:rPr>
              <w:t>ања</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или</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об</w:t>
            </w:r>
            <w:r>
              <w:rPr>
                <w:rFonts w:ascii="Arial" w:eastAsiaTheme="minorHAnsi" w:hAnsi="Arial" w:cs="Arial"/>
                <w:b/>
                <w:color w:val="000000"/>
                <w:lang w:val="sr-Cyrl-BA"/>
              </w:rPr>
              <w:t>р</w:t>
            </w:r>
            <w:r w:rsidR="00A56E08">
              <w:rPr>
                <w:rFonts w:ascii="Arial" w:eastAsiaTheme="minorHAnsi" w:hAnsi="Arial" w:cs="Arial"/>
                <w:b/>
                <w:color w:val="000000"/>
                <w:lang w:val="sr-Cyrl-BA"/>
              </w:rPr>
              <w:t>а</w:t>
            </w:r>
            <w:r w:rsidR="00171F00">
              <w:rPr>
                <w:rFonts w:ascii="Arial" w:eastAsiaTheme="minorHAnsi" w:hAnsi="Arial" w:cs="Arial"/>
                <w:b/>
                <w:color w:val="000000"/>
                <w:lang w:val="sr-Cyrl-BA"/>
              </w:rPr>
              <w:t>з</w:t>
            </w:r>
            <w:r w:rsidR="00A56E08">
              <w:rPr>
                <w:rFonts w:ascii="Arial" w:eastAsiaTheme="minorHAnsi" w:hAnsi="Arial" w:cs="Arial"/>
                <w:b/>
                <w:color w:val="000000"/>
                <w:lang w:val="sr-Cyrl-BA"/>
              </w:rPr>
              <w:t>о</w:t>
            </w:r>
            <w:r>
              <w:rPr>
                <w:rFonts w:ascii="Arial" w:eastAsiaTheme="minorHAnsi" w:hAnsi="Arial" w:cs="Arial"/>
                <w:b/>
                <w:color w:val="000000"/>
                <w:lang w:val="sr-Cyrl-BA"/>
              </w:rPr>
              <w:t>в</w:t>
            </w:r>
            <w:r w:rsidR="00A56E08">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A56E08">
              <w:rPr>
                <w:rFonts w:ascii="Arial" w:eastAsiaTheme="minorHAnsi" w:hAnsi="Arial" w:cs="Arial"/>
                <w:b/>
                <w:color w:val="000000"/>
                <w:lang w:val="sr-Cyrl-BA"/>
              </w:rPr>
              <w:t>ин</w:t>
            </w:r>
            <w:r>
              <w:rPr>
                <w:rFonts w:ascii="Arial" w:eastAsiaTheme="minorHAnsi" w:hAnsi="Arial" w:cs="Arial"/>
                <w:b/>
                <w:color w:val="000000"/>
                <w:lang w:val="sr-Cyrl-BA"/>
              </w:rPr>
              <w:t>ст</w:t>
            </w:r>
            <w:r w:rsidR="00A56E08">
              <w:rPr>
                <w:rFonts w:ascii="Arial" w:eastAsiaTheme="minorHAnsi" w:hAnsi="Arial" w:cs="Arial"/>
                <w:b/>
                <w:color w:val="000000"/>
                <w:lang w:val="sr-Cyrl-BA"/>
              </w:rPr>
              <w:t>и</w:t>
            </w:r>
            <w:r>
              <w:rPr>
                <w:rFonts w:ascii="Arial" w:eastAsiaTheme="minorHAnsi" w:hAnsi="Arial" w:cs="Arial"/>
                <w:b/>
                <w:color w:val="000000"/>
                <w:lang w:val="sr-Cyrl-BA"/>
              </w:rPr>
              <w:t>ту</w:t>
            </w:r>
            <w:r w:rsidR="00A56E08">
              <w:rPr>
                <w:rFonts w:ascii="Arial" w:eastAsiaTheme="minorHAnsi" w:hAnsi="Arial" w:cs="Arial"/>
                <w:b/>
                <w:color w:val="000000"/>
                <w:lang w:val="sr-Cyrl-BA"/>
              </w:rPr>
              <w:t>циј</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p>
          <w:p w14:paraId="60240823" w14:textId="2616FFFD" w:rsidR="00892898" w:rsidRPr="00F6340E" w:rsidRDefault="0071360A" w:rsidP="00FB5CB7">
            <w:pPr>
              <w:pStyle w:val="ListParagraph"/>
              <w:ind w:left="360"/>
              <w:jc w:val="left"/>
              <w:textAlignment w:val="baseline"/>
              <w:rPr>
                <w:rFonts w:ascii="Arial" w:hAnsi="Arial" w:cs="Arial"/>
                <w:lang w:val="sr-Cyrl-BA"/>
              </w:rPr>
            </w:pP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ој</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ла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их</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диги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алних</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ала</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а</w:t>
            </w:r>
            <w:r w:rsidR="00785C30"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иг</w:t>
            </w:r>
            <w:r>
              <w:rPr>
                <w:rFonts w:ascii="Arial" w:eastAsiaTheme="minorEastAsia" w:hAnsi="Arial" w:cs="Arial"/>
                <w:color w:val="000000" w:themeColor="text1"/>
                <w:lang w:val="sr-Cyrl-BA"/>
              </w:rPr>
              <w:t>ур</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w:t>
            </w:r>
            <w:r w:rsidR="00843D73" w:rsidRPr="00F6340E">
              <w:rPr>
                <w:rFonts w:ascii="Arial" w:eastAsiaTheme="minorEastAsia" w:hAnsi="Arial" w:cs="Arial"/>
                <w:color w:val="000000" w:themeColor="text1"/>
                <w:lang w:val="sr-Cyrl-BA"/>
              </w:rPr>
              <w:t xml:space="preserve"> </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кономично</w:t>
            </w:r>
            <w:r>
              <w:rPr>
                <w:rFonts w:ascii="Arial" w:eastAsiaTheme="minorEastAsia" w:hAnsi="Arial" w:cs="Arial"/>
                <w:color w:val="000000" w:themeColor="text1"/>
                <w:lang w:val="sr-Cyrl-BA"/>
              </w:rPr>
              <w:t>ст</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об</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ом</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да</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п</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миј</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р</w:t>
            </w:r>
            <w:r w:rsidR="00EE6AA2">
              <w:rPr>
                <w:rFonts w:ascii="Arial" w:eastAsiaTheme="minorEastAsia" w:hAnsi="Arial" w:cs="Arial"/>
                <w:color w:val="000000" w:themeColor="text1"/>
                <w:lang w:val="sr-Cyrl-BA"/>
              </w:rPr>
              <w:t>е</w:t>
            </w:r>
            <w:r>
              <w:rPr>
                <w:rFonts w:ascii="Arial" w:eastAsiaTheme="minorEastAsia" w:hAnsi="Arial" w:cs="Arial"/>
                <w:color w:val="000000" w:themeColor="text1"/>
                <w:lang w:val="sr-Cyrl-BA"/>
              </w:rPr>
              <w:t>сурс</w:t>
            </w:r>
            <w:r w:rsidR="00EE6AA2">
              <w:rPr>
                <w:rFonts w:ascii="Arial" w:eastAsiaTheme="minorEastAsia" w:hAnsi="Arial" w:cs="Arial"/>
                <w:color w:val="000000" w:themeColor="text1"/>
                <w:lang w:val="sr-Cyrl-BA"/>
              </w:rPr>
              <w:t>е</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након</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шт</w:t>
            </w:r>
            <w:r w:rsidR="00A56E08">
              <w:rPr>
                <w:rFonts w:ascii="Arial" w:eastAsiaTheme="minorEastAsia" w:hAnsi="Arial" w:cs="Arial"/>
                <w:color w:val="000000" w:themeColor="text1"/>
                <w:lang w:val="sr-Cyrl-BA"/>
              </w:rPr>
              <w:t>о</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ј</w:t>
            </w:r>
            <w:r w:rsidR="00EE6AA2">
              <w:rPr>
                <w:rFonts w:ascii="Arial" w:eastAsiaTheme="minorEastAsia" w:hAnsi="Arial" w:cs="Arial"/>
                <w:color w:val="000000" w:themeColor="text1"/>
                <w:lang w:val="sr-Cyrl-BA"/>
              </w:rPr>
              <w:t>е</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и</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љ</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w:t>
            </w:r>
            <w:r w:rsidR="00843D7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уп</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тр</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б</w:t>
            </w:r>
            <w:r>
              <w:rPr>
                <w:rFonts w:ascii="Arial" w:eastAsiaTheme="minorEastAsia" w:hAnsi="Arial" w:cs="Arial"/>
                <w:color w:val="000000" w:themeColor="text1"/>
                <w:lang w:val="sr-Cyrl-BA"/>
              </w:rPr>
              <w:t>у</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хо</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инг</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од</w:t>
            </w:r>
            <w:r>
              <w:rPr>
                <w:rFonts w:ascii="Arial" w:eastAsiaTheme="minorEastAsia" w:hAnsi="Arial" w:cs="Arial"/>
                <w:color w:val="000000" w:themeColor="text1"/>
                <w:lang w:val="sr-Cyrl-BA"/>
              </w:rPr>
              <w:t>р</w:t>
            </w:r>
            <w:r w:rsidR="00171F00">
              <w:rPr>
                <w:rFonts w:ascii="Arial" w:eastAsiaTheme="minorEastAsia" w:hAnsi="Arial" w:cs="Arial"/>
                <w:color w:val="000000" w:themeColor="text1"/>
                <w:lang w:val="sr-Cyrl-BA"/>
              </w:rPr>
              <w:t>ж</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ањ</w:t>
            </w:r>
            <w:r w:rsidR="00EE6AA2">
              <w:rPr>
                <w:rFonts w:ascii="Arial" w:eastAsiaTheme="minorEastAsia" w:hAnsi="Arial" w:cs="Arial"/>
                <w:color w:val="000000" w:themeColor="text1"/>
                <w:lang w:val="sr-Cyrl-BA"/>
              </w:rPr>
              <w:t>е</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843D7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д</w:t>
            </w:r>
            <w:r>
              <w:rPr>
                <w:rFonts w:ascii="Arial" w:eastAsiaTheme="minorEastAsia" w:hAnsi="Arial" w:cs="Arial"/>
                <w:color w:val="000000" w:themeColor="text1"/>
                <w:lang w:val="sr-Cyrl-BA"/>
              </w:rPr>
              <w:t>р</w:t>
            </w:r>
            <w:r w:rsidR="00843D73" w:rsidRPr="00F6340E">
              <w:rPr>
                <w:rFonts w:ascii="Arial" w:eastAsiaTheme="minorEastAsia" w:hAnsi="Arial" w:cs="Arial"/>
                <w:color w:val="000000" w:themeColor="text1"/>
                <w:lang w:val="sr-Cyrl-BA"/>
              </w:rPr>
              <w:t>.)</w:t>
            </w:r>
            <w:r w:rsidR="00785C30"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т</w:t>
            </w:r>
            <w:r w:rsidR="00EE6AA2">
              <w:rPr>
                <w:rFonts w:ascii="Arial" w:eastAsiaTheme="minorEastAsia" w:hAnsi="Arial" w:cs="Arial"/>
                <w:color w:val="000000" w:themeColor="text1"/>
                <w:lang w:val="sr-Cyrl-BA"/>
              </w:rPr>
              <w:t>е</w:t>
            </w:r>
            <w:r w:rsidR="00785C30"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би</w:t>
            </w:r>
            <w:r w:rsidR="00785C30"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могао</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496D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уп</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тр</w:t>
            </w:r>
            <w:r w:rsidR="00A56E08">
              <w:rPr>
                <w:rFonts w:ascii="Arial" w:eastAsiaTheme="minorEastAsia" w:hAnsi="Arial" w:cs="Arial"/>
                <w:color w:val="000000" w:themeColor="text1"/>
                <w:lang w:val="sr-Cyrl-BA"/>
              </w:rPr>
              <w:t>иј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бљ</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w:t>
            </w:r>
            <w:r w:rsidR="00496D98" w:rsidRPr="00F6340E">
              <w:rPr>
                <w:rFonts w:ascii="Arial" w:eastAsiaTheme="minorEastAsia" w:hAnsi="Arial" w:cs="Arial"/>
                <w:color w:val="000000" w:themeColor="text1"/>
                <w:lang w:val="sr-Cyrl-BA"/>
              </w:rPr>
              <w:t xml:space="preserve"> </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об</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к</w:t>
            </w:r>
            <w:r>
              <w:rPr>
                <w:rFonts w:ascii="Arial" w:eastAsiaTheme="minorEastAsia" w:hAnsi="Arial" w:cs="Arial"/>
                <w:color w:val="000000" w:themeColor="text1"/>
                <w:lang w:val="sr-Cyrl-BA"/>
              </w:rPr>
              <w:t>у</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ника</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о</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ј</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мог</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ћ</w:t>
            </w:r>
            <w:r w:rsidR="00EE6AA2">
              <w:rPr>
                <w:rFonts w:ascii="Arial" w:eastAsiaTheme="minorEastAsia" w:hAnsi="Arial" w:cs="Arial"/>
                <w:color w:val="000000" w:themeColor="text1"/>
                <w:lang w:val="sr-Cyrl-BA"/>
              </w:rPr>
              <w:t>е</w:t>
            </w:r>
            <w:r w:rsidR="00892898"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р</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али</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892898"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к</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о</w:t>
            </w:r>
            <w:r w:rsidR="00171F00">
              <w:rPr>
                <w:rFonts w:ascii="Arial" w:eastAsiaTheme="minorEastAsia" w:hAnsi="Arial" w:cs="Arial"/>
                <w:color w:val="000000" w:themeColor="text1"/>
                <w:lang w:val="sr-Cyrl-BA"/>
              </w:rPr>
              <w:t>з</w:t>
            </w:r>
            <w:r w:rsidR="00892898" w:rsidRPr="00F6340E">
              <w:rPr>
                <w:rFonts w:ascii="Arial" w:eastAsiaTheme="minorEastAsia" w:hAnsi="Arial" w:cs="Arial"/>
                <w:color w:val="000000" w:themeColor="text1"/>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w:t>
            </w:r>
            <w:r w:rsidR="00A56E08">
              <w:rPr>
                <w:rFonts w:ascii="Arial" w:hAnsi="Arial" w:cs="Arial"/>
                <w:lang w:val="sr-Cyrl-BA"/>
              </w:rPr>
              <w:t>ицањ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w:t>
            </w:r>
            <w:r>
              <w:rPr>
                <w:rFonts w:ascii="Arial" w:hAnsi="Arial" w:cs="Arial"/>
                <w:lang w:val="sr-Cyrl-BA"/>
              </w:rPr>
              <w:t>рт</w:t>
            </w:r>
            <w:r w:rsidR="00A56E08">
              <w:rPr>
                <w:rFonts w:ascii="Arial" w:hAnsi="Arial" w:cs="Arial"/>
                <w:lang w:val="sr-Cyrl-BA"/>
              </w:rPr>
              <w:t>н</w:t>
            </w:r>
            <w:r w:rsidR="00EE6AA2">
              <w:rPr>
                <w:rFonts w:ascii="Arial" w:hAnsi="Arial" w:cs="Arial"/>
                <w:lang w:val="sr-Cyrl-BA"/>
              </w:rPr>
              <w:t>е</w:t>
            </w:r>
            <w:r>
              <w:rPr>
                <w:rFonts w:ascii="Arial" w:hAnsi="Arial" w:cs="Arial"/>
                <w:lang w:val="sr-Cyrl-BA"/>
              </w:rPr>
              <w:t>рств</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ни</w:t>
            </w:r>
            <w:r>
              <w:rPr>
                <w:rFonts w:ascii="Arial" w:hAnsi="Arial" w:cs="Arial"/>
                <w:lang w:val="sr-Cyrl-BA"/>
              </w:rPr>
              <w:t>в</w:t>
            </w:r>
            <w:r w:rsidR="00EE6AA2">
              <w:rPr>
                <w:rFonts w:ascii="Arial" w:hAnsi="Arial" w:cs="Arial"/>
                <w:lang w:val="sr-Cyrl-BA"/>
              </w:rPr>
              <w:t>е</w:t>
            </w:r>
            <w:r>
              <w:rPr>
                <w:rFonts w:ascii="Arial" w:hAnsi="Arial" w:cs="Arial"/>
                <w:lang w:val="sr-Cyrl-BA"/>
              </w:rPr>
              <w:t>р</w:t>
            </w:r>
            <w:r w:rsidR="00171F00">
              <w:rPr>
                <w:rFonts w:ascii="Arial" w:hAnsi="Arial" w:cs="Arial"/>
                <w:lang w:val="sr-Cyrl-BA"/>
              </w:rPr>
              <w:t>з</w:t>
            </w:r>
            <w:r w:rsidR="00A56E08">
              <w:rPr>
                <w:rFonts w:ascii="Arial" w:hAnsi="Arial" w:cs="Arial"/>
                <w:lang w:val="sr-Cyrl-BA"/>
              </w:rPr>
              <w:t>и</w:t>
            </w:r>
            <w:r>
              <w:rPr>
                <w:rFonts w:ascii="Arial" w:hAnsi="Arial" w:cs="Arial"/>
                <w:lang w:val="sr-Cyrl-BA"/>
              </w:rPr>
              <w:t>т</w:t>
            </w:r>
            <w:r w:rsidR="00EE6AA2">
              <w:rPr>
                <w:rFonts w:ascii="Arial" w:hAnsi="Arial" w:cs="Arial"/>
                <w:lang w:val="sr-Cyrl-BA"/>
              </w:rPr>
              <w:t>е</w:t>
            </w:r>
            <w:r>
              <w:rPr>
                <w:rFonts w:ascii="Arial" w:hAnsi="Arial" w:cs="Arial"/>
                <w:lang w:val="sr-Cyrl-BA"/>
              </w:rPr>
              <w:t>т</w:t>
            </w:r>
            <w:r w:rsidR="00A56E08">
              <w:rPr>
                <w:rFonts w:ascii="Arial" w:hAnsi="Arial" w:cs="Arial"/>
                <w:lang w:val="sr-Cyrl-BA"/>
              </w:rPr>
              <w:t>има</w:t>
            </w:r>
            <w:r w:rsidR="00892898" w:rsidRPr="00F6340E">
              <w:rPr>
                <w:rFonts w:ascii="Arial" w:hAnsi="Arial" w:cs="Arial"/>
                <w:lang w:val="sr-Cyrl-BA"/>
              </w:rPr>
              <w:t xml:space="preserve"> </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ок</w:t>
            </w:r>
            <w:r>
              <w:rPr>
                <w:rFonts w:ascii="Arial" w:hAnsi="Arial" w:cs="Arial"/>
                <w:lang w:val="sr-Cyrl-BA"/>
              </w:rPr>
              <w:t>в</w:t>
            </w:r>
            <w:r w:rsidR="00A56E08">
              <w:rPr>
                <w:rFonts w:ascii="Arial" w:hAnsi="Arial" w:cs="Arial"/>
                <w:lang w:val="sr-Cyrl-BA"/>
              </w:rPr>
              <w:t>и</w:t>
            </w:r>
            <w:r>
              <w:rPr>
                <w:rFonts w:ascii="Arial" w:hAnsi="Arial" w:cs="Arial"/>
                <w:lang w:val="sr-Cyrl-BA"/>
              </w:rPr>
              <w:t>ру</w:t>
            </w:r>
            <w:r w:rsidR="00892898" w:rsidRPr="00F6340E">
              <w:rPr>
                <w:rFonts w:ascii="Arial" w:hAnsi="Arial" w:cs="Arial"/>
                <w:lang w:val="sr-Cyrl-BA"/>
              </w:rPr>
              <w:t xml:space="preserve"> </w:t>
            </w:r>
            <w:r w:rsidR="00A56E08">
              <w:rPr>
                <w:rFonts w:ascii="Arial" w:hAnsi="Arial" w:cs="Arial"/>
                <w:lang w:val="sr-Cyrl-BA"/>
              </w:rPr>
              <w:t>на</w:t>
            </w:r>
            <w:r>
              <w:rPr>
                <w:rFonts w:ascii="Arial" w:hAnsi="Arial" w:cs="Arial"/>
                <w:lang w:val="sr-Cyrl-BA"/>
              </w:rPr>
              <w:t>у</w:t>
            </w:r>
            <w:r w:rsidR="00A56E08">
              <w:rPr>
                <w:rFonts w:ascii="Arial" w:hAnsi="Arial" w:cs="Arial"/>
                <w:lang w:val="sr-Cyrl-BA"/>
              </w:rPr>
              <w:t>чно</w:t>
            </w:r>
            <w:r w:rsidR="00892898" w:rsidRPr="00F6340E">
              <w:rPr>
                <w:rFonts w:ascii="Arial" w:hAnsi="Arial" w:cs="Arial"/>
                <w:lang w:val="sr-Cyrl-BA"/>
              </w:rPr>
              <w:t xml:space="preserve"> – </w:t>
            </w:r>
            <w:r w:rsidR="00A56E08">
              <w:rPr>
                <w:rFonts w:ascii="Arial" w:hAnsi="Arial" w:cs="Arial"/>
                <w:lang w:val="sr-Cyrl-BA"/>
              </w:rPr>
              <w:t>и</w:t>
            </w:r>
            <w:r>
              <w:rPr>
                <w:rFonts w:ascii="Arial" w:hAnsi="Arial" w:cs="Arial"/>
                <w:lang w:val="sr-Cyrl-BA"/>
              </w:rPr>
              <w:t>стр</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и</w:t>
            </w:r>
            <w:r>
              <w:rPr>
                <w:rFonts w:ascii="Arial" w:hAnsi="Arial" w:cs="Arial"/>
                <w:lang w:val="sr-Cyrl-BA"/>
              </w:rPr>
              <w:t>в</w:t>
            </w:r>
            <w:r w:rsidR="00A56E08">
              <w:rPr>
                <w:rFonts w:ascii="Arial" w:hAnsi="Arial" w:cs="Arial"/>
                <w:lang w:val="sr-Cyrl-BA"/>
              </w:rPr>
              <w:t>ачког</w:t>
            </w:r>
            <w:r w:rsidR="00892898"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ада</w:t>
            </w:r>
            <w:r w:rsidR="00D97AD8" w:rsidRPr="00F6340E">
              <w:rPr>
                <w:rFonts w:ascii="Arial" w:hAnsi="Arial" w:cs="Arial"/>
                <w:lang w:val="sr-Cyrl-BA"/>
              </w:rPr>
              <w:t xml:space="preserve"> </w:t>
            </w:r>
            <w:r w:rsidR="00A56E08">
              <w:rPr>
                <w:rFonts w:ascii="Arial" w:hAnsi="Arial" w:cs="Arial"/>
                <w:lang w:val="sr-Cyrl-BA"/>
              </w:rPr>
              <w:t>и</w:t>
            </w:r>
            <w:r w:rsidR="00D97AD8" w:rsidRPr="00F6340E">
              <w:rPr>
                <w:rFonts w:ascii="Arial" w:hAnsi="Arial" w:cs="Arial"/>
                <w:lang w:val="sr-Cyrl-BA"/>
              </w:rPr>
              <w:t xml:space="preserve"> </w:t>
            </w:r>
            <w:r w:rsidR="00A56E08">
              <w:rPr>
                <w:rFonts w:ascii="Arial" w:hAnsi="Arial" w:cs="Arial"/>
                <w:lang w:val="sr-Cyrl-BA"/>
              </w:rPr>
              <w:t>к</w:t>
            </w:r>
            <w:r>
              <w:rPr>
                <w:rFonts w:ascii="Arial" w:hAnsi="Arial" w:cs="Arial"/>
                <w:lang w:val="sr-Cyrl-BA"/>
              </w:rPr>
              <w:t>р</w:t>
            </w:r>
            <w:r w:rsidR="00A56E08">
              <w:rPr>
                <w:rFonts w:ascii="Arial" w:hAnsi="Arial" w:cs="Arial"/>
                <w:lang w:val="sr-Cyrl-BA"/>
              </w:rPr>
              <w:t>о</w:t>
            </w:r>
            <w:r w:rsidR="00171F00">
              <w:rPr>
                <w:rFonts w:ascii="Arial" w:hAnsi="Arial" w:cs="Arial"/>
                <w:lang w:val="sr-Cyrl-BA"/>
              </w:rPr>
              <w:t>з</w:t>
            </w:r>
            <w:r w:rsidR="00D97AD8" w:rsidRPr="00F6340E">
              <w:rPr>
                <w:rFonts w:ascii="Arial" w:hAnsi="Arial" w:cs="Arial"/>
                <w:lang w:val="sr-Cyrl-BA"/>
              </w:rPr>
              <w:t xml:space="preserve"> </w:t>
            </w:r>
            <w:r w:rsidR="00A56E08">
              <w:rPr>
                <w:rFonts w:ascii="Arial" w:hAnsi="Arial" w:cs="Arial"/>
                <w:lang w:val="sr-Cyrl-BA"/>
              </w:rPr>
              <w:t>ја</w:t>
            </w:r>
            <w:r>
              <w:rPr>
                <w:rFonts w:ascii="Arial" w:hAnsi="Arial" w:cs="Arial"/>
                <w:lang w:val="sr-Cyrl-BA"/>
              </w:rPr>
              <w:t>в</w:t>
            </w:r>
            <w:r w:rsidR="00A56E08">
              <w:rPr>
                <w:rFonts w:ascii="Arial" w:hAnsi="Arial" w:cs="Arial"/>
                <w:lang w:val="sr-Cyrl-BA"/>
              </w:rPr>
              <w:t>но</w:t>
            </w:r>
            <w:r w:rsidR="00D97AD8" w:rsidRPr="00F6340E">
              <w:rPr>
                <w:rFonts w:ascii="Arial" w:hAnsi="Arial" w:cs="Arial"/>
                <w:lang w:val="sr-Cyrl-BA"/>
              </w:rPr>
              <w:t xml:space="preserve"> – </w:t>
            </w:r>
            <w:r>
              <w:rPr>
                <w:rFonts w:ascii="Arial" w:hAnsi="Arial" w:cs="Arial"/>
                <w:lang w:val="sr-Cyrl-BA"/>
              </w:rPr>
              <w:t>пр</w:t>
            </w:r>
            <w:r w:rsidR="00A56E08">
              <w:rPr>
                <w:rFonts w:ascii="Arial" w:hAnsi="Arial" w:cs="Arial"/>
                <w:lang w:val="sr-Cyrl-BA"/>
              </w:rPr>
              <w:t>и</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на</w:t>
            </w:r>
            <w:r w:rsidR="00D97AD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а</w:t>
            </w:r>
            <w:r>
              <w:rPr>
                <w:rFonts w:ascii="Arial" w:hAnsi="Arial" w:cs="Arial"/>
                <w:lang w:val="sr-Cyrl-BA"/>
              </w:rPr>
              <w:t>рт</w:t>
            </w:r>
            <w:r w:rsidR="00A56E08">
              <w:rPr>
                <w:rFonts w:ascii="Arial" w:hAnsi="Arial" w:cs="Arial"/>
                <w:lang w:val="sr-Cyrl-BA"/>
              </w:rPr>
              <w:t>н</w:t>
            </w:r>
            <w:r w:rsidR="00EE6AA2">
              <w:rPr>
                <w:rFonts w:ascii="Arial" w:hAnsi="Arial" w:cs="Arial"/>
                <w:lang w:val="sr-Cyrl-BA"/>
              </w:rPr>
              <w:t>е</w:t>
            </w:r>
            <w:r>
              <w:rPr>
                <w:rFonts w:ascii="Arial" w:hAnsi="Arial" w:cs="Arial"/>
                <w:lang w:val="sr-Cyrl-BA"/>
              </w:rPr>
              <w:t>рств</w:t>
            </w:r>
            <w:r w:rsidR="00A56E08">
              <w:rPr>
                <w:rFonts w:ascii="Arial" w:hAnsi="Arial" w:cs="Arial"/>
                <w:lang w:val="sr-Cyrl-BA"/>
              </w:rPr>
              <w:t>а</w:t>
            </w:r>
            <w:r w:rsidR="00D97AD8" w:rsidRPr="00F6340E">
              <w:rPr>
                <w:rFonts w:ascii="Arial" w:hAnsi="Arial" w:cs="Arial"/>
                <w:lang w:val="sr-Cyrl-BA"/>
              </w:rPr>
              <w:t xml:space="preserve">. </w:t>
            </w:r>
            <w:r w:rsidR="00892898" w:rsidRPr="00F6340E">
              <w:rPr>
                <w:rFonts w:ascii="Arial" w:hAnsi="Arial" w:cs="Arial"/>
                <w:lang w:val="sr-Cyrl-BA"/>
              </w:rPr>
              <w:t xml:space="preserve"> </w:t>
            </w:r>
          </w:p>
          <w:p w14:paraId="4F0EAB6C" w14:textId="1D410D4C" w:rsidR="00785C30" w:rsidRPr="00F6340E" w:rsidRDefault="00A56E08"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color w:val="000000" w:themeColor="text1"/>
                <w:lang w:val="sr-Cyrl-BA"/>
              </w:rPr>
              <w:t>И</w:t>
            </w:r>
            <w:r w:rsidR="0071360A">
              <w:rPr>
                <w:rFonts w:ascii="Arial" w:eastAsia="Times New Roman" w:hAnsi="Arial" w:cs="Arial"/>
                <w:b/>
                <w:color w:val="000000" w:themeColor="text1"/>
                <w:lang w:val="sr-Cyrl-BA"/>
              </w:rPr>
              <w:t>стр</w:t>
            </w:r>
            <w:r>
              <w:rPr>
                <w:rFonts w:ascii="Arial" w:eastAsia="Times New Roman" w:hAnsi="Arial" w:cs="Arial"/>
                <w:b/>
                <w:color w:val="000000" w:themeColor="text1"/>
                <w:lang w:val="sr-Cyrl-BA"/>
              </w:rPr>
              <w:t>а</w:t>
            </w:r>
            <w:r w:rsidR="00171F00">
              <w:rPr>
                <w:rFonts w:ascii="Arial" w:eastAsia="Times New Roman" w:hAnsi="Arial" w:cs="Arial"/>
                <w:b/>
                <w:color w:val="000000" w:themeColor="text1"/>
                <w:lang w:val="sr-Cyrl-BA"/>
              </w:rPr>
              <w:t>ж</w:t>
            </w:r>
            <w:r>
              <w:rPr>
                <w:rFonts w:ascii="Arial" w:eastAsia="Times New Roman" w:hAnsi="Arial" w:cs="Arial"/>
                <w:b/>
                <w:color w:val="000000" w:themeColor="text1"/>
                <w:lang w:val="sr-Cyrl-BA"/>
              </w:rPr>
              <w:t>и</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дно</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до</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к</w:t>
            </w:r>
            <w:r w:rsidR="00EE6AA2">
              <w:rPr>
                <w:rFonts w:ascii="Arial" w:eastAsia="Times New Roman" w:hAnsi="Arial" w:cs="Arial"/>
                <w:b/>
                <w:color w:val="000000" w:themeColor="text1"/>
                <w:lang w:val="sr-Cyrl-BA"/>
              </w:rPr>
              <w:t>е</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w:t>
            </w: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ој</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ћих</w:t>
            </w:r>
            <w:r w:rsidR="00785C3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инфо</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ма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ичких</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и</w:t>
            </w:r>
            <w:r w:rsidR="0071360A">
              <w:rPr>
                <w:rFonts w:ascii="Arial" w:eastAsia="Times New Roman" w:hAnsi="Arial" w:cs="Arial"/>
                <w:b/>
                <w:color w:val="000000" w:themeColor="text1"/>
                <w:lang w:val="sr-Cyrl-BA"/>
              </w:rPr>
              <w:t>ст</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ма</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т</w:t>
            </w:r>
            <w:r w:rsidR="00EE6AA2">
              <w:rPr>
                <w:rFonts w:ascii="Arial" w:eastAsia="Times New Roman" w:hAnsi="Arial" w:cs="Arial"/>
                <w:b/>
                <w:color w:val="000000" w:themeColor="text1"/>
                <w:lang w:val="sr-Cyrl-BA"/>
              </w:rPr>
              <w:t>е</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ј</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ђи</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клања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sidR="00EE6AA2">
              <w:rPr>
                <w:rFonts w:ascii="Arial" w:eastAsia="Times New Roman" w:hAnsi="Arial" w:cs="Arial"/>
                <w:b/>
                <w:color w:val="000000" w:themeColor="text1"/>
                <w:lang w:val="sr-Cyrl-BA"/>
              </w:rPr>
              <w:t>е</w:t>
            </w:r>
            <w:r w:rsidR="0071360A">
              <w:rPr>
                <w:rFonts w:ascii="Arial" w:eastAsia="Times New Roman" w:hAnsi="Arial" w:cs="Arial"/>
                <w:b/>
                <w:color w:val="000000" w:themeColor="text1"/>
                <w:lang w:val="sr-Cyrl-BA"/>
              </w:rPr>
              <w:t>пр</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к</w:t>
            </w:r>
            <w:r w:rsidR="00EE6AA2">
              <w:rPr>
                <w:rFonts w:ascii="Arial" w:eastAsia="Times New Roman" w:hAnsi="Arial" w:cs="Arial"/>
                <w:b/>
                <w:color w:val="000000" w:themeColor="text1"/>
                <w:lang w:val="sr-Cyrl-BA"/>
              </w:rPr>
              <w:t>е</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sidR="00785C3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њихо</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ој</w:t>
            </w:r>
            <w:r w:rsidR="00785C3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имј</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ни</w:t>
            </w:r>
            <w:r w:rsidR="00785C30" w:rsidRPr="00F6340E">
              <w:rPr>
                <w:rFonts w:ascii="Arial" w:eastAsia="Times New Roman" w:hAnsi="Arial" w:cs="Arial"/>
                <w:b/>
                <w:color w:val="000000" w:themeColor="text1"/>
                <w:lang w:val="sr-Cyrl-BA"/>
              </w:rPr>
              <w:t xml:space="preserve"> </w:t>
            </w:r>
          </w:p>
          <w:p w14:paraId="108E0754" w14:textId="3FB62D69" w:rsidR="00785C30" w:rsidRPr="00F6340E" w:rsidRDefault="0071360A" w:rsidP="00FB5CB7">
            <w:pPr>
              <w:pStyle w:val="ListParagraph"/>
              <w:ind w:left="360"/>
              <w:jc w:val="left"/>
              <w:rPr>
                <w:rFonts w:ascii="Arial" w:eastAsia="Times New Roman" w:hAnsi="Arial" w:cs="Arial"/>
                <w:b/>
                <w:lang w:val="sr-Cyrl-BA"/>
              </w:rPr>
            </w:pPr>
            <w:r>
              <w:rPr>
                <w:rFonts w:ascii="Arial" w:hAnsi="Arial" w:cs="Arial"/>
                <w:lang w:val="sr-Cyrl-BA"/>
              </w:rPr>
              <w:t>Врш</w:t>
            </w:r>
            <w:r w:rsidR="00A56E08">
              <w:rPr>
                <w:rFonts w:ascii="Arial" w:hAnsi="Arial" w:cs="Arial"/>
                <w:lang w:val="sr-Cyrl-BA"/>
              </w:rPr>
              <w:t>и</w:t>
            </w:r>
            <w:r>
              <w:rPr>
                <w:rFonts w:ascii="Arial" w:hAnsi="Arial" w:cs="Arial"/>
                <w:lang w:val="sr-Cyrl-BA"/>
              </w:rPr>
              <w:t>т</w:t>
            </w:r>
            <w:r w:rsidR="00A56E08">
              <w:rPr>
                <w:rFonts w:ascii="Arial" w:hAnsi="Arial" w:cs="Arial"/>
                <w:lang w:val="sr-Cyrl-BA"/>
              </w:rPr>
              <w:t>и</w:t>
            </w:r>
            <w:r w:rsidR="00785C30" w:rsidRPr="00F6340E">
              <w:rPr>
                <w:rFonts w:ascii="Arial" w:hAnsi="Arial" w:cs="Arial"/>
                <w:lang w:val="sr-Cyrl-BA"/>
              </w:rPr>
              <w:t xml:space="preserve"> </w:t>
            </w:r>
            <w:r w:rsidR="00A56E08">
              <w:rPr>
                <w:rFonts w:ascii="Arial" w:hAnsi="Arial" w:cs="Arial"/>
                <w:lang w:val="sr-Cyrl-BA"/>
              </w:rPr>
              <w:t>кон</w:t>
            </w:r>
            <w:r>
              <w:rPr>
                <w:rFonts w:ascii="Arial" w:hAnsi="Arial" w:cs="Arial"/>
                <w:lang w:val="sr-Cyrl-BA"/>
              </w:rPr>
              <w:t>т</w:t>
            </w:r>
            <w:r w:rsidR="00A56E08">
              <w:rPr>
                <w:rFonts w:ascii="Arial" w:hAnsi="Arial" w:cs="Arial"/>
                <w:lang w:val="sr-Cyrl-BA"/>
              </w:rPr>
              <w:t>ин</w:t>
            </w:r>
            <w:r>
              <w:rPr>
                <w:rFonts w:ascii="Arial" w:hAnsi="Arial" w:cs="Arial"/>
                <w:lang w:val="sr-Cyrl-BA"/>
              </w:rPr>
              <w:t>у</w:t>
            </w:r>
            <w:r w:rsidR="00A56E08">
              <w:rPr>
                <w:rFonts w:ascii="Arial" w:hAnsi="Arial" w:cs="Arial"/>
                <w:lang w:val="sr-Cyrl-BA"/>
              </w:rPr>
              <w:t>ално</w:t>
            </w:r>
            <w:r w:rsidR="00D46A3E"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аћ</w:t>
            </w:r>
            <w:r w:rsidR="00EE6AA2">
              <w:rPr>
                <w:rFonts w:ascii="Arial" w:hAnsi="Arial" w:cs="Arial"/>
                <w:lang w:val="sr-Cyrl-BA"/>
              </w:rPr>
              <w:t>е</w:t>
            </w:r>
            <w:r w:rsidR="00A56E08">
              <w:rPr>
                <w:rFonts w:ascii="Arial" w:hAnsi="Arial" w:cs="Arial"/>
                <w:lang w:val="sr-Cyrl-BA"/>
              </w:rPr>
              <w:t>њ</w:t>
            </w:r>
            <w:r w:rsidR="00EE6AA2">
              <w:rPr>
                <w:rFonts w:ascii="Arial" w:hAnsi="Arial" w:cs="Arial"/>
                <w:lang w:val="sr-Cyrl-BA"/>
              </w:rPr>
              <w:t>е</w:t>
            </w:r>
            <w:r w:rsidR="00D46A3E"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имј</w:t>
            </w:r>
            <w:r w:rsidR="00EE6AA2">
              <w:rPr>
                <w:rFonts w:ascii="Arial" w:hAnsi="Arial" w:cs="Arial"/>
                <w:lang w:val="sr-Cyrl-BA"/>
              </w:rPr>
              <w:t>е</w:t>
            </w:r>
            <w:r w:rsidR="00A56E08">
              <w:rPr>
                <w:rFonts w:ascii="Arial" w:hAnsi="Arial" w:cs="Arial"/>
                <w:lang w:val="sr-Cyrl-BA"/>
              </w:rPr>
              <w:t>н</w:t>
            </w:r>
            <w:r w:rsidR="00EE6AA2">
              <w:rPr>
                <w:rFonts w:ascii="Arial" w:hAnsi="Arial" w:cs="Arial"/>
                <w:lang w:val="sr-Cyrl-BA"/>
              </w:rPr>
              <w:t>е</w:t>
            </w:r>
            <w:r w:rsidR="00785C30" w:rsidRPr="00F6340E">
              <w:rPr>
                <w:rFonts w:ascii="Arial" w:hAnsi="Arial" w:cs="Arial"/>
                <w:lang w:val="sr-Cyrl-BA"/>
              </w:rPr>
              <w:t xml:space="preserve"> </w:t>
            </w:r>
            <w:r w:rsidR="00A56E08">
              <w:rPr>
                <w:rFonts w:ascii="Arial" w:hAnsi="Arial" w:cs="Arial"/>
                <w:lang w:val="sr-Cyrl-BA"/>
              </w:rPr>
              <w:t>и</w:t>
            </w:r>
            <w:r w:rsidR="00785C30" w:rsidRPr="00F6340E">
              <w:rPr>
                <w:rFonts w:ascii="Arial" w:hAnsi="Arial" w:cs="Arial"/>
                <w:lang w:val="sr-Cyrl-BA"/>
              </w:rPr>
              <w:t xml:space="preserve"> </w:t>
            </w:r>
            <w:r w:rsidR="00EE6AA2">
              <w:rPr>
                <w:rFonts w:ascii="Arial" w:hAnsi="Arial" w:cs="Arial"/>
                <w:lang w:val="sr-Cyrl-BA"/>
              </w:rPr>
              <w:t>е</w:t>
            </w:r>
            <w:r>
              <w:rPr>
                <w:rFonts w:ascii="Arial" w:hAnsi="Arial" w:cs="Arial"/>
                <w:lang w:val="sr-Cyrl-BA"/>
              </w:rPr>
              <w:t>в</w:t>
            </w:r>
            <w:r w:rsidR="00EE6AA2">
              <w:rPr>
                <w:rFonts w:ascii="Arial" w:hAnsi="Arial" w:cs="Arial"/>
                <w:lang w:val="sr-Cyrl-BA"/>
              </w:rPr>
              <w:t>е</w:t>
            </w:r>
            <w:r w:rsidR="00A56E08">
              <w:rPr>
                <w:rFonts w:ascii="Arial" w:hAnsi="Arial" w:cs="Arial"/>
                <w:lang w:val="sr-Cyrl-BA"/>
              </w:rPr>
              <w:t>н</w:t>
            </w:r>
            <w:r>
              <w:rPr>
                <w:rFonts w:ascii="Arial" w:hAnsi="Arial" w:cs="Arial"/>
                <w:lang w:val="sr-Cyrl-BA"/>
              </w:rPr>
              <w:t>ту</w:t>
            </w:r>
            <w:r w:rsidR="00A56E08">
              <w:rPr>
                <w:rFonts w:ascii="Arial" w:hAnsi="Arial" w:cs="Arial"/>
                <w:lang w:val="sr-Cyrl-BA"/>
              </w:rPr>
              <w:t>алн</w:t>
            </w:r>
            <w:r w:rsidR="00EE6AA2">
              <w:rPr>
                <w:rFonts w:ascii="Arial" w:hAnsi="Arial" w:cs="Arial"/>
                <w:lang w:val="sr-Cyrl-BA"/>
              </w:rPr>
              <w:t>е</w:t>
            </w:r>
            <w:r w:rsidR="00785C30" w:rsidRPr="00F6340E">
              <w:rPr>
                <w:rFonts w:ascii="Arial" w:hAnsi="Arial" w:cs="Arial"/>
                <w:lang w:val="sr-Cyrl-BA"/>
              </w:rPr>
              <w:t xml:space="preserve"> </w:t>
            </w:r>
            <w:r w:rsidR="00A56E08">
              <w:rPr>
                <w:rFonts w:ascii="Arial" w:hAnsi="Arial" w:cs="Arial"/>
                <w:lang w:val="sr-Cyrl-BA"/>
              </w:rPr>
              <w:t>надог</w:t>
            </w:r>
            <w:r>
              <w:rPr>
                <w:rFonts w:ascii="Arial" w:hAnsi="Arial" w:cs="Arial"/>
                <w:lang w:val="sr-Cyrl-BA"/>
              </w:rPr>
              <w:t>р</w:t>
            </w:r>
            <w:r w:rsidR="00A56E08">
              <w:rPr>
                <w:rFonts w:ascii="Arial" w:hAnsi="Arial" w:cs="Arial"/>
                <w:lang w:val="sr-Cyrl-BA"/>
              </w:rPr>
              <w:t>адњ</w:t>
            </w:r>
            <w:r w:rsidR="00EE6AA2">
              <w:rPr>
                <w:rFonts w:ascii="Arial" w:hAnsi="Arial" w:cs="Arial"/>
                <w:lang w:val="sr-Cyrl-BA"/>
              </w:rPr>
              <w:t>е</w:t>
            </w:r>
            <w:r w:rsidR="00785C30"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ј</w:t>
            </w:r>
            <w:r w:rsidR="00EE6AA2">
              <w:rPr>
                <w:rFonts w:ascii="Arial" w:hAnsi="Arial" w:cs="Arial"/>
                <w:lang w:val="sr-Cyrl-BA"/>
              </w:rPr>
              <w:t>е</w:t>
            </w:r>
            <w:r>
              <w:rPr>
                <w:rFonts w:ascii="Arial" w:hAnsi="Arial" w:cs="Arial"/>
                <w:lang w:val="sr-Cyrl-BA"/>
              </w:rPr>
              <w:t>ш</w:t>
            </w:r>
            <w:r w:rsidR="00EE6AA2">
              <w:rPr>
                <w:rFonts w:ascii="Arial" w:hAnsi="Arial" w:cs="Arial"/>
                <w:lang w:val="sr-Cyrl-BA"/>
              </w:rPr>
              <w:t>е</w:t>
            </w:r>
            <w:r w:rsidR="00A56E08">
              <w:rPr>
                <w:rFonts w:ascii="Arial" w:hAnsi="Arial" w:cs="Arial"/>
                <w:lang w:val="sr-Cyrl-BA"/>
              </w:rPr>
              <w:t>ња</w:t>
            </w:r>
            <w:r w:rsidR="00B04FA8">
              <w:rPr>
                <w:rFonts w:ascii="Arial" w:hAnsi="Arial" w:cs="Arial"/>
                <w:lang w:val="sr-Cyrl-BA"/>
              </w:rPr>
              <w:t xml:space="preserve"> са </w:t>
            </w:r>
            <w:r w:rsidR="00A56E08">
              <w:rPr>
                <w:rFonts w:ascii="Arial" w:hAnsi="Arial" w:cs="Arial"/>
                <w:lang w:val="sr-Cyrl-BA"/>
              </w:rPr>
              <w:t>циљ</w:t>
            </w:r>
            <w:r w:rsidR="00EE6AA2">
              <w:rPr>
                <w:rFonts w:ascii="Arial" w:hAnsi="Arial" w:cs="Arial"/>
                <w:lang w:val="sr-Cyrl-BA"/>
              </w:rPr>
              <w:t>е</w:t>
            </w:r>
            <w:r w:rsidR="00A56E08">
              <w:rPr>
                <w:rFonts w:ascii="Arial" w:hAnsi="Arial" w:cs="Arial"/>
                <w:lang w:val="sr-Cyrl-BA"/>
              </w:rPr>
              <w:t>м</w:t>
            </w:r>
            <w:r w:rsidR="00785C30" w:rsidRPr="00F6340E">
              <w:rPr>
                <w:rFonts w:ascii="Arial" w:hAnsi="Arial" w:cs="Arial"/>
                <w:lang w:val="sr-Cyrl-BA"/>
              </w:rPr>
              <w:t xml:space="preserve"> </w:t>
            </w:r>
            <w:r w:rsidR="00A56E08">
              <w:rPr>
                <w:rFonts w:ascii="Arial" w:hAnsi="Arial" w:cs="Arial"/>
                <w:lang w:val="sr-Cyrl-BA"/>
              </w:rPr>
              <w:t>њихо</w:t>
            </w:r>
            <w:r>
              <w:rPr>
                <w:rFonts w:ascii="Arial" w:hAnsi="Arial" w:cs="Arial"/>
                <w:lang w:val="sr-Cyrl-BA"/>
              </w:rPr>
              <w:t>в</w:t>
            </w:r>
            <w:r w:rsidR="00A56E08">
              <w:rPr>
                <w:rFonts w:ascii="Arial" w:hAnsi="Arial" w:cs="Arial"/>
                <w:lang w:val="sr-Cyrl-BA"/>
              </w:rPr>
              <w:t>ог</w:t>
            </w:r>
            <w:r w:rsidR="00785C30"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на</w:t>
            </w:r>
            <w:r>
              <w:rPr>
                <w:rFonts w:ascii="Arial" w:hAnsi="Arial" w:cs="Arial"/>
                <w:lang w:val="sr-Cyrl-BA"/>
              </w:rPr>
              <w:t>пр</w:t>
            </w:r>
            <w:r w:rsidR="00A56E08">
              <w:rPr>
                <w:rFonts w:ascii="Arial" w:hAnsi="Arial" w:cs="Arial"/>
                <w:lang w:val="sr-Cyrl-BA"/>
              </w:rPr>
              <w:t>ј</w:t>
            </w:r>
            <w:r w:rsidR="00EE6AA2">
              <w:rPr>
                <w:rFonts w:ascii="Arial" w:hAnsi="Arial" w:cs="Arial"/>
                <w:lang w:val="sr-Cyrl-BA"/>
              </w:rPr>
              <w:t>е</w:t>
            </w:r>
            <w:r w:rsidR="00A56E08">
              <w:rPr>
                <w:rFonts w:ascii="Arial" w:hAnsi="Arial" w:cs="Arial"/>
                <w:lang w:val="sr-Cyrl-BA"/>
              </w:rPr>
              <w:t>ђ</w:t>
            </w:r>
            <w:r w:rsidR="00EE6AA2">
              <w:rPr>
                <w:rFonts w:ascii="Arial" w:hAnsi="Arial" w:cs="Arial"/>
                <w:lang w:val="sr-Cyrl-BA"/>
              </w:rPr>
              <w:t>е</w:t>
            </w:r>
            <w:r w:rsidR="00A56E08">
              <w:rPr>
                <w:rFonts w:ascii="Arial" w:hAnsi="Arial" w:cs="Arial"/>
                <w:lang w:val="sr-Cyrl-BA"/>
              </w:rPr>
              <w:t>ња</w:t>
            </w:r>
            <w:r w:rsidR="00785C30" w:rsidRPr="00F6340E">
              <w:rPr>
                <w:rFonts w:ascii="Arial" w:hAnsi="Arial" w:cs="Arial"/>
                <w:lang w:val="sr-Cyrl-BA"/>
              </w:rPr>
              <w:t xml:space="preserve">. </w:t>
            </w:r>
          </w:p>
          <w:p w14:paraId="61591EE6" w14:textId="6D1C5729" w:rsidR="00892898" w:rsidRPr="00F6340E" w:rsidRDefault="0071360A" w:rsidP="00FB5CB7">
            <w:pPr>
              <w:pStyle w:val="ListParagraph"/>
              <w:numPr>
                <w:ilvl w:val="0"/>
                <w:numId w:val="37"/>
              </w:numPr>
              <w:jc w:val="left"/>
              <w:textAlignment w:val="baseline"/>
              <w:rPr>
                <w:rFonts w:ascii="Arial" w:eastAsiaTheme="minorHAnsi" w:hAnsi="Arial" w:cs="Arial"/>
                <w:b/>
                <w:color w:val="000000"/>
                <w:lang w:val="sr-Cyrl-BA"/>
              </w:rPr>
            </w:pPr>
            <w:r>
              <w:rPr>
                <w:rFonts w:ascii="Arial" w:hAnsi="Arial" w:cs="Arial"/>
                <w:b/>
                <w:lang w:val="sr-Cyrl-BA"/>
              </w:rPr>
              <w:t>Пр</w:t>
            </w:r>
            <w:r w:rsidR="00A56E08">
              <w:rPr>
                <w:rFonts w:ascii="Arial" w:hAnsi="Arial" w:cs="Arial"/>
                <w:b/>
                <w:lang w:val="sr-Cyrl-BA"/>
              </w:rPr>
              <w:t>омо</w:t>
            </w:r>
            <w:r>
              <w:rPr>
                <w:rFonts w:ascii="Arial" w:hAnsi="Arial" w:cs="Arial"/>
                <w:b/>
                <w:lang w:val="sr-Cyrl-BA"/>
              </w:rPr>
              <w:t>в</w:t>
            </w:r>
            <w:r w:rsidR="00A56E08">
              <w:rPr>
                <w:rFonts w:ascii="Arial" w:hAnsi="Arial" w:cs="Arial"/>
                <w:b/>
                <w:lang w:val="sr-Cyrl-BA"/>
              </w:rPr>
              <w:t>и</w:t>
            </w:r>
            <w:r>
              <w:rPr>
                <w:rFonts w:ascii="Arial" w:hAnsi="Arial" w:cs="Arial"/>
                <w:b/>
                <w:lang w:val="sr-Cyrl-BA"/>
              </w:rPr>
              <w:t>с</w:t>
            </w:r>
            <w:r w:rsidR="00A56E08">
              <w:rPr>
                <w:rFonts w:ascii="Arial" w:hAnsi="Arial" w:cs="Arial"/>
                <w:b/>
                <w:lang w:val="sr-Cyrl-BA"/>
              </w:rPr>
              <w:t>а</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sidR="00A56E08">
              <w:rPr>
                <w:rFonts w:ascii="Arial" w:hAnsi="Arial" w:cs="Arial"/>
                <w:b/>
                <w:lang w:val="sr-Cyrl-BA"/>
              </w:rPr>
              <w:t>и</w:t>
            </w:r>
            <w:r w:rsidR="00892898"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аго</w:t>
            </w:r>
            <w:r>
              <w:rPr>
                <w:rFonts w:ascii="Arial" w:hAnsi="Arial" w:cs="Arial"/>
                <w:b/>
                <w:lang w:val="sr-Cyrl-BA"/>
              </w:rPr>
              <w:t>в</w:t>
            </w:r>
            <w:r w:rsidR="00A56E08">
              <w:rPr>
                <w:rFonts w:ascii="Arial" w:hAnsi="Arial" w:cs="Arial"/>
                <w:b/>
                <w:lang w:val="sr-Cyrl-BA"/>
              </w:rPr>
              <w:t>а</w:t>
            </w:r>
            <w:r>
              <w:rPr>
                <w:rFonts w:ascii="Arial" w:hAnsi="Arial" w:cs="Arial"/>
                <w:b/>
                <w:lang w:val="sr-Cyrl-BA"/>
              </w:rPr>
              <w:t>р</w:t>
            </w:r>
            <w:r w:rsidR="00A56E08">
              <w:rPr>
                <w:rFonts w:ascii="Arial" w:hAnsi="Arial" w:cs="Arial"/>
                <w:b/>
                <w:lang w:val="sr-Cyrl-BA"/>
              </w:rPr>
              <w:t>а</w:t>
            </w:r>
            <w:r>
              <w:rPr>
                <w:rFonts w:ascii="Arial" w:hAnsi="Arial" w:cs="Arial"/>
                <w:b/>
                <w:lang w:val="sr-Cyrl-BA"/>
              </w:rPr>
              <w:t>т</w:t>
            </w:r>
            <w:r w:rsidR="00A56E08">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уп</w:t>
            </w:r>
            <w:r w:rsidR="00A56E08">
              <w:rPr>
                <w:rFonts w:ascii="Arial" w:hAnsi="Arial" w:cs="Arial"/>
                <w:b/>
                <w:lang w:val="sr-Cyrl-BA"/>
              </w:rPr>
              <w:t>о</w:t>
            </w:r>
            <w:r>
              <w:rPr>
                <w:rFonts w:ascii="Arial" w:hAnsi="Arial" w:cs="Arial"/>
                <w:b/>
                <w:lang w:val="sr-Cyrl-BA"/>
              </w:rPr>
              <w:t>тр</w:t>
            </w:r>
            <w:r w:rsidR="00EE6AA2">
              <w:rPr>
                <w:rFonts w:ascii="Arial" w:hAnsi="Arial" w:cs="Arial"/>
                <w:b/>
                <w:lang w:val="sr-Cyrl-BA"/>
              </w:rPr>
              <w:t>е</w:t>
            </w:r>
            <w:r w:rsidR="00A56E08">
              <w:rPr>
                <w:rFonts w:ascii="Arial" w:hAnsi="Arial" w:cs="Arial"/>
                <w:b/>
                <w:lang w:val="sr-Cyrl-BA"/>
              </w:rPr>
              <w:t>б</w:t>
            </w:r>
            <w:r>
              <w:rPr>
                <w:rFonts w:ascii="Arial" w:hAnsi="Arial" w:cs="Arial"/>
                <w:b/>
                <w:lang w:val="sr-Cyrl-BA"/>
              </w:rPr>
              <w:t>у</w:t>
            </w:r>
            <w:r w:rsidR="00892898"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тв</w:t>
            </w:r>
            <w:r w:rsidR="00A56E08">
              <w:rPr>
                <w:rFonts w:ascii="Arial" w:hAnsi="Arial" w:cs="Arial"/>
                <w:b/>
                <w:lang w:val="sr-Cyrl-BA"/>
              </w:rPr>
              <w:t>о</w:t>
            </w:r>
            <w:r>
              <w:rPr>
                <w:rFonts w:ascii="Arial" w:hAnsi="Arial" w:cs="Arial"/>
                <w:b/>
                <w:lang w:val="sr-Cyrl-BA"/>
              </w:rPr>
              <w:t>р</w:t>
            </w:r>
            <w:r w:rsidR="00EE6AA2">
              <w:rPr>
                <w:rFonts w:ascii="Arial" w:hAnsi="Arial" w:cs="Arial"/>
                <w:b/>
                <w:lang w:val="sr-Cyrl-BA"/>
              </w:rPr>
              <w:t>е</w:t>
            </w:r>
            <w:r w:rsidR="00A56E08">
              <w:rPr>
                <w:rFonts w:ascii="Arial" w:hAnsi="Arial" w:cs="Arial"/>
                <w:b/>
                <w:lang w:val="sr-Cyrl-BA"/>
              </w:rPr>
              <w:t>них</w:t>
            </w:r>
            <w:r w:rsidR="00D46A3E" w:rsidRPr="00F6340E">
              <w:rPr>
                <w:rFonts w:ascii="Arial" w:hAnsi="Arial" w:cs="Arial"/>
                <w:b/>
                <w:lang w:val="sr-Cyrl-BA"/>
              </w:rPr>
              <w:t xml:space="preserve"> </w:t>
            </w:r>
            <w:r w:rsidR="00A56E08">
              <w:rPr>
                <w:rFonts w:ascii="Arial" w:hAnsi="Arial" w:cs="Arial"/>
                <w:b/>
                <w:lang w:val="sr-Cyrl-BA"/>
              </w:rPr>
              <w:t>об</w:t>
            </w:r>
            <w:r>
              <w:rPr>
                <w:rFonts w:ascii="Arial" w:hAnsi="Arial" w:cs="Arial"/>
                <w:b/>
                <w:lang w:val="sr-Cyrl-BA"/>
              </w:rPr>
              <w:t>р</w:t>
            </w:r>
            <w:r w:rsidR="00A56E08">
              <w:rPr>
                <w:rFonts w:ascii="Arial" w:hAnsi="Arial" w:cs="Arial"/>
                <w:b/>
                <w:lang w:val="sr-Cyrl-BA"/>
              </w:rPr>
              <w:t>а</w:t>
            </w:r>
            <w:r w:rsidR="00171F00">
              <w:rPr>
                <w:rFonts w:ascii="Arial" w:hAnsi="Arial" w:cs="Arial"/>
                <w:b/>
                <w:lang w:val="sr-Cyrl-BA"/>
              </w:rPr>
              <w:t>з</w:t>
            </w:r>
            <w:r w:rsidR="00A56E08">
              <w:rPr>
                <w:rFonts w:ascii="Arial" w:hAnsi="Arial" w:cs="Arial"/>
                <w:b/>
                <w:lang w:val="sr-Cyrl-BA"/>
              </w:rPr>
              <w:t>о</w:t>
            </w:r>
            <w:r>
              <w:rPr>
                <w:rFonts w:ascii="Arial" w:hAnsi="Arial" w:cs="Arial"/>
                <w:b/>
                <w:lang w:val="sr-Cyrl-BA"/>
              </w:rPr>
              <w:t>в</w:t>
            </w:r>
            <w:r w:rsidR="00A56E08">
              <w:rPr>
                <w:rFonts w:ascii="Arial" w:hAnsi="Arial" w:cs="Arial"/>
                <w:b/>
                <w:lang w:val="sr-Cyrl-BA"/>
              </w:rPr>
              <w:t>них</w:t>
            </w:r>
            <w:r w:rsidR="00D46A3E" w:rsidRPr="00F6340E">
              <w:rPr>
                <w:rFonts w:ascii="Arial" w:hAnsi="Arial" w:cs="Arial"/>
                <w:b/>
                <w:lang w:val="sr-Cyrl-BA"/>
              </w:rPr>
              <w:t xml:space="preserve"> </w:t>
            </w:r>
            <w:r>
              <w:rPr>
                <w:rFonts w:ascii="Arial" w:hAnsi="Arial" w:cs="Arial"/>
                <w:b/>
                <w:lang w:val="sr-Cyrl-BA"/>
              </w:rPr>
              <w:t>р</w:t>
            </w:r>
            <w:r w:rsidR="00EE6AA2">
              <w:rPr>
                <w:rFonts w:ascii="Arial" w:hAnsi="Arial" w:cs="Arial"/>
                <w:b/>
                <w:lang w:val="sr-Cyrl-BA"/>
              </w:rPr>
              <w:t>е</w:t>
            </w:r>
            <w:r>
              <w:rPr>
                <w:rFonts w:ascii="Arial" w:hAnsi="Arial" w:cs="Arial"/>
                <w:b/>
                <w:lang w:val="sr-Cyrl-BA"/>
              </w:rPr>
              <w:t>сурс</w:t>
            </w:r>
            <w:r w:rsidR="00A56E08">
              <w:rPr>
                <w:rFonts w:ascii="Arial" w:hAnsi="Arial" w:cs="Arial"/>
                <w:b/>
                <w:lang w:val="sr-Cyrl-BA"/>
              </w:rPr>
              <w:t>а</w:t>
            </w:r>
            <w:r w:rsidR="00D46A3E" w:rsidRPr="00F6340E">
              <w:rPr>
                <w:rFonts w:ascii="Arial" w:hAnsi="Arial" w:cs="Arial"/>
                <w:b/>
                <w:lang w:val="sr-Cyrl-BA"/>
              </w:rPr>
              <w:t xml:space="preserve"> (</w:t>
            </w:r>
            <w:r w:rsidR="005549C9">
              <w:rPr>
                <w:rFonts w:ascii="Arial" w:hAnsi="Arial" w:cs="Arial"/>
                <w:b/>
                <w:lang w:val="hr-BA"/>
              </w:rPr>
              <w:t>open education resources</w:t>
            </w:r>
            <w:r w:rsidR="00892898" w:rsidRPr="00F6340E">
              <w:rPr>
                <w:rFonts w:ascii="Arial" w:hAnsi="Arial" w:cs="Arial"/>
                <w:b/>
                <w:lang w:val="sr-Cyrl-BA"/>
              </w:rPr>
              <w:t xml:space="preserve"> (</w:t>
            </w:r>
            <w:r w:rsidR="005549C9">
              <w:rPr>
                <w:rFonts w:ascii="Arial" w:hAnsi="Arial" w:cs="Arial"/>
                <w:b/>
                <w:lang w:val="hr-BA"/>
              </w:rPr>
              <w:t>OEP</w:t>
            </w:r>
            <w:r w:rsidR="00892898" w:rsidRPr="00F6340E">
              <w:rPr>
                <w:rFonts w:ascii="Arial" w:hAnsi="Arial" w:cs="Arial"/>
                <w:b/>
                <w:lang w:val="sr-Cyrl-BA"/>
              </w:rPr>
              <w:t>)</w:t>
            </w:r>
            <w:r w:rsidR="00D46A3E" w:rsidRPr="00F6340E">
              <w:rPr>
                <w:rFonts w:ascii="Arial" w:hAnsi="Arial" w:cs="Arial"/>
                <w:b/>
                <w:lang w:val="sr-Cyrl-BA"/>
              </w:rPr>
              <w:t>)</w:t>
            </w:r>
            <w:r w:rsidR="00892898" w:rsidRPr="00F6340E">
              <w:rPr>
                <w:rFonts w:ascii="Arial" w:hAnsi="Arial" w:cs="Arial"/>
                <w:b/>
                <w:lang w:val="sr-Cyrl-BA"/>
              </w:rPr>
              <w:t xml:space="preserve"> </w:t>
            </w:r>
            <w:r>
              <w:rPr>
                <w:rFonts w:ascii="Arial" w:hAnsi="Arial" w:cs="Arial"/>
                <w:b/>
                <w:lang w:val="sr-Cyrl-BA"/>
              </w:rPr>
              <w:t>у</w:t>
            </w:r>
            <w:r w:rsidR="00892898" w:rsidRPr="00F6340E">
              <w:rPr>
                <w:rFonts w:ascii="Arial" w:hAnsi="Arial" w:cs="Arial"/>
                <w:b/>
                <w:lang w:val="sr-Cyrl-BA"/>
              </w:rPr>
              <w:t xml:space="preserve"> </w:t>
            </w:r>
            <w:r w:rsidR="00A56E08">
              <w:rPr>
                <w:rFonts w:ascii="Arial" w:hAnsi="Arial" w:cs="Arial"/>
                <w:b/>
                <w:lang w:val="sr-Cyrl-BA"/>
              </w:rPr>
              <w:t>об</w:t>
            </w:r>
            <w:r>
              <w:rPr>
                <w:rFonts w:ascii="Arial" w:hAnsi="Arial" w:cs="Arial"/>
                <w:b/>
                <w:lang w:val="sr-Cyrl-BA"/>
              </w:rPr>
              <w:t>р</w:t>
            </w:r>
            <w:r w:rsidR="00A56E08">
              <w:rPr>
                <w:rFonts w:ascii="Arial" w:hAnsi="Arial" w:cs="Arial"/>
                <w:b/>
                <w:lang w:val="sr-Cyrl-BA"/>
              </w:rPr>
              <w:t>а</w:t>
            </w:r>
            <w:r w:rsidR="00171F00">
              <w:rPr>
                <w:rFonts w:ascii="Arial" w:hAnsi="Arial" w:cs="Arial"/>
                <w:b/>
                <w:lang w:val="sr-Cyrl-BA"/>
              </w:rPr>
              <w:t>з</w:t>
            </w:r>
            <w:r w:rsidR="00A56E08">
              <w:rPr>
                <w:rFonts w:ascii="Arial" w:hAnsi="Arial" w:cs="Arial"/>
                <w:b/>
                <w:lang w:val="sr-Cyrl-BA"/>
              </w:rPr>
              <w:t>о</w:t>
            </w:r>
            <w:r>
              <w:rPr>
                <w:rFonts w:ascii="Arial" w:hAnsi="Arial" w:cs="Arial"/>
                <w:b/>
                <w:lang w:val="sr-Cyrl-BA"/>
              </w:rPr>
              <w:t>в</w:t>
            </w:r>
            <w:r w:rsidR="00A56E08">
              <w:rPr>
                <w:rFonts w:ascii="Arial" w:hAnsi="Arial" w:cs="Arial"/>
                <w:b/>
                <w:lang w:val="sr-Cyrl-BA"/>
              </w:rPr>
              <w:t>ним</w:t>
            </w:r>
            <w:r w:rsidR="00892898" w:rsidRPr="00F6340E">
              <w:rPr>
                <w:rFonts w:ascii="Arial" w:hAnsi="Arial" w:cs="Arial"/>
                <w:b/>
                <w:lang w:val="sr-Cyrl-BA"/>
              </w:rPr>
              <w:t xml:space="preserve"> </w:t>
            </w:r>
            <w:r w:rsidR="00A56E08">
              <w:rPr>
                <w:rFonts w:ascii="Arial" w:hAnsi="Arial" w:cs="Arial"/>
                <w:b/>
                <w:lang w:val="sr-Cyrl-BA"/>
              </w:rPr>
              <w:t>ин</w:t>
            </w:r>
            <w:r>
              <w:rPr>
                <w:rFonts w:ascii="Arial" w:hAnsi="Arial" w:cs="Arial"/>
                <w:b/>
                <w:lang w:val="sr-Cyrl-BA"/>
              </w:rPr>
              <w:t>ст</w:t>
            </w:r>
            <w:r w:rsidR="00A56E08">
              <w:rPr>
                <w:rFonts w:ascii="Arial" w:hAnsi="Arial" w:cs="Arial"/>
                <w:b/>
                <w:lang w:val="sr-Cyrl-BA"/>
              </w:rPr>
              <w:t>и</w:t>
            </w:r>
            <w:r>
              <w:rPr>
                <w:rFonts w:ascii="Arial" w:hAnsi="Arial" w:cs="Arial"/>
                <w:b/>
                <w:lang w:val="sr-Cyrl-BA"/>
              </w:rPr>
              <w:t>ту</w:t>
            </w:r>
            <w:r w:rsidR="00A56E08">
              <w:rPr>
                <w:rFonts w:ascii="Arial" w:hAnsi="Arial" w:cs="Arial"/>
                <w:b/>
                <w:lang w:val="sr-Cyrl-BA"/>
              </w:rPr>
              <w:t>цијама</w:t>
            </w:r>
            <w:r w:rsidR="00892898" w:rsidRPr="00F6340E">
              <w:rPr>
                <w:rFonts w:ascii="Arial" w:hAnsi="Arial" w:cs="Arial"/>
                <w:b/>
                <w:lang w:val="sr-Cyrl-BA"/>
              </w:rPr>
              <w:t xml:space="preserve"> </w:t>
            </w:r>
          </w:p>
          <w:p w14:paraId="330344E2" w14:textId="2222996B" w:rsidR="00892898" w:rsidRPr="00F6340E" w:rsidRDefault="00A56E08" w:rsidP="00FB5CB7">
            <w:pPr>
              <w:pStyle w:val="ListParagraph"/>
              <w:numPr>
                <w:ilvl w:val="0"/>
                <w:numId w:val="37"/>
              </w:numPr>
              <w:jc w:val="left"/>
              <w:rPr>
                <w:rFonts w:ascii="Arial" w:eastAsia="Times New Roman" w:hAnsi="Arial" w:cs="Arial"/>
                <w:b/>
                <w:lang w:val="sr-Cyrl-BA"/>
              </w:rPr>
            </w:pPr>
            <w:r>
              <w:rPr>
                <w:rFonts w:ascii="Arial" w:eastAsia="Times New Roman" w:hAnsi="Arial" w:cs="Arial"/>
                <w:b/>
                <w:color w:val="000000"/>
                <w:lang w:val="sr-Cyrl-BA"/>
              </w:rPr>
              <w:lastRenderedPageBreak/>
              <w:t>И</w:t>
            </w:r>
            <w:r w:rsidR="0071360A">
              <w:rPr>
                <w:rFonts w:ascii="Arial" w:eastAsia="Times New Roman" w:hAnsi="Arial" w:cs="Arial"/>
                <w:b/>
                <w:color w:val="000000"/>
                <w:lang w:val="sr-Cyrl-BA"/>
              </w:rPr>
              <w:t>стр</w:t>
            </w:r>
            <w:r>
              <w:rPr>
                <w:rFonts w:ascii="Arial" w:eastAsia="Times New Roman" w:hAnsi="Arial" w:cs="Arial"/>
                <w:b/>
                <w:color w:val="000000"/>
                <w:lang w:val="sr-Cyrl-BA"/>
              </w:rPr>
              <w:t>а</w:t>
            </w:r>
            <w:r w:rsidR="00171F00">
              <w:rPr>
                <w:rFonts w:ascii="Arial" w:eastAsia="Times New Roman" w:hAnsi="Arial" w:cs="Arial"/>
                <w:b/>
                <w:color w:val="000000"/>
                <w:lang w:val="sr-Cyrl-BA"/>
              </w:rPr>
              <w:t>ж</w:t>
            </w:r>
            <w:r>
              <w:rPr>
                <w:rFonts w:ascii="Arial" w:eastAsia="Times New Roman" w:hAnsi="Arial" w:cs="Arial"/>
                <w:b/>
                <w:color w:val="000000"/>
                <w:lang w:val="sr-Cyrl-BA"/>
              </w:rPr>
              <w:t>и</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док</w:t>
            </w:r>
            <w:r w:rsidR="0071360A">
              <w:rPr>
                <w:rFonts w:ascii="Arial" w:eastAsia="Times New Roman" w:hAnsi="Arial" w:cs="Arial"/>
                <w:b/>
                <w:color w:val="000000"/>
                <w:lang w:val="sr-Cyrl-BA"/>
              </w:rPr>
              <w:t>у</w:t>
            </w:r>
            <w:r>
              <w:rPr>
                <w:rFonts w:ascii="Arial" w:eastAsia="Times New Roman" w:hAnsi="Arial" w:cs="Arial"/>
                <w:b/>
                <w:color w:val="000000"/>
                <w:lang w:val="sr-Cyrl-BA"/>
              </w:rPr>
              <w:t>м</w:t>
            </w:r>
            <w:r w:rsidR="00EE6AA2">
              <w:rPr>
                <w:rFonts w:ascii="Arial" w:eastAsia="Times New Roman" w:hAnsi="Arial" w:cs="Arial"/>
                <w:b/>
                <w:color w:val="000000"/>
                <w:lang w:val="sr-Cyrl-BA"/>
              </w:rPr>
              <w:t>е</w:t>
            </w:r>
            <w:r>
              <w:rPr>
                <w:rFonts w:ascii="Arial" w:eastAsia="Times New Roman" w:hAnsi="Arial" w:cs="Arial"/>
                <w:b/>
                <w:color w:val="000000"/>
                <w:lang w:val="sr-Cyrl-BA"/>
              </w:rPr>
              <w:t>н</w:t>
            </w:r>
            <w:r w:rsidR="0071360A">
              <w:rPr>
                <w:rFonts w:ascii="Arial" w:eastAsia="Times New Roman" w:hAnsi="Arial" w:cs="Arial"/>
                <w:b/>
                <w:color w:val="000000"/>
                <w:lang w:val="sr-Cyrl-BA"/>
              </w:rPr>
              <w:t>т</w:t>
            </w:r>
            <w:r>
              <w:rPr>
                <w:rFonts w:ascii="Arial" w:eastAsia="Times New Roman" w:hAnsi="Arial" w:cs="Arial"/>
                <w:b/>
                <w:color w:val="000000"/>
                <w:lang w:val="sr-Cyrl-BA"/>
              </w:rPr>
              <w:t>о</w:t>
            </w:r>
            <w:r w:rsidR="0071360A">
              <w:rPr>
                <w:rFonts w:ascii="Arial" w:eastAsia="Times New Roman" w:hAnsi="Arial" w:cs="Arial"/>
                <w:b/>
                <w:color w:val="000000"/>
                <w:lang w:val="sr-Cyrl-BA"/>
              </w:rPr>
              <w:t>в</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пр</w:t>
            </w:r>
            <w:r>
              <w:rPr>
                <w:rFonts w:ascii="Arial" w:eastAsia="Times New Roman" w:hAnsi="Arial" w:cs="Arial"/>
                <w:b/>
                <w:color w:val="000000"/>
                <w:lang w:val="sr-Cyrl-BA"/>
              </w:rPr>
              <w:t>имј</w:t>
            </w:r>
            <w:r w:rsidR="00EE6AA2">
              <w:rPr>
                <w:rFonts w:ascii="Arial" w:eastAsia="Times New Roman" w:hAnsi="Arial" w:cs="Arial"/>
                <w:b/>
                <w:color w:val="000000"/>
                <w:lang w:val="sr-Cyrl-BA"/>
              </w:rPr>
              <w:t>е</w:t>
            </w:r>
            <w:r w:rsidR="0071360A">
              <w:rPr>
                <w:rFonts w:ascii="Arial" w:eastAsia="Times New Roman" w:hAnsi="Arial" w:cs="Arial"/>
                <w:b/>
                <w:color w:val="000000"/>
                <w:lang w:val="sr-Cyrl-BA"/>
              </w:rPr>
              <w:t>р</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доб</w:t>
            </w:r>
            <w:r w:rsidR="0071360A">
              <w:rPr>
                <w:rFonts w:ascii="Arial" w:eastAsia="Times New Roman" w:hAnsi="Arial" w:cs="Arial"/>
                <w:b/>
                <w:color w:val="000000"/>
                <w:lang w:val="sr-Cyrl-BA"/>
              </w:rPr>
              <w:t>р</w:t>
            </w:r>
            <w:r>
              <w:rPr>
                <w:rFonts w:ascii="Arial" w:eastAsia="Times New Roman" w:hAnsi="Arial" w:cs="Arial"/>
                <w:b/>
                <w:color w:val="000000"/>
                <w:lang w:val="sr-Cyrl-BA"/>
              </w:rPr>
              <w:t>их</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пр</w:t>
            </w:r>
            <w:r>
              <w:rPr>
                <w:rFonts w:ascii="Arial" w:eastAsia="Times New Roman" w:hAnsi="Arial" w:cs="Arial"/>
                <w:b/>
                <w:color w:val="000000"/>
                <w:lang w:val="sr-Cyrl-BA"/>
              </w:rPr>
              <w:t>ак</w:t>
            </w:r>
            <w:r w:rsidR="0071360A">
              <w:rPr>
                <w:rFonts w:ascii="Arial" w:eastAsia="Times New Roman" w:hAnsi="Arial" w:cs="Arial"/>
                <w:b/>
                <w:color w:val="000000"/>
                <w:lang w:val="sr-Cyrl-BA"/>
              </w:rPr>
              <w:t>с</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на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св</w:t>
            </w:r>
            <w:r>
              <w:rPr>
                <w:rFonts w:ascii="Arial" w:eastAsia="Times New Roman" w:hAnsi="Arial" w:cs="Arial"/>
                <w:b/>
                <w:color w:val="000000"/>
                <w:lang w:val="sr-Cyrl-BA"/>
              </w:rPr>
              <w:t>им</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ни</w:t>
            </w:r>
            <w:r w:rsidR="0071360A">
              <w:rPr>
                <w:rFonts w:ascii="Arial" w:eastAsia="Times New Roman" w:hAnsi="Arial" w:cs="Arial"/>
                <w:b/>
                <w:color w:val="000000"/>
                <w:lang w:val="sr-Cyrl-BA"/>
              </w:rPr>
              <w:t>в</w:t>
            </w:r>
            <w:r>
              <w:rPr>
                <w:rFonts w:ascii="Arial" w:eastAsia="Times New Roman" w:hAnsi="Arial" w:cs="Arial"/>
                <w:b/>
                <w:color w:val="000000"/>
                <w:lang w:val="sr-Cyrl-BA"/>
              </w:rPr>
              <w:t>оима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об</w:t>
            </w:r>
            <w:r w:rsidR="0071360A">
              <w:rPr>
                <w:rFonts w:ascii="Arial" w:eastAsia="Times New Roman" w:hAnsi="Arial" w:cs="Arial"/>
                <w:b/>
                <w:color w:val="000000"/>
                <w:lang w:val="sr-Cyrl-BA"/>
              </w:rPr>
              <w:t>р</w:t>
            </w:r>
            <w:r>
              <w:rPr>
                <w:rFonts w:ascii="Arial" w:eastAsia="Times New Roman" w:hAnsi="Arial" w:cs="Arial"/>
                <w:b/>
                <w:color w:val="000000"/>
                <w:lang w:val="sr-Cyrl-BA"/>
              </w:rPr>
              <w:t>а</w:t>
            </w:r>
            <w:r w:rsidR="00171F00">
              <w:rPr>
                <w:rFonts w:ascii="Arial" w:eastAsia="Times New Roman" w:hAnsi="Arial" w:cs="Arial"/>
                <w:b/>
                <w:color w:val="000000"/>
                <w:lang w:val="sr-Cyrl-BA"/>
              </w:rPr>
              <w:t>з</w:t>
            </w:r>
            <w:r>
              <w:rPr>
                <w:rFonts w:ascii="Arial" w:eastAsia="Times New Roman" w:hAnsi="Arial" w:cs="Arial"/>
                <w:b/>
                <w:color w:val="000000"/>
                <w:lang w:val="sr-Cyrl-BA"/>
              </w:rPr>
              <w:t>о</w:t>
            </w:r>
            <w:r w:rsidR="0071360A">
              <w:rPr>
                <w:rFonts w:ascii="Arial" w:eastAsia="Times New Roman" w:hAnsi="Arial" w:cs="Arial"/>
                <w:b/>
                <w:color w:val="000000"/>
                <w:lang w:val="sr-Cyrl-BA"/>
              </w:rPr>
              <w:t>в</w:t>
            </w:r>
            <w:r>
              <w:rPr>
                <w:rFonts w:ascii="Arial" w:eastAsia="Times New Roman" w:hAnsi="Arial" w:cs="Arial"/>
                <w:b/>
                <w:color w:val="000000"/>
                <w:lang w:val="sr-Cyrl-BA"/>
              </w:rPr>
              <w:t>ања</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w:t>
            </w:r>
            <w:r>
              <w:rPr>
                <w:rFonts w:ascii="Arial" w:eastAsia="Times New Roman" w:hAnsi="Arial" w:cs="Arial"/>
                <w:b/>
                <w:color w:val="000000"/>
                <w:lang w:val="sr-Cyrl-BA"/>
              </w:rPr>
              <w:t>огл</w:t>
            </w:r>
            <w:r w:rsidR="00EE6AA2">
              <w:rPr>
                <w:rFonts w:ascii="Arial" w:eastAsia="Times New Roman" w:hAnsi="Arial" w:cs="Arial"/>
                <w:b/>
                <w:color w:val="000000"/>
                <w:lang w:val="sr-Cyrl-BA"/>
              </w:rPr>
              <w:t>е</w:t>
            </w:r>
            <w:r>
              <w:rPr>
                <w:rFonts w:ascii="Arial" w:eastAsia="Times New Roman" w:hAnsi="Arial" w:cs="Arial"/>
                <w:b/>
                <w:color w:val="000000"/>
                <w:lang w:val="sr-Cyrl-BA"/>
              </w:rPr>
              <w:t>д</w:t>
            </w:r>
            <w:r w:rsidR="0071360A">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пр</w:t>
            </w:r>
            <w:r>
              <w:rPr>
                <w:rFonts w:ascii="Arial" w:eastAsia="Times New Roman" w:hAnsi="Arial" w:cs="Arial"/>
                <w:b/>
                <w:color w:val="000000"/>
                <w:lang w:val="sr-Cyrl-BA"/>
              </w:rPr>
              <w:t>имј</w:t>
            </w:r>
            <w:r w:rsidR="00EE6AA2">
              <w:rPr>
                <w:rFonts w:ascii="Arial" w:eastAsia="Times New Roman" w:hAnsi="Arial" w:cs="Arial"/>
                <w:b/>
                <w:color w:val="000000"/>
                <w:lang w:val="sr-Cyrl-BA"/>
              </w:rPr>
              <w:t>е</w:t>
            </w:r>
            <w:r>
              <w:rPr>
                <w:rFonts w:ascii="Arial" w:eastAsia="Times New Roman" w:hAnsi="Arial" w:cs="Arial"/>
                <w:b/>
                <w:color w:val="000000"/>
                <w:lang w:val="sr-Cyrl-BA"/>
              </w:rPr>
              <w:t>н</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диги</w:t>
            </w:r>
            <w:r w:rsidR="0071360A">
              <w:rPr>
                <w:rFonts w:ascii="Arial" w:eastAsia="Times New Roman" w:hAnsi="Arial" w:cs="Arial"/>
                <w:b/>
                <w:color w:val="000000"/>
                <w:lang w:val="sr-Cyrl-BA"/>
              </w:rPr>
              <w:t>т</w:t>
            </w:r>
            <w:r>
              <w:rPr>
                <w:rFonts w:ascii="Arial" w:eastAsia="Times New Roman" w:hAnsi="Arial" w:cs="Arial"/>
                <w:b/>
                <w:color w:val="000000"/>
                <w:lang w:val="sr-Cyrl-BA"/>
              </w:rPr>
              <w:t>алних</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ала</w:t>
            </w:r>
            <w:r w:rsidR="0071360A">
              <w:rPr>
                <w:rFonts w:ascii="Arial" w:eastAsia="Times New Roman" w:hAnsi="Arial" w:cs="Arial"/>
                <w:b/>
                <w:color w:val="000000"/>
                <w:lang w:val="sr-Cyrl-BA"/>
              </w:rPr>
              <w:t>т</w:t>
            </w:r>
            <w:r>
              <w:rPr>
                <w:rFonts w:ascii="Arial" w:eastAsia="Times New Roman" w:hAnsi="Arial" w:cs="Arial"/>
                <w:b/>
                <w:color w:val="000000"/>
                <w:lang w:val="sr-Cyrl-BA"/>
              </w:rPr>
              <w:t>а</w:t>
            </w:r>
          </w:p>
          <w:p w14:paraId="1A1E107F" w14:textId="692EDDA2" w:rsidR="00892898" w:rsidRPr="00F6340E" w:rsidRDefault="00A56E08" w:rsidP="00FB5CB7">
            <w:pPr>
              <w:numPr>
                <w:ilvl w:val="0"/>
                <w:numId w:val="37"/>
              </w:numPr>
              <w:contextualSpacing/>
              <w:jc w:val="left"/>
              <w:textAlignment w:val="baseline"/>
              <w:rPr>
                <w:rFonts w:ascii="Arial" w:eastAsia="Times New Roman" w:hAnsi="Arial" w:cs="Arial"/>
                <w:b/>
                <w:color w:val="000000"/>
                <w:lang w:val="sr-Cyrl-BA"/>
              </w:rPr>
            </w:pPr>
            <w:r>
              <w:rPr>
                <w:rFonts w:ascii="Arial" w:eastAsiaTheme="minorHAnsi" w:hAnsi="Arial" w:cs="Arial"/>
                <w:b/>
                <w:color w:val="000000"/>
                <w:lang w:val="sr-Cyrl-BA"/>
              </w:rPr>
              <w:t>К</w:t>
            </w:r>
            <w:r w:rsidR="0071360A">
              <w:rPr>
                <w:rFonts w:ascii="Arial" w:eastAsiaTheme="minorHAnsi" w:hAnsi="Arial" w:cs="Arial"/>
                <w:b/>
                <w:color w:val="000000"/>
                <w:lang w:val="sr-Cyrl-BA"/>
              </w:rPr>
              <w:t>р</w:t>
            </w:r>
            <w:r w:rsidR="00EE6AA2">
              <w:rPr>
                <w:rFonts w:ascii="Arial" w:eastAsiaTheme="minorHAnsi" w:hAnsi="Arial" w:cs="Arial"/>
                <w:b/>
                <w:color w:val="000000"/>
                <w:lang w:val="sr-Cyrl-BA"/>
              </w:rPr>
              <w:t>е</w:t>
            </w:r>
            <w:r>
              <w:rPr>
                <w:rFonts w:ascii="Arial" w:eastAsiaTheme="minorHAnsi" w:hAnsi="Arial" w:cs="Arial"/>
                <w:b/>
                <w:color w:val="000000"/>
                <w:lang w:val="sr-Cyrl-BA"/>
              </w:rPr>
              <w:t>и</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ј</w:t>
            </w:r>
            <w:r w:rsidR="00EE6AA2">
              <w:rPr>
                <w:rFonts w:ascii="Arial" w:eastAsiaTheme="minorHAnsi" w:hAnsi="Arial" w:cs="Arial"/>
                <w:b/>
                <w:color w:val="000000"/>
                <w:lang w:val="sr-Cyrl-BA"/>
              </w:rPr>
              <w:t>е</w:t>
            </w:r>
            <w:r>
              <w:rPr>
                <w:rFonts w:ascii="Arial" w:eastAsiaTheme="minorHAnsi" w:hAnsi="Arial" w:cs="Arial"/>
                <w:b/>
                <w:color w:val="000000"/>
                <w:lang w:val="sr-Cyrl-BA"/>
              </w:rPr>
              <w:t>дин</w:t>
            </w:r>
            <w:r w:rsidR="0071360A">
              <w:rPr>
                <w:rFonts w:ascii="Arial" w:eastAsiaTheme="minorHAnsi" w:hAnsi="Arial" w:cs="Arial"/>
                <w:b/>
                <w:color w:val="000000"/>
                <w:lang w:val="sr-Cyrl-BA"/>
              </w:rPr>
              <w:t>ств</w:t>
            </w:r>
            <w:r w:rsidR="00EE6AA2">
              <w:rPr>
                <w:rFonts w:ascii="Arial" w:eastAsiaTheme="minorHAnsi" w:hAnsi="Arial" w:cs="Arial"/>
                <w:b/>
                <w:color w:val="000000"/>
                <w:lang w:val="sr-Cyrl-BA"/>
              </w:rPr>
              <w:t>е</w:t>
            </w:r>
            <w:r>
              <w:rPr>
                <w:rFonts w:ascii="Arial" w:eastAsiaTheme="minorHAnsi" w:hAnsi="Arial" w:cs="Arial"/>
                <w:b/>
                <w:color w:val="000000"/>
                <w:lang w:val="sr-Cyrl-BA"/>
              </w:rPr>
              <w:t>н</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ИД</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б</w:t>
            </w:r>
            <w:r w:rsidR="0071360A">
              <w:rPr>
                <w:rFonts w:ascii="Arial" w:eastAsiaTheme="minorHAnsi" w:hAnsi="Arial" w:cs="Arial"/>
                <w:b/>
                <w:color w:val="000000"/>
                <w:lang w:val="sr-Cyrl-BA"/>
              </w:rPr>
              <w:t>р</w:t>
            </w:r>
            <w:r>
              <w:rPr>
                <w:rFonts w:ascii="Arial" w:eastAsiaTheme="minorHAnsi" w:hAnsi="Arial" w:cs="Arial"/>
                <w:b/>
                <w:color w:val="000000"/>
                <w:lang w:val="sr-Cyrl-BA"/>
              </w:rPr>
              <w:t>ој</w:t>
            </w:r>
            <w:r w:rsidR="00EE6AA2">
              <w:rPr>
                <w:rFonts w:ascii="Arial" w:eastAsiaTheme="minorHAnsi" w:hAnsi="Arial" w:cs="Arial"/>
                <w:b/>
                <w:color w:val="000000"/>
                <w:lang w:val="sr-Cyrl-BA"/>
              </w:rPr>
              <w:t>е</w:t>
            </w:r>
            <w:r w:rsidR="0071360A">
              <w:rPr>
                <w:rFonts w:ascii="Arial" w:eastAsiaTheme="minorHAnsi" w:hAnsi="Arial" w:cs="Arial"/>
                <w:b/>
                <w:color w:val="000000"/>
                <w:lang w:val="sr-Cyrl-BA"/>
              </w:rPr>
              <w:t>в</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у</w:t>
            </w:r>
            <w:r>
              <w:rPr>
                <w:rFonts w:ascii="Arial" w:eastAsiaTheme="minorHAnsi" w:hAnsi="Arial" w:cs="Arial"/>
                <w:b/>
                <w:color w:val="000000"/>
                <w:lang w:val="sr-Cyrl-BA"/>
              </w:rPr>
              <w:t>ч</w:t>
            </w:r>
            <w:r w:rsidR="00EE6AA2">
              <w:rPr>
                <w:rFonts w:ascii="Arial" w:eastAsiaTheme="minorHAnsi" w:hAnsi="Arial" w:cs="Arial"/>
                <w:b/>
                <w:color w:val="000000"/>
                <w:lang w:val="sr-Cyrl-BA"/>
              </w:rPr>
              <w:t>е</w:t>
            </w:r>
            <w:r>
              <w:rPr>
                <w:rFonts w:ascii="Arial" w:eastAsiaTheme="minorHAnsi" w:hAnsi="Arial" w:cs="Arial"/>
                <w:b/>
                <w:color w:val="000000"/>
                <w:lang w:val="sr-Cyrl-BA"/>
              </w:rPr>
              <w:t>ника</w:t>
            </w:r>
            <w:r w:rsidR="00892898" w:rsidRPr="00F6340E">
              <w:rPr>
                <w:rFonts w:ascii="Arial" w:eastAsiaTheme="minorHAnsi" w:hAnsi="Arial" w:cs="Arial"/>
                <w:b/>
                <w:color w:val="000000"/>
                <w:lang w:val="sr-Cyrl-BA"/>
              </w:rPr>
              <w:t>/</w:t>
            </w:r>
            <w:r w:rsidR="0071360A">
              <w:rPr>
                <w:rFonts w:ascii="Arial" w:eastAsiaTheme="minorHAnsi" w:hAnsi="Arial" w:cs="Arial"/>
                <w:b/>
                <w:color w:val="000000"/>
                <w:lang w:val="sr-Cyrl-BA"/>
              </w:rPr>
              <w:t>сту</w:t>
            </w:r>
            <w:r>
              <w:rPr>
                <w:rFonts w:ascii="Arial" w:eastAsiaTheme="minorHAnsi" w:hAnsi="Arial" w:cs="Arial"/>
                <w:b/>
                <w:color w:val="000000"/>
                <w:lang w:val="sr-Cyrl-BA"/>
              </w:rPr>
              <w:t>д</w:t>
            </w:r>
            <w:r w:rsidR="00EE6AA2">
              <w:rPr>
                <w:rFonts w:ascii="Arial" w:eastAsiaTheme="minorHAnsi" w:hAnsi="Arial" w:cs="Arial"/>
                <w:b/>
                <w:color w:val="000000"/>
                <w:lang w:val="sr-Cyrl-BA"/>
              </w:rPr>
              <w:t>е</w:t>
            </w:r>
            <w:r>
              <w:rPr>
                <w:rFonts w:ascii="Arial" w:eastAsiaTheme="minorHAnsi" w:hAnsi="Arial" w:cs="Arial"/>
                <w:b/>
                <w:color w:val="000000"/>
                <w:lang w:val="sr-Cyrl-BA"/>
              </w:rPr>
              <w:t>на</w:t>
            </w:r>
            <w:r w:rsidR="0071360A">
              <w:rPr>
                <w:rFonts w:ascii="Arial" w:eastAsiaTheme="minorHAnsi" w:hAnsi="Arial" w:cs="Arial"/>
                <w:b/>
                <w:color w:val="000000"/>
                <w:lang w:val="sr-Cyrl-BA"/>
              </w:rPr>
              <w:t>т</w:t>
            </w:r>
            <w:r>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sidR="00171F00">
              <w:rPr>
                <w:rFonts w:ascii="Arial" w:eastAsiaTheme="minorHAnsi" w:hAnsi="Arial" w:cs="Arial"/>
                <w:b/>
                <w:color w:val="000000"/>
                <w:lang w:val="sr-Cyrl-BA"/>
              </w:rPr>
              <w:t>з</w:t>
            </w:r>
            <w:r>
              <w:rPr>
                <w:rFonts w:ascii="Arial" w:eastAsiaTheme="minorHAnsi" w:hAnsi="Arial" w:cs="Arial"/>
                <w:b/>
                <w:color w:val="000000"/>
                <w:lang w:val="sr-Cyrl-BA"/>
              </w:rPr>
              <w:t>а</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о</w:t>
            </w:r>
            <w:r w:rsidR="0071360A">
              <w:rPr>
                <w:rFonts w:ascii="Arial" w:eastAsiaTheme="minorHAnsi" w:hAnsi="Arial" w:cs="Arial"/>
                <w:b/>
                <w:color w:val="000000"/>
                <w:lang w:val="sr-Cyrl-BA"/>
              </w:rPr>
              <w:t>тр</w:t>
            </w:r>
            <w:r w:rsidR="00EE6AA2">
              <w:rPr>
                <w:rFonts w:ascii="Arial" w:eastAsiaTheme="minorHAnsi" w:hAnsi="Arial" w:cs="Arial"/>
                <w:b/>
                <w:color w:val="000000"/>
                <w:lang w:val="sr-Cyrl-BA"/>
              </w:rPr>
              <w:t>е</w:t>
            </w:r>
            <w:r>
              <w:rPr>
                <w:rFonts w:ascii="Arial" w:eastAsiaTheme="minorHAnsi" w:hAnsi="Arial" w:cs="Arial"/>
                <w:b/>
                <w:color w:val="000000"/>
                <w:lang w:val="sr-Cyrl-BA"/>
              </w:rPr>
              <w:t>б</w:t>
            </w:r>
            <w:r w:rsidR="00EE6AA2">
              <w:rPr>
                <w:rFonts w:ascii="Arial" w:eastAsiaTheme="minorHAnsi" w:hAnsi="Arial" w:cs="Arial"/>
                <w:b/>
                <w:color w:val="000000"/>
                <w:lang w:val="sr-Cyrl-BA"/>
              </w:rPr>
              <w:t>е</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ст</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71360A">
              <w:rPr>
                <w:rFonts w:ascii="Arial" w:eastAsiaTheme="minorHAnsi" w:hAnsi="Arial" w:cs="Arial"/>
                <w:b/>
                <w:color w:val="000000"/>
                <w:lang w:val="sr-Cyrl-BA"/>
              </w:rPr>
              <w:t>ст</w:t>
            </w:r>
            <w:r>
              <w:rPr>
                <w:rFonts w:ascii="Arial" w:eastAsiaTheme="minorHAnsi" w:hAnsi="Arial" w:cs="Arial"/>
                <w:b/>
                <w:color w:val="000000"/>
                <w:lang w:val="sr-Cyrl-BA"/>
              </w:rPr>
              <w:t>ичког</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пр</w:t>
            </w:r>
            <w:r>
              <w:rPr>
                <w:rFonts w:ascii="Arial" w:eastAsiaTheme="minorHAnsi" w:hAnsi="Arial" w:cs="Arial"/>
                <w:b/>
                <w:color w:val="000000"/>
                <w:lang w:val="sr-Cyrl-BA"/>
              </w:rPr>
              <w:t>аћ</w:t>
            </w:r>
            <w:r w:rsidR="00EE6AA2">
              <w:rPr>
                <w:rFonts w:ascii="Arial" w:eastAsiaTheme="minorHAnsi" w:hAnsi="Arial" w:cs="Arial"/>
                <w:b/>
                <w:color w:val="000000"/>
                <w:lang w:val="sr-Cyrl-BA"/>
              </w:rPr>
              <w:t>е</w:t>
            </w:r>
            <w:r>
              <w:rPr>
                <w:rFonts w:ascii="Arial" w:eastAsiaTheme="minorHAnsi" w:hAnsi="Arial" w:cs="Arial"/>
                <w:b/>
                <w:color w:val="000000"/>
                <w:lang w:val="sr-Cyrl-BA"/>
              </w:rPr>
              <w:t>ња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об</w:t>
            </w:r>
            <w:r w:rsidR="0071360A">
              <w:rPr>
                <w:rFonts w:ascii="Arial" w:eastAsiaTheme="minorHAnsi" w:hAnsi="Arial" w:cs="Arial"/>
                <w:b/>
                <w:color w:val="000000"/>
                <w:lang w:val="sr-Cyrl-BA"/>
              </w:rPr>
              <w:t>р</w:t>
            </w:r>
            <w:r>
              <w:rPr>
                <w:rFonts w:ascii="Arial" w:eastAsiaTheme="minorHAnsi" w:hAnsi="Arial" w:cs="Arial"/>
                <w:b/>
                <w:color w:val="000000"/>
                <w:lang w:val="sr-Cyrl-BA"/>
              </w:rPr>
              <w:t>а</w:t>
            </w:r>
            <w:r w:rsidR="00171F00">
              <w:rPr>
                <w:rFonts w:ascii="Arial" w:eastAsiaTheme="minorHAnsi" w:hAnsi="Arial" w:cs="Arial"/>
                <w:b/>
                <w:color w:val="000000"/>
                <w:lang w:val="sr-Cyrl-BA"/>
              </w:rPr>
              <w:t>з</w:t>
            </w:r>
            <w:r>
              <w:rPr>
                <w:rFonts w:ascii="Arial" w:eastAsiaTheme="minorHAnsi" w:hAnsi="Arial" w:cs="Arial"/>
                <w:b/>
                <w:color w:val="000000"/>
                <w:lang w:val="sr-Cyrl-BA"/>
              </w:rPr>
              <w:t>о</w:t>
            </w:r>
            <w:r w:rsidR="0071360A">
              <w:rPr>
                <w:rFonts w:ascii="Arial" w:eastAsiaTheme="minorHAnsi" w:hAnsi="Arial" w:cs="Arial"/>
                <w:b/>
                <w:color w:val="000000"/>
                <w:lang w:val="sr-Cyrl-BA"/>
              </w:rPr>
              <w:t>в</w:t>
            </w:r>
            <w:r>
              <w:rPr>
                <w:rFonts w:ascii="Arial" w:eastAsiaTheme="minorHAnsi" w:hAnsi="Arial" w:cs="Arial"/>
                <w:b/>
                <w:color w:val="000000"/>
                <w:lang w:val="sr-Cyrl-BA"/>
              </w:rPr>
              <w:t>них</w:t>
            </w:r>
            <w:r w:rsidR="00892898" w:rsidRPr="00F6340E">
              <w:rPr>
                <w:rFonts w:ascii="Arial" w:eastAsiaTheme="minorHAnsi" w:hAnsi="Arial" w:cs="Arial"/>
                <w:b/>
                <w:color w:val="000000"/>
                <w:lang w:val="sr-Cyrl-BA"/>
              </w:rPr>
              <w:t xml:space="preserve"> </w:t>
            </w:r>
            <w:r w:rsidR="0071360A">
              <w:rPr>
                <w:rFonts w:ascii="Arial" w:eastAsiaTheme="minorHAnsi" w:hAnsi="Arial" w:cs="Arial"/>
                <w:b/>
                <w:color w:val="000000"/>
                <w:lang w:val="sr-Cyrl-BA"/>
              </w:rPr>
              <w:t>п</w:t>
            </w:r>
            <w:r>
              <w:rPr>
                <w:rFonts w:ascii="Arial" w:eastAsiaTheme="minorHAnsi" w:hAnsi="Arial" w:cs="Arial"/>
                <w:b/>
                <w:color w:val="000000"/>
                <w:lang w:val="sr-Cyrl-BA"/>
              </w:rPr>
              <w:t>о</w:t>
            </w:r>
            <w:r w:rsidR="0071360A">
              <w:rPr>
                <w:rFonts w:ascii="Arial" w:eastAsiaTheme="minorHAnsi" w:hAnsi="Arial" w:cs="Arial"/>
                <w:b/>
                <w:color w:val="000000"/>
                <w:lang w:val="sr-Cyrl-BA"/>
              </w:rPr>
              <w:t>ст</w:t>
            </w:r>
            <w:r>
              <w:rPr>
                <w:rFonts w:ascii="Arial" w:eastAsiaTheme="minorHAnsi" w:hAnsi="Arial" w:cs="Arial"/>
                <w:b/>
                <w:color w:val="000000"/>
                <w:lang w:val="sr-Cyrl-BA"/>
              </w:rPr>
              <w:t>игн</w:t>
            </w:r>
            <w:r w:rsidR="0071360A">
              <w:rPr>
                <w:rFonts w:ascii="Arial" w:eastAsiaTheme="minorHAnsi" w:hAnsi="Arial" w:cs="Arial"/>
                <w:b/>
                <w:color w:val="000000"/>
                <w:lang w:val="sr-Cyrl-BA"/>
              </w:rPr>
              <w:t>у</w:t>
            </w:r>
            <w:r>
              <w:rPr>
                <w:rFonts w:ascii="Arial" w:eastAsiaTheme="minorHAnsi" w:hAnsi="Arial" w:cs="Arial"/>
                <w:b/>
                <w:color w:val="000000"/>
                <w:lang w:val="sr-Cyrl-BA"/>
              </w:rPr>
              <w:t>ћа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на</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ни</w:t>
            </w:r>
            <w:r w:rsidR="0071360A">
              <w:rPr>
                <w:rFonts w:ascii="Arial" w:eastAsiaTheme="minorHAnsi" w:hAnsi="Arial" w:cs="Arial"/>
                <w:b/>
                <w:color w:val="000000"/>
                <w:lang w:val="sr-Cyrl-BA"/>
              </w:rPr>
              <w:t>в</w:t>
            </w:r>
            <w:r>
              <w:rPr>
                <w:rFonts w:ascii="Arial" w:eastAsiaTheme="minorHAnsi" w:hAnsi="Arial" w:cs="Arial"/>
                <w:b/>
                <w:color w:val="000000"/>
                <w:lang w:val="sr-Cyrl-BA"/>
              </w:rPr>
              <w:t>о</w:t>
            </w:r>
            <w:r w:rsidR="0071360A">
              <w:rPr>
                <w:rFonts w:ascii="Arial" w:eastAsiaTheme="minorHAnsi" w:hAnsi="Arial" w:cs="Arial"/>
                <w:b/>
                <w:color w:val="000000"/>
                <w:lang w:val="sr-Cyrl-BA"/>
              </w:rPr>
              <w:t>у</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админи</w:t>
            </w:r>
            <w:r w:rsidR="0071360A">
              <w:rPr>
                <w:rFonts w:ascii="Arial" w:eastAsiaTheme="minorHAnsi" w:hAnsi="Arial" w:cs="Arial"/>
                <w:b/>
                <w:color w:val="000000"/>
                <w:lang w:val="sr-Cyrl-BA"/>
              </w:rPr>
              <w:t>стр</w:t>
            </w:r>
            <w:r>
              <w:rPr>
                <w:rFonts w:ascii="Arial" w:eastAsiaTheme="minorHAnsi" w:hAnsi="Arial" w:cs="Arial"/>
                <w:b/>
                <w:color w:val="000000"/>
                <w:lang w:val="sr-Cyrl-BA"/>
              </w:rPr>
              <w:t>а</w:t>
            </w:r>
            <w:r w:rsidR="0071360A">
              <w:rPr>
                <w:rFonts w:ascii="Arial" w:eastAsiaTheme="minorHAnsi" w:hAnsi="Arial" w:cs="Arial"/>
                <w:b/>
                <w:color w:val="000000"/>
                <w:lang w:val="sr-Cyrl-BA"/>
              </w:rPr>
              <w:t>т</w:t>
            </w:r>
            <w:r>
              <w:rPr>
                <w:rFonts w:ascii="Arial" w:eastAsiaTheme="minorHAnsi" w:hAnsi="Arial" w:cs="Arial"/>
                <w:b/>
                <w:color w:val="000000"/>
                <w:lang w:val="sr-Cyrl-BA"/>
              </w:rPr>
              <w:t>и</w:t>
            </w:r>
            <w:r w:rsidR="0071360A">
              <w:rPr>
                <w:rFonts w:ascii="Arial" w:eastAsiaTheme="minorHAnsi" w:hAnsi="Arial" w:cs="Arial"/>
                <w:b/>
                <w:color w:val="000000"/>
                <w:lang w:val="sr-Cyrl-BA"/>
              </w:rPr>
              <w:t>в</w:t>
            </w:r>
            <w:r>
              <w:rPr>
                <w:rFonts w:ascii="Arial" w:eastAsiaTheme="minorHAnsi" w:hAnsi="Arial" w:cs="Arial"/>
                <w:b/>
                <w:color w:val="000000"/>
                <w:lang w:val="sr-Cyrl-BA"/>
              </w:rPr>
              <w:t>них</w:t>
            </w:r>
            <w:r w:rsidR="00892898" w:rsidRPr="00F6340E">
              <w:rPr>
                <w:rFonts w:ascii="Arial" w:eastAsiaTheme="minorHAnsi" w:hAnsi="Arial" w:cs="Arial"/>
                <w:b/>
                <w:color w:val="000000"/>
                <w:lang w:val="sr-Cyrl-BA"/>
              </w:rPr>
              <w:t xml:space="preserve"> </w:t>
            </w:r>
            <w:r>
              <w:rPr>
                <w:rFonts w:ascii="Arial" w:eastAsiaTheme="minorHAnsi" w:hAnsi="Arial" w:cs="Arial"/>
                <w:b/>
                <w:color w:val="000000"/>
                <w:lang w:val="sr-Cyrl-BA"/>
              </w:rPr>
              <w:t>ј</w:t>
            </w:r>
            <w:r w:rsidR="00EE6AA2">
              <w:rPr>
                <w:rFonts w:ascii="Arial" w:eastAsiaTheme="minorHAnsi" w:hAnsi="Arial" w:cs="Arial"/>
                <w:b/>
                <w:color w:val="000000"/>
                <w:lang w:val="sr-Cyrl-BA"/>
              </w:rPr>
              <w:t>е</w:t>
            </w:r>
            <w:r>
              <w:rPr>
                <w:rFonts w:ascii="Arial" w:eastAsiaTheme="minorHAnsi" w:hAnsi="Arial" w:cs="Arial"/>
                <w:b/>
                <w:color w:val="000000"/>
                <w:lang w:val="sr-Cyrl-BA"/>
              </w:rPr>
              <w:t>диница</w:t>
            </w:r>
            <w:r w:rsidR="00892898" w:rsidRPr="00F6340E">
              <w:rPr>
                <w:rFonts w:ascii="Arial" w:eastAsiaTheme="minorHAnsi" w:hAnsi="Arial" w:cs="Arial"/>
                <w:b/>
                <w:color w:val="000000"/>
                <w:lang w:val="sr-Cyrl-BA"/>
              </w:rPr>
              <w:t xml:space="preserve"> </w:t>
            </w:r>
          </w:p>
        </w:tc>
      </w:tr>
    </w:tbl>
    <w:p w14:paraId="7D9C775D" w14:textId="77777777" w:rsidR="00892898" w:rsidRPr="00F6340E" w:rsidRDefault="00892898" w:rsidP="00FB5CB7">
      <w:pPr>
        <w:pStyle w:val="Body"/>
        <w:spacing w:before="0" w:after="0"/>
      </w:pPr>
    </w:p>
    <w:tbl>
      <w:tblPr>
        <w:tblStyle w:val="TableGrid"/>
        <w:tblW w:w="0" w:type="auto"/>
        <w:tblCellMar>
          <w:top w:w="113" w:type="dxa"/>
          <w:bottom w:w="113" w:type="dxa"/>
        </w:tblCellMar>
        <w:tblLook w:val="04A0" w:firstRow="1" w:lastRow="0" w:firstColumn="1" w:lastColumn="0" w:noHBand="0" w:noVBand="1"/>
      </w:tblPr>
      <w:tblGrid>
        <w:gridCol w:w="9014"/>
      </w:tblGrid>
      <w:tr w:rsidR="00892898" w:rsidRPr="00F6340E" w14:paraId="6112D31B" w14:textId="77777777" w:rsidTr="00FB5CB7">
        <w:tc>
          <w:tcPr>
            <w:tcW w:w="9014" w:type="dxa"/>
            <w:shd w:val="clear" w:color="auto" w:fill="00B0F0"/>
            <w:vAlign w:val="center"/>
          </w:tcPr>
          <w:p w14:paraId="769C310E" w14:textId="6AECA73F" w:rsidR="00892898" w:rsidRPr="00F6340E" w:rsidRDefault="0071360A" w:rsidP="00FB5CB7">
            <w:pPr>
              <w:contextualSpacing/>
              <w:jc w:val="left"/>
              <w:rPr>
                <w:rFonts w:ascii="Arial" w:hAnsi="Arial" w:cs="Arial"/>
                <w:b/>
                <w:color w:val="000000" w:themeColor="text1"/>
                <w:lang w:val="sr-Cyrl-BA"/>
              </w:rPr>
            </w:pP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в</w:t>
            </w:r>
            <w:r w:rsidR="00A56E08">
              <w:rPr>
                <w:rFonts w:ascii="Arial" w:hAnsi="Arial" w:cs="Arial"/>
                <w:b/>
                <w:color w:val="000000" w:themeColor="text1"/>
                <w:lang w:val="sr-Cyrl-BA"/>
              </w:rPr>
              <w:t>ијањ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конц</w:t>
            </w:r>
            <w:r w:rsidR="00EE6AA2">
              <w:rPr>
                <w:rFonts w:ascii="Arial" w:hAnsi="Arial" w:cs="Arial"/>
                <w:b/>
                <w:color w:val="000000" w:themeColor="text1"/>
                <w:lang w:val="sr-Cyrl-BA"/>
              </w:rPr>
              <w:t>е</w:t>
            </w:r>
            <w:r>
              <w:rPr>
                <w:rFonts w:ascii="Arial" w:hAnsi="Arial" w:cs="Arial"/>
                <w:b/>
                <w:color w:val="000000" w:themeColor="text1"/>
                <w:lang w:val="sr-Cyrl-BA"/>
              </w:rPr>
              <w:t>пт</w:t>
            </w:r>
            <w:r w:rsidR="00A56E08">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A56E08">
              <w:rPr>
                <w:rFonts w:ascii="Arial" w:hAnsi="Arial" w:cs="Arial"/>
                <w:b/>
                <w:color w:val="000000" w:themeColor="text1"/>
                <w:lang w:val="sr-Cyrl-BA"/>
              </w:rPr>
              <w:t>на</w:t>
            </w:r>
            <w:r>
              <w:rPr>
                <w:rFonts w:ascii="Arial" w:hAnsi="Arial" w:cs="Arial"/>
                <w:b/>
                <w:color w:val="000000" w:themeColor="text1"/>
                <w:lang w:val="sr-Cyrl-BA"/>
              </w:rPr>
              <w:t>пр</w:t>
            </w:r>
            <w:r w:rsidR="00A56E08">
              <w:rPr>
                <w:rFonts w:ascii="Arial" w:hAnsi="Arial" w:cs="Arial"/>
                <w:b/>
                <w:color w:val="000000" w:themeColor="text1"/>
                <w:lang w:val="sr-Cyrl-BA"/>
              </w:rPr>
              <w:t>ј</w:t>
            </w:r>
            <w:r w:rsidR="00EE6AA2">
              <w:rPr>
                <w:rFonts w:ascii="Arial" w:hAnsi="Arial" w:cs="Arial"/>
                <w:b/>
                <w:color w:val="000000" w:themeColor="text1"/>
                <w:lang w:val="sr-Cyrl-BA"/>
              </w:rPr>
              <w:t>е</w:t>
            </w:r>
            <w:r w:rsidR="00A56E08">
              <w:rPr>
                <w:rFonts w:ascii="Arial" w:hAnsi="Arial" w:cs="Arial"/>
                <w:b/>
                <w:color w:val="000000" w:themeColor="text1"/>
                <w:lang w:val="sr-Cyrl-BA"/>
              </w:rPr>
              <w:t>ђ</w:t>
            </w:r>
            <w:r w:rsidR="00EE6AA2">
              <w:rPr>
                <w:rFonts w:ascii="Arial" w:hAnsi="Arial" w:cs="Arial"/>
                <w:b/>
                <w:color w:val="000000" w:themeColor="text1"/>
                <w:lang w:val="sr-Cyrl-BA"/>
              </w:rPr>
              <w:t>е</w:t>
            </w:r>
            <w:r w:rsidR="00A56E08">
              <w:rPr>
                <w:rFonts w:ascii="Arial" w:hAnsi="Arial" w:cs="Arial"/>
                <w:b/>
                <w:color w:val="000000" w:themeColor="text1"/>
                <w:lang w:val="sr-Cyrl-BA"/>
              </w:rPr>
              <w:t>ња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п</w:t>
            </w:r>
            <w:r w:rsidR="00EE6AA2">
              <w:rPr>
                <w:rFonts w:ascii="Arial" w:hAnsi="Arial" w:cs="Arial"/>
                <w:b/>
                <w:color w:val="000000" w:themeColor="text1"/>
                <w:lang w:val="sr-Cyrl-BA"/>
              </w:rPr>
              <w:t>е</w:t>
            </w:r>
            <w:r w:rsidR="00A56E08">
              <w:rPr>
                <w:rFonts w:ascii="Arial" w:hAnsi="Arial" w:cs="Arial"/>
                <w:b/>
                <w:color w:val="000000" w:themeColor="text1"/>
                <w:lang w:val="sr-Cyrl-BA"/>
              </w:rPr>
              <w:t>даго</w:t>
            </w:r>
            <w:r>
              <w:rPr>
                <w:rFonts w:ascii="Arial" w:hAnsi="Arial" w:cs="Arial"/>
                <w:b/>
                <w:color w:val="000000" w:themeColor="text1"/>
                <w:lang w:val="sr-Cyrl-BA"/>
              </w:rPr>
              <w:t>ш</w:t>
            </w:r>
            <w:r w:rsidR="00A56E08">
              <w:rPr>
                <w:rFonts w:ascii="Arial" w:hAnsi="Arial" w:cs="Arial"/>
                <w:b/>
                <w:color w:val="000000" w:themeColor="text1"/>
                <w:lang w:val="sr-Cyrl-BA"/>
              </w:rPr>
              <w:t>ких</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диги</w:t>
            </w:r>
            <w:r>
              <w:rPr>
                <w:rFonts w:ascii="Arial" w:hAnsi="Arial" w:cs="Arial"/>
                <w:b/>
                <w:color w:val="000000" w:themeColor="text1"/>
                <w:lang w:val="sr-Cyrl-BA"/>
              </w:rPr>
              <w:t>т</w:t>
            </w:r>
            <w:r w:rsidR="00A56E08">
              <w:rPr>
                <w:rFonts w:ascii="Arial" w:hAnsi="Arial" w:cs="Arial"/>
                <w:b/>
                <w:color w:val="000000" w:themeColor="text1"/>
                <w:lang w:val="sr-Cyrl-BA"/>
              </w:rPr>
              <w:t>алних</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ком</w:t>
            </w:r>
            <w:r>
              <w:rPr>
                <w:rFonts w:ascii="Arial" w:hAnsi="Arial" w:cs="Arial"/>
                <w:b/>
                <w:color w:val="000000" w:themeColor="text1"/>
                <w:lang w:val="sr-Cyrl-BA"/>
              </w:rPr>
              <w:t>п</w:t>
            </w:r>
            <w:r w:rsidR="00EE6AA2">
              <w:rPr>
                <w:rFonts w:ascii="Arial" w:hAnsi="Arial" w:cs="Arial"/>
                <w:b/>
                <w:color w:val="000000" w:themeColor="text1"/>
                <w:lang w:val="sr-Cyrl-BA"/>
              </w:rPr>
              <w:t>е</w:t>
            </w:r>
            <w:r>
              <w:rPr>
                <w:rFonts w:ascii="Arial" w:hAnsi="Arial" w:cs="Arial"/>
                <w:b/>
                <w:color w:val="000000" w:themeColor="text1"/>
                <w:lang w:val="sr-Cyrl-BA"/>
              </w:rPr>
              <w:t>т</w:t>
            </w:r>
            <w:r w:rsidR="00EE6AA2">
              <w:rPr>
                <w:rFonts w:ascii="Arial" w:hAnsi="Arial" w:cs="Arial"/>
                <w:b/>
                <w:color w:val="000000" w:themeColor="text1"/>
                <w:lang w:val="sr-Cyrl-BA"/>
              </w:rPr>
              <w:t>е</w:t>
            </w:r>
            <w:r w:rsidR="00A56E08">
              <w:rPr>
                <w:rFonts w:ascii="Arial" w:hAnsi="Arial" w:cs="Arial"/>
                <w:b/>
                <w:color w:val="000000" w:themeColor="text1"/>
                <w:lang w:val="sr-Cyrl-BA"/>
              </w:rPr>
              <w:t>нција</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на</w:t>
            </w:r>
            <w:r>
              <w:rPr>
                <w:rFonts w:ascii="Arial" w:hAnsi="Arial" w:cs="Arial"/>
                <w:b/>
                <w:color w:val="000000" w:themeColor="text1"/>
                <w:lang w:val="sr-Cyrl-BA"/>
              </w:rPr>
              <w:t>ст</w:t>
            </w:r>
            <w:r w:rsidR="00A56E08">
              <w:rPr>
                <w:rFonts w:ascii="Arial" w:hAnsi="Arial" w:cs="Arial"/>
                <w:b/>
                <w:color w:val="000000" w:themeColor="text1"/>
                <w:lang w:val="sr-Cyrl-BA"/>
              </w:rPr>
              <w:t>а</w:t>
            </w:r>
            <w:r>
              <w:rPr>
                <w:rFonts w:ascii="Arial" w:hAnsi="Arial" w:cs="Arial"/>
                <w:b/>
                <w:color w:val="000000" w:themeColor="text1"/>
                <w:lang w:val="sr-Cyrl-BA"/>
              </w:rPr>
              <w:t>в</w:t>
            </w:r>
            <w:r w:rsidR="00A56E08">
              <w:rPr>
                <w:rFonts w:ascii="Arial" w:hAnsi="Arial" w:cs="Arial"/>
                <w:b/>
                <w:color w:val="000000" w:themeColor="text1"/>
                <w:lang w:val="sr-Cyrl-BA"/>
              </w:rPr>
              <w:t>ника</w:t>
            </w:r>
          </w:p>
        </w:tc>
      </w:tr>
      <w:tr w:rsidR="00892898" w:rsidRPr="00F6340E" w14:paraId="46955DFF" w14:textId="77777777" w:rsidTr="00FB5CB7">
        <w:tc>
          <w:tcPr>
            <w:tcW w:w="9014" w:type="dxa"/>
            <w:shd w:val="clear" w:color="auto" w:fill="E3F4F9"/>
          </w:tcPr>
          <w:p w14:paraId="2A3997BD" w14:textId="2BC3457B" w:rsidR="00892898" w:rsidRPr="00F6340E" w:rsidRDefault="0071360A" w:rsidP="00FB5CB7">
            <w:pPr>
              <w:pStyle w:val="ListParagraph"/>
              <w:numPr>
                <w:ilvl w:val="0"/>
                <w:numId w:val="41"/>
              </w:numPr>
              <w:jc w:val="left"/>
              <w:rPr>
                <w:rFonts w:ascii="Arial" w:eastAsia="Times New Roman" w:hAnsi="Arial" w:cs="Arial"/>
                <w:b/>
                <w:color w:val="000000"/>
                <w:lang w:val="sr-Cyrl-BA"/>
              </w:rPr>
            </w:pP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сту</w:t>
            </w:r>
            <w:r w:rsidR="00A56E08">
              <w:rPr>
                <w:rFonts w:ascii="Arial" w:eastAsia="Times New Roman" w:hAnsi="Arial" w:cs="Arial"/>
                <w:b/>
                <w:color w:val="000000"/>
                <w:lang w:val="sr-Cyrl-BA"/>
              </w:rPr>
              <w:t>диј</w:t>
            </w:r>
            <w:r>
              <w:rPr>
                <w:rFonts w:ascii="Arial" w:eastAsia="Times New Roman" w:hAnsi="Arial" w:cs="Arial"/>
                <w:b/>
                <w:color w:val="000000"/>
                <w:lang w:val="sr-Cyrl-BA"/>
              </w:rPr>
              <w:t>с</w:t>
            </w:r>
            <w:r w:rsidR="00A56E08">
              <w:rPr>
                <w:rFonts w:ascii="Arial" w:eastAsia="Times New Roman" w:hAnsi="Arial" w:cs="Arial"/>
                <w:b/>
                <w:color w:val="000000"/>
                <w:lang w:val="sr-Cyrl-BA"/>
              </w:rPr>
              <w:t>к</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ог</w:t>
            </w:r>
            <w:r>
              <w:rPr>
                <w:rFonts w:ascii="Arial" w:eastAsia="Times New Roman" w:hAnsi="Arial" w:cs="Arial"/>
                <w:b/>
                <w:color w:val="000000"/>
                <w:lang w:val="sr-Cyrl-BA"/>
              </w:rPr>
              <w:t>р</w:t>
            </w:r>
            <w:r w:rsidR="00A56E08">
              <w:rPr>
                <w:rFonts w:ascii="Arial" w:eastAsia="Times New Roman" w:hAnsi="Arial" w:cs="Arial"/>
                <w:b/>
                <w:color w:val="000000"/>
                <w:lang w:val="sr-Cyrl-BA"/>
              </w:rPr>
              <w:t>ам</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иницијалног</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об</w:t>
            </w:r>
            <w:r>
              <w:rPr>
                <w:rFonts w:ascii="Arial" w:eastAsia="Times New Roman" w:hAnsi="Arial" w:cs="Arial"/>
                <w:b/>
                <w:color w:val="000000"/>
                <w:lang w:val="sr-Cyrl-BA"/>
              </w:rPr>
              <w:t>р</w:t>
            </w:r>
            <w:r w:rsidR="00A56E08">
              <w:rPr>
                <w:rFonts w:ascii="Arial" w:eastAsia="Times New Roman" w:hAnsi="Arial" w:cs="Arial"/>
                <w:b/>
                <w:color w:val="000000"/>
                <w:lang w:val="sr-Cyrl-BA"/>
              </w:rPr>
              <w:t>а</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о</w:t>
            </w:r>
            <w:r>
              <w:rPr>
                <w:rFonts w:ascii="Arial" w:eastAsia="Times New Roman" w:hAnsi="Arial" w:cs="Arial"/>
                <w:b/>
                <w:color w:val="000000"/>
                <w:lang w:val="sr-Cyrl-BA"/>
              </w:rPr>
              <w:t>в</w:t>
            </w:r>
            <w:r w:rsidR="00A56E08">
              <w:rPr>
                <w:rFonts w:ascii="Arial" w:eastAsia="Times New Roman" w:hAnsi="Arial" w:cs="Arial"/>
                <w:b/>
                <w:color w:val="000000"/>
                <w:lang w:val="sr-Cyrl-BA"/>
              </w:rPr>
              <w:t>ања</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Pr>
                <w:rFonts w:ascii="Arial" w:eastAsia="Times New Roman" w:hAnsi="Arial" w:cs="Arial"/>
                <w:b/>
                <w:color w:val="000000"/>
                <w:lang w:val="sr-Cyrl-BA"/>
              </w:rPr>
              <w:t>ст</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A56E08">
              <w:rPr>
                <w:rFonts w:ascii="Arial" w:eastAsia="Times New Roman" w:hAnsi="Arial" w:cs="Arial"/>
                <w:b/>
                <w:color w:val="000000"/>
                <w:lang w:val="sr-Cyrl-BA"/>
              </w:rPr>
              <w:t>ника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уврст</w:t>
            </w:r>
            <w:r w:rsidR="00A56E08">
              <w:rPr>
                <w:rFonts w:ascii="Arial" w:eastAsia="Times New Roman" w:hAnsi="Arial" w:cs="Arial"/>
                <w:b/>
                <w:color w:val="000000"/>
                <w:lang w:val="sr-Cyrl-BA"/>
              </w:rPr>
              <w:t>и</w:t>
            </w:r>
            <w:r>
              <w:rPr>
                <w:rFonts w:ascii="Arial" w:eastAsia="Times New Roman" w:hAnsi="Arial" w:cs="Arial"/>
                <w:b/>
                <w:color w:val="000000"/>
                <w:lang w:val="sr-Cyrl-BA"/>
              </w:rPr>
              <w:t>т</w:t>
            </w:r>
            <w:r w:rsidR="00A56E08">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w:t>
            </w:r>
            <w:r w:rsidR="00A56E08">
              <w:rPr>
                <w:rFonts w:ascii="Arial" w:eastAsia="Times New Roman" w:hAnsi="Arial" w:cs="Arial"/>
                <w:b/>
                <w:color w:val="000000"/>
                <w:lang w:val="sr-Cyrl-BA"/>
              </w:rPr>
              <w:t>ад</w:t>
            </w:r>
            <w:r>
              <w:rPr>
                <w:rFonts w:ascii="Arial" w:eastAsia="Times New Roman" w:hAnsi="Arial" w:cs="Arial"/>
                <w:b/>
                <w:color w:val="000000"/>
                <w:lang w:val="sr-Cyrl-BA"/>
              </w:rPr>
              <w:t>р</w:t>
            </w:r>
            <w:r w:rsidR="00171F00">
              <w:rPr>
                <w:rFonts w:ascii="Arial" w:eastAsia="Times New Roman" w:hAnsi="Arial" w:cs="Arial"/>
                <w:b/>
                <w:color w:val="000000"/>
                <w:lang w:val="sr-Cyrl-BA"/>
              </w:rPr>
              <w:t>ж</w:t>
            </w:r>
            <w:r w:rsidR="00A56E08">
              <w:rPr>
                <w:rFonts w:ascii="Arial" w:eastAsia="Times New Roman" w:hAnsi="Arial" w:cs="Arial"/>
                <w:b/>
                <w:color w:val="000000"/>
                <w:lang w:val="sr-Cyrl-BA"/>
              </w:rPr>
              <w:t>ај</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који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с</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одно</w:t>
            </w:r>
            <w:r>
              <w:rPr>
                <w:rFonts w:ascii="Arial" w:eastAsia="Times New Roman" w:hAnsi="Arial" w:cs="Arial"/>
                <w:b/>
                <w:color w:val="000000"/>
                <w:lang w:val="sr-Cyrl-BA"/>
              </w:rPr>
              <w:t>с</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A56E08">
              <w:rPr>
                <w:rFonts w:ascii="Arial" w:eastAsia="Times New Roman" w:hAnsi="Arial" w:cs="Arial"/>
                <w:b/>
                <w:color w:val="000000"/>
                <w:lang w:val="sr-Cyrl-BA"/>
              </w:rPr>
              <w:t>имј</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н</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ИК</w:t>
            </w:r>
            <w:r>
              <w:rPr>
                <w:rFonts w:ascii="Arial" w:eastAsia="Times New Roman" w:hAnsi="Arial" w:cs="Arial"/>
                <w:b/>
                <w:color w:val="000000"/>
                <w:lang w:val="sr-Cyrl-BA"/>
              </w:rPr>
              <w:t>Т</w:t>
            </w:r>
            <w:r w:rsidR="00277A2C" w:rsidRPr="00F6340E">
              <w:rPr>
                <w:rFonts w:ascii="Arial" w:eastAsia="Times New Roman" w:hAnsi="Arial" w:cs="Arial"/>
                <w:b/>
                <w:color w:val="000000"/>
                <w:lang w:val="sr-Cyrl-BA"/>
              </w:rPr>
              <w:t>-</w:t>
            </w:r>
            <w:r w:rsidR="00A56E08">
              <w:rPr>
                <w:rFonts w:ascii="Arial" w:eastAsia="Times New Roman" w:hAnsi="Arial" w:cs="Arial"/>
                <w:b/>
                <w:color w:val="000000"/>
                <w:lang w:val="sr-Cyrl-BA"/>
              </w:rPr>
              <w:t>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об</w:t>
            </w:r>
            <w:r>
              <w:rPr>
                <w:rFonts w:ascii="Arial" w:eastAsia="Times New Roman" w:hAnsi="Arial" w:cs="Arial"/>
                <w:b/>
                <w:color w:val="000000"/>
                <w:lang w:val="sr-Cyrl-BA"/>
              </w:rPr>
              <w:t>р</w:t>
            </w:r>
            <w:r w:rsidR="00A56E08">
              <w:rPr>
                <w:rFonts w:ascii="Arial" w:eastAsia="Times New Roman" w:hAnsi="Arial" w:cs="Arial"/>
                <w:b/>
                <w:color w:val="000000"/>
                <w:lang w:val="sr-Cyrl-BA"/>
              </w:rPr>
              <w:t>а</w:t>
            </w:r>
            <w:r w:rsidR="00171F00">
              <w:rPr>
                <w:rFonts w:ascii="Arial" w:eastAsia="Times New Roman" w:hAnsi="Arial" w:cs="Arial"/>
                <w:b/>
                <w:color w:val="000000"/>
                <w:lang w:val="sr-Cyrl-BA"/>
              </w:rPr>
              <w:t>з</w:t>
            </w:r>
            <w:r w:rsidR="00A56E08">
              <w:rPr>
                <w:rFonts w:ascii="Arial" w:eastAsia="Times New Roman" w:hAnsi="Arial" w:cs="Arial"/>
                <w:b/>
                <w:color w:val="000000"/>
                <w:lang w:val="sr-Cyrl-BA"/>
              </w:rPr>
              <w:t>о</w:t>
            </w:r>
            <w:r>
              <w:rPr>
                <w:rFonts w:ascii="Arial" w:eastAsia="Times New Roman" w:hAnsi="Arial" w:cs="Arial"/>
                <w:b/>
                <w:color w:val="000000"/>
                <w:lang w:val="sr-Cyrl-BA"/>
              </w:rPr>
              <w:t>в</w:t>
            </w:r>
            <w:r w:rsidR="00A56E08">
              <w:rPr>
                <w:rFonts w:ascii="Arial" w:eastAsia="Times New Roman" w:hAnsi="Arial" w:cs="Arial"/>
                <w:b/>
                <w:color w:val="000000"/>
                <w:lang w:val="sr-Cyrl-BA"/>
              </w:rPr>
              <w:t>ањ</w:t>
            </w:r>
            <w:r>
              <w:rPr>
                <w:rFonts w:ascii="Arial" w:eastAsia="Times New Roman" w:hAnsi="Arial" w:cs="Arial"/>
                <w:b/>
                <w:color w:val="000000"/>
                <w:lang w:val="sr-Cyrl-BA"/>
              </w:rPr>
              <w:t>у</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било</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м</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ђ</w:t>
            </w:r>
            <w:r>
              <w:rPr>
                <w:rFonts w:ascii="Arial" w:eastAsia="Times New Roman" w:hAnsi="Arial" w:cs="Arial"/>
                <w:b/>
                <w:color w:val="000000"/>
                <w:lang w:val="sr-Cyrl-BA"/>
              </w:rPr>
              <w:t>у</w:t>
            </w:r>
            <w:r w:rsidR="00277A2C" w:rsidRPr="00F6340E">
              <w:rPr>
                <w:rFonts w:ascii="Arial" w:eastAsia="Times New Roman" w:hAnsi="Arial" w:cs="Arial"/>
                <w:b/>
                <w:color w:val="000000"/>
                <w:lang w:val="sr-Cyrl-BA"/>
              </w:rPr>
              <w:t>-</w:t>
            </w:r>
            <w:r w:rsidR="00A56E08">
              <w:rPr>
                <w:rFonts w:ascii="Arial" w:eastAsia="Times New Roman" w:hAnsi="Arial" w:cs="Arial"/>
                <w:b/>
                <w:color w:val="000000"/>
                <w:lang w:val="sr-Cyrl-BA"/>
              </w:rPr>
              <w:t>к</w:t>
            </w:r>
            <w:r>
              <w:rPr>
                <w:rFonts w:ascii="Arial" w:eastAsia="Times New Roman" w:hAnsi="Arial" w:cs="Arial"/>
                <w:b/>
                <w:color w:val="000000"/>
                <w:lang w:val="sr-Cyrl-BA"/>
              </w:rPr>
              <w:t>ур</w:t>
            </w:r>
            <w:r w:rsidR="00A56E08">
              <w:rPr>
                <w:rFonts w:ascii="Arial" w:eastAsia="Times New Roman" w:hAnsi="Arial" w:cs="Arial"/>
                <w:b/>
                <w:color w:val="000000"/>
                <w:lang w:val="sr-Cyrl-BA"/>
              </w:rPr>
              <w:t>ик</w:t>
            </w:r>
            <w:r>
              <w:rPr>
                <w:rFonts w:ascii="Arial" w:eastAsia="Times New Roman" w:hAnsi="Arial" w:cs="Arial"/>
                <w:b/>
                <w:color w:val="000000"/>
                <w:lang w:val="sr-Cyrl-BA"/>
              </w:rPr>
              <w:t>у</w:t>
            </w:r>
            <w:r w:rsidR="00A56E08">
              <w:rPr>
                <w:rFonts w:ascii="Arial" w:eastAsia="Times New Roman" w:hAnsi="Arial" w:cs="Arial"/>
                <w:b/>
                <w:color w:val="000000"/>
                <w:lang w:val="sr-Cyrl-BA"/>
              </w:rPr>
              <w:t>ла</w:t>
            </w:r>
            <w:r>
              <w:rPr>
                <w:rFonts w:ascii="Arial" w:eastAsia="Times New Roman" w:hAnsi="Arial" w:cs="Arial"/>
                <w:b/>
                <w:color w:val="000000"/>
                <w:lang w:val="sr-Cyrl-BA"/>
              </w:rPr>
              <w:t>р</w:t>
            </w:r>
            <w:r w:rsidR="00A56E08">
              <w:rPr>
                <w:rFonts w:ascii="Arial" w:eastAsia="Times New Roman" w:hAnsi="Arial" w:cs="Arial"/>
                <w:b/>
                <w:color w:val="000000"/>
                <w:lang w:val="sr-Cyrl-BA"/>
              </w:rPr>
              <w:t>но</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или</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к</w:t>
            </w:r>
            <w:r>
              <w:rPr>
                <w:rFonts w:ascii="Arial" w:eastAsia="Times New Roman" w:hAnsi="Arial" w:cs="Arial"/>
                <w:b/>
                <w:color w:val="000000"/>
                <w:lang w:val="sr-Cyrl-BA"/>
              </w:rPr>
              <w:t>р</w:t>
            </w:r>
            <w:r w:rsidR="00A56E08">
              <w:rPr>
                <w:rFonts w:ascii="Arial" w:eastAsia="Times New Roman" w:hAnsi="Arial" w:cs="Arial"/>
                <w:b/>
                <w:color w:val="000000"/>
                <w:lang w:val="sr-Cyrl-BA"/>
              </w:rPr>
              <w:t>о</w:t>
            </w:r>
            <w:r w:rsidR="00171F00">
              <w:rPr>
                <w:rFonts w:ascii="Arial" w:eastAsia="Times New Roman" w:hAnsi="Arial" w:cs="Arial"/>
                <w:b/>
                <w:color w:val="000000"/>
                <w:lang w:val="sr-Cyrl-BA"/>
              </w:rPr>
              <w:t>з</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w:t>
            </w:r>
            <w:r w:rsidR="00A56E08">
              <w:rPr>
                <w:rFonts w:ascii="Arial" w:eastAsia="Times New Roman" w:hAnsi="Arial" w:cs="Arial"/>
                <w:b/>
                <w:color w:val="000000"/>
                <w:lang w:val="sr-Cyrl-BA"/>
              </w:rPr>
              <w:t>о</w:t>
            </w:r>
            <w:r>
              <w:rPr>
                <w:rFonts w:ascii="Arial" w:eastAsia="Times New Roman" w:hAnsi="Arial" w:cs="Arial"/>
                <w:b/>
                <w:color w:val="000000"/>
                <w:lang w:val="sr-Cyrl-BA"/>
              </w:rPr>
              <w:t>с</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бан</w:t>
            </w:r>
            <w:r w:rsidR="00892898" w:rsidRPr="00F6340E">
              <w:rPr>
                <w:rFonts w:ascii="Arial" w:eastAsia="Times New Roman" w:hAnsi="Arial" w:cs="Arial"/>
                <w:b/>
                <w:color w:val="000000"/>
                <w:lang w:val="sr-Cyrl-BA"/>
              </w:rPr>
              <w:t xml:space="preserve"> </w:t>
            </w:r>
            <w:r w:rsidR="00A56E08">
              <w:rPr>
                <w:rFonts w:ascii="Arial" w:eastAsia="Times New Roman" w:hAnsi="Arial" w:cs="Arial"/>
                <w:b/>
                <w:color w:val="000000"/>
                <w:lang w:val="sr-Cyrl-BA"/>
              </w:rPr>
              <w:t>на</w:t>
            </w:r>
            <w:r>
              <w:rPr>
                <w:rFonts w:ascii="Arial" w:eastAsia="Times New Roman" w:hAnsi="Arial" w:cs="Arial"/>
                <w:b/>
                <w:color w:val="000000"/>
                <w:lang w:val="sr-Cyrl-BA"/>
              </w:rPr>
              <w:t>ст</w:t>
            </w:r>
            <w:r w:rsidR="00A56E08">
              <w:rPr>
                <w:rFonts w:ascii="Arial" w:eastAsia="Times New Roman" w:hAnsi="Arial" w:cs="Arial"/>
                <w:b/>
                <w:color w:val="000000"/>
                <w:lang w:val="sr-Cyrl-BA"/>
              </w:rPr>
              <w:t>а</w:t>
            </w:r>
            <w:r>
              <w:rPr>
                <w:rFonts w:ascii="Arial" w:eastAsia="Times New Roman" w:hAnsi="Arial" w:cs="Arial"/>
                <w:b/>
                <w:color w:val="000000"/>
                <w:lang w:val="sr-Cyrl-BA"/>
              </w:rPr>
              <w:t>в</w:t>
            </w:r>
            <w:r w:rsidR="00A56E08">
              <w:rPr>
                <w:rFonts w:ascii="Arial" w:eastAsia="Times New Roman" w:hAnsi="Arial" w:cs="Arial"/>
                <w:b/>
                <w:color w:val="000000"/>
                <w:lang w:val="sr-Cyrl-BA"/>
              </w:rPr>
              <w:t>ни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пр</w:t>
            </w:r>
            <w:r w:rsidR="00EE6AA2">
              <w:rPr>
                <w:rFonts w:ascii="Arial" w:eastAsia="Times New Roman" w:hAnsi="Arial" w:cs="Arial"/>
                <w:b/>
                <w:color w:val="000000"/>
                <w:lang w:val="sr-Cyrl-BA"/>
              </w:rPr>
              <w:t>е</w:t>
            </w:r>
            <w:r w:rsidR="00A56E08">
              <w:rPr>
                <w:rFonts w:ascii="Arial" w:eastAsia="Times New Roman" w:hAnsi="Arial" w:cs="Arial"/>
                <w:b/>
                <w:color w:val="000000"/>
                <w:lang w:val="sr-Cyrl-BA"/>
              </w:rPr>
              <w:t>дм</w:t>
            </w:r>
            <w:r w:rsidR="00EE6AA2">
              <w:rPr>
                <w:rFonts w:ascii="Arial" w:eastAsia="Times New Roman" w:hAnsi="Arial" w:cs="Arial"/>
                <w:b/>
                <w:color w:val="000000"/>
                <w:lang w:val="sr-Cyrl-BA"/>
              </w:rPr>
              <w:t>е</w:t>
            </w:r>
            <w:r>
              <w:rPr>
                <w:rFonts w:ascii="Arial" w:eastAsia="Times New Roman" w:hAnsi="Arial" w:cs="Arial"/>
                <w:b/>
                <w:color w:val="000000"/>
                <w:lang w:val="sr-Cyrl-BA"/>
              </w:rPr>
              <w:t>т</w:t>
            </w:r>
          </w:p>
          <w:p w14:paraId="7E7EFAD5" w14:textId="69B94A07" w:rsidR="00892898" w:rsidRPr="00F6340E" w:rsidRDefault="0071360A" w:rsidP="00FB5CB7">
            <w:pPr>
              <w:pStyle w:val="ListParagraph"/>
              <w:ind w:left="360"/>
              <w:jc w:val="left"/>
              <w:rPr>
                <w:rFonts w:ascii="Arial" w:hAnsi="Arial" w:cs="Arial"/>
                <w:lang w:val="sr-Cyrl-BA"/>
              </w:rPr>
            </w:pPr>
            <w:r>
              <w:rPr>
                <w:rFonts w:ascii="Arial" w:eastAsia="Times New Roman" w:hAnsi="Arial" w:cs="Arial"/>
                <w:color w:val="000000"/>
                <w:lang w:val="sr-Cyrl-BA"/>
              </w:rPr>
              <w:t>В</w:t>
            </w:r>
            <w:r w:rsidR="00A56E08">
              <w:rPr>
                <w:rFonts w:ascii="Arial" w:eastAsia="Times New Roman" w:hAnsi="Arial" w:cs="Arial"/>
                <w:color w:val="000000"/>
                <w:lang w:val="sr-Cyrl-BA"/>
              </w:rPr>
              <w:t>а</w:t>
            </w:r>
            <w:r w:rsidR="00171F00">
              <w:rPr>
                <w:rFonts w:ascii="Arial" w:eastAsia="Times New Roman" w:hAnsi="Arial" w:cs="Arial"/>
                <w:color w:val="000000"/>
                <w:lang w:val="sr-Cyrl-BA"/>
              </w:rPr>
              <w:t>ж</w:t>
            </w:r>
            <w:r w:rsidR="00A56E08">
              <w:rPr>
                <w:rFonts w:ascii="Arial" w:eastAsia="Times New Roman" w:hAnsi="Arial" w:cs="Arial"/>
                <w:color w:val="000000"/>
                <w:lang w:val="sr-Cyrl-BA"/>
              </w:rPr>
              <w:t>но</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кљ</w:t>
            </w:r>
            <w:r>
              <w:rPr>
                <w:rFonts w:ascii="Arial" w:eastAsia="Times New Roman" w:hAnsi="Arial" w:cs="Arial"/>
                <w:color w:val="000000"/>
                <w:lang w:val="sr-Cyrl-BA"/>
              </w:rPr>
              <w:t>у</w:t>
            </w:r>
            <w:r w:rsidR="00A56E08">
              <w:rPr>
                <w:rFonts w:ascii="Arial" w:eastAsia="Times New Roman" w:hAnsi="Arial" w:cs="Arial"/>
                <w:color w:val="000000"/>
                <w:lang w:val="sr-Cyrl-BA"/>
              </w:rPr>
              <w:t>чи</w:t>
            </w:r>
            <w:r>
              <w:rPr>
                <w:rFonts w:ascii="Arial" w:eastAsia="Times New Roman" w:hAnsi="Arial" w:cs="Arial"/>
                <w:color w:val="000000"/>
                <w:lang w:val="sr-Cyrl-BA"/>
              </w:rPr>
              <w:t>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A56E08">
              <w:rPr>
                <w:rFonts w:ascii="Arial" w:eastAsia="Times New Roman" w:hAnsi="Arial" w:cs="Arial"/>
                <w:color w:val="000000"/>
                <w:lang w:val="sr-Cyrl-BA"/>
              </w:rPr>
              <w:t>ад</w:t>
            </w:r>
            <w:r>
              <w:rPr>
                <w:rFonts w:ascii="Arial" w:eastAsia="Times New Roman" w:hAnsi="Arial" w:cs="Arial"/>
                <w:color w:val="000000"/>
                <w:lang w:val="sr-Cyrl-BA"/>
              </w:rPr>
              <w:t>р</w:t>
            </w:r>
            <w:r w:rsidR="00171F00">
              <w:rPr>
                <w:rFonts w:ascii="Arial" w:eastAsia="Times New Roman" w:hAnsi="Arial" w:cs="Arial"/>
                <w:color w:val="000000"/>
                <w:lang w:val="sr-Cyrl-BA"/>
              </w:rPr>
              <w:t>ж</w:t>
            </w:r>
            <w:r w:rsidR="00A56E08">
              <w:rPr>
                <w:rFonts w:ascii="Arial" w:eastAsia="Times New Roman" w:hAnsi="Arial" w:cs="Arial"/>
                <w:color w:val="000000"/>
                <w:lang w:val="sr-Cyrl-BA"/>
              </w:rPr>
              <w:t>ај</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који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одно</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имј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ИК</w:t>
            </w:r>
            <w:r>
              <w:rPr>
                <w:rFonts w:ascii="Arial" w:eastAsia="Times New Roman" w:hAnsi="Arial" w:cs="Arial"/>
                <w:color w:val="000000"/>
                <w:lang w:val="sr-Cyrl-BA"/>
              </w:rPr>
              <w:t>Т</w:t>
            </w:r>
            <w:r w:rsidR="00277A2C" w:rsidRPr="00F6340E">
              <w:rPr>
                <w:rFonts w:ascii="Arial" w:eastAsia="Times New Roman" w:hAnsi="Arial" w:cs="Arial"/>
                <w:color w:val="000000"/>
                <w:lang w:val="sr-Cyrl-BA"/>
              </w:rPr>
              <w:t>-</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об</w:t>
            </w:r>
            <w:r>
              <w:rPr>
                <w:rFonts w:ascii="Arial" w:eastAsia="Times New Roman" w:hAnsi="Arial" w:cs="Arial"/>
                <w:color w:val="000000"/>
                <w:lang w:val="sr-Cyrl-BA"/>
              </w:rPr>
              <w:t>р</w:t>
            </w:r>
            <w:r w:rsidR="00A56E08">
              <w:rPr>
                <w:rFonts w:ascii="Arial" w:eastAsia="Times New Roman" w:hAnsi="Arial" w:cs="Arial"/>
                <w:color w:val="000000"/>
                <w:lang w:val="sr-Cyrl-BA"/>
              </w:rPr>
              <w:t>а</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о</w:t>
            </w:r>
            <w:r>
              <w:rPr>
                <w:rFonts w:ascii="Arial" w:eastAsia="Times New Roman" w:hAnsi="Arial" w:cs="Arial"/>
                <w:color w:val="000000"/>
                <w:lang w:val="sr-Cyrl-BA"/>
              </w:rPr>
              <w:t>в</w:t>
            </w:r>
            <w:r w:rsidR="00A56E08">
              <w:rPr>
                <w:rFonts w:ascii="Arial" w:eastAsia="Times New Roman" w:hAnsi="Arial" w:cs="Arial"/>
                <w:color w:val="000000"/>
                <w:lang w:val="sr-Cyrl-BA"/>
              </w:rPr>
              <w:t>ањ</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ог</w:t>
            </w:r>
            <w:r>
              <w:rPr>
                <w:rFonts w:ascii="Arial" w:eastAsia="Times New Roman" w:hAnsi="Arial" w:cs="Arial"/>
                <w:color w:val="000000"/>
                <w:lang w:val="sr-Cyrl-BA"/>
              </w:rPr>
              <w:t>р</w:t>
            </w:r>
            <w:r w:rsidR="00A56E08">
              <w:rPr>
                <w:rFonts w:ascii="Arial" w:eastAsia="Times New Roman" w:hAnsi="Arial" w:cs="Arial"/>
                <w:color w:val="000000"/>
                <w:lang w:val="sr-Cyrl-BA"/>
              </w:rPr>
              <w:t>ам</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иницијалног</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об</w:t>
            </w:r>
            <w:r>
              <w:rPr>
                <w:rFonts w:ascii="Arial" w:eastAsia="Times New Roman" w:hAnsi="Arial" w:cs="Arial"/>
                <w:color w:val="000000"/>
                <w:lang w:val="sr-Cyrl-BA"/>
              </w:rPr>
              <w:t>р</w:t>
            </w:r>
            <w:r w:rsidR="00A56E08">
              <w:rPr>
                <w:rFonts w:ascii="Arial" w:eastAsia="Times New Roman" w:hAnsi="Arial" w:cs="Arial"/>
                <w:color w:val="000000"/>
                <w:lang w:val="sr-Cyrl-BA"/>
              </w:rPr>
              <w:t>а</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о</w:t>
            </w:r>
            <w:r>
              <w:rPr>
                <w:rFonts w:ascii="Arial" w:eastAsia="Times New Roman" w:hAnsi="Arial" w:cs="Arial"/>
                <w:color w:val="000000"/>
                <w:lang w:val="sr-Cyrl-BA"/>
              </w:rPr>
              <w:t>в</w:t>
            </w:r>
            <w:r w:rsidR="00A56E08">
              <w:rPr>
                <w:rFonts w:ascii="Arial" w:eastAsia="Times New Roman" w:hAnsi="Arial" w:cs="Arial"/>
                <w:color w:val="000000"/>
                <w:lang w:val="sr-Cyrl-BA"/>
              </w:rPr>
              <w:t>ања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Pr>
                <w:rFonts w:ascii="Arial" w:eastAsia="Times New Roman" w:hAnsi="Arial" w:cs="Arial"/>
                <w:color w:val="000000"/>
                <w:lang w:val="sr-Cyrl-BA"/>
              </w:rPr>
              <w:t>ст</w:t>
            </w:r>
            <w:r w:rsidR="00A56E08">
              <w:rPr>
                <w:rFonts w:ascii="Arial" w:eastAsia="Times New Roman" w:hAnsi="Arial" w:cs="Arial"/>
                <w:color w:val="000000"/>
                <w:lang w:val="sr-Cyrl-BA"/>
              </w:rPr>
              <w:t>а</w:t>
            </w:r>
            <w:r>
              <w:rPr>
                <w:rFonts w:ascii="Arial" w:eastAsia="Times New Roman" w:hAnsi="Arial" w:cs="Arial"/>
                <w:color w:val="000000"/>
                <w:lang w:val="sr-Cyrl-BA"/>
              </w:rPr>
              <w:t>в</w:t>
            </w:r>
            <w:r w:rsidR="00A56E08">
              <w:rPr>
                <w:rFonts w:ascii="Arial" w:eastAsia="Times New Roman" w:hAnsi="Arial" w:cs="Arial"/>
                <w:color w:val="000000"/>
                <w:lang w:val="sr-Cyrl-BA"/>
              </w:rPr>
              <w:t>ника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како</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би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о</w:t>
            </w:r>
            <w:r>
              <w:rPr>
                <w:rFonts w:ascii="Arial" w:eastAsia="Times New Roman" w:hAnsi="Arial" w:cs="Arial"/>
                <w:color w:val="000000"/>
                <w:lang w:val="sr-Cyrl-BA"/>
              </w:rPr>
              <w:t>с</w:t>
            </w:r>
            <w:r w:rsidR="00A56E08">
              <w:rPr>
                <w:rFonts w:ascii="Arial" w:eastAsia="Times New Roman" w:hAnsi="Arial" w:cs="Arial"/>
                <w:color w:val="000000"/>
                <w:lang w:val="sr-Cyrl-BA"/>
              </w:rPr>
              <w:t>иг</w:t>
            </w:r>
            <w:r>
              <w:rPr>
                <w:rFonts w:ascii="Arial" w:eastAsia="Times New Roman" w:hAnsi="Arial" w:cs="Arial"/>
                <w:color w:val="000000"/>
                <w:lang w:val="sr-Cyrl-BA"/>
              </w:rPr>
              <w:t>ур</w:t>
            </w:r>
            <w:r w:rsidR="00A56E08">
              <w:rPr>
                <w:rFonts w:ascii="Arial" w:eastAsia="Times New Roman" w:hAnsi="Arial" w:cs="Arial"/>
                <w:color w:val="000000"/>
                <w:lang w:val="sr-Cyrl-BA"/>
              </w:rPr>
              <w:t>ала</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ад</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к</w:t>
            </w:r>
            <w:r>
              <w:rPr>
                <w:rFonts w:ascii="Arial" w:eastAsia="Times New Roman" w:hAnsi="Arial" w:cs="Arial"/>
                <w:color w:val="000000"/>
                <w:lang w:val="sr-Cyrl-BA"/>
              </w:rPr>
              <w:t>в</w:t>
            </w:r>
            <w:r w:rsidR="00A56E08">
              <w:rPr>
                <w:rFonts w:ascii="Arial" w:eastAsia="Times New Roman" w:hAnsi="Arial" w:cs="Arial"/>
                <w:color w:val="000000"/>
                <w:lang w:val="sr-Cyrl-BA"/>
              </w:rPr>
              <w:t>а</w:t>
            </w:r>
            <w:r>
              <w:rPr>
                <w:rFonts w:ascii="Arial" w:eastAsia="Times New Roman" w:hAnsi="Arial" w:cs="Arial"/>
                <w:color w:val="000000"/>
                <w:lang w:val="sr-Cyrl-BA"/>
              </w:rPr>
              <w:t>т</w:t>
            </w:r>
            <w:r w:rsidR="00A56E08">
              <w:rPr>
                <w:rFonts w:ascii="Arial" w:eastAsia="Times New Roman" w:hAnsi="Arial" w:cs="Arial"/>
                <w:color w:val="000000"/>
                <w:lang w:val="sr-Cyrl-BA"/>
              </w:rPr>
              <w:t>на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и</w:t>
            </w:r>
            <w:r>
              <w:rPr>
                <w:rFonts w:ascii="Arial" w:eastAsia="Times New Roman" w:hAnsi="Arial" w:cs="Arial"/>
                <w:color w:val="000000"/>
                <w:lang w:val="sr-Cyrl-BA"/>
              </w:rPr>
              <w:t>пр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ма</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а</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A56E08">
              <w:rPr>
                <w:rFonts w:ascii="Arial" w:eastAsia="Times New Roman" w:hAnsi="Arial" w:cs="Arial"/>
                <w:color w:val="000000"/>
                <w:lang w:val="sr-Cyrl-BA"/>
              </w:rPr>
              <w:t>кљ</w:t>
            </w:r>
            <w:r>
              <w:rPr>
                <w:rFonts w:ascii="Arial" w:eastAsia="Times New Roman" w:hAnsi="Arial" w:cs="Arial"/>
                <w:color w:val="000000"/>
                <w:lang w:val="sr-Cyrl-BA"/>
              </w:rPr>
              <w:t>у</w:t>
            </w:r>
            <w:r w:rsidR="00A56E08">
              <w:rPr>
                <w:rFonts w:ascii="Arial" w:eastAsia="Times New Roman" w:hAnsi="Arial" w:cs="Arial"/>
                <w:color w:val="000000"/>
                <w:lang w:val="sr-Cyrl-BA"/>
              </w:rPr>
              <w:t>чи</w:t>
            </w:r>
            <w:r>
              <w:rPr>
                <w:rFonts w:ascii="Arial" w:eastAsia="Times New Roman" w:hAnsi="Arial" w:cs="Arial"/>
                <w:color w:val="000000"/>
                <w:lang w:val="sr-Cyrl-BA"/>
              </w:rPr>
              <w:t>в</w:t>
            </w:r>
            <w:r w:rsidR="00A56E08">
              <w:rPr>
                <w:rFonts w:ascii="Arial" w:eastAsia="Times New Roman" w:hAnsi="Arial" w:cs="Arial"/>
                <w:color w:val="000000"/>
                <w:lang w:val="sr-Cyrl-BA"/>
              </w:rPr>
              <w:t>ањ</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на</w:t>
            </w:r>
            <w:r>
              <w:rPr>
                <w:rFonts w:ascii="Arial" w:eastAsia="Times New Roman" w:hAnsi="Arial" w:cs="Arial"/>
                <w:color w:val="000000"/>
                <w:lang w:val="sr-Cyrl-BA"/>
              </w:rPr>
              <w:t>ст</w:t>
            </w:r>
            <w:r w:rsidR="00A56E08">
              <w:rPr>
                <w:rFonts w:ascii="Arial" w:eastAsia="Times New Roman" w:hAnsi="Arial" w:cs="Arial"/>
                <w:color w:val="000000"/>
                <w:lang w:val="sr-Cyrl-BA"/>
              </w:rPr>
              <w:t>а</w:t>
            </w:r>
            <w:r>
              <w:rPr>
                <w:rFonts w:ascii="Arial" w:eastAsia="Times New Roman" w:hAnsi="Arial" w:cs="Arial"/>
                <w:color w:val="000000"/>
                <w:lang w:val="sr-Cyrl-BA"/>
              </w:rPr>
              <w:t>в</w:t>
            </w:r>
            <w:r w:rsidR="00A56E08">
              <w:rPr>
                <w:rFonts w:ascii="Arial" w:eastAsia="Times New Roman" w:hAnsi="Arial" w:cs="Arial"/>
                <w:color w:val="000000"/>
                <w:lang w:val="sr-Cyrl-BA"/>
              </w:rPr>
              <w:t>ни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оц</w:t>
            </w:r>
            <w:r w:rsidR="00EE6AA2">
              <w:rPr>
                <w:rFonts w:ascii="Arial" w:eastAsia="Times New Roman" w:hAnsi="Arial" w:cs="Arial"/>
                <w:color w:val="000000"/>
                <w:lang w:val="sr-Cyrl-BA"/>
              </w:rPr>
              <w:t>е</w:t>
            </w:r>
            <w:r>
              <w:rPr>
                <w:rFonts w:ascii="Arial" w:eastAsia="Times New Roman" w:hAnsi="Arial" w:cs="Arial"/>
                <w:color w:val="000000"/>
                <w:lang w:val="sr-Cyrl-BA"/>
              </w:rPr>
              <w:t>с</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A56E08">
              <w:rPr>
                <w:rFonts w:ascii="Arial" w:eastAsia="Times New Roman" w:hAnsi="Arial" w:cs="Arial"/>
                <w:color w:val="000000"/>
                <w:lang w:val="sr-Cyrl-BA"/>
              </w:rPr>
              <w:t>ад</w:t>
            </w:r>
            <w:r>
              <w:rPr>
                <w:rFonts w:ascii="Arial" w:eastAsia="Times New Roman" w:hAnsi="Arial" w:cs="Arial"/>
                <w:color w:val="000000"/>
                <w:lang w:val="sr-Cyrl-BA"/>
              </w:rPr>
              <w:t>р</w:t>
            </w:r>
            <w:r w:rsidR="00171F00">
              <w:rPr>
                <w:rFonts w:ascii="Arial" w:eastAsia="Times New Roman" w:hAnsi="Arial" w:cs="Arial"/>
                <w:color w:val="000000"/>
                <w:lang w:val="sr-Cyrl-BA"/>
              </w:rPr>
              <w:t>ж</w:t>
            </w:r>
            <w:r w:rsidR="00A56E08">
              <w:rPr>
                <w:rFonts w:ascii="Arial" w:eastAsia="Times New Roman" w:hAnsi="Arial" w:cs="Arial"/>
                <w:color w:val="000000"/>
                <w:lang w:val="sr-Cyrl-BA"/>
              </w:rPr>
              <w:t>аји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мог</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им</w:t>
            </w:r>
            <w:r>
              <w:rPr>
                <w:rFonts w:ascii="Arial" w:eastAsia="Times New Roman" w:hAnsi="Arial" w:cs="Arial"/>
                <w:color w:val="000000"/>
                <w:lang w:val="sr-Cyrl-BA"/>
              </w:rPr>
              <w:t>п</w:t>
            </w:r>
            <w:r w:rsidR="00A56E08">
              <w:rPr>
                <w:rFonts w:ascii="Arial" w:eastAsia="Times New Roman" w:hAnsi="Arial" w:cs="Arial"/>
                <w:color w:val="000000"/>
                <w:lang w:val="sr-Cyrl-BA"/>
              </w:rPr>
              <w:t>л</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т</w:t>
            </w:r>
            <w:r w:rsidR="00A56E08">
              <w:rPr>
                <w:rFonts w:ascii="Arial" w:eastAsia="Times New Roman" w:hAnsi="Arial" w:cs="Arial"/>
                <w:color w:val="000000"/>
                <w:lang w:val="sr-Cyrl-BA"/>
              </w:rPr>
              <w:t>и</w:t>
            </w:r>
            <w:r>
              <w:rPr>
                <w:rFonts w:ascii="Arial" w:eastAsia="Times New Roman" w:hAnsi="Arial" w:cs="Arial"/>
                <w:color w:val="000000"/>
                <w:lang w:val="sr-Cyrl-BA"/>
              </w:rPr>
              <w:t>р</w:t>
            </w:r>
            <w:r w:rsidR="00A56E08">
              <w:rPr>
                <w:rFonts w:ascii="Arial" w:eastAsia="Times New Roman" w:hAnsi="Arial" w:cs="Arial"/>
                <w:color w:val="000000"/>
                <w:lang w:val="sr-Cyrl-BA"/>
              </w:rPr>
              <w:t>а</w:t>
            </w:r>
            <w:r>
              <w:rPr>
                <w:rFonts w:ascii="Arial" w:eastAsia="Times New Roman" w:hAnsi="Arial" w:cs="Arial"/>
                <w:color w:val="000000"/>
                <w:lang w:val="sr-Cyrl-BA"/>
              </w:rPr>
              <w:t>т</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к</w:t>
            </w:r>
            <w:r>
              <w:rPr>
                <w:rFonts w:ascii="Arial" w:eastAsia="Times New Roman" w:hAnsi="Arial" w:cs="Arial"/>
                <w:color w:val="000000"/>
                <w:lang w:val="sr-Cyrl-BA"/>
              </w:rPr>
              <w:t>р</w:t>
            </w:r>
            <w:r w:rsidR="00A56E08">
              <w:rPr>
                <w:rFonts w:ascii="Arial" w:eastAsia="Times New Roman" w:hAnsi="Arial" w:cs="Arial"/>
                <w:color w:val="000000"/>
                <w:lang w:val="sr-Cyrl-BA"/>
              </w:rPr>
              <w:t>о</w:t>
            </w:r>
            <w:r w:rsidR="00171F00">
              <w:rPr>
                <w:rFonts w:ascii="Arial" w:eastAsia="Times New Roman" w:hAnsi="Arial" w:cs="Arial"/>
                <w:color w:val="000000"/>
                <w:lang w:val="sr-Cyrl-BA"/>
              </w:rPr>
              <w:t>з</w:t>
            </w:r>
            <w:r w:rsidR="00892898" w:rsidRPr="00F6340E">
              <w:rPr>
                <w:rFonts w:ascii="Arial" w:eastAsia="Times New Roman" w:hAnsi="Arial" w:cs="Arial"/>
                <w:color w:val="000000"/>
                <w:lang w:val="sr-Cyrl-BA"/>
              </w:rPr>
              <w:t xml:space="preserve"> </w:t>
            </w:r>
            <w:r w:rsidR="00171F00">
              <w:rPr>
                <w:rFonts w:ascii="Arial" w:eastAsia="Times New Roman" w:hAnsi="Arial" w:cs="Arial"/>
                <w:color w:val="000000"/>
                <w:lang w:val="sr-Cyrl-BA"/>
              </w:rPr>
              <w:t>з</w:t>
            </w:r>
            <w:r w:rsidR="00A56E08">
              <w:rPr>
                <w:rFonts w:ascii="Arial" w:eastAsia="Times New Roman" w:hAnsi="Arial" w:cs="Arial"/>
                <w:color w:val="000000"/>
                <w:lang w:val="sr-Cyrl-BA"/>
              </w:rPr>
              <w:t>а</w:t>
            </w:r>
            <w:r>
              <w:rPr>
                <w:rFonts w:ascii="Arial" w:eastAsia="Times New Roman" w:hAnsi="Arial" w:cs="Arial"/>
                <w:color w:val="000000"/>
                <w:lang w:val="sr-Cyrl-BA"/>
              </w:rPr>
              <w:t>с</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бан</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дм</w:t>
            </w:r>
            <w:r w:rsidR="00EE6AA2">
              <w:rPr>
                <w:rFonts w:ascii="Arial" w:eastAsia="Times New Roman" w:hAnsi="Arial" w:cs="Arial"/>
                <w:color w:val="000000"/>
                <w:lang w:val="sr-Cyrl-BA"/>
              </w:rPr>
              <w:t>е</w:t>
            </w:r>
            <w:r>
              <w:rPr>
                <w:rFonts w:ascii="Arial" w:eastAsia="Times New Roman" w:hAnsi="Arial" w:cs="Arial"/>
                <w:color w:val="000000"/>
                <w:lang w:val="sr-Cyrl-BA"/>
              </w:rPr>
              <w:t>т</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или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св</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дм</w:t>
            </w:r>
            <w:r w:rsidR="00EE6AA2">
              <w:rPr>
                <w:rFonts w:ascii="Arial" w:eastAsia="Times New Roman" w:hAnsi="Arial" w:cs="Arial"/>
                <w:color w:val="000000"/>
                <w:lang w:val="sr-Cyrl-BA"/>
              </w:rPr>
              <w:t>е</w:t>
            </w:r>
            <w:r>
              <w:rPr>
                <w:rFonts w:ascii="Arial" w:eastAsia="Times New Roman" w:hAnsi="Arial" w:cs="Arial"/>
                <w:color w:val="000000"/>
                <w:lang w:val="sr-Cyrl-BA"/>
              </w:rPr>
              <w:t>т</w:t>
            </w:r>
            <w:r w:rsidR="00EE6AA2">
              <w:rPr>
                <w:rFonts w:ascii="Arial" w:eastAsia="Times New Roman" w:hAnsi="Arial" w:cs="Arial"/>
                <w:color w:val="000000"/>
                <w:lang w:val="sr-Cyrl-BA"/>
              </w:rPr>
              <w:t>е</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у</w:t>
            </w:r>
            <w:r w:rsidR="00171F00">
              <w:rPr>
                <w:rFonts w:ascii="Arial" w:eastAsia="Times New Roman" w:hAnsi="Arial" w:cs="Arial"/>
                <w:color w:val="000000"/>
                <w:lang w:val="sr-Cyrl-BA"/>
              </w:rPr>
              <w:t>з</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ад</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к</w:t>
            </w:r>
            <w:r>
              <w:rPr>
                <w:rFonts w:ascii="Arial" w:eastAsia="Times New Roman" w:hAnsi="Arial" w:cs="Arial"/>
                <w:color w:val="000000"/>
                <w:lang w:val="sr-Cyrl-BA"/>
              </w:rPr>
              <w:t>в</w:t>
            </w:r>
            <w:r w:rsidR="00A56E08">
              <w:rPr>
                <w:rFonts w:ascii="Arial" w:eastAsia="Times New Roman" w:hAnsi="Arial" w:cs="Arial"/>
                <w:color w:val="000000"/>
                <w:lang w:val="sr-Cyrl-BA"/>
              </w:rPr>
              <w:t>а</w:t>
            </w:r>
            <w:r>
              <w:rPr>
                <w:rFonts w:ascii="Arial" w:eastAsia="Times New Roman" w:hAnsi="Arial" w:cs="Arial"/>
                <w:color w:val="000000"/>
                <w:lang w:val="sr-Cyrl-BA"/>
              </w:rPr>
              <w:t>т</w:t>
            </w:r>
            <w:r w:rsidR="00A56E08">
              <w:rPr>
                <w:rFonts w:ascii="Arial" w:eastAsia="Times New Roman" w:hAnsi="Arial" w:cs="Arial"/>
                <w:color w:val="000000"/>
                <w:lang w:val="sr-Cyrl-BA"/>
              </w:rPr>
              <w:t>н</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дидак</w:t>
            </w:r>
            <w:r>
              <w:rPr>
                <w:rFonts w:ascii="Arial" w:eastAsia="Times New Roman" w:hAnsi="Arial" w:cs="Arial"/>
                <w:color w:val="000000"/>
                <w:lang w:val="sr-Cyrl-BA"/>
              </w:rPr>
              <w:t>т</w:t>
            </w:r>
            <w:r w:rsidR="00A56E08">
              <w:rPr>
                <w:rFonts w:ascii="Arial" w:eastAsia="Times New Roman" w:hAnsi="Arial" w:cs="Arial"/>
                <w:color w:val="000000"/>
                <w:lang w:val="sr-Cyrl-BA"/>
              </w:rPr>
              <w:t>ичко</w:t>
            </w:r>
            <w:r w:rsidR="00892898" w:rsidRPr="00F6340E">
              <w:rPr>
                <w:rFonts w:ascii="Arial" w:eastAsia="Times New Roman" w:hAnsi="Arial" w:cs="Arial"/>
                <w:color w:val="000000"/>
                <w:lang w:val="sr-Cyrl-BA"/>
              </w:rPr>
              <w:t xml:space="preserve"> – </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Pr>
                <w:rFonts w:ascii="Arial" w:eastAsia="Times New Roman" w:hAnsi="Arial" w:cs="Arial"/>
                <w:color w:val="000000"/>
                <w:lang w:val="sr-Cyrl-BA"/>
              </w:rPr>
              <w:t>т</w:t>
            </w:r>
            <w:r w:rsidR="00A56E08">
              <w:rPr>
                <w:rFonts w:ascii="Arial" w:eastAsia="Times New Roman" w:hAnsi="Arial" w:cs="Arial"/>
                <w:color w:val="000000"/>
                <w:lang w:val="sr-Cyrl-BA"/>
              </w:rPr>
              <w:t>одичк</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ада</w:t>
            </w:r>
            <w:r>
              <w:rPr>
                <w:rFonts w:ascii="Arial" w:eastAsia="Times New Roman" w:hAnsi="Arial" w:cs="Arial"/>
                <w:color w:val="000000"/>
                <w:lang w:val="sr-Cyrl-BA"/>
              </w:rPr>
              <w:t>пт</w:t>
            </w:r>
            <w:r w:rsidR="00A56E08">
              <w:rPr>
                <w:rFonts w:ascii="Arial" w:eastAsia="Times New Roman" w:hAnsi="Arial" w:cs="Arial"/>
                <w:color w:val="000000"/>
                <w:lang w:val="sr-Cyrl-BA"/>
              </w:rPr>
              <w:t>ациј</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имј</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н</w:t>
            </w:r>
            <w:r>
              <w:rPr>
                <w:rFonts w:ascii="Arial" w:eastAsia="Times New Roman" w:hAnsi="Arial" w:cs="Arial"/>
                <w:color w:val="000000"/>
                <w:lang w:val="sr-Cyrl-BA"/>
              </w:rPr>
              <w:t>у</w:t>
            </w:r>
            <w:r w:rsidR="00892898" w:rsidRPr="00F6340E">
              <w:rPr>
                <w:rFonts w:ascii="Arial" w:eastAsia="Times New Roman" w:hAnsi="Arial" w:cs="Arial"/>
                <w:color w:val="000000"/>
                <w:lang w:val="sr-Cyrl-BA"/>
              </w:rPr>
              <w:t xml:space="preserve"> (</w:t>
            </w:r>
            <w:r w:rsidR="00A56E08">
              <w:rPr>
                <w:rFonts w:ascii="Arial" w:eastAsia="Times New Roman" w:hAnsi="Arial" w:cs="Arial"/>
                <w:color w:val="000000"/>
                <w:lang w:val="sr-Cyrl-BA"/>
              </w:rPr>
              <w:t>м</w:t>
            </w:r>
            <w:r w:rsidR="00EE6AA2">
              <w:rPr>
                <w:rFonts w:ascii="Arial" w:eastAsia="Times New Roman" w:hAnsi="Arial" w:cs="Arial"/>
                <w:color w:val="000000"/>
                <w:lang w:val="sr-Cyrl-BA"/>
              </w:rPr>
              <w:t>е</w:t>
            </w:r>
            <w:r w:rsidR="00A56E08">
              <w:rPr>
                <w:rFonts w:ascii="Arial" w:eastAsia="Times New Roman" w:hAnsi="Arial" w:cs="Arial"/>
                <w:color w:val="000000"/>
                <w:lang w:val="sr-Cyrl-BA"/>
              </w:rPr>
              <w:t>ђ</w:t>
            </w:r>
            <w:r>
              <w:rPr>
                <w:rFonts w:ascii="Arial" w:eastAsia="Times New Roman" w:hAnsi="Arial" w:cs="Arial"/>
                <w:color w:val="000000"/>
                <w:lang w:val="sr-Cyrl-BA"/>
              </w:rPr>
              <w:t>у</w:t>
            </w:r>
            <w:r w:rsidR="00277A2C" w:rsidRPr="00F6340E">
              <w:rPr>
                <w:rFonts w:ascii="Arial" w:eastAsia="Times New Roman" w:hAnsi="Arial" w:cs="Arial"/>
                <w:color w:val="000000"/>
                <w:lang w:val="sr-Cyrl-BA"/>
              </w:rPr>
              <w:t>-</w:t>
            </w:r>
            <w:r w:rsidR="00A56E08">
              <w:rPr>
                <w:rFonts w:ascii="Arial" w:eastAsia="Times New Roman" w:hAnsi="Arial" w:cs="Arial"/>
                <w:color w:val="000000"/>
                <w:lang w:val="sr-Cyrl-BA"/>
              </w:rPr>
              <w:t>к</w:t>
            </w:r>
            <w:r>
              <w:rPr>
                <w:rFonts w:ascii="Arial" w:eastAsia="Times New Roman" w:hAnsi="Arial" w:cs="Arial"/>
                <w:color w:val="000000"/>
                <w:lang w:val="sr-Cyrl-BA"/>
              </w:rPr>
              <w:t>ур</w:t>
            </w:r>
            <w:r w:rsidR="00A56E08">
              <w:rPr>
                <w:rFonts w:ascii="Arial" w:eastAsia="Times New Roman" w:hAnsi="Arial" w:cs="Arial"/>
                <w:color w:val="000000"/>
                <w:lang w:val="sr-Cyrl-BA"/>
              </w:rPr>
              <w:t>ик</w:t>
            </w:r>
            <w:r>
              <w:rPr>
                <w:rFonts w:ascii="Arial" w:eastAsia="Times New Roman" w:hAnsi="Arial" w:cs="Arial"/>
                <w:color w:val="000000"/>
                <w:lang w:val="sr-Cyrl-BA"/>
              </w:rPr>
              <w:t>у</w:t>
            </w:r>
            <w:r w:rsidR="00A56E08">
              <w:rPr>
                <w:rFonts w:ascii="Arial" w:eastAsia="Times New Roman" w:hAnsi="Arial" w:cs="Arial"/>
                <w:color w:val="000000"/>
                <w:lang w:val="sr-Cyrl-BA"/>
              </w:rPr>
              <w:t>ла</w:t>
            </w:r>
            <w:r>
              <w:rPr>
                <w:rFonts w:ascii="Arial" w:eastAsia="Times New Roman" w:hAnsi="Arial" w:cs="Arial"/>
                <w:color w:val="000000"/>
                <w:lang w:val="sr-Cyrl-BA"/>
              </w:rPr>
              <w:t>р</w:t>
            </w:r>
            <w:r w:rsidR="00A56E08">
              <w:rPr>
                <w:rFonts w:ascii="Arial" w:eastAsia="Times New Roman" w:hAnsi="Arial" w:cs="Arial"/>
                <w:color w:val="000000"/>
                <w:lang w:val="sr-Cyrl-BA"/>
              </w:rPr>
              <w:t>ни</w:t>
            </w:r>
            <w:r w:rsidR="00892898" w:rsidRPr="00F6340E">
              <w:rPr>
                <w:rFonts w:ascii="Arial" w:eastAsia="Times New Roman" w:hAnsi="Arial" w:cs="Arial"/>
                <w:color w:val="000000"/>
                <w:lang w:val="sr-Cyrl-BA"/>
              </w:rPr>
              <w:t xml:space="preserve"> </w:t>
            </w:r>
            <w:r>
              <w:rPr>
                <w:rFonts w:ascii="Arial" w:eastAsia="Times New Roman" w:hAnsi="Arial" w:cs="Arial"/>
                <w:color w:val="000000"/>
                <w:lang w:val="sr-Cyrl-BA"/>
              </w:rPr>
              <w:t>пр</w:t>
            </w:r>
            <w:r w:rsidR="00A56E08">
              <w:rPr>
                <w:rFonts w:ascii="Arial" w:eastAsia="Times New Roman" w:hAnsi="Arial" w:cs="Arial"/>
                <w:color w:val="000000"/>
                <w:lang w:val="sr-Cyrl-BA"/>
              </w:rPr>
              <w:t>и</w:t>
            </w:r>
            <w:r>
              <w:rPr>
                <w:rFonts w:ascii="Arial" w:eastAsia="Times New Roman" w:hAnsi="Arial" w:cs="Arial"/>
                <w:color w:val="000000"/>
                <w:lang w:val="sr-Cyrl-BA"/>
              </w:rPr>
              <w:t>ступ</w:t>
            </w:r>
            <w:r w:rsidR="00892898" w:rsidRPr="00F6340E">
              <w:rPr>
                <w:rFonts w:ascii="Arial" w:eastAsia="Times New Roman" w:hAnsi="Arial" w:cs="Arial"/>
                <w:color w:val="000000"/>
                <w:lang w:val="sr-Cyrl-BA"/>
              </w:rPr>
              <w:t>).</w:t>
            </w:r>
          </w:p>
          <w:p w14:paraId="6869C107" w14:textId="576F2BD6" w:rsidR="00892898" w:rsidRPr="00F6340E" w:rsidRDefault="00A56E08" w:rsidP="00FB5CB7">
            <w:pPr>
              <w:pStyle w:val="ListParagraph"/>
              <w:numPr>
                <w:ilvl w:val="0"/>
                <w:numId w:val="41"/>
              </w:numPr>
              <w:jc w:val="left"/>
              <w:rPr>
                <w:rFonts w:ascii="Arial" w:eastAsia="Times New Roman" w:hAnsi="Arial" w:cs="Arial"/>
                <w:b/>
                <w:color w:val="000000"/>
                <w:lang w:val="sr-Cyrl-BA"/>
              </w:rPr>
            </w:pPr>
            <w:r>
              <w:rPr>
                <w:rFonts w:ascii="Arial" w:eastAsia="Times New Roman" w:hAnsi="Arial" w:cs="Arial"/>
                <w:b/>
                <w:color w:val="000000"/>
                <w:lang w:val="sr-Cyrl-BA"/>
              </w:rPr>
              <w:t>Инфо</w:t>
            </w:r>
            <w:r w:rsidR="0071360A">
              <w:rPr>
                <w:rFonts w:ascii="Arial" w:eastAsia="Times New Roman" w:hAnsi="Arial" w:cs="Arial"/>
                <w:b/>
                <w:color w:val="000000"/>
                <w:lang w:val="sr-Cyrl-BA"/>
              </w:rPr>
              <w:t>р</w:t>
            </w:r>
            <w:r>
              <w:rPr>
                <w:rFonts w:ascii="Arial" w:eastAsia="Times New Roman" w:hAnsi="Arial" w:cs="Arial"/>
                <w:b/>
                <w:color w:val="000000"/>
                <w:lang w:val="sr-Cyrl-BA"/>
              </w:rPr>
              <w:t>ми</w:t>
            </w:r>
            <w:r w:rsidR="0071360A">
              <w:rPr>
                <w:rFonts w:ascii="Arial" w:eastAsia="Times New Roman" w:hAnsi="Arial" w:cs="Arial"/>
                <w:b/>
                <w:color w:val="000000"/>
                <w:lang w:val="sr-Cyrl-BA"/>
              </w:rPr>
              <w:t>с</w:t>
            </w:r>
            <w:r>
              <w:rPr>
                <w:rFonts w:ascii="Arial" w:eastAsia="Times New Roman" w:hAnsi="Arial" w:cs="Arial"/>
                <w:b/>
                <w:color w:val="000000"/>
                <w:lang w:val="sr-Cyrl-BA"/>
              </w:rPr>
              <w:t>а</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на</w:t>
            </w:r>
            <w:r w:rsidR="0071360A">
              <w:rPr>
                <w:rFonts w:ascii="Arial" w:eastAsia="Times New Roman" w:hAnsi="Arial" w:cs="Arial"/>
                <w:b/>
                <w:color w:val="000000"/>
                <w:lang w:val="sr-Cyrl-BA"/>
              </w:rPr>
              <w:t>ст</w:t>
            </w:r>
            <w:r>
              <w:rPr>
                <w:rFonts w:ascii="Arial" w:eastAsia="Times New Roman" w:hAnsi="Arial" w:cs="Arial"/>
                <w:b/>
                <w:color w:val="000000"/>
                <w:lang w:val="sr-Cyrl-BA"/>
              </w:rPr>
              <w:t>а</w:t>
            </w:r>
            <w:r w:rsidR="0071360A">
              <w:rPr>
                <w:rFonts w:ascii="Arial" w:eastAsia="Times New Roman" w:hAnsi="Arial" w:cs="Arial"/>
                <w:b/>
                <w:color w:val="000000"/>
                <w:lang w:val="sr-Cyrl-BA"/>
              </w:rPr>
              <w:t>в</w:t>
            </w:r>
            <w:r>
              <w:rPr>
                <w:rFonts w:ascii="Arial" w:eastAsia="Times New Roman" w:hAnsi="Arial" w:cs="Arial"/>
                <w:b/>
                <w:color w:val="000000"/>
                <w:lang w:val="sr-Cyrl-BA"/>
              </w:rPr>
              <w:t>ник</w:t>
            </w:r>
            <w:r w:rsidR="00EE6AA2">
              <w:rPr>
                <w:rFonts w:ascii="Arial" w:eastAsia="Times New Roman" w:hAnsi="Arial" w:cs="Arial"/>
                <w:b/>
                <w:color w:val="000000"/>
                <w:lang w:val="sr-Cyrl-BA"/>
              </w:rPr>
              <w:t>е</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о</w:t>
            </w:r>
            <w:r w:rsidR="00892898" w:rsidRPr="00F6340E">
              <w:rPr>
                <w:rFonts w:ascii="Arial" w:eastAsia="Times New Roman" w:hAnsi="Arial" w:cs="Arial"/>
                <w:b/>
                <w:color w:val="000000"/>
                <w:lang w:val="sr-Cyrl-BA"/>
              </w:rPr>
              <w:t xml:space="preserve"> </w:t>
            </w:r>
            <w:r>
              <w:rPr>
                <w:rFonts w:ascii="Arial" w:hAnsi="Arial" w:cs="Arial"/>
                <w:b/>
                <w:color w:val="000000" w:themeColor="text1"/>
                <w:lang w:val="sr-Cyrl-BA"/>
              </w:rPr>
              <w:t>Ок</w:t>
            </w:r>
            <w:r w:rsidR="0071360A">
              <w:rPr>
                <w:rFonts w:ascii="Arial" w:hAnsi="Arial" w:cs="Arial"/>
                <w:b/>
                <w:color w:val="000000" w:themeColor="text1"/>
                <w:lang w:val="sr-Cyrl-BA"/>
              </w:rPr>
              <w:t>в</w:t>
            </w:r>
            <w:r>
              <w:rPr>
                <w:rFonts w:ascii="Arial" w:hAnsi="Arial" w:cs="Arial"/>
                <w:b/>
                <w:color w:val="000000" w:themeColor="text1"/>
                <w:lang w:val="sr-Cyrl-BA"/>
              </w:rPr>
              <w:t>и</w:t>
            </w:r>
            <w:r w:rsidR="0071360A">
              <w:rPr>
                <w:rFonts w:ascii="Arial" w:hAnsi="Arial" w:cs="Arial"/>
                <w:b/>
                <w:color w:val="000000" w:themeColor="text1"/>
                <w:lang w:val="sr-Cyrl-BA"/>
              </w:rPr>
              <w:t>ру</w:t>
            </w:r>
            <w:r w:rsidR="0064799C" w:rsidRPr="00F6340E">
              <w:rPr>
                <w:rFonts w:ascii="Arial" w:hAnsi="Arial" w:cs="Arial"/>
                <w:b/>
                <w:color w:val="000000" w:themeColor="text1"/>
                <w:lang w:val="sr-Cyrl-BA"/>
              </w:rPr>
              <w:t xml:space="preserve"> </w:t>
            </w:r>
            <w:r>
              <w:rPr>
                <w:rFonts w:ascii="Arial" w:hAnsi="Arial" w:cs="Arial"/>
                <w:b/>
                <w:color w:val="000000" w:themeColor="text1"/>
                <w:lang w:val="sr-Cyrl-BA"/>
              </w:rPr>
              <w:t>диги</w:t>
            </w:r>
            <w:r w:rsidR="0071360A">
              <w:rPr>
                <w:rFonts w:ascii="Arial" w:hAnsi="Arial" w:cs="Arial"/>
                <w:b/>
                <w:color w:val="000000" w:themeColor="text1"/>
                <w:lang w:val="sr-Cyrl-BA"/>
              </w:rPr>
              <w:t>т</w:t>
            </w:r>
            <w:r>
              <w:rPr>
                <w:rFonts w:ascii="Arial" w:hAnsi="Arial" w:cs="Arial"/>
                <w:b/>
                <w:color w:val="000000" w:themeColor="text1"/>
                <w:lang w:val="sr-Cyrl-BA"/>
              </w:rPr>
              <w:t>алних</w:t>
            </w:r>
            <w:r w:rsidR="0064799C" w:rsidRPr="00F6340E">
              <w:rPr>
                <w:rFonts w:ascii="Arial" w:hAnsi="Arial" w:cs="Arial"/>
                <w:b/>
                <w:color w:val="000000" w:themeColor="text1"/>
                <w:lang w:val="sr-Cyrl-BA"/>
              </w:rPr>
              <w:t xml:space="preserve"> </w:t>
            </w:r>
            <w:r>
              <w:rPr>
                <w:rFonts w:ascii="Arial" w:hAnsi="Arial" w:cs="Arial"/>
                <w:b/>
                <w:color w:val="000000" w:themeColor="text1"/>
                <w:lang w:val="sr-Cyrl-BA"/>
              </w:rPr>
              <w:t>ком</w:t>
            </w:r>
            <w:r w:rsidR="0071360A">
              <w:rPr>
                <w:rFonts w:ascii="Arial" w:hAnsi="Arial" w:cs="Arial"/>
                <w:b/>
                <w:color w:val="000000" w:themeColor="text1"/>
                <w:lang w:val="sr-Cyrl-BA"/>
              </w:rPr>
              <w:t>п</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нција</w:t>
            </w:r>
            <w:r w:rsidR="0064799C"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ника</w:t>
            </w:r>
            <w:r w:rsidR="0064799C"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Pr>
                <w:rFonts w:ascii="Arial" w:hAnsi="Arial" w:cs="Arial"/>
                <w:b/>
                <w:color w:val="000000" w:themeColor="text1"/>
                <w:lang w:val="sr-Cyrl-BA"/>
              </w:rPr>
              <w:t>НИЦ</w:t>
            </w:r>
            <w:r w:rsidR="00EE6AA2">
              <w:rPr>
                <w:rFonts w:ascii="Arial" w:hAnsi="Arial" w:cs="Arial"/>
                <w:b/>
                <w:color w:val="000000" w:themeColor="text1"/>
                <w:lang w:val="sr-Cyrl-BA"/>
              </w:rPr>
              <w:t>Е</w:t>
            </w:r>
            <w:r>
              <w:rPr>
                <w:rFonts w:ascii="Arial" w:hAnsi="Arial" w:cs="Arial"/>
                <w:b/>
                <w:color w:val="000000" w:themeColor="text1"/>
                <w:lang w:val="sr-Cyrl-BA"/>
              </w:rPr>
              <w:t>Ф</w:t>
            </w:r>
            <w:r w:rsidR="00CE3E8F" w:rsidRPr="00F6340E">
              <w:rPr>
                <w:rFonts w:ascii="Arial" w:hAnsi="Arial" w:cs="Arial"/>
                <w:b/>
                <w:color w:val="000000" w:themeColor="text1"/>
                <w:lang w:val="sr-Cyrl-BA"/>
              </w:rPr>
              <w:t xml:space="preserve"> </w:t>
            </w:r>
            <w:r w:rsidR="00EE6AA2">
              <w:rPr>
                <w:rFonts w:ascii="Arial" w:hAnsi="Arial" w:cs="Arial"/>
                <w:b/>
                <w:color w:val="000000" w:themeColor="text1"/>
                <w:lang w:val="sr-Cyrl-BA"/>
              </w:rPr>
              <w:t>Е</w:t>
            </w:r>
            <w:r>
              <w:rPr>
                <w:rFonts w:ascii="Arial" w:hAnsi="Arial" w:cs="Arial"/>
                <w:b/>
                <w:color w:val="000000" w:themeColor="text1"/>
                <w:lang w:val="sr-Cyrl-BA"/>
              </w:rPr>
              <w:t>ДЦ</w:t>
            </w:r>
            <w:r w:rsidR="0064799C" w:rsidRPr="00F6340E">
              <w:rPr>
                <w:rFonts w:ascii="Arial" w:hAnsi="Arial" w:cs="Arial"/>
                <w:b/>
                <w:color w:val="000000" w:themeColor="text1"/>
                <w:lang w:val="sr-Cyrl-BA"/>
              </w:rPr>
              <w:t>, 2021)</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sidR="0071360A">
              <w:rPr>
                <w:rFonts w:ascii="Arial" w:eastAsia="Times New Roman" w:hAnsi="Arial" w:cs="Arial"/>
                <w:b/>
                <w:color w:val="000000"/>
                <w:lang w:val="sr-Cyrl-BA"/>
              </w:rPr>
              <w:t>у</w:t>
            </w:r>
            <w:r>
              <w:rPr>
                <w:rFonts w:ascii="Arial" w:eastAsia="Times New Roman" w:hAnsi="Arial" w:cs="Arial"/>
                <w:b/>
                <w:color w:val="000000"/>
                <w:lang w:val="sr-Cyrl-BA"/>
              </w:rPr>
              <w:t>чини</w:t>
            </w:r>
            <w:r w:rsidR="0071360A">
              <w:rPr>
                <w:rFonts w:ascii="Arial" w:eastAsia="Times New Roman" w:hAnsi="Arial" w:cs="Arial"/>
                <w:b/>
                <w:color w:val="000000"/>
                <w:lang w:val="sr-Cyrl-BA"/>
              </w:rPr>
              <w:t>т</w:t>
            </w:r>
            <w:r>
              <w:rPr>
                <w:rFonts w:ascii="Arial" w:eastAsia="Times New Roman" w:hAnsi="Arial" w:cs="Arial"/>
                <w:b/>
                <w:color w:val="000000"/>
                <w:lang w:val="sr-Cyrl-BA"/>
              </w:rPr>
              <w:t>и</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га</w:t>
            </w:r>
            <w:r w:rsidR="00892898" w:rsidRPr="00F6340E">
              <w:rPr>
                <w:rFonts w:ascii="Arial" w:eastAsia="Times New Roman" w:hAnsi="Arial" w:cs="Arial"/>
                <w:b/>
                <w:color w:val="000000"/>
                <w:lang w:val="sr-Cyrl-BA"/>
              </w:rPr>
              <w:t xml:space="preserve"> </w:t>
            </w:r>
            <w:r>
              <w:rPr>
                <w:rFonts w:ascii="Arial" w:eastAsia="Times New Roman" w:hAnsi="Arial" w:cs="Arial"/>
                <w:b/>
                <w:color w:val="000000"/>
                <w:lang w:val="sr-Cyrl-BA"/>
              </w:rPr>
              <w:t>до</w:t>
            </w:r>
            <w:r w:rsidR="0071360A">
              <w:rPr>
                <w:rFonts w:ascii="Arial" w:eastAsia="Times New Roman" w:hAnsi="Arial" w:cs="Arial"/>
                <w:b/>
                <w:color w:val="000000"/>
                <w:lang w:val="sr-Cyrl-BA"/>
              </w:rPr>
              <w:t>ступ</w:t>
            </w:r>
            <w:r>
              <w:rPr>
                <w:rFonts w:ascii="Arial" w:eastAsia="Times New Roman" w:hAnsi="Arial" w:cs="Arial"/>
                <w:b/>
                <w:color w:val="000000"/>
                <w:lang w:val="sr-Cyrl-BA"/>
              </w:rPr>
              <w:t>ним</w:t>
            </w:r>
            <w:r w:rsidR="00892898" w:rsidRPr="00F6340E">
              <w:rPr>
                <w:rFonts w:ascii="Arial" w:eastAsia="Times New Roman" w:hAnsi="Arial" w:cs="Arial"/>
                <w:b/>
                <w:color w:val="000000"/>
                <w:lang w:val="sr-Cyrl-BA"/>
              </w:rPr>
              <w:t>.</w:t>
            </w:r>
          </w:p>
          <w:p w14:paraId="3C1F08ED" w14:textId="6C04E2FC" w:rsidR="00892898" w:rsidRPr="00F6340E" w:rsidRDefault="00A56E08" w:rsidP="00FB5CB7">
            <w:pPr>
              <w:pStyle w:val="ListParagraph"/>
              <w:numPr>
                <w:ilvl w:val="0"/>
                <w:numId w:val="41"/>
              </w:numPr>
              <w:jc w:val="left"/>
              <w:rPr>
                <w:rFonts w:ascii="Arial" w:eastAsiaTheme="minorHAnsi" w:hAnsi="Arial" w:cs="Arial"/>
                <w:color w:val="000000" w:themeColor="text1"/>
                <w:lang w:val="sr-Cyrl-BA"/>
              </w:rPr>
            </w:pPr>
            <w:r>
              <w:rPr>
                <w:rFonts w:ascii="Arial" w:hAnsi="Arial" w:cs="Arial"/>
                <w:b/>
                <w:color w:val="000000" w:themeColor="text1"/>
                <w:lang w:val="sr-Cyrl-BA"/>
              </w:rPr>
              <w:t>К</w:t>
            </w:r>
            <w:r w:rsidR="0071360A">
              <w:rPr>
                <w:rFonts w:ascii="Arial" w:hAnsi="Arial" w:cs="Arial"/>
                <w:b/>
                <w:color w:val="000000" w:themeColor="text1"/>
                <w:lang w:val="sr-Cyrl-BA"/>
              </w:rPr>
              <w:t>р</w:t>
            </w:r>
            <w:r w:rsidR="00EE6AA2">
              <w:rPr>
                <w:rFonts w:ascii="Arial" w:hAnsi="Arial" w:cs="Arial"/>
                <w:b/>
                <w:color w:val="000000" w:themeColor="text1"/>
                <w:lang w:val="sr-Cyrl-BA"/>
              </w:rPr>
              <w:t>е</w:t>
            </w:r>
            <w:r>
              <w:rPr>
                <w:rFonts w:ascii="Arial" w:hAnsi="Arial" w:cs="Arial"/>
                <w:b/>
                <w:color w:val="000000" w:themeColor="text1"/>
                <w:lang w:val="sr-Cyrl-BA"/>
              </w:rPr>
              <w:t>и</w:t>
            </w:r>
            <w:r w:rsidR="0071360A">
              <w:rPr>
                <w:rFonts w:ascii="Arial" w:hAnsi="Arial" w:cs="Arial"/>
                <w:b/>
                <w:color w:val="000000" w:themeColor="text1"/>
                <w:lang w:val="sr-Cyrl-BA"/>
              </w:rPr>
              <w:t>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ка</w:t>
            </w:r>
            <w:r w:rsidR="0071360A">
              <w:rPr>
                <w:rFonts w:ascii="Arial" w:hAnsi="Arial" w:cs="Arial"/>
                <w:b/>
                <w:color w:val="000000" w:themeColor="text1"/>
                <w:lang w:val="sr-Cyrl-BA"/>
              </w:rPr>
              <w:t>т</w:t>
            </w:r>
            <w:r>
              <w:rPr>
                <w:rFonts w:ascii="Arial" w:hAnsi="Arial" w:cs="Arial"/>
                <w:b/>
                <w:color w:val="000000" w:themeColor="text1"/>
                <w:lang w:val="sr-Cyrl-BA"/>
              </w:rPr>
              <w:t>алог</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стру</w:t>
            </w:r>
            <w:r>
              <w:rPr>
                <w:rFonts w:ascii="Arial" w:hAnsi="Arial" w:cs="Arial"/>
                <w:b/>
                <w:color w:val="000000" w:themeColor="text1"/>
                <w:lang w:val="sr-Cyrl-BA"/>
              </w:rPr>
              <w:t>чног</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ус</w:t>
            </w:r>
            <w:r>
              <w:rPr>
                <w:rFonts w:ascii="Arial" w:hAnsi="Arial" w:cs="Arial"/>
                <w:b/>
                <w:color w:val="000000" w:themeColor="text1"/>
                <w:lang w:val="sr-Cyrl-BA"/>
              </w:rPr>
              <w:t>а</w:t>
            </w:r>
            <w:r w:rsidR="0071360A">
              <w:rPr>
                <w:rFonts w:ascii="Arial" w:hAnsi="Arial" w:cs="Arial"/>
                <w:b/>
                <w:color w:val="000000" w:themeColor="text1"/>
                <w:lang w:val="sr-Cyrl-BA"/>
              </w:rPr>
              <w:t>врш</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ања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ника</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Pr>
                <w:rFonts w:ascii="Arial" w:hAnsi="Arial" w:cs="Arial"/>
                <w:b/>
                <w:color w:val="000000" w:themeColor="text1"/>
                <w:lang w:val="sr-Cyrl-BA"/>
              </w:rPr>
              <w:t>а</w:t>
            </w:r>
            <w:r w:rsidR="00D97AD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св</w:t>
            </w:r>
            <w:r w:rsidR="00EE6AA2">
              <w:rPr>
                <w:rFonts w:ascii="Arial" w:hAnsi="Arial" w:cs="Arial"/>
                <w:b/>
                <w:color w:val="000000" w:themeColor="text1"/>
                <w:lang w:val="sr-Cyrl-BA"/>
              </w:rPr>
              <w:t>е</w:t>
            </w:r>
            <w:r w:rsidR="00D97AD8" w:rsidRPr="00F6340E">
              <w:rPr>
                <w:rFonts w:ascii="Arial" w:hAnsi="Arial" w:cs="Arial"/>
                <w:b/>
                <w:color w:val="000000" w:themeColor="text1"/>
                <w:lang w:val="sr-Cyrl-BA"/>
              </w:rPr>
              <w:t xml:space="preserve"> </w:t>
            </w:r>
            <w:r>
              <w:rPr>
                <w:rFonts w:ascii="Arial" w:hAnsi="Arial" w:cs="Arial"/>
                <w:b/>
                <w:color w:val="000000" w:themeColor="text1"/>
                <w:lang w:val="sr-Cyrl-BA"/>
              </w:rPr>
              <w:t>ни</w:t>
            </w:r>
            <w:r w:rsidR="0071360A">
              <w:rPr>
                <w:rFonts w:ascii="Arial" w:hAnsi="Arial" w:cs="Arial"/>
                <w:b/>
                <w:color w:val="000000" w:themeColor="text1"/>
                <w:lang w:val="sr-Cyrl-BA"/>
              </w:rPr>
              <w:t>в</w:t>
            </w:r>
            <w:r>
              <w:rPr>
                <w:rFonts w:ascii="Arial" w:hAnsi="Arial" w:cs="Arial"/>
                <w:b/>
                <w:color w:val="000000" w:themeColor="text1"/>
                <w:lang w:val="sr-Cyrl-BA"/>
              </w:rPr>
              <w:t>о</w:t>
            </w:r>
            <w:r w:rsidR="00EE6AA2">
              <w:rPr>
                <w:rFonts w:ascii="Arial" w:hAnsi="Arial" w:cs="Arial"/>
                <w:b/>
                <w:color w:val="000000" w:themeColor="text1"/>
                <w:lang w:val="sr-Cyrl-BA"/>
              </w:rPr>
              <w:t>е</w:t>
            </w:r>
            <w:r w:rsidR="00D97AD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ања</w:t>
            </w:r>
            <w:r w:rsidR="00D97AD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D97AD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sidR="00E864CA"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w:t>
            </w:r>
            <w:r>
              <w:rPr>
                <w:rFonts w:ascii="Arial" w:hAnsi="Arial" w:cs="Arial"/>
                <w:b/>
                <w:color w:val="000000" w:themeColor="text1"/>
                <w:lang w:val="sr-Cyrl-BA"/>
              </w:rPr>
              <w:t>клад</w:t>
            </w:r>
            <w:r w:rsidR="0071360A">
              <w:rPr>
                <w:rFonts w:ascii="Arial"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Ок</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ом</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диги</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алних</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ком</w:t>
            </w:r>
            <w:r w:rsidR="0071360A">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нција</w:t>
            </w:r>
            <w:r w:rsidR="00D4145A"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ника</w:t>
            </w:r>
            <w:r w:rsidR="00D4145A"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НИЦ</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Ф</w:t>
            </w:r>
            <w:r w:rsidR="00CE3E8F" w:rsidRPr="00F6340E">
              <w:rPr>
                <w:rFonts w:ascii="Arial" w:eastAsiaTheme="minorHAnsi" w:hAnsi="Arial" w:cs="Arial"/>
                <w:b/>
                <w:color w:val="000000" w:themeColor="text1"/>
                <w:lang w:val="sr-Cyrl-BA"/>
              </w:rPr>
              <w:t xml:space="preserve"> </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ДЦ</w:t>
            </w:r>
            <w:r w:rsidR="00D4145A" w:rsidRPr="00F6340E">
              <w:rPr>
                <w:rFonts w:ascii="Arial" w:eastAsiaTheme="minorHAnsi" w:hAnsi="Arial" w:cs="Arial"/>
                <w:b/>
                <w:color w:val="000000" w:themeColor="text1"/>
                <w:lang w:val="sr-Cyrl-BA"/>
              </w:rPr>
              <w:t>, 2021)</w:t>
            </w:r>
            <w:r w:rsidR="00892898" w:rsidRPr="00F6340E">
              <w:rPr>
                <w:rFonts w:ascii="Arial" w:hAnsi="Arial" w:cs="Arial"/>
                <w:b/>
                <w:color w:val="000000" w:themeColor="text1"/>
                <w:lang w:val="sr-Cyrl-BA"/>
              </w:rPr>
              <w:t xml:space="preserve"> </w:t>
            </w:r>
          </w:p>
          <w:p w14:paraId="77572B88" w14:textId="04D67C73" w:rsidR="00D4145A" w:rsidRPr="00F6340E" w:rsidRDefault="00A56E08" w:rsidP="00FB5CB7">
            <w:pPr>
              <w:pStyle w:val="ListParagraph"/>
              <w:numPr>
                <w:ilvl w:val="0"/>
                <w:numId w:val="41"/>
              </w:numPr>
              <w:jc w:val="left"/>
              <w:rPr>
                <w:rFonts w:ascii="Arial" w:eastAsiaTheme="minorHAnsi" w:hAnsi="Arial" w:cs="Arial"/>
                <w:color w:val="000000" w:themeColor="text1"/>
                <w:lang w:val="sr-Cyrl-BA"/>
              </w:rPr>
            </w:pPr>
            <w:r>
              <w:rPr>
                <w:rFonts w:ascii="Arial" w:hAnsi="Arial" w:cs="Arial"/>
                <w:b/>
                <w:color w:val="000000" w:themeColor="text1"/>
                <w:lang w:val="sr-Cyrl-BA"/>
              </w:rPr>
              <w:t>К</w:t>
            </w:r>
            <w:r w:rsidR="0071360A">
              <w:rPr>
                <w:rFonts w:ascii="Arial" w:hAnsi="Arial" w:cs="Arial"/>
                <w:b/>
                <w:color w:val="000000" w:themeColor="text1"/>
                <w:lang w:val="sr-Cyrl-BA"/>
              </w:rPr>
              <w:t>р</w:t>
            </w:r>
            <w:r w:rsidR="00EE6AA2">
              <w:rPr>
                <w:rFonts w:ascii="Arial" w:hAnsi="Arial" w:cs="Arial"/>
                <w:b/>
                <w:color w:val="000000" w:themeColor="text1"/>
                <w:lang w:val="sr-Cyrl-BA"/>
              </w:rPr>
              <w:t>е</w:t>
            </w:r>
            <w:r>
              <w:rPr>
                <w:rFonts w:ascii="Arial" w:hAnsi="Arial" w:cs="Arial"/>
                <w:b/>
                <w:color w:val="000000" w:themeColor="text1"/>
                <w:lang w:val="sr-Cyrl-BA"/>
              </w:rPr>
              <w:t>и</w:t>
            </w:r>
            <w:r w:rsidR="0071360A">
              <w:rPr>
                <w:rFonts w:ascii="Arial" w:hAnsi="Arial" w:cs="Arial"/>
                <w:b/>
                <w:color w:val="000000" w:themeColor="text1"/>
                <w:lang w:val="sr-Cyrl-BA"/>
              </w:rPr>
              <w:t>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ог</w:t>
            </w:r>
            <w:r w:rsidR="0071360A">
              <w:rPr>
                <w:rFonts w:ascii="Arial" w:hAnsi="Arial" w:cs="Arial"/>
                <w:b/>
                <w:color w:val="000000" w:themeColor="text1"/>
                <w:lang w:val="sr-Cyrl-BA"/>
              </w:rPr>
              <w:t>р</w:t>
            </w:r>
            <w:r>
              <w:rPr>
                <w:rFonts w:ascii="Arial" w:hAnsi="Arial" w:cs="Arial"/>
                <w:b/>
                <w:color w:val="000000" w:themeColor="text1"/>
                <w:lang w:val="sr-Cyrl-BA"/>
              </w:rPr>
              <w:t>ам</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стру</w:t>
            </w:r>
            <w:r>
              <w:rPr>
                <w:rFonts w:ascii="Arial" w:hAnsi="Arial" w:cs="Arial"/>
                <w:b/>
                <w:color w:val="000000" w:themeColor="text1"/>
                <w:lang w:val="sr-Cyrl-BA"/>
              </w:rPr>
              <w:t>чног</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ус</w:t>
            </w:r>
            <w:r>
              <w:rPr>
                <w:rFonts w:ascii="Arial" w:hAnsi="Arial" w:cs="Arial"/>
                <w:b/>
                <w:color w:val="000000" w:themeColor="text1"/>
                <w:lang w:val="sr-Cyrl-BA"/>
              </w:rPr>
              <w:t>а</w:t>
            </w:r>
            <w:r w:rsidR="0071360A">
              <w:rPr>
                <w:rFonts w:ascii="Arial" w:hAnsi="Arial" w:cs="Arial"/>
                <w:b/>
                <w:color w:val="000000" w:themeColor="text1"/>
                <w:lang w:val="sr-Cyrl-BA"/>
              </w:rPr>
              <w:t>врш</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ања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одно</w:t>
            </w:r>
            <w:r w:rsidR="0071360A">
              <w:rPr>
                <w:rFonts w:ascii="Arial" w:hAnsi="Arial" w:cs="Arial"/>
                <w:b/>
                <w:color w:val="000000" w:themeColor="text1"/>
                <w:lang w:val="sr-Cyrl-BA"/>
              </w:rPr>
              <w:t>су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сп</w:t>
            </w:r>
            <w:r w:rsidR="00EE6AA2">
              <w:rPr>
                <w:rFonts w:ascii="Arial" w:hAnsi="Arial" w:cs="Arial"/>
                <w:b/>
                <w:color w:val="000000" w:themeColor="text1"/>
                <w:lang w:val="sr-Cyrl-BA"/>
              </w:rPr>
              <w:t>е</w:t>
            </w:r>
            <w:r>
              <w:rPr>
                <w:rFonts w:ascii="Arial" w:hAnsi="Arial" w:cs="Arial"/>
                <w:b/>
                <w:color w:val="000000" w:themeColor="text1"/>
                <w:lang w:val="sr-Cyrl-BA"/>
              </w:rPr>
              <w:t>цифичн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оф</w:t>
            </w:r>
            <w:r w:rsidR="00EE6AA2">
              <w:rPr>
                <w:rFonts w:ascii="Arial" w:hAnsi="Arial" w:cs="Arial"/>
                <w:b/>
                <w:color w:val="000000" w:themeColor="text1"/>
                <w:lang w:val="sr-Cyrl-BA"/>
              </w:rPr>
              <w:t>е</w:t>
            </w:r>
            <w:r w:rsidR="0071360A">
              <w:rPr>
                <w:rFonts w:ascii="Arial" w:hAnsi="Arial" w:cs="Arial"/>
                <w:b/>
                <w:color w:val="000000" w:themeColor="text1"/>
                <w:lang w:val="sr-Cyrl-BA"/>
              </w:rPr>
              <w:t>с</w:t>
            </w:r>
            <w:r>
              <w:rPr>
                <w:rFonts w:ascii="Arial" w:hAnsi="Arial" w:cs="Arial"/>
                <w:b/>
                <w:color w:val="000000" w:themeColor="text1"/>
                <w:lang w:val="sr-Cyrl-BA"/>
              </w:rPr>
              <w:t>ионално</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sidR="0071360A">
              <w:rPr>
                <w:rFonts w:ascii="Arial" w:hAnsi="Arial" w:cs="Arial"/>
                <w:b/>
                <w:color w:val="000000" w:themeColor="text1"/>
                <w:lang w:val="sr-Cyrl-BA"/>
              </w:rPr>
              <w:t>в</w:t>
            </w:r>
            <w:r>
              <w:rPr>
                <w:rFonts w:ascii="Arial" w:hAnsi="Arial" w:cs="Arial"/>
                <w:b/>
                <w:color w:val="000000" w:themeColor="text1"/>
                <w:lang w:val="sr-Cyrl-BA"/>
              </w:rPr>
              <w:t>ојн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w:t>
            </w:r>
            <w:r w:rsidR="0071360A">
              <w:rPr>
                <w:rFonts w:ascii="Arial" w:hAnsi="Arial" w:cs="Arial"/>
                <w:b/>
                <w:color w:val="000000" w:themeColor="text1"/>
                <w:lang w:val="sr-Cyrl-BA"/>
              </w:rPr>
              <w:t>тр</w:t>
            </w:r>
            <w:r w:rsidR="00EE6AA2">
              <w:rPr>
                <w:rFonts w:ascii="Arial" w:hAnsi="Arial" w:cs="Arial"/>
                <w:b/>
                <w:color w:val="000000" w:themeColor="text1"/>
                <w:lang w:val="sr-Cyrl-BA"/>
              </w:rPr>
              <w:t>е</w:t>
            </w:r>
            <w:r>
              <w:rPr>
                <w:rFonts w:ascii="Arial" w:hAnsi="Arial" w:cs="Arial"/>
                <w:b/>
                <w:color w:val="000000" w:themeColor="text1"/>
                <w:lang w:val="sr-Cyrl-BA"/>
              </w:rPr>
              <w:t>б</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ни</w:t>
            </w:r>
            <w:r w:rsidR="0071360A">
              <w:rPr>
                <w:rFonts w:ascii="Arial" w:hAnsi="Arial" w:cs="Arial"/>
                <w:b/>
                <w:color w:val="000000" w:themeColor="text1"/>
                <w:lang w:val="sr-Cyrl-BA"/>
              </w:rPr>
              <w:t>в</w:t>
            </w:r>
            <w:r>
              <w:rPr>
                <w:rFonts w:ascii="Arial" w:hAnsi="Arial" w:cs="Arial"/>
                <w:b/>
                <w:color w:val="000000" w:themeColor="text1"/>
                <w:lang w:val="sr-Cyrl-BA"/>
              </w:rPr>
              <w:t>о</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ин</w:t>
            </w:r>
            <w:r w:rsidR="0071360A">
              <w:rPr>
                <w:rFonts w:ascii="Arial" w:hAnsi="Arial" w:cs="Arial"/>
                <w:b/>
                <w:color w:val="000000" w:themeColor="text1"/>
                <w:lang w:val="sr-Cyrl-BA"/>
              </w:rPr>
              <w:t>ст</w:t>
            </w:r>
            <w:r>
              <w:rPr>
                <w:rFonts w:ascii="Arial" w:hAnsi="Arial" w:cs="Arial"/>
                <w:b/>
                <w:color w:val="000000" w:themeColor="text1"/>
                <w:lang w:val="sr-Cyrl-BA"/>
              </w:rPr>
              <w:t>и</w:t>
            </w:r>
            <w:r w:rsidR="0071360A">
              <w:rPr>
                <w:rFonts w:ascii="Arial" w:hAnsi="Arial" w:cs="Arial"/>
                <w:b/>
                <w:color w:val="000000" w:themeColor="text1"/>
                <w:lang w:val="sr-Cyrl-BA"/>
              </w:rPr>
              <w:t>ту</w:t>
            </w:r>
            <w:r>
              <w:rPr>
                <w:rFonts w:ascii="Arial" w:hAnsi="Arial" w:cs="Arial"/>
                <w:b/>
                <w:color w:val="000000" w:themeColor="text1"/>
                <w:lang w:val="sr-Cyrl-BA"/>
              </w:rPr>
              <w:t>циј</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админи</w:t>
            </w:r>
            <w:r w:rsidR="0071360A">
              <w:rPr>
                <w:rFonts w:ascii="Arial" w:hAnsi="Arial" w:cs="Arial"/>
                <w:b/>
                <w:color w:val="000000" w:themeColor="text1"/>
                <w:lang w:val="sr-Cyrl-BA"/>
              </w:rPr>
              <w:t>стр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71360A">
              <w:rPr>
                <w:rFonts w:ascii="Arial" w:hAnsi="Arial" w:cs="Arial"/>
                <w:b/>
                <w:color w:val="000000" w:themeColor="text1"/>
                <w:lang w:val="sr-Cyrl-BA"/>
              </w:rPr>
              <w:t>в</w:t>
            </w:r>
            <w:r>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ј</w:t>
            </w:r>
            <w:r w:rsidR="00EE6AA2">
              <w:rPr>
                <w:rFonts w:ascii="Arial" w:hAnsi="Arial" w:cs="Arial"/>
                <w:b/>
                <w:color w:val="000000" w:themeColor="text1"/>
                <w:lang w:val="sr-Cyrl-BA"/>
              </w:rPr>
              <w:t>е</w:t>
            </w:r>
            <w:r>
              <w:rPr>
                <w:rFonts w:ascii="Arial" w:hAnsi="Arial" w:cs="Arial"/>
                <w:b/>
                <w:color w:val="000000" w:themeColor="text1"/>
                <w:lang w:val="sr-Cyrl-BA"/>
              </w:rPr>
              <w:t>диниц</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w:t>
            </w:r>
            <w:r>
              <w:rPr>
                <w:rFonts w:ascii="Arial" w:hAnsi="Arial" w:cs="Arial"/>
                <w:b/>
                <w:color w:val="000000" w:themeColor="text1"/>
                <w:lang w:val="sr-Cyrl-BA"/>
              </w:rPr>
              <w:t>или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ни</w:t>
            </w:r>
            <w:r w:rsidR="0071360A">
              <w:rPr>
                <w:rFonts w:ascii="Arial" w:hAnsi="Arial" w:cs="Arial"/>
                <w:b/>
                <w:color w:val="000000" w:themeColor="text1"/>
                <w:lang w:val="sr-Cyrl-BA"/>
              </w:rPr>
              <w:t>в</w:t>
            </w:r>
            <w:r>
              <w:rPr>
                <w:rFonts w:ascii="Arial" w:hAnsi="Arial" w:cs="Arial"/>
                <w:b/>
                <w:color w:val="000000" w:themeColor="text1"/>
                <w:lang w:val="sr-Cyrl-BA"/>
              </w:rPr>
              <w:t>о</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ања</w:t>
            </w:r>
            <w:r w:rsidR="00892898" w:rsidRPr="00F6340E">
              <w:rPr>
                <w:rFonts w:ascii="Arial" w:hAnsi="Arial" w:cs="Arial"/>
                <w:b/>
                <w:color w:val="000000" w:themeColor="text1"/>
                <w:lang w:val="sr-Cyrl-BA"/>
              </w:rPr>
              <w:t xml:space="preserve">) </w:t>
            </w:r>
            <w:r w:rsidR="0071360A">
              <w:rPr>
                <w:rFonts w:ascii="Arial" w:eastAsiaTheme="minorHAnsi" w:hAnsi="Arial" w:cs="Arial"/>
                <w:b/>
                <w:color w:val="000000" w:themeColor="text1"/>
                <w:lang w:val="sr-Cyrl-BA"/>
              </w:rPr>
              <w:t>шт</w:t>
            </w:r>
            <w:r>
              <w:rPr>
                <w:rFonts w:ascii="Arial" w:eastAsiaTheme="minorHAnsi" w:hAnsi="Arial" w:cs="Arial"/>
                <w:b/>
                <w:color w:val="000000" w:themeColor="text1"/>
                <w:lang w:val="sr-Cyrl-BA"/>
              </w:rPr>
              <w:t>о</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тп</w:t>
            </w: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ља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кон</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ин</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ално</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аћ</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вр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дно</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p>
          <w:p w14:paraId="0F767017" w14:textId="37793D3A" w:rsidR="00BE0483" w:rsidRPr="00F6340E" w:rsidRDefault="0071360A" w:rsidP="00FB5CB7">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ог</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ам</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стру</w:t>
            </w:r>
            <w:r w:rsidR="00A56E08">
              <w:rPr>
                <w:rFonts w:ascii="Arial" w:eastAsiaTheme="minorHAnsi" w:hAnsi="Arial" w:cs="Arial"/>
                <w:color w:val="000000" w:themeColor="text1"/>
                <w:lang w:val="sr-Cyrl-BA"/>
              </w:rPr>
              <w:t>чног</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врш</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D4145A"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w:t>
            </w:r>
            <w:r w:rsidR="00D4145A"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ком</w:t>
            </w:r>
            <w:r>
              <w:rPr>
                <w:rFonts w:ascii="Arial" w:eastAsiaTheme="minorHAnsi" w:hAnsi="Arial" w:cs="Arial"/>
                <w:color w:val="000000" w:themeColor="text1"/>
                <w:lang w:val="sr-Cyrl-BA"/>
              </w:rPr>
              <w:t>п</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нција</w:t>
            </w:r>
            <w:r w:rsidR="00D4145A"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фини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аних</w:t>
            </w:r>
            <w:r w:rsidR="00D4145A"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Ок</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ом</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ба</w:t>
            </w:r>
            <w:r w:rsidR="00D4145A"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да</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D4145A"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сп</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цифичн</w:t>
            </w:r>
            <w:r w:rsidR="00EE6AA2">
              <w:rPr>
                <w:rFonts w:ascii="Arial" w:eastAsiaTheme="minorHAnsi" w:hAnsi="Arial" w:cs="Arial"/>
                <w:color w:val="000000" w:themeColor="text1"/>
                <w:lang w:val="sr-Cyrl-BA"/>
              </w:rPr>
              <w:t>е</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w:t>
            </w:r>
            <w:r w:rsidR="00EE6AA2">
              <w:rPr>
                <w:rFonts w:ascii="Arial" w:eastAsiaTheme="minorHAnsi" w:hAnsi="Arial" w:cs="Arial"/>
                <w:color w:val="000000" w:themeColor="text1"/>
                <w:lang w:val="sr-Cyrl-BA"/>
              </w:rPr>
              <w:t>е</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о</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ља</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ид</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ификациј</w:t>
            </w:r>
            <w:r>
              <w:rPr>
                <w:rFonts w:ascii="Arial" w:eastAsiaTheme="minorHAnsi" w:hAnsi="Arial" w:cs="Arial"/>
                <w:color w:val="000000" w:themeColor="text1"/>
                <w:lang w:val="sr-Cyrl-BA"/>
              </w:rPr>
              <w:t>у</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оф</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ионалних</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ојних</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ба</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кон</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ално</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аћ</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њ</w:t>
            </w:r>
            <w:r w:rsidR="00EE6AA2">
              <w:rPr>
                <w:rFonts w:ascii="Arial" w:eastAsiaTheme="minorHAnsi" w:hAnsi="Arial" w:cs="Arial"/>
                <w:color w:val="000000" w:themeColor="text1"/>
                <w:lang w:val="sr-Cyrl-BA"/>
              </w:rPr>
              <w:t>е</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оф</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ионалног</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оја</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FF1F18" w:rsidRPr="00F6340E">
              <w:rPr>
                <w:rStyle w:val="FootnoteReference"/>
                <w:rFonts w:ascii="Arial" w:eastAsiaTheme="minorHAnsi" w:hAnsi="Arial" w:cs="Arial"/>
                <w:color w:val="000000" w:themeColor="text1"/>
                <w:lang w:val="sr-Cyrl-BA"/>
              </w:rPr>
              <w:footnoteReference w:id="27"/>
            </w:r>
            <w:r w:rsidR="00B04FA8">
              <w:rPr>
                <w:rFonts w:ascii="Arial" w:eastAsiaTheme="minorHAnsi" w:hAnsi="Arial" w:cs="Arial"/>
                <w:color w:val="000000" w:themeColor="text1"/>
                <w:lang w:val="sr-Cyrl-BA"/>
              </w:rPr>
              <w:t xml:space="preserve"> </w:t>
            </w:r>
            <w:r w:rsidR="001F2F40">
              <w:rPr>
                <w:rFonts w:ascii="Arial" w:eastAsiaTheme="minorHAnsi" w:hAnsi="Arial" w:cs="Arial"/>
                <w:color w:val="000000" w:themeColor="text1"/>
                <w:lang w:val="sr-Cyrl-BA"/>
              </w:rPr>
              <w:t>с обзиром</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да</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w:t>
            </w:r>
            <w:r w:rsidR="004C2124"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агла</w:t>
            </w:r>
            <w:r>
              <w:rPr>
                <w:rFonts w:ascii="Arial" w:eastAsiaTheme="minorHAnsi" w:hAnsi="Arial" w:cs="Arial"/>
                <w:color w:val="000000" w:themeColor="text1"/>
                <w:lang w:val="sr-Cyrl-BA"/>
              </w:rPr>
              <w:t>ш</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но</w:t>
            </w:r>
            <w:r>
              <w:rPr>
                <w:rFonts w:ascii="Arial" w:eastAsiaTheme="minorHAnsi" w:hAnsi="Arial" w:cs="Arial"/>
                <w:color w:val="000000" w:themeColor="text1"/>
                <w:lang w:val="sr-Cyrl-BA"/>
              </w:rPr>
              <w:t>ст</w:t>
            </w:r>
            <w:r w:rsidR="004C2124"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ђ</w:t>
            </w:r>
            <w:r>
              <w:rPr>
                <w:rFonts w:ascii="Arial" w:eastAsiaTheme="minorHAnsi" w:hAnsi="Arial" w:cs="Arial"/>
                <w:color w:val="000000" w:themeColor="text1"/>
                <w:lang w:val="sr-Cyrl-BA"/>
              </w:rPr>
              <w:t>у</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ад</w:t>
            </w:r>
            <w:r>
              <w:rPr>
                <w:rFonts w:ascii="Arial" w:eastAsiaTheme="minorHAnsi" w:hAnsi="Arial" w:cs="Arial"/>
                <w:color w:val="000000" w:themeColor="text1"/>
                <w:lang w:val="sr-Cyrl-BA"/>
              </w:rPr>
              <w:t>р</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аја</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ог</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ама</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стру</w:t>
            </w:r>
            <w:r w:rsidR="00A56E08">
              <w:rPr>
                <w:rFonts w:ascii="Arial" w:eastAsiaTheme="minorHAnsi" w:hAnsi="Arial" w:cs="Arial"/>
                <w:color w:val="000000" w:themeColor="text1"/>
                <w:lang w:val="sr-Cyrl-BA"/>
              </w:rPr>
              <w:t>чног</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врш</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FF1F1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ба</w:t>
            </w:r>
            <w:r w:rsidR="00FF1F1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ак</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одно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но</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BE0483" w:rsidRPr="00F6340E">
              <w:rPr>
                <w:rStyle w:val="FootnoteReference"/>
                <w:rFonts w:ascii="Arial" w:eastAsiaTheme="minorHAnsi" w:hAnsi="Arial" w:cs="Arial"/>
                <w:color w:val="000000" w:themeColor="text1"/>
                <w:lang w:val="sr-Cyrl-BA"/>
              </w:rPr>
              <w:footnoteReference w:id="28"/>
            </w:r>
            <w:r w:rsidR="00FF1F18" w:rsidRPr="00F6340E">
              <w:rPr>
                <w:rFonts w:ascii="Arial" w:eastAsiaTheme="minorHAnsi" w:hAnsi="Arial" w:cs="Arial"/>
                <w:color w:val="000000" w:themeColor="text1"/>
                <w:lang w:val="sr-Cyrl-BA"/>
              </w:rPr>
              <w:t>.</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ом</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ми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w:t>
            </w:r>
            <w:r>
              <w:rPr>
                <w:rFonts w:ascii="Arial" w:eastAsiaTheme="minorHAnsi" w:hAnsi="Arial" w:cs="Arial"/>
                <w:color w:val="000000" w:themeColor="text1"/>
                <w:lang w:val="sr-Cyrl-BA"/>
              </w:rPr>
              <w:t>у</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ог</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ами</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стру</w:t>
            </w:r>
            <w:r w:rsidR="00A56E08">
              <w:rPr>
                <w:rFonts w:ascii="Arial" w:eastAsiaTheme="minorHAnsi" w:hAnsi="Arial" w:cs="Arial"/>
                <w:color w:val="000000" w:themeColor="text1"/>
                <w:lang w:val="sr-Cyrl-BA"/>
              </w:rPr>
              <w:t>чног</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врш</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ника</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мог</w:t>
            </w:r>
            <w:r>
              <w:rPr>
                <w:rFonts w:ascii="Arial" w:eastAsiaTheme="minorHAnsi" w:hAnsi="Arial" w:cs="Arial"/>
                <w:color w:val="000000" w:themeColor="text1"/>
                <w:lang w:val="sr-Cyrl-BA"/>
              </w:rPr>
              <w:t>у</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ија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у</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циј</w:t>
            </w:r>
            <w:r w:rsidR="00EE6AA2">
              <w:rPr>
                <w:rFonts w:ascii="Arial" w:eastAsiaTheme="minorHAnsi" w:hAnsi="Arial" w:cs="Arial"/>
                <w:color w:val="000000" w:themeColor="text1"/>
                <w:lang w:val="sr-Cyrl-BA"/>
              </w:rPr>
              <w:t>е</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или</w:t>
            </w:r>
            <w:r w:rsidR="00B04FA8">
              <w:rPr>
                <w:rFonts w:ascii="Arial" w:eastAsiaTheme="minorHAnsi" w:hAnsi="Arial" w:cs="Arial"/>
                <w:color w:val="000000" w:themeColor="text1"/>
                <w:lang w:val="sr-Cyrl-BA"/>
              </w:rPr>
              <w:t xml:space="preserve"> </w:t>
            </w:r>
            <w:r w:rsidR="001F2F40">
              <w:rPr>
                <w:rFonts w:ascii="Arial" w:eastAsiaTheme="minorHAnsi" w:hAnsi="Arial" w:cs="Arial"/>
                <w:color w:val="000000" w:themeColor="text1"/>
                <w:lang w:val="sr-Cyrl-BA"/>
              </w:rPr>
              <w:t>с обзиром</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дињ</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ј</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ћи</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ник</w:t>
            </w:r>
            <w:r w:rsidR="00EE6AA2">
              <w:rPr>
                <w:rFonts w:ascii="Arial" w:eastAsiaTheme="minorHAnsi" w:hAnsi="Arial" w:cs="Arial"/>
                <w:color w:val="000000" w:themeColor="text1"/>
                <w:lang w:val="sr-Cyrl-BA"/>
              </w:rPr>
              <w:t>е</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личним</w:t>
            </w:r>
            <w:r w:rsidR="00BE0483"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им</w:t>
            </w:r>
            <w:r w:rsidR="00BE0483"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ним</w:t>
            </w:r>
            <w:r w:rsidR="00BE0483"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бама</w:t>
            </w:r>
            <w:r w:rsidR="00BE0483" w:rsidRPr="00F6340E">
              <w:rPr>
                <w:rFonts w:ascii="Arial" w:eastAsiaTheme="minorHAnsi" w:hAnsi="Arial" w:cs="Arial"/>
                <w:color w:val="000000" w:themeColor="text1"/>
                <w:lang w:val="sr-Cyrl-BA"/>
              </w:rPr>
              <w:t xml:space="preserve">. </w:t>
            </w:r>
          </w:p>
          <w:p w14:paraId="40262ABB" w14:textId="190262D6" w:rsidR="00892898" w:rsidRPr="00F6340E" w:rsidRDefault="00A56E08" w:rsidP="00FB5CB7">
            <w:pPr>
              <w:pStyle w:val="ListParagraph"/>
              <w:numPr>
                <w:ilvl w:val="0"/>
                <w:numId w:val="41"/>
              </w:numPr>
              <w:jc w:val="left"/>
              <w:rPr>
                <w:rFonts w:ascii="Arial" w:eastAsia="Times New Roman" w:hAnsi="Arial" w:cs="Arial"/>
                <w:lang w:val="sr-Cyrl-BA"/>
              </w:rPr>
            </w:pPr>
            <w:r>
              <w:rPr>
                <w:rFonts w:ascii="Arial" w:eastAsiaTheme="minorHAnsi" w:hAnsi="Arial" w:cs="Arial"/>
                <w:b/>
                <w:color w:val="000000" w:themeColor="text1"/>
                <w:lang w:val="sr-Cyrl-BA"/>
              </w:rPr>
              <w:t>К</w:t>
            </w:r>
            <w:r w:rsidR="0071360A">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ин</w:t>
            </w:r>
            <w:r w:rsidR="0071360A">
              <w:rPr>
                <w:rFonts w:ascii="Arial" w:eastAsiaTheme="minorHAnsi" w:hAnsi="Arial" w:cs="Arial"/>
                <w:b/>
                <w:color w:val="000000" w:themeColor="text1"/>
                <w:lang w:val="sr-Cyrl-BA"/>
              </w:rPr>
              <w:t>стру</w:t>
            </w:r>
            <w:r>
              <w:rPr>
                <w:rFonts w:ascii="Arial" w:eastAsiaTheme="minorHAnsi" w:hAnsi="Arial" w:cs="Arial"/>
                <w:b/>
                <w:color w:val="000000" w:themeColor="text1"/>
                <w:lang w:val="sr-Cyrl-BA"/>
              </w:rPr>
              <w:t>м</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амо</w:t>
            </w:r>
            <w:r w:rsidR="0071360A">
              <w:rPr>
                <w:rFonts w:ascii="Arial" w:eastAsiaTheme="minorHAnsi" w:hAnsi="Arial" w:cs="Arial"/>
                <w:b/>
                <w:color w:val="000000" w:themeColor="text1"/>
                <w:lang w:val="sr-Cyrl-BA"/>
              </w:rPr>
              <w:t>вр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дно</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али</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ада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ника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одно</w:t>
            </w:r>
            <w:r w:rsidR="0071360A">
              <w:rPr>
                <w:rFonts w:ascii="Arial" w:eastAsiaTheme="minorHAnsi" w:hAnsi="Arial" w:cs="Arial"/>
                <w:b/>
                <w:color w:val="000000" w:themeColor="text1"/>
                <w:lang w:val="sr-Cyrl-BA"/>
              </w:rPr>
              <w:t>су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Ок</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р</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диги</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алних</w:t>
            </w:r>
            <w:r w:rsidR="008873FD"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ком</w:t>
            </w:r>
            <w:r w:rsidR="0071360A">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нција</w:t>
            </w:r>
            <w:r w:rsidR="008873FD"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ох</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аб</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ник</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го</w:t>
            </w:r>
            <w:r w:rsidR="0071360A">
              <w:rPr>
                <w:rFonts w:ascii="Arial" w:eastAsiaTheme="minorHAnsi" w:hAnsi="Arial" w:cs="Arial"/>
                <w:b/>
                <w:color w:val="000000" w:themeColor="text1"/>
                <w:lang w:val="sr-Cyrl-BA"/>
              </w:rPr>
              <w:t>ву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71360A">
              <w:rPr>
                <w:rFonts w:ascii="Arial" w:eastAsiaTheme="minorHAnsi" w:hAnsi="Arial" w:cs="Arial"/>
                <w:b/>
                <w:color w:val="000000" w:themeColor="text1"/>
                <w:lang w:val="sr-Cyrl-BA"/>
              </w:rPr>
              <w:t>у</w:t>
            </w:r>
          </w:p>
          <w:p w14:paraId="67C0C102" w14:textId="7AC8051F" w:rsidR="00892898" w:rsidRPr="00F6340E" w:rsidRDefault="0071360A" w:rsidP="00FB5CB7">
            <w:pPr>
              <w:pStyle w:val="ListParagraph"/>
              <w:numPr>
                <w:ilvl w:val="0"/>
                <w:numId w:val="41"/>
              </w:numPr>
              <w:jc w:val="left"/>
              <w:rPr>
                <w:rFonts w:ascii="Arial" w:eastAsia="Times New Roman" w:hAnsi="Arial" w:cs="Arial"/>
                <w:b/>
                <w:color w:val="000000" w:themeColor="text1"/>
                <w:lang w:val="sr-Cyrl-BA"/>
              </w:rPr>
            </w:pP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ћа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б</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џ</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тс</w:t>
            </w:r>
            <w:r w:rsidR="00A56E08">
              <w:rPr>
                <w:rFonts w:ascii="Arial" w:eastAsiaTheme="minorHAnsi" w:hAnsi="Arial" w:cs="Arial"/>
                <w:b/>
                <w:color w:val="000000" w:themeColor="text1"/>
                <w:lang w:val="sr-Cyrl-BA"/>
              </w:rPr>
              <w:t>ка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д</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ајања</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личи</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облик</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стру</w:t>
            </w:r>
            <w:r w:rsidR="00A56E08">
              <w:rPr>
                <w:rFonts w:ascii="Arial" w:eastAsiaTheme="minorHAnsi" w:hAnsi="Arial" w:cs="Arial"/>
                <w:b/>
                <w:color w:val="000000" w:themeColor="text1"/>
                <w:lang w:val="sr-Cyrl-BA"/>
              </w:rPr>
              <w:t>чног</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ус</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врш</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ника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од</w:t>
            </w:r>
            <w:r>
              <w:rPr>
                <w:rFonts w:ascii="Arial" w:eastAsiaTheme="minorHAnsi" w:hAnsi="Arial" w:cs="Arial"/>
                <w:b/>
                <w:color w:val="000000" w:themeColor="text1"/>
                <w:lang w:val="sr-Cyrl-BA"/>
              </w:rPr>
              <w:t>ру</w:t>
            </w:r>
            <w:r w:rsidR="00A56E08">
              <w:rPr>
                <w:rFonts w:ascii="Arial" w:eastAsiaTheme="minorHAnsi" w:hAnsi="Arial" w:cs="Arial"/>
                <w:b/>
                <w:color w:val="000000" w:themeColor="text1"/>
                <w:lang w:val="sr-Cyrl-BA"/>
              </w:rPr>
              <w:t>чј</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диги</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али</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ациј</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ног</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пр</w:t>
            </w:r>
            <w:r w:rsidR="00A56E08">
              <w:rPr>
                <w:rFonts w:ascii="Arial" w:eastAsiaTheme="minorHAnsi" w:hAnsi="Arial" w:cs="Arial"/>
                <w:b/>
                <w:color w:val="000000" w:themeColor="text1"/>
                <w:lang w:val="sr-Cyrl-BA"/>
              </w:rPr>
              <w:t>оц</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мина</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w:t>
            </w:r>
            <w:r>
              <w:rPr>
                <w:rFonts w:ascii="Arial" w:eastAsiaTheme="minorHAnsi" w:hAnsi="Arial" w:cs="Arial"/>
                <w:b/>
                <w:color w:val="000000" w:themeColor="text1"/>
                <w:lang w:val="sr-Cyrl-BA"/>
              </w:rPr>
              <w:t>урс</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ана</w:t>
            </w:r>
            <w:r>
              <w:rPr>
                <w:rFonts w:ascii="Arial" w:eastAsiaTheme="minorHAnsi" w:hAnsi="Arial" w:cs="Arial"/>
                <w:b/>
                <w:color w:val="000000" w:themeColor="text1"/>
                <w:lang w:val="sr-Cyrl-BA"/>
              </w:rPr>
              <w:t>тс</w:t>
            </w:r>
            <w:r w:rsidR="00A56E08">
              <w:rPr>
                <w:rFonts w:ascii="Arial" w:eastAsiaTheme="minorHAnsi" w:hAnsi="Arial" w:cs="Arial"/>
                <w:b/>
                <w:color w:val="000000" w:themeColor="text1"/>
                <w:lang w:val="sr-Cyrl-BA"/>
              </w:rPr>
              <w:t>к</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мј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обја</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љи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адо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w:t>
            </w:r>
            <w:r>
              <w:rPr>
                <w:rFonts w:ascii="Arial" w:eastAsiaTheme="minorHAnsi" w:hAnsi="Arial" w:cs="Arial"/>
                <w:b/>
                <w:color w:val="000000" w:themeColor="text1"/>
                <w:lang w:val="sr-Cyrl-BA"/>
              </w:rPr>
              <w:t>р</w:t>
            </w:r>
            <w:r w:rsidR="00892898" w:rsidRPr="00F6340E">
              <w:rPr>
                <w:rFonts w:ascii="Arial" w:eastAsiaTheme="minorHAnsi" w:hAnsi="Arial" w:cs="Arial"/>
                <w:b/>
                <w:color w:val="000000" w:themeColor="text1"/>
                <w:lang w:val="sr-Cyrl-BA"/>
              </w:rPr>
              <w:t>.)</w:t>
            </w:r>
          </w:p>
          <w:p w14:paraId="68B965CE" w14:textId="51450F1C" w:rsidR="00892898" w:rsidRPr="00F6340E" w:rsidRDefault="00A56E08" w:rsidP="00FB5CB7">
            <w:pPr>
              <w:pStyle w:val="ListParagraph"/>
              <w:numPr>
                <w:ilvl w:val="0"/>
                <w:numId w:val="41"/>
              </w:numPr>
              <w:jc w:val="left"/>
              <w:rPr>
                <w:rFonts w:ascii="Arial" w:eastAsia="Times New Roman" w:hAnsi="Arial" w:cs="Arial"/>
                <w:b/>
                <w:color w:val="000000" w:themeColor="text1"/>
                <w:lang w:val="sr-Cyrl-BA"/>
              </w:rPr>
            </w:pPr>
            <w:r>
              <w:rPr>
                <w:rFonts w:ascii="Arial" w:eastAsia="Times New Roman" w:hAnsi="Arial" w:cs="Arial"/>
                <w:b/>
                <w:color w:val="000000" w:themeColor="text1"/>
                <w:lang w:val="sr-Cyrl-BA"/>
              </w:rPr>
              <w:t>Дода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н</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об</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к</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ника</w:t>
            </w:r>
            <w:r w:rsidR="00892898" w:rsidRPr="00F6340E">
              <w:rPr>
                <w:rFonts w:ascii="Arial" w:eastAsia="Times New Roman" w:hAnsi="Arial" w:cs="Arial"/>
                <w:b/>
                <w:color w:val="000000" w:themeColor="text1"/>
                <w:lang w:val="sr-Cyrl-BA"/>
              </w:rPr>
              <w:t xml:space="preserve"> </w:t>
            </w:r>
            <w:r w:rsidR="00171F00">
              <w:rPr>
                <w:rFonts w:ascii="Arial" w:eastAsia="Times New Roman" w:hAnsi="Arial" w:cs="Arial"/>
                <w:b/>
                <w:color w:val="000000" w:themeColor="text1"/>
                <w:lang w:val="sr-Cyrl-BA"/>
              </w:rPr>
              <w:t>з</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имј</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н</w:t>
            </w:r>
            <w:r w:rsidR="0071360A">
              <w:rPr>
                <w:rFonts w:ascii="Arial" w:eastAsia="Times New Roman" w:hAnsi="Arial" w:cs="Arial"/>
                <w:b/>
                <w:color w:val="000000" w:themeColor="text1"/>
                <w:lang w:val="sr-Cyrl-BA"/>
              </w:rPr>
              <w:t>у</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диги</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алних</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ала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оц</w:t>
            </w:r>
            <w:r w:rsidR="00EE6AA2">
              <w:rPr>
                <w:rFonts w:ascii="Arial" w:eastAsia="Times New Roman" w:hAnsi="Arial" w:cs="Arial"/>
                <w:b/>
                <w:color w:val="000000" w:themeColor="text1"/>
                <w:lang w:val="sr-Cyrl-BA"/>
              </w:rPr>
              <w:t>е</w:t>
            </w:r>
            <w:r w:rsidR="0071360A">
              <w:rPr>
                <w:rFonts w:ascii="Arial" w:eastAsia="Times New Roman" w:hAnsi="Arial" w:cs="Arial"/>
                <w:b/>
                <w:color w:val="000000" w:themeColor="text1"/>
                <w:lang w:val="sr-Cyrl-BA"/>
              </w:rPr>
              <w:t>су</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аћ</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ња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вр</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дно</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ања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w:t>
            </w: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игн</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ћа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ч</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ника</w:t>
            </w:r>
            <w:r w:rsidR="00892898" w:rsidRPr="00F6340E">
              <w:rPr>
                <w:rFonts w:ascii="Arial" w:eastAsia="Times New Roman" w:hAnsi="Arial" w:cs="Arial"/>
                <w:b/>
                <w:color w:val="000000" w:themeColor="text1"/>
                <w:lang w:val="sr-Cyrl-BA"/>
              </w:rPr>
              <w:t>/</w:t>
            </w:r>
            <w:r w:rsidR="0071360A">
              <w:rPr>
                <w:rFonts w:ascii="Arial" w:eastAsia="Times New Roman" w:hAnsi="Arial" w:cs="Arial"/>
                <w:b/>
                <w:color w:val="000000" w:themeColor="text1"/>
                <w:lang w:val="sr-Cyrl-BA"/>
              </w:rPr>
              <w:t>сту</w:t>
            </w:r>
            <w:r>
              <w:rPr>
                <w:rFonts w:ascii="Arial" w:eastAsia="Times New Roman" w:hAnsi="Arial" w:cs="Arial"/>
                <w:b/>
                <w:color w:val="000000" w:themeColor="text1"/>
                <w:lang w:val="sr-Cyrl-BA"/>
              </w:rPr>
              <w:t>д</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w:t>
            </w:r>
            <w:r w:rsidR="0071360A">
              <w:rPr>
                <w:rFonts w:ascii="Arial" w:eastAsia="Times New Roman" w:hAnsi="Arial" w:cs="Arial"/>
                <w:b/>
                <w:color w:val="000000" w:themeColor="text1"/>
                <w:lang w:val="sr-Cyrl-BA"/>
              </w:rPr>
              <w:t>пр</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171F00">
              <w:rPr>
                <w:rFonts w:ascii="Arial" w:eastAsia="Times New Roman" w:hAnsi="Arial" w:cs="Arial"/>
                <w:b/>
                <w:color w:val="000000" w:themeColor="text1"/>
                <w:lang w:val="sr-Cyrl-BA"/>
              </w:rPr>
              <w:t>з</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ада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ру</w:t>
            </w:r>
            <w:r>
              <w:rPr>
                <w:rFonts w:ascii="Arial" w:eastAsia="Times New Roman" w:hAnsi="Arial" w:cs="Arial"/>
                <w:b/>
                <w:color w:val="000000" w:themeColor="text1"/>
                <w:lang w:val="sr-Cyrl-BA"/>
              </w:rPr>
              <w:t>б</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ика</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конк</w:t>
            </w:r>
            <w:r w:rsidR="0071360A">
              <w:rPr>
                <w:rFonts w:ascii="Arial" w:eastAsia="Times New Roman" w:hAnsi="Arial" w:cs="Arial"/>
                <w:b/>
                <w:color w:val="000000" w:themeColor="text1"/>
                <w:lang w:val="sr-Cyrl-BA"/>
              </w:rPr>
              <w:t>р</w:t>
            </w:r>
            <w:r w:rsidR="00EE6AA2">
              <w:rPr>
                <w:rFonts w:ascii="Arial" w:eastAsia="Times New Roman" w:hAnsi="Arial" w:cs="Arial"/>
                <w:b/>
                <w:color w:val="000000" w:themeColor="text1"/>
                <w:lang w:val="sr-Cyrl-BA"/>
              </w:rPr>
              <w:t>е</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ним</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ка</w:t>
            </w:r>
            <w:r w:rsidR="0071360A">
              <w:rPr>
                <w:rFonts w:ascii="Arial" w:eastAsia="Times New Roman" w:hAnsi="Arial" w:cs="Arial"/>
                <w:b/>
                <w:color w:val="000000" w:themeColor="text1"/>
                <w:lang w:val="sr-Cyrl-BA"/>
              </w:rPr>
              <w:t>т</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го</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ијама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обја</w:t>
            </w:r>
            <w:r w:rsidR="0071360A">
              <w:rPr>
                <w:rFonts w:ascii="Arial" w:eastAsia="Times New Roman" w:hAnsi="Arial" w:cs="Arial"/>
                <w:b/>
                <w:color w:val="000000" w:themeColor="text1"/>
                <w:lang w:val="sr-Cyrl-BA"/>
              </w:rPr>
              <w:t>ш</w:t>
            </w:r>
            <w:r>
              <w:rPr>
                <w:rFonts w:ascii="Arial" w:eastAsia="Times New Roman" w:hAnsi="Arial" w:cs="Arial"/>
                <w:b/>
                <w:color w:val="000000" w:themeColor="text1"/>
                <w:lang w:val="sr-Cyrl-BA"/>
              </w:rPr>
              <w:t>њ</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њима</w:t>
            </w:r>
            <w:r w:rsidR="00892898" w:rsidRPr="00F6340E">
              <w:rPr>
                <w:rFonts w:ascii="Arial" w:eastAsia="Times New Roman" w:hAnsi="Arial" w:cs="Arial"/>
                <w:b/>
                <w:color w:val="000000" w:themeColor="text1"/>
                <w:lang w:val="sr-Cyrl-BA"/>
              </w:rPr>
              <w:t>)</w:t>
            </w:r>
          </w:p>
          <w:p w14:paraId="2B83883F" w14:textId="33BFF07E" w:rsidR="00892898" w:rsidRPr="00F6340E" w:rsidRDefault="0071360A" w:rsidP="00FB5CB7">
            <w:pPr>
              <w:pStyle w:val="ListParagraph"/>
              <w:numPr>
                <w:ilvl w:val="0"/>
                <w:numId w:val="41"/>
              </w:numPr>
              <w:jc w:val="left"/>
              <w:rPr>
                <w:rFonts w:ascii="Arial" w:eastAsia="Times New Roman" w:hAnsi="Arial" w:cs="Arial"/>
                <w:b/>
                <w:color w:val="000000" w:themeColor="text1"/>
                <w:lang w:val="sr-Cyrl-BA"/>
              </w:rPr>
            </w:pPr>
            <w:r>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фини</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1A3922"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ус</w:t>
            </w:r>
            <w:r w:rsidR="00A56E08">
              <w:rPr>
                <w:rFonts w:ascii="Arial" w:eastAsiaTheme="minorHAnsi" w:hAnsi="Arial" w:cs="Arial"/>
                <w:b/>
                <w:color w:val="000000" w:themeColor="text1"/>
                <w:lang w:val="sr-Cyrl-BA"/>
              </w:rPr>
              <w:t>ло</w:t>
            </w:r>
            <w:r>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пр</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ника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ш</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око</w:t>
            </w:r>
            <w:r>
              <w:rPr>
                <w:rFonts w:ascii="Arial" w:eastAsiaTheme="minorHAnsi" w:hAnsi="Arial" w:cs="Arial"/>
                <w:b/>
                <w:color w:val="000000" w:themeColor="text1"/>
                <w:lang w:val="sr-Cyrl-BA"/>
              </w:rPr>
              <w:t>ш</w:t>
            </w:r>
            <w:r w:rsidR="00A56E08">
              <w:rPr>
                <w:rFonts w:ascii="Arial" w:eastAsiaTheme="minorHAnsi" w:hAnsi="Arial" w:cs="Arial"/>
                <w:b/>
                <w:color w:val="000000" w:themeColor="text1"/>
                <w:lang w:val="sr-Cyrl-BA"/>
              </w:rPr>
              <w:t>кол</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ким</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ту</w:t>
            </w:r>
            <w:r w:rsidR="00A56E08">
              <w:rPr>
                <w:rFonts w:ascii="Arial" w:eastAsiaTheme="minorHAnsi" w:hAnsi="Arial" w:cs="Arial"/>
                <w:b/>
                <w:color w:val="000000" w:themeColor="text1"/>
                <w:lang w:val="sr-Cyrl-BA"/>
              </w:rPr>
              <w:t>цијама</w:t>
            </w:r>
            <w:r w:rsidR="00FB1C07"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sidR="00FB1C07"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у</w:t>
            </w:r>
            <w:r w:rsidR="00FB1C07"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админи</w:t>
            </w:r>
            <w:r>
              <w:rPr>
                <w:rFonts w:ascii="Arial" w:eastAsiaTheme="minorHAnsi" w:hAnsi="Arial" w:cs="Arial"/>
                <w:b/>
                <w:color w:val="000000" w:themeColor="text1"/>
                <w:lang w:val="sr-Cyrl-BA"/>
              </w:rPr>
              <w:t>стр</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них</w:t>
            </w:r>
            <w:r w:rsidR="00FB1C07"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диница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пр</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м</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ј</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тр</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бно</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171F00">
              <w:rPr>
                <w:rFonts w:ascii="Arial" w:eastAsiaTheme="minorHAnsi" w:hAnsi="Arial" w:cs="Arial"/>
                <w:b/>
                <w:color w:val="000000" w:themeColor="text1"/>
                <w:lang w:val="sr-Cyrl-BA"/>
              </w:rPr>
              <w:t>з</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р</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л</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пр</w:t>
            </w:r>
            <w:r w:rsidR="00A56E08">
              <w:rPr>
                <w:rFonts w:ascii="Arial" w:eastAsiaTheme="minorHAnsi" w:hAnsi="Arial" w:cs="Arial"/>
                <w:b/>
                <w:color w:val="000000" w:themeColor="text1"/>
                <w:lang w:val="sr-Cyrl-BA"/>
              </w:rPr>
              <w:t>оцј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од</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стр</w:t>
            </w:r>
            <w:r w:rsidR="00A56E08">
              <w:rPr>
                <w:rFonts w:ascii="Arial" w:eastAsiaTheme="minorHAnsi" w:hAnsi="Arial" w:cs="Arial"/>
                <w:b/>
                <w:color w:val="000000" w:themeColor="text1"/>
                <w:lang w:val="sr-Cyrl-BA"/>
              </w:rPr>
              <w:t>ан</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сту</w:t>
            </w:r>
            <w:r w:rsidR="00A56E08">
              <w:rPr>
                <w:rFonts w:ascii="Arial" w:eastAsiaTheme="minorHAnsi" w:hAnsi="Arial" w:cs="Arial"/>
                <w:b/>
                <w:color w:val="000000" w:themeColor="text1"/>
                <w:lang w:val="sr-Cyrl-BA"/>
              </w:rPr>
              <w:t>д</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око</w:t>
            </w:r>
            <w:r>
              <w:rPr>
                <w:rFonts w:ascii="Arial" w:eastAsiaTheme="minorHAnsi" w:hAnsi="Arial" w:cs="Arial"/>
                <w:b/>
                <w:color w:val="000000" w:themeColor="text1"/>
                <w:lang w:val="sr-Cyrl-BA"/>
              </w:rPr>
              <w:t>ш</w:t>
            </w:r>
            <w:r w:rsidR="00A56E08">
              <w:rPr>
                <w:rFonts w:ascii="Arial" w:eastAsiaTheme="minorHAnsi" w:hAnsi="Arial" w:cs="Arial"/>
                <w:b/>
                <w:color w:val="000000" w:themeColor="text1"/>
                <w:lang w:val="sr-Cyrl-BA"/>
              </w:rPr>
              <w:t>кол</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ким</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ту</w:t>
            </w:r>
            <w:r w:rsidR="00A56E08">
              <w:rPr>
                <w:rFonts w:ascii="Arial" w:eastAsiaTheme="minorHAnsi" w:hAnsi="Arial" w:cs="Arial"/>
                <w:b/>
                <w:color w:val="000000" w:themeColor="text1"/>
                <w:lang w:val="sr-Cyrl-BA"/>
              </w:rPr>
              <w:t>цијама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који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ич</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даго</w:t>
            </w:r>
            <w:r>
              <w:rPr>
                <w:rFonts w:ascii="Arial" w:eastAsiaTheme="minorHAnsi" w:hAnsi="Arial" w:cs="Arial"/>
                <w:b/>
                <w:color w:val="000000" w:themeColor="text1"/>
                <w:lang w:val="sr-Cyrl-BA"/>
              </w:rPr>
              <w:t>ш</w:t>
            </w:r>
            <w:r w:rsidR="00A56E08">
              <w:rPr>
                <w:rFonts w:ascii="Arial" w:eastAsiaTheme="minorHAnsi" w:hAnsi="Arial" w:cs="Arial"/>
                <w:b/>
                <w:color w:val="000000" w:themeColor="text1"/>
                <w:lang w:val="sr-Cyrl-BA"/>
              </w:rPr>
              <w:t>ких</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диги</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алних</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ком</w:t>
            </w:r>
            <w:r>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нција</w:t>
            </w:r>
            <w:r w:rsidR="00FB1C07" w:rsidRPr="00F6340E">
              <w:rPr>
                <w:rFonts w:ascii="Arial" w:eastAsiaTheme="minorHAnsi" w:hAnsi="Arial" w:cs="Arial"/>
                <w:b/>
                <w:color w:val="000000" w:themeColor="text1"/>
                <w:lang w:val="sr-Cyrl-BA"/>
              </w:rPr>
              <w:t xml:space="preserve"> </w:t>
            </w:r>
          </w:p>
          <w:p w14:paraId="700EAEC0" w14:textId="634884D7" w:rsidR="00892898" w:rsidRPr="00F6340E" w:rsidRDefault="0071360A" w:rsidP="00FB5CB7">
            <w:pPr>
              <w:pStyle w:val="ListParagraph"/>
              <w:numPr>
                <w:ilvl w:val="0"/>
                <w:numId w:val="41"/>
              </w:numPr>
              <w:jc w:val="left"/>
              <w:rPr>
                <w:rFonts w:ascii="Arial" w:eastAsia="Times New Roman" w:hAnsi="Arial" w:cs="Arial"/>
                <w:b/>
                <w:color w:val="000000" w:themeColor="text1"/>
                <w:lang w:val="sr-Cyrl-BA"/>
              </w:rPr>
            </w:pPr>
            <w:r>
              <w:rPr>
                <w:rFonts w:ascii="Arial" w:eastAsiaTheme="minorEastAsia" w:hAnsi="Arial" w:cs="Arial"/>
                <w:b/>
                <w:color w:val="000000" w:themeColor="text1"/>
                <w:lang w:val="sr-Cyrl-BA"/>
              </w:rPr>
              <w:lastRenderedPageBreak/>
              <w:t>П</w:t>
            </w:r>
            <w:r w:rsidR="00A56E08">
              <w:rPr>
                <w:rFonts w:ascii="Arial" w:eastAsiaTheme="minorEastAsia" w:hAnsi="Arial" w:cs="Arial"/>
                <w:b/>
                <w:color w:val="000000" w:themeColor="text1"/>
                <w:lang w:val="sr-Cyrl-BA"/>
              </w:rPr>
              <w:t>лани</w:t>
            </w:r>
            <w:r>
              <w:rPr>
                <w:rFonts w:ascii="Arial" w:eastAsiaTheme="minorEastAsia" w:hAnsi="Arial" w:cs="Arial"/>
                <w:b/>
                <w:color w:val="000000" w:themeColor="text1"/>
                <w:lang w:val="sr-Cyrl-BA"/>
              </w:rPr>
              <w:t>р</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т</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р</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али</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о</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т</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об</w:t>
            </w:r>
            <w:r>
              <w:rPr>
                <w:rFonts w:ascii="Arial" w:eastAsiaTheme="minorEastAsia" w:hAnsi="Arial" w:cs="Arial"/>
                <w:b/>
                <w:color w:val="000000" w:themeColor="text1"/>
                <w:lang w:val="sr-Cyrl-BA"/>
              </w:rPr>
              <w:t>у</w:t>
            </w:r>
            <w:r w:rsidR="00A56E08">
              <w:rPr>
                <w:rFonts w:ascii="Arial" w:eastAsiaTheme="minorEastAsia" w:hAnsi="Arial" w:cs="Arial"/>
                <w:b/>
                <w:color w:val="000000" w:themeColor="text1"/>
                <w:lang w:val="sr-Cyrl-BA"/>
              </w:rPr>
              <w:t>к</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на</w:t>
            </w:r>
            <w:r>
              <w:rPr>
                <w:rFonts w:ascii="Arial" w:eastAsiaTheme="minorEastAsia" w:hAnsi="Arial" w:cs="Arial"/>
                <w:b/>
                <w:color w:val="000000" w:themeColor="text1"/>
                <w:lang w:val="sr-Cyrl-BA"/>
              </w:rPr>
              <w:t>ст</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ника</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пр</w:t>
            </w:r>
            <w:r w:rsidR="00A56E08">
              <w:rPr>
                <w:rFonts w:ascii="Arial" w:eastAsiaTheme="minorEastAsia" w:hAnsi="Arial" w:cs="Arial"/>
                <w:b/>
                <w:color w:val="000000" w:themeColor="text1"/>
                <w:lang w:val="sr-Cyrl-BA"/>
              </w:rPr>
              <w:t>имј</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н</w:t>
            </w:r>
            <w:r>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с</w:t>
            </w:r>
            <w:r w:rsidR="00A56E08">
              <w:rPr>
                <w:rFonts w:ascii="Arial" w:eastAsiaTheme="minorEastAsia" w:hAnsi="Arial" w:cs="Arial"/>
                <w:b/>
                <w:color w:val="000000" w:themeColor="text1"/>
                <w:lang w:val="sr-Cyrl-BA"/>
              </w:rPr>
              <w:t>и</w:t>
            </w:r>
            <w:r>
              <w:rPr>
                <w:rFonts w:ascii="Arial" w:eastAsiaTheme="minorEastAsia" w:hAnsi="Arial" w:cs="Arial"/>
                <w:b/>
                <w:color w:val="000000" w:themeColor="text1"/>
                <w:lang w:val="sr-Cyrl-BA"/>
              </w:rPr>
              <w:t>ст</w:t>
            </w:r>
            <w:r w:rsidR="00A56E08">
              <w:rPr>
                <w:rFonts w:ascii="Arial" w:eastAsiaTheme="minorEastAsia" w:hAnsi="Arial" w:cs="Arial"/>
                <w:b/>
                <w:color w:val="000000" w:themeColor="text1"/>
                <w:lang w:val="sr-Cyrl-BA"/>
              </w:rPr>
              <w:t>и</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т</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хнологиј</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об</w:t>
            </w:r>
            <w:r>
              <w:rPr>
                <w:rFonts w:ascii="Arial" w:eastAsiaTheme="minorEastAsia" w:hAnsi="Arial" w:cs="Arial"/>
                <w:b/>
                <w:color w:val="000000" w:themeColor="text1"/>
                <w:lang w:val="sr-Cyrl-BA"/>
              </w:rPr>
              <w:t>р</w:t>
            </w:r>
            <w:r w:rsidR="00A56E08">
              <w:rPr>
                <w:rFonts w:ascii="Arial" w:eastAsiaTheme="minorEastAsia" w:hAnsi="Arial" w:cs="Arial"/>
                <w:b/>
                <w:color w:val="000000" w:themeColor="text1"/>
                <w:lang w:val="sr-Cyrl-BA"/>
              </w:rPr>
              <w:t>а</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о</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ном</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пр</w:t>
            </w:r>
            <w:r w:rsidR="00A56E08">
              <w:rPr>
                <w:rFonts w:ascii="Arial" w:eastAsiaTheme="minorEastAsia" w:hAnsi="Arial" w:cs="Arial"/>
                <w:b/>
                <w:color w:val="000000" w:themeColor="text1"/>
                <w:lang w:val="sr-Cyrl-BA"/>
              </w:rPr>
              <w:t>оц</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су</w:t>
            </w:r>
            <w:r w:rsidR="00892898" w:rsidRPr="00F6340E">
              <w:rPr>
                <w:rFonts w:ascii="Arial" w:eastAsiaTheme="minorEastAsia" w:hAnsi="Arial" w:cs="Arial"/>
                <w:b/>
                <w:color w:val="000000" w:themeColor="text1"/>
                <w:lang w:val="sr-Cyrl-BA"/>
              </w:rPr>
              <w:t xml:space="preserve"> </w:t>
            </w:r>
          </w:p>
          <w:p w14:paraId="26A48428" w14:textId="3F5B3AAE" w:rsidR="0083574B" w:rsidRPr="00F6340E" w:rsidRDefault="0071360A" w:rsidP="00FB5CB7">
            <w:pPr>
              <w:pStyle w:val="ListParagraph"/>
              <w:ind w:left="360"/>
              <w:jc w:val="left"/>
              <w:rPr>
                <w:rFonts w:ascii="Arial" w:eastAsia="Times New Roman" w:hAnsi="Arial" w:cs="Arial"/>
                <w:color w:val="000000" w:themeColor="text1"/>
                <w:lang w:val="sr-Cyrl-BA"/>
              </w:rPr>
            </w:pPr>
            <w:r>
              <w:rPr>
                <w:rFonts w:ascii="Arial" w:eastAsiaTheme="minorEastAsia" w:hAnsi="Arial" w:cs="Arial"/>
                <w:color w:val="000000" w:themeColor="text1"/>
                <w:lang w:val="sr-Cyrl-BA"/>
              </w:rPr>
              <w:t>Пр</w:t>
            </w:r>
            <w:r w:rsidR="00A56E08">
              <w:rPr>
                <w:rFonts w:ascii="Arial" w:eastAsiaTheme="minorEastAsia" w:hAnsi="Arial" w:cs="Arial"/>
                <w:color w:val="000000" w:themeColor="text1"/>
                <w:lang w:val="sr-Cyrl-BA"/>
              </w:rPr>
              <w:t>имј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и</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w:t>
            </w:r>
            <w:r w:rsidR="00EE6AA2">
              <w:rPr>
                <w:rFonts w:ascii="Arial" w:eastAsiaTheme="minorEastAsia" w:hAnsi="Arial" w:cs="Arial"/>
                <w:color w:val="000000" w:themeColor="text1"/>
                <w:lang w:val="sr-Cyrl-BA"/>
              </w:rPr>
              <w:t>е</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т</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хнологиј</w:t>
            </w:r>
            <w:r w:rsidR="00EE6AA2">
              <w:rPr>
                <w:rFonts w:ascii="Arial" w:eastAsiaTheme="minorEastAsia" w:hAnsi="Arial" w:cs="Arial"/>
                <w:color w:val="000000" w:themeColor="text1"/>
                <w:lang w:val="sr-Cyrl-BA"/>
              </w:rPr>
              <w:t>е</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тр</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ба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би</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и</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диј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лом</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стру</w:t>
            </w:r>
            <w:r w:rsidR="00A56E08">
              <w:rPr>
                <w:rFonts w:ascii="Arial" w:eastAsiaTheme="minorEastAsia" w:hAnsi="Arial" w:cs="Arial"/>
                <w:color w:val="000000" w:themeColor="text1"/>
                <w:lang w:val="sr-Cyrl-BA"/>
              </w:rPr>
              <w:t>чног</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ус</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врш</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ања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ника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св</w:t>
            </w:r>
            <w:r w:rsidR="00A56E08">
              <w:rPr>
                <w:rFonts w:ascii="Arial" w:eastAsiaTheme="minorEastAsia" w:hAnsi="Arial" w:cs="Arial"/>
                <w:color w:val="000000" w:themeColor="text1"/>
                <w:lang w:val="sr-Cyrl-BA"/>
              </w:rPr>
              <w:t>им</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ни</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оима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об</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ања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али</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ад</w:t>
            </w:r>
            <w:r>
              <w:rPr>
                <w:rFonts w:ascii="Arial" w:eastAsiaTheme="minorEastAsia" w:hAnsi="Arial" w:cs="Arial"/>
                <w:color w:val="000000" w:themeColor="text1"/>
                <w:lang w:val="sr-Cyrl-BA"/>
              </w:rPr>
              <w:t>р</w:t>
            </w:r>
            <w:r w:rsidR="00171F00">
              <w:rPr>
                <w:rFonts w:ascii="Arial" w:eastAsiaTheme="minorEastAsia" w:hAnsi="Arial" w:cs="Arial"/>
                <w:color w:val="000000" w:themeColor="text1"/>
                <w:lang w:val="sr-Cyrl-BA"/>
              </w:rPr>
              <w:t>ж</w:t>
            </w:r>
            <w:r w:rsidR="00A56E08">
              <w:rPr>
                <w:rFonts w:ascii="Arial" w:eastAsiaTheme="minorEastAsia" w:hAnsi="Arial" w:cs="Arial"/>
                <w:color w:val="000000" w:themeColor="text1"/>
                <w:lang w:val="sr-Cyrl-BA"/>
              </w:rPr>
              <w:t>ај</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м</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иницијалног</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об</w:t>
            </w:r>
            <w:r>
              <w:rPr>
                <w:rFonts w:ascii="Arial" w:eastAsiaTheme="minorEastAsia" w:hAnsi="Arial" w:cs="Arial"/>
                <w:color w:val="000000" w:themeColor="text1"/>
                <w:lang w:val="sr-Cyrl-BA"/>
              </w:rPr>
              <w:t>р</w:t>
            </w:r>
            <w:r w:rsidR="00A56E08">
              <w:rPr>
                <w:rFonts w:ascii="Arial" w:eastAsiaTheme="minorEastAsia" w:hAnsi="Arial" w:cs="Arial"/>
                <w:color w:val="000000" w:themeColor="text1"/>
                <w:lang w:val="sr-Cyrl-BA"/>
              </w:rPr>
              <w:t>а</w:t>
            </w:r>
            <w:r w:rsidR="00171F00">
              <w:rPr>
                <w:rFonts w:ascii="Arial" w:eastAsiaTheme="minorEastAsia" w:hAnsi="Arial" w:cs="Arial"/>
                <w:color w:val="000000" w:themeColor="text1"/>
                <w:lang w:val="sr-Cyrl-BA"/>
              </w:rPr>
              <w:t>з</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ања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и</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сп</w:t>
            </w:r>
            <w:r w:rsidR="00A56E08">
              <w:rPr>
                <w:rFonts w:ascii="Arial" w:eastAsiaTheme="minorEastAsia" w:hAnsi="Arial" w:cs="Arial"/>
                <w:color w:val="000000" w:themeColor="text1"/>
                <w:lang w:val="sr-Cyrl-BA"/>
              </w:rPr>
              <w:t>о</w:t>
            </w:r>
            <w:r>
              <w:rPr>
                <w:rFonts w:ascii="Arial" w:eastAsiaTheme="minorEastAsia" w:hAnsi="Arial" w:cs="Arial"/>
                <w:color w:val="000000" w:themeColor="text1"/>
                <w:lang w:val="sr-Cyrl-BA"/>
              </w:rPr>
              <w:t>с</w:t>
            </w:r>
            <w:r w:rsidR="00A56E08">
              <w:rPr>
                <w:rFonts w:ascii="Arial" w:eastAsiaTheme="minorEastAsia" w:hAnsi="Arial" w:cs="Arial"/>
                <w:color w:val="000000" w:themeColor="text1"/>
                <w:lang w:val="sr-Cyrl-BA"/>
              </w:rPr>
              <w:t>обља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ања</w:t>
            </w:r>
            <w:r w:rsidR="00282A43" w:rsidRPr="00F6340E">
              <w:rPr>
                <w:rFonts w:ascii="Arial" w:eastAsiaTheme="minorEastAsia" w:hAnsi="Arial" w:cs="Arial"/>
                <w:color w:val="000000" w:themeColor="text1"/>
                <w:lang w:val="sr-Cyrl-BA"/>
              </w:rPr>
              <w:t xml:space="preserve"> </w:t>
            </w:r>
            <w:r>
              <w:rPr>
                <w:rFonts w:ascii="Arial" w:eastAsiaTheme="minorEastAsia" w:hAnsi="Arial" w:cs="Arial"/>
                <w:color w:val="000000" w:themeColor="text1"/>
                <w:lang w:val="sr-Cyrl-BA"/>
              </w:rPr>
              <w:t>сту</w:t>
            </w:r>
            <w:r w:rsidR="00A56E08">
              <w:rPr>
                <w:rFonts w:ascii="Arial" w:eastAsiaTheme="minorEastAsia" w:hAnsi="Arial" w:cs="Arial"/>
                <w:color w:val="000000" w:themeColor="text1"/>
                <w:lang w:val="sr-Cyrl-BA"/>
              </w:rPr>
              <w:t>д</w:t>
            </w:r>
            <w:r w:rsidR="00EE6AA2">
              <w:rPr>
                <w:rFonts w:ascii="Arial" w:eastAsiaTheme="minorEastAsia" w:hAnsi="Arial" w:cs="Arial"/>
                <w:color w:val="000000" w:themeColor="text1"/>
                <w:lang w:val="sr-Cyrl-BA"/>
              </w:rPr>
              <w:t>е</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т</w:t>
            </w:r>
            <w:r w:rsidR="00A56E08">
              <w:rPr>
                <w:rFonts w:ascii="Arial" w:eastAsiaTheme="minorEastAsia" w:hAnsi="Arial" w:cs="Arial"/>
                <w:color w:val="000000" w:themeColor="text1"/>
                <w:lang w:val="sr-Cyrl-BA"/>
              </w:rPr>
              <w:t>а</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б</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д</w:t>
            </w:r>
            <w:r>
              <w:rPr>
                <w:rFonts w:ascii="Arial" w:eastAsiaTheme="minorEastAsia" w:hAnsi="Arial" w:cs="Arial"/>
                <w:color w:val="000000" w:themeColor="text1"/>
                <w:lang w:val="sr-Cyrl-BA"/>
              </w:rPr>
              <w:t>у</w:t>
            </w:r>
            <w:r w:rsidR="00A56E08">
              <w:rPr>
                <w:rFonts w:ascii="Arial" w:eastAsiaTheme="minorEastAsia" w:hAnsi="Arial" w:cs="Arial"/>
                <w:color w:val="000000" w:themeColor="text1"/>
                <w:lang w:val="sr-Cyrl-BA"/>
              </w:rPr>
              <w:t>ћих</w:t>
            </w:r>
            <w:r w:rsidR="00282A43" w:rsidRPr="00F6340E">
              <w:rPr>
                <w:rFonts w:ascii="Arial" w:eastAsiaTheme="minorEastAsia" w:hAnsi="Arial" w:cs="Arial"/>
                <w:color w:val="000000" w:themeColor="text1"/>
                <w:lang w:val="sr-Cyrl-BA"/>
              </w:rPr>
              <w:t xml:space="preserve"> </w:t>
            </w:r>
            <w:r w:rsidR="00A56E08">
              <w:rPr>
                <w:rFonts w:ascii="Arial" w:eastAsiaTheme="minorEastAsia" w:hAnsi="Arial" w:cs="Arial"/>
                <w:color w:val="000000" w:themeColor="text1"/>
                <w:lang w:val="sr-Cyrl-BA"/>
              </w:rPr>
              <w:t>на</w:t>
            </w:r>
            <w:r>
              <w:rPr>
                <w:rFonts w:ascii="Arial" w:eastAsiaTheme="minorEastAsia" w:hAnsi="Arial" w:cs="Arial"/>
                <w:color w:val="000000" w:themeColor="text1"/>
                <w:lang w:val="sr-Cyrl-BA"/>
              </w:rPr>
              <w:t>ст</w:t>
            </w:r>
            <w:r w:rsidR="00A56E08">
              <w:rPr>
                <w:rFonts w:ascii="Arial" w:eastAsiaTheme="minorEastAsia" w:hAnsi="Arial" w:cs="Arial"/>
                <w:color w:val="000000" w:themeColor="text1"/>
                <w:lang w:val="sr-Cyrl-BA"/>
              </w:rPr>
              <w:t>а</w:t>
            </w:r>
            <w:r>
              <w:rPr>
                <w:rFonts w:ascii="Arial" w:eastAsiaTheme="minorEastAsia" w:hAnsi="Arial" w:cs="Arial"/>
                <w:color w:val="000000" w:themeColor="text1"/>
                <w:lang w:val="sr-Cyrl-BA"/>
              </w:rPr>
              <w:t>в</w:t>
            </w:r>
            <w:r w:rsidR="00A56E08">
              <w:rPr>
                <w:rFonts w:ascii="Arial" w:eastAsiaTheme="minorEastAsia" w:hAnsi="Arial" w:cs="Arial"/>
                <w:color w:val="000000" w:themeColor="text1"/>
                <w:lang w:val="sr-Cyrl-BA"/>
              </w:rPr>
              <w:t>ника</w:t>
            </w:r>
            <w:r w:rsidR="00282A43" w:rsidRPr="00F6340E">
              <w:rPr>
                <w:rFonts w:ascii="Arial" w:eastAsiaTheme="minorEastAsia" w:hAnsi="Arial" w:cs="Arial"/>
                <w:color w:val="000000" w:themeColor="text1"/>
                <w:lang w:val="sr-Cyrl-BA"/>
              </w:rPr>
              <w:t xml:space="preserve">. </w:t>
            </w:r>
          </w:p>
          <w:p w14:paraId="7E530218" w14:textId="2BB366CA" w:rsidR="00892898" w:rsidRPr="00F6340E" w:rsidRDefault="00A56E08" w:rsidP="00FB5CB7">
            <w:pPr>
              <w:pStyle w:val="ListParagraph"/>
              <w:numPr>
                <w:ilvl w:val="0"/>
                <w:numId w:val="41"/>
              </w:numPr>
              <w:jc w:val="left"/>
              <w:rPr>
                <w:rFonts w:ascii="Arial" w:hAnsi="Arial" w:cs="Arial"/>
                <w:b/>
                <w:color w:val="000000" w:themeColor="text1"/>
                <w:lang w:val="sr-Cyrl-BA"/>
              </w:rPr>
            </w:pPr>
            <w:r>
              <w:rPr>
                <w:rFonts w:ascii="Arial" w:hAnsi="Arial" w:cs="Arial"/>
                <w:b/>
                <w:color w:val="000000" w:themeColor="text1"/>
                <w:lang w:val="sr-Cyrl-BA"/>
              </w:rPr>
              <w:t>Иници</w:t>
            </w:r>
            <w:r w:rsidR="0071360A">
              <w:rPr>
                <w:rFonts w:ascii="Arial" w:hAnsi="Arial" w:cs="Arial"/>
                <w:b/>
                <w:color w:val="000000" w:themeColor="text1"/>
                <w:lang w:val="sr-Cyrl-BA"/>
              </w:rPr>
              <w:t>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w:t>
            </w:r>
            <w:r w:rsidR="0071360A">
              <w:rPr>
                <w:rFonts w:ascii="Arial" w:hAnsi="Arial" w:cs="Arial"/>
                <w:b/>
                <w:color w:val="000000" w:themeColor="text1"/>
                <w:lang w:val="sr-Cyrl-BA"/>
              </w:rPr>
              <w:t>с</w:t>
            </w:r>
            <w:r>
              <w:rPr>
                <w:rFonts w:ascii="Arial" w:hAnsi="Arial" w:cs="Arial"/>
                <w:b/>
                <w:color w:val="000000" w:themeColor="text1"/>
                <w:lang w:val="sr-Cyrl-BA"/>
              </w:rPr>
              <w:t>ни</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или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w:t>
            </w:r>
            <w:r w:rsidR="0071360A">
              <w:rPr>
                <w:rFonts w:ascii="Arial" w:hAnsi="Arial" w:cs="Arial"/>
                <w:b/>
                <w:color w:val="000000" w:themeColor="text1"/>
                <w:lang w:val="sr-Cyrl-BA"/>
              </w:rPr>
              <w:t>с</w:t>
            </w:r>
            <w:r>
              <w:rPr>
                <w:rFonts w:ascii="Arial" w:hAnsi="Arial" w:cs="Arial"/>
                <w:b/>
                <w:color w:val="000000" w:themeColor="text1"/>
                <w:lang w:val="sr-Cyrl-BA"/>
              </w:rPr>
              <w:t>на</w:t>
            </w:r>
            <w:r w:rsidR="00171F00">
              <w:rPr>
                <w:rFonts w:ascii="Arial" w:hAnsi="Arial" w:cs="Arial"/>
                <w:b/>
                <w:color w:val="000000" w:themeColor="text1"/>
                <w:lang w:val="sr-Cyrl-BA"/>
              </w:rPr>
              <w:t>ж</w:t>
            </w:r>
            <w:r>
              <w:rPr>
                <w:rFonts w:ascii="Arial" w:hAnsi="Arial" w:cs="Arial"/>
                <w:b/>
                <w:color w:val="000000" w:themeColor="text1"/>
                <w:lang w:val="sr-Cyrl-BA"/>
              </w:rPr>
              <w:t>и</w:t>
            </w:r>
            <w:r w:rsidR="0071360A">
              <w:rPr>
                <w:rFonts w:ascii="Arial" w:hAnsi="Arial" w:cs="Arial"/>
                <w:b/>
                <w:color w:val="000000" w:themeColor="text1"/>
                <w:lang w:val="sr-Cyrl-BA"/>
              </w:rPr>
              <w:t>в</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w:t>
            </w:r>
            <w:r w:rsidR="0071360A">
              <w:rPr>
                <w:rFonts w:ascii="Arial" w:hAnsi="Arial" w:cs="Arial"/>
                <w:b/>
                <w:color w:val="000000" w:themeColor="text1"/>
                <w:lang w:val="sr-Cyrl-BA"/>
              </w:rPr>
              <w:t>ст</w:t>
            </w:r>
            <w:r>
              <w:rPr>
                <w:rFonts w:ascii="Arial" w:hAnsi="Arial" w:cs="Arial"/>
                <w:b/>
                <w:color w:val="000000" w:themeColor="text1"/>
                <w:lang w:val="sr-Cyrl-BA"/>
              </w:rPr>
              <w:t>ој</w:t>
            </w:r>
            <w:r w:rsidR="00EE6AA2">
              <w:rPr>
                <w:rFonts w:ascii="Arial" w:hAnsi="Arial" w:cs="Arial"/>
                <w:b/>
                <w:color w:val="000000" w:themeColor="text1"/>
                <w:lang w:val="sr-Cyrl-BA"/>
              </w:rPr>
              <w:t>е</w:t>
            </w:r>
            <w:r>
              <w:rPr>
                <w:rFonts w:ascii="Arial" w:hAnsi="Arial" w:cs="Arial"/>
                <w:b/>
                <w:color w:val="000000" w:themeColor="text1"/>
                <w:lang w:val="sr-Cyrl-BA"/>
              </w:rPr>
              <w:t>ћ</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Pr>
                <w:rFonts w:ascii="Arial" w:hAnsi="Arial" w:cs="Arial"/>
                <w:b/>
                <w:color w:val="000000" w:themeColor="text1"/>
                <w:lang w:val="sr-Cyrl-BA"/>
              </w:rPr>
              <w:t>ај</w:t>
            </w:r>
            <w:r w:rsidR="00EE6AA2">
              <w:rPr>
                <w:rFonts w:ascii="Arial" w:hAnsi="Arial" w:cs="Arial"/>
                <w:b/>
                <w:color w:val="000000" w:themeColor="text1"/>
                <w:lang w:val="sr-Cyrl-BA"/>
              </w:rPr>
              <w:t>е</w:t>
            </w:r>
            <w:r>
              <w:rPr>
                <w:rFonts w:ascii="Arial" w:hAnsi="Arial" w:cs="Arial"/>
                <w:b/>
                <w:color w:val="000000" w:themeColor="text1"/>
                <w:lang w:val="sr-Cyrl-BA"/>
              </w:rPr>
              <w:t>дниц</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ак</w:t>
            </w:r>
            <w:r w:rsidR="0071360A">
              <w:rPr>
                <w:rFonts w:ascii="Arial" w:hAnsi="Arial" w:cs="Arial"/>
                <w:b/>
                <w:color w:val="000000" w:themeColor="text1"/>
                <w:lang w:val="sr-Cyrl-BA"/>
              </w:rPr>
              <w:t>с</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ним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ин</w:t>
            </w:r>
            <w:r w:rsidR="0071360A">
              <w:rPr>
                <w:rFonts w:ascii="Arial" w:hAnsi="Arial" w:cs="Arial"/>
                <w:b/>
                <w:color w:val="000000" w:themeColor="text1"/>
                <w:lang w:val="sr-Cyrl-BA"/>
              </w:rPr>
              <w:t>ст</w:t>
            </w:r>
            <w:r>
              <w:rPr>
                <w:rFonts w:ascii="Arial" w:hAnsi="Arial" w:cs="Arial"/>
                <w:b/>
                <w:color w:val="000000" w:themeColor="text1"/>
                <w:lang w:val="sr-Cyrl-BA"/>
              </w:rPr>
              <w:t>и</w:t>
            </w:r>
            <w:r w:rsidR="0071360A">
              <w:rPr>
                <w:rFonts w:ascii="Arial" w:hAnsi="Arial" w:cs="Arial"/>
                <w:b/>
                <w:color w:val="000000" w:themeColor="text1"/>
                <w:lang w:val="sr-Cyrl-BA"/>
              </w:rPr>
              <w:t>ту</w:t>
            </w:r>
            <w:r>
              <w:rPr>
                <w:rFonts w:ascii="Arial" w:hAnsi="Arial" w:cs="Arial"/>
                <w:b/>
                <w:color w:val="000000" w:themeColor="text1"/>
                <w:lang w:val="sr-Cyrl-BA"/>
              </w:rPr>
              <w:t>цијама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ш</w:t>
            </w:r>
            <w:r>
              <w:rPr>
                <w:rFonts w:ascii="Arial" w:hAnsi="Arial" w:cs="Arial"/>
                <w:b/>
                <w:color w:val="000000" w:themeColor="text1"/>
                <w:lang w:val="sr-Cyrl-BA"/>
              </w:rPr>
              <w:t>колама</w:t>
            </w:r>
            <w:r w:rsidR="00892898" w:rsidRPr="00F6340E">
              <w:rPr>
                <w:rFonts w:ascii="Arial" w:hAnsi="Arial" w:cs="Arial"/>
                <w:b/>
                <w:color w:val="000000" w:themeColor="text1"/>
                <w:lang w:val="sr-Cyrl-BA"/>
              </w:rPr>
              <w:t>/</w:t>
            </w:r>
            <w:r>
              <w:rPr>
                <w:rFonts w:ascii="Arial" w:hAnsi="Arial" w:cs="Arial"/>
                <w:b/>
                <w:color w:val="000000" w:themeColor="text1"/>
                <w:lang w:val="sr-Cyrl-BA"/>
              </w:rPr>
              <w:t>фак</w:t>
            </w:r>
            <w:r w:rsidR="0071360A">
              <w:rPr>
                <w:rFonts w:ascii="Arial" w:hAnsi="Arial" w:cs="Arial"/>
                <w:b/>
                <w:color w:val="000000" w:themeColor="text1"/>
                <w:lang w:val="sr-Cyrl-BA"/>
              </w:rPr>
              <w:t>у</w:t>
            </w:r>
            <w:r>
              <w:rPr>
                <w:rFonts w:ascii="Arial" w:hAnsi="Arial" w:cs="Arial"/>
                <w:b/>
                <w:color w:val="000000" w:themeColor="text1"/>
                <w:lang w:val="sr-Cyrl-BA"/>
              </w:rPr>
              <w:t>л</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Pr>
                <w:rFonts w:ascii="Arial" w:hAnsi="Arial" w:cs="Arial"/>
                <w:b/>
                <w:color w:val="000000" w:themeColor="text1"/>
                <w:lang w:val="sr-Cyrl-BA"/>
              </w:rPr>
              <w:t>има</w:t>
            </w:r>
            <w:r w:rsidR="00892898" w:rsidRPr="00F6340E">
              <w:rPr>
                <w:rFonts w:ascii="Arial" w:hAnsi="Arial" w:cs="Arial"/>
                <w:b/>
                <w:color w:val="000000" w:themeColor="text1"/>
                <w:lang w:val="sr-Cyrl-BA"/>
              </w:rPr>
              <w:t>)</w:t>
            </w:r>
            <w:r w:rsidR="00B04FA8">
              <w:rPr>
                <w:rFonts w:ascii="Arial" w:hAnsi="Arial" w:cs="Arial"/>
                <w:b/>
                <w:color w:val="000000" w:themeColor="text1"/>
                <w:lang w:val="sr-Cyrl-BA"/>
              </w:rPr>
              <w:t xml:space="preserve"> са </w:t>
            </w:r>
            <w:r>
              <w:rPr>
                <w:rFonts w:ascii="Arial" w:hAnsi="Arial" w:cs="Arial"/>
                <w:b/>
                <w:color w:val="000000" w:themeColor="text1"/>
                <w:lang w:val="sr-Cyrl-BA"/>
              </w:rPr>
              <w:t>циљ</w:t>
            </w:r>
            <w:r w:rsidR="00EE6AA2">
              <w:rPr>
                <w:rFonts w:ascii="Arial" w:hAnsi="Arial" w:cs="Arial"/>
                <w:b/>
                <w:color w:val="000000" w:themeColor="text1"/>
                <w:lang w:val="sr-Cyrl-BA"/>
              </w:rPr>
              <w:t>е</w:t>
            </w:r>
            <w:r>
              <w:rPr>
                <w:rFonts w:ascii="Arial" w:hAnsi="Arial" w:cs="Arial"/>
                <w:b/>
                <w:color w:val="000000" w:themeColor="text1"/>
                <w:lang w:val="sr-Cyrl-BA"/>
              </w:rPr>
              <w:t>м</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Pr>
                <w:rFonts w:ascii="Arial" w:hAnsi="Arial" w:cs="Arial"/>
                <w:b/>
                <w:color w:val="000000" w:themeColor="text1"/>
                <w:lang w:val="sr-Cyrl-BA"/>
              </w:rPr>
              <w:t>на</w:t>
            </w:r>
            <w:r w:rsidR="0071360A">
              <w:rPr>
                <w:rFonts w:ascii="Arial" w:hAnsi="Arial" w:cs="Arial"/>
                <w:b/>
                <w:color w:val="000000" w:themeColor="text1"/>
                <w:lang w:val="sr-Cyrl-BA"/>
              </w:rPr>
              <w:t>пр</w:t>
            </w:r>
            <w:r>
              <w:rPr>
                <w:rFonts w:ascii="Arial" w:hAnsi="Arial" w:cs="Arial"/>
                <w:b/>
                <w:color w:val="000000" w:themeColor="text1"/>
                <w:lang w:val="sr-Cyrl-BA"/>
              </w:rPr>
              <w:t>ј</w:t>
            </w:r>
            <w:r w:rsidR="00EE6AA2">
              <w:rPr>
                <w:rFonts w:ascii="Arial" w:hAnsi="Arial" w:cs="Arial"/>
                <w:b/>
                <w:color w:val="000000" w:themeColor="text1"/>
                <w:lang w:val="sr-Cyrl-BA"/>
              </w:rPr>
              <w:t>е</w:t>
            </w:r>
            <w:r>
              <w:rPr>
                <w:rFonts w:ascii="Arial" w:hAnsi="Arial" w:cs="Arial"/>
                <w:b/>
                <w:color w:val="000000" w:themeColor="text1"/>
                <w:lang w:val="sr-Cyrl-BA"/>
              </w:rPr>
              <w:t>ђ</w:t>
            </w:r>
            <w:r w:rsidR="00EE6AA2">
              <w:rPr>
                <w:rFonts w:ascii="Arial" w:hAnsi="Arial" w:cs="Arial"/>
                <w:b/>
                <w:color w:val="000000" w:themeColor="text1"/>
                <w:lang w:val="sr-Cyrl-BA"/>
              </w:rPr>
              <w:t>е</w:t>
            </w:r>
            <w:r>
              <w:rPr>
                <w:rFonts w:ascii="Arial" w:hAnsi="Arial" w:cs="Arial"/>
                <w:b/>
                <w:color w:val="000000" w:themeColor="text1"/>
                <w:lang w:val="sr-Cyrl-BA"/>
              </w:rPr>
              <w:t>ња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ног</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оц</w:t>
            </w:r>
            <w:r w:rsidR="00EE6AA2">
              <w:rPr>
                <w:rFonts w:ascii="Arial" w:hAnsi="Arial" w:cs="Arial"/>
                <w:b/>
                <w:color w:val="000000" w:themeColor="text1"/>
                <w:lang w:val="sr-Cyrl-BA"/>
              </w:rPr>
              <w:t>е</w:t>
            </w:r>
            <w:r w:rsidR="0071360A">
              <w:rPr>
                <w:rFonts w:ascii="Arial" w:hAnsi="Arial" w:cs="Arial"/>
                <w:b/>
                <w:color w:val="000000" w:themeColor="text1"/>
                <w:lang w:val="sr-Cyrl-BA"/>
              </w:rPr>
              <w:t>с</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али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в</w:t>
            </w:r>
            <w:r>
              <w:rPr>
                <w:rFonts w:ascii="Arial" w:hAnsi="Arial" w:cs="Arial"/>
                <w:b/>
                <w:color w:val="000000" w:themeColor="text1"/>
                <w:lang w:val="sr-Cyrl-BA"/>
              </w:rPr>
              <w:t>ла</w:t>
            </w:r>
            <w:r w:rsidR="0071360A">
              <w:rPr>
                <w:rFonts w:ascii="Arial" w:hAnsi="Arial" w:cs="Arial"/>
                <w:b/>
                <w:color w:val="000000" w:themeColor="text1"/>
                <w:lang w:val="sr-Cyrl-BA"/>
              </w:rPr>
              <w:t>ст</w:t>
            </w:r>
            <w:r>
              <w:rPr>
                <w:rFonts w:ascii="Arial" w:hAnsi="Arial" w:cs="Arial"/>
                <w:b/>
                <w:color w:val="000000" w:themeColor="text1"/>
                <w:lang w:val="sr-Cyrl-BA"/>
              </w:rPr>
              <w:t>и</w:t>
            </w:r>
            <w:r w:rsidR="0071360A">
              <w:rPr>
                <w:rFonts w:ascii="Arial" w:hAnsi="Arial" w:cs="Arial"/>
                <w:b/>
                <w:color w:val="000000" w:themeColor="text1"/>
                <w:lang w:val="sr-Cyrl-BA"/>
              </w:rPr>
              <w:t>т</w:t>
            </w:r>
            <w:r>
              <w:rPr>
                <w:rFonts w:ascii="Arial" w:hAnsi="Arial" w:cs="Arial"/>
                <w:b/>
                <w:color w:val="000000" w:themeColor="text1"/>
                <w:lang w:val="sr-Cyrl-BA"/>
              </w:rPr>
              <w:t>их</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ком</w:t>
            </w:r>
            <w:r w:rsidR="0071360A">
              <w:rPr>
                <w:rFonts w:ascii="Arial" w:hAnsi="Arial" w:cs="Arial"/>
                <w:b/>
                <w:color w:val="000000" w:themeColor="text1"/>
                <w:lang w:val="sr-Cyrl-BA"/>
              </w:rPr>
              <w:t>п</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нција</w:t>
            </w:r>
            <w:r w:rsidR="00892898" w:rsidRPr="00F6340E">
              <w:rPr>
                <w:rFonts w:ascii="Arial" w:hAnsi="Arial" w:cs="Arial"/>
                <w:b/>
                <w:color w:val="000000" w:themeColor="text1"/>
                <w:lang w:val="sr-Cyrl-BA"/>
              </w:rPr>
              <w:t xml:space="preserve"> </w:t>
            </w:r>
          </w:p>
          <w:p w14:paraId="518446C8" w14:textId="39E4F383" w:rsidR="00892898" w:rsidRPr="00F6340E" w:rsidRDefault="00A56E08" w:rsidP="00FB5CB7">
            <w:pPr>
              <w:pStyle w:val="ListParagraph"/>
              <w:ind w:left="360"/>
              <w:jc w:val="left"/>
              <w:rPr>
                <w:rFonts w:ascii="Arial" w:hAnsi="Arial" w:cs="Arial"/>
                <w:color w:val="000000" w:themeColor="text1"/>
                <w:lang w:val="sr-Cyrl-BA"/>
              </w:rPr>
            </w:pPr>
            <w:r>
              <w:rPr>
                <w:rFonts w:ascii="Arial" w:hAnsi="Arial" w:cs="Arial"/>
                <w:color w:val="000000" w:themeColor="text1"/>
                <w:lang w:val="sr-Cyrl-BA"/>
              </w:rPr>
              <w:t>К</w:t>
            </w:r>
            <w:r w:rsidR="0071360A">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и</w:t>
            </w:r>
            <w:r w:rsidR="0071360A">
              <w:rPr>
                <w:rFonts w:ascii="Arial" w:hAnsi="Arial" w:cs="Arial"/>
                <w:color w:val="000000" w:themeColor="text1"/>
                <w:lang w:val="sr-Cyrl-BA"/>
              </w:rPr>
              <w:t>р</w:t>
            </w:r>
            <w:r>
              <w:rPr>
                <w:rFonts w:ascii="Arial" w:hAnsi="Arial" w:cs="Arial"/>
                <w:color w:val="000000" w:themeColor="text1"/>
                <w:lang w:val="sr-Cyrl-BA"/>
              </w:rPr>
              <w:t>ањ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ај</w:t>
            </w:r>
            <w:r w:rsidR="00EE6AA2">
              <w:rPr>
                <w:rFonts w:ascii="Arial" w:hAnsi="Arial" w:cs="Arial"/>
                <w:color w:val="000000" w:themeColor="text1"/>
                <w:lang w:val="sr-Cyrl-BA"/>
              </w:rPr>
              <w:t>е</w:t>
            </w:r>
            <w:r>
              <w:rPr>
                <w:rFonts w:ascii="Arial" w:hAnsi="Arial" w:cs="Arial"/>
                <w:color w:val="000000" w:themeColor="text1"/>
                <w:lang w:val="sr-Cyrl-BA"/>
              </w:rPr>
              <w:t>дниц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ак</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од</w:t>
            </w:r>
            <w:r w:rsidR="0071360A">
              <w:rPr>
                <w:rFonts w:ascii="Arial" w:hAnsi="Arial" w:cs="Arial"/>
                <w:color w:val="000000" w:themeColor="text1"/>
                <w:lang w:val="sr-Cyrl-BA"/>
              </w:rPr>
              <w:t>р</w:t>
            </w:r>
            <w:r w:rsidR="00171F00">
              <w:rPr>
                <w:rFonts w:ascii="Arial" w:hAnsi="Arial" w:cs="Arial"/>
                <w:color w:val="000000" w:themeColor="text1"/>
                <w:lang w:val="sr-Cyrl-BA"/>
              </w:rPr>
              <w:t>ж</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ај</w:t>
            </w:r>
            <w:r w:rsidR="0071360A">
              <w:rPr>
                <w:rFonts w:ascii="Arial" w:hAnsi="Arial" w:cs="Arial"/>
                <w:color w:val="000000" w:themeColor="text1"/>
                <w:lang w:val="sr-Cyrl-BA"/>
              </w:rPr>
              <w:t>у</w:t>
            </w:r>
            <w:r>
              <w:rPr>
                <w:rFonts w:ascii="Arial" w:hAnsi="Arial" w:cs="Arial"/>
                <w:color w:val="000000" w:themeColor="text1"/>
                <w:lang w:val="sr-Cyrl-BA"/>
              </w:rPr>
              <w:t>ћ</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ш</w:t>
            </w:r>
            <w:r>
              <w:rPr>
                <w:rFonts w:ascii="Arial" w:hAnsi="Arial" w:cs="Arial"/>
                <w:color w:val="000000" w:themeColor="text1"/>
                <w:lang w:val="sr-Cyrl-BA"/>
              </w:rPr>
              <w:t>кол</w:t>
            </w:r>
            <w:r w:rsidR="0071360A">
              <w:rPr>
                <w:rFonts w:ascii="Arial" w:hAnsi="Arial" w:cs="Arial"/>
                <w:color w:val="000000" w:themeColor="text1"/>
                <w:lang w:val="sr-Cyrl-BA"/>
              </w:rPr>
              <w:t>с</w:t>
            </w:r>
            <w:r>
              <w:rPr>
                <w:rFonts w:ascii="Arial" w:hAnsi="Arial" w:cs="Arial"/>
                <w:color w:val="000000" w:themeColor="text1"/>
                <w:lang w:val="sr-Cyrl-BA"/>
              </w:rPr>
              <w:t>к</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у</w:t>
            </w:r>
            <w:r>
              <w:rPr>
                <w:rFonts w:ascii="Arial" w:hAnsi="Arial" w:cs="Arial"/>
                <w:color w:val="000000" w:themeColor="text1"/>
                <w:lang w:val="sr-Cyrl-BA"/>
              </w:rPr>
              <w:t>л</w:t>
            </w:r>
            <w:r w:rsidR="0071360A">
              <w:rPr>
                <w:rFonts w:ascii="Arial" w:hAnsi="Arial" w:cs="Arial"/>
                <w:color w:val="000000" w:themeColor="text1"/>
                <w:lang w:val="sr-Cyrl-BA"/>
              </w:rPr>
              <w:t>тур</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омог</w:t>
            </w:r>
            <w:r w:rsidR="0071360A">
              <w:rPr>
                <w:rFonts w:ascii="Arial" w:hAnsi="Arial" w:cs="Arial"/>
                <w:color w:val="000000" w:themeColor="text1"/>
                <w:lang w:val="sr-Cyrl-BA"/>
              </w:rPr>
              <w:t>у</w:t>
            </w:r>
            <w:r>
              <w:rPr>
                <w:rFonts w:ascii="Arial" w:hAnsi="Arial" w:cs="Arial"/>
                <w:color w:val="000000" w:themeColor="text1"/>
                <w:lang w:val="sr-Cyrl-BA"/>
              </w:rPr>
              <w:t>ћа</w:t>
            </w:r>
            <w:r w:rsidR="0071360A">
              <w:rPr>
                <w:rFonts w:ascii="Arial" w:hAnsi="Arial" w:cs="Arial"/>
                <w:color w:val="000000" w:themeColor="text1"/>
                <w:lang w:val="sr-Cyrl-BA"/>
              </w:rPr>
              <w:t>в</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нања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р</w:t>
            </w:r>
            <w:r>
              <w:rPr>
                <w:rFonts w:ascii="Arial" w:hAnsi="Arial" w:cs="Arial"/>
                <w:color w:val="000000" w:themeColor="text1"/>
                <w:lang w:val="sr-Cyrl-BA"/>
              </w:rPr>
              <w:t>о</w:t>
            </w:r>
            <w:r w:rsidR="00171F00">
              <w:rPr>
                <w:rFonts w:ascii="Arial" w:hAnsi="Arial" w:cs="Arial"/>
                <w:color w:val="000000" w:themeColor="text1"/>
                <w:lang w:val="sr-Cyrl-BA"/>
              </w:rPr>
              <w:t>з</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ком</w:t>
            </w:r>
            <w:r w:rsidR="0071360A">
              <w:rPr>
                <w:rFonts w:ascii="Arial" w:hAnsi="Arial" w:cs="Arial"/>
                <w:color w:val="000000" w:themeColor="text1"/>
                <w:lang w:val="sr-Cyrl-BA"/>
              </w:rPr>
              <w:t>у</w:t>
            </w:r>
            <w:r>
              <w:rPr>
                <w:rFonts w:ascii="Arial" w:hAnsi="Arial" w:cs="Arial"/>
                <w:color w:val="000000" w:themeColor="text1"/>
                <w:lang w:val="sr-Cyrl-BA"/>
              </w:rPr>
              <w:t>никациј</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ди</w:t>
            </w:r>
            <w:r w:rsidR="0071360A">
              <w:rPr>
                <w:rFonts w:ascii="Arial" w:hAnsi="Arial" w:cs="Arial"/>
                <w:color w:val="000000" w:themeColor="text1"/>
                <w:lang w:val="sr-Cyrl-BA"/>
              </w:rPr>
              <w:t>с</w:t>
            </w:r>
            <w:r>
              <w:rPr>
                <w:rFonts w:ascii="Arial" w:hAnsi="Arial" w:cs="Arial"/>
                <w:color w:val="000000" w:themeColor="text1"/>
                <w:lang w:val="sr-Cyrl-BA"/>
              </w:rPr>
              <w:t>к</w:t>
            </w:r>
            <w:r w:rsidR="0071360A">
              <w:rPr>
                <w:rFonts w:ascii="Arial" w:hAnsi="Arial" w:cs="Arial"/>
                <w:color w:val="000000" w:themeColor="text1"/>
                <w:lang w:val="sr-Cyrl-BA"/>
              </w:rPr>
              <w:t>ус</w:t>
            </w:r>
            <w:r>
              <w:rPr>
                <w:rFonts w:ascii="Arial" w:hAnsi="Arial" w:cs="Arial"/>
                <w:color w:val="000000" w:themeColor="text1"/>
                <w:lang w:val="sr-Cyrl-BA"/>
              </w:rPr>
              <w:t>иј</w:t>
            </w:r>
            <w:r w:rsidR="0071360A">
              <w:rPr>
                <w:rFonts w:ascii="Arial" w:hAnsi="Arial" w:cs="Arial"/>
                <w:color w:val="000000" w:themeColor="text1"/>
                <w:lang w:val="sr-Cyrl-BA"/>
              </w:rPr>
              <w:t>у</w:t>
            </w:r>
            <w:r w:rsidR="00B04FA8">
              <w:rPr>
                <w:rFonts w:ascii="Arial" w:hAnsi="Arial" w:cs="Arial"/>
                <w:color w:val="000000" w:themeColor="text1"/>
                <w:lang w:val="sr-Cyrl-BA"/>
              </w:rPr>
              <w:t xml:space="preserve"> са </w:t>
            </w:r>
            <w:r>
              <w:rPr>
                <w:rFonts w:ascii="Arial" w:hAnsi="Arial" w:cs="Arial"/>
                <w:color w:val="000000" w:themeColor="text1"/>
                <w:lang w:val="sr-Cyrl-BA"/>
              </w:rPr>
              <w:t>циљ</w:t>
            </w:r>
            <w:r w:rsidR="00EE6AA2">
              <w:rPr>
                <w:rFonts w:ascii="Arial" w:hAnsi="Arial" w:cs="Arial"/>
                <w:color w:val="000000" w:themeColor="text1"/>
                <w:lang w:val="sr-Cyrl-BA"/>
              </w:rPr>
              <w:t>е</w:t>
            </w:r>
            <w:r>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на</w:t>
            </w:r>
            <w:r w:rsidR="0071360A">
              <w:rPr>
                <w:rFonts w:ascii="Arial" w:hAnsi="Arial" w:cs="Arial"/>
                <w:color w:val="000000" w:themeColor="text1"/>
                <w:lang w:val="sr-Cyrl-BA"/>
              </w:rPr>
              <w:t>пр</w:t>
            </w:r>
            <w:r>
              <w:rPr>
                <w:rFonts w:ascii="Arial" w:hAnsi="Arial" w:cs="Arial"/>
                <w:color w:val="000000" w:themeColor="text1"/>
                <w:lang w:val="sr-Cyrl-BA"/>
              </w:rPr>
              <w:t>ј</w:t>
            </w:r>
            <w:r w:rsidR="00EE6AA2">
              <w:rPr>
                <w:rFonts w:ascii="Arial" w:hAnsi="Arial" w:cs="Arial"/>
                <w:color w:val="000000" w:themeColor="text1"/>
                <w:lang w:val="sr-Cyrl-BA"/>
              </w:rPr>
              <w:t>е</w:t>
            </w:r>
            <w:r>
              <w:rPr>
                <w:rFonts w:ascii="Arial" w:hAnsi="Arial" w:cs="Arial"/>
                <w:color w:val="000000" w:themeColor="text1"/>
                <w:lang w:val="sr-Cyrl-BA"/>
              </w:rPr>
              <w:t>ђ</w:t>
            </w:r>
            <w:r w:rsidR="00EE6AA2">
              <w:rPr>
                <w:rFonts w:ascii="Arial" w:hAnsi="Arial" w:cs="Arial"/>
                <w:color w:val="000000" w:themeColor="text1"/>
                <w:lang w:val="sr-Cyrl-BA"/>
              </w:rPr>
              <w:t>е</w:t>
            </w:r>
            <w:r>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оф</w:t>
            </w:r>
            <w:r w:rsidR="00EE6AA2">
              <w:rPr>
                <w:rFonts w:ascii="Arial" w:hAnsi="Arial" w:cs="Arial"/>
                <w:color w:val="000000" w:themeColor="text1"/>
                <w:lang w:val="sr-Cyrl-BA"/>
              </w:rPr>
              <w:t>е</w:t>
            </w:r>
            <w:r w:rsidR="0071360A">
              <w:rPr>
                <w:rFonts w:ascii="Arial" w:hAnsi="Arial" w:cs="Arial"/>
                <w:color w:val="000000" w:themeColor="text1"/>
                <w:lang w:val="sr-Cyrl-BA"/>
              </w:rPr>
              <w:t>с</w:t>
            </w:r>
            <w:r>
              <w:rPr>
                <w:rFonts w:ascii="Arial" w:hAnsi="Arial" w:cs="Arial"/>
                <w:color w:val="000000" w:themeColor="text1"/>
                <w:lang w:val="sr-Cyrl-BA"/>
              </w:rPr>
              <w:t>ионалног</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sidR="0071360A">
              <w:rPr>
                <w:rFonts w:ascii="Arial" w:hAnsi="Arial" w:cs="Arial"/>
                <w:color w:val="000000" w:themeColor="text1"/>
                <w:lang w:val="sr-Cyrl-BA"/>
              </w:rPr>
              <w:t>в</w:t>
            </w:r>
            <w:r>
              <w:rPr>
                <w:rFonts w:ascii="Arial" w:hAnsi="Arial" w:cs="Arial"/>
                <w:color w:val="000000" w:themeColor="text1"/>
                <w:lang w:val="sr-Cyrl-BA"/>
              </w:rPr>
              <w:t>оја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Мог</w:t>
            </w:r>
            <w:r w:rsidR="0071360A">
              <w:rPr>
                <w:rFonts w:ascii="Arial" w:hAnsi="Arial" w:cs="Arial"/>
                <w:color w:val="000000" w:themeColor="text1"/>
                <w:lang w:val="sr-Cyrl-BA"/>
              </w:rPr>
              <w:t>у</w:t>
            </w:r>
            <w:r>
              <w:rPr>
                <w:rFonts w:ascii="Arial" w:hAnsi="Arial" w:cs="Arial"/>
                <w:color w:val="000000" w:themeColor="text1"/>
                <w:lang w:val="sr-Cyrl-BA"/>
              </w:rPr>
              <w:t>ћ</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уп</w:t>
            </w:r>
            <w:r>
              <w:rPr>
                <w:rFonts w:ascii="Arial" w:hAnsi="Arial" w:cs="Arial"/>
                <w:color w:val="000000" w:themeColor="text1"/>
                <w:lang w:val="sr-Cyrl-BA"/>
              </w:rPr>
              <w:t>о</w:t>
            </w:r>
            <w:r w:rsidR="0071360A">
              <w:rPr>
                <w:rFonts w:ascii="Arial" w:hAnsi="Arial" w:cs="Arial"/>
                <w:color w:val="000000" w:themeColor="text1"/>
                <w:lang w:val="sr-Cyrl-BA"/>
              </w:rPr>
              <w:t>тр</w:t>
            </w:r>
            <w:r>
              <w:rPr>
                <w:rFonts w:ascii="Arial" w:hAnsi="Arial" w:cs="Arial"/>
                <w:color w:val="000000" w:themeColor="text1"/>
                <w:lang w:val="sr-Cyrl-BA"/>
              </w:rPr>
              <w:t>иј</w:t>
            </w:r>
            <w:r w:rsidR="00EE6AA2">
              <w:rPr>
                <w:rFonts w:ascii="Arial" w:hAnsi="Arial" w:cs="Arial"/>
                <w:color w:val="000000" w:themeColor="text1"/>
                <w:lang w:val="sr-Cyrl-BA"/>
              </w:rPr>
              <w:t>е</w:t>
            </w:r>
            <w:r>
              <w:rPr>
                <w:rFonts w:ascii="Arial" w:hAnsi="Arial" w:cs="Arial"/>
                <w:color w:val="000000" w:themeColor="text1"/>
                <w:lang w:val="sr-Cyrl-BA"/>
              </w:rPr>
              <w:t>би</w:t>
            </w:r>
            <w:r w:rsidR="0071360A">
              <w:rPr>
                <w:rFonts w:ascii="Arial" w:hAnsi="Arial" w:cs="Arial"/>
                <w:color w:val="000000" w:themeColor="text1"/>
                <w:lang w:val="sr-Cyrl-BA"/>
              </w:rPr>
              <w:t>т</w:t>
            </w:r>
            <w:r>
              <w:rPr>
                <w:rFonts w:ascii="Arial" w:hAnsi="Arial" w:cs="Arial"/>
                <w:color w:val="000000" w:themeColor="text1"/>
                <w:lang w:val="sr-Cyrl-BA"/>
              </w:rPr>
              <w:t>и</w:t>
            </w:r>
            <w:r w:rsidR="00C07B3E"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ла</w:t>
            </w:r>
            <w:r w:rsidR="0071360A">
              <w:rPr>
                <w:rFonts w:ascii="Arial" w:hAnsi="Arial" w:cs="Arial"/>
                <w:color w:val="000000" w:themeColor="text1"/>
                <w:lang w:val="sr-Cyrl-BA"/>
              </w:rPr>
              <w:t>т</w:t>
            </w:r>
            <w:r>
              <w:rPr>
                <w:rFonts w:ascii="Arial" w:hAnsi="Arial" w:cs="Arial"/>
                <w:color w:val="000000" w:themeColor="text1"/>
                <w:lang w:val="sr-Cyrl-BA"/>
              </w:rPr>
              <w:t>фо</w:t>
            </w:r>
            <w:r w:rsidR="0071360A">
              <w:rPr>
                <w:rFonts w:ascii="Arial" w:hAnsi="Arial" w:cs="Arial"/>
                <w:color w:val="000000" w:themeColor="text1"/>
                <w:lang w:val="sr-Cyrl-BA"/>
              </w:rPr>
              <w:t>р</w:t>
            </w:r>
            <w:r>
              <w:rPr>
                <w:rFonts w:ascii="Arial" w:hAnsi="Arial" w:cs="Arial"/>
                <w:color w:val="000000" w:themeColor="text1"/>
                <w:lang w:val="sr-Cyrl-BA"/>
              </w:rPr>
              <w:t>м</w:t>
            </w:r>
            <w:r w:rsidR="00EE6AA2">
              <w:rPr>
                <w:rFonts w:ascii="Arial" w:hAnsi="Arial" w:cs="Arial"/>
                <w:color w:val="000000" w:themeColor="text1"/>
                <w:lang w:val="sr-Cyrl-BA"/>
              </w:rPr>
              <w:t>е</w:t>
            </w:r>
            <w:r w:rsidR="00C07B3E"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sidR="00EE6AA2">
              <w:rPr>
                <w:rFonts w:ascii="Arial" w:hAnsi="Arial" w:cs="Arial"/>
                <w:color w:val="000000" w:themeColor="text1"/>
                <w:lang w:val="sr-Cyrl-BA"/>
              </w:rPr>
              <w:t>е</w:t>
            </w:r>
            <w:r w:rsidR="00C07B3E" w:rsidRPr="00F6340E">
              <w:rPr>
                <w:rFonts w:ascii="Arial" w:hAnsi="Arial" w:cs="Arial"/>
                <w:color w:val="000000" w:themeColor="text1"/>
                <w:lang w:val="sr-Cyrl-BA"/>
              </w:rPr>
              <w:t xml:space="preserve"> </w:t>
            </w:r>
            <w:r w:rsidR="0071360A">
              <w:rPr>
                <w:rFonts w:ascii="Arial" w:hAnsi="Arial" w:cs="Arial"/>
                <w:color w:val="000000" w:themeColor="text1"/>
                <w:lang w:val="sr-Cyrl-BA"/>
              </w:rPr>
              <w:t>пут</w:t>
            </w:r>
            <w:r w:rsidR="00EE6AA2">
              <w:rPr>
                <w:rFonts w:ascii="Arial" w:hAnsi="Arial" w:cs="Arial"/>
                <w:color w:val="000000" w:themeColor="text1"/>
                <w:lang w:val="sr-Cyrl-BA"/>
              </w:rPr>
              <w:t>е</w:t>
            </w:r>
            <w:r>
              <w:rPr>
                <w:rFonts w:ascii="Arial" w:hAnsi="Arial" w:cs="Arial"/>
                <w:color w:val="000000" w:themeColor="text1"/>
                <w:lang w:val="sr-Cyrl-BA"/>
              </w:rPr>
              <w:t>м</w:t>
            </w:r>
            <w:r w:rsidR="00C07B3E" w:rsidRPr="00F6340E">
              <w:rPr>
                <w:rFonts w:ascii="Arial" w:hAnsi="Arial" w:cs="Arial"/>
                <w:color w:val="000000" w:themeColor="text1"/>
                <w:lang w:val="sr-Cyrl-BA"/>
              </w:rPr>
              <w:t xml:space="preserve"> </w:t>
            </w:r>
            <w:r>
              <w:rPr>
                <w:rFonts w:ascii="Arial" w:hAnsi="Arial" w:cs="Arial"/>
                <w:color w:val="000000" w:themeColor="text1"/>
                <w:lang w:val="sr-Cyrl-BA"/>
              </w:rPr>
              <w:t>ин</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р</w:t>
            </w:r>
            <w:r>
              <w:rPr>
                <w:rFonts w:ascii="Arial" w:hAnsi="Arial" w:cs="Arial"/>
                <w:color w:val="000000" w:themeColor="text1"/>
                <w:lang w:val="sr-Cyrl-BA"/>
              </w:rPr>
              <w:t>н</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ЛМ</w:t>
            </w:r>
            <w:r w:rsidR="0071360A">
              <w:rPr>
                <w:rFonts w:ascii="Arial" w:hAnsi="Arial" w:cs="Arial"/>
                <w:color w:val="000000" w:themeColor="text1"/>
                <w:lang w:val="sr-Cyrl-BA"/>
              </w:rPr>
              <w:t>С</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w:t>
            </w:r>
            <w:r w:rsidR="0071360A">
              <w:rPr>
                <w:rFonts w:ascii="Arial" w:hAnsi="Arial" w:cs="Arial"/>
                <w:color w:val="000000" w:themeColor="text1"/>
                <w:lang w:val="sr-Cyrl-BA"/>
              </w:rPr>
              <w:t>ру</w:t>
            </w:r>
            <w:r>
              <w:rPr>
                <w:rFonts w:ascii="Arial" w:hAnsi="Arial" w:cs="Arial"/>
                <w:color w:val="000000" w:themeColor="text1"/>
                <w:lang w:val="sr-Cyrl-BA"/>
              </w:rPr>
              <w:t>г</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канал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инфо</w:t>
            </w:r>
            <w:r w:rsidR="0071360A">
              <w:rPr>
                <w:rFonts w:ascii="Arial" w:hAnsi="Arial" w:cs="Arial"/>
                <w:color w:val="000000" w:themeColor="text1"/>
                <w:lang w:val="sr-Cyrl-BA"/>
              </w:rPr>
              <w:t>р</w:t>
            </w:r>
            <w:r>
              <w:rPr>
                <w:rFonts w:ascii="Arial" w:hAnsi="Arial" w:cs="Arial"/>
                <w:color w:val="000000" w:themeColor="text1"/>
                <w:lang w:val="sr-Cyrl-BA"/>
              </w:rPr>
              <w:t>мација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ја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ај</w:t>
            </w:r>
            <w:r w:rsidR="00EE6AA2">
              <w:rPr>
                <w:rFonts w:ascii="Arial" w:hAnsi="Arial" w:cs="Arial"/>
                <w:color w:val="000000" w:themeColor="text1"/>
                <w:lang w:val="sr-Cyrl-BA"/>
              </w:rPr>
              <w:t>е</w:t>
            </w:r>
            <w:r>
              <w:rPr>
                <w:rFonts w:ascii="Arial" w:hAnsi="Arial" w:cs="Arial"/>
                <w:color w:val="000000" w:themeColor="text1"/>
                <w:lang w:val="sr-Cyrl-BA"/>
              </w:rPr>
              <w:t>дниц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ак</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до</w:t>
            </w:r>
            <w:r w:rsidR="0071360A">
              <w:rPr>
                <w:rFonts w:ascii="Arial" w:hAnsi="Arial" w:cs="Arial"/>
                <w:color w:val="000000" w:themeColor="text1"/>
                <w:lang w:val="sr-Cyrl-BA"/>
              </w:rPr>
              <w:t>пр</w:t>
            </w:r>
            <w:r>
              <w:rPr>
                <w:rFonts w:ascii="Arial" w:hAnsi="Arial" w:cs="Arial"/>
                <w:color w:val="000000" w:themeColor="text1"/>
                <w:lang w:val="sr-Cyrl-BA"/>
              </w:rPr>
              <w:t>ино</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sidR="0071360A">
              <w:rPr>
                <w:rFonts w:ascii="Arial" w:hAnsi="Arial" w:cs="Arial"/>
                <w:color w:val="000000" w:themeColor="text1"/>
                <w:lang w:val="sr-Cyrl-BA"/>
              </w:rPr>
              <w:t>в</w:t>
            </w:r>
            <w:r>
              <w:rPr>
                <w:rFonts w:ascii="Arial" w:hAnsi="Arial" w:cs="Arial"/>
                <w:color w:val="000000" w:themeColor="text1"/>
                <w:lang w:val="sr-Cyrl-BA"/>
              </w:rPr>
              <w:t>ој</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sidR="00EE6AA2">
              <w:rPr>
                <w:rFonts w:ascii="Arial" w:hAnsi="Arial" w:cs="Arial"/>
                <w:color w:val="000000" w:themeColor="text1"/>
                <w:lang w:val="sr-Cyrl-BA"/>
              </w:rPr>
              <w:t>е</w:t>
            </w:r>
            <w:r>
              <w:rPr>
                <w:rFonts w:ascii="Arial" w:hAnsi="Arial" w:cs="Arial"/>
                <w:color w:val="000000" w:themeColor="text1"/>
                <w:lang w:val="sr-Cyrl-BA"/>
              </w:rPr>
              <w:t>даго</w:t>
            </w:r>
            <w:r w:rsidR="0071360A">
              <w:rPr>
                <w:rFonts w:ascii="Arial" w:hAnsi="Arial" w:cs="Arial"/>
                <w:color w:val="000000" w:themeColor="text1"/>
                <w:lang w:val="sr-Cyrl-BA"/>
              </w:rPr>
              <w:t>ш</w:t>
            </w:r>
            <w:r>
              <w:rPr>
                <w:rFonts w:ascii="Arial" w:hAnsi="Arial" w:cs="Arial"/>
                <w:color w:val="000000" w:themeColor="text1"/>
                <w:lang w:val="sr-Cyrl-BA"/>
              </w:rPr>
              <w:t>ких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диги</w:t>
            </w:r>
            <w:r w:rsidR="0071360A">
              <w:rPr>
                <w:rFonts w:ascii="Arial" w:hAnsi="Arial" w:cs="Arial"/>
                <w:color w:val="000000" w:themeColor="text1"/>
                <w:lang w:val="sr-Cyrl-BA"/>
              </w:rPr>
              <w:t>т</w:t>
            </w:r>
            <w:r>
              <w:rPr>
                <w:rFonts w:ascii="Arial" w:hAnsi="Arial" w:cs="Arial"/>
                <w:color w:val="000000" w:themeColor="text1"/>
                <w:lang w:val="sr-Cyrl-BA"/>
              </w:rPr>
              <w:t>алних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ком</w:t>
            </w:r>
            <w:r w:rsidR="0071360A">
              <w:rPr>
                <w:rFonts w:ascii="Arial" w:hAnsi="Arial" w:cs="Arial"/>
                <w:color w:val="000000" w:themeColor="text1"/>
                <w:lang w:val="sr-Cyrl-BA"/>
              </w:rPr>
              <w:t>п</w:t>
            </w:r>
            <w:r w:rsidR="00EE6AA2">
              <w:rPr>
                <w:rFonts w:ascii="Arial" w:hAnsi="Arial" w:cs="Arial"/>
                <w:color w:val="000000" w:themeColor="text1"/>
                <w:lang w:val="sr-Cyrl-BA"/>
              </w:rPr>
              <w:t>е</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нција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м</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алном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с</w:t>
            </w:r>
            <w:r>
              <w:rPr>
                <w:rFonts w:ascii="Arial" w:hAnsi="Arial" w:cs="Arial"/>
                <w:color w:val="000000" w:themeColor="text1"/>
                <w:lang w:val="sr-Cyrl-BA"/>
              </w:rPr>
              <w:t>на</w:t>
            </w:r>
            <w:r w:rsidR="00171F00">
              <w:rPr>
                <w:rFonts w:ascii="Arial" w:hAnsi="Arial" w:cs="Arial"/>
                <w:color w:val="000000" w:themeColor="text1"/>
                <w:lang w:val="sr-Cyrl-BA"/>
              </w:rPr>
              <w:t>ж</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ањ</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ника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w:t>
            </w:r>
            <w:r w:rsidR="0071360A">
              <w:rPr>
                <w:rFonts w:ascii="Arial" w:hAnsi="Arial" w:cs="Arial"/>
                <w:color w:val="000000" w:themeColor="text1"/>
                <w:lang w:val="sr-Cyrl-BA"/>
              </w:rPr>
              <w:t>р</w:t>
            </w:r>
            <w:r>
              <w:rPr>
                <w:rFonts w:ascii="Arial" w:hAnsi="Arial" w:cs="Arial"/>
                <w:color w:val="000000" w:themeColor="text1"/>
                <w:lang w:val="sr-Cyrl-BA"/>
              </w:rPr>
              <w:t>о</w:t>
            </w:r>
            <w:r w:rsidR="00171F00">
              <w:rPr>
                <w:rFonts w:ascii="Arial" w:hAnsi="Arial" w:cs="Arial"/>
                <w:color w:val="000000" w:themeColor="text1"/>
                <w:lang w:val="sr-Cyrl-BA"/>
              </w:rPr>
              <w:t>з</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ајамн</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од</w:t>
            </w:r>
            <w:r w:rsidR="0071360A">
              <w:rPr>
                <w:rFonts w:ascii="Arial" w:hAnsi="Arial" w:cs="Arial"/>
                <w:color w:val="000000" w:themeColor="text1"/>
                <w:lang w:val="sr-Cyrl-BA"/>
              </w:rPr>
              <w:t>рш</w:t>
            </w:r>
            <w:r>
              <w:rPr>
                <w:rFonts w:ascii="Arial" w:hAnsi="Arial" w:cs="Arial"/>
                <w:color w:val="000000" w:themeColor="text1"/>
                <w:lang w:val="sr-Cyrl-BA"/>
              </w:rPr>
              <w:t>к</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ид</w:t>
            </w:r>
            <w:r w:rsidR="00EE6AA2">
              <w:rPr>
                <w:rFonts w:ascii="Arial" w:hAnsi="Arial" w:cs="Arial"/>
                <w:color w:val="000000" w:themeColor="text1"/>
                <w:lang w:val="sr-Cyrl-BA"/>
              </w:rPr>
              <w:t>е</w:t>
            </w:r>
            <w:r>
              <w:rPr>
                <w:rFonts w:ascii="Arial" w:hAnsi="Arial" w:cs="Arial"/>
                <w:color w:val="000000" w:themeColor="text1"/>
                <w:lang w:val="sr-Cyrl-BA"/>
              </w:rPr>
              <w:t>јама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имј</w:t>
            </w:r>
            <w:r w:rsidR="00EE6AA2">
              <w:rPr>
                <w:rFonts w:ascii="Arial" w:hAnsi="Arial" w:cs="Arial"/>
                <w:color w:val="000000" w:themeColor="text1"/>
                <w:lang w:val="sr-Cyrl-BA"/>
              </w:rPr>
              <w:t>е</w:t>
            </w:r>
            <w:r>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а</w:t>
            </w:r>
            <w:r w:rsidR="0071360A">
              <w:rPr>
                <w:rFonts w:ascii="Arial" w:hAnsi="Arial" w:cs="Arial"/>
                <w:color w:val="000000" w:themeColor="text1"/>
                <w:lang w:val="sr-Cyrl-BA"/>
              </w:rPr>
              <w:t>вр</w:t>
            </w:r>
            <w:r w:rsidR="00EE6AA2">
              <w:rPr>
                <w:rFonts w:ascii="Arial" w:hAnsi="Arial" w:cs="Arial"/>
                <w:color w:val="000000" w:themeColor="text1"/>
                <w:lang w:val="sr-Cyrl-BA"/>
              </w:rPr>
              <w:t>е</w:t>
            </w:r>
            <w:r>
              <w:rPr>
                <w:rFonts w:ascii="Arial" w:hAnsi="Arial" w:cs="Arial"/>
                <w:color w:val="000000" w:themeColor="text1"/>
                <w:lang w:val="sr-Cyrl-BA"/>
              </w:rPr>
              <w:t>м</w:t>
            </w:r>
            <w:r w:rsidR="00EE6AA2">
              <w:rPr>
                <w:rFonts w:ascii="Arial" w:hAnsi="Arial" w:cs="Arial"/>
                <w:color w:val="000000" w:themeColor="text1"/>
                <w:lang w:val="sr-Cyrl-BA"/>
              </w:rPr>
              <w:t>е</w:t>
            </w:r>
            <w:r>
              <w:rPr>
                <w:rFonts w:ascii="Arial" w:hAnsi="Arial" w:cs="Arial"/>
                <w:color w:val="000000" w:themeColor="text1"/>
                <w:lang w:val="sr-Cyrl-BA"/>
              </w:rPr>
              <w:t>них</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м</w:t>
            </w:r>
            <w:r w:rsidR="00EE6AA2">
              <w:rPr>
                <w:rFonts w:ascii="Arial" w:hAnsi="Arial" w:cs="Arial"/>
                <w:color w:val="000000" w:themeColor="text1"/>
                <w:lang w:val="sr-Cyrl-BA"/>
              </w:rPr>
              <w:t>е</w:t>
            </w:r>
            <w:r w:rsidR="0071360A">
              <w:rPr>
                <w:rFonts w:ascii="Arial" w:hAnsi="Arial" w:cs="Arial"/>
                <w:color w:val="000000" w:themeColor="text1"/>
                <w:lang w:val="sr-Cyrl-BA"/>
              </w:rPr>
              <w:t>т</w:t>
            </w:r>
            <w:r>
              <w:rPr>
                <w:rFonts w:ascii="Arial" w:hAnsi="Arial" w:cs="Arial"/>
                <w:color w:val="000000" w:themeColor="text1"/>
                <w:lang w:val="sr-Cyrl-BA"/>
              </w:rPr>
              <w:t>ода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облика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Pr>
                <w:rFonts w:ascii="Arial" w:hAnsi="Arial" w:cs="Arial"/>
                <w:color w:val="000000" w:themeColor="text1"/>
                <w:lang w:val="sr-Cyrl-BA"/>
              </w:rPr>
              <w:t>ада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на</w:t>
            </w:r>
            <w:r w:rsidR="0071360A">
              <w:rPr>
                <w:rFonts w:ascii="Arial" w:hAnsi="Arial" w:cs="Arial"/>
                <w:color w:val="000000" w:themeColor="text1"/>
                <w:lang w:val="sr-Cyrl-BA"/>
              </w:rPr>
              <w:t>ст</w:t>
            </w:r>
            <w:r>
              <w:rPr>
                <w:rFonts w:ascii="Arial" w:hAnsi="Arial" w:cs="Arial"/>
                <w:color w:val="000000" w:themeColor="text1"/>
                <w:lang w:val="sr-Cyrl-BA"/>
              </w:rPr>
              <w:t>а</w:t>
            </w:r>
            <w:r w:rsidR="0071360A">
              <w:rPr>
                <w:rFonts w:ascii="Arial" w:hAnsi="Arial" w:cs="Arial"/>
                <w:color w:val="000000" w:themeColor="text1"/>
                <w:lang w:val="sr-Cyrl-BA"/>
              </w:rPr>
              <w:t>в</w:t>
            </w:r>
            <w:r>
              <w:rPr>
                <w:rFonts w:ascii="Arial" w:hAnsi="Arial" w:cs="Arial"/>
                <w:color w:val="000000" w:themeColor="text1"/>
                <w:lang w:val="sr-Cyrl-BA"/>
              </w:rPr>
              <w:t>ном</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оц</w:t>
            </w:r>
            <w:r w:rsidR="00EE6AA2">
              <w:rPr>
                <w:rFonts w:ascii="Arial" w:hAnsi="Arial" w:cs="Arial"/>
                <w:color w:val="000000" w:themeColor="text1"/>
                <w:lang w:val="sr-Cyrl-BA"/>
              </w:rPr>
              <w:t>е</w:t>
            </w:r>
            <w:r w:rsidR="0071360A">
              <w:rPr>
                <w:rFonts w:ascii="Arial" w:hAnsi="Arial" w:cs="Arial"/>
                <w:color w:val="000000" w:themeColor="text1"/>
                <w:lang w:val="sr-Cyrl-BA"/>
              </w:rPr>
              <w:t>су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илагођа</w:t>
            </w:r>
            <w:r w:rsidR="0071360A">
              <w:rPr>
                <w:rFonts w:ascii="Arial" w:hAnsi="Arial" w:cs="Arial"/>
                <w:color w:val="000000" w:themeColor="text1"/>
                <w:lang w:val="sr-Cyrl-BA"/>
              </w:rPr>
              <w:t>в</w:t>
            </w:r>
            <w:r>
              <w:rPr>
                <w:rFonts w:ascii="Arial" w:hAnsi="Arial" w:cs="Arial"/>
                <w:color w:val="000000" w:themeColor="text1"/>
                <w:lang w:val="sr-Cyrl-BA"/>
              </w:rPr>
              <w:t>ањ</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Pr>
                <w:rFonts w:ascii="Arial" w:hAnsi="Arial" w:cs="Arial"/>
                <w:color w:val="000000" w:themeColor="text1"/>
                <w:lang w:val="sr-Cyrl-BA"/>
              </w:rPr>
              <w:t>ад</w:t>
            </w:r>
            <w:r w:rsidR="0071360A">
              <w:rPr>
                <w:rFonts w:ascii="Arial" w:hAnsi="Arial" w:cs="Arial"/>
                <w:color w:val="000000" w:themeColor="text1"/>
                <w:lang w:val="sr-Cyrl-BA"/>
              </w:rPr>
              <w:t>р</w:t>
            </w:r>
            <w:r w:rsidR="00171F00">
              <w:rPr>
                <w:rFonts w:ascii="Arial" w:hAnsi="Arial" w:cs="Arial"/>
                <w:color w:val="000000" w:themeColor="text1"/>
                <w:lang w:val="sr-Cyrl-BA"/>
              </w:rPr>
              <w:t>ж</w:t>
            </w:r>
            <w:r>
              <w:rPr>
                <w:rFonts w:ascii="Arial" w:hAnsi="Arial" w:cs="Arial"/>
                <w:color w:val="000000" w:themeColor="text1"/>
                <w:lang w:val="sr-Cyrl-BA"/>
              </w:rPr>
              <w:t>аја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инкл</w:t>
            </w:r>
            <w:r w:rsidR="0071360A">
              <w:rPr>
                <w:rFonts w:ascii="Arial" w:hAnsi="Arial" w:cs="Arial"/>
                <w:color w:val="000000" w:themeColor="text1"/>
                <w:lang w:val="sr-Cyrl-BA"/>
              </w:rPr>
              <w:t>у</w:t>
            </w:r>
            <w:r w:rsidR="00171F00">
              <w:rPr>
                <w:rFonts w:ascii="Arial" w:hAnsi="Arial" w:cs="Arial"/>
                <w:color w:val="000000" w:themeColor="text1"/>
                <w:lang w:val="sr-Cyrl-BA"/>
              </w:rPr>
              <w:t>з</w:t>
            </w:r>
            <w:r>
              <w:rPr>
                <w:rFonts w:ascii="Arial" w:hAnsi="Arial" w:cs="Arial"/>
                <w:color w:val="000000" w:themeColor="text1"/>
                <w:lang w:val="sr-Cyrl-BA"/>
              </w:rPr>
              <w:t>и</w:t>
            </w:r>
            <w:r w:rsidR="0071360A">
              <w:rPr>
                <w:rFonts w:ascii="Arial" w:hAnsi="Arial" w:cs="Arial"/>
                <w:color w:val="000000" w:themeColor="text1"/>
                <w:lang w:val="sr-Cyrl-BA"/>
              </w:rPr>
              <w:t>в</w:t>
            </w:r>
            <w:r>
              <w:rPr>
                <w:rFonts w:ascii="Arial" w:hAnsi="Arial" w:cs="Arial"/>
                <w:color w:val="000000" w:themeColor="text1"/>
                <w:lang w:val="sr-Cyrl-BA"/>
              </w:rPr>
              <w:t>ном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w:t>
            </w:r>
            <w:r w:rsidR="0071360A">
              <w:rPr>
                <w:rFonts w:ascii="Arial" w:hAnsi="Arial" w:cs="Arial"/>
                <w:color w:val="000000" w:themeColor="text1"/>
                <w:lang w:val="sr-Cyrl-BA"/>
              </w:rPr>
              <w:t>р</w:t>
            </w:r>
            <w:r>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о</w:t>
            </w:r>
            <w:r w:rsidR="0071360A">
              <w:rPr>
                <w:rFonts w:ascii="Arial" w:hAnsi="Arial" w:cs="Arial"/>
                <w:color w:val="000000" w:themeColor="text1"/>
                <w:lang w:val="sr-Cyrl-BA"/>
              </w:rPr>
              <w:t>в</w:t>
            </w:r>
            <w:r>
              <w:rPr>
                <w:rFonts w:ascii="Arial" w:hAnsi="Arial" w:cs="Arial"/>
                <w:color w:val="000000" w:themeColor="text1"/>
                <w:lang w:val="sr-Cyrl-BA"/>
              </w:rPr>
              <w:t>ном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ок</w:t>
            </w:r>
            <w:r w:rsidR="0071360A">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Pr>
                <w:rFonts w:ascii="Arial" w:hAnsi="Arial" w:cs="Arial"/>
                <w:color w:val="000000" w:themeColor="text1"/>
                <w:lang w:val="sr-Cyrl-BA"/>
              </w:rPr>
              <w:t>њ</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али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Pr>
                <w:rFonts w:ascii="Arial" w:hAnsi="Arial" w:cs="Arial"/>
                <w:color w:val="000000" w:themeColor="text1"/>
                <w:lang w:val="sr-Cyrl-BA"/>
              </w:rPr>
              <w:t>иликама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св</w:t>
            </w:r>
            <w:r>
              <w:rPr>
                <w:rFonts w:ascii="Arial" w:hAnsi="Arial" w:cs="Arial"/>
                <w:color w:val="000000" w:themeColor="text1"/>
                <w:lang w:val="sr-Cyrl-BA"/>
              </w:rPr>
              <w:t>аког</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Pr>
                <w:rFonts w:ascii="Arial" w:hAnsi="Arial" w:cs="Arial"/>
                <w:color w:val="000000" w:themeColor="text1"/>
                <w:lang w:val="sr-Cyrl-BA"/>
              </w:rPr>
              <w:t>кљ</w:t>
            </w:r>
            <w:r w:rsidR="0071360A">
              <w:rPr>
                <w:rFonts w:ascii="Arial" w:hAnsi="Arial" w:cs="Arial"/>
                <w:color w:val="000000" w:themeColor="text1"/>
                <w:lang w:val="sr-Cyrl-BA"/>
              </w:rPr>
              <w:t>у</w:t>
            </w:r>
            <w:r>
              <w:rPr>
                <w:rFonts w:ascii="Arial" w:hAnsi="Arial" w:cs="Arial"/>
                <w:color w:val="000000" w:themeColor="text1"/>
                <w:lang w:val="sr-Cyrl-BA"/>
              </w:rPr>
              <w:t>ч</w:t>
            </w:r>
            <w:r w:rsidR="00EE6AA2">
              <w:rPr>
                <w:rFonts w:ascii="Arial" w:hAnsi="Arial" w:cs="Arial"/>
                <w:color w:val="000000" w:themeColor="text1"/>
                <w:lang w:val="sr-Cyrl-BA"/>
              </w:rPr>
              <w:t>е</w:t>
            </w:r>
            <w:r>
              <w:rPr>
                <w:rFonts w:ascii="Arial" w:hAnsi="Arial" w:cs="Arial"/>
                <w:color w:val="000000" w:themeColor="text1"/>
                <w:lang w:val="sr-Cyrl-BA"/>
              </w:rPr>
              <w:t>ног</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да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он</w:t>
            </w:r>
            <w:r w:rsidR="0071360A">
              <w:rPr>
                <w:rFonts w:ascii="Arial" w:hAnsi="Arial" w:cs="Arial"/>
                <w:color w:val="000000" w:themeColor="text1"/>
                <w:lang w:val="sr-Cyrl-BA"/>
              </w:rPr>
              <w:t>у</w:t>
            </w:r>
            <w:r>
              <w:rPr>
                <w:rFonts w:ascii="Arial" w:hAnsi="Arial" w:cs="Arial"/>
                <w:color w:val="000000" w:themeColor="text1"/>
                <w:lang w:val="sr-Cyrl-BA"/>
              </w:rPr>
              <w:t>ди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в</w:t>
            </w:r>
            <w:r>
              <w:rPr>
                <w:rFonts w:ascii="Arial" w:hAnsi="Arial" w:cs="Arial"/>
                <w:color w:val="000000" w:themeColor="text1"/>
                <w:lang w:val="sr-Cyrl-BA"/>
              </w:rPr>
              <w:t>ла</w:t>
            </w:r>
            <w:r w:rsidR="0071360A">
              <w:rPr>
                <w:rFonts w:ascii="Arial" w:hAnsi="Arial" w:cs="Arial"/>
                <w:color w:val="000000" w:themeColor="text1"/>
                <w:lang w:val="sr-Cyrl-BA"/>
              </w:rPr>
              <w:t>ст</w:t>
            </w:r>
            <w:r>
              <w:rPr>
                <w:rFonts w:ascii="Arial" w:hAnsi="Arial" w:cs="Arial"/>
                <w:color w:val="000000" w:themeColor="text1"/>
                <w:lang w:val="sr-Cyrl-BA"/>
              </w:rPr>
              <w:t>и</w:t>
            </w:r>
            <w:r w:rsidR="0071360A">
              <w:rPr>
                <w:rFonts w:ascii="Arial" w:hAnsi="Arial" w:cs="Arial"/>
                <w:color w:val="000000" w:themeColor="text1"/>
                <w:lang w:val="sr-Cyrl-BA"/>
              </w:rPr>
              <w:t>ту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Pr>
                <w:rFonts w:ascii="Arial" w:hAnsi="Arial" w:cs="Arial"/>
                <w:color w:val="000000" w:themeColor="text1"/>
                <w:lang w:val="sr-Cyrl-BA"/>
              </w:rPr>
              <w:t>од</w:t>
            </w:r>
            <w:r w:rsidR="0071360A">
              <w:rPr>
                <w:rFonts w:ascii="Arial" w:hAnsi="Arial" w:cs="Arial"/>
                <w:color w:val="000000" w:themeColor="text1"/>
                <w:lang w:val="sr-Cyrl-BA"/>
              </w:rPr>
              <w:t>рш</w:t>
            </w:r>
            <w:r>
              <w:rPr>
                <w:rFonts w:ascii="Arial" w:hAnsi="Arial" w:cs="Arial"/>
                <w:color w:val="000000" w:themeColor="text1"/>
                <w:lang w:val="sr-Cyrl-BA"/>
              </w:rPr>
              <w:t>к</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м</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о</w:t>
            </w:r>
            <w:r w:rsidR="0071360A">
              <w:rPr>
                <w:rFonts w:ascii="Arial" w:hAnsi="Arial" w:cs="Arial"/>
                <w:color w:val="000000" w:themeColor="text1"/>
                <w:lang w:val="sr-Cyrl-BA"/>
              </w:rPr>
              <w:t>рств</w:t>
            </w:r>
            <w:r>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обла</w:t>
            </w:r>
            <w:r w:rsidR="0071360A">
              <w:rPr>
                <w:rFonts w:ascii="Arial" w:hAnsi="Arial" w:cs="Arial"/>
                <w:color w:val="000000" w:themeColor="text1"/>
                <w:lang w:val="sr-Cyrl-BA"/>
              </w:rPr>
              <w:t>ст</w:t>
            </w:r>
            <w:r>
              <w:rPr>
                <w:rFonts w:ascii="Arial" w:hAnsi="Arial" w:cs="Arial"/>
                <w:color w:val="000000" w:themeColor="text1"/>
                <w:lang w:val="sr-Cyrl-BA"/>
              </w:rPr>
              <w:t>има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којима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о</w:t>
            </w:r>
            <w:r w:rsidR="0071360A">
              <w:rPr>
                <w:rFonts w:ascii="Arial" w:hAnsi="Arial" w:cs="Arial"/>
                <w:color w:val="000000" w:themeColor="text1"/>
                <w:lang w:val="sr-Cyrl-BA"/>
              </w:rPr>
              <w:t>с</w:t>
            </w:r>
            <w:r>
              <w:rPr>
                <w:rFonts w:ascii="Arial" w:hAnsi="Arial" w:cs="Arial"/>
                <w:color w:val="000000" w:themeColor="text1"/>
                <w:lang w:val="sr-Cyrl-BA"/>
              </w:rPr>
              <w:t>ј</w:t>
            </w:r>
            <w:r w:rsidR="00EE6AA2">
              <w:rPr>
                <w:rFonts w:ascii="Arial" w:hAnsi="Arial" w:cs="Arial"/>
                <w:color w:val="000000" w:themeColor="text1"/>
                <w:lang w:val="sr-Cyrl-BA"/>
              </w:rPr>
              <w:t>е</w:t>
            </w:r>
            <w:r>
              <w:rPr>
                <w:rFonts w:ascii="Arial" w:hAnsi="Arial" w:cs="Arial"/>
                <w:color w:val="000000" w:themeColor="text1"/>
                <w:lang w:val="sr-Cyrl-BA"/>
              </w:rPr>
              <w:t>ћа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ком</w:t>
            </w:r>
            <w:r w:rsidR="0071360A">
              <w:rPr>
                <w:rFonts w:ascii="Arial" w:hAnsi="Arial" w:cs="Arial"/>
                <w:color w:val="000000" w:themeColor="text1"/>
                <w:lang w:val="sr-Cyrl-BA"/>
              </w:rPr>
              <w:t>п</w:t>
            </w:r>
            <w:r w:rsidR="00EE6AA2">
              <w:rPr>
                <w:rFonts w:ascii="Arial" w:hAnsi="Arial" w:cs="Arial"/>
                <w:color w:val="000000" w:themeColor="text1"/>
                <w:lang w:val="sr-Cyrl-BA"/>
              </w:rPr>
              <w:t>е</w:t>
            </w:r>
            <w:r w:rsidR="0071360A">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н</w:t>
            </w:r>
            <w:r w:rsidR="0071360A">
              <w:rPr>
                <w:rFonts w:ascii="Arial" w:hAnsi="Arial" w:cs="Arial"/>
                <w:color w:val="000000" w:themeColor="text1"/>
                <w:lang w:val="sr-Cyrl-BA"/>
              </w:rPr>
              <w:t>т</w:t>
            </w:r>
            <w:r>
              <w:rPr>
                <w:rFonts w:ascii="Arial" w:hAnsi="Arial" w:cs="Arial"/>
                <w:color w:val="000000" w:themeColor="text1"/>
                <w:lang w:val="sr-Cyrl-BA"/>
              </w:rPr>
              <w:t>ним</w:t>
            </w:r>
            <w:r w:rsidR="00892898" w:rsidRPr="00F6340E">
              <w:rPr>
                <w:rFonts w:ascii="Arial" w:hAnsi="Arial" w:cs="Arial"/>
                <w:color w:val="000000" w:themeColor="text1"/>
                <w:lang w:val="sr-Cyrl-BA"/>
              </w:rPr>
              <w:t xml:space="preserve">. </w:t>
            </w:r>
          </w:p>
          <w:p w14:paraId="5A9C4E6E" w14:textId="0145C994" w:rsidR="00892898" w:rsidRPr="00F6340E" w:rsidRDefault="00171F00" w:rsidP="00FB5CB7">
            <w:pPr>
              <w:pStyle w:val="ListParagraph"/>
              <w:ind w:left="360"/>
              <w:jc w:val="left"/>
              <w:rPr>
                <w:rFonts w:ascii="Arial" w:hAnsi="Arial" w:cs="Arial"/>
                <w:color w:val="000000" w:themeColor="text1"/>
                <w:lang w:val="sr-Cyrl-BA"/>
              </w:rPr>
            </w:pPr>
            <w:r>
              <w:rPr>
                <w:rFonts w:ascii="Arial" w:hAnsi="Arial" w:cs="Arial"/>
                <w:color w:val="000000" w:themeColor="text1"/>
                <w:lang w:val="sr-Cyrl-BA"/>
              </w:rPr>
              <w:t>З</w:t>
            </w:r>
            <w:r w:rsidR="00A56E08">
              <w:rPr>
                <w:rFonts w:ascii="Arial" w:hAnsi="Arial" w:cs="Arial"/>
                <w:color w:val="000000" w:themeColor="text1"/>
                <w:lang w:val="sr-Cyrl-BA"/>
              </w:rPr>
              <w:t>ај</w:t>
            </w:r>
            <w:r w:rsidR="00EE6AA2">
              <w:rPr>
                <w:rFonts w:ascii="Arial" w:hAnsi="Arial" w:cs="Arial"/>
                <w:color w:val="000000" w:themeColor="text1"/>
                <w:lang w:val="sr-Cyrl-BA"/>
              </w:rPr>
              <w:t>е</w:t>
            </w:r>
            <w:r w:rsidR="00A56E08">
              <w:rPr>
                <w:rFonts w:ascii="Arial" w:hAnsi="Arial" w:cs="Arial"/>
                <w:color w:val="000000" w:themeColor="text1"/>
                <w:lang w:val="sr-Cyrl-BA"/>
              </w:rPr>
              <w:t>дниц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A56E08">
              <w:rPr>
                <w:rFonts w:ascii="Arial" w:hAnsi="Arial" w:cs="Arial"/>
                <w:color w:val="000000" w:themeColor="text1"/>
                <w:lang w:val="sr-Cyrl-BA"/>
              </w:rPr>
              <w:t>ак</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71360A">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р</w:t>
            </w:r>
            <w:r w:rsidR="00A56E08">
              <w:rPr>
                <w:rFonts w:ascii="Arial" w:hAnsi="Arial" w:cs="Arial"/>
                <w:color w:val="000000" w:themeColor="text1"/>
                <w:lang w:val="sr-Cyrl-BA"/>
              </w:rPr>
              <w:t>ди</w:t>
            </w:r>
            <w:r w:rsidR="0071360A">
              <w:rPr>
                <w:rFonts w:ascii="Arial" w:hAnsi="Arial" w:cs="Arial"/>
                <w:color w:val="000000" w:themeColor="text1"/>
                <w:lang w:val="sr-Cyrl-BA"/>
              </w:rPr>
              <w:t>с</w:t>
            </w:r>
            <w:r w:rsidR="00A56E08">
              <w:rPr>
                <w:rFonts w:ascii="Arial" w:hAnsi="Arial" w:cs="Arial"/>
                <w:color w:val="000000" w:themeColor="text1"/>
                <w:lang w:val="sr-Cyrl-BA"/>
              </w:rPr>
              <w:t>ци</w:t>
            </w:r>
            <w:r w:rsidR="0071360A">
              <w:rPr>
                <w:rFonts w:ascii="Arial" w:hAnsi="Arial" w:cs="Arial"/>
                <w:color w:val="000000" w:themeColor="text1"/>
                <w:lang w:val="sr-Cyrl-BA"/>
              </w:rPr>
              <w:t>п</w:t>
            </w:r>
            <w:r w:rsidR="00A56E08">
              <w:rPr>
                <w:rFonts w:ascii="Arial" w:hAnsi="Arial" w:cs="Arial"/>
                <w:color w:val="000000" w:themeColor="text1"/>
                <w:lang w:val="sr-Cyrl-BA"/>
              </w:rPr>
              <w:t>лина</w:t>
            </w:r>
            <w:r w:rsidR="0071360A">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како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sidR="0071360A">
              <w:rPr>
                <w:rFonts w:ascii="Arial" w:hAnsi="Arial" w:cs="Arial"/>
                <w:color w:val="000000" w:themeColor="text1"/>
                <w:lang w:val="sr-Cyrl-BA"/>
              </w:rPr>
              <w:t>с</w:t>
            </w:r>
            <w:r w:rsidR="00A56E08">
              <w:rPr>
                <w:rFonts w:ascii="Arial" w:hAnsi="Arial" w:cs="Arial"/>
                <w:color w:val="000000" w:themeColor="text1"/>
                <w:lang w:val="sr-Cyrl-BA"/>
              </w:rPr>
              <w:t>иг</w:t>
            </w:r>
            <w:r w:rsidR="0071360A">
              <w:rPr>
                <w:rFonts w:ascii="Arial" w:hAnsi="Arial" w:cs="Arial"/>
                <w:color w:val="000000" w:themeColor="text1"/>
                <w:lang w:val="sr-Cyrl-BA"/>
              </w:rPr>
              <w:t>ур</w:t>
            </w:r>
            <w:r w:rsidR="00A56E08">
              <w:rPr>
                <w:rFonts w:ascii="Arial" w:hAnsi="Arial" w:cs="Arial"/>
                <w:color w:val="000000" w:themeColor="text1"/>
                <w:lang w:val="sr-Cyrl-BA"/>
              </w:rPr>
              <w:t>ал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sidR="0071360A">
              <w:rPr>
                <w:rFonts w:ascii="Arial" w:hAnsi="Arial" w:cs="Arial"/>
                <w:color w:val="000000" w:themeColor="text1"/>
                <w:lang w:val="sr-Cyrl-BA"/>
              </w:rPr>
              <w:t>п</w:t>
            </w:r>
            <w:r w:rsidR="00A56E08">
              <w:rPr>
                <w:rFonts w:ascii="Arial" w:hAnsi="Arial" w:cs="Arial"/>
                <w:color w:val="000000" w:themeColor="text1"/>
                <w:lang w:val="sr-Cyrl-BA"/>
              </w:rPr>
              <w:t>л</w:t>
            </w:r>
            <w:r w:rsidR="00EE6AA2">
              <w:rPr>
                <w:rFonts w:ascii="Arial" w:hAnsi="Arial" w:cs="Arial"/>
                <w:color w:val="000000" w:themeColor="text1"/>
                <w:lang w:val="sr-Cyrl-BA"/>
              </w:rPr>
              <w:t>е</w:t>
            </w:r>
            <w:r w:rsidR="0071360A">
              <w:rPr>
                <w:rFonts w:ascii="Arial" w:hAnsi="Arial" w:cs="Arial"/>
                <w:color w:val="000000" w:themeColor="text1"/>
                <w:lang w:val="sr-Cyrl-BA"/>
              </w:rPr>
              <w:t>т</w:t>
            </w:r>
            <w:r w:rsidR="00A56E08">
              <w:rPr>
                <w:rFonts w:ascii="Arial" w:hAnsi="Arial" w:cs="Arial"/>
                <w:color w:val="000000" w:themeColor="text1"/>
                <w:lang w:val="sr-Cyrl-BA"/>
              </w:rPr>
              <w:t>н</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sidR="00A56E08">
              <w:rPr>
                <w:rFonts w:ascii="Arial" w:hAnsi="Arial" w:cs="Arial"/>
                <w:color w:val="000000" w:themeColor="text1"/>
                <w:lang w:val="sr-Cyrl-BA"/>
              </w:rPr>
              <w:t>од</w:t>
            </w:r>
            <w:r w:rsidR="0071360A">
              <w:rPr>
                <w:rFonts w:ascii="Arial" w:hAnsi="Arial" w:cs="Arial"/>
                <w:color w:val="000000" w:themeColor="text1"/>
                <w:lang w:val="sr-Cyrl-BA"/>
              </w:rPr>
              <w:t>рш</w:t>
            </w:r>
            <w:r w:rsidR="00A56E08">
              <w:rPr>
                <w:rFonts w:ascii="Arial" w:hAnsi="Arial" w:cs="Arial"/>
                <w:color w:val="000000" w:themeColor="text1"/>
                <w:lang w:val="sr-Cyrl-BA"/>
              </w:rPr>
              <w:t>к</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A56E08">
              <w:rPr>
                <w:rFonts w:ascii="Arial" w:hAnsi="Arial" w:cs="Arial"/>
                <w:color w:val="000000" w:themeColor="text1"/>
                <w:lang w:val="sr-Cyrl-BA"/>
              </w:rPr>
              <w:t>омоцији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A56E08">
              <w:rPr>
                <w:rFonts w:ascii="Arial" w:hAnsi="Arial" w:cs="Arial"/>
                <w:color w:val="000000" w:themeColor="text1"/>
                <w:lang w:val="sr-Cyrl-BA"/>
              </w:rPr>
              <w:t>имј</w:t>
            </w:r>
            <w:r w:rsidR="00EE6AA2">
              <w:rPr>
                <w:rFonts w:ascii="Arial" w:hAnsi="Arial" w:cs="Arial"/>
                <w:color w:val="000000" w:themeColor="text1"/>
                <w:lang w:val="sr-Cyrl-BA"/>
              </w:rPr>
              <w:t>е</w:t>
            </w:r>
            <w:r w:rsidR="00A56E08">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sidR="0071360A">
              <w:rPr>
                <w:rFonts w:ascii="Arial" w:hAnsi="Arial" w:cs="Arial"/>
                <w:color w:val="000000" w:themeColor="text1"/>
                <w:lang w:val="sr-Cyrl-BA"/>
              </w:rPr>
              <w:t>т</w:t>
            </w:r>
            <w:r w:rsidR="00A56E08">
              <w:rPr>
                <w:rFonts w:ascii="Arial" w:hAnsi="Arial" w:cs="Arial"/>
                <w:color w:val="000000" w:themeColor="text1"/>
                <w:lang w:val="sr-Cyrl-BA"/>
              </w:rPr>
              <w:t>алних</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ала</w:t>
            </w:r>
            <w:r w:rsidR="0071360A">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eastAsiaTheme="minorHAnsi" w:hAnsi="Arial" w:cs="Arial"/>
                <w:bCs/>
                <w:color w:val="000000" w:themeColor="text1"/>
                <w:lang w:val="sr-Cyrl-BA"/>
              </w:rPr>
              <w:t>р</w:t>
            </w:r>
            <w:r w:rsidR="00A56E08">
              <w:rPr>
                <w:rFonts w:ascii="Arial" w:eastAsiaTheme="minorHAnsi" w:hAnsi="Arial" w:cs="Arial"/>
                <w:bCs/>
                <w:color w:val="000000" w:themeColor="text1"/>
                <w:lang w:val="sr-Cyrl-BA"/>
              </w:rPr>
              <w:t>а</w:t>
            </w:r>
            <w:r>
              <w:rPr>
                <w:rFonts w:ascii="Arial" w:eastAsiaTheme="minorHAnsi" w:hAnsi="Arial" w:cs="Arial"/>
                <w:bCs/>
                <w:color w:val="000000" w:themeColor="text1"/>
                <w:lang w:val="sr-Cyrl-BA"/>
              </w:rPr>
              <w:t>з</w:t>
            </w:r>
            <w:r w:rsidR="0071360A">
              <w:rPr>
                <w:rFonts w:ascii="Arial" w:eastAsiaTheme="minorHAnsi" w:hAnsi="Arial" w:cs="Arial"/>
                <w:bCs/>
                <w:color w:val="000000" w:themeColor="text1"/>
                <w:lang w:val="sr-Cyrl-BA"/>
              </w:rPr>
              <w:t>в</w:t>
            </w:r>
            <w:r w:rsidR="00A56E08">
              <w:rPr>
                <w:rFonts w:ascii="Arial" w:eastAsiaTheme="minorHAnsi" w:hAnsi="Arial" w:cs="Arial"/>
                <w:bCs/>
                <w:color w:val="000000" w:themeColor="text1"/>
                <w:lang w:val="sr-Cyrl-BA"/>
              </w:rPr>
              <w:t>оја</w:t>
            </w:r>
            <w:r w:rsidR="00892898" w:rsidRPr="00F6340E">
              <w:rPr>
                <w:rFonts w:ascii="Arial" w:eastAsiaTheme="minorHAnsi" w:hAnsi="Arial" w:cs="Arial"/>
                <w:bCs/>
                <w:color w:val="000000" w:themeColor="text1"/>
                <w:lang w:val="sr-Cyrl-BA"/>
              </w:rPr>
              <w:t>/</w:t>
            </w:r>
            <w:r w:rsidR="0071360A">
              <w:rPr>
                <w:rFonts w:ascii="Arial" w:eastAsiaTheme="minorHAnsi" w:hAnsi="Arial" w:cs="Arial"/>
                <w:bCs/>
                <w:color w:val="000000" w:themeColor="text1"/>
                <w:lang w:val="sr-Cyrl-BA"/>
              </w:rPr>
              <w:t>у</w:t>
            </w:r>
            <w:r w:rsidR="00A56E08">
              <w:rPr>
                <w:rFonts w:ascii="Arial" w:eastAsiaTheme="minorHAnsi" w:hAnsi="Arial" w:cs="Arial"/>
                <w:bCs/>
                <w:color w:val="000000" w:themeColor="text1"/>
                <w:lang w:val="sr-Cyrl-BA"/>
              </w:rPr>
              <w:t>на</w:t>
            </w:r>
            <w:r w:rsidR="0071360A">
              <w:rPr>
                <w:rFonts w:ascii="Arial" w:eastAsiaTheme="minorHAnsi" w:hAnsi="Arial" w:cs="Arial"/>
                <w:bCs/>
                <w:color w:val="000000" w:themeColor="text1"/>
                <w:lang w:val="sr-Cyrl-BA"/>
              </w:rPr>
              <w:t>пр</w:t>
            </w:r>
            <w:r w:rsidR="00A56E08">
              <w:rPr>
                <w:rFonts w:ascii="Arial" w:eastAsiaTheme="minorHAnsi" w:hAnsi="Arial" w:cs="Arial"/>
                <w:bCs/>
                <w:color w:val="000000" w:themeColor="text1"/>
                <w:lang w:val="sr-Cyrl-BA"/>
              </w:rPr>
              <w:t>ј</w:t>
            </w:r>
            <w:r w:rsidR="00EE6AA2">
              <w:rPr>
                <w:rFonts w:ascii="Arial" w:eastAsiaTheme="minorHAnsi" w:hAnsi="Arial" w:cs="Arial"/>
                <w:bCs/>
                <w:color w:val="000000" w:themeColor="text1"/>
                <w:lang w:val="sr-Cyrl-BA"/>
              </w:rPr>
              <w:t>е</w:t>
            </w:r>
            <w:r w:rsidR="00A56E08">
              <w:rPr>
                <w:rFonts w:ascii="Arial" w:eastAsiaTheme="minorHAnsi" w:hAnsi="Arial" w:cs="Arial"/>
                <w:bCs/>
                <w:color w:val="000000" w:themeColor="text1"/>
                <w:lang w:val="sr-Cyrl-BA"/>
              </w:rPr>
              <w:t>ђ</w:t>
            </w:r>
            <w:r w:rsidR="00EE6AA2">
              <w:rPr>
                <w:rFonts w:ascii="Arial" w:eastAsiaTheme="minorHAnsi" w:hAnsi="Arial" w:cs="Arial"/>
                <w:bCs/>
                <w:color w:val="000000" w:themeColor="text1"/>
                <w:lang w:val="sr-Cyrl-BA"/>
              </w:rPr>
              <w:t>е</w:t>
            </w:r>
            <w:r w:rsidR="00A56E08">
              <w:rPr>
                <w:rFonts w:ascii="Arial" w:eastAsiaTheme="minorHAnsi" w:hAnsi="Arial" w:cs="Arial"/>
                <w:bCs/>
                <w:color w:val="000000" w:themeColor="text1"/>
                <w:lang w:val="sr-Cyrl-BA"/>
              </w:rPr>
              <w:t>ња</w:t>
            </w:r>
            <w:r w:rsidR="00892898" w:rsidRPr="00F6340E">
              <w:rPr>
                <w:rFonts w:ascii="Arial" w:eastAsiaTheme="minorHAnsi" w:hAnsi="Arial" w:cs="Arial"/>
                <w:bCs/>
                <w:color w:val="000000" w:themeColor="text1"/>
                <w:lang w:val="sr-Cyrl-BA"/>
              </w:rPr>
              <w:t xml:space="preserve"> </w:t>
            </w:r>
            <w:r w:rsidR="0071360A">
              <w:rPr>
                <w:rFonts w:ascii="Arial" w:eastAsiaTheme="minorHAnsi" w:hAnsi="Arial" w:cs="Arial"/>
                <w:bCs/>
                <w:color w:val="000000" w:themeColor="text1"/>
                <w:lang w:val="sr-Cyrl-BA"/>
              </w:rPr>
              <w:t>п</w:t>
            </w:r>
            <w:r w:rsidR="00EE6AA2">
              <w:rPr>
                <w:rFonts w:ascii="Arial" w:eastAsiaTheme="minorHAnsi" w:hAnsi="Arial" w:cs="Arial"/>
                <w:bCs/>
                <w:color w:val="000000" w:themeColor="text1"/>
                <w:lang w:val="sr-Cyrl-BA"/>
              </w:rPr>
              <w:t>е</w:t>
            </w:r>
            <w:r w:rsidR="00A56E08">
              <w:rPr>
                <w:rFonts w:ascii="Arial" w:eastAsiaTheme="minorHAnsi" w:hAnsi="Arial" w:cs="Arial"/>
                <w:bCs/>
                <w:color w:val="000000" w:themeColor="text1"/>
                <w:lang w:val="sr-Cyrl-BA"/>
              </w:rPr>
              <w:t>даго</w:t>
            </w:r>
            <w:r w:rsidR="0071360A">
              <w:rPr>
                <w:rFonts w:ascii="Arial" w:eastAsiaTheme="minorHAnsi" w:hAnsi="Arial" w:cs="Arial"/>
                <w:bCs/>
                <w:color w:val="000000" w:themeColor="text1"/>
                <w:lang w:val="sr-Cyrl-BA"/>
              </w:rPr>
              <w:t>ш</w:t>
            </w:r>
            <w:r w:rsidR="00A56E08">
              <w:rPr>
                <w:rFonts w:ascii="Arial" w:eastAsiaTheme="minorHAnsi" w:hAnsi="Arial" w:cs="Arial"/>
                <w:bCs/>
                <w:color w:val="000000" w:themeColor="text1"/>
                <w:lang w:val="sr-Cyrl-BA"/>
              </w:rPr>
              <w:t>ких</w:t>
            </w:r>
            <w:r w:rsidR="00892898" w:rsidRPr="00F6340E">
              <w:rPr>
                <w:rFonts w:ascii="Arial" w:eastAsiaTheme="minorHAnsi" w:hAnsi="Arial" w:cs="Arial"/>
                <w:bCs/>
                <w:color w:val="000000" w:themeColor="text1"/>
                <w:lang w:val="sr-Cyrl-BA"/>
              </w:rPr>
              <w:t xml:space="preserve"> </w:t>
            </w:r>
            <w:r w:rsidR="00A56E08">
              <w:rPr>
                <w:rFonts w:ascii="Arial" w:eastAsiaTheme="minorHAnsi" w:hAnsi="Arial" w:cs="Arial"/>
                <w:bCs/>
                <w:color w:val="000000" w:themeColor="text1"/>
                <w:lang w:val="sr-Cyrl-BA"/>
              </w:rPr>
              <w:t>и</w:t>
            </w:r>
            <w:r w:rsidR="00892898" w:rsidRPr="00F6340E">
              <w:rPr>
                <w:rFonts w:ascii="Arial" w:eastAsiaTheme="minorHAnsi" w:hAnsi="Arial" w:cs="Arial"/>
                <w:bCs/>
                <w:color w:val="000000" w:themeColor="text1"/>
                <w:lang w:val="sr-Cyrl-BA"/>
              </w:rPr>
              <w:t xml:space="preserve"> </w:t>
            </w:r>
            <w:r w:rsidR="00A56E08">
              <w:rPr>
                <w:rFonts w:ascii="Arial" w:eastAsiaTheme="minorHAnsi" w:hAnsi="Arial" w:cs="Arial"/>
                <w:bCs/>
                <w:color w:val="000000" w:themeColor="text1"/>
                <w:lang w:val="sr-Cyrl-BA"/>
              </w:rPr>
              <w:t>диги</w:t>
            </w:r>
            <w:r w:rsidR="0071360A">
              <w:rPr>
                <w:rFonts w:ascii="Arial" w:eastAsiaTheme="minorHAnsi" w:hAnsi="Arial" w:cs="Arial"/>
                <w:bCs/>
                <w:color w:val="000000" w:themeColor="text1"/>
                <w:lang w:val="sr-Cyrl-BA"/>
              </w:rPr>
              <w:t>т</w:t>
            </w:r>
            <w:r w:rsidR="00A56E08">
              <w:rPr>
                <w:rFonts w:ascii="Arial" w:eastAsiaTheme="minorHAnsi" w:hAnsi="Arial" w:cs="Arial"/>
                <w:bCs/>
                <w:color w:val="000000" w:themeColor="text1"/>
                <w:lang w:val="sr-Cyrl-BA"/>
              </w:rPr>
              <w:t>алних</w:t>
            </w:r>
            <w:r w:rsidR="00892898" w:rsidRPr="00F6340E">
              <w:rPr>
                <w:rFonts w:ascii="Arial" w:eastAsiaTheme="minorHAnsi" w:hAnsi="Arial" w:cs="Arial"/>
                <w:bCs/>
                <w:color w:val="000000" w:themeColor="text1"/>
                <w:lang w:val="sr-Cyrl-BA"/>
              </w:rPr>
              <w:t xml:space="preserve"> </w:t>
            </w:r>
            <w:r w:rsidR="00A56E08">
              <w:rPr>
                <w:rFonts w:ascii="Arial" w:eastAsiaTheme="minorHAnsi" w:hAnsi="Arial" w:cs="Arial"/>
                <w:bCs/>
                <w:color w:val="000000" w:themeColor="text1"/>
                <w:lang w:val="sr-Cyrl-BA"/>
              </w:rPr>
              <w:t>ком</w:t>
            </w:r>
            <w:r w:rsidR="0071360A">
              <w:rPr>
                <w:rFonts w:ascii="Arial" w:eastAsiaTheme="minorHAnsi" w:hAnsi="Arial" w:cs="Arial"/>
                <w:bCs/>
                <w:color w:val="000000" w:themeColor="text1"/>
                <w:lang w:val="sr-Cyrl-BA"/>
              </w:rPr>
              <w:t>п</w:t>
            </w:r>
            <w:r w:rsidR="00EE6AA2">
              <w:rPr>
                <w:rFonts w:ascii="Arial" w:eastAsiaTheme="minorHAnsi" w:hAnsi="Arial" w:cs="Arial"/>
                <w:bCs/>
                <w:color w:val="000000" w:themeColor="text1"/>
                <w:lang w:val="sr-Cyrl-BA"/>
              </w:rPr>
              <w:t>е</w:t>
            </w:r>
            <w:r w:rsidR="0071360A">
              <w:rPr>
                <w:rFonts w:ascii="Arial" w:eastAsiaTheme="minorHAnsi" w:hAnsi="Arial" w:cs="Arial"/>
                <w:bCs/>
                <w:color w:val="000000" w:themeColor="text1"/>
                <w:lang w:val="sr-Cyrl-BA"/>
              </w:rPr>
              <w:t>т</w:t>
            </w:r>
            <w:r w:rsidR="00EE6AA2">
              <w:rPr>
                <w:rFonts w:ascii="Arial" w:eastAsiaTheme="minorHAnsi" w:hAnsi="Arial" w:cs="Arial"/>
                <w:bCs/>
                <w:color w:val="000000" w:themeColor="text1"/>
                <w:lang w:val="sr-Cyrl-BA"/>
              </w:rPr>
              <w:t>е</w:t>
            </w:r>
            <w:r w:rsidR="00A56E08">
              <w:rPr>
                <w:rFonts w:ascii="Arial" w:eastAsiaTheme="minorHAnsi" w:hAnsi="Arial" w:cs="Arial"/>
                <w:bCs/>
                <w:color w:val="000000" w:themeColor="text1"/>
                <w:lang w:val="sr-Cyrl-BA"/>
              </w:rPr>
              <w:t>нција</w:t>
            </w:r>
            <w:r w:rsidR="00892898" w:rsidRPr="00F6340E">
              <w:rPr>
                <w:rFonts w:ascii="Arial" w:eastAsiaTheme="minorHAnsi" w:hAnsi="Arial" w:cs="Arial"/>
                <w:bCs/>
                <w:color w:val="000000" w:themeColor="text1"/>
                <w:lang w:val="sr-Cyrl-BA"/>
              </w:rPr>
              <w:t xml:space="preserve"> </w:t>
            </w:r>
            <w:r w:rsidR="00A56E08">
              <w:rPr>
                <w:rFonts w:ascii="Arial" w:eastAsiaTheme="minorHAnsi" w:hAnsi="Arial" w:cs="Arial"/>
                <w:bCs/>
                <w:color w:val="000000" w:themeColor="text1"/>
                <w:lang w:val="sr-Cyrl-BA"/>
              </w:rPr>
              <w:t>на</w:t>
            </w:r>
            <w:r w:rsidR="0071360A">
              <w:rPr>
                <w:rFonts w:ascii="Arial" w:eastAsiaTheme="minorHAnsi" w:hAnsi="Arial" w:cs="Arial"/>
                <w:bCs/>
                <w:color w:val="000000" w:themeColor="text1"/>
                <w:lang w:val="sr-Cyrl-BA"/>
              </w:rPr>
              <w:t>ст</w:t>
            </w:r>
            <w:r w:rsidR="00A56E08">
              <w:rPr>
                <w:rFonts w:ascii="Arial" w:eastAsiaTheme="minorHAnsi" w:hAnsi="Arial" w:cs="Arial"/>
                <w:bCs/>
                <w:color w:val="000000" w:themeColor="text1"/>
                <w:lang w:val="sr-Cyrl-BA"/>
              </w:rPr>
              <w:t>а</w:t>
            </w:r>
            <w:r w:rsidR="0071360A">
              <w:rPr>
                <w:rFonts w:ascii="Arial" w:eastAsiaTheme="minorHAnsi" w:hAnsi="Arial" w:cs="Arial"/>
                <w:bCs/>
                <w:color w:val="000000" w:themeColor="text1"/>
                <w:lang w:val="sr-Cyrl-BA"/>
              </w:rPr>
              <w:t>в</w:t>
            </w:r>
            <w:r w:rsidR="00A56E08">
              <w:rPr>
                <w:rFonts w:ascii="Arial" w:eastAsiaTheme="minorHAnsi" w:hAnsi="Arial" w:cs="Arial"/>
                <w:bCs/>
                <w:color w:val="000000" w:themeColor="text1"/>
                <w:lang w:val="sr-Cyrl-BA"/>
              </w:rPr>
              <w:t>ника</w:t>
            </w:r>
            <w:r w:rsidR="00892898" w:rsidRPr="00F6340E">
              <w:rPr>
                <w:rFonts w:ascii="Arial" w:eastAsiaTheme="minorHAnsi" w:hAnsi="Arial" w:cs="Arial"/>
                <w:bCs/>
                <w:color w:val="000000" w:themeColor="text1"/>
                <w:lang w:val="sr-Cyrl-BA"/>
              </w:rPr>
              <w:t xml:space="preserve"> (</w:t>
            </w:r>
            <w:r w:rsidR="00A56E08">
              <w:rPr>
                <w:rFonts w:ascii="Arial" w:hAnsi="Arial" w:cs="Arial"/>
                <w:color w:val="000000" w:themeColor="text1"/>
                <w:lang w:val="sr-Cyrl-BA"/>
              </w:rPr>
              <w:t>н</w:t>
            </w:r>
            <w:r w:rsidR="0071360A">
              <w:rPr>
                <w:rFonts w:ascii="Arial" w:hAnsi="Arial" w:cs="Arial"/>
                <w:color w:val="000000" w:themeColor="text1"/>
                <w:lang w:val="sr-Cyrl-BA"/>
              </w:rPr>
              <w:t>пр</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A56E08">
              <w:rPr>
                <w:rFonts w:ascii="Arial" w:hAnsi="Arial" w:cs="Arial"/>
                <w:color w:val="000000" w:themeColor="text1"/>
                <w:lang w:val="sr-Cyrl-BA"/>
              </w:rPr>
              <w:t>аћ</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sidR="00A56E08">
              <w:rPr>
                <w:rFonts w:ascii="Arial" w:hAnsi="Arial" w:cs="Arial"/>
                <w:color w:val="000000" w:themeColor="text1"/>
                <w:lang w:val="sr-Cyrl-BA"/>
              </w:rPr>
              <w:t>о</w:t>
            </w:r>
            <w:r w:rsidR="0071360A">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стру</w:t>
            </w:r>
            <w:r w:rsidR="00A56E08">
              <w:rPr>
                <w:rFonts w:ascii="Arial" w:hAnsi="Arial" w:cs="Arial"/>
                <w:color w:val="000000" w:themeColor="text1"/>
                <w:lang w:val="sr-Cyrl-BA"/>
              </w:rPr>
              <w:t>чног</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ус</w:t>
            </w:r>
            <w:r w:rsidR="00A56E08">
              <w:rPr>
                <w:rFonts w:ascii="Arial" w:hAnsi="Arial" w:cs="Arial"/>
                <w:color w:val="000000" w:themeColor="text1"/>
                <w:lang w:val="sr-Cyrl-BA"/>
              </w:rPr>
              <w:t>а</w:t>
            </w:r>
            <w:r w:rsidR="0071360A">
              <w:rPr>
                <w:rFonts w:ascii="Arial" w:hAnsi="Arial" w:cs="Arial"/>
                <w:color w:val="000000" w:themeColor="text1"/>
                <w:lang w:val="sr-Cyrl-BA"/>
              </w:rPr>
              <w:t>врш</w:t>
            </w:r>
            <w:r w:rsidR="00A56E08">
              <w:rPr>
                <w:rFonts w:ascii="Arial" w:hAnsi="Arial" w:cs="Arial"/>
                <w:color w:val="000000" w:themeColor="text1"/>
                <w:lang w:val="sr-Cyrl-BA"/>
              </w:rPr>
              <w:t>а</w:t>
            </w:r>
            <w:r w:rsidR="0071360A">
              <w:rPr>
                <w:rFonts w:ascii="Arial" w:hAnsi="Arial" w:cs="Arial"/>
                <w:color w:val="000000" w:themeColor="text1"/>
                <w:lang w:val="sr-Cyrl-BA"/>
              </w:rPr>
              <w:t>в</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71360A">
              <w:rPr>
                <w:rFonts w:ascii="Arial" w:hAnsi="Arial" w:cs="Arial"/>
                <w:color w:val="000000" w:themeColor="text1"/>
                <w:lang w:val="sr-Cyrl-BA"/>
              </w:rPr>
              <w:t>ст</w:t>
            </w:r>
            <w:r w:rsidR="00A56E08">
              <w:rPr>
                <w:rFonts w:ascii="Arial" w:hAnsi="Arial" w:cs="Arial"/>
                <w:color w:val="000000" w:themeColor="text1"/>
                <w:lang w:val="sr-Cyrl-BA"/>
              </w:rPr>
              <w:t>а</w:t>
            </w:r>
            <w:r w:rsidR="0071360A">
              <w:rPr>
                <w:rFonts w:ascii="Arial" w:hAnsi="Arial" w:cs="Arial"/>
                <w:color w:val="000000" w:themeColor="text1"/>
                <w:lang w:val="sr-Cyrl-BA"/>
              </w:rPr>
              <w:t>в</w:t>
            </w:r>
            <w:r w:rsidR="00A56E08">
              <w:rPr>
                <w:rFonts w:ascii="Arial" w:hAnsi="Arial" w:cs="Arial"/>
                <w:color w:val="000000" w:themeColor="text1"/>
                <w:lang w:val="sr-Cyrl-BA"/>
              </w:rPr>
              <w:t>ника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рв</w:t>
            </w:r>
            <w:r w:rsidR="00EE6AA2">
              <w:rPr>
                <w:rFonts w:ascii="Arial" w:hAnsi="Arial" w:cs="Arial"/>
                <w:color w:val="000000" w:themeColor="text1"/>
                <w:lang w:val="sr-Cyrl-BA"/>
              </w:rPr>
              <w:t>е</w:t>
            </w:r>
            <w:r w:rsidR="00A56E08">
              <w:rPr>
                <w:rFonts w:ascii="Arial" w:hAnsi="Arial" w:cs="Arial"/>
                <w:color w:val="000000" w:themeColor="text1"/>
                <w:lang w:val="sr-Cyrl-BA"/>
              </w:rPr>
              <w:t>нциј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sidR="0071360A">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з</w:t>
            </w:r>
            <w:r w:rsidR="00A56E08">
              <w:rPr>
                <w:rFonts w:ascii="Arial" w:hAnsi="Arial" w:cs="Arial"/>
                <w:color w:val="000000" w:themeColor="text1"/>
                <w:lang w:val="sr-Cyrl-BA"/>
              </w:rPr>
              <w:t>ним</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A56E08">
              <w:rPr>
                <w:rFonts w:ascii="Arial" w:hAnsi="Arial" w:cs="Arial"/>
                <w:color w:val="000000" w:themeColor="text1"/>
                <w:lang w:val="sr-Cyrl-BA"/>
              </w:rPr>
              <w:t>и</w:t>
            </w:r>
            <w:r w:rsidR="0071360A">
              <w:rPr>
                <w:rFonts w:ascii="Arial" w:hAnsi="Arial" w:cs="Arial"/>
                <w:color w:val="000000" w:themeColor="text1"/>
                <w:lang w:val="sr-Cyrl-BA"/>
              </w:rPr>
              <w:t>ту</w:t>
            </w:r>
            <w:r w:rsidR="00A56E08">
              <w:rPr>
                <w:rFonts w:ascii="Arial" w:hAnsi="Arial" w:cs="Arial"/>
                <w:color w:val="000000" w:themeColor="text1"/>
                <w:lang w:val="sr-Cyrl-BA"/>
              </w:rPr>
              <w:t>ацијама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A56E08">
              <w:rPr>
                <w:rFonts w:ascii="Arial" w:hAnsi="Arial" w:cs="Arial"/>
                <w:color w:val="000000" w:themeColor="text1"/>
                <w:lang w:val="sr-Cyrl-BA"/>
              </w:rPr>
              <w:t>л</w:t>
            </w:r>
            <w:r w:rsidR="00892898" w:rsidRPr="00F6340E">
              <w:rPr>
                <w:rFonts w:ascii="Arial" w:hAnsi="Arial" w:cs="Arial"/>
                <w:color w:val="000000" w:themeColor="text1"/>
                <w:lang w:val="sr-Cyrl-BA"/>
              </w:rPr>
              <w:t>. (</w:t>
            </w:r>
            <w:r w:rsidR="0071360A">
              <w:rPr>
                <w:rFonts w:ascii="Arial" w:hAnsi="Arial" w:cs="Arial"/>
                <w:color w:val="000000" w:themeColor="text1"/>
                <w:lang w:val="sr-Cyrl-BA"/>
              </w:rPr>
              <w:t>шт</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71360A">
              <w:rPr>
                <w:rFonts w:ascii="Arial" w:hAnsi="Arial" w:cs="Arial"/>
                <w:color w:val="000000" w:themeColor="text1"/>
                <w:lang w:val="sr-Cyrl-BA"/>
              </w:rPr>
              <w:t>с</w:t>
            </w:r>
            <w:r w:rsidR="00A56E08">
              <w:rPr>
                <w:rFonts w:ascii="Arial" w:hAnsi="Arial" w:cs="Arial"/>
                <w:color w:val="000000" w:themeColor="text1"/>
                <w:lang w:val="sr-Cyrl-BA"/>
              </w:rPr>
              <w:t>кљ</w:t>
            </w:r>
            <w:r w:rsidR="0071360A">
              <w:rPr>
                <w:rFonts w:ascii="Arial" w:hAnsi="Arial" w:cs="Arial"/>
                <w:color w:val="000000" w:themeColor="text1"/>
                <w:lang w:val="sr-Cyrl-BA"/>
              </w:rPr>
              <w:t>у</w:t>
            </w:r>
            <w:r w:rsidR="00A56E08">
              <w:rPr>
                <w:rFonts w:ascii="Arial" w:hAnsi="Arial" w:cs="Arial"/>
                <w:color w:val="000000" w:themeColor="text1"/>
                <w:lang w:val="sr-Cyrl-BA"/>
              </w:rPr>
              <w:t>ч</w:t>
            </w:r>
            <w:r w:rsidR="0071360A">
              <w:rPr>
                <w:rFonts w:ascii="Arial" w:hAnsi="Arial" w:cs="Arial"/>
                <w:color w:val="000000" w:themeColor="text1"/>
                <w:lang w:val="sr-Cyrl-BA"/>
              </w:rPr>
              <w:t>у</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A56E08">
              <w:rPr>
                <w:rFonts w:ascii="Arial" w:hAnsi="Arial" w:cs="Arial"/>
                <w:color w:val="000000" w:themeColor="text1"/>
                <w:lang w:val="sr-Cyrl-BA"/>
              </w:rPr>
              <w:t>ад</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мобилних</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т</w:t>
            </w:r>
            <w:r w:rsidR="00A56E08">
              <w:rPr>
                <w:rFonts w:ascii="Arial" w:hAnsi="Arial" w:cs="Arial"/>
                <w:color w:val="000000" w:themeColor="text1"/>
                <w:lang w:val="sr-Cyrl-BA"/>
              </w:rPr>
              <w:t>имо</w:t>
            </w:r>
            <w:r w:rsidR="0071360A">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као</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w:t>
            </w:r>
            <w:r w:rsidR="00A56E08">
              <w:rPr>
                <w:rFonts w:ascii="Arial" w:hAnsi="Arial" w:cs="Arial"/>
                <w:color w:val="000000" w:themeColor="text1"/>
                <w:lang w:val="sr-Cyrl-BA"/>
              </w:rPr>
              <w:t>од</w:t>
            </w:r>
            <w:r w:rsidR="0071360A">
              <w:rPr>
                <w:rFonts w:ascii="Arial" w:hAnsi="Arial" w:cs="Arial"/>
                <w:color w:val="000000" w:themeColor="text1"/>
                <w:lang w:val="sr-Cyrl-BA"/>
              </w:rPr>
              <w:t>рш</w:t>
            </w:r>
            <w:r w:rsidR="00A56E08">
              <w:rPr>
                <w:rFonts w:ascii="Arial" w:hAnsi="Arial" w:cs="Arial"/>
                <w:color w:val="000000" w:themeColor="text1"/>
                <w:lang w:val="sr-Cyrl-BA"/>
              </w:rPr>
              <w:t>к</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инкл</w:t>
            </w:r>
            <w:r w:rsidR="0071360A">
              <w:rPr>
                <w:rFonts w:ascii="Arial" w:hAnsi="Arial" w:cs="Arial"/>
                <w:color w:val="000000" w:themeColor="text1"/>
                <w:lang w:val="sr-Cyrl-BA"/>
              </w:rPr>
              <w:t>у</w:t>
            </w:r>
            <w:r>
              <w:rPr>
                <w:rFonts w:ascii="Arial" w:hAnsi="Arial" w:cs="Arial"/>
                <w:color w:val="000000" w:themeColor="text1"/>
                <w:lang w:val="sr-Cyrl-BA"/>
              </w:rPr>
              <w:t>з</w:t>
            </w:r>
            <w:r w:rsidR="00A56E08">
              <w:rPr>
                <w:rFonts w:ascii="Arial" w:hAnsi="Arial" w:cs="Arial"/>
                <w:color w:val="000000" w:themeColor="text1"/>
                <w:lang w:val="sr-Cyrl-BA"/>
              </w:rPr>
              <w:t>ији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дј</w:t>
            </w:r>
            <w:r w:rsidR="00EE6AA2">
              <w:rPr>
                <w:rFonts w:ascii="Arial" w:hAnsi="Arial" w:cs="Arial"/>
                <w:color w:val="000000" w:themeColor="text1"/>
                <w:lang w:val="sr-Cyrl-BA"/>
              </w:rPr>
              <w:t>е</w:t>
            </w:r>
            <w:r w:rsidR="00A56E08">
              <w:rPr>
                <w:rFonts w:ascii="Arial" w:hAnsi="Arial" w:cs="Arial"/>
                <w:color w:val="000000" w:themeColor="text1"/>
                <w:lang w:val="sr-Cyrl-BA"/>
              </w:rPr>
              <w:t>ц</w:t>
            </w:r>
            <w:r w:rsidR="00EE6AA2">
              <w:rPr>
                <w:rFonts w:ascii="Arial" w:hAnsi="Arial" w:cs="Arial"/>
                <w:color w:val="000000" w:themeColor="text1"/>
                <w:lang w:val="sr-Cyrl-BA"/>
              </w:rPr>
              <w:t>е</w:t>
            </w:r>
            <w:r w:rsidR="00B04FA8">
              <w:rPr>
                <w:rFonts w:ascii="Arial" w:hAnsi="Arial" w:cs="Arial"/>
                <w:color w:val="000000" w:themeColor="text1"/>
                <w:lang w:val="sr-Cyrl-BA"/>
              </w:rPr>
              <w:t xml:space="preserve"> са </w:t>
            </w:r>
            <w:r w:rsidR="0071360A">
              <w:rPr>
                <w:rFonts w:ascii="Arial" w:hAnsi="Arial" w:cs="Arial"/>
                <w:color w:val="000000" w:themeColor="text1"/>
                <w:lang w:val="sr-Cyrl-BA"/>
              </w:rPr>
              <w:t>п</w:t>
            </w:r>
            <w:r w:rsidR="00A56E08">
              <w:rPr>
                <w:rFonts w:ascii="Arial" w:hAnsi="Arial" w:cs="Arial"/>
                <w:color w:val="000000" w:themeColor="text1"/>
                <w:lang w:val="sr-Cyrl-BA"/>
              </w:rPr>
              <w:t>о</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ш</w:t>
            </w:r>
            <w:r w:rsidR="00A56E08">
              <w:rPr>
                <w:rFonts w:ascii="Arial" w:hAnsi="Arial" w:cs="Arial"/>
                <w:color w:val="000000" w:themeColor="text1"/>
                <w:lang w:val="sr-Cyrl-BA"/>
              </w:rPr>
              <w:t>коћама</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р</w:t>
            </w:r>
            <w:r w:rsidR="00A56E08">
              <w:rPr>
                <w:rFonts w:ascii="Arial" w:hAnsi="Arial" w:cs="Arial"/>
                <w:color w:val="000000" w:themeColor="text1"/>
                <w:lang w:val="sr-Cyrl-BA"/>
              </w:rPr>
              <w:t>а</w:t>
            </w:r>
            <w:r>
              <w:rPr>
                <w:rFonts w:ascii="Arial" w:hAnsi="Arial" w:cs="Arial"/>
                <w:color w:val="000000" w:themeColor="text1"/>
                <w:lang w:val="sr-Cyrl-BA"/>
              </w:rPr>
              <w:t>з</w:t>
            </w:r>
            <w:r w:rsidR="0071360A">
              <w:rPr>
                <w:rFonts w:ascii="Arial" w:hAnsi="Arial" w:cs="Arial"/>
                <w:color w:val="000000" w:themeColor="text1"/>
                <w:lang w:val="sr-Cyrl-BA"/>
              </w:rPr>
              <w:t>в</w:t>
            </w:r>
            <w:r w:rsidR="00A56E08">
              <w:rPr>
                <w:rFonts w:ascii="Arial" w:hAnsi="Arial" w:cs="Arial"/>
                <w:color w:val="000000" w:themeColor="text1"/>
                <w:lang w:val="sr-Cyrl-BA"/>
              </w:rPr>
              <w:t>ој</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w:t>
            </w:r>
            <w:r w:rsidR="00A56E08">
              <w:rPr>
                <w:rFonts w:ascii="Arial" w:hAnsi="Arial" w:cs="Arial"/>
                <w:color w:val="000000" w:themeColor="text1"/>
                <w:lang w:val="sr-Cyrl-BA"/>
              </w:rPr>
              <w:t>о</w:t>
            </w:r>
            <w:r w:rsidR="0071360A">
              <w:rPr>
                <w:rFonts w:ascii="Arial" w:hAnsi="Arial" w:cs="Arial"/>
                <w:color w:val="000000" w:themeColor="text1"/>
                <w:lang w:val="sr-Cyrl-BA"/>
              </w:rPr>
              <w:t>с</w:t>
            </w:r>
            <w:r w:rsidR="00A56E08">
              <w:rPr>
                <w:rFonts w:ascii="Arial" w:hAnsi="Arial" w:cs="Arial"/>
                <w:color w:val="000000" w:themeColor="text1"/>
                <w:lang w:val="sr-Cyrl-BA"/>
              </w:rPr>
              <w:t>оба</w:t>
            </w:r>
            <w:r w:rsidR="00B04FA8">
              <w:rPr>
                <w:rFonts w:ascii="Arial" w:hAnsi="Arial" w:cs="Arial"/>
                <w:color w:val="000000" w:themeColor="text1"/>
                <w:lang w:val="sr-Cyrl-BA"/>
              </w:rPr>
              <w:t xml:space="preserve"> са </w:t>
            </w:r>
            <w:r w:rsidR="00A56E08">
              <w:rPr>
                <w:rFonts w:ascii="Arial" w:hAnsi="Arial" w:cs="Arial"/>
                <w:color w:val="000000" w:themeColor="text1"/>
                <w:lang w:val="sr-Cyrl-BA"/>
              </w:rPr>
              <w:t>ин</w:t>
            </w:r>
            <w:r w:rsidR="0071360A">
              <w:rPr>
                <w:rFonts w:ascii="Arial" w:hAnsi="Arial" w:cs="Arial"/>
                <w:color w:val="000000" w:themeColor="text1"/>
                <w:lang w:val="sr-Cyrl-BA"/>
              </w:rPr>
              <w:t>в</w:t>
            </w:r>
            <w:r w:rsidR="00A56E08">
              <w:rPr>
                <w:rFonts w:ascii="Arial" w:hAnsi="Arial" w:cs="Arial"/>
                <w:color w:val="000000" w:themeColor="text1"/>
                <w:lang w:val="sr-Cyrl-BA"/>
              </w:rPr>
              <w:t>алиди</w:t>
            </w:r>
            <w:r w:rsidR="0071360A">
              <w:rPr>
                <w:rFonts w:ascii="Arial" w:hAnsi="Arial" w:cs="Arial"/>
                <w:color w:val="000000" w:themeColor="text1"/>
                <w:lang w:val="sr-Cyrl-BA"/>
              </w:rPr>
              <w:t>т</w:t>
            </w:r>
            <w:r w:rsidR="00EE6AA2">
              <w:rPr>
                <w:rFonts w:ascii="Arial" w:hAnsi="Arial" w:cs="Arial"/>
                <w:color w:val="000000" w:themeColor="text1"/>
                <w:lang w:val="sr-Cyrl-BA"/>
              </w:rPr>
              <w:t>е</w:t>
            </w:r>
            <w:r w:rsidR="0071360A">
              <w:rPr>
                <w:rFonts w:ascii="Arial" w:hAnsi="Arial" w:cs="Arial"/>
                <w:color w:val="000000" w:themeColor="text1"/>
                <w:lang w:val="sr-Cyrl-BA"/>
              </w:rPr>
              <w:t>т</w:t>
            </w:r>
            <w:r w:rsidR="00A56E08">
              <w:rPr>
                <w:rFonts w:ascii="Arial" w:hAnsi="Arial" w:cs="Arial"/>
                <w:color w:val="000000" w:themeColor="text1"/>
                <w:lang w:val="sr-Cyrl-BA"/>
              </w:rPr>
              <w:t>ом</w:t>
            </w:r>
            <w:r w:rsidR="00892898" w:rsidRPr="00F6340E">
              <w:rPr>
                <w:rFonts w:ascii="Arial" w:hAnsi="Arial" w:cs="Arial"/>
                <w:color w:val="000000" w:themeColor="text1"/>
                <w:lang w:val="sr-Cyrl-BA"/>
              </w:rPr>
              <w:t xml:space="preserve">). </w:t>
            </w:r>
          </w:p>
          <w:p w14:paraId="3979C1C1" w14:textId="791ACAC0" w:rsidR="00892898" w:rsidRPr="00F6340E" w:rsidRDefault="00171F00" w:rsidP="00FB5CB7">
            <w:pPr>
              <w:pStyle w:val="ListParagraph"/>
              <w:ind w:left="360"/>
              <w:jc w:val="left"/>
              <w:rPr>
                <w:rFonts w:ascii="Arial" w:hAnsi="Arial" w:cs="Arial"/>
                <w:b/>
                <w:color w:val="000000" w:themeColor="text1"/>
                <w:lang w:val="sr-Cyrl-BA"/>
              </w:rPr>
            </w:pPr>
            <w:r>
              <w:rPr>
                <w:rFonts w:ascii="Arial" w:hAnsi="Arial" w:cs="Arial"/>
                <w:color w:val="000000" w:themeColor="text1"/>
                <w:lang w:val="sr-Cyrl-BA"/>
              </w:rPr>
              <w:t>З</w:t>
            </w:r>
            <w:r w:rsidR="00A56E08">
              <w:rPr>
                <w:rFonts w:ascii="Arial" w:hAnsi="Arial" w:cs="Arial"/>
                <w:color w:val="000000" w:themeColor="text1"/>
                <w:lang w:val="sr-Cyrl-BA"/>
              </w:rPr>
              <w:t>ај</w:t>
            </w:r>
            <w:r w:rsidR="00EE6AA2">
              <w:rPr>
                <w:rFonts w:ascii="Arial" w:hAnsi="Arial" w:cs="Arial"/>
                <w:color w:val="000000" w:themeColor="text1"/>
                <w:lang w:val="sr-Cyrl-BA"/>
              </w:rPr>
              <w:t>е</w:t>
            </w:r>
            <w:r w:rsidR="00A56E08">
              <w:rPr>
                <w:rFonts w:ascii="Arial" w:hAnsi="Arial" w:cs="Arial"/>
                <w:color w:val="000000" w:themeColor="text1"/>
                <w:lang w:val="sr-Cyrl-BA"/>
              </w:rPr>
              <w:t>дниц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пр</w:t>
            </w:r>
            <w:r w:rsidR="00A56E08">
              <w:rPr>
                <w:rFonts w:ascii="Arial" w:hAnsi="Arial" w:cs="Arial"/>
                <w:color w:val="000000" w:themeColor="text1"/>
                <w:lang w:val="sr-Cyrl-BA"/>
              </w:rPr>
              <w:t>ак</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sidR="0071360A">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71360A">
              <w:rPr>
                <w:rFonts w:ascii="Arial" w:hAnsi="Arial" w:cs="Arial"/>
                <w:color w:val="000000" w:themeColor="text1"/>
                <w:lang w:val="sr-Cyrl-BA"/>
              </w:rPr>
              <w:t>уп</w:t>
            </w:r>
            <w:r w:rsidR="00A56E08">
              <w:rPr>
                <w:rFonts w:ascii="Arial" w:hAnsi="Arial" w:cs="Arial"/>
                <w:color w:val="000000" w:themeColor="text1"/>
                <w:lang w:val="sr-Cyrl-BA"/>
              </w:rPr>
              <w:t>о</w:t>
            </w:r>
            <w:r w:rsidR="0071360A">
              <w:rPr>
                <w:rFonts w:ascii="Arial" w:hAnsi="Arial" w:cs="Arial"/>
                <w:color w:val="000000" w:themeColor="text1"/>
                <w:lang w:val="sr-Cyrl-BA"/>
              </w:rPr>
              <w:t>тр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би</w:t>
            </w:r>
            <w:r w:rsidR="0071360A">
              <w:rPr>
                <w:rFonts w:ascii="Arial" w:hAnsi="Arial" w:cs="Arial"/>
                <w:color w:val="000000" w:themeColor="text1"/>
                <w:lang w:val="sr-Cyrl-BA"/>
              </w:rPr>
              <w:t>т</w:t>
            </w:r>
            <w:r w:rsidR="00A56E08">
              <w:rPr>
                <w:rFonts w:ascii="Arial" w:hAnsi="Arial" w:cs="Arial"/>
                <w:color w:val="000000" w:themeColor="text1"/>
                <w:lang w:val="sr-Cyrl-BA"/>
              </w:rPr>
              <w:t>и</w:t>
            </w:r>
            <w:r w:rsidR="00C07B3E"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71360A">
              <w:rPr>
                <w:rFonts w:ascii="Arial" w:hAnsi="Arial" w:cs="Arial"/>
                <w:lang w:val="sr-Cyrl-BA"/>
              </w:rPr>
              <w:t>р</w:t>
            </w:r>
            <w:r w:rsidR="00A56E08">
              <w:rPr>
                <w:rFonts w:ascii="Arial" w:hAnsi="Arial" w:cs="Arial"/>
                <w:lang w:val="sr-Cyrl-BA"/>
              </w:rPr>
              <w:t>а</w:t>
            </w:r>
            <w:r>
              <w:rPr>
                <w:rFonts w:ascii="Arial" w:hAnsi="Arial" w:cs="Arial"/>
                <w:lang w:val="sr-Cyrl-BA"/>
              </w:rPr>
              <w:t>з</w:t>
            </w:r>
            <w:r w:rsidR="00A56E08">
              <w:rPr>
                <w:rFonts w:ascii="Arial" w:hAnsi="Arial" w:cs="Arial"/>
                <w:lang w:val="sr-Cyrl-BA"/>
              </w:rPr>
              <w:t>мј</w:t>
            </w:r>
            <w:r w:rsidR="00EE6AA2">
              <w:rPr>
                <w:rFonts w:ascii="Arial" w:hAnsi="Arial" w:cs="Arial"/>
                <w:lang w:val="sr-Cyrl-BA"/>
              </w:rPr>
              <w:t>е</w:t>
            </w:r>
            <w:r w:rsidR="00A56E08">
              <w:rPr>
                <w:rFonts w:ascii="Arial" w:hAnsi="Arial" w:cs="Arial"/>
                <w:lang w:val="sr-Cyrl-BA"/>
              </w:rPr>
              <w:t>н</w:t>
            </w:r>
            <w:r w:rsidR="0071360A">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и</w:t>
            </w:r>
            <w:r w:rsidR="0071360A">
              <w:rPr>
                <w:rFonts w:ascii="Arial" w:hAnsi="Arial" w:cs="Arial"/>
                <w:lang w:val="sr-Cyrl-BA"/>
              </w:rPr>
              <w:t>с</w:t>
            </w:r>
            <w:r w:rsidR="00A56E08">
              <w:rPr>
                <w:rFonts w:ascii="Arial" w:hAnsi="Arial" w:cs="Arial"/>
                <w:lang w:val="sr-Cyrl-BA"/>
              </w:rPr>
              <w:t>к</w:t>
            </w:r>
            <w:r w:rsidR="0071360A">
              <w:rPr>
                <w:rFonts w:ascii="Arial" w:hAnsi="Arial" w:cs="Arial"/>
                <w:lang w:val="sr-Cyrl-BA"/>
              </w:rPr>
              <w:t>уст</w:t>
            </w:r>
            <w:r w:rsidR="00A56E08">
              <w:rPr>
                <w:rFonts w:ascii="Arial" w:hAnsi="Arial" w:cs="Arial"/>
                <w:lang w:val="sr-Cyrl-BA"/>
              </w:rPr>
              <w:t>а</w:t>
            </w:r>
            <w:r w:rsidR="0071360A">
              <w:rPr>
                <w:rFonts w:ascii="Arial" w:hAnsi="Arial" w:cs="Arial"/>
                <w:lang w:val="sr-Cyrl-BA"/>
              </w:rPr>
              <w:t>в</w:t>
            </w:r>
            <w:r w:rsidR="00A56E08">
              <w:rPr>
                <w:rFonts w:ascii="Arial" w:hAnsi="Arial" w:cs="Arial"/>
                <w:lang w:val="sr-Cyrl-BA"/>
              </w:rPr>
              <w:t>а</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з</w:t>
            </w:r>
            <w:r w:rsidR="00A56E08">
              <w:rPr>
                <w:rFonts w:ascii="Arial" w:hAnsi="Arial" w:cs="Arial"/>
                <w:lang w:val="sr-Cyrl-BA"/>
              </w:rPr>
              <w:t>нања</w:t>
            </w:r>
            <w:r w:rsidR="00892898" w:rsidRPr="00F6340E">
              <w:rPr>
                <w:rFonts w:ascii="Arial" w:hAnsi="Arial" w:cs="Arial"/>
                <w:lang w:val="sr-Cyrl-BA"/>
              </w:rPr>
              <w:t xml:space="preserve"> </w:t>
            </w:r>
            <w:r w:rsidR="0071360A">
              <w:rPr>
                <w:rFonts w:ascii="Arial" w:hAnsi="Arial" w:cs="Arial"/>
                <w:lang w:val="sr-Cyrl-BA"/>
              </w:rPr>
              <w:t>у</w:t>
            </w:r>
            <w:r w:rsidR="00892898" w:rsidRPr="00F6340E">
              <w:rPr>
                <w:rFonts w:ascii="Arial" w:hAnsi="Arial" w:cs="Arial"/>
                <w:lang w:val="sr-Cyrl-BA"/>
              </w:rPr>
              <w:t xml:space="preserve"> </w:t>
            </w:r>
            <w:r w:rsidR="0071360A">
              <w:rPr>
                <w:rFonts w:ascii="Arial" w:hAnsi="Arial" w:cs="Arial"/>
                <w:lang w:val="sr-Cyrl-BA"/>
              </w:rPr>
              <w:t>п</w:t>
            </w:r>
            <w:r w:rsidR="00A56E08">
              <w:rPr>
                <w:rFonts w:ascii="Arial" w:hAnsi="Arial" w:cs="Arial"/>
                <w:lang w:val="sr-Cyrl-BA"/>
              </w:rPr>
              <w:t>од</w:t>
            </w:r>
            <w:r w:rsidR="0071360A">
              <w:rPr>
                <w:rFonts w:ascii="Arial" w:hAnsi="Arial" w:cs="Arial"/>
                <w:lang w:val="sr-Cyrl-BA"/>
              </w:rPr>
              <w:t>ру</w:t>
            </w:r>
            <w:r w:rsidR="00A56E08">
              <w:rPr>
                <w:rFonts w:ascii="Arial" w:hAnsi="Arial" w:cs="Arial"/>
                <w:lang w:val="sr-Cyrl-BA"/>
              </w:rPr>
              <w:t>чј</w:t>
            </w:r>
            <w:r w:rsidR="0071360A">
              <w:rPr>
                <w:rFonts w:ascii="Arial" w:hAnsi="Arial" w:cs="Arial"/>
                <w:lang w:val="sr-Cyrl-BA"/>
              </w:rPr>
              <w:t>у</w:t>
            </w:r>
            <w:r w:rsidR="00892898" w:rsidRPr="00F6340E">
              <w:rPr>
                <w:rFonts w:ascii="Arial" w:hAnsi="Arial" w:cs="Arial"/>
                <w:lang w:val="sr-Cyrl-BA"/>
              </w:rPr>
              <w:t xml:space="preserve"> </w:t>
            </w:r>
            <w:r w:rsidR="0071360A">
              <w:rPr>
                <w:rFonts w:ascii="Arial" w:hAnsi="Arial" w:cs="Arial"/>
                <w:lang w:val="sr-Cyrl-BA"/>
              </w:rPr>
              <w:t>вр</w:t>
            </w:r>
            <w:r w:rsidR="00EE6AA2">
              <w:rPr>
                <w:rFonts w:ascii="Arial" w:hAnsi="Arial" w:cs="Arial"/>
                <w:lang w:val="sr-Cyrl-BA"/>
              </w:rPr>
              <w:t>е</w:t>
            </w:r>
            <w:r w:rsidR="00A56E08">
              <w:rPr>
                <w:rFonts w:ascii="Arial" w:hAnsi="Arial" w:cs="Arial"/>
                <w:lang w:val="sr-Cyrl-BA"/>
              </w:rPr>
              <w:t>дно</w:t>
            </w:r>
            <w:r w:rsidR="0071360A">
              <w:rPr>
                <w:rFonts w:ascii="Arial" w:hAnsi="Arial" w:cs="Arial"/>
                <w:lang w:val="sr-Cyrl-BA"/>
              </w:rPr>
              <w:t>в</w:t>
            </w:r>
            <w:r w:rsidR="00A56E08">
              <w:rPr>
                <w:rFonts w:ascii="Arial" w:hAnsi="Arial" w:cs="Arial"/>
                <w:lang w:val="sr-Cyrl-BA"/>
              </w:rPr>
              <w:t>ања</w:t>
            </w:r>
            <w:r w:rsidR="00892898" w:rsidRPr="00F6340E">
              <w:rPr>
                <w:rFonts w:ascii="Arial" w:hAnsi="Arial" w:cs="Arial"/>
                <w:lang w:val="sr-Cyrl-BA"/>
              </w:rPr>
              <w:t xml:space="preserve"> </w:t>
            </w:r>
            <w:r w:rsidR="0071360A">
              <w:rPr>
                <w:rFonts w:ascii="Arial" w:hAnsi="Arial" w:cs="Arial"/>
                <w:lang w:val="sr-Cyrl-BA"/>
              </w:rPr>
              <w:t>п</w:t>
            </w:r>
            <w:r w:rsidR="00A56E08">
              <w:rPr>
                <w:rFonts w:ascii="Arial" w:hAnsi="Arial" w:cs="Arial"/>
                <w:lang w:val="sr-Cyrl-BA"/>
              </w:rPr>
              <w:t>о</w:t>
            </w:r>
            <w:r w:rsidR="0071360A">
              <w:rPr>
                <w:rFonts w:ascii="Arial" w:hAnsi="Arial" w:cs="Arial"/>
                <w:lang w:val="sr-Cyrl-BA"/>
              </w:rPr>
              <w:t>ст</w:t>
            </w:r>
            <w:r w:rsidR="00A56E08">
              <w:rPr>
                <w:rFonts w:ascii="Arial" w:hAnsi="Arial" w:cs="Arial"/>
                <w:lang w:val="sr-Cyrl-BA"/>
              </w:rPr>
              <w:t>игн</w:t>
            </w:r>
            <w:r w:rsidR="0071360A">
              <w:rPr>
                <w:rFonts w:ascii="Arial" w:hAnsi="Arial" w:cs="Arial"/>
                <w:lang w:val="sr-Cyrl-BA"/>
              </w:rPr>
              <w:t>у</w:t>
            </w:r>
            <w:r w:rsidR="00A56E08">
              <w:rPr>
                <w:rFonts w:ascii="Arial" w:hAnsi="Arial" w:cs="Arial"/>
                <w:lang w:val="sr-Cyrl-BA"/>
              </w:rPr>
              <w:t>ћа</w:t>
            </w:r>
            <w:r w:rsidR="00892898" w:rsidRPr="00F6340E">
              <w:rPr>
                <w:rFonts w:ascii="Arial" w:hAnsi="Arial" w:cs="Arial"/>
                <w:lang w:val="sr-Cyrl-BA"/>
              </w:rPr>
              <w:t xml:space="preserve"> </w:t>
            </w:r>
            <w:r w:rsidR="0071360A">
              <w:rPr>
                <w:rFonts w:ascii="Arial" w:hAnsi="Arial" w:cs="Arial"/>
                <w:lang w:val="sr-Cyrl-BA"/>
              </w:rPr>
              <w:t>у</w:t>
            </w:r>
            <w:r w:rsidR="00A56E08">
              <w:rPr>
                <w:rFonts w:ascii="Arial" w:hAnsi="Arial" w:cs="Arial"/>
                <w:lang w:val="sr-Cyrl-BA"/>
              </w:rPr>
              <w:t>ч</w:t>
            </w:r>
            <w:r w:rsidR="00EE6AA2">
              <w:rPr>
                <w:rFonts w:ascii="Arial" w:hAnsi="Arial" w:cs="Arial"/>
                <w:lang w:val="sr-Cyrl-BA"/>
              </w:rPr>
              <w:t>е</w:t>
            </w:r>
            <w:r w:rsidR="00A56E08">
              <w:rPr>
                <w:rFonts w:ascii="Arial" w:hAnsi="Arial" w:cs="Arial"/>
                <w:lang w:val="sr-Cyrl-BA"/>
              </w:rPr>
              <w:t>ника</w:t>
            </w:r>
            <w:r w:rsidR="00892898" w:rsidRPr="00F6340E">
              <w:rPr>
                <w:rFonts w:ascii="Arial" w:hAnsi="Arial" w:cs="Arial"/>
                <w:lang w:val="sr-Cyrl-BA"/>
              </w:rPr>
              <w:t>/</w:t>
            </w:r>
            <w:r w:rsidR="0071360A">
              <w:rPr>
                <w:rFonts w:ascii="Arial" w:hAnsi="Arial" w:cs="Arial"/>
                <w:lang w:val="sr-Cyrl-BA"/>
              </w:rPr>
              <w:t>сту</w:t>
            </w:r>
            <w:r w:rsidR="00A56E08">
              <w:rPr>
                <w:rFonts w:ascii="Arial" w:hAnsi="Arial" w:cs="Arial"/>
                <w:lang w:val="sr-Cyrl-BA"/>
              </w:rPr>
              <w:t>д</w:t>
            </w:r>
            <w:r w:rsidR="00EE6AA2">
              <w:rPr>
                <w:rFonts w:ascii="Arial" w:hAnsi="Arial" w:cs="Arial"/>
                <w:lang w:val="sr-Cyrl-BA"/>
              </w:rPr>
              <w:t>е</w:t>
            </w:r>
            <w:r w:rsidR="00A56E08">
              <w:rPr>
                <w:rFonts w:ascii="Arial" w:hAnsi="Arial" w:cs="Arial"/>
                <w:lang w:val="sr-Cyrl-BA"/>
              </w:rPr>
              <w:t>на</w:t>
            </w:r>
            <w:r w:rsidR="0071360A">
              <w:rPr>
                <w:rFonts w:ascii="Arial" w:hAnsi="Arial" w:cs="Arial"/>
                <w:lang w:val="sr-Cyrl-BA"/>
              </w:rPr>
              <w:t>т</w:t>
            </w:r>
            <w:r w:rsidR="00A56E08">
              <w:rPr>
                <w:rFonts w:ascii="Arial" w:hAnsi="Arial" w:cs="Arial"/>
                <w:lang w:val="sr-Cyrl-BA"/>
              </w:rPr>
              <w:t>а</w:t>
            </w:r>
            <w:r w:rsidR="00892898" w:rsidRPr="00F6340E">
              <w:rPr>
                <w:rFonts w:ascii="Arial" w:hAnsi="Arial" w:cs="Arial"/>
                <w:b/>
                <w:color w:val="000000" w:themeColor="text1"/>
                <w:lang w:val="sr-Cyrl-BA"/>
              </w:rPr>
              <w:t xml:space="preserve">. </w:t>
            </w:r>
          </w:p>
          <w:p w14:paraId="0F0AE341" w14:textId="3C002BB3" w:rsidR="00892898" w:rsidRPr="00F6340E" w:rsidRDefault="00A56E08" w:rsidP="00FB5CB7">
            <w:pPr>
              <w:pStyle w:val="ListParagraph"/>
              <w:numPr>
                <w:ilvl w:val="0"/>
                <w:numId w:val="41"/>
              </w:numPr>
              <w:jc w:val="left"/>
              <w:rPr>
                <w:rFonts w:ascii="Arial" w:hAnsi="Arial" w:cs="Arial"/>
                <w:b/>
                <w:color w:val="000000" w:themeColor="text1"/>
                <w:lang w:val="sr-Cyrl-BA"/>
              </w:rPr>
            </w:pPr>
            <w:r>
              <w:rPr>
                <w:rFonts w:ascii="Arial" w:hAnsi="Arial" w:cs="Arial"/>
                <w:b/>
                <w:color w:val="000000" w:themeColor="text1"/>
                <w:lang w:val="sr-Cyrl-BA"/>
              </w:rPr>
              <w:t>И</w:t>
            </w:r>
            <w:r w:rsidR="00171F00">
              <w:rPr>
                <w:rFonts w:ascii="Arial" w:hAnsi="Arial" w:cs="Arial"/>
                <w:b/>
                <w:color w:val="000000" w:themeColor="text1"/>
                <w:lang w:val="sr-Cyrl-BA"/>
              </w:rPr>
              <w:t>з</w:t>
            </w:r>
            <w:r>
              <w:rPr>
                <w:rFonts w:ascii="Arial" w:hAnsi="Arial" w:cs="Arial"/>
                <w:b/>
                <w:color w:val="000000" w:themeColor="text1"/>
                <w:lang w:val="sr-Cyrl-BA"/>
              </w:rPr>
              <w:t>д</w:t>
            </w:r>
            <w:r w:rsidR="0071360A">
              <w:rPr>
                <w:rFonts w:ascii="Arial" w:hAnsi="Arial" w:cs="Arial"/>
                <w:b/>
                <w:color w:val="000000" w:themeColor="text1"/>
                <w:lang w:val="sr-Cyrl-BA"/>
              </w:rPr>
              <w:t>в</w:t>
            </w:r>
            <w:r>
              <w:rPr>
                <w:rFonts w:ascii="Arial" w:hAnsi="Arial" w:cs="Arial"/>
                <w:b/>
                <w:color w:val="000000" w:themeColor="text1"/>
                <w:lang w:val="sr-Cyrl-BA"/>
              </w:rPr>
              <w:t>оји</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w:t>
            </w:r>
            <w:r>
              <w:rPr>
                <w:rFonts w:ascii="Arial" w:hAnsi="Arial" w:cs="Arial"/>
                <w:b/>
                <w:color w:val="000000" w:themeColor="text1"/>
                <w:lang w:val="sr-Cyrl-BA"/>
              </w:rPr>
              <w:t>или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w:t>
            </w:r>
            <w:r w:rsidR="0071360A">
              <w:rPr>
                <w:rFonts w:ascii="Arial" w:hAnsi="Arial" w:cs="Arial"/>
                <w:b/>
                <w:color w:val="000000" w:themeColor="text1"/>
                <w:lang w:val="sr-Cyrl-BA"/>
              </w:rPr>
              <w:t>р</w:t>
            </w:r>
            <w:r w:rsidR="00EE6AA2">
              <w:rPr>
                <w:rFonts w:ascii="Arial" w:hAnsi="Arial" w:cs="Arial"/>
                <w:b/>
                <w:color w:val="000000" w:themeColor="text1"/>
                <w:lang w:val="sr-Cyrl-BA"/>
              </w:rPr>
              <w:t>е</w:t>
            </w:r>
            <w:r>
              <w:rPr>
                <w:rFonts w:ascii="Arial" w:hAnsi="Arial" w:cs="Arial"/>
                <w:b/>
                <w:color w:val="000000" w:themeColor="text1"/>
                <w:lang w:val="sr-Cyrl-BA"/>
              </w:rPr>
              <w:t>и</w:t>
            </w:r>
            <w:r w:rsidR="0071360A">
              <w:rPr>
                <w:rFonts w:ascii="Arial" w:hAnsi="Arial" w:cs="Arial"/>
                <w:b/>
                <w:color w:val="000000" w:themeColor="text1"/>
                <w:lang w:val="sr-Cyrl-BA"/>
              </w:rPr>
              <w:t>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доб</w:t>
            </w:r>
            <w:r w:rsidR="0071360A">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ак</w:t>
            </w:r>
            <w:r w:rsidR="0071360A">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кон</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к</w:t>
            </w:r>
            <w:r w:rsidR="0071360A">
              <w:rPr>
                <w:rFonts w:ascii="Arial" w:eastAsiaTheme="minorHAnsi" w:hAnsi="Arial" w:cs="Arial"/>
                <w:b/>
                <w:color w:val="000000" w:themeColor="text1"/>
                <w:lang w:val="sr-Cyrl-BA"/>
              </w:rPr>
              <w:t>сту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м</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ног</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ступ</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ч</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њ</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w:t>
            </w:r>
            <w:r>
              <w:rPr>
                <w:rFonts w:ascii="Arial" w:eastAsiaTheme="minorHAnsi" w:hAnsi="Arial" w:cs="Arial"/>
                <w:b/>
                <w:color w:val="000000" w:themeColor="text1"/>
                <w:lang w:val="sr-Cyrl-BA"/>
              </w:rPr>
              <w:t>од</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ча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ањ</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sidR="00171F00">
              <w:rPr>
                <w:rFonts w:ascii="Arial" w:eastAsiaTheme="minorHAnsi" w:hAnsi="Arial" w:cs="Arial"/>
                <w:b/>
                <w:color w:val="000000" w:themeColor="text1"/>
                <w:lang w:val="sr-Cyrl-BA"/>
              </w:rPr>
              <w:t>з</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имј</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н</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диги</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алних</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ала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Pr>
                <w:rFonts w:ascii="Arial" w:eastAsiaTheme="minorHAnsi" w:hAnsi="Arial" w:cs="Arial"/>
                <w:b/>
                <w:color w:val="000000" w:themeColor="text1"/>
                <w:lang w:val="sr-Cyrl-BA"/>
              </w:rPr>
              <w:t>чини</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их</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до</w:t>
            </w:r>
            <w:r w:rsidR="0071360A">
              <w:rPr>
                <w:rFonts w:ascii="Arial" w:eastAsiaTheme="minorHAnsi" w:hAnsi="Arial" w:cs="Arial"/>
                <w:b/>
                <w:color w:val="000000" w:themeColor="text1"/>
                <w:lang w:val="sr-Cyrl-BA"/>
              </w:rPr>
              <w:t>ступ</w:t>
            </w:r>
            <w:r>
              <w:rPr>
                <w:rFonts w:ascii="Arial" w:eastAsiaTheme="minorHAnsi" w:hAnsi="Arial" w:cs="Arial"/>
                <w:b/>
                <w:color w:val="000000" w:themeColor="text1"/>
                <w:lang w:val="sr-Cyrl-BA"/>
              </w:rPr>
              <w:t>ним</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ницима</w:t>
            </w:r>
            <w:r w:rsidR="00D315C3" w:rsidRPr="00F6340E">
              <w:rPr>
                <w:rFonts w:ascii="Arial" w:eastAsiaTheme="minorHAnsi" w:hAnsi="Arial" w:cs="Arial"/>
                <w:b/>
                <w:color w:val="000000" w:themeColor="text1"/>
                <w:lang w:val="sr-Cyrl-BA"/>
              </w:rPr>
              <w:t xml:space="preserve"> </w:t>
            </w:r>
          </w:p>
          <w:p w14:paraId="3158FD95" w14:textId="7F05B523" w:rsidR="00AB592D" w:rsidRPr="00F6340E" w:rsidRDefault="0071360A" w:rsidP="00FB5CB7">
            <w:pPr>
              <w:pStyle w:val="ListParagraph"/>
              <w:ind w:left="360"/>
              <w:jc w:val="left"/>
              <w:rPr>
                <w:rFonts w:ascii="Arial" w:hAnsi="Arial" w:cs="Arial"/>
                <w:color w:val="000000" w:themeColor="text1"/>
                <w:lang w:val="sr-Cyrl-BA"/>
              </w:rPr>
            </w:pPr>
            <w:r>
              <w:rPr>
                <w:rFonts w:ascii="Arial" w:hAnsi="Arial" w:cs="Arial"/>
                <w:color w:val="000000" w:themeColor="text1"/>
                <w:lang w:val="sr-Cyrl-BA"/>
              </w:rPr>
              <w:t>Пр</w:t>
            </w:r>
            <w:r w:rsidR="00A56E08">
              <w:rPr>
                <w:rFonts w:ascii="Arial" w:hAnsi="Arial" w:cs="Arial"/>
                <w:color w:val="000000" w:themeColor="text1"/>
                <w:lang w:val="sr-Cyrl-BA"/>
              </w:rPr>
              <w:t>имј</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доб</w:t>
            </w:r>
            <w:r>
              <w:rPr>
                <w:rFonts w:ascii="Arial" w:hAnsi="Arial" w:cs="Arial"/>
                <w:color w:val="000000" w:themeColor="text1"/>
                <w:lang w:val="sr-Cyrl-BA"/>
              </w:rPr>
              <w:t>р</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ак</w:t>
            </w:r>
            <w:r>
              <w:rPr>
                <w:rFonts w:ascii="Arial" w:hAnsi="Arial" w:cs="Arial"/>
                <w:color w:val="000000" w:themeColor="text1"/>
                <w:lang w:val="sr-Cyrl-BA"/>
              </w:rPr>
              <w:t>с</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диј</w:t>
            </w:r>
            <w:r w:rsidR="00EE6AA2">
              <w:rPr>
                <w:rFonts w:ascii="Arial" w:hAnsi="Arial" w:cs="Arial"/>
                <w:color w:val="000000" w:themeColor="text1"/>
                <w:lang w:val="sr-Cyrl-BA"/>
              </w:rPr>
              <w:t>е</w:t>
            </w:r>
            <w:r w:rsidR="00A56E08">
              <w:rPr>
                <w:rFonts w:ascii="Arial" w:hAnsi="Arial" w:cs="Arial"/>
                <w:color w:val="000000" w:themeColor="text1"/>
                <w:lang w:val="sr-Cyrl-BA"/>
              </w:rPr>
              <w:t>ли</w:t>
            </w:r>
            <w:r>
              <w:rPr>
                <w:rFonts w:ascii="Arial" w:hAnsi="Arial" w:cs="Arial"/>
                <w:color w:val="000000" w:themeColor="text1"/>
                <w:lang w:val="sr-Cyrl-BA"/>
              </w:rPr>
              <w:t>т</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в</w:t>
            </w:r>
            <w:r w:rsidR="00EE6AA2">
              <w:rPr>
                <w:rFonts w:ascii="Arial" w:hAnsi="Arial" w:cs="Arial"/>
                <w:color w:val="000000" w:themeColor="text1"/>
                <w:lang w:val="sr-Cyrl-BA"/>
              </w:rPr>
              <w:t>е</w:t>
            </w:r>
            <w:r w:rsidR="00A56E08">
              <w:rPr>
                <w:rFonts w:ascii="Arial" w:hAnsi="Arial" w:cs="Arial"/>
                <w:color w:val="000000" w:themeColor="text1"/>
                <w:lang w:val="sr-Cyrl-BA"/>
              </w:rPr>
              <w:t>ћ</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ој</w:t>
            </w:r>
            <w:r w:rsidR="00EE6AA2">
              <w:rPr>
                <w:rFonts w:ascii="Arial" w:hAnsi="Arial" w:cs="Arial"/>
                <w:color w:val="000000" w:themeColor="text1"/>
                <w:lang w:val="sr-Cyrl-BA"/>
              </w:rPr>
              <w:t>е</w:t>
            </w:r>
            <w:r w:rsidR="00A56E08">
              <w:rPr>
                <w:rFonts w:ascii="Arial" w:hAnsi="Arial" w:cs="Arial"/>
                <w:color w:val="000000" w:themeColor="text1"/>
                <w:lang w:val="sr-Cyrl-BA"/>
              </w:rPr>
              <w:t>ћим</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ла</w:t>
            </w:r>
            <w:r>
              <w:rPr>
                <w:rFonts w:ascii="Arial" w:hAnsi="Arial" w:cs="Arial"/>
                <w:color w:val="000000" w:themeColor="text1"/>
                <w:lang w:val="sr-Cyrl-BA"/>
              </w:rPr>
              <w:t>т</w:t>
            </w:r>
            <w:r w:rsidR="00A56E08">
              <w:rPr>
                <w:rFonts w:ascii="Arial" w:hAnsi="Arial" w:cs="Arial"/>
                <w:color w:val="000000" w:themeColor="text1"/>
                <w:lang w:val="sr-Cyrl-BA"/>
              </w:rPr>
              <w:t>фо</w:t>
            </w:r>
            <w:r>
              <w:rPr>
                <w:rFonts w:ascii="Arial" w:hAnsi="Arial" w:cs="Arial"/>
                <w:color w:val="000000" w:themeColor="text1"/>
                <w:lang w:val="sr-Cyrl-BA"/>
              </w:rPr>
              <w:t>р</w:t>
            </w:r>
            <w:r w:rsidR="00A56E08">
              <w:rPr>
                <w:rFonts w:ascii="Arial" w:hAnsi="Arial" w:cs="Arial"/>
                <w:color w:val="000000" w:themeColor="text1"/>
                <w:lang w:val="sr-Cyrl-BA"/>
              </w:rPr>
              <w:t>мама</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т</w:t>
            </w:r>
            <w:r w:rsidR="00A56E08">
              <w:rPr>
                <w:rFonts w:ascii="Arial" w:hAnsi="Arial" w:cs="Arial"/>
                <w:color w:val="000000" w:themeColor="text1"/>
                <w:lang w:val="sr-Cyrl-BA"/>
              </w:rPr>
              <w:t>амо</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гдј</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су</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он</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усп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љ</w:t>
            </w:r>
            <w:r w:rsidR="00EE6AA2">
              <w:rPr>
                <w:rFonts w:ascii="Arial" w:hAnsi="Arial" w:cs="Arial"/>
                <w:color w:val="000000" w:themeColor="text1"/>
                <w:lang w:val="sr-Cyrl-BA"/>
              </w:rPr>
              <w:t>е</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т</w:t>
            </w:r>
            <w:r w:rsidR="00A56E08">
              <w:rPr>
                <w:rFonts w:ascii="Arial" w:hAnsi="Arial" w:cs="Arial"/>
                <w:color w:val="000000" w:themeColor="text1"/>
                <w:lang w:val="sr-Cyrl-BA"/>
              </w:rPr>
              <w:t>оком</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али</w:t>
            </w:r>
            <w:r w:rsidR="00171F00">
              <w:rPr>
                <w:rFonts w:ascii="Arial" w:hAnsi="Arial" w:cs="Arial"/>
                <w:color w:val="000000" w:themeColor="text1"/>
                <w:lang w:val="sr-Cyrl-BA"/>
              </w:rPr>
              <w:t>з</w:t>
            </w:r>
            <w:r w:rsidR="00A56E08">
              <w:rPr>
                <w:rFonts w:ascii="Arial" w:hAnsi="Arial" w:cs="Arial"/>
                <w:color w:val="000000" w:themeColor="text1"/>
                <w:lang w:val="sr-Cyrl-BA"/>
              </w:rPr>
              <w:t>ациј</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424F0"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комбино</w:t>
            </w:r>
            <w:r>
              <w:rPr>
                <w:rFonts w:ascii="Arial" w:hAnsi="Arial" w:cs="Arial"/>
                <w:color w:val="000000" w:themeColor="text1"/>
                <w:lang w:val="sr-Cyrl-BA"/>
              </w:rPr>
              <w:t>в</w:t>
            </w:r>
            <w:r w:rsidR="00A56E08">
              <w:rPr>
                <w:rFonts w:ascii="Arial" w:hAnsi="Arial" w:cs="Arial"/>
                <w:color w:val="000000" w:themeColor="text1"/>
                <w:lang w:val="sr-Cyrl-BA"/>
              </w:rPr>
              <w:t>ан</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или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их</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лани</w:t>
            </w:r>
            <w:r>
              <w:rPr>
                <w:rFonts w:ascii="Arial" w:hAnsi="Arial" w:cs="Arial"/>
                <w:color w:val="000000" w:themeColor="text1"/>
                <w:lang w:val="sr-Cyrl-BA"/>
              </w:rPr>
              <w:t>р</w:t>
            </w:r>
            <w:r w:rsidR="00A56E08">
              <w:rPr>
                <w:rFonts w:ascii="Arial" w:hAnsi="Arial" w:cs="Arial"/>
                <w:color w:val="000000" w:themeColor="text1"/>
                <w:lang w:val="sr-Cyrl-BA"/>
              </w:rPr>
              <w:t>а</w:t>
            </w:r>
            <w:r>
              <w:rPr>
                <w:rFonts w:ascii="Arial" w:hAnsi="Arial" w:cs="Arial"/>
                <w:color w:val="000000" w:themeColor="text1"/>
                <w:lang w:val="sr-Cyrl-BA"/>
              </w:rPr>
              <w:t>т</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у</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в</w:t>
            </w:r>
            <w:r w:rsidR="00A56E08">
              <w:rPr>
                <w:rFonts w:ascii="Arial" w:hAnsi="Arial" w:cs="Arial"/>
                <w:color w:val="000000" w:themeColor="text1"/>
                <w:lang w:val="sr-Cyrl-BA"/>
              </w:rPr>
              <w:t>и</w:t>
            </w:r>
            <w:r>
              <w:rPr>
                <w:rFonts w:ascii="Arial" w:hAnsi="Arial" w:cs="Arial"/>
                <w:color w:val="000000" w:themeColor="text1"/>
                <w:lang w:val="sr-Cyrl-BA"/>
              </w:rPr>
              <w:t>ру</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п</w:t>
            </w:r>
            <w:r w:rsidR="00A56E08">
              <w:rPr>
                <w:rFonts w:ascii="Arial" w:hAnsi="Arial" w:cs="Arial"/>
                <w:color w:val="000000" w:themeColor="text1"/>
                <w:lang w:val="sr-Cyrl-BA"/>
              </w:rPr>
              <w:t>о</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ија</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w:t>
            </w:r>
            <w:r w:rsidR="00A56E08">
              <w:rPr>
                <w:rFonts w:ascii="Arial" w:hAnsi="Arial" w:cs="Arial"/>
                <w:color w:val="000000" w:themeColor="text1"/>
                <w:lang w:val="sr-Cyrl-BA"/>
              </w:rPr>
              <w:t>или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C07B3E" w:rsidRPr="00F6340E">
              <w:rPr>
                <w:rFonts w:ascii="Arial" w:hAnsi="Arial" w:cs="Arial"/>
                <w:color w:val="000000" w:themeColor="text1"/>
                <w:lang w:val="sr-Cyrl-BA"/>
              </w:rPr>
              <w:t xml:space="preserve"> </w:t>
            </w:r>
            <w:r>
              <w:rPr>
                <w:rFonts w:ascii="Arial" w:hAnsi="Arial" w:cs="Arial"/>
                <w:color w:val="000000" w:themeColor="text1"/>
                <w:lang w:val="sr-Cyrl-BA"/>
              </w:rPr>
              <w:t>стр</w:t>
            </w:r>
            <w:r w:rsidR="00A56E08">
              <w:rPr>
                <w:rFonts w:ascii="Arial" w:hAnsi="Arial" w:cs="Arial"/>
                <w:color w:val="000000" w:themeColor="text1"/>
                <w:lang w:val="sr-Cyrl-BA"/>
              </w:rPr>
              <w:t>аниц</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ћ</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Pr>
                <w:rFonts w:ascii="Arial" w:hAnsi="Arial" w:cs="Arial"/>
                <w:color w:val="000000" w:themeColor="text1"/>
                <w:lang w:val="sr-Cyrl-BA"/>
              </w:rPr>
              <w:t>в</w:t>
            </w:r>
            <w:r w:rsidR="00A56E08">
              <w:rPr>
                <w:rFonts w:ascii="Arial" w:hAnsi="Arial" w:cs="Arial"/>
                <w:color w:val="000000" w:themeColor="text1"/>
                <w:lang w:val="sr-Cyrl-BA"/>
              </w:rPr>
              <w:t>ија</w:t>
            </w:r>
            <w:r>
              <w:rPr>
                <w:rFonts w:ascii="Arial" w:hAnsi="Arial" w:cs="Arial"/>
                <w:color w:val="000000" w:themeColor="text1"/>
                <w:lang w:val="sr-Cyrl-BA"/>
              </w:rPr>
              <w:t>т</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но</w:t>
            </w:r>
            <w:r>
              <w:rPr>
                <w:rFonts w:ascii="Arial" w:hAnsi="Arial" w:cs="Arial"/>
                <w:color w:val="000000" w:themeColor="text1"/>
                <w:lang w:val="sr-Cyrl-BA"/>
              </w:rPr>
              <w:t>ву</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EE6AA2">
              <w:rPr>
                <w:rFonts w:ascii="Arial" w:hAnsi="Arial" w:cs="Arial"/>
                <w:color w:val="000000" w:themeColor="text1"/>
                <w:lang w:val="sr-Cyrl-BA"/>
              </w:rPr>
              <w:t>е</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ру</w:t>
            </w:r>
            <w:r w:rsidR="00A56E08">
              <w:rPr>
                <w:rFonts w:ascii="Arial" w:hAnsi="Arial" w:cs="Arial"/>
                <w:color w:val="000000" w:themeColor="text1"/>
                <w:lang w:val="sr-Cyrl-BA"/>
              </w:rPr>
              <w:t>ка</w:t>
            </w:r>
            <w:r w:rsidR="00AB592D"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на</w:t>
            </w:r>
            <w:r>
              <w:rPr>
                <w:rFonts w:ascii="Arial" w:hAnsi="Arial" w:cs="Arial"/>
                <w:color w:val="000000" w:themeColor="text1"/>
                <w:lang w:val="sr-Cyrl-BA"/>
              </w:rPr>
              <w:t>пр</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56E08">
              <w:rPr>
                <w:rFonts w:ascii="Arial" w:hAnsi="Arial" w:cs="Arial"/>
                <w:color w:val="000000" w:themeColor="text1"/>
                <w:lang w:val="sr-Cyrl-BA"/>
              </w:rPr>
              <w:t>ђ</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424F0"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комбино</w:t>
            </w:r>
            <w:r>
              <w:rPr>
                <w:rFonts w:ascii="Arial" w:hAnsi="Arial" w:cs="Arial"/>
                <w:color w:val="000000" w:themeColor="text1"/>
                <w:lang w:val="sr-Cyrl-BA"/>
              </w:rPr>
              <w:t>в</w:t>
            </w:r>
            <w:r w:rsidR="00A56E08">
              <w:rPr>
                <w:rFonts w:ascii="Arial" w:hAnsi="Arial" w:cs="Arial"/>
                <w:color w:val="000000" w:themeColor="text1"/>
                <w:lang w:val="sr-Cyrl-BA"/>
              </w:rPr>
              <w:t>ан</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A56E08">
              <w:rPr>
                <w:rFonts w:ascii="Arial" w:hAnsi="Arial" w:cs="Arial"/>
                <w:color w:val="000000" w:themeColor="text1"/>
                <w:lang w:val="sr-Cyrl-BA"/>
              </w:rPr>
              <w:t>ћ</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их</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диј</w:t>
            </w:r>
            <w:r w:rsidR="00EE6AA2">
              <w:rPr>
                <w:rFonts w:ascii="Arial" w:hAnsi="Arial" w:cs="Arial"/>
                <w:color w:val="000000" w:themeColor="text1"/>
                <w:lang w:val="sr-Cyrl-BA"/>
              </w:rPr>
              <w:t>е</w:t>
            </w:r>
            <w:r w:rsidR="00A56E08">
              <w:rPr>
                <w:rFonts w:ascii="Arial" w:hAnsi="Arial" w:cs="Arial"/>
                <w:color w:val="000000" w:themeColor="text1"/>
                <w:lang w:val="sr-Cyrl-BA"/>
              </w:rPr>
              <w:t>ли</w:t>
            </w:r>
            <w:r>
              <w:rPr>
                <w:rFonts w:ascii="Arial" w:hAnsi="Arial" w:cs="Arial"/>
                <w:color w:val="000000" w:themeColor="text1"/>
                <w:lang w:val="sr-Cyrl-BA"/>
              </w:rPr>
              <w:t>т</w:t>
            </w:r>
            <w:r w:rsidR="00A56E08">
              <w:rPr>
                <w:rFonts w:ascii="Arial" w:hAnsi="Arial" w:cs="Arial"/>
                <w:color w:val="000000" w:themeColor="text1"/>
                <w:lang w:val="sr-Cyrl-BA"/>
              </w:rPr>
              <w:t>и</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р</w:t>
            </w:r>
            <w:r w:rsidR="00A56E08">
              <w:rPr>
                <w:rFonts w:ascii="Arial" w:hAnsi="Arial" w:cs="Arial"/>
                <w:color w:val="000000" w:themeColor="text1"/>
                <w:lang w:val="sr-Cyrl-BA"/>
              </w:rPr>
              <w:t>о</w:t>
            </w:r>
            <w:r w:rsidR="00171F00">
              <w:rPr>
                <w:rFonts w:ascii="Arial" w:hAnsi="Arial" w:cs="Arial"/>
                <w:color w:val="000000" w:themeColor="text1"/>
                <w:lang w:val="sr-Cyrl-BA"/>
              </w:rPr>
              <w:t>з</w:t>
            </w:r>
            <w:r w:rsidR="00AB592D"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личи</w:t>
            </w:r>
            <w:r>
              <w:rPr>
                <w:rFonts w:ascii="Arial" w:hAnsi="Arial" w:cs="Arial"/>
                <w:color w:val="000000" w:themeColor="text1"/>
                <w:lang w:val="sr-Cyrl-BA"/>
              </w:rPr>
              <w:t>т</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у</w:t>
            </w:r>
            <w:r w:rsidR="00A56E08">
              <w:rPr>
                <w:rFonts w:ascii="Arial" w:hAnsi="Arial" w:cs="Arial"/>
                <w:color w:val="000000" w:themeColor="text1"/>
                <w:lang w:val="sr-Cyrl-BA"/>
              </w:rPr>
              <w:t>никацион</w:t>
            </w:r>
            <w:r w:rsidR="00EE6AA2">
              <w:rPr>
                <w:rFonts w:ascii="Arial" w:hAnsi="Arial" w:cs="Arial"/>
                <w:color w:val="000000" w:themeColor="text1"/>
                <w:lang w:val="sr-Cyrl-BA"/>
              </w:rPr>
              <w:t>е</w:t>
            </w:r>
            <w:r w:rsidR="00AB592D" w:rsidRPr="00F6340E">
              <w:rPr>
                <w:rFonts w:ascii="Arial" w:hAnsi="Arial" w:cs="Arial"/>
                <w:color w:val="000000" w:themeColor="text1"/>
                <w:lang w:val="sr-Cyrl-BA"/>
              </w:rPr>
              <w:t xml:space="preserve"> </w:t>
            </w:r>
            <w:r w:rsidR="00AB7005" w:rsidRPr="00F6340E">
              <w:rPr>
                <w:rFonts w:ascii="Arial" w:hAnsi="Arial" w:cs="Arial"/>
                <w:color w:val="000000" w:themeColor="text1"/>
                <w:lang w:val="sr-Cyrl-BA"/>
              </w:rPr>
              <w:t>(</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w:t>
            </w:r>
            <w:r w:rsidR="00EE6AA2">
              <w:rPr>
                <w:rFonts w:ascii="Arial" w:hAnsi="Arial" w:cs="Arial"/>
                <w:color w:val="000000" w:themeColor="text1"/>
                <w:lang w:val="sr-Cyrl-BA"/>
              </w:rPr>
              <w:t>е</w:t>
            </w:r>
            <w:r w:rsidR="00AB7005" w:rsidRPr="00F6340E">
              <w:rPr>
                <w:rFonts w:ascii="Arial" w:hAnsi="Arial" w:cs="Arial"/>
                <w:color w:val="000000" w:themeColor="text1"/>
                <w:lang w:val="sr-Cyrl-BA"/>
              </w:rPr>
              <w:t xml:space="preserve">) </w:t>
            </w:r>
            <w:r w:rsidR="00A56E08">
              <w:rPr>
                <w:rFonts w:ascii="Arial" w:hAnsi="Arial" w:cs="Arial"/>
                <w:color w:val="000000" w:themeColor="text1"/>
                <w:lang w:val="sr-Cyrl-BA"/>
              </w:rPr>
              <w:t>канал</w:t>
            </w:r>
            <w:r w:rsidR="00EE6AA2">
              <w:rPr>
                <w:rFonts w:ascii="Arial" w:hAnsi="Arial" w:cs="Arial"/>
                <w:color w:val="000000" w:themeColor="text1"/>
                <w:lang w:val="sr-Cyrl-BA"/>
              </w:rPr>
              <w:t>е</w:t>
            </w:r>
            <w:r w:rsidR="00AB7005" w:rsidRPr="00F6340E">
              <w:rPr>
                <w:rFonts w:ascii="Arial" w:hAnsi="Arial" w:cs="Arial"/>
                <w:color w:val="000000" w:themeColor="text1"/>
                <w:lang w:val="sr-Cyrl-BA"/>
              </w:rPr>
              <w:t>.</w:t>
            </w:r>
            <w:r w:rsidR="00AB592D" w:rsidRPr="00F6340E">
              <w:rPr>
                <w:rFonts w:ascii="Arial" w:hAnsi="Arial" w:cs="Arial"/>
                <w:color w:val="000000" w:themeColor="text1"/>
                <w:lang w:val="sr-Cyrl-BA"/>
              </w:rPr>
              <w:t xml:space="preserve">  </w:t>
            </w:r>
          </w:p>
          <w:p w14:paraId="2FBCFBCC" w14:textId="501F221C" w:rsidR="00892898" w:rsidRPr="00F6340E" w:rsidRDefault="0071360A" w:rsidP="00FB5CB7">
            <w:pPr>
              <w:pStyle w:val="ListParagraph"/>
              <w:numPr>
                <w:ilvl w:val="0"/>
                <w:numId w:val="41"/>
              </w:numPr>
              <w:jc w:val="left"/>
              <w:rPr>
                <w:rFonts w:ascii="Arial" w:eastAsiaTheme="minorHAnsi" w:hAnsi="Arial" w:cs="Arial"/>
                <w:b/>
                <w:color w:val="000000" w:themeColor="text1"/>
                <w:lang w:val="sr-Cyrl-BA"/>
              </w:rPr>
            </w:pP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од</w:t>
            </w:r>
            <w:r>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ж</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ув</w:t>
            </w:r>
            <w:r w:rsidR="00A56E08">
              <w:rPr>
                <w:rFonts w:ascii="Arial" w:eastAsiaTheme="minorHAnsi" w:hAnsi="Arial" w:cs="Arial"/>
                <w:b/>
                <w:color w:val="000000" w:themeColor="text1"/>
                <w:lang w:val="sr-Cyrl-BA"/>
              </w:rPr>
              <w:t>ођ</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мањих</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ација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ањ</w:t>
            </w:r>
            <w:r>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њ</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го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w:t>
            </w:r>
            <w:r>
              <w:rPr>
                <w:rFonts w:ascii="Arial" w:eastAsiaTheme="minorHAnsi" w:hAnsi="Arial" w:cs="Arial"/>
                <w:b/>
                <w:color w:val="000000" w:themeColor="text1"/>
                <w:lang w:val="sr-Cyrl-BA"/>
              </w:rPr>
              <w:t>у</w:t>
            </w:r>
            <w:r w:rsidR="00A56E08">
              <w:rPr>
                <w:rFonts w:ascii="Arial" w:eastAsiaTheme="minorHAnsi" w:hAnsi="Arial" w:cs="Arial"/>
                <w:b/>
                <w:color w:val="000000" w:themeColor="text1"/>
                <w:lang w:val="sr-Cyrl-BA"/>
              </w:rPr>
              <w:t>л</w:t>
            </w:r>
            <w:r>
              <w:rPr>
                <w:rFonts w:ascii="Arial" w:eastAsiaTheme="minorHAnsi" w:hAnsi="Arial" w:cs="Arial"/>
                <w:b/>
                <w:color w:val="000000" w:themeColor="text1"/>
                <w:lang w:val="sr-Cyrl-BA"/>
              </w:rPr>
              <w:t>туру</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ациј</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w:t>
            </w:r>
            <w:r>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но</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у</w:t>
            </w:r>
            <w:r w:rsidR="00171F00">
              <w:rPr>
                <w:rFonts w:ascii="Arial" w:eastAsiaTheme="minorHAnsi" w:hAnsi="Arial" w:cs="Arial"/>
                <w:b/>
                <w:color w:val="000000" w:themeColor="text1"/>
                <w:lang w:val="sr-Cyrl-BA"/>
              </w:rPr>
              <w:t>з</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рт</w:t>
            </w:r>
            <w:r w:rsidR="00A56E08">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рств</w:t>
            </w:r>
            <w:r w:rsidR="00A56E08">
              <w:rPr>
                <w:rFonts w:ascii="Arial" w:eastAsiaTheme="minorHAnsi" w:hAnsi="Arial" w:cs="Arial"/>
                <w:b/>
                <w:color w:val="000000" w:themeColor="text1"/>
                <w:lang w:val="sr-Cyrl-BA"/>
              </w:rPr>
              <w:t>о</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об</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них</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ла</w:t>
            </w:r>
            <w:r>
              <w:rPr>
                <w:rFonts w:ascii="Arial" w:eastAsiaTheme="minorHAnsi" w:hAnsi="Arial" w:cs="Arial"/>
                <w:b/>
                <w:color w:val="000000" w:themeColor="text1"/>
                <w:lang w:val="sr-Cyrl-BA"/>
              </w:rPr>
              <w:t>ст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ш</w:t>
            </w:r>
            <w:r w:rsidR="00A56E08">
              <w:rPr>
                <w:rFonts w:ascii="Arial" w:eastAsiaTheme="minorHAnsi" w:hAnsi="Arial" w:cs="Arial"/>
                <w:b/>
                <w:color w:val="000000" w:themeColor="text1"/>
                <w:lang w:val="sr-Cyrl-BA"/>
              </w:rPr>
              <w:t>и</w:t>
            </w:r>
            <w:r>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sidR="00A56E08">
              <w:rPr>
                <w:rFonts w:ascii="Arial" w:eastAsiaTheme="minorHAnsi" w:hAnsi="Arial" w:cs="Arial"/>
                <w:b/>
                <w:color w:val="000000" w:themeColor="text1"/>
                <w:lang w:val="sr-Cyrl-BA"/>
              </w:rPr>
              <w:t>ај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дниц</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к</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р</w:t>
            </w:r>
            <w:r w:rsidR="00C07B3E"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Н</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О</w:t>
            </w:r>
            <w:r w:rsidR="00C07B3E" w:rsidRPr="00F6340E">
              <w:rPr>
                <w:rFonts w:ascii="Arial" w:eastAsiaTheme="minorHAnsi" w:hAnsi="Arial" w:cs="Arial"/>
                <w:b/>
                <w:color w:val="000000" w:themeColor="text1"/>
                <w:lang w:val="sr-Cyrl-BA"/>
              </w:rPr>
              <w:t>-</w:t>
            </w:r>
            <w:r w:rsidR="00A56E08">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ин</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национални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к</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р</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с</w:t>
            </w:r>
            <w:r w:rsidR="00A56E08">
              <w:rPr>
                <w:rFonts w:ascii="Arial" w:eastAsiaTheme="minorHAnsi" w:hAnsi="Arial" w:cs="Arial"/>
                <w:b/>
                <w:color w:val="000000" w:themeColor="text1"/>
                <w:lang w:val="sr-Cyrl-BA"/>
              </w:rPr>
              <w:t>л</w:t>
            </w:r>
            <w:r w:rsidR="00892898" w:rsidRPr="00F6340E">
              <w:rPr>
                <w:rFonts w:ascii="Arial" w:eastAsiaTheme="minorHAnsi" w:hAnsi="Arial" w:cs="Arial"/>
                <w:b/>
                <w:color w:val="000000" w:themeColor="text1"/>
                <w:lang w:val="sr-Cyrl-BA"/>
              </w:rPr>
              <w:t>.)</w:t>
            </w:r>
          </w:p>
          <w:p w14:paraId="2292C8BC" w14:textId="1110834F" w:rsidR="00AB7005" w:rsidRPr="00F6340E" w:rsidRDefault="00A56E08" w:rsidP="00FB5CB7">
            <w:pPr>
              <w:pStyle w:val="ListParagraph"/>
              <w:ind w:left="360"/>
              <w:jc w:val="left"/>
              <w:rPr>
                <w:rFonts w:ascii="Arial" w:eastAsiaTheme="minorHAnsi" w:hAnsi="Arial" w:cs="Arial"/>
                <w:color w:val="000000" w:themeColor="text1"/>
                <w:lang w:val="sr-Cyrl-BA"/>
              </w:rPr>
            </w:pPr>
            <w:r>
              <w:rPr>
                <w:rFonts w:ascii="Arial" w:eastAsiaTheme="minorHAnsi" w:hAnsi="Arial" w:cs="Arial"/>
                <w:color w:val="000000" w:themeColor="text1"/>
                <w:lang w:val="sr-Cyrl-BA"/>
              </w:rPr>
              <w:t>Ино</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ациј</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мог</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одно</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на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сп</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цифично</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дм</w:t>
            </w:r>
            <w:r w:rsidR="00EE6AA2">
              <w:rPr>
                <w:rFonts w:ascii="Arial" w:eastAsiaTheme="minorHAnsi" w:hAnsi="Arial" w:cs="Arial"/>
                <w:color w:val="000000" w:themeColor="text1"/>
                <w:lang w:val="sr-Cyrl-BA"/>
              </w:rPr>
              <w:t>е</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но</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од</w:t>
            </w:r>
            <w:r w:rsidR="0071360A">
              <w:rPr>
                <w:rFonts w:ascii="Arial" w:eastAsiaTheme="minorHAnsi" w:hAnsi="Arial" w:cs="Arial"/>
                <w:color w:val="000000" w:themeColor="text1"/>
                <w:lang w:val="sr-Cyrl-BA"/>
              </w:rPr>
              <w:t>ру</w:t>
            </w:r>
            <w:r>
              <w:rPr>
                <w:rFonts w:ascii="Arial" w:eastAsiaTheme="minorHAnsi" w:hAnsi="Arial" w:cs="Arial"/>
                <w:color w:val="000000" w:themeColor="text1"/>
                <w:lang w:val="sr-Cyrl-BA"/>
              </w:rPr>
              <w:t>чј</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али</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мог</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ћно</w:t>
            </w:r>
            <w:r w:rsidR="0071360A">
              <w:rPr>
                <w:rFonts w:ascii="Arial" w:eastAsiaTheme="minorHAnsi" w:hAnsi="Arial" w:cs="Arial"/>
                <w:color w:val="000000" w:themeColor="text1"/>
                <w:lang w:val="sr-Cyrl-BA"/>
              </w:rPr>
              <w:t>ст</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ув</w:t>
            </w:r>
            <w:r>
              <w:rPr>
                <w:rFonts w:ascii="Arial" w:eastAsiaTheme="minorHAnsi" w:hAnsi="Arial" w:cs="Arial"/>
                <w:color w:val="000000" w:themeColor="text1"/>
                <w:lang w:val="sr-Cyrl-BA"/>
              </w:rPr>
              <w:t>ођ</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ња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личи</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их</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на</w:t>
            </w:r>
            <w:r w:rsidR="0071360A">
              <w:rPr>
                <w:rFonts w:ascii="Arial" w:eastAsiaTheme="minorHAnsi" w:hAnsi="Arial" w:cs="Arial"/>
                <w:color w:val="000000" w:themeColor="text1"/>
                <w:lang w:val="sr-Cyrl-BA"/>
              </w:rPr>
              <w:t>ст</w:t>
            </w:r>
            <w:r>
              <w:rPr>
                <w:rFonts w:ascii="Arial" w:eastAsiaTheme="minorHAnsi" w:hAnsi="Arial" w:cs="Arial"/>
                <w:color w:val="000000" w:themeColor="text1"/>
                <w:lang w:val="sr-Cyrl-BA"/>
              </w:rPr>
              <w:t>а</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них</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пр</w:t>
            </w:r>
            <w:r>
              <w:rPr>
                <w:rFonts w:ascii="Arial" w:eastAsiaTheme="minorHAnsi" w:hAnsi="Arial" w:cs="Arial"/>
                <w:color w:val="000000" w:themeColor="text1"/>
                <w:lang w:val="sr-Cyrl-BA"/>
              </w:rPr>
              <w:t>ак</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кој</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огл</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дај</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а</w:t>
            </w:r>
            <w:r w:rsidR="0071360A">
              <w:rPr>
                <w:rFonts w:ascii="Arial" w:eastAsiaTheme="minorHAnsi" w:hAnsi="Arial" w:cs="Arial"/>
                <w:color w:val="000000" w:themeColor="text1"/>
                <w:lang w:val="sr-Cyrl-BA"/>
              </w:rPr>
              <w:t>вр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ним</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одама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ња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од</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ча</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ања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акционим</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стр</w:t>
            </w:r>
            <w:r>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ж</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ањима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мог</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ћно</w:t>
            </w:r>
            <w:r w:rsidR="0071360A">
              <w:rPr>
                <w:rFonts w:ascii="Arial" w:eastAsiaTheme="minorHAnsi" w:hAnsi="Arial" w:cs="Arial"/>
                <w:color w:val="000000" w:themeColor="text1"/>
                <w:lang w:val="sr-Cyrl-BA"/>
              </w:rPr>
              <w:t>ст</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кљ</w:t>
            </w:r>
            <w:r w:rsidR="0071360A">
              <w:rPr>
                <w:rFonts w:ascii="Arial" w:eastAsiaTheme="minorHAnsi" w:hAnsi="Arial" w:cs="Arial"/>
                <w:color w:val="000000" w:themeColor="text1"/>
                <w:lang w:val="sr-Cyrl-BA"/>
              </w:rPr>
              <w:t>у</w:t>
            </w:r>
            <w:r>
              <w:rPr>
                <w:rFonts w:ascii="Arial" w:eastAsiaTheme="minorHAnsi" w:hAnsi="Arial" w:cs="Arial"/>
                <w:color w:val="000000" w:themeColor="text1"/>
                <w:lang w:val="sr-Cyrl-BA"/>
              </w:rPr>
              <w:t>чи</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ања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личи</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их</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ак</w:t>
            </w:r>
            <w:r w:rsidR="0071360A">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w:t>
            </w:r>
            <w:r w:rsidR="00171F00">
              <w:rPr>
                <w:rFonts w:ascii="Arial" w:eastAsiaTheme="minorHAnsi" w:hAnsi="Arial" w:cs="Arial"/>
                <w:color w:val="000000" w:themeColor="text1"/>
                <w:lang w:val="sr-Cyrl-BA"/>
              </w:rPr>
              <w:t>з</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ш</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ај</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дниц</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им</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л</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н</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ациј</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лани</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аних</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ак</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но</w:t>
            </w:r>
            <w:r w:rsidR="0071360A">
              <w:rPr>
                <w:rFonts w:ascii="Arial" w:eastAsiaTheme="minorHAnsi" w:hAnsi="Arial" w:cs="Arial"/>
                <w:color w:val="000000" w:themeColor="text1"/>
                <w:lang w:val="sr-Cyrl-BA"/>
              </w:rPr>
              <w:t>ст</w:t>
            </w:r>
            <w:r>
              <w:rPr>
                <w:rFonts w:ascii="Arial" w:eastAsiaTheme="minorHAnsi" w:hAnsi="Arial" w:cs="Arial"/>
                <w:color w:val="000000" w:themeColor="text1"/>
                <w:lang w:val="sr-Cyrl-BA"/>
              </w:rPr>
              <w:t>и</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На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ај</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начин</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о</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иг</w:t>
            </w:r>
            <w:r w:rsidR="0071360A">
              <w:rPr>
                <w:rFonts w:ascii="Arial" w:eastAsiaTheme="minorHAnsi" w:hAnsi="Arial" w:cs="Arial"/>
                <w:color w:val="000000" w:themeColor="text1"/>
                <w:lang w:val="sr-Cyrl-BA"/>
              </w:rPr>
              <w:t>ур</w:t>
            </w:r>
            <w:r>
              <w:rPr>
                <w:rFonts w:ascii="Arial" w:eastAsiaTheme="minorHAnsi" w:hAnsi="Arial" w:cs="Arial"/>
                <w:color w:val="000000" w:themeColor="text1"/>
                <w:lang w:val="sr-Cyrl-BA"/>
              </w:rPr>
              <w:t>а</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о</w:t>
            </w:r>
            <w:r w:rsidR="0071360A">
              <w:rPr>
                <w:rFonts w:ascii="Arial" w:eastAsiaTheme="minorHAnsi" w:hAnsi="Arial" w:cs="Arial"/>
                <w:color w:val="000000" w:themeColor="text1"/>
                <w:lang w:val="sr-Cyrl-BA"/>
              </w:rPr>
              <w:t>в</w:t>
            </w:r>
            <w:r w:rsidR="00EE6AA2">
              <w:rPr>
                <w:rFonts w:ascii="Arial" w:eastAsiaTheme="minorHAnsi" w:hAnsi="Arial" w:cs="Arial"/>
                <w:color w:val="000000" w:themeColor="text1"/>
                <w:lang w:val="sr-Cyrl-BA"/>
              </w:rPr>
              <w:t>е</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ано</w:t>
            </w:r>
            <w:r w:rsidR="0071360A">
              <w:rPr>
                <w:rFonts w:ascii="Arial" w:eastAsiaTheme="minorHAnsi" w:hAnsi="Arial" w:cs="Arial"/>
                <w:color w:val="000000" w:themeColor="text1"/>
                <w:lang w:val="sr-Cyrl-BA"/>
              </w:rPr>
              <w:t>ст</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ин</w:t>
            </w:r>
            <w:r w:rsidR="0071360A">
              <w:rPr>
                <w:rFonts w:ascii="Arial" w:eastAsiaTheme="minorHAnsi" w:hAnsi="Arial" w:cs="Arial"/>
                <w:color w:val="000000" w:themeColor="text1"/>
                <w:lang w:val="sr-Cyrl-BA"/>
              </w:rPr>
              <w:t>ст</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ту</w:t>
            </w:r>
            <w:r>
              <w:rPr>
                <w:rFonts w:ascii="Arial" w:eastAsiaTheme="minorHAnsi" w:hAnsi="Arial" w:cs="Arial"/>
                <w:color w:val="000000" w:themeColor="text1"/>
                <w:lang w:val="sr-Cyrl-BA"/>
              </w:rPr>
              <w:t>ција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фо</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малног</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об</w:t>
            </w:r>
            <w:r w:rsidR="0071360A">
              <w:rPr>
                <w:rFonts w:ascii="Arial" w:eastAsiaTheme="minorHAnsi" w:hAnsi="Arial" w:cs="Arial"/>
                <w:color w:val="000000" w:themeColor="text1"/>
                <w:lang w:val="sr-Cyrl-BA"/>
              </w:rPr>
              <w:t>р</w:t>
            </w:r>
            <w:r>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о</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ања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д</w:t>
            </w:r>
            <w:r w:rsidR="0071360A">
              <w:rPr>
                <w:rFonts w:ascii="Arial" w:eastAsiaTheme="minorHAnsi" w:hAnsi="Arial" w:cs="Arial"/>
                <w:color w:val="000000" w:themeColor="text1"/>
                <w:lang w:val="sr-Cyrl-BA"/>
              </w:rPr>
              <w:t>руштв</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ном</w:t>
            </w:r>
            <w:r w:rsidR="00AB7005"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ај</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дницом</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с</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циљ</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м</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пр</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м</w:t>
            </w:r>
            <w:r w:rsidR="00EE6AA2">
              <w:rPr>
                <w:rFonts w:ascii="Arial" w:eastAsiaTheme="minorHAnsi" w:hAnsi="Arial" w:cs="Arial"/>
                <w:color w:val="000000" w:themeColor="text1"/>
                <w:lang w:val="sr-Cyrl-BA"/>
              </w:rPr>
              <w:t>е</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ола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ника</w:t>
            </w:r>
            <w:r w:rsidR="00AB7005"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а</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ак</w:t>
            </w:r>
            <w:r w:rsidR="0071360A">
              <w:rPr>
                <w:rFonts w:ascii="Arial" w:eastAsiaTheme="minorHAnsi" w:hAnsi="Arial" w:cs="Arial"/>
                <w:color w:val="000000" w:themeColor="text1"/>
                <w:lang w:val="sr-Cyrl-BA"/>
              </w:rPr>
              <w:t>т</w:t>
            </w:r>
            <w:r>
              <w:rPr>
                <w:rFonts w:ascii="Arial" w:eastAsiaTheme="minorHAnsi" w:hAnsi="Arial" w:cs="Arial"/>
                <w:color w:val="000000" w:themeColor="text1"/>
                <w:lang w:val="sr-Cyrl-BA"/>
              </w:rPr>
              <w:t>и</w:t>
            </w:r>
            <w:r w:rsidR="0071360A">
              <w:rPr>
                <w:rFonts w:ascii="Arial" w:eastAsiaTheme="minorHAnsi" w:hAnsi="Arial" w:cs="Arial"/>
                <w:color w:val="000000" w:themeColor="text1"/>
                <w:lang w:val="sr-Cyrl-BA"/>
              </w:rPr>
              <w:t>в</w:t>
            </w:r>
            <w:r>
              <w:rPr>
                <w:rFonts w:ascii="Arial" w:eastAsiaTheme="minorHAnsi" w:hAnsi="Arial" w:cs="Arial"/>
                <w:color w:val="000000" w:themeColor="text1"/>
                <w:lang w:val="sr-Cyrl-BA"/>
              </w:rPr>
              <w:t>н</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д</w:t>
            </w:r>
            <w:r w:rsidR="0071360A">
              <w:rPr>
                <w:rFonts w:ascii="Arial" w:eastAsiaTheme="minorHAnsi" w:hAnsi="Arial" w:cs="Arial"/>
                <w:color w:val="000000" w:themeColor="text1"/>
                <w:lang w:val="sr-Cyrl-BA"/>
              </w:rPr>
              <w:t>руштв</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н</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а</w:t>
            </w:r>
            <w:r w:rsidR="0071360A">
              <w:rPr>
                <w:rFonts w:ascii="Arial" w:eastAsiaTheme="minorHAnsi" w:hAnsi="Arial" w:cs="Arial"/>
                <w:color w:val="000000" w:themeColor="text1"/>
                <w:lang w:val="sr-Cyrl-BA"/>
              </w:rPr>
              <w:t>рт</w:t>
            </w:r>
            <w:r>
              <w:rPr>
                <w:rFonts w:ascii="Arial" w:eastAsiaTheme="minorHAnsi" w:hAnsi="Arial" w:cs="Arial"/>
                <w:color w:val="000000" w:themeColor="text1"/>
                <w:lang w:val="sr-Cyrl-BA"/>
              </w:rPr>
              <w:t>ици</w:t>
            </w:r>
            <w:r w:rsidR="0071360A">
              <w:rPr>
                <w:rFonts w:ascii="Arial" w:eastAsiaTheme="minorHAnsi" w:hAnsi="Arial" w:cs="Arial"/>
                <w:color w:val="000000" w:themeColor="text1"/>
                <w:lang w:val="sr-Cyrl-BA"/>
              </w:rPr>
              <w:t>п</w:t>
            </w:r>
            <w:r>
              <w:rPr>
                <w:rFonts w:ascii="Arial" w:eastAsiaTheme="minorHAnsi" w:hAnsi="Arial" w:cs="Arial"/>
                <w:color w:val="000000" w:themeColor="text1"/>
                <w:lang w:val="sr-Cyrl-BA"/>
              </w:rPr>
              <w:t>ациј</w:t>
            </w:r>
            <w:r w:rsidR="0071360A">
              <w:rPr>
                <w:rFonts w:ascii="Arial" w:eastAsiaTheme="minorHAnsi" w:hAnsi="Arial" w:cs="Arial"/>
                <w:color w:val="000000" w:themeColor="text1"/>
                <w:lang w:val="sr-Cyrl-BA"/>
              </w:rPr>
              <w:t>у</w:t>
            </w:r>
            <w:r w:rsidR="00AB7005" w:rsidRPr="00F6340E">
              <w:rPr>
                <w:rFonts w:ascii="Arial" w:eastAsiaTheme="minorHAnsi" w:hAnsi="Arial" w:cs="Arial"/>
                <w:color w:val="000000" w:themeColor="text1"/>
                <w:lang w:val="sr-Cyrl-BA"/>
              </w:rPr>
              <w:t xml:space="preserve">. </w:t>
            </w:r>
          </w:p>
          <w:p w14:paraId="00148A05" w14:textId="30239D10" w:rsidR="00892898" w:rsidRPr="00F6340E" w:rsidRDefault="00A56E08" w:rsidP="00FB5CB7">
            <w:pPr>
              <w:pStyle w:val="ListParagraph"/>
              <w:numPr>
                <w:ilvl w:val="0"/>
                <w:numId w:val="41"/>
              </w:numPr>
              <w:jc w:val="left"/>
              <w:rPr>
                <w:rFonts w:ascii="Arial" w:hAnsi="Arial" w:cs="Arial"/>
                <w:b/>
                <w:color w:val="000000" w:themeColor="text1"/>
                <w:lang w:val="sr-Cyrl-BA"/>
              </w:rPr>
            </w:pPr>
            <w:r>
              <w:rPr>
                <w:rFonts w:ascii="Arial" w:hAnsi="Arial" w:cs="Arial"/>
                <w:b/>
                <w:color w:val="000000" w:themeColor="text1"/>
                <w:lang w:val="sr-Cyrl-BA"/>
              </w:rPr>
              <w:t>К</w:t>
            </w:r>
            <w:r w:rsidR="0071360A">
              <w:rPr>
                <w:rFonts w:ascii="Arial" w:hAnsi="Arial" w:cs="Arial"/>
                <w:b/>
                <w:color w:val="000000" w:themeColor="text1"/>
                <w:lang w:val="sr-Cyrl-BA"/>
              </w:rPr>
              <w:t>р</w:t>
            </w:r>
            <w:r w:rsidR="00EE6AA2">
              <w:rPr>
                <w:rFonts w:ascii="Arial" w:hAnsi="Arial" w:cs="Arial"/>
                <w:b/>
                <w:color w:val="000000" w:themeColor="text1"/>
                <w:lang w:val="sr-Cyrl-BA"/>
              </w:rPr>
              <w:t>е</w:t>
            </w:r>
            <w:r>
              <w:rPr>
                <w:rFonts w:ascii="Arial" w:hAnsi="Arial" w:cs="Arial"/>
                <w:b/>
                <w:color w:val="000000" w:themeColor="text1"/>
                <w:lang w:val="sr-Cyrl-BA"/>
              </w:rPr>
              <w:t>и</w:t>
            </w:r>
            <w:r w:rsidR="0071360A">
              <w:rPr>
                <w:rFonts w:ascii="Arial" w:hAnsi="Arial" w:cs="Arial"/>
                <w:b/>
                <w:color w:val="000000" w:themeColor="text1"/>
                <w:lang w:val="sr-Cyrl-BA"/>
              </w:rPr>
              <w:t>р</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пр</w:t>
            </w:r>
            <w:r>
              <w:rPr>
                <w:rFonts w:ascii="Arial" w:hAnsi="Arial" w:cs="Arial"/>
                <w:b/>
                <w:color w:val="000000" w:themeColor="text1"/>
                <w:lang w:val="sr-Cyrl-BA"/>
              </w:rPr>
              <w:t>ог</w:t>
            </w:r>
            <w:r w:rsidR="0071360A">
              <w:rPr>
                <w:rFonts w:ascii="Arial" w:hAnsi="Arial" w:cs="Arial"/>
                <w:b/>
                <w:color w:val="000000" w:themeColor="text1"/>
                <w:lang w:val="sr-Cyrl-BA"/>
              </w:rPr>
              <w:t>р</w:t>
            </w:r>
            <w:r>
              <w:rPr>
                <w:rFonts w:ascii="Arial" w:hAnsi="Arial" w:cs="Arial"/>
                <w:b/>
                <w:color w:val="000000" w:themeColor="text1"/>
                <w:lang w:val="sr-Cyrl-BA"/>
              </w:rPr>
              <w:t>ам</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Pr>
                <w:rFonts w:ascii="Arial" w:hAnsi="Arial" w:cs="Arial"/>
                <w:b/>
                <w:color w:val="000000" w:themeColor="text1"/>
                <w:lang w:val="sr-Cyrl-BA"/>
              </w:rPr>
              <w:t>на</w:t>
            </w:r>
            <w:r w:rsidR="0071360A">
              <w:rPr>
                <w:rFonts w:ascii="Arial" w:hAnsi="Arial" w:cs="Arial"/>
                <w:b/>
                <w:color w:val="000000" w:themeColor="text1"/>
                <w:lang w:val="sr-Cyrl-BA"/>
              </w:rPr>
              <w:t>пр</w:t>
            </w:r>
            <w:r>
              <w:rPr>
                <w:rFonts w:ascii="Arial" w:hAnsi="Arial" w:cs="Arial"/>
                <w:b/>
                <w:color w:val="000000" w:themeColor="text1"/>
                <w:lang w:val="sr-Cyrl-BA"/>
              </w:rPr>
              <w:t>ј</w:t>
            </w:r>
            <w:r w:rsidR="00EE6AA2">
              <w:rPr>
                <w:rFonts w:ascii="Arial" w:hAnsi="Arial" w:cs="Arial"/>
                <w:b/>
                <w:color w:val="000000" w:themeColor="text1"/>
                <w:lang w:val="sr-Cyrl-BA"/>
              </w:rPr>
              <w:t>е</w:t>
            </w:r>
            <w:r>
              <w:rPr>
                <w:rFonts w:ascii="Arial" w:hAnsi="Arial" w:cs="Arial"/>
                <w:b/>
                <w:color w:val="000000" w:themeColor="text1"/>
                <w:lang w:val="sr-Cyrl-BA"/>
              </w:rPr>
              <w:t>ђ</w:t>
            </w:r>
            <w:r w:rsidR="00EE6AA2">
              <w:rPr>
                <w:rFonts w:ascii="Arial" w:hAnsi="Arial" w:cs="Arial"/>
                <w:b/>
                <w:color w:val="000000" w:themeColor="text1"/>
                <w:lang w:val="sr-Cyrl-BA"/>
              </w:rPr>
              <w:t>е</w:t>
            </w:r>
            <w:r>
              <w:rPr>
                <w:rFonts w:ascii="Arial" w:hAnsi="Arial" w:cs="Arial"/>
                <w:b/>
                <w:color w:val="000000" w:themeColor="text1"/>
                <w:lang w:val="sr-Cyrl-BA"/>
              </w:rPr>
              <w:t>ња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а</w:t>
            </w:r>
            <w:r w:rsidR="0071360A">
              <w:rPr>
                <w:rFonts w:ascii="Arial" w:hAnsi="Arial" w:cs="Arial"/>
                <w:b/>
                <w:color w:val="000000" w:themeColor="text1"/>
                <w:lang w:val="sr-Cyrl-BA"/>
              </w:rPr>
              <w:t>рт</w:t>
            </w:r>
            <w:r>
              <w:rPr>
                <w:rFonts w:ascii="Arial" w:hAnsi="Arial" w:cs="Arial"/>
                <w:b/>
                <w:color w:val="000000" w:themeColor="text1"/>
                <w:lang w:val="sr-Cyrl-BA"/>
              </w:rPr>
              <w:t>н</w:t>
            </w:r>
            <w:r w:rsidR="00EE6AA2">
              <w:rPr>
                <w:rFonts w:ascii="Arial" w:hAnsi="Arial" w:cs="Arial"/>
                <w:b/>
                <w:color w:val="000000" w:themeColor="text1"/>
                <w:lang w:val="sr-Cyrl-BA"/>
              </w:rPr>
              <w:t>е</w:t>
            </w:r>
            <w:r w:rsidR="0071360A">
              <w:rPr>
                <w:rFonts w:ascii="Arial" w:hAnsi="Arial" w:cs="Arial"/>
                <w:b/>
                <w:color w:val="000000" w:themeColor="text1"/>
                <w:lang w:val="sr-Cyrl-BA"/>
              </w:rPr>
              <w:t>рств</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171F00">
              <w:rPr>
                <w:rFonts w:ascii="Arial" w:hAnsi="Arial" w:cs="Arial"/>
                <w:b/>
                <w:color w:val="000000" w:themeColor="text1"/>
                <w:lang w:val="sr-Cyrl-BA"/>
              </w:rPr>
              <w:t>з</w:t>
            </w:r>
            <w:r>
              <w:rPr>
                <w:rFonts w:ascii="Arial" w:hAnsi="Arial" w:cs="Arial"/>
                <w:b/>
                <w:color w:val="000000" w:themeColor="text1"/>
                <w:lang w:val="sr-Cyrl-BA"/>
              </w:rPr>
              <w:t>м</w:t>
            </w:r>
            <w:r w:rsidR="00EE6AA2">
              <w:rPr>
                <w:rFonts w:ascii="Arial" w:hAnsi="Arial" w:cs="Arial"/>
                <w:b/>
                <w:color w:val="000000" w:themeColor="text1"/>
                <w:lang w:val="sr-Cyrl-BA"/>
              </w:rPr>
              <w:t>е</w:t>
            </w:r>
            <w:r>
              <w:rPr>
                <w:rFonts w:ascii="Arial" w:hAnsi="Arial" w:cs="Arial"/>
                <w:b/>
                <w:color w:val="000000" w:themeColor="text1"/>
                <w:lang w:val="sr-Cyrl-BA"/>
              </w:rPr>
              <w:t>ђ</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ш</w:t>
            </w:r>
            <w:r>
              <w:rPr>
                <w:rFonts w:ascii="Arial" w:hAnsi="Arial" w:cs="Arial"/>
                <w:b/>
                <w:color w:val="000000" w:themeColor="text1"/>
                <w:lang w:val="sr-Cyrl-BA"/>
              </w:rPr>
              <w:t>кол</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р</w:t>
            </w:r>
            <w:r>
              <w:rPr>
                <w:rFonts w:ascii="Arial" w:hAnsi="Arial" w:cs="Arial"/>
                <w:b/>
                <w:color w:val="000000" w:themeColor="text1"/>
                <w:lang w:val="sr-Cyrl-BA"/>
              </w:rPr>
              <w:t>оди</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ља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w:t>
            </w:r>
            <w:r w:rsidR="0071360A">
              <w:rPr>
                <w:rFonts w:ascii="Arial" w:hAnsi="Arial" w:cs="Arial"/>
                <w:b/>
                <w:color w:val="000000" w:themeColor="text1"/>
                <w:lang w:val="sr-Cyrl-BA"/>
              </w:rPr>
              <w:t>с</w:t>
            </w:r>
            <w:r w:rsidR="00EE6AA2">
              <w:rPr>
                <w:rFonts w:ascii="Arial" w:hAnsi="Arial" w:cs="Arial"/>
                <w:b/>
                <w:color w:val="000000" w:themeColor="text1"/>
                <w:lang w:val="sr-Cyrl-BA"/>
              </w:rPr>
              <w:t>е</w:t>
            </w:r>
            <w:r>
              <w:rPr>
                <w:rFonts w:ascii="Arial" w:hAnsi="Arial" w:cs="Arial"/>
                <w:b/>
                <w:color w:val="000000" w:themeColor="text1"/>
                <w:lang w:val="sr-Cyrl-BA"/>
              </w:rPr>
              <w:t>бним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w:t>
            </w:r>
            <w:r w:rsidR="0071360A">
              <w:rPr>
                <w:rFonts w:ascii="Arial" w:hAnsi="Arial" w:cs="Arial"/>
                <w:b/>
                <w:color w:val="000000" w:themeColor="text1"/>
                <w:lang w:val="sr-Cyrl-BA"/>
              </w:rPr>
              <w:t>сврт</w:t>
            </w:r>
            <w:r>
              <w:rPr>
                <w:rFonts w:ascii="Arial" w:hAnsi="Arial" w:cs="Arial"/>
                <w:b/>
                <w:color w:val="000000" w:themeColor="text1"/>
                <w:lang w:val="sr-Cyrl-BA"/>
              </w:rPr>
              <w:t>ом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им</w:t>
            </w:r>
            <w:r w:rsidR="0071360A">
              <w:rPr>
                <w:rFonts w:ascii="Arial" w:hAnsi="Arial" w:cs="Arial"/>
                <w:b/>
                <w:color w:val="000000" w:themeColor="text1"/>
                <w:lang w:val="sr-Cyrl-BA"/>
              </w:rPr>
              <w:t>п</w:t>
            </w:r>
            <w:r>
              <w:rPr>
                <w:rFonts w:ascii="Arial" w:hAnsi="Arial" w:cs="Arial"/>
                <w:b/>
                <w:color w:val="000000" w:themeColor="text1"/>
                <w:lang w:val="sr-Cyrl-BA"/>
              </w:rPr>
              <w:t>л</w:t>
            </w:r>
            <w:r w:rsidR="00EE6AA2">
              <w:rPr>
                <w:rFonts w:ascii="Arial" w:hAnsi="Arial" w:cs="Arial"/>
                <w:b/>
                <w:color w:val="000000" w:themeColor="text1"/>
                <w:lang w:val="sr-Cyrl-BA"/>
              </w:rPr>
              <w:t>е</w:t>
            </w:r>
            <w:r>
              <w:rPr>
                <w:rFonts w:ascii="Arial" w:hAnsi="Arial" w:cs="Arial"/>
                <w:b/>
                <w:color w:val="000000" w:themeColor="text1"/>
                <w:lang w:val="sr-Cyrl-BA"/>
              </w:rPr>
              <w:t>м</w:t>
            </w:r>
            <w:r w:rsidR="00EE6AA2">
              <w:rPr>
                <w:rFonts w:ascii="Arial" w:hAnsi="Arial" w:cs="Arial"/>
                <w:b/>
                <w:color w:val="000000" w:themeColor="text1"/>
                <w:lang w:val="sr-Cyrl-BA"/>
              </w:rPr>
              <w:t>е</w:t>
            </w:r>
            <w:r>
              <w:rPr>
                <w:rFonts w:ascii="Arial" w:hAnsi="Arial" w:cs="Arial"/>
                <w:b/>
                <w:color w:val="000000" w:themeColor="text1"/>
                <w:lang w:val="sr-Cyrl-BA"/>
              </w:rPr>
              <w:t>н</w:t>
            </w:r>
            <w:r w:rsidR="0071360A">
              <w:rPr>
                <w:rFonts w:ascii="Arial" w:hAnsi="Arial" w:cs="Arial"/>
                <w:b/>
                <w:color w:val="000000" w:themeColor="text1"/>
                <w:lang w:val="sr-Cyrl-BA"/>
              </w:rPr>
              <w:t>т</w:t>
            </w:r>
            <w:r>
              <w:rPr>
                <w:rFonts w:ascii="Arial" w:hAnsi="Arial" w:cs="Arial"/>
                <w:b/>
                <w:color w:val="000000" w:themeColor="text1"/>
                <w:lang w:val="sr-Cyrl-BA"/>
              </w:rPr>
              <w:t>ациј</w:t>
            </w:r>
            <w:r w:rsidR="0071360A">
              <w:rPr>
                <w:rFonts w:ascii="Arial" w:hAnsi="Arial" w:cs="Arial"/>
                <w:b/>
                <w:color w:val="000000" w:themeColor="text1"/>
                <w:lang w:val="sr-Cyrl-BA"/>
              </w:rPr>
              <w:t>у</w:t>
            </w:r>
            <w:r w:rsidR="0094792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sidR="00EE6AA2">
              <w:rPr>
                <w:rFonts w:ascii="Arial" w:hAnsi="Arial" w:cs="Arial"/>
                <w:b/>
                <w:color w:val="000000" w:themeColor="text1"/>
                <w:lang w:val="sr-Cyrl-BA"/>
              </w:rPr>
              <w:t>е</w:t>
            </w:r>
            <w:r w:rsidR="0094792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пут</w:t>
            </w:r>
            <w:r w:rsidR="00EE6AA2">
              <w:rPr>
                <w:rFonts w:ascii="Arial" w:hAnsi="Arial" w:cs="Arial"/>
                <w:b/>
                <w:color w:val="000000" w:themeColor="text1"/>
                <w:lang w:val="sr-Cyrl-BA"/>
              </w:rPr>
              <w:t>е</w:t>
            </w:r>
            <w:r>
              <w:rPr>
                <w:rFonts w:ascii="Arial" w:hAnsi="Arial" w:cs="Arial"/>
                <w:b/>
                <w:color w:val="000000" w:themeColor="text1"/>
                <w:lang w:val="sr-Cyrl-BA"/>
              </w:rPr>
              <w:t>м</w:t>
            </w:r>
            <w:r w:rsidR="00947928" w:rsidRPr="00F6340E">
              <w:rPr>
                <w:rFonts w:ascii="Arial" w:hAnsi="Arial" w:cs="Arial"/>
                <w:b/>
                <w:color w:val="000000" w:themeColor="text1"/>
                <w:lang w:val="sr-Cyrl-BA"/>
              </w:rPr>
              <w:t xml:space="preserve"> </w:t>
            </w:r>
            <w:r>
              <w:rPr>
                <w:rFonts w:ascii="Arial" w:hAnsi="Arial" w:cs="Arial"/>
                <w:b/>
                <w:color w:val="000000" w:themeColor="text1"/>
                <w:lang w:val="sr-Cyrl-BA"/>
              </w:rPr>
              <w:t>ин</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71360A">
              <w:rPr>
                <w:rFonts w:ascii="Arial" w:hAnsi="Arial" w:cs="Arial"/>
                <w:b/>
                <w:color w:val="000000" w:themeColor="text1"/>
                <w:lang w:val="sr-Cyrl-BA"/>
              </w:rPr>
              <w:t>р</w:t>
            </w:r>
            <w:r>
              <w:rPr>
                <w:rFonts w:ascii="Arial" w:hAnsi="Arial" w:cs="Arial"/>
                <w:b/>
                <w:color w:val="000000" w:themeColor="text1"/>
                <w:lang w:val="sr-Cyrl-BA"/>
              </w:rPr>
              <w:t>н</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Pr>
                <w:rFonts w:ascii="Arial" w:hAnsi="Arial" w:cs="Arial"/>
                <w:b/>
                <w:color w:val="000000" w:themeColor="text1"/>
                <w:lang w:val="sr-Cyrl-BA"/>
              </w:rPr>
              <w:t>а</w:t>
            </w:r>
            <w:r w:rsidR="0094792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комбино</w:t>
            </w:r>
            <w:r w:rsidR="0071360A">
              <w:rPr>
                <w:rFonts w:ascii="Arial" w:hAnsi="Arial" w:cs="Arial"/>
                <w:b/>
                <w:color w:val="000000" w:themeColor="text1"/>
                <w:lang w:val="sr-Cyrl-BA"/>
              </w:rPr>
              <w:t>в</w:t>
            </w:r>
            <w:r>
              <w:rPr>
                <w:rFonts w:ascii="Arial" w:hAnsi="Arial" w:cs="Arial"/>
                <w:b/>
                <w:color w:val="000000" w:themeColor="text1"/>
                <w:lang w:val="sr-Cyrl-BA"/>
              </w:rPr>
              <w:t>ан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sidR="00EE6AA2">
              <w:rPr>
                <w:rFonts w:ascii="Arial" w:hAnsi="Arial" w:cs="Arial"/>
                <w:b/>
                <w:color w:val="000000" w:themeColor="text1"/>
                <w:lang w:val="sr-Cyrl-BA"/>
              </w:rPr>
              <w:t>е</w:t>
            </w:r>
          </w:p>
          <w:p w14:paraId="2EFF8B2E" w14:textId="3E28DF5F" w:rsidR="00892898" w:rsidRPr="00F6340E" w:rsidRDefault="0071360A" w:rsidP="00FB5CB7">
            <w:pPr>
              <w:pStyle w:val="ListParagraph"/>
              <w:ind w:left="360"/>
              <w:jc w:val="left"/>
              <w:textAlignment w:val="baseline"/>
              <w:rPr>
                <w:rFonts w:ascii="Arial" w:eastAsiaTheme="minorEastAsia" w:hAnsi="Arial" w:cs="Arial"/>
                <w:color w:val="000000" w:themeColor="text1"/>
                <w:lang w:val="sr-Cyrl-BA"/>
              </w:rPr>
            </w:pPr>
            <w:r>
              <w:rPr>
                <w:rFonts w:ascii="Arial" w:hAnsi="Arial" w:cs="Arial"/>
                <w:color w:val="000000" w:themeColor="text1"/>
                <w:lang w:val="sr-Cyrl-BA"/>
              </w:rPr>
              <w:t>Р</w:t>
            </w:r>
            <w:r w:rsidR="00A56E08">
              <w:rPr>
                <w:rFonts w:ascii="Arial" w:hAnsi="Arial" w:cs="Arial"/>
                <w:color w:val="000000" w:themeColor="text1"/>
                <w:lang w:val="sr-Cyrl-BA"/>
              </w:rPr>
              <w:t>оди</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љи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ни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а</w:t>
            </w:r>
            <w:r>
              <w:rPr>
                <w:rFonts w:ascii="Arial" w:hAnsi="Arial" w:cs="Arial"/>
                <w:color w:val="000000" w:themeColor="text1"/>
                <w:lang w:val="sr-Cyrl-BA"/>
              </w:rPr>
              <w:t>рт</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ад</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ш</w:t>
            </w:r>
            <w:r w:rsidR="00A56E08">
              <w:rPr>
                <w:rFonts w:ascii="Arial" w:hAnsi="Arial" w:cs="Arial"/>
                <w:color w:val="000000" w:themeColor="text1"/>
                <w:lang w:val="sr-Cyrl-BA"/>
              </w:rPr>
              <w:t>кол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њихо</w:t>
            </w:r>
            <w:r>
              <w:rPr>
                <w:rFonts w:ascii="Arial" w:hAnsi="Arial" w:cs="Arial"/>
                <w:color w:val="000000" w:themeColor="text1"/>
                <w:lang w:val="sr-Cyrl-BA"/>
              </w:rPr>
              <w:t>в</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лога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јо</w:t>
            </w:r>
            <w:r>
              <w:rPr>
                <w:rFonts w:ascii="Arial" w:hAnsi="Arial" w:cs="Arial"/>
                <w:color w:val="000000" w:themeColor="text1"/>
                <w:lang w:val="sr-Cyrl-BA"/>
              </w:rPr>
              <w:t>ш</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71F00">
              <w:rPr>
                <w:rFonts w:ascii="Arial" w:hAnsi="Arial" w:cs="Arial"/>
                <w:color w:val="000000" w:themeColor="text1"/>
                <w:lang w:val="sr-Cyrl-BA"/>
              </w:rPr>
              <w:t>з</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нија</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али</w:t>
            </w:r>
            <w:r w:rsidR="00171F00">
              <w:rPr>
                <w:rFonts w:ascii="Arial" w:hAnsi="Arial" w:cs="Arial"/>
                <w:color w:val="000000" w:themeColor="text1"/>
                <w:lang w:val="sr-Cyrl-BA"/>
              </w:rPr>
              <w:t>з</w:t>
            </w:r>
            <w:r w:rsidR="00A56E08">
              <w:rPr>
                <w:rFonts w:ascii="Arial" w:hAnsi="Arial" w:cs="Arial"/>
                <w:color w:val="000000" w:themeColor="text1"/>
                <w:lang w:val="sr-Cyrl-BA"/>
              </w:rPr>
              <w:t>ацији</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комбино</w:t>
            </w:r>
            <w:r>
              <w:rPr>
                <w:rFonts w:ascii="Arial" w:hAnsi="Arial" w:cs="Arial"/>
                <w:color w:val="000000" w:themeColor="text1"/>
                <w:lang w:val="sr-Cyrl-BA"/>
              </w:rPr>
              <w:t>в</w:t>
            </w:r>
            <w:r w:rsidR="00A56E08">
              <w:rPr>
                <w:rFonts w:ascii="Arial" w:hAnsi="Arial" w:cs="Arial"/>
                <w:color w:val="000000" w:themeColor="text1"/>
                <w:lang w:val="sr-Cyrl-BA"/>
              </w:rPr>
              <w:t>ан</w:t>
            </w:r>
            <w:r w:rsidR="00EE6AA2">
              <w:rPr>
                <w:rFonts w:ascii="Arial" w:hAnsi="Arial" w:cs="Arial"/>
                <w:color w:val="000000" w:themeColor="text1"/>
                <w:lang w:val="sr-Cyrl-BA"/>
              </w:rPr>
              <w:t>е</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B04FA8">
              <w:rPr>
                <w:rFonts w:ascii="Arial" w:hAnsi="Arial" w:cs="Arial"/>
                <w:color w:val="000000" w:themeColor="text1"/>
                <w:lang w:val="sr-Cyrl-BA"/>
              </w:rPr>
              <w:t xml:space="preserve"> </w:t>
            </w:r>
            <w:r w:rsidR="001F2F40">
              <w:rPr>
                <w:rFonts w:ascii="Arial" w:hAnsi="Arial" w:cs="Arial"/>
                <w:color w:val="000000" w:themeColor="text1"/>
                <w:lang w:val="sr-Cyrl-BA"/>
              </w:rPr>
              <w:t>с обзиром</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да</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од</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ђ</w:t>
            </w:r>
            <w:r w:rsidR="00EE6AA2">
              <w:rPr>
                <w:rFonts w:ascii="Arial" w:hAnsi="Arial" w:cs="Arial"/>
                <w:color w:val="000000" w:themeColor="text1"/>
                <w:lang w:val="sr-Cyrl-BA"/>
              </w:rPr>
              <w:t>е</w:t>
            </w:r>
            <w:r w:rsidR="00A56E08">
              <w:rPr>
                <w:rFonts w:ascii="Arial" w:hAnsi="Arial" w:cs="Arial"/>
                <w:color w:val="000000" w:themeColor="text1"/>
                <w:lang w:val="sr-Cyrl-BA"/>
              </w:rPr>
              <w:t>ни</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дио</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вр</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A56E08">
              <w:rPr>
                <w:rFonts w:ascii="Arial" w:hAnsi="Arial" w:cs="Arial"/>
                <w:color w:val="000000" w:themeColor="text1"/>
                <w:lang w:val="sr-Cyrl-BA"/>
              </w:rPr>
              <w:t>на</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ни</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пр</w:t>
            </w:r>
            <w:r w:rsidR="00A56E08">
              <w:rPr>
                <w:rFonts w:ascii="Arial" w:hAnsi="Arial" w:cs="Arial"/>
                <w:color w:val="000000" w:themeColor="text1"/>
                <w:lang w:val="sr-Cyrl-BA"/>
              </w:rPr>
              <w:t>оц</w:t>
            </w:r>
            <w:r w:rsidR="00EE6AA2">
              <w:rPr>
                <w:rFonts w:ascii="Arial" w:hAnsi="Arial" w:cs="Arial"/>
                <w:color w:val="000000" w:themeColor="text1"/>
                <w:lang w:val="sr-Cyrl-BA"/>
              </w:rPr>
              <w:t>е</w:t>
            </w:r>
            <w:r>
              <w:rPr>
                <w:rFonts w:ascii="Arial" w:hAnsi="Arial" w:cs="Arial"/>
                <w:color w:val="000000" w:themeColor="text1"/>
                <w:lang w:val="sr-Cyrl-BA"/>
              </w:rPr>
              <w:t>с</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од</w:t>
            </w:r>
            <w:r>
              <w:rPr>
                <w:rFonts w:ascii="Arial" w:hAnsi="Arial" w:cs="Arial"/>
                <w:color w:val="000000" w:themeColor="text1"/>
                <w:lang w:val="sr-Cyrl-BA"/>
              </w:rPr>
              <w:t>в</w:t>
            </w:r>
            <w:r w:rsidR="00A56E08">
              <w:rPr>
                <w:rFonts w:ascii="Arial" w:hAnsi="Arial" w:cs="Arial"/>
                <w:color w:val="000000" w:themeColor="text1"/>
                <w:lang w:val="sr-Cyrl-BA"/>
              </w:rPr>
              <w:t>ија</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р</w:t>
            </w:r>
            <w:r w:rsidR="00A56E08">
              <w:rPr>
                <w:rFonts w:ascii="Arial" w:hAnsi="Arial" w:cs="Arial"/>
                <w:color w:val="000000" w:themeColor="text1"/>
                <w:lang w:val="sr-Cyrl-BA"/>
              </w:rPr>
              <w:t>о</w:t>
            </w:r>
            <w:r w:rsidR="00171F00">
              <w:rPr>
                <w:rFonts w:ascii="Arial" w:hAnsi="Arial" w:cs="Arial"/>
                <w:color w:val="000000" w:themeColor="text1"/>
                <w:lang w:val="sr-Cyrl-BA"/>
              </w:rPr>
              <w:t>з</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ву</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док</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су</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дј</w:t>
            </w:r>
            <w:r w:rsidR="00EE6AA2">
              <w:rPr>
                <w:rFonts w:ascii="Arial" w:hAnsi="Arial" w:cs="Arial"/>
                <w:color w:val="000000" w:themeColor="text1"/>
                <w:lang w:val="sr-Cyrl-BA"/>
              </w:rPr>
              <w:t>е</w:t>
            </w:r>
            <w:r w:rsidR="00A56E08">
              <w:rPr>
                <w:rFonts w:ascii="Arial" w:hAnsi="Arial" w:cs="Arial"/>
                <w:color w:val="000000" w:themeColor="text1"/>
                <w:lang w:val="sr-Cyrl-BA"/>
              </w:rPr>
              <w:t>ца</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D1BF8"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ојим</w:t>
            </w:r>
            <w:r w:rsidR="00AD1BF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у</w:t>
            </w:r>
            <w:r w:rsidR="00A56E08">
              <w:rPr>
                <w:rFonts w:ascii="Arial" w:hAnsi="Arial" w:cs="Arial"/>
                <w:color w:val="000000" w:themeColor="text1"/>
                <w:lang w:val="sr-Cyrl-BA"/>
              </w:rPr>
              <w:t>ћама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ћ</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оди</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ља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фо</w:t>
            </w:r>
            <w:r>
              <w:rPr>
                <w:rFonts w:ascii="Arial" w:hAnsi="Arial" w:cs="Arial"/>
                <w:color w:val="000000" w:themeColor="text1"/>
                <w:lang w:val="sr-Cyrl-BA"/>
              </w:rPr>
              <w:t>р</w:t>
            </w:r>
            <w:r w:rsidR="00A56E08">
              <w:rPr>
                <w:rFonts w:ascii="Arial" w:hAnsi="Arial" w:cs="Arial"/>
                <w:color w:val="000000" w:themeColor="text1"/>
                <w:lang w:val="sr-Cyrl-BA"/>
              </w:rPr>
              <w:t>мално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ло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а</w:t>
            </w:r>
            <w:r w:rsidR="00171F00">
              <w:rPr>
                <w:rFonts w:ascii="Arial" w:hAnsi="Arial" w:cs="Arial"/>
                <w:color w:val="000000" w:themeColor="text1"/>
                <w:lang w:val="sr-Cyrl-BA"/>
              </w:rPr>
              <w:t>ж</w:t>
            </w:r>
            <w:r w:rsidR="00A56E08">
              <w:rPr>
                <w:rFonts w:ascii="Arial" w:hAnsi="Arial" w:cs="Arial"/>
                <w:color w:val="000000" w:themeColor="text1"/>
                <w:lang w:val="sr-Cyrl-BA"/>
              </w:rPr>
              <w:t>н</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лог</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ср</w:t>
            </w:r>
            <w:r w:rsidR="00EE6AA2">
              <w:rPr>
                <w:rFonts w:ascii="Arial" w:hAnsi="Arial" w:cs="Arial"/>
                <w:color w:val="000000" w:themeColor="text1"/>
                <w:lang w:val="sr-Cyrl-BA"/>
              </w:rPr>
              <w:t>е</w:t>
            </w:r>
            <w:r w:rsidR="00A56E08">
              <w:rPr>
                <w:rFonts w:ascii="Arial" w:hAnsi="Arial" w:cs="Arial"/>
                <w:color w:val="000000" w:themeColor="text1"/>
                <w:lang w:val="sr-Cyrl-BA"/>
              </w:rPr>
              <w:t>до</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171F00">
              <w:rPr>
                <w:rFonts w:ascii="Arial" w:hAnsi="Arial" w:cs="Arial"/>
                <w:color w:val="000000" w:themeColor="text1"/>
                <w:lang w:val="sr-Cyrl-BA"/>
              </w:rPr>
              <w:t>з</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A56E08">
              <w:rPr>
                <w:rFonts w:ascii="Arial" w:hAnsi="Arial" w:cs="Arial"/>
                <w:color w:val="000000" w:themeColor="text1"/>
                <w:lang w:val="sr-Cyrl-BA"/>
              </w:rPr>
              <w:t>ђ</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дј</w:t>
            </w:r>
            <w:r w:rsidR="00EE6AA2">
              <w:rPr>
                <w:rFonts w:ascii="Arial" w:hAnsi="Arial" w:cs="Arial"/>
                <w:color w:val="000000" w:themeColor="text1"/>
                <w:lang w:val="sr-Cyrl-BA"/>
              </w:rPr>
              <w:t>е</w:t>
            </w:r>
            <w:r w:rsidR="00A56E08">
              <w:rPr>
                <w:rFonts w:ascii="Arial" w:hAnsi="Arial" w:cs="Arial"/>
                <w:color w:val="000000" w:themeColor="text1"/>
                <w:lang w:val="sr-Cyrl-BA"/>
              </w:rPr>
              <w:t>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ника</w:t>
            </w:r>
            <w:r w:rsidR="00892898" w:rsidRPr="00F6340E">
              <w:rPr>
                <w:rFonts w:ascii="Arial" w:hAnsi="Arial" w:cs="Arial"/>
                <w:color w:val="000000" w:themeColor="text1"/>
                <w:lang w:val="sr-Cyrl-BA"/>
              </w:rPr>
              <w:t>/</w:t>
            </w:r>
            <w:r>
              <w:rPr>
                <w:rFonts w:ascii="Arial" w:hAnsi="Arial" w:cs="Arial"/>
                <w:color w:val="000000" w:themeColor="text1"/>
                <w:lang w:val="sr-Cyrl-BA"/>
              </w:rPr>
              <w:t>ш</w:t>
            </w:r>
            <w:r w:rsidR="00A56E08">
              <w:rPr>
                <w:rFonts w:ascii="Arial" w:hAnsi="Arial" w:cs="Arial"/>
                <w:color w:val="000000" w:themeColor="text1"/>
                <w:lang w:val="sr-Cyrl-BA"/>
              </w:rPr>
              <w:t>кол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али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р</w:t>
            </w:r>
            <w:r w:rsidR="00EE6AA2">
              <w:rPr>
                <w:rFonts w:ascii="Arial" w:hAnsi="Arial" w:cs="Arial"/>
                <w:color w:val="000000" w:themeColor="text1"/>
                <w:lang w:val="sr-Cyrl-BA"/>
              </w:rPr>
              <w:t>е</w:t>
            </w:r>
            <w:r w:rsidR="00A56E08">
              <w:rPr>
                <w:rFonts w:ascii="Arial" w:hAnsi="Arial" w:cs="Arial"/>
                <w:color w:val="000000" w:themeColor="text1"/>
                <w:lang w:val="sr-Cyrl-BA"/>
              </w:rPr>
              <w:t>и</w:t>
            </w:r>
            <w:r>
              <w:rPr>
                <w:rFonts w:ascii="Arial" w:hAnsi="Arial" w:cs="Arial"/>
                <w:color w:val="000000" w:themeColor="text1"/>
                <w:lang w:val="sr-Cyrl-BA"/>
              </w:rPr>
              <w:t>р</w:t>
            </w:r>
            <w:r w:rsidR="00A56E08">
              <w:rPr>
                <w:rFonts w:ascii="Arial" w:hAnsi="Arial" w:cs="Arial"/>
                <w:color w:val="000000" w:themeColor="text1"/>
                <w:lang w:val="sr-Cyrl-BA"/>
              </w:rPr>
              <w:t>ањ</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ок</w:t>
            </w:r>
            <w:r>
              <w:rPr>
                <w:rFonts w:ascii="Arial" w:hAnsi="Arial" w:cs="Arial"/>
                <w:color w:val="000000" w:themeColor="text1"/>
                <w:lang w:val="sr-Cyrl-BA"/>
              </w:rPr>
              <w:t>ру</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A56E08">
              <w:rPr>
                <w:rFonts w:ascii="Arial" w:hAnsi="Arial" w:cs="Arial"/>
                <w:color w:val="000000" w:themeColor="text1"/>
                <w:lang w:val="sr-Cyrl-BA"/>
              </w:rPr>
              <w:t>ња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w:t>
            </w:r>
            <w:r>
              <w:rPr>
                <w:rFonts w:ascii="Arial" w:hAnsi="Arial" w:cs="Arial"/>
                <w:color w:val="000000" w:themeColor="text1"/>
                <w:lang w:val="sr-Cyrl-BA"/>
              </w:rPr>
              <w:t>у</w:t>
            </w:r>
            <w:r w:rsidR="00A56E08">
              <w:rPr>
                <w:rFonts w:ascii="Arial" w:hAnsi="Arial" w:cs="Arial"/>
                <w:color w:val="000000" w:themeColor="text1"/>
                <w:lang w:val="sr-Cyrl-BA"/>
              </w:rPr>
              <w:t>ћно</w:t>
            </w:r>
            <w:r>
              <w:rPr>
                <w:rFonts w:ascii="Arial" w:hAnsi="Arial" w:cs="Arial"/>
                <w:color w:val="000000" w:themeColor="text1"/>
                <w:lang w:val="sr-Cyrl-BA"/>
              </w:rPr>
              <w:t>ст</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личног</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анга</w:t>
            </w:r>
            <w:r w:rsidR="00171F00">
              <w:rPr>
                <w:rFonts w:ascii="Arial" w:hAnsi="Arial" w:cs="Arial"/>
                <w:color w:val="000000" w:themeColor="text1"/>
                <w:lang w:val="sr-Cyrl-BA"/>
              </w:rPr>
              <w:t>ж</w:t>
            </w:r>
            <w:r w:rsidR="00A56E08">
              <w:rPr>
                <w:rFonts w:ascii="Arial" w:hAnsi="Arial" w:cs="Arial"/>
                <w:color w:val="000000" w:themeColor="text1"/>
                <w:lang w:val="sr-Cyrl-BA"/>
              </w:rPr>
              <w:t>мана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оди</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ља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било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ни</w:t>
            </w:r>
            <w:r>
              <w:rPr>
                <w:rFonts w:ascii="Arial" w:hAnsi="Arial" w:cs="Arial"/>
                <w:color w:val="000000" w:themeColor="text1"/>
                <w:lang w:val="sr-Cyrl-BA"/>
              </w:rPr>
              <w:t>в</w:t>
            </w:r>
            <w:r w:rsidR="00A56E08">
              <w:rPr>
                <w:rFonts w:ascii="Arial" w:hAnsi="Arial" w:cs="Arial"/>
                <w:color w:val="000000" w:themeColor="text1"/>
                <w:lang w:val="sr-Cyrl-BA"/>
              </w:rPr>
              <w:t>о</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ш</w:t>
            </w:r>
            <w:r w:rsidR="00A56E08">
              <w:rPr>
                <w:rFonts w:ascii="Arial" w:hAnsi="Arial" w:cs="Arial"/>
                <w:color w:val="000000" w:themeColor="text1"/>
                <w:lang w:val="sr-Cyrl-BA"/>
              </w:rPr>
              <w:t>кол</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или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EE6AA2">
              <w:rPr>
                <w:rFonts w:ascii="Arial" w:hAnsi="Arial" w:cs="Arial"/>
                <w:color w:val="000000" w:themeColor="text1"/>
                <w:lang w:val="sr-Cyrl-BA"/>
              </w:rPr>
              <w:t>е</w:t>
            </w:r>
            <w:r w:rsidR="00171F00">
              <w:rPr>
                <w:rFonts w:ascii="Arial" w:hAnsi="Arial" w:cs="Arial"/>
                <w:color w:val="000000" w:themeColor="text1"/>
                <w:lang w:val="sr-Cyrl-BA"/>
              </w:rPr>
              <w:t>з</w:t>
            </w:r>
            <w:r w:rsidR="00A56E08">
              <w:rPr>
                <w:rFonts w:ascii="Arial" w:hAnsi="Arial" w:cs="Arial"/>
                <w:color w:val="000000" w:themeColor="text1"/>
                <w:lang w:val="sr-Cyrl-BA"/>
              </w:rPr>
              <w:t>ано</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игн</w:t>
            </w:r>
            <w:r>
              <w:rPr>
                <w:rFonts w:ascii="Arial" w:hAnsi="Arial" w:cs="Arial"/>
                <w:color w:val="000000" w:themeColor="text1"/>
                <w:lang w:val="sr-Cyrl-BA"/>
              </w:rPr>
              <w:t>у</w:t>
            </w:r>
            <w:r w:rsidR="00A56E08">
              <w:rPr>
                <w:rFonts w:ascii="Arial" w:hAnsi="Arial" w:cs="Arial"/>
                <w:color w:val="000000" w:themeColor="text1"/>
                <w:lang w:val="sr-Cyrl-BA"/>
              </w:rPr>
              <w:t>ћа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в</w:t>
            </w:r>
            <w:r w:rsidR="00A56E08">
              <w:rPr>
                <w:rFonts w:ascii="Arial" w:hAnsi="Arial" w:cs="Arial"/>
                <w:color w:val="000000" w:themeColor="text1"/>
                <w:lang w:val="sr-Cyrl-BA"/>
              </w:rPr>
              <w:t>ла</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ог</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дј</w:t>
            </w:r>
            <w:r w:rsidR="00EE6AA2">
              <w:rPr>
                <w:rFonts w:ascii="Arial" w:hAnsi="Arial" w:cs="Arial"/>
                <w:color w:val="000000" w:themeColor="text1"/>
                <w:lang w:val="sr-Cyrl-BA"/>
              </w:rPr>
              <w:t>е</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има</w:t>
            </w:r>
            <w:r>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м</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личи</w:t>
            </w:r>
            <w:r>
              <w:rPr>
                <w:rFonts w:ascii="Arial" w:hAnsi="Arial" w:cs="Arial"/>
                <w:color w:val="000000" w:themeColor="text1"/>
                <w:lang w:val="sr-Cyrl-BA"/>
              </w:rPr>
              <w:t>т</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п</w:t>
            </w:r>
            <w:r w:rsidR="00EE6AA2">
              <w:rPr>
                <w:rFonts w:ascii="Arial" w:hAnsi="Arial" w:cs="Arial"/>
                <w:color w:val="000000" w:themeColor="text1"/>
                <w:lang w:val="sr-Cyrl-BA"/>
              </w:rPr>
              <w:t>е</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нциј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оди</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ља</w:t>
            </w:r>
            <w:r w:rsidR="00B04FA8">
              <w:rPr>
                <w:rFonts w:ascii="Arial" w:hAnsi="Arial" w:cs="Arial"/>
                <w:color w:val="000000" w:themeColor="text1"/>
                <w:lang w:val="sr-Cyrl-BA"/>
              </w:rPr>
              <w:t xml:space="preserve"> </w:t>
            </w:r>
            <w:r w:rsidR="001F2F40">
              <w:rPr>
                <w:rFonts w:ascii="Arial" w:hAnsi="Arial" w:cs="Arial"/>
                <w:color w:val="000000" w:themeColor="text1"/>
                <w:lang w:val="sr-Cyrl-BA"/>
              </w:rPr>
              <w:t>с обзиром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ни</w:t>
            </w:r>
            <w:r>
              <w:rPr>
                <w:rFonts w:ascii="Arial" w:hAnsi="Arial" w:cs="Arial"/>
                <w:color w:val="000000" w:themeColor="text1"/>
                <w:lang w:val="sr-Cyrl-BA"/>
              </w:rPr>
              <w:t>в</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ања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w:t>
            </w:r>
            <w:r>
              <w:rPr>
                <w:rFonts w:ascii="Arial" w:hAnsi="Arial" w:cs="Arial"/>
                <w:color w:val="000000" w:themeColor="text1"/>
                <w:lang w:val="sr-Cyrl-BA"/>
              </w:rPr>
              <w:t>руштв</w:t>
            </w:r>
            <w:r w:rsidR="00EE6AA2">
              <w:rPr>
                <w:rFonts w:ascii="Arial" w:hAnsi="Arial" w:cs="Arial"/>
                <w:color w:val="000000" w:themeColor="text1"/>
                <w:lang w:val="sr-Cyrl-BA"/>
              </w:rPr>
              <w:t>е</w:t>
            </w:r>
            <w:r w:rsidR="00A56E08">
              <w:rPr>
                <w:rFonts w:ascii="Arial" w:hAnsi="Arial" w:cs="Arial"/>
                <w:color w:val="000000" w:themeColor="text1"/>
                <w:lang w:val="sr-Cyrl-BA"/>
              </w:rPr>
              <w:t>но</w:t>
            </w:r>
            <w:r w:rsidR="00892898" w:rsidRPr="00F6340E">
              <w:rPr>
                <w:rFonts w:ascii="Arial" w:hAnsi="Arial" w:cs="Arial"/>
                <w:color w:val="000000" w:themeColor="text1"/>
                <w:lang w:val="sr-Cyrl-BA"/>
              </w:rPr>
              <w:t xml:space="preserve"> – </w:t>
            </w:r>
            <w:r w:rsidR="00EE6AA2">
              <w:rPr>
                <w:rFonts w:ascii="Arial" w:hAnsi="Arial" w:cs="Arial"/>
                <w:color w:val="000000" w:themeColor="text1"/>
                <w:lang w:val="sr-Cyrl-BA"/>
              </w:rPr>
              <w:t>е</w:t>
            </w:r>
            <w:r w:rsidR="00A56E08">
              <w:rPr>
                <w:rFonts w:ascii="Arial" w:hAnsi="Arial" w:cs="Arial"/>
                <w:color w:val="000000" w:themeColor="text1"/>
                <w:lang w:val="sr-Cyrl-BA"/>
              </w:rPr>
              <w:t>коном</w:t>
            </w:r>
            <w:r>
              <w:rPr>
                <w:rFonts w:ascii="Arial" w:hAnsi="Arial" w:cs="Arial"/>
                <w:color w:val="000000" w:themeColor="text1"/>
                <w:lang w:val="sr-Cyrl-BA"/>
              </w:rPr>
              <w:t>с</w:t>
            </w:r>
            <w:r w:rsidR="00A56E08">
              <w:rPr>
                <w:rFonts w:ascii="Arial" w:hAnsi="Arial" w:cs="Arial"/>
                <w:color w:val="000000" w:themeColor="text1"/>
                <w:lang w:val="sr-Cyrl-BA"/>
              </w:rPr>
              <w:t>ки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тус</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одица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инф</w:t>
            </w:r>
            <w:r>
              <w:rPr>
                <w:rFonts w:ascii="Arial" w:hAnsi="Arial" w:cs="Arial"/>
                <w:color w:val="000000" w:themeColor="text1"/>
                <w:lang w:val="sr-Cyrl-BA"/>
              </w:rPr>
              <w:t>р</w:t>
            </w:r>
            <w:r w:rsidR="00A56E08">
              <w:rPr>
                <w:rFonts w:ascii="Arial" w:hAnsi="Arial" w:cs="Arial"/>
                <w:color w:val="000000" w:themeColor="text1"/>
                <w:lang w:val="sr-Cyrl-BA"/>
              </w:rPr>
              <w:t>а</w:t>
            </w:r>
            <w:r>
              <w:rPr>
                <w:rFonts w:ascii="Arial" w:hAnsi="Arial" w:cs="Arial"/>
                <w:color w:val="000000" w:themeColor="text1"/>
                <w:lang w:val="sr-Cyrl-BA"/>
              </w:rPr>
              <w:t>стру</w:t>
            </w:r>
            <w:r w:rsidR="00A56E08">
              <w:rPr>
                <w:rFonts w:ascii="Arial" w:hAnsi="Arial" w:cs="Arial"/>
                <w:color w:val="000000" w:themeColor="text1"/>
                <w:lang w:val="sr-Cyrl-BA"/>
              </w:rPr>
              <w:t>к</w:t>
            </w:r>
            <w:r>
              <w:rPr>
                <w:rFonts w:ascii="Arial" w:hAnsi="Arial" w:cs="Arial"/>
                <w:color w:val="000000" w:themeColor="text1"/>
                <w:lang w:val="sr-Cyrl-BA"/>
              </w:rPr>
              <w:t>туру</w:t>
            </w:r>
            <w:r w:rsidR="004C2124"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FA763F" w:rsidRPr="00F6340E">
              <w:rPr>
                <w:rFonts w:ascii="Arial" w:hAnsi="Arial" w:cs="Arial"/>
                <w:color w:val="000000" w:themeColor="text1"/>
                <w:lang w:val="sr-Cyrl-BA"/>
              </w:rPr>
              <w:t xml:space="preserve"> </w:t>
            </w:r>
            <w:r w:rsidR="00A56E08">
              <w:rPr>
                <w:rFonts w:ascii="Arial" w:hAnsi="Arial" w:cs="Arial"/>
                <w:color w:val="000000" w:themeColor="text1"/>
                <w:lang w:val="sr-Cyrl-BA"/>
              </w:rPr>
              <w:t>ИК</w:t>
            </w:r>
            <w:r>
              <w:rPr>
                <w:rFonts w:ascii="Arial" w:hAnsi="Arial" w:cs="Arial"/>
                <w:color w:val="000000" w:themeColor="text1"/>
                <w:lang w:val="sr-Cyrl-BA"/>
              </w:rPr>
              <w:t>Т</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којом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ник</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Pr>
                <w:rFonts w:ascii="Arial" w:hAnsi="Arial" w:cs="Arial"/>
                <w:color w:val="000000" w:themeColor="text1"/>
                <w:lang w:val="sr-Cyrl-BA"/>
              </w:rPr>
              <w:t>сп</w:t>
            </w:r>
            <w:r w:rsidR="00A56E08">
              <w:rPr>
                <w:rFonts w:ascii="Arial" w:hAnsi="Arial" w:cs="Arial"/>
                <w:color w:val="000000" w:themeColor="text1"/>
                <w:lang w:val="sr-Cyrl-BA"/>
              </w:rPr>
              <w:t>ола</w:t>
            </w:r>
            <w:r w:rsidR="00171F00">
              <w:rPr>
                <w:rFonts w:ascii="Arial" w:hAnsi="Arial" w:cs="Arial"/>
                <w:color w:val="000000" w:themeColor="text1"/>
                <w:lang w:val="sr-Cyrl-BA"/>
              </w:rPr>
              <w:t>ж</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св</w:t>
            </w:r>
            <w:r w:rsidR="00A56E08">
              <w:rPr>
                <w:rFonts w:ascii="Arial" w:hAnsi="Arial" w:cs="Arial"/>
                <w:color w:val="000000" w:themeColor="text1"/>
                <w:lang w:val="sr-Cyrl-BA"/>
              </w:rPr>
              <w:t>ом</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домаћин</w:t>
            </w:r>
            <w:r>
              <w:rPr>
                <w:rFonts w:ascii="Arial" w:hAnsi="Arial" w:cs="Arial"/>
                <w:color w:val="000000" w:themeColor="text1"/>
                <w:lang w:val="sr-Cyrl-BA"/>
              </w:rPr>
              <w:t>ству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им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A56E08">
              <w:rPr>
                <w:rFonts w:ascii="Arial" w:hAnsi="Arial" w:cs="Arial"/>
                <w:color w:val="000000" w:themeColor="text1"/>
                <w:lang w:val="sr-Cyrl-BA"/>
              </w:rPr>
              <w:t>ога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оди</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љима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бај</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ја</w:t>
            </w:r>
            <w:r>
              <w:rPr>
                <w:rFonts w:ascii="Arial" w:hAnsi="Arial" w:cs="Arial"/>
                <w:color w:val="000000" w:themeColor="text1"/>
                <w:lang w:val="sr-Cyrl-BA"/>
              </w:rPr>
              <w:t>с</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стру</w:t>
            </w:r>
            <w:r w:rsidR="00A56E08">
              <w:rPr>
                <w:rFonts w:ascii="Arial" w:hAnsi="Arial" w:cs="Arial"/>
                <w:color w:val="000000" w:themeColor="text1"/>
                <w:lang w:val="sr-Cyrl-BA"/>
              </w:rPr>
              <w:t>кциј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када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ч</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њихо</w:t>
            </w:r>
            <w:r>
              <w:rPr>
                <w:rFonts w:ascii="Arial" w:hAnsi="Arial" w:cs="Arial"/>
                <w:color w:val="000000" w:themeColor="text1"/>
                <w:lang w:val="sr-Cyrl-BA"/>
              </w:rPr>
              <w:t>в</w:t>
            </w:r>
            <w:r w:rsidR="00A56E08">
              <w:rPr>
                <w:rFonts w:ascii="Arial" w:hAnsi="Arial" w:cs="Arial"/>
                <w:color w:val="000000" w:themeColor="text1"/>
                <w:lang w:val="sr-Cyrl-BA"/>
              </w:rPr>
              <w:t>ој</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од</w:t>
            </w:r>
            <w:r>
              <w:rPr>
                <w:rFonts w:ascii="Arial" w:hAnsi="Arial" w:cs="Arial"/>
                <w:color w:val="000000" w:themeColor="text1"/>
                <w:lang w:val="sr-Cyrl-BA"/>
              </w:rPr>
              <w:t>рш</w:t>
            </w:r>
            <w:r w:rsidR="00A56E08">
              <w:rPr>
                <w:rFonts w:ascii="Arial" w:hAnsi="Arial" w:cs="Arial"/>
                <w:color w:val="000000" w:themeColor="text1"/>
                <w:lang w:val="sr-Cyrl-BA"/>
              </w:rPr>
              <w:t>ци</w:t>
            </w:r>
            <w:r w:rsidR="004C2124"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на</w:t>
            </w:r>
            <w:r>
              <w:rPr>
                <w:rFonts w:ascii="Arial" w:hAnsi="Arial" w:cs="Arial"/>
                <w:color w:val="000000" w:themeColor="text1"/>
                <w:lang w:val="sr-Cyrl-BA"/>
              </w:rPr>
              <w:t>пр</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56E08">
              <w:rPr>
                <w:rFonts w:ascii="Arial" w:hAnsi="Arial" w:cs="Arial"/>
                <w:color w:val="000000" w:themeColor="text1"/>
                <w:lang w:val="sr-Cyrl-BA"/>
              </w:rPr>
              <w:t>ђ</w:t>
            </w:r>
            <w:r w:rsidR="00EE6AA2">
              <w:rPr>
                <w:rFonts w:ascii="Arial" w:hAnsi="Arial" w:cs="Arial"/>
                <w:color w:val="000000" w:themeColor="text1"/>
                <w:lang w:val="sr-Cyrl-BA"/>
              </w:rPr>
              <w:t>е</w:t>
            </w:r>
            <w:r w:rsidR="00A56E08">
              <w:rPr>
                <w:rFonts w:ascii="Arial" w:hAnsi="Arial" w:cs="Arial"/>
                <w:color w:val="000000" w:themeColor="text1"/>
                <w:lang w:val="sr-Cyrl-BA"/>
              </w:rPr>
              <w:t>њ</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игн</w:t>
            </w:r>
            <w:r>
              <w:rPr>
                <w:rFonts w:ascii="Arial" w:hAnsi="Arial" w:cs="Arial"/>
                <w:color w:val="000000" w:themeColor="text1"/>
                <w:lang w:val="sr-Cyrl-BA"/>
              </w:rPr>
              <w:t>у</w:t>
            </w:r>
            <w:r w:rsidR="00A56E08">
              <w:rPr>
                <w:rFonts w:ascii="Arial" w:hAnsi="Arial" w:cs="Arial"/>
                <w:color w:val="000000" w:themeColor="text1"/>
                <w:lang w:val="sr-Cyrl-BA"/>
              </w:rPr>
              <w:t>ћа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дј</w:t>
            </w:r>
            <w:r w:rsidR="00EE6AA2">
              <w:rPr>
                <w:rFonts w:ascii="Arial" w:hAnsi="Arial" w:cs="Arial"/>
                <w:color w:val="000000" w:themeColor="text1"/>
                <w:lang w:val="sr-Cyrl-BA"/>
              </w:rPr>
              <w:t>е</w:t>
            </w:r>
            <w:r w:rsidR="00A56E08">
              <w:rPr>
                <w:rFonts w:ascii="Arial" w:hAnsi="Arial" w:cs="Arial"/>
                <w:color w:val="000000" w:themeColor="text1"/>
                <w:lang w:val="sr-Cyrl-BA"/>
              </w:rPr>
              <w:t>ц</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с</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када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sidR="00A56E08">
              <w:rPr>
                <w:rFonts w:ascii="Arial" w:hAnsi="Arial" w:cs="Arial"/>
                <w:color w:val="000000" w:themeColor="text1"/>
                <w:lang w:val="sr-Cyrl-BA"/>
              </w:rPr>
              <w:t>ч</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w:t>
            </w:r>
            <w:r w:rsidR="00A56E08">
              <w:rPr>
                <w:rFonts w:ascii="Arial" w:hAnsi="Arial" w:cs="Arial"/>
                <w:color w:val="000000" w:themeColor="text1"/>
                <w:lang w:val="sr-Cyrl-BA"/>
              </w:rPr>
              <w:t>ицањ</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амо</w:t>
            </w:r>
            <w:r>
              <w:rPr>
                <w:rFonts w:ascii="Arial" w:hAnsi="Arial" w:cs="Arial"/>
                <w:color w:val="000000" w:themeColor="text1"/>
                <w:lang w:val="sr-Cyrl-BA"/>
              </w:rPr>
              <w:t>ст</w:t>
            </w:r>
            <w:r w:rsidR="00A56E08">
              <w:rPr>
                <w:rFonts w:ascii="Arial" w:hAnsi="Arial" w:cs="Arial"/>
                <w:color w:val="000000" w:themeColor="text1"/>
                <w:lang w:val="sr-Cyrl-BA"/>
              </w:rPr>
              <w:t>алног</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ада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код</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у</w:t>
            </w:r>
            <w:r w:rsidR="00A56E08">
              <w:rPr>
                <w:rFonts w:ascii="Arial" w:hAnsi="Arial" w:cs="Arial"/>
                <w:color w:val="000000" w:themeColor="text1"/>
                <w:lang w:val="sr-Cyrl-BA"/>
              </w:rPr>
              <w:t>ћ</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а</w:t>
            </w:r>
            <w:r>
              <w:rPr>
                <w:rFonts w:ascii="Arial" w:hAnsi="Arial" w:cs="Arial"/>
                <w:color w:val="000000" w:themeColor="text1"/>
                <w:lang w:val="sr-Cyrl-BA"/>
              </w:rPr>
              <w:t>рт</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рств</w:t>
            </w:r>
            <w:r w:rsidR="00A56E08">
              <w:rPr>
                <w:rFonts w:ascii="Arial" w:hAnsi="Arial" w:cs="Arial"/>
                <w:color w:val="000000" w:themeColor="text1"/>
                <w:lang w:val="sr-Cyrl-BA"/>
              </w:rPr>
              <w:t>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би</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могло</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о</w:t>
            </w:r>
            <w:r>
              <w:rPr>
                <w:rFonts w:ascii="Arial" w:hAnsi="Arial" w:cs="Arial"/>
                <w:color w:val="000000" w:themeColor="text1"/>
                <w:lang w:val="sr-Cyrl-BA"/>
              </w:rPr>
              <w:t>с</w:t>
            </w:r>
            <w:r w:rsidR="00A56E08">
              <w:rPr>
                <w:rFonts w:ascii="Arial" w:hAnsi="Arial" w:cs="Arial"/>
                <w:color w:val="000000" w:themeColor="text1"/>
                <w:lang w:val="sr-Cyrl-BA"/>
              </w:rPr>
              <w:t>на</w:t>
            </w:r>
            <w:r w:rsidR="00171F00">
              <w:rPr>
                <w:rFonts w:ascii="Arial" w:hAnsi="Arial" w:cs="Arial"/>
                <w:color w:val="000000" w:themeColor="text1"/>
                <w:lang w:val="sr-Cyrl-BA"/>
              </w:rPr>
              <w:t>ж</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w:t>
            </w:r>
            <w:r>
              <w:rPr>
                <w:rFonts w:ascii="Arial" w:hAnsi="Arial" w:cs="Arial"/>
                <w:color w:val="000000" w:themeColor="text1"/>
                <w:lang w:val="sr-Cyrl-BA"/>
              </w:rPr>
              <w:t>р</w:t>
            </w:r>
            <w:r w:rsidR="00A56E08">
              <w:rPr>
                <w:rFonts w:ascii="Arial" w:hAnsi="Arial" w:cs="Arial"/>
                <w:color w:val="000000" w:themeColor="text1"/>
                <w:lang w:val="sr-Cyrl-BA"/>
              </w:rPr>
              <w:t>о</w:t>
            </w:r>
            <w:r w:rsidR="00171F00">
              <w:rPr>
                <w:rFonts w:ascii="Arial" w:hAnsi="Arial" w:cs="Arial"/>
                <w:color w:val="000000" w:themeColor="text1"/>
                <w:lang w:val="sr-Cyrl-BA"/>
              </w:rPr>
              <w:t>з</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у</w:t>
            </w:r>
            <w:r w:rsidR="00A56E08">
              <w:rPr>
                <w:rFonts w:ascii="Arial" w:hAnsi="Arial" w:cs="Arial"/>
                <w:color w:val="000000" w:themeColor="text1"/>
                <w:lang w:val="sr-Cyrl-BA"/>
              </w:rPr>
              <w:t>никациј</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личи</w:t>
            </w:r>
            <w:r>
              <w:rPr>
                <w:rFonts w:ascii="Arial" w:hAnsi="Arial" w:cs="Arial"/>
                <w:color w:val="000000" w:themeColor="text1"/>
                <w:lang w:val="sr-Cyrl-BA"/>
              </w:rPr>
              <w:t>т</w:t>
            </w:r>
            <w:r w:rsidR="00A56E08">
              <w:rPr>
                <w:rFonts w:ascii="Arial" w:hAnsi="Arial" w:cs="Arial"/>
                <w:color w:val="000000" w:themeColor="text1"/>
                <w:lang w:val="sr-Cyrl-BA"/>
              </w:rPr>
              <w:t>их</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ком</w:t>
            </w:r>
            <w:r>
              <w:rPr>
                <w:rFonts w:ascii="Arial" w:hAnsi="Arial" w:cs="Arial"/>
                <w:color w:val="000000" w:themeColor="text1"/>
                <w:lang w:val="sr-Cyrl-BA"/>
              </w:rPr>
              <w:t>у</w:t>
            </w:r>
            <w:r w:rsidR="00A56E08">
              <w:rPr>
                <w:rFonts w:ascii="Arial" w:hAnsi="Arial" w:cs="Arial"/>
                <w:color w:val="000000" w:themeColor="text1"/>
                <w:lang w:val="sr-Cyrl-BA"/>
              </w:rPr>
              <w:t>никационих</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канала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алних</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ала</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л</w:t>
            </w:r>
            <w:r w:rsidR="00EE6AA2">
              <w:rPr>
                <w:rFonts w:ascii="Arial" w:hAnsi="Arial" w:cs="Arial"/>
                <w:color w:val="000000" w:themeColor="text1"/>
                <w:lang w:val="sr-Cyrl-BA"/>
              </w:rPr>
              <w:t>е</w:t>
            </w:r>
            <w:r w:rsidR="00A56E08">
              <w:rPr>
                <w:rFonts w:ascii="Arial" w:hAnsi="Arial" w:cs="Arial"/>
                <w:color w:val="000000" w:themeColor="text1"/>
                <w:lang w:val="sr-Cyrl-BA"/>
              </w:rPr>
              <w:t>фон</w:t>
            </w:r>
            <w:r w:rsidR="00892898" w:rsidRPr="00F6340E">
              <w:rPr>
                <w:rFonts w:ascii="Arial" w:hAnsi="Arial" w:cs="Arial"/>
                <w:color w:val="000000" w:themeColor="text1"/>
                <w:lang w:val="sr-Cyrl-BA"/>
              </w:rPr>
              <w:t xml:space="preserve">, </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w:t>
            </w:r>
            <w:r w:rsidR="00A56E08">
              <w:rPr>
                <w:rFonts w:ascii="Arial" w:hAnsi="Arial" w:cs="Arial"/>
                <w:color w:val="000000" w:themeColor="text1"/>
                <w:lang w:val="sr-Cyrl-BA"/>
              </w:rPr>
              <w:t>маил</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ла</w:t>
            </w:r>
            <w:r>
              <w:rPr>
                <w:rFonts w:ascii="Arial" w:hAnsi="Arial" w:cs="Arial"/>
                <w:color w:val="000000" w:themeColor="text1"/>
                <w:lang w:val="sr-Cyrl-BA"/>
              </w:rPr>
              <w:t>т</w:t>
            </w:r>
            <w:r w:rsidR="00A56E08">
              <w:rPr>
                <w:rFonts w:ascii="Arial" w:hAnsi="Arial" w:cs="Arial"/>
                <w:color w:val="000000" w:themeColor="text1"/>
                <w:lang w:val="sr-Cyrl-BA"/>
              </w:rPr>
              <w:t>фо</w:t>
            </w:r>
            <w:r>
              <w:rPr>
                <w:rFonts w:ascii="Arial" w:hAnsi="Arial" w:cs="Arial"/>
                <w:color w:val="000000" w:themeColor="text1"/>
                <w:lang w:val="sr-Cyrl-BA"/>
              </w:rPr>
              <w:t>р</w:t>
            </w:r>
            <w:r w:rsidR="00A56E08">
              <w:rPr>
                <w:rFonts w:ascii="Arial" w:hAnsi="Arial" w:cs="Arial"/>
                <w:color w:val="000000" w:themeColor="text1"/>
                <w:lang w:val="sr-Cyrl-BA"/>
              </w:rPr>
              <w:t>м</w:t>
            </w:r>
            <w:r w:rsidR="00EE6AA2">
              <w:rPr>
                <w:rFonts w:ascii="Arial" w:hAnsi="Arial" w:cs="Arial"/>
                <w:color w:val="000000" w:themeColor="text1"/>
                <w:lang w:val="sr-Cyrl-BA"/>
              </w:rPr>
              <w:t>е</w:t>
            </w:r>
            <w:r w:rsidR="00A4214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8424F0"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w:t>
            </w:r>
            <w:r>
              <w:rPr>
                <w:rFonts w:ascii="Arial" w:hAnsi="Arial" w:cs="Arial"/>
                <w:color w:val="000000" w:themeColor="text1"/>
                <w:lang w:val="sr-Cyrl-BA"/>
              </w:rPr>
              <w:t>р</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мј</w:t>
            </w:r>
            <w:r w:rsidR="00EE6AA2">
              <w:rPr>
                <w:rFonts w:ascii="Arial" w:hAnsi="Arial" w:cs="Arial"/>
                <w:color w:val="000000" w:themeColor="text1"/>
                <w:lang w:val="sr-Cyrl-BA"/>
              </w:rPr>
              <w:t>е</w:t>
            </w:r>
            <w:r w:rsidR="00A56E08">
              <w:rPr>
                <w:rFonts w:ascii="Arial" w:hAnsi="Arial" w:cs="Arial"/>
                <w:color w:val="000000" w:themeColor="text1"/>
                <w:lang w:val="sr-Cyrl-BA"/>
              </w:rPr>
              <w:t>н</w:t>
            </w:r>
            <w:r>
              <w:rPr>
                <w:rFonts w:ascii="Arial" w:hAnsi="Arial" w:cs="Arial"/>
                <w:color w:val="000000" w:themeColor="text1"/>
                <w:lang w:val="sr-Cyrl-BA"/>
              </w:rPr>
              <w:t>у</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до</w:t>
            </w:r>
            <w:r>
              <w:rPr>
                <w:rFonts w:ascii="Arial" w:hAnsi="Arial" w:cs="Arial"/>
                <w:color w:val="000000" w:themeColor="text1"/>
                <w:lang w:val="sr-Cyrl-BA"/>
              </w:rPr>
              <w:t>ступ</w:t>
            </w:r>
            <w:r w:rsidR="00A56E08">
              <w:rPr>
                <w:rFonts w:ascii="Arial" w:hAnsi="Arial" w:cs="Arial"/>
                <w:color w:val="000000" w:themeColor="text1"/>
                <w:lang w:val="sr-Cyrl-BA"/>
              </w:rPr>
              <w:t>них</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ма</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ијала</w:t>
            </w:r>
            <w:r w:rsidR="00A4214D"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EE6AA2">
              <w:rPr>
                <w:rFonts w:ascii="Arial" w:hAnsi="Arial" w:cs="Arial"/>
                <w:color w:val="000000" w:themeColor="text1"/>
                <w:lang w:val="sr-Cyrl-BA"/>
              </w:rPr>
              <w:t>е</w:t>
            </w:r>
            <w:r w:rsidR="004C2124"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424F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р</w:t>
            </w:r>
            <w:r w:rsidR="00A56E08">
              <w:rPr>
                <w:rFonts w:ascii="Arial" w:hAnsi="Arial" w:cs="Arial"/>
                <w:color w:val="000000" w:themeColor="text1"/>
                <w:lang w:val="sr-Cyrl-BA"/>
              </w:rPr>
              <w:t>н</w:t>
            </w:r>
            <w:r w:rsidR="00EE6AA2">
              <w:rPr>
                <w:rFonts w:ascii="Arial" w:hAnsi="Arial" w:cs="Arial"/>
                <w:color w:val="000000" w:themeColor="text1"/>
                <w:lang w:val="sr-Cyrl-BA"/>
              </w:rPr>
              <w:t>е</w:t>
            </w:r>
            <w:r>
              <w:rPr>
                <w:rFonts w:ascii="Arial" w:hAnsi="Arial" w:cs="Arial"/>
                <w:color w:val="000000" w:themeColor="text1"/>
                <w:lang w:val="sr-Cyrl-BA"/>
              </w:rPr>
              <w:t>т</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инфо</w:t>
            </w:r>
            <w:r>
              <w:rPr>
                <w:rFonts w:ascii="Arial" w:hAnsi="Arial" w:cs="Arial"/>
                <w:color w:val="000000" w:themeColor="text1"/>
                <w:lang w:val="sr-Cyrl-BA"/>
              </w:rPr>
              <w:t>р</w:t>
            </w:r>
            <w:r w:rsidR="00A56E08">
              <w:rPr>
                <w:rFonts w:ascii="Arial" w:hAnsi="Arial" w:cs="Arial"/>
                <w:color w:val="000000" w:themeColor="text1"/>
                <w:lang w:val="sr-Cyrl-BA"/>
              </w:rPr>
              <w:t>мација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р</w:t>
            </w:r>
            <w:r w:rsidR="00EE6AA2">
              <w:rPr>
                <w:rFonts w:ascii="Arial" w:hAnsi="Arial" w:cs="Arial"/>
                <w:color w:val="000000" w:themeColor="text1"/>
                <w:lang w:val="sr-Cyrl-BA"/>
              </w:rPr>
              <w:t>е</w:t>
            </w:r>
            <w:r>
              <w:rPr>
                <w:rFonts w:ascii="Arial" w:hAnsi="Arial" w:cs="Arial"/>
                <w:color w:val="000000" w:themeColor="text1"/>
                <w:lang w:val="sr-Cyrl-BA"/>
              </w:rPr>
              <w:t>сурс</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ч</w:t>
            </w:r>
            <w:r w:rsidR="00EE6AA2">
              <w:rPr>
                <w:rFonts w:ascii="Arial" w:hAnsi="Arial" w:cs="Arial"/>
                <w:color w:val="000000" w:themeColor="text1"/>
                <w:lang w:val="sr-Cyrl-BA"/>
              </w:rPr>
              <w:t>е</w:t>
            </w:r>
            <w:r w:rsidR="00A56E08">
              <w:rPr>
                <w:rFonts w:ascii="Arial" w:hAnsi="Arial" w:cs="Arial"/>
                <w:color w:val="000000" w:themeColor="text1"/>
                <w:lang w:val="sr-Cyrl-BA"/>
              </w:rPr>
              <w:t>њ</w:t>
            </w:r>
            <w:r w:rsidR="00EE6AA2">
              <w:rPr>
                <w:rFonts w:ascii="Arial" w:hAnsi="Arial" w:cs="Arial"/>
                <w:color w:val="000000" w:themeColor="text1"/>
                <w:lang w:val="sr-Cyrl-BA"/>
              </w:rPr>
              <w:t>е</w:t>
            </w:r>
            <w:r w:rsidR="00892898" w:rsidRPr="00F6340E">
              <w:rPr>
                <w:rFonts w:ascii="Arial" w:hAnsi="Arial" w:cs="Arial"/>
                <w:color w:val="000000" w:themeColor="text1"/>
                <w:lang w:val="sr-Cyrl-BA"/>
              </w:rPr>
              <w:t xml:space="preserve"> </w:t>
            </w:r>
            <w:r w:rsidR="00A56E08">
              <w:rPr>
                <w:rFonts w:ascii="Arial" w:hAnsi="Arial" w:cs="Arial"/>
                <w:color w:val="000000" w:themeColor="text1"/>
                <w:lang w:val="sr-Cyrl-BA"/>
              </w:rPr>
              <w:t>диги</w:t>
            </w:r>
            <w:r>
              <w:rPr>
                <w:rFonts w:ascii="Arial" w:hAnsi="Arial" w:cs="Arial"/>
                <w:color w:val="000000" w:themeColor="text1"/>
                <w:lang w:val="sr-Cyrl-BA"/>
              </w:rPr>
              <w:t>т</w:t>
            </w:r>
            <w:r w:rsidR="00A56E08">
              <w:rPr>
                <w:rFonts w:ascii="Arial" w:hAnsi="Arial" w:cs="Arial"/>
                <w:color w:val="000000" w:themeColor="text1"/>
                <w:lang w:val="sr-Cyrl-BA"/>
              </w:rPr>
              <w:t>алним</w:t>
            </w:r>
            <w:r w:rsidR="00892898" w:rsidRPr="00F6340E">
              <w:rPr>
                <w:rFonts w:ascii="Arial" w:hAnsi="Arial" w:cs="Arial"/>
                <w:color w:val="000000" w:themeColor="text1"/>
                <w:lang w:val="sr-Cyrl-BA"/>
              </w:rPr>
              <w:t xml:space="preserve"> </w:t>
            </w:r>
            <w:r>
              <w:rPr>
                <w:rFonts w:ascii="Arial" w:hAnsi="Arial" w:cs="Arial"/>
                <w:color w:val="000000" w:themeColor="text1"/>
                <w:lang w:val="sr-Cyrl-BA"/>
              </w:rPr>
              <w:t>пут</w:t>
            </w:r>
            <w:r w:rsidR="00EE6AA2">
              <w:rPr>
                <w:rFonts w:ascii="Arial" w:hAnsi="Arial" w:cs="Arial"/>
                <w:color w:val="000000" w:themeColor="text1"/>
                <w:lang w:val="sr-Cyrl-BA"/>
              </w:rPr>
              <w:t>е</w:t>
            </w:r>
            <w:r w:rsidR="00A56E08">
              <w:rPr>
                <w:rFonts w:ascii="Arial" w:hAnsi="Arial" w:cs="Arial"/>
                <w:color w:val="000000" w:themeColor="text1"/>
                <w:lang w:val="sr-Cyrl-BA"/>
              </w:rPr>
              <w:t>м</w:t>
            </w:r>
            <w:r w:rsidR="00892898" w:rsidRPr="00F6340E">
              <w:rPr>
                <w:rFonts w:ascii="Arial" w:hAnsi="Arial" w:cs="Arial"/>
                <w:color w:val="000000" w:themeColor="text1"/>
                <w:lang w:val="sr-Cyrl-BA"/>
              </w:rPr>
              <w:t>.</w:t>
            </w:r>
          </w:p>
          <w:p w14:paraId="1C8B2161" w14:textId="2CAC50C9" w:rsidR="00892898" w:rsidRPr="00F6340E" w:rsidRDefault="0071360A" w:rsidP="00FB5CB7">
            <w:pPr>
              <w:pStyle w:val="ListParagraph"/>
              <w:numPr>
                <w:ilvl w:val="0"/>
                <w:numId w:val="41"/>
              </w:numPr>
              <w:spacing w:before="240"/>
              <w:jc w:val="left"/>
              <w:textAlignment w:val="baseline"/>
              <w:rPr>
                <w:rFonts w:ascii="Arial" w:eastAsiaTheme="minorHAnsi" w:hAnsi="Arial" w:cs="Arial"/>
                <w:color w:val="000000" w:themeColor="text1"/>
                <w:lang w:val="sr-Cyrl-BA"/>
              </w:rPr>
            </w:pP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од</w:t>
            </w:r>
            <w:r>
              <w:rPr>
                <w:rFonts w:ascii="Arial" w:eastAsiaTheme="minorHAnsi" w:hAnsi="Arial" w:cs="Arial"/>
                <w:b/>
                <w:color w:val="000000" w:themeColor="text1"/>
                <w:lang w:val="sr-Cyrl-BA"/>
              </w:rPr>
              <w:t>р</w:t>
            </w:r>
            <w:r w:rsidR="00171F00">
              <w:rPr>
                <w:rFonts w:ascii="Arial" w:eastAsiaTheme="minorHAnsi" w:hAnsi="Arial" w:cs="Arial"/>
                <w:b/>
                <w:color w:val="000000" w:themeColor="text1"/>
                <w:lang w:val="sr-Cyrl-BA"/>
              </w:rPr>
              <w:t>ж</w:t>
            </w:r>
            <w:r w:rsidR="00A56E08">
              <w:rPr>
                <w:rFonts w:ascii="Arial" w:eastAsiaTheme="minorHAnsi" w:hAnsi="Arial" w:cs="Arial"/>
                <w:b/>
                <w:color w:val="000000" w:themeColor="text1"/>
                <w:lang w:val="sr-Cyrl-BA"/>
              </w:rPr>
              <w:t>а</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ој</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диги</w:t>
            </w:r>
            <w:r>
              <w:rPr>
                <w:rFonts w:ascii="Arial" w:eastAsiaTheme="minorHAnsi" w:hAnsi="Arial" w:cs="Arial"/>
                <w:b/>
                <w:color w:val="000000" w:themeColor="text1"/>
                <w:lang w:val="sr-Cyrl-BA"/>
              </w:rPr>
              <w:t>т</w:t>
            </w:r>
            <w:r w:rsidR="00A56E08">
              <w:rPr>
                <w:rFonts w:ascii="Arial" w:eastAsiaTheme="minorHAnsi" w:hAnsi="Arial" w:cs="Arial"/>
                <w:b/>
                <w:color w:val="000000" w:themeColor="text1"/>
                <w:lang w:val="sr-Cyrl-BA"/>
              </w:rPr>
              <w:t>алних</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ком</w:t>
            </w:r>
            <w:r>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нција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оди</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ља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п</w:t>
            </w:r>
            <w:r w:rsidR="00A56E08">
              <w:rPr>
                <w:rFonts w:ascii="Arial" w:eastAsiaTheme="minorHAnsi" w:hAnsi="Arial" w:cs="Arial"/>
                <w:b/>
                <w:color w:val="000000" w:themeColor="text1"/>
                <w:lang w:val="sr-Cyrl-BA"/>
              </w:rPr>
              <w:t>о</w:t>
            </w:r>
            <w:r>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бно</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оди</w:t>
            </w:r>
            <w:r>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ља</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дј</w:t>
            </w:r>
            <w:r w:rsidR="00EE6AA2">
              <w:rPr>
                <w:rFonts w:ascii="Arial" w:eastAsiaTheme="minorHAnsi" w:hAnsi="Arial" w:cs="Arial"/>
                <w:b/>
                <w:color w:val="000000" w:themeColor="text1"/>
                <w:lang w:val="sr-Cyrl-BA"/>
              </w:rPr>
              <w:t>е</w:t>
            </w:r>
            <w:r w:rsidR="00A56E08">
              <w:rPr>
                <w:rFonts w:ascii="Arial" w:eastAsiaTheme="minorHAnsi" w:hAnsi="Arial" w:cs="Arial"/>
                <w:b/>
                <w:color w:val="000000" w:themeColor="text1"/>
                <w:lang w:val="sr-Cyrl-BA"/>
              </w:rPr>
              <w:t>ц</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и</w:t>
            </w:r>
            <w:r w:rsidR="00171F00">
              <w:rPr>
                <w:rFonts w:ascii="Arial" w:eastAsiaTheme="minorHAnsi" w:hAnsi="Arial" w:cs="Arial"/>
                <w:b/>
                <w:color w:val="000000" w:themeColor="text1"/>
                <w:lang w:val="sr-Cyrl-BA"/>
              </w:rPr>
              <w:t>з</w:t>
            </w:r>
            <w:r w:rsidR="00A52863"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р</w:t>
            </w:r>
            <w:r w:rsidR="00A56E08">
              <w:rPr>
                <w:rFonts w:ascii="Arial" w:eastAsiaTheme="minorHAnsi" w:hAnsi="Arial" w:cs="Arial"/>
                <w:b/>
                <w:color w:val="000000" w:themeColor="text1"/>
                <w:lang w:val="sr-Cyrl-BA"/>
              </w:rPr>
              <w:t>ањи</w:t>
            </w:r>
            <w:r>
              <w:rPr>
                <w:rFonts w:ascii="Arial" w:eastAsiaTheme="minorHAnsi" w:hAnsi="Arial" w:cs="Arial"/>
                <w:b/>
                <w:color w:val="000000" w:themeColor="text1"/>
                <w:lang w:val="sr-Cyrl-BA"/>
              </w:rPr>
              <w:t>в</w:t>
            </w:r>
            <w:r w:rsidR="00A56E08">
              <w:rPr>
                <w:rFonts w:ascii="Arial" w:eastAsiaTheme="minorHAnsi" w:hAnsi="Arial" w:cs="Arial"/>
                <w:b/>
                <w:color w:val="000000" w:themeColor="text1"/>
                <w:lang w:val="sr-Cyrl-BA"/>
              </w:rPr>
              <w:t>их</w:t>
            </w:r>
            <w:r w:rsidR="00A52863" w:rsidRPr="00F6340E">
              <w:rPr>
                <w:rFonts w:ascii="Arial" w:eastAsiaTheme="minorHAnsi" w:hAnsi="Arial" w:cs="Arial"/>
                <w:b/>
                <w:color w:val="000000" w:themeColor="text1"/>
                <w:lang w:val="sr-Cyrl-BA"/>
              </w:rPr>
              <w:t xml:space="preserve"> </w:t>
            </w:r>
            <w:r w:rsidR="00A56E08">
              <w:rPr>
                <w:rFonts w:ascii="Arial" w:eastAsiaTheme="minorHAnsi" w:hAnsi="Arial" w:cs="Arial"/>
                <w:b/>
                <w:color w:val="000000" w:themeColor="text1"/>
                <w:lang w:val="sr-Cyrl-BA"/>
              </w:rPr>
              <w:t>г</w:t>
            </w:r>
            <w:r>
              <w:rPr>
                <w:rFonts w:ascii="Arial" w:eastAsiaTheme="minorHAnsi" w:hAnsi="Arial" w:cs="Arial"/>
                <w:b/>
                <w:color w:val="000000" w:themeColor="text1"/>
                <w:lang w:val="sr-Cyrl-BA"/>
              </w:rPr>
              <w:t>руп</w:t>
            </w:r>
            <w:r w:rsidR="00A56E08">
              <w:rPr>
                <w:rFonts w:ascii="Arial" w:eastAsiaTheme="minorHAnsi" w:hAnsi="Arial" w:cs="Arial"/>
                <w:b/>
                <w:color w:val="000000" w:themeColor="text1"/>
                <w:lang w:val="sr-Cyrl-BA"/>
              </w:rPr>
              <w:t>а</w:t>
            </w:r>
            <w:r w:rsidR="00892898" w:rsidRPr="00F6340E">
              <w:rPr>
                <w:rStyle w:val="FootnoteReference"/>
                <w:rFonts w:ascii="Arial" w:eastAsiaTheme="minorHAnsi" w:hAnsi="Arial" w:cs="Arial"/>
                <w:color w:val="000000" w:themeColor="text1"/>
                <w:lang w:val="sr-Cyrl-BA"/>
              </w:rPr>
              <w:footnoteReference w:id="29"/>
            </w:r>
            <w:r w:rsidR="005E5A29" w:rsidRPr="00F6340E">
              <w:rPr>
                <w:rFonts w:ascii="Arial" w:eastAsiaTheme="minorHAnsi" w:hAnsi="Arial" w:cs="Arial"/>
                <w:b/>
                <w:color w:val="000000" w:themeColor="text1"/>
                <w:lang w:val="sr-Cyrl-BA"/>
              </w:rPr>
              <w:t>)</w:t>
            </w:r>
          </w:p>
          <w:p w14:paraId="208C5A29" w14:textId="45530FA1" w:rsidR="00892898" w:rsidRPr="00F6340E" w:rsidRDefault="0071360A" w:rsidP="00FB5CB7">
            <w:pPr>
              <w:pStyle w:val="ListParagraph"/>
              <w:ind w:left="360"/>
              <w:jc w:val="left"/>
              <w:textAlignment w:val="baseline"/>
              <w:rPr>
                <w:rFonts w:ascii="Arial" w:eastAsiaTheme="minorHAnsi" w:hAnsi="Arial" w:cs="Arial"/>
                <w:color w:val="000000" w:themeColor="text1"/>
                <w:lang w:val="sr-Cyrl-BA"/>
              </w:rPr>
            </w:pP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аин</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ан</w:t>
            </w:r>
            <w:r w:rsidR="00EE6AA2">
              <w:rPr>
                <w:rFonts w:ascii="Arial" w:eastAsiaTheme="minorHAnsi" w:hAnsi="Arial" w:cs="Arial"/>
                <w:color w:val="000000" w:themeColor="text1"/>
                <w:lang w:val="sr-Cyrl-BA"/>
              </w:rPr>
              <w:t>е</w:t>
            </w:r>
            <w:r w:rsidR="00AC604E"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стр</w:t>
            </w:r>
            <w:r w:rsidR="00A56E08">
              <w:rPr>
                <w:rFonts w:ascii="Arial" w:eastAsiaTheme="minorHAnsi" w:hAnsi="Arial" w:cs="Arial"/>
                <w:color w:val="000000" w:themeColor="text1"/>
                <w:lang w:val="sr-Cyrl-BA"/>
              </w:rPr>
              <w:t>ан</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ника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ств</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рт</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рств</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ном</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цијом</w:t>
            </w:r>
            <w:r w:rsidR="00A4214D" w:rsidRPr="00F6340E">
              <w:rPr>
                <w:rFonts w:ascii="Arial" w:eastAsiaTheme="minorHAnsi" w:hAnsi="Arial" w:cs="Arial"/>
                <w:color w:val="000000" w:themeColor="text1"/>
                <w:lang w:val="sr-Cyrl-BA"/>
              </w:rPr>
              <w:t>,</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св</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циљ</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најбољ</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г</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оби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ника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кон</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к</w:t>
            </w:r>
            <w:r>
              <w:rPr>
                <w:rFonts w:ascii="Arial" w:eastAsiaTheme="minorHAnsi" w:hAnsi="Arial" w:cs="Arial"/>
                <w:color w:val="000000" w:themeColor="text1"/>
                <w:lang w:val="sr-Cyrl-BA"/>
              </w:rPr>
              <w:t>сту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омј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ру</w:t>
            </w:r>
            <w:r w:rsidR="00A56E08">
              <w:rPr>
                <w:rFonts w:ascii="Arial" w:eastAsiaTheme="minorHAnsi" w:hAnsi="Arial" w:cs="Arial"/>
                <w:color w:val="000000" w:themeColor="text1"/>
                <w:lang w:val="sr-Cyrl-BA"/>
              </w:rPr>
              <w:t>чј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фо</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малног</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акођ</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љ</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д</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но</w:t>
            </w:r>
            <w:r>
              <w:rPr>
                <w:rFonts w:ascii="Arial" w:eastAsiaTheme="minorHAnsi" w:hAnsi="Arial" w:cs="Arial"/>
                <w:color w:val="000000" w:themeColor="text1"/>
                <w:lang w:val="sr-Cyrl-BA"/>
              </w:rPr>
              <w:t>в</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рш</w:t>
            </w:r>
            <w:r w:rsidR="00A56E08">
              <w:rPr>
                <w:rFonts w:ascii="Arial" w:eastAsiaTheme="minorHAnsi" w:hAnsi="Arial" w:cs="Arial"/>
                <w:color w:val="000000" w:themeColor="text1"/>
                <w:lang w:val="sr-Cyrl-BA"/>
              </w:rPr>
              <w:t>к</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али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ницима</w:t>
            </w:r>
            <w:r w:rsidR="00892898" w:rsidRPr="00F6340E">
              <w:rPr>
                <w:rFonts w:ascii="Arial" w:eastAsiaTheme="minorHAnsi" w:hAnsi="Arial" w:cs="Arial"/>
                <w:color w:val="000000" w:themeColor="text1"/>
                <w:lang w:val="sr-Cyrl-BA"/>
              </w:rPr>
              <w:t>/</w:t>
            </w:r>
            <w:r>
              <w:rPr>
                <w:rFonts w:ascii="Arial" w:eastAsiaTheme="minorHAnsi" w:hAnsi="Arial" w:cs="Arial"/>
                <w:color w:val="000000" w:themeColor="text1"/>
                <w:lang w:val="sr-Cyrl-BA"/>
              </w:rPr>
              <w:t>ш</w:t>
            </w:r>
            <w:r w:rsidR="00A56E08">
              <w:rPr>
                <w:rFonts w:ascii="Arial" w:eastAsiaTheme="minorHAnsi" w:hAnsi="Arial" w:cs="Arial"/>
                <w:color w:val="000000" w:themeColor="text1"/>
                <w:lang w:val="sr-Cyrl-BA"/>
              </w:rPr>
              <w:t>коли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како</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би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али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али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lastRenderedPageBreak/>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циљ</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ом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ми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диги</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алн</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ком</w:t>
            </w:r>
            <w:r>
              <w:rPr>
                <w:rFonts w:ascii="Arial" w:eastAsiaTheme="minorHAnsi" w:hAnsi="Arial" w:cs="Arial"/>
                <w:color w:val="000000" w:themeColor="text1"/>
                <w:lang w:val="sr-Cyrl-BA"/>
              </w:rPr>
              <w:t>п</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нциј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акођ</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ж</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а</w:t>
            </w:r>
            <w:r w:rsidR="004C2124"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бно</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ацији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гдј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ци</w:t>
            </w:r>
            <w:r w:rsidR="00892898" w:rsidRPr="00F6340E">
              <w:rPr>
                <w:rFonts w:ascii="Arial" w:eastAsiaTheme="minorHAnsi" w:hAnsi="Arial" w:cs="Arial"/>
                <w:color w:val="000000" w:themeColor="text1"/>
                <w:lang w:val="sr-Cyrl-BA"/>
              </w:rPr>
              <w:t>/</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ницима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бна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дода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од</w:t>
            </w:r>
            <w:r>
              <w:rPr>
                <w:rFonts w:ascii="Arial" w:eastAsiaTheme="minorHAnsi" w:hAnsi="Arial" w:cs="Arial"/>
                <w:color w:val="000000" w:themeColor="text1"/>
                <w:lang w:val="sr-Cyrl-BA"/>
              </w:rPr>
              <w:t>рш</w:t>
            </w:r>
            <w:r w:rsidR="00A56E08">
              <w:rPr>
                <w:rFonts w:ascii="Arial" w:eastAsiaTheme="minorHAnsi" w:hAnsi="Arial" w:cs="Arial"/>
                <w:color w:val="000000" w:themeColor="text1"/>
                <w:lang w:val="sr-Cyrl-BA"/>
              </w:rPr>
              <w:t>ка</w:t>
            </w:r>
            <w:r w:rsidR="004C2124"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њ</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као</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шт</w:t>
            </w:r>
            <w:r w:rsidR="00A56E08">
              <w:rPr>
                <w:rFonts w:ascii="Arial" w:eastAsiaTheme="minorHAnsi" w:hAnsi="Arial" w:cs="Arial"/>
                <w:color w:val="000000" w:themeColor="text1"/>
                <w:lang w:val="sr-Cyrl-BA"/>
              </w:rPr>
              <w:t>о</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чај</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цом</w:t>
            </w:r>
            <w:r w:rsidR="00B04FA8">
              <w:rPr>
                <w:rFonts w:ascii="Arial" w:eastAsiaTheme="minorHAnsi" w:hAnsi="Arial" w:cs="Arial"/>
                <w:color w:val="000000" w:themeColor="text1"/>
                <w:lang w:val="sr-Cyrl-BA"/>
              </w:rPr>
              <w:t xml:space="preserve"> са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ш</w:t>
            </w:r>
            <w:r w:rsidR="00A56E08">
              <w:rPr>
                <w:rFonts w:ascii="Arial" w:eastAsiaTheme="minorHAnsi" w:hAnsi="Arial" w:cs="Arial"/>
                <w:color w:val="000000" w:themeColor="text1"/>
                <w:lang w:val="sr-Cyrl-BA"/>
              </w:rPr>
              <w:t>коћама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ој</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Мог</w:t>
            </w:r>
            <w:r>
              <w:rPr>
                <w:rFonts w:ascii="Arial" w:eastAsiaTheme="minorHAnsi" w:hAnsi="Arial" w:cs="Arial"/>
                <w:color w:val="000000" w:themeColor="text1"/>
                <w:lang w:val="sr-Cyrl-BA"/>
              </w:rPr>
              <w:t>у</w:t>
            </w:r>
            <w:r w:rsidR="00A56E08">
              <w:rPr>
                <w:rFonts w:ascii="Arial" w:eastAsiaTheme="minorHAnsi" w:hAnsi="Arial" w:cs="Arial"/>
                <w:color w:val="000000" w:themeColor="text1"/>
                <w:lang w:val="sr-Cyrl-BA"/>
              </w:rPr>
              <w:t>ћ</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гани</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т</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личи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облик</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инфо</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ми</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ања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обља</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ања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ља</w:t>
            </w:r>
            <w:r w:rsidR="00892898" w:rsidRPr="00F6340E">
              <w:rPr>
                <w:rFonts w:ascii="Arial" w:eastAsiaTheme="minorHAnsi" w:hAnsi="Arial" w:cs="Arial"/>
                <w:color w:val="000000" w:themeColor="text1"/>
                <w:lang w:val="sr-Cyrl-BA"/>
              </w:rPr>
              <w:t xml:space="preserve"> </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пр</w:t>
            </w:r>
            <w:r w:rsidR="00A56E08">
              <w:rPr>
                <w:rFonts w:ascii="Arial" w:eastAsiaTheme="minorHAnsi" w:hAnsi="Arial" w:cs="Arial"/>
                <w:color w:val="000000" w:themeColor="text1"/>
                <w:lang w:val="sr-Cyrl-BA"/>
              </w:rPr>
              <w:t>имј</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ИК</w:t>
            </w:r>
            <w:r>
              <w:rPr>
                <w:rFonts w:ascii="Arial" w:eastAsiaTheme="minorHAnsi" w:hAnsi="Arial" w:cs="Arial"/>
                <w:color w:val="000000" w:themeColor="text1"/>
                <w:lang w:val="sr-Cyrl-BA"/>
              </w:rPr>
              <w:t>Т</w:t>
            </w:r>
            <w:r w:rsidR="00A4214D" w:rsidRPr="00F6340E">
              <w:rPr>
                <w:rFonts w:ascii="Arial" w:eastAsiaTheme="minorHAnsi" w:hAnsi="Arial" w:cs="Arial"/>
                <w:color w:val="000000" w:themeColor="text1"/>
                <w:lang w:val="sr-Cyrl-BA"/>
              </w:rPr>
              <w:t>-</w:t>
            </w:r>
            <w:r w:rsidR="00A56E08">
              <w:rPr>
                <w:rFonts w:ascii="Arial" w:eastAsiaTheme="minorHAnsi" w:hAnsi="Arial" w:cs="Arial"/>
                <w:color w:val="000000" w:themeColor="text1"/>
                <w:lang w:val="sr-Cyrl-BA"/>
              </w:rPr>
              <w:t>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ни</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об</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w:t>
            </w:r>
            <w:r w:rsidR="00171F00">
              <w:rPr>
                <w:rFonts w:ascii="Arial" w:eastAsiaTheme="minorHAnsi" w:hAnsi="Arial" w:cs="Arial"/>
                <w:color w:val="000000" w:themeColor="text1"/>
                <w:lang w:val="sr-Cyrl-BA"/>
              </w:rPr>
              <w:t>з</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в</w:t>
            </w:r>
            <w:r w:rsidR="00A56E08">
              <w:rPr>
                <w:rFonts w:ascii="Arial" w:eastAsiaTheme="minorHAnsi" w:hAnsi="Arial" w:cs="Arial"/>
                <w:color w:val="000000" w:themeColor="text1"/>
                <w:lang w:val="sr-Cyrl-BA"/>
              </w:rPr>
              <w:t>н</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ин</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и</w:t>
            </w:r>
            <w:r>
              <w:rPr>
                <w:rFonts w:ascii="Arial" w:eastAsiaTheme="minorHAnsi" w:hAnsi="Arial" w:cs="Arial"/>
                <w:color w:val="000000" w:themeColor="text1"/>
                <w:lang w:val="sr-Cyrl-BA"/>
              </w:rPr>
              <w:t>ту</w:t>
            </w:r>
            <w:r w:rsidR="00A56E08">
              <w:rPr>
                <w:rFonts w:ascii="Arial" w:eastAsiaTheme="minorHAnsi" w:hAnsi="Arial" w:cs="Arial"/>
                <w:color w:val="000000" w:themeColor="text1"/>
                <w:lang w:val="sr-Cyrl-BA"/>
              </w:rPr>
              <w:t>циј</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диф</w:t>
            </w:r>
            <w:r w:rsidR="00EE6AA2">
              <w:rPr>
                <w:rFonts w:ascii="Arial" w:eastAsiaTheme="minorHAnsi" w:hAnsi="Arial" w:cs="Arial"/>
                <w:color w:val="000000" w:themeColor="text1"/>
                <w:lang w:val="sr-Cyrl-BA"/>
              </w:rPr>
              <w:t>е</w:t>
            </w:r>
            <w:r>
              <w:rPr>
                <w:rFonts w:ascii="Arial" w:eastAsiaTheme="minorHAnsi" w:hAnsi="Arial" w:cs="Arial"/>
                <w:color w:val="000000" w:themeColor="text1"/>
                <w:lang w:val="sr-Cyrl-BA"/>
              </w:rPr>
              <w:t>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нци</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ано</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одно</w:t>
            </w:r>
            <w:r>
              <w:rPr>
                <w:rFonts w:ascii="Arial" w:eastAsiaTheme="minorHAnsi" w:hAnsi="Arial" w:cs="Arial"/>
                <w:color w:val="000000" w:themeColor="text1"/>
                <w:lang w:val="sr-Cyrl-BA"/>
              </w:rPr>
              <w:t>су</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п</w:t>
            </w:r>
            <w:r w:rsidR="00A56E08">
              <w:rPr>
                <w:rFonts w:ascii="Arial" w:eastAsiaTheme="minorHAnsi" w:hAnsi="Arial" w:cs="Arial"/>
                <w:color w:val="000000" w:themeColor="text1"/>
                <w:lang w:val="sr-Cyrl-BA"/>
              </w:rPr>
              <w:t>о</w:t>
            </w:r>
            <w:r>
              <w:rPr>
                <w:rFonts w:ascii="Arial" w:eastAsiaTheme="minorHAnsi" w:hAnsi="Arial" w:cs="Arial"/>
                <w:color w:val="000000" w:themeColor="text1"/>
                <w:lang w:val="sr-Cyrl-BA"/>
              </w:rPr>
              <w:t>тр</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б</w:t>
            </w:r>
            <w:r w:rsidR="00EE6AA2">
              <w:rPr>
                <w:rFonts w:ascii="Arial" w:eastAsiaTheme="minorHAnsi" w:hAnsi="Arial" w:cs="Arial"/>
                <w:color w:val="000000" w:themeColor="text1"/>
                <w:lang w:val="sr-Cyrl-BA"/>
              </w:rPr>
              <w:t>е</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на</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р</w:t>
            </w:r>
            <w:r w:rsidR="00A56E08">
              <w:rPr>
                <w:rFonts w:ascii="Arial" w:eastAsiaTheme="minorHAnsi" w:hAnsi="Arial" w:cs="Arial"/>
                <w:color w:val="000000" w:themeColor="text1"/>
                <w:lang w:val="sr-Cyrl-BA"/>
              </w:rPr>
              <w:t>оди</w:t>
            </w:r>
            <w:r>
              <w:rPr>
                <w:rFonts w:ascii="Arial" w:eastAsiaTheme="minorHAnsi" w:hAnsi="Arial" w:cs="Arial"/>
                <w:color w:val="000000" w:themeColor="text1"/>
                <w:lang w:val="sr-Cyrl-BA"/>
              </w:rPr>
              <w:t>т</w:t>
            </w:r>
            <w:r w:rsidR="00EE6AA2">
              <w:rPr>
                <w:rFonts w:ascii="Arial" w:eastAsiaTheme="minorHAnsi" w:hAnsi="Arial" w:cs="Arial"/>
                <w:color w:val="000000" w:themeColor="text1"/>
                <w:lang w:val="sr-Cyrl-BA"/>
              </w:rPr>
              <w:t>е</w:t>
            </w:r>
            <w:r w:rsidR="00A56E08">
              <w:rPr>
                <w:rFonts w:ascii="Arial" w:eastAsiaTheme="minorHAnsi" w:hAnsi="Arial" w:cs="Arial"/>
                <w:color w:val="000000" w:themeColor="text1"/>
                <w:lang w:val="sr-Cyrl-BA"/>
              </w:rPr>
              <w:t>љ</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ким</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а</w:t>
            </w:r>
            <w:r>
              <w:rPr>
                <w:rFonts w:ascii="Arial" w:eastAsiaTheme="minorHAnsi" w:hAnsi="Arial" w:cs="Arial"/>
                <w:color w:val="000000" w:themeColor="text1"/>
                <w:lang w:val="sr-Cyrl-BA"/>
              </w:rPr>
              <w:t>ст</w:t>
            </w:r>
            <w:r w:rsidR="00A56E08">
              <w:rPr>
                <w:rFonts w:ascii="Arial" w:eastAsiaTheme="minorHAnsi" w:hAnsi="Arial" w:cs="Arial"/>
                <w:color w:val="000000" w:themeColor="text1"/>
                <w:lang w:val="sr-Cyrl-BA"/>
              </w:rPr>
              <w:t>анцима</w:t>
            </w:r>
            <w:r w:rsidR="00892898" w:rsidRPr="00F6340E">
              <w:rPr>
                <w:rFonts w:ascii="Arial" w:eastAsiaTheme="minorHAnsi" w:hAnsi="Arial" w:cs="Arial"/>
                <w:color w:val="000000" w:themeColor="text1"/>
                <w:lang w:val="sr-Cyrl-BA"/>
              </w:rPr>
              <w:t xml:space="preserve"> </w:t>
            </w:r>
            <w:r w:rsidR="00A56E08">
              <w:rPr>
                <w:rFonts w:ascii="Arial" w:eastAsiaTheme="minorHAnsi" w:hAnsi="Arial" w:cs="Arial"/>
                <w:color w:val="000000" w:themeColor="text1"/>
                <w:lang w:val="sr-Cyrl-BA"/>
              </w:rPr>
              <w:t>и</w:t>
            </w:r>
            <w:r w:rsidR="00892898" w:rsidRPr="00F6340E">
              <w:rPr>
                <w:rFonts w:ascii="Arial" w:eastAsiaTheme="minorHAnsi" w:hAnsi="Arial" w:cs="Arial"/>
                <w:color w:val="000000" w:themeColor="text1"/>
                <w:lang w:val="sr-Cyrl-BA"/>
              </w:rPr>
              <w:t xml:space="preserve"> </w:t>
            </w:r>
            <w:r>
              <w:rPr>
                <w:rFonts w:ascii="Arial" w:eastAsiaTheme="minorHAnsi" w:hAnsi="Arial" w:cs="Arial"/>
                <w:color w:val="000000" w:themeColor="text1"/>
                <w:lang w:val="sr-Cyrl-BA"/>
              </w:rPr>
              <w:t>с</w:t>
            </w:r>
            <w:r w:rsidR="00A56E08">
              <w:rPr>
                <w:rFonts w:ascii="Arial" w:eastAsiaTheme="minorHAnsi" w:hAnsi="Arial" w:cs="Arial"/>
                <w:color w:val="000000" w:themeColor="text1"/>
                <w:lang w:val="sr-Cyrl-BA"/>
              </w:rPr>
              <w:t>л</w:t>
            </w:r>
            <w:r w:rsidR="00892898" w:rsidRPr="00F6340E">
              <w:rPr>
                <w:rFonts w:ascii="Arial" w:eastAsiaTheme="minorHAnsi" w:hAnsi="Arial" w:cs="Arial"/>
                <w:color w:val="000000" w:themeColor="text1"/>
                <w:lang w:val="sr-Cyrl-BA"/>
              </w:rPr>
              <w:t>.).</w:t>
            </w:r>
          </w:p>
          <w:p w14:paraId="436B9B28" w14:textId="64A09030" w:rsidR="00892898" w:rsidRPr="00F6340E" w:rsidRDefault="00A56E08" w:rsidP="00FB5CB7">
            <w:pPr>
              <w:numPr>
                <w:ilvl w:val="0"/>
                <w:numId w:val="41"/>
              </w:numPr>
              <w:contextualSpacing/>
              <w:jc w:val="left"/>
              <w:textAlignment w:val="baseline"/>
              <w:rPr>
                <w:rFonts w:ascii="Arial" w:eastAsiaTheme="minorHAnsi" w:hAnsi="Arial" w:cs="Arial"/>
                <w:b/>
                <w:color w:val="000000" w:themeColor="text1"/>
                <w:lang w:val="sr-Cyrl-BA"/>
              </w:rPr>
            </w:pP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на</w:t>
            </w:r>
            <w:r w:rsidR="00171F00">
              <w:rPr>
                <w:rFonts w:ascii="Arial" w:eastAsiaTheme="minorHAnsi" w:hAnsi="Arial" w:cs="Arial"/>
                <w:b/>
                <w:color w:val="000000" w:themeColor="text1"/>
                <w:lang w:val="sr-Cyrl-BA"/>
              </w:rPr>
              <w:t>ж</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адњ</w:t>
            </w:r>
            <w:r w:rsidR="0071360A">
              <w:rPr>
                <w:rFonts w:ascii="Arial" w:eastAsiaTheme="minorHAnsi" w:hAnsi="Arial" w:cs="Arial"/>
                <w:b/>
                <w:color w:val="000000" w:themeColor="text1"/>
                <w:lang w:val="sr-Cyrl-BA"/>
              </w:rPr>
              <w:t>у</w:t>
            </w:r>
            <w:r w:rsidR="00B04FA8">
              <w:rPr>
                <w:rFonts w:ascii="Arial" w:eastAsiaTheme="minorHAnsi" w:hAnsi="Arial" w:cs="Arial"/>
                <w:b/>
                <w:color w:val="000000" w:themeColor="text1"/>
                <w:lang w:val="sr-Cyrl-BA"/>
              </w:rPr>
              <w:t xml:space="preserve"> са </w:t>
            </w:r>
            <w:r w:rsidR="0071360A">
              <w:rPr>
                <w:rFonts w:ascii="Arial" w:eastAsiaTheme="minorHAnsi" w:hAnsi="Arial" w:cs="Arial"/>
                <w:b/>
                <w:color w:val="000000" w:themeColor="text1"/>
                <w:lang w:val="sr-Cyrl-BA"/>
              </w:rPr>
              <w:t>п</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даго</w:t>
            </w:r>
            <w:r w:rsidR="0071360A">
              <w:rPr>
                <w:rFonts w:ascii="Arial" w:eastAsiaTheme="minorHAnsi" w:hAnsi="Arial" w:cs="Arial"/>
                <w:b/>
                <w:color w:val="000000" w:themeColor="text1"/>
                <w:lang w:val="sr-Cyrl-BA"/>
              </w:rPr>
              <w:t>ш</w:t>
            </w:r>
            <w:r>
              <w:rPr>
                <w:rFonts w:ascii="Arial" w:eastAsiaTheme="minorHAnsi" w:hAnsi="Arial" w:cs="Arial"/>
                <w:b/>
                <w:color w:val="000000" w:themeColor="text1"/>
                <w:lang w:val="sr-Cyrl-BA"/>
              </w:rPr>
              <w:t>ким</w:t>
            </w:r>
            <w:r w:rsidR="00892898" w:rsidRPr="00F6340E">
              <w:rPr>
                <w:rFonts w:ascii="Arial" w:eastAsiaTheme="minorHAnsi" w:hAnsi="Arial" w:cs="Arial"/>
                <w:b/>
                <w:color w:val="000000" w:themeColor="text1"/>
                <w:lang w:val="sr-Cyrl-BA"/>
              </w:rPr>
              <w:t xml:space="preserve"> </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одима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д</w:t>
            </w:r>
            <w:r w:rsidR="0071360A">
              <w:rPr>
                <w:rFonts w:ascii="Arial" w:eastAsiaTheme="minorHAnsi" w:hAnsi="Arial" w:cs="Arial"/>
                <w:b/>
                <w:color w:val="000000" w:themeColor="text1"/>
                <w:lang w:val="sr-Cyrl-BA"/>
              </w:rPr>
              <w:t>ру</w:t>
            </w:r>
            <w:r>
              <w:rPr>
                <w:rFonts w:ascii="Arial" w:eastAsiaTheme="minorHAnsi" w:hAnsi="Arial" w:cs="Arial"/>
                <w:b/>
                <w:color w:val="000000" w:themeColor="text1"/>
                <w:lang w:val="sr-Cyrl-BA"/>
              </w:rPr>
              <w:t>гим</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л</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ан</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ним</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ин</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ту</w:t>
            </w:r>
            <w:r>
              <w:rPr>
                <w:rFonts w:ascii="Arial" w:eastAsiaTheme="minorHAnsi" w:hAnsi="Arial" w:cs="Arial"/>
                <w:b/>
                <w:color w:val="000000" w:themeColor="text1"/>
                <w:lang w:val="sr-Cyrl-BA"/>
              </w:rPr>
              <w:t>цијама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како</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би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с</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с</w:t>
            </w:r>
            <w:r>
              <w:rPr>
                <w:rFonts w:ascii="Arial" w:eastAsiaTheme="minorHAnsi" w:hAnsi="Arial" w:cs="Arial"/>
                <w:b/>
                <w:color w:val="000000" w:themeColor="text1"/>
                <w:lang w:val="sr-Cyrl-BA"/>
              </w:rPr>
              <w:t>иг</w:t>
            </w:r>
            <w:r w:rsidR="0071360A">
              <w:rPr>
                <w:rFonts w:ascii="Arial" w:eastAsiaTheme="minorHAnsi" w:hAnsi="Arial" w:cs="Arial"/>
                <w:b/>
                <w:color w:val="000000" w:themeColor="text1"/>
                <w:lang w:val="sr-Cyrl-BA"/>
              </w:rPr>
              <w:t>ур</w:t>
            </w:r>
            <w:r>
              <w:rPr>
                <w:rFonts w:ascii="Arial" w:eastAsiaTheme="minorHAnsi" w:hAnsi="Arial" w:cs="Arial"/>
                <w:b/>
                <w:color w:val="000000" w:themeColor="text1"/>
                <w:lang w:val="sr-Cyrl-BA"/>
              </w:rPr>
              <w:t>ала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ад</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к</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на</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w:t>
            </w:r>
            <w:r>
              <w:rPr>
                <w:rFonts w:ascii="Arial" w:eastAsiaTheme="minorHAnsi" w:hAnsi="Arial" w:cs="Arial"/>
                <w:b/>
                <w:color w:val="000000" w:themeColor="text1"/>
                <w:lang w:val="sr-Cyrl-BA"/>
              </w:rPr>
              <w:t>од</w:t>
            </w:r>
            <w:r w:rsidR="0071360A">
              <w:rPr>
                <w:rFonts w:ascii="Arial" w:eastAsiaTheme="minorHAnsi" w:hAnsi="Arial" w:cs="Arial"/>
                <w:b/>
                <w:color w:val="000000" w:themeColor="text1"/>
                <w:lang w:val="sr-Cyrl-BA"/>
              </w:rPr>
              <w:t>рш</w:t>
            </w:r>
            <w:r>
              <w:rPr>
                <w:rFonts w:ascii="Arial" w:eastAsiaTheme="minorHAnsi" w:hAnsi="Arial" w:cs="Arial"/>
                <w:b/>
                <w:color w:val="000000" w:themeColor="text1"/>
                <w:lang w:val="sr-Cyrl-BA"/>
              </w:rPr>
              <w:t>ка</w:t>
            </w:r>
            <w:r w:rsidR="00DC5EB0"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w:t>
            </w:r>
            <w:r>
              <w:rPr>
                <w:rFonts w:ascii="Arial" w:eastAsiaTheme="minorHAnsi" w:hAnsi="Arial" w:cs="Arial"/>
                <w:b/>
                <w:color w:val="000000" w:themeColor="text1"/>
                <w:lang w:val="sr-Cyrl-BA"/>
              </w:rPr>
              <w:t>лани</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ањ</w:t>
            </w:r>
            <w:r w:rsidR="0071360A">
              <w:rPr>
                <w:rFonts w:ascii="Arial" w:eastAsiaTheme="minorHAnsi" w:hAnsi="Arial" w:cs="Arial"/>
                <w:b/>
                <w:color w:val="000000" w:themeColor="text1"/>
                <w:lang w:val="sr-Cyrl-BA"/>
              </w:rPr>
              <w:t>у</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пр</w:t>
            </w:r>
            <w:r>
              <w:rPr>
                <w:rFonts w:ascii="Arial" w:eastAsiaTheme="minorHAnsi" w:hAnsi="Arial" w:cs="Arial"/>
                <w:b/>
                <w:color w:val="000000" w:themeColor="text1"/>
                <w:lang w:val="sr-Cyrl-BA"/>
              </w:rPr>
              <w:t>и</w:t>
            </w:r>
            <w:r w:rsidR="0071360A">
              <w:rPr>
                <w:rFonts w:ascii="Arial" w:eastAsiaTheme="minorHAnsi" w:hAnsi="Arial" w:cs="Arial"/>
                <w:b/>
                <w:color w:val="000000" w:themeColor="text1"/>
                <w:lang w:val="sr-Cyrl-BA"/>
              </w:rPr>
              <w:t>пр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ми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о</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гани</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ацији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р</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али</w:t>
            </w:r>
            <w:r w:rsidR="00171F00">
              <w:rPr>
                <w:rFonts w:ascii="Arial" w:eastAsiaTheme="minorHAnsi" w:hAnsi="Arial" w:cs="Arial"/>
                <w:b/>
                <w:color w:val="000000" w:themeColor="text1"/>
                <w:lang w:val="sr-Cyrl-BA"/>
              </w:rPr>
              <w:t>з</w:t>
            </w:r>
            <w:r>
              <w:rPr>
                <w:rFonts w:ascii="Arial" w:eastAsiaTheme="minorHAnsi" w:hAnsi="Arial" w:cs="Arial"/>
                <w:b/>
                <w:color w:val="000000" w:themeColor="text1"/>
                <w:lang w:val="sr-Cyrl-BA"/>
              </w:rPr>
              <w:t>ацији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8424F0" w:rsidRPr="00F6340E">
              <w:rPr>
                <w:rFonts w:ascii="Arial" w:eastAsiaTheme="minorHAnsi" w:hAnsi="Arial" w:cs="Arial"/>
                <w:b/>
                <w:color w:val="000000" w:themeColor="text1"/>
                <w:lang w:val="sr-Cyrl-BA"/>
              </w:rPr>
              <w:t xml:space="preserve"> </w:t>
            </w:r>
            <w:r w:rsidR="0071360A">
              <w:rPr>
                <w:rFonts w:ascii="Arial" w:eastAsiaTheme="minorHAnsi" w:hAnsi="Arial" w:cs="Arial"/>
                <w:b/>
                <w:color w:val="000000" w:themeColor="text1"/>
                <w:lang w:val="sr-Cyrl-BA"/>
              </w:rPr>
              <w:t>пут</w:t>
            </w:r>
            <w:r w:rsidR="00EE6AA2">
              <w:rPr>
                <w:rFonts w:ascii="Arial" w:eastAsiaTheme="minorHAnsi" w:hAnsi="Arial" w:cs="Arial"/>
                <w:b/>
                <w:color w:val="000000" w:themeColor="text1"/>
                <w:lang w:val="sr-Cyrl-BA"/>
              </w:rPr>
              <w:t>е</w:t>
            </w:r>
            <w:r>
              <w:rPr>
                <w:rFonts w:ascii="Arial" w:eastAsiaTheme="minorHAnsi" w:hAnsi="Arial" w:cs="Arial"/>
                <w:b/>
                <w:color w:val="000000" w:themeColor="text1"/>
                <w:lang w:val="sr-Cyrl-BA"/>
              </w:rPr>
              <w:t>м</w:t>
            </w:r>
            <w:r w:rsidR="008424F0"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ин</w:t>
            </w:r>
            <w:r w:rsidR="0071360A">
              <w:rPr>
                <w:rFonts w:ascii="Arial" w:eastAsiaTheme="minorHAnsi" w:hAnsi="Arial" w:cs="Arial"/>
                <w:b/>
                <w:color w:val="000000" w:themeColor="text1"/>
                <w:lang w:val="sr-Cyrl-BA"/>
              </w:rPr>
              <w:t>т</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р</w:t>
            </w:r>
            <w:r>
              <w:rPr>
                <w:rFonts w:ascii="Arial" w:eastAsiaTheme="minorHAnsi" w:hAnsi="Arial" w:cs="Arial"/>
                <w:b/>
                <w:color w:val="000000" w:themeColor="text1"/>
                <w:lang w:val="sr-Cyrl-BA"/>
              </w:rPr>
              <w:t>н</w:t>
            </w:r>
            <w:r w:rsidR="00EE6AA2">
              <w:rPr>
                <w:rFonts w:ascii="Arial" w:eastAsiaTheme="minorHAnsi" w:hAnsi="Arial" w:cs="Arial"/>
                <w:b/>
                <w:color w:val="000000" w:themeColor="text1"/>
                <w:lang w:val="sr-Cyrl-BA"/>
              </w:rPr>
              <w:t>е</w:t>
            </w:r>
            <w:r w:rsidR="0071360A">
              <w:rPr>
                <w:rFonts w:ascii="Arial" w:eastAsiaTheme="minorHAnsi" w:hAnsi="Arial" w:cs="Arial"/>
                <w:b/>
                <w:color w:val="000000" w:themeColor="text1"/>
                <w:lang w:val="sr-Cyrl-BA"/>
              </w:rPr>
              <w:t>т</w:t>
            </w:r>
            <w:r>
              <w:rPr>
                <w:rFonts w:ascii="Arial" w:eastAsiaTheme="minorHAnsi" w:hAnsi="Arial" w:cs="Arial"/>
                <w:b/>
                <w:color w:val="000000" w:themeColor="text1"/>
                <w:lang w:val="sr-Cyrl-BA"/>
              </w:rPr>
              <w:t>а</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и</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комбино</w:t>
            </w:r>
            <w:r w:rsidR="0071360A">
              <w:rPr>
                <w:rFonts w:ascii="Arial" w:eastAsiaTheme="minorHAnsi" w:hAnsi="Arial" w:cs="Arial"/>
                <w:b/>
                <w:color w:val="000000" w:themeColor="text1"/>
                <w:lang w:val="sr-Cyrl-BA"/>
              </w:rPr>
              <w:t>в</w:t>
            </w:r>
            <w:r>
              <w:rPr>
                <w:rFonts w:ascii="Arial" w:eastAsiaTheme="minorHAnsi" w:hAnsi="Arial" w:cs="Arial"/>
                <w:b/>
                <w:color w:val="000000" w:themeColor="text1"/>
                <w:lang w:val="sr-Cyrl-BA"/>
              </w:rPr>
              <w:t>ан</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r>
              <w:rPr>
                <w:rFonts w:ascii="Arial" w:eastAsiaTheme="minorHAnsi" w:hAnsi="Arial" w:cs="Arial"/>
                <w:b/>
                <w:color w:val="000000" w:themeColor="text1"/>
                <w:lang w:val="sr-Cyrl-BA"/>
              </w:rPr>
              <w:t>на</w:t>
            </w:r>
            <w:r w:rsidR="0071360A">
              <w:rPr>
                <w:rFonts w:ascii="Arial" w:eastAsiaTheme="minorHAnsi" w:hAnsi="Arial" w:cs="Arial"/>
                <w:b/>
                <w:color w:val="000000" w:themeColor="text1"/>
                <w:lang w:val="sr-Cyrl-BA"/>
              </w:rPr>
              <w:t>ст</w:t>
            </w:r>
            <w:r>
              <w:rPr>
                <w:rFonts w:ascii="Arial" w:eastAsiaTheme="minorHAnsi" w:hAnsi="Arial" w:cs="Arial"/>
                <w:b/>
                <w:color w:val="000000" w:themeColor="text1"/>
                <w:lang w:val="sr-Cyrl-BA"/>
              </w:rPr>
              <w:t>а</w:t>
            </w:r>
            <w:r w:rsidR="0071360A">
              <w:rPr>
                <w:rFonts w:ascii="Arial" w:eastAsiaTheme="minorHAnsi" w:hAnsi="Arial" w:cs="Arial"/>
                <w:b/>
                <w:color w:val="000000" w:themeColor="text1"/>
                <w:lang w:val="sr-Cyrl-BA"/>
              </w:rPr>
              <w:t>в</w:t>
            </w:r>
            <w:r w:rsidR="00EE6AA2">
              <w:rPr>
                <w:rFonts w:ascii="Arial" w:eastAsiaTheme="minorHAnsi" w:hAnsi="Arial" w:cs="Arial"/>
                <w:b/>
                <w:color w:val="000000" w:themeColor="text1"/>
                <w:lang w:val="sr-Cyrl-BA"/>
              </w:rPr>
              <w:t>е</w:t>
            </w:r>
            <w:r w:rsidR="00892898" w:rsidRPr="00F6340E">
              <w:rPr>
                <w:rFonts w:ascii="Arial" w:eastAsiaTheme="minorHAnsi" w:hAnsi="Arial" w:cs="Arial"/>
                <w:b/>
                <w:color w:val="000000" w:themeColor="text1"/>
                <w:lang w:val="sr-Cyrl-BA"/>
              </w:rPr>
              <w:t xml:space="preserve"> </w:t>
            </w:r>
          </w:p>
          <w:p w14:paraId="122C1338" w14:textId="5FF7AE60" w:rsidR="00892898" w:rsidRPr="00F6340E" w:rsidRDefault="00A56E08" w:rsidP="00FB5CB7">
            <w:pPr>
              <w:pStyle w:val="ListParagraph"/>
              <w:numPr>
                <w:ilvl w:val="0"/>
                <w:numId w:val="41"/>
              </w:numPr>
              <w:jc w:val="left"/>
              <w:rPr>
                <w:rFonts w:ascii="Arial" w:eastAsia="Times New Roman" w:hAnsi="Arial" w:cs="Arial"/>
                <w:color w:val="000000"/>
                <w:lang w:val="sr-Cyrl-BA"/>
              </w:rPr>
            </w:pPr>
            <w:r>
              <w:rPr>
                <w:rFonts w:ascii="Arial" w:hAnsi="Arial" w:cs="Arial"/>
                <w:b/>
                <w:lang w:val="sr-Cyrl-BA"/>
              </w:rPr>
              <w:t>О</w:t>
            </w:r>
            <w:r w:rsidR="0071360A">
              <w:rPr>
                <w:rFonts w:ascii="Arial" w:hAnsi="Arial" w:cs="Arial"/>
                <w:b/>
                <w:lang w:val="sr-Cyrl-BA"/>
              </w:rPr>
              <w:t>с</w:t>
            </w:r>
            <w:r>
              <w:rPr>
                <w:rFonts w:ascii="Arial" w:hAnsi="Arial" w:cs="Arial"/>
                <w:b/>
                <w:lang w:val="sr-Cyrl-BA"/>
              </w:rPr>
              <w:t>на</w:t>
            </w:r>
            <w:r w:rsidR="00171F00">
              <w:rPr>
                <w:rFonts w:ascii="Arial" w:hAnsi="Arial" w:cs="Arial"/>
                <w:b/>
                <w:lang w:val="sr-Cyrl-BA"/>
              </w:rPr>
              <w:t>ж</w:t>
            </w:r>
            <w:r>
              <w:rPr>
                <w:rFonts w:ascii="Arial" w:hAnsi="Arial" w:cs="Arial"/>
                <w:b/>
                <w:lang w:val="sr-Cyrl-BA"/>
              </w:rPr>
              <w:t>и</w:t>
            </w:r>
            <w:r w:rsidR="0071360A">
              <w:rPr>
                <w:rFonts w:ascii="Arial" w:hAnsi="Arial" w:cs="Arial"/>
                <w:b/>
                <w:lang w:val="sr-Cyrl-BA"/>
              </w:rPr>
              <w:t>т</w:t>
            </w:r>
            <w:r>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м</w:t>
            </w:r>
            <w:r w:rsidR="0071360A">
              <w:rPr>
                <w:rFonts w:ascii="Arial" w:hAnsi="Arial" w:cs="Arial"/>
                <w:b/>
                <w:lang w:val="sr-Cyrl-BA"/>
              </w:rPr>
              <w:t>р</w:t>
            </w:r>
            <w:r w:rsidR="00EE6AA2">
              <w:rPr>
                <w:rFonts w:ascii="Arial" w:hAnsi="Arial" w:cs="Arial"/>
                <w:b/>
                <w:lang w:val="sr-Cyrl-BA"/>
              </w:rPr>
              <w:t>е</w:t>
            </w:r>
            <w:r w:rsidR="00171F00">
              <w:rPr>
                <w:rFonts w:ascii="Arial" w:hAnsi="Arial" w:cs="Arial"/>
                <w:b/>
                <w:lang w:val="sr-Cyrl-BA"/>
              </w:rPr>
              <w:t>ж</w:t>
            </w:r>
            <w:r w:rsidR="00EE6AA2">
              <w:rPr>
                <w:rFonts w:ascii="Arial" w:hAnsi="Arial" w:cs="Arial"/>
                <w:b/>
                <w:lang w:val="sr-Cyrl-BA"/>
              </w:rPr>
              <w:t>е</w:t>
            </w:r>
            <w:r w:rsidR="00892898" w:rsidRPr="00F6340E">
              <w:rPr>
                <w:rFonts w:ascii="Arial" w:hAnsi="Arial" w:cs="Arial"/>
                <w:b/>
                <w:lang w:val="sr-Cyrl-BA"/>
              </w:rPr>
              <w:t xml:space="preserve"> </w:t>
            </w:r>
            <w:r w:rsidR="0071360A">
              <w:rPr>
                <w:rFonts w:ascii="Arial" w:hAnsi="Arial" w:cs="Arial"/>
                <w:b/>
                <w:lang w:val="sr-Cyrl-BA"/>
              </w:rPr>
              <w:t>с</w:t>
            </w:r>
            <w:r>
              <w:rPr>
                <w:rFonts w:ascii="Arial" w:hAnsi="Arial" w:cs="Arial"/>
                <w:b/>
                <w:lang w:val="sr-Cyrl-BA"/>
              </w:rPr>
              <w:t>а</w:t>
            </w:r>
            <w:r w:rsidR="0071360A">
              <w:rPr>
                <w:rFonts w:ascii="Arial" w:hAnsi="Arial" w:cs="Arial"/>
                <w:b/>
                <w:lang w:val="sr-Cyrl-BA"/>
              </w:rPr>
              <w:t>р</w:t>
            </w:r>
            <w:r>
              <w:rPr>
                <w:rFonts w:ascii="Arial" w:hAnsi="Arial" w:cs="Arial"/>
                <w:b/>
                <w:lang w:val="sr-Cyrl-BA"/>
              </w:rPr>
              <w:t>адњ</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и</w:t>
            </w:r>
            <w:r w:rsidR="00892898" w:rsidRPr="00F6340E">
              <w:rPr>
                <w:rFonts w:ascii="Arial" w:hAnsi="Arial" w:cs="Arial"/>
                <w:b/>
                <w:lang w:val="sr-Cyrl-BA"/>
              </w:rPr>
              <w:t xml:space="preserve"> </w:t>
            </w:r>
            <w:r w:rsidR="0071360A">
              <w:rPr>
                <w:rFonts w:ascii="Arial" w:hAnsi="Arial" w:cs="Arial"/>
                <w:b/>
                <w:lang w:val="sr-Cyrl-BA"/>
              </w:rPr>
              <w:t>п</w:t>
            </w:r>
            <w:r>
              <w:rPr>
                <w:rFonts w:ascii="Arial" w:hAnsi="Arial" w:cs="Arial"/>
                <w:b/>
                <w:lang w:val="sr-Cyrl-BA"/>
              </w:rPr>
              <w:t>од</w:t>
            </w:r>
            <w:r w:rsidR="0071360A">
              <w:rPr>
                <w:rFonts w:ascii="Arial" w:hAnsi="Arial" w:cs="Arial"/>
                <w:b/>
                <w:lang w:val="sr-Cyrl-BA"/>
              </w:rPr>
              <w:t>рш</w:t>
            </w:r>
            <w:r>
              <w:rPr>
                <w:rFonts w:ascii="Arial" w:hAnsi="Arial" w:cs="Arial"/>
                <w:b/>
                <w:lang w:val="sr-Cyrl-BA"/>
              </w:rPr>
              <w:t>к</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м</w:t>
            </w:r>
            <w:r w:rsidR="00EE6AA2">
              <w:rPr>
                <w:rFonts w:ascii="Arial" w:hAnsi="Arial" w:cs="Arial"/>
                <w:b/>
                <w:lang w:val="sr-Cyrl-BA"/>
              </w:rPr>
              <w:t>е</w:t>
            </w:r>
            <w:r>
              <w:rPr>
                <w:rFonts w:ascii="Arial" w:hAnsi="Arial" w:cs="Arial"/>
                <w:b/>
                <w:lang w:val="sr-Cyrl-BA"/>
              </w:rPr>
              <w:t>ђ</w:t>
            </w:r>
            <w:r w:rsidR="0071360A">
              <w:rPr>
                <w:rFonts w:ascii="Arial" w:hAnsi="Arial" w:cs="Arial"/>
                <w:b/>
                <w:lang w:val="sr-Cyrl-BA"/>
              </w:rPr>
              <w:t>у</w:t>
            </w:r>
            <w:r w:rsidR="00741A05"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ним</w:t>
            </w:r>
            <w:r w:rsidR="00741A05" w:rsidRPr="00F6340E">
              <w:rPr>
                <w:rFonts w:ascii="Arial" w:hAnsi="Arial" w:cs="Arial"/>
                <w:b/>
                <w:lang w:val="sr-Cyrl-BA"/>
              </w:rPr>
              <w:t xml:space="preserve"> </w:t>
            </w:r>
            <w:r>
              <w:rPr>
                <w:rFonts w:ascii="Arial" w:hAnsi="Arial" w:cs="Arial"/>
                <w:b/>
                <w:lang w:val="sr-Cyrl-BA"/>
              </w:rPr>
              <w:t>ин</w:t>
            </w:r>
            <w:r w:rsidR="0071360A">
              <w:rPr>
                <w:rFonts w:ascii="Arial" w:hAnsi="Arial" w:cs="Arial"/>
                <w:b/>
                <w:lang w:val="sr-Cyrl-BA"/>
              </w:rPr>
              <w:t>ст</w:t>
            </w:r>
            <w:r>
              <w:rPr>
                <w:rFonts w:ascii="Arial" w:hAnsi="Arial" w:cs="Arial"/>
                <w:b/>
                <w:lang w:val="sr-Cyrl-BA"/>
              </w:rPr>
              <w:t>и</w:t>
            </w:r>
            <w:r w:rsidR="0071360A">
              <w:rPr>
                <w:rFonts w:ascii="Arial" w:hAnsi="Arial" w:cs="Arial"/>
                <w:b/>
                <w:lang w:val="sr-Cyrl-BA"/>
              </w:rPr>
              <w:t>ту</w:t>
            </w:r>
            <w:r>
              <w:rPr>
                <w:rFonts w:ascii="Arial" w:hAnsi="Arial" w:cs="Arial"/>
                <w:b/>
                <w:lang w:val="sr-Cyrl-BA"/>
              </w:rPr>
              <w:t>цијама</w:t>
            </w:r>
            <w:r w:rsidR="00892898" w:rsidRPr="00F6340E">
              <w:rPr>
                <w:rFonts w:ascii="Arial" w:hAnsi="Arial" w:cs="Arial"/>
                <w:b/>
                <w:lang w:val="sr-Cyrl-BA"/>
              </w:rPr>
              <w:t xml:space="preserve"> </w:t>
            </w:r>
            <w:r>
              <w:rPr>
                <w:rFonts w:ascii="Arial" w:hAnsi="Arial" w:cs="Arial"/>
                <w:b/>
                <w:lang w:val="sr-Cyrl-BA"/>
              </w:rPr>
              <w:t>на</w:t>
            </w:r>
            <w:r w:rsidR="00741A05" w:rsidRPr="00F6340E">
              <w:rPr>
                <w:rFonts w:ascii="Arial" w:hAnsi="Arial" w:cs="Arial"/>
                <w:b/>
                <w:lang w:val="sr-Cyrl-BA"/>
              </w:rPr>
              <w:t xml:space="preserve"> </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личи</w:t>
            </w:r>
            <w:r w:rsidR="0071360A">
              <w:rPr>
                <w:rFonts w:ascii="Arial" w:hAnsi="Arial" w:cs="Arial"/>
                <w:b/>
                <w:lang w:val="sr-Cyrl-BA"/>
              </w:rPr>
              <w:t>т</w:t>
            </w:r>
            <w:r>
              <w:rPr>
                <w:rFonts w:ascii="Arial" w:hAnsi="Arial" w:cs="Arial"/>
                <w:b/>
                <w:lang w:val="sr-Cyrl-BA"/>
              </w:rPr>
              <w:t>им</w:t>
            </w:r>
            <w:r w:rsidR="00892898" w:rsidRPr="00F6340E">
              <w:rPr>
                <w:rFonts w:ascii="Arial" w:hAnsi="Arial" w:cs="Arial"/>
                <w:b/>
                <w:lang w:val="sr-Cyrl-BA"/>
              </w:rPr>
              <w:t xml:space="preserve"> </w:t>
            </w:r>
            <w:r>
              <w:rPr>
                <w:rFonts w:ascii="Arial" w:hAnsi="Arial" w:cs="Arial"/>
                <w:b/>
                <w:lang w:val="sr-Cyrl-BA"/>
              </w:rPr>
              <w:t>ни</w:t>
            </w:r>
            <w:r w:rsidR="0071360A">
              <w:rPr>
                <w:rFonts w:ascii="Arial" w:hAnsi="Arial" w:cs="Arial"/>
                <w:b/>
                <w:lang w:val="sr-Cyrl-BA"/>
              </w:rPr>
              <w:t>в</w:t>
            </w:r>
            <w:r>
              <w:rPr>
                <w:rFonts w:ascii="Arial" w:hAnsi="Arial" w:cs="Arial"/>
                <w:b/>
                <w:lang w:val="sr-Cyrl-BA"/>
              </w:rPr>
              <w:t>оима</w:t>
            </w:r>
            <w:r w:rsidR="00892898"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ања</w:t>
            </w:r>
            <w:r w:rsidR="00892898" w:rsidRPr="00F6340E">
              <w:rPr>
                <w:rFonts w:ascii="Arial" w:hAnsi="Arial" w:cs="Arial"/>
                <w:b/>
                <w:lang w:val="sr-Cyrl-BA"/>
              </w:rPr>
              <w:t xml:space="preserve"> </w:t>
            </w:r>
            <w:r w:rsidR="0071360A">
              <w:rPr>
                <w:rFonts w:ascii="Arial" w:hAnsi="Arial" w:cs="Arial"/>
                <w:b/>
                <w:lang w:val="sr-Cyrl-BA"/>
              </w:rPr>
              <w:t>у</w:t>
            </w:r>
            <w:r w:rsidR="00892898" w:rsidRPr="00F6340E">
              <w:rPr>
                <w:rFonts w:ascii="Arial" w:hAnsi="Arial" w:cs="Arial"/>
                <w:b/>
                <w:lang w:val="sr-Cyrl-BA"/>
              </w:rPr>
              <w:t xml:space="preserve"> </w:t>
            </w:r>
            <w:r>
              <w:rPr>
                <w:rFonts w:ascii="Arial" w:hAnsi="Arial" w:cs="Arial"/>
                <w:b/>
                <w:lang w:val="sr-Cyrl-BA"/>
              </w:rPr>
              <w:t>ф</w:t>
            </w:r>
            <w:r w:rsidR="0071360A">
              <w:rPr>
                <w:rFonts w:ascii="Arial" w:hAnsi="Arial" w:cs="Arial"/>
                <w:b/>
                <w:lang w:val="sr-Cyrl-BA"/>
              </w:rPr>
              <w:t>у</w:t>
            </w:r>
            <w:r>
              <w:rPr>
                <w:rFonts w:ascii="Arial" w:hAnsi="Arial" w:cs="Arial"/>
                <w:b/>
                <w:lang w:val="sr-Cyrl-BA"/>
              </w:rPr>
              <w:t>нкцији</w:t>
            </w:r>
            <w:r w:rsidR="00892898" w:rsidRPr="00F6340E">
              <w:rPr>
                <w:rFonts w:ascii="Arial" w:hAnsi="Arial" w:cs="Arial"/>
                <w:b/>
                <w:lang w:val="sr-Cyrl-BA"/>
              </w:rPr>
              <w:t xml:space="preserve"> </w:t>
            </w:r>
            <w:r w:rsidR="0071360A">
              <w:rPr>
                <w:rFonts w:ascii="Arial" w:hAnsi="Arial" w:cs="Arial"/>
                <w:b/>
                <w:lang w:val="sr-Cyrl-BA"/>
              </w:rPr>
              <w:t>у</w:t>
            </w:r>
            <w:r>
              <w:rPr>
                <w:rFonts w:ascii="Arial" w:hAnsi="Arial" w:cs="Arial"/>
                <w:b/>
                <w:lang w:val="sr-Cyrl-BA"/>
              </w:rPr>
              <w:t>на</w:t>
            </w:r>
            <w:r w:rsidR="0071360A">
              <w:rPr>
                <w:rFonts w:ascii="Arial" w:hAnsi="Arial" w:cs="Arial"/>
                <w:b/>
                <w:lang w:val="sr-Cyrl-BA"/>
              </w:rPr>
              <w:t>пр</w:t>
            </w:r>
            <w:r>
              <w:rPr>
                <w:rFonts w:ascii="Arial" w:hAnsi="Arial" w:cs="Arial"/>
                <w:b/>
                <w:lang w:val="sr-Cyrl-BA"/>
              </w:rPr>
              <w:t>ј</w:t>
            </w:r>
            <w:r w:rsidR="00EE6AA2">
              <w:rPr>
                <w:rFonts w:ascii="Arial" w:hAnsi="Arial" w:cs="Arial"/>
                <w:b/>
                <w:lang w:val="sr-Cyrl-BA"/>
              </w:rPr>
              <w:t>е</w:t>
            </w:r>
            <w:r>
              <w:rPr>
                <w:rFonts w:ascii="Arial" w:hAnsi="Arial" w:cs="Arial"/>
                <w:b/>
                <w:lang w:val="sr-Cyrl-BA"/>
              </w:rPr>
              <w:t>ђ</w:t>
            </w:r>
            <w:r w:rsidR="00EE6AA2">
              <w:rPr>
                <w:rFonts w:ascii="Arial" w:hAnsi="Arial" w:cs="Arial"/>
                <w:b/>
                <w:lang w:val="sr-Cyrl-BA"/>
              </w:rPr>
              <w:t>е</w:t>
            </w:r>
            <w:r>
              <w:rPr>
                <w:rFonts w:ascii="Arial" w:hAnsi="Arial" w:cs="Arial"/>
                <w:b/>
                <w:lang w:val="sr-Cyrl-BA"/>
              </w:rPr>
              <w:t>ња</w:t>
            </w:r>
            <w:r w:rsidR="00892898" w:rsidRPr="00F6340E">
              <w:rPr>
                <w:rFonts w:ascii="Arial" w:hAnsi="Arial" w:cs="Arial"/>
                <w:b/>
                <w:lang w:val="sr-Cyrl-BA"/>
              </w:rPr>
              <w:t xml:space="preserve"> </w:t>
            </w:r>
            <w:r w:rsidR="0071360A">
              <w:rPr>
                <w:rFonts w:ascii="Arial" w:hAnsi="Arial" w:cs="Arial"/>
                <w:b/>
                <w:lang w:val="sr-Cyrl-BA"/>
              </w:rPr>
              <w:t>п</w:t>
            </w:r>
            <w:r w:rsidR="00EE6AA2">
              <w:rPr>
                <w:rFonts w:ascii="Arial" w:hAnsi="Arial" w:cs="Arial"/>
                <w:b/>
                <w:lang w:val="sr-Cyrl-BA"/>
              </w:rPr>
              <w:t>е</w:t>
            </w:r>
            <w:r>
              <w:rPr>
                <w:rFonts w:ascii="Arial" w:hAnsi="Arial" w:cs="Arial"/>
                <w:b/>
                <w:lang w:val="sr-Cyrl-BA"/>
              </w:rPr>
              <w:t>даго</w:t>
            </w:r>
            <w:r w:rsidR="0071360A">
              <w:rPr>
                <w:rFonts w:ascii="Arial" w:hAnsi="Arial" w:cs="Arial"/>
                <w:b/>
                <w:lang w:val="sr-Cyrl-BA"/>
              </w:rPr>
              <w:t>ш</w:t>
            </w:r>
            <w:r>
              <w:rPr>
                <w:rFonts w:ascii="Arial" w:hAnsi="Arial" w:cs="Arial"/>
                <w:b/>
                <w:lang w:val="sr-Cyrl-BA"/>
              </w:rPr>
              <w:t>ких</w:t>
            </w:r>
            <w:r w:rsidR="00892898" w:rsidRPr="00F6340E">
              <w:rPr>
                <w:rFonts w:ascii="Arial" w:hAnsi="Arial" w:cs="Arial"/>
                <w:b/>
                <w:lang w:val="sr-Cyrl-BA"/>
              </w:rPr>
              <w:t xml:space="preserve"> </w:t>
            </w:r>
            <w:r>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диги</w:t>
            </w:r>
            <w:r w:rsidR="0071360A">
              <w:rPr>
                <w:rFonts w:ascii="Arial" w:hAnsi="Arial" w:cs="Arial"/>
                <w:b/>
                <w:lang w:val="sr-Cyrl-BA"/>
              </w:rPr>
              <w:t>т</w:t>
            </w:r>
            <w:r>
              <w:rPr>
                <w:rFonts w:ascii="Arial" w:hAnsi="Arial" w:cs="Arial"/>
                <w:b/>
                <w:lang w:val="sr-Cyrl-BA"/>
              </w:rPr>
              <w:t>алних</w:t>
            </w:r>
            <w:r w:rsidR="00892898" w:rsidRPr="00F6340E">
              <w:rPr>
                <w:rFonts w:ascii="Arial" w:hAnsi="Arial" w:cs="Arial"/>
                <w:b/>
                <w:lang w:val="sr-Cyrl-BA"/>
              </w:rPr>
              <w:t xml:space="preserve"> </w:t>
            </w:r>
            <w:r>
              <w:rPr>
                <w:rFonts w:ascii="Arial" w:hAnsi="Arial" w:cs="Arial"/>
                <w:b/>
                <w:lang w:val="sr-Cyrl-BA"/>
              </w:rPr>
              <w:t>ком</w:t>
            </w:r>
            <w:r w:rsidR="0071360A">
              <w:rPr>
                <w:rFonts w:ascii="Arial" w:hAnsi="Arial" w:cs="Arial"/>
                <w:b/>
                <w:lang w:val="sr-Cyrl-BA"/>
              </w:rPr>
              <w:t>п</w:t>
            </w:r>
            <w:r w:rsidR="00EE6AA2">
              <w:rPr>
                <w:rFonts w:ascii="Arial" w:hAnsi="Arial" w:cs="Arial"/>
                <w:b/>
                <w:lang w:val="sr-Cyrl-BA"/>
              </w:rPr>
              <w:t>е</w:t>
            </w:r>
            <w:r w:rsidR="0071360A">
              <w:rPr>
                <w:rFonts w:ascii="Arial" w:hAnsi="Arial" w:cs="Arial"/>
                <w:b/>
                <w:lang w:val="sr-Cyrl-BA"/>
              </w:rPr>
              <w:t>т</w:t>
            </w:r>
            <w:r w:rsidR="00EE6AA2">
              <w:rPr>
                <w:rFonts w:ascii="Arial" w:hAnsi="Arial" w:cs="Arial"/>
                <w:b/>
                <w:lang w:val="sr-Cyrl-BA"/>
              </w:rPr>
              <w:t>е</w:t>
            </w:r>
            <w:r>
              <w:rPr>
                <w:rFonts w:ascii="Arial" w:hAnsi="Arial" w:cs="Arial"/>
                <w:b/>
                <w:lang w:val="sr-Cyrl-BA"/>
              </w:rPr>
              <w:t>нција</w:t>
            </w:r>
            <w:r w:rsidR="00892898" w:rsidRPr="00F6340E">
              <w:rPr>
                <w:rFonts w:ascii="Arial" w:hAnsi="Arial" w:cs="Arial"/>
                <w:b/>
                <w:lang w:val="sr-Cyrl-BA"/>
              </w:rPr>
              <w:t xml:space="preserve"> </w:t>
            </w:r>
            <w:r w:rsidR="00171F00">
              <w:rPr>
                <w:rFonts w:ascii="Arial" w:hAnsi="Arial" w:cs="Arial"/>
                <w:b/>
                <w:lang w:val="sr-Cyrl-BA"/>
              </w:rPr>
              <w:t>з</w:t>
            </w:r>
            <w:r>
              <w:rPr>
                <w:rFonts w:ascii="Arial" w:hAnsi="Arial" w:cs="Arial"/>
                <w:b/>
                <w:lang w:val="sr-Cyrl-BA"/>
              </w:rPr>
              <w:t>а</w:t>
            </w:r>
            <w:r w:rsidR="00892898" w:rsidRPr="00F6340E">
              <w:rPr>
                <w:rFonts w:ascii="Arial" w:hAnsi="Arial" w:cs="Arial"/>
                <w:b/>
                <w:lang w:val="sr-Cyrl-BA"/>
              </w:rPr>
              <w:t xml:space="preserve"> </w:t>
            </w:r>
            <w:r>
              <w:rPr>
                <w:rFonts w:ascii="Arial" w:hAnsi="Arial" w:cs="Arial"/>
                <w:b/>
                <w:lang w:val="sr-Cyrl-BA"/>
              </w:rPr>
              <w:t>к</w:t>
            </w:r>
            <w:r w:rsidR="0071360A">
              <w:rPr>
                <w:rFonts w:ascii="Arial" w:hAnsi="Arial" w:cs="Arial"/>
                <w:b/>
                <w:lang w:val="sr-Cyrl-BA"/>
              </w:rPr>
              <w:t>в</w:t>
            </w:r>
            <w:r>
              <w:rPr>
                <w:rFonts w:ascii="Arial" w:hAnsi="Arial" w:cs="Arial"/>
                <w:b/>
                <w:lang w:val="sr-Cyrl-BA"/>
              </w:rPr>
              <w:t>али</w:t>
            </w:r>
            <w:r w:rsidR="0071360A">
              <w:rPr>
                <w:rFonts w:ascii="Arial" w:hAnsi="Arial" w:cs="Arial"/>
                <w:b/>
                <w:lang w:val="sr-Cyrl-BA"/>
              </w:rPr>
              <w:t>т</w:t>
            </w:r>
            <w:r w:rsidR="00EE6AA2">
              <w:rPr>
                <w:rFonts w:ascii="Arial" w:hAnsi="Arial" w:cs="Arial"/>
                <w:b/>
                <w:lang w:val="sr-Cyrl-BA"/>
              </w:rPr>
              <w:t>е</w:t>
            </w:r>
            <w:r w:rsidR="0071360A">
              <w:rPr>
                <w:rFonts w:ascii="Arial" w:hAnsi="Arial" w:cs="Arial"/>
                <w:b/>
                <w:lang w:val="sr-Cyrl-BA"/>
              </w:rPr>
              <w:t>т</w:t>
            </w:r>
            <w:r>
              <w:rPr>
                <w:rFonts w:ascii="Arial" w:hAnsi="Arial" w:cs="Arial"/>
                <w:b/>
                <w:lang w:val="sr-Cyrl-BA"/>
              </w:rPr>
              <w:t>но</w:t>
            </w:r>
            <w:r w:rsidR="00892898" w:rsidRPr="00F6340E">
              <w:rPr>
                <w:rFonts w:ascii="Arial" w:hAnsi="Arial" w:cs="Arial"/>
                <w:b/>
                <w:lang w:val="sr-Cyrl-BA"/>
              </w:rPr>
              <w:t xml:space="preserve"> </w:t>
            </w:r>
            <w:r>
              <w:rPr>
                <w:rFonts w:ascii="Arial" w:hAnsi="Arial" w:cs="Arial"/>
                <w:b/>
                <w:lang w:val="sr-Cyrl-BA"/>
              </w:rPr>
              <w:t>инкл</w:t>
            </w:r>
            <w:r w:rsidR="0071360A">
              <w:rPr>
                <w:rFonts w:ascii="Arial" w:hAnsi="Arial" w:cs="Arial"/>
                <w:b/>
                <w:lang w:val="sr-Cyrl-BA"/>
              </w:rPr>
              <w:t>у</w:t>
            </w:r>
            <w:r w:rsidR="00171F00">
              <w:rPr>
                <w:rFonts w:ascii="Arial" w:hAnsi="Arial" w:cs="Arial"/>
                <w:b/>
                <w:lang w:val="sr-Cyrl-BA"/>
              </w:rPr>
              <w:t>з</w:t>
            </w:r>
            <w:r>
              <w:rPr>
                <w:rFonts w:ascii="Arial" w:hAnsi="Arial" w:cs="Arial"/>
                <w:b/>
                <w:lang w:val="sr-Cyrl-BA"/>
              </w:rPr>
              <w:t>и</w:t>
            </w:r>
            <w:r w:rsidR="0071360A">
              <w:rPr>
                <w:rFonts w:ascii="Arial" w:hAnsi="Arial" w:cs="Arial"/>
                <w:b/>
                <w:lang w:val="sr-Cyrl-BA"/>
              </w:rPr>
              <w:t>в</w:t>
            </w:r>
            <w:r>
              <w:rPr>
                <w:rFonts w:ascii="Arial" w:hAnsi="Arial" w:cs="Arial"/>
                <w:b/>
                <w:lang w:val="sr-Cyrl-BA"/>
              </w:rPr>
              <w:t>но</w:t>
            </w:r>
            <w:r w:rsidR="00892898"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ањ</w:t>
            </w:r>
            <w:r w:rsidR="00EE6AA2">
              <w:rPr>
                <w:rFonts w:ascii="Arial" w:hAnsi="Arial" w:cs="Arial"/>
                <w:b/>
                <w:lang w:val="sr-Cyrl-BA"/>
              </w:rPr>
              <w:t>е</w:t>
            </w:r>
            <w:r w:rsidR="00892898" w:rsidRPr="00F6340E">
              <w:rPr>
                <w:rFonts w:ascii="Arial" w:hAnsi="Arial" w:cs="Arial"/>
                <w:b/>
                <w:lang w:val="sr-Cyrl-BA"/>
              </w:rPr>
              <w:t xml:space="preserve">   </w:t>
            </w:r>
          </w:p>
          <w:p w14:paraId="3FE9FBF9" w14:textId="2E590C59" w:rsidR="00892898" w:rsidRPr="00F6340E" w:rsidRDefault="0071360A" w:rsidP="00FB5CB7">
            <w:pPr>
              <w:pStyle w:val="ListParagraph"/>
              <w:ind w:left="360"/>
              <w:jc w:val="left"/>
              <w:rPr>
                <w:rFonts w:ascii="Arial" w:eastAsia="Times New Roman" w:hAnsi="Arial" w:cs="Arial"/>
                <w:color w:val="000000"/>
                <w:lang w:val="sr-Cyrl-BA"/>
              </w:rPr>
            </w:pPr>
            <w:r>
              <w:rPr>
                <w:rFonts w:ascii="Arial" w:hAnsi="Arial" w:cs="Arial"/>
                <w:lang w:val="sr-Cyrl-BA"/>
              </w:rPr>
              <w:t>В</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но</w:t>
            </w:r>
            <w:r w:rsidR="00892898" w:rsidRPr="00F6340E">
              <w:rPr>
                <w:rFonts w:ascii="Arial" w:hAnsi="Arial" w:cs="Arial"/>
                <w:lang w:val="sr-Cyrl-BA"/>
              </w:rPr>
              <w:t xml:space="preserve"> </w:t>
            </w:r>
            <w:r w:rsidR="00A56E08">
              <w:rPr>
                <w:rFonts w:ascii="Arial" w:hAnsi="Arial" w:cs="Arial"/>
                <w:lang w:val="sr-Cyrl-BA"/>
              </w:rPr>
              <w:t>ј</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с</w:t>
            </w:r>
            <w:r w:rsidR="00A56E08">
              <w:rPr>
                <w:rFonts w:ascii="Arial" w:hAnsi="Arial" w:cs="Arial"/>
                <w:lang w:val="sr-Cyrl-BA"/>
              </w:rPr>
              <w:t>на</w:t>
            </w:r>
            <w:r w:rsidR="00171F00">
              <w:rPr>
                <w:rFonts w:ascii="Arial" w:hAnsi="Arial" w:cs="Arial"/>
                <w:lang w:val="sr-Cyrl-BA"/>
              </w:rPr>
              <w:t>ж</w:t>
            </w:r>
            <w:r w:rsidR="00A56E08">
              <w:rPr>
                <w:rFonts w:ascii="Arial" w:hAnsi="Arial" w:cs="Arial"/>
                <w:lang w:val="sr-Cyrl-BA"/>
              </w:rPr>
              <w:t>и</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ст</w:t>
            </w:r>
            <w:r w:rsidR="00A56E08">
              <w:rPr>
                <w:rFonts w:ascii="Arial" w:hAnsi="Arial" w:cs="Arial"/>
                <w:lang w:val="sr-Cyrl-BA"/>
              </w:rPr>
              <w:t>ој</w:t>
            </w:r>
            <w:r w:rsidR="00EE6AA2">
              <w:rPr>
                <w:rFonts w:ascii="Arial" w:hAnsi="Arial" w:cs="Arial"/>
                <w:lang w:val="sr-Cyrl-BA"/>
              </w:rPr>
              <w:t>е</w:t>
            </w:r>
            <w:r w:rsidR="00A56E08">
              <w:rPr>
                <w:rFonts w:ascii="Arial" w:hAnsi="Arial" w:cs="Arial"/>
                <w:lang w:val="sr-Cyrl-BA"/>
              </w:rPr>
              <w:t>ћ</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м</w:t>
            </w:r>
            <w:r w:rsidR="00EE6AA2">
              <w:rPr>
                <w:rFonts w:ascii="Arial" w:hAnsi="Arial" w:cs="Arial"/>
                <w:lang w:val="sr-Cyrl-BA"/>
              </w:rPr>
              <w:t>е</w:t>
            </w:r>
            <w:r w:rsidR="00A56E08">
              <w:rPr>
                <w:rFonts w:ascii="Arial" w:hAnsi="Arial" w:cs="Arial"/>
                <w:lang w:val="sr-Cyrl-BA"/>
              </w:rPr>
              <w:t>хани</w:t>
            </w:r>
            <w:r w:rsidR="00171F00">
              <w:rPr>
                <w:rFonts w:ascii="Arial" w:hAnsi="Arial" w:cs="Arial"/>
                <w:lang w:val="sr-Cyrl-BA"/>
              </w:rPr>
              <w:t>з</w:t>
            </w:r>
            <w:r w:rsidR="00A56E08">
              <w:rPr>
                <w:rFonts w:ascii="Arial" w:hAnsi="Arial" w:cs="Arial"/>
                <w:lang w:val="sr-Cyrl-BA"/>
              </w:rPr>
              <w:t>м</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а</w:t>
            </w:r>
            <w:r>
              <w:rPr>
                <w:rFonts w:ascii="Arial" w:hAnsi="Arial" w:cs="Arial"/>
                <w:lang w:val="sr-Cyrl-BA"/>
              </w:rPr>
              <w:t>р</w:t>
            </w:r>
            <w:r w:rsidR="00A56E08">
              <w:rPr>
                <w:rFonts w:ascii="Arial" w:hAnsi="Arial" w:cs="Arial"/>
                <w:lang w:val="sr-Cyrl-BA"/>
              </w:rPr>
              <w:t>адњ</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од</w:t>
            </w:r>
            <w:r>
              <w:rPr>
                <w:rFonts w:ascii="Arial" w:hAnsi="Arial" w:cs="Arial"/>
                <w:lang w:val="sr-Cyrl-BA"/>
              </w:rPr>
              <w:t>рш</w:t>
            </w:r>
            <w:r w:rsidR="00A56E08">
              <w:rPr>
                <w:rFonts w:ascii="Arial" w:hAnsi="Arial" w:cs="Arial"/>
                <w:lang w:val="sr-Cyrl-BA"/>
              </w:rPr>
              <w:t>к</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м</w:t>
            </w:r>
            <w:r w:rsidR="00EE6AA2">
              <w:rPr>
                <w:rFonts w:ascii="Arial" w:hAnsi="Arial" w:cs="Arial"/>
                <w:lang w:val="sr-Cyrl-BA"/>
              </w:rPr>
              <w:t>е</w:t>
            </w:r>
            <w:r w:rsidR="00A56E08">
              <w:rPr>
                <w:rFonts w:ascii="Arial" w:hAnsi="Arial" w:cs="Arial"/>
                <w:lang w:val="sr-Cyrl-BA"/>
              </w:rPr>
              <w:t>ђ</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ним</w:t>
            </w:r>
            <w:r w:rsidR="00741A05" w:rsidRPr="00F6340E">
              <w:rPr>
                <w:rFonts w:ascii="Arial" w:hAnsi="Arial" w:cs="Arial"/>
                <w:lang w:val="sr-Cyrl-BA"/>
              </w:rPr>
              <w:t xml:space="preserve"> </w:t>
            </w:r>
            <w:r w:rsidR="00A56E08">
              <w:rPr>
                <w:rFonts w:ascii="Arial" w:hAnsi="Arial" w:cs="Arial"/>
                <w:lang w:val="sr-Cyrl-BA"/>
              </w:rPr>
              <w:t>ин</w:t>
            </w:r>
            <w:r>
              <w:rPr>
                <w:rFonts w:ascii="Arial" w:hAnsi="Arial" w:cs="Arial"/>
                <w:lang w:val="sr-Cyrl-BA"/>
              </w:rPr>
              <w:t>ст</w:t>
            </w:r>
            <w:r w:rsidR="00A56E08">
              <w:rPr>
                <w:rFonts w:ascii="Arial" w:hAnsi="Arial" w:cs="Arial"/>
                <w:lang w:val="sr-Cyrl-BA"/>
              </w:rPr>
              <w:t>и</w:t>
            </w:r>
            <w:r>
              <w:rPr>
                <w:rFonts w:ascii="Arial" w:hAnsi="Arial" w:cs="Arial"/>
                <w:lang w:val="sr-Cyrl-BA"/>
              </w:rPr>
              <w:t>ту</w:t>
            </w:r>
            <w:r w:rsidR="00A56E08">
              <w:rPr>
                <w:rFonts w:ascii="Arial" w:hAnsi="Arial" w:cs="Arial"/>
                <w:lang w:val="sr-Cyrl-BA"/>
              </w:rPr>
              <w:t>цијама</w:t>
            </w:r>
            <w:r w:rsidR="00741A05" w:rsidRPr="00F6340E">
              <w:rPr>
                <w:rFonts w:ascii="Arial" w:hAnsi="Arial" w:cs="Arial"/>
                <w:lang w:val="sr-Cyrl-BA"/>
              </w:rPr>
              <w:t xml:space="preserve"> </w:t>
            </w:r>
            <w:r w:rsidR="00A56E08">
              <w:rPr>
                <w:rFonts w:ascii="Arial" w:hAnsi="Arial" w:cs="Arial"/>
                <w:lang w:val="sr-Cyrl-BA"/>
              </w:rPr>
              <w:t>на</w:t>
            </w:r>
            <w:r w:rsidR="00741A05"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личи</w:t>
            </w:r>
            <w:r>
              <w:rPr>
                <w:rFonts w:ascii="Arial" w:hAnsi="Arial" w:cs="Arial"/>
                <w:lang w:val="sr-Cyrl-BA"/>
              </w:rPr>
              <w:t>т</w:t>
            </w:r>
            <w:r w:rsidR="00A56E08">
              <w:rPr>
                <w:rFonts w:ascii="Arial" w:hAnsi="Arial" w:cs="Arial"/>
                <w:lang w:val="sr-Cyrl-BA"/>
              </w:rPr>
              <w:t>им</w:t>
            </w:r>
            <w:r w:rsidR="00892898" w:rsidRPr="00F6340E">
              <w:rPr>
                <w:rFonts w:ascii="Arial" w:hAnsi="Arial" w:cs="Arial"/>
                <w:lang w:val="sr-Cyrl-BA"/>
              </w:rPr>
              <w:t xml:space="preserve"> </w:t>
            </w:r>
            <w:r w:rsidR="00A56E08">
              <w:rPr>
                <w:rFonts w:ascii="Arial" w:hAnsi="Arial" w:cs="Arial"/>
                <w:lang w:val="sr-Cyrl-BA"/>
              </w:rPr>
              <w:t>ни</w:t>
            </w:r>
            <w:r>
              <w:rPr>
                <w:rFonts w:ascii="Arial" w:hAnsi="Arial" w:cs="Arial"/>
                <w:lang w:val="sr-Cyrl-BA"/>
              </w:rPr>
              <w:t>в</w:t>
            </w:r>
            <w:r w:rsidR="00A56E08">
              <w:rPr>
                <w:rFonts w:ascii="Arial" w:hAnsi="Arial" w:cs="Arial"/>
                <w:lang w:val="sr-Cyrl-BA"/>
              </w:rPr>
              <w:t>оима</w:t>
            </w:r>
            <w:r w:rsidR="00892898"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ања</w:t>
            </w:r>
            <w:r w:rsidR="00892898"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в</w:t>
            </w:r>
            <w:r w:rsidR="00A56E08">
              <w:rPr>
                <w:rFonts w:ascii="Arial" w:hAnsi="Arial" w:cs="Arial"/>
                <w:lang w:val="sr-Cyrl-BA"/>
              </w:rPr>
              <w:t>о</w:t>
            </w:r>
            <w:r w:rsidR="00892898" w:rsidRPr="00F6340E">
              <w:rPr>
                <w:rFonts w:ascii="Arial" w:hAnsi="Arial" w:cs="Arial"/>
                <w:lang w:val="sr-Cyrl-BA"/>
              </w:rPr>
              <w:t xml:space="preserve"> </w:t>
            </w:r>
            <w:r w:rsidR="00A56E08">
              <w:rPr>
                <w:rFonts w:ascii="Arial" w:hAnsi="Arial" w:cs="Arial"/>
                <w:lang w:val="sr-Cyrl-BA"/>
              </w:rPr>
              <w:t>ј</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и</w:t>
            </w:r>
            <w:r w:rsidR="00171F00">
              <w:rPr>
                <w:rFonts w:ascii="Arial" w:hAnsi="Arial" w:cs="Arial"/>
                <w:lang w:val="sr-Cyrl-BA"/>
              </w:rPr>
              <w:t>з</w:t>
            </w:r>
            <w:r>
              <w:rPr>
                <w:rFonts w:ascii="Arial" w:hAnsi="Arial" w:cs="Arial"/>
                <w:lang w:val="sr-Cyrl-BA"/>
              </w:rPr>
              <w:t>у</w:t>
            </w:r>
            <w:r w:rsidR="00171F00">
              <w:rPr>
                <w:rFonts w:ascii="Arial" w:hAnsi="Arial" w:cs="Arial"/>
                <w:lang w:val="sr-Cyrl-BA"/>
              </w:rPr>
              <w:t>з</w:t>
            </w:r>
            <w:r w:rsidR="00EE6AA2">
              <w:rPr>
                <w:rFonts w:ascii="Arial" w:hAnsi="Arial" w:cs="Arial"/>
                <w:lang w:val="sr-Cyrl-BA"/>
              </w:rPr>
              <w:t>е</w:t>
            </w:r>
            <w:r>
              <w:rPr>
                <w:rFonts w:ascii="Arial" w:hAnsi="Arial" w:cs="Arial"/>
                <w:lang w:val="sr-Cyrl-BA"/>
              </w:rPr>
              <w:t>т</w:t>
            </w:r>
            <w:r w:rsidR="00A56E08">
              <w:rPr>
                <w:rFonts w:ascii="Arial" w:hAnsi="Arial" w:cs="Arial"/>
                <w:lang w:val="sr-Cyrl-BA"/>
              </w:rPr>
              <w:t>но</w:t>
            </w:r>
            <w:r w:rsidR="00892898" w:rsidRPr="00F6340E">
              <w:rPr>
                <w:rFonts w:ascii="Arial" w:hAnsi="Arial" w:cs="Arial"/>
                <w:lang w:val="sr-Cyrl-BA"/>
              </w:rPr>
              <w:t xml:space="preserve"> </w:t>
            </w:r>
            <w:r>
              <w:rPr>
                <w:rFonts w:ascii="Arial" w:hAnsi="Arial" w:cs="Arial"/>
                <w:lang w:val="sr-Cyrl-BA"/>
              </w:rPr>
              <w:t>в</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но</w:t>
            </w:r>
            <w:r w:rsidR="00892898"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тр</w:t>
            </w:r>
            <w:r w:rsidR="00A56E08">
              <w:rPr>
                <w:rFonts w:ascii="Arial" w:hAnsi="Arial" w:cs="Arial"/>
                <w:lang w:val="sr-Cyrl-BA"/>
              </w:rPr>
              <w:t>ан</w:t>
            </w:r>
            <w:r w:rsidR="00171F00">
              <w:rPr>
                <w:rFonts w:ascii="Arial" w:hAnsi="Arial" w:cs="Arial"/>
                <w:lang w:val="sr-Cyrl-BA"/>
              </w:rPr>
              <w:t>з</w:t>
            </w:r>
            <w:r w:rsidR="00A56E08">
              <w:rPr>
                <w:rFonts w:ascii="Arial" w:hAnsi="Arial" w:cs="Arial"/>
                <w:lang w:val="sr-Cyrl-BA"/>
              </w:rPr>
              <w:t>ициј</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од</w:t>
            </w:r>
            <w:r w:rsidR="00892898"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с</w:t>
            </w:r>
            <w:r w:rsidR="00A56E08">
              <w:rPr>
                <w:rFonts w:ascii="Arial" w:hAnsi="Arial" w:cs="Arial"/>
                <w:lang w:val="sr-Cyrl-BA"/>
              </w:rPr>
              <w:t>но</w:t>
            </w:r>
            <w:r>
              <w:rPr>
                <w:rFonts w:ascii="Arial" w:hAnsi="Arial" w:cs="Arial"/>
                <w:lang w:val="sr-Cyrl-BA"/>
              </w:rPr>
              <w:t>в</w:t>
            </w:r>
            <w:r w:rsidR="00A56E08">
              <w:rPr>
                <w:rFonts w:ascii="Arial" w:hAnsi="Arial" w:cs="Arial"/>
                <w:lang w:val="sr-Cyrl-BA"/>
              </w:rPr>
              <w:t>н</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пр</w:t>
            </w:r>
            <w:r w:rsidR="00EE6AA2">
              <w:rPr>
                <w:rFonts w:ascii="Arial" w:hAnsi="Arial" w:cs="Arial"/>
                <w:lang w:val="sr-Cyrl-BA"/>
              </w:rPr>
              <w:t>е</w:t>
            </w:r>
            <w:r w:rsidR="00A56E08">
              <w:rPr>
                <w:rFonts w:ascii="Arial" w:hAnsi="Arial" w:cs="Arial"/>
                <w:lang w:val="sr-Cyrl-BA"/>
              </w:rPr>
              <w:t>ма</w:t>
            </w:r>
            <w:r w:rsidR="00892898" w:rsidRPr="00F6340E">
              <w:rPr>
                <w:rFonts w:ascii="Arial" w:hAnsi="Arial" w:cs="Arial"/>
                <w:lang w:val="sr-Cyrl-BA"/>
              </w:rPr>
              <w:t xml:space="preserve"> </w:t>
            </w:r>
            <w:r>
              <w:rPr>
                <w:rFonts w:ascii="Arial" w:hAnsi="Arial" w:cs="Arial"/>
                <w:lang w:val="sr-Cyrl-BA"/>
              </w:rPr>
              <w:t>ср</w:t>
            </w:r>
            <w:r w:rsidR="00EE6AA2">
              <w:rPr>
                <w:rFonts w:ascii="Arial" w:hAnsi="Arial" w:cs="Arial"/>
                <w:lang w:val="sr-Cyrl-BA"/>
              </w:rPr>
              <w:t>е</w:t>
            </w:r>
            <w:r w:rsidR="00A56E08">
              <w:rPr>
                <w:rFonts w:ascii="Arial" w:hAnsi="Arial" w:cs="Arial"/>
                <w:lang w:val="sr-Cyrl-BA"/>
              </w:rPr>
              <w:t>дњој</w:t>
            </w:r>
            <w:r w:rsidR="00892898" w:rsidRPr="00F6340E">
              <w:rPr>
                <w:rFonts w:ascii="Arial" w:hAnsi="Arial" w:cs="Arial"/>
                <w:lang w:val="sr-Cyrl-BA"/>
              </w:rPr>
              <w:t xml:space="preserve"> </w:t>
            </w:r>
            <w:r>
              <w:rPr>
                <w:rFonts w:ascii="Arial" w:hAnsi="Arial" w:cs="Arial"/>
                <w:lang w:val="sr-Cyrl-BA"/>
              </w:rPr>
              <w:t>ш</w:t>
            </w:r>
            <w:r w:rsidR="00A56E08">
              <w:rPr>
                <w:rFonts w:ascii="Arial" w:hAnsi="Arial" w:cs="Arial"/>
                <w:lang w:val="sr-Cyrl-BA"/>
              </w:rPr>
              <w:t>коли</w:t>
            </w:r>
            <w:r w:rsidR="00892898" w:rsidRPr="00F6340E">
              <w:rPr>
                <w:rFonts w:ascii="Arial" w:hAnsi="Arial" w:cs="Arial"/>
                <w:lang w:val="sr-Cyrl-BA"/>
              </w:rPr>
              <w:t xml:space="preserve">, </w:t>
            </w:r>
            <w:r w:rsidR="00A56E08">
              <w:rPr>
                <w:rFonts w:ascii="Arial" w:hAnsi="Arial" w:cs="Arial"/>
                <w:lang w:val="sr-Cyrl-BA"/>
              </w:rPr>
              <w:t>од</w:t>
            </w:r>
            <w:r w:rsidR="00892898" w:rsidRPr="00F6340E">
              <w:rPr>
                <w:rFonts w:ascii="Arial" w:hAnsi="Arial" w:cs="Arial"/>
                <w:lang w:val="sr-Cyrl-BA"/>
              </w:rPr>
              <w:t xml:space="preserve"> </w:t>
            </w:r>
            <w:r>
              <w:rPr>
                <w:rFonts w:ascii="Arial" w:hAnsi="Arial" w:cs="Arial"/>
                <w:lang w:val="sr-Cyrl-BA"/>
              </w:rPr>
              <w:t>ср</w:t>
            </w:r>
            <w:r w:rsidR="00EE6AA2">
              <w:rPr>
                <w:rFonts w:ascii="Arial" w:hAnsi="Arial" w:cs="Arial"/>
                <w:lang w:val="sr-Cyrl-BA"/>
              </w:rPr>
              <w:t>е</w:t>
            </w:r>
            <w:r w:rsidR="00A56E08">
              <w:rPr>
                <w:rFonts w:ascii="Arial" w:hAnsi="Arial" w:cs="Arial"/>
                <w:lang w:val="sr-Cyrl-BA"/>
              </w:rPr>
              <w:t>дњ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ш</w:t>
            </w:r>
            <w:r w:rsidR="00A56E08">
              <w:rPr>
                <w:rFonts w:ascii="Arial" w:hAnsi="Arial" w:cs="Arial"/>
                <w:lang w:val="sr-Cyrl-BA"/>
              </w:rPr>
              <w:t>кол</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ка</w:t>
            </w:r>
            <w:r w:rsidR="00892898" w:rsidRPr="00F6340E">
              <w:rPr>
                <w:rFonts w:ascii="Arial" w:hAnsi="Arial" w:cs="Arial"/>
                <w:lang w:val="sr-Cyrl-BA"/>
              </w:rPr>
              <w:t xml:space="preserve"> </w:t>
            </w:r>
            <w:r w:rsidR="00A56E08">
              <w:rPr>
                <w:rFonts w:ascii="Arial" w:hAnsi="Arial" w:cs="Arial"/>
                <w:lang w:val="sr-Cyrl-BA"/>
              </w:rPr>
              <w:t>фак</w:t>
            </w:r>
            <w:r>
              <w:rPr>
                <w:rFonts w:ascii="Arial" w:hAnsi="Arial" w:cs="Arial"/>
                <w:lang w:val="sr-Cyrl-BA"/>
              </w:rPr>
              <w:t>у</w:t>
            </w:r>
            <w:r w:rsidR="00A56E08">
              <w:rPr>
                <w:rFonts w:ascii="Arial" w:hAnsi="Arial" w:cs="Arial"/>
                <w:lang w:val="sr-Cyrl-BA"/>
              </w:rPr>
              <w:t>л</w:t>
            </w:r>
            <w:r>
              <w:rPr>
                <w:rFonts w:ascii="Arial" w:hAnsi="Arial" w:cs="Arial"/>
                <w:lang w:val="sr-Cyrl-BA"/>
              </w:rPr>
              <w:t>т</w:t>
            </w:r>
            <w:r w:rsidR="00EE6AA2">
              <w:rPr>
                <w:rFonts w:ascii="Arial" w:hAnsi="Arial" w:cs="Arial"/>
                <w:lang w:val="sr-Cyrl-BA"/>
              </w:rPr>
              <w:t>е</w:t>
            </w:r>
            <w:r>
              <w:rPr>
                <w:rFonts w:ascii="Arial" w:hAnsi="Arial" w:cs="Arial"/>
                <w:lang w:val="sr-Cyrl-BA"/>
              </w:rPr>
              <w:t>ту</w:t>
            </w:r>
            <w:r w:rsidR="00892898" w:rsidRPr="00F6340E">
              <w:rPr>
                <w:rFonts w:ascii="Arial" w:hAnsi="Arial" w:cs="Arial"/>
                <w:lang w:val="sr-Cyrl-BA"/>
              </w:rPr>
              <w:t xml:space="preserve">, </w:t>
            </w:r>
            <w:r w:rsidR="00A56E08">
              <w:rPr>
                <w:rFonts w:ascii="Arial" w:hAnsi="Arial" w:cs="Arial"/>
                <w:lang w:val="sr-Cyrl-BA"/>
              </w:rPr>
              <w:t>од</w:t>
            </w:r>
            <w:r w:rsidR="00892898" w:rsidRPr="00F6340E">
              <w:rPr>
                <w:rFonts w:ascii="Arial" w:hAnsi="Arial" w:cs="Arial"/>
                <w:lang w:val="sr-Cyrl-BA"/>
              </w:rPr>
              <w:t xml:space="preserve"> </w:t>
            </w:r>
            <w:r w:rsidR="00A56E08">
              <w:rPr>
                <w:rFonts w:ascii="Arial" w:hAnsi="Arial" w:cs="Arial"/>
                <w:lang w:val="sr-Cyrl-BA"/>
              </w:rPr>
              <w:t>фак</w:t>
            </w:r>
            <w:r>
              <w:rPr>
                <w:rFonts w:ascii="Arial" w:hAnsi="Arial" w:cs="Arial"/>
                <w:lang w:val="sr-Cyrl-BA"/>
              </w:rPr>
              <w:t>у</w:t>
            </w:r>
            <w:r w:rsidR="00A56E08">
              <w:rPr>
                <w:rFonts w:ascii="Arial" w:hAnsi="Arial" w:cs="Arial"/>
                <w:lang w:val="sr-Cyrl-BA"/>
              </w:rPr>
              <w:t>л</w:t>
            </w:r>
            <w:r>
              <w:rPr>
                <w:rFonts w:ascii="Arial" w:hAnsi="Arial" w:cs="Arial"/>
                <w:lang w:val="sr-Cyrl-BA"/>
              </w:rPr>
              <w:t>т</w:t>
            </w:r>
            <w:r w:rsidR="00EE6AA2">
              <w:rPr>
                <w:rFonts w:ascii="Arial" w:hAnsi="Arial" w:cs="Arial"/>
                <w:lang w:val="sr-Cyrl-BA"/>
              </w:rPr>
              <w:t>е</w:t>
            </w:r>
            <w:r>
              <w:rPr>
                <w:rFonts w:ascii="Arial" w:hAnsi="Arial" w:cs="Arial"/>
                <w:lang w:val="sr-Cyrl-BA"/>
              </w:rPr>
              <w:t>т</w:t>
            </w:r>
            <w:r w:rsidR="00A56E08">
              <w:rPr>
                <w:rFonts w:ascii="Arial" w:hAnsi="Arial" w:cs="Arial"/>
                <w:lang w:val="sr-Cyrl-BA"/>
              </w:rPr>
              <w:t>а</w:t>
            </w:r>
            <w:r w:rsidR="00892898" w:rsidRPr="00F6340E">
              <w:rPr>
                <w:rFonts w:ascii="Arial" w:hAnsi="Arial" w:cs="Arial"/>
                <w:lang w:val="sr-Cyrl-BA"/>
              </w:rPr>
              <w:t xml:space="preserve"> </w:t>
            </w:r>
            <w:r w:rsidR="00A56E08">
              <w:rPr>
                <w:rFonts w:ascii="Arial" w:hAnsi="Arial" w:cs="Arial"/>
                <w:lang w:val="sr-Cyrl-BA"/>
              </w:rPr>
              <w:t>ка</w:t>
            </w:r>
            <w:r w:rsidR="00892898" w:rsidRPr="00F6340E">
              <w:rPr>
                <w:rFonts w:ascii="Arial" w:hAnsi="Arial" w:cs="Arial"/>
                <w:lang w:val="sr-Cyrl-BA"/>
              </w:rPr>
              <w:t xml:space="preserve"> </w:t>
            </w:r>
            <w:r>
              <w:rPr>
                <w:rFonts w:ascii="Arial" w:hAnsi="Arial" w:cs="Arial"/>
                <w:lang w:val="sr-Cyrl-BA"/>
              </w:rPr>
              <w:t>тр</w:t>
            </w:r>
            <w:r w:rsidR="00171F00">
              <w:rPr>
                <w:rFonts w:ascii="Arial" w:hAnsi="Arial" w:cs="Arial"/>
                <w:lang w:val="sr-Cyrl-BA"/>
              </w:rPr>
              <w:t>ж</w:t>
            </w:r>
            <w:r w:rsidR="00A56E08">
              <w:rPr>
                <w:rFonts w:ascii="Arial" w:hAnsi="Arial" w:cs="Arial"/>
                <w:lang w:val="sr-Cyrl-BA"/>
              </w:rPr>
              <w:t>и</w:t>
            </w:r>
            <w:r>
              <w:rPr>
                <w:rFonts w:ascii="Arial" w:hAnsi="Arial" w:cs="Arial"/>
                <w:lang w:val="sr-Cyrl-BA"/>
              </w:rPr>
              <w:t>шту</w:t>
            </w:r>
            <w:r w:rsidR="00892898"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ада</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о</w:t>
            </w:r>
            <w:r>
              <w:rPr>
                <w:rFonts w:ascii="Arial" w:hAnsi="Arial" w:cs="Arial"/>
                <w:lang w:val="sr-Cyrl-BA"/>
              </w:rPr>
              <w:t>в</w:t>
            </w:r>
            <w:r w:rsidR="00A56E08">
              <w:rPr>
                <w:rFonts w:ascii="Arial" w:hAnsi="Arial" w:cs="Arial"/>
                <w:lang w:val="sr-Cyrl-BA"/>
              </w:rPr>
              <w:t>ом</w:t>
            </w:r>
            <w:r w:rsidR="00892898"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оц</w:t>
            </w:r>
            <w:r w:rsidR="00EE6AA2">
              <w:rPr>
                <w:rFonts w:ascii="Arial" w:hAnsi="Arial" w:cs="Arial"/>
                <w:lang w:val="sr-Cyrl-BA"/>
              </w:rPr>
              <w:t>е</w:t>
            </w:r>
            <w:r>
              <w:rPr>
                <w:rFonts w:ascii="Arial" w:hAnsi="Arial" w:cs="Arial"/>
                <w:lang w:val="sr-Cyrl-BA"/>
              </w:rPr>
              <w:t>су</w:t>
            </w:r>
            <w:r w:rsidR="00892898" w:rsidRPr="00F6340E">
              <w:rPr>
                <w:rFonts w:ascii="Arial" w:hAnsi="Arial" w:cs="Arial"/>
                <w:lang w:val="sr-Cyrl-BA"/>
              </w:rPr>
              <w:t xml:space="preserve"> </w:t>
            </w:r>
            <w:r>
              <w:rPr>
                <w:rFonts w:ascii="Arial" w:hAnsi="Arial" w:cs="Arial"/>
                <w:lang w:val="sr-Cyrl-BA"/>
              </w:rPr>
              <w:t>в</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н</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лог</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имај</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п</w:t>
            </w:r>
            <w:r w:rsidR="00EE6AA2">
              <w:rPr>
                <w:rFonts w:ascii="Arial" w:hAnsi="Arial" w:cs="Arial"/>
                <w:lang w:val="sr-Cyrl-BA"/>
              </w:rPr>
              <w:t>е</w:t>
            </w:r>
            <w:r w:rsidR="00A56E08">
              <w:rPr>
                <w:rFonts w:ascii="Arial" w:hAnsi="Arial" w:cs="Arial"/>
                <w:lang w:val="sr-Cyrl-BA"/>
              </w:rPr>
              <w:t>даго</w:t>
            </w:r>
            <w:r>
              <w:rPr>
                <w:rFonts w:ascii="Arial" w:hAnsi="Arial" w:cs="Arial"/>
                <w:lang w:val="sr-Cyrl-BA"/>
              </w:rPr>
              <w:t>ш</w:t>
            </w:r>
            <w:r w:rsidR="00A56E08">
              <w:rPr>
                <w:rFonts w:ascii="Arial" w:hAnsi="Arial" w:cs="Arial"/>
                <w:lang w:val="sr-Cyrl-BA"/>
              </w:rPr>
              <w:t>ко</w:t>
            </w:r>
            <w:r w:rsidR="00892898" w:rsidRPr="00F6340E">
              <w:rPr>
                <w:rFonts w:ascii="Arial" w:hAnsi="Arial" w:cs="Arial"/>
                <w:lang w:val="sr-Cyrl-BA"/>
              </w:rPr>
              <w:t xml:space="preserve"> – </w:t>
            </w:r>
            <w:r>
              <w:rPr>
                <w:rFonts w:ascii="Arial" w:hAnsi="Arial" w:cs="Arial"/>
                <w:lang w:val="sr-Cyrl-BA"/>
              </w:rPr>
              <w:t>пс</w:t>
            </w:r>
            <w:r w:rsidR="00A56E08">
              <w:rPr>
                <w:rFonts w:ascii="Arial" w:hAnsi="Arial" w:cs="Arial"/>
                <w:lang w:val="sr-Cyrl-BA"/>
              </w:rPr>
              <w:t>ихоло</w:t>
            </w:r>
            <w:r>
              <w:rPr>
                <w:rFonts w:ascii="Arial" w:hAnsi="Arial" w:cs="Arial"/>
                <w:lang w:val="sr-Cyrl-BA"/>
              </w:rPr>
              <w:t>ш</w:t>
            </w:r>
            <w:r w:rsidR="00A56E08">
              <w:rPr>
                <w:rFonts w:ascii="Arial" w:hAnsi="Arial" w:cs="Arial"/>
                <w:lang w:val="sr-Cyrl-BA"/>
              </w:rPr>
              <w:t>к</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л</w:t>
            </w:r>
            <w:r>
              <w:rPr>
                <w:rFonts w:ascii="Arial" w:hAnsi="Arial" w:cs="Arial"/>
                <w:lang w:val="sr-Cyrl-BA"/>
              </w:rPr>
              <w:t>у</w:t>
            </w:r>
            <w:r w:rsidR="00171F00">
              <w:rPr>
                <w:rFonts w:ascii="Arial" w:hAnsi="Arial" w:cs="Arial"/>
                <w:lang w:val="sr-Cyrl-BA"/>
              </w:rPr>
              <w:t>ж</w:t>
            </w:r>
            <w:r w:rsidR="00A56E08">
              <w:rPr>
                <w:rFonts w:ascii="Arial" w:hAnsi="Arial" w:cs="Arial"/>
                <w:lang w:val="sr-Cyrl-BA"/>
              </w:rPr>
              <w:t>б</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ш</w:t>
            </w:r>
            <w:r w:rsidR="00A56E08">
              <w:rPr>
                <w:rFonts w:ascii="Arial" w:hAnsi="Arial" w:cs="Arial"/>
                <w:lang w:val="sr-Cyrl-BA"/>
              </w:rPr>
              <w:t>колама</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ур</w:t>
            </w:r>
            <w:r w:rsidR="00EE6AA2">
              <w:rPr>
                <w:rFonts w:ascii="Arial" w:hAnsi="Arial" w:cs="Arial"/>
                <w:lang w:val="sr-Cyrl-BA"/>
              </w:rPr>
              <w:t>е</w:t>
            </w:r>
            <w:r w:rsidR="00A56E08">
              <w:rPr>
                <w:rFonts w:ascii="Arial" w:hAnsi="Arial" w:cs="Arial"/>
                <w:lang w:val="sr-Cyrl-BA"/>
              </w:rPr>
              <w:t>ди</w:t>
            </w:r>
            <w:r w:rsidR="00892898" w:rsidRPr="00F6340E">
              <w:rPr>
                <w:rFonts w:ascii="Arial" w:hAnsi="Arial" w:cs="Arial"/>
                <w:lang w:val="sr-Cyrl-BA"/>
              </w:rPr>
              <w:t>/</w:t>
            </w:r>
            <w:r w:rsidR="00A56E08">
              <w:rPr>
                <w:rFonts w:ascii="Arial" w:hAnsi="Arial" w:cs="Arial"/>
                <w:lang w:val="sr-Cyrl-BA"/>
              </w:rPr>
              <w:t>ц</w:t>
            </w:r>
            <w:r w:rsidR="00EE6AA2">
              <w:rPr>
                <w:rFonts w:ascii="Arial" w:hAnsi="Arial" w:cs="Arial"/>
                <w:lang w:val="sr-Cyrl-BA"/>
              </w:rPr>
              <w:t>е</w:t>
            </w:r>
            <w:r w:rsidR="00A56E08">
              <w:rPr>
                <w:rFonts w:ascii="Arial" w:hAnsi="Arial" w:cs="Arial"/>
                <w:lang w:val="sr-Cyrl-BA"/>
              </w:rPr>
              <w:t>н</w:t>
            </w:r>
            <w:r>
              <w:rPr>
                <w:rFonts w:ascii="Arial" w:hAnsi="Arial" w:cs="Arial"/>
                <w:lang w:val="sr-Cyrl-BA"/>
              </w:rPr>
              <w:t>тр</w:t>
            </w:r>
            <w:r w:rsidR="00A56E08">
              <w:rPr>
                <w:rFonts w:ascii="Arial" w:hAnsi="Arial" w:cs="Arial"/>
                <w:lang w:val="sr-Cyrl-BA"/>
              </w:rPr>
              <w:t>и</w:t>
            </w:r>
            <w:r w:rsidR="00892898"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од</w:t>
            </w:r>
            <w:r>
              <w:rPr>
                <w:rFonts w:ascii="Arial" w:hAnsi="Arial" w:cs="Arial"/>
                <w:lang w:val="sr-Cyrl-BA"/>
              </w:rPr>
              <w:t>рш</w:t>
            </w:r>
            <w:r w:rsidR="00A56E08">
              <w:rPr>
                <w:rFonts w:ascii="Arial" w:hAnsi="Arial" w:cs="Arial"/>
                <w:lang w:val="sr-Cyrl-BA"/>
              </w:rPr>
              <w:t>к</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сту</w:t>
            </w:r>
            <w:r w:rsidR="00A56E08">
              <w:rPr>
                <w:rFonts w:ascii="Arial" w:hAnsi="Arial" w:cs="Arial"/>
                <w:lang w:val="sr-Cyrl-BA"/>
              </w:rPr>
              <w:t>д</w:t>
            </w:r>
            <w:r w:rsidR="00EE6AA2">
              <w:rPr>
                <w:rFonts w:ascii="Arial" w:hAnsi="Arial" w:cs="Arial"/>
                <w:lang w:val="sr-Cyrl-BA"/>
              </w:rPr>
              <w:t>е</w:t>
            </w:r>
            <w:r w:rsidR="00A56E08">
              <w:rPr>
                <w:rFonts w:ascii="Arial" w:hAnsi="Arial" w:cs="Arial"/>
                <w:lang w:val="sr-Cyrl-BA"/>
              </w:rPr>
              <w:t>н</w:t>
            </w:r>
            <w:r>
              <w:rPr>
                <w:rFonts w:ascii="Arial" w:hAnsi="Arial" w:cs="Arial"/>
                <w:lang w:val="sr-Cyrl-BA"/>
              </w:rPr>
              <w:t>т</w:t>
            </w:r>
            <w:r w:rsidR="00A56E08">
              <w:rPr>
                <w:rFonts w:ascii="Arial" w:hAnsi="Arial" w:cs="Arial"/>
                <w:lang w:val="sr-Cyrl-BA"/>
              </w:rPr>
              <w:t>има</w:t>
            </w:r>
            <w:r w:rsidR="00892898"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ни</w:t>
            </w:r>
            <w:r>
              <w:rPr>
                <w:rFonts w:ascii="Arial" w:hAnsi="Arial" w:cs="Arial"/>
                <w:lang w:val="sr-Cyrl-BA"/>
              </w:rPr>
              <w:t>в</w:t>
            </w:r>
            <w:r w:rsidR="00EE6AA2">
              <w:rPr>
                <w:rFonts w:ascii="Arial" w:hAnsi="Arial" w:cs="Arial"/>
                <w:lang w:val="sr-Cyrl-BA"/>
              </w:rPr>
              <w:t>е</w:t>
            </w:r>
            <w:r>
              <w:rPr>
                <w:rFonts w:ascii="Arial" w:hAnsi="Arial" w:cs="Arial"/>
                <w:lang w:val="sr-Cyrl-BA"/>
              </w:rPr>
              <w:t>р</w:t>
            </w:r>
            <w:r w:rsidR="00171F00">
              <w:rPr>
                <w:rFonts w:ascii="Arial" w:hAnsi="Arial" w:cs="Arial"/>
                <w:lang w:val="sr-Cyrl-BA"/>
              </w:rPr>
              <w:t>з</w:t>
            </w:r>
            <w:r w:rsidR="00A56E08">
              <w:rPr>
                <w:rFonts w:ascii="Arial" w:hAnsi="Arial" w:cs="Arial"/>
                <w:lang w:val="sr-Cyrl-BA"/>
              </w:rPr>
              <w:t>и</w:t>
            </w:r>
            <w:r>
              <w:rPr>
                <w:rFonts w:ascii="Arial" w:hAnsi="Arial" w:cs="Arial"/>
                <w:lang w:val="sr-Cyrl-BA"/>
              </w:rPr>
              <w:t>т</w:t>
            </w:r>
            <w:r w:rsidR="00EE6AA2">
              <w:rPr>
                <w:rFonts w:ascii="Arial" w:hAnsi="Arial" w:cs="Arial"/>
                <w:lang w:val="sr-Cyrl-BA"/>
              </w:rPr>
              <w:t>е</w:t>
            </w:r>
            <w:r>
              <w:rPr>
                <w:rFonts w:ascii="Arial" w:hAnsi="Arial" w:cs="Arial"/>
                <w:lang w:val="sr-Cyrl-BA"/>
              </w:rPr>
              <w:t>т</w:t>
            </w:r>
            <w:r w:rsidR="00A56E08">
              <w:rPr>
                <w:rFonts w:ascii="Arial" w:hAnsi="Arial" w:cs="Arial"/>
                <w:lang w:val="sr-Cyrl-BA"/>
              </w:rPr>
              <w:t>има</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кон</w:t>
            </w:r>
            <w:r>
              <w:rPr>
                <w:rFonts w:ascii="Arial" w:hAnsi="Arial" w:cs="Arial"/>
                <w:lang w:val="sr-Cyrl-BA"/>
              </w:rPr>
              <w:t>т</w:t>
            </w:r>
            <w:r w:rsidR="00EE6AA2">
              <w:rPr>
                <w:rFonts w:ascii="Arial" w:hAnsi="Arial" w:cs="Arial"/>
                <w:lang w:val="sr-Cyrl-BA"/>
              </w:rPr>
              <w:t>е</w:t>
            </w:r>
            <w:r w:rsidR="00A56E08">
              <w:rPr>
                <w:rFonts w:ascii="Arial" w:hAnsi="Arial" w:cs="Arial"/>
                <w:lang w:val="sr-Cyrl-BA"/>
              </w:rPr>
              <w:t>к</w:t>
            </w:r>
            <w:r>
              <w:rPr>
                <w:rFonts w:ascii="Arial" w:hAnsi="Arial" w:cs="Arial"/>
                <w:lang w:val="sr-Cyrl-BA"/>
              </w:rPr>
              <w:t>сту</w:t>
            </w:r>
            <w:r w:rsidR="00892898" w:rsidRPr="00F6340E">
              <w:rPr>
                <w:rFonts w:ascii="Arial" w:hAnsi="Arial" w:cs="Arial"/>
                <w:lang w:val="sr-Cyrl-BA"/>
              </w:rPr>
              <w:t xml:space="preserve"> </w:t>
            </w:r>
            <w:r w:rsidR="00A56E08">
              <w:rPr>
                <w:rFonts w:ascii="Arial" w:hAnsi="Arial" w:cs="Arial"/>
                <w:lang w:val="sr-Cyrl-BA"/>
              </w:rPr>
              <w:t>ид</w:t>
            </w:r>
            <w:r w:rsidR="00EE6AA2">
              <w:rPr>
                <w:rFonts w:ascii="Arial" w:hAnsi="Arial" w:cs="Arial"/>
                <w:lang w:val="sr-Cyrl-BA"/>
              </w:rPr>
              <w:t>е</w:t>
            </w:r>
            <w:r w:rsidR="00A56E08">
              <w:rPr>
                <w:rFonts w:ascii="Arial" w:hAnsi="Arial" w:cs="Arial"/>
                <w:lang w:val="sr-Cyrl-BA"/>
              </w:rPr>
              <w:t>н</w:t>
            </w:r>
            <w:r>
              <w:rPr>
                <w:rFonts w:ascii="Arial" w:hAnsi="Arial" w:cs="Arial"/>
                <w:lang w:val="sr-Cyrl-BA"/>
              </w:rPr>
              <w:t>т</w:t>
            </w:r>
            <w:r w:rsidR="00A56E08">
              <w:rPr>
                <w:rFonts w:ascii="Arial" w:hAnsi="Arial" w:cs="Arial"/>
                <w:lang w:val="sr-Cyrl-BA"/>
              </w:rPr>
              <w:t>ифико</w:t>
            </w:r>
            <w:r>
              <w:rPr>
                <w:rFonts w:ascii="Arial" w:hAnsi="Arial" w:cs="Arial"/>
                <w:lang w:val="sr-Cyrl-BA"/>
              </w:rPr>
              <w:t>в</w:t>
            </w:r>
            <w:r w:rsidR="00A56E08">
              <w:rPr>
                <w:rFonts w:ascii="Arial" w:hAnsi="Arial" w:cs="Arial"/>
                <w:lang w:val="sr-Cyrl-BA"/>
              </w:rPr>
              <w:t>ања</w:t>
            </w:r>
            <w:r w:rsidR="00892898" w:rsidRPr="00F6340E">
              <w:rPr>
                <w:rFonts w:ascii="Arial" w:hAnsi="Arial" w:cs="Arial"/>
                <w:lang w:val="sr-Cyrl-BA"/>
              </w:rPr>
              <w:t xml:space="preserve"> </w:t>
            </w:r>
            <w:r>
              <w:rPr>
                <w:rFonts w:ascii="Arial" w:hAnsi="Arial" w:cs="Arial"/>
                <w:lang w:val="sr-Cyrl-BA"/>
              </w:rPr>
              <w:t>сп</w:t>
            </w:r>
            <w:r w:rsidR="00EE6AA2">
              <w:rPr>
                <w:rFonts w:ascii="Arial" w:hAnsi="Arial" w:cs="Arial"/>
                <w:lang w:val="sr-Cyrl-BA"/>
              </w:rPr>
              <w:t>е</w:t>
            </w:r>
            <w:r w:rsidR="00A56E08">
              <w:rPr>
                <w:rFonts w:ascii="Arial" w:hAnsi="Arial" w:cs="Arial"/>
                <w:lang w:val="sr-Cyrl-BA"/>
              </w:rPr>
              <w:t>цифичних</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w:t>
            </w:r>
            <w:r>
              <w:rPr>
                <w:rFonts w:ascii="Arial" w:hAnsi="Arial" w:cs="Arial"/>
                <w:lang w:val="sr-Cyrl-BA"/>
              </w:rPr>
              <w:t>тр</w:t>
            </w:r>
            <w:r w:rsidR="00EE6AA2">
              <w:rPr>
                <w:rFonts w:ascii="Arial" w:hAnsi="Arial" w:cs="Arial"/>
                <w:lang w:val="sr-Cyrl-BA"/>
              </w:rPr>
              <w:t>е</w:t>
            </w:r>
            <w:r w:rsidR="00A56E08">
              <w:rPr>
                <w:rFonts w:ascii="Arial" w:hAnsi="Arial" w:cs="Arial"/>
                <w:lang w:val="sr-Cyrl-BA"/>
              </w:rPr>
              <w:t>ба</w:t>
            </w:r>
            <w:r w:rsidR="00892898" w:rsidRPr="00F6340E">
              <w:rPr>
                <w:rFonts w:ascii="Arial" w:hAnsi="Arial" w:cs="Arial"/>
                <w:lang w:val="sr-Cyrl-BA"/>
              </w:rPr>
              <w:t xml:space="preserve"> </w:t>
            </w:r>
            <w:r w:rsidR="00A56E08">
              <w:rPr>
                <w:rFonts w:ascii="Arial" w:hAnsi="Arial" w:cs="Arial"/>
                <w:lang w:val="sr-Cyrl-BA"/>
              </w:rPr>
              <w:t>на</w:t>
            </w:r>
            <w:r>
              <w:rPr>
                <w:rFonts w:ascii="Arial" w:hAnsi="Arial" w:cs="Arial"/>
                <w:lang w:val="sr-Cyrl-BA"/>
              </w:rPr>
              <w:t>ст</w:t>
            </w:r>
            <w:r w:rsidR="00A56E08">
              <w:rPr>
                <w:rFonts w:ascii="Arial" w:hAnsi="Arial" w:cs="Arial"/>
                <w:lang w:val="sr-Cyrl-BA"/>
              </w:rPr>
              <w:t>а</w:t>
            </w:r>
            <w:r>
              <w:rPr>
                <w:rFonts w:ascii="Arial" w:hAnsi="Arial" w:cs="Arial"/>
                <w:lang w:val="sr-Cyrl-BA"/>
              </w:rPr>
              <w:t>в</w:t>
            </w:r>
            <w:r w:rsidR="00A56E08">
              <w:rPr>
                <w:rFonts w:ascii="Arial" w:hAnsi="Arial" w:cs="Arial"/>
                <w:lang w:val="sr-Cyrl-BA"/>
              </w:rPr>
              <w:t>ника</w:t>
            </w:r>
            <w:r w:rsidR="00892898"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892898" w:rsidRPr="00F6340E">
              <w:rPr>
                <w:rFonts w:ascii="Arial" w:hAnsi="Arial" w:cs="Arial"/>
                <w:lang w:val="sr-Cyrl-BA"/>
              </w:rPr>
              <w:t xml:space="preserve"> </w:t>
            </w:r>
            <w:r w:rsidR="00A56E08">
              <w:rPr>
                <w:rFonts w:ascii="Arial" w:hAnsi="Arial" w:cs="Arial"/>
                <w:lang w:val="sr-Cyrl-BA"/>
              </w:rPr>
              <w:t>дода</w:t>
            </w:r>
            <w:r>
              <w:rPr>
                <w:rFonts w:ascii="Arial" w:hAnsi="Arial" w:cs="Arial"/>
                <w:lang w:val="sr-Cyrl-BA"/>
              </w:rPr>
              <w:t>т</w:t>
            </w:r>
            <w:r w:rsidR="00A56E08">
              <w:rPr>
                <w:rFonts w:ascii="Arial" w:hAnsi="Arial" w:cs="Arial"/>
                <w:lang w:val="sr-Cyrl-BA"/>
              </w:rPr>
              <w:t>ним</w:t>
            </w:r>
            <w:r w:rsidR="00892898" w:rsidRPr="00F6340E">
              <w:rPr>
                <w:rFonts w:ascii="Arial" w:hAnsi="Arial" w:cs="Arial"/>
                <w:lang w:val="sr-Cyrl-BA"/>
              </w:rPr>
              <w:t xml:space="preserve"> </w:t>
            </w:r>
            <w:r>
              <w:rPr>
                <w:rFonts w:ascii="Arial" w:hAnsi="Arial" w:cs="Arial"/>
                <w:lang w:val="sr-Cyrl-BA"/>
              </w:rPr>
              <w:t>стру</w:t>
            </w:r>
            <w:r w:rsidR="00A56E08">
              <w:rPr>
                <w:rFonts w:ascii="Arial" w:hAnsi="Arial" w:cs="Arial"/>
                <w:lang w:val="sr-Cyrl-BA"/>
              </w:rPr>
              <w:t>чним</w:t>
            </w:r>
            <w:r w:rsidR="00892898" w:rsidRPr="00F6340E">
              <w:rPr>
                <w:rFonts w:ascii="Arial" w:hAnsi="Arial" w:cs="Arial"/>
                <w:lang w:val="sr-Cyrl-BA"/>
              </w:rPr>
              <w:t xml:space="preserve"> </w:t>
            </w:r>
            <w:r>
              <w:rPr>
                <w:rFonts w:ascii="Arial" w:hAnsi="Arial" w:cs="Arial"/>
                <w:lang w:val="sr-Cyrl-BA"/>
              </w:rPr>
              <w:t>ус</w:t>
            </w:r>
            <w:r w:rsidR="00A56E08">
              <w:rPr>
                <w:rFonts w:ascii="Arial" w:hAnsi="Arial" w:cs="Arial"/>
                <w:lang w:val="sr-Cyrl-BA"/>
              </w:rPr>
              <w:t>а</w:t>
            </w:r>
            <w:r>
              <w:rPr>
                <w:rFonts w:ascii="Arial" w:hAnsi="Arial" w:cs="Arial"/>
                <w:lang w:val="sr-Cyrl-BA"/>
              </w:rPr>
              <w:t>врш</w:t>
            </w:r>
            <w:r w:rsidR="00A56E08">
              <w:rPr>
                <w:rFonts w:ascii="Arial" w:hAnsi="Arial" w:cs="Arial"/>
                <w:lang w:val="sr-Cyrl-BA"/>
              </w:rPr>
              <w:t>а</w:t>
            </w:r>
            <w:r>
              <w:rPr>
                <w:rFonts w:ascii="Arial" w:hAnsi="Arial" w:cs="Arial"/>
                <w:lang w:val="sr-Cyrl-BA"/>
              </w:rPr>
              <w:t>в</w:t>
            </w:r>
            <w:r w:rsidR="00A56E08">
              <w:rPr>
                <w:rFonts w:ascii="Arial" w:hAnsi="Arial" w:cs="Arial"/>
                <w:lang w:val="sr-Cyrl-BA"/>
              </w:rPr>
              <w:t>ањ</w:t>
            </w:r>
            <w:r w:rsidR="00EE6AA2">
              <w:rPr>
                <w:rFonts w:ascii="Arial" w:hAnsi="Arial" w:cs="Arial"/>
                <w:lang w:val="sr-Cyrl-BA"/>
              </w:rPr>
              <w:t>е</w:t>
            </w:r>
            <w:r w:rsidR="00A56E08">
              <w:rPr>
                <w:rFonts w:ascii="Arial" w:hAnsi="Arial" w:cs="Arial"/>
                <w:lang w:val="sr-Cyrl-BA"/>
              </w:rPr>
              <w:t>м</w:t>
            </w:r>
            <w:r w:rsidR="00892898" w:rsidRPr="00F6340E">
              <w:rPr>
                <w:rFonts w:ascii="Arial" w:hAnsi="Arial" w:cs="Arial"/>
                <w:lang w:val="sr-Cyrl-BA"/>
              </w:rPr>
              <w:t xml:space="preserve"> </w:t>
            </w:r>
            <w:r w:rsidR="00A56E08">
              <w:rPr>
                <w:rFonts w:ascii="Arial" w:hAnsi="Arial" w:cs="Arial"/>
                <w:lang w:val="sr-Cyrl-BA"/>
              </w:rPr>
              <w:t>како</w:t>
            </w:r>
            <w:r w:rsidR="00892898" w:rsidRPr="00F6340E">
              <w:rPr>
                <w:rFonts w:ascii="Arial" w:hAnsi="Arial" w:cs="Arial"/>
                <w:lang w:val="sr-Cyrl-BA"/>
              </w:rPr>
              <w:t xml:space="preserve"> </w:t>
            </w:r>
            <w:r w:rsidR="00A56E08">
              <w:rPr>
                <w:rFonts w:ascii="Arial" w:hAnsi="Arial" w:cs="Arial"/>
                <w:lang w:val="sr-Cyrl-BA"/>
              </w:rPr>
              <w:t>би</w:t>
            </w:r>
            <w:r w:rsidR="00892898"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Pr>
                <w:rFonts w:ascii="Arial" w:hAnsi="Arial" w:cs="Arial"/>
                <w:lang w:val="sr-Cyrl-BA"/>
              </w:rPr>
              <w:t>у</w:t>
            </w:r>
            <w:r w:rsidR="00A56E08">
              <w:rPr>
                <w:rFonts w:ascii="Arial" w:hAnsi="Arial" w:cs="Arial"/>
                <w:lang w:val="sr-Cyrl-BA"/>
              </w:rPr>
              <w:t>мј</w:t>
            </w:r>
            <w:r w:rsidR="00EE6AA2">
              <w:rPr>
                <w:rFonts w:ascii="Arial" w:hAnsi="Arial" w:cs="Arial"/>
                <w:lang w:val="sr-Cyrl-BA"/>
              </w:rPr>
              <w:t>е</w:t>
            </w:r>
            <w:r w:rsidR="00A56E08">
              <w:rPr>
                <w:rFonts w:ascii="Arial" w:hAnsi="Arial" w:cs="Arial"/>
                <w:lang w:val="sr-Cyrl-BA"/>
              </w:rPr>
              <w:t>ли</w:t>
            </w:r>
            <w:r w:rsidR="00892898" w:rsidRPr="00F6340E">
              <w:rPr>
                <w:rFonts w:ascii="Arial" w:hAnsi="Arial" w:cs="Arial"/>
                <w:lang w:val="sr-Cyrl-BA"/>
              </w:rPr>
              <w:t xml:space="preserve"> </w:t>
            </w:r>
            <w:r>
              <w:rPr>
                <w:rFonts w:ascii="Arial" w:hAnsi="Arial" w:cs="Arial"/>
                <w:lang w:val="sr-Cyrl-BA"/>
              </w:rPr>
              <w:t>в</w:t>
            </w:r>
            <w:r w:rsidR="00A56E08">
              <w:rPr>
                <w:rFonts w:ascii="Arial" w:hAnsi="Arial" w:cs="Arial"/>
                <w:lang w:val="sr-Cyrl-BA"/>
              </w:rPr>
              <w:t>а</w:t>
            </w:r>
            <w:r w:rsidR="00171F00">
              <w:rPr>
                <w:rFonts w:ascii="Arial" w:hAnsi="Arial" w:cs="Arial"/>
                <w:lang w:val="sr-Cyrl-BA"/>
              </w:rPr>
              <w:t>ж</w:t>
            </w:r>
            <w:r w:rsidR="00A56E08">
              <w:rPr>
                <w:rFonts w:ascii="Arial" w:hAnsi="Arial" w:cs="Arial"/>
                <w:lang w:val="sr-Cyrl-BA"/>
              </w:rPr>
              <w:t>но</w:t>
            </w:r>
            <w:r>
              <w:rPr>
                <w:rFonts w:ascii="Arial" w:hAnsi="Arial" w:cs="Arial"/>
                <w:lang w:val="sr-Cyrl-BA"/>
              </w:rPr>
              <w:t>ст</w:t>
            </w:r>
            <w:r w:rsidR="00892898"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а</w:t>
            </w:r>
            <w:r>
              <w:rPr>
                <w:rFonts w:ascii="Arial" w:hAnsi="Arial" w:cs="Arial"/>
                <w:lang w:val="sr-Cyrl-BA"/>
              </w:rPr>
              <w:t>р</w:t>
            </w:r>
            <w:r w:rsidR="00A56E08">
              <w:rPr>
                <w:rFonts w:ascii="Arial" w:hAnsi="Arial" w:cs="Arial"/>
                <w:lang w:val="sr-Cyrl-BA"/>
              </w:rPr>
              <w:t>адњ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пр</w:t>
            </w:r>
            <w:r w:rsidR="00A56E08">
              <w:rPr>
                <w:rFonts w:ascii="Arial" w:hAnsi="Arial" w:cs="Arial"/>
                <w:lang w:val="sr-Cyrl-BA"/>
              </w:rPr>
              <w:t>и</w:t>
            </w:r>
            <w:r>
              <w:rPr>
                <w:rFonts w:ascii="Arial" w:hAnsi="Arial" w:cs="Arial"/>
                <w:lang w:val="sr-Cyrl-BA"/>
              </w:rPr>
              <w:t>пр</w:t>
            </w:r>
            <w:r w:rsidR="00EE6AA2">
              <w:rPr>
                <w:rFonts w:ascii="Arial" w:hAnsi="Arial" w:cs="Arial"/>
                <w:lang w:val="sr-Cyrl-BA"/>
              </w:rPr>
              <w:t>е</w:t>
            </w:r>
            <w:r w:rsidR="00A56E08">
              <w:rPr>
                <w:rFonts w:ascii="Arial" w:hAnsi="Arial" w:cs="Arial"/>
                <w:lang w:val="sr-Cyrl-BA"/>
              </w:rPr>
              <w:t>м</w:t>
            </w:r>
            <w:r w:rsidR="00EE6AA2">
              <w:rPr>
                <w:rFonts w:ascii="Arial" w:hAnsi="Arial" w:cs="Arial"/>
                <w:lang w:val="sr-Cyrl-BA"/>
              </w:rPr>
              <w:t>е</w:t>
            </w:r>
            <w:r w:rsidR="00892898" w:rsidRPr="00F6340E">
              <w:rPr>
                <w:rFonts w:ascii="Arial" w:hAnsi="Arial" w:cs="Arial"/>
                <w:lang w:val="sr-Cyrl-BA"/>
              </w:rPr>
              <w:t xml:space="preserve"> </w:t>
            </w:r>
            <w:r w:rsidR="00171F00">
              <w:rPr>
                <w:rFonts w:ascii="Arial" w:hAnsi="Arial" w:cs="Arial"/>
                <w:lang w:val="sr-Cyrl-BA"/>
              </w:rPr>
              <w:t>з</w:t>
            </w:r>
            <w:r w:rsidR="00A56E08">
              <w:rPr>
                <w:rFonts w:ascii="Arial" w:hAnsi="Arial" w:cs="Arial"/>
                <w:lang w:val="sr-Cyrl-BA"/>
              </w:rPr>
              <w:t>а</w:t>
            </w:r>
            <w:r w:rsidR="00892898" w:rsidRPr="00F6340E">
              <w:rPr>
                <w:rFonts w:ascii="Arial" w:hAnsi="Arial" w:cs="Arial"/>
                <w:lang w:val="sr-Cyrl-BA"/>
              </w:rPr>
              <w:t xml:space="preserve"> </w:t>
            </w:r>
            <w:r>
              <w:rPr>
                <w:rFonts w:ascii="Arial" w:hAnsi="Arial" w:cs="Arial"/>
                <w:lang w:val="sr-Cyrl-BA"/>
              </w:rPr>
              <w:t>пр</w:t>
            </w:r>
            <w:r w:rsidR="00EE6AA2">
              <w:rPr>
                <w:rFonts w:ascii="Arial" w:hAnsi="Arial" w:cs="Arial"/>
                <w:lang w:val="sr-Cyrl-BA"/>
              </w:rPr>
              <w:t>е</w:t>
            </w:r>
            <w:r w:rsidR="00A56E08">
              <w:rPr>
                <w:rFonts w:ascii="Arial" w:hAnsi="Arial" w:cs="Arial"/>
                <w:lang w:val="sr-Cyrl-BA"/>
              </w:rPr>
              <w:t>ла</w:t>
            </w:r>
            <w:r w:rsidR="00171F00">
              <w:rPr>
                <w:rFonts w:ascii="Arial" w:hAnsi="Arial" w:cs="Arial"/>
                <w:lang w:val="sr-Cyrl-BA"/>
              </w:rPr>
              <w:t>з</w:t>
            </w:r>
            <w:r w:rsidR="00A56E08">
              <w:rPr>
                <w:rFonts w:ascii="Arial" w:hAnsi="Arial" w:cs="Arial"/>
                <w:lang w:val="sr-Cyrl-BA"/>
              </w:rPr>
              <w:t>ак</w:t>
            </w:r>
            <w:r w:rsidR="00892898" w:rsidRPr="00F6340E">
              <w:rPr>
                <w:rFonts w:ascii="Arial" w:hAnsi="Arial" w:cs="Arial"/>
                <w:lang w:val="sr-Cyrl-BA"/>
              </w:rPr>
              <w:t xml:space="preserve"> </w:t>
            </w:r>
            <w:r w:rsidR="00A56E08">
              <w:rPr>
                <w:rFonts w:ascii="Arial" w:hAnsi="Arial" w:cs="Arial"/>
                <w:lang w:val="sr-Cyrl-BA"/>
              </w:rPr>
              <w:t>на</w:t>
            </w:r>
            <w:r w:rsidR="00892898" w:rsidRPr="00F6340E">
              <w:rPr>
                <w:rFonts w:ascii="Arial" w:hAnsi="Arial" w:cs="Arial"/>
                <w:lang w:val="sr-Cyrl-BA"/>
              </w:rPr>
              <w:t xml:space="preserve"> </w:t>
            </w:r>
            <w:r>
              <w:rPr>
                <w:rFonts w:ascii="Arial" w:hAnsi="Arial" w:cs="Arial"/>
                <w:lang w:val="sr-Cyrl-BA"/>
              </w:rPr>
              <w:t>в</w:t>
            </w:r>
            <w:r w:rsidR="00A56E08">
              <w:rPr>
                <w:rFonts w:ascii="Arial" w:hAnsi="Arial" w:cs="Arial"/>
                <w:lang w:val="sr-Cyrl-BA"/>
              </w:rPr>
              <w:t>и</w:t>
            </w:r>
            <w:r>
              <w:rPr>
                <w:rFonts w:ascii="Arial" w:hAnsi="Arial" w:cs="Arial"/>
                <w:lang w:val="sr-Cyrl-BA"/>
              </w:rPr>
              <w:t>ш</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ни</w:t>
            </w:r>
            <w:r>
              <w:rPr>
                <w:rFonts w:ascii="Arial" w:hAnsi="Arial" w:cs="Arial"/>
                <w:lang w:val="sr-Cyrl-BA"/>
              </w:rPr>
              <w:t>в</w:t>
            </w:r>
            <w:r w:rsidR="00A56E08">
              <w:rPr>
                <w:rFonts w:ascii="Arial" w:hAnsi="Arial" w:cs="Arial"/>
                <w:lang w:val="sr-Cyrl-BA"/>
              </w:rPr>
              <w:t>о</w:t>
            </w:r>
            <w:r w:rsidR="00892898" w:rsidRPr="00F6340E">
              <w:rPr>
                <w:rFonts w:ascii="Arial" w:hAnsi="Arial" w:cs="Arial"/>
                <w:lang w:val="sr-Cyrl-BA"/>
              </w:rPr>
              <w:t xml:space="preserve"> </w:t>
            </w:r>
            <w:r w:rsidR="00A56E08">
              <w:rPr>
                <w:rFonts w:ascii="Arial" w:hAnsi="Arial" w:cs="Arial"/>
                <w:lang w:val="sr-Cyrl-BA"/>
              </w:rPr>
              <w:t>об</w:t>
            </w:r>
            <w:r>
              <w:rPr>
                <w:rFonts w:ascii="Arial" w:hAnsi="Arial" w:cs="Arial"/>
                <w:lang w:val="sr-Cyrl-BA"/>
              </w:rPr>
              <w:t>р</w:t>
            </w:r>
            <w:r w:rsidR="00A56E08">
              <w:rPr>
                <w:rFonts w:ascii="Arial" w:hAnsi="Arial" w:cs="Arial"/>
                <w:lang w:val="sr-Cyrl-BA"/>
              </w:rPr>
              <w:t>а</w:t>
            </w:r>
            <w:r w:rsidR="00171F00">
              <w:rPr>
                <w:rFonts w:ascii="Arial" w:hAnsi="Arial" w:cs="Arial"/>
                <w:lang w:val="sr-Cyrl-BA"/>
              </w:rPr>
              <w:t>з</w:t>
            </w:r>
            <w:r w:rsidR="00A56E08">
              <w:rPr>
                <w:rFonts w:ascii="Arial" w:hAnsi="Arial" w:cs="Arial"/>
                <w:lang w:val="sr-Cyrl-BA"/>
              </w:rPr>
              <w:t>о</w:t>
            </w:r>
            <w:r>
              <w:rPr>
                <w:rFonts w:ascii="Arial" w:hAnsi="Arial" w:cs="Arial"/>
                <w:lang w:val="sr-Cyrl-BA"/>
              </w:rPr>
              <w:t>в</w:t>
            </w:r>
            <w:r w:rsidR="00A56E08">
              <w:rPr>
                <w:rFonts w:ascii="Arial" w:hAnsi="Arial" w:cs="Arial"/>
                <w:lang w:val="sr-Cyrl-BA"/>
              </w:rPr>
              <w:t>ања</w:t>
            </w:r>
            <w:r w:rsidR="00892898" w:rsidRPr="00F6340E">
              <w:rPr>
                <w:rFonts w:ascii="Arial" w:hAnsi="Arial" w:cs="Arial"/>
                <w:lang w:val="sr-Cyrl-BA"/>
              </w:rPr>
              <w:t xml:space="preserve"> </w:t>
            </w:r>
            <w:r>
              <w:rPr>
                <w:rFonts w:ascii="Arial" w:hAnsi="Arial" w:cs="Arial"/>
                <w:lang w:val="sr-Cyrl-BA"/>
              </w:rPr>
              <w:t>т</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пру</w:t>
            </w:r>
            <w:r w:rsidR="00171F00">
              <w:rPr>
                <w:rFonts w:ascii="Arial" w:hAnsi="Arial" w:cs="Arial"/>
                <w:lang w:val="sr-Cyrl-BA"/>
              </w:rPr>
              <w:t>ж</w:t>
            </w:r>
            <w:r w:rsidR="00A56E08">
              <w:rPr>
                <w:rFonts w:ascii="Arial" w:hAnsi="Arial" w:cs="Arial"/>
                <w:lang w:val="sr-Cyrl-BA"/>
              </w:rPr>
              <w:t>или</w:t>
            </w:r>
            <w:r w:rsidR="00892898" w:rsidRPr="00F6340E">
              <w:rPr>
                <w:rFonts w:ascii="Arial" w:hAnsi="Arial" w:cs="Arial"/>
                <w:lang w:val="sr-Cyrl-BA"/>
              </w:rPr>
              <w:t xml:space="preserve"> </w:t>
            </w:r>
            <w:r w:rsidR="00A56E08">
              <w:rPr>
                <w:rFonts w:ascii="Arial" w:hAnsi="Arial" w:cs="Arial"/>
                <w:lang w:val="sr-Cyrl-BA"/>
              </w:rPr>
              <w:t>ад</w:t>
            </w:r>
            <w:r w:rsidR="00EE6AA2">
              <w:rPr>
                <w:rFonts w:ascii="Arial" w:hAnsi="Arial" w:cs="Arial"/>
                <w:lang w:val="sr-Cyrl-BA"/>
              </w:rPr>
              <w:t>е</w:t>
            </w:r>
            <w:r w:rsidR="00A56E08">
              <w:rPr>
                <w:rFonts w:ascii="Arial" w:hAnsi="Arial" w:cs="Arial"/>
                <w:lang w:val="sr-Cyrl-BA"/>
              </w:rPr>
              <w:t>к</w:t>
            </w:r>
            <w:r>
              <w:rPr>
                <w:rFonts w:ascii="Arial" w:hAnsi="Arial" w:cs="Arial"/>
                <w:lang w:val="sr-Cyrl-BA"/>
              </w:rPr>
              <w:t>в</w:t>
            </w:r>
            <w:r w:rsidR="00A56E08">
              <w:rPr>
                <w:rFonts w:ascii="Arial" w:hAnsi="Arial" w:cs="Arial"/>
                <w:lang w:val="sr-Cyrl-BA"/>
              </w:rPr>
              <w:t>а</w:t>
            </w:r>
            <w:r>
              <w:rPr>
                <w:rFonts w:ascii="Arial" w:hAnsi="Arial" w:cs="Arial"/>
                <w:lang w:val="sr-Cyrl-BA"/>
              </w:rPr>
              <w:t>т</w:t>
            </w:r>
            <w:r w:rsidR="00A56E08">
              <w:rPr>
                <w:rFonts w:ascii="Arial" w:hAnsi="Arial" w:cs="Arial"/>
                <w:lang w:val="sr-Cyrl-BA"/>
              </w:rPr>
              <w:t>н</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п</w:t>
            </w:r>
            <w:r w:rsidR="00A56E08">
              <w:rPr>
                <w:rFonts w:ascii="Arial" w:hAnsi="Arial" w:cs="Arial"/>
                <w:lang w:val="sr-Cyrl-BA"/>
              </w:rPr>
              <w:t>од</w:t>
            </w:r>
            <w:r>
              <w:rPr>
                <w:rFonts w:ascii="Arial" w:hAnsi="Arial" w:cs="Arial"/>
                <w:lang w:val="sr-Cyrl-BA"/>
              </w:rPr>
              <w:t>рш</w:t>
            </w:r>
            <w:r w:rsidR="00A56E08">
              <w:rPr>
                <w:rFonts w:ascii="Arial" w:hAnsi="Arial" w:cs="Arial"/>
                <w:lang w:val="sr-Cyrl-BA"/>
              </w:rPr>
              <w:t>к</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у</w:t>
            </w:r>
            <w:r w:rsidR="00892898" w:rsidRPr="00F6340E">
              <w:rPr>
                <w:rFonts w:ascii="Arial" w:hAnsi="Arial" w:cs="Arial"/>
                <w:lang w:val="sr-Cyrl-BA"/>
              </w:rPr>
              <w:t xml:space="preserve"> </w:t>
            </w:r>
            <w:r w:rsidR="00A56E08">
              <w:rPr>
                <w:rFonts w:ascii="Arial" w:hAnsi="Arial" w:cs="Arial"/>
                <w:lang w:val="sr-Cyrl-BA"/>
              </w:rPr>
              <w:t>ок</w:t>
            </w:r>
            <w:r>
              <w:rPr>
                <w:rFonts w:ascii="Arial" w:hAnsi="Arial" w:cs="Arial"/>
                <w:lang w:val="sr-Cyrl-BA"/>
              </w:rPr>
              <w:t>в</w:t>
            </w:r>
            <w:r w:rsidR="00A56E08">
              <w:rPr>
                <w:rFonts w:ascii="Arial" w:hAnsi="Arial" w:cs="Arial"/>
                <w:lang w:val="sr-Cyrl-BA"/>
              </w:rPr>
              <w:t>и</w:t>
            </w:r>
            <w:r>
              <w:rPr>
                <w:rFonts w:ascii="Arial" w:hAnsi="Arial" w:cs="Arial"/>
                <w:lang w:val="sr-Cyrl-BA"/>
              </w:rPr>
              <w:t>ру</w:t>
            </w:r>
            <w:r w:rsidR="00892898" w:rsidRPr="00F6340E">
              <w:rPr>
                <w:rFonts w:ascii="Arial" w:hAnsi="Arial" w:cs="Arial"/>
                <w:lang w:val="sr-Cyrl-BA"/>
              </w:rPr>
              <w:t xml:space="preserve"> </w:t>
            </w:r>
            <w:r>
              <w:rPr>
                <w:rFonts w:ascii="Arial" w:hAnsi="Arial" w:cs="Arial"/>
                <w:lang w:val="sr-Cyrl-BA"/>
              </w:rPr>
              <w:t>с</w:t>
            </w:r>
            <w:r w:rsidR="00A56E08">
              <w:rPr>
                <w:rFonts w:ascii="Arial" w:hAnsi="Arial" w:cs="Arial"/>
                <w:lang w:val="sr-Cyrl-BA"/>
              </w:rPr>
              <w:t>и</w:t>
            </w:r>
            <w:r>
              <w:rPr>
                <w:rFonts w:ascii="Arial" w:hAnsi="Arial" w:cs="Arial"/>
                <w:lang w:val="sr-Cyrl-BA"/>
              </w:rPr>
              <w:t>ст</w:t>
            </w:r>
            <w:r w:rsidR="00EE6AA2">
              <w:rPr>
                <w:rFonts w:ascii="Arial" w:hAnsi="Arial" w:cs="Arial"/>
                <w:lang w:val="sr-Cyrl-BA"/>
              </w:rPr>
              <w:t>е</w:t>
            </w:r>
            <w:r w:rsidR="00A56E08">
              <w:rPr>
                <w:rFonts w:ascii="Arial" w:hAnsi="Arial" w:cs="Arial"/>
                <w:lang w:val="sr-Cyrl-BA"/>
              </w:rPr>
              <w:t>ма</w:t>
            </w:r>
            <w:r w:rsidR="00892898" w:rsidRPr="00F6340E">
              <w:rPr>
                <w:rFonts w:ascii="Arial" w:hAnsi="Arial" w:cs="Arial"/>
                <w:lang w:val="sr-Cyrl-BA"/>
              </w:rPr>
              <w:t xml:space="preserve">. </w:t>
            </w:r>
            <w:r>
              <w:rPr>
                <w:rFonts w:ascii="Arial" w:hAnsi="Arial" w:cs="Arial"/>
                <w:lang w:val="sr-Cyrl-BA"/>
              </w:rPr>
              <w:t>Р</w:t>
            </w:r>
            <w:r w:rsidR="00A56E08">
              <w:rPr>
                <w:rFonts w:ascii="Arial" w:hAnsi="Arial" w:cs="Arial"/>
                <w:lang w:val="sr-Cyrl-BA"/>
              </w:rPr>
              <w:t>ади</w:t>
            </w:r>
            <w:r w:rsidR="00892898" w:rsidRPr="00F6340E">
              <w:rPr>
                <w:rFonts w:ascii="Arial" w:hAnsi="Arial" w:cs="Arial"/>
                <w:lang w:val="sr-Cyrl-BA"/>
              </w:rPr>
              <w:t xml:space="preserve"> </w:t>
            </w:r>
            <w:r>
              <w:rPr>
                <w:rFonts w:ascii="Arial" w:hAnsi="Arial" w:cs="Arial"/>
                <w:lang w:val="sr-Cyrl-BA"/>
              </w:rPr>
              <w:t>с</w:t>
            </w:r>
            <w:r w:rsidR="00EE6AA2">
              <w:rPr>
                <w:rFonts w:ascii="Arial" w:hAnsi="Arial" w:cs="Arial"/>
                <w:lang w:val="sr-Cyrl-BA"/>
              </w:rPr>
              <w:t>е</w:t>
            </w:r>
            <w:r w:rsidR="00892898" w:rsidRPr="00F6340E">
              <w:rPr>
                <w:rFonts w:ascii="Arial" w:hAnsi="Arial" w:cs="Arial"/>
                <w:lang w:val="sr-Cyrl-BA"/>
              </w:rPr>
              <w:t xml:space="preserve"> </w:t>
            </w:r>
            <w:r w:rsidR="00A56E08">
              <w:rPr>
                <w:rFonts w:ascii="Arial" w:hAnsi="Arial" w:cs="Arial"/>
                <w:lang w:val="sr-Cyrl-BA"/>
              </w:rPr>
              <w:t>о</w:t>
            </w:r>
            <w:r w:rsidR="00892898" w:rsidRPr="00F6340E">
              <w:rPr>
                <w:rFonts w:ascii="Arial" w:hAnsi="Arial" w:cs="Arial"/>
                <w:lang w:val="sr-Cyrl-BA"/>
              </w:rPr>
              <w:t xml:space="preserve"> </w:t>
            </w:r>
            <w:r>
              <w:rPr>
                <w:rFonts w:ascii="Arial" w:hAnsi="Arial" w:cs="Arial"/>
                <w:lang w:val="sr-Cyrl-BA"/>
              </w:rPr>
              <w:t>у</w:t>
            </w:r>
            <w:r w:rsidR="00A56E08">
              <w:rPr>
                <w:rFonts w:ascii="Arial" w:hAnsi="Arial" w:cs="Arial"/>
                <w:lang w:val="sr-Cyrl-BA"/>
              </w:rPr>
              <w:t>на</w:t>
            </w:r>
            <w:r>
              <w:rPr>
                <w:rFonts w:ascii="Arial" w:hAnsi="Arial" w:cs="Arial"/>
                <w:lang w:val="sr-Cyrl-BA"/>
              </w:rPr>
              <w:t>пр</w:t>
            </w:r>
            <w:r w:rsidR="00A56E08">
              <w:rPr>
                <w:rFonts w:ascii="Arial" w:hAnsi="Arial" w:cs="Arial"/>
                <w:lang w:val="sr-Cyrl-BA"/>
              </w:rPr>
              <w:t>ј</w:t>
            </w:r>
            <w:r w:rsidR="00EE6AA2">
              <w:rPr>
                <w:rFonts w:ascii="Arial" w:hAnsi="Arial" w:cs="Arial"/>
                <w:lang w:val="sr-Cyrl-BA"/>
              </w:rPr>
              <w:t>е</w:t>
            </w:r>
            <w:r w:rsidR="00A56E08">
              <w:rPr>
                <w:rFonts w:ascii="Arial" w:hAnsi="Arial" w:cs="Arial"/>
                <w:lang w:val="sr-Cyrl-BA"/>
              </w:rPr>
              <w:t>ђ</w:t>
            </w:r>
            <w:r w:rsidR="00EE6AA2">
              <w:rPr>
                <w:rFonts w:ascii="Arial" w:hAnsi="Arial" w:cs="Arial"/>
                <w:lang w:val="sr-Cyrl-BA"/>
              </w:rPr>
              <w:t>е</w:t>
            </w:r>
            <w:r w:rsidR="00A56E08">
              <w:rPr>
                <w:rFonts w:ascii="Arial" w:hAnsi="Arial" w:cs="Arial"/>
                <w:lang w:val="sr-Cyrl-BA"/>
              </w:rPr>
              <w:t>њ</w:t>
            </w:r>
            <w:r>
              <w:rPr>
                <w:rFonts w:ascii="Arial" w:hAnsi="Arial" w:cs="Arial"/>
                <w:lang w:val="sr-Cyrl-BA"/>
              </w:rPr>
              <w:t>у</w:t>
            </w:r>
            <w:r w:rsidR="00892898" w:rsidRPr="00F6340E">
              <w:rPr>
                <w:rFonts w:ascii="Arial" w:hAnsi="Arial" w:cs="Arial"/>
                <w:lang w:val="sr-Cyrl-BA"/>
              </w:rPr>
              <w:t xml:space="preserve"> </w:t>
            </w:r>
            <w:r>
              <w:rPr>
                <w:rFonts w:ascii="Arial" w:hAnsi="Arial" w:cs="Arial"/>
                <w:lang w:val="sr-Cyrl-BA"/>
              </w:rPr>
              <w:t>п</w:t>
            </w:r>
            <w:r w:rsidR="00EE6AA2">
              <w:rPr>
                <w:rFonts w:ascii="Arial" w:hAnsi="Arial" w:cs="Arial"/>
                <w:lang w:val="sr-Cyrl-BA"/>
              </w:rPr>
              <w:t>е</w:t>
            </w:r>
            <w:r w:rsidR="00A56E08">
              <w:rPr>
                <w:rFonts w:ascii="Arial" w:hAnsi="Arial" w:cs="Arial"/>
                <w:lang w:val="sr-Cyrl-BA"/>
              </w:rPr>
              <w:t>даго</w:t>
            </w:r>
            <w:r>
              <w:rPr>
                <w:rFonts w:ascii="Arial" w:hAnsi="Arial" w:cs="Arial"/>
                <w:lang w:val="sr-Cyrl-BA"/>
              </w:rPr>
              <w:t>ш</w:t>
            </w:r>
            <w:r w:rsidR="00A56E08">
              <w:rPr>
                <w:rFonts w:ascii="Arial" w:hAnsi="Arial" w:cs="Arial"/>
                <w:lang w:val="sr-Cyrl-BA"/>
              </w:rPr>
              <w:t>ких</w:t>
            </w:r>
            <w:r w:rsidR="00892898" w:rsidRPr="00F6340E">
              <w:rPr>
                <w:rFonts w:ascii="Arial" w:hAnsi="Arial" w:cs="Arial"/>
                <w:lang w:val="sr-Cyrl-BA"/>
              </w:rPr>
              <w:t xml:space="preserve"> </w:t>
            </w:r>
            <w:r w:rsidR="00A56E08">
              <w:rPr>
                <w:rFonts w:ascii="Arial" w:hAnsi="Arial" w:cs="Arial"/>
                <w:lang w:val="sr-Cyrl-BA"/>
              </w:rPr>
              <w:t>и</w:t>
            </w:r>
            <w:r w:rsidR="00892898" w:rsidRPr="00F6340E">
              <w:rPr>
                <w:rFonts w:ascii="Arial" w:hAnsi="Arial" w:cs="Arial"/>
                <w:lang w:val="sr-Cyrl-BA"/>
              </w:rPr>
              <w:t xml:space="preserve"> </w:t>
            </w:r>
            <w:r w:rsidR="00A56E08">
              <w:rPr>
                <w:rFonts w:ascii="Arial" w:hAnsi="Arial" w:cs="Arial"/>
                <w:lang w:val="sr-Cyrl-BA"/>
              </w:rPr>
              <w:t>диги</w:t>
            </w:r>
            <w:r>
              <w:rPr>
                <w:rFonts w:ascii="Arial" w:hAnsi="Arial" w:cs="Arial"/>
                <w:lang w:val="sr-Cyrl-BA"/>
              </w:rPr>
              <w:t>т</w:t>
            </w:r>
            <w:r w:rsidR="00A56E08">
              <w:rPr>
                <w:rFonts w:ascii="Arial" w:hAnsi="Arial" w:cs="Arial"/>
                <w:lang w:val="sr-Cyrl-BA"/>
              </w:rPr>
              <w:t>алних</w:t>
            </w:r>
            <w:r w:rsidR="00892898" w:rsidRPr="00F6340E">
              <w:rPr>
                <w:rFonts w:ascii="Arial" w:hAnsi="Arial" w:cs="Arial"/>
                <w:lang w:val="sr-Cyrl-BA"/>
              </w:rPr>
              <w:t xml:space="preserve"> </w:t>
            </w:r>
            <w:r w:rsidR="00A56E08">
              <w:rPr>
                <w:rFonts w:ascii="Arial" w:hAnsi="Arial" w:cs="Arial"/>
                <w:lang w:val="sr-Cyrl-BA"/>
              </w:rPr>
              <w:t>ком</w:t>
            </w:r>
            <w:r>
              <w:rPr>
                <w:rFonts w:ascii="Arial" w:hAnsi="Arial" w:cs="Arial"/>
                <w:lang w:val="sr-Cyrl-BA"/>
              </w:rPr>
              <w:t>п</w:t>
            </w:r>
            <w:r w:rsidR="00EE6AA2">
              <w:rPr>
                <w:rFonts w:ascii="Arial" w:hAnsi="Arial" w:cs="Arial"/>
                <w:lang w:val="sr-Cyrl-BA"/>
              </w:rPr>
              <w:t>е</w:t>
            </w:r>
            <w:r>
              <w:rPr>
                <w:rFonts w:ascii="Arial" w:hAnsi="Arial" w:cs="Arial"/>
                <w:lang w:val="sr-Cyrl-BA"/>
              </w:rPr>
              <w:t>т</w:t>
            </w:r>
            <w:r w:rsidR="00EE6AA2">
              <w:rPr>
                <w:rFonts w:ascii="Arial" w:hAnsi="Arial" w:cs="Arial"/>
                <w:lang w:val="sr-Cyrl-BA"/>
              </w:rPr>
              <w:t>е</w:t>
            </w:r>
            <w:r w:rsidR="00A56E08">
              <w:rPr>
                <w:rFonts w:ascii="Arial" w:hAnsi="Arial" w:cs="Arial"/>
                <w:lang w:val="sr-Cyrl-BA"/>
              </w:rPr>
              <w:t>нција</w:t>
            </w:r>
            <w:r w:rsidR="00892898" w:rsidRPr="00F6340E">
              <w:rPr>
                <w:rFonts w:ascii="Arial" w:hAnsi="Arial" w:cs="Arial"/>
                <w:lang w:val="sr-Cyrl-BA"/>
              </w:rPr>
              <w:t>.</w:t>
            </w:r>
          </w:p>
          <w:p w14:paraId="163E953A" w14:textId="55AD1AD5" w:rsidR="00413D2D" w:rsidRPr="00F6340E" w:rsidRDefault="0071360A" w:rsidP="00FB5CB7">
            <w:pPr>
              <w:pStyle w:val="ListParagraph"/>
              <w:numPr>
                <w:ilvl w:val="0"/>
                <w:numId w:val="41"/>
              </w:numPr>
              <w:jc w:val="left"/>
              <w:textAlignment w:val="baseline"/>
              <w:rPr>
                <w:rFonts w:ascii="Arial" w:eastAsiaTheme="minorEastAsia" w:hAnsi="Arial" w:cs="Arial"/>
                <w:b/>
                <w:color w:val="000000" w:themeColor="text1"/>
                <w:lang w:val="sr-Cyrl-BA"/>
              </w:rPr>
            </w:pPr>
            <w:r>
              <w:rPr>
                <w:rFonts w:ascii="Arial" w:eastAsiaTheme="minorEastAsia" w:hAnsi="Arial" w:cs="Arial"/>
                <w:b/>
                <w:color w:val="000000" w:themeColor="text1"/>
                <w:lang w:val="sr-Cyrl-BA"/>
              </w:rPr>
              <w:t>У</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пр</w:t>
            </w:r>
            <w:r w:rsidR="00A56E08">
              <w:rPr>
                <w:rFonts w:ascii="Arial" w:eastAsiaTheme="minorEastAsia" w:hAnsi="Arial" w:cs="Arial"/>
                <w:b/>
                <w:color w:val="000000" w:themeColor="text1"/>
                <w:lang w:val="sr-Cyrl-BA"/>
              </w:rPr>
              <w:t>оц</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су</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и</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бо</w:t>
            </w:r>
            <w:r>
              <w:rPr>
                <w:rFonts w:ascii="Arial" w:eastAsiaTheme="minorEastAsia" w:hAnsi="Arial" w:cs="Arial"/>
                <w:b/>
                <w:color w:val="000000" w:themeColor="text1"/>
                <w:lang w:val="sr-Cyrl-BA"/>
              </w:rPr>
              <w:t>р</w:t>
            </w:r>
            <w:r w:rsidR="00A56E08">
              <w:rPr>
                <w:rFonts w:ascii="Arial" w:eastAsiaTheme="minorEastAsia" w:hAnsi="Arial" w:cs="Arial"/>
                <w:b/>
                <w:color w:val="000000" w:themeColor="text1"/>
                <w:lang w:val="sr-Cyrl-BA"/>
              </w:rPr>
              <w:t>а</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п</w:t>
            </w:r>
            <w:r w:rsidR="00A56E08">
              <w:rPr>
                <w:rFonts w:ascii="Arial" w:eastAsiaTheme="minorEastAsia" w:hAnsi="Arial" w:cs="Arial"/>
                <w:b/>
                <w:color w:val="000000" w:themeColor="text1"/>
                <w:lang w:val="sr-Cyrl-BA"/>
              </w:rPr>
              <w:t>о</w:t>
            </w:r>
            <w:r>
              <w:rPr>
                <w:rFonts w:ascii="Arial" w:eastAsiaTheme="minorEastAsia" w:hAnsi="Arial" w:cs="Arial"/>
                <w:b/>
                <w:color w:val="000000" w:themeColor="text1"/>
                <w:lang w:val="sr-Cyrl-BA"/>
              </w:rPr>
              <w:t>ш</w:t>
            </w:r>
            <w:r w:rsidR="00A56E08">
              <w:rPr>
                <w:rFonts w:ascii="Arial" w:eastAsiaTheme="minorEastAsia" w:hAnsi="Arial" w:cs="Arial"/>
                <w:b/>
                <w:color w:val="000000" w:themeColor="text1"/>
                <w:lang w:val="sr-Cyrl-BA"/>
              </w:rPr>
              <w:t>ља</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ања</w:t>
            </w:r>
            <w:r w:rsidR="00892898"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вр</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дно</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т</w:t>
            </w:r>
            <w:r w:rsidR="00A56E08">
              <w:rPr>
                <w:rFonts w:ascii="Arial" w:eastAsiaTheme="minorEastAsia" w:hAnsi="Arial" w:cs="Arial"/>
                <w:b/>
                <w:color w:val="000000" w:themeColor="text1"/>
                <w:lang w:val="sr-Cyrl-BA"/>
              </w:rPr>
              <w:t>и</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о</w:t>
            </w:r>
            <w:r>
              <w:rPr>
                <w:rFonts w:ascii="Arial" w:eastAsiaTheme="minorEastAsia" w:hAnsi="Arial" w:cs="Arial"/>
                <w:b/>
                <w:color w:val="000000" w:themeColor="text1"/>
                <w:lang w:val="sr-Cyrl-BA"/>
              </w:rPr>
              <w:t>с</w:t>
            </w:r>
            <w:r w:rsidR="00A56E08">
              <w:rPr>
                <w:rFonts w:ascii="Arial" w:eastAsiaTheme="minorEastAsia" w:hAnsi="Arial" w:cs="Arial"/>
                <w:b/>
                <w:color w:val="000000" w:themeColor="text1"/>
                <w:lang w:val="sr-Cyrl-BA"/>
              </w:rPr>
              <w:t>но</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диги</w:t>
            </w:r>
            <w:r>
              <w:rPr>
                <w:rFonts w:ascii="Arial" w:eastAsiaTheme="minorEastAsia" w:hAnsi="Arial" w:cs="Arial"/>
                <w:b/>
                <w:color w:val="000000" w:themeColor="text1"/>
                <w:lang w:val="sr-Cyrl-BA"/>
              </w:rPr>
              <w:t>т</w:t>
            </w:r>
            <w:r w:rsidR="00A56E08">
              <w:rPr>
                <w:rFonts w:ascii="Arial" w:eastAsiaTheme="minorEastAsia" w:hAnsi="Arial" w:cs="Arial"/>
                <w:b/>
                <w:color w:val="000000" w:themeColor="text1"/>
                <w:lang w:val="sr-Cyrl-BA"/>
              </w:rPr>
              <w:t>алн</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ком</w:t>
            </w:r>
            <w:r>
              <w:rPr>
                <w:rFonts w:ascii="Arial" w:eastAsiaTheme="minorEastAsia" w:hAnsi="Arial" w:cs="Arial"/>
                <w:b/>
                <w:color w:val="000000" w:themeColor="text1"/>
                <w:lang w:val="sr-Cyrl-BA"/>
              </w:rPr>
              <w:t>п</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т</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нциј</w:t>
            </w:r>
            <w:r w:rsidR="00EE6AA2">
              <w:rPr>
                <w:rFonts w:ascii="Arial" w:eastAsiaTheme="minorEastAsia" w:hAnsi="Arial" w:cs="Arial"/>
                <w:b/>
                <w:color w:val="000000" w:themeColor="text1"/>
                <w:lang w:val="sr-Cyrl-BA"/>
              </w:rPr>
              <w:t>е</w:t>
            </w:r>
            <w:r w:rsidR="00892898"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на</w:t>
            </w:r>
            <w:r>
              <w:rPr>
                <w:rFonts w:ascii="Arial" w:eastAsiaTheme="minorEastAsia" w:hAnsi="Arial" w:cs="Arial"/>
                <w:b/>
                <w:color w:val="000000" w:themeColor="text1"/>
                <w:lang w:val="sr-Cyrl-BA"/>
              </w:rPr>
              <w:t>ст</w:t>
            </w:r>
            <w:r w:rsidR="00A56E08">
              <w:rPr>
                <w:rFonts w:ascii="Arial" w:eastAsiaTheme="minorEastAsia" w:hAnsi="Arial" w:cs="Arial"/>
                <w:b/>
                <w:color w:val="000000" w:themeColor="text1"/>
                <w:lang w:val="sr-Cyrl-BA"/>
              </w:rPr>
              <w:t>а</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ника</w:t>
            </w:r>
            <w:r w:rsidR="00413D2D"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као</w:t>
            </w:r>
            <w:r w:rsidR="00413D2D"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и</w:t>
            </w:r>
            <w:r w:rsidR="00413D2D" w:rsidRPr="00F6340E">
              <w:rPr>
                <w:rFonts w:ascii="Arial" w:eastAsiaTheme="minorEastAsia" w:hAnsi="Arial" w:cs="Arial"/>
                <w:b/>
                <w:color w:val="000000" w:themeColor="text1"/>
                <w:lang w:val="sr-Cyrl-BA"/>
              </w:rPr>
              <w:t xml:space="preserve"> </w:t>
            </w:r>
            <w:r>
              <w:rPr>
                <w:rFonts w:ascii="Arial" w:eastAsiaTheme="minorEastAsia" w:hAnsi="Arial" w:cs="Arial"/>
                <w:b/>
                <w:color w:val="000000" w:themeColor="text1"/>
                <w:lang w:val="sr-Cyrl-BA"/>
              </w:rPr>
              <w:t>п</w:t>
            </w:r>
            <w:r w:rsidR="00A56E08">
              <w:rPr>
                <w:rFonts w:ascii="Arial" w:eastAsiaTheme="minorEastAsia" w:hAnsi="Arial" w:cs="Arial"/>
                <w:b/>
                <w:color w:val="000000" w:themeColor="text1"/>
                <w:lang w:val="sr-Cyrl-BA"/>
              </w:rPr>
              <w:t>о</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на</w:t>
            </w:r>
            <w:r>
              <w:rPr>
                <w:rFonts w:ascii="Arial" w:eastAsiaTheme="minorEastAsia" w:hAnsi="Arial" w:cs="Arial"/>
                <w:b/>
                <w:color w:val="000000" w:themeColor="text1"/>
                <w:lang w:val="sr-Cyrl-BA"/>
              </w:rPr>
              <w:t>в</w:t>
            </w:r>
            <w:r w:rsidR="00A56E08">
              <w:rPr>
                <w:rFonts w:ascii="Arial" w:eastAsiaTheme="minorEastAsia" w:hAnsi="Arial" w:cs="Arial"/>
                <w:b/>
                <w:color w:val="000000" w:themeColor="text1"/>
                <w:lang w:val="sr-Cyrl-BA"/>
              </w:rPr>
              <w:t>ањ</w:t>
            </w:r>
            <w:r w:rsidR="00EE6AA2">
              <w:rPr>
                <w:rFonts w:ascii="Arial" w:eastAsiaTheme="minorEastAsia" w:hAnsi="Arial" w:cs="Arial"/>
                <w:b/>
                <w:color w:val="000000" w:themeColor="text1"/>
                <w:lang w:val="sr-Cyrl-BA"/>
              </w:rPr>
              <w:t>е</w:t>
            </w:r>
            <w:r w:rsidR="00741A05" w:rsidRPr="00F6340E">
              <w:rPr>
                <w:rFonts w:ascii="Arial" w:eastAsiaTheme="minorEastAsia" w:hAnsi="Arial" w:cs="Arial"/>
                <w:b/>
                <w:color w:val="000000" w:themeColor="text1"/>
                <w:lang w:val="sr-Cyrl-BA"/>
              </w:rPr>
              <w:t xml:space="preserve"> </w:t>
            </w:r>
            <w:r w:rsidR="00EE6AA2">
              <w:rPr>
                <w:rFonts w:ascii="Arial" w:eastAsiaTheme="minorEastAsia" w:hAnsi="Arial" w:cs="Arial"/>
                <w:b/>
                <w:color w:val="000000" w:themeColor="text1"/>
                <w:lang w:val="sr-Cyrl-BA"/>
              </w:rPr>
              <w:t>е</w:t>
            </w:r>
            <w:r w:rsidR="00A56E08">
              <w:rPr>
                <w:rFonts w:ascii="Arial" w:eastAsiaTheme="minorEastAsia" w:hAnsi="Arial" w:cs="Arial"/>
                <w:b/>
                <w:color w:val="000000" w:themeColor="text1"/>
                <w:lang w:val="sr-Cyrl-BA"/>
              </w:rPr>
              <w:t>нгл</w:t>
            </w:r>
            <w:r w:rsidR="00EE6AA2">
              <w:rPr>
                <w:rFonts w:ascii="Arial" w:eastAsiaTheme="minorEastAsia" w:hAnsi="Arial" w:cs="Arial"/>
                <w:b/>
                <w:color w:val="000000" w:themeColor="text1"/>
                <w:lang w:val="sr-Cyrl-BA"/>
              </w:rPr>
              <w:t>е</w:t>
            </w:r>
            <w:r>
              <w:rPr>
                <w:rFonts w:ascii="Arial" w:eastAsiaTheme="minorEastAsia" w:hAnsi="Arial" w:cs="Arial"/>
                <w:b/>
                <w:color w:val="000000" w:themeColor="text1"/>
                <w:lang w:val="sr-Cyrl-BA"/>
              </w:rPr>
              <w:t>с</w:t>
            </w:r>
            <w:r w:rsidR="00A56E08">
              <w:rPr>
                <w:rFonts w:ascii="Arial" w:eastAsiaTheme="minorEastAsia" w:hAnsi="Arial" w:cs="Arial"/>
                <w:b/>
                <w:color w:val="000000" w:themeColor="text1"/>
                <w:lang w:val="sr-Cyrl-BA"/>
              </w:rPr>
              <w:t>ког</w:t>
            </w:r>
            <w:r w:rsidR="00741A05"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ј</w:t>
            </w:r>
            <w:r w:rsidR="00EE6AA2">
              <w:rPr>
                <w:rFonts w:ascii="Arial" w:eastAsiaTheme="minorEastAsia" w:hAnsi="Arial" w:cs="Arial"/>
                <w:b/>
                <w:color w:val="000000" w:themeColor="text1"/>
                <w:lang w:val="sr-Cyrl-BA"/>
              </w:rPr>
              <w:t>е</w:t>
            </w:r>
            <w:r w:rsidR="00171F00">
              <w:rPr>
                <w:rFonts w:ascii="Arial" w:eastAsiaTheme="minorEastAsia" w:hAnsi="Arial" w:cs="Arial"/>
                <w:b/>
                <w:color w:val="000000" w:themeColor="text1"/>
                <w:lang w:val="sr-Cyrl-BA"/>
              </w:rPr>
              <w:t>з</w:t>
            </w:r>
            <w:r w:rsidR="00A56E08">
              <w:rPr>
                <w:rFonts w:ascii="Arial" w:eastAsiaTheme="minorEastAsia" w:hAnsi="Arial" w:cs="Arial"/>
                <w:b/>
                <w:color w:val="000000" w:themeColor="text1"/>
                <w:lang w:val="sr-Cyrl-BA"/>
              </w:rPr>
              <w:t>ика</w:t>
            </w:r>
            <w:r w:rsidR="00B04FA8">
              <w:rPr>
                <w:rFonts w:ascii="Arial" w:eastAsiaTheme="minorEastAsia" w:hAnsi="Arial" w:cs="Arial"/>
                <w:b/>
                <w:color w:val="000000" w:themeColor="text1"/>
                <w:lang w:val="sr-Cyrl-BA"/>
              </w:rPr>
              <w:t xml:space="preserve"> </w:t>
            </w:r>
            <w:r w:rsidR="001F2F40">
              <w:rPr>
                <w:rFonts w:ascii="Arial" w:eastAsiaTheme="minorEastAsia" w:hAnsi="Arial" w:cs="Arial"/>
                <w:b/>
                <w:color w:val="000000" w:themeColor="text1"/>
                <w:lang w:val="sr-Cyrl-BA"/>
              </w:rPr>
              <w:t>с обзиром</w:t>
            </w:r>
            <w:r w:rsidR="00413D2D" w:rsidRPr="00F6340E">
              <w:rPr>
                <w:rFonts w:ascii="Arial" w:eastAsiaTheme="minorEastAsia" w:hAnsi="Arial" w:cs="Arial"/>
                <w:b/>
                <w:color w:val="000000" w:themeColor="text1"/>
                <w:lang w:val="sr-Cyrl-BA"/>
              </w:rPr>
              <w:t xml:space="preserve"> </w:t>
            </w:r>
            <w:r w:rsidR="00A56E08">
              <w:rPr>
                <w:rFonts w:ascii="Arial" w:eastAsiaTheme="minorEastAsia" w:hAnsi="Arial" w:cs="Arial"/>
                <w:b/>
                <w:color w:val="000000" w:themeColor="text1"/>
                <w:lang w:val="sr-Cyrl-BA"/>
              </w:rPr>
              <w:t>да</w:t>
            </w:r>
            <w:r w:rsidR="00413D2D" w:rsidRPr="00F6340E">
              <w:rPr>
                <w:rFonts w:ascii="Arial" w:eastAsiaTheme="minorEastAsia" w:hAnsi="Arial" w:cs="Arial"/>
                <w:b/>
                <w:color w:val="000000" w:themeColor="text1"/>
                <w:lang w:val="sr-Cyrl-BA"/>
              </w:rPr>
              <w:t xml:space="preserve"> </w:t>
            </w:r>
            <w:r w:rsidR="00A56E08">
              <w:rPr>
                <w:rFonts w:ascii="Arial" w:hAnsi="Arial" w:cs="Arial"/>
                <w:b/>
                <w:lang w:val="sr-Cyrl-BA"/>
              </w:rPr>
              <w:t>н</w:t>
            </w:r>
            <w:r w:rsidR="00EE6AA2">
              <w:rPr>
                <w:rFonts w:ascii="Arial" w:hAnsi="Arial" w:cs="Arial"/>
                <w:b/>
                <w:lang w:val="sr-Cyrl-BA"/>
              </w:rPr>
              <w:t>е</w:t>
            </w:r>
            <w:r w:rsidR="00A56E08">
              <w:rPr>
                <w:rFonts w:ascii="Arial" w:hAnsi="Arial" w:cs="Arial"/>
                <w:b/>
                <w:lang w:val="sr-Cyrl-BA"/>
              </w:rPr>
              <w:t>до</w:t>
            </w:r>
            <w:r>
              <w:rPr>
                <w:rFonts w:ascii="Arial" w:hAnsi="Arial" w:cs="Arial"/>
                <w:b/>
                <w:lang w:val="sr-Cyrl-BA"/>
              </w:rPr>
              <w:t>в</w:t>
            </w:r>
            <w:r w:rsidR="00A56E08">
              <w:rPr>
                <w:rFonts w:ascii="Arial" w:hAnsi="Arial" w:cs="Arial"/>
                <w:b/>
                <w:lang w:val="sr-Cyrl-BA"/>
              </w:rPr>
              <w:t>ољно</w:t>
            </w:r>
            <w:r w:rsidR="00413D2D"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w:t>
            </w:r>
            <w:r w:rsidR="00171F00">
              <w:rPr>
                <w:rFonts w:ascii="Arial" w:hAnsi="Arial" w:cs="Arial"/>
                <w:b/>
                <w:lang w:val="sr-Cyrl-BA"/>
              </w:rPr>
              <w:t>з</w:t>
            </w:r>
            <w:r w:rsidR="00A56E08">
              <w:rPr>
                <w:rFonts w:ascii="Arial" w:hAnsi="Arial" w:cs="Arial"/>
                <w:b/>
                <w:lang w:val="sr-Cyrl-BA"/>
              </w:rPr>
              <w:t>на</w:t>
            </w:r>
            <w:r>
              <w:rPr>
                <w:rFonts w:ascii="Arial" w:hAnsi="Arial" w:cs="Arial"/>
                <w:b/>
                <w:lang w:val="sr-Cyrl-BA"/>
              </w:rPr>
              <w:t>в</w:t>
            </w:r>
            <w:r w:rsidR="00A56E08">
              <w:rPr>
                <w:rFonts w:ascii="Arial" w:hAnsi="Arial" w:cs="Arial"/>
                <w:b/>
                <w:lang w:val="sr-Cyrl-BA"/>
              </w:rPr>
              <w:t>ањ</w:t>
            </w:r>
            <w:r w:rsidR="00EE6AA2">
              <w:rPr>
                <w:rFonts w:ascii="Arial" w:hAnsi="Arial" w:cs="Arial"/>
                <w:b/>
                <w:lang w:val="sr-Cyrl-BA"/>
              </w:rPr>
              <w:t>е</w:t>
            </w:r>
            <w:r w:rsidR="00413D2D" w:rsidRPr="00F6340E">
              <w:rPr>
                <w:rFonts w:ascii="Arial" w:hAnsi="Arial" w:cs="Arial"/>
                <w:b/>
                <w:lang w:val="sr-Cyrl-BA"/>
              </w:rPr>
              <w:t xml:space="preserve"> </w:t>
            </w:r>
            <w:r w:rsidR="00EE6AA2">
              <w:rPr>
                <w:rFonts w:ascii="Arial" w:hAnsi="Arial" w:cs="Arial"/>
                <w:b/>
                <w:lang w:val="sr-Cyrl-BA"/>
              </w:rPr>
              <w:t>е</w:t>
            </w:r>
            <w:r w:rsidR="00A56E08">
              <w:rPr>
                <w:rFonts w:ascii="Arial" w:hAnsi="Arial" w:cs="Arial"/>
                <w:b/>
                <w:lang w:val="sr-Cyrl-BA"/>
              </w:rPr>
              <w:t>нгл</w:t>
            </w:r>
            <w:r w:rsidR="00EE6AA2">
              <w:rPr>
                <w:rFonts w:ascii="Arial" w:hAnsi="Arial" w:cs="Arial"/>
                <w:b/>
                <w:lang w:val="sr-Cyrl-BA"/>
              </w:rPr>
              <w:t>е</w:t>
            </w:r>
            <w:r>
              <w:rPr>
                <w:rFonts w:ascii="Arial" w:hAnsi="Arial" w:cs="Arial"/>
                <w:b/>
                <w:lang w:val="sr-Cyrl-BA"/>
              </w:rPr>
              <w:t>с</w:t>
            </w:r>
            <w:r w:rsidR="00A56E08">
              <w:rPr>
                <w:rFonts w:ascii="Arial" w:hAnsi="Arial" w:cs="Arial"/>
                <w:b/>
                <w:lang w:val="sr-Cyrl-BA"/>
              </w:rPr>
              <w:t>ког</w:t>
            </w:r>
            <w:r w:rsidR="00413D2D" w:rsidRPr="00F6340E">
              <w:rPr>
                <w:rFonts w:ascii="Arial" w:hAnsi="Arial" w:cs="Arial"/>
                <w:b/>
                <w:lang w:val="sr-Cyrl-BA"/>
              </w:rPr>
              <w:t xml:space="preserve"> </w:t>
            </w:r>
            <w:r w:rsidR="00A56E08">
              <w:rPr>
                <w:rFonts w:ascii="Arial" w:hAnsi="Arial" w:cs="Arial"/>
                <w:b/>
                <w:lang w:val="sr-Cyrl-BA"/>
              </w:rPr>
              <w:t>ј</w:t>
            </w:r>
            <w:r w:rsidR="00EE6AA2">
              <w:rPr>
                <w:rFonts w:ascii="Arial" w:hAnsi="Arial" w:cs="Arial"/>
                <w:b/>
                <w:lang w:val="sr-Cyrl-BA"/>
              </w:rPr>
              <w:t>е</w:t>
            </w:r>
            <w:r w:rsidR="00171F00">
              <w:rPr>
                <w:rFonts w:ascii="Arial" w:hAnsi="Arial" w:cs="Arial"/>
                <w:b/>
                <w:lang w:val="sr-Cyrl-BA"/>
              </w:rPr>
              <w:t>з</w:t>
            </w:r>
            <w:r w:rsidR="00A56E08">
              <w:rPr>
                <w:rFonts w:ascii="Arial" w:hAnsi="Arial" w:cs="Arial"/>
                <w:b/>
                <w:lang w:val="sr-Cyrl-BA"/>
              </w:rPr>
              <w:t>ика</w:t>
            </w:r>
            <w:r w:rsidR="00413D2D" w:rsidRPr="00F6340E">
              <w:rPr>
                <w:rFonts w:ascii="Arial" w:hAnsi="Arial" w:cs="Arial"/>
                <w:b/>
                <w:lang w:val="sr-Cyrl-BA"/>
              </w:rPr>
              <w:t xml:space="preserve"> </w:t>
            </w:r>
            <w:r w:rsidR="00A56E08">
              <w:rPr>
                <w:rFonts w:ascii="Arial" w:hAnsi="Arial" w:cs="Arial"/>
                <w:b/>
                <w:lang w:val="sr-Cyrl-BA"/>
              </w:rPr>
              <w:t>од</w:t>
            </w:r>
            <w:r w:rsidR="00413D2D" w:rsidRPr="00F6340E">
              <w:rPr>
                <w:rFonts w:ascii="Arial" w:hAnsi="Arial" w:cs="Arial"/>
                <w:b/>
                <w:lang w:val="sr-Cyrl-BA"/>
              </w:rPr>
              <w:t xml:space="preserve"> </w:t>
            </w:r>
            <w:r>
              <w:rPr>
                <w:rFonts w:ascii="Arial" w:hAnsi="Arial" w:cs="Arial"/>
                <w:b/>
                <w:lang w:val="sr-Cyrl-BA"/>
              </w:rPr>
              <w:t>стр</w:t>
            </w:r>
            <w:r w:rsidR="00A56E08">
              <w:rPr>
                <w:rFonts w:ascii="Arial" w:hAnsi="Arial" w:cs="Arial"/>
                <w:b/>
                <w:lang w:val="sr-Cyrl-BA"/>
              </w:rPr>
              <w:t>ан</w:t>
            </w:r>
            <w:r w:rsidR="00EE6AA2">
              <w:rPr>
                <w:rFonts w:ascii="Arial" w:hAnsi="Arial" w:cs="Arial"/>
                <w:b/>
                <w:lang w:val="sr-Cyrl-BA"/>
              </w:rPr>
              <w:t>е</w:t>
            </w:r>
            <w:r w:rsidR="00413D2D" w:rsidRPr="00F6340E">
              <w:rPr>
                <w:rFonts w:ascii="Arial" w:hAnsi="Arial" w:cs="Arial"/>
                <w:b/>
                <w:lang w:val="sr-Cyrl-BA"/>
              </w:rPr>
              <w:t xml:space="preserve"> </w:t>
            </w:r>
            <w:r w:rsidR="00A56E08">
              <w:rPr>
                <w:rFonts w:ascii="Arial" w:hAnsi="Arial" w:cs="Arial"/>
                <w:b/>
                <w:lang w:val="sr-Cyrl-BA"/>
              </w:rPr>
              <w:t>на</w:t>
            </w:r>
            <w:r>
              <w:rPr>
                <w:rFonts w:ascii="Arial" w:hAnsi="Arial" w:cs="Arial"/>
                <w:b/>
                <w:lang w:val="sr-Cyrl-BA"/>
              </w:rPr>
              <w:t>ст</w:t>
            </w:r>
            <w:r w:rsidR="00A56E08">
              <w:rPr>
                <w:rFonts w:ascii="Arial" w:hAnsi="Arial" w:cs="Arial"/>
                <w:b/>
                <w:lang w:val="sr-Cyrl-BA"/>
              </w:rPr>
              <w:t>а</w:t>
            </w:r>
            <w:r>
              <w:rPr>
                <w:rFonts w:ascii="Arial" w:hAnsi="Arial" w:cs="Arial"/>
                <w:b/>
                <w:lang w:val="sr-Cyrl-BA"/>
              </w:rPr>
              <w:t>в</w:t>
            </w:r>
            <w:r w:rsidR="00A56E08">
              <w:rPr>
                <w:rFonts w:ascii="Arial" w:hAnsi="Arial" w:cs="Arial"/>
                <w:b/>
                <w:lang w:val="sr-Cyrl-BA"/>
              </w:rPr>
              <w:t>ничког</w:t>
            </w:r>
            <w:r w:rsidR="00413D2D"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с</w:t>
            </w:r>
            <w:r w:rsidR="00A56E08">
              <w:rPr>
                <w:rFonts w:ascii="Arial" w:hAnsi="Arial" w:cs="Arial"/>
                <w:b/>
                <w:lang w:val="sr-Cyrl-BA"/>
              </w:rPr>
              <w:t>обља</w:t>
            </w:r>
            <w:r w:rsidR="00413D2D" w:rsidRPr="00F6340E">
              <w:rPr>
                <w:rFonts w:ascii="Arial" w:hAnsi="Arial" w:cs="Arial"/>
                <w:b/>
                <w:lang w:val="sr-Cyrl-BA"/>
              </w:rPr>
              <w:t xml:space="preserve"> </w:t>
            </w:r>
            <w:r>
              <w:rPr>
                <w:rFonts w:ascii="Arial" w:hAnsi="Arial" w:cs="Arial"/>
                <w:b/>
                <w:lang w:val="sr-Cyrl-BA"/>
              </w:rPr>
              <w:t>пр</w:t>
            </w:r>
            <w:r w:rsidR="00EE6AA2">
              <w:rPr>
                <w:rFonts w:ascii="Arial" w:hAnsi="Arial" w:cs="Arial"/>
                <w:b/>
                <w:lang w:val="sr-Cyrl-BA"/>
              </w:rPr>
              <w:t>е</w:t>
            </w:r>
            <w:r w:rsidR="00A56E08">
              <w:rPr>
                <w:rFonts w:ascii="Arial" w:hAnsi="Arial" w:cs="Arial"/>
                <w:b/>
                <w:lang w:val="sr-Cyrl-BA"/>
              </w:rPr>
              <w:t>д</w:t>
            </w:r>
            <w:r>
              <w:rPr>
                <w:rFonts w:ascii="Arial" w:hAnsi="Arial" w:cs="Arial"/>
                <w:b/>
                <w:lang w:val="sr-Cyrl-BA"/>
              </w:rPr>
              <w:t>ст</w:t>
            </w:r>
            <w:r w:rsidR="00A56E08">
              <w:rPr>
                <w:rFonts w:ascii="Arial" w:hAnsi="Arial" w:cs="Arial"/>
                <w:b/>
                <w:lang w:val="sr-Cyrl-BA"/>
              </w:rPr>
              <w:t>а</w:t>
            </w:r>
            <w:r>
              <w:rPr>
                <w:rFonts w:ascii="Arial" w:hAnsi="Arial" w:cs="Arial"/>
                <w:b/>
                <w:lang w:val="sr-Cyrl-BA"/>
              </w:rPr>
              <w:t>в</w:t>
            </w:r>
            <w:r w:rsidR="00A56E08">
              <w:rPr>
                <w:rFonts w:ascii="Arial" w:hAnsi="Arial" w:cs="Arial"/>
                <w:b/>
                <w:lang w:val="sr-Cyrl-BA"/>
              </w:rPr>
              <w:t>ља</w:t>
            </w:r>
            <w:r w:rsidR="00413D2D" w:rsidRPr="00F6340E">
              <w:rPr>
                <w:rFonts w:ascii="Arial" w:hAnsi="Arial" w:cs="Arial"/>
                <w:b/>
                <w:lang w:val="sr-Cyrl-BA"/>
              </w:rPr>
              <w:t xml:space="preserve"> </w:t>
            </w:r>
            <w:r w:rsidR="00A56E08">
              <w:rPr>
                <w:rFonts w:ascii="Arial" w:hAnsi="Arial" w:cs="Arial"/>
                <w:b/>
                <w:lang w:val="sr-Cyrl-BA"/>
              </w:rPr>
              <w:t>ј</w:t>
            </w:r>
            <w:r w:rsidR="00EE6AA2">
              <w:rPr>
                <w:rFonts w:ascii="Arial" w:hAnsi="Arial" w:cs="Arial"/>
                <w:b/>
                <w:lang w:val="sr-Cyrl-BA"/>
              </w:rPr>
              <w:t>е</w:t>
            </w:r>
            <w:r w:rsidR="00A56E08">
              <w:rPr>
                <w:rFonts w:ascii="Arial" w:hAnsi="Arial" w:cs="Arial"/>
                <w:b/>
                <w:lang w:val="sr-Cyrl-BA"/>
              </w:rPr>
              <w:t>дн</w:t>
            </w:r>
            <w:r>
              <w:rPr>
                <w:rFonts w:ascii="Arial" w:hAnsi="Arial" w:cs="Arial"/>
                <w:b/>
                <w:lang w:val="sr-Cyrl-BA"/>
              </w:rPr>
              <w:t>у</w:t>
            </w:r>
            <w:r w:rsidR="00413D2D" w:rsidRPr="00F6340E">
              <w:rPr>
                <w:rFonts w:ascii="Arial" w:hAnsi="Arial" w:cs="Arial"/>
                <w:b/>
                <w:lang w:val="sr-Cyrl-BA"/>
              </w:rPr>
              <w:t xml:space="preserve"> </w:t>
            </w:r>
            <w:r w:rsidR="00A56E08">
              <w:rPr>
                <w:rFonts w:ascii="Arial" w:hAnsi="Arial" w:cs="Arial"/>
                <w:b/>
                <w:lang w:val="sr-Cyrl-BA"/>
              </w:rPr>
              <w:t>од</w:t>
            </w:r>
            <w:r w:rsidR="00413D2D" w:rsidRPr="00F6340E">
              <w:rPr>
                <w:rFonts w:ascii="Arial" w:hAnsi="Arial" w:cs="Arial"/>
                <w:b/>
                <w:lang w:val="sr-Cyrl-BA"/>
              </w:rPr>
              <w:t xml:space="preserve"> </w:t>
            </w:r>
            <w:r>
              <w:rPr>
                <w:rFonts w:ascii="Arial" w:hAnsi="Arial" w:cs="Arial"/>
                <w:b/>
                <w:lang w:val="sr-Cyrl-BA"/>
              </w:rPr>
              <w:t>пр</w:t>
            </w:r>
            <w:r w:rsidR="00EE6AA2">
              <w:rPr>
                <w:rFonts w:ascii="Arial" w:hAnsi="Arial" w:cs="Arial"/>
                <w:b/>
                <w:lang w:val="sr-Cyrl-BA"/>
              </w:rPr>
              <w:t>е</w:t>
            </w:r>
            <w:r>
              <w:rPr>
                <w:rFonts w:ascii="Arial" w:hAnsi="Arial" w:cs="Arial"/>
                <w:b/>
                <w:lang w:val="sr-Cyrl-BA"/>
              </w:rPr>
              <w:t>пр</w:t>
            </w:r>
            <w:r w:rsidR="00EE6AA2">
              <w:rPr>
                <w:rFonts w:ascii="Arial" w:hAnsi="Arial" w:cs="Arial"/>
                <w:b/>
                <w:lang w:val="sr-Cyrl-BA"/>
              </w:rPr>
              <w:t>е</w:t>
            </w:r>
            <w:r w:rsidR="00A56E08">
              <w:rPr>
                <w:rFonts w:ascii="Arial" w:hAnsi="Arial" w:cs="Arial"/>
                <w:b/>
                <w:lang w:val="sr-Cyrl-BA"/>
              </w:rPr>
              <w:t>ка</w:t>
            </w:r>
            <w:r w:rsidR="00413D2D" w:rsidRPr="00F6340E">
              <w:rPr>
                <w:rFonts w:ascii="Arial" w:hAnsi="Arial" w:cs="Arial"/>
                <w:b/>
                <w:lang w:val="sr-Cyrl-BA"/>
              </w:rPr>
              <w:t xml:space="preserve"> </w:t>
            </w:r>
            <w:r w:rsidR="00171F00">
              <w:rPr>
                <w:rFonts w:ascii="Arial" w:hAnsi="Arial" w:cs="Arial"/>
                <w:b/>
                <w:lang w:val="sr-Cyrl-BA"/>
              </w:rPr>
              <w:t>з</w:t>
            </w:r>
            <w:r w:rsidR="00A56E08">
              <w:rPr>
                <w:rFonts w:ascii="Arial" w:hAnsi="Arial" w:cs="Arial"/>
                <w:b/>
                <w:lang w:val="sr-Cyrl-BA"/>
              </w:rPr>
              <w:t>а</w:t>
            </w:r>
            <w:r w:rsidR="00413D2D" w:rsidRPr="00F6340E">
              <w:rPr>
                <w:rFonts w:ascii="Arial" w:hAnsi="Arial" w:cs="Arial"/>
                <w:b/>
                <w:lang w:val="sr-Cyrl-BA"/>
              </w:rPr>
              <w:t xml:space="preserve"> </w:t>
            </w:r>
            <w:r>
              <w:rPr>
                <w:rFonts w:ascii="Arial" w:hAnsi="Arial" w:cs="Arial"/>
                <w:b/>
                <w:lang w:val="sr-Cyrl-BA"/>
              </w:rPr>
              <w:t>уп</w:t>
            </w:r>
            <w:r w:rsidR="00A56E08">
              <w:rPr>
                <w:rFonts w:ascii="Arial" w:hAnsi="Arial" w:cs="Arial"/>
                <w:b/>
                <w:lang w:val="sr-Cyrl-BA"/>
              </w:rPr>
              <w:t>о</w:t>
            </w:r>
            <w:r>
              <w:rPr>
                <w:rFonts w:ascii="Arial" w:hAnsi="Arial" w:cs="Arial"/>
                <w:b/>
                <w:lang w:val="sr-Cyrl-BA"/>
              </w:rPr>
              <w:t>тр</w:t>
            </w:r>
            <w:r w:rsidR="00EE6AA2">
              <w:rPr>
                <w:rFonts w:ascii="Arial" w:hAnsi="Arial" w:cs="Arial"/>
                <w:b/>
                <w:lang w:val="sr-Cyrl-BA"/>
              </w:rPr>
              <w:t>е</w:t>
            </w:r>
            <w:r w:rsidR="00A56E08">
              <w:rPr>
                <w:rFonts w:ascii="Arial" w:hAnsi="Arial" w:cs="Arial"/>
                <w:b/>
                <w:lang w:val="sr-Cyrl-BA"/>
              </w:rPr>
              <w:t>б</w:t>
            </w:r>
            <w:r>
              <w:rPr>
                <w:rFonts w:ascii="Arial" w:hAnsi="Arial" w:cs="Arial"/>
                <w:b/>
                <w:lang w:val="sr-Cyrl-BA"/>
              </w:rPr>
              <w:t>у</w:t>
            </w:r>
            <w:r w:rsidR="00413D2D" w:rsidRPr="00F6340E">
              <w:rPr>
                <w:rFonts w:ascii="Arial" w:hAnsi="Arial" w:cs="Arial"/>
                <w:b/>
                <w:lang w:val="sr-Cyrl-BA"/>
              </w:rPr>
              <w:t xml:space="preserve"> </w:t>
            </w:r>
            <w:r w:rsidR="00A56E08">
              <w:rPr>
                <w:rFonts w:ascii="Arial" w:hAnsi="Arial" w:cs="Arial"/>
                <w:b/>
                <w:lang w:val="sr-Cyrl-BA"/>
              </w:rPr>
              <w:t>диги</w:t>
            </w:r>
            <w:r>
              <w:rPr>
                <w:rFonts w:ascii="Arial" w:hAnsi="Arial" w:cs="Arial"/>
                <w:b/>
                <w:lang w:val="sr-Cyrl-BA"/>
              </w:rPr>
              <w:t>т</w:t>
            </w:r>
            <w:r w:rsidR="00A56E08">
              <w:rPr>
                <w:rFonts w:ascii="Arial" w:hAnsi="Arial" w:cs="Arial"/>
                <w:b/>
                <w:lang w:val="sr-Cyrl-BA"/>
              </w:rPr>
              <w:t>алних</w:t>
            </w:r>
            <w:r w:rsidR="00413D2D" w:rsidRPr="00F6340E">
              <w:rPr>
                <w:rFonts w:ascii="Arial" w:hAnsi="Arial" w:cs="Arial"/>
                <w:b/>
                <w:lang w:val="sr-Cyrl-BA"/>
              </w:rPr>
              <w:t xml:space="preserve"> </w:t>
            </w:r>
            <w:r>
              <w:rPr>
                <w:rFonts w:ascii="Arial" w:hAnsi="Arial" w:cs="Arial"/>
                <w:b/>
                <w:lang w:val="sr-Cyrl-BA"/>
              </w:rPr>
              <w:t>р</w:t>
            </w:r>
            <w:r w:rsidR="00A56E08">
              <w:rPr>
                <w:rFonts w:ascii="Arial" w:hAnsi="Arial" w:cs="Arial"/>
                <w:b/>
                <w:lang w:val="sr-Cyrl-BA"/>
              </w:rPr>
              <w:t>ј</w:t>
            </w:r>
            <w:r w:rsidR="00EE6AA2">
              <w:rPr>
                <w:rFonts w:ascii="Arial" w:hAnsi="Arial" w:cs="Arial"/>
                <w:b/>
                <w:lang w:val="sr-Cyrl-BA"/>
              </w:rPr>
              <w:t>е</w:t>
            </w:r>
            <w:r>
              <w:rPr>
                <w:rFonts w:ascii="Arial" w:hAnsi="Arial" w:cs="Arial"/>
                <w:b/>
                <w:lang w:val="sr-Cyrl-BA"/>
              </w:rPr>
              <w:t>ш</w:t>
            </w:r>
            <w:r w:rsidR="00EE6AA2">
              <w:rPr>
                <w:rFonts w:ascii="Arial" w:hAnsi="Arial" w:cs="Arial"/>
                <w:b/>
                <w:lang w:val="sr-Cyrl-BA"/>
              </w:rPr>
              <w:t>е</w:t>
            </w:r>
            <w:r w:rsidR="00A56E08">
              <w:rPr>
                <w:rFonts w:ascii="Arial" w:hAnsi="Arial" w:cs="Arial"/>
                <w:b/>
                <w:lang w:val="sr-Cyrl-BA"/>
              </w:rPr>
              <w:t>ња</w:t>
            </w:r>
            <w:r w:rsidR="00413D2D" w:rsidRPr="00F6340E">
              <w:rPr>
                <w:rFonts w:ascii="Arial" w:hAnsi="Arial" w:cs="Arial"/>
                <w:b/>
                <w:lang w:val="sr-Cyrl-BA"/>
              </w:rPr>
              <w:t xml:space="preserve"> </w:t>
            </w:r>
            <w:r w:rsidR="00A56E08">
              <w:rPr>
                <w:rFonts w:ascii="Arial" w:hAnsi="Arial" w:cs="Arial"/>
                <w:b/>
                <w:lang w:val="sr-Cyrl-BA"/>
              </w:rPr>
              <w:t>и</w:t>
            </w:r>
            <w:r w:rsidR="00413D2D" w:rsidRPr="00F6340E">
              <w:rPr>
                <w:rFonts w:ascii="Arial" w:hAnsi="Arial" w:cs="Arial"/>
                <w:b/>
                <w:lang w:val="sr-Cyrl-BA"/>
              </w:rPr>
              <w:t xml:space="preserve"> </w:t>
            </w:r>
            <w:r w:rsidR="00A56E08">
              <w:rPr>
                <w:rFonts w:ascii="Arial" w:hAnsi="Arial" w:cs="Arial"/>
                <w:b/>
                <w:lang w:val="sr-Cyrl-BA"/>
              </w:rPr>
              <w:t>ала</w:t>
            </w:r>
            <w:r>
              <w:rPr>
                <w:rFonts w:ascii="Arial" w:hAnsi="Arial" w:cs="Arial"/>
                <w:b/>
                <w:lang w:val="sr-Cyrl-BA"/>
              </w:rPr>
              <w:t>т</w:t>
            </w:r>
            <w:r w:rsidR="00A56E08">
              <w:rPr>
                <w:rFonts w:ascii="Arial" w:hAnsi="Arial" w:cs="Arial"/>
                <w:b/>
                <w:lang w:val="sr-Cyrl-BA"/>
              </w:rPr>
              <w:t>а</w:t>
            </w:r>
            <w:r w:rsidR="005470EA" w:rsidRPr="00F6340E">
              <w:rPr>
                <w:rFonts w:ascii="Arial" w:hAnsi="Arial" w:cs="Arial"/>
                <w:b/>
                <w:lang w:val="sr-Cyrl-BA"/>
              </w:rPr>
              <w:t xml:space="preserve"> </w:t>
            </w:r>
            <w:r w:rsidR="00A56E08">
              <w:rPr>
                <w:rFonts w:ascii="Arial" w:hAnsi="Arial" w:cs="Arial"/>
                <w:b/>
                <w:lang w:val="sr-Cyrl-BA"/>
              </w:rPr>
              <w:t>који</w:t>
            </w:r>
            <w:r w:rsidR="00413D2D" w:rsidRPr="00F6340E">
              <w:rPr>
                <w:rFonts w:ascii="Arial" w:hAnsi="Arial" w:cs="Arial"/>
                <w:b/>
                <w:lang w:val="sr-Cyrl-BA"/>
              </w:rPr>
              <w:t xml:space="preserve"> </w:t>
            </w:r>
            <w:r>
              <w:rPr>
                <w:rFonts w:ascii="Arial" w:hAnsi="Arial" w:cs="Arial"/>
                <w:b/>
                <w:lang w:val="sr-Cyrl-BA"/>
              </w:rPr>
              <w:t>су</w:t>
            </w:r>
            <w:r w:rsidR="00413D2D" w:rsidRPr="00F6340E">
              <w:rPr>
                <w:rFonts w:ascii="Arial" w:hAnsi="Arial" w:cs="Arial"/>
                <w:b/>
                <w:lang w:val="sr-Cyrl-BA"/>
              </w:rPr>
              <w:t xml:space="preserve"> </w:t>
            </w:r>
            <w:r w:rsidR="00A56E08">
              <w:rPr>
                <w:rFonts w:ascii="Arial" w:hAnsi="Arial" w:cs="Arial"/>
                <w:b/>
                <w:lang w:val="sr-Cyrl-BA"/>
              </w:rPr>
              <w:t>о</w:t>
            </w:r>
            <w:r>
              <w:rPr>
                <w:rFonts w:ascii="Arial" w:hAnsi="Arial" w:cs="Arial"/>
                <w:b/>
                <w:lang w:val="sr-Cyrl-BA"/>
              </w:rPr>
              <w:t>тв</w:t>
            </w:r>
            <w:r w:rsidR="00A56E08">
              <w:rPr>
                <w:rFonts w:ascii="Arial" w:hAnsi="Arial" w:cs="Arial"/>
                <w:b/>
                <w:lang w:val="sr-Cyrl-BA"/>
              </w:rPr>
              <w:t>о</w:t>
            </w:r>
            <w:r>
              <w:rPr>
                <w:rFonts w:ascii="Arial" w:hAnsi="Arial" w:cs="Arial"/>
                <w:b/>
                <w:lang w:val="sr-Cyrl-BA"/>
              </w:rPr>
              <w:t>р</w:t>
            </w:r>
            <w:r w:rsidR="00EE6AA2">
              <w:rPr>
                <w:rFonts w:ascii="Arial" w:hAnsi="Arial" w:cs="Arial"/>
                <w:b/>
                <w:lang w:val="sr-Cyrl-BA"/>
              </w:rPr>
              <w:t>е</w:t>
            </w:r>
            <w:r w:rsidR="00A56E08">
              <w:rPr>
                <w:rFonts w:ascii="Arial" w:hAnsi="Arial" w:cs="Arial"/>
                <w:b/>
                <w:lang w:val="sr-Cyrl-BA"/>
              </w:rPr>
              <w:t>ног</w:t>
            </w:r>
            <w:r w:rsidR="00A4214D" w:rsidRPr="00F6340E">
              <w:rPr>
                <w:rFonts w:ascii="Arial" w:hAnsi="Arial" w:cs="Arial"/>
                <w:b/>
                <w:lang w:val="sr-Cyrl-BA"/>
              </w:rPr>
              <w:t xml:space="preserve"> </w:t>
            </w:r>
            <w:r w:rsidR="00A56E08">
              <w:rPr>
                <w:rFonts w:ascii="Arial" w:hAnsi="Arial" w:cs="Arial"/>
                <w:b/>
                <w:lang w:val="sr-Cyrl-BA"/>
              </w:rPr>
              <w:t>кода</w:t>
            </w:r>
            <w:r w:rsidR="00413D2D" w:rsidRPr="00F6340E">
              <w:rPr>
                <w:rFonts w:ascii="Arial" w:hAnsi="Arial" w:cs="Arial"/>
                <w:b/>
                <w:lang w:val="sr-Cyrl-BA"/>
              </w:rPr>
              <w:t>.</w:t>
            </w:r>
          </w:p>
          <w:p w14:paraId="1FE8F1EA" w14:textId="4C067200" w:rsidR="00892898" w:rsidRPr="00F6340E" w:rsidRDefault="00A56E08" w:rsidP="00FB5CB7">
            <w:pPr>
              <w:pStyle w:val="ListParagraph"/>
              <w:numPr>
                <w:ilvl w:val="0"/>
                <w:numId w:val="41"/>
              </w:numPr>
              <w:jc w:val="left"/>
              <w:rPr>
                <w:rFonts w:ascii="Arial" w:eastAsia="Times New Roman" w:hAnsi="Arial" w:cs="Arial"/>
                <w:b/>
                <w:color w:val="000000" w:themeColor="text1"/>
                <w:lang w:val="sr-Cyrl-BA"/>
              </w:rPr>
            </w:pP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но</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sidR="00171F00">
              <w:rPr>
                <w:rFonts w:ascii="Arial" w:eastAsia="Times New Roman" w:hAnsi="Arial" w:cs="Arial"/>
                <w:b/>
                <w:color w:val="000000" w:themeColor="text1"/>
                <w:lang w:val="sr-Cyrl-BA"/>
              </w:rPr>
              <w:t>з</w:t>
            </w:r>
            <w:r>
              <w:rPr>
                <w:rFonts w:ascii="Arial" w:eastAsia="Times New Roman" w:hAnsi="Arial" w:cs="Arial"/>
                <w:b/>
                <w:color w:val="000000" w:themeColor="text1"/>
                <w:lang w:val="sr-Cyrl-BA"/>
              </w:rPr>
              <w:t>аклад</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w:t>
            </w:r>
            <w:r>
              <w:rPr>
                <w:rFonts w:ascii="Arial" w:eastAsia="Times New Roman" w:hAnsi="Arial" w:cs="Arial"/>
                <w:b/>
                <w:color w:val="000000" w:themeColor="text1"/>
                <w:lang w:val="sr-Cyrl-BA"/>
              </w:rPr>
              <w:t>од</w:t>
            </w:r>
            <w:r w:rsidR="0071360A">
              <w:rPr>
                <w:rFonts w:ascii="Arial" w:eastAsia="Times New Roman" w:hAnsi="Arial" w:cs="Arial"/>
                <w:b/>
                <w:color w:val="000000" w:themeColor="text1"/>
                <w:lang w:val="sr-Cyrl-BA"/>
              </w:rPr>
              <w:t>рш</w:t>
            </w:r>
            <w:r>
              <w:rPr>
                <w:rFonts w:ascii="Arial" w:eastAsia="Times New Roman" w:hAnsi="Arial" w:cs="Arial"/>
                <w:b/>
                <w:color w:val="000000" w:themeColor="text1"/>
                <w:lang w:val="sr-Cyrl-BA"/>
              </w:rPr>
              <w:t>к</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наг</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ађи</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ања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им</w:t>
            </w:r>
            <w:r w:rsidR="0071360A">
              <w:rPr>
                <w:rFonts w:ascii="Arial" w:eastAsia="Times New Roman" w:hAnsi="Arial" w:cs="Arial"/>
                <w:b/>
                <w:color w:val="000000" w:themeColor="text1"/>
                <w:lang w:val="sr-Cyrl-BA"/>
              </w:rPr>
              <w:t>у</w:t>
            </w:r>
            <w:r>
              <w:rPr>
                <w:rFonts w:ascii="Arial" w:eastAsia="Times New Roman" w:hAnsi="Arial" w:cs="Arial"/>
                <w:b/>
                <w:color w:val="000000" w:themeColor="text1"/>
                <w:lang w:val="sr-Cyrl-BA"/>
              </w:rPr>
              <w:t>лациј</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171F00">
              <w:rPr>
                <w:rFonts w:ascii="Arial" w:eastAsia="Times New Roman" w:hAnsi="Arial" w:cs="Arial"/>
                <w:b/>
                <w:color w:val="000000" w:themeColor="text1"/>
                <w:lang w:val="sr-Cyrl-BA"/>
              </w:rPr>
              <w:t>з</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најбољ</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даго</w:t>
            </w:r>
            <w:r w:rsidR="0071360A">
              <w:rPr>
                <w:rFonts w:ascii="Arial" w:eastAsia="Times New Roman" w:hAnsi="Arial" w:cs="Arial"/>
                <w:b/>
                <w:color w:val="000000" w:themeColor="text1"/>
                <w:lang w:val="sr-Cyrl-BA"/>
              </w:rPr>
              <w:t>ш</w:t>
            </w:r>
            <w:r>
              <w:rPr>
                <w:rFonts w:ascii="Arial" w:eastAsia="Times New Roman" w:hAnsi="Arial" w:cs="Arial"/>
                <w:b/>
                <w:color w:val="000000" w:themeColor="text1"/>
                <w:lang w:val="sr-Cyrl-BA"/>
              </w:rPr>
              <w:t>к</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ничк</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пр</w:t>
            </w:r>
            <w:r>
              <w:rPr>
                <w:rFonts w:ascii="Arial" w:eastAsia="Times New Roman" w:hAnsi="Arial" w:cs="Arial"/>
                <w:b/>
                <w:color w:val="000000" w:themeColor="text1"/>
                <w:lang w:val="sr-Cyrl-BA"/>
              </w:rPr>
              <w:t>ак</w:t>
            </w:r>
            <w:r w:rsidR="0071360A">
              <w:rPr>
                <w:rFonts w:ascii="Arial" w:eastAsia="Times New Roman" w:hAnsi="Arial" w:cs="Arial"/>
                <w:b/>
                <w:color w:val="000000" w:themeColor="text1"/>
                <w:lang w:val="sr-Cyrl-BA"/>
              </w:rPr>
              <w:t>с</w:t>
            </w:r>
            <w:r w:rsidR="00EE6AA2">
              <w:rPr>
                <w:rFonts w:ascii="Arial" w:eastAsia="Times New Roman" w:hAnsi="Arial" w:cs="Arial"/>
                <w:b/>
                <w:color w:val="000000" w:themeColor="text1"/>
                <w:lang w:val="sr-Cyrl-BA"/>
              </w:rPr>
              <w:t>е</w:t>
            </w:r>
            <w:r w:rsidR="00892898"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у</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и</w:t>
            </w:r>
            <w:r w:rsidR="008424F0" w:rsidRPr="00F6340E">
              <w:rPr>
                <w:rFonts w:ascii="Arial" w:eastAsia="Times New Roman" w:hAnsi="Arial" w:cs="Arial"/>
                <w:b/>
                <w:color w:val="000000" w:themeColor="text1"/>
                <w:lang w:val="sr-Cyrl-BA"/>
              </w:rPr>
              <w:t xml:space="preserve"> </w:t>
            </w:r>
            <w:r w:rsidR="0071360A">
              <w:rPr>
                <w:rFonts w:ascii="Arial" w:eastAsia="Times New Roman" w:hAnsi="Arial" w:cs="Arial"/>
                <w:b/>
                <w:color w:val="000000" w:themeColor="text1"/>
                <w:lang w:val="sr-Cyrl-BA"/>
              </w:rPr>
              <w:t>пут</w:t>
            </w:r>
            <w:r w:rsidR="00EE6AA2">
              <w:rPr>
                <w:rFonts w:ascii="Arial" w:eastAsia="Times New Roman" w:hAnsi="Arial" w:cs="Arial"/>
                <w:b/>
                <w:color w:val="000000" w:themeColor="text1"/>
                <w:lang w:val="sr-Cyrl-BA"/>
              </w:rPr>
              <w:t>е</w:t>
            </w:r>
            <w:r>
              <w:rPr>
                <w:rFonts w:ascii="Arial" w:eastAsia="Times New Roman" w:hAnsi="Arial" w:cs="Arial"/>
                <w:b/>
                <w:color w:val="000000" w:themeColor="text1"/>
                <w:lang w:val="sr-Cyrl-BA"/>
              </w:rPr>
              <w:t>м</w:t>
            </w:r>
            <w:r w:rsidR="008424F0"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ин</w:t>
            </w:r>
            <w:r w:rsidR="0071360A">
              <w:rPr>
                <w:rFonts w:ascii="Arial" w:eastAsia="Times New Roman" w:hAnsi="Arial" w:cs="Arial"/>
                <w:b/>
                <w:color w:val="000000" w:themeColor="text1"/>
                <w:lang w:val="sr-Cyrl-BA"/>
              </w:rPr>
              <w:t>т</w:t>
            </w:r>
            <w:r w:rsidR="00EE6AA2">
              <w:rPr>
                <w:rFonts w:ascii="Arial" w:eastAsia="Times New Roman" w:hAnsi="Arial" w:cs="Arial"/>
                <w:b/>
                <w:color w:val="000000" w:themeColor="text1"/>
                <w:lang w:val="sr-Cyrl-BA"/>
              </w:rPr>
              <w:t>е</w:t>
            </w:r>
            <w:r w:rsidR="0071360A">
              <w:rPr>
                <w:rFonts w:ascii="Arial" w:eastAsia="Times New Roman" w:hAnsi="Arial" w:cs="Arial"/>
                <w:b/>
                <w:color w:val="000000" w:themeColor="text1"/>
                <w:lang w:val="sr-Cyrl-BA"/>
              </w:rPr>
              <w:t>р</w:t>
            </w:r>
            <w:r>
              <w:rPr>
                <w:rFonts w:ascii="Arial" w:eastAsia="Times New Roman" w:hAnsi="Arial" w:cs="Arial"/>
                <w:b/>
                <w:color w:val="000000" w:themeColor="text1"/>
                <w:lang w:val="sr-Cyrl-BA"/>
              </w:rPr>
              <w:t>н</w:t>
            </w:r>
            <w:r w:rsidR="00EE6AA2">
              <w:rPr>
                <w:rFonts w:ascii="Arial" w:eastAsia="Times New Roman" w:hAnsi="Arial" w:cs="Arial"/>
                <w:b/>
                <w:color w:val="000000" w:themeColor="text1"/>
                <w:lang w:val="sr-Cyrl-BA"/>
              </w:rPr>
              <w:t>е</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а</w:t>
            </w:r>
            <w:r w:rsidR="00892898" w:rsidRPr="00F6340E">
              <w:rPr>
                <w:rFonts w:ascii="Arial" w:eastAsia="Times New Roman" w:hAnsi="Arial" w:cs="Arial"/>
                <w:b/>
                <w:color w:val="000000" w:themeColor="text1"/>
                <w:lang w:val="sr-Cyrl-BA"/>
              </w:rPr>
              <w:t>/</w:t>
            </w:r>
            <w:r>
              <w:rPr>
                <w:rFonts w:ascii="Arial" w:eastAsia="Times New Roman" w:hAnsi="Arial" w:cs="Arial"/>
                <w:b/>
                <w:color w:val="000000" w:themeColor="text1"/>
                <w:lang w:val="sr-Cyrl-BA"/>
              </w:rPr>
              <w:t>комбино</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аној</w:t>
            </w:r>
            <w:r w:rsidR="00892898" w:rsidRPr="00F6340E">
              <w:rPr>
                <w:rFonts w:ascii="Arial" w:eastAsia="Times New Roman" w:hAnsi="Arial" w:cs="Arial"/>
                <w:b/>
                <w:color w:val="000000" w:themeColor="text1"/>
                <w:lang w:val="sr-Cyrl-BA"/>
              </w:rPr>
              <w:t xml:space="preserve"> </w:t>
            </w:r>
            <w:r>
              <w:rPr>
                <w:rFonts w:ascii="Arial" w:eastAsia="Times New Roman" w:hAnsi="Arial" w:cs="Arial"/>
                <w:b/>
                <w:color w:val="000000" w:themeColor="text1"/>
                <w:lang w:val="sr-Cyrl-BA"/>
              </w:rPr>
              <w:t>на</w:t>
            </w:r>
            <w:r w:rsidR="0071360A">
              <w:rPr>
                <w:rFonts w:ascii="Arial" w:eastAsia="Times New Roman" w:hAnsi="Arial" w:cs="Arial"/>
                <w:b/>
                <w:color w:val="000000" w:themeColor="text1"/>
                <w:lang w:val="sr-Cyrl-BA"/>
              </w:rPr>
              <w:t>ст</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в</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w:t>
            </w:r>
          </w:p>
        </w:tc>
      </w:tr>
    </w:tbl>
    <w:p w14:paraId="25AD26FA" w14:textId="77777777" w:rsidR="00892898" w:rsidRPr="00F6340E" w:rsidRDefault="00892898" w:rsidP="00FB5CB7">
      <w:pPr>
        <w:pStyle w:val="Body"/>
        <w:spacing w:before="0" w:after="0"/>
      </w:pPr>
    </w:p>
    <w:tbl>
      <w:tblPr>
        <w:tblStyle w:val="TableGrid"/>
        <w:tblW w:w="0" w:type="auto"/>
        <w:tblCellMar>
          <w:top w:w="113" w:type="dxa"/>
          <w:bottom w:w="113" w:type="dxa"/>
        </w:tblCellMar>
        <w:tblLook w:val="04A0" w:firstRow="1" w:lastRow="0" w:firstColumn="1" w:lastColumn="0" w:noHBand="0" w:noVBand="1"/>
      </w:tblPr>
      <w:tblGrid>
        <w:gridCol w:w="9014"/>
      </w:tblGrid>
      <w:tr w:rsidR="00892898" w:rsidRPr="00F6340E" w14:paraId="3471378E" w14:textId="77777777" w:rsidTr="00FB5CB7">
        <w:tc>
          <w:tcPr>
            <w:tcW w:w="9014" w:type="dxa"/>
            <w:shd w:val="clear" w:color="auto" w:fill="00B0F0"/>
            <w:vAlign w:val="center"/>
          </w:tcPr>
          <w:p w14:paraId="7EBD04E1" w14:textId="3D23312F" w:rsidR="00892898" w:rsidRPr="00F6340E" w:rsidRDefault="0071360A" w:rsidP="00FB5CB7">
            <w:pPr>
              <w:contextualSpacing/>
              <w:jc w:val="left"/>
              <w:rPr>
                <w:rFonts w:ascii="Arial" w:hAnsi="Arial" w:cs="Arial"/>
                <w:b/>
                <w:color w:val="000000" w:themeColor="text1"/>
                <w:lang w:val="sr-Cyrl-BA"/>
              </w:rPr>
            </w:pPr>
            <w:r>
              <w:rPr>
                <w:rFonts w:ascii="Arial" w:hAnsi="Arial" w:cs="Arial"/>
                <w:b/>
                <w:color w:val="000000" w:themeColor="text1"/>
                <w:lang w:val="sr-Cyrl-BA"/>
              </w:rPr>
              <w:t>Усп</w:t>
            </w:r>
            <w:r w:rsidR="00A56E08">
              <w:rPr>
                <w:rFonts w:ascii="Arial" w:hAnsi="Arial" w:cs="Arial"/>
                <w:b/>
                <w:color w:val="000000" w:themeColor="text1"/>
                <w:lang w:val="sr-Cyrl-BA"/>
              </w:rPr>
              <w:t>о</w:t>
            </w:r>
            <w:r>
              <w:rPr>
                <w:rFonts w:ascii="Arial" w:hAnsi="Arial" w:cs="Arial"/>
                <w:b/>
                <w:color w:val="000000" w:themeColor="text1"/>
                <w:lang w:val="sr-Cyrl-BA"/>
              </w:rPr>
              <w:t>ст</w:t>
            </w:r>
            <w:r w:rsidR="00A56E08">
              <w:rPr>
                <w:rFonts w:ascii="Arial" w:hAnsi="Arial" w:cs="Arial"/>
                <w:b/>
                <w:color w:val="000000" w:themeColor="text1"/>
                <w:lang w:val="sr-Cyrl-BA"/>
              </w:rPr>
              <w:t>а</w:t>
            </w:r>
            <w:r>
              <w:rPr>
                <w:rFonts w:ascii="Arial" w:hAnsi="Arial" w:cs="Arial"/>
                <w:b/>
                <w:color w:val="000000" w:themeColor="text1"/>
                <w:lang w:val="sr-Cyrl-BA"/>
              </w:rPr>
              <w:t>в</w:t>
            </w:r>
            <w:r w:rsidR="00A56E08">
              <w:rPr>
                <w:rFonts w:ascii="Arial" w:hAnsi="Arial" w:cs="Arial"/>
                <w:b/>
                <w:color w:val="000000" w:themeColor="text1"/>
                <w:lang w:val="sr-Cyrl-BA"/>
              </w:rPr>
              <w:t>љањ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м</w:t>
            </w:r>
            <w:r w:rsidR="00EE6AA2">
              <w:rPr>
                <w:rFonts w:ascii="Arial" w:hAnsi="Arial" w:cs="Arial"/>
                <w:b/>
                <w:color w:val="000000" w:themeColor="text1"/>
                <w:lang w:val="sr-Cyrl-BA"/>
              </w:rPr>
              <w:t>е</w:t>
            </w:r>
            <w:r w:rsidR="00A56E08">
              <w:rPr>
                <w:rFonts w:ascii="Arial" w:hAnsi="Arial" w:cs="Arial"/>
                <w:b/>
                <w:color w:val="000000" w:themeColor="text1"/>
                <w:lang w:val="sr-Cyrl-BA"/>
              </w:rPr>
              <w:t>хани</w:t>
            </w:r>
            <w:r w:rsidR="00171F00">
              <w:rPr>
                <w:rFonts w:ascii="Arial" w:hAnsi="Arial" w:cs="Arial"/>
                <w:b/>
                <w:color w:val="000000" w:themeColor="text1"/>
                <w:lang w:val="sr-Cyrl-BA"/>
              </w:rPr>
              <w:t>з</w:t>
            </w:r>
            <w:r w:rsidR="00A56E08">
              <w:rPr>
                <w:rFonts w:ascii="Arial" w:hAnsi="Arial" w:cs="Arial"/>
                <w:b/>
                <w:color w:val="000000" w:themeColor="text1"/>
                <w:lang w:val="sr-Cyrl-BA"/>
              </w:rPr>
              <w:t>ама</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sidR="00A56E08">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w:t>
            </w:r>
            <w:r>
              <w:rPr>
                <w:rFonts w:ascii="Arial" w:hAnsi="Arial" w:cs="Arial"/>
                <w:b/>
                <w:color w:val="000000" w:themeColor="text1"/>
                <w:lang w:val="sr-Cyrl-BA"/>
              </w:rPr>
              <w:t>с</w:t>
            </w:r>
            <w:r w:rsidR="00A56E08">
              <w:rPr>
                <w:rFonts w:ascii="Arial" w:hAnsi="Arial" w:cs="Arial"/>
                <w:b/>
                <w:color w:val="000000" w:themeColor="text1"/>
                <w:lang w:val="sr-Cyrl-BA"/>
              </w:rPr>
              <w:t>иг</w:t>
            </w:r>
            <w:r>
              <w:rPr>
                <w:rFonts w:ascii="Arial" w:hAnsi="Arial" w:cs="Arial"/>
                <w:b/>
                <w:color w:val="000000" w:themeColor="text1"/>
                <w:lang w:val="sr-Cyrl-BA"/>
              </w:rPr>
              <w:t>ур</w:t>
            </w:r>
            <w:r w:rsidR="00A56E08">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w:t>
            </w:r>
            <w:r>
              <w:rPr>
                <w:rFonts w:ascii="Arial" w:hAnsi="Arial" w:cs="Arial"/>
                <w:b/>
                <w:color w:val="000000" w:themeColor="text1"/>
                <w:lang w:val="sr-Cyrl-BA"/>
              </w:rPr>
              <w:t>в</w:t>
            </w:r>
            <w:r w:rsidR="00A56E08">
              <w:rPr>
                <w:rFonts w:ascii="Arial" w:hAnsi="Arial" w:cs="Arial"/>
                <w:b/>
                <w:color w:val="000000" w:themeColor="text1"/>
                <w:lang w:val="sr-Cyrl-BA"/>
              </w:rPr>
              <w:t>али</w:t>
            </w:r>
            <w:r>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т</w:t>
            </w:r>
            <w:r w:rsidR="00A56E08">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об</w:t>
            </w:r>
            <w:r>
              <w:rPr>
                <w:rFonts w:ascii="Arial" w:hAnsi="Arial" w:cs="Arial"/>
                <w:b/>
                <w:color w:val="000000" w:themeColor="text1"/>
                <w:lang w:val="sr-Cyrl-BA"/>
              </w:rPr>
              <w:t>р</w:t>
            </w:r>
            <w:r w:rsidR="00A56E08">
              <w:rPr>
                <w:rFonts w:ascii="Arial" w:hAnsi="Arial" w:cs="Arial"/>
                <w:b/>
                <w:color w:val="000000" w:themeColor="text1"/>
                <w:lang w:val="sr-Cyrl-BA"/>
              </w:rPr>
              <w:t>а</w:t>
            </w:r>
            <w:r w:rsidR="00171F00">
              <w:rPr>
                <w:rFonts w:ascii="Arial" w:hAnsi="Arial" w:cs="Arial"/>
                <w:b/>
                <w:color w:val="000000" w:themeColor="text1"/>
                <w:lang w:val="sr-Cyrl-BA"/>
              </w:rPr>
              <w:t>з</w:t>
            </w:r>
            <w:r w:rsidR="00A56E08">
              <w:rPr>
                <w:rFonts w:ascii="Arial" w:hAnsi="Arial" w:cs="Arial"/>
                <w:b/>
                <w:color w:val="000000" w:themeColor="text1"/>
                <w:lang w:val="sr-Cyrl-BA"/>
              </w:rPr>
              <w:t>о</w:t>
            </w:r>
            <w:r>
              <w:rPr>
                <w:rFonts w:ascii="Arial" w:hAnsi="Arial" w:cs="Arial"/>
                <w:b/>
                <w:color w:val="000000" w:themeColor="text1"/>
                <w:lang w:val="sr-Cyrl-BA"/>
              </w:rPr>
              <w:t>в</w:t>
            </w:r>
            <w:r w:rsidR="00A56E08">
              <w:rPr>
                <w:rFonts w:ascii="Arial" w:hAnsi="Arial" w:cs="Arial"/>
                <w:b/>
                <w:color w:val="000000" w:themeColor="text1"/>
                <w:lang w:val="sr-Cyrl-BA"/>
              </w:rPr>
              <w:t>ањ</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кон</w:t>
            </w:r>
            <w:r>
              <w:rPr>
                <w:rFonts w:ascii="Arial" w:hAnsi="Arial" w:cs="Arial"/>
                <w:b/>
                <w:color w:val="000000" w:themeColor="text1"/>
                <w:lang w:val="sr-Cyrl-BA"/>
              </w:rPr>
              <w:t>т</w:t>
            </w:r>
            <w:r w:rsidR="00EE6AA2">
              <w:rPr>
                <w:rFonts w:ascii="Arial" w:hAnsi="Arial" w:cs="Arial"/>
                <w:b/>
                <w:color w:val="000000" w:themeColor="text1"/>
                <w:lang w:val="sr-Cyrl-BA"/>
              </w:rPr>
              <w:t>е</w:t>
            </w:r>
            <w:r w:rsidR="00A56E08">
              <w:rPr>
                <w:rFonts w:ascii="Arial" w:hAnsi="Arial" w:cs="Arial"/>
                <w:b/>
                <w:color w:val="000000" w:themeColor="text1"/>
                <w:lang w:val="sr-Cyrl-BA"/>
              </w:rPr>
              <w:t>к</w:t>
            </w:r>
            <w:r>
              <w:rPr>
                <w:rFonts w:ascii="Arial" w:hAnsi="Arial" w:cs="Arial"/>
                <w:b/>
                <w:color w:val="000000" w:themeColor="text1"/>
                <w:lang w:val="sr-Cyrl-BA"/>
              </w:rPr>
              <w:t>сту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диги</w:t>
            </w:r>
            <w:r>
              <w:rPr>
                <w:rFonts w:ascii="Arial" w:hAnsi="Arial" w:cs="Arial"/>
                <w:b/>
                <w:color w:val="000000" w:themeColor="text1"/>
                <w:lang w:val="sr-Cyrl-BA"/>
              </w:rPr>
              <w:t>т</w:t>
            </w:r>
            <w:r w:rsidR="00A56E08">
              <w:rPr>
                <w:rFonts w:ascii="Arial" w:hAnsi="Arial" w:cs="Arial"/>
                <w:b/>
                <w:color w:val="000000" w:themeColor="text1"/>
                <w:lang w:val="sr-Cyrl-BA"/>
              </w:rPr>
              <w:t>алн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Pr>
                <w:rFonts w:ascii="Arial" w:hAnsi="Arial" w:cs="Arial"/>
                <w:b/>
                <w:color w:val="000000" w:themeColor="text1"/>
                <w:lang w:val="sr-Cyrl-BA"/>
              </w:rPr>
              <w:t>р</w:t>
            </w:r>
            <w:r w:rsidR="00EE6AA2">
              <w:rPr>
                <w:rFonts w:ascii="Arial" w:hAnsi="Arial" w:cs="Arial"/>
                <w:b/>
                <w:color w:val="000000" w:themeColor="text1"/>
                <w:lang w:val="sr-Cyrl-BA"/>
              </w:rPr>
              <w:t>е</w:t>
            </w:r>
            <w:r w:rsidR="00A56E08">
              <w:rPr>
                <w:rFonts w:ascii="Arial" w:hAnsi="Arial" w:cs="Arial"/>
                <w:b/>
                <w:color w:val="000000" w:themeColor="text1"/>
                <w:lang w:val="sr-Cyrl-BA"/>
              </w:rPr>
              <w:t>ло</w:t>
            </w:r>
            <w:r>
              <w:rPr>
                <w:rFonts w:ascii="Arial" w:hAnsi="Arial" w:cs="Arial"/>
                <w:b/>
                <w:color w:val="000000" w:themeColor="text1"/>
                <w:lang w:val="sr-Cyrl-BA"/>
              </w:rPr>
              <w:t>ст</w:t>
            </w:r>
            <w:r w:rsidR="00A56E08">
              <w:rPr>
                <w:rFonts w:ascii="Arial" w:hAnsi="Arial" w:cs="Arial"/>
                <w:b/>
                <w:color w:val="000000" w:themeColor="text1"/>
                <w:lang w:val="sr-Cyrl-BA"/>
              </w:rPr>
              <w:t>и</w:t>
            </w:r>
          </w:p>
        </w:tc>
      </w:tr>
      <w:tr w:rsidR="00892898" w:rsidRPr="00F6340E" w14:paraId="6498B335" w14:textId="77777777" w:rsidTr="00FB5CB7">
        <w:tc>
          <w:tcPr>
            <w:tcW w:w="9014" w:type="dxa"/>
            <w:shd w:val="clear" w:color="auto" w:fill="E3F4F9"/>
          </w:tcPr>
          <w:p w14:paraId="766D1A53" w14:textId="251220F6" w:rsidR="00892898" w:rsidRPr="00FB5CB7" w:rsidRDefault="00892898" w:rsidP="00FB5CB7">
            <w:pPr>
              <w:contextualSpacing/>
              <w:jc w:val="left"/>
              <w:rPr>
                <w:rFonts w:ascii="Arial" w:hAnsi="Arial" w:cs="Arial"/>
                <w:b/>
                <w:color w:val="00B0F0"/>
                <w:lang w:val="sr-Cyrl-BA"/>
              </w:rPr>
            </w:pPr>
            <w:r w:rsidRPr="00FB5CB7">
              <w:rPr>
                <w:rFonts w:ascii="Arial" w:hAnsi="Arial" w:cs="Arial"/>
                <w:b/>
                <w:color w:val="00B0F0"/>
                <w:lang w:val="sr-Cyrl-BA"/>
              </w:rPr>
              <w:t>(</w:t>
            </w:r>
            <w:r w:rsidR="0071360A" w:rsidRPr="00FB5CB7">
              <w:rPr>
                <w:rFonts w:ascii="Arial" w:hAnsi="Arial" w:cs="Arial"/>
                <w:b/>
                <w:color w:val="00B0F0"/>
                <w:lang w:val="sr-Cyrl-BA"/>
              </w:rPr>
              <w:t>С</w:t>
            </w:r>
            <w:r w:rsidR="00A56E08" w:rsidRPr="00FB5CB7">
              <w:rPr>
                <w:rFonts w:ascii="Arial" w:hAnsi="Arial" w:cs="Arial"/>
                <w:b/>
                <w:color w:val="00B0F0"/>
                <w:lang w:val="sr-Cyrl-BA"/>
              </w:rPr>
              <w:t>амо</w:t>
            </w:r>
            <w:r w:rsidRPr="00FB5CB7">
              <w:rPr>
                <w:rFonts w:ascii="Arial" w:hAnsi="Arial" w:cs="Arial"/>
                <w:b/>
                <w:color w:val="00B0F0"/>
                <w:lang w:val="sr-Cyrl-BA"/>
              </w:rPr>
              <w:t>)</w:t>
            </w:r>
            <w:r w:rsidR="0071360A" w:rsidRPr="00FB5CB7">
              <w:rPr>
                <w:rFonts w:ascii="Arial" w:hAnsi="Arial" w:cs="Arial"/>
                <w:b/>
                <w:color w:val="00B0F0"/>
                <w:lang w:val="sr-Cyrl-BA"/>
              </w:rPr>
              <w:t>вр</w:t>
            </w:r>
            <w:r w:rsidR="00EE6AA2" w:rsidRPr="00FB5CB7">
              <w:rPr>
                <w:rFonts w:ascii="Arial" w:hAnsi="Arial" w:cs="Arial"/>
                <w:b/>
                <w:color w:val="00B0F0"/>
                <w:lang w:val="sr-Cyrl-BA"/>
              </w:rPr>
              <w:t>е</w:t>
            </w:r>
            <w:r w:rsidR="00A56E08" w:rsidRPr="00FB5CB7">
              <w:rPr>
                <w:rFonts w:ascii="Arial" w:hAnsi="Arial" w:cs="Arial"/>
                <w:b/>
                <w:color w:val="00B0F0"/>
                <w:lang w:val="sr-Cyrl-BA"/>
              </w:rPr>
              <w:t>дно</w:t>
            </w:r>
            <w:r w:rsidR="0071360A" w:rsidRPr="00FB5CB7">
              <w:rPr>
                <w:rFonts w:ascii="Arial" w:hAnsi="Arial" w:cs="Arial"/>
                <w:b/>
                <w:color w:val="00B0F0"/>
                <w:lang w:val="sr-Cyrl-BA"/>
              </w:rPr>
              <w:t>в</w:t>
            </w:r>
            <w:r w:rsidR="00A56E08" w:rsidRPr="00FB5CB7">
              <w:rPr>
                <w:rFonts w:ascii="Arial" w:hAnsi="Arial" w:cs="Arial"/>
                <w:b/>
                <w:color w:val="00B0F0"/>
                <w:lang w:val="sr-Cyrl-BA"/>
              </w:rPr>
              <w:t>ањ</w:t>
            </w:r>
            <w:r w:rsidR="00EE6AA2" w:rsidRPr="00FB5CB7">
              <w:rPr>
                <w:rFonts w:ascii="Arial" w:hAnsi="Arial" w:cs="Arial"/>
                <w:b/>
                <w:color w:val="00B0F0"/>
                <w:lang w:val="sr-Cyrl-BA"/>
              </w:rPr>
              <w:t>е</w:t>
            </w:r>
            <w:r w:rsidRPr="00FB5CB7">
              <w:rPr>
                <w:rFonts w:ascii="Arial" w:hAnsi="Arial" w:cs="Arial"/>
                <w:b/>
                <w:color w:val="00B0F0"/>
                <w:lang w:val="sr-Cyrl-BA"/>
              </w:rPr>
              <w:t xml:space="preserve"> </w:t>
            </w:r>
            <w:r w:rsidR="0071360A" w:rsidRPr="00FB5CB7">
              <w:rPr>
                <w:rFonts w:ascii="Arial" w:hAnsi="Arial" w:cs="Arial"/>
                <w:b/>
                <w:color w:val="00B0F0"/>
                <w:lang w:val="sr-Cyrl-BA"/>
              </w:rPr>
              <w:t>у</w:t>
            </w:r>
            <w:r w:rsidRPr="00FB5CB7">
              <w:rPr>
                <w:rFonts w:ascii="Arial" w:hAnsi="Arial" w:cs="Arial"/>
                <w:b/>
                <w:color w:val="00B0F0"/>
                <w:lang w:val="sr-Cyrl-BA"/>
              </w:rPr>
              <w:t xml:space="preserve"> </w:t>
            </w:r>
            <w:r w:rsidR="00A56E08" w:rsidRPr="00FB5CB7">
              <w:rPr>
                <w:rFonts w:ascii="Arial" w:hAnsi="Arial" w:cs="Arial"/>
                <w:b/>
                <w:color w:val="00B0F0"/>
                <w:lang w:val="sr-Cyrl-BA"/>
              </w:rPr>
              <w:t>о</w:t>
            </w:r>
            <w:r w:rsidR="0071360A" w:rsidRPr="00FB5CB7">
              <w:rPr>
                <w:rFonts w:ascii="Arial" w:hAnsi="Arial" w:cs="Arial"/>
                <w:b/>
                <w:color w:val="00B0F0"/>
                <w:lang w:val="sr-Cyrl-BA"/>
              </w:rPr>
              <w:t>с</w:t>
            </w:r>
            <w:r w:rsidR="00A56E08" w:rsidRPr="00FB5CB7">
              <w:rPr>
                <w:rFonts w:ascii="Arial" w:hAnsi="Arial" w:cs="Arial"/>
                <w:b/>
                <w:color w:val="00B0F0"/>
                <w:lang w:val="sr-Cyrl-BA"/>
              </w:rPr>
              <w:t>но</w:t>
            </w:r>
            <w:r w:rsidR="0071360A" w:rsidRPr="00FB5CB7">
              <w:rPr>
                <w:rFonts w:ascii="Arial" w:hAnsi="Arial" w:cs="Arial"/>
                <w:b/>
                <w:color w:val="00B0F0"/>
                <w:lang w:val="sr-Cyrl-BA"/>
              </w:rPr>
              <w:t>в</w:t>
            </w:r>
            <w:r w:rsidR="00A56E08" w:rsidRPr="00FB5CB7">
              <w:rPr>
                <w:rFonts w:ascii="Arial" w:hAnsi="Arial" w:cs="Arial"/>
                <w:b/>
                <w:color w:val="00B0F0"/>
                <w:lang w:val="sr-Cyrl-BA"/>
              </w:rPr>
              <w:t>ним</w:t>
            </w:r>
            <w:r w:rsidRPr="00FB5CB7">
              <w:rPr>
                <w:rFonts w:ascii="Arial" w:hAnsi="Arial" w:cs="Arial"/>
                <w:b/>
                <w:color w:val="00B0F0"/>
                <w:lang w:val="sr-Cyrl-BA"/>
              </w:rPr>
              <w:t xml:space="preserve"> </w:t>
            </w:r>
            <w:r w:rsidR="00A56E08" w:rsidRPr="00FB5CB7">
              <w:rPr>
                <w:rFonts w:ascii="Arial" w:hAnsi="Arial" w:cs="Arial"/>
                <w:b/>
                <w:color w:val="00B0F0"/>
                <w:lang w:val="sr-Cyrl-BA"/>
              </w:rPr>
              <w:t>и</w:t>
            </w:r>
            <w:r w:rsidRPr="00FB5CB7">
              <w:rPr>
                <w:rFonts w:ascii="Arial" w:hAnsi="Arial" w:cs="Arial"/>
                <w:b/>
                <w:color w:val="00B0F0"/>
                <w:lang w:val="sr-Cyrl-BA"/>
              </w:rPr>
              <w:t xml:space="preserve"> </w:t>
            </w:r>
            <w:r w:rsidR="0071360A" w:rsidRPr="00FB5CB7">
              <w:rPr>
                <w:rFonts w:ascii="Arial" w:hAnsi="Arial" w:cs="Arial"/>
                <w:b/>
                <w:color w:val="00B0F0"/>
                <w:lang w:val="sr-Cyrl-BA"/>
              </w:rPr>
              <w:t>ср</w:t>
            </w:r>
            <w:r w:rsidR="00EE6AA2" w:rsidRPr="00FB5CB7">
              <w:rPr>
                <w:rFonts w:ascii="Arial" w:hAnsi="Arial" w:cs="Arial"/>
                <w:b/>
                <w:color w:val="00B0F0"/>
                <w:lang w:val="sr-Cyrl-BA"/>
              </w:rPr>
              <w:t>е</w:t>
            </w:r>
            <w:r w:rsidR="00A56E08" w:rsidRPr="00FB5CB7">
              <w:rPr>
                <w:rFonts w:ascii="Arial" w:hAnsi="Arial" w:cs="Arial"/>
                <w:b/>
                <w:color w:val="00B0F0"/>
                <w:lang w:val="sr-Cyrl-BA"/>
              </w:rPr>
              <w:t>дњим</w:t>
            </w:r>
            <w:r w:rsidRPr="00FB5CB7">
              <w:rPr>
                <w:rFonts w:ascii="Arial" w:hAnsi="Arial" w:cs="Arial"/>
                <w:b/>
                <w:color w:val="00B0F0"/>
                <w:lang w:val="sr-Cyrl-BA"/>
              </w:rPr>
              <w:t xml:space="preserve"> </w:t>
            </w:r>
            <w:r w:rsidR="0071360A" w:rsidRPr="00FB5CB7">
              <w:rPr>
                <w:rFonts w:ascii="Arial" w:hAnsi="Arial" w:cs="Arial"/>
                <w:b/>
                <w:color w:val="00B0F0"/>
                <w:lang w:val="sr-Cyrl-BA"/>
              </w:rPr>
              <w:t>ш</w:t>
            </w:r>
            <w:r w:rsidR="00A56E08" w:rsidRPr="00FB5CB7">
              <w:rPr>
                <w:rFonts w:ascii="Arial" w:hAnsi="Arial" w:cs="Arial"/>
                <w:b/>
                <w:color w:val="00B0F0"/>
                <w:lang w:val="sr-Cyrl-BA"/>
              </w:rPr>
              <w:t>колама</w:t>
            </w:r>
            <w:r w:rsidRPr="00FB5CB7">
              <w:rPr>
                <w:rFonts w:ascii="Arial" w:hAnsi="Arial" w:cs="Arial"/>
                <w:b/>
                <w:color w:val="00B0F0"/>
                <w:lang w:val="sr-Cyrl-BA"/>
              </w:rPr>
              <w:t xml:space="preserve"> </w:t>
            </w:r>
          </w:p>
          <w:p w14:paraId="5297D6E4" w14:textId="742AF874" w:rsidR="00892898" w:rsidRPr="00F6340E" w:rsidRDefault="00A56E08" w:rsidP="00FB5CB7">
            <w:pPr>
              <w:pStyle w:val="ListParagraph"/>
              <w:numPr>
                <w:ilvl w:val="0"/>
                <w:numId w:val="44"/>
              </w:numPr>
              <w:ind w:left="360"/>
              <w:jc w:val="left"/>
              <w:rPr>
                <w:rFonts w:ascii="Arial" w:hAnsi="Arial" w:cs="Arial"/>
                <w:color w:val="000000"/>
                <w:lang w:val="sr-Cyrl-BA"/>
              </w:rPr>
            </w:pPr>
            <w:r>
              <w:rPr>
                <w:rFonts w:ascii="Arial" w:hAnsi="Arial" w:cs="Arial"/>
                <w:b/>
                <w:color w:val="000000" w:themeColor="text1"/>
                <w:lang w:val="sr-Cyrl-BA"/>
              </w:rPr>
              <w:t>Ин</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Pr>
                <w:rFonts w:ascii="Arial" w:hAnsi="Arial" w:cs="Arial"/>
                <w:b/>
                <w:color w:val="000000" w:themeColor="text1"/>
                <w:lang w:val="sr-Cyrl-BA"/>
              </w:rPr>
              <w:t>г</w:t>
            </w:r>
            <w:r w:rsidR="0071360A">
              <w:rPr>
                <w:rFonts w:ascii="Arial" w:hAnsi="Arial" w:cs="Arial"/>
                <w:b/>
                <w:color w:val="000000" w:themeColor="text1"/>
                <w:lang w:val="sr-Cyrl-BA"/>
              </w:rPr>
              <w:t>р</w:t>
            </w:r>
            <w:r>
              <w:rPr>
                <w:rFonts w:ascii="Arial" w:hAnsi="Arial" w:cs="Arial"/>
                <w:b/>
                <w:color w:val="000000" w:themeColor="text1"/>
                <w:lang w:val="sr-Cyrl-BA"/>
              </w:rPr>
              <w:t>и</w:t>
            </w:r>
            <w:r w:rsidR="0071360A">
              <w:rPr>
                <w:rFonts w:ascii="Arial" w:hAnsi="Arial" w:cs="Arial"/>
                <w:b/>
                <w:color w:val="000000" w:themeColor="text1"/>
                <w:lang w:val="sr-Cyrl-BA"/>
              </w:rPr>
              <w:t>с</w:t>
            </w:r>
            <w:r>
              <w:rPr>
                <w:rFonts w:ascii="Arial" w:hAnsi="Arial" w:cs="Arial"/>
                <w:b/>
                <w:color w:val="000000" w:themeColor="text1"/>
                <w:lang w:val="sr-Cyrl-BA"/>
              </w:rPr>
              <w:t>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м</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Pr>
                <w:rFonts w:ascii="Arial" w:hAnsi="Arial" w:cs="Arial"/>
                <w:b/>
                <w:color w:val="000000" w:themeColor="text1"/>
                <w:lang w:val="sr-Cyrl-BA"/>
              </w:rPr>
              <w:t>од</w:t>
            </w:r>
            <w:r w:rsidR="0071360A">
              <w:rPr>
                <w:rFonts w:ascii="Arial" w:hAnsi="Arial" w:cs="Arial"/>
                <w:b/>
                <w:color w:val="000000" w:themeColor="text1"/>
                <w:lang w:val="sr-Cyrl-BA"/>
              </w:rPr>
              <w:t>у</w:t>
            </w:r>
            <w:r w:rsidR="00A4214D"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w:t>
            </w:r>
            <w:r w:rsidR="00EE6AA2">
              <w:rPr>
                <w:rFonts w:ascii="Arial" w:hAnsi="Arial" w:cs="Arial"/>
                <w:b/>
                <w:color w:val="000000" w:themeColor="text1"/>
                <w:lang w:val="sr-Cyrl-BA"/>
              </w:rPr>
              <w:t>Е</w:t>
            </w:r>
            <w:r>
              <w:rPr>
                <w:rFonts w:ascii="Arial" w:hAnsi="Arial" w:cs="Arial"/>
                <w:b/>
                <w:color w:val="000000" w:themeColor="text1"/>
                <w:lang w:val="sr-Cyrl-BA"/>
              </w:rPr>
              <w:t>ЛФИ</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од</w:t>
            </w:r>
            <w:r w:rsidR="00171F00">
              <w:rPr>
                <w:rFonts w:ascii="Arial" w:hAnsi="Arial" w:cs="Arial"/>
                <w:b/>
                <w:color w:val="000000" w:themeColor="text1"/>
                <w:lang w:val="sr-Cyrl-BA"/>
              </w:rPr>
              <w:t>з</w:t>
            </w:r>
            <w:r>
              <w:rPr>
                <w:rFonts w:ascii="Arial" w:hAnsi="Arial" w:cs="Arial"/>
                <w:b/>
                <w:color w:val="000000" w:themeColor="text1"/>
                <w:lang w:val="sr-Cyrl-BA"/>
              </w:rPr>
              <w:t>акон</w:t>
            </w:r>
            <w:r w:rsidR="0071360A">
              <w:rPr>
                <w:rFonts w:ascii="Arial" w:hAnsi="Arial" w:cs="Arial"/>
                <w:b/>
                <w:color w:val="000000" w:themeColor="text1"/>
                <w:lang w:val="sr-Cyrl-BA"/>
              </w:rPr>
              <w:t>с</w:t>
            </w:r>
            <w:r>
              <w:rPr>
                <w:rFonts w:ascii="Arial" w:hAnsi="Arial" w:cs="Arial"/>
                <w:b/>
                <w:color w:val="000000" w:themeColor="text1"/>
                <w:lang w:val="sr-Cyrl-BA"/>
              </w:rPr>
              <w:t>к</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ак</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w:t>
            </w:r>
            <w:r w:rsidR="0071360A">
              <w:rPr>
                <w:rFonts w:ascii="Arial" w:hAnsi="Arial" w:cs="Arial"/>
                <w:b/>
                <w:color w:val="000000" w:themeColor="text1"/>
                <w:lang w:val="sr-Cyrl-BA"/>
              </w:rPr>
              <w:t>с</w:t>
            </w:r>
            <w:r>
              <w:rPr>
                <w:rFonts w:ascii="Arial" w:hAnsi="Arial" w:cs="Arial"/>
                <w:b/>
                <w:color w:val="000000" w:themeColor="text1"/>
                <w:lang w:val="sr-Cyrl-BA"/>
              </w:rPr>
              <w:t>но</w:t>
            </w:r>
            <w:r w:rsidR="0071360A">
              <w:rPr>
                <w:rFonts w:ascii="Arial" w:hAnsi="Arial" w:cs="Arial"/>
                <w:b/>
                <w:color w:val="000000" w:themeColor="text1"/>
                <w:lang w:val="sr-Cyrl-BA"/>
              </w:rPr>
              <w:t>в</w:t>
            </w:r>
            <w:r>
              <w:rPr>
                <w:rFonts w:ascii="Arial" w:hAnsi="Arial" w:cs="Arial"/>
                <w:b/>
                <w:color w:val="000000" w:themeColor="text1"/>
                <w:lang w:val="sr-Cyrl-BA"/>
              </w:rPr>
              <w:t>ном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ср</w:t>
            </w:r>
            <w:r w:rsidR="00EE6AA2">
              <w:rPr>
                <w:rFonts w:ascii="Arial" w:hAnsi="Arial" w:cs="Arial"/>
                <w:b/>
                <w:color w:val="000000" w:themeColor="text1"/>
                <w:lang w:val="sr-Cyrl-BA"/>
              </w:rPr>
              <w:t>е</w:t>
            </w:r>
            <w:r>
              <w:rPr>
                <w:rFonts w:ascii="Arial" w:hAnsi="Arial" w:cs="Arial"/>
                <w:b/>
                <w:color w:val="000000" w:themeColor="text1"/>
                <w:lang w:val="sr-Cyrl-BA"/>
              </w:rPr>
              <w:t>дњ</w:t>
            </w:r>
            <w:r w:rsidR="00EE6AA2">
              <w:rPr>
                <w:rFonts w:ascii="Arial" w:hAnsi="Arial" w:cs="Arial"/>
                <w:b/>
                <w:color w:val="000000" w:themeColor="text1"/>
                <w:lang w:val="sr-Cyrl-BA"/>
              </w:rPr>
              <w:t>е</w:t>
            </w:r>
            <w:r>
              <w:rPr>
                <w:rFonts w:ascii="Arial" w:hAnsi="Arial" w:cs="Arial"/>
                <w:b/>
                <w:color w:val="000000" w:themeColor="text1"/>
                <w:lang w:val="sr-Cyrl-BA"/>
              </w:rPr>
              <w:t>м</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ањ</w:t>
            </w:r>
            <w:r w:rsidR="0071360A">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w:t>
            </w:r>
            <w:r w:rsidR="00171F00">
              <w:rPr>
                <w:rFonts w:ascii="Arial" w:hAnsi="Arial" w:cs="Arial"/>
                <w:b/>
                <w:color w:val="000000" w:themeColor="text1"/>
                <w:lang w:val="sr-Cyrl-BA"/>
              </w:rPr>
              <w:t>з</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ув</w:t>
            </w:r>
            <w:r>
              <w:rPr>
                <w:rFonts w:ascii="Arial" w:hAnsi="Arial" w:cs="Arial"/>
                <w:b/>
                <w:color w:val="000000" w:themeColor="text1"/>
                <w:lang w:val="sr-Cyrl-BA"/>
              </w:rPr>
              <w:t>а</w:t>
            </w:r>
            <w:r w:rsidR="00171F00">
              <w:rPr>
                <w:rFonts w:ascii="Arial" w:hAnsi="Arial" w:cs="Arial"/>
                <w:b/>
                <w:color w:val="000000" w:themeColor="text1"/>
                <w:lang w:val="sr-Cyrl-BA"/>
              </w:rPr>
              <w:t>ж</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а</w:t>
            </w:r>
            <w:r w:rsidR="0071360A">
              <w:rPr>
                <w:rFonts w:ascii="Arial" w:hAnsi="Arial" w:cs="Arial"/>
                <w:b/>
                <w:color w:val="000000" w:themeColor="text1"/>
                <w:lang w:val="sr-Cyrl-BA"/>
              </w:rPr>
              <w:t>ут</w:t>
            </w:r>
            <w:r>
              <w:rPr>
                <w:rFonts w:ascii="Arial" w:hAnsi="Arial" w:cs="Arial"/>
                <w:b/>
                <w:color w:val="000000" w:themeColor="text1"/>
                <w:lang w:val="sr-Cyrl-BA"/>
              </w:rPr>
              <w:t>ономиј</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н</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ин</w:t>
            </w:r>
            <w:r w:rsidR="0071360A">
              <w:rPr>
                <w:rFonts w:ascii="Arial" w:hAnsi="Arial" w:cs="Arial"/>
                <w:b/>
                <w:color w:val="000000" w:themeColor="text1"/>
                <w:lang w:val="sr-Cyrl-BA"/>
              </w:rPr>
              <w:t>ст</w:t>
            </w:r>
            <w:r>
              <w:rPr>
                <w:rFonts w:ascii="Arial" w:hAnsi="Arial" w:cs="Arial"/>
                <w:b/>
                <w:color w:val="000000" w:themeColor="text1"/>
                <w:lang w:val="sr-Cyrl-BA"/>
              </w:rPr>
              <w:t>и</w:t>
            </w:r>
            <w:r w:rsidR="0071360A">
              <w:rPr>
                <w:rFonts w:ascii="Arial" w:hAnsi="Arial" w:cs="Arial"/>
                <w:b/>
                <w:color w:val="000000" w:themeColor="text1"/>
                <w:lang w:val="sr-Cyrl-BA"/>
              </w:rPr>
              <w:t>ту</w:t>
            </w:r>
            <w:r>
              <w:rPr>
                <w:rFonts w:ascii="Arial" w:hAnsi="Arial" w:cs="Arial"/>
                <w:b/>
                <w:color w:val="000000" w:themeColor="text1"/>
                <w:lang w:val="sr-Cyrl-BA"/>
              </w:rPr>
              <w:t>циј</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171F00">
              <w:rPr>
                <w:rFonts w:ascii="Arial" w:hAnsi="Arial" w:cs="Arial"/>
                <w:b/>
                <w:color w:val="000000" w:themeColor="text1"/>
                <w:lang w:val="sr-Cyrl-BA"/>
              </w:rPr>
              <w:t>з</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171F00">
              <w:rPr>
                <w:rFonts w:ascii="Arial" w:hAnsi="Arial" w:cs="Arial"/>
                <w:b/>
                <w:color w:val="000000" w:themeColor="text1"/>
                <w:lang w:val="sr-Cyrl-BA"/>
              </w:rPr>
              <w:t>з</w:t>
            </w:r>
            <w:r>
              <w:rPr>
                <w:rFonts w:ascii="Arial" w:hAnsi="Arial" w:cs="Arial"/>
                <w:b/>
                <w:color w:val="000000" w:themeColor="text1"/>
                <w:lang w:val="sr-Cyrl-BA"/>
              </w:rPr>
              <w:t>бо</w:t>
            </w:r>
            <w:r w:rsidR="0071360A">
              <w:rPr>
                <w:rFonts w:ascii="Arial" w:hAnsi="Arial" w:cs="Arial"/>
                <w:b/>
                <w:color w:val="000000" w:themeColor="text1"/>
                <w:lang w:val="sr-Cyrl-BA"/>
              </w:rPr>
              <w:t>р</w:t>
            </w:r>
            <w:r w:rsidR="00892898" w:rsidRPr="00F6340E">
              <w:rPr>
                <w:rFonts w:ascii="Arial" w:hAnsi="Arial" w:cs="Arial"/>
                <w:b/>
                <w:color w:val="000000" w:themeColor="text1"/>
                <w:lang w:val="sr-Cyrl-BA"/>
              </w:rPr>
              <w:t xml:space="preserve"> </w:t>
            </w:r>
            <w:r w:rsidR="00EE6AA2">
              <w:rPr>
                <w:rFonts w:ascii="Arial" w:hAnsi="Arial" w:cs="Arial"/>
                <w:b/>
                <w:color w:val="000000" w:themeColor="text1"/>
                <w:lang w:val="sr-Cyrl-BA"/>
              </w:rPr>
              <w:t>е</w:t>
            </w:r>
            <w:r>
              <w:rPr>
                <w:rFonts w:ascii="Arial" w:hAnsi="Arial" w:cs="Arial"/>
                <w:b/>
                <w:color w:val="000000" w:themeColor="text1"/>
                <w:lang w:val="sr-Cyrl-BA"/>
              </w:rPr>
              <w:t>л</w:t>
            </w:r>
            <w:r w:rsidR="00EE6AA2">
              <w:rPr>
                <w:rFonts w:ascii="Arial" w:hAnsi="Arial" w:cs="Arial"/>
                <w:b/>
                <w:color w:val="000000" w:themeColor="text1"/>
                <w:lang w:val="sr-Cyrl-BA"/>
              </w:rPr>
              <w:t>е</w:t>
            </w:r>
            <w:r>
              <w:rPr>
                <w:rFonts w:ascii="Arial" w:hAnsi="Arial" w:cs="Arial"/>
                <w:b/>
                <w:color w:val="000000" w:themeColor="text1"/>
                <w:lang w:val="sr-Cyrl-BA"/>
              </w:rPr>
              <w:t>м</w:t>
            </w:r>
            <w:r w:rsidR="00EE6AA2">
              <w:rPr>
                <w:rFonts w:ascii="Arial" w:hAnsi="Arial" w:cs="Arial"/>
                <w:b/>
                <w:color w:val="000000" w:themeColor="text1"/>
                <w:lang w:val="sr-Cyrl-BA"/>
              </w:rPr>
              <w:t>е</w:t>
            </w:r>
            <w:r>
              <w:rPr>
                <w:rFonts w:ascii="Arial" w:hAnsi="Arial" w:cs="Arial"/>
                <w:b/>
                <w:color w:val="000000" w:themeColor="text1"/>
                <w:lang w:val="sr-Cyrl-BA"/>
              </w:rPr>
              <w:t>на</w:t>
            </w:r>
            <w:r w:rsidR="0071360A">
              <w:rPr>
                <w:rFonts w:ascii="Arial" w:hAnsi="Arial" w:cs="Arial"/>
                <w:b/>
                <w:color w:val="000000" w:themeColor="text1"/>
                <w:lang w:val="sr-Cyrl-BA"/>
              </w:rPr>
              <w:t>т</w:t>
            </w:r>
            <w:r>
              <w:rPr>
                <w:rFonts w:ascii="Arial" w:hAnsi="Arial" w:cs="Arial"/>
                <w:b/>
                <w:color w:val="000000" w:themeColor="text1"/>
                <w:lang w:val="sr-Cyrl-BA"/>
              </w:rPr>
              <w:t>а</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вр</w:t>
            </w:r>
            <w:r w:rsidR="00EE6AA2">
              <w:rPr>
                <w:rFonts w:ascii="Arial" w:hAnsi="Arial" w:cs="Arial"/>
                <w:b/>
                <w:color w:val="000000" w:themeColor="text1"/>
                <w:lang w:val="sr-Cyrl-BA"/>
              </w:rPr>
              <w:t>е</w:t>
            </w:r>
            <w:r>
              <w:rPr>
                <w:rFonts w:ascii="Arial" w:hAnsi="Arial" w:cs="Arial"/>
                <w:b/>
                <w:color w:val="000000" w:themeColor="text1"/>
                <w:lang w:val="sr-Cyrl-BA"/>
              </w:rPr>
              <w:t>дно</w:t>
            </w:r>
            <w:r w:rsidR="0071360A">
              <w:rPr>
                <w:rFonts w:ascii="Arial" w:hAnsi="Arial" w:cs="Arial"/>
                <w:b/>
                <w:color w:val="000000" w:themeColor="text1"/>
                <w:lang w:val="sr-Cyrl-BA"/>
              </w:rPr>
              <w:t>в</w:t>
            </w:r>
            <w:r>
              <w:rPr>
                <w:rFonts w:ascii="Arial" w:hAnsi="Arial" w:cs="Arial"/>
                <w:b/>
                <w:color w:val="000000" w:themeColor="text1"/>
                <w:lang w:val="sr-Cyrl-BA"/>
              </w:rPr>
              <w:t>ања</w:t>
            </w:r>
            <w:r w:rsidR="00892898" w:rsidRPr="00F6340E">
              <w:rPr>
                <w:rFonts w:ascii="Arial" w:hAnsi="Arial" w:cs="Arial"/>
                <w:b/>
                <w:color w:val="000000" w:themeColor="text1"/>
                <w:lang w:val="sr-Cyrl-BA"/>
              </w:rPr>
              <w:t xml:space="preserve"> </w:t>
            </w:r>
          </w:p>
          <w:p w14:paraId="6F37470F" w14:textId="2F882D3A" w:rsidR="00123D1A" w:rsidRPr="00F6340E" w:rsidRDefault="00A56E08" w:rsidP="00FB5CB7">
            <w:pPr>
              <w:pStyle w:val="ListParagraph"/>
              <w:numPr>
                <w:ilvl w:val="0"/>
                <w:numId w:val="44"/>
              </w:numPr>
              <w:ind w:left="360"/>
              <w:jc w:val="left"/>
              <w:rPr>
                <w:rFonts w:ascii="Arial" w:hAnsi="Arial" w:cs="Arial"/>
                <w:color w:val="000000"/>
                <w:lang w:val="sr-Cyrl-BA"/>
              </w:rPr>
            </w:pPr>
            <w:r>
              <w:rPr>
                <w:rFonts w:ascii="Arial" w:hAnsi="Arial" w:cs="Arial"/>
                <w:b/>
                <w:color w:val="000000"/>
                <w:lang w:val="sr-Cyrl-BA"/>
              </w:rPr>
              <w:t>Ид</w:t>
            </w:r>
            <w:r w:rsidR="00EE6AA2">
              <w:rPr>
                <w:rFonts w:ascii="Arial" w:hAnsi="Arial" w:cs="Arial"/>
                <w:b/>
                <w:color w:val="000000"/>
                <w:lang w:val="sr-Cyrl-BA"/>
              </w:rPr>
              <w:t>е</w:t>
            </w:r>
            <w:r>
              <w:rPr>
                <w:rFonts w:ascii="Arial" w:hAnsi="Arial" w:cs="Arial"/>
                <w:b/>
                <w:color w:val="000000"/>
                <w:lang w:val="sr-Cyrl-BA"/>
              </w:rPr>
              <w:t>н</w:t>
            </w:r>
            <w:r w:rsidR="0071360A">
              <w:rPr>
                <w:rFonts w:ascii="Arial" w:hAnsi="Arial" w:cs="Arial"/>
                <w:b/>
                <w:color w:val="000000"/>
                <w:lang w:val="sr-Cyrl-BA"/>
              </w:rPr>
              <w:t>т</w:t>
            </w:r>
            <w:r>
              <w:rPr>
                <w:rFonts w:ascii="Arial" w:hAnsi="Arial" w:cs="Arial"/>
                <w:b/>
                <w:color w:val="000000"/>
                <w:lang w:val="sr-Cyrl-BA"/>
              </w:rPr>
              <w:t>ифико</w:t>
            </w:r>
            <w:r w:rsidR="0071360A">
              <w:rPr>
                <w:rFonts w:ascii="Arial" w:hAnsi="Arial" w:cs="Arial"/>
                <w:b/>
                <w:color w:val="000000"/>
                <w:lang w:val="sr-Cyrl-BA"/>
              </w:rPr>
              <w:t>в</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123D1A" w:rsidRPr="00F6340E">
              <w:rPr>
                <w:rFonts w:ascii="Arial" w:hAnsi="Arial" w:cs="Arial"/>
                <w:b/>
                <w:color w:val="000000"/>
                <w:lang w:val="sr-Cyrl-BA"/>
              </w:rPr>
              <w:t xml:space="preserve"> </w:t>
            </w:r>
            <w:r>
              <w:rPr>
                <w:rFonts w:ascii="Arial" w:hAnsi="Arial" w:cs="Arial"/>
                <w:b/>
                <w:color w:val="000000"/>
                <w:lang w:val="sr-Cyrl-BA"/>
              </w:rPr>
              <w:t>и</w:t>
            </w:r>
            <w:r w:rsidR="00123D1A" w:rsidRPr="00F6340E">
              <w:rPr>
                <w:rFonts w:ascii="Arial" w:hAnsi="Arial" w:cs="Arial"/>
                <w:b/>
                <w:color w:val="000000"/>
                <w:lang w:val="sr-Cyrl-BA"/>
              </w:rPr>
              <w:t xml:space="preserve"> </w:t>
            </w:r>
            <w:r>
              <w:rPr>
                <w:rFonts w:ascii="Arial" w:hAnsi="Arial" w:cs="Arial"/>
                <w:b/>
                <w:color w:val="000000"/>
                <w:lang w:val="sr-Cyrl-BA"/>
              </w:rPr>
              <w:t>ја</w:t>
            </w:r>
            <w:r w:rsidR="0071360A">
              <w:rPr>
                <w:rFonts w:ascii="Arial" w:hAnsi="Arial" w:cs="Arial"/>
                <w:b/>
                <w:color w:val="000000"/>
                <w:lang w:val="sr-Cyrl-BA"/>
              </w:rPr>
              <w:t>с</w:t>
            </w:r>
            <w:r>
              <w:rPr>
                <w:rFonts w:ascii="Arial" w:hAnsi="Arial" w:cs="Arial"/>
                <w:b/>
                <w:color w:val="000000"/>
                <w:lang w:val="sr-Cyrl-BA"/>
              </w:rPr>
              <w:t>но</w:t>
            </w:r>
            <w:r w:rsidR="00123D1A" w:rsidRPr="00F6340E">
              <w:rPr>
                <w:rFonts w:ascii="Arial" w:hAnsi="Arial" w:cs="Arial"/>
                <w:b/>
                <w:color w:val="000000"/>
                <w:lang w:val="sr-Cyrl-BA"/>
              </w:rPr>
              <w:t xml:space="preserve"> </w:t>
            </w:r>
            <w:r>
              <w:rPr>
                <w:rFonts w:ascii="Arial" w:hAnsi="Arial" w:cs="Arial"/>
                <w:b/>
                <w:color w:val="000000"/>
                <w:lang w:val="sr-Cyrl-BA"/>
              </w:rPr>
              <w:t>д</w:t>
            </w:r>
            <w:r w:rsidR="00EE6AA2">
              <w:rPr>
                <w:rFonts w:ascii="Arial" w:hAnsi="Arial" w:cs="Arial"/>
                <w:b/>
                <w:color w:val="000000"/>
                <w:lang w:val="sr-Cyrl-BA"/>
              </w:rPr>
              <w:t>е</w:t>
            </w:r>
            <w:r>
              <w:rPr>
                <w:rFonts w:ascii="Arial" w:hAnsi="Arial" w:cs="Arial"/>
                <w:b/>
                <w:color w:val="000000"/>
                <w:lang w:val="sr-Cyrl-BA"/>
              </w:rPr>
              <w:t>фини</w:t>
            </w:r>
            <w:r w:rsidR="0071360A">
              <w:rPr>
                <w:rFonts w:ascii="Arial" w:hAnsi="Arial" w:cs="Arial"/>
                <w:b/>
                <w:color w:val="000000"/>
                <w:lang w:val="sr-Cyrl-BA"/>
              </w:rPr>
              <w:t>с</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123D1A" w:rsidRPr="00F6340E">
              <w:rPr>
                <w:rFonts w:ascii="Arial" w:hAnsi="Arial" w:cs="Arial"/>
                <w:b/>
                <w:color w:val="000000"/>
                <w:lang w:val="sr-Cyrl-BA"/>
              </w:rPr>
              <w:t xml:space="preserve"> </w:t>
            </w:r>
            <w:r>
              <w:rPr>
                <w:rFonts w:ascii="Arial" w:hAnsi="Arial" w:cs="Arial"/>
                <w:b/>
                <w:color w:val="000000"/>
                <w:lang w:val="sr-Cyrl-BA"/>
              </w:rPr>
              <w:t>индика</w:t>
            </w:r>
            <w:r w:rsidR="0071360A">
              <w:rPr>
                <w:rFonts w:ascii="Arial" w:hAnsi="Arial" w:cs="Arial"/>
                <w:b/>
                <w:color w:val="000000"/>
                <w:lang w:val="sr-Cyrl-BA"/>
              </w:rPr>
              <w:t>т</w:t>
            </w:r>
            <w:r>
              <w:rPr>
                <w:rFonts w:ascii="Arial" w:hAnsi="Arial" w:cs="Arial"/>
                <w:b/>
                <w:color w:val="000000"/>
                <w:lang w:val="sr-Cyrl-BA"/>
              </w:rPr>
              <w:t>о</w:t>
            </w:r>
            <w:r w:rsidR="0071360A">
              <w:rPr>
                <w:rFonts w:ascii="Arial" w:hAnsi="Arial" w:cs="Arial"/>
                <w:b/>
                <w:color w:val="000000"/>
                <w:lang w:val="sr-Cyrl-BA"/>
              </w:rPr>
              <w:t>р</w:t>
            </w:r>
            <w:r w:rsidR="00EE6AA2">
              <w:rPr>
                <w:rFonts w:ascii="Arial" w:hAnsi="Arial" w:cs="Arial"/>
                <w:b/>
                <w:color w:val="000000"/>
                <w:lang w:val="sr-Cyrl-BA"/>
              </w:rPr>
              <w:t>е</w:t>
            </w:r>
            <w:r w:rsidR="00123D1A" w:rsidRPr="00F6340E">
              <w:rPr>
                <w:rFonts w:ascii="Arial" w:hAnsi="Arial" w:cs="Arial"/>
                <w:b/>
                <w:color w:val="000000"/>
                <w:lang w:val="sr-Cyrl-BA"/>
              </w:rPr>
              <w:t xml:space="preserve">, </w:t>
            </w:r>
            <w:r>
              <w:rPr>
                <w:rFonts w:ascii="Arial" w:hAnsi="Arial" w:cs="Arial"/>
                <w:b/>
                <w:color w:val="000000"/>
                <w:lang w:val="sr-Cyrl-BA"/>
              </w:rPr>
              <w:t>д</w:t>
            </w:r>
            <w:r w:rsidR="00EE6AA2">
              <w:rPr>
                <w:rFonts w:ascii="Arial" w:hAnsi="Arial" w:cs="Arial"/>
                <w:b/>
                <w:color w:val="000000"/>
                <w:lang w:val="sr-Cyrl-BA"/>
              </w:rPr>
              <w:t>е</w:t>
            </w:r>
            <w:r w:rsidR="0071360A">
              <w:rPr>
                <w:rFonts w:ascii="Arial" w:hAnsi="Arial" w:cs="Arial"/>
                <w:b/>
                <w:color w:val="000000"/>
                <w:lang w:val="sr-Cyrl-BA"/>
              </w:rPr>
              <w:t>с</w:t>
            </w:r>
            <w:r>
              <w:rPr>
                <w:rFonts w:ascii="Arial" w:hAnsi="Arial" w:cs="Arial"/>
                <w:b/>
                <w:color w:val="000000"/>
                <w:lang w:val="sr-Cyrl-BA"/>
              </w:rPr>
              <w:t>к</w:t>
            </w:r>
            <w:r w:rsidR="0071360A">
              <w:rPr>
                <w:rFonts w:ascii="Arial" w:hAnsi="Arial" w:cs="Arial"/>
                <w:b/>
                <w:color w:val="000000"/>
                <w:lang w:val="sr-Cyrl-BA"/>
              </w:rPr>
              <w:t>р</w:t>
            </w:r>
            <w:r>
              <w:rPr>
                <w:rFonts w:ascii="Arial" w:hAnsi="Arial" w:cs="Arial"/>
                <w:b/>
                <w:color w:val="000000"/>
                <w:lang w:val="sr-Cyrl-BA"/>
              </w:rPr>
              <w:t>и</w:t>
            </w:r>
            <w:r w:rsidR="0071360A">
              <w:rPr>
                <w:rFonts w:ascii="Arial" w:hAnsi="Arial" w:cs="Arial"/>
                <w:b/>
                <w:color w:val="000000"/>
                <w:lang w:val="sr-Cyrl-BA"/>
              </w:rPr>
              <w:t>пт</w:t>
            </w:r>
            <w:r>
              <w:rPr>
                <w:rFonts w:ascii="Arial" w:hAnsi="Arial" w:cs="Arial"/>
                <w:b/>
                <w:color w:val="000000"/>
                <w:lang w:val="sr-Cyrl-BA"/>
              </w:rPr>
              <w:t>о</w:t>
            </w:r>
            <w:r w:rsidR="0071360A">
              <w:rPr>
                <w:rFonts w:ascii="Arial" w:hAnsi="Arial" w:cs="Arial"/>
                <w:b/>
                <w:color w:val="000000"/>
                <w:lang w:val="sr-Cyrl-BA"/>
              </w:rPr>
              <w:t>р</w:t>
            </w:r>
            <w:r w:rsidR="00EE6AA2">
              <w:rPr>
                <w:rFonts w:ascii="Arial" w:hAnsi="Arial" w:cs="Arial"/>
                <w:b/>
                <w:color w:val="000000"/>
                <w:lang w:val="sr-Cyrl-BA"/>
              </w:rPr>
              <w:t>е</w:t>
            </w:r>
            <w:r w:rsidR="00123D1A" w:rsidRPr="00F6340E">
              <w:rPr>
                <w:rFonts w:ascii="Arial" w:hAnsi="Arial" w:cs="Arial"/>
                <w:b/>
                <w:color w:val="000000"/>
                <w:lang w:val="sr-Cyrl-BA"/>
              </w:rPr>
              <w:t xml:space="preserve">, </w:t>
            </w:r>
            <w:r>
              <w:rPr>
                <w:rFonts w:ascii="Arial" w:hAnsi="Arial" w:cs="Arial"/>
                <w:b/>
                <w:color w:val="000000"/>
                <w:lang w:val="sr-Cyrl-BA"/>
              </w:rPr>
              <w:t>ком</w:t>
            </w:r>
            <w:r w:rsidR="0071360A">
              <w:rPr>
                <w:rFonts w:ascii="Arial" w:hAnsi="Arial" w:cs="Arial"/>
                <w:b/>
                <w:color w:val="000000"/>
                <w:lang w:val="sr-Cyrl-BA"/>
              </w:rPr>
              <w:t>п</w:t>
            </w:r>
            <w:r>
              <w:rPr>
                <w:rFonts w:ascii="Arial" w:hAnsi="Arial" w:cs="Arial"/>
                <w:b/>
                <w:color w:val="000000"/>
                <w:lang w:val="sr-Cyrl-BA"/>
              </w:rPr>
              <w:t>он</w:t>
            </w:r>
            <w:r w:rsidR="00EE6AA2">
              <w:rPr>
                <w:rFonts w:ascii="Arial" w:hAnsi="Arial" w:cs="Arial"/>
                <w:b/>
                <w:color w:val="000000"/>
                <w:lang w:val="sr-Cyrl-BA"/>
              </w:rPr>
              <w:t>е</w:t>
            </w:r>
            <w:r>
              <w:rPr>
                <w:rFonts w:ascii="Arial" w:hAnsi="Arial" w:cs="Arial"/>
                <w:b/>
                <w:color w:val="000000"/>
                <w:lang w:val="sr-Cyrl-BA"/>
              </w:rPr>
              <w:t>н</w:t>
            </w:r>
            <w:r w:rsidR="0071360A">
              <w:rPr>
                <w:rFonts w:ascii="Arial" w:hAnsi="Arial" w:cs="Arial"/>
                <w:b/>
                <w:color w:val="000000"/>
                <w:lang w:val="sr-Cyrl-BA"/>
              </w:rPr>
              <w:t>т</w:t>
            </w:r>
            <w:r w:rsidR="00EE6AA2">
              <w:rPr>
                <w:rFonts w:ascii="Arial" w:hAnsi="Arial" w:cs="Arial"/>
                <w:b/>
                <w:color w:val="000000"/>
                <w:lang w:val="sr-Cyrl-BA"/>
              </w:rPr>
              <w:t>е</w:t>
            </w:r>
            <w:r w:rsidR="00123D1A" w:rsidRPr="00F6340E">
              <w:rPr>
                <w:rFonts w:ascii="Arial" w:hAnsi="Arial" w:cs="Arial"/>
                <w:b/>
                <w:color w:val="000000"/>
                <w:lang w:val="sr-Cyrl-BA"/>
              </w:rPr>
              <w:t xml:space="preserve"> </w:t>
            </w:r>
            <w:r>
              <w:rPr>
                <w:rFonts w:ascii="Arial" w:hAnsi="Arial" w:cs="Arial"/>
                <w:b/>
                <w:color w:val="000000"/>
                <w:lang w:val="sr-Cyrl-BA"/>
              </w:rPr>
              <w:t>и</w:t>
            </w:r>
            <w:r w:rsidR="00123D1A" w:rsidRPr="00F6340E">
              <w:rPr>
                <w:rFonts w:ascii="Arial" w:hAnsi="Arial" w:cs="Arial"/>
                <w:b/>
                <w:color w:val="000000"/>
                <w:lang w:val="sr-Cyrl-BA"/>
              </w:rPr>
              <w:t xml:space="preserve"> </w:t>
            </w:r>
            <w:r>
              <w:rPr>
                <w:rFonts w:ascii="Arial" w:hAnsi="Arial" w:cs="Arial"/>
                <w:b/>
                <w:color w:val="000000"/>
                <w:lang w:val="sr-Cyrl-BA"/>
              </w:rPr>
              <w:t>циљ</w:t>
            </w:r>
            <w:r w:rsidR="00EE6AA2">
              <w:rPr>
                <w:rFonts w:ascii="Arial" w:hAnsi="Arial" w:cs="Arial"/>
                <w:b/>
                <w:color w:val="000000"/>
                <w:lang w:val="sr-Cyrl-BA"/>
              </w:rPr>
              <w:t>е</w:t>
            </w:r>
            <w:r w:rsidR="0071360A">
              <w:rPr>
                <w:rFonts w:ascii="Arial" w:hAnsi="Arial" w:cs="Arial"/>
                <w:b/>
                <w:color w:val="000000"/>
                <w:lang w:val="sr-Cyrl-BA"/>
              </w:rPr>
              <w:t>в</w:t>
            </w:r>
            <w:r w:rsidR="00EE6AA2">
              <w:rPr>
                <w:rFonts w:ascii="Arial" w:hAnsi="Arial" w:cs="Arial"/>
                <w:b/>
                <w:color w:val="000000"/>
                <w:lang w:val="sr-Cyrl-BA"/>
              </w:rPr>
              <w:t>е</w:t>
            </w:r>
            <w:r w:rsidR="00123D1A" w:rsidRPr="00F6340E">
              <w:rPr>
                <w:rFonts w:ascii="Arial" w:hAnsi="Arial" w:cs="Arial"/>
                <w:b/>
                <w:color w:val="000000"/>
                <w:lang w:val="sr-Cyrl-BA"/>
              </w:rPr>
              <w:t xml:space="preserve"> (</w:t>
            </w:r>
            <w:r w:rsidR="0071360A">
              <w:rPr>
                <w:rFonts w:ascii="Arial" w:hAnsi="Arial" w:cs="Arial"/>
                <w:b/>
                <w:color w:val="000000"/>
                <w:lang w:val="sr-Cyrl-BA"/>
              </w:rPr>
              <w:t>с</w:t>
            </w:r>
            <w:r>
              <w:rPr>
                <w:rFonts w:ascii="Arial" w:hAnsi="Arial" w:cs="Arial"/>
                <w:b/>
                <w:color w:val="000000"/>
                <w:lang w:val="sr-Cyrl-BA"/>
              </w:rPr>
              <w:t>амо</w:t>
            </w:r>
            <w:r w:rsidR="00123D1A" w:rsidRPr="00F6340E">
              <w:rPr>
                <w:rFonts w:ascii="Arial" w:hAnsi="Arial" w:cs="Arial"/>
                <w:b/>
                <w:color w:val="000000"/>
                <w:lang w:val="sr-Cyrl-BA"/>
              </w:rPr>
              <w:t>)</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ања</w:t>
            </w:r>
            <w:r w:rsidR="00123D1A" w:rsidRPr="00F6340E">
              <w:rPr>
                <w:rFonts w:ascii="Arial" w:hAnsi="Arial" w:cs="Arial"/>
                <w:b/>
                <w:color w:val="000000"/>
                <w:lang w:val="sr-Cyrl-BA"/>
              </w:rPr>
              <w:t xml:space="preserve"> </w:t>
            </w:r>
            <w:r>
              <w:rPr>
                <w:rFonts w:ascii="Arial" w:hAnsi="Arial" w:cs="Arial"/>
                <w:b/>
                <w:color w:val="000000"/>
                <w:lang w:val="sr-Cyrl-BA"/>
              </w:rPr>
              <w:t>диги</w:t>
            </w:r>
            <w:r w:rsidR="0071360A">
              <w:rPr>
                <w:rFonts w:ascii="Arial" w:hAnsi="Arial" w:cs="Arial"/>
                <w:b/>
                <w:color w:val="000000"/>
                <w:lang w:val="sr-Cyrl-BA"/>
              </w:rPr>
              <w:t>т</w:t>
            </w:r>
            <w:r>
              <w:rPr>
                <w:rFonts w:ascii="Arial" w:hAnsi="Arial" w:cs="Arial"/>
                <w:b/>
                <w:color w:val="000000"/>
                <w:lang w:val="sr-Cyrl-BA"/>
              </w:rPr>
              <w:t>алн</w:t>
            </w:r>
            <w:r w:rsidR="00EE6AA2">
              <w:rPr>
                <w:rFonts w:ascii="Arial" w:hAnsi="Arial" w:cs="Arial"/>
                <w:b/>
                <w:color w:val="000000"/>
                <w:lang w:val="sr-Cyrl-BA"/>
              </w:rPr>
              <w:t>е</w:t>
            </w:r>
            <w:r w:rsidR="00123D1A" w:rsidRPr="00F6340E">
              <w:rPr>
                <w:rFonts w:ascii="Arial" w:hAnsi="Arial" w:cs="Arial"/>
                <w:b/>
                <w:color w:val="000000"/>
                <w:lang w:val="sr-Cyrl-BA"/>
              </w:rPr>
              <w:t xml:space="preserve"> </w:t>
            </w:r>
            <w:r w:rsidR="00171F00">
              <w:rPr>
                <w:rFonts w:ascii="Arial" w:hAnsi="Arial" w:cs="Arial"/>
                <w:b/>
                <w:color w:val="000000"/>
                <w:lang w:val="sr-Cyrl-BA"/>
              </w:rPr>
              <w:t>з</w:t>
            </w:r>
            <w:r w:rsidR="0071360A">
              <w:rPr>
                <w:rFonts w:ascii="Arial" w:hAnsi="Arial" w:cs="Arial"/>
                <w:b/>
                <w:color w:val="000000"/>
                <w:lang w:val="sr-Cyrl-BA"/>
              </w:rPr>
              <w:t>р</w:t>
            </w:r>
            <w:r w:rsidR="00EE6AA2">
              <w:rPr>
                <w:rFonts w:ascii="Arial" w:hAnsi="Arial" w:cs="Arial"/>
                <w:b/>
                <w:color w:val="000000"/>
                <w:lang w:val="sr-Cyrl-BA"/>
              </w:rPr>
              <w:t>е</w:t>
            </w:r>
            <w:r>
              <w:rPr>
                <w:rFonts w:ascii="Arial" w:hAnsi="Arial" w:cs="Arial"/>
                <w:b/>
                <w:color w:val="000000"/>
                <w:lang w:val="sr-Cyrl-BA"/>
              </w:rPr>
              <w:t>ло</w:t>
            </w:r>
            <w:r w:rsidR="0071360A">
              <w:rPr>
                <w:rFonts w:ascii="Arial" w:hAnsi="Arial" w:cs="Arial"/>
                <w:b/>
                <w:color w:val="000000"/>
                <w:lang w:val="sr-Cyrl-BA"/>
              </w:rPr>
              <w:t>ст</w:t>
            </w:r>
            <w:r>
              <w:rPr>
                <w:rFonts w:ascii="Arial" w:hAnsi="Arial" w:cs="Arial"/>
                <w:b/>
                <w:color w:val="000000"/>
                <w:lang w:val="sr-Cyrl-BA"/>
              </w:rPr>
              <w:t>и</w:t>
            </w:r>
            <w:r w:rsidR="00123D1A" w:rsidRPr="00F6340E">
              <w:rPr>
                <w:rFonts w:ascii="Arial" w:hAnsi="Arial" w:cs="Arial"/>
                <w:b/>
                <w:color w:val="000000"/>
                <w:lang w:val="sr-Cyrl-BA"/>
              </w:rPr>
              <w:t xml:space="preserve"> </w:t>
            </w:r>
            <w:r w:rsidR="0071360A">
              <w:rPr>
                <w:rFonts w:ascii="Arial" w:hAnsi="Arial" w:cs="Arial"/>
                <w:b/>
                <w:color w:val="000000"/>
                <w:lang w:val="sr-Cyrl-BA"/>
              </w:rPr>
              <w:t>у</w:t>
            </w:r>
            <w:r w:rsidR="00123D1A" w:rsidRPr="00F6340E">
              <w:rPr>
                <w:rFonts w:ascii="Arial" w:hAnsi="Arial" w:cs="Arial"/>
                <w:b/>
                <w:color w:val="000000"/>
                <w:lang w:val="sr-Cyrl-BA"/>
              </w:rPr>
              <w:t xml:space="preserve"> </w:t>
            </w:r>
            <w:r w:rsidR="0071360A">
              <w:rPr>
                <w:rFonts w:ascii="Arial" w:hAnsi="Arial" w:cs="Arial"/>
                <w:b/>
                <w:color w:val="000000"/>
                <w:lang w:val="sr-Cyrl-BA"/>
              </w:rPr>
              <w:t>св</w:t>
            </w:r>
            <w:r>
              <w:rPr>
                <w:rFonts w:ascii="Arial" w:hAnsi="Arial" w:cs="Arial"/>
                <w:b/>
                <w:color w:val="000000"/>
                <w:lang w:val="sr-Cyrl-BA"/>
              </w:rPr>
              <w:t>им</w:t>
            </w:r>
            <w:r w:rsidR="00123D1A"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w:t>
            </w:r>
            <w:r w:rsidR="0071360A">
              <w:rPr>
                <w:rFonts w:ascii="Arial" w:hAnsi="Arial" w:cs="Arial"/>
                <w:b/>
                <w:color w:val="000000"/>
                <w:lang w:val="sr-Cyrl-BA"/>
              </w:rPr>
              <w:t>ступ</w:t>
            </w:r>
            <w:r>
              <w:rPr>
                <w:rFonts w:ascii="Arial" w:hAnsi="Arial" w:cs="Arial"/>
                <w:b/>
                <w:color w:val="000000"/>
                <w:lang w:val="sr-Cyrl-BA"/>
              </w:rPr>
              <w:t>цима</w:t>
            </w:r>
            <w:r w:rsidR="00123D1A" w:rsidRPr="00F6340E">
              <w:rPr>
                <w:rFonts w:ascii="Arial" w:hAnsi="Arial" w:cs="Arial"/>
                <w:b/>
                <w:color w:val="000000"/>
                <w:lang w:val="sr-Cyrl-BA"/>
              </w:rPr>
              <w:t>/</w:t>
            </w:r>
            <w:r>
              <w:rPr>
                <w:rFonts w:ascii="Arial" w:hAnsi="Arial" w:cs="Arial"/>
                <w:b/>
                <w:color w:val="000000"/>
                <w:lang w:val="sr-Cyrl-BA"/>
              </w:rPr>
              <w:t>м</w:t>
            </w:r>
            <w:r w:rsidR="00EE6AA2">
              <w:rPr>
                <w:rFonts w:ascii="Arial" w:hAnsi="Arial" w:cs="Arial"/>
                <w:b/>
                <w:color w:val="000000"/>
                <w:lang w:val="sr-Cyrl-BA"/>
              </w:rPr>
              <w:t>е</w:t>
            </w:r>
            <w:r w:rsidR="0071360A">
              <w:rPr>
                <w:rFonts w:ascii="Arial" w:hAnsi="Arial" w:cs="Arial"/>
                <w:b/>
                <w:color w:val="000000"/>
                <w:lang w:val="sr-Cyrl-BA"/>
              </w:rPr>
              <w:t>т</w:t>
            </w:r>
            <w:r>
              <w:rPr>
                <w:rFonts w:ascii="Arial" w:hAnsi="Arial" w:cs="Arial"/>
                <w:b/>
                <w:color w:val="000000"/>
                <w:lang w:val="sr-Cyrl-BA"/>
              </w:rPr>
              <w:t>одама</w:t>
            </w:r>
            <w:r w:rsidR="00123D1A" w:rsidRPr="00F6340E">
              <w:rPr>
                <w:rFonts w:ascii="Arial" w:hAnsi="Arial" w:cs="Arial"/>
                <w:b/>
                <w:color w:val="000000"/>
                <w:lang w:val="sr-Cyrl-BA"/>
              </w:rPr>
              <w:t xml:space="preserve"> </w:t>
            </w:r>
            <w:r w:rsidR="0071360A">
              <w:rPr>
                <w:rFonts w:ascii="Arial" w:hAnsi="Arial" w:cs="Arial"/>
                <w:b/>
                <w:color w:val="000000"/>
                <w:lang w:val="sr-Cyrl-BA"/>
              </w:rPr>
              <w:t>у</w:t>
            </w:r>
            <w:r w:rsidR="00123D1A"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имј</w:t>
            </w:r>
            <w:r w:rsidR="00EE6AA2">
              <w:rPr>
                <w:rFonts w:ascii="Arial" w:hAnsi="Arial" w:cs="Arial"/>
                <w:b/>
                <w:color w:val="000000"/>
                <w:lang w:val="sr-Cyrl-BA"/>
              </w:rPr>
              <w:t>е</w:t>
            </w:r>
            <w:r>
              <w:rPr>
                <w:rFonts w:ascii="Arial" w:hAnsi="Arial" w:cs="Arial"/>
                <w:b/>
                <w:color w:val="000000"/>
                <w:lang w:val="sr-Cyrl-BA"/>
              </w:rPr>
              <w:t>ни</w:t>
            </w:r>
          </w:p>
          <w:p w14:paraId="261BC2AB" w14:textId="5D7B8A9F" w:rsidR="00892898" w:rsidRPr="00F6340E" w:rsidRDefault="00A56E08" w:rsidP="00FB5CB7">
            <w:pPr>
              <w:pStyle w:val="ListParagraph"/>
              <w:numPr>
                <w:ilvl w:val="0"/>
                <w:numId w:val="44"/>
              </w:numPr>
              <w:ind w:left="360"/>
              <w:jc w:val="left"/>
              <w:rPr>
                <w:rFonts w:ascii="Arial" w:hAnsi="Arial" w:cs="Arial"/>
                <w:b/>
                <w:color w:val="000000"/>
                <w:lang w:val="sr-Cyrl-BA"/>
              </w:rPr>
            </w:pPr>
            <w:r>
              <w:rPr>
                <w:rFonts w:ascii="Arial" w:hAnsi="Arial" w:cs="Arial"/>
                <w:b/>
                <w:lang w:val="sr-Cyrl-BA"/>
              </w:rPr>
              <w:t>О</w:t>
            </w:r>
            <w:r w:rsidR="0071360A">
              <w:rPr>
                <w:rFonts w:ascii="Arial" w:hAnsi="Arial" w:cs="Arial"/>
                <w:b/>
                <w:lang w:val="sr-Cyrl-BA"/>
              </w:rPr>
              <w:t>с</w:t>
            </w:r>
            <w:r>
              <w:rPr>
                <w:rFonts w:ascii="Arial" w:hAnsi="Arial" w:cs="Arial"/>
                <w:b/>
                <w:lang w:val="sr-Cyrl-BA"/>
              </w:rPr>
              <w:t>иг</w:t>
            </w:r>
            <w:r w:rsidR="0071360A">
              <w:rPr>
                <w:rFonts w:ascii="Arial" w:hAnsi="Arial" w:cs="Arial"/>
                <w:b/>
                <w:lang w:val="sr-Cyrl-BA"/>
              </w:rPr>
              <w:t>ур</w:t>
            </w:r>
            <w:r>
              <w:rPr>
                <w:rFonts w:ascii="Arial" w:hAnsi="Arial" w:cs="Arial"/>
                <w:b/>
                <w:lang w:val="sr-Cyrl-BA"/>
              </w:rPr>
              <w:t>а</w:t>
            </w:r>
            <w:r w:rsidR="0071360A">
              <w:rPr>
                <w:rFonts w:ascii="Arial" w:hAnsi="Arial" w:cs="Arial"/>
                <w:b/>
                <w:lang w:val="sr-Cyrl-BA"/>
              </w:rPr>
              <w:t>т</w:t>
            </w:r>
            <w:r>
              <w:rPr>
                <w:rFonts w:ascii="Arial" w:hAnsi="Arial" w:cs="Arial"/>
                <w:b/>
                <w:lang w:val="sr-Cyrl-BA"/>
              </w:rPr>
              <w:t>и</w:t>
            </w:r>
            <w:r w:rsidR="00986E2D" w:rsidRPr="00F6340E">
              <w:rPr>
                <w:rFonts w:ascii="Arial" w:hAnsi="Arial" w:cs="Arial"/>
                <w:b/>
                <w:lang w:val="sr-Cyrl-BA"/>
              </w:rPr>
              <w:t xml:space="preserve"> </w:t>
            </w:r>
            <w:r w:rsidR="0071360A">
              <w:rPr>
                <w:rFonts w:ascii="Arial" w:hAnsi="Arial" w:cs="Arial"/>
                <w:b/>
                <w:lang w:val="sr-Cyrl-BA"/>
              </w:rPr>
              <w:t>п</w:t>
            </w:r>
            <w:r w:rsidR="00EE6AA2">
              <w:rPr>
                <w:rFonts w:ascii="Arial" w:hAnsi="Arial" w:cs="Arial"/>
                <w:b/>
                <w:lang w:val="sr-Cyrl-BA"/>
              </w:rPr>
              <w:t>е</w:t>
            </w:r>
            <w:r w:rsidR="0071360A">
              <w:rPr>
                <w:rFonts w:ascii="Arial" w:hAnsi="Arial" w:cs="Arial"/>
                <w:b/>
                <w:lang w:val="sr-Cyrl-BA"/>
              </w:rPr>
              <w:t>р</w:t>
            </w:r>
            <w:r>
              <w:rPr>
                <w:rFonts w:ascii="Arial" w:hAnsi="Arial" w:cs="Arial"/>
                <w:b/>
                <w:lang w:val="sr-Cyrl-BA"/>
              </w:rPr>
              <w:t>иодично</w:t>
            </w:r>
            <w:r w:rsidR="00986E2D" w:rsidRPr="00F6340E">
              <w:rPr>
                <w:rFonts w:ascii="Arial" w:hAnsi="Arial" w:cs="Arial"/>
                <w:b/>
                <w:lang w:val="sr-Cyrl-BA"/>
              </w:rPr>
              <w:t xml:space="preserve"> </w:t>
            </w:r>
            <w:r>
              <w:rPr>
                <w:rFonts w:ascii="Arial" w:hAnsi="Arial" w:cs="Arial"/>
                <w:b/>
                <w:lang w:val="sr-Cyrl-BA"/>
              </w:rPr>
              <w:t>и</w:t>
            </w:r>
            <w:r w:rsidR="00171F00">
              <w:rPr>
                <w:rFonts w:ascii="Arial" w:hAnsi="Arial" w:cs="Arial"/>
                <w:b/>
                <w:lang w:val="sr-Cyrl-BA"/>
              </w:rPr>
              <w:t>з</w:t>
            </w:r>
            <w:r w:rsidR="0071360A">
              <w:rPr>
                <w:rFonts w:ascii="Arial" w:hAnsi="Arial" w:cs="Arial"/>
                <w:b/>
                <w:lang w:val="sr-Cyrl-BA"/>
              </w:rPr>
              <w:t>в</w:t>
            </w:r>
            <w:r>
              <w:rPr>
                <w:rFonts w:ascii="Arial" w:hAnsi="Arial" w:cs="Arial"/>
                <w:b/>
                <w:lang w:val="sr-Cyrl-BA"/>
              </w:rPr>
              <w:t>ј</w:t>
            </w:r>
            <w:r w:rsidR="00EE6AA2">
              <w:rPr>
                <w:rFonts w:ascii="Arial" w:hAnsi="Arial" w:cs="Arial"/>
                <w:b/>
                <w:lang w:val="sr-Cyrl-BA"/>
              </w:rPr>
              <w:t>е</w:t>
            </w:r>
            <w:r w:rsidR="0071360A">
              <w:rPr>
                <w:rFonts w:ascii="Arial" w:hAnsi="Arial" w:cs="Arial"/>
                <w:b/>
                <w:lang w:val="sr-Cyrl-BA"/>
              </w:rPr>
              <w:t>шт</w:t>
            </w:r>
            <w:r>
              <w:rPr>
                <w:rFonts w:ascii="Arial" w:hAnsi="Arial" w:cs="Arial"/>
                <w:b/>
                <w:lang w:val="sr-Cyrl-BA"/>
              </w:rPr>
              <w:t>а</w:t>
            </w:r>
            <w:r w:rsidR="0071360A">
              <w:rPr>
                <w:rFonts w:ascii="Arial" w:hAnsi="Arial" w:cs="Arial"/>
                <w:b/>
                <w:lang w:val="sr-Cyrl-BA"/>
              </w:rPr>
              <w:t>в</w:t>
            </w:r>
            <w:r>
              <w:rPr>
                <w:rFonts w:ascii="Arial" w:hAnsi="Arial" w:cs="Arial"/>
                <w:b/>
                <w:lang w:val="sr-Cyrl-BA"/>
              </w:rPr>
              <w:t>ањ</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на</w:t>
            </w:r>
            <w:r w:rsidR="00892898" w:rsidRPr="00F6340E">
              <w:rPr>
                <w:rFonts w:ascii="Arial" w:hAnsi="Arial" w:cs="Arial"/>
                <w:b/>
                <w:lang w:val="sr-Cyrl-BA"/>
              </w:rPr>
              <w:t xml:space="preserve"> </w:t>
            </w:r>
            <w:r>
              <w:rPr>
                <w:rFonts w:ascii="Arial" w:hAnsi="Arial" w:cs="Arial"/>
                <w:b/>
                <w:lang w:val="sr-Cyrl-BA"/>
              </w:rPr>
              <w:t>ни</w:t>
            </w:r>
            <w:r w:rsidR="0071360A">
              <w:rPr>
                <w:rFonts w:ascii="Arial" w:hAnsi="Arial" w:cs="Arial"/>
                <w:b/>
                <w:lang w:val="sr-Cyrl-BA"/>
              </w:rPr>
              <w:t>в</w:t>
            </w:r>
            <w:r>
              <w:rPr>
                <w:rFonts w:ascii="Arial" w:hAnsi="Arial" w:cs="Arial"/>
                <w:b/>
                <w:lang w:val="sr-Cyrl-BA"/>
              </w:rPr>
              <w:t>о</w:t>
            </w:r>
            <w:r w:rsidR="0071360A">
              <w:rPr>
                <w:rFonts w:ascii="Arial" w:hAnsi="Arial" w:cs="Arial"/>
                <w:b/>
                <w:lang w:val="sr-Cyrl-BA"/>
              </w:rPr>
              <w:t>у</w:t>
            </w:r>
            <w:r w:rsidR="00892898" w:rsidRPr="00F6340E">
              <w:rPr>
                <w:rFonts w:ascii="Arial" w:hAnsi="Arial" w:cs="Arial"/>
                <w:b/>
                <w:lang w:val="sr-Cyrl-BA"/>
              </w:rPr>
              <w:t xml:space="preserve"> </w:t>
            </w:r>
            <w:r w:rsidR="0071360A">
              <w:rPr>
                <w:rFonts w:ascii="Arial" w:hAnsi="Arial" w:cs="Arial"/>
                <w:b/>
                <w:lang w:val="sr-Cyrl-BA"/>
              </w:rPr>
              <w:t>ш</w:t>
            </w:r>
            <w:r>
              <w:rPr>
                <w:rFonts w:ascii="Arial" w:hAnsi="Arial" w:cs="Arial"/>
                <w:b/>
                <w:lang w:val="sr-Cyrl-BA"/>
              </w:rPr>
              <w:t>кол</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админи</w:t>
            </w:r>
            <w:r w:rsidR="0071360A">
              <w:rPr>
                <w:rFonts w:ascii="Arial" w:hAnsi="Arial" w:cs="Arial"/>
                <w:b/>
                <w:lang w:val="sr-Cyrl-BA"/>
              </w:rPr>
              <w:t>стр</w:t>
            </w:r>
            <w:r>
              <w:rPr>
                <w:rFonts w:ascii="Arial" w:hAnsi="Arial" w:cs="Arial"/>
                <w:b/>
                <w:lang w:val="sr-Cyrl-BA"/>
              </w:rPr>
              <w:t>а</w:t>
            </w:r>
            <w:r w:rsidR="0071360A">
              <w:rPr>
                <w:rFonts w:ascii="Arial" w:hAnsi="Arial" w:cs="Arial"/>
                <w:b/>
                <w:lang w:val="sr-Cyrl-BA"/>
              </w:rPr>
              <w:t>т</w:t>
            </w:r>
            <w:r>
              <w:rPr>
                <w:rFonts w:ascii="Arial" w:hAnsi="Arial" w:cs="Arial"/>
                <w:b/>
                <w:lang w:val="sr-Cyrl-BA"/>
              </w:rPr>
              <w:t>и</w:t>
            </w:r>
            <w:r w:rsidR="0071360A">
              <w:rPr>
                <w:rFonts w:ascii="Arial" w:hAnsi="Arial" w:cs="Arial"/>
                <w:b/>
                <w:lang w:val="sr-Cyrl-BA"/>
              </w:rPr>
              <w:t>в</w:t>
            </w:r>
            <w:r>
              <w:rPr>
                <w:rFonts w:ascii="Arial" w:hAnsi="Arial" w:cs="Arial"/>
                <w:b/>
                <w:lang w:val="sr-Cyrl-BA"/>
              </w:rPr>
              <w:t>них</w:t>
            </w:r>
            <w:r w:rsidR="00986E2D" w:rsidRPr="00F6340E">
              <w:rPr>
                <w:rFonts w:ascii="Arial" w:hAnsi="Arial" w:cs="Arial"/>
                <w:b/>
                <w:lang w:val="sr-Cyrl-BA"/>
              </w:rPr>
              <w:t xml:space="preserve"> </w:t>
            </w:r>
            <w:r>
              <w:rPr>
                <w:rFonts w:ascii="Arial" w:hAnsi="Arial" w:cs="Arial"/>
                <w:b/>
                <w:lang w:val="sr-Cyrl-BA"/>
              </w:rPr>
              <w:t>ј</w:t>
            </w:r>
            <w:r w:rsidR="00EE6AA2">
              <w:rPr>
                <w:rFonts w:ascii="Arial" w:hAnsi="Arial" w:cs="Arial"/>
                <w:b/>
                <w:lang w:val="sr-Cyrl-BA"/>
              </w:rPr>
              <w:t>е</w:t>
            </w:r>
            <w:r>
              <w:rPr>
                <w:rFonts w:ascii="Arial" w:hAnsi="Arial" w:cs="Arial"/>
                <w:b/>
                <w:lang w:val="sr-Cyrl-BA"/>
              </w:rPr>
              <w:t>диница</w:t>
            </w:r>
            <w:r w:rsidR="00B04FA8">
              <w:rPr>
                <w:rFonts w:ascii="Arial" w:hAnsi="Arial" w:cs="Arial"/>
                <w:b/>
                <w:lang w:val="sr-Cyrl-BA"/>
              </w:rPr>
              <w:t xml:space="preserve"> са </w:t>
            </w:r>
            <w:r>
              <w:rPr>
                <w:rFonts w:ascii="Arial" w:hAnsi="Arial" w:cs="Arial"/>
                <w:b/>
                <w:lang w:val="sr-Cyrl-BA"/>
              </w:rPr>
              <w:t>циљ</w:t>
            </w:r>
            <w:r w:rsidR="00EE6AA2">
              <w:rPr>
                <w:rFonts w:ascii="Arial" w:hAnsi="Arial" w:cs="Arial"/>
                <w:b/>
                <w:lang w:val="sr-Cyrl-BA"/>
              </w:rPr>
              <w:t>е</w:t>
            </w:r>
            <w:r>
              <w:rPr>
                <w:rFonts w:ascii="Arial" w:hAnsi="Arial" w:cs="Arial"/>
                <w:b/>
                <w:lang w:val="sr-Cyrl-BA"/>
              </w:rPr>
              <w:t>м</w:t>
            </w:r>
            <w:r w:rsidR="00986E2D" w:rsidRPr="00F6340E">
              <w:rPr>
                <w:rFonts w:ascii="Arial" w:hAnsi="Arial" w:cs="Arial"/>
                <w:b/>
                <w:lang w:val="sr-Cyrl-BA"/>
              </w:rPr>
              <w:t xml:space="preserve"> </w:t>
            </w:r>
            <w:r w:rsidR="0071360A">
              <w:rPr>
                <w:rFonts w:ascii="Arial" w:hAnsi="Arial" w:cs="Arial"/>
                <w:b/>
                <w:lang w:val="sr-Cyrl-BA"/>
              </w:rPr>
              <w:t>пр</w:t>
            </w:r>
            <w:r>
              <w:rPr>
                <w:rFonts w:ascii="Arial" w:hAnsi="Arial" w:cs="Arial"/>
                <w:b/>
                <w:lang w:val="sr-Cyrl-BA"/>
              </w:rPr>
              <w:t>аћ</w:t>
            </w:r>
            <w:r w:rsidR="00EE6AA2">
              <w:rPr>
                <w:rFonts w:ascii="Arial" w:hAnsi="Arial" w:cs="Arial"/>
                <w:b/>
                <w:lang w:val="sr-Cyrl-BA"/>
              </w:rPr>
              <w:t>е</w:t>
            </w:r>
            <w:r>
              <w:rPr>
                <w:rFonts w:ascii="Arial" w:hAnsi="Arial" w:cs="Arial"/>
                <w:b/>
                <w:lang w:val="sr-Cyrl-BA"/>
              </w:rPr>
              <w:t>ња</w:t>
            </w:r>
            <w:r w:rsidR="00892898" w:rsidRPr="00F6340E">
              <w:rPr>
                <w:rFonts w:ascii="Arial" w:hAnsi="Arial" w:cs="Arial"/>
                <w:b/>
                <w:lang w:val="sr-Cyrl-BA"/>
              </w:rPr>
              <w:t xml:space="preserve"> </w:t>
            </w:r>
            <w:r w:rsidR="0071360A">
              <w:rPr>
                <w:rFonts w:ascii="Arial" w:hAnsi="Arial" w:cs="Arial"/>
                <w:b/>
                <w:lang w:val="sr-Cyrl-BA"/>
              </w:rPr>
              <w:t>пр</w:t>
            </w:r>
            <w:r>
              <w:rPr>
                <w:rFonts w:ascii="Arial" w:hAnsi="Arial" w:cs="Arial"/>
                <w:b/>
                <w:lang w:val="sr-Cyrl-BA"/>
              </w:rPr>
              <w:t>имј</w:t>
            </w:r>
            <w:r w:rsidR="00EE6AA2">
              <w:rPr>
                <w:rFonts w:ascii="Arial" w:hAnsi="Arial" w:cs="Arial"/>
                <w:b/>
                <w:lang w:val="sr-Cyrl-BA"/>
              </w:rPr>
              <w:t>е</w:t>
            </w:r>
            <w:r>
              <w:rPr>
                <w:rFonts w:ascii="Arial" w:hAnsi="Arial" w:cs="Arial"/>
                <w:b/>
                <w:lang w:val="sr-Cyrl-BA"/>
              </w:rPr>
              <w:t>н</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м</w:t>
            </w:r>
            <w:r w:rsidR="00EE6AA2">
              <w:rPr>
                <w:rFonts w:ascii="Arial" w:hAnsi="Arial" w:cs="Arial"/>
                <w:b/>
                <w:lang w:val="sr-Cyrl-BA"/>
              </w:rPr>
              <w:t>е</w:t>
            </w:r>
            <w:r w:rsidR="0071360A">
              <w:rPr>
                <w:rFonts w:ascii="Arial" w:hAnsi="Arial" w:cs="Arial"/>
                <w:b/>
                <w:lang w:val="sr-Cyrl-BA"/>
              </w:rPr>
              <w:t>т</w:t>
            </w:r>
            <w:r>
              <w:rPr>
                <w:rFonts w:ascii="Arial" w:hAnsi="Arial" w:cs="Arial"/>
                <w:b/>
                <w:lang w:val="sr-Cyrl-BA"/>
              </w:rPr>
              <w:t>од</w:t>
            </w:r>
            <w:r w:rsidR="00EE6AA2">
              <w:rPr>
                <w:rFonts w:ascii="Arial" w:hAnsi="Arial" w:cs="Arial"/>
                <w:b/>
                <w:lang w:val="sr-Cyrl-BA"/>
              </w:rPr>
              <w:t>е</w:t>
            </w:r>
            <w:r w:rsidR="00A4214D" w:rsidRPr="00F6340E">
              <w:rPr>
                <w:rFonts w:ascii="Arial" w:hAnsi="Arial" w:cs="Arial"/>
                <w:b/>
                <w:lang w:val="sr-Cyrl-BA"/>
              </w:rPr>
              <w:t xml:space="preserve"> </w:t>
            </w:r>
            <w:r w:rsidR="0071360A">
              <w:rPr>
                <w:rFonts w:ascii="Arial" w:hAnsi="Arial" w:cs="Arial"/>
                <w:b/>
                <w:lang w:val="sr-Cyrl-BA"/>
              </w:rPr>
              <w:t>С</w:t>
            </w:r>
            <w:r w:rsidR="00EE6AA2">
              <w:rPr>
                <w:rFonts w:ascii="Arial" w:hAnsi="Arial" w:cs="Arial"/>
                <w:b/>
                <w:lang w:val="sr-Cyrl-BA"/>
              </w:rPr>
              <w:t>Е</w:t>
            </w:r>
            <w:r>
              <w:rPr>
                <w:rFonts w:ascii="Arial" w:hAnsi="Arial" w:cs="Arial"/>
                <w:b/>
                <w:lang w:val="sr-Cyrl-BA"/>
              </w:rPr>
              <w:t>ЛФИ</w:t>
            </w:r>
            <w:r w:rsidR="00EE6AA2">
              <w:rPr>
                <w:rFonts w:ascii="Arial" w:hAnsi="Arial" w:cs="Arial"/>
                <w:b/>
                <w:lang w:val="sr-Cyrl-BA"/>
              </w:rPr>
              <w:t>Е</w:t>
            </w:r>
            <w:r w:rsidR="00892898" w:rsidRPr="00F6340E">
              <w:rPr>
                <w:rFonts w:ascii="Arial" w:hAnsi="Arial" w:cs="Arial"/>
                <w:b/>
                <w:lang w:val="sr-Cyrl-BA"/>
              </w:rPr>
              <w:t xml:space="preserve"> </w:t>
            </w:r>
          </w:p>
          <w:p w14:paraId="1207EBCC" w14:textId="7D02B637" w:rsidR="00892898" w:rsidRPr="00F6340E" w:rsidRDefault="0071360A" w:rsidP="00FB5CB7">
            <w:pPr>
              <w:pStyle w:val="ListParagraph"/>
              <w:numPr>
                <w:ilvl w:val="0"/>
                <w:numId w:val="44"/>
              </w:numPr>
              <w:ind w:left="360"/>
              <w:jc w:val="left"/>
              <w:rPr>
                <w:rFonts w:ascii="Arial" w:hAnsi="Arial" w:cs="Arial"/>
                <w:b/>
                <w:color w:val="000000"/>
                <w:lang w:val="sr-Cyrl-BA"/>
              </w:rPr>
            </w:pPr>
            <w:r>
              <w:rPr>
                <w:rFonts w:ascii="Arial" w:hAnsi="Arial" w:cs="Arial"/>
                <w:b/>
                <w:color w:val="000000"/>
                <w:lang w:val="sr-Cyrl-BA"/>
              </w:rPr>
              <w:t>Ув</w:t>
            </w:r>
            <w:r w:rsidR="00EE6AA2">
              <w:rPr>
                <w:rFonts w:ascii="Arial" w:hAnsi="Arial" w:cs="Arial"/>
                <w:b/>
                <w:color w:val="000000"/>
                <w:lang w:val="sr-Cyrl-BA"/>
              </w:rPr>
              <w:t>е</w:t>
            </w:r>
            <w:r>
              <w:rPr>
                <w:rFonts w:ascii="Arial" w:hAnsi="Arial" w:cs="Arial"/>
                <w:b/>
                <w:color w:val="000000"/>
                <w:lang w:val="sr-Cyrl-BA"/>
              </w:rPr>
              <w:t>ст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ј</w:t>
            </w:r>
            <w:r w:rsidR="00EE6AA2">
              <w:rPr>
                <w:rFonts w:ascii="Arial" w:hAnsi="Arial" w:cs="Arial"/>
                <w:b/>
                <w:color w:val="000000"/>
                <w:lang w:val="sr-Cyrl-BA"/>
              </w:rPr>
              <w:t>е</w:t>
            </w:r>
            <w:r w:rsidR="00A56E08">
              <w:rPr>
                <w:rFonts w:ascii="Arial" w:hAnsi="Arial" w:cs="Arial"/>
                <w:b/>
                <w:color w:val="000000"/>
                <w:lang w:val="sr-Cyrl-BA"/>
              </w:rPr>
              <w:t>дин</w:t>
            </w:r>
            <w:r>
              <w:rPr>
                <w:rFonts w:ascii="Arial" w:hAnsi="Arial" w:cs="Arial"/>
                <w:b/>
                <w:color w:val="000000"/>
                <w:lang w:val="sr-Cyrl-BA"/>
              </w:rPr>
              <w:t>ств</w:t>
            </w:r>
            <w:r w:rsidR="00EE6AA2">
              <w:rPr>
                <w:rFonts w:ascii="Arial" w:hAnsi="Arial" w:cs="Arial"/>
                <w:b/>
                <w:color w:val="000000"/>
                <w:lang w:val="sr-Cyrl-BA"/>
              </w:rPr>
              <w:t>е</w:t>
            </w:r>
            <w:r w:rsidR="00A56E08">
              <w:rPr>
                <w:rFonts w:ascii="Arial" w:hAnsi="Arial" w:cs="Arial"/>
                <w:b/>
                <w:color w:val="000000"/>
                <w:lang w:val="sr-Cyrl-BA"/>
              </w:rPr>
              <w:t>ни</w:t>
            </w:r>
            <w:r w:rsidR="00892898" w:rsidRPr="00F6340E">
              <w:rPr>
                <w:rFonts w:ascii="Arial" w:hAnsi="Arial" w:cs="Arial"/>
                <w:b/>
                <w:color w:val="000000"/>
                <w:lang w:val="sr-Cyrl-BA"/>
              </w:rPr>
              <w:t xml:space="preserve"> </w:t>
            </w:r>
            <w:r w:rsidR="00A56E08">
              <w:rPr>
                <w:rFonts w:ascii="Arial" w:hAnsi="Arial" w:cs="Arial"/>
                <w:b/>
                <w:color w:val="000000"/>
                <w:lang w:val="sr-Cyrl-BA"/>
              </w:rPr>
              <w:t>инфо</w:t>
            </w:r>
            <w:r>
              <w:rPr>
                <w:rFonts w:ascii="Arial" w:hAnsi="Arial" w:cs="Arial"/>
                <w:b/>
                <w:color w:val="000000"/>
                <w:lang w:val="sr-Cyrl-BA"/>
              </w:rPr>
              <w:t>р</w:t>
            </w:r>
            <w:r w:rsidR="00A56E08">
              <w:rPr>
                <w:rFonts w:ascii="Arial" w:hAnsi="Arial" w:cs="Arial"/>
                <w:b/>
                <w:color w:val="000000"/>
                <w:lang w:val="sr-Cyrl-BA"/>
              </w:rPr>
              <w:t>ма</w:t>
            </w:r>
            <w:r>
              <w:rPr>
                <w:rFonts w:ascii="Arial" w:hAnsi="Arial" w:cs="Arial"/>
                <w:b/>
                <w:color w:val="000000"/>
                <w:lang w:val="sr-Cyrl-BA"/>
              </w:rPr>
              <w:t>т</w:t>
            </w:r>
            <w:r w:rsidR="00A56E08">
              <w:rPr>
                <w:rFonts w:ascii="Arial" w:hAnsi="Arial" w:cs="Arial"/>
                <w:b/>
                <w:color w:val="000000"/>
                <w:lang w:val="sr-Cyrl-BA"/>
              </w:rPr>
              <w:t>ички</w:t>
            </w:r>
            <w:r w:rsidR="00892898" w:rsidRPr="00F6340E">
              <w:rPr>
                <w:rFonts w:ascii="Arial" w:hAnsi="Arial" w:cs="Arial"/>
                <w:b/>
                <w:color w:val="000000"/>
                <w:lang w:val="sr-Cyrl-BA"/>
              </w:rPr>
              <w:t xml:space="preserve"> </w:t>
            </w:r>
            <w:r>
              <w:rPr>
                <w:rFonts w:ascii="Arial" w:hAnsi="Arial" w:cs="Arial"/>
                <w:b/>
                <w:color w:val="000000"/>
                <w:lang w:val="sr-Cyrl-BA"/>
              </w:rPr>
              <w:t>с</w:t>
            </w:r>
            <w:r w:rsidR="00A56E08">
              <w:rPr>
                <w:rFonts w:ascii="Arial" w:hAnsi="Arial" w:cs="Arial"/>
                <w:b/>
                <w:color w:val="000000"/>
                <w:lang w:val="sr-Cyrl-BA"/>
              </w:rPr>
              <w:t>и</w:t>
            </w:r>
            <w:r>
              <w:rPr>
                <w:rFonts w:ascii="Arial" w:hAnsi="Arial" w:cs="Arial"/>
                <w:b/>
                <w:color w:val="000000"/>
                <w:lang w:val="sr-Cyrl-BA"/>
              </w:rPr>
              <w:t>ст</w:t>
            </w:r>
            <w:r w:rsidR="00EE6AA2">
              <w:rPr>
                <w:rFonts w:ascii="Arial" w:hAnsi="Arial" w:cs="Arial"/>
                <w:b/>
                <w:color w:val="000000"/>
                <w:lang w:val="sr-Cyrl-BA"/>
              </w:rPr>
              <w:t>е</w:t>
            </w:r>
            <w:r w:rsidR="00A56E08">
              <w:rPr>
                <w:rFonts w:ascii="Arial" w:hAnsi="Arial" w:cs="Arial"/>
                <w:b/>
                <w:color w:val="000000"/>
                <w:lang w:val="sr-Cyrl-BA"/>
              </w:rPr>
              <w:t>м</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упр</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љањ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ањ</w:t>
            </w:r>
            <w:r w:rsidR="00EE6AA2">
              <w:rPr>
                <w:rFonts w:ascii="Arial" w:hAnsi="Arial" w:cs="Arial"/>
                <w:b/>
                <w:color w:val="000000"/>
                <w:lang w:val="sr-Cyrl-BA"/>
              </w:rPr>
              <w:t>е</w:t>
            </w:r>
            <w:r w:rsidR="00A56E08">
              <w:rPr>
                <w:rFonts w:ascii="Arial" w:hAnsi="Arial" w:cs="Arial"/>
                <w:b/>
                <w:color w:val="000000"/>
                <w:lang w:val="sr-Cyrl-BA"/>
              </w:rPr>
              <w:t>м</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sidR="00892898" w:rsidRPr="00F6340E">
              <w:rPr>
                <w:rFonts w:ascii="Arial" w:hAnsi="Arial" w:cs="Arial"/>
                <w:b/>
                <w:color w:val="000000"/>
                <w:lang w:val="sr-Cyrl-BA"/>
              </w:rPr>
              <w:t xml:space="preserve"> </w:t>
            </w:r>
            <w:r w:rsidR="00A56E08">
              <w:rPr>
                <w:rFonts w:ascii="Arial" w:hAnsi="Arial" w:cs="Arial"/>
                <w:b/>
                <w:color w:val="000000"/>
                <w:lang w:val="sr-Cyrl-BA"/>
              </w:rPr>
              <w:t>ни</w:t>
            </w:r>
            <w:r>
              <w:rPr>
                <w:rFonts w:ascii="Arial" w:hAnsi="Arial" w:cs="Arial"/>
                <w:b/>
                <w:color w:val="000000"/>
                <w:lang w:val="sr-Cyrl-BA"/>
              </w:rPr>
              <w:t>в</w:t>
            </w:r>
            <w:r w:rsidR="00A56E08">
              <w:rPr>
                <w:rFonts w:ascii="Arial" w:hAnsi="Arial" w:cs="Arial"/>
                <w:b/>
                <w:color w:val="000000"/>
                <w:lang w:val="sr-Cyrl-BA"/>
              </w:rPr>
              <w:t>о</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админи</w:t>
            </w:r>
            <w:r>
              <w:rPr>
                <w:rFonts w:ascii="Arial" w:hAnsi="Arial" w:cs="Arial"/>
                <w:b/>
                <w:color w:val="000000"/>
                <w:lang w:val="sr-Cyrl-BA"/>
              </w:rPr>
              <w:t>стр</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Pr>
                <w:rFonts w:ascii="Arial" w:hAnsi="Arial" w:cs="Arial"/>
                <w:b/>
                <w:color w:val="000000"/>
                <w:lang w:val="sr-Cyrl-BA"/>
              </w:rPr>
              <w:t>в</w:t>
            </w:r>
            <w:r w:rsidR="00A56E08">
              <w:rPr>
                <w:rFonts w:ascii="Arial" w:hAnsi="Arial" w:cs="Arial"/>
                <w:b/>
                <w:color w:val="000000"/>
                <w:lang w:val="sr-Cyrl-BA"/>
              </w:rPr>
              <w:t>них</w:t>
            </w:r>
            <w:r w:rsidR="00892898" w:rsidRPr="00F6340E">
              <w:rPr>
                <w:rFonts w:ascii="Arial" w:hAnsi="Arial" w:cs="Arial"/>
                <w:b/>
                <w:color w:val="000000"/>
                <w:lang w:val="sr-Cyrl-BA"/>
              </w:rPr>
              <w:t xml:space="preserve"> </w:t>
            </w:r>
            <w:r w:rsidR="00A56E08">
              <w:rPr>
                <w:rFonts w:ascii="Arial" w:hAnsi="Arial" w:cs="Arial"/>
                <w:b/>
                <w:color w:val="000000"/>
                <w:lang w:val="sr-Cyrl-BA"/>
              </w:rPr>
              <w:t>ј</w:t>
            </w:r>
            <w:r w:rsidR="00EE6AA2">
              <w:rPr>
                <w:rFonts w:ascii="Arial" w:hAnsi="Arial" w:cs="Arial"/>
                <w:b/>
                <w:color w:val="000000"/>
                <w:lang w:val="sr-Cyrl-BA"/>
              </w:rPr>
              <w:t>е</w:t>
            </w:r>
            <w:r w:rsidR="00A56E08">
              <w:rPr>
                <w:rFonts w:ascii="Arial" w:hAnsi="Arial" w:cs="Arial"/>
                <w:b/>
                <w:color w:val="000000"/>
                <w:lang w:val="sr-Cyrl-BA"/>
              </w:rPr>
              <w:t>диница</w:t>
            </w:r>
            <w:r w:rsidR="00B04FA8">
              <w:rPr>
                <w:rFonts w:ascii="Arial" w:hAnsi="Arial" w:cs="Arial"/>
                <w:b/>
                <w:color w:val="000000"/>
                <w:lang w:val="sr-Cyrl-BA"/>
              </w:rPr>
              <w:t xml:space="preserve"> са </w:t>
            </w:r>
            <w:r w:rsidR="00A56E08">
              <w:rPr>
                <w:rFonts w:ascii="Arial" w:hAnsi="Arial" w:cs="Arial"/>
                <w:b/>
                <w:color w:val="000000"/>
                <w:lang w:val="sr-Cyrl-BA"/>
              </w:rPr>
              <w:t>мог</w:t>
            </w:r>
            <w:r>
              <w:rPr>
                <w:rFonts w:ascii="Arial" w:hAnsi="Arial" w:cs="Arial"/>
                <w:b/>
                <w:color w:val="000000"/>
                <w:lang w:val="sr-Cyrl-BA"/>
              </w:rPr>
              <w:t>у</w:t>
            </w:r>
            <w:r w:rsidR="00A56E08">
              <w:rPr>
                <w:rFonts w:ascii="Arial" w:hAnsi="Arial" w:cs="Arial"/>
                <w:b/>
                <w:color w:val="000000"/>
                <w:lang w:val="sr-Cyrl-BA"/>
              </w:rPr>
              <w:t>ћно</w:t>
            </w:r>
            <w:r>
              <w:rPr>
                <w:rFonts w:ascii="Arial" w:hAnsi="Arial" w:cs="Arial"/>
                <w:b/>
                <w:color w:val="000000"/>
                <w:lang w:val="sr-Cyrl-BA"/>
              </w:rPr>
              <w:t>ш</w:t>
            </w:r>
            <w:r w:rsidR="00A56E08">
              <w:rPr>
                <w:rFonts w:ascii="Arial" w:hAnsi="Arial" w:cs="Arial"/>
                <w:b/>
                <w:color w:val="000000"/>
                <w:lang w:val="sr-Cyrl-BA"/>
              </w:rPr>
              <w:t>ћ</w:t>
            </w:r>
            <w:r>
              <w:rPr>
                <w:rFonts w:ascii="Arial" w:hAnsi="Arial" w:cs="Arial"/>
                <w:b/>
                <w:color w:val="000000"/>
                <w:lang w:val="sr-Cyrl-BA"/>
              </w:rPr>
              <w:t>у</w:t>
            </w:r>
            <w:r w:rsidR="00AD1BF8" w:rsidRPr="00F6340E">
              <w:rPr>
                <w:rFonts w:ascii="Arial" w:hAnsi="Arial" w:cs="Arial"/>
                <w:b/>
                <w:color w:val="000000"/>
                <w:lang w:val="sr-Cyrl-BA"/>
              </w:rPr>
              <w:t xml:space="preserve"> </w:t>
            </w:r>
            <w:r>
              <w:rPr>
                <w:rFonts w:ascii="Arial" w:hAnsi="Arial" w:cs="Arial"/>
                <w:b/>
                <w:color w:val="000000"/>
                <w:lang w:val="sr-Cyrl-BA"/>
              </w:rPr>
              <w:t>у</w:t>
            </w:r>
            <w:r w:rsidR="00A56E08">
              <w:rPr>
                <w:rFonts w:ascii="Arial" w:hAnsi="Arial" w:cs="Arial"/>
                <w:b/>
                <w:color w:val="000000"/>
                <w:lang w:val="sr-Cyrl-BA"/>
              </w:rPr>
              <w:t>м</w:t>
            </w:r>
            <w:r>
              <w:rPr>
                <w:rFonts w:ascii="Arial" w:hAnsi="Arial" w:cs="Arial"/>
                <w:b/>
                <w:color w:val="000000"/>
                <w:lang w:val="sr-Cyrl-BA"/>
              </w:rPr>
              <w:t>р</w:t>
            </w:r>
            <w:r w:rsidR="00EE6AA2">
              <w:rPr>
                <w:rFonts w:ascii="Arial" w:hAnsi="Arial" w:cs="Arial"/>
                <w:b/>
                <w:color w:val="000000"/>
                <w:lang w:val="sr-Cyrl-BA"/>
              </w:rPr>
              <w:t>е</w:t>
            </w:r>
            <w:r w:rsidR="00171F00">
              <w:rPr>
                <w:rFonts w:ascii="Arial" w:hAnsi="Arial" w:cs="Arial"/>
                <w:b/>
                <w:color w:val="000000"/>
                <w:lang w:val="sr-Cyrl-BA"/>
              </w:rPr>
              <w:t>ж</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ања</w:t>
            </w:r>
            <w:r w:rsidR="00AD1BF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w:t>
            </w:r>
            <w:r w:rsidR="00A56E08">
              <w:rPr>
                <w:rFonts w:ascii="Arial" w:hAnsi="Arial" w:cs="Arial"/>
                <w:b/>
                <w:color w:val="000000"/>
                <w:lang w:val="sr-Cyrl-BA"/>
              </w:rPr>
              <w:t>или</w:t>
            </w:r>
            <w:r w:rsidR="00892898" w:rsidRPr="00F6340E">
              <w:rPr>
                <w:rFonts w:ascii="Arial" w:hAnsi="Arial" w:cs="Arial"/>
                <w:b/>
                <w:color w:val="000000"/>
                <w:lang w:val="sr-Cyrl-BA"/>
              </w:rPr>
              <w:t xml:space="preserve"> </w:t>
            </w:r>
            <w:r>
              <w:rPr>
                <w:rFonts w:ascii="Arial" w:hAnsi="Arial" w:cs="Arial"/>
                <w:b/>
                <w:lang w:val="sr-Cyrl-BA"/>
              </w:rPr>
              <w:t>у</w:t>
            </w:r>
            <w:r w:rsidR="00A56E08">
              <w:rPr>
                <w:rFonts w:ascii="Arial" w:hAnsi="Arial" w:cs="Arial"/>
                <w:b/>
                <w:lang w:val="sr-Cyrl-BA"/>
              </w:rPr>
              <w:t>на</w:t>
            </w:r>
            <w:r>
              <w:rPr>
                <w:rFonts w:ascii="Arial" w:hAnsi="Arial" w:cs="Arial"/>
                <w:b/>
                <w:lang w:val="sr-Cyrl-BA"/>
              </w:rPr>
              <w:t>пр</w:t>
            </w:r>
            <w:r w:rsidR="00A56E08">
              <w:rPr>
                <w:rFonts w:ascii="Arial" w:hAnsi="Arial" w:cs="Arial"/>
                <w:b/>
                <w:lang w:val="sr-Cyrl-BA"/>
              </w:rPr>
              <w:t>иј</w:t>
            </w:r>
            <w:r w:rsidR="00EE6AA2">
              <w:rPr>
                <w:rFonts w:ascii="Arial" w:hAnsi="Arial" w:cs="Arial"/>
                <w:b/>
                <w:lang w:val="sr-Cyrl-BA"/>
              </w:rPr>
              <w:t>е</w:t>
            </w:r>
            <w:r w:rsidR="00A56E08">
              <w:rPr>
                <w:rFonts w:ascii="Arial" w:hAnsi="Arial" w:cs="Arial"/>
                <w:b/>
                <w:lang w:val="sr-Cyrl-BA"/>
              </w:rPr>
              <w:t>ди</w:t>
            </w:r>
            <w:r>
              <w:rPr>
                <w:rFonts w:ascii="Arial" w:hAnsi="Arial" w:cs="Arial"/>
                <w:b/>
                <w:lang w:val="sr-Cyrl-BA"/>
              </w:rPr>
              <w:t>т</w:t>
            </w:r>
            <w:r w:rsidR="00A56E08">
              <w:rPr>
                <w:rFonts w:ascii="Arial" w:hAnsi="Arial" w:cs="Arial"/>
                <w:b/>
                <w:lang w:val="sr-Cyrl-BA"/>
              </w:rPr>
              <w:t>и</w:t>
            </w:r>
            <w:r w:rsidR="00986E2D"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w:t>
            </w:r>
            <w:r>
              <w:rPr>
                <w:rFonts w:ascii="Arial" w:hAnsi="Arial" w:cs="Arial"/>
                <w:b/>
                <w:lang w:val="sr-Cyrl-BA"/>
              </w:rPr>
              <w:t>ст</w:t>
            </w:r>
            <w:r w:rsidR="00A56E08">
              <w:rPr>
                <w:rFonts w:ascii="Arial" w:hAnsi="Arial" w:cs="Arial"/>
                <w:b/>
                <w:lang w:val="sr-Cyrl-BA"/>
              </w:rPr>
              <w:t>ој</w:t>
            </w:r>
            <w:r w:rsidR="00EE6AA2">
              <w:rPr>
                <w:rFonts w:ascii="Arial" w:hAnsi="Arial" w:cs="Arial"/>
                <w:b/>
                <w:lang w:val="sr-Cyrl-BA"/>
              </w:rPr>
              <w:t>е</w:t>
            </w:r>
            <w:r w:rsidR="00A56E08">
              <w:rPr>
                <w:rFonts w:ascii="Arial" w:hAnsi="Arial" w:cs="Arial"/>
                <w:b/>
                <w:lang w:val="sr-Cyrl-BA"/>
              </w:rPr>
              <w:t>ћ</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с</w:t>
            </w:r>
            <w:r w:rsidR="00A56E08">
              <w:rPr>
                <w:rFonts w:ascii="Arial" w:hAnsi="Arial" w:cs="Arial"/>
                <w:b/>
                <w:lang w:val="sr-Cyrl-BA"/>
              </w:rPr>
              <w:t>и</w:t>
            </w:r>
            <w:r>
              <w:rPr>
                <w:rFonts w:ascii="Arial" w:hAnsi="Arial" w:cs="Arial"/>
                <w:b/>
                <w:lang w:val="sr-Cyrl-BA"/>
              </w:rPr>
              <w:t>ст</w:t>
            </w:r>
            <w:r w:rsidR="00EE6AA2">
              <w:rPr>
                <w:rFonts w:ascii="Arial" w:hAnsi="Arial" w:cs="Arial"/>
                <w:b/>
                <w:lang w:val="sr-Cyrl-BA"/>
              </w:rPr>
              <w:t>е</w:t>
            </w:r>
            <w:r w:rsidR="00A56E08">
              <w:rPr>
                <w:rFonts w:ascii="Arial" w:hAnsi="Arial" w:cs="Arial"/>
                <w:b/>
                <w:lang w:val="sr-Cyrl-BA"/>
              </w:rPr>
              <w:t>м</w:t>
            </w:r>
            <w:r w:rsidR="00EE6AA2">
              <w:rPr>
                <w:rFonts w:ascii="Arial" w:hAnsi="Arial" w:cs="Arial"/>
                <w:b/>
                <w:lang w:val="sr-Cyrl-BA"/>
              </w:rPr>
              <w:t>е</w:t>
            </w:r>
            <w:r w:rsidR="00892898" w:rsidRPr="00F6340E">
              <w:rPr>
                <w:rFonts w:ascii="Arial" w:hAnsi="Arial" w:cs="Arial"/>
                <w:b/>
                <w:lang w:val="sr-Cyrl-BA"/>
              </w:rPr>
              <w:t xml:space="preserve"> </w:t>
            </w:r>
            <w:r w:rsidR="00EE6AA2">
              <w:rPr>
                <w:rFonts w:ascii="Arial" w:hAnsi="Arial" w:cs="Arial"/>
                <w:b/>
                <w:lang w:val="sr-Cyrl-BA"/>
              </w:rPr>
              <w:t>Е</w:t>
            </w:r>
            <w:r w:rsidR="00A56E08">
              <w:rPr>
                <w:rFonts w:ascii="Arial" w:hAnsi="Arial" w:cs="Arial"/>
                <w:b/>
                <w:lang w:val="sr-Cyrl-BA"/>
              </w:rPr>
              <w:t>МИ</w:t>
            </w:r>
            <w:r>
              <w:rPr>
                <w:rFonts w:ascii="Arial" w:hAnsi="Arial" w:cs="Arial"/>
                <w:b/>
                <w:lang w:val="sr-Cyrl-BA"/>
              </w:rPr>
              <w:t>С</w:t>
            </w:r>
            <w:r w:rsidR="00A4214D" w:rsidRPr="00F6340E">
              <w:rPr>
                <w:rFonts w:ascii="Arial" w:hAnsi="Arial" w:cs="Arial"/>
                <w:b/>
                <w:lang w:val="sr-Cyrl-BA"/>
              </w:rPr>
              <w:t xml:space="preserve"> </w:t>
            </w:r>
            <w:r>
              <w:rPr>
                <w:rFonts w:ascii="Arial" w:hAnsi="Arial" w:cs="Arial"/>
                <w:b/>
                <w:lang w:val="sr-Cyrl-BA"/>
              </w:rPr>
              <w:t>т</w:t>
            </w:r>
            <w:r w:rsidR="00A56E08">
              <w:rPr>
                <w:rFonts w:ascii="Arial" w:hAnsi="Arial" w:cs="Arial"/>
                <w:b/>
                <w:lang w:val="sr-Cyrl-BA"/>
              </w:rPr>
              <w:t>амо</w:t>
            </w:r>
            <w:r w:rsidR="00892898" w:rsidRPr="00F6340E">
              <w:rPr>
                <w:rFonts w:ascii="Arial" w:hAnsi="Arial" w:cs="Arial"/>
                <w:b/>
                <w:lang w:val="sr-Cyrl-BA"/>
              </w:rPr>
              <w:t xml:space="preserve"> </w:t>
            </w:r>
            <w:r w:rsidR="00A56E08">
              <w:rPr>
                <w:rFonts w:ascii="Arial" w:hAnsi="Arial" w:cs="Arial"/>
                <w:b/>
                <w:lang w:val="sr-Cyrl-BA"/>
              </w:rPr>
              <w:t>гдј</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в</w:t>
            </w:r>
            <w:r w:rsidR="00EE6AA2">
              <w:rPr>
                <w:rFonts w:ascii="Arial" w:hAnsi="Arial" w:cs="Arial"/>
                <w:b/>
                <w:lang w:val="sr-Cyrl-BA"/>
              </w:rPr>
              <w:t>е</w:t>
            </w:r>
            <w:r w:rsidR="00A56E08">
              <w:rPr>
                <w:rFonts w:ascii="Arial" w:hAnsi="Arial" w:cs="Arial"/>
                <w:b/>
                <w:lang w:val="sr-Cyrl-BA"/>
              </w:rPr>
              <w:t>ћ</w:t>
            </w:r>
            <w:r w:rsidR="00C10AE9" w:rsidRPr="00F6340E">
              <w:rPr>
                <w:rFonts w:ascii="Arial" w:hAnsi="Arial" w:cs="Arial"/>
                <w:b/>
                <w:lang w:val="sr-Cyrl-BA"/>
              </w:rPr>
              <w:t xml:space="preserve"> </w:t>
            </w:r>
            <w:r>
              <w:rPr>
                <w:rFonts w:ascii="Arial" w:hAnsi="Arial" w:cs="Arial"/>
                <w:b/>
                <w:lang w:val="sr-Cyrl-BA"/>
              </w:rPr>
              <w:t>п</w:t>
            </w:r>
            <w:r w:rsidR="00A56E08">
              <w:rPr>
                <w:rFonts w:ascii="Arial" w:hAnsi="Arial" w:cs="Arial"/>
                <w:b/>
                <w:lang w:val="sr-Cyrl-BA"/>
              </w:rPr>
              <w:t>о</w:t>
            </w:r>
            <w:r>
              <w:rPr>
                <w:rFonts w:ascii="Arial" w:hAnsi="Arial" w:cs="Arial"/>
                <w:b/>
                <w:lang w:val="sr-Cyrl-BA"/>
              </w:rPr>
              <w:t>ст</w:t>
            </w:r>
            <w:r w:rsidR="00A56E08">
              <w:rPr>
                <w:rFonts w:ascii="Arial" w:hAnsi="Arial" w:cs="Arial"/>
                <w:b/>
                <w:lang w:val="sr-Cyrl-BA"/>
              </w:rPr>
              <w:t>ој</w:t>
            </w:r>
            <w:r w:rsidR="00EE6AA2">
              <w:rPr>
                <w:rFonts w:ascii="Arial" w:hAnsi="Arial" w:cs="Arial"/>
                <w:b/>
                <w:lang w:val="sr-Cyrl-BA"/>
              </w:rPr>
              <w:t>е</w:t>
            </w:r>
          </w:p>
          <w:p w14:paraId="71200DA7" w14:textId="3C59B7DC" w:rsidR="006D7853" w:rsidRPr="00F6340E" w:rsidRDefault="00A56E08" w:rsidP="00FB5CB7">
            <w:pPr>
              <w:pStyle w:val="ListParagraph"/>
              <w:numPr>
                <w:ilvl w:val="0"/>
                <w:numId w:val="44"/>
              </w:numPr>
              <w:ind w:left="360"/>
              <w:jc w:val="left"/>
              <w:rPr>
                <w:rFonts w:ascii="Arial" w:hAnsi="Arial" w:cs="Arial"/>
                <w:b/>
                <w:color w:val="000000"/>
                <w:lang w:val="sr-Cyrl-BA"/>
              </w:rPr>
            </w:pPr>
            <w:r>
              <w:rPr>
                <w:rFonts w:ascii="Arial" w:hAnsi="Arial" w:cs="Arial"/>
                <w:b/>
                <w:color w:val="000000" w:themeColor="text1"/>
                <w:lang w:val="sr-Cyrl-BA"/>
              </w:rPr>
              <w:t>О</w:t>
            </w:r>
            <w:r w:rsidR="0071360A">
              <w:rPr>
                <w:rFonts w:ascii="Arial" w:hAnsi="Arial" w:cs="Arial"/>
                <w:b/>
                <w:color w:val="000000" w:themeColor="text1"/>
                <w:lang w:val="sr-Cyrl-BA"/>
              </w:rPr>
              <w:t>сп</w:t>
            </w:r>
            <w:r>
              <w:rPr>
                <w:rFonts w:ascii="Arial" w:hAnsi="Arial" w:cs="Arial"/>
                <w:b/>
                <w:color w:val="000000" w:themeColor="text1"/>
                <w:lang w:val="sr-Cyrl-BA"/>
              </w:rPr>
              <w:t>о</w:t>
            </w:r>
            <w:r w:rsidR="0071360A">
              <w:rPr>
                <w:rFonts w:ascii="Arial" w:hAnsi="Arial" w:cs="Arial"/>
                <w:b/>
                <w:color w:val="000000" w:themeColor="text1"/>
                <w:lang w:val="sr-Cyrl-BA"/>
              </w:rPr>
              <w:t>с</w:t>
            </w:r>
            <w:r>
              <w:rPr>
                <w:rFonts w:ascii="Arial" w:hAnsi="Arial" w:cs="Arial"/>
                <w:b/>
                <w:color w:val="000000" w:themeColor="text1"/>
                <w:lang w:val="sr-Cyrl-BA"/>
              </w:rPr>
              <w:t>оби</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п</w:t>
            </w:r>
            <w:r>
              <w:rPr>
                <w:rFonts w:ascii="Arial" w:hAnsi="Arial" w:cs="Arial"/>
                <w:b/>
                <w:color w:val="000000" w:themeColor="text1"/>
                <w:lang w:val="sr-Cyrl-BA"/>
              </w:rPr>
              <w:t>о</w:t>
            </w:r>
            <w:r w:rsidR="0071360A">
              <w:rPr>
                <w:rFonts w:ascii="Arial" w:hAnsi="Arial" w:cs="Arial"/>
                <w:b/>
                <w:color w:val="000000" w:themeColor="text1"/>
                <w:lang w:val="sr-Cyrl-BA"/>
              </w:rPr>
              <w:t>т</w:t>
            </w:r>
            <w:r>
              <w:rPr>
                <w:rFonts w:ascii="Arial" w:hAnsi="Arial" w:cs="Arial"/>
                <w:b/>
                <w:color w:val="000000" w:themeColor="text1"/>
                <w:lang w:val="sr-Cyrl-BA"/>
              </w:rPr>
              <w:t>ица</w:t>
            </w:r>
            <w:r w:rsidR="0071360A">
              <w:rPr>
                <w:rFonts w:ascii="Arial" w:hAnsi="Arial" w:cs="Arial"/>
                <w:b/>
                <w:color w:val="000000" w:themeColor="text1"/>
                <w:lang w:val="sr-Cyrl-BA"/>
              </w:rPr>
              <w:t>т</w:t>
            </w:r>
            <w:r>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71360A">
              <w:rPr>
                <w:rFonts w:ascii="Arial" w:hAnsi="Arial" w:cs="Arial"/>
                <w:b/>
                <w:color w:val="000000" w:themeColor="text1"/>
                <w:lang w:val="sr-Cyrl-BA"/>
              </w:rPr>
              <w:t>ст</w:t>
            </w:r>
            <w:r>
              <w:rPr>
                <w:rFonts w:ascii="Arial" w:hAnsi="Arial" w:cs="Arial"/>
                <w:b/>
                <w:color w:val="000000" w:themeColor="text1"/>
                <w:lang w:val="sr-Cyrl-BA"/>
              </w:rPr>
              <w:t>а</w:t>
            </w:r>
            <w:r w:rsidR="0071360A">
              <w:rPr>
                <w:rFonts w:ascii="Arial" w:hAnsi="Arial" w:cs="Arial"/>
                <w:b/>
                <w:color w:val="000000" w:themeColor="text1"/>
                <w:lang w:val="sr-Cyrl-BA"/>
              </w:rPr>
              <w:t>в</w:t>
            </w:r>
            <w:r>
              <w:rPr>
                <w:rFonts w:ascii="Arial" w:hAnsi="Arial" w:cs="Arial"/>
                <w:b/>
                <w:color w:val="000000" w:themeColor="text1"/>
                <w:lang w:val="sr-Cyrl-BA"/>
              </w:rPr>
              <w:t>ник</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на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кон</w:t>
            </w:r>
            <w:r w:rsidR="0071360A">
              <w:rPr>
                <w:rFonts w:ascii="Arial" w:hAnsi="Arial" w:cs="Arial"/>
                <w:b/>
                <w:color w:val="000000" w:themeColor="text1"/>
                <w:lang w:val="sr-Cyrl-BA"/>
              </w:rPr>
              <w:t>т</w:t>
            </w:r>
            <w:r>
              <w:rPr>
                <w:rFonts w:ascii="Arial" w:hAnsi="Arial" w:cs="Arial"/>
                <w:b/>
                <w:color w:val="000000" w:themeColor="text1"/>
                <w:lang w:val="sr-Cyrl-BA"/>
              </w:rPr>
              <w:t>ин</w:t>
            </w:r>
            <w:r w:rsidR="0071360A">
              <w:rPr>
                <w:rFonts w:ascii="Arial" w:hAnsi="Arial" w:cs="Arial"/>
                <w:b/>
                <w:color w:val="000000" w:themeColor="text1"/>
                <w:lang w:val="sr-Cyrl-BA"/>
              </w:rPr>
              <w:t>у</w:t>
            </w:r>
            <w:r>
              <w:rPr>
                <w:rFonts w:ascii="Arial" w:hAnsi="Arial" w:cs="Arial"/>
                <w:b/>
                <w:color w:val="000000" w:themeColor="text1"/>
                <w:lang w:val="sr-Cyrl-BA"/>
              </w:rPr>
              <w:t>ално</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с</w:t>
            </w:r>
            <w:r>
              <w:rPr>
                <w:rFonts w:ascii="Arial" w:hAnsi="Arial" w:cs="Arial"/>
                <w:b/>
                <w:color w:val="000000" w:themeColor="text1"/>
                <w:lang w:val="sr-Cyrl-BA"/>
              </w:rPr>
              <w:t>амо</w:t>
            </w:r>
            <w:r w:rsidR="00892898" w:rsidRPr="00F6340E">
              <w:rPr>
                <w:rFonts w:ascii="Arial" w:hAnsi="Arial" w:cs="Arial"/>
                <w:b/>
                <w:color w:val="000000" w:themeColor="text1"/>
                <w:lang w:val="sr-Cyrl-BA"/>
              </w:rPr>
              <w:t>)</w:t>
            </w:r>
            <w:r w:rsidR="0071360A">
              <w:rPr>
                <w:rFonts w:ascii="Arial" w:hAnsi="Arial" w:cs="Arial"/>
                <w:b/>
                <w:color w:val="000000" w:themeColor="text1"/>
                <w:lang w:val="sr-Cyrl-BA"/>
              </w:rPr>
              <w:t>вр</w:t>
            </w:r>
            <w:r w:rsidR="00EE6AA2">
              <w:rPr>
                <w:rFonts w:ascii="Arial" w:hAnsi="Arial" w:cs="Arial"/>
                <w:b/>
                <w:color w:val="000000" w:themeColor="text1"/>
                <w:lang w:val="sr-Cyrl-BA"/>
              </w:rPr>
              <w:t>е</w:t>
            </w:r>
            <w:r>
              <w:rPr>
                <w:rFonts w:ascii="Arial" w:hAnsi="Arial" w:cs="Arial"/>
                <w:b/>
                <w:color w:val="000000" w:themeColor="text1"/>
                <w:lang w:val="sr-Cyrl-BA"/>
              </w:rPr>
              <w:t>дно</w:t>
            </w:r>
            <w:r w:rsidR="0071360A">
              <w:rPr>
                <w:rFonts w:ascii="Arial" w:hAnsi="Arial" w:cs="Arial"/>
                <w:b/>
                <w:color w:val="000000" w:themeColor="text1"/>
                <w:lang w:val="sr-Cyrl-BA"/>
              </w:rPr>
              <w:t>в</w:t>
            </w:r>
            <w:r>
              <w:rPr>
                <w:rFonts w:ascii="Arial" w:hAnsi="Arial" w:cs="Arial"/>
                <w:b/>
                <w:color w:val="000000" w:themeColor="text1"/>
                <w:lang w:val="sr-Cyrl-BA"/>
              </w:rPr>
              <w:t>ањ</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к</w:t>
            </w:r>
            <w:r w:rsidR="0071360A">
              <w:rPr>
                <w:rFonts w:ascii="Arial" w:hAnsi="Arial" w:cs="Arial"/>
                <w:b/>
                <w:color w:val="000000" w:themeColor="text1"/>
                <w:lang w:val="sr-Cyrl-BA"/>
              </w:rPr>
              <w:t>в</w:t>
            </w:r>
            <w:r>
              <w:rPr>
                <w:rFonts w:ascii="Arial" w:hAnsi="Arial" w:cs="Arial"/>
                <w:b/>
                <w:color w:val="000000" w:themeColor="text1"/>
                <w:lang w:val="sr-Cyrl-BA"/>
              </w:rPr>
              <w:t>али</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71360A">
              <w:rPr>
                <w:rFonts w:ascii="Arial" w:hAnsi="Arial" w:cs="Arial"/>
                <w:b/>
                <w:color w:val="000000" w:themeColor="text1"/>
                <w:lang w:val="sr-Cyrl-BA"/>
              </w:rPr>
              <w:t>р</w:t>
            </w:r>
            <w:r>
              <w:rPr>
                <w:rFonts w:ascii="Arial" w:hAnsi="Arial" w:cs="Arial"/>
                <w:b/>
                <w:color w:val="000000" w:themeColor="text1"/>
                <w:lang w:val="sr-Cyrl-BA"/>
              </w:rPr>
              <w:t>ада</w:t>
            </w:r>
            <w:r w:rsidR="00892898" w:rsidRPr="00F6340E">
              <w:rPr>
                <w:rFonts w:ascii="Arial" w:hAnsi="Arial" w:cs="Arial"/>
                <w:b/>
                <w:color w:val="000000" w:themeColor="text1"/>
                <w:lang w:val="sr-Cyrl-BA"/>
              </w:rPr>
              <w:t xml:space="preserve"> </w:t>
            </w:r>
          </w:p>
          <w:p w14:paraId="3BBEA0F1" w14:textId="27444441" w:rsidR="00892898" w:rsidRPr="00F6340E" w:rsidRDefault="00A56E08" w:rsidP="00FB5CB7">
            <w:pPr>
              <w:pStyle w:val="ListParagraph"/>
              <w:ind w:left="360"/>
              <w:jc w:val="left"/>
              <w:rPr>
                <w:rFonts w:ascii="Arial" w:hAnsi="Arial" w:cs="Arial"/>
                <w:szCs w:val="22"/>
                <w:lang w:val="sr-Cyrl-BA"/>
              </w:rPr>
            </w:pPr>
            <w:r>
              <w:rPr>
                <w:rFonts w:ascii="Arial" w:hAnsi="Arial" w:cs="Arial"/>
                <w:lang w:val="sr-Cyrl-BA"/>
              </w:rPr>
              <w:t>О</w:t>
            </w:r>
            <w:r w:rsidR="0071360A">
              <w:rPr>
                <w:rFonts w:ascii="Arial" w:hAnsi="Arial" w:cs="Arial"/>
                <w:lang w:val="sr-Cyrl-BA"/>
              </w:rPr>
              <w:t>с</w:t>
            </w:r>
            <w:r>
              <w:rPr>
                <w:rFonts w:ascii="Arial" w:hAnsi="Arial" w:cs="Arial"/>
                <w:lang w:val="sr-Cyrl-BA"/>
              </w:rPr>
              <w:t>иг</w:t>
            </w:r>
            <w:r w:rsidR="0071360A">
              <w:rPr>
                <w:rFonts w:ascii="Arial" w:hAnsi="Arial" w:cs="Arial"/>
                <w:lang w:val="sr-Cyrl-BA"/>
              </w:rPr>
              <w:t>ур</w:t>
            </w:r>
            <w:r>
              <w:rPr>
                <w:rFonts w:ascii="Arial" w:hAnsi="Arial" w:cs="Arial"/>
                <w:lang w:val="sr-Cyrl-BA"/>
              </w:rPr>
              <w:t>а</w:t>
            </w:r>
            <w:r w:rsidR="0071360A">
              <w:rPr>
                <w:rFonts w:ascii="Arial" w:hAnsi="Arial" w:cs="Arial"/>
                <w:lang w:val="sr-Cyrl-BA"/>
              </w:rPr>
              <w:t>т</w:t>
            </w:r>
            <w:r>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да</w:t>
            </w:r>
            <w:r w:rsidR="00892898" w:rsidRPr="00F6340E">
              <w:rPr>
                <w:rFonts w:ascii="Arial" w:hAnsi="Arial" w:cs="Arial"/>
                <w:lang w:val="sr-Cyrl-BA"/>
              </w:rPr>
              <w:t xml:space="preserve"> </w:t>
            </w:r>
            <w:r w:rsidR="0071360A">
              <w:rPr>
                <w:rFonts w:ascii="Arial" w:hAnsi="Arial" w:cs="Arial"/>
                <w:lang w:val="sr-Cyrl-BA"/>
              </w:rPr>
              <w:t>с</w:t>
            </w:r>
            <w:r w:rsidR="00EE6AA2">
              <w:rPr>
                <w:rFonts w:ascii="Arial" w:hAnsi="Arial" w:cs="Arial"/>
                <w:lang w:val="sr-Cyrl-BA"/>
              </w:rPr>
              <w:t>е</w:t>
            </w:r>
            <w:r w:rsidR="00892898" w:rsidRPr="00F6340E">
              <w:rPr>
                <w:rFonts w:ascii="Arial" w:hAnsi="Arial" w:cs="Arial"/>
                <w:lang w:val="sr-Cyrl-BA"/>
              </w:rPr>
              <w:t xml:space="preserve"> </w:t>
            </w:r>
            <w:r w:rsidR="0071360A">
              <w:rPr>
                <w:rFonts w:ascii="Arial" w:hAnsi="Arial" w:cs="Arial"/>
                <w:lang w:val="sr-Cyrl-BA"/>
              </w:rPr>
              <w:t>т</w:t>
            </w:r>
            <w:r>
              <w:rPr>
                <w:rFonts w:ascii="Arial" w:hAnsi="Arial" w:cs="Arial"/>
                <w:lang w:val="sr-Cyrl-BA"/>
              </w:rPr>
              <w:t>оком</w:t>
            </w:r>
            <w:r w:rsidR="00892898" w:rsidRPr="00F6340E">
              <w:rPr>
                <w:rFonts w:ascii="Arial" w:hAnsi="Arial" w:cs="Arial"/>
                <w:lang w:val="sr-Cyrl-BA"/>
              </w:rPr>
              <w:t xml:space="preserve"> </w:t>
            </w:r>
            <w:r>
              <w:rPr>
                <w:rFonts w:ascii="Arial" w:hAnsi="Arial" w:cs="Arial"/>
                <w:lang w:val="sr-Cyrl-BA"/>
              </w:rPr>
              <w:t>иницијалног</w:t>
            </w:r>
            <w:r w:rsidR="00892898" w:rsidRPr="00F6340E">
              <w:rPr>
                <w:rFonts w:ascii="Arial" w:hAnsi="Arial" w:cs="Arial"/>
                <w:lang w:val="sr-Cyrl-BA"/>
              </w:rPr>
              <w:t xml:space="preserve"> </w:t>
            </w:r>
            <w:r>
              <w:rPr>
                <w:rFonts w:ascii="Arial" w:hAnsi="Arial" w:cs="Arial"/>
                <w:lang w:val="sr-Cyrl-BA"/>
              </w:rPr>
              <w:t>об</w:t>
            </w:r>
            <w:r w:rsidR="0071360A">
              <w:rPr>
                <w:rFonts w:ascii="Arial" w:hAnsi="Arial" w:cs="Arial"/>
                <w:lang w:val="sr-Cyrl-BA"/>
              </w:rPr>
              <w:t>р</w:t>
            </w:r>
            <w:r>
              <w:rPr>
                <w:rFonts w:ascii="Arial" w:hAnsi="Arial" w:cs="Arial"/>
                <w:lang w:val="sr-Cyrl-BA"/>
              </w:rPr>
              <w:t>а</w:t>
            </w:r>
            <w:r w:rsidR="00171F00">
              <w:rPr>
                <w:rFonts w:ascii="Arial" w:hAnsi="Arial" w:cs="Arial"/>
                <w:lang w:val="sr-Cyrl-BA"/>
              </w:rPr>
              <w:t>з</w:t>
            </w:r>
            <w:r>
              <w:rPr>
                <w:rFonts w:ascii="Arial" w:hAnsi="Arial" w:cs="Arial"/>
                <w:lang w:val="sr-Cyrl-BA"/>
              </w:rPr>
              <w:t>о</w:t>
            </w:r>
            <w:r w:rsidR="0071360A">
              <w:rPr>
                <w:rFonts w:ascii="Arial" w:hAnsi="Arial" w:cs="Arial"/>
                <w:lang w:val="sr-Cyrl-BA"/>
              </w:rPr>
              <w:t>в</w:t>
            </w:r>
            <w:r>
              <w:rPr>
                <w:rFonts w:ascii="Arial" w:hAnsi="Arial" w:cs="Arial"/>
                <w:lang w:val="sr-Cyrl-BA"/>
              </w:rPr>
              <w:t>ања</w:t>
            </w:r>
            <w:r w:rsidR="00892898" w:rsidRPr="00F6340E">
              <w:rPr>
                <w:rFonts w:ascii="Arial" w:hAnsi="Arial" w:cs="Arial"/>
                <w:lang w:val="sr-Cyrl-BA"/>
              </w:rPr>
              <w:t xml:space="preserve"> </w:t>
            </w:r>
            <w:r>
              <w:rPr>
                <w:rFonts w:ascii="Arial" w:hAnsi="Arial" w:cs="Arial"/>
                <w:lang w:val="sr-Cyrl-BA"/>
              </w:rPr>
              <w:t>на</w:t>
            </w:r>
            <w:r w:rsidR="0071360A">
              <w:rPr>
                <w:rFonts w:ascii="Arial" w:hAnsi="Arial" w:cs="Arial"/>
                <w:lang w:val="sr-Cyrl-BA"/>
              </w:rPr>
              <w:t>ст</w:t>
            </w:r>
            <w:r>
              <w:rPr>
                <w:rFonts w:ascii="Arial" w:hAnsi="Arial" w:cs="Arial"/>
                <w:lang w:val="sr-Cyrl-BA"/>
              </w:rPr>
              <w:t>а</w:t>
            </w:r>
            <w:r w:rsidR="0071360A">
              <w:rPr>
                <w:rFonts w:ascii="Arial" w:hAnsi="Arial" w:cs="Arial"/>
                <w:lang w:val="sr-Cyrl-BA"/>
              </w:rPr>
              <w:t>в</w:t>
            </w:r>
            <w:r>
              <w:rPr>
                <w:rFonts w:ascii="Arial" w:hAnsi="Arial" w:cs="Arial"/>
                <w:lang w:val="sr-Cyrl-BA"/>
              </w:rPr>
              <w:t>ници</w:t>
            </w:r>
            <w:r w:rsidR="00892898" w:rsidRPr="00F6340E">
              <w:rPr>
                <w:rFonts w:ascii="Arial" w:hAnsi="Arial" w:cs="Arial"/>
                <w:lang w:val="sr-Cyrl-BA"/>
              </w:rPr>
              <w:t xml:space="preserve"> </w:t>
            </w:r>
            <w:r>
              <w:rPr>
                <w:rFonts w:ascii="Arial" w:hAnsi="Arial" w:cs="Arial"/>
                <w:lang w:val="sr-Cyrl-BA"/>
              </w:rPr>
              <w:t>о</w:t>
            </w:r>
            <w:r w:rsidR="0071360A">
              <w:rPr>
                <w:rFonts w:ascii="Arial" w:hAnsi="Arial" w:cs="Arial"/>
                <w:lang w:val="sr-Cyrl-BA"/>
              </w:rPr>
              <w:t>сп</w:t>
            </w:r>
            <w:r>
              <w:rPr>
                <w:rFonts w:ascii="Arial" w:hAnsi="Arial" w:cs="Arial"/>
                <w:lang w:val="sr-Cyrl-BA"/>
              </w:rPr>
              <w:t>о</w:t>
            </w:r>
            <w:r w:rsidR="0071360A">
              <w:rPr>
                <w:rFonts w:ascii="Arial" w:hAnsi="Arial" w:cs="Arial"/>
                <w:lang w:val="sr-Cyrl-BA"/>
              </w:rPr>
              <w:t>с</w:t>
            </w:r>
            <w:r>
              <w:rPr>
                <w:rFonts w:ascii="Arial" w:hAnsi="Arial" w:cs="Arial"/>
                <w:lang w:val="sr-Cyrl-BA"/>
              </w:rPr>
              <w:t>обља</w:t>
            </w:r>
            <w:r w:rsidR="0071360A">
              <w:rPr>
                <w:rFonts w:ascii="Arial" w:hAnsi="Arial" w:cs="Arial"/>
                <w:lang w:val="sr-Cyrl-BA"/>
              </w:rPr>
              <w:t>в</w:t>
            </w:r>
            <w:r>
              <w:rPr>
                <w:rFonts w:ascii="Arial" w:hAnsi="Arial" w:cs="Arial"/>
                <w:lang w:val="sr-Cyrl-BA"/>
              </w:rPr>
              <w:t>ај</w:t>
            </w:r>
            <w:r w:rsidR="0071360A">
              <w:rPr>
                <w:rFonts w:ascii="Arial" w:hAnsi="Arial" w:cs="Arial"/>
                <w:lang w:val="sr-Cyrl-BA"/>
              </w:rPr>
              <w:t>у</w:t>
            </w:r>
            <w:r w:rsidR="00892898" w:rsidRPr="00F6340E">
              <w:rPr>
                <w:rFonts w:ascii="Arial" w:hAnsi="Arial" w:cs="Arial"/>
                <w:lang w:val="sr-Cyrl-BA"/>
              </w:rPr>
              <w:t xml:space="preserve"> </w:t>
            </w:r>
            <w:r w:rsidR="00171F00">
              <w:rPr>
                <w:rFonts w:ascii="Arial" w:hAnsi="Arial" w:cs="Arial"/>
                <w:lang w:val="sr-Cyrl-BA"/>
              </w:rPr>
              <w:t>з</w:t>
            </w:r>
            <w:r>
              <w:rPr>
                <w:rFonts w:ascii="Arial" w:hAnsi="Arial" w:cs="Arial"/>
                <w:lang w:val="sr-Cyrl-BA"/>
              </w:rPr>
              <w:t>а</w:t>
            </w:r>
            <w:r w:rsidR="00892898" w:rsidRPr="00F6340E">
              <w:rPr>
                <w:rFonts w:ascii="Arial" w:hAnsi="Arial" w:cs="Arial"/>
                <w:lang w:val="sr-Cyrl-BA"/>
              </w:rPr>
              <w:t xml:space="preserve"> (</w:t>
            </w:r>
            <w:r w:rsidR="0071360A">
              <w:rPr>
                <w:rFonts w:ascii="Arial" w:hAnsi="Arial" w:cs="Arial"/>
                <w:lang w:val="sr-Cyrl-BA"/>
              </w:rPr>
              <w:t>с</w:t>
            </w:r>
            <w:r>
              <w:rPr>
                <w:rFonts w:ascii="Arial" w:hAnsi="Arial" w:cs="Arial"/>
                <w:lang w:val="sr-Cyrl-BA"/>
              </w:rPr>
              <w:t>амо</w:t>
            </w:r>
            <w:r w:rsidR="00892898" w:rsidRPr="00F6340E">
              <w:rPr>
                <w:rFonts w:ascii="Arial" w:hAnsi="Arial" w:cs="Arial"/>
                <w:lang w:val="sr-Cyrl-BA"/>
              </w:rPr>
              <w:t>)</w:t>
            </w:r>
            <w:r w:rsidR="0071360A">
              <w:rPr>
                <w:rFonts w:ascii="Arial" w:hAnsi="Arial" w:cs="Arial"/>
                <w:lang w:val="sr-Cyrl-BA"/>
              </w:rPr>
              <w:t>вр</w:t>
            </w:r>
            <w:r w:rsidR="00EE6AA2">
              <w:rPr>
                <w:rFonts w:ascii="Arial" w:hAnsi="Arial" w:cs="Arial"/>
                <w:lang w:val="sr-Cyrl-BA"/>
              </w:rPr>
              <w:t>е</w:t>
            </w:r>
            <w:r>
              <w:rPr>
                <w:rFonts w:ascii="Arial" w:hAnsi="Arial" w:cs="Arial"/>
                <w:lang w:val="sr-Cyrl-BA"/>
              </w:rPr>
              <w:t>дно</w:t>
            </w:r>
            <w:r w:rsidR="0071360A">
              <w:rPr>
                <w:rFonts w:ascii="Arial" w:hAnsi="Arial" w:cs="Arial"/>
                <w:lang w:val="sr-Cyrl-BA"/>
              </w:rPr>
              <w:t>в</w:t>
            </w:r>
            <w:r>
              <w:rPr>
                <w:rFonts w:ascii="Arial" w:hAnsi="Arial" w:cs="Arial"/>
                <w:lang w:val="sr-Cyrl-BA"/>
              </w:rPr>
              <w:t>ањ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к</w:t>
            </w:r>
            <w:r w:rsidR="0071360A">
              <w:rPr>
                <w:rFonts w:ascii="Arial" w:hAnsi="Arial" w:cs="Arial"/>
                <w:lang w:val="sr-Cyrl-BA"/>
              </w:rPr>
              <w:t>в</w:t>
            </w:r>
            <w:r>
              <w:rPr>
                <w:rFonts w:ascii="Arial" w:hAnsi="Arial" w:cs="Arial"/>
                <w:lang w:val="sr-Cyrl-BA"/>
              </w:rPr>
              <w:t>али</w:t>
            </w:r>
            <w:r w:rsidR="0071360A">
              <w:rPr>
                <w:rFonts w:ascii="Arial" w:hAnsi="Arial" w:cs="Arial"/>
                <w:lang w:val="sr-Cyrl-BA"/>
              </w:rPr>
              <w:t>т</w:t>
            </w:r>
            <w:r w:rsidR="00EE6AA2">
              <w:rPr>
                <w:rFonts w:ascii="Arial" w:hAnsi="Arial" w:cs="Arial"/>
                <w:lang w:val="sr-Cyrl-BA"/>
              </w:rPr>
              <w:t>е</w:t>
            </w:r>
            <w:r w:rsidR="0071360A">
              <w:rPr>
                <w:rFonts w:ascii="Arial" w:hAnsi="Arial" w:cs="Arial"/>
                <w:lang w:val="sr-Cyrl-BA"/>
              </w:rPr>
              <w:t>т</w:t>
            </w:r>
            <w:r w:rsidR="00EE6AA2">
              <w:rPr>
                <w:rFonts w:ascii="Arial" w:hAnsi="Arial" w:cs="Arial"/>
                <w:lang w:val="sr-Cyrl-BA"/>
              </w:rPr>
              <w:t>е</w:t>
            </w:r>
            <w:r w:rsidR="00892898" w:rsidRPr="00F6340E">
              <w:rPr>
                <w:rFonts w:ascii="Arial" w:hAnsi="Arial" w:cs="Arial"/>
                <w:lang w:val="sr-Cyrl-BA"/>
              </w:rPr>
              <w:t xml:space="preserve"> </w:t>
            </w:r>
            <w:r w:rsidR="0071360A">
              <w:rPr>
                <w:rFonts w:ascii="Arial" w:hAnsi="Arial" w:cs="Arial"/>
                <w:lang w:val="sr-Cyrl-BA"/>
              </w:rPr>
              <w:t>р</w:t>
            </w:r>
            <w:r>
              <w:rPr>
                <w:rFonts w:ascii="Arial" w:hAnsi="Arial" w:cs="Arial"/>
                <w:lang w:val="sr-Cyrl-BA"/>
              </w:rPr>
              <w:t>ада</w:t>
            </w:r>
            <w:r w:rsidR="00892898" w:rsidRPr="00F6340E">
              <w:rPr>
                <w:rFonts w:ascii="Arial" w:hAnsi="Arial" w:cs="Arial"/>
                <w:lang w:val="sr-Cyrl-BA"/>
              </w:rPr>
              <w:t xml:space="preserve">, </w:t>
            </w:r>
            <w:r w:rsidR="0071360A">
              <w:rPr>
                <w:rFonts w:ascii="Arial" w:hAnsi="Arial" w:cs="Arial"/>
                <w:lang w:val="sr-Cyrl-BA"/>
              </w:rPr>
              <w:t>пр</w:t>
            </w:r>
            <w:r>
              <w:rPr>
                <w:rFonts w:ascii="Arial" w:hAnsi="Arial" w:cs="Arial"/>
                <w:lang w:val="sr-Cyrl-BA"/>
              </w:rPr>
              <w:t>имј</w:t>
            </w:r>
            <w:r w:rsidR="00EE6AA2">
              <w:rPr>
                <w:rFonts w:ascii="Arial" w:hAnsi="Arial" w:cs="Arial"/>
                <w:lang w:val="sr-Cyrl-BA"/>
              </w:rPr>
              <w:t>е</w:t>
            </w:r>
            <w:r>
              <w:rPr>
                <w:rFonts w:ascii="Arial" w:hAnsi="Arial" w:cs="Arial"/>
                <w:lang w:val="sr-Cyrl-BA"/>
              </w:rPr>
              <w:t>н</w:t>
            </w:r>
            <w:r w:rsidR="0071360A">
              <w:rPr>
                <w:rFonts w:ascii="Arial" w:hAnsi="Arial" w:cs="Arial"/>
                <w:lang w:val="sr-Cyrl-BA"/>
              </w:rPr>
              <w:t>у</w:t>
            </w:r>
            <w:r w:rsidR="00892898" w:rsidRPr="00F6340E">
              <w:rPr>
                <w:rFonts w:ascii="Arial" w:hAnsi="Arial" w:cs="Arial"/>
                <w:lang w:val="sr-Cyrl-BA"/>
              </w:rPr>
              <w:t xml:space="preserve"> </w:t>
            </w:r>
            <w:r w:rsidR="0071360A">
              <w:rPr>
                <w:rFonts w:ascii="Arial" w:hAnsi="Arial" w:cs="Arial"/>
                <w:lang w:val="sr-Cyrl-BA"/>
              </w:rPr>
              <w:t>р</w:t>
            </w:r>
            <w:r>
              <w:rPr>
                <w:rFonts w:ascii="Arial" w:hAnsi="Arial" w:cs="Arial"/>
                <w:lang w:val="sr-Cyrl-BA"/>
              </w:rPr>
              <w:t>а</w:t>
            </w:r>
            <w:r w:rsidR="00171F00">
              <w:rPr>
                <w:rFonts w:ascii="Arial" w:hAnsi="Arial" w:cs="Arial"/>
                <w:lang w:val="sr-Cyrl-BA"/>
              </w:rPr>
              <w:t>з</w:t>
            </w:r>
            <w:r>
              <w:rPr>
                <w:rFonts w:ascii="Arial" w:hAnsi="Arial" w:cs="Arial"/>
                <w:lang w:val="sr-Cyrl-BA"/>
              </w:rPr>
              <w:t>личи</w:t>
            </w:r>
            <w:r w:rsidR="0071360A">
              <w:rPr>
                <w:rFonts w:ascii="Arial" w:hAnsi="Arial" w:cs="Arial"/>
                <w:lang w:val="sr-Cyrl-BA"/>
              </w:rPr>
              <w:t>т</w:t>
            </w:r>
            <w:r>
              <w:rPr>
                <w:rFonts w:ascii="Arial" w:hAnsi="Arial" w:cs="Arial"/>
                <w:lang w:val="sr-Cyrl-BA"/>
              </w:rPr>
              <w:t>их</w:t>
            </w:r>
            <w:r w:rsidR="00892898" w:rsidRPr="00F6340E">
              <w:rPr>
                <w:rFonts w:ascii="Arial" w:hAnsi="Arial" w:cs="Arial"/>
                <w:lang w:val="sr-Cyrl-BA"/>
              </w:rPr>
              <w:t xml:space="preserve"> </w:t>
            </w:r>
            <w:r>
              <w:rPr>
                <w:rFonts w:ascii="Arial" w:hAnsi="Arial" w:cs="Arial"/>
                <w:lang w:val="sr-Cyrl-BA"/>
              </w:rPr>
              <w:t>ала</w:t>
            </w:r>
            <w:r w:rsidR="0071360A">
              <w:rPr>
                <w:rFonts w:ascii="Arial" w:hAnsi="Arial" w:cs="Arial"/>
                <w:lang w:val="sr-Cyrl-BA"/>
              </w:rPr>
              <w:t>т</w:t>
            </w:r>
            <w:r>
              <w:rPr>
                <w:rFonts w:ascii="Arial" w:hAnsi="Arial" w:cs="Arial"/>
                <w:lang w:val="sr-Cyrl-BA"/>
              </w:rPr>
              <w:t>а</w:t>
            </w:r>
            <w:r w:rsidR="00892898" w:rsidRPr="00F6340E">
              <w:rPr>
                <w:rFonts w:ascii="Arial" w:hAnsi="Arial" w:cs="Arial"/>
                <w:lang w:val="sr-Cyrl-BA"/>
              </w:rPr>
              <w:t xml:space="preserve"> </w:t>
            </w:r>
            <w:r w:rsidR="0071360A">
              <w:rPr>
                <w:rFonts w:ascii="Arial" w:hAnsi="Arial" w:cs="Arial"/>
                <w:lang w:val="sr-Cyrl-BA"/>
              </w:rPr>
              <w:t>у</w:t>
            </w:r>
            <w:r w:rsidR="00892898" w:rsidRPr="00F6340E">
              <w:rPr>
                <w:rFonts w:ascii="Arial" w:hAnsi="Arial" w:cs="Arial"/>
                <w:lang w:val="sr-Cyrl-BA"/>
              </w:rPr>
              <w:t xml:space="preserve"> </w:t>
            </w:r>
            <w:r w:rsidR="0071360A">
              <w:rPr>
                <w:rFonts w:ascii="Arial" w:hAnsi="Arial" w:cs="Arial"/>
                <w:lang w:val="sr-Cyrl-BA"/>
              </w:rPr>
              <w:t>т</w:t>
            </w:r>
            <w:r>
              <w:rPr>
                <w:rFonts w:ascii="Arial" w:hAnsi="Arial" w:cs="Arial"/>
                <w:lang w:val="sr-Cyrl-BA"/>
              </w:rPr>
              <w:t>ом</w:t>
            </w:r>
            <w:r w:rsidR="00892898" w:rsidRPr="00F6340E">
              <w:rPr>
                <w:rFonts w:ascii="Arial" w:hAnsi="Arial" w:cs="Arial"/>
                <w:lang w:val="sr-Cyrl-BA"/>
              </w:rPr>
              <w:t xml:space="preserve"> </w:t>
            </w:r>
            <w:r w:rsidR="0071360A">
              <w:rPr>
                <w:rFonts w:ascii="Arial" w:hAnsi="Arial" w:cs="Arial"/>
                <w:lang w:val="sr-Cyrl-BA"/>
              </w:rPr>
              <w:t>пр</w:t>
            </w:r>
            <w:r>
              <w:rPr>
                <w:rFonts w:ascii="Arial" w:hAnsi="Arial" w:cs="Arial"/>
                <w:lang w:val="sr-Cyrl-BA"/>
              </w:rPr>
              <w:t>оц</w:t>
            </w:r>
            <w:r w:rsidR="00EE6AA2">
              <w:rPr>
                <w:rFonts w:ascii="Arial" w:hAnsi="Arial" w:cs="Arial"/>
                <w:lang w:val="sr-Cyrl-BA"/>
              </w:rPr>
              <w:t>е</w:t>
            </w:r>
            <w:r w:rsidR="0071360A">
              <w:rPr>
                <w:rFonts w:ascii="Arial" w:hAnsi="Arial" w:cs="Arial"/>
                <w:lang w:val="sr-Cyrl-BA"/>
              </w:rPr>
              <w:t>су</w:t>
            </w:r>
            <w:r w:rsidR="00892898" w:rsidRPr="00F6340E">
              <w:rPr>
                <w:rFonts w:ascii="Arial" w:hAnsi="Arial" w:cs="Arial"/>
                <w:lang w:val="sr-Cyrl-BA"/>
              </w:rPr>
              <w:t xml:space="preserve"> </w:t>
            </w:r>
            <w:r w:rsidR="0071360A">
              <w:rPr>
                <w:rFonts w:ascii="Arial" w:hAnsi="Arial" w:cs="Arial"/>
                <w:lang w:val="sr-Cyrl-BA"/>
              </w:rPr>
              <w:t>т</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их</w:t>
            </w:r>
            <w:r w:rsidR="00892898" w:rsidRPr="00F6340E">
              <w:rPr>
                <w:rFonts w:ascii="Arial" w:hAnsi="Arial" w:cs="Arial"/>
                <w:lang w:val="sr-Cyrl-BA"/>
              </w:rPr>
              <w:t xml:space="preserve"> </w:t>
            </w:r>
            <w:r w:rsidR="0071360A">
              <w:rPr>
                <w:rFonts w:ascii="Arial" w:hAnsi="Arial" w:cs="Arial"/>
                <w:lang w:val="sr-Cyrl-BA"/>
              </w:rPr>
              <w:t>п</w:t>
            </w:r>
            <w:r>
              <w:rPr>
                <w:rFonts w:ascii="Arial" w:hAnsi="Arial" w:cs="Arial"/>
                <w:lang w:val="sr-Cyrl-BA"/>
              </w:rPr>
              <w:t>о</w:t>
            </w:r>
            <w:r w:rsidR="0071360A">
              <w:rPr>
                <w:rFonts w:ascii="Arial" w:hAnsi="Arial" w:cs="Arial"/>
                <w:lang w:val="sr-Cyrl-BA"/>
              </w:rPr>
              <w:t>т</w:t>
            </w:r>
            <w:r>
              <w:rPr>
                <w:rFonts w:ascii="Arial" w:hAnsi="Arial" w:cs="Arial"/>
                <w:lang w:val="sr-Cyrl-BA"/>
              </w:rPr>
              <w:t>ица</w:t>
            </w:r>
            <w:r w:rsidR="0071360A">
              <w:rPr>
                <w:rFonts w:ascii="Arial" w:hAnsi="Arial" w:cs="Arial"/>
                <w:lang w:val="sr-Cyrl-BA"/>
              </w:rPr>
              <w:t>т</w:t>
            </w:r>
            <w:r>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на</w:t>
            </w:r>
            <w:r w:rsidR="00892898" w:rsidRPr="00F6340E">
              <w:rPr>
                <w:rFonts w:ascii="Arial" w:hAnsi="Arial" w:cs="Arial"/>
                <w:lang w:val="sr-Cyrl-BA"/>
              </w:rPr>
              <w:t xml:space="preserve"> </w:t>
            </w:r>
            <w:r w:rsidR="0071360A">
              <w:rPr>
                <w:rFonts w:ascii="Arial" w:hAnsi="Arial" w:cs="Arial"/>
                <w:lang w:val="sr-Cyrl-BA"/>
              </w:rPr>
              <w:t>у</w:t>
            </w:r>
            <w:r>
              <w:rPr>
                <w:rFonts w:ascii="Arial" w:hAnsi="Arial" w:cs="Arial"/>
                <w:lang w:val="sr-Cyrl-BA"/>
              </w:rPr>
              <w:t>на</w:t>
            </w:r>
            <w:r w:rsidR="0071360A">
              <w:rPr>
                <w:rFonts w:ascii="Arial" w:hAnsi="Arial" w:cs="Arial"/>
                <w:lang w:val="sr-Cyrl-BA"/>
              </w:rPr>
              <w:t>пр</w:t>
            </w:r>
            <w:r>
              <w:rPr>
                <w:rFonts w:ascii="Arial" w:hAnsi="Arial" w:cs="Arial"/>
                <w:lang w:val="sr-Cyrl-BA"/>
              </w:rPr>
              <w:t>ј</w:t>
            </w:r>
            <w:r w:rsidR="00EE6AA2">
              <w:rPr>
                <w:rFonts w:ascii="Arial" w:hAnsi="Arial" w:cs="Arial"/>
                <w:lang w:val="sr-Cyrl-BA"/>
              </w:rPr>
              <w:t>е</w:t>
            </w:r>
            <w:r>
              <w:rPr>
                <w:rFonts w:ascii="Arial" w:hAnsi="Arial" w:cs="Arial"/>
                <w:lang w:val="sr-Cyrl-BA"/>
              </w:rPr>
              <w:t>ђ</w:t>
            </w:r>
            <w:r w:rsidR="00EE6AA2">
              <w:rPr>
                <w:rFonts w:ascii="Arial" w:hAnsi="Arial" w:cs="Arial"/>
                <w:lang w:val="sr-Cyrl-BA"/>
              </w:rPr>
              <w:t>е</w:t>
            </w:r>
            <w:r>
              <w:rPr>
                <w:rFonts w:ascii="Arial" w:hAnsi="Arial" w:cs="Arial"/>
                <w:lang w:val="sr-Cyrl-BA"/>
              </w:rPr>
              <w:t>њ</w:t>
            </w:r>
            <w:r w:rsidR="00EE6AA2">
              <w:rPr>
                <w:rFonts w:ascii="Arial" w:hAnsi="Arial" w:cs="Arial"/>
                <w:lang w:val="sr-Cyrl-BA"/>
              </w:rPr>
              <w:t>е</w:t>
            </w:r>
            <w:r w:rsidR="00892898" w:rsidRPr="00F6340E">
              <w:rPr>
                <w:rFonts w:ascii="Arial" w:hAnsi="Arial" w:cs="Arial"/>
                <w:lang w:val="sr-Cyrl-BA"/>
              </w:rPr>
              <w:t xml:space="preserve"> </w:t>
            </w:r>
            <w:r>
              <w:rPr>
                <w:rFonts w:ascii="Arial" w:hAnsi="Arial" w:cs="Arial"/>
                <w:lang w:val="sr-Cyrl-BA"/>
              </w:rPr>
              <w:t>ком</w:t>
            </w:r>
            <w:r w:rsidR="0071360A">
              <w:rPr>
                <w:rFonts w:ascii="Arial" w:hAnsi="Arial" w:cs="Arial"/>
                <w:lang w:val="sr-Cyrl-BA"/>
              </w:rPr>
              <w:t>п</w:t>
            </w:r>
            <w:r w:rsidR="00EE6AA2">
              <w:rPr>
                <w:rFonts w:ascii="Arial" w:hAnsi="Arial" w:cs="Arial"/>
                <w:lang w:val="sr-Cyrl-BA"/>
              </w:rPr>
              <w:t>е</w:t>
            </w:r>
            <w:r w:rsidR="0071360A">
              <w:rPr>
                <w:rFonts w:ascii="Arial" w:hAnsi="Arial" w:cs="Arial"/>
                <w:lang w:val="sr-Cyrl-BA"/>
              </w:rPr>
              <w:t>т</w:t>
            </w:r>
            <w:r w:rsidR="00EE6AA2">
              <w:rPr>
                <w:rFonts w:ascii="Arial" w:hAnsi="Arial" w:cs="Arial"/>
                <w:lang w:val="sr-Cyrl-BA"/>
              </w:rPr>
              <w:t>е</w:t>
            </w:r>
            <w:r>
              <w:rPr>
                <w:rFonts w:ascii="Arial" w:hAnsi="Arial" w:cs="Arial"/>
                <w:lang w:val="sr-Cyrl-BA"/>
              </w:rPr>
              <w:t>нција</w:t>
            </w:r>
            <w:r w:rsidR="00892898" w:rsidRPr="00F6340E">
              <w:rPr>
                <w:rFonts w:ascii="Arial" w:hAnsi="Arial" w:cs="Arial"/>
                <w:lang w:val="sr-Cyrl-BA"/>
              </w:rPr>
              <w:t xml:space="preserve"> </w:t>
            </w:r>
            <w:r>
              <w:rPr>
                <w:rFonts w:ascii="Arial" w:hAnsi="Arial" w:cs="Arial"/>
                <w:lang w:val="sr-Cyrl-BA"/>
              </w:rPr>
              <w:t>и</w:t>
            </w:r>
            <w:r w:rsidR="00892898" w:rsidRPr="00F6340E">
              <w:rPr>
                <w:rFonts w:ascii="Arial" w:hAnsi="Arial" w:cs="Arial"/>
                <w:lang w:val="sr-Cyrl-BA"/>
              </w:rPr>
              <w:t xml:space="preserve"> </w:t>
            </w:r>
            <w:r>
              <w:rPr>
                <w:rFonts w:ascii="Arial" w:hAnsi="Arial" w:cs="Arial"/>
                <w:lang w:val="sr-Cyrl-BA"/>
              </w:rPr>
              <w:t>к</w:t>
            </w:r>
            <w:r w:rsidR="0071360A">
              <w:rPr>
                <w:rFonts w:ascii="Arial" w:hAnsi="Arial" w:cs="Arial"/>
                <w:lang w:val="sr-Cyrl-BA"/>
              </w:rPr>
              <w:t>р</w:t>
            </w:r>
            <w:r>
              <w:rPr>
                <w:rFonts w:ascii="Arial" w:hAnsi="Arial" w:cs="Arial"/>
                <w:lang w:val="sr-Cyrl-BA"/>
              </w:rPr>
              <w:t>о</w:t>
            </w:r>
            <w:r w:rsidR="00171F00">
              <w:rPr>
                <w:rFonts w:ascii="Arial" w:hAnsi="Arial" w:cs="Arial"/>
                <w:lang w:val="sr-Cyrl-BA"/>
              </w:rPr>
              <w:t>з</w:t>
            </w:r>
            <w:r w:rsidR="00892898" w:rsidRPr="00F6340E">
              <w:rPr>
                <w:rFonts w:ascii="Arial" w:hAnsi="Arial" w:cs="Arial"/>
                <w:lang w:val="sr-Cyrl-BA"/>
              </w:rPr>
              <w:t xml:space="preserve"> </w:t>
            </w:r>
            <w:r>
              <w:rPr>
                <w:rFonts w:ascii="Arial" w:hAnsi="Arial" w:cs="Arial"/>
                <w:lang w:val="sr-Cyrl-BA"/>
              </w:rPr>
              <w:t>кон</w:t>
            </w:r>
            <w:r w:rsidR="0071360A">
              <w:rPr>
                <w:rFonts w:ascii="Arial" w:hAnsi="Arial" w:cs="Arial"/>
                <w:lang w:val="sr-Cyrl-BA"/>
              </w:rPr>
              <w:t>т</w:t>
            </w:r>
            <w:r>
              <w:rPr>
                <w:rFonts w:ascii="Arial" w:hAnsi="Arial" w:cs="Arial"/>
                <w:lang w:val="sr-Cyrl-BA"/>
              </w:rPr>
              <w:t>ин</w:t>
            </w:r>
            <w:r w:rsidR="0071360A">
              <w:rPr>
                <w:rFonts w:ascii="Arial" w:hAnsi="Arial" w:cs="Arial"/>
                <w:lang w:val="sr-Cyrl-BA"/>
              </w:rPr>
              <w:t>у</w:t>
            </w:r>
            <w:r>
              <w:rPr>
                <w:rFonts w:ascii="Arial" w:hAnsi="Arial" w:cs="Arial"/>
                <w:lang w:val="sr-Cyrl-BA"/>
              </w:rPr>
              <w:t>ални</w:t>
            </w:r>
            <w:r w:rsidR="00892898" w:rsidRPr="00F6340E">
              <w:rPr>
                <w:rFonts w:ascii="Arial" w:hAnsi="Arial" w:cs="Arial"/>
                <w:lang w:val="sr-Cyrl-BA"/>
              </w:rPr>
              <w:t xml:space="preserve"> </w:t>
            </w:r>
            <w:r w:rsidR="0071360A">
              <w:rPr>
                <w:rFonts w:ascii="Arial" w:hAnsi="Arial" w:cs="Arial"/>
                <w:lang w:val="sr-Cyrl-BA"/>
              </w:rPr>
              <w:t>пр</w:t>
            </w:r>
            <w:r>
              <w:rPr>
                <w:rFonts w:ascii="Arial" w:hAnsi="Arial" w:cs="Arial"/>
                <w:lang w:val="sr-Cyrl-BA"/>
              </w:rPr>
              <w:t>оф</w:t>
            </w:r>
            <w:r w:rsidR="00EE6AA2">
              <w:rPr>
                <w:rFonts w:ascii="Arial" w:hAnsi="Arial" w:cs="Arial"/>
                <w:lang w:val="sr-Cyrl-BA"/>
              </w:rPr>
              <w:t>е</w:t>
            </w:r>
            <w:r w:rsidR="0071360A">
              <w:rPr>
                <w:rFonts w:ascii="Arial" w:hAnsi="Arial" w:cs="Arial"/>
                <w:lang w:val="sr-Cyrl-BA"/>
              </w:rPr>
              <w:t>с</w:t>
            </w:r>
            <w:r>
              <w:rPr>
                <w:rFonts w:ascii="Arial" w:hAnsi="Arial" w:cs="Arial"/>
                <w:lang w:val="sr-Cyrl-BA"/>
              </w:rPr>
              <w:t>ионални</w:t>
            </w:r>
            <w:r w:rsidR="00892898" w:rsidRPr="00F6340E">
              <w:rPr>
                <w:rFonts w:ascii="Arial" w:hAnsi="Arial" w:cs="Arial"/>
                <w:lang w:val="sr-Cyrl-BA"/>
              </w:rPr>
              <w:t xml:space="preserve"> </w:t>
            </w:r>
            <w:r w:rsidR="0071360A">
              <w:rPr>
                <w:rFonts w:ascii="Arial" w:hAnsi="Arial" w:cs="Arial"/>
                <w:lang w:val="sr-Cyrl-BA"/>
              </w:rPr>
              <w:t>р</w:t>
            </w:r>
            <w:r>
              <w:rPr>
                <w:rFonts w:ascii="Arial" w:hAnsi="Arial" w:cs="Arial"/>
                <w:lang w:val="sr-Cyrl-BA"/>
              </w:rPr>
              <w:t>а</w:t>
            </w:r>
            <w:r w:rsidR="00171F00">
              <w:rPr>
                <w:rFonts w:ascii="Arial" w:hAnsi="Arial" w:cs="Arial"/>
                <w:lang w:val="sr-Cyrl-BA"/>
              </w:rPr>
              <w:t>з</w:t>
            </w:r>
            <w:r w:rsidR="0071360A">
              <w:rPr>
                <w:rFonts w:ascii="Arial" w:hAnsi="Arial" w:cs="Arial"/>
                <w:lang w:val="sr-Cyrl-BA"/>
              </w:rPr>
              <w:t>в</w:t>
            </w:r>
            <w:r>
              <w:rPr>
                <w:rFonts w:ascii="Arial" w:hAnsi="Arial" w:cs="Arial"/>
                <w:lang w:val="sr-Cyrl-BA"/>
              </w:rPr>
              <w:t>ој</w:t>
            </w:r>
            <w:r w:rsidR="00892898" w:rsidRPr="00F6340E">
              <w:rPr>
                <w:rFonts w:ascii="Arial" w:hAnsi="Arial" w:cs="Arial"/>
                <w:lang w:val="sr-Cyrl-BA"/>
              </w:rPr>
              <w:t>.</w:t>
            </w:r>
          </w:p>
          <w:p w14:paraId="1B31094E" w14:textId="3BCDF117" w:rsidR="00892898" w:rsidRPr="00F6340E" w:rsidRDefault="00A56E08" w:rsidP="00FB5CB7">
            <w:pPr>
              <w:pStyle w:val="ListParagraph"/>
              <w:numPr>
                <w:ilvl w:val="0"/>
                <w:numId w:val="44"/>
              </w:numPr>
              <w:ind w:left="360"/>
              <w:jc w:val="left"/>
              <w:rPr>
                <w:rFonts w:ascii="Arial" w:hAnsi="Arial" w:cs="Arial"/>
                <w:color w:val="000000"/>
                <w:lang w:val="sr-Cyrl-BA"/>
              </w:rPr>
            </w:pPr>
            <w:r>
              <w:rPr>
                <w:rFonts w:ascii="Arial" w:eastAsia="Times New Roman" w:hAnsi="Arial" w:cs="Arial"/>
                <w:b/>
                <w:color w:val="000000" w:themeColor="text1"/>
                <w:lang w:val="sr-Cyrl-BA"/>
              </w:rPr>
              <w:t>О</w:t>
            </w:r>
            <w:r w:rsidR="0071360A">
              <w:rPr>
                <w:rFonts w:ascii="Arial" w:eastAsia="Times New Roman" w:hAnsi="Arial" w:cs="Arial"/>
                <w:b/>
                <w:color w:val="000000" w:themeColor="text1"/>
                <w:lang w:val="sr-Cyrl-BA"/>
              </w:rPr>
              <w:t>с</w:t>
            </w:r>
            <w:r>
              <w:rPr>
                <w:rFonts w:ascii="Arial" w:eastAsia="Times New Roman" w:hAnsi="Arial" w:cs="Arial"/>
                <w:b/>
                <w:color w:val="000000" w:themeColor="text1"/>
                <w:lang w:val="sr-Cyrl-BA"/>
              </w:rPr>
              <w:t>иг</w:t>
            </w:r>
            <w:r w:rsidR="0071360A">
              <w:rPr>
                <w:rFonts w:ascii="Arial" w:eastAsia="Times New Roman" w:hAnsi="Arial" w:cs="Arial"/>
                <w:b/>
                <w:color w:val="000000" w:themeColor="text1"/>
                <w:lang w:val="sr-Cyrl-BA"/>
              </w:rPr>
              <w:t>ур</w:t>
            </w:r>
            <w:r>
              <w:rPr>
                <w:rFonts w:ascii="Arial" w:eastAsia="Times New Roman" w:hAnsi="Arial" w:cs="Arial"/>
                <w:b/>
                <w:color w:val="000000" w:themeColor="text1"/>
                <w:lang w:val="sr-Cyrl-BA"/>
              </w:rPr>
              <w:t>а</w:t>
            </w:r>
            <w:r w:rsidR="0071360A">
              <w:rPr>
                <w:rFonts w:ascii="Arial" w:eastAsia="Times New Roman" w:hAnsi="Arial" w:cs="Arial"/>
                <w:b/>
                <w:color w:val="000000" w:themeColor="text1"/>
                <w:lang w:val="sr-Cyrl-BA"/>
              </w:rPr>
              <w:t>т</w:t>
            </w:r>
            <w:r>
              <w:rPr>
                <w:rFonts w:ascii="Arial" w:eastAsia="Times New Roman" w:hAnsi="Arial" w:cs="Arial"/>
                <w:b/>
                <w:color w:val="000000" w:themeColor="text1"/>
                <w:lang w:val="sr-Cyrl-BA"/>
              </w:rPr>
              <w:t>и</w:t>
            </w:r>
            <w:r w:rsidR="00892898" w:rsidRPr="00F6340E">
              <w:rPr>
                <w:rFonts w:ascii="Arial" w:eastAsia="Times New Roman" w:hAnsi="Arial" w:cs="Arial"/>
                <w:b/>
                <w:color w:val="000000" w:themeColor="text1"/>
                <w:lang w:val="sr-Cyrl-BA"/>
              </w:rPr>
              <w:t xml:space="preserve"> </w:t>
            </w:r>
            <w:r>
              <w:rPr>
                <w:rFonts w:ascii="Arial" w:hAnsi="Arial" w:cs="Arial"/>
                <w:b/>
                <w:lang w:val="sr-Cyrl-BA"/>
              </w:rPr>
              <w:t>кон</w:t>
            </w:r>
            <w:r w:rsidR="0071360A">
              <w:rPr>
                <w:rFonts w:ascii="Arial" w:hAnsi="Arial" w:cs="Arial"/>
                <w:b/>
                <w:lang w:val="sr-Cyrl-BA"/>
              </w:rPr>
              <w:t>т</w:t>
            </w:r>
            <w:r>
              <w:rPr>
                <w:rFonts w:ascii="Arial" w:hAnsi="Arial" w:cs="Arial"/>
                <w:b/>
                <w:lang w:val="sr-Cyrl-BA"/>
              </w:rPr>
              <w:t>ин</w:t>
            </w:r>
            <w:r w:rsidR="0071360A">
              <w:rPr>
                <w:rFonts w:ascii="Arial" w:hAnsi="Arial" w:cs="Arial"/>
                <w:b/>
                <w:lang w:val="sr-Cyrl-BA"/>
              </w:rPr>
              <w:t>у</w:t>
            </w:r>
            <w:r>
              <w:rPr>
                <w:rFonts w:ascii="Arial" w:hAnsi="Arial" w:cs="Arial"/>
                <w:b/>
                <w:lang w:val="sr-Cyrl-BA"/>
              </w:rPr>
              <w:t>ално</w:t>
            </w:r>
            <w:r w:rsidR="00892898" w:rsidRPr="00F6340E">
              <w:rPr>
                <w:rFonts w:ascii="Arial" w:hAnsi="Arial" w:cs="Arial"/>
                <w:b/>
                <w:lang w:val="sr-Cyrl-BA"/>
              </w:rPr>
              <w:t xml:space="preserve"> </w:t>
            </w:r>
            <w:r w:rsidR="0071360A">
              <w:rPr>
                <w:rFonts w:ascii="Arial" w:hAnsi="Arial" w:cs="Arial"/>
                <w:b/>
                <w:lang w:val="sr-Cyrl-BA"/>
              </w:rPr>
              <w:t>у</w:t>
            </w:r>
            <w:r>
              <w:rPr>
                <w:rFonts w:ascii="Arial" w:hAnsi="Arial" w:cs="Arial"/>
                <w:b/>
                <w:lang w:val="sr-Cyrl-BA"/>
              </w:rPr>
              <w:t>ч</w:t>
            </w:r>
            <w:r w:rsidR="00EE6AA2">
              <w:rPr>
                <w:rFonts w:ascii="Arial" w:hAnsi="Arial" w:cs="Arial"/>
                <w:b/>
                <w:lang w:val="sr-Cyrl-BA"/>
              </w:rPr>
              <w:t>е</w:t>
            </w:r>
            <w:r w:rsidR="0071360A">
              <w:rPr>
                <w:rFonts w:ascii="Arial" w:hAnsi="Arial" w:cs="Arial"/>
                <w:b/>
                <w:lang w:val="sr-Cyrl-BA"/>
              </w:rPr>
              <w:t>ств</w:t>
            </w:r>
            <w:r>
              <w:rPr>
                <w:rFonts w:ascii="Arial" w:hAnsi="Arial" w:cs="Arial"/>
                <w:b/>
                <w:lang w:val="sr-Cyrl-BA"/>
              </w:rPr>
              <w:t>о</w:t>
            </w:r>
            <w:r w:rsidR="0071360A">
              <w:rPr>
                <w:rFonts w:ascii="Arial" w:hAnsi="Arial" w:cs="Arial"/>
                <w:b/>
                <w:lang w:val="sr-Cyrl-BA"/>
              </w:rPr>
              <w:t>в</w:t>
            </w:r>
            <w:r>
              <w:rPr>
                <w:rFonts w:ascii="Arial" w:hAnsi="Arial" w:cs="Arial"/>
                <w:b/>
                <w:lang w:val="sr-Cyrl-BA"/>
              </w:rPr>
              <w:t>ањ</w:t>
            </w:r>
            <w:r w:rsidR="00EE6AA2">
              <w:rPr>
                <w:rFonts w:ascii="Arial" w:hAnsi="Arial" w:cs="Arial"/>
                <w:b/>
                <w:lang w:val="sr-Cyrl-BA"/>
              </w:rPr>
              <w:t>е</w:t>
            </w:r>
            <w:r w:rsidR="00892898" w:rsidRPr="00F6340E">
              <w:rPr>
                <w:rFonts w:ascii="Arial" w:hAnsi="Arial" w:cs="Arial"/>
                <w:b/>
                <w:lang w:val="sr-Cyrl-BA"/>
              </w:rPr>
              <w:t xml:space="preserve"> </w:t>
            </w:r>
            <w:r w:rsidR="0071360A">
              <w:rPr>
                <w:rFonts w:ascii="Arial" w:hAnsi="Arial" w:cs="Arial"/>
                <w:b/>
                <w:lang w:val="sr-Cyrl-BA"/>
              </w:rPr>
              <w:t>у</w:t>
            </w:r>
            <w:r w:rsidR="00892898" w:rsidRPr="00F6340E">
              <w:rPr>
                <w:rFonts w:ascii="Arial" w:hAnsi="Arial" w:cs="Arial"/>
                <w:b/>
                <w:lang w:val="sr-Cyrl-BA"/>
              </w:rPr>
              <w:t xml:space="preserve"> </w:t>
            </w:r>
            <w:r>
              <w:rPr>
                <w:rFonts w:ascii="Arial" w:hAnsi="Arial" w:cs="Arial"/>
                <w:b/>
                <w:lang w:val="sr-Cyrl-BA"/>
              </w:rPr>
              <w:t>ин</w:t>
            </w:r>
            <w:r w:rsidR="0071360A">
              <w:rPr>
                <w:rFonts w:ascii="Arial" w:hAnsi="Arial" w:cs="Arial"/>
                <w:b/>
                <w:lang w:val="sr-Cyrl-BA"/>
              </w:rPr>
              <w:t>т</w:t>
            </w:r>
            <w:r w:rsidR="00EE6AA2">
              <w:rPr>
                <w:rFonts w:ascii="Arial" w:hAnsi="Arial" w:cs="Arial"/>
                <w:b/>
                <w:lang w:val="sr-Cyrl-BA"/>
              </w:rPr>
              <w:t>е</w:t>
            </w:r>
            <w:r w:rsidR="0071360A">
              <w:rPr>
                <w:rFonts w:ascii="Arial" w:hAnsi="Arial" w:cs="Arial"/>
                <w:b/>
                <w:lang w:val="sr-Cyrl-BA"/>
              </w:rPr>
              <w:t>р</w:t>
            </w:r>
            <w:r>
              <w:rPr>
                <w:rFonts w:ascii="Arial" w:hAnsi="Arial" w:cs="Arial"/>
                <w:b/>
                <w:lang w:val="sr-Cyrl-BA"/>
              </w:rPr>
              <w:t>националним</w:t>
            </w:r>
            <w:r w:rsidR="00892898" w:rsidRPr="00F6340E">
              <w:rPr>
                <w:rFonts w:ascii="Arial" w:hAnsi="Arial" w:cs="Arial"/>
                <w:b/>
                <w:lang w:val="sr-Cyrl-BA"/>
              </w:rPr>
              <w:t xml:space="preserve"> </w:t>
            </w:r>
            <w:r>
              <w:rPr>
                <w:rFonts w:ascii="Arial" w:hAnsi="Arial" w:cs="Arial"/>
                <w:b/>
                <w:lang w:val="sr-Cyrl-BA"/>
              </w:rPr>
              <w:t>и</w:t>
            </w:r>
            <w:r w:rsidR="0071360A">
              <w:rPr>
                <w:rFonts w:ascii="Arial" w:hAnsi="Arial" w:cs="Arial"/>
                <w:b/>
                <w:lang w:val="sr-Cyrl-BA"/>
              </w:rPr>
              <w:t>стр</w:t>
            </w:r>
            <w:r>
              <w:rPr>
                <w:rFonts w:ascii="Arial" w:hAnsi="Arial" w:cs="Arial"/>
                <w:b/>
                <w:lang w:val="sr-Cyrl-BA"/>
              </w:rPr>
              <w:t>а</w:t>
            </w:r>
            <w:r w:rsidR="00171F00">
              <w:rPr>
                <w:rFonts w:ascii="Arial" w:hAnsi="Arial" w:cs="Arial"/>
                <w:b/>
                <w:lang w:val="sr-Cyrl-BA"/>
              </w:rPr>
              <w:t>ж</w:t>
            </w:r>
            <w:r>
              <w:rPr>
                <w:rFonts w:ascii="Arial" w:hAnsi="Arial" w:cs="Arial"/>
                <w:b/>
                <w:lang w:val="sr-Cyrl-BA"/>
              </w:rPr>
              <w:t>и</w:t>
            </w:r>
            <w:r w:rsidR="0071360A">
              <w:rPr>
                <w:rFonts w:ascii="Arial" w:hAnsi="Arial" w:cs="Arial"/>
                <w:b/>
                <w:lang w:val="sr-Cyrl-BA"/>
              </w:rPr>
              <w:t>в</w:t>
            </w:r>
            <w:r>
              <w:rPr>
                <w:rFonts w:ascii="Arial" w:hAnsi="Arial" w:cs="Arial"/>
                <w:b/>
                <w:lang w:val="sr-Cyrl-BA"/>
              </w:rPr>
              <w:t>ањима</w:t>
            </w:r>
            <w:r w:rsidR="00892898" w:rsidRPr="00F6340E">
              <w:rPr>
                <w:rFonts w:ascii="Arial" w:hAnsi="Arial" w:cs="Arial"/>
                <w:b/>
                <w:lang w:val="sr-Cyrl-BA"/>
              </w:rPr>
              <w:t xml:space="preserve"> </w:t>
            </w:r>
            <w:r w:rsidR="0071360A">
              <w:rPr>
                <w:rFonts w:ascii="Arial" w:hAnsi="Arial" w:cs="Arial"/>
                <w:b/>
                <w:lang w:val="sr-Cyrl-BA"/>
              </w:rPr>
              <w:t>у</w:t>
            </w:r>
            <w:r w:rsidR="00892898" w:rsidRPr="00F6340E">
              <w:rPr>
                <w:rFonts w:ascii="Arial" w:hAnsi="Arial" w:cs="Arial"/>
                <w:b/>
                <w:lang w:val="sr-Cyrl-BA"/>
              </w:rPr>
              <w:t xml:space="preserve"> </w:t>
            </w:r>
            <w:r>
              <w:rPr>
                <w:rFonts w:ascii="Arial" w:hAnsi="Arial" w:cs="Arial"/>
                <w:b/>
                <w:lang w:val="sr-Cyrl-BA"/>
              </w:rPr>
              <w:t>об</w:t>
            </w:r>
            <w:r w:rsidR="0071360A">
              <w:rPr>
                <w:rFonts w:ascii="Arial" w:hAnsi="Arial" w:cs="Arial"/>
                <w:b/>
                <w:lang w:val="sr-Cyrl-BA"/>
              </w:rPr>
              <w:t>р</w:t>
            </w:r>
            <w:r>
              <w:rPr>
                <w:rFonts w:ascii="Arial" w:hAnsi="Arial" w:cs="Arial"/>
                <w:b/>
                <w:lang w:val="sr-Cyrl-BA"/>
              </w:rPr>
              <w:t>а</w:t>
            </w:r>
            <w:r w:rsidR="00171F00">
              <w:rPr>
                <w:rFonts w:ascii="Arial" w:hAnsi="Arial" w:cs="Arial"/>
                <w:b/>
                <w:lang w:val="sr-Cyrl-BA"/>
              </w:rPr>
              <w:t>з</w:t>
            </w:r>
            <w:r>
              <w:rPr>
                <w:rFonts w:ascii="Arial" w:hAnsi="Arial" w:cs="Arial"/>
                <w:b/>
                <w:lang w:val="sr-Cyrl-BA"/>
              </w:rPr>
              <w:t>о</w:t>
            </w:r>
            <w:r w:rsidR="0071360A">
              <w:rPr>
                <w:rFonts w:ascii="Arial" w:hAnsi="Arial" w:cs="Arial"/>
                <w:b/>
                <w:lang w:val="sr-Cyrl-BA"/>
              </w:rPr>
              <w:t>в</w:t>
            </w:r>
            <w:r>
              <w:rPr>
                <w:rFonts w:ascii="Arial" w:hAnsi="Arial" w:cs="Arial"/>
                <w:b/>
                <w:lang w:val="sr-Cyrl-BA"/>
              </w:rPr>
              <w:t>ањ</w:t>
            </w:r>
            <w:r w:rsidR="0071360A">
              <w:rPr>
                <w:rFonts w:ascii="Arial" w:hAnsi="Arial" w:cs="Arial"/>
                <w:b/>
                <w:lang w:val="sr-Cyrl-BA"/>
              </w:rPr>
              <w:t>у</w:t>
            </w:r>
            <w:r w:rsidR="00892898" w:rsidRPr="00F6340E">
              <w:rPr>
                <w:rFonts w:ascii="Arial" w:hAnsi="Arial" w:cs="Arial"/>
                <w:b/>
                <w:lang w:val="sr-Cyrl-BA"/>
              </w:rPr>
              <w:t xml:space="preserve"> </w:t>
            </w:r>
            <w:r>
              <w:rPr>
                <w:rFonts w:ascii="Arial" w:hAnsi="Arial" w:cs="Arial"/>
                <w:b/>
                <w:lang w:val="sr-Cyrl-BA"/>
              </w:rPr>
              <w:t>који</w:t>
            </w:r>
            <w:r w:rsidR="00892898" w:rsidRPr="00F6340E">
              <w:rPr>
                <w:rFonts w:ascii="Arial" w:hAnsi="Arial" w:cs="Arial"/>
                <w:b/>
                <w:lang w:val="sr-Cyrl-BA"/>
              </w:rPr>
              <w:t xml:space="preserve"> </w:t>
            </w:r>
            <w:r w:rsidR="0071360A">
              <w:rPr>
                <w:rFonts w:ascii="Arial" w:hAnsi="Arial" w:cs="Arial"/>
                <w:b/>
                <w:lang w:val="sr-Cyrl-BA"/>
              </w:rPr>
              <w:t>с</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ба</w:t>
            </w:r>
            <w:r w:rsidR="0071360A">
              <w:rPr>
                <w:rFonts w:ascii="Arial" w:hAnsi="Arial" w:cs="Arial"/>
                <w:b/>
                <w:lang w:val="sr-Cyrl-BA"/>
              </w:rPr>
              <w:t>в</w:t>
            </w:r>
            <w:r w:rsidR="00EE6AA2">
              <w:rPr>
                <w:rFonts w:ascii="Arial" w:hAnsi="Arial" w:cs="Arial"/>
                <w:b/>
                <w:lang w:val="sr-Cyrl-BA"/>
              </w:rPr>
              <w:t>е</w:t>
            </w:r>
            <w:r w:rsidR="00892898" w:rsidRPr="00F6340E">
              <w:rPr>
                <w:rFonts w:ascii="Arial" w:hAnsi="Arial" w:cs="Arial"/>
                <w:b/>
                <w:lang w:val="sr-Cyrl-BA"/>
              </w:rPr>
              <w:t xml:space="preserve"> </w:t>
            </w:r>
            <w:r>
              <w:rPr>
                <w:rFonts w:ascii="Arial" w:hAnsi="Arial" w:cs="Arial"/>
                <w:b/>
                <w:lang w:val="sr-Cyrl-BA"/>
              </w:rPr>
              <w:t>диги</w:t>
            </w:r>
            <w:r w:rsidR="0071360A">
              <w:rPr>
                <w:rFonts w:ascii="Arial" w:hAnsi="Arial" w:cs="Arial"/>
                <w:b/>
                <w:lang w:val="sr-Cyrl-BA"/>
              </w:rPr>
              <w:t>т</w:t>
            </w:r>
            <w:r>
              <w:rPr>
                <w:rFonts w:ascii="Arial" w:hAnsi="Arial" w:cs="Arial"/>
                <w:b/>
                <w:lang w:val="sr-Cyrl-BA"/>
              </w:rPr>
              <w:t>алном</w:t>
            </w:r>
            <w:r w:rsidR="00892898" w:rsidRPr="00F6340E">
              <w:rPr>
                <w:rFonts w:ascii="Arial" w:hAnsi="Arial" w:cs="Arial"/>
                <w:b/>
                <w:lang w:val="sr-Cyrl-BA"/>
              </w:rPr>
              <w:t xml:space="preserve"> </w:t>
            </w:r>
            <w:r w:rsidR="00171F00">
              <w:rPr>
                <w:rFonts w:ascii="Arial" w:hAnsi="Arial" w:cs="Arial"/>
                <w:b/>
                <w:lang w:val="sr-Cyrl-BA"/>
              </w:rPr>
              <w:t>з</w:t>
            </w:r>
            <w:r w:rsidR="0071360A">
              <w:rPr>
                <w:rFonts w:ascii="Arial" w:hAnsi="Arial" w:cs="Arial"/>
                <w:b/>
                <w:lang w:val="sr-Cyrl-BA"/>
              </w:rPr>
              <w:t>р</w:t>
            </w:r>
            <w:r w:rsidR="00EE6AA2">
              <w:rPr>
                <w:rFonts w:ascii="Arial" w:hAnsi="Arial" w:cs="Arial"/>
                <w:b/>
                <w:lang w:val="sr-Cyrl-BA"/>
              </w:rPr>
              <w:t>е</w:t>
            </w:r>
            <w:r>
              <w:rPr>
                <w:rFonts w:ascii="Arial" w:hAnsi="Arial" w:cs="Arial"/>
                <w:b/>
                <w:lang w:val="sr-Cyrl-BA"/>
              </w:rPr>
              <w:t>ло</w:t>
            </w:r>
            <w:r w:rsidR="0071360A">
              <w:rPr>
                <w:rFonts w:ascii="Arial" w:hAnsi="Arial" w:cs="Arial"/>
                <w:b/>
                <w:lang w:val="sr-Cyrl-BA"/>
              </w:rPr>
              <w:t>ш</w:t>
            </w:r>
            <w:r>
              <w:rPr>
                <w:rFonts w:ascii="Arial" w:hAnsi="Arial" w:cs="Arial"/>
                <w:b/>
                <w:lang w:val="sr-Cyrl-BA"/>
              </w:rPr>
              <w:t>ћ</w:t>
            </w:r>
            <w:r w:rsidR="0071360A">
              <w:rPr>
                <w:rFonts w:ascii="Arial" w:hAnsi="Arial" w:cs="Arial"/>
                <w:b/>
                <w:lang w:val="sr-Cyrl-BA"/>
              </w:rPr>
              <w:t>у</w:t>
            </w:r>
            <w:r w:rsidR="00017B02" w:rsidRPr="00F6340E">
              <w:rPr>
                <w:rFonts w:ascii="Arial" w:hAnsi="Arial" w:cs="Arial"/>
                <w:b/>
                <w:lang w:val="sr-Cyrl-BA"/>
              </w:rPr>
              <w:t xml:space="preserve"> </w:t>
            </w:r>
            <w:r>
              <w:rPr>
                <w:rFonts w:ascii="Arial" w:hAnsi="Arial" w:cs="Arial"/>
                <w:b/>
                <w:lang w:val="sr-Cyrl-BA"/>
              </w:rPr>
              <w:t>као</w:t>
            </w:r>
            <w:r w:rsidR="00017B02" w:rsidRPr="00F6340E">
              <w:rPr>
                <w:rFonts w:ascii="Arial" w:hAnsi="Arial" w:cs="Arial"/>
                <w:b/>
                <w:lang w:val="sr-Cyrl-BA"/>
              </w:rPr>
              <w:t xml:space="preserve"> </w:t>
            </w:r>
            <w:r w:rsidR="0071360A">
              <w:rPr>
                <w:rFonts w:ascii="Arial" w:hAnsi="Arial" w:cs="Arial"/>
                <w:b/>
                <w:lang w:val="sr-Cyrl-BA"/>
              </w:rPr>
              <w:t>шт</w:t>
            </w:r>
            <w:r>
              <w:rPr>
                <w:rFonts w:ascii="Arial" w:hAnsi="Arial" w:cs="Arial"/>
                <w:b/>
                <w:lang w:val="sr-Cyrl-BA"/>
              </w:rPr>
              <w:t>о</w:t>
            </w:r>
            <w:r w:rsidR="00017B02" w:rsidRPr="00F6340E">
              <w:rPr>
                <w:rFonts w:ascii="Arial" w:hAnsi="Arial" w:cs="Arial"/>
                <w:b/>
                <w:lang w:val="sr-Cyrl-BA"/>
              </w:rPr>
              <w:t xml:space="preserve"> </w:t>
            </w:r>
            <w:r>
              <w:rPr>
                <w:rFonts w:ascii="Arial" w:hAnsi="Arial" w:cs="Arial"/>
                <w:b/>
                <w:lang w:val="sr-Cyrl-BA"/>
              </w:rPr>
              <w:t>ј</w:t>
            </w:r>
            <w:r w:rsidR="00EE6AA2">
              <w:rPr>
                <w:rFonts w:ascii="Arial" w:hAnsi="Arial" w:cs="Arial"/>
                <w:b/>
                <w:lang w:val="sr-Cyrl-BA"/>
              </w:rPr>
              <w:t>е</w:t>
            </w:r>
            <w:r w:rsidR="00017B02" w:rsidRPr="00F6340E">
              <w:rPr>
                <w:rFonts w:ascii="Arial" w:hAnsi="Arial" w:cs="Arial"/>
                <w:b/>
                <w:lang w:val="sr-Cyrl-BA"/>
              </w:rPr>
              <w:t xml:space="preserve"> </w:t>
            </w:r>
            <w:r>
              <w:rPr>
                <w:rFonts w:ascii="Arial" w:hAnsi="Arial" w:cs="Arial"/>
                <w:b/>
                <w:lang w:val="sr-Cyrl-BA"/>
              </w:rPr>
              <w:t>Ин</w:t>
            </w:r>
            <w:r w:rsidR="0071360A">
              <w:rPr>
                <w:rFonts w:ascii="Arial" w:hAnsi="Arial" w:cs="Arial"/>
                <w:b/>
                <w:lang w:val="sr-Cyrl-BA"/>
              </w:rPr>
              <w:t>т</w:t>
            </w:r>
            <w:r w:rsidR="00EE6AA2">
              <w:rPr>
                <w:rFonts w:ascii="Arial" w:hAnsi="Arial" w:cs="Arial"/>
                <w:b/>
                <w:lang w:val="sr-Cyrl-BA"/>
              </w:rPr>
              <w:t>е</w:t>
            </w:r>
            <w:r w:rsidR="0071360A">
              <w:rPr>
                <w:rFonts w:ascii="Arial" w:hAnsi="Arial" w:cs="Arial"/>
                <w:b/>
                <w:lang w:val="sr-Cyrl-BA"/>
              </w:rPr>
              <w:t>р</w:t>
            </w:r>
            <w:r>
              <w:rPr>
                <w:rFonts w:ascii="Arial" w:hAnsi="Arial" w:cs="Arial"/>
                <w:b/>
                <w:lang w:val="sr-Cyrl-BA"/>
              </w:rPr>
              <w:t>национално</w:t>
            </w:r>
            <w:r w:rsidR="00017B02" w:rsidRPr="00F6340E">
              <w:rPr>
                <w:rFonts w:ascii="Arial" w:hAnsi="Arial" w:cs="Arial"/>
                <w:b/>
                <w:lang w:val="sr-Cyrl-BA"/>
              </w:rPr>
              <w:t xml:space="preserve"> </w:t>
            </w:r>
            <w:r>
              <w:rPr>
                <w:rFonts w:ascii="Arial" w:hAnsi="Arial" w:cs="Arial"/>
                <w:b/>
                <w:lang w:val="sr-Cyrl-BA"/>
              </w:rPr>
              <w:t>и</w:t>
            </w:r>
            <w:r w:rsidR="0071360A">
              <w:rPr>
                <w:rFonts w:ascii="Arial" w:hAnsi="Arial" w:cs="Arial"/>
                <w:b/>
                <w:lang w:val="sr-Cyrl-BA"/>
              </w:rPr>
              <w:t>стр</w:t>
            </w:r>
            <w:r>
              <w:rPr>
                <w:rFonts w:ascii="Arial" w:hAnsi="Arial" w:cs="Arial"/>
                <w:b/>
                <w:lang w:val="sr-Cyrl-BA"/>
              </w:rPr>
              <w:t>а</w:t>
            </w:r>
            <w:r w:rsidR="00171F00">
              <w:rPr>
                <w:rFonts w:ascii="Arial" w:hAnsi="Arial" w:cs="Arial"/>
                <w:b/>
                <w:lang w:val="sr-Cyrl-BA"/>
              </w:rPr>
              <w:t>ж</w:t>
            </w:r>
            <w:r>
              <w:rPr>
                <w:rFonts w:ascii="Arial" w:hAnsi="Arial" w:cs="Arial"/>
                <w:b/>
                <w:lang w:val="sr-Cyrl-BA"/>
              </w:rPr>
              <w:t>и</w:t>
            </w:r>
            <w:r w:rsidR="0071360A">
              <w:rPr>
                <w:rFonts w:ascii="Arial" w:hAnsi="Arial" w:cs="Arial"/>
                <w:b/>
                <w:lang w:val="sr-Cyrl-BA"/>
              </w:rPr>
              <w:t>в</w:t>
            </w:r>
            <w:r>
              <w:rPr>
                <w:rFonts w:ascii="Arial" w:hAnsi="Arial" w:cs="Arial"/>
                <w:b/>
                <w:lang w:val="sr-Cyrl-BA"/>
              </w:rPr>
              <w:t>ањ</w:t>
            </w:r>
            <w:r w:rsidR="00EE6AA2">
              <w:rPr>
                <w:rFonts w:ascii="Arial" w:hAnsi="Arial" w:cs="Arial"/>
                <w:b/>
                <w:lang w:val="sr-Cyrl-BA"/>
              </w:rPr>
              <w:t>е</w:t>
            </w:r>
            <w:r w:rsidR="00017B02" w:rsidRPr="00F6340E">
              <w:rPr>
                <w:rFonts w:ascii="Arial" w:hAnsi="Arial" w:cs="Arial"/>
                <w:b/>
                <w:lang w:val="sr-Cyrl-BA"/>
              </w:rPr>
              <w:t xml:space="preserve"> </w:t>
            </w:r>
            <w:r w:rsidR="0071360A">
              <w:rPr>
                <w:rFonts w:ascii="Arial" w:hAnsi="Arial" w:cs="Arial"/>
                <w:b/>
                <w:lang w:val="sr-Cyrl-BA"/>
              </w:rPr>
              <w:t>р</w:t>
            </w:r>
            <w:r>
              <w:rPr>
                <w:rFonts w:ascii="Arial" w:hAnsi="Arial" w:cs="Arial"/>
                <w:b/>
                <w:lang w:val="sr-Cyrl-BA"/>
              </w:rPr>
              <w:t>ач</w:t>
            </w:r>
            <w:r w:rsidR="0071360A">
              <w:rPr>
                <w:rFonts w:ascii="Arial" w:hAnsi="Arial" w:cs="Arial"/>
                <w:b/>
                <w:lang w:val="sr-Cyrl-BA"/>
              </w:rPr>
              <w:t>у</w:t>
            </w:r>
            <w:r>
              <w:rPr>
                <w:rFonts w:ascii="Arial" w:hAnsi="Arial" w:cs="Arial"/>
                <w:b/>
                <w:lang w:val="sr-Cyrl-BA"/>
              </w:rPr>
              <w:t>на</w:t>
            </w:r>
            <w:r w:rsidR="0071360A">
              <w:rPr>
                <w:rFonts w:ascii="Arial" w:hAnsi="Arial" w:cs="Arial"/>
                <w:b/>
                <w:lang w:val="sr-Cyrl-BA"/>
              </w:rPr>
              <w:t>рс</w:t>
            </w:r>
            <w:r>
              <w:rPr>
                <w:rFonts w:ascii="Arial" w:hAnsi="Arial" w:cs="Arial"/>
                <w:b/>
                <w:lang w:val="sr-Cyrl-BA"/>
              </w:rPr>
              <w:t>к</w:t>
            </w:r>
            <w:r w:rsidR="00EE6AA2">
              <w:rPr>
                <w:rFonts w:ascii="Arial" w:hAnsi="Arial" w:cs="Arial"/>
                <w:b/>
                <w:lang w:val="sr-Cyrl-BA"/>
              </w:rPr>
              <w:t>е</w:t>
            </w:r>
            <w:r w:rsidR="00017B02" w:rsidRPr="00F6340E">
              <w:rPr>
                <w:rFonts w:ascii="Arial" w:hAnsi="Arial" w:cs="Arial"/>
                <w:b/>
                <w:lang w:val="sr-Cyrl-BA"/>
              </w:rPr>
              <w:t xml:space="preserve"> </w:t>
            </w:r>
            <w:r>
              <w:rPr>
                <w:rFonts w:ascii="Arial" w:hAnsi="Arial" w:cs="Arial"/>
                <w:b/>
                <w:lang w:val="sr-Cyrl-BA"/>
              </w:rPr>
              <w:t>и</w:t>
            </w:r>
            <w:r w:rsidR="00017B02" w:rsidRPr="00F6340E">
              <w:rPr>
                <w:rFonts w:ascii="Arial" w:hAnsi="Arial" w:cs="Arial"/>
                <w:b/>
                <w:lang w:val="sr-Cyrl-BA"/>
              </w:rPr>
              <w:t xml:space="preserve"> </w:t>
            </w:r>
            <w:r>
              <w:rPr>
                <w:rFonts w:ascii="Arial" w:hAnsi="Arial" w:cs="Arial"/>
                <w:b/>
                <w:lang w:val="sr-Cyrl-BA"/>
              </w:rPr>
              <w:t>инфо</w:t>
            </w:r>
            <w:r w:rsidR="0071360A">
              <w:rPr>
                <w:rFonts w:ascii="Arial" w:hAnsi="Arial" w:cs="Arial"/>
                <w:b/>
                <w:lang w:val="sr-Cyrl-BA"/>
              </w:rPr>
              <w:t>р</w:t>
            </w:r>
            <w:r>
              <w:rPr>
                <w:rFonts w:ascii="Arial" w:hAnsi="Arial" w:cs="Arial"/>
                <w:b/>
                <w:lang w:val="sr-Cyrl-BA"/>
              </w:rPr>
              <w:t>ма</w:t>
            </w:r>
            <w:r w:rsidR="0071360A">
              <w:rPr>
                <w:rFonts w:ascii="Arial" w:hAnsi="Arial" w:cs="Arial"/>
                <w:b/>
                <w:lang w:val="sr-Cyrl-BA"/>
              </w:rPr>
              <w:t>т</w:t>
            </w:r>
            <w:r>
              <w:rPr>
                <w:rFonts w:ascii="Arial" w:hAnsi="Arial" w:cs="Arial"/>
                <w:b/>
                <w:lang w:val="sr-Cyrl-BA"/>
              </w:rPr>
              <w:t>ичк</w:t>
            </w:r>
            <w:r w:rsidR="00EE6AA2">
              <w:rPr>
                <w:rFonts w:ascii="Arial" w:hAnsi="Arial" w:cs="Arial"/>
                <w:b/>
                <w:lang w:val="sr-Cyrl-BA"/>
              </w:rPr>
              <w:t>е</w:t>
            </w:r>
            <w:r w:rsidR="00017B02" w:rsidRPr="00F6340E">
              <w:rPr>
                <w:rFonts w:ascii="Arial" w:hAnsi="Arial" w:cs="Arial"/>
                <w:b/>
                <w:lang w:val="sr-Cyrl-BA"/>
              </w:rPr>
              <w:t xml:space="preserve"> </w:t>
            </w:r>
            <w:r w:rsidR="0071360A">
              <w:rPr>
                <w:rFonts w:ascii="Arial" w:hAnsi="Arial" w:cs="Arial"/>
                <w:b/>
                <w:lang w:val="sr-Cyrl-BA"/>
              </w:rPr>
              <w:t>п</w:t>
            </w:r>
            <w:r>
              <w:rPr>
                <w:rFonts w:ascii="Arial" w:hAnsi="Arial" w:cs="Arial"/>
                <w:b/>
                <w:lang w:val="sr-Cyrl-BA"/>
              </w:rPr>
              <w:t>и</w:t>
            </w:r>
            <w:r w:rsidR="0071360A">
              <w:rPr>
                <w:rFonts w:ascii="Arial" w:hAnsi="Arial" w:cs="Arial"/>
                <w:b/>
                <w:lang w:val="sr-Cyrl-BA"/>
              </w:rPr>
              <w:t>с</w:t>
            </w:r>
            <w:r>
              <w:rPr>
                <w:rFonts w:ascii="Arial" w:hAnsi="Arial" w:cs="Arial"/>
                <w:b/>
                <w:lang w:val="sr-Cyrl-BA"/>
              </w:rPr>
              <w:t>м</w:t>
            </w:r>
            <w:r w:rsidR="00EE6AA2">
              <w:rPr>
                <w:rFonts w:ascii="Arial" w:hAnsi="Arial" w:cs="Arial"/>
                <w:b/>
                <w:lang w:val="sr-Cyrl-BA"/>
              </w:rPr>
              <w:t>е</w:t>
            </w:r>
            <w:r>
              <w:rPr>
                <w:rFonts w:ascii="Arial" w:hAnsi="Arial" w:cs="Arial"/>
                <w:b/>
                <w:lang w:val="sr-Cyrl-BA"/>
              </w:rPr>
              <w:t>но</w:t>
            </w:r>
            <w:r w:rsidR="0071360A">
              <w:rPr>
                <w:rFonts w:ascii="Arial" w:hAnsi="Arial" w:cs="Arial"/>
                <w:b/>
                <w:lang w:val="sr-Cyrl-BA"/>
              </w:rPr>
              <w:t>ст</w:t>
            </w:r>
            <w:r>
              <w:rPr>
                <w:rFonts w:ascii="Arial" w:hAnsi="Arial" w:cs="Arial"/>
                <w:b/>
                <w:lang w:val="sr-Cyrl-BA"/>
              </w:rPr>
              <w:t>и</w:t>
            </w:r>
            <w:r w:rsidR="00282832" w:rsidRPr="00F6340E">
              <w:rPr>
                <w:rFonts w:ascii="Arial" w:hAnsi="Arial" w:cs="Arial"/>
                <w:b/>
                <w:lang w:val="sr-Cyrl-BA"/>
              </w:rPr>
              <w:t xml:space="preserve"> </w:t>
            </w:r>
            <w:r w:rsidR="004A6583" w:rsidRPr="00F6340E">
              <w:rPr>
                <w:rFonts w:ascii="Arial" w:hAnsi="Arial" w:cs="Arial"/>
                <w:b/>
                <w:lang w:val="sr-Cyrl-BA"/>
              </w:rPr>
              <w:t>(</w:t>
            </w:r>
            <w:r w:rsidR="005549C9">
              <w:rPr>
                <w:rFonts w:ascii="Arial" w:hAnsi="Arial" w:cs="Arial"/>
                <w:b/>
                <w:lang w:val="hr-BA"/>
              </w:rPr>
              <w:t>International computer and information literacy study</w:t>
            </w:r>
            <w:r w:rsidR="004A6583" w:rsidRPr="00F6340E">
              <w:rPr>
                <w:rFonts w:ascii="Arial" w:hAnsi="Arial" w:cs="Arial"/>
                <w:b/>
                <w:lang w:val="sr-Cyrl-BA"/>
              </w:rPr>
              <w:t xml:space="preserve"> - </w:t>
            </w:r>
            <w:r>
              <w:rPr>
                <w:rFonts w:ascii="Arial" w:hAnsi="Arial" w:cs="Arial"/>
                <w:b/>
                <w:lang w:val="sr-Cyrl-BA"/>
              </w:rPr>
              <w:t>ИЦИЛ</w:t>
            </w:r>
            <w:r w:rsidR="0071360A">
              <w:rPr>
                <w:rFonts w:ascii="Arial" w:hAnsi="Arial" w:cs="Arial"/>
                <w:b/>
                <w:lang w:val="sr-Cyrl-BA"/>
              </w:rPr>
              <w:t>С</w:t>
            </w:r>
            <w:r w:rsidR="00017B02" w:rsidRPr="00F6340E">
              <w:rPr>
                <w:rFonts w:ascii="Arial" w:hAnsi="Arial" w:cs="Arial"/>
                <w:b/>
                <w:lang w:val="sr-Cyrl-BA"/>
              </w:rPr>
              <w:t>)</w:t>
            </w:r>
            <w:r w:rsidR="00892898" w:rsidRPr="00F6340E">
              <w:rPr>
                <w:rFonts w:ascii="Arial" w:hAnsi="Arial" w:cs="Arial"/>
                <w:b/>
                <w:lang w:val="sr-Cyrl-BA"/>
              </w:rPr>
              <w:t xml:space="preserve"> </w:t>
            </w:r>
            <w:r>
              <w:rPr>
                <w:rFonts w:ascii="Arial" w:hAnsi="Arial" w:cs="Arial"/>
                <w:b/>
                <w:lang w:val="sr-Cyrl-BA"/>
              </w:rPr>
              <w:t>и</w:t>
            </w:r>
            <w:r w:rsidR="00892898" w:rsidRPr="00F6340E">
              <w:rPr>
                <w:rFonts w:ascii="Arial" w:hAnsi="Arial" w:cs="Arial"/>
                <w:b/>
                <w:lang w:val="sr-Cyrl-BA"/>
              </w:rPr>
              <w:t xml:space="preserve"> </w:t>
            </w:r>
            <w:r>
              <w:rPr>
                <w:rFonts w:ascii="Arial" w:hAnsi="Arial" w:cs="Arial"/>
                <w:b/>
                <w:lang w:val="sr-Cyrl-BA"/>
              </w:rPr>
              <w:t>о</w:t>
            </w:r>
            <w:r w:rsidR="0071360A">
              <w:rPr>
                <w:rFonts w:ascii="Arial" w:hAnsi="Arial" w:cs="Arial"/>
                <w:b/>
                <w:lang w:val="sr-Cyrl-BA"/>
              </w:rPr>
              <w:t>с</w:t>
            </w:r>
            <w:r>
              <w:rPr>
                <w:rFonts w:ascii="Arial" w:hAnsi="Arial" w:cs="Arial"/>
                <w:b/>
                <w:lang w:val="sr-Cyrl-BA"/>
              </w:rPr>
              <w:t>иг</w:t>
            </w:r>
            <w:r w:rsidR="0071360A">
              <w:rPr>
                <w:rFonts w:ascii="Arial" w:hAnsi="Arial" w:cs="Arial"/>
                <w:b/>
                <w:lang w:val="sr-Cyrl-BA"/>
              </w:rPr>
              <w:t>ур</w:t>
            </w:r>
            <w:r>
              <w:rPr>
                <w:rFonts w:ascii="Arial" w:hAnsi="Arial" w:cs="Arial"/>
                <w:b/>
                <w:lang w:val="sr-Cyrl-BA"/>
              </w:rPr>
              <w:t>а</w:t>
            </w:r>
            <w:r w:rsidR="0071360A">
              <w:rPr>
                <w:rFonts w:ascii="Arial" w:hAnsi="Arial" w:cs="Arial"/>
                <w:b/>
                <w:lang w:val="sr-Cyrl-BA"/>
              </w:rPr>
              <w:t>т</w:t>
            </w:r>
            <w:r>
              <w:rPr>
                <w:rFonts w:ascii="Arial" w:hAnsi="Arial" w:cs="Arial"/>
                <w:b/>
                <w:lang w:val="sr-Cyrl-BA"/>
              </w:rPr>
              <w:t>и</w:t>
            </w:r>
            <w:r w:rsidR="00A4214D" w:rsidRPr="00F6340E">
              <w:rPr>
                <w:rFonts w:ascii="Arial" w:hAnsi="Arial" w:cs="Arial"/>
                <w:b/>
                <w:lang w:val="sr-Cyrl-BA"/>
              </w:rPr>
              <w:t xml:space="preserve"> </w:t>
            </w:r>
            <w:r>
              <w:rPr>
                <w:rFonts w:ascii="Arial" w:hAnsi="Arial" w:cs="Arial"/>
                <w:b/>
                <w:lang w:val="sr-Cyrl-BA"/>
              </w:rPr>
              <w:t>ад</w:t>
            </w:r>
            <w:r w:rsidR="00EE6AA2">
              <w:rPr>
                <w:rFonts w:ascii="Arial" w:hAnsi="Arial" w:cs="Arial"/>
                <w:b/>
                <w:lang w:val="sr-Cyrl-BA"/>
              </w:rPr>
              <w:t>е</w:t>
            </w:r>
            <w:r>
              <w:rPr>
                <w:rFonts w:ascii="Arial" w:hAnsi="Arial" w:cs="Arial"/>
                <w:b/>
                <w:lang w:val="sr-Cyrl-BA"/>
              </w:rPr>
              <w:t>к</w:t>
            </w:r>
            <w:r w:rsidR="0071360A">
              <w:rPr>
                <w:rFonts w:ascii="Arial" w:hAnsi="Arial" w:cs="Arial"/>
                <w:b/>
                <w:lang w:val="sr-Cyrl-BA"/>
              </w:rPr>
              <w:t>в</w:t>
            </w:r>
            <w:r>
              <w:rPr>
                <w:rFonts w:ascii="Arial" w:hAnsi="Arial" w:cs="Arial"/>
                <w:b/>
                <w:lang w:val="sr-Cyrl-BA"/>
              </w:rPr>
              <w:t>а</w:t>
            </w:r>
            <w:r w:rsidR="0071360A">
              <w:rPr>
                <w:rFonts w:ascii="Arial" w:hAnsi="Arial" w:cs="Arial"/>
                <w:b/>
                <w:lang w:val="sr-Cyrl-BA"/>
              </w:rPr>
              <w:t>т</w:t>
            </w:r>
            <w:r>
              <w:rPr>
                <w:rFonts w:ascii="Arial" w:hAnsi="Arial" w:cs="Arial"/>
                <w:b/>
                <w:lang w:val="sr-Cyrl-BA"/>
              </w:rPr>
              <w:t>н</w:t>
            </w:r>
            <w:r w:rsidR="0071360A">
              <w:rPr>
                <w:rFonts w:ascii="Arial" w:hAnsi="Arial" w:cs="Arial"/>
                <w:b/>
                <w:lang w:val="sr-Cyrl-BA"/>
              </w:rPr>
              <w:t>у</w:t>
            </w:r>
            <w:r w:rsidR="00892898" w:rsidRPr="00F6340E">
              <w:rPr>
                <w:rFonts w:ascii="Arial" w:hAnsi="Arial" w:cs="Arial"/>
                <w:b/>
                <w:lang w:val="sr-Cyrl-BA"/>
              </w:rPr>
              <w:t xml:space="preserve"> </w:t>
            </w:r>
            <w:r w:rsidR="0071360A">
              <w:rPr>
                <w:rFonts w:ascii="Arial" w:hAnsi="Arial" w:cs="Arial"/>
                <w:b/>
                <w:lang w:val="sr-Cyrl-BA"/>
              </w:rPr>
              <w:t>п</w:t>
            </w:r>
            <w:r>
              <w:rPr>
                <w:rFonts w:ascii="Arial" w:hAnsi="Arial" w:cs="Arial"/>
                <w:b/>
                <w:lang w:val="sr-Cyrl-BA"/>
              </w:rPr>
              <w:t>од</w:t>
            </w:r>
            <w:r w:rsidR="0071360A">
              <w:rPr>
                <w:rFonts w:ascii="Arial" w:hAnsi="Arial" w:cs="Arial"/>
                <w:b/>
                <w:lang w:val="sr-Cyrl-BA"/>
              </w:rPr>
              <w:t>рш</w:t>
            </w:r>
            <w:r>
              <w:rPr>
                <w:rFonts w:ascii="Arial" w:hAnsi="Arial" w:cs="Arial"/>
                <w:b/>
                <w:lang w:val="sr-Cyrl-BA"/>
              </w:rPr>
              <w:t>к</w:t>
            </w:r>
            <w:r w:rsidR="0071360A">
              <w:rPr>
                <w:rFonts w:ascii="Arial" w:hAnsi="Arial" w:cs="Arial"/>
                <w:b/>
                <w:lang w:val="sr-Cyrl-BA"/>
              </w:rPr>
              <w:t>у</w:t>
            </w:r>
          </w:p>
          <w:p w14:paraId="24306D07" w14:textId="026D8F2E" w:rsidR="003139B5" w:rsidRPr="00F6340E" w:rsidRDefault="0071360A" w:rsidP="00FB5CB7">
            <w:pPr>
              <w:pStyle w:val="ListParagraph"/>
              <w:ind w:left="360"/>
              <w:jc w:val="left"/>
              <w:rPr>
                <w:rFonts w:ascii="Arial" w:hAnsi="Arial" w:cs="Arial"/>
                <w:color w:val="000000"/>
                <w:lang w:val="sr-Cyrl-BA"/>
              </w:rPr>
            </w:pP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Pr>
                <w:rFonts w:ascii="Arial" w:hAnsi="Arial" w:cs="Arial"/>
                <w:color w:val="000000"/>
                <w:lang w:val="sr-Cyrl-BA"/>
              </w:rPr>
              <w:t>ств</w:t>
            </w:r>
            <w:r w:rsidR="00A56E08">
              <w:rPr>
                <w:rFonts w:ascii="Arial" w:hAnsi="Arial" w:cs="Arial"/>
                <w:color w:val="000000"/>
                <w:lang w:val="sr-Cyrl-BA"/>
              </w:rPr>
              <w:t>о</w:t>
            </w:r>
            <w:r>
              <w:rPr>
                <w:rFonts w:ascii="Arial" w:hAnsi="Arial" w:cs="Arial"/>
                <w:color w:val="000000"/>
                <w:lang w:val="sr-Cyrl-BA"/>
              </w:rPr>
              <w:t>в</w:t>
            </w:r>
            <w:r w:rsidR="00A56E08">
              <w:rPr>
                <w:rFonts w:ascii="Arial" w:hAnsi="Arial" w:cs="Arial"/>
                <w:color w:val="000000"/>
                <w:lang w:val="sr-Cyrl-BA"/>
              </w:rPr>
              <w:t>ањ</w:t>
            </w:r>
            <w:r w:rsidR="00EE6AA2">
              <w:rPr>
                <w:rFonts w:ascii="Arial" w:hAnsi="Arial" w:cs="Arial"/>
                <w:color w:val="000000"/>
                <w:lang w:val="sr-Cyrl-BA"/>
              </w:rPr>
              <w:t>е</w:t>
            </w:r>
            <w:r w:rsidR="003139B5" w:rsidRPr="00F6340E">
              <w:rPr>
                <w:rFonts w:ascii="Arial" w:hAnsi="Arial" w:cs="Arial"/>
                <w:color w:val="000000"/>
                <w:lang w:val="sr-Cyrl-BA"/>
              </w:rPr>
              <w:t xml:space="preserve"> </w:t>
            </w:r>
            <w:r>
              <w:rPr>
                <w:rFonts w:ascii="Arial" w:hAnsi="Arial" w:cs="Arial"/>
                <w:color w:val="000000"/>
                <w:lang w:val="sr-Cyrl-BA"/>
              </w:rPr>
              <w:t>у</w:t>
            </w:r>
            <w:r w:rsidR="003139B5" w:rsidRPr="00F6340E">
              <w:rPr>
                <w:rFonts w:ascii="Arial" w:hAnsi="Arial" w:cs="Arial"/>
                <w:color w:val="000000"/>
                <w:lang w:val="sr-Cyrl-BA"/>
              </w:rPr>
              <w:t xml:space="preserve"> </w:t>
            </w:r>
            <w:r w:rsidR="00A56E08">
              <w:rPr>
                <w:rFonts w:ascii="Arial" w:hAnsi="Arial" w:cs="Arial"/>
                <w:color w:val="000000"/>
                <w:lang w:val="sr-Cyrl-BA"/>
              </w:rPr>
              <w:t>и</w:t>
            </w:r>
            <w:r>
              <w:rPr>
                <w:rFonts w:ascii="Arial" w:hAnsi="Arial" w:cs="Arial"/>
                <w:color w:val="000000"/>
                <w:lang w:val="sr-Cyrl-BA"/>
              </w:rPr>
              <w:t>стр</w:t>
            </w:r>
            <w:r w:rsidR="00A56E08">
              <w:rPr>
                <w:rFonts w:ascii="Arial" w:hAnsi="Arial" w:cs="Arial"/>
                <w:color w:val="000000"/>
                <w:lang w:val="sr-Cyrl-BA"/>
              </w:rPr>
              <w:t>а</w:t>
            </w:r>
            <w:r w:rsidR="00171F00">
              <w:rPr>
                <w:rFonts w:ascii="Arial" w:hAnsi="Arial" w:cs="Arial"/>
                <w:color w:val="000000"/>
                <w:lang w:val="sr-Cyrl-BA"/>
              </w:rPr>
              <w:t>ж</w:t>
            </w:r>
            <w:r w:rsidR="00A56E08">
              <w:rPr>
                <w:rFonts w:ascii="Arial" w:hAnsi="Arial" w:cs="Arial"/>
                <w:color w:val="000000"/>
                <w:lang w:val="sr-Cyrl-BA"/>
              </w:rPr>
              <w:t>и</w:t>
            </w:r>
            <w:r>
              <w:rPr>
                <w:rFonts w:ascii="Arial" w:hAnsi="Arial" w:cs="Arial"/>
                <w:color w:val="000000"/>
                <w:lang w:val="sr-Cyrl-BA"/>
              </w:rPr>
              <w:t>в</w:t>
            </w:r>
            <w:r w:rsidR="00A56E08">
              <w:rPr>
                <w:rFonts w:ascii="Arial" w:hAnsi="Arial" w:cs="Arial"/>
                <w:color w:val="000000"/>
                <w:lang w:val="sr-Cyrl-BA"/>
              </w:rPr>
              <w:t>ањима</w:t>
            </w:r>
            <w:r w:rsidR="003139B5" w:rsidRPr="00F6340E">
              <w:rPr>
                <w:rFonts w:ascii="Arial" w:hAnsi="Arial" w:cs="Arial"/>
                <w:color w:val="000000"/>
                <w:lang w:val="sr-Cyrl-BA"/>
              </w:rPr>
              <w:t xml:space="preserve"> </w:t>
            </w:r>
            <w:r w:rsidR="00A56E08">
              <w:rPr>
                <w:rFonts w:ascii="Arial" w:hAnsi="Arial" w:cs="Arial"/>
                <w:color w:val="000000"/>
                <w:lang w:val="sr-Cyrl-BA"/>
              </w:rPr>
              <w:t>као</w:t>
            </w:r>
            <w:r w:rsidR="003139B5" w:rsidRPr="00F6340E">
              <w:rPr>
                <w:rFonts w:ascii="Arial" w:hAnsi="Arial" w:cs="Arial"/>
                <w:color w:val="000000"/>
                <w:lang w:val="sr-Cyrl-BA"/>
              </w:rPr>
              <w:t xml:space="preserve"> </w:t>
            </w:r>
            <w:r>
              <w:rPr>
                <w:rFonts w:ascii="Arial" w:hAnsi="Arial" w:cs="Arial"/>
                <w:color w:val="000000"/>
                <w:lang w:val="sr-Cyrl-BA"/>
              </w:rPr>
              <w:t>шт</w:t>
            </w:r>
            <w:r w:rsidR="00A56E08">
              <w:rPr>
                <w:rFonts w:ascii="Arial" w:hAnsi="Arial" w:cs="Arial"/>
                <w:color w:val="000000"/>
                <w:lang w:val="sr-Cyrl-BA"/>
              </w:rPr>
              <w:t>о</w:t>
            </w:r>
            <w:r w:rsidR="003139B5" w:rsidRPr="00F6340E">
              <w:rPr>
                <w:rFonts w:ascii="Arial" w:hAnsi="Arial" w:cs="Arial"/>
                <w:color w:val="000000"/>
                <w:lang w:val="sr-Cyrl-BA"/>
              </w:rPr>
              <w:t xml:space="preserve"> </w:t>
            </w:r>
            <w:r w:rsidR="00A56E08">
              <w:rPr>
                <w:rFonts w:ascii="Arial" w:hAnsi="Arial" w:cs="Arial"/>
                <w:color w:val="000000"/>
                <w:lang w:val="sr-Cyrl-BA"/>
              </w:rPr>
              <w:t>ј</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A56E08">
              <w:rPr>
                <w:rFonts w:ascii="Arial" w:hAnsi="Arial" w:cs="Arial"/>
                <w:color w:val="000000"/>
                <w:lang w:val="sr-Cyrl-BA"/>
              </w:rPr>
              <w:t>ИЦИЛ</w:t>
            </w:r>
            <w:r>
              <w:rPr>
                <w:rFonts w:ascii="Arial" w:hAnsi="Arial" w:cs="Arial"/>
                <w:color w:val="000000"/>
                <w:lang w:val="sr-Cyrl-BA"/>
              </w:rPr>
              <w:t>С</w:t>
            </w:r>
            <w:r w:rsidR="003139B5" w:rsidRPr="00F6340E">
              <w:rPr>
                <w:rFonts w:ascii="Arial" w:hAnsi="Arial" w:cs="Arial"/>
                <w:color w:val="000000"/>
                <w:lang w:val="sr-Cyrl-BA"/>
              </w:rPr>
              <w:t xml:space="preserve"> </w:t>
            </w:r>
            <w:r w:rsidR="00A56E08">
              <w:rPr>
                <w:rFonts w:ascii="Arial" w:hAnsi="Arial" w:cs="Arial"/>
                <w:color w:val="000000"/>
                <w:lang w:val="sr-Cyrl-BA"/>
              </w:rPr>
              <w:t>омог</w:t>
            </w:r>
            <w:r>
              <w:rPr>
                <w:rFonts w:ascii="Arial" w:hAnsi="Arial" w:cs="Arial"/>
                <w:color w:val="000000"/>
                <w:lang w:val="sr-Cyrl-BA"/>
              </w:rPr>
              <w:t>у</w:t>
            </w:r>
            <w:r w:rsidR="00A56E08">
              <w:rPr>
                <w:rFonts w:ascii="Arial" w:hAnsi="Arial" w:cs="Arial"/>
                <w:color w:val="000000"/>
                <w:lang w:val="sr-Cyrl-BA"/>
              </w:rPr>
              <w:t>ћа</w:t>
            </w:r>
            <w:r>
              <w:rPr>
                <w:rFonts w:ascii="Arial" w:hAnsi="Arial" w:cs="Arial"/>
                <w:color w:val="000000"/>
                <w:lang w:val="sr-Cyrl-BA"/>
              </w:rPr>
              <w:t>в</w:t>
            </w:r>
            <w:r w:rsidR="00A56E08">
              <w:rPr>
                <w:rFonts w:ascii="Arial" w:hAnsi="Arial" w:cs="Arial"/>
                <w:color w:val="000000"/>
                <w:lang w:val="sr-Cyrl-BA"/>
              </w:rPr>
              <w:t>а</w:t>
            </w:r>
            <w:r w:rsidR="003139B5" w:rsidRPr="00F6340E">
              <w:rPr>
                <w:rFonts w:ascii="Arial" w:hAnsi="Arial" w:cs="Arial"/>
                <w:color w:val="000000"/>
                <w:lang w:val="sr-Cyrl-BA"/>
              </w:rPr>
              <w:t xml:space="preserve"> </w:t>
            </w:r>
            <w:r w:rsidR="00171F00">
              <w:rPr>
                <w:rFonts w:ascii="Arial" w:hAnsi="Arial" w:cs="Arial"/>
                <w:color w:val="000000"/>
                <w:lang w:val="sr-Cyrl-BA"/>
              </w:rPr>
              <w:t>з</w:t>
            </w:r>
            <w:r w:rsidR="00EE6AA2">
              <w:rPr>
                <w:rFonts w:ascii="Arial" w:hAnsi="Arial" w:cs="Arial"/>
                <w:color w:val="000000"/>
                <w:lang w:val="sr-Cyrl-BA"/>
              </w:rPr>
              <w:t>е</w:t>
            </w:r>
            <w:r w:rsidR="00A56E08">
              <w:rPr>
                <w:rFonts w:ascii="Arial" w:hAnsi="Arial" w:cs="Arial"/>
                <w:color w:val="000000"/>
                <w:lang w:val="sr-Cyrl-BA"/>
              </w:rPr>
              <w:t>мљама</w:t>
            </w:r>
            <w:r w:rsidR="003139B5"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Pr>
                <w:rFonts w:ascii="Arial" w:hAnsi="Arial" w:cs="Arial"/>
                <w:color w:val="000000"/>
                <w:lang w:val="sr-Cyrl-BA"/>
              </w:rPr>
              <w:t>с</w:t>
            </w:r>
            <w:r w:rsidR="00A56E08">
              <w:rPr>
                <w:rFonts w:ascii="Arial" w:hAnsi="Arial" w:cs="Arial"/>
                <w:color w:val="000000"/>
                <w:lang w:val="sr-Cyrl-BA"/>
              </w:rPr>
              <w:t>ницама</w:t>
            </w:r>
            <w:r w:rsidR="003139B5" w:rsidRPr="00F6340E">
              <w:rPr>
                <w:rFonts w:ascii="Arial" w:hAnsi="Arial" w:cs="Arial"/>
                <w:color w:val="000000"/>
                <w:lang w:val="sr-Cyrl-BA"/>
              </w:rPr>
              <w:t xml:space="preserve"> </w:t>
            </w:r>
            <w:r w:rsidR="00A56E08">
              <w:rPr>
                <w:rFonts w:ascii="Arial" w:hAnsi="Arial" w:cs="Arial"/>
                <w:color w:val="000000"/>
                <w:lang w:val="sr-Cyrl-BA"/>
              </w:rPr>
              <w:t>да</w:t>
            </w:r>
            <w:r w:rsidR="005470EA" w:rsidRPr="00F6340E">
              <w:rPr>
                <w:rFonts w:ascii="Arial" w:hAnsi="Arial" w:cs="Arial"/>
                <w:color w:val="000000"/>
                <w:lang w:val="sr-Cyrl-BA"/>
              </w:rPr>
              <w:t xml:space="preserve"> </w:t>
            </w:r>
            <w:r>
              <w:rPr>
                <w:rFonts w:ascii="Arial" w:hAnsi="Arial" w:cs="Arial"/>
                <w:color w:val="000000"/>
                <w:lang w:val="sr-Cyrl-BA"/>
              </w:rPr>
              <w:t>пр</w:t>
            </w:r>
            <w:r w:rsidR="00A56E08">
              <w:rPr>
                <w:rFonts w:ascii="Arial" w:hAnsi="Arial" w:cs="Arial"/>
                <w:color w:val="000000"/>
                <w:lang w:val="sr-Cyrl-BA"/>
              </w:rPr>
              <w:t>а</w:t>
            </w:r>
            <w:r>
              <w:rPr>
                <w:rFonts w:ascii="Arial" w:hAnsi="Arial" w:cs="Arial"/>
                <w:color w:val="000000"/>
                <w:lang w:val="sr-Cyrl-BA"/>
              </w:rPr>
              <w:t>т</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A56E08">
              <w:rPr>
                <w:rFonts w:ascii="Arial" w:hAnsi="Arial" w:cs="Arial"/>
                <w:color w:val="000000"/>
                <w:lang w:val="sr-Cyrl-BA"/>
              </w:rPr>
              <w:t>њихо</w:t>
            </w:r>
            <w:r>
              <w:rPr>
                <w:rFonts w:ascii="Arial" w:hAnsi="Arial" w:cs="Arial"/>
                <w:color w:val="000000"/>
                <w:lang w:val="sr-Cyrl-BA"/>
              </w:rPr>
              <w:t>в</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A56E08">
              <w:rPr>
                <w:rFonts w:ascii="Arial" w:hAnsi="Arial" w:cs="Arial"/>
                <w:color w:val="000000"/>
                <w:lang w:val="sr-Cyrl-BA"/>
              </w:rPr>
              <w:t>д</w:t>
            </w:r>
            <w:r>
              <w:rPr>
                <w:rFonts w:ascii="Arial" w:hAnsi="Arial" w:cs="Arial"/>
                <w:color w:val="000000"/>
                <w:lang w:val="sr-Cyrl-BA"/>
              </w:rPr>
              <w:t>р</w:t>
            </w:r>
            <w:r w:rsidR="00171F00">
              <w:rPr>
                <w:rFonts w:ascii="Arial" w:hAnsi="Arial" w:cs="Arial"/>
                <w:color w:val="000000"/>
                <w:lang w:val="sr-Cyrl-BA"/>
              </w:rPr>
              <w:t>ж</w:t>
            </w:r>
            <w:r w:rsidR="00A56E08">
              <w:rPr>
                <w:rFonts w:ascii="Arial" w:hAnsi="Arial" w:cs="Arial"/>
                <w:color w:val="000000"/>
                <w:lang w:val="sr-Cyrl-BA"/>
              </w:rPr>
              <w:t>а</w:t>
            </w:r>
            <w:r>
              <w:rPr>
                <w:rFonts w:ascii="Arial" w:hAnsi="Arial" w:cs="Arial"/>
                <w:color w:val="000000"/>
                <w:lang w:val="sr-Cyrl-BA"/>
              </w:rPr>
              <w:t>в</w:t>
            </w:r>
            <w:r w:rsidR="00A56E08">
              <w:rPr>
                <w:rFonts w:ascii="Arial" w:hAnsi="Arial" w:cs="Arial"/>
                <w:color w:val="000000"/>
                <w:lang w:val="sr-Cyrl-BA"/>
              </w:rPr>
              <w:t>н</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A56E08">
              <w:rPr>
                <w:rFonts w:ascii="Arial" w:hAnsi="Arial" w:cs="Arial"/>
                <w:color w:val="000000"/>
                <w:lang w:val="sr-Cyrl-BA"/>
              </w:rPr>
              <w:t>циљ</w:t>
            </w:r>
            <w:r w:rsidR="00EE6AA2">
              <w:rPr>
                <w:rFonts w:ascii="Arial" w:hAnsi="Arial" w:cs="Arial"/>
                <w:color w:val="000000"/>
                <w:lang w:val="sr-Cyrl-BA"/>
              </w:rPr>
              <w:t>е</w:t>
            </w:r>
            <w:r>
              <w:rPr>
                <w:rFonts w:ascii="Arial" w:hAnsi="Arial" w:cs="Arial"/>
                <w:color w:val="000000"/>
                <w:lang w:val="sr-Cyrl-BA"/>
              </w:rPr>
              <w:t>в</w:t>
            </w:r>
            <w:r w:rsidR="00EE6AA2">
              <w:rPr>
                <w:rFonts w:ascii="Arial" w:hAnsi="Arial" w:cs="Arial"/>
                <w:color w:val="000000"/>
                <w:lang w:val="sr-Cyrl-BA"/>
              </w:rPr>
              <w:t>е</w:t>
            </w:r>
            <w:r w:rsidR="00F5023E" w:rsidRPr="00F6340E">
              <w:rPr>
                <w:rFonts w:ascii="Arial" w:hAnsi="Arial" w:cs="Arial"/>
                <w:color w:val="000000"/>
                <w:lang w:val="sr-Cyrl-BA"/>
              </w:rPr>
              <w:t xml:space="preserve"> </w:t>
            </w:r>
            <w:r>
              <w:rPr>
                <w:rFonts w:ascii="Arial" w:hAnsi="Arial" w:cs="Arial"/>
                <w:color w:val="000000"/>
                <w:lang w:val="sr-Cyrl-BA"/>
              </w:rPr>
              <w:t>у</w:t>
            </w:r>
            <w:r w:rsidR="00F5023E" w:rsidRPr="00F6340E">
              <w:rPr>
                <w:rFonts w:ascii="Arial" w:hAnsi="Arial" w:cs="Arial"/>
                <w:color w:val="000000"/>
                <w:lang w:val="sr-Cyrl-BA"/>
              </w:rPr>
              <w:t xml:space="preserve"> </w:t>
            </w:r>
            <w:r>
              <w:rPr>
                <w:rFonts w:ascii="Arial" w:hAnsi="Arial" w:cs="Arial"/>
                <w:color w:val="000000"/>
                <w:lang w:val="sr-Cyrl-BA"/>
              </w:rPr>
              <w:t>п</w:t>
            </w:r>
            <w:r w:rsidR="00A56E08">
              <w:rPr>
                <w:rFonts w:ascii="Arial" w:hAnsi="Arial" w:cs="Arial"/>
                <w:color w:val="000000"/>
                <w:lang w:val="sr-Cyrl-BA"/>
              </w:rPr>
              <w:t>огл</w:t>
            </w:r>
            <w:r w:rsidR="00EE6AA2">
              <w:rPr>
                <w:rFonts w:ascii="Arial" w:hAnsi="Arial" w:cs="Arial"/>
                <w:color w:val="000000"/>
                <w:lang w:val="sr-Cyrl-BA"/>
              </w:rPr>
              <w:t>е</w:t>
            </w:r>
            <w:r w:rsidR="00A56E08">
              <w:rPr>
                <w:rFonts w:ascii="Arial" w:hAnsi="Arial" w:cs="Arial"/>
                <w:color w:val="000000"/>
                <w:lang w:val="sr-Cyrl-BA"/>
              </w:rPr>
              <w:t>д</w:t>
            </w:r>
            <w:r>
              <w:rPr>
                <w:rFonts w:ascii="Arial" w:hAnsi="Arial" w:cs="Arial"/>
                <w:color w:val="000000"/>
                <w:lang w:val="sr-Cyrl-BA"/>
              </w:rPr>
              <w:t>у</w:t>
            </w:r>
            <w:r w:rsidR="00F5023E" w:rsidRPr="00F6340E">
              <w:rPr>
                <w:rFonts w:ascii="Arial" w:hAnsi="Arial" w:cs="Arial"/>
                <w:color w:val="000000"/>
                <w:lang w:val="sr-Cyrl-BA"/>
              </w:rPr>
              <w:t xml:space="preserve"> </w:t>
            </w:r>
            <w:r w:rsidR="00A56E08">
              <w:rPr>
                <w:rFonts w:ascii="Arial" w:hAnsi="Arial" w:cs="Arial"/>
                <w:color w:val="000000"/>
                <w:lang w:val="sr-Cyrl-BA"/>
              </w:rPr>
              <w:t>диги</w:t>
            </w:r>
            <w:r>
              <w:rPr>
                <w:rFonts w:ascii="Arial" w:hAnsi="Arial" w:cs="Arial"/>
                <w:color w:val="000000"/>
                <w:lang w:val="sr-Cyrl-BA"/>
              </w:rPr>
              <w:t>т</w:t>
            </w:r>
            <w:r w:rsidR="00A56E08">
              <w:rPr>
                <w:rFonts w:ascii="Arial" w:hAnsi="Arial" w:cs="Arial"/>
                <w:color w:val="000000"/>
                <w:lang w:val="sr-Cyrl-BA"/>
              </w:rPr>
              <w:t>алних</w:t>
            </w:r>
            <w:r w:rsidR="00F5023E" w:rsidRPr="00F6340E">
              <w:rPr>
                <w:rFonts w:ascii="Arial" w:hAnsi="Arial" w:cs="Arial"/>
                <w:color w:val="000000"/>
                <w:lang w:val="sr-Cyrl-BA"/>
              </w:rPr>
              <w:t xml:space="preserve"> </w:t>
            </w:r>
            <w:r w:rsidR="00A56E08">
              <w:rPr>
                <w:rFonts w:ascii="Arial" w:hAnsi="Arial" w:cs="Arial"/>
                <w:color w:val="000000"/>
                <w:lang w:val="sr-Cyrl-BA"/>
              </w:rPr>
              <w:t>ком</w:t>
            </w:r>
            <w:r>
              <w:rPr>
                <w:rFonts w:ascii="Arial" w:hAnsi="Arial" w:cs="Arial"/>
                <w:color w:val="000000"/>
                <w:lang w:val="sr-Cyrl-BA"/>
              </w:rPr>
              <w:t>п</w:t>
            </w:r>
            <w:r w:rsidR="00EE6AA2">
              <w:rPr>
                <w:rFonts w:ascii="Arial" w:hAnsi="Arial" w:cs="Arial"/>
                <w:color w:val="000000"/>
                <w:lang w:val="sr-Cyrl-BA"/>
              </w:rPr>
              <w:t>е</w:t>
            </w:r>
            <w:r>
              <w:rPr>
                <w:rFonts w:ascii="Arial" w:hAnsi="Arial" w:cs="Arial"/>
                <w:color w:val="000000"/>
                <w:lang w:val="sr-Cyrl-BA"/>
              </w:rPr>
              <w:t>т</w:t>
            </w:r>
            <w:r w:rsidR="00EE6AA2">
              <w:rPr>
                <w:rFonts w:ascii="Arial" w:hAnsi="Arial" w:cs="Arial"/>
                <w:color w:val="000000"/>
                <w:lang w:val="sr-Cyrl-BA"/>
              </w:rPr>
              <w:t>е</w:t>
            </w:r>
            <w:r w:rsidR="00A56E08">
              <w:rPr>
                <w:rFonts w:ascii="Arial" w:hAnsi="Arial" w:cs="Arial"/>
                <w:color w:val="000000"/>
                <w:lang w:val="sr-Cyrl-BA"/>
              </w:rPr>
              <w:t>нција</w:t>
            </w:r>
            <w:r w:rsidR="003139B5"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sidR="00A56E08">
              <w:rPr>
                <w:rFonts w:ascii="Arial" w:hAnsi="Arial" w:cs="Arial"/>
                <w:color w:val="000000"/>
                <w:lang w:val="sr-Cyrl-BA"/>
              </w:rPr>
              <w:t>ника</w:t>
            </w:r>
            <w:r w:rsidR="003139B5" w:rsidRPr="00F6340E">
              <w:rPr>
                <w:rFonts w:ascii="Arial" w:hAnsi="Arial" w:cs="Arial"/>
                <w:color w:val="000000"/>
                <w:lang w:val="sr-Cyrl-BA"/>
              </w:rPr>
              <w:t xml:space="preserve"> </w:t>
            </w:r>
            <w:r>
              <w:rPr>
                <w:rFonts w:ascii="Arial" w:hAnsi="Arial" w:cs="Arial"/>
                <w:color w:val="000000"/>
                <w:lang w:val="sr-Cyrl-BA"/>
              </w:rPr>
              <w:t>т</w:t>
            </w:r>
            <w:r w:rsidR="00EE6AA2">
              <w:rPr>
                <w:rFonts w:ascii="Arial" w:hAnsi="Arial" w:cs="Arial"/>
                <w:color w:val="000000"/>
                <w:lang w:val="sr-Cyrl-BA"/>
              </w:rPr>
              <w:t>е</w:t>
            </w:r>
            <w:r w:rsidR="003139B5" w:rsidRPr="00F6340E">
              <w:rPr>
                <w:rFonts w:ascii="Arial" w:hAnsi="Arial" w:cs="Arial"/>
                <w:color w:val="000000"/>
                <w:lang w:val="sr-Cyrl-BA"/>
              </w:rPr>
              <w:t xml:space="preserve"> </w:t>
            </w:r>
            <w:r>
              <w:rPr>
                <w:rFonts w:ascii="Arial" w:hAnsi="Arial" w:cs="Arial"/>
                <w:color w:val="000000"/>
                <w:lang w:val="sr-Cyrl-BA"/>
              </w:rPr>
              <w:t>пру</w:t>
            </w:r>
            <w:r w:rsidR="00171F00">
              <w:rPr>
                <w:rFonts w:ascii="Arial" w:hAnsi="Arial" w:cs="Arial"/>
                <w:color w:val="000000"/>
                <w:lang w:val="sr-Cyrl-BA"/>
              </w:rPr>
              <w:t>ж</w:t>
            </w:r>
            <w:r w:rsidR="00A56E08">
              <w:rPr>
                <w:rFonts w:ascii="Arial" w:hAnsi="Arial" w:cs="Arial"/>
                <w:color w:val="000000"/>
                <w:lang w:val="sr-Cyrl-BA"/>
              </w:rPr>
              <w:t>а</w:t>
            </w:r>
            <w:r w:rsidR="003139B5" w:rsidRPr="00F6340E">
              <w:rPr>
                <w:rFonts w:ascii="Arial" w:hAnsi="Arial" w:cs="Arial"/>
                <w:color w:val="000000"/>
                <w:lang w:val="sr-Cyrl-BA"/>
              </w:rPr>
              <w:t xml:space="preserve"> </w:t>
            </w:r>
            <w:r w:rsidR="00A56E08">
              <w:rPr>
                <w:rFonts w:ascii="Arial" w:hAnsi="Arial" w:cs="Arial"/>
                <w:color w:val="000000"/>
                <w:lang w:val="sr-Cyrl-BA"/>
              </w:rPr>
              <w:t>инфо</w:t>
            </w:r>
            <w:r>
              <w:rPr>
                <w:rFonts w:ascii="Arial" w:hAnsi="Arial" w:cs="Arial"/>
                <w:color w:val="000000"/>
                <w:lang w:val="sr-Cyrl-BA"/>
              </w:rPr>
              <w:t>р</w:t>
            </w:r>
            <w:r w:rsidR="00A56E08">
              <w:rPr>
                <w:rFonts w:ascii="Arial" w:hAnsi="Arial" w:cs="Arial"/>
                <w:color w:val="000000"/>
                <w:lang w:val="sr-Cyrl-BA"/>
              </w:rPr>
              <w:t>мациј</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171F00">
              <w:rPr>
                <w:rFonts w:ascii="Arial" w:hAnsi="Arial" w:cs="Arial"/>
                <w:color w:val="000000"/>
                <w:lang w:val="sr-Cyrl-BA"/>
              </w:rPr>
              <w:t>з</w:t>
            </w:r>
            <w:r w:rsidR="00A56E08">
              <w:rPr>
                <w:rFonts w:ascii="Arial" w:hAnsi="Arial" w:cs="Arial"/>
                <w:color w:val="000000"/>
                <w:lang w:val="sr-Cyrl-BA"/>
              </w:rPr>
              <w:t>а</w:t>
            </w:r>
            <w:r w:rsidR="003139B5" w:rsidRPr="00F6340E">
              <w:rPr>
                <w:rFonts w:ascii="Arial" w:hAnsi="Arial" w:cs="Arial"/>
                <w:color w:val="000000"/>
                <w:lang w:val="sr-Cyrl-BA"/>
              </w:rPr>
              <w:t xml:space="preserve"> </w:t>
            </w:r>
            <w:r>
              <w:rPr>
                <w:rFonts w:ascii="Arial" w:hAnsi="Arial" w:cs="Arial"/>
                <w:color w:val="000000"/>
                <w:lang w:val="sr-Cyrl-BA"/>
              </w:rPr>
              <w:t>пр</w:t>
            </w:r>
            <w:r w:rsidR="00A56E08">
              <w:rPr>
                <w:rFonts w:ascii="Arial" w:hAnsi="Arial" w:cs="Arial"/>
                <w:color w:val="000000"/>
                <w:lang w:val="sr-Cyrl-BA"/>
              </w:rPr>
              <w:t>аћ</w:t>
            </w:r>
            <w:r w:rsidR="00EE6AA2">
              <w:rPr>
                <w:rFonts w:ascii="Arial" w:hAnsi="Arial" w:cs="Arial"/>
                <w:color w:val="000000"/>
                <w:lang w:val="sr-Cyrl-BA"/>
              </w:rPr>
              <w:t>е</w:t>
            </w:r>
            <w:r w:rsidR="00A56E08">
              <w:rPr>
                <w:rFonts w:ascii="Arial" w:hAnsi="Arial" w:cs="Arial"/>
                <w:color w:val="000000"/>
                <w:lang w:val="sr-Cyrl-BA"/>
              </w:rPr>
              <w:t>њ</w:t>
            </w:r>
            <w:r w:rsidR="00EE6AA2">
              <w:rPr>
                <w:rFonts w:ascii="Arial" w:hAnsi="Arial" w:cs="Arial"/>
                <w:color w:val="000000"/>
                <w:lang w:val="sr-Cyrl-BA"/>
              </w:rPr>
              <w:t>е</w:t>
            </w:r>
            <w:r w:rsidR="003139B5" w:rsidRPr="00F6340E">
              <w:rPr>
                <w:rFonts w:ascii="Arial" w:hAnsi="Arial" w:cs="Arial"/>
                <w:color w:val="000000"/>
                <w:lang w:val="sr-Cyrl-BA"/>
              </w:rPr>
              <w:t xml:space="preserve"> </w:t>
            </w:r>
            <w:r w:rsidR="00A56E08">
              <w:rPr>
                <w:rFonts w:ascii="Arial" w:hAnsi="Arial" w:cs="Arial"/>
                <w:color w:val="000000"/>
                <w:lang w:val="sr-Cyrl-BA"/>
              </w:rPr>
              <w:t>на</w:t>
            </w:r>
            <w:r>
              <w:rPr>
                <w:rFonts w:ascii="Arial" w:hAnsi="Arial" w:cs="Arial"/>
                <w:color w:val="000000"/>
                <w:lang w:val="sr-Cyrl-BA"/>
              </w:rPr>
              <w:t>пр</w:t>
            </w:r>
            <w:r w:rsidR="00EE6AA2">
              <w:rPr>
                <w:rFonts w:ascii="Arial" w:hAnsi="Arial" w:cs="Arial"/>
                <w:color w:val="000000"/>
                <w:lang w:val="sr-Cyrl-BA"/>
              </w:rPr>
              <w:t>е</w:t>
            </w:r>
            <w:r>
              <w:rPr>
                <w:rFonts w:ascii="Arial" w:hAnsi="Arial" w:cs="Arial"/>
                <w:color w:val="000000"/>
                <w:lang w:val="sr-Cyrl-BA"/>
              </w:rPr>
              <w:t>т</w:t>
            </w:r>
            <w:r w:rsidR="00A56E08">
              <w:rPr>
                <w:rFonts w:ascii="Arial" w:hAnsi="Arial" w:cs="Arial"/>
                <w:color w:val="000000"/>
                <w:lang w:val="sr-Cyrl-BA"/>
              </w:rPr>
              <w:t>ка</w:t>
            </w:r>
            <w:r w:rsidR="003139B5" w:rsidRPr="00F6340E">
              <w:rPr>
                <w:rFonts w:ascii="Arial" w:hAnsi="Arial" w:cs="Arial"/>
                <w:color w:val="000000"/>
                <w:lang w:val="sr-Cyrl-BA"/>
              </w:rPr>
              <w:t xml:space="preserve"> </w:t>
            </w:r>
            <w:r>
              <w:rPr>
                <w:rFonts w:ascii="Arial" w:hAnsi="Arial" w:cs="Arial"/>
                <w:color w:val="000000"/>
                <w:lang w:val="sr-Cyrl-BA"/>
              </w:rPr>
              <w:t>пр</w:t>
            </w:r>
            <w:r w:rsidR="00EE6AA2">
              <w:rPr>
                <w:rFonts w:ascii="Arial" w:hAnsi="Arial" w:cs="Arial"/>
                <w:color w:val="000000"/>
                <w:lang w:val="sr-Cyrl-BA"/>
              </w:rPr>
              <w:t>е</w:t>
            </w:r>
            <w:r w:rsidR="00A56E08">
              <w:rPr>
                <w:rFonts w:ascii="Arial" w:hAnsi="Arial" w:cs="Arial"/>
                <w:color w:val="000000"/>
                <w:lang w:val="sr-Cyrl-BA"/>
              </w:rPr>
              <w:t>ма</w:t>
            </w:r>
            <w:r w:rsidR="003139B5"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Н</w:t>
            </w:r>
            <w:r w:rsidR="00EE6AA2">
              <w:rPr>
                <w:rFonts w:ascii="Arial" w:hAnsi="Arial" w:cs="Arial"/>
                <w:color w:val="000000"/>
                <w:lang w:val="sr-Cyrl-BA"/>
              </w:rPr>
              <w:t>Е</w:t>
            </w:r>
            <w:r>
              <w:rPr>
                <w:rFonts w:ascii="Arial" w:hAnsi="Arial" w:cs="Arial"/>
                <w:color w:val="000000"/>
                <w:lang w:val="sr-Cyrl-BA"/>
              </w:rPr>
              <w:t>С</w:t>
            </w:r>
            <w:r w:rsidR="00A56E08">
              <w:rPr>
                <w:rFonts w:ascii="Arial" w:hAnsi="Arial" w:cs="Arial"/>
                <w:color w:val="000000"/>
                <w:lang w:val="sr-Cyrl-BA"/>
              </w:rPr>
              <w:t>ЦО</w:t>
            </w:r>
            <w:r w:rsidR="003139B5" w:rsidRPr="00F6340E">
              <w:rPr>
                <w:rFonts w:ascii="Arial" w:hAnsi="Arial" w:cs="Arial"/>
                <w:color w:val="000000"/>
                <w:lang w:val="sr-Cyrl-BA"/>
              </w:rPr>
              <w:t>-</w:t>
            </w:r>
            <w:r w:rsidR="00A56E08">
              <w:rPr>
                <w:rFonts w:ascii="Arial" w:hAnsi="Arial" w:cs="Arial"/>
                <w:color w:val="000000"/>
                <w:lang w:val="sr-Cyrl-BA"/>
              </w:rPr>
              <w:t>о</w:t>
            </w:r>
            <w:r>
              <w:rPr>
                <w:rFonts w:ascii="Arial" w:hAnsi="Arial" w:cs="Arial"/>
                <w:color w:val="000000"/>
                <w:lang w:val="sr-Cyrl-BA"/>
              </w:rPr>
              <w:t>в</w:t>
            </w:r>
            <w:r w:rsidR="00A56E08">
              <w:rPr>
                <w:rFonts w:ascii="Arial" w:hAnsi="Arial" w:cs="Arial"/>
                <w:color w:val="000000"/>
                <w:lang w:val="sr-Cyrl-BA"/>
              </w:rPr>
              <w:t>им</w:t>
            </w:r>
            <w:r w:rsidR="003139B5" w:rsidRPr="00F6340E">
              <w:rPr>
                <w:rFonts w:ascii="Arial" w:hAnsi="Arial" w:cs="Arial"/>
                <w:color w:val="000000"/>
                <w:lang w:val="sr-Cyrl-BA"/>
              </w:rPr>
              <w:t xml:space="preserve"> </w:t>
            </w:r>
            <w:r w:rsidR="00A56E08">
              <w:rPr>
                <w:rFonts w:ascii="Arial" w:hAnsi="Arial" w:cs="Arial"/>
                <w:color w:val="000000"/>
                <w:lang w:val="sr-Cyrl-BA"/>
              </w:rPr>
              <w:t>циљ</w:t>
            </w:r>
            <w:r w:rsidR="00EE6AA2">
              <w:rPr>
                <w:rFonts w:ascii="Arial" w:hAnsi="Arial" w:cs="Arial"/>
                <w:color w:val="000000"/>
                <w:lang w:val="sr-Cyrl-BA"/>
              </w:rPr>
              <w:t>е</w:t>
            </w:r>
            <w:r>
              <w:rPr>
                <w:rFonts w:ascii="Arial" w:hAnsi="Arial" w:cs="Arial"/>
                <w:color w:val="000000"/>
                <w:lang w:val="sr-Cyrl-BA"/>
              </w:rPr>
              <w:t>в</w:t>
            </w:r>
            <w:r w:rsidR="00A56E08">
              <w:rPr>
                <w:rFonts w:ascii="Arial" w:hAnsi="Arial" w:cs="Arial"/>
                <w:color w:val="000000"/>
                <w:lang w:val="sr-Cyrl-BA"/>
              </w:rPr>
              <w:t>има</w:t>
            </w:r>
            <w:r w:rsidR="003139B5" w:rsidRPr="00F6340E">
              <w:rPr>
                <w:rFonts w:ascii="Arial" w:hAnsi="Arial" w:cs="Arial"/>
                <w:color w:val="000000"/>
                <w:lang w:val="sr-Cyrl-BA"/>
              </w:rPr>
              <w:t xml:space="preserve"> </w:t>
            </w:r>
            <w:r w:rsidR="00A56E08">
              <w:rPr>
                <w:rFonts w:ascii="Arial" w:hAnsi="Arial" w:cs="Arial"/>
                <w:color w:val="000000"/>
                <w:lang w:val="sr-Cyrl-BA"/>
              </w:rPr>
              <w:t>од</w:t>
            </w:r>
            <w:r>
              <w:rPr>
                <w:rFonts w:ascii="Arial" w:hAnsi="Arial" w:cs="Arial"/>
                <w:color w:val="000000"/>
                <w:lang w:val="sr-Cyrl-BA"/>
              </w:rPr>
              <w:t>р</w:t>
            </w:r>
            <w:r w:rsidR="00171F00">
              <w:rPr>
                <w:rFonts w:ascii="Arial" w:hAnsi="Arial" w:cs="Arial"/>
                <w:color w:val="000000"/>
                <w:lang w:val="sr-Cyrl-BA"/>
              </w:rPr>
              <w:t>ж</w:t>
            </w:r>
            <w:r w:rsidR="00A56E08">
              <w:rPr>
                <w:rFonts w:ascii="Arial" w:hAnsi="Arial" w:cs="Arial"/>
                <w:color w:val="000000"/>
                <w:lang w:val="sr-Cyrl-BA"/>
              </w:rPr>
              <w:t>и</w:t>
            </w:r>
            <w:r>
              <w:rPr>
                <w:rFonts w:ascii="Arial" w:hAnsi="Arial" w:cs="Arial"/>
                <w:color w:val="000000"/>
                <w:lang w:val="sr-Cyrl-BA"/>
              </w:rPr>
              <w:t>в</w:t>
            </w:r>
            <w:r w:rsidR="00A56E08">
              <w:rPr>
                <w:rFonts w:ascii="Arial" w:hAnsi="Arial" w:cs="Arial"/>
                <w:color w:val="000000"/>
                <w:lang w:val="sr-Cyrl-BA"/>
              </w:rPr>
              <w:t>ог</w:t>
            </w:r>
            <w:r w:rsidR="003139B5" w:rsidRPr="00F6340E">
              <w:rPr>
                <w:rFonts w:ascii="Arial" w:hAnsi="Arial" w:cs="Arial"/>
                <w:color w:val="000000"/>
                <w:lang w:val="sr-Cyrl-BA"/>
              </w:rPr>
              <w:t xml:space="preserve"> </w:t>
            </w:r>
            <w:r>
              <w:rPr>
                <w:rFonts w:ascii="Arial" w:hAnsi="Arial" w:cs="Arial"/>
                <w:color w:val="000000"/>
                <w:lang w:val="sr-Cyrl-BA"/>
              </w:rPr>
              <w:t>р</w:t>
            </w:r>
            <w:r w:rsidR="00A56E08">
              <w:rPr>
                <w:rFonts w:ascii="Arial" w:hAnsi="Arial" w:cs="Arial"/>
                <w:color w:val="000000"/>
                <w:lang w:val="sr-Cyrl-BA"/>
              </w:rPr>
              <w:t>а</w:t>
            </w:r>
            <w:r w:rsidR="00171F00">
              <w:rPr>
                <w:rFonts w:ascii="Arial" w:hAnsi="Arial" w:cs="Arial"/>
                <w:color w:val="000000"/>
                <w:lang w:val="sr-Cyrl-BA"/>
              </w:rPr>
              <w:t>з</w:t>
            </w:r>
            <w:r>
              <w:rPr>
                <w:rFonts w:ascii="Arial" w:hAnsi="Arial" w:cs="Arial"/>
                <w:color w:val="000000"/>
                <w:lang w:val="sr-Cyrl-BA"/>
              </w:rPr>
              <w:t>в</w:t>
            </w:r>
            <w:r w:rsidR="00A56E08">
              <w:rPr>
                <w:rFonts w:ascii="Arial" w:hAnsi="Arial" w:cs="Arial"/>
                <w:color w:val="000000"/>
                <w:lang w:val="sr-Cyrl-BA"/>
              </w:rPr>
              <w:t>оја</w:t>
            </w:r>
            <w:r w:rsidR="003139B5" w:rsidRPr="00F6340E">
              <w:rPr>
                <w:rFonts w:ascii="Arial" w:hAnsi="Arial" w:cs="Arial"/>
                <w:color w:val="000000"/>
                <w:lang w:val="sr-Cyrl-BA"/>
              </w:rPr>
              <w:t xml:space="preserve">. </w:t>
            </w:r>
            <w:r>
              <w:rPr>
                <w:rFonts w:ascii="Arial" w:hAnsi="Arial" w:cs="Arial"/>
                <w:color w:val="000000"/>
                <w:lang w:val="sr-Cyrl-BA"/>
              </w:rPr>
              <w:t>Т</w:t>
            </w:r>
            <w:r w:rsidR="00A56E08">
              <w:rPr>
                <w:rFonts w:ascii="Arial" w:hAnsi="Arial" w:cs="Arial"/>
                <w:color w:val="000000"/>
                <w:lang w:val="sr-Cyrl-BA"/>
              </w:rPr>
              <w:t>акођ</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т</w:t>
            </w:r>
            <w:r w:rsidR="00A56E08">
              <w:rPr>
                <w:rFonts w:ascii="Arial" w:hAnsi="Arial" w:cs="Arial"/>
                <w:color w:val="000000"/>
                <w:lang w:val="sr-Cyrl-BA"/>
              </w:rPr>
              <w:t>о</w:t>
            </w:r>
            <w:r w:rsidR="005470EA" w:rsidRPr="00F6340E">
              <w:rPr>
                <w:rFonts w:ascii="Arial" w:hAnsi="Arial" w:cs="Arial"/>
                <w:color w:val="000000"/>
                <w:lang w:val="sr-Cyrl-BA"/>
              </w:rPr>
              <w:t xml:space="preserve"> </w:t>
            </w:r>
            <w:r w:rsidR="00A56E08">
              <w:rPr>
                <w:rFonts w:ascii="Arial" w:hAnsi="Arial" w:cs="Arial"/>
                <w:color w:val="000000"/>
                <w:lang w:val="sr-Cyrl-BA"/>
              </w:rPr>
              <w:t>о</w:t>
            </w:r>
            <w:r>
              <w:rPr>
                <w:rFonts w:ascii="Arial" w:hAnsi="Arial" w:cs="Arial"/>
                <w:color w:val="000000"/>
                <w:lang w:val="sr-Cyrl-BA"/>
              </w:rPr>
              <w:t>с</w:t>
            </w:r>
            <w:r w:rsidR="00A56E08">
              <w:rPr>
                <w:rFonts w:ascii="Arial" w:hAnsi="Arial" w:cs="Arial"/>
                <w:color w:val="000000"/>
                <w:lang w:val="sr-Cyrl-BA"/>
              </w:rPr>
              <w:t>иг</w:t>
            </w:r>
            <w:r>
              <w:rPr>
                <w:rFonts w:ascii="Arial" w:hAnsi="Arial" w:cs="Arial"/>
                <w:color w:val="000000"/>
                <w:lang w:val="sr-Cyrl-BA"/>
              </w:rPr>
              <w:t>ур</w:t>
            </w:r>
            <w:r w:rsidR="00A56E08">
              <w:rPr>
                <w:rFonts w:ascii="Arial" w:hAnsi="Arial" w:cs="Arial"/>
                <w:color w:val="000000"/>
                <w:lang w:val="sr-Cyrl-BA"/>
              </w:rPr>
              <w:t>а</w:t>
            </w:r>
            <w:r>
              <w:rPr>
                <w:rFonts w:ascii="Arial" w:hAnsi="Arial" w:cs="Arial"/>
                <w:color w:val="000000"/>
                <w:lang w:val="sr-Cyrl-BA"/>
              </w:rPr>
              <w:t>в</w:t>
            </w:r>
            <w:r w:rsidR="00A56E08">
              <w:rPr>
                <w:rFonts w:ascii="Arial" w:hAnsi="Arial" w:cs="Arial"/>
                <w:color w:val="000000"/>
                <w:lang w:val="sr-Cyrl-BA"/>
              </w:rPr>
              <w:t>а</w:t>
            </w:r>
            <w:r w:rsidR="005470EA" w:rsidRPr="00F6340E">
              <w:rPr>
                <w:rFonts w:ascii="Arial" w:hAnsi="Arial" w:cs="Arial"/>
                <w:color w:val="000000"/>
                <w:lang w:val="sr-Cyrl-BA"/>
              </w:rPr>
              <w:t xml:space="preserve"> </w:t>
            </w:r>
            <w:r w:rsidR="00A56E08">
              <w:rPr>
                <w:rFonts w:ascii="Arial" w:hAnsi="Arial" w:cs="Arial"/>
                <w:color w:val="000000"/>
                <w:lang w:val="sr-Cyrl-BA"/>
              </w:rPr>
              <w:t>дока</w:t>
            </w:r>
            <w:r w:rsidR="00171F00">
              <w:rPr>
                <w:rFonts w:ascii="Arial" w:hAnsi="Arial" w:cs="Arial"/>
                <w:color w:val="000000"/>
                <w:lang w:val="sr-Cyrl-BA"/>
              </w:rPr>
              <w:t>з</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о</w:t>
            </w:r>
            <w:r w:rsidR="00DC42A3" w:rsidRPr="00F6340E">
              <w:rPr>
                <w:rFonts w:ascii="Arial" w:hAnsi="Arial" w:cs="Arial"/>
                <w:color w:val="000000"/>
                <w:lang w:val="sr-Cyrl-BA"/>
              </w:rPr>
              <w:t xml:space="preserve"> </w:t>
            </w:r>
            <w:r>
              <w:rPr>
                <w:rFonts w:ascii="Arial" w:hAnsi="Arial" w:cs="Arial"/>
                <w:color w:val="000000"/>
                <w:lang w:val="sr-Cyrl-BA"/>
              </w:rPr>
              <w:t>т</w:t>
            </w:r>
            <w:r w:rsidR="00A56E08">
              <w:rPr>
                <w:rFonts w:ascii="Arial" w:hAnsi="Arial" w:cs="Arial"/>
                <w:color w:val="000000"/>
                <w:lang w:val="sr-Cyrl-BA"/>
              </w:rPr>
              <w:t>ом</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како</w:t>
            </w:r>
            <w:r w:rsidR="00DC42A3" w:rsidRPr="00F6340E">
              <w:rPr>
                <w:rFonts w:ascii="Arial" w:hAnsi="Arial" w:cs="Arial"/>
                <w:color w:val="000000"/>
                <w:lang w:val="sr-Cyrl-BA"/>
              </w:rPr>
              <w:t xml:space="preserve"> </w:t>
            </w:r>
            <w:r>
              <w:rPr>
                <w:rFonts w:ascii="Arial" w:hAnsi="Arial" w:cs="Arial"/>
                <w:color w:val="000000"/>
                <w:lang w:val="sr-Cyrl-BA"/>
              </w:rPr>
              <w:t>с</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в</w:t>
            </w:r>
            <w:r w:rsidR="00A56E08">
              <w:rPr>
                <w:rFonts w:ascii="Arial" w:hAnsi="Arial" w:cs="Arial"/>
                <w:color w:val="000000"/>
                <w:lang w:val="sr-Cyrl-BA"/>
              </w:rPr>
              <w:t>ј</w:t>
            </w:r>
            <w:r w:rsidR="00EE6AA2">
              <w:rPr>
                <w:rFonts w:ascii="Arial" w:hAnsi="Arial" w:cs="Arial"/>
                <w:color w:val="000000"/>
                <w:lang w:val="sr-Cyrl-BA"/>
              </w:rPr>
              <w:t>е</w:t>
            </w:r>
            <w:r>
              <w:rPr>
                <w:rFonts w:ascii="Arial" w:hAnsi="Arial" w:cs="Arial"/>
                <w:color w:val="000000"/>
                <w:lang w:val="sr-Cyrl-BA"/>
              </w:rPr>
              <w:t>шт</w:t>
            </w:r>
            <w:r w:rsidR="00A56E08">
              <w:rPr>
                <w:rFonts w:ascii="Arial" w:hAnsi="Arial" w:cs="Arial"/>
                <w:color w:val="000000"/>
                <w:lang w:val="sr-Cyrl-BA"/>
              </w:rPr>
              <w:t>ин</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р</w:t>
            </w:r>
            <w:r w:rsidR="00A56E08">
              <w:rPr>
                <w:rFonts w:ascii="Arial" w:hAnsi="Arial" w:cs="Arial"/>
                <w:color w:val="000000"/>
                <w:lang w:val="sr-Cyrl-BA"/>
              </w:rPr>
              <w:t>ач</w:t>
            </w:r>
            <w:r>
              <w:rPr>
                <w:rFonts w:ascii="Arial" w:hAnsi="Arial" w:cs="Arial"/>
                <w:color w:val="000000"/>
                <w:lang w:val="sr-Cyrl-BA"/>
              </w:rPr>
              <w:t>у</w:t>
            </w:r>
            <w:r w:rsidR="00A56E08">
              <w:rPr>
                <w:rFonts w:ascii="Arial" w:hAnsi="Arial" w:cs="Arial"/>
                <w:color w:val="000000"/>
                <w:lang w:val="sr-Cyrl-BA"/>
              </w:rPr>
              <w:t>на</w:t>
            </w:r>
            <w:r>
              <w:rPr>
                <w:rFonts w:ascii="Arial" w:hAnsi="Arial" w:cs="Arial"/>
                <w:color w:val="000000"/>
                <w:lang w:val="sr-Cyrl-BA"/>
              </w:rPr>
              <w:t>рс</w:t>
            </w:r>
            <w:r w:rsidR="00A56E08">
              <w:rPr>
                <w:rFonts w:ascii="Arial" w:hAnsi="Arial" w:cs="Arial"/>
                <w:color w:val="000000"/>
                <w:lang w:val="sr-Cyrl-BA"/>
              </w:rPr>
              <w:t>к</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и</w:t>
            </w:r>
            <w:r w:rsidR="00DC42A3" w:rsidRPr="00F6340E">
              <w:rPr>
                <w:rFonts w:ascii="Arial" w:hAnsi="Arial" w:cs="Arial"/>
                <w:color w:val="000000"/>
                <w:lang w:val="sr-Cyrl-BA"/>
              </w:rPr>
              <w:t xml:space="preserve"> </w:t>
            </w:r>
            <w:r w:rsidR="00A56E08">
              <w:rPr>
                <w:rFonts w:ascii="Arial" w:hAnsi="Arial" w:cs="Arial"/>
                <w:color w:val="000000"/>
                <w:lang w:val="sr-Cyrl-BA"/>
              </w:rPr>
              <w:t>инфо</w:t>
            </w:r>
            <w:r>
              <w:rPr>
                <w:rFonts w:ascii="Arial" w:hAnsi="Arial" w:cs="Arial"/>
                <w:color w:val="000000"/>
                <w:lang w:val="sr-Cyrl-BA"/>
              </w:rPr>
              <w:t>р</w:t>
            </w:r>
            <w:r w:rsidR="00A56E08">
              <w:rPr>
                <w:rFonts w:ascii="Arial" w:hAnsi="Arial" w:cs="Arial"/>
                <w:color w:val="000000"/>
                <w:lang w:val="sr-Cyrl-BA"/>
              </w:rPr>
              <w:t>ма</w:t>
            </w:r>
            <w:r>
              <w:rPr>
                <w:rFonts w:ascii="Arial" w:hAnsi="Arial" w:cs="Arial"/>
                <w:color w:val="000000"/>
                <w:lang w:val="sr-Cyrl-BA"/>
              </w:rPr>
              <w:t>т</w:t>
            </w:r>
            <w:r w:rsidR="00A56E08">
              <w:rPr>
                <w:rFonts w:ascii="Arial" w:hAnsi="Arial" w:cs="Arial"/>
                <w:color w:val="000000"/>
                <w:lang w:val="sr-Cyrl-BA"/>
              </w:rPr>
              <w:t>ичк</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п</w:t>
            </w:r>
            <w:r w:rsidR="00A56E08">
              <w:rPr>
                <w:rFonts w:ascii="Arial" w:hAnsi="Arial" w:cs="Arial"/>
                <w:color w:val="000000"/>
                <w:lang w:val="sr-Cyrl-BA"/>
              </w:rPr>
              <w:t>и</w:t>
            </w:r>
            <w:r>
              <w:rPr>
                <w:rFonts w:ascii="Arial" w:hAnsi="Arial" w:cs="Arial"/>
                <w:color w:val="000000"/>
                <w:lang w:val="sr-Cyrl-BA"/>
              </w:rPr>
              <w:t>с</w:t>
            </w:r>
            <w:r w:rsidR="00A56E08">
              <w:rPr>
                <w:rFonts w:ascii="Arial" w:hAnsi="Arial" w:cs="Arial"/>
                <w:color w:val="000000"/>
                <w:lang w:val="sr-Cyrl-BA"/>
              </w:rPr>
              <w:t>м</w:t>
            </w:r>
            <w:r w:rsidR="00EE6AA2">
              <w:rPr>
                <w:rFonts w:ascii="Arial" w:hAnsi="Arial" w:cs="Arial"/>
                <w:color w:val="000000"/>
                <w:lang w:val="sr-Cyrl-BA"/>
              </w:rPr>
              <w:t>е</w:t>
            </w:r>
            <w:r w:rsidR="00A56E08">
              <w:rPr>
                <w:rFonts w:ascii="Arial" w:hAnsi="Arial" w:cs="Arial"/>
                <w:color w:val="000000"/>
                <w:lang w:val="sr-Cyrl-BA"/>
              </w:rPr>
              <w:t>но</w:t>
            </w:r>
            <w:r>
              <w:rPr>
                <w:rFonts w:ascii="Arial" w:hAnsi="Arial" w:cs="Arial"/>
                <w:color w:val="000000"/>
                <w:lang w:val="sr-Cyrl-BA"/>
              </w:rPr>
              <w:t>ст</w:t>
            </w:r>
            <w:r w:rsidR="00A56E08">
              <w:rPr>
                <w:rFonts w:ascii="Arial" w:hAnsi="Arial" w:cs="Arial"/>
                <w:color w:val="000000"/>
                <w:lang w:val="sr-Cyrl-BA"/>
              </w:rPr>
              <w:t>и</w:t>
            </w:r>
            <w:r w:rsidR="00DC42A3"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sidR="00A56E08">
              <w:rPr>
                <w:rFonts w:ascii="Arial" w:hAnsi="Arial" w:cs="Arial"/>
                <w:color w:val="000000"/>
                <w:lang w:val="sr-Cyrl-BA"/>
              </w:rPr>
              <w:t>ника</w:t>
            </w:r>
            <w:r w:rsidR="00DC42A3" w:rsidRPr="00F6340E">
              <w:rPr>
                <w:rFonts w:ascii="Arial" w:hAnsi="Arial" w:cs="Arial"/>
                <w:color w:val="000000"/>
                <w:lang w:val="sr-Cyrl-BA"/>
              </w:rPr>
              <w:t xml:space="preserve"> </w:t>
            </w:r>
            <w:r>
              <w:rPr>
                <w:rFonts w:ascii="Arial" w:hAnsi="Arial" w:cs="Arial"/>
                <w:color w:val="000000"/>
                <w:lang w:val="sr-Cyrl-BA"/>
              </w:rPr>
              <w:t>т</w:t>
            </w:r>
            <w:r w:rsidR="00EE6AA2">
              <w:rPr>
                <w:rFonts w:ascii="Arial" w:hAnsi="Arial" w:cs="Arial"/>
                <w:color w:val="000000"/>
                <w:lang w:val="sr-Cyrl-BA"/>
              </w:rPr>
              <w:t>е</w:t>
            </w:r>
            <w:r w:rsidR="004A6583" w:rsidRPr="00F6340E">
              <w:rPr>
                <w:rFonts w:ascii="Arial" w:hAnsi="Arial" w:cs="Arial"/>
                <w:color w:val="000000"/>
                <w:lang w:val="sr-Cyrl-BA"/>
              </w:rPr>
              <w:t xml:space="preserve"> </w:t>
            </w:r>
            <w:r>
              <w:rPr>
                <w:rFonts w:ascii="Arial" w:hAnsi="Arial" w:cs="Arial"/>
                <w:color w:val="000000"/>
                <w:lang w:val="sr-Cyrl-BA"/>
              </w:rPr>
              <w:t>в</w:t>
            </w:r>
            <w:r w:rsidR="00A56E08">
              <w:rPr>
                <w:rFonts w:ascii="Arial" w:hAnsi="Arial" w:cs="Arial"/>
                <w:color w:val="000000"/>
                <w:lang w:val="sr-Cyrl-BA"/>
              </w:rPr>
              <w:t>ј</w:t>
            </w:r>
            <w:r w:rsidR="00EE6AA2">
              <w:rPr>
                <w:rFonts w:ascii="Arial" w:hAnsi="Arial" w:cs="Arial"/>
                <w:color w:val="000000"/>
                <w:lang w:val="sr-Cyrl-BA"/>
              </w:rPr>
              <w:t>е</w:t>
            </w:r>
            <w:r>
              <w:rPr>
                <w:rFonts w:ascii="Arial" w:hAnsi="Arial" w:cs="Arial"/>
                <w:color w:val="000000"/>
                <w:lang w:val="sr-Cyrl-BA"/>
              </w:rPr>
              <w:t>шт</w:t>
            </w:r>
            <w:r w:rsidR="00A56E08">
              <w:rPr>
                <w:rFonts w:ascii="Arial" w:hAnsi="Arial" w:cs="Arial"/>
                <w:color w:val="000000"/>
                <w:lang w:val="sr-Cyrl-BA"/>
              </w:rPr>
              <w:t>ин</w:t>
            </w:r>
            <w:r w:rsidR="00EE6AA2">
              <w:rPr>
                <w:rFonts w:ascii="Arial" w:hAnsi="Arial" w:cs="Arial"/>
                <w:color w:val="000000"/>
                <w:lang w:val="sr-Cyrl-BA"/>
              </w:rPr>
              <w:t>е</w:t>
            </w:r>
            <w:r w:rsidR="004A6583" w:rsidRPr="00F6340E">
              <w:rPr>
                <w:rFonts w:ascii="Arial" w:hAnsi="Arial" w:cs="Arial"/>
                <w:color w:val="000000"/>
                <w:lang w:val="sr-Cyrl-BA"/>
              </w:rPr>
              <w:t xml:space="preserve"> </w:t>
            </w:r>
            <w:r>
              <w:rPr>
                <w:rFonts w:ascii="Arial" w:hAnsi="Arial" w:cs="Arial"/>
                <w:color w:val="000000"/>
                <w:lang w:val="sr-Cyrl-BA"/>
              </w:rPr>
              <w:t>р</w:t>
            </w:r>
            <w:r w:rsidR="00A56E08">
              <w:rPr>
                <w:rFonts w:ascii="Arial" w:hAnsi="Arial" w:cs="Arial"/>
                <w:color w:val="000000"/>
                <w:lang w:val="sr-Cyrl-BA"/>
              </w:rPr>
              <w:t>ач</w:t>
            </w:r>
            <w:r>
              <w:rPr>
                <w:rFonts w:ascii="Arial" w:hAnsi="Arial" w:cs="Arial"/>
                <w:color w:val="000000"/>
                <w:lang w:val="sr-Cyrl-BA"/>
              </w:rPr>
              <w:t>у</w:t>
            </w:r>
            <w:r w:rsidR="00A56E08">
              <w:rPr>
                <w:rFonts w:ascii="Arial" w:hAnsi="Arial" w:cs="Arial"/>
                <w:color w:val="000000"/>
                <w:lang w:val="sr-Cyrl-BA"/>
              </w:rPr>
              <w:t>на</w:t>
            </w:r>
            <w:r>
              <w:rPr>
                <w:rFonts w:ascii="Arial" w:hAnsi="Arial" w:cs="Arial"/>
                <w:color w:val="000000"/>
                <w:lang w:val="sr-Cyrl-BA"/>
              </w:rPr>
              <w:t>рс</w:t>
            </w:r>
            <w:r w:rsidR="00A56E08">
              <w:rPr>
                <w:rFonts w:ascii="Arial" w:hAnsi="Arial" w:cs="Arial"/>
                <w:color w:val="000000"/>
                <w:lang w:val="sr-Cyrl-BA"/>
              </w:rPr>
              <w:t>ког</w:t>
            </w:r>
            <w:r w:rsidR="00DC42A3" w:rsidRPr="00F6340E">
              <w:rPr>
                <w:rFonts w:ascii="Arial" w:hAnsi="Arial" w:cs="Arial"/>
                <w:color w:val="000000"/>
                <w:lang w:val="sr-Cyrl-BA"/>
              </w:rPr>
              <w:t xml:space="preserve"> </w:t>
            </w:r>
            <w:r>
              <w:rPr>
                <w:rFonts w:ascii="Arial" w:hAnsi="Arial" w:cs="Arial"/>
                <w:color w:val="000000"/>
                <w:lang w:val="sr-Cyrl-BA"/>
              </w:rPr>
              <w:t>р</w:t>
            </w:r>
            <w:r w:rsidR="00A56E08">
              <w:rPr>
                <w:rFonts w:ascii="Arial" w:hAnsi="Arial" w:cs="Arial"/>
                <w:color w:val="000000"/>
                <w:lang w:val="sr-Cyrl-BA"/>
              </w:rPr>
              <w:t>а</w:t>
            </w:r>
            <w:r w:rsidR="00171F00">
              <w:rPr>
                <w:rFonts w:ascii="Arial" w:hAnsi="Arial" w:cs="Arial"/>
                <w:color w:val="000000"/>
                <w:lang w:val="sr-Cyrl-BA"/>
              </w:rPr>
              <w:t>з</w:t>
            </w:r>
            <w:r w:rsidR="00A56E08">
              <w:rPr>
                <w:rFonts w:ascii="Arial" w:hAnsi="Arial" w:cs="Arial"/>
                <w:color w:val="000000"/>
                <w:lang w:val="sr-Cyrl-BA"/>
              </w:rPr>
              <w:t>ми</w:t>
            </w:r>
            <w:r>
              <w:rPr>
                <w:rFonts w:ascii="Arial" w:hAnsi="Arial" w:cs="Arial"/>
                <w:color w:val="000000"/>
                <w:lang w:val="sr-Cyrl-BA"/>
              </w:rPr>
              <w:t>ш</w:t>
            </w:r>
            <w:r w:rsidR="00A56E08">
              <w:rPr>
                <w:rFonts w:ascii="Arial" w:hAnsi="Arial" w:cs="Arial"/>
                <w:color w:val="000000"/>
                <w:lang w:val="sr-Cyrl-BA"/>
              </w:rPr>
              <w:t>љања</w:t>
            </w:r>
            <w:r w:rsidR="00DC42A3"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sidR="00A56E08">
              <w:rPr>
                <w:rFonts w:ascii="Arial" w:hAnsi="Arial" w:cs="Arial"/>
                <w:color w:val="000000"/>
                <w:lang w:val="sr-Cyrl-BA"/>
              </w:rPr>
              <w:t>ника</w:t>
            </w:r>
            <w:r w:rsidR="00DC42A3" w:rsidRPr="00F6340E">
              <w:rPr>
                <w:rFonts w:ascii="Arial" w:hAnsi="Arial" w:cs="Arial"/>
                <w:color w:val="000000"/>
                <w:lang w:val="sr-Cyrl-BA"/>
              </w:rPr>
              <w:t xml:space="preserve"> </w:t>
            </w:r>
            <w:r w:rsidR="00A56E08">
              <w:rPr>
                <w:rFonts w:ascii="Arial" w:hAnsi="Arial" w:cs="Arial"/>
                <w:color w:val="000000"/>
                <w:lang w:val="sr-Cyrl-BA"/>
              </w:rPr>
              <w:t>одно</w:t>
            </w:r>
            <w:r>
              <w:rPr>
                <w:rFonts w:ascii="Arial" w:hAnsi="Arial" w:cs="Arial"/>
                <w:color w:val="000000"/>
                <w:lang w:val="sr-Cyrl-BA"/>
              </w:rPr>
              <w:t>с</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на</w:t>
            </w:r>
            <w:r w:rsidR="00DC42A3" w:rsidRPr="00F6340E">
              <w:rPr>
                <w:rFonts w:ascii="Arial" w:hAnsi="Arial" w:cs="Arial"/>
                <w:color w:val="000000"/>
                <w:lang w:val="sr-Cyrl-BA"/>
              </w:rPr>
              <w:t xml:space="preserve"> </w:t>
            </w:r>
            <w:r w:rsidR="00A56E08">
              <w:rPr>
                <w:rFonts w:ascii="Arial" w:hAnsi="Arial" w:cs="Arial"/>
                <w:color w:val="000000"/>
                <w:lang w:val="sr-Cyrl-BA"/>
              </w:rPr>
              <w:t>кон</w:t>
            </w:r>
            <w:r>
              <w:rPr>
                <w:rFonts w:ascii="Arial" w:hAnsi="Arial" w:cs="Arial"/>
                <w:color w:val="000000"/>
                <w:lang w:val="sr-Cyrl-BA"/>
              </w:rPr>
              <w:t>т</w:t>
            </w:r>
            <w:r w:rsidR="00EE6AA2">
              <w:rPr>
                <w:rFonts w:ascii="Arial" w:hAnsi="Arial" w:cs="Arial"/>
                <w:color w:val="000000"/>
                <w:lang w:val="sr-Cyrl-BA"/>
              </w:rPr>
              <w:t>е</w:t>
            </w:r>
            <w:r w:rsidR="00A56E08">
              <w:rPr>
                <w:rFonts w:ascii="Arial" w:hAnsi="Arial" w:cs="Arial"/>
                <w:color w:val="000000"/>
                <w:lang w:val="sr-Cyrl-BA"/>
              </w:rPr>
              <w:t>к</w:t>
            </w:r>
            <w:r>
              <w:rPr>
                <w:rFonts w:ascii="Arial" w:hAnsi="Arial" w:cs="Arial"/>
                <w:color w:val="000000"/>
                <w:lang w:val="sr-Cyrl-BA"/>
              </w:rPr>
              <w:t>ст</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в</w:t>
            </w:r>
            <w:r w:rsidR="00A56E08">
              <w:rPr>
                <w:rFonts w:ascii="Arial" w:hAnsi="Arial" w:cs="Arial"/>
                <w:color w:val="000000"/>
                <w:lang w:val="sr-Cyrl-BA"/>
              </w:rPr>
              <w:t>ан</w:t>
            </w:r>
            <w:r w:rsidR="00DC42A3"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чиониц</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који</w:t>
            </w:r>
            <w:r w:rsidR="00DC42A3" w:rsidRPr="00F6340E">
              <w:rPr>
                <w:rFonts w:ascii="Arial" w:hAnsi="Arial" w:cs="Arial"/>
                <w:color w:val="000000"/>
                <w:lang w:val="sr-Cyrl-BA"/>
              </w:rPr>
              <w:t xml:space="preserve"> </w:t>
            </w:r>
            <w:r w:rsidR="00A56E08">
              <w:rPr>
                <w:rFonts w:ascii="Arial" w:hAnsi="Arial" w:cs="Arial"/>
                <w:color w:val="000000"/>
                <w:lang w:val="sr-Cyrl-BA"/>
              </w:rPr>
              <w:t>дј</w:t>
            </w:r>
            <w:r w:rsidR="00EE6AA2">
              <w:rPr>
                <w:rFonts w:ascii="Arial" w:hAnsi="Arial" w:cs="Arial"/>
                <w:color w:val="000000"/>
                <w:lang w:val="sr-Cyrl-BA"/>
              </w:rPr>
              <w:t>е</w:t>
            </w:r>
            <w:r w:rsidR="00A56E08">
              <w:rPr>
                <w:rFonts w:ascii="Arial" w:hAnsi="Arial" w:cs="Arial"/>
                <w:color w:val="000000"/>
                <w:lang w:val="sr-Cyrl-BA"/>
              </w:rPr>
              <w:t>л</w:t>
            </w:r>
            <w:r>
              <w:rPr>
                <w:rFonts w:ascii="Arial" w:hAnsi="Arial" w:cs="Arial"/>
                <w:color w:val="000000"/>
                <w:lang w:val="sr-Cyrl-BA"/>
              </w:rPr>
              <w:t>у</w:t>
            </w:r>
            <w:r w:rsidR="00A56E08">
              <w:rPr>
                <w:rFonts w:ascii="Arial" w:hAnsi="Arial" w:cs="Arial"/>
                <w:color w:val="000000"/>
                <w:lang w:val="sr-Cyrl-BA"/>
              </w:rPr>
              <w:t>ј</w:t>
            </w:r>
            <w:r>
              <w:rPr>
                <w:rFonts w:ascii="Arial" w:hAnsi="Arial" w:cs="Arial"/>
                <w:color w:val="000000"/>
                <w:lang w:val="sr-Cyrl-BA"/>
              </w:rPr>
              <w:t>у</w:t>
            </w:r>
            <w:r w:rsidR="00DC42A3" w:rsidRPr="00F6340E">
              <w:rPr>
                <w:rFonts w:ascii="Arial" w:hAnsi="Arial" w:cs="Arial"/>
                <w:color w:val="000000"/>
                <w:lang w:val="sr-Cyrl-BA"/>
              </w:rPr>
              <w:t xml:space="preserve"> </w:t>
            </w:r>
            <w:r w:rsidR="00A56E08">
              <w:rPr>
                <w:rFonts w:ascii="Arial" w:hAnsi="Arial" w:cs="Arial"/>
                <w:color w:val="000000"/>
                <w:lang w:val="sr-Cyrl-BA"/>
              </w:rPr>
              <w:t>као</w:t>
            </w:r>
            <w:r w:rsidR="00DC42A3" w:rsidRPr="00F6340E">
              <w:rPr>
                <w:rFonts w:ascii="Arial" w:hAnsi="Arial" w:cs="Arial"/>
                <w:color w:val="000000"/>
                <w:lang w:val="sr-Cyrl-BA"/>
              </w:rPr>
              <w:t xml:space="preserve"> </w:t>
            </w:r>
            <w:r>
              <w:rPr>
                <w:rFonts w:ascii="Arial" w:hAnsi="Arial" w:cs="Arial"/>
                <w:color w:val="000000"/>
                <w:lang w:val="sr-Cyrl-BA"/>
              </w:rPr>
              <w:t>п</w:t>
            </w:r>
            <w:r w:rsidR="00A56E08">
              <w:rPr>
                <w:rFonts w:ascii="Arial" w:hAnsi="Arial" w:cs="Arial"/>
                <w:color w:val="000000"/>
                <w:lang w:val="sr-Cyrl-BA"/>
              </w:rPr>
              <w:t>од</w:t>
            </w:r>
            <w:r>
              <w:rPr>
                <w:rFonts w:ascii="Arial" w:hAnsi="Arial" w:cs="Arial"/>
                <w:color w:val="000000"/>
                <w:lang w:val="sr-Cyrl-BA"/>
              </w:rPr>
              <w:t>рш</w:t>
            </w:r>
            <w:r w:rsidR="00A56E08">
              <w:rPr>
                <w:rFonts w:ascii="Arial" w:hAnsi="Arial" w:cs="Arial"/>
                <w:color w:val="000000"/>
                <w:lang w:val="sr-Cyrl-BA"/>
              </w:rPr>
              <w:t>ка</w:t>
            </w:r>
            <w:r w:rsidR="005470EA" w:rsidRPr="00F6340E">
              <w:rPr>
                <w:rFonts w:ascii="Arial" w:hAnsi="Arial" w:cs="Arial"/>
                <w:color w:val="000000"/>
                <w:lang w:val="sr-Cyrl-BA"/>
              </w:rPr>
              <w:t xml:space="preserve"> </w:t>
            </w:r>
            <w:r>
              <w:rPr>
                <w:rFonts w:ascii="Arial" w:hAnsi="Arial" w:cs="Arial"/>
                <w:color w:val="000000"/>
                <w:lang w:val="sr-Cyrl-BA"/>
              </w:rPr>
              <w:t>пр</w:t>
            </w:r>
            <w:r w:rsidR="00A56E08">
              <w:rPr>
                <w:rFonts w:ascii="Arial" w:hAnsi="Arial" w:cs="Arial"/>
                <w:color w:val="000000"/>
                <w:lang w:val="sr-Cyrl-BA"/>
              </w:rPr>
              <w:t>оц</w:t>
            </w:r>
            <w:r w:rsidR="00EE6AA2">
              <w:rPr>
                <w:rFonts w:ascii="Arial" w:hAnsi="Arial" w:cs="Arial"/>
                <w:color w:val="000000"/>
                <w:lang w:val="sr-Cyrl-BA"/>
              </w:rPr>
              <w:t>е</w:t>
            </w:r>
            <w:r>
              <w:rPr>
                <w:rFonts w:ascii="Arial" w:hAnsi="Arial" w:cs="Arial"/>
                <w:color w:val="000000"/>
                <w:lang w:val="sr-Cyrl-BA"/>
              </w:rPr>
              <w:t>су</w:t>
            </w:r>
            <w:r w:rsidR="00DC42A3"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sidR="00A56E08">
              <w:rPr>
                <w:rFonts w:ascii="Arial" w:hAnsi="Arial" w:cs="Arial"/>
                <w:color w:val="000000"/>
                <w:lang w:val="sr-Cyrl-BA"/>
              </w:rPr>
              <w:t>ња</w:t>
            </w:r>
            <w:r w:rsidR="00DC42A3" w:rsidRPr="00F6340E">
              <w:rPr>
                <w:rFonts w:ascii="Arial" w:hAnsi="Arial" w:cs="Arial"/>
                <w:color w:val="000000"/>
                <w:lang w:val="sr-Cyrl-BA"/>
              </w:rPr>
              <w:t xml:space="preserve">. </w:t>
            </w:r>
            <w:r>
              <w:rPr>
                <w:rFonts w:ascii="Arial" w:hAnsi="Arial" w:cs="Arial"/>
                <w:color w:val="000000"/>
                <w:lang w:val="sr-Cyrl-BA"/>
              </w:rPr>
              <w:t>У</w:t>
            </w:r>
            <w:r w:rsidR="00A56E08">
              <w:rPr>
                <w:rFonts w:ascii="Arial" w:hAnsi="Arial" w:cs="Arial"/>
                <w:color w:val="000000"/>
                <w:lang w:val="sr-Cyrl-BA"/>
              </w:rPr>
              <w:t>ч</w:t>
            </w:r>
            <w:r w:rsidR="00EE6AA2">
              <w:rPr>
                <w:rFonts w:ascii="Arial" w:hAnsi="Arial" w:cs="Arial"/>
                <w:color w:val="000000"/>
                <w:lang w:val="sr-Cyrl-BA"/>
              </w:rPr>
              <w:t>е</w:t>
            </w:r>
            <w:r>
              <w:rPr>
                <w:rFonts w:ascii="Arial" w:hAnsi="Arial" w:cs="Arial"/>
                <w:color w:val="000000"/>
                <w:lang w:val="sr-Cyrl-BA"/>
              </w:rPr>
              <w:t>ств</w:t>
            </w:r>
            <w:r w:rsidR="00A56E08">
              <w:rPr>
                <w:rFonts w:ascii="Arial" w:hAnsi="Arial" w:cs="Arial"/>
                <w:color w:val="000000"/>
                <w:lang w:val="sr-Cyrl-BA"/>
              </w:rPr>
              <w:t>о</w:t>
            </w:r>
            <w:r>
              <w:rPr>
                <w:rFonts w:ascii="Arial" w:hAnsi="Arial" w:cs="Arial"/>
                <w:color w:val="000000"/>
                <w:lang w:val="sr-Cyrl-BA"/>
              </w:rPr>
              <w:t>в</w:t>
            </w:r>
            <w:r w:rsidR="00A56E08">
              <w:rPr>
                <w:rFonts w:ascii="Arial" w:hAnsi="Arial" w:cs="Arial"/>
                <w:color w:val="000000"/>
                <w:lang w:val="sr-Cyrl-BA"/>
              </w:rPr>
              <w:t>ањ</w:t>
            </w:r>
            <w:r w:rsidR="00EE6AA2">
              <w:rPr>
                <w:rFonts w:ascii="Arial" w:hAnsi="Arial" w:cs="Arial"/>
                <w:color w:val="000000"/>
                <w:lang w:val="sr-Cyrl-BA"/>
              </w:rPr>
              <w:t>е</w:t>
            </w:r>
            <w:r w:rsidR="00DC42A3" w:rsidRPr="00F6340E">
              <w:rPr>
                <w:rFonts w:ascii="Arial" w:hAnsi="Arial" w:cs="Arial"/>
                <w:color w:val="000000"/>
                <w:lang w:val="sr-Cyrl-BA"/>
              </w:rPr>
              <w:t xml:space="preserve"> </w:t>
            </w:r>
            <w:r>
              <w:rPr>
                <w:rFonts w:ascii="Arial" w:hAnsi="Arial" w:cs="Arial"/>
                <w:color w:val="000000"/>
                <w:lang w:val="sr-Cyrl-BA"/>
              </w:rPr>
              <w:t>у</w:t>
            </w:r>
            <w:r w:rsidR="00DC42A3" w:rsidRPr="00F6340E">
              <w:rPr>
                <w:rFonts w:ascii="Arial" w:hAnsi="Arial" w:cs="Arial"/>
                <w:color w:val="000000"/>
                <w:lang w:val="sr-Cyrl-BA"/>
              </w:rPr>
              <w:t xml:space="preserve"> </w:t>
            </w:r>
            <w:r w:rsidR="00A56E08">
              <w:rPr>
                <w:rFonts w:ascii="Arial" w:hAnsi="Arial" w:cs="Arial"/>
                <w:color w:val="000000"/>
                <w:lang w:val="sr-Cyrl-BA"/>
              </w:rPr>
              <w:t>ИЦИЛ</w:t>
            </w:r>
            <w:r>
              <w:rPr>
                <w:rFonts w:ascii="Arial" w:hAnsi="Arial" w:cs="Arial"/>
                <w:color w:val="000000"/>
                <w:lang w:val="sr-Cyrl-BA"/>
              </w:rPr>
              <w:t>С</w:t>
            </w:r>
            <w:r w:rsidR="00DC42A3" w:rsidRPr="00F6340E">
              <w:rPr>
                <w:rFonts w:ascii="Arial" w:hAnsi="Arial" w:cs="Arial"/>
                <w:color w:val="000000"/>
                <w:lang w:val="sr-Cyrl-BA"/>
              </w:rPr>
              <w:t>-</w:t>
            </w:r>
            <w:r>
              <w:rPr>
                <w:rFonts w:ascii="Arial" w:hAnsi="Arial" w:cs="Arial"/>
                <w:color w:val="000000"/>
                <w:lang w:val="sr-Cyrl-BA"/>
              </w:rPr>
              <w:lastRenderedPageBreak/>
              <w:t>у</w:t>
            </w:r>
            <w:r w:rsidR="00DC42A3" w:rsidRPr="00F6340E">
              <w:rPr>
                <w:rFonts w:ascii="Arial" w:hAnsi="Arial" w:cs="Arial"/>
                <w:color w:val="000000"/>
                <w:lang w:val="sr-Cyrl-BA"/>
              </w:rPr>
              <w:t xml:space="preserve"> </w:t>
            </w:r>
            <w:r>
              <w:rPr>
                <w:rFonts w:ascii="Arial" w:hAnsi="Arial" w:cs="Arial"/>
                <w:color w:val="000000"/>
                <w:lang w:val="sr-Cyrl-BA"/>
              </w:rPr>
              <w:t>с</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мо</w:t>
            </w:r>
            <w:r w:rsidR="00171F00">
              <w:rPr>
                <w:rFonts w:ascii="Arial" w:hAnsi="Arial" w:cs="Arial"/>
                <w:color w:val="000000"/>
                <w:lang w:val="sr-Cyrl-BA"/>
              </w:rPr>
              <w:t>ж</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A56E08">
              <w:rPr>
                <w:rFonts w:ascii="Arial" w:hAnsi="Arial" w:cs="Arial"/>
                <w:color w:val="000000"/>
                <w:lang w:val="sr-Cyrl-BA"/>
              </w:rPr>
              <w:t>о</w:t>
            </w:r>
            <w:r w:rsidR="00171F00">
              <w:rPr>
                <w:rFonts w:ascii="Arial" w:hAnsi="Arial" w:cs="Arial"/>
                <w:color w:val="000000"/>
                <w:lang w:val="sr-Cyrl-BA"/>
              </w:rPr>
              <w:t>з</w:t>
            </w:r>
            <w:r w:rsidR="00A56E08">
              <w:rPr>
                <w:rFonts w:ascii="Arial" w:hAnsi="Arial" w:cs="Arial"/>
                <w:color w:val="000000"/>
                <w:lang w:val="sr-Cyrl-BA"/>
              </w:rPr>
              <w:t>начи</w:t>
            </w:r>
            <w:r>
              <w:rPr>
                <w:rFonts w:ascii="Arial" w:hAnsi="Arial" w:cs="Arial"/>
                <w:color w:val="000000"/>
                <w:lang w:val="sr-Cyrl-BA"/>
              </w:rPr>
              <w:t>т</w:t>
            </w:r>
            <w:r w:rsidR="00A56E08">
              <w:rPr>
                <w:rFonts w:ascii="Arial" w:hAnsi="Arial" w:cs="Arial"/>
                <w:color w:val="000000"/>
                <w:lang w:val="sr-Cyrl-BA"/>
              </w:rPr>
              <w:t>и</w:t>
            </w:r>
            <w:r w:rsidR="00DC42A3" w:rsidRPr="00F6340E">
              <w:rPr>
                <w:rFonts w:ascii="Arial" w:hAnsi="Arial" w:cs="Arial"/>
                <w:color w:val="000000"/>
                <w:lang w:val="sr-Cyrl-BA"/>
              </w:rPr>
              <w:t xml:space="preserve"> </w:t>
            </w:r>
            <w:r w:rsidR="00A56E08">
              <w:rPr>
                <w:rFonts w:ascii="Arial" w:hAnsi="Arial" w:cs="Arial"/>
                <w:color w:val="000000"/>
                <w:lang w:val="sr-Cyrl-BA"/>
              </w:rPr>
              <w:t>као</w:t>
            </w:r>
            <w:r w:rsidR="00AD1BF8" w:rsidRPr="00F6340E">
              <w:rPr>
                <w:rFonts w:ascii="Arial" w:hAnsi="Arial" w:cs="Arial"/>
                <w:color w:val="000000"/>
                <w:lang w:val="sr-Cyrl-BA"/>
              </w:rPr>
              <w:t xml:space="preserve"> </w:t>
            </w:r>
            <w:r>
              <w:rPr>
                <w:rFonts w:ascii="Arial" w:hAnsi="Arial" w:cs="Arial"/>
                <w:color w:val="000000"/>
                <w:lang w:val="sr-Cyrl-BA"/>
              </w:rPr>
              <w:t>с</w:t>
            </w:r>
            <w:r w:rsidR="00A56E08">
              <w:rPr>
                <w:rFonts w:ascii="Arial" w:hAnsi="Arial" w:cs="Arial"/>
                <w:color w:val="000000"/>
                <w:lang w:val="sr-Cyrl-BA"/>
              </w:rPr>
              <w:t>а</w:t>
            </w:r>
            <w:r>
              <w:rPr>
                <w:rFonts w:ascii="Arial" w:hAnsi="Arial" w:cs="Arial"/>
                <w:color w:val="000000"/>
                <w:lang w:val="sr-Cyrl-BA"/>
              </w:rPr>
              <w:t>ст</w:t>
            </w:r>
            <w:r w:rsidR="00A56E08">
              <w:rPr>
                <w:rFonts w:ascii="Arial" w:hAnsi="Arial" w:cs="Arial"/>
                <w:color w:val="000000"/>
                <w:lang w:val="sr-Cyrl-BA"/>
              </w:rPr>
              <w:t>а</w:t>
            </w:r>
            <w:r>
              <w:rPr>
                <w:rFonts w:ascii="Arial" w:hAnsi="Arial" w:cs="Arial"/>
                <w:color w:val="000000"/>
                <w:lang w:val="sr-Cyrl-BA"/>
              </w:rPr>
              <w:t>в</w:t>
            </w:r>
            <w:r w:rsidR="00A56E08">
              <w:rPr>
                <w:rFonts w:ascii="Arial" w:hAnsi="Arial" w:cs="Arial"/>
                <w:color w:val="000000"/>
                <w:lang w:val="sr-Cyrl-BA"/>
              </w:rPr>
              <w:t>ни</w:t>
            </w:r>
            <w:r w:rsidR="00DC42A3" w:rsidRPr="00F6340E">
              <w:rPr>
                <w:rFonts w:ascii="Arial" w:hAnsi="Arial" w:cs="Arial"/>
                <w:color w:val="000000"/>
                <w:lang w:val="sr-Cyrl-BA"/>
              </w:rPr>
              <w:t xml:space="preserve"> </w:t>
            </w:r>
            <w:r w:rsidR="00A56E08">
              <w:rPr>
                <w:rFonts w:ascii="Arial" w:hAnsi="Arial" w:cs="Arial"/>
                <w:color w:val="000000"/>
                <w:lang w:val="sr-Cyrl-BA"/>
              </w:rPr>
              <w:t>дио</w:t>
            </w:r>
            <w:r w:rsidR="00AD1BF8" w:rsidRPr="00F6340E">
              <w:rPr>
                <w:rFonts w:ascii="Arial" w:hAnsi="Arial" w:cs="Arial"/>
                <w:color w:val="000000"/>
                <w:lang w:val="sr-Cyrl-BA"/>
              </w:rPr>
              <w:t xml:space="preserve"> </w:t>
            </w:r>
            <w:r>
              <w:rPr>
                <w:rFonts w:ascii="Arial" w:hAnsi="Arial" w:cs="Arial"/>
                <w:color w:val="000000"/>
                <w:lang w:val="sr-Cyrl-BA"/>
              </w:rPr>
              <w:t>пр</w:t>
            </w:r>
            <w:r w:rsidR="00A56E08">
              <w:rPr>
                <w:rFonts w:ascii="Arial" w:hAnsi="Arial" w:cs="Arial"/>
                <w:color w:val="000000"/>
                <w:lang w:val="sr-Cyrl-BA"/>
              </w:rPr>
              <w:t>и</w:t>
            </w:r>
            <w:r>
              <w:rPr>
                <w:rFonts w:ascii="Arial" w:hAnsi="Arial" w:cs="Arial"/>
                <w:color w:val="000000"/>
                <w:lang w:val="sr-Cyrl-BA"/>
              </w:rPr>
              <w:t>пр</w:t>
            </w:r>
            <w:r w:rsidR="00EE6AA2">
              <w:rPr>
                <w:rFonts w:ascii="Arial" w:hAnsi="Arial" w:cs="Arial"/>
                <w:color w:val="000000"/>
                <w:lang w:val="sr-Cyrl-BA"/>
              </w:rPr>
              <w:t>е</w:t>
            </w:r>
            <w:r w:rsidR="00A56E08">
              <w:rPr>
                <w:rFonts w:ascii="Arial" w:hAnsi="Arial" w:cs="Arial"/>
                <w:color w:val="000000"/>
                <w:lang w:val="sr-Cyrl-BA"/>
              </w:rPr>
              <w:t>м</w:t>
            </w:r>
            <w:r w:rsidR="00EE6AA2">
              <w:rPr>
                <w:rFonts w:ascii="Arial" w:hAnsi="Arial" w:cs="Arial"/>
                <w:color w:val="000000"/>
                <w:lang w:val="sr-Cyrl-BA"/>
              </w:rPr>
              <w:t>е</w:t>
            </w:r>
            <w:r w:rsidR="00DC42A3" w:rsidRPr="00F6340E">
              <w:rPr>
                <w:rFonts w:ascii="Arial" w:hAnsi="Arial" w:cs="Arial"/>
                <w:color w:val="000000"/>
                <w:lang w:val="sr-Cyrl-BA"/>
              </w:rPr>
              <w:t xml:space="preserve"> </w:t>
            </w:r>
            <w:r w:rsidR="00171F00">
              <w:rPr>
                <w:rFonts w:ascii="Arial" w:hAnsi="Arial" w:cs="Arial"/>
                <w:color w:val="000000"/>
                <w:lang w:val="sr-Cyrl-BA"/>
              </w:rPr>
              <w:t>з</w:t>
            </w:r>
            <w:r w:rsidR="00A56E08">
              <w:rPr>
                <w:rFonts w:ascii="Arial" w:hAnsi="Arial" w:cs="Arial"/>
                <w:color w:val="000000"/>
                <w:lang w:val="sr-Cyrl-BA"/>
              </w:rPr>
              <w:t>а</w:t>
            </w:r>
            <w:r w:rsidR="00DC42A3" w:rsidRPr="00F6340E">
              <w:rPr>
                <w:rFonts w:ascii="Arial" w:hAnsi="Arial" w:cs="Arial"/>
                <w:color w:val="000000"/>
                <w:lang w:val="sr-Cyrl-BA"/>
              </w:rPr>
              <w:t xml:space="preserve"> </w:t>
            </w:r>
            <w:r w:rsidR="00171F00">
              <w:rPr>
                <w:rFonts w:ascii="Arial" w:hAnsi="Arial" w:cs="Arial"/>
                <w:color w:val="000000"/>
                <w:lang w:val="sr-Cyrl-BA"/>
              </w:rPr>
              <w:t>ж</w:t>
            </w:r>
            <w:r w:rsidR="00A56E08">
              <w:rPr>
                <w:rFonts w:ascii="Arial" w:hAnsi="Arial" w:cs="Arial"/>
                <w:color w:val="000000"/>
                <w:lang w:val="sr-Cyrl-BA"/>
              </w:rPr>
              <w:t>и</w:t>
            </w:r>
            <w:r>
              <w:rPr>
                <w:rFonts w:ascii="Arial" w:hAnsi="Arial" w:cs="Arial"/>
                <w:color w:val="000000"/>
                <w:lang w:val="sr-Cyrl-BA"/>
              </w:rPr>
              <w:t>в</w:t>
            </w:r>
            <w:r w:rsidR="00A56E08">
              <w:rPr>
                <w:rFonts w:ascii="Arial" w:hAnsi="Arial" w:cs="Arial"/>
                <w:color w:val="000000"/>
                <w:lang w:val="sr-Cyrl-BA"/>
              </w:rPr>
              <w:t>о</w:t>
            </w:r>
            <w:r>
              <w:rPr>
                <w:rFonts w:ascii="Arial" w:hAnsi="Arial" w:cs="Arial"/>
                <w:color w:val="000000"/>
                <w:lang w:val="sr-Cyrl-BA"/>
              </w:rPr>
              <w:t>т</w:t>
            </w:r>
            <w:r w:rsidR="00DC42A3" w:rsidRPr="00F6340E">
              <w:rPr>
                <w:rFonts w:ascii="Arial" w:hAnsi="Arial" w:cs="Arial"/>
                <w:color w:val="000000"/>
                <w:lang w:val="sr-Cyrl-BA"/>
              </w:rPr>
              <w:t xml:space="preserve"> </w:t>
            </w:r>
            <w:r>
              <w:rPr>
                <w:rFonts w:ascii="Arial" w:hAnsi="Arial" w:cs="Arial"/>
                <w:color w:val="000000"/>
                <w:lang w:val="sr-Cyrl-BA"/>
              </w:rPr>
              <w:t>у</w:t>
            </w:r>
            <w:r w:rsidR="00DC42A3" w:rsidRPr="00F6340E">
              <w:rPr>
                <w:rFonts w:ascii="Arial" w:hAnsi="Arial" w:cs="Arial"/>
                <w:color w:val="000000"/>
                <w:lang w:val="sr-Cyrl-BA"/>
              </w:rPr>
              <w:t xml:space="preserve"> </w:t>
            </w:r>
            <w:r w:rsidR="00A56E08">
              <w:rPr>
                <w:rFonts w:ascii="Arial" w:hAnsi="Arial" w:cs="Arial"/>
                <w:color w:val="000000"/>
                <w:lang w:val="sr-Cyrl-BA"/>
              </w:rPr>
              <w:t>диги</w:t>
            </w:r>
            <w:r>
              <w:rPr>
                <w:rFonts w:ascii="Arial" w:hAnsi="Arial" w:cs="Arial"/>
                <w:color w:val="000000"/>
                <w:lang w:val="sr-Cyrl-BA"/>
              </w:rPr>
              <w:t>т</w:t>
            </w:r>
            <w:r w:rsidR="00A56E08">
              <w:rPr>
                <w:rFonts w:ascii="Arial" w:hAnsi="Arial" w:cs="Arial"/>
                <w:color w:val="000000"/>
                <w:lang w:val="sr-Cyrl-BA"/>
              </w:rPr>
              <w:t>алном</w:t>
            </w:r>
            <w:r w:rsidR="00DC42A3" w:rsidRPr="00F6340E">
              <w:rPr>
                <w:rFonts w:ascii="Arial" w:hAnsi="Arial" w:cs="Arial"/>
                <w:color w:val="000000"/>
                <w:lang w:val="sr-Cyrl-BA"/>
              </w:rPr>
              <w:t xml:space="preserve"> </w:t>
            </w:r>
            <w:r w:rsidR="00A56E08">
              <w:rPr>
                <w:rFonts w:ascii="Arial" w:hAnsi="Arial" w:cs="Arial"/>
                <w:color w:val="000000"/>
                <w:lang w:val="sr-Cyrl-BA"/>
              </w:rPr>
              <w:t>доб</w:t>
            </w:r>
            <w:r>
              <w:rPr>
                <w:rFonts w:ascii="Arial" w:hAnsi="Arial" w:cs="Arial"/>
                <w:color w:val="000000"/>
                <w:lang w:val="sr-Cyrl-BA"/>
              </w:rPr>
              <w:t>у</w:t>
            </w:r>
            <w:r w:rsidR="00DC42A3" w:rsidRPr="00F6340E">
              <w:rPr>
                <w:rFonts w:ascii="Arial" w:hAnsi="Arial" w:cs="Arial"/>
                <w:color w:val="000000"/>
                <w:lang w:val="sr-Cyrl-BA"/>
              </w:rPr>
              <w:t>.</w:t>
            </w:r>
            <w:r w:rsidR="00282832" w:rsidRPr="00F6340E">
              <w:rPr>
                <w:rStyle w:val="FootnoteReference"/>
                <w:rFonts w:ascii="Arial" w:hAnsi="Arial" w:cs="Arial"/>
                <w:color w:val="000000"/>
                <w:lang w:val="sr-Cyrl-BA"/>
              </w:rPr>
              <w:footnoteReference w:id="30"/>
            </w:r>
          </w:p>
          <w:p w14:paraId="433EC150" w14:textId="148238D6" w:rsidR="00892898" w:rsidRPr="00F6340E" w:rsidRDefault="0071360A" w:rsidP="00FB5CB7">
            <w:pPr>
              <w:pStyle w:val="ListParagraph"/>
              <w:numPr>
                <w:ilvl w:val="0"/>
                <w:numId w:val="44"/>
              </w:numPr>
              <w:ind w:left="360"/>
              <w:jc w:val="left"/>
              <w:rPr>
                <w:rFonts w:ascii="Arial" w:hAnsi="Arial" w:cs="Arial"/>
                <w:color w:val="000000"/>
                <w:lang w:val="sr-Cyrl-BA"/>
              </w:rPr>
            </w:pPr>
            <w:r>
              <w:rPr>
                <w:rFonts w:ascii="Arial" w:eastAsia="Times New Roman" w:hAnsi="Arial" w:cs="Arial"/>
                <w:b/>
                <w:color w:val="000000" w:themeColor="text1"/>
                <w:lang w:val="sr-Cyrl-BA"/>
              </w:rPr>
              <w:t>Тр</w:t>
            </w:r>
            <w:r w:rsidR="00A56E08">
              <w:rPr>
                <w:rFonts w:ascii="Arial" w:eastAsia="Times New Roman" w:hAnsi="Arial" w:cs="Arial"/>
                <w:b/>
                <w:color w:val="000000" w:themeColor="text1"/>
                <w:lang w:val="sr-Cyrl-BA"/>
              </w:rPr>
              <w:t>ан</w:t>
            </w:r>
            <w:r>
              <w:rPr>
                <w:rFonts w:ascii="Arial" w:eastAsia="Times New Roman" w:hAnsi="Arial" w:cs="Arial"/>
                <w:b/>
                <w:color w:val="000000" w:themeColor="text1"/>
                <w:lang w:val="sr-Cyrl-BA"/>
              </w:rPr>
              <w:t>с</w:t>
            </w:r>
            <w:r w:rsidR="00A56E08">
              <w:rPr>
                <w:rFonts w:ascii="Arial" w:eastAsia="Times New Roman" w:hAnsi="Arial" w:cs="Arial"/>
                <w:b/>
                <w:color w:val="000000" w:themeColor="text1"/>
                <w:lang w:val="sr-Cyrl-BA"/>
              </w:rPr>
              <w:t>фо</w:t>
            </w:r>
            <w:r>
              <w:rPr>
                <w:rFonts w:ascii="Arial" w:eastAsia="Times New Roman" w:hAnsi="Arial" w:cs="Arial"/>
                <w:b/>
                <w:color w:val="000000" w:themeColor="text1"/>
                <w:lang w:val="sr-Cyrl-BA"/>
              </w:rPr>
              <w:t>р</w:t>
            </w:r>
            <w:r w:rsidR="00A56E08">
              <w:rPr>
                <w:rFonts w:ascii="Arial" w:eastAsia="Times New Roman" w:hAnsi="Arial" w:cs="Arial"/>
                <w:b/>
                <w:color w:val="000000" w:themeColor="text1"/>
                <w:lang w:val="sr-Cyrl-BA"/>
              </w:rPr>
              <w:t>ми</w:t>
            </w:r>
            <w:r>
              <w:rPr>
                <w:rFonts w:ascii="Arial" w:eastAsia="Times New Roman" w:hAnsi="Arial" w:cs="Arial"/>
                <w:b/>
                <w:color w:val="000000" w:themeColor="text1"/>
                <w:lang w:val="sr-Cyrl-BA"/>
              </w:rPr>
              <w:t>с</w:t>
            </w:r>
            <w:r w:rsidR="00A56E08">
              <w:rPr>
                <w:rFonts w:ascii="Arial" w:eastAsia="Times New Roman" w:hAnsi="Arial" w:cs="Arial"/>
                <w:b/>
                <w:color w:val="000000" w:themeColor="text1"/>
                <w:lang w:val="sr-Cyrl-BA"/>
              </w:rPr>
              <w:t>а</w:t>
            </w:r>
            <w:r>
              <w:rPr>
                <w:rFonts w:ascii="Arial" w:eastAsia="Times New Roman" w:hAnsi="Arial" w:cs="Arial"/>
                <w:b/>
                <w:color w:val="000000" w:themeColor="text1"/>
                <w:lang w:val="sr-Cyrl-BA"/>
              </w:rPr>
              <w:t>т</w:t>
            </w:r>
            <w:r w:rsidR="00A56E08">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лог</w:t>
            </w:r>
            <w:r>
              <w:rPr>
                <w:rFonts w:ascii="Arial" w:eastAsia="Times New Roman" w:hAnsi="Arial" w:cs="Arial"/>
                <w:b/>
                <w:bCs/>
                <w:iCs/>
                <w:color w:val="000000"/>
                <w:lang w:val="sr-Cyrl-BA"/>
              </w:rPr>
              <w:t>у</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ди</w:t>
            </w:r>
            <w:r>
              <w:rPr>
                <w:rFonts w:ascii="Arial" w:eastAsia="Times New Roman" w:hAnsi="Arial" w:cs="Arial"/>
                <w:b/>
                <w:bCs/>
                <w:iCs/>
                <w:color w:val="000000"/>
                <w:lang w:val="sr-Cyrl-BA"/>
              </w:rPr>
              <w:t>р</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к</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о</w:t>
            </w:r>
            <w:r>
              <w:rPr>
                <w:rFonts w:ascii="Arial" w:eastAsia="Times New Roman" w:hAnsi="Arial" w:cs="Arial"/>
                <w:b/>
                <w:bCs/>
                <w:iCs/>
                <w:color w:val="000000"/>
                <w:lang w:val="sr-Cyrl-BA"/>
              </w:rPr>
              <w:t>р</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ш</w:t>
            </w:r>
            <w:r w:rsidR="00A56E08">
              <w:rPr>
                <w:rFonts w:ascii="Arial" w:eastAsia="Times New Roman" w:hAnsi="Arial" w:cs="Arial"/>
                <w:b/>
                <w:bCs/>
                <w:iCs/>
                <w:color w:val="000000"/>
                <w:lang w:val="sr-Cyrl-BA"/>
              </w:rPr>
              <w:t>кол</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р</w:t>
            </w:r>
            <w:r w:rsidR="00A56E08">
              <w:rPr>
                <w:rFonts w:ascii="Arial" w:eastAsia="Times New Roman" w:hAnsi="Arial" w:cs="Arial"/>
                <w:b/>
                <w:bCs/>
                <w:iCs/>
                <w:color w:val="000000"/>
                <w:lang w:val="sr-Cyrl-BA"/>
              </w:rPr>
              <w:t>ади</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јачања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од</w:t>
            </w:r>
            <w:r>
              <w:rPr>
                <w:rFonts w:ascii="Arial" w:eastAsia="Times New Roman" w:hAnsi="Arial" w:cs="Arial"/>
                <w:b/>
                <w:bCs/>
                <w:iCs/>
                <w:color w:val="000000"/>
                <w:lang w:val="sr-Cyrl-BA"/>
              </w:rPr>
              <w:t>ств</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у</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на</w:t>
            </w:r>
            <w:r>
              <w:rPr>
                <w:rFonts w:ascii="Arial" w:eastAsia="Times New Roman" w:hAnsi="Arial" w:cs="Arial"/>
                <w:b/>
                <w:bCs/>
                <w:iCs/>
                <w:color w:val="000000"/>
                <w:lang w:val="sr-Cyrl-BA"/>
              </w:rPr>
              <w:t>ст</w:t>
            </w:r>
            <w:r w:rsidR="00A56E08">
              <w:rPr>
                <w:rFonts w:ascii="Arial" w:eastAsia="Times New Roman" w:hAnsi="Arial" w:cs="Arial"/>
                <w:b/>
                <w:bCs/>
                <w:iCs/>
                <w:color w:val="000000"/>
                <w:lang w:val="sr-Cyrl-BA"/>
              </w:rPr>
              <w:t>а</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ном</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пр</w:t>
            </w:r>
            <w:r w:rsidR="00A56E08">
              <w:rPr>
                <w:rFonts w:ascii="Arial" w:eastAsia="Times New Roman" w:hAnsi="Arial" w:cs="Arial"/>
                <w:b/>
                <w:bCs/>
                <w:iCs/>
                <w:color w:val="000000"/>
                <w:lang w:val="sr-Cyrl-BA"/>
              </w:rPr>
              <w:t>оц</w:t>
            </w:r>
            <w:r w:rsidR="00EE6AA2">
              <w:rPr>
                <w:rFonts w:ascii="Arial" w:eastAsia="Times New Roman" w:hAnsi="Arial" w:cs="Arial"/>
                <w:b/>
                <w:bCs/>
                <w:iCs/>
                <w:color w:val="000000"/>
                <w:lang w:val="sr-Cyrl-BA"/>
              </w:rPr>
              <w:t>е</w:t>
            </w:r>
            <w:r>
              <w:rPr>
                <w:rFonts w:ascii="Arial" w:eastAsia="Times New Roman" w:hAnsi="Arial" w:cs="Arial"/>
                <w:b/>
                <w:bCs/>
                <w:iCs/>
                <w:color w:val="000000"/>
                <w:lang w:val="sr-Cyrl-BA"/>
              </w:rPr>
              <w:t>су</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о</w:t>
            </w:r>
            <w:r>
              <w:rPr>
                <w:rFonts w:ascii="Arial" w:eastAsia="Times New Roman" w:hAnsi="Arial" w:cs="Arial"/>
                <w:b/>
                <w:bCs/>
                <w:iCs/>
                <w:color w:val="000000"/>
                <w:lang w:val="sr-Cyrl-BA"/>
              </w:rPr>
              <w:t>с</w:t>
            </w:r>
            <w:r w:rsidR="00A56E08">
              <w:rPr>
                <w:rFonts w:ascii="Arial" w:eastAsia="Times New Roman" w:hAnsi="Arial" w:cs="Arial"/>
                <w:b/>
                <w:bCs/>
                <w:iCs/>
                <w:color w:val="000000"/>
                <w:lang w:val="sr-Cyrl-BA"/>
              </w:rPr>
              <w:t>на</w:t>
            </w:r>
            <w:r w:rsidR="00171F00">
              <w:rPr>
                <w:rFonts w:ascii="Arial" w:eastAsia="Times New Roman" w:hAnsi="Arial" w:cs="Arial"/>
                <w:b/>
                <w:bCs/>
                <w:iCs/>
                <w:color w:val="000000"/>
                <w:lang w:val="sr-Cyrl-BA"/>
              </w:rPr>
              <w:t>ж</w:t>
            </w:r>
            <w:r w:rsidR="00A56E08">
              <w:rPr>
                <w:rFonts w:ascii="Arial" w:eastAsia="Times New Roman" w:hAnsi="Arial" w:cs="Arial"/>
                <w:b/>
                <w:bCs/>
                <w:iCs/>
                <w:color w:val="000000"/>
                <w:lang w:val="sr-Cyrl-BA"/>
              </w:rPr>
              <w:t>и</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пр</w:t>
            </w:r>
            <w:r w:rsidR="00A56E08">
              <w:rPr>
                <w:rFonts w:ascii="Arial" w:eastAsia="Times New Roman" w:hAnsi="Arial" w:cs="Arial"/>
                <w:b/>
                <w:bCs/>
                <w:iCs/>
                <w:color w:val="000000"/>
                <w:lang w:val="sr-Cyrl-BA"/>
              </w:rPr>
              <w:t>имј</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н</w:t>
            </w:r>
            <w:r>
              <w:rPr>
                <w:rFonts w:ascii="Arial" w:eastAsia="Times New Roman" w:hAnsi="Arial" w:cs="Arial"/>
                <w:b/>
                <w:bCs/>
                <w:iCs/>
                <w:color w:val="000000"/>
                <w:lang w:val="sr-Cyrl-BA"/>
              </w:rPr>
              <w:t>у</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р</w:t>
            </w:r>
            <w:r w:rsidR="00A56E08">
              <w:rPr>
                <w:rFonts w:ascii="Arial" w:eastAsia="Times New Roman" w:hAnsi="Arial" w:cs="Arial"/>
                <w:b/>
                <w:bCs/>
                <w:iCs/>
                <w:color w:val="000000"/>
                <w:lang w:val="sr-Cyrl-BA"/>
              </w:rPr>
              <w:t>а</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личи</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их</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ала</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кљ</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ч</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ј</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ћи</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диги</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алн</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с</w:t>
            </w:r>
            <w:r w:rsidR="00A56E08">
              <w:rPr>
                <w:rFonts w:ascii="Arial" w:eastAsia="Times New Roman" w:hAnsi="Arial" w:cs="Arial"/>
                <w:b/>
                <w:bCs/>
                <w:iCs/>
                <w:color w:val="000000"/>
                <w:lang w:val="sr-Cyrl-BA"/>
              </w:rPr>
              <w:t>амо</w:t>
            </w:r>
            <w:r>
              <w:rPr>
                <w:rFonts w:ascii="Arial" w:eastAsia="Times New Roman" w:hAnsi="Arial" w:cs="Arial"/>
                <w:b/>
                <w:bCs/>
                <w:iCs/>
                <w:color w:val="000000"/>
                <w:lang w:val="sr-Cyrl-BA"/>
              </w:rPr>
              <w:t>вр</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дно</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ањ</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p>
          <w:p w14:paraId="598AFAF2" w14:textId="543DD38B" w:rsidR="00892898" w:rsidRPr="00F6340E" w:rsidRDefault="00A56E08" w:rsidP="00FB5CB7">
            <w:pPr>
              <w:pStyle w:val="ListParagraph"/>
              <w:numPr>
                <w:ilvl w:val="0"/>
                <w:numId w:val="44"/>
              </w:numPr>
              <w:ind w:left="360"/>
              <w:jc w:val="left"/>
              <w:rPr>
                <w:rFonts w:ascii="Arial" w:hAnsi="Arial" w:cs="Arial"/>
                <w:color w:val="000000"/>
                <w:lang w:val="sr-Cyrl-BA"/>
              </w:rPr>
            </w:pPr>
            <w:r>
              <w:rPr>
                <w:rFonts w:ascii="Arial" w:hAnsi="Arial" w:cs="Arial"/>
                <w:b/>
                <w:color w:val="000000"/>
                <w:lang w:val="sr-Cyrl-BA"/>
              </w:rPr>
              <w:t>Инфо</w:t>
            </w:r>
            <w:r w:rsidR="0071360A">
              <w:rPr>
                <w:rFonts w:ascii="Arial" w:hAnsi="Arial" w:cs="Arial"/>
                <w:b/>
                <w:color w:val="000000"/>
                <w:lang w:val="sr-Cyrl-BA"/>
              </w:rPr>
              <w:t>р</w:t>
            </w:r>
            <w:r>
              <w:rPr>
                <w:rFonts w:ascii="Arial" w:hAnsi="Arial" w:cs="Arial"/>
                <w:b/>
                <w:color w:val="000000"/>
                <w:lang w:val="sr-Cyrl-BA"/>
              </w:rPr>
              <w:t>ми</w:t>
            </w:r>
            <w:r w:rsidR="0071360A">
              <w:rPr>
                <w:rFonts w:ascii="Arial" w:hAnsi="Arial" w:cs="Arial"/>
                <w:b/>
                <w:color w:val="000000"/>
                <w:lang w:val="sr-Cyrl-BA"/>
              </w:rPr>
              <w:t>с</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на</w:t>
            </w:r>
            <w:r w:rsidR="0071360A">
              <w:rPr>
                <w:rFonts w:ascii="Arial" w:hAnsi="Arial" w:cs="Arial"/>
                <w:b/>
                <w:color w:val="000000"/>
                <w:lang w:val="sr-Cyrl-BA"/>
              </w:rPr>
              <w:t>ст</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ник</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о</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а</w:t>
            </w:r>
            <w:r w:rsidR="00171F00">
              <w:rPr>
                <w:rFonts w:ascii="Arial" w:hAnsi="Arial" w:cs="Arial"/>
                <w:b/>
                <w:color w:val="000000"/>
                <w:lang w:val="sr-Cyrl-BA"/>
              </w:rPr>
              <w:t>ж</w:t>
            </w:r>
            <w:r>
              <w:rPr>
                <w:rFonts w:ascii="Arial" w:hAnsi="Arial" w:cs="Arial"/>
                <w:b/>
                <w:color w:val="000000"/>
                <w:lang w:val="sr-Cyrl-BA"/>
              </w:rPr>
              <w:t>но</w:t>
            </w:r>
            <w:r w:rsidR="0071360A">
              <w:rPr>
                <w:rFonts w:ascii="Arial" w:hAnsi="Arial" w:cs="Arial"/>
                <w:b/>
                <w:color w:val="000000"/>
                <w:lang w:val="sr-Cyrl-BA"/>
              </w:rPr>
              <w:t>ст</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имј</w:t>
            </w:r>
            <w:r w:rsidR="00EE6AA2">
              <w:rPr>
                <w:rFonts w:ascii="Arial" w:hAnsi="Arial" w:cs="Arial"/>
                <w:b/>
                <w:color w:val="000000"/>
                <w:lang w:val="sr-Cyrl-BA"/>
              </w:rPr>
              <w:t>е</w:t>
            </w:r>
            <w:r>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инфо</w:t>
            </w:r>
            <w:r w:rsidR="0071360A">
              <w:rPr>
                <w:rFonts w:ascii="Arial" w:hAnsi="Arial" w:cs="Arial"/>
                <w:b/>
                <w:color w:val="000000"/>
                <w:lang w:val="sr-Cyrl-BA"/>
              </w:rPr>
              <w:t>р</w:t>
            </w:r>
            <w:r>
              <w:rPr>
                <w:rFonts w:ascii="Arial" w:hAnsi="Arial" w:cs="Arial"/>
                <w:b/>
                <w:color w:val="000000"/>
                <w:lang w:val="sr-Cyrl-BA"/>
              </w:rPr>
              <w:t>ма</w:t>
            </w:r>
            <w:r w:rsidR="0071360A">
              <w:rPr>
                <w:rFonts w:ascii="Arial" w:hAnsi="Arial" w:cs="Arial"/>
                <w:b/>
                <w:color w:val="000000"/>
                <w:lang w:val="sr-Cyrl-BA"/>
              </w:rPr>
              <w:t>т</w:t>
            </w:r>
            <w:r>
              <w:rPr>
                <w:rFonts w:ascii="Arial" w:hAnsi="Arial" w:cs="Arial"/>
                <w:b/>
                <w:color w:val="000000"/>
                <w:lang w:val="sr-Cyrl-BA"/>
              </w:rPr>
              <w:t>ичког</w:t>
            </w:r>
            <w:r w:rsidR="00892898" w:rsidRPr="00F6340E">
              <w:rPr>
                <w:rFonts w:ascii="Arial" w:hAnsi="Arial" w:cs="Arial"/>
                <w:b/>
                <w:color w:val="000000"/>
                <w:lang w:val="sr-Cyrl-BA"/>
              </w:rPr>
              <w:t xml:space="preserve"> </w:t>
            </w:r>
            <w:r w:rsidR="0071360A">
              <w:rPr>
                <w:rFonts w:ascii="Arial" w:hAnsi="Arial" w:cs="Arial"/>
                <w:b/>
                <w:color w:val="000000"/>
                <w:lang w:val="sr-Cyrl-BA"/>
              </w:rPr>
              <w:t>с</w:t>
            </w:r>
            <w:r>
              <w:rPr>
                <w:rFonts w:ascii="Arial" w:hAnsi="Arial" w:cs="Arial"/>
                <w:b/>
                <w:color w:val="000000"/>
                <w:lang w:val="sr-Cyrl-BA"/>
              </w:rPr>
              <w:t>и</w:t>
            </w:r>
            <w:r w:rsidR="0071360A">
              <w:rPr>
                <w:rFonts w:ascii="Arial" w:hAnsi="Arial" w:cs="Arial"/>
                <w:b/>
                <w:color w:val="000000"/>
                <w:lang w:val="sr-Cyrl-BA"/>
              </w:rPr>
              <w:t>ст</w:t>
            </w:r>
            <w:r w:rsidR="00EE6AA2">
              <w:rPr>
                <w:rFonts w:ascii="Arial" w:hAnsi="Arial" w:cs="Arial"/>
                <w:b/>
                <w:color w:val="000000"/>
                <w:lang w:val="sr-Cyrl-BA"/>
              </w:rPr>
              <w:t>е</w:t>
            </w:r>
            <w:r>
              <w:rPr>
                <w:rFonts w:ascii="Arial" w:hAnsi="Arial" w:cs="Arial"/>
                <w:b/>
                <w:color w:val="000000"/>
                <w:lang w:val="sr-Cyrl-BA"/>
              </w:rPr>
              <w:t>ма</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аћ</w:t>
            </w:r>
            <w:r w:rsidR="00EE6AA2">
              <w:rPr>
                <w:rFonts w:ascii="Arial" w:hAnsi="Arial" w:cs="Arial"/>
                <w:b/>
                <w:color w:val="000000"/>
                <w:lang w:val="sr-Cyrl-BA"/>
              </w:rPr>
              <w:t>е</w:t>
            </w:r>
            <w:r>
              <w:rPr>
                <w:rFonts w:ascii="Arial" w:hAnsi="Arial" w:cs="Arial"/>
                <w:b/>
                <w:color w:val="000000"/>
                <w:lang w:val="sr-Cyrl-BA"/>
              </w:rPr>
              <w:t>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р</w:t>
            </w:r>
            <w:r>
              <w:rPr>
                <w:rFonts w:ascii="Arial" w:hAnsi="Arial" w:cs="Arial"/>
                <w:b/>
                <w:color w:val="000000"/>
                <w:lang w:val="sr-Cyrl-BA"/>
              </w:rPr>
              <w:t>ада</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Pr>
                <w:rFonts w:ascii="Arial" w:hAnsi="Arial" w:cs="Arial"/>
                <w:b/>
                <w:color w:val="000000"/>
                <w:lang w:val="sr-Cyrl-BA"/>
              </w:rPr>
              <w:t>ч</w:t>
            </w:r>
            <w:r w:rsidR="00EE6AA2">
              <w:rPr>
                <w:rFonts w:ascii="Arial" w:hAnsi="Arial" w:cs="Arial"/>
                <w:b/>
                <w:color w:val="000000"/>
                <w:lang w:val="sr-Cyrl-BA"/>
              </w:rPr>
              <w:t>е</w:t>
            </w:r>
            <w:r>
              <w:rPr>
                <w:rFonts w:ascii="Arial" w:hAnsi="Arial" w:cs="Arial"/>
                <w:b/>
                <w:color w:val="000000"/>
                <w:lang w:val="sr-Cyrl-BA"/>
              </w:rPr>
              <w:t>ника</w:t>
            </w:r>
          </w:p>
          <w:p w14:paraId="43C9EA6F" w14:textId="0157F642" w:rsidR="00892898" w:rsidRPr="00F6340E" w:rsidRDefault="0071360A" w:rsidP="00FB5CB7">
            <w:pPr>
              <w:pStyle w:val="ListParagraph"/>
              <w:numPr>
                <w:ilvl w:val="0"/>
                <w:numId w:val="44"/>
              </w:numPr>
              <w:ind w:left="360"/>
              <w:jc w:val="left"/>
              <w:textAlignment w:val="baseline"/>
              <w:rPr>
                <w:rFonts w:ascii="Arial" w:hAnsi="Arial" w:cs="Arial"/>
                <w:b/>
                <w:color w:val="000000"/>
                <w:lang w:val="sr-Cyrl-BA"/>
              </w:rPr>
            </w:pPr>
            <w:r>
              <w:rPr>
                <w:rFonts w:ascii="Arial" w:hAnsi="Arial" w:cs="Arial"/>
                <w:b/>
                <w:color w:val="000000"/>
                <w:lang w:val="sr-Cyrl-BA"/>
              </w:rPr>
              <w:t>П</w:t>
            </w:r>
            <w:r w:rsidR="00A56E08">
              <w:rPr>
                <w:rFonts w:ascii="Arial" w:hAnsi="Arial" w:cs="Arial"/>
                <w:b/>
                <w:color w:val="000000"/>
                <w:lang w:val="sr-Cyrl-BA"/>
              </w:rPr>
              <w:t>о</w:t>
            </w:r>
            <w:r>
              <w:rPr>
                <w:rFonts w:ascii="Arial" w:hAnsi="Arial" w:cs="Arial"/>
                <w:b/>
                <w:color w:val="000000"/>
                <w:lang w:val="sr-Cyrl-BA"/>
              </w:rPr>
              <w:t>т</w:t>
            </w:r>
            <w:r w:rsidR="00A56E08">
              <w:rPr>
                <w:rFonts w:ascii="Arial" w:hAnsi="Arial" w:cs="Arial"/>
                <w:b/>
                <w:color w:val="000000"/>
                <w:lang w:val="sr-Cyrl-BA"/>
              </w:rPr>
              <w:t>акн</w:t>
            </w:r>
            <w:r>
              <w:rPr>
                <w:rFonts w:ascii="Arial" w:hAnsi="Arial" w:cs="Arial"/>
                <w:b/>
                <w:color w:val="000000"/>
                <w:lang w:val="sr-Cyrl-BA"/>
              </w:rPr>
              <w:t>ут</w:t>
            </w:r>
            <w:r w:rsidR="00A56E08">
              <w:rPr>
                <w:rFonts w:ascii="Arial" w:hAnsi="Arial" w:cs="Arial"/>
                <w:b/>
                <w:color w:val="000000"/>
                <w:lang w:val="sr-Cyrl-BA"/>
              </w:rPr>
              <w:t>и</w:t>
            </w:r>
            <w:r w:rsidR="00892898" w:rsidRPr="00F6340E">
              <w:rPr>
                <w:rFonts w:ascii="Arial" w:hAnsi="Arial" w:cs="Arial"/>
                <w:b/>
                <w:color w:val="000000"/>
                <w:lang w:val="sr-Cyrl-BA"/>
              </w:rPr>
              <w:t>/</w:t>
            </w:r>
            <w:r w:rsidR="00A56E08">
              <w:rPr>
                <w:rFonts w:ascii="Arial" w:hAnsi="Arial" w:cs="Arial"/>
                <w:b/>
                <w:color w:val="000000"/>
                <w:lang w:val="sr-Cyrl-BA"/>
              </w:rPr>
              <w:t>оба</w:t>
            </w:r>
            <w:r>
              <w:rPr>
                <w:rFonts w:ascii="Arial" w:hAnsi="Arial" w:cs="Arial"/>
                <w:b/>
                <w:color w:val="000000"/>
                <w:lang w:val="sr-Cyrl-BA"/>
              </w:rPr>
              <w:t>в</w:t>
            </w:r>
            <w:r w:rsidR="00EE6AA2">
              <w:rPr>
                <w:rFonts w:ascii="Arial" w:hAnsi="Arial" w:cs="Arial"/>
                <w:b/>
                <w:color w:val="000000"/>
                <w:lang w:val="sr-Cyrl-BA"/>
              </w:rPr>
              <w:t>е</w:t>
            </w:r>
            <w:r w:rsidR="00171F00">
              <w:rPr>
                <w:rFonts w:ascii="Arial" w:hAnsi="Arial" w:cs="Arial"/>
                <w:b/>
                <w:color w:val="000000"/>
                <w:lang w:val="sr-Cyrl-BA"/>
              </w:rPr>
              <w:t>з</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Pr>
                <w:rFonts w:ascii="Arial" w:hAnsi="Arial" w:cs="Arial"/>
                <w:b/>
                <w:color w:val="000000"/>
                <w:lang w:val="sr-Cyrl-BA"/>
              </w:rPr>
              <w:t>ст</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ник</w:t>
            </w:r>
            <w:r w:rsidR="00EE6AA2">
              <w:rPr>
                <w:rFonts w:ascii="Arial" w:hAnsi="Arial" w:cs="Arial"/>
                <w:b/>
                <w:color w:val="000000"/>
                <w:lang w:val="sr-Cyrl-BA"/>
              </w:rPr>
              <w:t>е</w:t>
            </w:r>
            <w:r w:rsidR="006D7853" w:rsidRPr="00F6340E">
              <w:rPr>
                <w:rFonts w:ascii="Arial" w:hAnsi="Arial" w:cs="Arial"/>
                <w:b/>
                <w:color w:val="000000"/>
                <w:lang w:val="sr-Cyrl-BA"/>
              </w:rPr>
              <w:t xml:space="preserve"> </w:t>
            </w:r>
            <w:r w:rsidR="00A56E08">
              <w:rPr>
                <w:rFonts w:ascii="Arial" w:hAnsi="Arial" w:cs="Arial"/>
                <w:b/>
                <w:color w:val="000000"/>
                <w:lang w:val="sr-Cyrl-BA"/>
              </w:rPr>
              <w:t>на</w:t>
            </w:r>
            <w:r w:rsidR="00892898" w:rsidRPr="00F6340E">
              <w:rPr>
                <w:rFonts w:ascii="Arial" w:hAnsi="Arial" w:cs="Arial"/>
                <w:b/>
                <w:color w:val="000000"/>
                <w:lang w:val="sr-Cyrl-BA"/>
              </w:rPr>
              <w:t xml:space="preserve"> </w:t>
            </w:r>
            <w:r>
              <w:rPr>
                <w:rFonts w:ascii="Arial" w:hAnsi="Arial" w:cs="Arial"/>
                <w:b/>
                <w:color w:val="000000"/>
                <w:lang w:val="sr-Cyrl-BA"/>
              </w:rPr>
              <w:t>р</w:t>
            </w:r>
            <w:r w:rsidR="00EE6AA2">
              <w:rPr>
                <w:rFonts w:ascii="Arial" w:hAnsi="Arial" w:cs="Arial"/>
                <w:b/>
                <w:color w:val="000000"/>
                <w:lang w:val="sr-Cyrl-BA"/>
              </w:rPr>
              <w:t>е</w:t>
            </w:r>
            <w:r w:rsidR="00A56E08">
              <w:rPr>
                <w:rFonts w:ascii="Arial" w:hAnsi="Arial" w:cs="Arial"/>
                <w:b/>
                <w:color w:val="000000"/>
                <w:lang w:val="sr-Cyrl-BA"/>
              </w:rPr>
              <w:t>до</w:t>
            </w:r>
            <w:r>
              <w:rPr>
                <w:rFonts w:ascii="Arial" w:hAnsi="Arial" w:cs="Arial"/>
                <w:b/>
                <w:color w:val="000000"/>
                <w:lang w:val="sr-Cyrl-BA"/>
              </w:rPr>
              <w:t>в</w:t>
            </w:r>
            <w:r w:rsidR="00A56E08">
              <w:rPr>
                <w:rFonts w:ascii="Arial" w:hAnsi="Arial" w:cs="Arial"/>
                <w:b/>
                <w:color w:val="000000"/>
                <w:lang w:val="sr-Cyrl-BA"/>
              </w:rPr>
              <w:t>н</w:t>
            </w: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уп</w:t>
            </w:r>
            <w:r w:rsidR="00A56E08">
              <w:rPr>
                <w:rFonts w:ascii="Arial" w:hAnsi="Arial" w:cs="Arial"/>
                <w:b/>
                <w:color w:val="000000"/>
                <w:lang w:val="sr-Cyrl-BA"/>
              </w:rPr>
              <w:t>о</w:t>
            </w:r>
            <w:r>
              <w:rPr>
                <w:rFonts w:ascii="Arial" w:hAnsi="Arial" w:cs="Arial"/>
                <w:b/>
                <w:color w:val="000000"/>
                <w:lang w:val="sr-Cyrl-BA"/>
              </w:rPr>
              <w:t>тр</w:t>
            </w:r>
            <w:r w:rsidR="00EE6AA2">
              <w:rPr>
                <w:rFonts w:ascii="Arial" w:hAnsi="Arial" w:cs="Arial"/>
                <w:b/>
                <w:color w:val="000000"/>
                <w:lang w:val="sr-Cyrl-BA"/>
              </w:rPr>
              <w:t>е</w:t>
            </w:r>
            <w:r w:rsidR="00A56E08">
              <w:rPr>
                <w:rFonts w:ascii="Arial" w:hAnsi="Arial" w:cs="Arial"/>
                <w:b/>
                <w:color w:val="000000"/>
                <w:lang w:val="sr-Cyrl-BA"/>
              </w:rPr>
              <w:t>б</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инфо</w:t>
            </w:r>
            <w:r>
              <w:rPr>
                <w:rFonts w:ascii="Arial" w:hAnsi="Arial" w:cs="Arial"/>
                <w:b/>
                <w:color w:val="000000"/>
                <w:lang w:val="sr-Cyrl-BA"/>
              </w:rPr>
              <w:t>р</w:t>
            </w:r>
            <w:r w:rsidR="00A56E08">
              <w:rPr>
                <w:rFonts w:ascii="Arial" w:hAnsi="Arial" w:cs="Arial"/>
                <w:b/>
                <w:color w:val="000000"/>
                <w:lang w:val="sr-Cyrl-BA"/>
              </w:rPr>
              <w:t>ма</w:t>
            </w:r>
            <w:r>
              <w:rPr>
                <w:rFonts w:ascii="Arial" w:hAnsi="Arial" w:cs="Arial"/>
                <w:b/>
                <w:color w:val="000000"/>
                <w:lang w:val="sr-Cyrl-BA"/>
              </w:rPr>
              <w:t>т</w:t>
            </w:r>
            <w:r w:rsidR="00A56E08">
              <w:rPr>
                <w:rFonts w:ascii="Arial" w:hAnsi="Arial" w:cs="Arial"/>
                <w:b/>
                <w:color w:val="000000"/>
                <w:lang w:val="sr-Cyrl-BA"/>
              </w:rPr>
              <w:t>ичког</w:t>
            </w:r>
            <w:r w:rsidR="00892898" w:rsidRPr="00F6340E">
              <w:rPr>
                <w:rFonts w:ascii="Arial" w:hAnsi="Arial" w:cs="Arial"/>
                <w:b/>
                <w:color w:val="000000"/>
                <w:lang w:val="sr-Cyrl-BA"/>
              </w:rPr>
              <w:t xml:space="preserve"> </w:t>
            </w:r>
            <w:r>
              <w:rPr>
                <w:rFonts w:ascii="Arial" w:hAnsi="Arial" w:cs="Arial"/>
                <w:b/>
                <w:color w:val="000000"/>
                <w:lang w:val="sr-Cyrl-BA"/>
              </w:rPr>
              <w:t>с</w:t>
            </w:r>
            <w:r w:rsidR="00A56E08">
              <w:rPr>
                <w:rFonts w:ascii="Arial" w:hAnsi="Arial" w:cs="Arial"/>
                <w:b/>
                <w:color w:val="000000"/>
                <w:lang w:val="sr-Cyrl-BA"/>
              </w:rPr>
              <w:t>и</w:t>
            </w:r>
            <w:r>
              <w:rPr>
                <w:rFonts w:ascii="Arial" w:hAnsi="Arial" w:cs="Arial"/>
                <w:b/>
                <w:color w:val="000000"/>
                <w:lang w:val="sr-Cyrl-BA"/>
              </w:rPr>
              <w:t>ст</w:t>
            </w:r>
            <w:r w:rsidR="00EE6AA2">
              <w:rPr>
                <w:rFonts w:ascii="Arial" w:hAnsi="Arial" w:cs="Arial"/>
                <w:b/>
                <w:color w:val="000000"/>
                <w:lang w:val="sr-Cyrl-BA"/>
              </w:rPr>
              <w:t>е</w:t>
            </w:r>
            <w:r w:rsidR="00A56E08">
              <w:rPr>
                <w:rFonts w:ascii="Arial" w:hAnsi="Arial" w:cs="Arial"/>
                <w:b/>
                <w:color w:val="000000"/>
                <w:lang w:val="sr-Cyrl-BA"/>
              </w:rPr>
              <w:t>ма</w:t>
            </w:r>
            <w:r w:rsidR="006D7853" w:rsidRPr="00F6340E">
              <w:rPr>
                <w:rFonts w:ascii="Arial" w:hAnsi="Arial" w:cs="Arial"/>
                <w:b/>
                <w:color w:val="000000"/>
                <w:lang w:val="sr-Cyrl-BA"/>
              </w:rPr>
              <w:t xml:space="preserve">, </w:t>
            </w:r>
            <w:r w:rsidR="00A56E08">
              <w:rPr>
                <w:rFonts w:ascii="Arial" w:hAnsi="Arial" w:cs="Arial"/>
                <w:b/>
                <w:color w:val="000000"/>
                <w:lang w:val="sr-Cyrl-BA"/>
              </w:rPr>
              <w:t>али</w:t>
            </w:r>
            <w:r w:rsidR="006D7853"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и</w:t>
            </w:r>
            <w:r w:rsidR="006D7853" w:rsidRPr="00F6340E">
              <w:rPr>
                <w:rFonts w:ascii="Arial" w:hAnsi="Arial" w:cs="Arial"/>
                <w:b/>
                <w:color w:val="000000"/>
                <w:lang w:val="sr-Cyrl-BA"/>
              </w:rPr>
              <w:t xml:space="preserve"> </w:t>
            </w:r>
            <w:r>
              <w:rPr>
                <w:rFonts w:ascii="Arial" w:hAnsi="Arial" w:cs="Arial"/>
                <w:b/>
                <w:color w:val="000000"/>
                <w:lang w:val="sr-Cyrl-BA"/>
              </w:rPr>
              <w:t>т</w:t>
            </w:r>
            <w:r w:rsidR="00A56E08">
              <w:rPr>
                <w:rFonts w:ascii="Arial" w:hAnsi="Arial" w:cs="Arial"/>
                <w:b/>
                <w:color w:val="000000"/>
                <w:lang w:val="sr-Cyrl-BA"/>
              </w:rPr>
              <w:t>ом</w:t>
            </w:r>
            <w:r w:rsidR="00EE6AA2">
              <w:rPr>
                <w:rFonts w:ascii="Arial" w:hAnsi="Arial" w:cs="Arial"/>
                <w:b/>
                <w:color w:val="000000"/>
                <w:lang w:val="sr-Cyrl-BA"/>
              </w:rPr>
              <w:t>е</w:t>
            </w:r>
            <w:r w:rsidR="006D7853" w:rsidRPr="00F6340E">
              <w:rPr>
                <w:rFonts w:ascii="Arial" w:hAnsi="Arial" w:cs="Arial"/>
                <w:b/>
                <w:color w:val="000000"/>
                <w:lang w:val="sr-Cyrl-BA"/>
              </w:rPr>
              <w:t xml:space="preserve"> </w:t>
            </w:r>
            <w:r w:rsidR="00A56E08">
              <w:rPr>
                <w:rFonts w:ascii="Arial" w:hAnsi="Arial" w:cs="Arial"/>
                <w:b/>
                <w:color w:val="000000"/>
                <w:lang w:val="sr-Cyrl-BA"/>
              </w:rPr>
              <w:t>и</w:t>
            </w:r>
            <w:r w:rsidR="006D7853" w:rsidRPr="00F6340E">
              <w:rPr>
                <w:rFonts w:ascii="Arial" w:hAnsi="Arial" w:cs="Arial"/>
                <w:b/>
                <w:color w:val="000000"/>
                <w:lang w:val="sr-Cyrl-BA"/>
              </w:rPr>
              <w:t xml:space="preserve"> </w:t>
            </w:r>
            <w:r>
              <w:rPr>
                <w:rFonts w:ascii="Arial" w:hAnsi="Arial" w:cs="Arial"/>
                <w:b/>
                <w:color w:val="000000"/>
                <w:lang w:val="sr-Cyrl-BA"/>
              </w:rPr>
              <w:t>пру</w:t>
            </w:r>
            <w:r w:rsidR="00171F00">
              <w:rPr>
                <w:rFonts w:ascii="Arial" w:hAnsi="Arial" w:cs="Arial"/>
                <w:b/>
                <w:color w:val="000000"/>
                <w:lang w:val="sr-Cyrl-BA"/>
              </w:rPr>
              <w:t>ж</w:t>
            </w:r>
            <w:r w:rsidR="00A56E08">
              <w:rPr>
                <w:rFonts w:ascii="Arial" w:hAnsi="Arial" w:cs="Arial"/>
                <w:b/>
                <w:color w:val="000000"/>
                <w:lang w:val="sr-Cyrl-BA"/>
              </w:rPr>
              <w:t>и</w:t>
            </w:r>
            <w:r>
              <w:rPr>
                <w:rFonts w:ascii="Arial" w:hAnsi="Arial" w:cs="Arial"/>
                <w:b/>
                <w:color w:val="000000"/>
                <w:lang w:val="sr-Cyrl-BA"/>
              </w:rPr>
              <w:t>т</w:t>
            </w:r>
            <w:r w:rsidR="00A56E08">
              <w:rPr>
                <w:rFonts w:ascii="Arial" w:hAnsi="Arial" w:cs="Arial"/>
                <w:b/>
                <w:color w:val="000000"/>
                <w:lang w:val="sr-Cyrl-BA"/>
              </w:rPr>
              <w:t>и</w:t>
            </w:r>
            <w:r w:rsidR="006D7853" w:rsidRPr="00F6340E">
              <w:rPr>
                <w:rFonts w:ascii="Arial" w:hAnsi="Arial" w:cs="Arial"/>
                <w:b/>
                <w:color w:val="000000"/>
                <w:lang w:val="sr-Cyrl-BA"/>
              </w:rPr>
              <w:t xml:space="preserve"> </w:t>
            </w:r>
            <w:r w:rsidR="00A56E08">
              <w:rPr>
                <w:rFonts w:ascii="Arial" w:hAnsi="Arial" w:cs="Arial"/>
                <w:b/>
                <w:color w:val="000000"/>
                <w:lang w:val="sr-Cyrl-BA"/>
              </w:rPr>
              <w:t>н</w:t>
            </w:r>
            <w:r w:rsidR="00EE6AA2">
              <w:rPr>
                <w:rFonts w:ascii="Arial" w:hAnsi="Arial" w:cs="Arial"/>
                <w:b/>
                <w:color w:val="000000"/>
                <w:lang w:val="sr-Cyrl-BA"/>
              </w:rPr>
              <w:t>е</w:t>
            </w:r>
            <w:r w:rsidR="00A56E08">
              <w:rPr>
                <w:rFonts w:ascii="Arial" w:hAnsi="Arial" w:cs="Arial"/>
                <w:b/>
                <w:color w:val="000000"/>
                <w:lang w:val="sr-Cyrl-BA"/>
              </w:rPr>
              <w:t>о</w:t>
            </w:r>
            <w:r>
              <w:rPr>
                <w:rFonts w:ascii="Arial" w:hAnsi="Arial" w:cs="Arial"/>
                <w:b/>
                <w:color w:val="000000"/>
                <w:lang w:val="sr-Cyrl-BA"/>
              </w:rPr>
              <w:t>п</w:t>
            </w:r>
            <w:r w:rsidR="00A56E08">
              <w:rPr>
                <w:rFonts w:ascii="Arial" w:hAnsi="Arial" w:cs="Arial"/>
                <w:b/>
                <w:color w:val="000000"/>
                <w:lang w:val="sr-Cyrl-BA"/>
              </w:rPr>
              <w:t>ходн</w:t>
            </w:r>
            <w:r>
              <w:rPr>
                <w:rFonts w:ascii="Arial" w:hAnsi="Arial" w:cs="Arial"/>
                <w:b/>
                <w:color w:val="000000"/>
                <w:lang w:val="sr-Cyrl-BA"/>
              </w:rPr>
              <w:t>у</w:t>
            </w:r>
            <w:r w:rsidR="006D7853" w:rsidRPr="00F6340E">
              <w:rPr>
                <w:rFonts w:ascii="Arial" w:hAnsi="Arial" w:cs="Arial"/>
                <w:b/>
                <w:color w:val="000000"/>
                <w:lang w:val="sr-Cyrl-BA"/>
              </w:rPr>
              <w:t xml:space="preserve"> </w:t>
            </w:r>
            <w:r>
              <w:rPr>
                <w:rFonts w:ascii="Arial" w:hAnsi="Arial" w:cs="Arial"/>
                <w:b/>
                <w:color w:val="000000"/>
                <w:lang w:val="sr-Cyrl-BA"/>
              </w:rPr>
              <w:t>стру</w:t>
            </w:r>
            <w:r w:rsidR="00A56E08">
              <w:rPr>
                <w:rFonts w:ascii="Arial" w:hAnsi="Arial" w:cs="Arial"/>
                <w:b/>
                <w:color w:val="000000"/>
                <w:lang w:val="sr-Cyrl-BA"/>
              </w:rPr>
              <w:t>чн</w:t>
            </w:r>
            <w:r>
              <w:rPr>
                <w:rFonts w:ascii="Arial" w:hAnsi="Arial" w:cs="Arial"/>
                <w:b/>
                <w:color w:val="000000"/>
                <w:lang w:val="sr-Cyrl-BA"/>
              </w:rPr>
              <w:t>у</w:t>
            </w:r>
            <w:r w:rsidR="00123D1A" w:rsidRPr="00F6340E">
              <w:rPr>
                <w:rFonts w:ascii="Arial" w:hAnsi="Arial" w:cs="Arial"/>
                <w:b/>
                <w:color w:val="000000"/>
                <w:lang w:val="sr-Cyrl-BA"/>
              </w:rPr>
              <w:t xml:space="preserve"> </w:t>
            </w:r>
            <w:r w:rsidR="00A56E08">
              <w:rPr>
                <w:rFonts w:ascii="Arial" w:hAnsi="Arial" w:cs="Arial"/>
                <w:b/>
                <w:color w:val="000000"/>
                <w:lang w:val="sr-Cyrl-BA"/>
              </w:rPr>
              <w:t>и</w:t>
            </w:r>
            <w:r w:rsidR="00123D1A" w:rsidRPr="00F6340E">
              <w:rPr>
                <w:rFonts w:ascii="Arial" w:hAnsi="Arial" w:cs="Arial"/>
                <w:b/>
                <w:color w:val="000000"/>
                <w:lang w:val="sr-Cyrl-BA"/>
              </w:rPr>
              <w:t xml:space="preserve"> </w:t>
            </w:r>
            <w:r>
              <w:rPr>
                <w:rFonts w:ascii="Arial" w:hAnsi="Arial" w:cs="Arial"/>
                <w:b/>
                <w:color w:val="000000"/>
                <w:lang w:val="sr-Cyrl-BA"/>
              </w:rPr>
              <w:t>т</w:t>
            </w:r>
            <w:r w:rsidR="00EE6AA2">
              <w:rPr>
                <w:rFonts w:ascii="Arial" w:hAnsi="Arial" w:cs="Arial"/>
                <w:b/>
                <w:color w:val="000000"/>
                <w:lang w:val="sr-Cyrl-BA"/>
              </w:rPr>
              <w:t>е</w:t>
            </w:r>
            <w:r w:rsidR="00A56E08">
              <w:rPr>
                <w:rFonts w:ascii="Arial" w:hAnsi="Arial" w:cs="Arial"/>
                <w:b/>
                <w:color w:val="000000"/>
                <w:lang w:val="sr-Cyrl-BA"/>
              </w:rPr>
              <w:t>хничк</w:t>
            </w:r>
            <w:r>
              <w:rPr>
                <w:rFonts w:ascii="Arial" w:hAnsi="Arial" w:cs="Arial"/>
                <w:b/>
                <w:color w:val="000000"/>
                <w:lang w:val="sr-Cyrl-BA"/>
              </w:rPr>
              <w:t>у</w:t>
            </w:r>
            <w:r w:rsidR="00123D1A"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од</w:t>
            </w:r>
            <w:r>
              <w:rPr>
                <w:rFonts w:ascii="Arial" w:hAnsi="Arial" w:cs="Arial"/>
                <w:b/>
                <w:color w:val="000000"/>
                <w:lang w:val="sr-Cyrl-BA"/>
              </w:rPr>
              <w:t>рш</w:t>
            </w:r>
            <w:r w:rsidR="00A56E08">
              <w:rPr>
                <w:rFonts w:ascii="Arial" w:hAnsi="Arial" w:cs="Arial"/>
                <w:b/>
                <w:color w:val="000000"/>
                <w:lang w:val="sr-Cyrl-BA"/>
              </w:rPr>
              <w:t>к</w:t>
            </w:r>
            <w:r>
              <w:rPr>
                <w:rFonts w:ascii="Arial" w:hAnsi="Arial" w:cs="Arial"/>
                <w:b/>
                <w:color w:val="000000"/>
                <w:lang w:val="sr-Cyrl-BA"/>
              </w:rPr>
              <w:t>у</w:t>
            </w:r>
            <w:r w:rsidR="006D7853" w:rsidRPr="00F6340E">
              <w:rPr>
                <w:rFonts w:ascii="Arial" w:hAnsi="Arial" w:cs="Arial"/>
                <w:b/>
                <w:color w:val="000000"/>
                <w:lang w:val="sr-Cyrl-BA"/>
              </w:rPr>
              <w:t xml:space="preserve"> </w:t>
            </w:r>
          </w:p>
          <w:p w14:paraId="343379F8" w14:textId="2C22C5DB" w:rsidR="00892898" w:rsidRPr="00F6340E" w:rsidRDefault="00A56E08" w:rsidP="00FB5CB7">
            <w:pPr>
              <w:pStyle w:val="ListParagraph"/>
              <w:numPr>
                <w:ilvl w:val="0"/>
                <w:numId w:val="44"/>
              </w:numPr>
              <w:ind w:left="360"/>
              <w:jc w:val="left"/>
              <w:rPr>
                <w:rFonts w:ascii="Arial" w:hAnsi="Arial" w:cs="Arial"/>
                <w:b/>
                <w:color w:val="000000"/>
                <w:lang w:val="sr-Cyrl-BA"/>
              </w:rPr>
            </w:pPr>
            <w:r>
              <w:rPr>
                <w:rFonts w:ascii="Arial" w:hAnsi="Arial" w:cs="Arial"/>
                <w:b/>
                <w:color w:val="000000"/>
                <w:lang w:val="sr-Cyrl-BA"/>
              </w:rPr>
              <w:t>О</w:t>
            </w:r>
            <w:r w:rsidR="0071360A">
              <w:rPr>
                <w:rFonts w:ascii="Arial" w:hAnsi="Arial" w:cs="Arial"/>
                <w:b/>
                <w:color w:val="000000"/>
                <w:lang w:val="sr-Cyrl-BA"/>
              </w:rPr>
              <w:t>с</w:t>
            </w:r>
            <w:r>
              <w:rPr>
                <w:rFonts w:ascii="Arial" w:hAnsi="Arial" w:cs="Arial"/>
                <w:b/>
                <w:color w:val="000000"/>
                <w:lang w:val="sr-Cyrl-BA"/>
              </w:rPr>
              <w:t>иг</w:t>
            </w:r>
            <w:r w:rsidR="0071360A">
              <w:rPr>
                <w:rFonts w:ascii="Arial" w:hAnsi="Arial" w:cs="Arial"/>
                <w:b/>
                <w:color w:val="000000"/>
                <w:lang w:val="sr-Cyrl-BA"/>
              </w:rPr>
              <w:t>ур</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кон</w:t>
            </w:r>
            <w:r w:rsidR="0071360A">
              <w:rPr>
                <w:rFonts w:ascii="Arial" w:hAnsi="Arial" w:cs="Arial"/>
                <w:b/>
                <w:color w:val="000000"/>
                <w:lang w:val="sr-Cyrl-BA"/>
              </w:rPr>
              <w:t>т</w:t>
            </w:r>
            <w:r>
              <w:rPr>
                <w:rFonts w:ascii="Arial" w:hAnsi="Arial" w:cs="Arial"/>
                <w:b/>
                <w:color w:val="000000"/>
                <w:lang w:val="sr-Cyrl-BA"/>
              </w:rPr>
              <w:t>ин</w:t>
            </w:r>
            <w:r w:rsidR="0071360A">
              <w:rPr>
                <w:rFonts w:ascii="Arial" w:hAnsi="Arial" w:cs="Arial"/>
                <w:b/>
                <w:color w:val="000000"/>
                <w:lang w:val="sr-Cyrl-BA"/>
              </w:rPr>
              <w:t>у</w:t>
            </w:r>
            <w:r>
              <w:rPr>
                <w:rFonts w:ascii="Arial" w:hAnsi="Arial" w:cs="Arial"/>
                <w:b/>
                <w:color w:val="000000"/>
                <w:lang w:val="sr-Cyrl-BA"/>
              </w:rPr>
              <w:t>алн</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од</w:t>
            </w:r>
            <w:r w:rsidR="0071360A">
              <w:rPr>
                <w:rFonts w:ascii="Arial" w:hAnsi="Arial" w:cs="Arial"/>
                <w:b/>
                <w:color w:val="000000"/>
                <w:lang w:val="sr-Cyrl-BA"/>
              </w:rPr>
              <w:t>рш</w:t>
            </w:r>
            <w:r>
              <w:rPr>
                <w:rFonts w:ascii="Arial" w:hAnsi="Arial" w:cs="Arial"/>
                <w:b/>
                <w:color w:val="000000"/>
                <w:lang w:val="sr-Cyrl-BA"/>
              </w:rPr>
              <w:t>к</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на</w:t>
            </w:r>
            <w:r w:rsidR="0071360A">
              <w:rPr>
                <w:rFonts w:ascii="Arial" w:hAnsi="Arial" w:cs="Arial"/>
                <w:b/>
                <w:color w:val="000000"/>
                <w:lang w:val="sr-Cyrl-BA"/>
              </w:rPr>
              <w:t>ст</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ницима</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имј</w:t>
            </w:r>
            <w:r w:rsidR="00EE6AA2">
              <w:rPr>
                <w:rFonts w:ascii="Arial" w:hAnsi="Arial" w:cs="Arial"/>
                <w:b/>
                <w:color w:val="000000"/>
                <w:lang w:val="sr-Cyrl-BA"/>
              </w:rPr>
              <w:t>е</w:t>
            </w:r>
            <w:r>
              <w:rPr>
                <w:rFonts w:ascii="Arial" w:hAnsi="Arial" w:cs="Arial"/>
                <w:b/>
                <w:color w:val="000000"/>
                <w:lang w:val="sr-Cyrl-BA"/>
              </w:rPr>
              <w:t>ни</w:t>
            </w:r>
            <w:r w:rsidR="00892898" w:rsidRPr="00F6340E">
              <w:rPr>
                <w:rFonts w:ascii="Arial" w:hAnsi="Arial" w:cs="Arial"/>
                <w:b/>
                <w:color w:val="000000"/>
                <w:lang w:val="sr-Cyrl-BA"/>
              </w:rPr>
              <w:t xml:space="preserve"> </w:t>
            </w:r>
            <w:r>
              <w:rPr>
                <w:rFonts w:ascii="Arial" w:hAnsi="Arial" w:cs="Arial"/>
                <w:b/>
                <w:color w:val="000000"/>
                <w:lang w:val="sr-Cyrl-BA"/>
              </w:rPr>
              <w:t>диги</w:t>
            </w:r>
            <w:r w:rsidR="0071360A">
              <w:rPr>
                <w:rFonts w:ascii="Arial" w:hAnsi="Arial" w:cs="Arial"/>
                <w:b/>
                <w:color w:val="000000"/>
                <w:lang w:val="sr-Cyrl-BA"/>
              </w:rPr>
              <w:t>т</w:t>
            </w:r>
            <w:r>
              <w:rPr>
                <w:rFonts w:ascii="Arial" w:hAnsi="Arial" w:cs="Arial"/>
                <w:b/>
                <w:color w:val="000000"/>
                <w:lang w:val="sr-Cyrl-BA"/>
              </w:rPr>
              <w:t>алних</w:t>
            </w:r>
            <w:r w:rsidR="00892898" w:rsidRPr="00F6340E">
              <w:rPr>
                <w:rFonts w:ascii="Arial" w:hAnsi="Arial" w:cs="Arial"/>
                <w:b/>
                <w:color w:val="000000"/>
                <w:lang w:val="sr-Cyrl-BA"/>
              </w:rPr>
              <w:t xml:space="preserve"> </w:t>
            </w:r>
            <w:r>
              <w:rPr>
                <w:rFonts w:ascii="Arial" w:hAnsi="Arial" w:cs="Arial"/>
                <w:b/>
                <w:color w:val="000000"/>
                <w:lang w:val="sr-Cyrl-BA"/>
              </w:rPr>
              <w:t>ала</w:t>
            </w:r>
            <w:r w:rsidR="0071360A">
              <w:rPr>
                <w:rFonts w:ascii="Arial" w:hAnsi="Arial" w:cs="Arial"/>
                <w:b/>
                <w:color w:val="000000"/>
                <w:lang w:val="sr-Cyrl-BA"/>
              </w:rPr>
              <w:t>т</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с</w:t>
            </w:r>
            <w:r>
              <w:rPr>
                <w:rFonts w:ascii="Arial" w:hAnsi="Arial" w:cs="Arial"/>
                <w:b/>
                <w:color w:val="000000"/>
                <w:lang w:val="sr-Cyrl-BA"/>
              </w:rPr>
              <w:t>амо</w:t>
            </w:r>
            <w:r w:rsidR="00892898" w:rsidRPr="00F6340E">
              <w:rPr>
                <w:rFonts w:ascii="Arial" w:hAnsi="Arial" w:cs="Arial"/>
                <w:b/>
                <w:color w:val="000000"/>
                <w:lang w:val="sr-Cyrl-BA"/>
              </w:rPr>
              <w:t>)</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ања</w:t>
            </w:r>
            <w:r w:rsidR="00892898" w:rsidRPr="00F6340E">
              <w:rPr>
                <w:rFonts w:ascii="Arial" w:hAnsi="Arial" w:cs="Arial"/>
                <w:b/>
                <w:color w:val="000000"/>
                <w:lang w:val="sr-Cyrl-BA"/>
              </w:rPr>
              <w:t xml:space="preserve"> </w:t>
            </w:r>
          </w:p>
          <w:p w14:paraId="0E9C9797" w14:textId="43B6E8F1" w:rsidR="00C74851" w:rsidRPr="00F6340E" w:rsidRDefault="00A56E08" w:rsidP="00FB5CB7">
            <w:pPr>
              <w:pStyle w:val="ListParagraph"/>
              <w:numPr>
                <w:ilvl w:val="0"/>
                <w:numId w:val="44"/>
              </w:numPr>
              <w:ind w:left="360"/>
              <w:jc w:val="left"/>
              <w:rPr>
                <w:rFonts w:ascii="Arial" w:hAnsi="Arial" w:cs="Arial"/>
                <w:b/>
                <w:color w:val="000000"/>
                <w:lang w:val="sr-Cyrl-BA"/>
              </w:rPr>
            </w:pPr>
            <w:r>
              <w:rPr>
                <w:rFonts w:ascii="Arial" w:eastAsia="Times New Roman" w:hAnsi="Arial" w:cs="Arial"/>
                <w:b/>
                <w:bCs/>
                <w:iCs/>
                <w:color w:val="000000"/>
                <w:lang w:val="sr-Cyrl-BA"/>
              </w:rPr>
              <w:t>Ојача</w:t>
            </w:r>
            <w:r w:rsidR="0071360A">
              <w:rPr>
                <w:rFonts w:ascii="Arial" w:eastAsia="Times New Roman" w:hAnsi="Arial" w:cs="Arial"/>
                <w:b/>
                <w:bCs/>
                <w:iCs/>
                <w:color w:val="000000"/>
                <w:lang w:val="sr-Cyrl-BA"/>
              </w:rPr>
              <w:t>т</w:t>
            </w:r>
            <w:r>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ка</w:t>
            </w:r>
            <w:r w:rsidR="0071360A">
              <w:rPr>
                <w:rFonts w:ascii="Arial" w:eastAsia="Times New Roman" w:hAnsi="Arial" w:cs="Arial"/>
                <w:b/>
                <w:bCs/>
                <w:iCs/>
                <w:color w:val="000000"/>
                <w:lang w:val="sr-Cyrl-BA"/>
              </w:rPr>
              <w:t>п</w:t>
            </w:r>
            <w:r>
              <w:rPr>
                <w:rFonts w:ascii="Arial" w:eastAsia="Times New Roman" w:hAnsi="Arial" w:cs="Arial"/>
                <w:b/>
                <w:bCs/>
                <w:iCs/>
                <w:color w:val="000000"/>
                <w:lang w:val="sr-Cyrl-BA"/>
              </w:rPr>
              <w:t>аци</w:t>
            </w:r>
            <w:r w:rsidR="0071360A">
              <w:rPr>
                <w:rFonts w:ascii="Arial" w:eastAsia="Times New Roman" w:hAnsi="Arial" w:cs="Arial"/>
                <w:b/>
                <w:bCs/>
                <w:iCs/>
                <w:color w:val="000000"/>
                <w:lang w:val="sr-Cyrl-BA"/>
              </w:rPr>
              <w:t>т</w:t>
            </w:r>
            <w:r w:rsidR="00EE6AA2">
              <w:rPr>
                <w:rFonts w:ascii="Arial" w:eastAsia="Times New Roman" w:hAnsi="Arial" w:cs="Arial"/>
                <w:b/>
                <w:bCs/>
                <w:iCs/>
                <w:color w:val="000000"/>
                <w:lang w:val="sr-Cyrl-BA"/>
              </w:rPr>
              <w:t>е</w:t>
            </w:r>
            <w:r w:rsidR="0071360A">
              <w:rPr>
                <w:rFonts w:ascii="Arial" w:eastAsia="Times New Roman" w:hAnsi="Arial" w:cs="Arial"/>
                <w:b/>
                <w:bCs/>
                <w:iCs/>
                <w:color w:val="000000"/>
                <w:lang w:val="sr-Cyrl-BA"/>
              </w:rPr>
              <w:t>т</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стру</w:t>
            </w:r>
            <w:r>
              <w:rPr>
                <w:rFonts w:ascii="Arial" w:eastAsia="Times New Roman" w:hAnsi="Arial" w:cs="Arial"/>
                <w:b/>
                <w:bCs/>
                <w:iCs/>
                <w:color w:val="000000"/>
                <w:lang w:val="sr-Cyrl-BA"/>
              </w:rPr>
              <w:t>чних</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с</w:t>
            </w:r>
            <w:r>
              <w:rPr>
                <w:rFonts w:ascii="Arial" w:eastAsia="Times New Roman" w:hAnsi="Arial" w:cs="Arial"/>
                <w:b/>
                <w:bCs/>
                <w:iCs/>
                <w:color w:val="000000"/>
                <w:lang w:val="sr-Cyrl-BA"/>
              </w:rPr>
              <w:t>а</w:t>
            </w:r>
            <w:r w:rsidR="0071360A">
              <w:rPr>
                <w:rFonts w:ascii="Arial" w:eastAsia="Times New Roman" w:hAnsi="Arial" w:cs="Arial"/>
                <w:b/>
                <w:bCs/>
                <w:iCs/>
                <w:color w:val="000000"/>
                <w:lang w:val="sr-Cyrl-BA"/>
              </w:rPr>
              <w:t>в</w:t>
            </w:r>
            <w:r>
              <w:rPr>
                <w:rFonts w:ascii="Arial" w:eastAsia="Times New Roman" w:hAnsi="Arial" w:cs="Arial"/>
                <w:b/>
                <w:bCs/>
                <w:iCs/>
                <w:color w:val="000000"/>
                <w:lang w:val="sr-Cyrl-BA"/>
              </w:rPr>
              <w:t>ј</w:t>
            </w:r>
            <w:r w:rsidR="00EE6AA2">
              <w:rPr>
                <w:rFonts w:ascii="Arial" w:eastAsia="Times New Roman" w:hAnsi="Arial" w:cs="Arial"/>
                <w:b/>
                <w:bCs/>
                <w:iCs/>
                <w:color w:val="000000"/>
                <w:lang w:val="sr-Cyrl-BA"/>
              </w:rPr>
              <w:t>е</w:t>
            </w:r>
            <w:r w:rsidR="0071360A">
              <w:rPr>
                <w:rFonts w:ascii="Arial" w:eastAsia="Times New Roman" w:hAnsi="Arial" w:cs="Arial"/>
                <w:b/>
                <w:bCs/>
                <w:iCs/>
                <w:color w:val="000000"/>
                <w:lang w:val="sr-Cyrl-BA"/>
              </w:rPr>
              <w:t>т</w:t>
            </w:r>
            <w:r>
              <w:rPr>
                <w:rFonts w:ascii="Arial" w:eastAsia="Times New Roman" w:hAnsi="Arial" w:cs="Arial"/>
                <w:b/>
                <w:bCs/>
                <w:iCs/>
                <w:color w:val="000000"/>
                <w:lang w:val="sr-Cyrl-BA"/>
              </w:rPr>
              <w:t>ника</w:t>
            </w:r>
            <w:r w:rsidR="00892898"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да</w:t>
            </w:r>
            <w:r w:rsidR="0071360A">
              <w:rPr>
                <w:rFonts w:ascii="Arial" w:eastAsia="Times New Roman" w:hAnsi="Arial" w:cs="Arial"/>
                <w:b/>
                <w:bCs/>
                <w:iCs/>
                <w:color w:val="000000"/>
                <w:lang w:val="sr-Cyrl-BA"/>
              </w:rPr>
              <w:t>в</w:t>
            </w:r>
            <w:r>
              <w:rPr>
                <w:rFonts w:ascii="Arial" w:eastAsia="Times New Roman" w:hAnsi="Arial" w:cs="Arial"/>
                <w:b/>
                <w:bCs/>
                <w:iCs/>
                <w:color w:val="000000"/>
                <w:lang w:val="sr-Cyrl-BA"/>
              </w:rPr>
              <w:t>ањ</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п</w:t>
            </w:r>
            <w:r>
              <w:rPr>
                <w:rFonts w:ascii="Arial" w:eastAsia="Times New Roman" w:hAnsi="Arial" w:cs="Arial"/>
                <w:b/>
                <w:bCs/>
                <w:iCs/>
                <w:color w:val="000000"/>
                <w:lang w:val="sr-Cyrl-BA"/>
              </w:rPr>
              <w:t>од</w:t>
            </w:r>
            <w:r w:rsidR="0071360A">
              <w:rPr>
                <w:rFonts w:ascii="Arial" w:eastAsia="Times New Roman" w:hAnsi="Arial" w:cs="Arial"/>
                <w:b/>
                <w:bCs/>
                <w:iCs/>
                <w:color w:val="000000"/>
                <w:lang w:val="sr-Cyrl-BA"/>
              </w:rPr>
              <w:t>рш</w:t>
            </w:r>
            <w:r>
              <w:rPr>
                <w:rFonts w:ascii="Arial" w:eastAsia="Times New Roman" w:hAnsi="Arial" w:cs="Arial"/>
                <w:b/>
                <w:bCs/>
                <w:iCs/>
                <w:color w:val="000000"/>
                <w:lang w:val="sr-Cyrl-BA"/>
              </w:rPr>
              <w:t>к</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ш</w:t>
            </w:r>
            <w:r>
              <w:rPr>
                <w:rFonts w:ascii="Arial" w:eastAsia="Times New Roman" w:hAnsi="Arial" w:cs="Arial"/>
                <w:b/>
                <w:bCs/>
                <w:iCs/>
                <w:color w:val="000000"/>
                <w:lang w:val="sr-Cyrl-BA"/>
              </w:rPr>
              <w:t>колама</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у</w:t>
            </w:r>
            <w:r w:rsidR="00892898" w:rsidRPr="00F6340E">
              <w:rPr>
                <w:rFonts w:ascii="Arial" w:eastAsia="Times New Roman" w:hAnsi="Arial" w:cs="Arial"/>
                <w:b/>
                <w:bCs/>
                <w:iCs/>
                <w:color w:val="000000"/>
                <w:lang w:val="sr-Cyrl-BA"/>
              </w:rPr>
              <w:t xml:space="preserve"> (</w:t>
            </w:r>
            <w:r w:rsidR="0071360A">
              <w:rPr>
                <w:rFonts w:ascii="Arial" w:eastAsia="Times New Roman" w:hAnsi="Arial" w:cs="Arial"/>
                <w:b/>
                <w:bCs/>
                <w:iCs/>
                <w:color w:val="000000"/>
                <w:lang w:val="sr-Cyrl-BA"/>
              </w:rPr>
              <w:t>с</w:t>
            </w:r>
            <w:r>
              <w:rPr>
                <w:rFonts w:ascii="Arial" w:eastAsia="Times New Roman" w:hAnsi="Arial" w:cs="Arial"/>
                <w:b/>
                <w:bCs/>
                <w:iCs/>
                <w:color w:val="000000"/>
                <w:lang w:val="sr-Cyrl-BA"/>
              </w:rPr>
              <w:t>амо</w:t>
            </w:r>
            <w:r w:rsidR="00892898" w:rsidRPr="00F6340E">
              <w:rPr>
                <w:rFonts w:ascii="Arial" w:eastAsia="Times New Roman" w:hAnsi="Arial" w:cs="Arial"/>
                <w:b/>
                <w:bCs/>
                <w:iCs/>
                <w:color w:val="000000"/>
                <w:lang w:val="sr-Cyrl-BA"/>
              </w:rPr>
              <w:t>)</w:t>
            </w:r>
            <w:r w:rsidR="0071360A">
              <w:rPr>
                <w:rFonts w:ascii="Arial" w:eastAsia="Times New Roman" w:hAnsi="Arial" w:cs="Arial"/>
                <w:b/>
                <w:bCs/>
                <w:iCs/>
                <w:color w:val="000000"/>
                <w:lang w:val="sr-Cyrl-BA"/>
              </w:rPr>
              <w:t>пр</w:t>
            </w:r>
            <w:r>
              <w:rPr>
                <w:rFonts w:ascii="Arial" w:eastAsia="Times New Roman" w:hAnsi="Arial" w:cs="Arial"/>
                <w:b/>
                <w:bCs/>
                <w:iCs/>
                <w:color w:val="000000"/>
                <w:lang w:val="sr-Cyrl-BA"/>
              </w:rPr>
              <w:t>оцј</w:t>
            </w:r>
            <w:r w:rsidR="00EE6AA2">
              <w:rPr>
                <w:rFonts w:ascii="Arial" w:eastAsia="Times New Roman" w:hAnsi="Arial" w:cs="Arial"/>
                <w:b/>
                <w:bCs/>
                <w:iCs/>
                <w:color w:val="000000"/>
                <w:lang w:val="sr-Cyrl-BA"/>
              </w:rPr>
              <w:t>е</w:t>
            </w:r>
            <w:r>
              <w:rPr>
                <w:rFonts w:ascii="Arial" w:eastAsia="Times New Roman" w:hAnsi="Arial" w:cs="Arial"/>
                <w:b/>
                <w:bCs/>
                <w:iCs/>
                <w:color w:val="000000"/>
                <w:lang w:val="sr-Cyrl-BA"/>
              </w:rPr>
              <w:t>ни</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диги</w:t>
            </w:r>
            <w:r w:rsidR="0071360A">
              <w:rPr>
                <w:rFonts w:ascii="Arial" w:eastAsia="Times New Roman" w:hAnsi="Arial" w:cs="Arial"/>
                <w:b/>
                <w:bCs/>
                <w:iCs/>
                <w:color w:val="000000"/>
                <w:lang w:val="sr-Cyrl-BA"/>
              </w:rPr>
              <w:t>т</w:t>
            </w:r>
            <w:r>
              <w:rPr>
                <w:rFonts w:ascii="Arial" w:eastAsia="Times New Roman" w:hAnsi="Arial" w:cs="Arial"/>
                <w:b/>
                <w:bCs/>
                <w:iCs/>
                <w:color w:val="000000"/>
                <w:lang w:val="sr-Cyrl-BA"/>
              </w:rPr>
              <w:t>алн</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sidR="0071360A">
              <w:rPr>
                <w:rFonts w:ascii="Arial" w:eastAsia="Times New Roman" w:hAnsi="Arial" w:cs="Arial"/>
                <w:b/>
                <w:bCs/>
                <w:iCs/>
                <w:color w:val="000000"/>
                <w:lang w:val="sr-Cyrl-BA"/>
              </w:rPr>
              <w:t>р</w:t>
            </w:r>
            <w:r w:rsidR="00EE6AA2">
              <w:rPr>
                <w:rFonts w:ascii="Arial" w:eastAsia="Times New Roman" w:hAnsi="Arial" w:cs="Arial"/>
                <w:b/>
                <w:bCs/>
                <w:iCs/>
                <w:color w:val="000000"/>
                <w:lang w:val="sr-Cyrl-BA"/>
              </w:rPr>
              <w:t>е</w:t>
            </w:r>
            <w:r>
              <w:rPr>
                <w:rFonts w:ascii="Arial" w:eastAsia="Times New Roman" w:hAnsi="Arial" w:cs="Arial"/>
                <w:b/>
                <w:bCs/>
                <w:iCs/>
                <w:color w:val="000000"/>
                <w:lang w:val="sr-Cyrl-BA"/>
              </w:rPr>
              <w:t>ло</w:t>
            </w:r>
            <w:r w:rsidR="0071360A">
              <w:rPr>
                <w:rFonts w:ascii="Arial" w:eastAsia="Times New Roman" w:hAnsi="Arial" w:cs="Arial"/>
                <w:b/>
                <w:bCs/>
                <w:iCs/>
                <w:color w:val="000000"/>
                <w:lang w:val="sr-Cyrl-BA"/>
              </w:rPr>
              <w:t>ст</w:t>
            </w:r>
            <w:r>
              <w:rPr>
                <w:rFonts w:ascii="Arial" w:eastAsia="Times New Roman" w:hAnsi="Arial" w:cs="Arial"/>
                <w:b/>
                <w:bCs/>
                <w:iCs/>
                <w:color w:val="000000"/>
                <w:lang w:val="sr-Cyrl-BA"/>
              </w:rPr>
              <w:t>и</w:t>
            </w:r>
          </w:p>
          <w:p w14:paraId="51ABF711" w14:textId="0194637D" w:rsidR="00892898" w:rsidRPr="00F6340E" w:rsidRDefault="00A56E08" w:rsidP="00FB5CB7">
            <w:pPr>
              <w:pStyle w:val="ListParagraph"/>
              <w:ind w:left="360"/>
              <w:jc w:val="left"/>
              <w:rPr>
                <w:rFonts w:ascii="Arial" w:hAnsi="Arial" w:cs="Arial"/>
                <w:b/>
                <w:color w:val="000000"/>
                <w:sz w:val="28"/>
                <w:lang w:val="sr-Cyrl-BA"/>
              </w:rPr>
            </w:pPr>
            <w:r>
              <w:rPr>
                <w:rFonts w:ascii="Arial" w:eastAsia="Times New Roman" w:hAnsi="Arial" w:cs="Arial"/>
                <w:color w:val="000000"/>
                <w:szCs w:val="22"/>
                <w:lang w:val="sr-Cyrl-BA"/>
              </w:rPr>
              <w:t>Надл</w:t>
            </w:r>
            <w:r w:rsidR="00EE6AA2">
              <w:rPr>
                <w:rFonts w:ascii="Arial" w:eastAsia="Times New Roman" w:hAnsi="Arial" w:cs="Arial"/>
                <w:color w:val="000000"/>
                <w:szCs w:val="22"/>
                <w:lang w:val="sr-Cyrl-BA"/>
              </w:rPr>
              <w:t>е</w:t>
            </w:r>
            <w:r w:rsidR="00171F00">
              <w:rPr>
                <w:rFonts w:ascii="Arial" w:eastAsia="Times New Roman" w:hAnsi="Arial" w:cs="Arial"/>
                <w:color w:val="000000"/>
                <w:szCs w:val="22"/>
                <w:lang w:val="sr-Cyrl-BA"/>
              </w:rPr>
              <w:t>ж</w:t>
            </w:r>
            <w:r>
              <w:rPr>
                <w:rFonts w:ascii="Arial" w:eastAsia="Times New Roman" w:hAnsi="Arial" w:cs="Arial"/>
                <w:color w:val="000000"/>
                <w:szCs w:val="22"/>
                <w:lang w:val="sr-Cyrl-BA"/>
              </w:rPr>
              <w:t>н</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об</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а</w:t>
            </w:r>
            <w:r w:rsidR="00171F00">
              <w:rPr>
                <w:rFonts w:ascii="Arial" w:eastAsia="Times New Roman" w:hAnsi="Arial" w:cs="Arial"/>
                <w:color w:val="000000"/>
                <w:szCs w:val="22"/>
                <w:lang w:val="sr-Cyrl-BA"/>
              </w:rPr>
              <w:t>з</w:t>
            </w:r>
            <w:r>
              <w:rPr>
                <w:rFonts w:ascii="Arial" w:eastAsia="Times New Roman" w:hAnsi="Arial" w:cs="Arial"/>
                <w:color w:val="000000"/>
                <w:szCs w:val="22"/>
                <w:lang w:val="sr-Cyrl-BA"/>
              </w:rPr>
              <w:t>о</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н</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ла</w:t>
            </w:r>
            <w:r w:rsidR="0071360A">
              <w:rPr>
                <w:rFonts w:ascii="Arial" w:eastAsia="Times New Roman" w:hAnsi="Arial" w:cs="Arial"/>
                <w:color w:val="000000"/>
                <w:szCs w:val="22"/>
                <w:lang w:val="sr-Cyrl-BA"/>
              </w:rPr>
              <w:t>ст</w:t>
            </w:r>
            <w:r>
              <w:rPr>
                <w:rFonts w:ascii="Arial" w:eastAsia="Times New Roman" w:hAnsi="Arial" w:cs="Arial"/>
                <w:color w:val="000000"/>
                <w:szCs w:val="22"/>
                <w:lang w:val="sr-Cyrl-BA"/>
              </w:rPr>
              <w:t>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би</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тр</w:t>
            </w:r>
            <w:r w:rsidR="00EE6AA2">
              <w:rPr>
                <w:rFonts w:ascii="Arial" w:eastAsia="Times New Roman" w:hAnsi="Arial" w:cs="Arial"/>
                <w:color w:val="000000"/>
                <w:szCs w:val="22"/>
                <w:lang w:val="sr-Cyrl-BA"/>
              </w:rPr>
              <w:t>е</w:t>
            </w:r>
            <w:r>
              <w:rPr>
                <w:rFonts w:ascii="Arial" w:eastAsia="Times New Roman" w:hAnsi="Arial" w:cs="Arial"/>
                <w:color w:val="000000"/>
                <w:szCs w:val="22"/>
                <w:lang w:val="sr-Cyrl-BA"/>
              </w:rPr>
              <w:t>бал</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п</w:t>
            </w:r>
            <w:r>
              <w:rPr>
                <w:rFonts w:ascii="Arial" w:eastAsia="Times New Roman" w:hAnsi="Arial" w:cs="Arial"/>
                <w:color w:val="000000"/>
                <w:szCs w:val="22"/>
                <w:lang w:val="sr-Cyrl-BA"/>
              </w:rPr>
              <w:t>од</w:t>
            </w:r>
            <w:r w:rsidR="0071360A">
              <w:rPr>
                <w:rFonts w:ascii="Arial" w:eastAsia="Times New Roman" w:hAnsi="Arial" w:cs="Arial"/>
                <w:color w:val="000000"/>
                <w:szCs w:val="22"/>
                <w:lang w:val="sr-Cyrl-BA"/>
              </w:rPr>
              <w:t>р</w:t>
            </w:r>
            <w:r w:rsidR="00171F00">
              <w:rPr>
                <w:rFonts w:ascii="Arial" w:eastAsia="Times New Roman" w:hAnsi="Arial" w:cs="Arial"/>
                <w:color w:val="000000"/>
                <w:szCs w:val="22"/>
                <w:lang w:val="sr-Cyrl-BA"/>
              </w:rPr>
              <w:t>ж</w:t>
            </w:r>
            <w:r>
              <w:rPr>
                <w:rFonts w:ascii="Arial" w:eastAsia="Times New Roman" w:hAnsi="Arial" w:cs="Arial"/>
                <w:color w:val="000000"/>
                <w:szCs w:val="22"/>
                <w:lang w:val="sr-Cyrl-BA"/>
              </w:rPr>
              <w:t>а</w:t>
            </w:r>
            <w:r w:rsidR="0071360A">
              <w:rPr>
                <w:rFonts w:ascii="Arial" w:eastAsia="Times New Roman" w:hAnsi="Arial" w:cs="Arial"/>
                <w:color w:val="000000"/>
                <w:szCs w:val="22"/>
                <w:lang w:val="sr-Cyrl-BA"/>
              </w:rPr>
              <w:t>т</w:t>
            </w:r>
            <w:r>
              <w:rPr>
                <w:rFonts w:ascii="Arial" w:eastAsia="Times New Roman" w:hAnsi="Arial" w:cs="Arial"/>
                <w:color w:val="000000"/>
                <w:szCs w:val="22"/>
                <w:lang w:val="sr-Cyrl-BA"/>
              </w:rPr>
              <w:t>и</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п</w:t>
            </w:r>
            <w:r w:rsidR="00EE6AA2">
              <w:rPr>
                <w:rFonts w:ascii="Arial" w:eastAsia="Times New Roman" w:hAnsi="Arial" w:cs="Arial"/>
                <w:color w:val="000000"/>
                <w:szCs w:val="22"/>
                <w:lang w:val="sr-Cyrl-BA"/>
              </w:rPr>
              <w:t>е</w:t>
            </w:r>
            <w:r>
              <w:rPr>
                <w:rFonts w:ascii="Arial" w:eastAsia="Times New Roman" w:hAnsi="Arial" w:cs="Arial"/>
                <w:color w:val="000000"/>
                <w:szCs w:val="22"/>
                <w:lang w:val="sr-Cyrl-BA"/>
              </w:rPr>
              <w:t>даго</w:t>
            </w:r>
            <w:r w:rsidR="0071360A">
              <w:rPr>
                <w:rFonts w:ascii="Arial" w:eastAsia="Times New Roman" w:hAnsi="Arial" w:cs="Arial"/>
                <w:color w:val="000000"/>
                <w:szCs w:val="22"/>
                <w:lang w:val="sr-Cyrl-BA"/>
              </w:rPr>
              <w:t>ш</w:t>
            </w:r>
            <w:r>
              <w:rPr>
                <w:rFonts w:ascii="Arial" w:eastAsia="Times New Roman" w:hAnsi="Arial" w:cs="Arial"/>
                <w:color w:val="000000"/>
                <w:szCs w:val="22"/>
                <w:lang w:val="sr-Cyrl-BA"/>
              </w:rPr>
              <w:t>к</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171F00">
              <w:rPr>
                <w:rFonts w:ascii="Arial" w:eastAsia="Times New Roman" w:hAnsi="Arial" w:cs="Arial"/>
                <w:color w:val="000000"/>
                <w:szCs w:val="22"/>
                <w:lang w:val="sr-Cyrl-BA"/>
              </w:rPr>
              <w:t>з</w:t>
            </w:r>
            <w:r>
              <w:rPr>
                <w:rFonts w:ascii="Arial" w:eastAsia="Times New Roman" w:hAnsi="Arial" w:cs="Arial"/>
                <w:color w:val="000000"/>
                <w:szCs w:val="22"/>
                <w:lang w:val="sr-Cyrl-BA"/>
              </w:rPr>
              <w:t>а</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од</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или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њима</w:t>
            </w:r>
            <w:r w:rsidR="00892898" w:rsidRPr="00F6340E">
              <w:rPr>
                <w:rFonts w:ascii="Arial" w:eastAsia="Times New Roman" w:hAnsi="Arial" w:cs="Arial"/>
                <w:color w:val="000000"/>
                <w:szCs w:val="22"/>
                <w:lang w:val="sr-Cyrl-BA"/>
              </w:rPr>
              <w:t xml:space="preserve"> </w:t>
            </w:r>
            <w:r w:rsidR="00EE6AA2">
              <w:rPr>
                <w:rFonts w:ascii="Arial" w:eastAsia="Times New Roman" w:hAnsi="Arial" w:cs="Arial"/>
                <w:color w:val="000000"/>
                <w:szCs w:val="22"/>
                <w:lang w:val="sr-Cyrl-BA"/>
              </w:rPr>
              <w:t>е</w:t>
            </w:r>
            <w:r>
              <w:rPr>
                <w:rFonts w:ascii="Arial" w:eastAsia="Times New Roman" w:hAnsi="Arial" w:cs="Arial"/>
                <w:color w:val="000000"/>
                <w:szCs w:val="22"/>
                <w:lang w:val="sr-Cyrl-BA"/>
              </w:rPr>
              <w:t>к</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и</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ал</w:t>
            </w:r>
            <w:r w:rsidR="00EE6AA2">
              <w:rPr>
                <w:rFonts w:ascii="Arial" w:eastAsia="Times New Roman" w:hAnsi="Arial" w:cs="Arial"/>
                <w:color w:val="000000"/>
                <w:szCs w:val="22"/>
                <w:lang w:val="sr-Cyrl-BA"/>
              </w:rPr>
              <w:t>е</w:t>
            </w:r>
            <w:r>
              <w:rPr>
                <w:rFonts w:ascii="Arial" w:eastAsia="Times New Roman" w:hAnsi="Arial" w:cs="Arial"/>
                <w:color w:val="000000"/>
                <w:szCs w:val="22"/>
                <w:lang w:val="sr-Cyrl-BA"/>
              </w:rPr>
              <w:t>н</w:t>
            </w:r>
            <w:r w:rsidR="0071360A">
              <w:rPr>
                <w:rFonts w:ascii="Arial" w:eastAsia="Times New Roman" w:hAnsi="Arial" w:cs="Arial"/>
                <w:color w:val="000000"/>
                <w:szCs w:val="22"/>
                <w:lang w:val="sr-Cyrl-BA"/>
              </w:rPr>
              <w:t>т</w:t>
            </w:r>
            <w:r>
              <w:rPr>
                <w:rFonts w:ascii="Arial" w:eastAsia="Times New Roman" w:hAnsi="Arial" w:cs="Arial"/>
                <w:color w:val="000000"/>
                <w:szCs w:val="22"/>
                <w:lang w:val="sr-Cyrl-BA"/>
              </w:rPr>
              <w:t>н</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ин</w:t>
            </w:r>
            <w:r w:rsidR="0071360A">
              <w:rPr>
                <w:rFonts w:ascii="Arial" w:eastAsia="Times New Roman" w:hAnsi="Arial" w:cs="Arial"/>
                <w:color w:val="000000"/>
                <w:szCs w:val="22"/>
                <w:lang w:val="sr-Cyrl-BA"/>
              </w:rPr>
              <w:t>ст</w:t>
            </w:r>
            <w:r>
              <w:rPr>
                <w:rFonts w:ascii="Arial" w:eastAsia="Times New Roman" w:hAnsi="Arial" w:cs="Arial"/>
                <w:color w:val="000000"/>
                <w:szCs w:val="22"/>
                <w:lang w:val="sr-Cyrl-BA"/>
              </w:rPr>
              <w:t>и</w:t>
            </w:r>
            <w:r w:rsidR="0071360A">
              <w:rPr>
                <w:rFonts w:ascii="Arial" w:eastAsia="Times New Roman" w:hAnsi="Arial" w:cs="Arial"/>
                <w:color w:val="000000"/>
                <w:szCs w:val="22"/>
                <w:lang w:val="sr-Cyrl-BA"/>
              </w:rPr>
              <w:t>ту</w:t>
            </w:r>
            <w:r>
              <w:rPr>
                <w:rFonts w:ascii="Arial" w:eastAsia="Times New Roman" w:hAnsi="Arial" w:cs="Arial"/>
                <w:color w:val="000000"/>
                <w:szCs w:val="22"/>
                <w:lang w:val="sr-Cyrl-BA"/>
              </w:rPr>
              <w:t>циј</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к</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о</w:t>
            </w:r>
            <w:r w:rsidR="00171F00">
              <w:rPr>
                <w:rFonts w:ascii="Arial" w:eastAsia="Times New Roman" w:hAnsi="Arial" w:cs="Arial"/>
                <w:color w:val="000000"/>
                <w:szCs w:val="22"/>
                <w:lang w:val="sr-Cyrl-BA"/>
              </w:rPr>
              <w:t>з</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о</w:t>
            </w:r>
            <w:r w:rsidR="0071360A">
              <w:rPr>
                <w:rFonts w:ascii="Arial" w:eastAsia="Times New Roman" w:hAnsi="Arial" w:cs="Arial"/>
                <w:color w:val="000000"/>
                <w:szCs w:val="22"/>
                <w:lang w:val="sr-Cyrl-BA"/>
              </w:rPr>
              <w:t>тв</w:t>
            </w:r>
            <w:r>
              <w:rPr>
                <w:rFonts w:ascii="Arial" w:eastAsia="Times New Roman" w:hAnsi="Arial" w:cs="Arial"/>
                <w:color w:val="000000"/>
                <w:szCs w:val="22"/>
                <w:lang w:val="sr-Cyrl-BA"/>
              </w:rPr>
              <w:t>а</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ањ</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адних</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мј</w:t>
            </w:r>
            <w:r w:rsidR="00EE6AA2">
              <w:rPr>
                <w:rFonts w:ascii="Arial" w:eastAsia="Times New Roman" w:hAnsi="Arial" w:cs="Arial"/>
                <w:color w:val="000000"/>
                <w:szCs w:val="22"/>
                <w:lang w:val="sr-Cyrl-BA"/>
              </w:rPr>
              <w:t>е</w:t>
            </w:r>
            <w:r w:rsidR="0071360A">
              <w:rPr>
                <w:rFonts w:ascii="Arial" w:eastAsia="Times New Roman" w:hAnsi="Arial" w:cs="Arial"/>
                <w:color w:val="000000"/>
                <w:szCs w:val="22"/>
                <w:lang w:val="sr-Cyrl-BA"/>
              </w:rPr>
              <w:t>ст</w:t>
            </w:r>
            <w:r>
              <w:rPr>
                <w:rFonts w:ascii="Arial" w:eastAsia="Times New Roman" w:hAnsi="Arial" w:cs="Arial"/>
                <w:color w:val="000000"/>
                <w:szCs w:val="22"/>
                <w:lang w:val="sr-Cyrl-BA"/>
              </w:rPr>
              <w:t>а</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анга</w:t>
            </w:r>
            <w:r w:rsidR="00171F00">
              <w:rPr>
                <w:rFonts w:ascii="Arial" w:eastAsia="Times New Roman" w:hAnsi="Arial" w:cs="Arial"/>
                <w:color w:val="000000"/>
                <w:szCs w:val="22"/>
                <w:lang w:val="sr-Cyrl-BA"/>
              </w:rPr>
              <w:t>ж</w:t>
            </w:r>
            <w:r>
              <w:rPr>
                <w:rFonts w:ascii="Arial" w:eastAsia="Times New Roman" w:hAnsi="Arial" w:cs="Arial"/>
                <w:color w:val="000000"/>
                <w:szCs w:val="22"/>
                <w:lang w:val="sr-Cyrl-BA"/>
              </w:rPr>
              <w:t>о</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ањ</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стру</w:t>
            </w:r>
            <w:r>
              <w:rPr>
                <w:rFonts w:ascii="Arial" w:eastAsia="Times New Roman" w:hAnsi="Arial" w:cs="Arial"/>
                <w:color w:val="000000"/>
                <w:szCs w:val="22"/>
                <w:lang w:val="sr-Cyrl-BA"/>
              </w:rPr>
              <w:t>чњака</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који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би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били</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одго</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о</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ни</w:t>
            </w:r>
            <w:r w:rsidR="00892898" w:rsidRPr="00F6340E">
              <w:rPr>
                <w:rFonts w:ascii="Arial" w:eastAsia="Times New Roman" w:hAnsi="Arial" w:cs="Arial"/>
                <w:color w:val="000000"/>
                <w:szCs w:val="22"/>
                <w:lang w:val="sr-Cyrl-BA"/>
              </w:rPr>
              <w:t xml:space="preserve"> </w:t>
            </w:r>
            <w:r w:rsidR="00171F00">
              <w:rPr>
                <w:rFonts w:ascii="Arial" w:eastAsia="Times New Roman" w:hAnsi="Arial" w:cs="Arial"/>
                <w:color w:val="000000"/>
                <w:szCs w:val="22"/>
                <w:lang w:val="sr-Cyrl-BA"/>
              </w:rPr>
              <w:t>з</w:t>
            </w:r>
            <w:r>
              <w:rPr>
                <w:rFonts w:ascii="Arial" w:eastAsia="Times New Roman" w:hAnsi="Arial" w:cs="Arial"/>
                <w:color w:val="000000"/>
                <w:szCs w:val="22"/>
                <w:lang w:val="sr-Cyrl-BA"/>
              </w:rPr>
              <w:t>а</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п</w:t>
            </w:r>
            <w:r>
              <w:rPr>
                <w:rFonts w:ascii="Arial" w:eastAsia="Times New Roman" w:hAnsi="Arial" w:cs="Arial"/>
                <w:color w:val="000000"/>
                <w:szCs w:val="22"/>
                <w:lang w:val="sr-Cyrl-BA"/>
              </w:rPr>
              <w:t>од</w:t>
            </w:r>
            <w:r w:rsidR="0071360A">
              <w:rPr>
                <w:rFonts w:ascii="Arial" w:eastAsia="Times New Roman" w:hAnsi="Arial" w:cs="Arial"/>
                <w:color w:val="000000"/>
                <w:szCs w:val="22"/>
                <w:lang w:val="sr-Cyrl-BA"/>
              </w:rPr>
              <w:t>рш</w:t>
            </w:r>
            <w:r>
              <w:rPr>
                <w:rFonts w:ascii="Arial" w:eastAsia="Times New Roman" w:hAnsi="Arial" w:cs="Arial"/>
                <w:color w:val="000000"/>
                <w:szCs w:val="22"/>
                <w:lang w:val="sr-Cyrl-BA"/>
              </w:rPr>
              <w:t>к</w:t>
            </w:r>
            <w:r w:rsidR="0071360A">
              <w:rPr>
                <w:rFonts w:ascii="Arial" w:eastAsia="Times New Roman" w:hAnsi="Arial" w:cs="Arial"/>
                <w:color w:val="000000"/>
                <w:szCs w:val="22"/>
                <w:lang w:val="sr-Cyrl-BA"/>
              </w:rPr>
              <w:t>у</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р</w:t>
            </w:r>
            <w:r>
              <w:rPr>
                <w:rFonts w:ascii="Arial" w:eastAsia="Times New Roman" w:hAnsi="Arial" w:cs="Arial"/>
                <w:color w:val="000000"/>
                <w:szCs w:val="22"/>
                <w:lang w:val="sr-Cyrl-BA"/>
              </w:rPr>
              <w:t>ањи</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им</w:t>
            </w:r>
            <w:r w:rsidR="008E4E3B"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ш</w:t>
            </w:r>
            <w:r>
              <w:rPr>
                <w:rFonts w:ascii="Arial" w:eastAsia="Times New Roman" w:hAnsi="Arial" w:cs="Arial"/>
                <w:color w:val="000000"/>
                <w:szCs w:val="22"/>
                <w:lang w:val="sr-Cyrl-BA"/>
              </w:rPr>
              <w:t>колама</w:t>
            </w:r>
            <w:r w:rsidR="00892898" w:rsidRPr="00F6340E">
              <w:rPr>
                <w:rFonts w:ascii="Arial" w:eastAsia="Times New Roman" w:hAnsi="Arial" w:cs="Arial"/>
                <w:color w:val="000000"/>
                <w:szCs w:val="22"/>
                <w:lang w:val="sr-Cyrl-BA"/>
              </w:rPr>
              <w:t xml:space="preserve"> </w:t>
            </w:r>
            <w:r>
              <w:rPr>
                <w:rFonts w:ascii="Arial" w:eastAsia="Times New Roman" w:hAnsi="Arial" w:cs="Arial"/>
                <w:color w:val="000000"/>
                <w:szCs w:val="22"/>
                <w:lang w:val="sr-Cyrl-BA"/>
              </w:rPr>
              <w:t>и</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п</w:t>
            </w:r>
            <w:r>
              <w:rPr>
                <w:rFonts w:ascii="Arial" w:eastAsia="Times New Roman" w:hAnsi="Arial" w:cs="Arial"/>
                <w:color w:val="000000"/>
                <w:szCs w:val="22"/>
                <w:lang w:val="sr-Cyrl-BA"/>
              </w:rPr>
              <w:t>омагањ</w:t>
            </w:r>
            <w:r w:rsidR="00EE6AA2">
              <w:rPr>
                <w:rFonts w:ascii="Arial" w:eastAsia="Times New Roman" w:hAnsi="Arial" w:cs="Arial"/>
                <w:color w:val="000000"/>
                <w:szCs w:val="22"/>
                <w:lang w:val="sr-Cyrl-BA"/>
              </w:rPr>
              <w:t>е</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ш</w:t>
            </w:r>
            <w:r>
              <w:rPr>
                <w:rFonts w:ascii="Arial" w:eastAsia="Times New Roman" w:hAnsi="Arial" w:cs="Arial"/>
                <w:color w:val="000000"/>
                <w:szCs w:val="22"/>
                <w:lang w:val="sr-Cyrl-BA"/>
              </w:rPr>
              <w:t>колама</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у</w:t>
            </w:r>
            <w:r w:rsidR="00892898" w:rsidRPr="00F6340E">
              <w:rPr>
                <w:rFonts w:ascii="Arial" w:eastAsia="Times New Roman" w:hAnsi="Arial" w:cs="Arial"/>
                <w:color w:val="000000"/>
                <w:szCs w:val="22"/>
                <w:lang w:val="sr-Cyrl-BA"/>
              </w:rPr>
              <w:t xml:space="preserve"> </w:t>
            </w:r>
            <w:r w:rsidR="0071360A">
              <w:rPr>
                <w:rFonts w:ascii="Arial" w:eastAsia="Times New Roman" w:hAnsi="Arial" w:cs="Arial"/>
                <w:color w:val="000000"/>
                <w:szCs w:val="22"/>
                <w:lang w:val="sr-Cyrl-BA"/>
              </w:rPr>
              <w:t>с</w:t>
            </w:r>
            <w:r>
              <w:rPr>
                <w:rFonts w:ascii="Arial" w:eastAsia="Times New Roman" w:hAnsi="Arial" w:cs="Arial"/>
                <w:color w:val="000000"/>
                <w:szCs w:val="22"/>
                <w:lang w:val="sr-Cyrl-BA"/>
              </w:rPr>
              <w:t>амо</w:t>
            </w:r>
            <w:r w:rsidR="0071360A">
              <w:rPr>
                <w:rFonts w:ascii="Arial" w:eastAsia="Times New Roman" w:hAnsi="Arial" w:cs="Arial"/>
                <w:color w:val="000000"/>
                <w:szCs w:val="22"/>
                <w:lang w:val="sr-Cyrl-BA"/>
              </w:rPr>
              <w:t>вр</w:t>
            </w:r>
            <w:r w:rsidR="00EE6AA2">
              <w:rPr>
                <w:rFonts w:ascii="Arial" w:eastAsia="Times New Roman" w:hAnsi="Arial" w:cs="Arial"/>
                <w:color w:val="000000"/>
                <w:szCs w:val="22"/>
                <w:lang w:val="sr-Cyrl-BA"/>
              </w:rPr>
              <w:t>е</w:t>
            </w:r>
            <w:r>
              <w:rPr>
                <w:rFonts w:ascii="Arial" w:eastAsia="Times New Roman" w:hAnsi="Arial" w:cs="Arial"/>
                <w:color w:val="000000"/>
                <w:szCs w:val="22"/>
                <w:lang w:val="sr-Cyrl-BA"/>
              </w:rPr>
              <w:t>дно</w:t>
            </w:r>
            <w:r w:rsidR="0071360A">
              <w:rPr>
                <w:rFonts w:ascii="Arial" w:eastAsia="Times New Roman" w:hAnsi="Arial" w:cs="Arial"/>
                <w:color w:val="000000"/>
                <w:szCs w:val="22"/>
                <w:lang w:val="sr-Cyrl-BA"/>
              </w:rPr>
              <w:t>в</w:t>
            </w:r>
            <w:r>
              <w:rPr>
                <w:rFonts w:ascii="Arial" w:eastAsia="Times New Roman" w:hAnsi="Arial" w:cs="Arial"/>
                <w:color w:val="000000"/>
                <w:szCs w:val="22"/>
                <w:lang w:val="sr-Cyrl-BA"/>
              </w:rPr>
              <w:t>ањ</w:t>
            </w:r>
            <w:r w:rsidR="0071360A">
              <w:rPr>
                <w:rFonts w:ascii="Arial" w:eastAsia="Times New Roman" w:hAnsi="Arial" w:cs="Arial"/>
                <w:color w:val="000000"/>
                <w:szCs w:val="22"/>
                <w:lang w:val="sr-Cyrl-BA"/>
              </w:rPr>
              <w:t>у</w:t>
            </w:r>
            <w:r w:rsidR="00892898" w:rsidRPr="00F6340E">
              <w:rPr>
                <w:rFonts w:ascii="Arial" w:eastAsia="Times New Roman" w:hAnsi="Arial" w:cs="Arial"/>
                <w:color w:val="000000"/>
                <w:szCs w:val="22"/>
                <w:lang w:val="sr-Cyrl-BA"/>
              </w:rPr>
              <w:t>.</w:t>
            </w:r>
          </w:p>
          <w:p w14:paraId="12074406" w14:textId="2548AAF5" w:rsidR="008563CD" w:rsidRPr="00F6340E" w:rsidRDefault="0071360A" w:rsidP="00FB5CB7">
            <w:pPr>
              <w:pStyle w:val="ListParagraph"/>
              <w:numPr>
                <w:ilvl w:val="0"/>
                <w:numId w:val="44"/>
              </w:numPr>
              <w:ind w:left="360"/>
              <w:jc w:val="left"/>
              <w:rPr>
                <w:rFonts w:ascii="Arial" w:hAnsi="Arial" w:cs="Arial"/>
                <w:color w:val="000000"/>
                <w:lang w:val="sr-Cyrl-BA"/>
              </w:rPr>
            </w:pPr>
            <w:r>
              <w:rPr>
                <w:rFonts w:ascii="Arial" w:eastAsia="Times New Roman" w:hAnsi="Arial" w:cs="Arial"/>
                <w:b/>
                <w:bCs/>
                <w:iCs/>
                <w:color w:val="000000"/>
                <w:lang w:val="sr-Cyrl-BA"/>
              </w:rPr>
              <w:t>Уп</w:t>
            </w:r>
            <w:r w:rsidR="00A56E08">
              <w:rPr>
                <w:rFonts w:ascii="Arial" w:eastAsia="Times New Roman" w:hAnsi="Arial" w:cs="Arial"/>
                <w:b/>
                <w:bCs/>
                <w:iCs/>
                <w:color w:val="000000"/>
                <w:lang w:val="sr-Cyrl-BA"/>
              </w:rPr>
              <w:t>о</w:t>
            </w:r>
            <w:r>
              <w:rPr>
                <w:rFonts w:ascii="Arial" w:eastAsia="Times New Roman" w:hAnsi="Arial" w:cs="Arial"/>
                <w:b/>
                <w:bCs/>
                <w:iCs/>
                <w:color w:val="000000"/>
                <w:lang w:val="sr-Cyrl-BA"/>
              </w:rPr>
              <w:t>тр</w:t>
            </w:r>
            <w:r w:rsidR="00A56E08">
              <w:rPr>
                <w:rFonts w:ascii="Arial" w:eastAsia="Times New Roman" w:hAnsi="Arial" w:cs="Arial"/>
                <w:b/>
                <w:bCs/>
                <w:iCs/>
                <w:color w:val="000000"/>
                <w:lang w:val="sr-Cyrl-BA"/>
              </w:rPr>
              <w:t>иј</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би</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добиј</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н</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w:t>
            </w:r>
            <w:r w:rsidR="00A56E08">
              <w:rPr>
                <w:rFonts w:ascii="Arial" w:eastAsia="Times New Roman" w:hAnsi="Arial" w:cs="Arial"/>
                <w:b/>
                <w:bCs/>
                <w:iCs/>
                <w:color w:val="000000"/>
                <w:lang w:val="sr-Cyrl-BA"/>
              </w:rPr>
              <w:t>ода</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к</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с</w:t>
            </w:r>
            <w:r w:rsidR="00A56E08">
              <w:rPr>
                <w:rFonts w:ascii="Arial" w:eastAsia="Times New Roman" w:hAnsi="Arial" w:cs="Arial"/>
                <w:b/>
                <w:bCs/>
                <w:iCs/>
                <w:color w:val="000000"/>
                <w:lang w:val="sr-Cyrl-BA"/>
              </w:rPr>
              <w:t>амо</w:t>
            </w:r>
            <w:r w:rsidR="00892898" w:rsidRPr="00F6340E">
              <w:rPr>
                <w:rFonts w:ascii="Arial" w:eastAsia="Times New Roman" w:hAnsi="Arial" w:cs="Arial"/>
                <w:b/>
                <w:bCs/>
                <w:iCs/>
                <w:color w:val="000000"/>
                <w:lang w:val="sr-Cyrl-BA"/>
              </w:rPr>
              <w:t>)</w:t>
            </w:r>
            <w:r>
              <w:rPr>
                <w:rFonts w:ascii="Arial" w:eastAsia="Times New Roman" w:hAnsi="Arial" w:cs="Arial"/>
                <w:b/>
                <w:bCs/>
                <w:iCs/>
                <w:color w:val="000000"/>
                <w:lang w:val="sr-Cyrl-BA"/>
              </w:rPr>
              <w:t>вр</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дно</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ања</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к</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али</w:t>
            </w:r>
            <w:r>
              <w:rPr>
                <w:rFonts w:ascii="Arial" w:eastAsia="Times New Roman" w:hAnsi="Arial" w:cs="Arial"/>
                <w:b/>
                <w:bCs/>
                <w:iCs/>
                <w:color w:val="000000"/>
                <w:lang w:val="sr-Cyrl-BA"/>
              </w:rPr>
              <w:t>т</w:t>
            </w:r>
            <w:r w:rsidR="00EE6AA2">
              <w:rPr>
                <w:rFonts w:ascii="Arial" w:eastAsia="Times New Roman" w:hAnsi="Arial" w:cs="Arial"/>
                <w:b/>
                <w:bCs/>
                <w:iCs/>
                <w:color w:val="000000"/>
                <w:lang w:val="sr-Cyrl-BA"/>
              </w:rPr>
              <w:t>е</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р</w:t>
            </w:r>
            <w:r w:rsidR="00A56E08">
              <w:rPr>
                <w:rFonts w:ascii="Arial" w:eastAsia="Times New Roman" w:hAnsi="Arial" w:cs="Arial"/>
                <w:b/>
                <w:bCs/>
                <w:iCs/>
                <w:color w:val="000000"/>
                <w:lang w:val="sr-Cyrl-BA"/>
              </w:rPr>
              <w:t>ада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ш</w:t>
            </w:r>
            <w:r w:rsidR="00A56E08">
              <w:rPr>
                <w:rFonts w:ascii="Arial" w:eastAsia="Times New Roman" w:hAnsi="Arial" w:cs="Arial"/>
                <w:b/>
                <w:bCs/>
                <w:iCs/>
                <w:color w:val="000000"/>
                <w:lang w:val="sr-Cyrl-BA"/>
              </w:rPr>
              <w:t>кола</w:t>
            </w:r>
            <w:r w:rsidR="00892898"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а</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ид</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н</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ификациј</w:t>
            </w:r>
            <w:r>
              <w:rPr>
                <w:rFonts w:ascii="Arial" w:eastAsia="Times New Roman" w:hAnsi="Arial" w:cs="Arial"/>
                <w:b/>
                <w:bCs/>
                <w:iCs/>
                <w:color w:val="000000"/>
                <w:lang w:val="sr-Cyrl-BA"/>
              </w:rPr>
              <w:t>у</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и</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w:t>
            </w:r>
            <w:r w:rsidR="00A56E08">
              <w:rPr>
                <w:rFonts w:ascii="Arial" w:eastAsia="Times New Roman" w:hAnsi="Arial" w:cs="Arial"/>
                <w:b/>
                <w:bCs/>
                <w:iCs/>
                <w:color w:val="000000"/>
                <w:lang w:val="sr-Cyrl-BA"/>
              </w:rPr>
              <w:t>од</w:t>
            </w:r>
            <w:r>
              <w:rPr>
                <w:rFonts w:ascii="Arial" w:eastAsia="Times New Roman" w:hAnsi="Arial" w:cs="Arial"/>
                <w:b/>
                <w:bCs/>
                <w:iCs/>
                <w:color w:val="000000"/>
                <w:lang w:val="sr-Cyrl-BA"/>
              </w:rPr>
              <w:t>рш</w:t>
            </w:r>
            <w:r w:rsidR="00A56E08">
              <w:rPr>
                <w:rFonts w:ascii="Arial" w:eastAsia="Times New Roman" w:hAnsi="Arial" w:cs="Arial"/>
                <w:b/>
                <w:bCs/>
                <w:iCs/>
                <w:color w:val="000000"/>
                <w:lang w:val="sr-Cyrl-BA"/>
              </w:rPr>
              <w:t>к</w:t>
            </w:r>
            <w:r>
              <w:rPr>
                <w:rFonts w:ascii="Arial" w:eastAsia="Times New Roman" w:hAnsi="Arial" w:cs="Arial"/>
                <w:b/>
                <w:bCs/>
                <w:iCs/>
                <w:color w:val="000000"/>
                <w:lang w:val="sr-Cyrl-BA"/>
              </w:rPr>
              <w:t>у</w:t>
            </w:r>
            <w:r w:rsidR="00A4214D" w:rsidRPr="00F6340E">
              <w:rPr>
                <w:rFonts w:ascii="Arial" w:eastAsia="Times New Roman" w:hAnsi="Arial" w:cs="Arial"/>
                <w:b/>
                <w:bCs/>
                <w:iCs/>
                <w:color w:val="000000"/>
                <w:lang w:val="sr-Cyrl-BA"/>
              </w:rPr>
              <w:t xml:space="preserve"> </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а</w:t>
            </w:r>
            <w:r w:rsidR="00A4214D"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у</w:t>
            </w:r>
            <w:r w:rsidR="00A56E08">
              <w:rPr>
                <w:rFonts w:ascii="Arial" w:eastAsia="Times New Roman" w:hAnsi="Arial" w:cs="Arial"/>
                <w:b/>
                <w:bCs/>
                <w:iCs/>
                <w:color w:val="000000"/>
                <w:lang w:val="sr-Cyrl-BA"/>
              </w:rPr>
              <w:t>г</w:t>
            </w:r>
            <w:r>
              <w:rPr>
                <w:rFonts w:ascii="Arial" w:eastAsia="Times New Roman" w:hAnsi="Arial" w:cs="Arial"/>
                <w:b/>
                <w:bCs/>
                <w:iCs/>
                <w:color w:val="000000"/>
                <w:lang w:val="sr-Cyrl-BA"/>
              </w:rPr>
              <w:t>р</w:t>
            </w:r>
            <w:r w:rsidR="00A56E08">
              <w:rPr>
                <w:rFonts w:ascii="Arial" w:eastAsia="Times New Roman" w:hAnsi="Arial" w:cs="Arial"/>
                <w:b/>
                <w:bCs/>
                <w:iCs/>
                <w:color w:val="000000"/>
                <w:lang w:val="sr-Cyrl-BA"/>
              </w:rPr>
              <w:t>о</w:t>
            </w:r>
            <w:r w:rsidR="00171F00">
              <w:rPr>
                <w:rFonts w:ascii="Arial" w:eastAsia="Times New Roman" w:hAnsi="Arial" w:cs="Arial"/>
                <w:b/>
                <w:bCs/>
                <w:iCs/>
                <w:color w:val="000000"/>
                <w:lang w:val="sr-Cyrl-BA"/>
              </w:rPr>
              <w:t>ж</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н</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ш</w:t>
            </w:r>
            <w:r w:rsidR="00A56E08">
              <w:rPr>
                <w:rFonts w:ascii="Arial" w:eastAsia="Times New Roman" w:hAnsi="Arial" w:cs="Arial"/>
                <w:b/>
                <w:bCs/>
                <w:iCs/>
                <w:color w:val="000000"/>
                <w:lang w:val="sr-Cyrl-BA"/>
              </w:rPr>
              <w:t>кол</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како</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би</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с</w:t>
            </w:r>
            <w:r w:rsidR="00EE6AA2">
              <w:rPr>
                <w:rFonts w:ascii="Arial" w:eastAsia="Times New Roman" w:hAnsi="Arial" w:cs="Arial"/>
                <w:b/>
                <w:bCs/>
                <w:iCs/>
                <w:color w:val="000000"/>
                <w:lang w:val="sr-Cyrl-BA"/>
              </w:rPr>
              <w:t>е</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пру</w:t>
            </w:r>
            <w:r w:rsidR="00171F00">
              <w:rPr>
                <w:rFonts w:ascii="Arial" w:eastAsia="Times New Roman" w:hAnsi="Arial" w:cs="Arial"/>
                <w:b/>
                <w:bCs/>
                <w:iCs/>
                <w:color w:val="000000"/>
                <w:lang w:val="sr-Cyrl-BA"/>
              </w:rPr>
              <w:t>ж</w:t>
            </w:r>
            <w:r w:rsidR="00A56E08">
              <w:rPr>
                <w:rFonts w:ascii="Arial" w:eastAsia="Times New Roman" w:hAnsi="Arial" w:cs="Arial"/>
                <w:b/>
                <w:bCs/>
                <w:iCs/>
                <w:color w:val="000000"/>
                <w:lang w:val="sr-Cyrl-BA"/>
              </w:rPr>
              <w:t>ила</w:t>
            </w:r>
            <w:r w:rsidR="00892898" w:rsidRPr="00F6340E">
              <w:rPr>
                <w:rFonts w:ascii="Arial" w:eastAsia="Times New Roman" w:hAnsi="Arial" w:cs="Arial"/>
                <w:b/>
                <w:bCs/>
                <w:iCs/>
                <w:color w:val="000000"/>
                <w:lang w:val="sr-Cyrl-BA"/>
              </w:rPr>
              <w:t xml:space="preserve"> </w:t>
            </w:r>
            <w:r w:rsidR="00A56E08">
              <w:rPr>
                <w:rFonts w:ascii="Arial" w:eastAsia="Times New Roman" w:hAnsi="Arial" w:cs="Arial"/>
                <w:b/>
                <w:bCs/>
                <w:iCs/>
                <w:color w:val="000000"/>
                <w:lang w:val="sr-Cyrl-BA"/>
              </w:rPr>
              <w:t>ин</w:t>
            </w:r>
            <w:r>
              <w:rPr>
                <w:rFonts w:ascii="Arial" w:eastAsia="Times New Roman" w:hAnsi="Arial" w:cs="Arial"/>
                <w:b/>
                <w:bCs/>
                <w:iCs/>
                <w:color w:val="000000"/>
                <w:lang w:val="sr-Cyrl-BA"/>
              </w:rPr>
              <w:t>т</w:t>
            </w:r>
            <w:r w:rsidR="00EE6AA2">
              <w:rPr>
                <w:rFonts w:ascii="Arial" w:eastAsia="Times New Roman" w:hAnsi="Arial" w:cs="Arial"/>
                <w:b/>
                <w:bCs/>
                <w:iCs/>
                <w:color w:val="000000"/>
                <w:lang w:val="sr-Cyrl-BA"/>
              </w:rPr>
              <w:t>е</w:t>
            </w:r>
            <w:r w:rsidR="00A56E08">
              <w:rPr>
                <w:rFonts w:ascii="Arial" w:eastAsia="Times New Roman" w:hAnsi="Arial" w:cs="Arial"/>
                <w:b/>
                <w:bCs/>
                <w:iCs/>
                <w:color w:val="000000"/>
                <w:lang w:val="sr-Cyrl-BA"/>
              </w:rPr>
              <w:t>н</w:t>
            </w:r>
            <w:r w:rsidR="00171F00">
              <w:rPr>
                <w:rFonts w:ascii="Arial" w:eastAsia="Times New Roman" w:hAnsi="Arial" w:cs="Arial"/>
                <w:b/>
                <w:bCs/>
                <w:iCs/>
                <w:color w:val="000000"/>
                <w:lang w:val="sr-Cyrl-BA"/>
              </w:rPr>
              <w:t>з</w:t>
            </w:r>
            <w:r w:rsidR="00A56E08">
              <w:rPr>
                <w:rFonts w:ascii="Arial" w:eastAsia="Times New Roman" w:hAnsi="Arial" w:cs="Arial"/>
                <w:b/>
                <w:bCs/>
                <w:iCs/>
                <w:color w:val="000000"/>
                <w:lang w:val="sr-Cyrl-BA"/>
              </w:rPr>
              <w:t>и</w:t>
            </w:r>
            <w:r>
              <w:rPr>
                <w:rFonts w:ascii="Arial" w:eastAsia="Times New Roman" w:hAnsi="Arial" w:cs="Arial"/>
                <w:b/>
                <w:bCs/>
                <w:iCs/>
                <w:color w:val="000000"/>
                <w:lang w:val="sr-Cyrl-BA"/>
              </w:rPr>
              <w:t>в</w:t>
            </w:r>
            <w:r w:rsidR="00A56E08">
              <w:rPr>
                <w:rFonts w:ascii="Arial" w:eastAsia="Times New Roman" w:hAnsi="Arial" w:cs="Arial"/>
                <w:b/>
                <w:bCs/>
                <w:iCs/>
                <w:color w:val="000000"/>
                <w:lang w:val="sr-Cyrl-BA"/>
              </w:rPr>
              <w:t>нија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пр</w:t>
            </w:r>
            <w:r w:rsidR="00A56E08">
              <w:rPr>
                <w:rFonts w:ascii="Arial" w:eastAsia="Times New Roman" w:hAnsi="Arial" w:cs="Arial"/>
                <w:b/>
                <w:bCs/>
                <w:iCs/>
                <w:color w:val="000000"/>
                <w:lang w:val="sr-Cyrl-BA"/>
              </w:rPr>
              <w:t>ак</w:t>
            </w:r>
            <w:r>
              <w:rPr>
                <w:rFonts w:ascii="Arial" w:eastAsia="Times New Roman" w:hAnsi="Arial" w:cs="Arial"/>
                <w:b/>
                <w:bCs/>
                <w:iCs/>
                <w:color w:val="000000"/>
                <w:lang w:val="sr-Cyrl-BA"/>
              </w:rPr>
              <w:t>т</w:t>
            </w:r>
            <w:r w:rsidR="00A56E08">
              <w:rPr>
                <w:rFonts w:ascii="Arial" w:eastAsia="Times New Roman" w:hAnsi="Arial" w:cs="Arial"/>
                <w:b/>
                <w:bCs/>
                <w:iCs/>
                <w:color w:val="000000"/>
                <w:lang w:val="sr-Cyrl-BA"/>
              </w:rPr>
              <w:t>ична</w:t>
            </w:r>
            <w:r w:rsidR="00892898" w:rsidRPr="00F6340E">
              <w:rPr>
                <w:rFonts w:ascii="Arial" w:eastAsia="Times New Roman" w:hAnsi="Arial" w:cs="Arial"/>
                <w:b/>
                <w:bCs/>
                <w:iCs/>
                <w:color w:val="000000"/>
                <w:lang w:val="sr-Cyrl-BA"/>
              </w:rPr>
              <w:t xml:space="preserve"> </w:t>
            </w:r>
            <w:r>
              <w:rPr>
                <w:rFonts w:ascii="Arial" w:eastAsia="Times New Roman" w:hAnsi="Arial" w:cs="Arial"/>
                <w:b/>
                <w:bCs/>
                <w:iCs/>
                <w:color w:val="000000"/>
                <w:lang w:val="sr-Cyrl-BA"/>
              </w:rPr>
              <w:t>п</w:t>
            </w:r>
            <w:r w:rsidR="00A56E08">
              <w:rPr>
                <w:rFonts w:ascii="Arial" w:eastAsia="Times New Roman" w:hAnsi="Arial" w:cs="Arial"/>
                <w:b/>
                <w:bCs/>
                <w:iCs/>
                <w:color w:val="000000"/>
                <w:lang w:val="sr-Cyrl-BA"/>
              </w:rPr>
              <w:t>од</w:t>
            </w:r>
            <w:r>
              <w:rPr>
                <w:rFonts w:ascii="Arial" w:eastAsia="Times New Roman" w:hAnsi="Arial" w:cs="Arial"/>
                <w:b/>
                <w:bCs/>
                <w:iCs/>
                <w:color w:val="000000"/>
                <w:lang w:val="sr-Cyrl-BA"/>
              </w:rPr>
              <w:t>рш</w:t>
            </w:r>
            <w:r w:rsidR="00A56E08">
              <w:rPr>
                <w:rFonts w:ascii="Arial" w:eastAsia="Times New Roman" w:hAnsi="Arial" w:cs="Arial"/>
                <w:b/>
                <w:bCs/>
                <w:iCs/>
                <w:color w:val="000000"/>
                <w:lang w:val="sr-Cyrl-BA"/>
              </w:rPr>
              <w:t>ка</w:t>
            </w:r>
            <w:r w:rsidR="005470EA" w:rsidRPr="00F6340E">
              <w:rPr>
                <w:rFonts w:ascii="Arial" w:eastAsia="Times New Roman" w:hAnsi="Arial" w:cs="Arial"/>
                <w:b/>
                <w:bCs/>
                <w:iCs/>
                <w:color w:val="000000"/>
                <w:lang w:val="sr-Cyrl-BA"/>
              </w:rPr>
              <w:t xml:space="preserve"> </w:t>
            </w:r>
          </w:p>
          <w:p w14:paraId="4AEEA9B0" w14:textId="5191BD93" w:rsidR="00C74851" w:rsidRPr="00F6340E" w:rsidRDefault="0071360A" w:rsidP="00FB5CB7">
            <w:pPr>
              <w:pStyle w:val="ListParagraph"/>
              <w:numPr>
                <w:ilvl w:val="0"/>
                <w:numId w:val="44"/>
              </w:numPr>
              <w:ind w:left="360"/>
              <w:jc w:val="left"/>
              <w:rPr>
                <w:rFonts w:ascii="Arial" w:hAnsi="Arial" w:cs="Arial"/>
                <w:color w:val="000000"/>
                <w:lang w:val="sr-Cyrl-BA"/>
              </w:rPr>
            </w:pPr>
            <w:r>
              <w:rPr>
                <w:rFonts w:ascii="Arial" w:eastAsia="Times New Roman" w:hAnsi="Arial" w:cs="Arial"/>
                <w:b/>
                <w:iCs/>
                <w:color w:val="000000"/>
                <w:lang w:val="sr-Cyrl-BA"/>
              </w:rPr>
              <w:t>П</w:t>
            </w:r>
            <w:r w:rsidR="00A56E08">
              <w:rPr>
                <w:rFonts w:ascii="Arial" w:eastAsia="Times New Roman" w:hAnsi="Arial" w:cs="Arial"/>
                <w:b/>
                <w:iCs/>
                <w:color w:val="000000"/>
                <w:lang w:val="sr-Cyrl-BA"/>
              </w:rPr>
              <w:t>о</w:t>
            </w:r>
            <w:r>
              <w:rPr>
                <w:rFonts w:ascii="Arial" w:eastAsia="Times New Roman" w:hAnsi="Arial" w:cs="Arial"/>
                <w:b/>
                <w:iCs/>
                <w:color w:val="000000"/>
                <w:lang w:val="sr-Cyrl-BA"/>
              </w:rPr>
              <w:t>т</w:t>
            </w:r>
            <w:r w:rsidR="00A56E08">
              <w:rPr>
                <w:rFonts w:ascii="Arial" w:eastAsia="Times New Roman" w:hAnsi="Arial" w:cs="Arial"/>
                <w:b/>
                <w:iCs/>
                <w:color w:val="000000"/>
                <w:lang w:val="sr-Cyrl-BA"/>
              </w:rPr>
              <w:t>аћи</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ш</w:t>
            </w:r>
            <w:r w:rsidR="00A56E08">
              <w:rPr>
                <w:rFonts w:ascii="Arial" w:eastAsia="Times New Roman" w:hAnsi="Arial" w:cs="Arial"/>
                <w:b/>
                <w:iCs/>
                <w:color w:val="000000"/>
                <w:lang w:val="sr-Cyrl-BA"/>
              </w:rPr>
              <w:t>кол</w:t>
            </w:r>
            <w:r w:rsidR="00EE6AA2">
              <w:rPr>
                <w:rFonts w:ascii="Arial" w:eastAsia="Times New Roman" w:hAnsi="Arial" w:cs="Arial"/>
                <w:b/>
                <w:iCs/>
                <w:color w:val="000000"/>
                <w:lang w:val="sr-Cyrl-BA"/>
              </w:rPr>
              <w:t>е</w:t>
            </w:r>
            <w:r w:rsidR="00892898" w:rsidRPr="00F6340E">
              <w:rPr>
                <w:rFonts w:ascii="Arial" w:eastAsia="Times New Roman" w:hAnsi="Arial" w:cs="Arial"/>
                <w:b/>
                <w:iCs/>
                <w:color w:val="000000"/>
                <w:lang w:val="sr-Cyrl-BA"/>
              </w:rPr>
              <w:t xml:space="preserve"> </w:t>
            </w:r>
            <w:r w:rsidR="00A56E08">
              <w:rPr>
                <w:rFonts w:ascii="Arial" w:eastAsia="Times New Roman" w:hAnsi="Arial" w:cs="Arial"/>
                <w:b/>
                <w:iCs/>
                <w:color w:val="000000"/>
                <w:lang w:val="sr-Cyrl-BA"/>
              </w:rPr>
              <w:t>да</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пр</w:t>
            </w:r>
            <w:r w:rsidR="00A56E08">
              <w:rPr>
                <w:rFonts w:ascii="Arial" w:eastAsia="Times New Roman" w:hAnsi="Arial" w:cs="Arial"/>
                <w:b/>
                <w:iCs/>
                <w:color w:val="000000"/>
                <w:lang w:val="sr-Cyrl-BA"/>
              </w:rPr>
              <w:t>о</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од</w:t>
            </w:r>
            <w:r w:rsidR="00EE6AA2">
              <w:rPr>
                <w:rFonts w:ascii="Arial" w:eastAsia="Times New Roman" w:hAnsi="Arial" w:cs="Arial"/>
                <w:b/>
                <w:iCs/>
                <w:color w:val="000000"/>
                <w:lang w:val="sr-Cyrl-BA"/>
              </w:rPr>
              <w:t>е</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р</w:t>
            </w:r>
            <w:r w:rsidR="00EE6AA2">
              <w:rPr>
                <w:rFonts w:ascii="Arial" w:eastAsia="Times New Roman" w:hAnsi="Arial" w:cs="Arial"/>
                <w:b/>
                <w:iCs/>
                <w:color w:val="000000"/>
                <w:lang w:val="sr-Cyrl-BA"/>
              </w:rPr>
              <w:t>е</w:t>
            </w:r>
            <w:r w:rsidR="00A56E08">
              <w:rPr>
                <w:rFonts w:ascii="Arial" w:eastAsia="Times New Roman" w:hAnsi="Arial" w:cs="Arial"/>
                <w:b/>
                <w:iCs/>
                <w:color w:val="000000"/>
                <w:lang w:val="sr-Cyrl-BA"/>
              </w:rPr>
              <w:t>до</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но</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с</w:t>
            </w:r>
            <w:r w:rsidR="00A56E08">
              <w:rPr>
                <w:rFonts w:ascii="Arial" w:eastAsia="Times New Roman" w:hAnsi="Arial" w:cs="Arial"/>
                <w:b/>
                <w:iCs/>
                <w:color w:val="000000"/>
                <w:lang w:val="sr-Cyrl-BA"/>
              </w:rPr>
              <w:t>амо</w:t>
            </w:r>
            <w:r>
              <w:rPr>
                <w:rFonts w:ascii="Arial" w:eastAsia="Times New Roman" w:hAnsi="Arial" w:cs="Arial"/>
                <w:b/>
                <w:iCs/>
                <w:color w:val="000000"/>
                <w:lang w:val="sr-Cyrl-BA"/>
              </w:rPr>
              <w:t>вр</w:t>
            </w:r>
            <w:r w:rsidR="00EE6AA2">
              <w:rPr>
                <w:rFonts w:ascii="Arial" w:eastAsia="Times New Roman" w:hAnsi="Arial" w:cs="Arial"/>
                <w:b/>
                <w:iCs/>
                <w:color w:val="000000"/>
                <w:lang w:val="sr-Cyrl-BA"/>
              </w:rPr>
              <w:t>е</w:t>
            </w:r>
            <w:r w:rsidR="00A56E08">
              <w:rPr>
                <w:rFonts w:ascii="Arial" w:eastAsia="Times New Roman" w:hAnsi="Arial" w:cs="Arial"/>
                <w:b/>
                <w:iCs/>
                <w:color w:val="000000"/>
                <w:lang w:val="sr-Cyrl-BA"/>
              </w:rPr>
              <w:t>дно</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ањ</w:t>
            </w:r>
            <w:r w:rsidR="00EE6AA2">
              <w:rPr>
                <w:rFonts w:ascii="Arial" w:eastAsia="Times New Roman" w:hAnsi="Arial" w:cs="Arial"/>
                <w:b/>
                <w:iCs/>
                <w:color w:val="000000"/>
                <w:lang w:val="sr-Cyrl-BA"/>
              </w:rPr>
              <w:t>е</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уп</w:t>
            </w:r>
            <w:r w:rsidR="00A56E08">
              <w:rPr>
                <w:rFonts w:ascii="Arial" w:eastAsia="Times New Roman" w:hAnsi="Arial" w:cs="Arial"/>
                <w:b/>
                <w:iCs/>
                <w:color w:val="000000"/>
                <w:lang w:val="sr-Cyrl-BA"/>
              </w:rPr>
              <w:t>о</w:t>
            </w:r>
            <w:r>
              <w:rPr>
                <w:rFonts w:ascii="Arial" w:eastAsia="Times New Roman" w:hAnsi="Arial" w:cs="Arial"/>
                <w:b/>
                <w:iCs/>
                <w:color w:val="000000"/>
                <w:lang w:val="sr-Cyrl-BA"/>
              </w:rPr>
              <w:t>тр</w:t>
            </w:r>
            <w:r w:rsidR="00EE6AA2">
              <w:rPr>
                <w:rFonts w:ascii="Arial" w:eastAsia="Times New Roman" w:hAnsi="Arial" w:cs="Arial"/>
                <w:b/>
                <w:iCs/>
                <w:color w:val="000000"/>
                <w:lang w:val="sr-Cyrl-BA"/>
              </w:rPr>
              <w:t>е</w:t>
            </w:r>
            <w:r w:rsidR="00A56E08">
              <w:rPr>
                <w:rFonts w:ascii="Arial" w:eastAsia="Times New Roman" w:hAnsi="Arial" w:cs="Arial"/>
                <w:b/>
                <w:iCs/>
                <w:color w:val="000000"/>
                <w:lang w:val="sr-Cyrl-BA"/>
              </w:rPr>
              <w:t>бом</w:t>
            </w:r>
            <w:r w:rsidR="00892898" w:rsidRPr="00F6340E">
              <w:rPr>
                <w:rFonts w:ascii="Arial" w:eastAsia="Times New Roman" w:hAnsi="Arial" w:cs="Arial"/>
                <w:b/>
                <w:iCs/>
                <w:color w:val="000000"/>
                <w:lang w:val="sr-Cyrl-BA"/>
              </w:rPr>
              <w:t xml:space="preserve"> </w:t>
            </w:r>
            <w:r w:rsidR="00A56E08">
              <w:rPr>
                <w:rFonts w:ascii="Arial" w:eastAsia="Times New Roman" w:hAnsi="Arial" w:cs="Arial"/>
                <w:b/>
                <w:iCs/>
                <w:color w:val="000000"/>
                <w:lang w:val="sr-Cyrl-BA"/>
              </w:rPr>
              <w:t>индика</w:t>
            </w:r>
            <w:r>
              <w:rPr>
                <w:rFonts w:ascii="Arial" w:eastAsia="Times New Roman" w:hAnsi="Arial" w:cs="Arial"/>
                <w:b/>
                <w:iCs/>
                <w:color w:val="000000"/>
                <w:lang w:val="sr-Cyrl-BA"/>
              </w:rPr>
              <w:t>т</w:t>
            </w:r>
            <w:r w:rsidR="00A56E08">
              <w:rPr>
                <w:rFonts w:ascii="Arial" w:eastAsia="Times New Roman" w:hAnsi="Arial" w:cs="Arial"/>
                <w:b/>
                <w:iCs/>
                <w:color w:val="000000"/>
                <w:lang w:val="sr-Cyrl-BA"/>
              </w:rPr>
              <w:t>о</w:t>
            </w:r>
            <w:r>
              <w:rPr>
                <w:rFonts w:ascii="Arial" w:eastAsia="Times New Roman" w:hAnsi="Arial" w:cs="Arial"/>
                <w:b/>
                <w:iCs/>
                <w:color w:val="000000"/>
                <w:lang w:val="sr-Cyrl-BA"/>
              </w:rPr>
              <w:t>р</w:t>
            </w:r>
            <w:r w:rsidR="00A56E08">
              <w:rPr>
                <w:rFonts w:ascii="Arial" w:eastAsia="Times New Roman" w:hAnsi="Arial" w:cs="Arial"/>
                <w:b/>
                <w:iCs/>
                <w:color w:val="000000"/>
                <w:lang w:val="sr-Cyrl-BA"/>
              </w:rPr>
              <w:t>а</w:t>
            </w:r>
            <w:r w:rsidR="00892898" w:rsidRPr="00F6340E">
              <w:rPr>
                <w:rFonts w:ascii="Arial" w:eastAsia="Times New Roman" w:hAnsi="Arial" w:cs="Arial"/>
                <w:b/>
                <w:iCs/>
                <w:color w:val="000000"/>
                <w:lang w:val="sr-Cyrl-BA"/>
              </w:rPr>
              <w:t xml:space="preserve"> </w:t>
            </w:r>
            <w:r w:rsidR="00A56E08">
              <w:rPr>
                <w:rFonts w:ascii="Arial" w:eastAsia="Times New Roman" w:hAnsi="Arial" w:cs="Arial"/>
                <w:b/>
                <w:iCs/>
                <w:color w:val="000000"/>
                <w:lang w:val="sr-Cyrl-BA"/>
              </w:rPr>
              <w:t>к</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али</w:t>
            </w:r>
            <w:r>
              <w:rPr>
                <w:rFonts w:ascii="Arial" w:eastAsia="Times New Roman" w:hAnsi="Arial" w:cs="Arial"/>
                <w:b/>
                <w:iCs/>
                <w:color w:val="000000"/>
                <w:lang w:val="sr-Cyrl-BA"/>
              </w:rPr>
              <w:t>т</w:t>
            </w:r>
            <w:r w:rsidR="00EE6AA2">
              <w:rPr>
                <w:rFonts w:ascii="Arial" w:eastAsia="Times New Roman" w:hAnsi="Arial" w:cs="Arial"/>
                <w:b/>
                <w:iCs/>
                <w:color w:val="000000"/>
                <w:lang w:val="sr-Cyrl-BA"/>
              </w:rPr>
              <w:t>е</w:t>
            </w:r>
            <w:r>
              <w:rPr>
                <w:rFonts w:ascii="Arial" w:eastAsia="Times New Roman" w:hAnsi="Arial" w:cs="Arial"/>
                <w:b/>
                <w:iCs/>
                <w:color w:val="000000"/>
                <w:lang w:val="sr-Cyrl-BA"/>
              </w:rPr>
              <w:t>т</w:t>
            </w:r>
            <w:r w:rsidR="00A56E08">
              <w:rPr>
                <w:rFonts w:ascii="Arial" w:eastAsia="Times New Roman" w:hAnsi="Arial" w:cs="Arial"/>
                <w:b/>
                <w:iCs/>
                <w:color w:val="000000"/>
                <w:lang w:val="sr-Cyrl-BA"/>
              </w:rPr>
              <w:t>а</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р</w:t>
            </w:r>
            <w:r w:rsidR="00A56E08">
              <w:rPr>
                <w:rFonts w:ascii="Arial" w:eastAsia="Times New Roman" w:hAnsi="Arial" w:cs="Arial"/>
                <w:b/>
                <w:iCs/>
                <w:color w:val="000000"/>
                <w:lang w:val="sr-Cyrl-BA"/>
              </w:rPr>
              <w:t>ада</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ш</w:t>
            </w:r>
            <w:r w:rsidR="00A56E08">
              <w:rPr>
                <w:rFonts w:ascii="Arial" w:eastAsia="Times New Roman" w:hAnsi="Arial" w:cs="Arial"/>
                <w:b/>
                <w:iCs/>
                <w:color w:val="000000"/>
                <w:lang w:val="sr-Cyrl-BA"/>
              </w:rPr>
              <w:t>кола</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р</w:t>
            </w:r>
            <w:r w:rsidR="00A56E08">
              <w:rPr>
                <w:rFonts w:ascii="Arial" w:eastAsia="Times New Roman" w:hAnsi="Arial" w:cs="Arial"/>
                <w:b/>
                <w:iCs/>
                <w:color w:val="000000"/>
                <w:lang w:val="sr-Cyrl-BA"/>
              </w:rPr>
              <w:t>ади</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ла</w:t>
            </w:r>
            <w:r>
              <w:rPr>
                <w:rFonts w:ascii="Arial" w:eastAsia="Times New Roman" w:hAnsi="Arial" w:cs="Arial"/>
                <w:b/>
                <w:iCs/>
                <w:color w:val="000000"/>
                <w:lang w:val="sr-Cyrl-BA"/>
              </w:rPr>
              <w:t>ст</w:t>
            </w:r>
            <w:r w:rsidR="00A56E08">
              <w:rPr>
                <w:rFonts w:ascii="Arial" w:eastAsia="Times New Roman" w:hAnsi="Arial" w:cs="Arial"/>
                <w:b/>
                <w:iCs/>
                <w:color w:val="000000"/>
                <w:lang w:val="sr-Cyrl-BA"/>
              </w:rPr>
              <w:t>и</w:t>
            </w:r>
            <w:r>
              <w:rPr>
                <w:rFonts w:ascii="Arial" w:eastAsia="Times New Roman" w:hAnsi="Arial" w:cs="Arial"/>
                <w:b/>
                <w:iCs/>
                <w:color w:val="000000"/>
                <w:lang w:val="sr-Cyrl-BA"/>
              </w:rPr>
              <w:t>т</w:t>
            </w:r>
            <w:r w:rsidR="00A56E08">
              <w:rPr>
                <w:rFonts w:ascii="Arial" w:eastAsia="Times New Roman" w:hAnsi="Arial" w:cs="Arial"/>
                <w:b/>
                <w:iCs/>
                <w:color w:val="000000"/>
                <w:lang w:val="sr-Cyrl-BA"/>
              </w:rPr>
              <w:t>ог</w:t>
            </w:r>
            <w:r w:rsidR="00892898" w:rsidRPr="00F6340E">
              <w:rPr>
                <w:rFonts w:ascii="Arial" w:eastAsia="Times New Roman" w:hAnsi="Arial" w:cs="Arial"/>
                <w:b/>
                <w:iCs/>
                <w:color w:val="000000"/>
                <w:lang w:val="sr-Cyrl-BA"/>
              </w:rPr>
              <w:t xml:space="preserve"> </w:t>
            </w:r>
            <w:r>
              <w:rPr>
                <w:rFonts w:ascii="Arial" w:eastAsia="Times New Roman" w:hAnsi="Arial" w:cs="Arial"/>
                <w:b/>
                <w:iCs/>
                <w:color w:val="000000"/>
                <w:lang w:val="sr-Cyrl-BA"/>
              </w:rPr>
              <w:t>р</w:t>
            </w:r>
            <w:r w:rsidR="00A56E08">
              <w:rPr>
                <w:rFonts w:ascii="Arial" w:eastAsia="Times New Roman" w:hAnsi="Arial" w:cs="Arial"/>
                <w:b/>
                <w:iCs/>
                <w:color w:val="000000"/>
                <w:lang w:val="sr-Cyrl-BA"/>
              </w:rPr>
              <w:t>а</w:t>
            </w:r>
            <w:r w:rsidR="00171F00">
              <w:rPr>
                <w:rFonts w:ascii="Arial" w:eastAsia="Times New Roman" w:hAnsi="Arial" w:cs="Arial"/>
                <w:b/>
                <w:iCs/>
                <w:color w:val="000000"/>
                <w:lang w:val="sr-Cyrl-BA"/>
              </w:rPr>
              <w:t>з</w:t>
            </w:r>
            <w:r>
              <w:rPr>
                <w:rFonts w:ascii="Arial" w:eastAsia="Times New Roman" w:hAnsi="Arial" w:cs="Arial"/>
                <w:b/>
                <w:iCs/>
                <w:color w:val="000000"/>
                <w:lang w:val="sr-Cyrl-BA"/>
              </w:rPr>
              <w:t>в</w:t>
            </w:r>
            <w:r w:rsidR="00A56E08">
              <w:rPr>
                <w:rFonts w:ascii="Arial" w:eastAsia="Times New Roman" w:hAnsi="Arial" w:cs="Arial"/>
                <w:b/>
                <w:iCs/>
                <w:color w:val="000000"/>
                <w:lang w:val="sr-Cyrl-BA"/>
              </w:rPr>
              <w:t>оја</w:t>
            </w:r>
            <w:r w:rsidR="00892898" w:rsidRPr="00F6340E">
              <w:rPr>
                <w:rFonts w:ascii="Arial" w:eastAsia="Times New Roman" w:hAnsi="Arial" w:cs="Arial"/>
                <w:b/>
                <w:iCs/>
                <w:color w:val="000000"/>
                <w:lang w:val="sr-Cyrl-BA"/>
              </w:rPr>
              <w:t xml:space="preserve">  </w:t>
            </w:r>
          </w:p>
          <w:p w14:paraId="32A471B3" w14:textId="48D707C4" w:rsidR="00892898" w:rsidRPr="00F6340E" w:rsidRDefault="0071360A" w:rsidP="00FB5CB7">
            <w:pPr>
              <w:pStyle w:val="ListParagraph"/>
              <w:ind w:left="360"/>
              <w:jc w:val="left"/>
              <w:rPr>
                <w:rFonts w:ascii="Arial" w:hAnsi="Arial" w:cs="Arial"/>
                <w:b/>
                <w:color w:val="000000" w:themeColor="text1"/>
                <w:lang w:val="sr-Cyrl-BA"/>
              </w:rPr>
            </w:pP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а</w:t>
            </w:r>
            <w:r w:rsidR="00171F00">
              <w:rPr>
                <w:rFonts w:ascii="Arial" w:eastAsia="Times New Roman" w:hAnsi="Arial" w:cs="Arial"/>
                <w:iCs/>
                <w:color w:val="000000" w:themeColor="text1"/>
                <w:lang w:val="sr-Cyrl-BA"/>
              </w:rPr>
              <w:t>ж</w:t>
            </w:r>
            <w:r w:rsidR="00A56E08">
              <w:rPr>
                <w:rFonts w:ascii="Arial" w:eastAsia="Times New Roman" w:hAnsi="Arial" w:cs="Arial"/>
                <w:iCs/>
                <w:color w:val="000000" w:themeColor="text1"/>
                <w:lang w:val="sr-Cyrl-BA"/>
              </w:rPr>
              <w:t>но</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ј</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да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св</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sidR="00171F00">
              <w:rPr>
                <w:rFonts w:ascii="Arial" w:eastAsia="Times New Roman" w:hAnsi="Arial" w:cs="Arial"/>
                <w:iCs/>
                <w:color w:val="000000" w:themeColor="text1"/>
                <w:lang w:val="sr-Cyrl-BA"/>
              </w:rPr>
              <w:t>з</w:t>
            </w:r>
            <w:r w:rsidR="00A56E08">
              <w:rPr>
                <w:rFonts w:ascii="Arial" w:eastAsia="Times New Roman" w:hAnsi="Arial" w:cs="Arial"/>
                <w:iCs/>
                <w:color w:val="000000" w:themeColor="text1"/>
                <w:lang w:val="sr-Cyrl-BA"/>
              </w:rPr>
              <w:t>а</w:t>
            </w:r>
            <w:r>
              <w:rPr>
                <w:rFonts w:ascii="Arial" w:eastAsia="Times New Roman" w:hAnsi="Arial" w:cs="Arial"/>
                <w:iCs/>
                <w:color w:val="000000" w:themeColor="text1"/>
                <w:lang w:val="sr-Cyrl-BA"/>
              </w:rPr>
              <w:t>п</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л</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ни</w:t>
            </w:r>
            <w:r w:rsidR="005470EA"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ш</w:t>
            </w:r>
            <w:r w:rsidR="00A56E08">
              <w:rPr>
                <w:rFonts w:ascii="Arial" w:eastAsia="Times New Roman" w:hAnsi="Arial" w:cs="Arial"/>
                <w:iCs/>
                <w:color w:val="000000" w:themeColor="text1"/>
                <w:lang w:val="sr-Cyrl-BA"/>
              </w:rPr>
              <w:t>коли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х</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а</w:t>
            </w:r>
            <w:r>
              <w:rPr>
                <w:rFonts w:ascii="Arial" w:eastAsia="Times New Roman" w:hAnsi="Arial" w:cs="Arial"/>
                <w:iCs/>
                <w:color w:val="000000" w:themeColor="text1"/>
                <w:lang w:val="sr-Cyrl-BA"/>
              </w:rPr>
              <w:t>т</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ст</w:t>
            </w:r>
            <w:r w:rsidR="00A56E08">
              <w:rPr>
                <w:rFonts w:ascii="Arial" w:eastAsia="Times New Roman" w:hAnsi="Arial" w:cs="Arial"/>
                <w:iCs/>
                <w:color w:val="000000" w:themeColor="text1"/>
                <w:lang w:val="sr-Cyrl-BA"/>
              </w:rPr>
              <w:t>анда</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д</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к</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али</w:t>
            </w:r>
            <w:r>
              <w:rPr>
                <w:rFonts w:ascii="Arial" w:eastAsia="Times New Roman" w:hAnsi="Arial" w:cs="Arial"/>
                <w:iCs/>
                <w:color w:val="000000" w:themeColor="text1"/>
                <w:lang w:val="sr-Cyrl-BA"/>
              </w:rPr>
              <w:t>т</w:t>
            </w:r>
            <w:r w:rsidR="00EE6AA2">
              <w:rPr>
                <w:rFonts w:ascii="Arial" w:eastAsia="Times New Roman" w:hAnsi="Arial" w:cs="Arial"/>
                <w:iCs/>
                <w:color w:val="000000" w:themeColor="text1"/>
                <w:lang w:val="sr-Cyrl-BA"/>
              </w:rPr>
              <w:t>е</w:t>
            </w:r>
            <w:r>
              <w:rPr>
                <w:rFonts w:ascii="Arial" w:eastAsia="Times New Roman" w:hAnsi="Arial" w:cs="Arial"/>
                <w:iCs/>
                <w:color w:val="000000" w:themeColor="text1"/>
                <w:lang w:val="sr-Cyrl-BA"/>
              </w:rPr>
              <w:t>т</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како</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би</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били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спр</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мни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w:t>
            </w:r>
            <w:r w:rsidR="00A56E08">
              <w:rPr>
                <w:rFonts w:ascii="Arial" w:eastAsia="Times New Roman" w:hAnsi="Arial" w:cs="Arial"/>
                <w:iCs/>
                <w:color w:val="000000" w:themeColor="text1"/>
                <w:lang w:val="sr-Cyrl-BA"/>
              </w:rPr>
              <w:t>лага</w:t>
            </w:r>
            <w:r>
              <w:rPr>
                <w:rFonts w:ascii="Arial" w:eastAsia="Times New Roman" w:hAnsi="Arial" w:cs="Arial"/>
                <w:iCs/>
                <w:color w:val="000000" w:themeColor="text1"/>
                <w:lang w:val="sr-Cyrl-BA"/>
              </w:rPr>
              <w:t>т</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на</w:t>
            </w:r>
            <w:r>
              <w:rPr>
                <w:rFonts w:ascii="Arial" w:eastAsia="Times New Roman" w:hAnsi="Arial" w:cs="Arial"/>
                <w:iCs/>
                <w:color w:val="000000" w:themeColor="text1"/>
                <w:lang w:val="sr-Cyrl-BA"/>
              </w:rPr>
              <w:t>п</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р</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sidR="00171F00">
              <w:rPr>
                <w:rFonts w:ascii="Arial" w:eastAsia="Times New Roman" w:hAnsi="Arial" w:cs="Arial"/>
                <w:iCs/>
                <w:color w:val="000000" w:themeColor="text1"/>
                <w:lang w:val="sr-Cyrl-BA"/>
              </w:rPr>
              <w:t>з</w:t>
            </w:r>
            <w:r w:rsidR="00A56E08">
              <w:rPr>
                <w:rFonts w:ascii="Arial" w:eastAsia="Times New Roman" w:hAnsi="Arial" w:cs="Arial"/>
                <w:iCs/>
                <w:color w:val="000000" w:themeColor="text1"/>
                <w:lang w:val="sr-Cyrl-BA"/>
              </w:rPr>
              <w:t>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w:t>
            </w:r>
            <w:r w:rsidR="00A56E08">
              <w:rPr>
                <w:rFonts w:ascii="Arial" w:eastAsia="Times New Roman" w:hAnsi="Arial" w:cs="Arial"/>
                <w:iCs/>
                <w:color w:val="000000" w:themeColor="text1"/>
                <w:lang w:val="sr-Cyrl-BA"/>
              </w:rPr>
              <w:t>на</w:t>
            </w:r>
            <w:r>
              <w:rPr>
                <w:rFonts w:ascii="Arial" w:eastAsia="Times New Roman" w:hAnsi="Arial" w:cs="Arial"/>
                <w:iCs/>
                <w:color w:val="000000" w:themeColor="text1"/>
                <w:lang w:val="sr-Cyrl-BA"/>
              </w:rPr>
              <w:t>пр</w:t>
            </w:r>
            <w:r w:rsidR="00A56E08">
              <w:rPr>
                <w:rFonts w:ascii="Arial" w:eastAsia="Times New Roman" w:hAnsi="Arial" w:cs="Arial"/>
                <w:iCs/>
                <w:color w:val="000000" w:themeColor="text1"/>
                <w:lang w:val="sr-Cyrl-BA"/>
              </w:rPr>
              <w:t>ј</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ђ</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њ</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ада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ш</w:t>
            </w:r>
            <w:r w:rsidR="00A56E08">
              <w:rPr>
                <w:rFonts w:ascii="Arial" w:eastAsia="Times New Roman" w:hAnsi="Arial" w:cs="Arial"/>
                <w:iCs/>
                <w:color w:val="000000" w:themeColor="text1"/>
                <w:lang w:val="sr-Cyrl-BA"/>
              </w:rPr>
              <w:t>кол</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св</w:t>
            </w:r>
            <w:r w:rsidR="00EE6AA2">
              <w:rPr>
                <w:rFonts w:ascii="Arial" w:eastAsia="Times New Roman" w:hAnsi="Arial" w:cs="Arial"/>
                <w:iCs/>
                <w:color w:val="000000" w:themeColor="text1"/>
                <w:lang w:val="sr-Cyrl-BA"/>
              </w:rPr>
              <w:t>е</w:t>
            </w:r>
            <w:r>
              <w:rPr>
                <w:rFonts w:ascii="Arial" w:eastAsia="Times New Roman" w:hAnsi="Arial" w:cs="Arial"/>
                <w:iCs/>
                <w:color w:val="000000" w:themeColor="text1"/>
                <w:lang w:val="sr-Cyrl-BA"/>
              </w:rPr>
              <w:t>у</w:t>
            </w:r>
            <w:r w:rsidR="00A56E08">
              <w:rPr>
                <w:rFonts w:ascii="Arial" w:eastAsia="Times New Roman" w:hAnsi="Arial" w:cs="Arial"/>
                <w:iCs/>
                <w:color w:val="000000" w:themeColor="text1"/>
                <w:lang w:val="sr-Cyrl-BA"/>
              </w:rPr>
              <w:t>к</w:t>
            </w:r>
            <w:r>
              <w:rPr>
                <w:rFonts w:ascii="Arial" w:eastAsia="Times New Roman" w:hAnsi="Arial" w:cs="Arial"/>
                <w:iCs/>
                <w:color w:val="000000" w:themeColor="text1"/>
                <w:lang w:val="sr-Cyrl-BA"/>
              </w:rPr>
              <w:t>уп</w:t>
            </w:r>
            <w:r w:rsidR="00A56E08">
              <w:rPr>
                <w:rFonts w:ascii="Arial" w:eastAsia="Times New Roman" w:hAnsi="Arial" w:cs="Arial"/>
                <w:iCs/>
                <w:color w:val="000000" w:themeColor="text1"/>
                <w:lang w:val="sr-Cyrl-BA"/>
              </w:rPr>
              <w:t>ног</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а</w:t>
            </w:r>
            <w:r w:rsidR="00171F00">
              <w:rPr>
                <w:rFonts w:ascii="Arial" w:eastAsia="Times New Roman" w:hAnsi="Arial" w:cs="Arial"/>
                <w:iCs/>
                <w:color w:val="000000" w:themeColor="text1"/>
                <w:lang w:val="sr-Cyrl-BA"/>
              </w:rPr>
              <w:t>з</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оја</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на</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личном</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кол</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к</w:t>
            </w:r>
            <w:r>
              <w:rPr>
                <w:rFonts w:ascii="Arial" w:eastAsia="Times New Roman" w:hAnsi="Arial" w:cs="Arial"/>
                <w:iCs/>
                <w:color w:val="000000" w:themeColor="text1"/>
                <w:lang w:val="sr-Cyrl-BA"/>
              </w:rPr>
              <w:t>т</w:t>
            </w:r>
            <w:r w:rsidR="00A56E08">
              <w:rPr>
                <w:rFonts w:ascii="Arial" w:eastAsia="Times New Roman" w:hAnsi="Arial" w:cs="Arial"/>
                <w:iCs/>
                <w:color w:val="000000" w:themeColor="text1"/>
                <w:lang w:val="sr-Cyrl-BA"/>
              </w:rPr>
              <w:t>и</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ном</w:t>
            </w:r>
            <w:r w:rsidR="00C71DCF"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ни</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т</w:t>
            </w:r>
            <w:r w:rsidR="00A56E08">
              <w:rPr>
                <w:rFonts w:ascii="Arial" w:eastAsia="Times New Roman" w:hAnsi="Arial" w:cs="Arial"/>
                <w:iCs/>
                <w:color w:val="000000" w:themeColor="text1"/>
                <w:lang w:val="sr-Cyrl-BA"/>
              </w:rPr>
              <w:t>ом</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ми</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л</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п</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тр</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бно</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ј</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ув</w:t>
            </w:r>
            <w:r w:rsidR="00EE6AA2">
              <w:rPr>
                <w:rFonts w:ascii="Arial" w:eastAsia="Times New Roman" w:hAnsi="Arial" w:cs="Arial"/>
                <w:iCs/>
                <w:color w:val="000000" w:themeColor="text1"/>
                <w:lang w:val="sr-Cyrl-BA"/>
              </w:rPr>
              <w:t>е</w:t>
            </w:r>
            <w:r>
              <w:rPr>
                <w:rFonts w:ascii="Arial" w:eastAsia="Times New Roman" w:hAnsi="Arial" w:cs="Arial"/>
                <w:iCs/>
                <w:color w:val="000000" w:themeColor="text1"/>
                <w:lang w:val="sr-Cyrl-BA"/>
              </w:rPr>
              <w:t>ст</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амо</w:t>
            </w:r>
            <w:r>
              <w:rPr>
                <w:rFonts w:ascii="Arial" w:eastAsia="Times New Roman" w:hAnsi="Arial" w:cs="Arial"/>
                <w:iCs/>
                <w:color w:val="000000" w:themeColor="text1"/>
                <w:lang w:val="sr-Cyrl-BA"/>
              </w:rPr>
              <w:t>вр</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дно</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ањ</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ш</w:t>
            </w:r>
            <w:r w:rsidR="00A56E08">
              <w:rPr>
                <w:rFonts w:ascii="Arial" w:eastAsia="Times New Roman" w:hAnsi="Arial" w:cs="Arial"/>
                <w:iCs/>
                <w:color w:val="000000" w:themeColor="text1"/>
                <w:lang w:val="sr-Cyrl-BA"/>
              </w:rPr>
              <w:t>кола</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као</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с</w:t>
            </w:r>
            <w:r w:rsidR="00A56E08">
              <w:rPr>
                <w:rFonts w:ascii="Arial" w:eastAsia="Times New Roman" w:hAnsi="Arial" w:cs="Arial"/>
                <w:iCs/>
                <w:color w:val="000000" w:themeColor="text1"/>
                <w:lang w:val="sr-Cyrl-BA"/>
              </w:rPr>
              <w:t>а</w:t>
            </w:r>
            <w:r>
              <w:rPr>
                <w:rFonts w:ascii="Arial" w:eastAsia="Times New Roman" w:hAnsi="Arial" w:cs="Arial"/>
                <w:iCs/>
                <w:color w:val="000000" w:themeColor="text1"/>
                <w:lang w:val="sr-Cyrl-BA"/>
              </w:rPr>
              <w:t>ст</w:t>
            </w:r>
            <w:r w:rsidR="00A56E08">
              <w:rPr>
                <w:rFonts w:ascii="Arial" w:eastAsia="Times New Roman" w:hAnsi="Arial" w:cs="Arial"/>
                <w:iCs/>
                <w:color w:val="000000" w:themeColor="text1"/>
                <w:lang w:val="sr-Cyrl-BA"/>
              </w:rPr>
              <w:t>а</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ни</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дио</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р</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до</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ног</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цикл</w:t>
            </w:r>
            <w:r>
              <w:rPr>
                <w:rFonts w:ascii="Arial" w:eastAsia="Times New Roman" w:hAnsi="Arial" w:cs="Arial"/>
                <w:iCs/>
                <w:color w:val="000000" w:themeColor="text1"/>
                <w:lang w:val="sr-Cyrl-BA"/>
              </w:rPr>
              <w:t>ус</w:t>
            </w:r>
            <w:r w:rsidR="00A56E08">
              <w:rPr>
                <w:rFonts w:ascii="Arial" w:eastAsia="Times New Roman" w:hAnsi="Arial" w:cs="Arial"/>
                <w:iCs/>
                <w:color w:val="000000" w:themeColor="text1"/>
                <w:lang w:val="sr-Cyrl-BA"/>
              </w:rPr>
              <w:t>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п</w:t>
            </w:r>
            <w:r w:rsidR="00A56E08">
              <w:rPr>
                <w:rFonts w:ascii="Arial" w:eastAsia="Times New Roman" w:hAnsi="Arial" w:cs="Arial"/>
                <w:iCs/>
                <w:color w:val="000000" w:themeColor="text1"/>
                <w:lang w:val="sr-Cyrl-BA"/>
              </w:rPr>
              <w:t>лани</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ања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а</w:t>
            </w:r>
            <w:r w:rsidR="00171F00">
              <w:rPr>
                <w:rFonts w:ascii="Arial" w:eastAsia="Times New Roman" w:hAnsi="Arial" w:cs="Arial"/>
                <w:iCs/>
                <w:color w:val="000000" w:themeColor="text1"/>
                <w:lang w:val="sr-Cyrl-BA"/>
              </w:rPr>
              <w:t>з</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оја</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ш</w:t>
            </w:r>
            <w:r w:rsidR="00A56E08">
              <w:rPr>
                <w:rFonts w:ascii="Arial" w:eastAsia="Times New Roman" w:hAnsi="Arial" w:cs="Arial"/>
                <w:iCs/>
                <w:color w:val="000000" w:themeColor="text1"/>
                <w:lang w:val="sr-Cyrl-BA"/>
              </w:rPr>
              <w:t>кол</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w:t>
            </w:r>
            <w:r w:rsidR="00892898" w:rsidRPr="00F6340E">
              <w:rPr>
                <w:rFonts w:ascii="Arial" w:eastAsia="Times New Roman" w:hAnsi="Arial" w:cs="Arial"/>
                <w:i/>
                <w:iCs/>
                <w:color w:val="000000" w:themeColor="text1"/>
                <w:lang w:val="sr-Cyrl-BA"/>
              </w:rPr>
              <w:t xml:space="preserve"> </w:t>
            </w:r>
          </w:p>
          <w:p w14:paraId="69AAA928" w14:textId="071FEF9F" w:rsidR="00892898" w:rsidRPr="00F6340E" w:rsidRDefault="00A56E08" w:rsidP="00FB5CB7">
            <w:pPr>
              <w:pStyle w:val="ListParagraph"/>
              <w:numPr>
                <w:ilvl w:val="0"/>
                <w:numId w:val="44"/>
              </w:numPr>
              <w:ind w:left="360"/>
              <w:jc w:val="left"/>
              <w:rPr>
                <w:rFonts w:ascii="Arial" w:hAnsi="Arial" w:cs="Arial"/>
                <w:b/>
                <w:color w:val="000000" w:themeColor="text1"/>
                <w:lang w:val="sr-Cyrl-BA"/>
              </w:rPr>
            </w:pPr>
            <w:r>
              <w:rPr>
                <w:rFonts w:ascii="Arial" w:eastAsia="Times New Roman" w:hAnsi="Arial" w:cs="Arial"/>
                <w:b/>
                <w:iCs/>
                <w:color w:val="000000" w:themeColor="text1"/>
                <w:lang w:val="sr-Cyrl-BA"/>
              </w:rPr>
              <w:t>К</w:t>
            </w:r>
            <w:r w:rsidR="0071360A">
              <w:rPr>
                <w:rFonts w:ascii="Arial" w:eastAsia="Times New Roman" w:hAnsi="Arial" w:cs="Arial"/>
                <w:b/>
                <w:iCs/>
                <w:color w:val="000000" w:themeColor="text1"/>
                <w:lang w:val="sr-Cyrl-BA"/>
              </w:rPr>
              <w:t>р</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и</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т</w:t>
            </w:r>
            <w:r>
              <w:rPr>
                <w:rFonts w:ascii="Arial" w:eastAsia="Times New Roman" w:hAnsi="Arial" w:cs="Arial"/>
                <w:b/>
                <w:iCs/>
                <w:color w:val="000000" w:themeColor="text1"/>
                <w:lang w:val="sr-Cyrl-BA"/>
              </w:rPr>
              <w:t>и</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w:t>
            </w:r>
            <w:r>
              <w:rPr>
                <w:rFonts w:ascii="Arial" w:eastAsia="Times New Roman" w:hAnsi="Arial" w:cs="Arial"/>
                <w:b/>
                <w:iCs/>
                <w:color w:val="000000" w:themeColor="text1"/>
                <w:lang w:val="sr-Cyrl-BA"/>
              </w:rPr>
              <w:t>ла</w:t>
            </w:r>
            <w:r w:rsidR="0071360A">
              <w:rPr>
                <w:rFonts w:ascii="Arial" w:eastAsia="Times New Roman" w:hAnsi="Arial" w:cs="Arial"/>
                <w:b/>
                <w:iCs/>
                <w:color w:val="000000" w:themeColor="text1"/>
                <w:lang w:val="sr-Cyrl-BA"/>
              </w:rPr>
              <w:t>т</w:t>
            </w:r>
            <w:r>
              <w:rPr>
                <w:rFonts w:ascii="Arial" w:eastAsia="Times New Roman" w:hAnsi="Arial" w:cs="Arial"/>
                <w:b/>
                <w:iCs/>
                <w:color w:val="000000" w:themeColor="text1"/>
                <w:lang w:val="sr-Cyrl-BA"/>
              </w:rPr>
              <w:t>фо</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м</w:t>
            </w:r>
            <w:r w:rsidR="0071360A">
              <w:rPr>
                <w:rFonts w:ascii="Arial" w:eastAsia="Times New Roman" w:hAnsi="Arial" w:cs="Arial"/>
                <w:b/>
                <w:iCs/>
                <w:color w:val="000000" w:themeColor="text1"/>
                <w:lang w:val="sr-Cyrl-BA"/>
              </w:rPr>
              <w:t>у</w:t>
            </w:r>
            <w:r w:rsidR="00A4214D"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на</w:t>
            </w:r>
            <w:r w:rsidR="0071360A">
              <w:rPr>
                <w:rFonts w:ascii="Arial" w:eastAsia="Times New Roman" w:hAnsi="Arial" w:cs="Arial"/>
                <w:b/>
                <w:iCs/>
                <w:color w:val="000000" w:themeColor="text1"/>
                <w:lang w:val="sr-Cyrl-BA"/>
              </w:rPr>
              <w:t>ст</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в</w:t>
            </w:r>
            <w:r w:rsidR="00EE6AA2">
              <w:rPr>
                <w:rFonts w:ascii="Arial" w:eastAsia="Times New Roman" w:hAnsi="Arial" w:cs="Arial"/>
                <w:b/>
                <w:iCs/>
                <w:color w:val="000000" w:themeColor="text1"/>
                <w:lang w:val="sr-Cyrl-BA"/>
              </w:rPr>
              <w:t>е</w:t>
            </w:r>
            <w:r w:rsidR="008424F0"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пут</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м</w:t>
            </w:r>
            <w:r w:rsidR="008424F0"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ин</w:t>
            </w:r>
            <w:r w:rsidR="0071360A">
              <w:rPr>
                <w:rFonts w:ascii="Arial" w:eastAsia="Times New Roman" w:hAnsi="Arial" w:cs="Arial"/>
                <w:b/>
                <w:iCs/>
                <w:color w:val="000000" w:themeColor="text1"/>
                <w:lang w:val="sr-Cyrl-BA"/>
              </w:rPr>
              <w:t>т</w:t>
            </w:r>
            <w:r w:rsidR="00EE6AA2">
              <w:rPr>
                <w:rFonts w:ascii="Arial" w:eastAsia="Times New Roman" w:hAnsi="Arial" w:cs="Arial"/>
                <w:b/>
                <w:iCs/>
                <w:color w:val="000000" w:themeColor="text1"/>
                <w:lang w:val="sr-Cyrl-BA"/>
              </w:rPr>
              <w:t>е</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н</w:t>
            </w:r>
            <w:r w:rsidR="00EE6AA2">
              <w:rPr>
                <w:rFonts w:ascii="Arial" w:eastAsia="Times New Roman" w:hAnsi="Arial" w:cs="Arial"/>
                <w:b/>
                <w:iCs/>
                <w:color w:val="000000" w:themeColor="text1"/>
                <w:lang w:val="sr-Cyrl-BA"/>
              </w:rPr>
              <w:t>е</w:t>
            </w:r>
            <w:r w:rsidR="0071360A">
              <w:rPr>
                <w:rFonts w:ascii="Arial" w:eastAsia="Times New Roman" w:hAnsi="Arial" w:cs="Arial"/>
                <w:b/>
                <w:iCs/>
                <w:color w:val="000000" w:themeColor="text1"/>
                <w:lang w:val="sr-Cyrl-BA"/>
              </w:rPr>
              <w:t>т</w:t>
            </w:r>
            <w:r>
              <w:rPr>
                <w:rFonts w:ascii="Arial" w:eastAsia="Times New Roman" w:hAnsi="Arial" w:cs="Arial"/>
                <w:b/>
                <w:iCs/>
                <w:color w:val="000000" w:themeColor="text1"/>
                <w:lang w:val="sr-Cyrl-BA"/>
              </w:rPr>
              <w:t>а</w:t>
            </w:r>
            <w:r w:rsidR="00892898" w:rsidRPr="00F6340E">
              <w:rPr>
                <w:rFonts w:ascii="Arial" w:eastAsia="Times New Roman" w:hAnsi="Arial" w:cs="Arial"/>
                <w:b/>
                <w:iCs/>
                <w:color w:val="000000" w:themeColor="text1"/>
                <w:lang w:val="sr-Cyrl-BA"/>
              </w:rPr>
              <w:t xml:space="preserve"> </w:t>
            </w:r>
            <w:r w:rsidR="00171F00">
              <w:rPr>
                <w:rFonts w:ascii="Arial" w:eastAsia="Times New Roman" w:hAnsi="Arial" w:cs="Arial"/>
                <w:b/>
                <w:iCs/>
                <w:color w:val="000000" w:themeColor="text1"/>
                <w:lang w:val="sr-Cyrl-BA"/>
              </w:rPr>
              <w:t>з</w:t>
            </w:r>
            <w:r>
              <w:rPr>
                <w:rFonts w:ascii="Arial" w:eastAsia="Times New Roman" w:hAnsi="Arial" w:cs="Arial"/>
                <w:b/>
                <w:iCs/>
                <w:color w:val="000000" w:themeColor="text1"/>
                <w:lang w:val="sr-Cyrl-BA"/>
              </w:rPr>
              <w:t>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w:t>
            </w:r>
            <w:r>
              <w:rPr>
                <w:rFonts w:ascii="Arial" w:eastAsia="Times New Roman" w:hAnsi="Arial" w:cs="Arial"/>
                <w:b/>
                <w:iCs/>
                <w:color w:val="000000" w:themeColor="text1"/>
                <w:lang w:val="sr-Cyrl-BA"/>
              </w:rPr>
              <w:t>од</w:t>
            </w:r>
            <w:r w:rsidR="0071360A">
              <w:rPr>
                <w:rFonts w:ascii="Arial" w:eastAsia="Times New Roman" w:hAnsi="Arial" w:cs="Arial"/>
                <w:b/>
                <w:iCs/>
                <w:color w:val="000000" w:themeColor="text1"/>
                <w:lang w:val="sr-Cyrl-BA"/>
              </w:rPr>
              <w:t>рш</w:t>
            </w:r>
            <w:r>
              <w:rPr>
                <w:rFonts w:ascii="Arial" w:eastAsia="Times New Roman" w:hAnsi="Arial" w:cs="Arial"/>
                <w:b/>
                <w:iCs/>
                <w:color w:val="000000" w:themeColor="text1"/>
                <w:lang w:val="sr-Cyrl-BA"/>
              </w:rPr>
              <w:t>к</w:t>
            </w:r>
            <w:r w:rsidR="0071360A">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w:t>
            </w:r>
            <w:r>
              <w:rPr>
                <w:rFonts w:ascii="Arial" w:eastAsia="Times New Roman" w:hAnsi="Arial" w:cs="Arial"/>
                <w:b/>
                <w:iCs/>
                <w:color w:val="000000" w:themeColor="text1"/>
                <w:lang w:val="sr-Cyrl-BA"/>
              </w:rPr>
              <w:t>обољ</w:t>
            </w:r>
            <w:r w:rsidR="0071360A">
              <w:rPr>
                <w:rFonts w:ascii="Arial" w:eastAsia="Times New Roman" w:hAnsi="Arial" w:cs="Arial"/>
                <w:b/>
                <w:iCs/>
                <w:color w:val="000000" w:themeColor="text1"/>
                <w:lang w:val="sr-Cyrl-BA"/>
              </w:rPr>
              <w:t>ш</w:t>
            </w:r>
            <w:r>
              <w:rPr>
                <w:rFonts w:ascii="Arial" w:eastAsia="Times New Roman" w:hAnsi="Arial" w:cs="Arial"/>
                <w:b/>
                <w:iCs/>
                <w:color w:val="000000" w:themeColor="text1"/>
                <w:lang w:val="sr-Cyrl-BA"/>
              </w:rPr>
              <w:t>ањ</w:t>
            </w:r>
            <w:r w:rsidR="0071360A">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ада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ш</w:t>
            </w:r>
            <w:r>
              <w:rPr>
                <w:rFonts w:ascii="Arial" w:eastAsia="Times New Roman" w:hAnsi="Arial" w:cs="Arial"/>
                <w:b/>
                <w:iCs/>
                <w:color w:val="000000" w:themeColor="text1"/>
                <w:lang w:val="sr-Cyrl-BA"/>
              </w:rPr>
              <w:t>кола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одно</w:t>
            </w:r>
            <w:r w:rsidR="0071360A">
              <w:rPr>
                <w:rFonts w:ascii="Arial" w:eastAsia="Times New Roman" w:hAnsi="Arial" w:cs="Arial"/>
                <w:b/>
                <w:iCs/>
                <w:color w:val="000000" w:themeColor="text1"/>
                <w:lang w:val="sr-Cyrl-BA"/>
              </w:rPr>
              <w:t>су</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на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w:t>
            </w:r>
            <w:r>
              <w:rPr>
                <w:rFonts w:ascii="Arial" w:eastAsia="Times New Roman" w:hAnsi="Arial" w:cs="Arial"/>
                <w:b/>
                <w:iCs/>
                <w:color w:val="000000" w:themeColor="text1"/>
                <w:lang w:val="sr-Cyrl-BA"/>
              </w:rPr>
              <w:t>о</w:t>
            </w:r>
            <w:r w:rsidR="0071360A">
              <w:rPr>
                <w:rFonts w:ascii="Arial" w:eastAsia="Times New Roman" w:hAnsi="Arial" w:cs="Arial"/>
                <w:b/>
                <w:iCs/>
                <w:color w:val="000000" w:themeColor="text1"/>
                <w:lang w:val="sr-Cyrl-BA"/>
              </w:rPr>
              <w:t>ст</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љ</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ни</w:t>
            </w:r>
            <w:r w:rsidR="00C04EC1"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ст</w:t>
            </w:r>
            <w:r>
              <w:rPr>
                <w:rFonts w:ascii="Arial" w:eastAsia="Times New Roman" w:hAnsi="Arial" w:cs="Arial"/>
                <w:b/>
                <w:iCs/>
                <w:color w:val="000000" w:themeColor="text1"/>
                <w:lang w:val="sr-Cyrl-BA"/>
              </w:rPr>
              <w:t>анда</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д</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к</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али</w:t>
            </w:r>
            <w:r w:rsidR="0071360A">
              <w:rPr>
                <w:rFonts w:ascii="Arial" w:eastAsia="Times New Roman" w:hAnsi="Arial" w:cs="Arial"/>
                <w:b/>
                <w:iCs/>
                <w:color w:val="000000" w:themeColor="text1"/>
                <w:lang w:val="sr-Cyrl-BA"/>
              </w:rPr>
              <w:t>т</w:t>
            </w:r>
            <w:r w:rsidR="00EE6AA2">
              <w:rPr>
                <w:rFonts w:ascii="Arial" w:eastAsia="Times New Roman" w:hAnsi="Arial" w:cs="Arial"/>
                <w:b/>
                <w:iCs/>
                <w:color w:val="000000" w:themeColor="text1"/>
                <w:lang w:val="sr-Cyrl-BA"/>
              </w:rPr>
              <w:t>е</w:t>
            </w:r>
            <w:r w:rsidR="0071360A">
              <w:rPr>
                <w:rFonts w:ascii="Arial" w:eastAsia="Times New Roman" w:hAnsi="Arial" w:cs="Arial"/>
                <w:b/>
                <w:iCs/>
                <w:color w:val="000000" w:themeColor="text1"/>
                <w:lang w:val="sr-Cyrl-BA"/>
              </w:rPr>
              <w:t>т</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на</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ни</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о</w:t>
            </w:r>
            <w:r w:rsidR="0071360A">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админи</w:t>
            </w:r>
            <w:r w:rsidR="0071360A">
              <w:rPr>
                <w:rFonts w:ascii="Arial" w:eastAsia="Times New Roman" w:hAnsi="Arial" w:cs="Arial"/>
                <w:b/>
                <w:iCs/>
                <w:color w:val="000000" w:themeColor="text1"/>
                <w:lang w:val="sr-Cyrl-BA"/>
              </w:rPr>
              <w:t>стр</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т</w:t>
            </w:r>
            <w:r>
              <w:rPr>
                <w:rFonts w:ascii="Arial" w:eastAsia="Times New Roman" w:hAnsi="Arial" w:cs="Arial"/>
                <w:b/>
                <w:iCs/>
                <w:color w:val="000000" w:themeColor="text1"/>
                <w:lang w:val="sr-Cyrl-BA"/>
              </w:rPr>
              <w:t>и</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них</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ј</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диница</w:t>
            </w:r>
            <w:r w:rsidR="00B04FA8">
              <w:rPr>
                <w:rFonts w:ascii="Arial" w:eastAsia="Times New Roman" w:hAnsi="Arial" w:cs="Arial"/>
                <w:b/>
                <w:iCs/>
                <w:color w:val="000000" w:themeColor="text1"/>
                <w:lang w:val="sr-Cyrl-BA"/>
              </w:rPr>
              <w:t xml:space="preserve"> са </w:t>
            </w:r>
            <w:r>
              <w:rPr>
                <w:rFonts w:ascii="Arial" w:eastAsia="Times New Roman" w:hAnsi="Arial" w:cs="Arial"/>
                <w:b/>
                <w:iCs/>
                <w:color w:val="000000" w:themeColor="text1"/>
                <w:lang w:val="sr-Cyrl-BA"/>
              </w:rPr>
              <w:t>мог</w:t>
            </w:r>
            <w:r w:rsidR="0071360A">
              <w:rPr>
                <w:rFonts w:ascii="Arial" w:eastAsia="Times New Roman" w:hAnsi="Arial" w:cs="Arial"/>
                <w:b/>
                <w:iCs/>
                <w:color w:val="000000" w:themeColor="text1"/>
                <w:lang w:val="sr-Cyrl-BA"/>
              </w:rPr>
              <w:t>у</w:t>
            </w:r>
            <w:r>
              <w:rPr>
                <w:rFonts w:ascii="Arial" w:eastAsia="Times New Roman" w:hAnsi="Arial" w:cs="Arial"/>
                <w:b/>
                <w:iCs/>
                <w:color w:val="000000" w:themeColor="text1"/>
                <w:lang w:val="sr-Cyrl-BA"/>
              </w:rPr>
              <w:t>ћно</w:t>
            </w:r>
            <w:r w:rsidR="0071360A">
              <w:rPr>
                <w:rFonts w:ascii="Arial" w:eastAsia="Times New Roman" w:hAnsi="Arial" w:cs="Arial"/>
                <w:b/>
                <w:iCs/>
                <w:color w:val="000000" w:themeColor="text1"/>
                <w:lang w:val="sr-Cyrl-BA"/>
              </w:rPr>
              <w:t>ш</w:t>
            </w:r>
            <w:r>
              <w:rPr>
                <w:rFonts w:ascii="Arial" w:eastAsia="Times New Roman" w:hAnsi="Arial" w:cs="Arial"/>
                <w:b/>
                <w:iCs/>
                <w:color w:val="000000" w:themeColor="text1"/>
                <w:lang w:val="sr-Cyrl-BA"/>
              </w:rPr>
              <w:t>ћ</w:t>
            </w:r>
            <w:r w:rsidR="0071360A">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у</w:t>
            </w:r>
            <w:r>
              <w:rPr>
                <w:rFonts w:ascii="Arial" w:eastAsia="Times New Roman" w:hAnsi="Arial" w:cs="Arial"/>
                <w:b/>
                <w:iCs/>
                <w:color w:val="000000" w:themeColor="text1"/>
                <w:lang w:val="sr-Cyrl-BA"/>
              </w:rPr>
              <w:t>м</w:t>
            </w:r>
            <w:r w:rsidR="0071360A">
              <w:rPr>
                <w:rFonts w:ascii="Arial" w:eastAsia="Times New Roman" w:hAnsi="Arial" w:cs="Arial"/>
                <w:b/>
                <w:iCs/>
                <w:color w:val="000000" w:themeColor="text1"/>
                <w:lang w:val="sr-Cyrl-BA"/>
              </w:rPr>
              <w:t>р</w:t>
            </w:r>
            <w:r w:rsidR="00EE6AA2">
              <w:rPr>
                <w:rFonts w:ascii="Arial" w:eastAsia="Times New Roman" w:hAnsi="Arial" w:cs="Arial"/>
                <w:b/>
                <w:iCs/>
                <w:color w:val="000000" w:themeColor="text1"/>
                <w:lang w:val="sr-Cyrl-BA"/>
              </w:rPr>
              <w:t>е</w:t>
            </w:r>
            <w:r w:rsidR="00171F00">
              <w:rPr>
                <w:rFonts w:ascii="Arial" w:eastAsia="Times New Roman" w:hAnsi="Arial" w:cs="Arial"/>
                <w:b/>
                <w:iCs/>
                <w:color w:val="000000" w:themeColor="text1"/>
                <w:lang w:val="sr-Cyrl-BA"/>
              </w:rPr>
              <w:t>ж</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ања</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и</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р</w:t>
            </w:r>
            <w:r>
              <w:rPr>
                <w:rFonts w:ascii="Arial" w:eastAsia="Times New Roman" w:hAnsi="Arial" w:cs="Arial"/>
                <w:b/>
                <w:iCs/>
                <w:color w:val="000000" w:themeColor="text1"/>
                <w:lang w:val="sr-Cyrl-BA"/>
              </w:rPr>
              <w:t>а</w:t>
            </w:r>
            <w:r w:rsidR="00171F00">
              <w:rPr>
                <w:rFonts w:ascii="Arial" w:eastAsia="Times New Roman" w:hAnsi="Arial" w:cs="Arial"/>
                <w:b/>
                <w:iCs/>
                <w:color w:val="000000" w:themeColor="text1"/>
                <w:lang w:val="sr-Cyrl-BA"/>
              </w:rPr>
              <w:t>з</w:t>
            </w:r>
            <w:r>
              <w:rPr>
                <w:rFonts w:ascii="Arial" w:eastAsia="Times New Roman" w:hAnsi="Arial" w:cs="Arial"/>
                <w:b/>
                <w:iCs/>
                <w:color w:val="000000" w:themeColor="text1"/>
                <w:lang w:val="sr-Cyrl-BA"/>
              </w:rPr>
              <w:t>мј</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н</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w:t>
            </w:r>
            <w:r>
              <w:rPr>
                <w:rFonts w:ascii="Arial" w:eastAsia="Times New Roman" w:hAnsi="Arial" w:cs="Arial"/>
                <w:b/>
                <w:iCs/>
                <w:color w:val="000000" w:themeColor="text1"/>
                <w:lang w:val="sr-Cyrl-BA"/>
              </w:rPr>
              <w:t>ода</w:t>
            </w:r>
            <w:r w:rsidR="0071360A">
              <w:rPr>
                <w:rFonts w:ascii="Arial" w:eastAsia="Times New Roman" w:hAnsi="Arial" w:cs="Arial"/>
                <w:b/>
                <w:iCs/>
                <w:color w:val="000000" w:themeColor="text1"/>
                <w:lang w:val="sr-Cyrl-BA"/>
              </w:rPr>
              <w:t>т</w:t>
            </w:r>
            <w:r>
              <w:rPr>
                <w:rFonts w:ascii="Arial" w:eastAsia="Times New Roman" w:hAnsi="Arial" w:cs="Arial"/>
                <w:b/>
                <w:iCs/>
                <w:color w:val="000000" w:themeColor="text1"/>
                <w:lang w:val="sr-Cyrl-BA"/>
              </w:rPr>
              <w:t>ака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у</w:t>
            </w:r>
            <w:r>
              <w:rPr>
                <w:rFonts w:ascii="Arial" w:eastAsia="Times New Roman" w:hAnsi="Arial" w:cs="Arial"/>
                <w:b/>
                <w:iCs/>
                <w:color w:val="000000" w:themeColor="text1"/>
                <w:lang w:val="sr-Cyrl-BA"/>
              </w:rPr>
              <w:t>н</w:t>
            </w:r>
            <w:r w:rsidR="0071360A">
              <w:rPr>
                <w:rFonts w:ascii="Arial" w:eastAsia="Times New Roman" w:hAnsi="Arial" w:cs="Arial"/>
                <w:b/>
                <w:iCs/>
                <w:color w:val="000000" w:themeColor="text1"/>
                <w:lang w:val="sr-Cyrl-BA"/>
              </w:rPr>
              <w:t>ут</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р</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усп</w:t>
            </w:r>
            <w:r>
              <w:rPr>
                <w:rFonts w:ascii="Arial" w:eastAsia="Times New Roman" w:hAnsi="Arial" w:cs="Arial"/>
                <w:b/>
                <w:iCs/>
                <w:color w:val="000000" w:themeColor="text1"/>
                <w:lang w:val="sr-Cyrl-BA"/>
              </w:rPr>
              <w:t>о</w:t>
            </w:r>
            <w:r w:rsidR="0071360A">
              <w:rPr>
                <w:rFonts w:ascii="Arial" w:eastAsia="Times New Roman" w:hAnsi="Arial" w:cs="Arial"/>
                <w:b/>
                <w:iCs/>
                <w:color w:val="000000" w:themeColor="text1"/>
                <w:lang w:val="sr-Cyrl-BA"/>
              </w:rPr>
              <w:t>ст</w:t>
            </w:r>
            <w:r>
              <w:rPr>
                <w:rFonts w:ascii="Arial" w:eastAsia="Times New Roman" w:hAnsi="Arial" w:cs="Arial"/>
                <w:b/>
                <w:iCs/>
                <w:color w:val="000000" w:themeColor="text1"/>
                <w:lang w:val="sr-Cyrl-BA"/>
              </w:rPr>
              <w:t>а</w:t>
            </w:r>
            <w:r w:rsidR="0071360A">
              <w:rPr>
                <w:rFonts w:ascii="Arial" w:eastAsia="Times New Roman" w:hAnsi="Arial" w:cs="Arial"/>
                <w:b/>
                <w:iCs/>
                <w:color w:val="000000" w:themeColor="text1"/>
                <w:lang w:val="sr-Cyrl-BA"/>
              </w:rPr>
              <w:t>в</w:t>
            </w:r>
            <w:r>
              <w:rPr>
                <w:rFonts w:ascii="Arial" w:eastAsia="Times New Roman" w:hAnsi="Arial" w:cs="Arial"/>
                <w:b/>
                <w:iCs/>
                <w:color w:val="000000" w:themeColor="text1"/>
                <w:lang w:val="sr-Cyrl-BA"/>
              </w:rPr>
              <w:t>љ</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них</w:t>
            </w:r>
            <w:r w:rsidR="00892898" w:rsidRPr="00F6340E">
              <w:rPr>
                <w:rFonts w:ascii="Arial" w:eastAsia="Times New Roman" w:hAnsi="Arial" w:cs="Arial"/>
                <w:b/>
                <w:iCs/>
                <w:color w:val="000000" w:themeColor="text1"/>
                <w:lang w:val="sr-Cyrl-BA"/>
              </w:rPr>
              <w:t xml:space="preserve"> </w:t>
            </w:r>
            <w:r w:rsidR="00171F00">
              <w:rPr>
                <w:rFonts w:ascii="Arial" w:eastAsia="Times New Roman" w:hAnsi="Arial" w:cs="Arial"/>
                <w:b/>
                <w:iCs/>
                <w:color w:val="000000" w:themeColor="text1"/>
                <w:lang w:val="sr-Cyrl-BA"/>
              </w:rPr>
              <w:t>з</w:t>
            </w:r>
            <w:r>
              <w:rPr>
                <w:rFonts w:ascii="Arial" w:eastAsia="Times New Roman" w:hAnsi="Arial" w:cs="Arial"/>
                <w:b/>
                <w:iCs/>
                <w:color w:val="000000" w:themeColor="text1"/>
                <w:lang w:val="sr-Cyrl-BA"/>
              </w:rPr>
              <w:t>ај</w:t>
            </w:r>
            <w:r w:rsidR="00EE6AA2">
              <w:rPr>
                <w:rFonts w:ascii="Arial" w:eastAsia="Times New Roman" w:hAnsi="Arial" w:cs="Arial"/>
                <w:b/>
                <w:iCs/>
                <w:color w:val="000000" w:themeColor="text1"/>
                <w:lang w:val="sr-Cyrl-BA"/>
              </w:rPr>
              <w:t>е</w:t>
            </w:r>
            <w:r>
              <w:rPr>
                <w:rFonts w:ascii="Arial" w:eastAsia="Times New Roman" w:hAnsi="Arial" w:cs="Arial"/>
                <w:b/>
                <w:iCs/>
                <w:color w:val="000000" w:themeColor="text1"/>
                <w:lang w:val="sr-Cyrl-BA"/>
              </w:rPr>
              <w:t>дница</w:t>
            </w:r>
            <w:r w:rsidR="00892898" w:rsidRPr="00F6340E">
              <w:rPr>
                <w:rFonts w:ascii="Arial" w:eastAsia="Times New Roman" w:hAnsi="Arial" w:cs="Arial"/>
                <w:b/>
                <w:iCs/>
                <w:color w:val="000000" w:themeColor="text1"/>
                <w:lang w:val="sr-Cyrl-BA"/>
              </w:rPr>
              <w:t xml:space="preserve"> </w:t>
            </w:r>
            <w:r w:rsidR="0071360A">
              <w:rPr>
                <w:rFonts w:ascii="Arial" w:eastAsia="Times New Roman" w:hAnsi="Arial" w:cs="Arial"/>
                <w:b/>
                <w:iCs/>
                <w:color w:val="000000" w:themeColor="text1"/>
                <w:lang w:val="sr-Cyrl-BA"/>
              </w:rPr>
              <w:t>пр</w:t>
            </w:r>
            <w:r>
              <w:rPr>
                <w:rFonts w:ascii="Arial" w:eastAsia="Times New Roman" w:hAnsi="Arial" w:cs="Arial"/>
                <w:b/>
                <w:iCs/>
                <w:color w:val="000000" w:themeColor="text1"/>
                <w:lang w:val="sr-Cyrl-BA"/>
              </w:rPr>
              <w:t>ак</w:t>
            </w:r>
            <w:r w:rsidR="0071360A">
              <w:rPr>
                <w:rFonts w:ascii="Arial" w:eastAsia="Times New Roman" w:hAnsi="Arial" w:cs="Arial"/>
                <w:b/>
                <w:iCs/>
                <w:color w:val="000000" w:themeColor="text1"/>
                <w:lang w:val="sr-Cyrl-BA"/>
              </w:rPr>
              <w:t>с</w:t>
            </w:r>
            <w:r>
              <w:rPr>
                <w:rFonts w:ascii="Arial" w:eastAsia="Times New Roman" w:hAnsi="Arial" w:cs="Arial"/>
                <w:b/>
                <w:iCs/>
                <w:color w:val="000000" w:themeColor="text1"/>
                <w:lang w:val="sr-Cyrl-BA"/>
              </w:rPr>
              <w:t>и</w:t>
            </w:r>
          </w:p>
          <w:p w14:paraId="5907FCC6" w14:textId="0AE82AE4" w:rsidR="00D73EF7" w:rsidRPr="00F6340E" w:rsidRDefault="0071360A" w:rsidP="00FB5CB7">
            <w:pPr>
              <w:pStyle w:val="ListParagraph"/>
              <w:numPr>
                <w:ilvl w:val="0"/>
                <w:numId w:val="44"/>
              </w:numPr>
              <w:ind w:left="360"/>
              <w:jc w:val="left"/>
              <w:rPr>
                <w:rFonts w:ascii="Arial" w:eastAsia="Times New Roman" w:hAnsi="Arial" w:cs="Arial"/>
                <w:b/>
                <w:color w:val="000000" w:themeColor="text1"/>
                <w:lang w:val="sr-Cyrl-BA"/>
              </w:rPr>
            </w:pPr>
            <w:r>
              <w:rPr>
                <w:rFonts w:ascii="Arial" w:eastAsia="Times New Roman" w:hAnsi="Arial" w:cs="Arial"/>
                <w:b/>
                <w:iCs/>
                <w:color w:val="000000" w:themeColor="text1"/>
                <w:lang w:val="sr-Cyrl-BA"/>
              </w:rPr>
              <w:t>Пр</w:t>
            </w:r>
            <w:r w:rsidR="00A56E08">
              <w:rPr>
                <w:rFonts w:ascii="Arial" w:eastAsia="Times New Roman" w:hAnsi="Arial" w:cs="Arial"/>
                <w:b/>
                <w:iCs/>
                <w:color w:val="000000" w:themeColor="text1"/>
                <w:lang w:val="sr-Cyrl-BA"/>
              </w:rPr>
              <w:t>омо</w:t>
            </w:r>
            <w:r>
              <w:rPr>
                <w:rFonts w:ascii="Arial" w:eastAsia="Times New Roman" w:hAnsi="Arial" w:cs="Arial"/>
                <w:b/>
                <w:iCs/>
                <w:color w:val="000000" w:themeColor="text1"/>
                <w:lang w:val="sr-Cyrl-BA"/>
              </w:rPr>
              <w:t>в</w:t>
            </w:r>
            <w:r w:rsidR="00A56E08">
              <w:rPr>
                <w:rFonts w:ascii="Arial" w:eastAsia="Times New Roman" w:hAnsi="Arial" w:cs="Arial"/>
                <w:b/>
                <w:iCs/>
                <w:color w:val="000000" w:themeColor="text1"/>
                <w:lang w:val="sr-Cyrl-BA"/>
              </w:rPr>
              <w:t>и</w:t>
            </w:r>
            <w:r>
              <w:rPr>
                <w:rFonts w:ascii="Arial" w:eastAsia="Times New Roman" w:hAnsi="Arial" w:cs="Arial"/>
                <w:b/>
                <w:iCs/>
                <w:color w:val="000000" w:themeColor="text1"/>
                <w:lang w:val="sr-Cyrl-BA"/>
              </w:rPr>
              <w:t>с</w:t>
            </w:r>
            <w:r w:rsidR="00A56E08">
              <w:rPr>
                <w:rFonts w:ascii="Arial" w:eastAsia="Times New Roman" w:hAnsi="Arial" w:cs="Arial"/>
                <w:b/>
                <w:iCs/>
                <w:color w:val="000000" w:themeColor="text1"/>
                <w:lang w:val="sr-Cyrl-BA"/>
              </w:rPr>
              <w:t>а</w:t>
            </w:r>
            <w:r>
              <w:rPr>
                <w:rFonts w:ascii="Arial" w:eastAsia="Times New Roman" w:hAnsi="Arial" w:cs="Arial"/>
                <w:b/>
                <w:iCs/>
                <w:color w:val="000000" w:themeColor="text1"/>
                <w:lang w:val="sr-Cyrl-BA"/>
              </w:rPr>
              <w:t>т</w:t>
            </w:r>
            <w:r w:rsidR="00A56E08">
              <w:rPr>
                <w:rFonts w:ascii="Arial" w:eastAsia="Times New Roman" w:hAnsi="Arial" w:cs="Arial"/>
                <w:b/>
                <w:iCs/>
                <w:color w:val="000000" w:themeColor="text1"/>
                <w:lang w:val="sr-Cyrl-BA"/>
              </w:rPr>
              <w:t>и</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ш</w:t>
            </w:r>
            <w:r w:rsidR="00A56E08">
              <w:rPr>
                <w:rFonts w:ascii="Arial" w:eastAsia="Times New Roman" w:hAnsi="Arial" w:cs="Arial"/>
                <w:b/>
                <w:iCs/>
                <w:color w:val="000000" w:themeColor="text1"/>
                <w:lang w:val="sr-Cyrl-BA"/>
              </w:rPr>
              <w:t>кол</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кој</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су</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о</w:t>
            </w:r>
            <w:r>
              <w:rPr>
                <w:rFonts w:ascii="Arial" w:eastAsia="Times New Roman" w:hAnsi="Arial" w:cs="Arial"/>
                <w:b/>
                <w:iCs/>
                <w:color w:val="000000" w:themeColor="text1"/>
                <w:lang w:val="sr-Cyrl-BA"/>
              </w:rPr>
              <w:t>ств</w:t>
            </w:r>
            <w:r w:rsidR="00A56E08">
              <w:rPr>
                <w:rFonts w:ascii="Arial" w:eastAsia="Times New Roman" w:hAnsi="Arial" w:cs="Arial"/>
                <w:b/>
                <w:iCs/>
                <w:color w:val="000000" w:themeColor="text1"/>
                <w:lang w:val="sr-Cyrl-BA"/>
              </w:rPr>
              <w:t>а</w:t>
            </w:r>
            <w:r>
              <w:rPr>
                <w:rFonts w:ascii="Arial" w:eastAsia="Times New Roman" w:hAnsi="Arial" w:cs="Arial"/>
                <w:b/>
                <w:iCs/>
                <w:color w:val="000000" w:themeColor="text1"/>
                <w:lang w:val="sr-Cyrl-BA"/>
              </w:rPr>
              <w:t>р</w:t>
            </w:r>
            <w:r w:rsidR="00A56E08">
              <w:rPr>
                <w:rFonts w:ascii="Arial" w:eastAsia="Times New Roman" w:hAnsi="Arial" w:cs="Arial"/>
                <w:b/>
                <w:iCs/>
                <w:color w:val="000000" w:themeColor="text1"/>
                <w:lang w:val="sr-Cyrl-BA"/>
              </w:rPr>
              <w:t>ил</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на</w:t>
            </w:r>
            <w:r>
              <w:rPr>
                <w:rFonts w:ascii="Arial" w:eastAsia="Times New Roman" w:hAnsi="Arial" w:cs="Arial"/>
                <w:b/>
                <w:iCs/>
                <w:color w:val="000000" w:themeColor="text1"/>
                <w:lang w:val="sr-Cyrl-BA"/>
              </w:rPr>
              <w:t>пр</w:t>
            </w:r>
            <w:r w:rsidR="00EE6AA2">
              <w:rPr>
                <w:rFonts w:ascii="Arial" w:eastAsia="Times New Roman" w:hAnsi="Arial" w:cs="Arial"/>
                <w:b/>
                <w:iCs/>
                <w:color w:val="000000" w:themeColor="text1"/>
                <w:lang w:val="sr-Cyrl-BA"/>
              </w:rPr>
              <w:t>е</w:t>
            </w:r>
            <w:r w:rsidR="00A56E08">
              <w:rPr>
                <w:rFonts w:ascii="Arial" w:eastAsia="Times New Roman" w:hAnsi="Arial" w:cs="Arial"/>
                <w:b/>
                <w:iCs/>
                <w:color w:val="000000" w:themeColor="text1"/>
                <w:lang w:val="sr-Cyrl-BA"/>
              </w:rPr>
              <w:t>дак</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или</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кој</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доб</w:t>
            </w:r>
            <w:r>
              <w:rPr>
                <w:rFonts w:ascii="Arial" w:eastAsia="Times New Roman" w:hAnsi="Arial" w:cs="Arial"/>
                <w:b/>
                <w:iCs/>
                <w:color w:val="000000" w:themeColor="text1"/>
                <w:lang w:val="sr-Cyrl-BA"/>
              </w:rPr>
              <w:t>р</w:t>
            </w:r>
            <w:r w:rsidR="00A56E08">
              <w:rPr>
                <w:rFonts w:ascii="Arial" w:eastAsia="Times New Roman" w:hAnsi="Arial" w:cs="Arial"/>
                <w:b/>
                <w:iCs/>
                <w:color w:val="000000" w:themeColor="text1"/>
                <w:lang w:val="sr-Cyrl-BA"/>
              </w:rPr>
              <w:t>о</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р</w:t>
            </w:r>
            <w:r w:rsidR="00A56E08">
              <w:rPr>
                <w:rFonts w:ascii="Arial" w:eastAsia="Times New Roman" w:hAnsi="Arial" w:cs="Arial"/>
                <w:b/>
                <w:iCs/>
                <w:color w:val="000000" w:themeColor="text1"/>
                <w:lang w:val="sr-Cyrl-BA"/>
              </w:rPr>
              <w:t>ад</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у</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одно</w:t>
            </w:r>
            <w:r>
              <w:rPr>
                <w:rFonts w:ascii="Arial" w:eastAsia="Times New Roman" w:hAnsi="Arial" w:cs="Arial"/>
                <w:b/>
                <w:iCs/>
                <w:color w:val="000000" w:themeColor="text1"/>
                <w:lang w:val="sr-Cyrl-BA"/>
              </w:rPr>
              <w:t>су</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на</w:t>
            </w:r>
            <w:r w:rsidR="00892898" w:rsidRPr="00F6340E">
              <w:rPr>
                <w:rFonts w:ascii="Arial" w:eastAsia="Times New Roman" w:hAnsi="Arial" w:cs="Arial"/>
                <w:b/>
                <w:iCs/>
                <w:color w:val="000000" w:themeColor="text1"/>
                <w:lang w:val="sr-Cyrl-BA"/>
              </w:rPr>
              <w:t xml:space="preserve"> </w:t>
            </w:r>
            <w:r>
              <w:rPr>
                <w:rFonts w:ascii="Arial" w:eastAsia="Times New Roman" w:hAnsi="Arial" w:cs="Arial"/>
                <w:b/>
                <w:iCs/>
                <w:color w:val="000000" w:themeColor="text1"/>
                <w:lang w:val="sr-Cyrl-BA"/>
              </w:rPr>
              <w:t>р</w:t>
            </w:r>
            <w:r w:rsidR="00A56E08">
              <w:rPr>
                <w:rFonts w:ascii="Arial" w:eastAsia="Times New Roman" w:hAnsi="Arial" w:cs="Arial"/>
                <w:b/>
                <w:iCs/>
                <w:color w:val="000000" w:themeColor="text1"/>
                <w:lang w:val="sr-Cyrl-BA"/>
              </w:rPr>
              <w:t>а</w:t>
            </w:r>
            <w:r w:rsidR="00171F00">
              <w:rPr>
                <w:rFonts w:ascii="Arial" w:eastAsia="Times New Roman" w:hAnsi="Arial" w:cs="Arial"/>
                <w:b/>
                <w:iCs/>
                <w:color w:val="000000" w:themeColor="text1"/>
                <w:lang w:val="sr-Cyrl-BA"/>
              </w:rPr>
              <w:t>з</w:t>
            </w:r>
            <w:r w:rsidR="00A56E08">
              <w:rPr>
                <w:rFonts w:ascii="Arial" w:eastAsia="Times New Roman" w:hAnsi="Arial" w:cs="Arial"/>
                <w:b/>
                <w:iCs/>
                <w:color w:val="000000" w:themeColor="text1"/>
                <w:lang w:val="sr-Cyrl-BA"/>
              </w:rPr>
              <w:t>личи</w:t>
            </w:r>
            <w:r>
              <w:rPr>
                <w:rFonts w:ascii="Arial" w:eastAsia="Times New Roman" w:hAnsi="Arial" w:cs="Arial"/>
                <w:b/>
                <w:iCs/>
                <w:color w:val="000000" w:themeColor="text1"/>
                <w:lang w:val="sr-Cyrl-BA"/>
              </w:rPr>
              <w:t>т</w:t>
            </w:r>
            <w:r w:rsidR="00EE6AA2">
              <w:rPr>
                <w:rFonts w:ascii="Arial" w:eastAsia="Times New Roman" w:hAnsi="Arial" w:cs="Arial"/>
                <w:b/>
                <w:iCs/>
                <w:color w:val="000000" w:themeColor="text1"/>
                <w:lang w:val="sr-Cyrl-BA"/>
              </w:rPr>
              <w:t>е</w:t>
            </w:r>
            <w:r w:rsidR="00892898" w:rsidRPr="00F6340E">
              <w:rPr>
                <w:rFonts w:ascii="Arial" w:eastAsia="Times New Roman" w:hAnsi="Arial" w:cs="Arial"/>
                <w:b/>
                <w:iCs/>
                <w:color w:val="000000" w:themeColor="text1"/>
                <w:lang w:val="sr-Cyrl-BA"/>
              </w:rPr>
              <w:t xml:space="preserve"> </w:t>
            </w:r>
            <w:r w:rsidR="00A56E08">
              <w:rPr>
                <w:rFonts w:ascii="Arial" w:eastAsia="Times New Roman" w:hAnsi="Arial" w:cs="Arial"/>
                <w:b/>
                <w:iCs/>
                <w:color w:val="000000" w:themeColor="text1"/>
                <w:lang w:val="sr-Cyrl-BA"/>
              </w:rPr>
              <w:t>индика</w:t>
            </w:r>
            <w:r>
              <w:rPr>
                <w:rFonts w:ascii="Arial" w:eastAsia="Times New Roman" w:hAnsi="Arial" w:cs="Arial"/>
                <w:b/>
                <w:iCs/>
                <w:color w:val="000000" w:themeColor="text1"/>
                <w:lang w:val="sr-Cyrl-BA"/>
              </w:rPr>
              <w:t>т</w:t>
            </w:r>
            <w:r w:rsidR="00A56E08">
              <w:rPr>
                <w:rFonts w:ascii="Arial" w:eastAsia="Times New Roman" w:hAnsi="Arial" w:cs="Arial"/>
                <w:b/>
                <w:iCs/>
                <w:color w:val="000000" w:themeColor="text1"/>
                <w:lang w:val="sr-Cyrl-BA"/>
              </w:rPr>
              <w:t>о</w:t>
            </w:r>
            <w:r>
              <w:rPr>
                <w:rFonts w:ascii="Arial" w:eastAsia="Times New Roman" w:hAnsi="Arial" w:cs="Arial"/>
                <w:b/>
                <w:iCs/>
                <w:color w:val="000000" w:themeColor="text1"/>
                <w:lang w:val="sr-Cyrl-BA"/>
              </w:rPr>
              <w:t>р</w:t>
            </w:r>
            <w:r w:rsidR="00EE6AA2">
              <w:rPr>
                <w:rFonts w:ascii="Arial" w:eastAsia="Times New Roman" w:hAnsi="Arial" w:cs="Arial"/>
                <w:b/>
                <w:iCs/>
                <w:color w:val="000000" w:themeColor="text1"/>
                <w:lang w:val="sr-Cyrl-BA"/>
              </w:rPr>
              <w:t>е</w:t>
            </w:r>
          </w:p>
          <w:p w14:paraId="29DC5C91" w14:textId="75D05B97" w:rsidR="00B82A43" w:rsidRPr="00F6340E" w:rsidRDefault="0071360A" w:rsidP="00FB5CB7">
            <w:pPr>
              <w:pStyle w:val="ListParagraph"/>
              <w:ind w:left="360"/>
              <w:jc w:val="left"/>
              <w:rPr>
                <w:rFonts w:ascii="Arial" w:eastAsia="Times New Roman" w:hAnsi="Arial" w:cs="Arial"/>
                <w:i/>
                <w:iCs/>
                <w:color w:val="000000" w:themeColor="text1"/>
                <w:lang w:val="sr-Cyrl-BA"/>
              </w:rPr>
            </w:pP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пр</w:t>
            </w:r>
            <w:r w:rsidR="00A56E08">
              <w:rPr>
                <w:rFonts w:ascii="Arial" w:eastAsia="Times New Roman" w:hAnsi="Arial" w:cs="Arial"/>
                <w:iCs/>
                <w:color w:val="000000" w:themeColor="text1"/>
                <w:lang w:val="sr-Cyrl-BA"/>
              </w:rPr>
              <w:t>омоцији</w:t>
            </w:r>
            <w:r w:rsidR="00892898" w:rsidRPr="00F6340E">
              <w:rPr>
                <w:rFonts w:ascii="Arial" w:eastAsia="Times New Roman" w:hAnsi="Arial" w:cs="Arial"/>
                <w:iCs/>
                <w:color w:val="000000" w:themeColor="text1"/>
                <w:lang w:val="sr-Cyrl-BA"/>
              </w:rPr>
              <w:t xml:space="preserve"> </w:t>
            </w:r>
            <w:r w:rsidR="00171F00">
              <w:rPr>
                <w:rFonts w:ascii="Arial" w:eastAsia="Times New Roman" w:hAnsi="Arial" w:cs="Arial"/>
                <w:iCs/>
                <w:color w:val="000000" w:themeColor="text1"/>
                <w:lang w:val="sr-Cyrl-BA"/>
              </w:rPr>
              <w:t>з</w:t>
            </w:r>
            <w:r w:rsidR="00A56E08">
              <w:rPr>
                <w:rFonts w:ascii="Arial" w:eastAsia="Times New Roman" w:hAnsi="Arial" w:cs="Arial"/>
                <w:iCs/>
                <w:color w:val="000000" w:themeColor="text1"/>
                <w:lang w:val="sr-Cyrl-BA"/>
              </w:rPr>
              <w:t>начајн</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у</w:t>
            </w:r>
            <w:r w:rsidR="00A56E08">
              <w:rPr>
                <w:rFonts w:ascii="Arial" w:eastAsia="Times New Roman" w:hAnsi="Arial" w:cs="Arial"/>
                <w:iCs/>
                <w:color w:val="000000" w:themeColor="text1"/>
                <w:lang w:val="sr-Cyrl-BA"/>
              </w:rPr>
              <w:t>лог</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мог</w:t>
            </w:r>
            <w:r>
              <w:rPr>
                <w:rFonts w:ascii="Arial" w:eastAsia="Times New Roman" w:hAnsi="Arial" w:cs="Arial"/>
                <w:iCs/>
                <w:color w:val="000000" w:themeColor="text1"/>
                <w:lang w:val="sr-Cyrl-BA"/>
              </w:rPr>
              <w:t>у</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има</w:t>
            </w:r>
            <w:r>
              <w:rPr>
                <w:rFonts w:ascii="Arial" w:eastAsia="Times New Roman" w:hAnsi="Arial" w:cs="Arial"/>
                <w:iCs/>
                <w:color w:val="000000" w:themeColor="text1"/>
                <w:lang w:val="sr-Cyrl-BA"/>
              </w:rPr>
              <w:t>т</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п</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р</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д</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об</w:t>
            </w:r>
            <w:r>
              <w:rPr>
                <w:rFonts w:ascii="Arial" w:eastAsia="Times New Roman" w:hAnsi="Arial" w:cs="Arial"/>
                <w:iCs/>
                <w:color w:val="000000" w:themeColor="text1"/>
                <w:lang w:val="sr-Cyrl-BA"/>
              </w:rPr>
              <w:t>р</w:t>
            </w:r>
            <w:r w:rsidR="00A56E08">
              <w:rPr>
                <w:rFonts w:ascii="Arial" w:eastAsia="Times New Roman" w:hAnsi="Arial" w:cs="Arial"/>
                <w:iCs/>
                <w:color w:val="000000" w:themeColor="text1"/>
                <w:lang w:val="sr-Cyrl-BA"/>
              </w:rPr>
              <w:t>а</w:t>
            </w:r>
            <w:r w:rsidR="00171F00">
              <w:rPr>
                <w:rFonts w:ascii="Arial" w:eastAsia="Times New Roman" w:hAnsi="Arial" w:cs="Arial"/>
                <w:iCs/>
                <w:color w:val="000000" w:themeColor="text1"/>
                <w:lang w:val="sr-Cyrl-BA"/>
              </w:rPr>
              <w:t>з</w:t>
            </w:r>
            <w:r w:rsidR="00A56E08">
              <w:rPr>
                <w:rFonts w:ascii="Arial" w:eastAsia="Times New Roman" w:hAnsi="Arial" w:cs="Arial"/>
                <w:iCs/>
                <w:color w:val="000000" w:themeColor="text1"/>
                <w:lang w:val="sr-Cyrl-BA"/>
              </w:rPr>
              <w:t>о</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них</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в</w:t>
            </w:r>
            <w:r w:rsidR="00A56E08">
              <w:rPr>
                <w:rFonts w:ascii="Arial" w:eastAsia="Times New Roman" w:hAnsi="Arial" w:cs="Arial"/>
                <w:iCs/>
                <w:color w:val="000000" w:themeColor="text1"/>
                <w:lang w:val="sr-Cyrl-BA"/>
              </w:rPr>
              <w:t>ла</w:t>
            </w:r>
            <w:r>
              <w:rPr>
                <w:rFonts w:ascii="Arial" w:eastAsia="Times New Roman" w:hAnsi="Arial" w:cs="Arial"/>
                <w:iCs/>
                <w:color w:val="000000" w:themeColor="text1"/>
                <w:lang w:val="sr-Cyrl-BA"/>
              </w:rPr>
              <w:t>ст</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sidR="00A56E08">
              <w:rPr>
                <w:rFonts w:ascii="Arial" w:eastAsia="Times New Roman" w:hAnsi="Arial" w:cs="Arial"/>
                <w:iCs/>
                <w:color w:val="000000" w:themeColor="text1"/>
                <w:lang w:val="sr-Cyrl-BA"/>
              </w:rPr>
              <w:t>и</w:t>
            </w:r>
            <w:r w:rsidR="00892898" w:rsidRPr="00F6340E">
              <w:rPr>
                <w:rFonts w:ascii="Arial" w:eastAsia="Times New Roman" w:hAnsi="Arial" w:cs="Arial"/>
                <w:iCs/>
                <w:color w:val="000000" w:themeColor="text1"/>
                <w:lang w:val="sr-Cyrl-BA"/>
              </w:rPr>
              <w:t xml:space="preserve"> </w:t>
            </w:r>
            <w:r w:rsidR="00171F00">
              <w:rPr>
                <w:rFonts w:ascii="Arial" w:eastAsia="Times New Roman" w:hAnsi="Arial" w:cs="Arial"/>
                <w:iCs/>
                <w:color w:val="000000" w:themeColor="text1"/>
                <w:lang w:val="sr-Cyrl-BA"/>
              </w:rPr>
              <w:t>з</w:t>
            </w:r>
            <w:r w:rsidR="00A56E08">
              <w:rPr>
                <w:rFonts w:ascii="Arial" w:eastAsia="Times New Roman" w:hAnsi="Arial" w:cs="Arial"/>
                <w:iCs/>
                <w:color w:val="000000" w:themeColor="text1"/>
                <w:lang w:val="sr-Cyrl-BA"/>
              </w:rPr>
              <w:t>ај</w:t>
            </w:r>
            <w:r w:rsidR="00EE6AA2">
              <w:rPr>
                <w:rFonts w:ascii="Arial" w:eastAsia="Times New Roman" w:hAnsi="Arial" w:cs="Arial"/>
                <w:iCs/>
                <w:color w:val="000000" w:themeColor="text1"/>
                <w:lang w:val="sr-Cyrl-BA"/>
              </w:rPr>
              <w:t>е</w:t>
            </w:r>
            <w:r w:rsidR="00A56E08">
              <w:rPr>
                <w:rFonts w:ascii="Arial" w:eastAsia="Times New Roman" w:hAnsi="Arial" w:cs="Arial"/>
                <w:iCs/>
                <w:color w:val="000000" w:themeColor="text1"/>
                <w:lang w:val="sr-Cyrl-BA"/>
              </w:rPr>
              <w:t>дниц</w:t>
            </w:r>
            <w:r w:rsidR="00EE6AA2">
              <w:rPr>
                <w:rFonts w:ascii="Arial" w:eastAsia="Times New Roman" w:hAnsi="Arial" w:cs="Arial"/>
                <w:iCs/>
                <w:color w:val="000000" w:themeColor="text1"/>
                <w:lang w:val="sr-Cyrl-BA"/>
              </w:rPr>
              <w:t>е</w:t>
            </w:r>
            <w:r w:rsidR="00892898" w:rsidRPr="00F6340E">
              <w:rPr>
                <w:rFonts w:ascii="Arial" w:eastAsia="Times New Roman" w:hAnsi="Arial" w:cs="Arial"/>
                <w:iCs/>
                <w:color w:val="000000" w:themeColor="text1"/>
                <w:lang w:val="sr-Cyrl-BA"/>
              </w:rPr>
              <w:t xml:space="preserve"> </w:t>
            </w:r>
            <w:r>
              <w:rPr>
                <w:rFonts w:ascii="Arial" w:eastAsia="Times New Roman" w:hAnsi="Arial" w:cs="Arial"/>
                <w:iCs/>
                <w:color w:val="000000" w:themeColor="text1"/>
                <w:lang w:val="sr-Cyrl-BA"/>
              </w:rPr>
              <w:t>пр</w:t>
            </w:r>
            <w:r w:rsidR="00A56E08">
              <w:rPr>
                <w:rFonts w:ascii="Arial" w:eastAsia="Times New Roman" w:hAnsi="Arial" w:cs="Arial"/>
                <w:iCs/>
                <w:color w:val="000000" w:themeColor="text1"/>
                <w:lang w:val="sr-Cyrl-BA"/>
              </w:rPr>
              <w:t>ак</w:t>
            </w:r>
            <w:r>
              <w:rPr>
                <w:rFonts w:ascii="Arial" w:eastAsia="Times New Roman" w:hAnsi="Arial" w:cs="Arial"/>
                <w:iCs/>
                <w:color w:val="000000" w:themeColor="text1"/>
                <w:lang w:val="sr-Cyrl-BA"/>
              </w:rPr>
              <w:t>с</w:t>
            </w:r>
            <w:r w:rsidR="00EE6AA2">
              <w:rPr>
                <w:rFonts w:ascii="Arial" w:eastAsia="Times New Roman" w:hAnsi="Arial" w:cs="Arial"/>
                <w:iCs/>
                <w:color w:val="000000" w:themeColor="text1"/>
                <w:lang w:val="sr-Cyrl-BA"/>
              </w:rPr>
              <w:t>е</w:t>
            </w:r>
            <w:r w:rsidR="00892898" w:rsidRPr="00F6340E">
              <w:rPr>
                <w:rFonts w:ascii="Arial" w:eastAsia="Times New Roman" w:hAnsi="Arial" w:cs="Arial"/>
                <w:i/>
                <w:iCs/>
                <w:color w:val="000000" w:themeColor="text1"/>
                <w:lang w:val="sr-Cyrl-BA"/>
              </w:rPr>
              <w:t xml:space="preserve">. </w:t>
            </w:r>
          </w:p>
          <w:p w14:paraId="4A22C3A7" w14:textId="77777777" w:rsidR="00892898" w:rsidRPr="00F6340E" w:rsidRDefault="00892898" w:rsidP="00FB5CB7">
            <w:pPr>
              <w:contextualSpacing/>
              <w:jc w:val="left"/>
              <w:rPr>
                <w:rFonts w:ascii="Arial" w:hAnsi="Arial" w:cs="Arial"/>
                <w:bCs/>
                <w:color w:val="00B0F0"/>
                <w:lang w:val="sr-Cyrl-BA"/>
              </w:rPr>
            </w:pPr>
          </w:p>
          <w:p w14:paraId="32B8C765" w14:textId="0160F315" w:rsidR="00892898" w:rsidRPr="00FB5CB7" w:rsidRDefault="00892898" w:rsidP="00FB5CB7">
            <w:pPr>
              <w:contextualSpacing/>
              <w:jc w:val="left"/>
              <w:rPr>
                <w:rFonts w:ascii="Arial" w:hAnsi="Arial" w:cs="Arial"/>
                <w:b/>
                <w:color w:val="00B0F0"/>
                <w:lang w:val="sr-Cyrl-BA"/>
              </w:rPr>
            </w:pPr>
            <w:r w:rsidRPr="00FB5CB7">
              <w:rPr>
                <w:rFonts w:ascii="Arial" w:hAnsi="Arial" w:cs="Arial"/>
                <w:b/>
                <w:color w:val="00B0F0"/>
                <w:lang w:val="sr-Cyrl-BA"/>
              </w:rPr>
              <w:t>(</w:t>
            </w:r>
            <w:r w:rsidR="0071360A" w:rsidRPr="00FB5CB7">
              <w:rPr>
                <w:rFonts w:ascii="Arial" w:hAnsi="Arial" w:cs="Arial"/>
                <w:b/>
                <w:color w:val="00B0F0"/>
                <w:lang w:val="sr-Cyrl-BA"/>
              </w:rPr>
              <w:t>С</w:t>
            </w:r>
            <w:r w:rsidR="00A56E08" w:rsidRPr="00FB5CB7">
              <w:rPr>
                <w:rFonts w:ascii="Arial" w:hAnsi="Arial" w:cs="Arial"/>
                <w:b/>
                <w:color w:val="00B0F0"/>
                <w:lang w:val="sr-Cyrl-BA"/>
              </w:rPr>
              <w:t>амо</w:t>
            </w:r>
            <w:r w:rsidRPr="00FB5CB7">
              <w:rPr>
                <w:rFonts w:ascii="Arial" w:hAnsi="Arial" w:cs="Arial"/>
                <w:b/>
                <w:color w:val="00B0F0"/>
                <w:lang w:val="sr-Cyrl-BA"/>
              </w:rPr>
              <w:t>)</w:t>
            </w:r>
            <w:r w:rsidR="0071360A" w:rsidRPr="00FB5CB7">
              <w:rPr>
                <w:rFonts w:ascii="Arial" w:hAnsi="Arial" w:cs="Arial"/>
                <w:b/>
                <w:color w:val="00B0F0"/>
                <w:lang w:val="sr-Cyrl-BA"/>
              </w:rPr>
              <w:t>вр</w:t>
            </w:r>
            <w:r w:rsidR="00EE6AA2" w:rsidRPr="00FB5CB7">
              <w:rPr>
                <w:rFonts w:ascii="Arial" w:hAnsi="Arial" w:cs="Arial"/>
                <w:b/>
                <w:color w:val="00B0F0"/>
                <w:lang w:val="sr-Cyrl-BA"/>
              </w:rPr>
              <w:t>е</w:t>
            </w:r>
            <w:r w:rsidR="00A56E08" w:rsidRPr="00FB5CB7">
              <w:rPr>
                <w:rFonts w:ascii="Arial" w:hAnsi="Arial" w:cs="Arial"/>
                <w:b/>
                <w:color w:val="00B0F0"/>
                <w:lang w:val="sr-Cyrl-BA"/>
              </w:rPr>
              <w:t>дно</w:t>
            </w:r>
            <w:r w:rsidR="0071360A" w:rsidRPr="00FB5CB7">
              <w:rPr>
                <w:rFonts w:ascii="Arial" w:hAnsi="Arial" w:cs="Arial"/>
                <w:b/>
                <w:color w:val="00B0F0"/>
                <w:lang w:val="sr-Cyrl-BA"/>
              </w:rPr>
              <w:t>в</w:t>
            </w:r>
            <w:r w:rsidR="00A56E08" w:rsidRPr="00FB5CB7">
              <w:rPr>
                <w:rFonts w:ascii="Arial" w:hAnsi="Arial" w:cs="Arial"/>
                <w:b/>
                <w:color w:val="00B0F0"/>
                <w:lang w:val="sr-Cyrl-BA"/>
              </w:rPr>
              <w:t>ањ</w:t>
            </w:r>
            <w:r w:rsidR="00EE6AA2" w:rsidRPr="00FB5CB7">
              <w:rPr>
                <w:rFonts w:ascii="Arial" w:hAnsi="Arial" w:cs="Arial"/>
                <w:b/>
                <w:color w:val="00B0F0"/>
                <w:lang w:val="sr-Cyrl-BA"/>
              </w:rPr>
              <w:t>е</w:t>
            </w:r>
            <w:r w:rsidRPr="00FB5CB7">
              <w:rPr>
                <w:rFonts w:ascii="Arial" w:hAnsi="Arial" w:cs="Arial"/>
                <w:b/>
                <w:color w:val="00B0F0"/>
                <w:lang w:val="sr-Cyrl-BA"/>
              </w:rPr>
              <w:t xml:space="preserve"> </w:t>
            </w:r>
            <w:r w:rsidR="00A56E08" w:rsidRPr="00FB5CB7">
              <w:rPr>
                <w:rFonts w:ascii="Arial" w:hAnsi="Arial" w:cs="Arial"/>
                <w:b/>
                <w:color w:val="00B0F0"/>
                <w:lang w:val="sr-Cyrl-BA"/>
              </w:rPr>
              <w:t>к</w:t>
            </w:r>
            <w:r w:rsidR="0071360A" w:rsidRPr="00FB5CB7">
              <w:rPr>
                <w:rFonts w:ascii="Arial" w:hAnsi="Arial" w:cs="Arial"/>
                <w:b/>
                <w:color w:val="00B0F0"/>
                <w:lang w:val="sr-Cyrl-BA"/>
              </w:rPr>
              <w:t>в</w:t>
            </w:r>
            <w:r w:rsidR="00A56E08" w:rsidRPr="00FB5CB7">
              <w:rPr>
                <w:rFonts w:ascii="Arial" w:hAnsi="Arial" w:cs="Arial"/>
                <w:b/>
                <w:color w:val="00B0F0"/>
                <w:lang w:val="sr-Cyrl-BA"/>
              </w:rPr>
              <w:t>али</w:t>
            </w:r>
            <w:r w:rsidR="0071360A" w:rsidRPr="00FB5CB7">
              <w:rPr>
                <w:rFonts w:ascii="Arial" w:hAnsi="Arial" w:cs="Arial"/>
                <w:b/>
                <w:color w:val="00B0F0"/>
                <w:lang w:val="sr-Cyrl-BA"/>
              </w:rPr>
              <w:t>т</w:t>
            </w:r>
            <w:r w:rsidR="00EE6AA2" w:rsidRPr="00FB5CB7">
              <w:rPr>
                <w:rFonts w:ascii="Arial" w:hAnsi="Arial" w:cs="Arial"/>
                <w:b/>
                <w:color w:val="00B0F0"/>
                <w:lang w:val="sr-Cyrl-BA"/>
              </w:rPr>
              <w:t>е</w:t>
            </w:r>
            <w:r w:rsidR="0071360A" w:rsidRPr="00FB5CB7">
              <w:rPr>
                <w:rFonts w:ascii="Arial" w:hAnsi="Arial" w:cs="Arial"/>
                <w:b/>
                <w:color w:val="00B0F0"/>
                <w:lang w:val="sr-Cyrl-BA"/>
              </w:rPr>
              <w:t>т</w:t>
            </w:r>
            <w:r w:rsidR="00EE6AA2" w:rsidRPr="00FB5CB7">
              <w:rPr>
                <w:rFonts w:ascii="Arial" w:hAnsi="Arial" w:cs="Arial"/>
                <w:b/>
                <w:color w:val="00B0F0"/>
                <w:lang w:val="sr-Cyrl-BA"/>
              </w:rPr>
              <w:t>е</w:t>
            </w:r>
            <w:r w:rsidRPr="00FB5CB7">
              <w:rPr>
                <w:rFonts w:ascii="Arial" w:hAnsi="Arial" w:cs="Arial"/>
                <w:b/>
                <w:color w:val="00B0F0"/>
                <w:lang w:val="sr-Cyrl-BA"/>
              </w:rPr>
              <w:t xml:space="preserve"> </w:t>
            </w:r>
            <w:r w:rsidR="0071360A" w:rsidRPr="00FB5CB7">
              <w:rPr>
                <w:rFonts w:ascii="Arial" w:hAnsi="Arial" w:cs="Arial"/>
                <w:b/>
                <w:color w:val="00B0F0"/>
                <w:lang w:val="sr-Cyrl-BA"/>
              </w:rPr>
              <w:t>р</w:t>
            </w:r>
            <w:r w:rsidR="00A56E08" w:rsidRPr="00FB5CB7">
              <w:rPr>
                <w:rFonts w:ascii="Arial" w:hAnsi="Arial" w:cs="Arial"/>
                <w:b/>
                <w:color w:val="00B0F0"/>
                <w:lang w:val="sr-Cyrl-BA"/>
              </w:rPr>
              <w:t>ада</w:t>
            </w:r>
            <w:r w:rsidRPr="00FB5CB7">
              <w:rPr>
                <w:rFonts w:ascii="Arial" w:hAnsi="Arial" w:cs="Arial"/>
                <w:b/>
                <w:color w:val="00B0F0"/>
                <w:lang w:val="sr-Cyrl-BA"/>
              </w:rPr>
              <w:t xml:space="preserve"> </w:t>
            </w:r>
            <w:r w:rsidR="0071360A" w:rsidRPr="00FB5CB7">
              <w:rPr>
                <w:rFonts w:ascii="Arial" w:hAnsi="Arial" w:cs="Arial"/>
                <w:b/>
                <w:color w:val="00B0F0"/>
                <w:lang w:val="sr-Cyrl-BA"/>
              </w:rPr>
              <w:t>у</w:t>
            </w:r>
            <w:r w:rsidRPr="00FB5CB7">
              <w:rPr>
                <w:rFonts w:ascii="Arial" w:hAnsi="Arial" w:cs="Arial"/>
                <w:b/>
                <w:color w:val="00B0F0"/>
                <w:lang w:val="sr-Cyrl-BA"/>
              </w:rPr>
              <w:t xml:space="preserve"> </w:t>
            </w:r>
            <w:r w:rsidR="0071360A" w:rsidRPr="00FB5CB7">
              <w:rPr>
                <w:rFonts w:ascii="Arial" w:hAnsi="Arial" w:cs="Arial"/>
                <w:b/>
                <w:color w:val="00B0F0"/>
                <w:lang w:val="sr-Cyrl-BA"/>
              </w:rPr>
              <w:t>в</w:t>
            </w:r>
            <w:r w:rsidR="00A56E08" w:rsidRPr="00FB5CB7">
              <w:rPr>
                <w:rFonts w:ascii="Arial" w:hAnsi="Arial" w:cs="Arial"/>
                <w:b/>
                <w:color w:val="00B0F0"/>
                <w:lang w:val="sr-Cyrl-BA"/>
              </w:rPr>
              <w:t>и</w:t>
            </w:r>
            <w:r w:rsidR="0071360A" w:rsidRPr="00FB5CB7">
              <w:rPr>
                <w:rFonts w:ascii="Arial" w:hAnsi="Arial" w:cs="Arial"/>
                <w:b/>
                <w:color w:val="00B0F0"/>
                <w:lang w:val="sr-Cyrl-BA"/>
              </w:rPr>
              <w:t>с</w:t>
            </w:r>
            <w:r w:rsidR="00A56E08" w:rsidRPr="00FB5CB7">
              <w:rPr>
                <w:rFonts w:ascii="Arial" w:hAnsi="Arial" w:cs="Arial"/>
                <w:b/>
                <w:color w:val="00B0F0"/>
                <w:lang w:val="sr-Cyrl-BA"/>
              </w:rPr>
              <w:t>око</w:t>
            </w:r>
            <w:r w:rsidR="0071360A" w:rsidRPr="00FB5CB7">
              <w:rPr>
                <w:rFonts w:ascii="Arial" w:hAnsi="Arial" w:cs="Arial"/>
                <w:b/>
                <w:color w:val="00B0F0"/>
                <w:lang w:val="sr-Cyrl-BA"/>
              </w:rPr>
              <w:t>ш</w:t>
            </w:r>
            <w:r w:rsidR="00A56E08" w:rsidRPr="00FB5CB7">
              <w:rPr>
                <w:rFonts w:ascii="Arial" w:hAnsi="Arial" w:cs="Arial"/>
                <w:b/>
                <w:color w:val="00B0F0"/>
                <w:lang w:val="sr-Cyrl-BA"/>
              </w:rPr>
              <w:t>кол</w:t>
            </w:r>
            <w:r w:rsidR="0071360A" w:rsidRPr="00FB5CB7">
              <w:rPr>
                <w:rFonts w:ascii="Arial" w:hAnsi="Arial" w:cs="Arial"/>
                <w:b/>
                <w:color w:val="00B0F0"/>
                <w:lang w:val="sr-Cyrl-BA"/>
              </w:rPr>
              <w:t>с</w:t>
            </w:r>
            <w:r w:rsidR="00A56E08" w:rsidRPr="00FB5CB7">
              <w:rPr>
                <w:rFonts w:ascii="Arial" w:hAnsi="Arial" w:cs="Arial"/>
                <w:b/>
                <w:color w:val="00B0F0"/>
                <w:lang w:val="sr-Cyrl-BA"/>
              </w:rPr>
              <w:t>ким</w:t>
            </w:r>
            <w:r w:rsidRPr="00FB5CB7">
              <w:rPr>
                <w:rFonts w:ascii="Arial" w:hAnsi="Arial" w:cs="Arial"/>
                <w:b/>
                <w:color w:val="00B0F0"/>
                <w:lang w:val="sr-Cyrl-BA"/>
              </w:rPr>
              <w:t xml:space="preserve"> </w:t>
            </w:r>
            <w:r w:rsidR="00A56E08" w:rsidRPr="00FB5CB7">
              <w:rPr>
                <w:rFonts w:ascii="Arial" w:hAnsi="Arial" w:cs="Arial"/>
                <w:b/>
                <w:color w:val="00B0F0"/>
                <w:lang w:val="sr-Cyrl-BA"/>
              </w:rPr>
              <w:t>ин</w:t>
            </w:r>
            <w:r w:rsidR="0071360A" w:rsidRPr="00FB5CB7">
              <w:rPr>
                <w:rFonts w:ascii="Arial" w:hAnsi="Arial" w:cs="Arial"/>
                <w:b/>
                <w:color w:val="00B0F0"/>
                <w:lang w:val="sr-Cyrl-BA"/>
              </w:rPr>
              <w:t>ст</w:t>
            </w:r>
            <w:r w:rsidR="00A56E08" w:rsidRPr="00FB5CB7">
              <w:rPr>
                <w:rFonts w:ascii="Arial" w:hAnsi="Arial" w:cs="Arial"/>
                <w:b/>
                <w:color w:val="00B0F0"/>
                <w:lang w:val="sr-Cyrl-BA"/>
              </w:rPr>
              <w:t>и</w:t>
            </w:r>
            <w:r w:rsidR="0071360A" w:rsidRPr="00FB5CB7">
              <w:rPr>
                <w:rFonts w:ascii="Arial" w:hAnsi="Arial" w:cs="Arial"/>
                <w:b/>
                <w:color w:val="00B0F0"/>
                <w:lang w:val="sr-Cyrl-BA"/>
              </w:rPr>
              <w:t>ту</w:t>
            </w:r>
            <w:r w:rsidR="00A56E08" w:rsidRPr="00FB5CB7">
              <w:rPr>
                <w:rFonts w:ascii="Arial" w:hAnsi="Arial" w:cs="Arial"/>
                <w:b/>
                <w:color w:val="00B0F0"/>
                <w:lang w:val="sr-Cyrl-BA"/>
              </w:rPr>
              <w:t>цијама</w:t>
            </w:r>
            <w:r w:rsidRPr="00FB5CB7">
              <w:rPr>
                <w:rFonts w:ascii="Arial" w:hAnsi="Arial" w:cs="Arial"/>
                <w:b/>
                <w:color w:val="00B0F0"/>
                <w:lang w:val="sr-Cyrl-BA"/>
              </w:rPr>
              <w:t xml:space="preserve">  </w:t>
            </w:r>
          </w:p>
          <w:p w14:paraId="75C6437B" w14:textId="63A3F67D" w:rsidR="00892898" w:rsidRPr="00F6340E" w:rsidRDefault="00A56E08"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До</w:t>
            </w:r>
            <w:r w:rsidR="0071360A">
              <w:rPr>
                <w:rFonts w:ascii="Arial" w:hAnsi="Arial" w:cs="Arial"/>
                <w:b/>
                <w:color w:val="000000"/>
                <w:lang w:val="sr-Cyrl-BA"/>
              </w:rPr>
              <w:t>пу</w:t>
            </w:r>
            <w:r>
              <w:rPr>
                <w:rFonts w:ascii="Arial" w:hAnsi="Arial" w:cs="Arial"/>
                <w:b/>
                <w:color w:val="000000"/>
                <w:lang w:val="sr-Cyrl-BA"/>
              </w:rPr>
              <w:t>ни</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ст</w:t>
            </w:r>
            <w:r>
              <w:rPr>
                <w:rFonts w:ascii="Arial" w:hAnsi="Arial" w:cs="Arial"/>
                <w:b/>
                <w:color w:val="000000"/>
                <w:lang w:val="sr-Cyrl-BA"/>
              </w:rPr>
              <w:t>анда</w:t>
            </w:r>
            <w:r w:rsidR="0071360A">
              <w:rPr>
                <w:rFonts w:ascii="Arial" w:hAnsi="Arial" w:cs="Arial"/>
                <w:b/>
                <w:color w:val="000000"/>
                <w:lang w:val="sr-Cyrl-BA"/>
              </w:rPr>
              <w:t>р</w:t>
            </w:r>
            <w:r>
              <w:rPr>
                <w:rFonts w:ascii="Arial" w:hAnsi="Arial" w:cs="Arial"/>
                <w:b/>
                <w:color w:val="000000"/>
                <w:lang w:val="sr-Cyrl-BA"/>
              </w:rPr>
              <w:t>д</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к</w:t>
            </w:r>
            <w:r w:rsidR="0071360A">
              <w:rPr>
                <w:rFonts w:ascii="Arial" w:hAnsi="Arial" w:cs="Arial"/>
                <w:b/>
                <w:color w:val="000000"/>
                <w:lang w:val="sr-Cyrl-BA"/>
              </w:rPr>
              <w:t>р</w:t>
            </w:r>
            <w:r>
              <w:rPr>
                <w:rFonts w:ascii="Arial" w:hAnsi="Arial" w:cs="Arial"/>
                <w:b/>
                <w:color w:val="000000"/>
                <w:lang w:val="sr-Cyrl-BA"/>
              </w:rPr>
              <w:t>и</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р</w:t>
            </w:r>
            <w:r>
              <w:rPr>
                <w:rFonts w:ascii="Arial" w:hAnsi="Arial" w:cs="Arial"/>
                <w:b/>
                <w:color w:val="000000"/>
                <w:lang w:val="sr-Cyrl-BA"/>
              </w:rPr>
              <w:t>иј</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о</w:t>
            </w:r>
            <w:r w:rsidR="0071360A">
              <w:rPr>
                <w:rFonts w:ascii="Arial" w:hAnsi="Arial" w:cs="Arial"/>
                <w:b/>
                <w:color w:val="000000"/>
                <w:lang w:val="sr-Cyrl-BA"/>
              </w:rPr>
              <w:t>с</w:t>
            </w:r>
            <w:r>
              <w:rPr>
                <w:rFonts w:ascii="Arial" w:hAnsi="Arial" w:cs="Arial"/>
                <w:b/>
                <w:color w:val="000000"/>
                <w:lang w:val="sr-Cyrl-BA"/>
              </w:rPr>
              <w:t>иг</w:t>
            </w:r>
            <w:r w:rsidR="0071360A">
              <w:rPr>
                <w:rFonts w:ascii="Arial" w:hAnsi="Arial" w:cs="Arial"/>
                <w:b/>
                <w:color w:val="000000"/>
                <w:lang w:val="sr-Cyrl-BA"/>
              </w:rPr>
              <w:t>ур</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к</w:t>
            </w:r>
            <w:r w:rsidR="0071360A">
              <w:rPr>
                <w:rFonts w:ascii="Arial" w:hAnsi="Arial" w:cs="Arial"/>
                <w:b/>
                <w:color w:val="000000"/>
                <w:lang w:val="sr-Cyrl-BA"/>
              </w:rPr>
              <w:t>в</w:t>
            </w:r>
            <w:r>
              <w:rPr>
                <w:rFonts w:ascii="Arial" w:hAnsi="Arial" w:cs="Arial"/>
                <w:b/>
                <w:color w:val="000000"/>
                <w:lang w:val="sr-Cyrl-BA"/>
              </w:rPr>
              <w:t>али</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т</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и</w:t>
            </w:r>
            <w:r w:rsidR="0071360A">
              <w:rPr>
                <w:rFonts w:ascii="Arial" w:hAnsi="Arial" w:cs="Arial"/>
                <w:b/>
                <w:color w:val="000000"/>
                <w:lang w:val="sr-Cyrl-BA"/>
              </w:rPr>
              <w:t>с</w:t>
            </w:r>
            <w:r>
              <w:rPr>
                <w:rFonts w:ascii="Arial" w:hAnsi="Arial" w:cs="Arial"/>
                <w:b/>
                <w:color w:val="000000"/>
                <w:lang w:val="sr-Cyrl-BA"/>
              </w:rPr>
              <w:t>оком</w:t>
            </w:r>
            <w:r w:rsidR="00892898" w:rsidRPr="00F6340E">
              <w:rPr>
                <w:rFonts w:ascii="Arial" w:hAnsi="Arial" w:cs="Arial"/>
                <w:b/>
                <w:color w:val="000000"/>
                <w:lang w:val="sr-Cyrl-BA"/>
              </w:rPr>
              <w:t xml:space="preserve"> </w:t>
            </w:r>
            <w:r>
              <w:rPr>
                <w:rFonts w:ascii="Arial" w:hAnsi="Arial" w:cs="Arial"/>
                <w:b/>
                <w:color w:val="000000"/>
                <w:lang w:val="sr-Cyrl-BA"/>
              </w:rPr>
              <w:t>об</w:t>
            </w:r>
            <w:r w:rsidR="0071360A">
              <w:rPr>
                <w:rFonts w:ascii="Arial" w:hAnsi="Arial" w:cs="Arial"/>
                <w:b/>
                <w:color w:val="000000"/>
                <w:lang w:val="sr-Cyrl-BA"/>
              </w:rPr>
              <w:t>р</w:t>
            </w:r>
            <w:r>
              <w:rPr>
                <w:rFonts w:ascii="Arial" w:hAnsi="Arial" w:cs="Arial"/>
                <w:b/>
                <w:color w:val="000000"/>
                <w:lang w:val="sr-Cyrl-BA"/>
              </w:rPr>
              <w:t>а</w:t>
            </w:r>
            <w:r w:rsidR="00171F00">
              <w:rPr>
                <w:rFonts w:ascii="Arial" w:hAnsi="Arial" w:cs="Arial"/>
                <w:b/>
                <w:color w:val="000000"/>
                <w:lang w:val="sr-Cyrl-BA"/>
              </w:rPr>
              <w:t>з</w:t>
            </w:r>
            <w:r>
              <w:rPr>
                <w:rFonts w:ascii="Arial" w:hAnsi="Arial" w:cs="Arial"/>
                <w:b/>
                <w:color w:val="000000"/>
                <w:lang w:val="sr-Cyrl-BA"/>
              </w:rPr>
              <w:t>о</w:t>
            </w:r>
            <w:r w:rsidR="0071360A">
              <w:rPr>
                <w:rFonts w:ascii="Arial" w:hAnsi="Arial" w:cs="Arial"/>
                <w:b/>
                <w:color w:val="000000"/>
                <w:lang w:val="sr-Cyrl-BA"/>
              </w:rPr>
              <w:t>в</w:t>
            </w:r>
            <w:r>
              <w:rPr>
                <w:rFonts w:ascii="Arial" w:hAnsi="Arial" w:cs="Arial"/>
                <w:b/>
                <w:color w:val="000000"/>
                <w:lang w:val="sr-Cyrl-BA"/>
              </w:rPr>
              <w:t>ањ</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кон</w:t>
            </w:r>
            <w:r w:rsidR="0071360A">
              <w:rPr>
                <w:rFonts w:ascii="Arial" w:hAnsi="Arial" w:cs="Arial"/>
                <w:b/>
                <w:color w:val="000000"/>
                <w:lang w:val="sr-Cyrl-BA"/>
              </w:rPr>
              <w:t>т</w:t>
            </w:r>
            <w:r w:rsidR="00EE6AA2">
              <w:rPr>
                <w:rFonts w:ascii="Arial" w:hAnsi="Arial" w:cs="Arial"/>
                <w:b/>
                <w:color w:val="000000"/>
                <w:lang w:val="sr-Cyrl-BA"/>
              </w:rPr>
              <w:t>е</w:t>
            </w:r>
            <w:r>
              <w:rPr>
                <w:rFonts w:ascii="Arial" w:hAnsi="Arial" w:cs="Arial"/>
                <w:b/>
                <w:color w:val="000000"/>
                <w:lang w:val="sr-Cyrl-BA"/>
              </w:rPr>
              <w:t>к</w:t>
            </w:r>
            <w:r w:rsidR="0071360A">
              <w:rPr>
                <w:rFonts w:ascii="Arial" w:hAnsi="Arial" w:cs="Arial"/>
                <w:b/>
                <w:color w:val="000000"/>
                <w:lang w:val="sr-Cyrl-BA"/>
              </w:rPr>
              <w:t>сту</w:t>
            </w:r>
            <w:r w:rsidR="00892898" w:rsidRPr="00F6340E">
              <w:rPr>
                <w:rFonts w:ascii="Arial" w:hAnsi="Arial" w:cs="Arial"/>
                <w:b/>
                <w:color w:val="000000"/>
                <w:lang w:val="sr-Cyrl-BA"/>
              </w:rPr>
              <w:t xml:space="preserve"> </w:t>
            </w:r>
            <w:r>
              <w:rPr>
                <w:rFonts w:ascii="Arial" w:hAnsi="Arial" w:cs="Arial"/>
                <w:b/>
                <w:color w:val="000000"/>
                <w:lang w:val="sr-Cyrl-BA"/>
              </w:rPr>
              <w:t>диги</w:t>
            </w:r>
            <w:r w:rsidR="0071360A">
              <w:rPr>
                <w:rFonts w:ascii="Arial" w:hAnsi="Arial" w:cs="Arial"/>
                <w:b/>
                <w:color w:val="000000"/>
                <w:lang w:val="sr-Cyrl-BA"/>
              </w:rPr>
              <w:t>т</w:t>
            </w:r>
            <w:r>
              <w:rPr>
                <w:rFonts w:ascii="Arial" w:hAnsi="Arial" w:cs="Arial"/>
                <w:b/>
                <w:color w:val="000000"/>
                <w:lang w:val="sr-Cyrl-BA"/>
              </w:rPr>
              <w:t>али</w:t>
            </w:r>
            <w:r w:rsidR="00171F00">
              <w:rPr>
                <w:rFonts w:ascii="Arial" w:hAnsi="Arial" w:cs="Arial"/>
                <w:b/>
                <w:color w:val="000000"/>
                <w:lang w:val="sr-Cyrl-BA"/>
              </w:rPr>
              <w:t>з</w:t>
            </w:r>
            <w:r>
              <w:rPr>
                <w:rFonts w:ascii="Arial" w:hAnsi="Arial" w:cs="Arial"/>
                <w:b/>
                <w:color w:val="000000"/>
                <w:lang w:val="sr-Cyrl-BA"/>
              </w:rPr>
              <w:t>ациј</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к</w:t>
            </w:r>
            <w:r w:rsidR="0071360A">
              <w:rPr>
                <w:rFonts w:ascii="Arial" w:hAnsi="Arial" w:cs="Arial"/>
                <w:b/>
                <w:color w:val="000000"/>
                <w:lang w:val="sr-Cyrl-BA"/>
              </w:rPr>
              <w:t>р</w:t>
            </w:r>
            <w:r>
              <w:rPr>
                <w:rFonts w:ascii="Arial" w:hAnsi="Arial" w:cs="Arial"/>
                <w:b/>
                <w:color w:val="000000"/>
                <w:lang w:val="sr-Cyrl-BA"/>
              </w:rPr>
              <w:t>о</w:t>
            </w:r>
            <w:r w:rsidR="00171F00">
              <w:rPr>
                <w:rFonts w:ascii="Arial" w:hAnsi="Arial" w:cs="Arial"/>
                <w:b/>
                <w:color w:val="000000"/>
                <w:lang w:val="sr-Cyrl-BA"/>
              </w:rPr>
              <w:t>з</w:t>
            </w:r>
            <w:r w:rsidR="00892898" w:rsidRPr="00F6340E">
              <w:rPr>
                <w:rFonts w:ascii="Arial" w:hAnsi="Arial" w:cs="Arial"/>
                <w:b/>
                <w:color w:val="000000"/>
                <w:lang w:val="sr-Cyrl-BA"/>
              </w:rPr>
              <w:t xml:space="preserve"> </w:t>
            </w:r>
            <w:r>
              <w:rPr>
                <w:rFonts w:ascii="Arial" w:hAnsi="Arial" w:cs="Arial"/>
                <w:b/>
                <w:color w:val="000000"/>
                <w:lang w:val="sr-Cyrl-BA"/>
              </w:rPr>
              <w:t>до</w:t>
            </w:r>
            <w:r w:rsidR="0071360A">
              <w:rPr>
                <w:rFonts w:ascii="Arial" w:hAnsi="Arial" w:cs="Arial"/>
                <w:b/>
                <w:color w:val="000000"/>
                <w:lang w:val="sr-Cyrl-BA"/>
              </w:rPr>
              <w:t>пу</w:t>
            </w:r>
            <w:r>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и</w:t>
            </w:r>
            <w:r w:rsidR="00171F00">
              <w:rPr>
                <w:rFonts w:ascii="Arial" w:hAnsi="Arial" w:cs="Arial"/>
                <w:b/>
                <w:color w:val="000000"/>
                <w:lang w:val="sr-Cyrl-BA"/>
              </w:rPr>
              <w:t>з</w:t>
            </w:r>
            <w:r>
              <w:rPr>
                <w:rFonts w:ascii="Arial" w:hAnsi="Arial" w:cs="Arial"/>
                <w:b/>
                <w:color w:val="000000"/>
                <w:lang w:val="sr-Cyrl-BA"/>
              </w:rPr>
              <w:t>мј</w:t>
            </w:r>
            <w:r w:rsidR="00EE6AA2">
              <w:rPr>
                <w:rFonts w:ascii="Arial" w:hAnsi="Arial" w:cs="Arial"/>
                <w:b/>
                <w:color w:val="000000"/>
                <w:lang w:val="sr-Cyrl-BA"/>
              </w:rPr>
              <w:t>е</w:t>
            </w:r>
            <w:r>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ст</w:t>
            </w:r>
            <w:r>
              <w:rPr>
                <w:rFonts w:ascii="Arial" w:hAnsi="Arial" w:cs="Arial"/>
                <w:b/>
                <w:color w:val="000000"/>
                <w:lang w:val="sr-Cyrl-BA"/>
              </w:rPr>
              <w:t>анда</w:t>
            </w:r>
            <w:r w:rsidR="0071360A">
              <w:rPr>
                <w:rFonts w:ascii="Arial" w:hAnsi="Arial" w:cs="Arial"/>
                <w:b/>
                <w:color w:val="000000"/>
                <w:lang w:val="sr-Cyrl-BA"/>
              </w:rPr>
              <w:t>р</w:t>
            </w:r>
            <w:r>
              <w:rPr>
                <w:rFonts w:ascii="Arial" w:hAnsi="Arial" w:cs="Arial"/>
                <w:b/>
                <w:color w:val="000000"/>
                <w:lang w:val="sr-Cyrl-BA"/>
              </w:rPr>
              <w:t>да</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но</w:t>
            </w:r>
            <w:r w:rsidR="0071360A">
              <w:rPr>
                <w:rFonts w:ascii="Arial" w:hAnsi="Arial" w:cs="Arial"/>
                <w:b/>
                <w:color w:val="000000"/>
                <w:lang w:val="sr-Cyrl-BA"/>
              </w:rPr>
              <w:t>р</w:t>
            </w:r>
            <w:r>
              <w:rPr>
                <w:rFonts w:ascii="Arial" w:hAnsi="Arial" w:cs="Arial"/>
                <w:b/>
                <w:color w:val="000000"/>
                <w:lang w:val="sr-Cyrl-BA"/>
              </w:rPr>
              <w:t>ма</w:t>
            </w:r>
            <w:r w:rsidR="0071360A">
              <w:rPr>
                <w:rFonts w:ascii="Arial" w:hAnsi="Arial" w:cs="Arial"/>
                <w:b/>
                <w:color w:val="000000"/>
                <w:lang w:val="sr-Cyrl-BA"/>
              </w:rPr>
              <w:t>т</w:t>
            </w:r>
            <w:r>
              <w:rPr>
                <w:rFonts w:ascii="Arial" w:hAnsi="Arial" w:cs="Arial"/>
                <w:b/>
                <w:color w:val="000000"/>
                <w:lang w:val="sr-Cyrl-BA"/>
              </w:rPr>
              <w:t>и</w:t>
            </w:r>
            <w:r w:rsidR="0071360A">
              <w:rPr>
                <w:rFonts w:ascii="Arial" w:hAnsi="Arial" w:cs="Arial"/>
                <w:b/>
                <w:color w:val="000000"/>
                <w:lang w:val="sr-Cyrl-BA"/>
              </w:rPr>
              <w:t>в</w:t>
            </w:r>
            <w:r>
              <w:rPr>
                <w:rFonts w:ascii="Arial" w:hAnsi="Arial" w:cs="Arial"/>
                <w:b/>
                <w:color w:val="000000"/>
                <w:lang w:val="sr-Cyrl-BA"/>
              </w:rPr>
              <w:t>а</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и</w:t>
            </w:r>
            <w:r w:rsidR="0071360A">
              <w:rPr>
                <w:rFonts w:ascii="Arial" w:hAnsi="Arial" w:cs="Arial"/>
                <w:b/>
                <w:color w:val="000000"/>
                <w:lang w:val="sr-Cyrl-BA"/>
              </w:rPr>
              <w:t>с</w:t>
            </w:r>
            <w:r>
              <w:rPr>
                <w:rFonts w:ascii="Arial" w:hAnsi="Arial" w:cs="Arial"/>
                <w:b/>
                <w:color w:val="000000"/>
                <w:lang w:val="sr-Cyrl-BA"/>
              </w:rPr>
              <w:t>око</w:t>
            </w:r>
            <w:r w:rsidR="00892898" w:rsidRPr="00F6340E">
              <w:rPr>
                <w:rFonts w:ascii="Arial" w:hAnsi="Arial" w:cs="Arial"/>
                <w:b/>
                <w:color w:val="000000"/>
                <w:lang w:val="sr-Cyrl-BA"/>
              </w:rPr>
              <w:t xml:space="preserve"> </w:t>
            </w:r>
            <w:r>
              <w:rPr>
                <w:rFonts w:ascii="Arial" w:hAnsi="Arial" w:cs="Arial"/>
                <w:b/>
                <w:color w:val="000000"/>
                <w:lang w:val="sr-Cyrl-BA"/>
              </w:rPr>
              <w:t>об</w:t>
            </w:r>
            <w:r w:rsidR="0071360A">
              <w:rPr>
                <w:rFonts w:ascii="Arial" w:hAnsi="Arial" w:cs="Arial"/>
                <w:b/>
                <w:color w:val="000000"/>
                <w:lang w:val="sr-Cyrl-BA"/>
              </w:rPr>
              <w:t>р</w:t>
            </w:r>
            <w:r>
              <w:rPr>
                <w:rFonts w:ascii="Arial" w:hAnsi="Arial" w:cs="Arial"/>
                <w:b/>
                <w:color w:val="000000"/>
                <w:lang w:val="sr-Cyrl-BA"/>
              </w:rPr>
              <w:t>а</w:t>
            </w:r>
            <w:r w:rsidR="00171F00">
              <w:rPr>
                <w:rFonts w:ascii="Arial" w:hAnsi="Arial" w:cs="Arial"/>
                <w:b/>
                <w:color w:val="000000"/>
                <w:lang w:val="sr-Cyrl-BA"/>
              </w:rPr>
              <w:t>з</w:t>
            </w:r>
            <w:r>
              <w:rPr>
                <w:rFonts w:ascii="Arial" w:hAnsi="Arial" w:cs="Arial"/>
                <w:b/>
                <w:color w:val="000000"/>
                <w:lang w:val="sr-Cyrl-BA"/>
              </w:rPr>
              <w:t>о</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огл</w:t>
            </w:r>
            <w:r w:rsidR="00EE6AA2">
              <w:rPr>
                <w:rFonts w:ascii="Arial" w:hAnsi="Arial" w:cs="Arial"/>
                <w:b/>
                <w:color w:val="000000"/>
                <w:lang w:val="sr-Cyrl-BA"/>
              </w:rPr>
              <w:t>е</w:t>
            </w:r>
            <w:r>
              <w:rPr>
                <w:rFonts w:ascii="Arial" w:hAnsi="Arial" w:cs="Arial"/>
                <w:b/>
                <w:color w:val="000000"/>
                <w:lang w:val="sr-Cyrl-BA"/>
              </w:rPr>
              <w:t>д</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и</w:t>
            </w:r>
            <w:r w:rsidR="0071360A">
              <w:rPr>
                <w:rFonts w:ascii="Arial" w:hAnsi="Arial" w:cs="Arial"/>
                <w:b/>
                <w:color w:val="000000"/>
                <w:lang w:val="sr-Cyrl-BA"/>
              </w:rPr>
              <w:t>спу</w:t>
            </w:r>
            <w:r>
              <w:rPr>
                <w:rFonts w:ascii="Arial" w:hAnsi="Arial" w:cs="Arial"/>
                <w:b/>
                <w:color w:val="000000"/>
                <w:lang w:val="sr-Cyrl-BA"/>
              </w:rPr>
              <w:t>ња</w:t>
            </w:r>
            <w:r w:rsidR="0071360A">
              <w:rPr>
                <w:rFonts w:ascii="Arial" w:hAnsi="Arial" w:cs="Arial"/>
                <w:b/>
                <w:color w:val="000000"/>
                <w:lang w:val="sr-Cyrl-BA"/>
              </w:rPr>
              <w:t>в</w:t>
            </w:r>
            <w:r>
              <w:rPr>
                <w:rFonts w:ascii="Arial" w:hAnsi="Arial" w:cs="Arial"/>
                <w:b/>
                <w:color w:val="000000"/>
                <w:lang w:val="sr-Cyrl-BA"/>
              </w:rPr>
              <w:t>ања</w:t>
            </w:r>
            <w:r w:rsidR="00892898" w:rsidRPr="00F6340E">
              <w:rPr>
                <w:rFonts w:ascii="Arial" w:hAnsi="Arial" w:cs="Arial"/>
                <w:b/>
                <w:color w:val="000000"/>
                <w:lang w:val="sr-Cyrl-BA"/>
              </w:rPr>
              <w:t xml:space="preserve"> </w:t>
            </w:r>
            <w:r w:rsidR="0071360A">
              <w:rPr>
                <w:rFonts w:ascii="Arial" w:hAnsi="Arial" w:cs="Arial"/>
                <w:b/>
                <w:color w:val="000000"/>
                <w:lang w:val="sr-Cyrl-BA"/>
              </w:rPr>
              <w:t>ус</w:t>
            </w:r>
            <w:r>
              <w:rPr>
                <w:rFonts w:ascii="Arial" w:hAnsi="Arial" w:cs="Arial"/>
                <w:b/>
                <w:color w:val="000000"/>
                <w:lang w:val="sr-Cyrl-BA"/>
              </w:rPr>
              <w:t>ло</w:t>
            </w:r>
            <w:r w:rsidR="0071360A">
              <w:rPr>
                <w:rFonts w:ascii="Arial" w:hAnsi="Arial" w:cs="Arial"/>
                <w:b/>
                <w:color w:val="000000"/>
                <w:lang w:val="sr-Cyrl-BA"/>
              </w:rPr>
              <w:t>в</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и</w:t>
            </w:r>
            <w:r w:rsidR="0071360A">
              <w:rPr>
                <w:rFonts w:ascii="Arial" w:hAnsi="Arial" w:cs="Arial"/>
                <w:b/>
                <w:color w:val="000000"/>
                <w:lang w:val="sr-Cyrl-BA"/>
              </w:rPr>
              <w:t>с</w:t>
            </w:r>
            <w:r>
              <w:rPr>
                <w:rFonts w:ascii="Arial" w:hAnsi="Arial" w:cs="Arial"/>
                <w:b/>
                <w:color w:val="000000"/>
                <w:lang w:val="sr-Cyrl-BA"/>
              </w:rPr>
              <w:t>око</w:t>
            </w:r>
            <w:r w:rsidR="0071360A">
              <w:rPr>
                <w:rFonts w:ascii="Arial" w:hAnsi="Arial" w:cs="Arial"/>
                <w:b/>
                <w:color w:val="000000"/>
                <w:lang w:val="sr-Cyrl-BA"/>
              </w:rPr>
              <w:t>ш</w:t>
            </w:r>
            <w:r>
              <w:rPr>
                <w:rFonts w:ascii="Arial" w:hAnsi="Arial" w:cs="Arial"/>
                <w:b/>
                <w:color w:val="000000"/>
                <w:lang w:val="sr-Cyrl-BA"/>
              </w:rPr>
              <w:t>кол</w:t>
            </w:r>
            <w:r w:rsidR="0071360A">
              <w:rPr>
                <w:rFonts w:ascii="Arial" w:hAnsi="Arial" w:cs="Arial"/>
                <w:b/>
                <w:color w:val="000000"/>
                <w:lang w:val="sr-Cyrl-BA"/>
              </w:rPr>
              <w:t>с</w:t>
            </w:r>
            <w:r>
              <w:rPr>
                <w:rFonts w:ascii="Arial" w:hAnsi="Arial" w:cs="Arial"/>
                <w:b/>
                <w:color w:val="000000"/>
                <w:lang w:val="sr-Cyrl-BA"/>
              </w:rPr>
              <w:t>ких</w:t>
            </w:r>
            <w:r w:rsidR="00892898" w:rsidRPr="00F6340E">
              <w:rPr>
                <w:rFonts w:ascii="Arial" w:hAnsi="Arial" w:cs="Arial"/>
                <w:b/>
                <w:color w:val="000000"/>
                <w:lang w:val="sr-Cyrl-BA"/>
              </w:rPr>
              <w:t xml:space="preserve"> </w:t>
            </w:r>
            <w:r>
              <w:rPr>
                <w:rFonts w:ascii="Arial" w:hAnsi="Arial" w:cs="Arial"/>
                <w:b/>
                <w:color w:val="000000"/>
                <w:lang w:val="sr-Cyrl-BA"/>
              </w:rPr>
              <w:t>ин</w:t>
            </w:r>
            <w:r w:rsidR="0071360A">
              <w:rPr>
                <w:rFonts w:ascii="Arial" w:hAnsi="Arial" w:cs="Arial"/>
                <w:b/>
                <w:color w:val="000000"/>
                <w:lang w:val="sr-Cyrl-BA"/>
              </w:rPr>
              <w:t>ст</w:t>
            </w:r>
            <w:r>
              <w:rPr>
                <w:rFonts w:ascii="Arial" w:hAnsi="Arial" w:cs="Arial"/>
                <w:b/>
                <w:color w:val="000000"/>
                <w:lang w:val="sr-Cyrl-BA"/>
              </w:rPr>
              <w:t>и</w:t>
            </w:r>
            <w:r w:rsidR="0071360A">
              <w:rPr>
                <w:rFonts w:ascii="Arial" w:hAnsi="Arial" w:cs="Arial"/>
                <w:b/>
                <w:color w:val="000000"/>
                <w:lang w:val="sr-Cyrl-BA"/>
              </w:rPr>
              <w:t>ту</w:t>
            </w:r>
            <w:r>
              <w:rPr>
                <w:rFonts w:ascii="Arial" w:hAnsi="Arial" w:cs="Arial"/>
                <w:b/>
                <w:color w:val="000000"/>
                <w:lang w:val="sr-Cyrl-BA"/>
              </w:rPr>
              <w:t>ција</w:t>
            </w:r>
          </w:p>
          <w:p w14:paraId="5217C510" w14:textId="62350D73" w:rsidR="00892898" w:rsidRPr="00F6340E" w:rsidRDefault="0071360A" w:rsidP="00FB5CB7">
            <w:pPr>
              <w:pStyle w:val="ListParagraph"/>
              <w:numPr>
                <w:ilvl w:val="0"/>
                <w:numId w:val="46"/>
              </w:numPr>
              <w:ind w:left="360"/>
              <w:jc w:val="left"/>
              <w:rPr>
                <w:rFonts w:ascii="Arial" w:hAnsi="Arial" w:cs="Arial"/>
                <w:b/>
                <w:color w:val="000000"/>
                <w:lang w:val="sr-Cyrl-BA"/>
              </w:rPr>
            </w:pPr>
            <w:r>
              <w:rPr>
                <w:rFonts w:ascii="Arial" w:hAnsi="Arial" w:cs="Arial"/>
                <w:b/>
                <w:color w:val="000000"/>
                <w:lang w:val="sr-Cyrl-BA"/>
              </w:rPr>
              <w:t>Ув</w:t>
            </w:r>
            <w:r w:rsidR="00EE6AA2">
              <w:rPr>
                <w:rFonts w:ascii="Arial" w:hAnsi="Arial" w:cs="Arial"/>
                <w:b/>
                <w:color w:val="000000"/>
                <w:lang w:val="sr-Cyrl-BA"/>
              </w:rPr>
              <w:t>е</w:t>
            </w:r>
            <w:r>
              <w:rPr>
                <w:rFonts w:ascii="Arial" w:hAnsi="Arial" w:cs="Arial"/>
                <w:b/>
                <w:color w:val="000000"/>
                <w:lang w:val="sr-Cyrl-BA"/>
              </w:rPr>
              <w:t>ст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ј</w:t>
            </w:r>
            <w:r w:rsidR="00EE6AA2">
              <w:rPr>
                <w:rFonts w:ascii="Arial" w:hAnsi="Arial" w:cs="Arial"/>
                <w:b/>
                <w:color w:val="000000"/>
                <w:lang w:val="sr-Cyrl-BA"/>
              </w:rPr>
              <w:t>е</w:t>
            </w:r>
            <w:r w:rsidR="00A56E08">
              <w:rPr>
                <w:rFonts w:ascii="Arial" w:hAnsi="Arial" w:cs="Arial"/>
                <w:b/>
                <w:color w:val="000000"/>
                <w:lang w:val="sr-Cyrl-BA"/>
              </w:rPr>
              <w:t>дин</w:t>
            </w:r>
            <w:r>
              <w:rPr>
                <w:rFonts w:ascii="Arial" w:hAnsi="Arial" w:cs="Arial"/>
                <w:b/>
                <w:color w:val="000000"/>
                <w:lang w:val="sr-Cyrl-BA"/>
              </w:rPr>
              <w:t>ств</w:t>
            </w:r>
            <w:r w:rsidR="00EE6AA2">
              <w:rPr>
                <w:rFonts w:ascii="Arial" w:hAnsi="Arial" w:cs="Arial"/>
                <w:b/>
                <w:color w:val="000000"/>
                <w:lang w:val="sr-Cyrl-BA"/>
              </w:rPr>
              <w:t>е</w:t>
            </w:r>
            <w:r w:rsidR="00A56E08">
              <w:rPr>
                <w:rFonts w:ascii="Arial" w:hAnsi="Arial" w:cs="Arial"/>
                <w:b/>
                <w:color w:val="000000"/>
                <w:lang w:val="sr-Cyrl-BA"/>
              </w:rPr>
              <w:t>ни</w:t>
            </w:r>
            <w:r w:rsidR="00892898" w:rsidRPr="00F6340E">
              <w:rPr>
                <w:rFonts w:ascii="Arial" w:hAnsi="Arial" w:cs="Arial"/>
                <w:b/>
                <w:color w:val="000000"/>
                <w:lang w:val="sr-Cyrl-BA"/>
              </w:rPr>
              <w:t xml:space="preserve"> </w:t>
            </w:r>
            <w:r w:rsidR="00A56E08">
              <w:rPr>
                <w:rFonts w:ascii="Arial" w:hAnsi="Arial" w:cs="Arial"/>
                <w:b/>
                <w:color w:val="000000"/>
                <w:lang w:val="sr-Cyrl-BA"/>
              </w:rPr>
              <w:t>инфо</w:t>
            </w:r>
            <w:r>
              <w:rPr>
                <w:rFonts w:ascii="Arial" w:hAnsi="Arial" w:cs="Arial"/>
                <w:b/>
                <w:color w:val="000000"/>
                <w:lang w:val="sr-Cyrl-BA"/>
              </w:rPr>
              <w:t>р</w:t>
            </w:r>
            <w:r w:rsidR="00A56E08">
              <w:rPr>
                <w:rFonts w:ascii="Arial" w:hAnsi="Arial" w:cs="Arial"/>
                <w:b/>
                <w:color w:val="000000"/>
                <w:lang w:val="sr-Cyrl-BA"/>
              </w:rPr>
              <w:t>ма</w:t>
            </w:r>
            <w:r>
              <w:rPr>
                <w:rFonts w:ascii="Arial" w:hAnsi="Arial" w:cs="Arial"/>
                <w:b/>
                <w:color w:val="000000"/>
                <w:lang w:val="sr-Cyrl-BA"/>
              </w:rPr>
              <w:t>т</w:t>
            </w:r>
            <w:r w:rsidR="00A56E08">
              <w:rPr>
                <w:rFonts w:ascii="Arial" w:hAnsi="Arial" w:cs="Arial"/>
                <w:b/>
                <w:color w:val="000000"/>
                <w:lang w:val="sr-Cyrl-BA"/>
              </w:rPr>
              <w:t>ички</w:t>
            </w:r>
            <w:r w:rsidR="00892898" w:rsidRPr="00F6340E">
              <w:rPr>
                <w:rFonts w:ascii="Arial" w:hAnsi="Arial" w:cs="Arial"/>
                <w:b/>
                <w:color w:val="000000"/>
                <w:lang w:val="sr-Cyrl-BA"/>
              </w:rPr>
              <w:t xml:space="preserve"> </w:t>
            </w:r>
            <w:r>
              <w:rPr>
                <w:rFonts w:ascii="Arial" w:hAnsi="Arial" w:cs="Arial"/>
                <w:b/>
                <w:color w:val="000000"/>
                <w:lang w:val="sr-Cyrl-BA"/>
              </w:rPr>
              <w:t>с</w:t>
            </w:r>
            <w:r w:rsidR="00A56E08">
              <w:rPr>
                <w:rFonts w:ascii="Arial" w:hAnsi="Arial" w:cs="Arial"/>
                <w:b/>
                <w:color w:val="000000"/>
                <w:lang w:val="sr-Cyrl-BA"/>
              </w:rPr>
              <w:t>и</w:t>
            </w:r>
            <w:r>
              <w:rPr>
                <w:rFonts w:ascii="Arial" w:hAnsi="Arial" w:cs="Arial"/>
                <w:b/>
                <w:color w:val="000000"/>
                <w:lang w:val="sr-Cyrl-BA"/>
              </w:rPr>
              <w:t>ст</w:t>
            </w:r>
            <w:r w:rsidR="00EE6AA2">
              <w:rPr>
                <w:rFonts w:ascii="Arial" w:hAnsi="Arial" w:cs="Arial"/>
                <w:b/>
                <w:color w:val="000000"/>
                <w:lang w:val="sr-Cyrl-BA"/>
              </w:rPr>
              <w:t>е</w:t>
            </w:r>
            <w:r w:rsidR="00A56E08">
              <w:rPr>
                <w:rFonts w:ascii="Arial" w:hAnsi="Arial" w:cs="Arial"/>
                <w:b/>
                <w:color w:val="000000"/>
                <w:lang w:val="sr-Cyrl-BA"/>
              </w:rPr>
              <w:t>м</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упр</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љањ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ањ</w:t>
            </w:r>
            <w:r w:rsidR="00EE6AA2">
              <w:rPr>
                <w:rFonts w:ascii="Arial" w:hAnsi="Arial" w:cs="Arial"/>
                <w:b/>
                <w:color w:val="000000"/>
                <w:lang w:val="sr-Cyrl-BA"/>
              </w:rPr>
              <w:t>е</w:t>
            </w:r>
            <w:r w:rsidR="00A56E08">
              <w:rPr>
                <w:rFonts w:ascii="Arial" w:hAnsi="Arial" w:cs="Arial"/>
                <w:b/>
                <w:color w:val="000000"/>
                <w:lang w:val="sr-Cyrl-BA"/>
              </w:rPr>
              <w:t>м</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sidR="00892898" w:rsidRPr="00F6340E">
              <w:rPr>
                <w:rFonts w:ascii="Arial" w:hAnsi="Arial" w:cs="Arial"/>
                <w:b/>
                <w:color w:val="000000"/>
                <w:lang w:val="sr-Cyrl-BA"/>
              </w:rPr>
              <w:t xml:space="preserve"> </w:t>
            </w:r>
            <w:r w:rsidR="00A56E08">
              <w:rPr>
                <w:rFonts w:ascii="Arial" w:hAnsi="Arial" w:cs="Arial"/>
                <w:b/>
                <w:color w:val="000000"/>
                <w:lang w:val="sr-Cyrl-BA"/>
              </w:rPr>
              <w:t>ни</w:t>
            </w:r>
            <w:r>
              <w:rPr>
                <w:rFonts w:ascii="Arial" w:hAnsi="Arial" w:cs="Arial"/>
                <w:b/>
                <w:color w:val="000000"/>
                <w:lang w:val="sr-Cyrl-BA"/>
              </w:rPr>
              <w:t>в</w:t>
            </w:r>
            <w:r w:rsidR="00A56E08">
              <w:rPr>
                <w:rFonts w:ascii="Arial" w:hAnsi="Arial" w:cs="Arial"/>
                <w:b/>
                <w:color w:val="000000"/>
                <w:lang w:val="sr-Cyrl-BA"/>
              </w:rPr>
              <w:t>о</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ст</w:t>
            </w:r>
            <w:r w:rsidR="00A56E08">
              <w:rPr>
                <w:rFonts w:ascii="Arial" w:hAnsi="Arial" w:cs="Arial"/>
                <w:b/>
                <w:color w:val="000000"/>
                <w:lang w:val="sr-Cyrl-BA"/>
              </w:rPr>
              <w:t>и</w:t>
            </w:r>
            <w:r>
              <w:rPr>
                <w:rFonts w:ascii="Arial" w:hAnsi="Arial" w:cs="Arial"/>
                <w:b/>
                <w:color w:val="000000"/>
                <w:lang w:val="sr-Cyrl-BA"/>
              </w:rPr>
              <w:t>ту</w:t>
            </w:r>
            <w:r w:rsidR="00A56E08">
              <w:rPr>
                <w:rFonts w:ascii="Arial" w:hAnsi="Arial" w:cs="Arial"/>
                <w:b/>
                <w:color w:val="000000"/>
                <w:lang w:val="sr-Cyrl-BA"/>
              </w:rPr>
              <w:t>циј</w:t>
            </w:r>
            <w:r w:rsidR="00EE6AA2">
              <w:rPr>
                <w:rFonts w:ascii="Arial" w:hAnsi="Arial" w:cs="Arial"/>
                <w:b/>
                <w:color w:val="000000"/>
                <w:lang w:val="sr-Cyrl-BA"/>
              </w:rPr>
              <w:t>е</w:t>
            </w:r>
            <w:r w:rsidR="00D73EF7" w:rsidRPr="00F6340E">
              <w:rPr>
                <w:rFonts w:ascii="Arial" w:hAnsi="Arial" w:cs="Arial"/>
                <w:b/>
                <w:color w:val="000000"/>
                <w:lang w:val="sr-Cyrl-BA"/>
              </w:rPr>
              <w:t>/</w:t>
            </w:r>
            <w:r>
              <w:rPr>
                <w:rFonts w:ascii="Arial" w:hAnsi="Arial" w:cs="Arial"/>
                <w:b/>
                <w:color w:val="000000"/>
                <w:lang w:val="sr-Cyrl-BA"/>
              </w:rPr>
              <w:t>у</w:t>
            </w:r>
            <w:r w:rsidR="00A56E08">
              <w:rPr>
                <w:rFonts w:ascii="Arial" w:hAnsi="Arial" w:cs="Arial"/>
                <w:b/>
                <w:color w:val="000000"/>
                <w:lang w:val="sr-Cyrl-BA"/>
              </w:rPr>
              <w:t>ни</w:t>
            </w:r>
            <w:r>
              <w:rPr>
                <w:rFonts w:ascii="Arial" w:hAnsi="Arial" w:cs="Arial"/>
                <w:b/>
                <w:color w:val="000000"/>
                <w:lang w:val="sr-Cyrl-BA"/>
              </w:rPr>
              <w:t>в</w:t>
            </w:r>
            <w:r w:rsidR="00EE6AA2">
              <w:rPr>
                <w:rFonts w:ascii="Arial" w:hAnsi="Arial" w:cs="Arial"/>
                <w:b/>
                <w:color w:val="000000"/>
                <w:lang w:val="sr-Cyrl-BA"/>
              </w:rPr>
              <w:t>е</w:t>
            </w:r>
            <w:r>
              <w:rPr>
                <w:rFonts w:ascii="Arial" w:hAnsi="Arial" w:cs="Arial"/>
                <w:b/>
                <w:color w:val="000000"/>
                <w:lang w:val="sr-Cyrl-BA"/>
              </w:rPr>
              <w:t>р</w:t>
            </w:r>
            <w:r w:rsidR="00171F00">
              <w:rPr>
                <w:rFonts w:ascii="Arial" w:hAnsi="Arial" w:cs="Arial"/>
                <w:b/>
                <w:color w:val="000000"/>
                <w:lang w:val="sr-Cyrl-BA"/>
              </w:rPr>
              <w:t>з</w:t>
            </w:r>
            <w:r w:rsidR="00A56E08">
              <w:rPr>
                <w:rFonts w:ascii="Arial" w:hAnsi="Arial" w:cs="Arial"/>
                <w:b/>
                <w:color w:val="000000"/>
                <w:lang w:val="sr-Cyrl-BA"/>
              </w:rPr>
              <w:t>и</w:t>
            </w:r>
            <w:r>
              <w:rPr>
                <w:rFonts w:ascii="Arial" w:hAnsi="Arial" w:cs="Arial"/>
                <w:b/>
                <w:color w:val="000000"/>
                <w:lang w:val="sr-Cyrl-BA"/>
              </w:rPr>
              <w:t>т</w:t>
            </w:r>
            <w:r w:rsidR="00EE6AA2">
              <w:rPr>
                <w:rFonts w:ascii="Arial" w:hAnsi="Arial" w:cs="Arial"/>
                <w:b/>
                <w:color w:val="000000"/>
                <w:lang w:val="sr-Cyrl-BA"/>
              </w:rPr>
              <w:t>е</w:t>
            </w:r>
            <w:r>
              <w:rPr>
                <w:rFonts w:ascii="Arial" w:hAnsi="Arial" w:cs="Arial"/>
                <w:b/>
                <w:color w:val="000000"/>
                <w:lang w:val="sr-Cyrl-BA"/>
              </w:rPr>
              <w:t>т</w:t>
            </w:r>
            <w:r w:rsidR="00A56E08">
              <w:rPr>
                <w:rFonts w:ascii="Arial" w:hAnsi="Arial" w:cs="Arial"/>
                <w:b/>
                <w:color w:val="000000"/>
                <w:lang w:val="sr-Cyrl-BA"/>
              </w:rPr>
              <w:t>а</w:t>
            </w:r>
            <w:r w:rsidR="00B04FA8">
              <w:rPr>
                <w:rFonts w:ascii="Arial" w:hAnsi="Arial" w:cs="Arial"/>
                <w:b/>
                <w:color w:val="000000"/>
                <w:lang w:val="sr-Cyrl-BA"/>
              </w:rPr>
              <w:t xml:space="preserve"> са </w:t>
            </w:r>
            <w:r w:rsidR="00A56E08">
              <w:rPr>
                <w:rFonts w:ascii="Arial" w:hAnsi="Arial" w:cs="Arial"/>
                <w:b/>
                <w:color w:val="000000"/>
                <w:lang w:val="sr-Cyrl-BA"/>
              </w:rPr>
              <w:t>мог</w:t>
            </w:r>
            <w:r>
              <w:rPr>
                <w:rFonts w:ascii="Arial" w:hAnsi="Arial" w:cs="Arial"/>
                <w:b/>
                <w:color w:val="000000"/>
                <w:lang w:val="sr-Cyrl-BA"/>
              </w:rPr>
              <w:t>у</w:t>
            </w:r>
            <w:r w:rsidR="00A56E08">
              <w:rPr>
                <w:rFonts w:ascii="Arial" w:hAnsi="Arial" w:cs="Arial"/>
                <w:b/>
                <w:color w:val="000000"/>
                <w:lang w:val="sr-Cyrl-BA"/>
              </w:rPr>
              <w:t>ћно</w:t>
            </w:r>
            <w:r>
              <w:rPr>
                <w:rFonts w:ascii="Arial" w:hAnsi="Arial" w:cs="Arial"/>
                <w:b/>
                <w:color w:val="000000"/>
                <w:lang w:val="sr-Cyrl-BA"/>
              </w:rPr>
              <w:t>ш</w:t>
            </w:r>
            <w:r w:rsidR="00A56E08">
              <w:rPr>
                <w:rFonts w:ascii="Arial" w:hAnsi="Arial" w:cs="Arial"/>
                <w:b/>
                <w:color w:val="000000"/>
                <w:lang w:val="sr-Cyrl-BA"/>
              </w:rPr>
              <w:t>ћ</w:t>
            </w: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у</w:t>
            </w:r>
            <w:r w:rsidR="00A56E08">
              <w:rPr>
                <w:rFonts w:ascii="Arial" w:hAnsi="Arial" w:cs="Arial"/>
                <w:b/>
                <w:color w:val="000000"/>
                <w:lang w:val="sr-Cyrl-BA"/>
              </w:rPr>
              <w:t>м</w:t>
            </w:r>
            <w:r>
              <w:rPr>
                <w:rFonts w:ascii="Arial" w:hAnsi="Arial" w:cs="Arial"/>
                <w:b/>
                <w:color w:val="000000"/>
                <w:lang w:val="sr-Cyrl-BA"/>
              </w:rPr>
              <w:t>р</w:t>
            </w:r>
            <w:r w:rsidR="00EE6AA2">
              <w:rPr>
                <w:rFonts w:ascii="Arial" w:hAnsi="Arial" w:cs="Arial"/>
                <w:b/>
                <w:color w:val="000000"/>
                <w:lang w:val="sr-Cyrl-BA"/>
              </w:rPr>
              <w:t>е</w:t>
            </w:r>
            <w:r w:rsidR="00171F00">
              <w:rPr>
                <w:rFonts w:ascii="Arial" w:hAnsi="Arial" w:cs="Arial"/>
                <w:b/>
                <w:color w:val="000000"/>
                <w:lang w:val="sr-Cyrl-BA"/>
              </w:rPr>
              <w:t>ж</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ања</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sidR="00892898" w:rsidRPr="00F6340E">
              <w:rPr>
                <w:rFonts w:ascii="Arial" w:hAnsi="Arial" w:cs="Arial"/>
                <w:b/>
                <w:color w:val="000000"/>
                <w:lang w:val="sr-Cyrl-BA"/>
              </w:rPr>
              <w:t xml:space="preserve"> </w:t>
            </w:r>
            <w:r w:rsidR="00A56E08">
              <w:rPr>
                <w:rFonts w:ascii="Arial" w:hAnsi="Arial" w:cs="Arial"/>
                <w:b/>
                <w:color w:val="000000"/>
                <w:lang w:val="sr-Cyrl-BA"/>
              </w:rPr>
              <w:t>ни</w:t>
            </w:r>
            <w:r>
              <w:rPr>
                <w:rFonts w:ascii="Arial" w:hAnsi="Arial" w:cs="Arial"/>
                <w:b/>
                <w:color w:val="000000"/>
                <w:lang w:val="sr-Cyrl-BA"/>
              </w:rPr>
              <w:t>в</w:t>
            </w:r>
            <w:r w:rsidR="00A56E08">
              <w:rPr>
                <w:rFonts w:ascii="Arial" w:hAnsi="Arial" w:cs="Arial"/>
                <w:b/>
                <w:color w:val="000000"/>
                <w:lang w:val="sr-Cyrl-BA"/>
              </w:rPr>
              <w:t>о</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админи</w:t>
            </w:r>
            <w:r>
              <w:rPr>
                <w:rFonts w:ascii="Arial" w:hAnsi="Arial" w:cs="Arial"/>
                <w:b/>
                <w:color w:val="000000"/>
                <w:lang w:val="sr-Cyrl-BA"/>
              </w:rPr>
              <w:t>стр</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Pr>
                <w:rFonts w:ascii="Arial" w:hAnsi="Arial" w:cs="Arial"/>
                <w:b/>
                <w:color w:val="000000"/>
                <w:lang w:val="sr-Cyrl-BA"/>
              </w:rPr>
              <w:t>в</w:t>
            </w:r>
            <w:r w:rsidR="00A56E08">
              <w:rPr>
                <w:rFonts w:ascii="Arial" w:hAnsi="Arial" w:cs="Arial"/>
                <w:b/>
                <w:color w:val="000000"/>
                <w:lang w:val="sr-Cyrl-BA"/>
              </w:rPr>
              <w:t>них</w:t>
            </w:r>
            <w:r w:rsidR="00892898" w:rsidRPr="00F6340E">
              <w:rPr>
                <w:rFonts w:ascii="Arial" w:hAnsi="Arial" w:cs="Arial"/>
                <w:b/>
                <w:color w:val="000000"/>
                <w:lang w:val="sr-Cyrl-BA"/>
              </w:rPr>
              <w:t xml:space="preserve"> </w:t>
            </w:r>
            <w:r w:rsidR="00A56E08">
              <w:rPr>
                <w:rFonts w:ascii="Arial" w:hAnsi="Arial" w:cs="Arial"/>
                <w:b/>
                <w:color w:val="000000"/>
                <w:lang w:val="sr-Cyrl-BA"/>
              </w:rPr>
              <w:t>ј</w:t>
            </w:r>
            <w:r w:rsidR="00EE6AA2">
              <w:rPr>
                <w:rFonts w:ascii="Arial" w:hAnsi="Arial" w:cs="Arial"/>
                <w:b/>
                <w:color w:val="000000"/>
                <w:lang w:val="sr-Cyrl-BA"/>
              </w:rPr>
              <w:t>е</w:t>
            </w:r>
            <w:r w:rsidR="00A56E08">
              <w:rPr>
                <w:rFonts w:ascii="Arial" w:hAnsi="Arial" w:cs="Arial"/>
                <w:b/>
                <w:color w:val="000000"/>
                <w:lang w:val="sr-Cyrl-BA"/>
              </w:rPr>
              <w:t>диница</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w:t>
            </w:r>
            <w:r w:rsidR="00A56E08">
              <w:rPr>
                <w:rFonts w:ascii="Arial" w:hAnsi="Arial" w:cs="Arial"/>
                <w:b/>
                <w:color w:val="000000"/>
                <w:lang w:val="sr-Cyrl-BA"/>
              </w:rPr>
              <w:t>или</w:t>
            </w:r>
            <w:r w:rsidR="00892898" w:rsidRPr="00F6340E">
              <w:rPr>
                <w:rFonts w:ascii="Arial" w:hAnsi="Arial" w:cs="Arial"/>
                <w:b/>
                <w:color w:val="000000"/>
                <w:lang w:val="sr-Cyrl-BA"/>
              </w:rPr>
              <w:t xml:space="preserve"> </w:t>
            </w:r>
            <w:r w:rsidR="00A56E08">
              <w:rPr>
                <w:rFonts w:ascii="Arial" w:hAnsi="Arial" w:cs="Arial"/>
                <w:b/>
                <w:color w:val="000000"/>
                <w:lang w:val="sr-Cyrl-BA"/>
              </w:rPr>
              <w:t>Бо</w:t>
            </w:r>
            <w:r>
              <w:rPr>
                <w:rFonts w:ascii="Arial" w:hAnsi="Arial" w:cs="Arial"/>
                <w:b/>
                <w:color w:val="000000"/>
                <w:lang w:val="sr-Cyrl-BA"/>
              </w:rPr>
              <w:t>с</w:t>
            </w:r>
            <w:r w:rsidR="00A56E08">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Х</w:t>
            </w:r>
            <w:r w:rsidR="00EE6AA2">
              <w:rPr>
                <w:rFonts w:ascii="Arial" w:hAnsi="Arial" w:cs="Arial"/>
                <w:b/>
                <w:color w:val="000000"/>
                <w:lang w:val="sr-Cyrl-BA"/>
              </w:rPr>
              <w:t>е</w:t>
            </w:r>
            <w:r>
              <w:rPr>
                <w:rFonts w:ascii="Arial" w:hAnsi="Arial" w:cs="Arial"/>
                <w:b/>
                <w:color w:val="000000"/>
                <w:lang w:val="sr-Cyrl-BA"/>
              </w:rPr>
              <w:t>р</w:t>
            </w:r>
            <w:r w:rsidR="00A56E08">
              <w:rPr>
                <w:rFonts w:ascii="Arial" w:hAnsi="Arial" w:cs="Arial"/>
                <w:b/>
                <w:color w:val="000000"/>
                <w:lang w:val="sr-Cyrl-BA"/>
              </w:rPr>
              <w:t>ц</w:t>
            </w:r>
            <w:r w:rsidR="00EE6AA2">
              <w:rPr>
                <w:rFonts w:ascii="Arial" w:hAnsi="Arial" w:cs="Arial"/>
                <w:b/>
                <w:color w:val="000000"/>
                <w:lang w:val="sr-Cyrl-BA"/>
              </w:rPr>
              <w:t>е</w:t>
            </w:r>
            <w:r w:rsidR="00A56E08">
              <w:rPr>
                <w:rFonts w:ascii="Arial" w:hAnsi="Arial" w:cs="Arial"/>
                <w:b/>
                <w:color w:val="000000"/>
                <w:lang w:val="sr-Cyrl-BA"/>
              </w:rPr>
              <w:t>го</w:t>
            </w:r>
            <w:r>
              <w:rPr>
                <w:rFonts w:ascii="Arial" w:hAnsi="Arial" w:cs="Arial"/>
                <w:b/>
                <w:color w:val="000000"/>
                <w:lang w:val="sr-Cyrl-BA"/>
              </w:rPr>
              <w:t>в</w:t>
            </w:r>
            <w:r w:rsidR="00A56E08">
              <w:rPr>
                <w:rFonts w:ascii="Arial" w:hAnsi="Arial" w:cs="Arial"/>
                <w:b/>
                <w:color w:val="000000"/>
                <w:lang w:val="sr-Cyrl-BA"/>
              </w:rPr>
              <w:t>ин</w:t>
            </w:r>
            <w:r w:rsidR="00EE6AA2">
              <w:rPr>
                <w:rFonts w:ascii="Arial" w:hAnsi="Arial" w:cs="Arial"/>
                <w:b/>
                <w:color w:val="000000"/>
                <w:lang w:val="sr-Cyrl-BA"/>
              </w:rPr>
              <w:t>е</w:t>
            </w:r>
            <w:r w:rsidR="00D73EF7" w:rsidRPr="00F6340E">
              <w:rPr>
                <w:rFonts w:ascii="Arial" w:hAnsi="Arial" w:cs="Arial"/>
                <w:b/>
                <w:color w:val="000000"/>
                <w:lang w:val="sr-Cyrl-BA"/>
              </w:rPr>
              <w:t xml:space="preserve"> </w:t>
            </w:r>
            <w:r w:rsidR="00A56E08">
              <w:rPr>
                <w:rFonts w:ascii="Arial" w:hAnsi="Arial" w:cs="Arial"/>
                <w:b/>
                <w:color w:val="000000"/>
                <w:lang w:val="sr-Cyrl-BA"/>
              </w:rPr>
              <w:t>и</w:t>
            </w:r>
            <w:r w:rsidR="00D73EF7" w:rsidRPr="00F6340E">
              <w:rPr>
                <w:rFonts w:ascii="Arial" w:hAnsi="Arial" w:cs="Arial"/>
                <w:b/>
                <w:color w:val="000000"/>
                <w:lang w:val="sr-Cyrl-BA"/>
              </w:rPr>
              <w:t>/</w:t>
            </w:r>
            <w:r w:rsidR="00A56E08">
              <w:rPr>
                <w:rFonts w:ascii="Arial" w:hAnsi="Arial" w:cs="Arial"/>
                <w:b/>
                <w:color w:val="000000"/>
                <w:lang w:val="sr-Cyrl-BA"/>
              </w:rPr>
              <w:t>или</w:t>
            </w:r>
            <w:r w:rsidR="00D73EF7" w:rsidRPr="00F6340E">
              <w:rPr>
                <w:rFonts w:ascii="Arial" w:hAnsi="Arial" w:cs="Arial"/>
                <w:b/>
                <w:color w:val="000000"/>
                <w:lang w:val="sr-Cyrl-BA"/>
              </w:rPr>
              <w:t xml:space="preserve"> </w:t>
            </w:r>
            <w:r w:rsidR="00A56E08">
              <w:rPr>
                <w:rFonts w:ascii="Arial" w:hAnsi="Arial" w:cs="Arial"/>
                <w:b/>
                <w:color w:val="000000"/>
                <w:lang w:val="sr-Cyrl-BA"/>
              </w:rPr>
              <w:t>и</w:t>
            </w:r>
            <w:r w:rsidR="00171F00">
              <w:rPr>
                <w:rFonts w:ascii="Arial" w:hAnsi="Arial" w:cs="Arial"/>
                <w:b/>
                <w:color w:val="000000"/>
                <w:lang w:val="sr-Cyrl-BA"/>
              </w:rPr>
              <w:t>з</w:t>
            </w:r>
            <w:r w:rsidR="00A56E08">
              <w:rPr>
                <w:rFonts w:ascii="Arial" w:hAnsi="Arial" w:cs="Arial"/>
                <w:b/>
                <w:color w:val="000000"/>
                <w:lang w:val="sr-Cyrl-BA"/>
              </w:rPr>
              <w:t>м</w:t>
            </w:r>
            <w:r w:rsidR="00EE6AA2">
              <w:rPr>
                <w:rFonts w:ascii="Arial" w:hAnsi="Arial" w:cs="Arial"/>
                <w:b/>
                <w:color w:val="000000"/>
                <w:lang w:val="sr-Cyrl-BA"/>
              </w:rPr>
              <w:t>е</w:t>
            </w:r>
            <w:r w:rsidR="00A56E08">
              <w:rPr>
                <w:rFonts w:ascii="Arial" w:hAnsi="Arial" w:cs="Arial"/>
                <w:b/>
                <w:color w:val="000000"/>
                <w:lang w:val="sr-Cyrl-BA"/>
              </w:rPr>
              <w:t>ђ</w:t>
            </w:r>
            <w:r>
              <w:rPr>
                <w:rFonts w:ascii="Arial" w:hAnsi="Arial" w:cs="Arial"/>
                <w:b/>
                <w:color w:val="000000"/>
                <w:lang w:val="sr-Cyrl-BA"/>
              </w:rPr>
              <w:t>у</w:t>
            </w:r>
            <w:r w:rsidR="00D73EF7"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них</w:t>
            </w:r>
            <w:r w:rsidR="00D73EF7"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ст</w:t>
            </w:r>
            <w:r w:rsidR="00A56E08">
              <w:rPr>
                <w:rFonts w:ascii="Arial" w:hAnsi="Arial" w:cs="Arial"/>
                <w:b/>
                <w:color w:val="000000"/>
                <w:lang w:val="sr-Cyrl-BA"/>
              </w:rPr>
              <w:t>и</w:t>
            </w:r>
            <w:r>
              <w:rPr>
                <w:rFonts w:ascii="Arial" w:hAnsi="Arial" w:cs="Arial"/>
                <w:b/>
                <w:color w:val="000000"/>
                <w:lang w:val="sr-Cyrl-BA"/>
              </w:rPr>
              <w:t>ту</w:t>
            </w:r>
            <w:r w:rsidR="00A56E08">
              <w:rPr>
                <w:rFonts w:ascii="Arial" w:hAnsi="Arial" w:cs="Arial"/>
                <w:b/>
                <w:color w:val="000000"/>
                <w:lang w:val="sr-Cyrl-BA"/>
              </w:rPr>
              <w:t>ција</w:t>
            </w:r>
          </w:p>
          <w:p w14:paraId="74EFC88E" w14:textId="21BEF640" w:rsidR="00892898" w:rsidRPr="00F6340E" w:rsidRDefault="00A56E08"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О</w:t>
            </w:r>
            <w:r w:rsidR="0071360A">
              <w:rPr>
                <w:rFonts w:ascii="Arial" w:hAnsi="Arial" w:cs="Arial"/>
                <w:b/>
                <w:color w:val="000000"/>
                <w:lang w:val="sr-Cyrl-BA"/>
              </w:rPr>
              <w:t>с</w:t>
            </w:r>
            <w:r>
              <w:rPr>
                <w:rFonts w:ascii="Arial" w:hAnsi="Arial" w:cs="Arial"/>
                <w:b/>
                <w:color w:val="000000"/>
                <w:lang w:val="sr-Cyrl-BA"/>
              </w:rPr>
              <w:t>иг</w:t>
            </w:r>
            <w:r w:rsidR="0071360A">
              <w:rPr>
                <w:rFonts w:ascii="Arial" w:hAnsi="Arial" w:cs="Arial"/>
                <w:b/>
                <w:color w:val="000000"/>
                <w:lang w:val="sr-Cyrl-BA"/>
              </w:rPr>
              <w:t>ур</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кон</w:t>
            </w:r>
            <w:r w:rsidR="0071360A">
              <w:rPr>
                <w:rFonts w:ascii="Arial" w:hAnsi="Arial" w:cs="Arial"/>
                <w:b/>
                <w:color w:val="000000"/>
                <w:lang w:val="sr-Cyrl-BA"/>
              </w:rPr>
              <w:t>т</w:t>
            </w:r>
            <w:r>
              <w:rPr>
                <w:rFonts w:ascii="Arial" w:hAnsi="Arial" w:cs="Arial"/>
                <w:b/>
                <w:color w:val="000000"/>
                <w:lang w:val="sr-Cyrl-BA"/>
              </w:rPr>
              <w:t>ин</w:t>
            </w:r>
            <w:r w:rsidR="0071360A">
              <w:rPr>
                <w:rFonts w:ascii="Arial" w:hAnsi="Arial" w:cs="Arial"/>
                <w:b/>
                <w:color w:val="000000"/>
                <w:lang w:val="sr-Cyrl-BA"/>
              </w:rPr>
              <w:t>у</w:t>
            </w:r>
            <w:r>
              <w:rPr>
                <w:rFonts w:ascii="Arial" w:hAnsi="Arial" w:cs="Arial"/>
                <w:b/>
                <w:color w:val="000000"/>
                <w:lang w:val="sr-Cyrl-BA"/>
              </w:rPr>
              <w:t>ално</w:t>
            </w:r>
            <w:r w:rsidR="00892898" w:rsidRPr="00F6340E">
              <w:rPr>
                <w:rFonts w:ascii="Arial" w:hAnsi="Arial" w:cs="Arial"/>
                <w:b/>
                <w:color w:val="000000"/>
                <w:lang w:val="sr-Cyrl-BA"/>
              </w:rPr>
              <w:t xml:space="preserve"> </w:t>
            </w:r>
            <w:r w:rsidR="0071360A">
              <w:rPr>
                <w:rFonts w:ascii="Arial" w:hAnsi="Arial" w:cs="Arial"/>
                <w:b/>
                <w:color w:val="000000"/>
                <w:lang w:val="sr-Cyrl-BA"/>
              </w:rPr>
              <w:t>стру</w:t>
            </w:r>
            <w:r>
              <w:rPr>
                <w:rFonts w:ascii="Arial" w:hAnsi="Arial" w:cs="Arial"/>
                <w:b/>
                <w:color w:val="000000"/>
                <w:lang w:val="sr-Cyrl-BA"/>
              </w:rPr>
              <w:t>чно</w:t>
            </w:r>
            <w:r w:rsidR="00892898" w:rsidRPr="00F6340E">
              <w:rPr>
                <w:rFonts w:ascii="Arial" w:hAnsi="Arial" w:cs="Arial"/>
                <w:b/>
                <w:color w:val="000000"/>
                <w:lang w:val="sr-Cyrl-BA"/>
              </w:rPr>
              <w:t xml:space="preserve"> </w:t>
            </w:r>
            <w:r w:rsidR="0071360A">
              <w:rPr>
                <w:rFonts w:ascii="Arial" w:hAnsi="Arial" w:cs="Arial"/>
                <w:b/>
                <w:color w:val="000000"/>
                <w:lang w:val="sr-Cyrl-BA"/>
              </w:rPr>
              <w:t>ус</w:t>
            </w:r>
            <w:r>
              <w:rPr>
                <w:rFonts w:ascii="Arial" w:hAnsi="Arial" w:cs="Arial"/>
                <w:b/>
                <w:color w:val="000000"/>
                <w:lang w:val="sr-Cyrl-BA"/>
              </w:rPr>
              <w:t>а</w:t>
            </w:r>
            <w:r w:rsidR="0071360A">
              <w:rPr>
                <w:rFonts w:ascii="Arial" w:hAnsi="Arial" w:cs="Arial"/>
                <w:b/>
                <w:color w:val="000000"/>
                <w:lang w:val="sr-Cyrl-BA"/>
              </w:rPr>
              <w:t>врш</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на</w:t>
            </w:r>
            <w:r w:rsidR="0071360A">
              <w:rPr>
                <w:rFonts w:ascii="Arial" w:hAnsi="Arial" w:cs="Arial"/>
                <w:b/>
                <w:color w:val="000000"/>
                <w:lang w:val="sr-Cyrl-BA"/>
              </w:rPr>
              <w:t>ст</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ника</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имј</w:t>
            </w:r>
            <w:r w:rsidR="00EE6AA2">
              <w:rPr>
                <w:rFonts w:ascii="Arial" w:hAnsi="Arial" w:cs="Arial"/>
                <w:b/>
                <w:color w:val="000000"/>
                <w:lang w:val="sr-Cyrl-BA"/>
              </w:rPr>
              <w:t>е</w:t>
            </w:r>
            <w:r>
              <w:rPr>
                <w:rFonts w:ascii="Arial" w:hAnsi="Arial" w:cs="Arial"/>
                <w:b/>
                <w:color w:val="000000"/>
                <w:lang w:val="sr-Cyrl-BA"/>
              </w:rPr>
              <w:t>н</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диги</w:t>
            </w:r>
            <w:r w:rsidR="0071360A">
              <w:rPr>
                <w:rFonts w:ascii="Arial" w:hAnsi="Arial" w:cs="Arial"/>
                <w:b/>
                <w:color w:val="000000"/>
                <w:lang w:val="sr-Cyrl-BA"/>
              </w:rPr>
              <w:t>т</w:t>
            </w:r>
            <w:r>
              <w:rPr>
                <w:rFonts w:ascii="Arial" w:hAnsi="Arial" w:cs="Arial"/>
                <w:b/>
                <w:color w:val="000000"/>
                <w:lang w:val="sr-Cyrl-BA"/>
              </w:rPr>
              <w:t>алних</w:t>
            </w:r>
            <w:r w:rsidR="00892898" w:rsidRPr="00F6340E">
              <w:rPr>
                <w:rFonts w:ascii="Arial" w:hAnsi="Arial" w:cs="Arial"/>
                <w:b/>
                <w:color w:val="000000"/>
                <w:lang w:val="sr-Cyrl-BA"/>
              </w:rPr>
              <w:t xml:space="preserve"> </w:t>
            </w:r>
            <w:r>
              <w:rPr>
                <w:rFonts w:ascii="Arial" w:hAnsi="Arial" w:cs="Arial"/>
                <w:b/>
                <w:color w:val="000000"/>
                <w:lang w:val="sr-Cyrl-BA"/>
              </w:rPr>
              <w:t>ала</w:t>
            </w:r>
            <w:r w:rsidR="0071360A">
              <w:rPr>
                <w:rFonts w:ascii="Arial" w:hAnsi="Arial" w:cs="Arial"/>
                <w:b/>
                <w:color w:val="000000"/>
                <w:lang w:val="sr-Cyrl-BA"/>
              </w:rPr>
              <w:t>т</w:t>
            </w:r>
            <w:r>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w:t>
            </w:r>
            <w:r w:rsidR="0071360A">
              <w:rPr>
                <w:rFonts w:ascii="Arial" w:hAnsi="Arial" w:cs="Arial"/>
                <w:b/>
                <w:color w:val="000000"/>
                <w:lang w:val="sr-Cyrl-BA"/>
              </w:rPr>
              <w:t>ст</w:t>
            </w:r>
            <w:r>
              <w:rPr>
                <w:rFonts w:ascii="Arial" w:hAnsi="Arial" w:cs="Arial"/>
                <w:b/>
                <w:color w:val="000000"/>
                <w:lang w:val="sr-Cyrl-BA"/>
              </w:rPr>
              <w:t>ој</w:t>
            </w:r>
            <w:r w:rsidR="00EE6AA2">
              <w:rPr>
                <w:rFonts w:ascii="Arial" w:hAnsi="Arial" w:cs="Arial"/>
                <w:b/>
                <w:color w:val="000000"/>
                <w:lang w:val="sr-Cyrl-BA"/>
              </w:rPr>
              <w:t>е</w:t>
            </w:r>
            <w:r>
              <w:rPr>
                <w:rFonts w:ascii="Arial" w:hAnsi="Arial" w:cs="Arial"/>
                <w:b/>
                <w:color w:val="000000"/>
                <w:lang w:val="sr-Cyrl-BA"/>
              </w:rPr>
              <w:t>ћих</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ла</w:t>
            </w:r>
            <w:r w:rsidR="0071360A">
              <w:rPr>
                <w:rFonts w:ascii="Arial" w:hAnsi="Arial" w:cs="Arial"/>
                <w:b/>
                <w:color w:val="000000"/>
                <w:lang w:val="sr-Cyrl-BA"/>
              </w:rPr>
              <w:t>т</w:t>
            </w:r>
            <w:r>
              <w:rPr>
                <w:rFonts w:ascii="Arial" w:hAnsi="Arial" w:cs="Arial"/>
                <w:b/>
                <w:color w:val="000000"/>
                <w:lang w:val="sr-Cyrl-BA"/>
              </w:rPr>
              <w:t>фо</w:t>
            </w:r>
            <w:r w:rsidR="0071360A">
              <w:rPr>
                <w:rFonts w:ascii="Arial" w:hAnsi="Arial" w:cs="Arial"/>
                <w:b/>
                <w:color w:val="000000"/>
                <w:lang w:val="sr-Cyrl-BA"/>
              </w:rPr>
              <w:t>р</w:t>
            </w:r>
            <w:r>
              <w:rPr>
                <w:rFonts w:ascii="Arial" w:hAnsi="Arial" w:cs="Arial"/>
                <w:b/>
                <w:color w:val="000000"/>
                <w:lang w:val="sr-Cyrl-BA"/>
              </w:rPr>
              <w:t>ми</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w:t>
            </w:r>
            <w:r w:rsidR="0071360A">
              <w:rPr>
                <w:rFonts w:ascii="Arial" w:hAnsi="Arial" w:cs="Arial"/>
                <w:b/>
                <w:color w:val="000000"/>
                <w:lang w:val="sr-Cyrl-BA"/>
              </w:rPr>
              <w:t>ст</w:t>
            </w:r>
            <w:r>
              <w:rPr>
                <w:rFonts w:ascii="Arial" w:hAnsi="Arial" w:cs="Arial"/>
                <w:b/>
                <w:color w:val="000000"/>
                <w:lang w:val="sr-Cyrl-BA"/>
              </w:rPr>
              <w:t>игн</w:t>
            </w:r>
            <w:r w:rsidR="0071360A">
              <w:rPr>
                <w:rFonts w:ascii="Arial" w:hAnsi="Arial" w:cs="Arial"/>
                <w:b/>
                <w:color w:val="000000"/>
                <w:lang w:val="sr-Cyrl-BA"/>
              </w:rPr>
              <w:t>у</w:t>
            </w:r>
            <w:r>
              <w:rPr>
                <w:rFonts w:ascii="Arial" w:hAnsi="Arial" w:cs="Arial"/>
                <w:b/>
                <w:color w:val="000000"/>
                <w:lang w:val="sr-Cyrl-BA"/>
              </w:rPr>
              <w:t>ћа</w:t>
            </w:r>
            <w:r w:rsidR="00892898" w:rsidRPr="00F6340E">
              <w:rPr>
                <w:rFonts w:ascii="Arial" w:hAnsi="Arial" w:cs="Arial"/>
                <w:b/>
                <w:color w:val="000000"/>
                <w:lang w:val="sr-Cyrl-BA"/>
              </w:rPr>
              <w:t xml:space="preserve"> </w:t>
            </w:r>
            <w:r w:rsidR="0071360A">
              <w:rPr>
                <w:rFonts w:ascii="Arial" w:hAnsi="Arial" w:cs="Arial"/>
                <w:b/>
                <w:color w:val="000000"/>
                <w:lang w:val="sr-Cyrl-BA"/>
              </w:rPr>
              <w:t>сту</w:t>
            </w:r>
            <w:r>
              <w:rPr>
                <w:rFonts w:ascii="Arial" w:hAnsi="Arial" w:cs="Arial"/>
                <w:b/>
                <w:color w:val="000000"/>
                <w:lang w:val="sr-Cyrl-BA"/>
              </w:rPr>
              <w:t>д</w:t>
            </w:r>
            <w:r w:rsidR="00EE6AA2">
              <w:rPr>
                <w:rFonts w:ascii="Arial" w:hAnsi="Arial" w:cs="Arial"/>
                <w:b/>
                <w:color w:val="000000"/>
                <w:lang w:val="sr-Cyrl-BA"/>
              </w:rPr>
              <w:t>е</w:t>
            </w:r>
            <w:r>
              <w:rPr>
                <w:rFonts w:ascii="Arial" w:hAnsi="Arial" w:cs="Arial"/>
                <w:b/>
                <w:color w:val="000000"/>
                <w:lang w:val="sr-Cyrl-BA"/>
              </w:rPr>
              <w:t>на</w:t>
            </w:r>
            <w:r w:rsidR="0071360A">
              <w:rPr>
                <w:rFonts w:ascii="Arial" w:hAnsi="Arial" w:cs="Arial"/>
                <w:b/>
                <w:color w:val="000000"/>
                <w:lang w:val="sr-Cyrl-BA"/>
              </w:rPr>
              <w:t>т</w:t>
            </w:r>
            <w:r>
              <w:rPr>
                <w:rFonts w:ascii="Arial" w:hAnsi="Arial" w:cs="Arial"/>
                <w:b/>
                <w:color w:val="000000"/>
                <w:lang w:val="sr-Cyrl-BA"/>
              </w:rPr>
              <w:t>а</w:t>
            </w:r>
          </w:p>
          <w:p w14:paraId="2DEDF64F" w14:textId="4E51187E" w:rsidR="00892898" w:rsidRPr="00F6340E" w:rsidRDefault="0071360A"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стру</w:t>
            </w:r>
            <w:r w:rsidR="00A56E08">
              <w:rPr>
                <w:rFonts w:ascii="Arial" w:hAnsi="Arial" w:cs="Arial"/>
                <w:b/>
                <w:color w:val="000000"/>
                <w:lang w:val="sr-Cyrl-BA"/>
              </w:rPr>
              <w:t>чн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т</w:t>
            </w:r>
            <w:r w:rsidR="00A56E08">
              <w:rPr>
                <w:rFonts w:ascii="Arial" w:hAnsi="Arial" w:cs="Arial"/>
                <w:b/>
                <w:color w:val="000000"/>
                <w:lang w:val="sr-Cyrl-BA"/>
              </w:rPr>
              <w:t>имо</w:t>
            </w:r>
            <w:r>
              <w:rPr>
                <w:rFonts w:ascii="Arial" w:hAnsi="Arial" w:cs="Arial"/>
                <w:b/>
                <w:color w:val="000000"/>
                <w:lang w:val="sr-Cyrl-BA"/>
              </w:rPr>
              <w:t>в</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који</w:t>
            </w:r>
            <w:r w:rsidR="00892898" w:rsidRPr="00F6340E">
              <w:rPr>
                <w:rFonts w:ascii="Arial" w:hAnsi="Arial" w:cs="Arial"/>
                <w:b/>
                <w:color w:val="000000"/>
                <w:lang w:val="sr-Cyrl-BA"/>
              </w:rPr>
              <w:t xml:space="preserve"> </w:t>
            </w:r>
            <w:r w:rsidR="00A56E08">
              <w:rPr>
                <w:rFonts w:ascii="Arial" w:hAnsi="Arial" w:cs="Arial"/>
                <w:b/>
                <w:color w:val="000000"/>
                <w:lang w:val="sr-Cyrl-BA"/>
              </w:rPr>
              <w:t>к</w:t>
            </w:r>
            <w:r>
              <w:rPr>
                <w:rFonts w:ascii="Arial" w:hAnsi="Arial" w:cs="Arial"/>
                <w:b/>
                <w:color w:val="000000"/>
                <w:lang w:val="sr-Cyrl-BA"/>
              </w:rPr>
              <w:t>р</w:t>
            </w:r>
            <w:r w:rsidR="00EE6AA2">
              <w:rPr>
                <w:rFonts w:ascii="Arial" w:hAnsi="Arial" w:cs="Arial"/>
                <w:b/>
                <w:color w:val="000000"/>
                <w:lang w:val="sr-Cyrl-BA"/>
              </w:rPr>
              <w:t>е</w:t>
            </w:r>
            <w:r w:rsidR="00A56E08">
              <w:rPr>
                <w:rFonts w:ascii="Arial" w:hAnsi="Arial" w:cs="Arial"/>
                <w:b/>
                <w:color w:val="000000"/>
                <w:lang w:val="sr-Cyrl-BA"/>
              </w:rPr>
              <w:t>и</w:t>
            </w:r>
            <w:r>
              <w:rPr>
                <w:rFonts w:ascii="Arial" w:hAnsi="Arial" w:cs="Arial"/>
                <w:b/>
                <w:color w:val="000000"/>
                <w:lang w:val="sr-Cyrl-BA"/>
              </w:rPr>
              <w:t>р</w:t>
            </w:r>
            <w:r w:rsidR="00A56E08">
              <w:rPr>
                <w:rFonts w:ascii="Arial" w:hAnsi="Arial" w:cs="Arial"/>
                <w:b/>
                <w:color w:val="000000"/>
                <w:lang w:val="sr-Cyrl-BA"/>
              </w:rPr>
              <w:t>ај</w:t>
            </w: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ла</w:t>
            </w:r>
            <w:r>
              <w:rPr>
                <w:rFonts w:ascii="Arial" w:hAnsi="Arial" w:cs="Arial"/>
                <w:b/>
                <w:color w:val="000000"/>
                <w:lang w:val="sr-Cyrl-BA"/>
              </w:rPr>
              <w:t>т</w:t>
            </w:r>
            <w:r w:rsidR="00A56E08">
              <w:rPr>
                <w:rFonts w:ascii="Arial" w:hAnsi="Arial" w:cs="Arial"/>
                <w:b/>
                <w:color w:val="000000"/>
                <w:lang w:val="sr-Cyrl-BA"/>
              </w:rPr>
              <w:t>фо</w:t>
            </w:r>
            <w:r>
              <w:rPr>
                <w:rFonts w:ascii="Arial" w:hAnsi="Arial" w:cs="Arial"/>
                <w:b/>
                <w:color w:val="000000"/>
                <w:lang w:val="sr-Cyrl-BA"/>
              </w:rPr>
              <w:t>р</w:t>
            </w:r>
            <w:r w:rsidR="00A56E08">
              <w:rPr>
                <w:rFonts w:ascii="Arial" w:hAnsi="Arial" w:cs="Arial"/>
                <w:b/>
                <w:color w:val="000000"/>
                <w:lang w:val="sr-Cyrl-BA"/>
              </w:rPr>
              <w:t>м</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у</w:t>
            </w:r>
            <w:r w:rsidR="00A56E08">
              <w:rPr>
                <w:rFonts w:ascii="Arial" w:hAnsi="Arial" w:cs="Arial"/>
                <w:b/>
                <w:color w:val="000000"/>
                <w:lang w:val="sr-Cyrl-BA"/>
              </w:rPr>
              <w:t>кљ</w:t>
            </w:r>
            <w:r>
              <w:rPr>
                <w:rFonts w:ascii="Arial" w:hAnsi="Arial" w:cs="Arial"/>
                <w:b/>
                <w:color w:val="000000"/>
                <w:lang w:val="sr-Cyrl-BA"/>
              </w:rPr>
              <w:t>у</w:t>
            </w:r>
            <w:r w:rsidR="00A56E08">
              <w:rPr>
                <w:rFonts w:ascii="Arial" w:hAnsi="Arial" w:cs="Arial"/>
                <w:b/>
                <w:color w:val="000000"/>
                <w:lang w:val="sr-Cyrl-BA"/>
              </w:rPr>
              <w:t>чи</w:t>
            </w:r>
            <w:r>
              <w:rPr>
                <w:rFonts w:ascii="Arial" w:hAnsi="Arial" w:cs="Arial"/>
                <w:b/>
                <w:color w:val="000000"/>
                <w:lang w:val="sr-Cyrl-BA"/>
              </w:rPr>
              <w:t>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о</w:t>
            </w:r>
            <w:r>
              <w:rPr>
                <w:rFonts w:ascii="Arial" w:hAnsi="Arial" w:cs="Arial"/>
                <w:b/>
                <w:color w:val="000000"/>
                <w:lang w:val="sr-Cyrl-BA"/>
              </w:rPr>
              <w:t>с</w:t>
            </w:r>
            <w:r w:rsidR="00A56E08">
              <w:rPr>
                <w:rFonts w:ascii="Arial" w:hAnsi="Arial" w:cs="Arial"/>
                <w:b/>
                <w:color w:val="000000"/>
                <w:lang w:val="sr-Cyrl-BA"/>
              </w:rPr>
              <w:t>об</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171F00">
              <w:rPr>
                <w:rFonts w:ascii="Arial" w:hAnsi="Arial" w:cs="Arial"/>
                <w:b/>
                <w:color w:val="000000"/>
                <w:lang w:val="sr-Cyrl-BA"/>
              </w:rPr>
              <w:t>з</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Pr>
                <w:rFonts w:ascii="Arial" w:hAnsi="Arial" w:cs="Arial"/>
                <w:b/>
                <w:color w:val="000000"/>
                <w:lang w:val="sr-Cyrl-BA"/>
              </w:rPr>
              <w:t>ст</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ак</w:t>
            </w:r>
            <w:r>
              <w:rPr>
                <w:rFonts w:ascii="Arial" w:hAnsi="Arial" w:cs="Arial"/>
                <w:b/>
                <w:color w:val="000000"/>
                <w:lang w:val="sr-Cyrl-BA"/>
              </w:rPr>
              <w:t>с</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стру</w:t>
            </w:r>
            <w:r w:rsidR="00A56E08">
              <w:rPr>
                <w:rFonts w:ascii="Arial" w:hAnsi="Arial" w:cs="Arial"/>
                <w:b/>
                <w:color w:val="000000"/>
                <w:lang w:val="sr-Cyrl-BA"/>
              </w:rPr>
              <w:t>чњак</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а</w:t>
            </w:r>
            <w:r w:rsidR="00A4214D" w:rsidRPr="00F6340E">
              <w:rPr>
                <w:rFonts w:ascii="Arial" w:hAnsi="Arial" w:cs="Arial"/>
                <w:b/>
                <w:color w:val="000000"/>
                <w:lang w:val="sr-Cyrl-BA"/>
              </w:rPr>
              <w:t xml:space="preserve"> </w:t>
            </w:r>
            <w:r w:rsidR="00A56E08">
              <w:rPr>
                <w:rFonts w:ascii="Arial" w:hAnsi="Arial" w:cs="Arial"/>
                <w:b/>
                <w:color w:val="000000"/>
                <w:lang w:val="sr-Cyrl-BA"/>
              </w:rPr>
              <w:t>И</w:t>
            </w:r>
            <w:r>
              <w:rPr>
                <w:rFonts w:ascii="Arial" w:hAnsi="Arial" w:cs="Arial"/>
                <w:b/>
                <w:color w:val="000000"/>
                <w:lang w:val="sr-Cyrl-BA"/>
              </w:rPr>
              <w:t>Т</w:t>
            </w:r>
            <w:r w:rsidR="00A4214D" w:rsidRPr="00F6340E">
              <w:rPr>
                <w:rFonts w:ascii="Arial" w:hAnsi="Arial" w:cs="Arial"/>
                <w:b/>
                <w:color w:val="000000"/>
                <w:lang w:val="sr-Cyrl-BA"/>
              </w:rPr>
              <w:t xml:space="preserve"> </w:t>
            </w:r>
            <w:r w:rsidR="00892898" w:rsidRPr="00F6340E">
              <w:rPr>
                <w:rFonts w:ascii="Arial" w:hAnsi="Arial" w:cs="Arial"/>
                <w:b/>
                <w:color w:val="000000"/>
                <w:lang w:val="sr-Cyrl-BA"/>
              </w:rPr>
              <w:t xml:space="preserve">– </w:t>
            </w:r>
            <w:r w:rsidR="00A56E08">
              <w:rPr>
                <w:rFonts w:ascii="Arial" w:hAnsi="Arial" w:cs="Arial"/>
                <w:b/>
                <w:color w:val="000000"/>
                <w:lang w:val="sr-Cyrl-BA"/>
              </w:rPr>
              <w:t>о</w:t>
            </w:r>
            <w:r>
              <w:rPr>
                <w:rFonts w:ascii="Arial" w:hAnsi="Arial" w:cs="Arial"/>
                <w:b/>
                <w:color w:val="000000"/>
                <w:lang w:val="sr-Cyrl-BA"/>
              </w:rPr>
              <w:t>с</w:t>
            </w:r>
            <w:r w:rsidR="00A56E08">
              <w:rPr>
                <w:rFonts w:ascii="Arial" w:hAnsi="Arial" w:cs="Arial"/>
                <w:b/>
                <w:color w:val="000000"/>
                <w:lang w:val="sr-Cyrl-BA"/>
              </w:rPr>
              <w:t>иг</w:t>
            </w:r>
            <w:r>
              <w:rPr>
                <w:rFonts w:ascii="Arial" w:hAnsi="Arial" w:cs="Arial"/>
                <w:b/>
                <w:color w:val="000000"/>
                <w:lang w:val="sr-Cyrl-BA"/>
              </w:rPr>
              <w:t>ур</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sidR="00A4214D"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т</w:t>
            </w:r>
            <w:r w:rsidR="00EE6AA2">
              <w:rPr>
                <w:rFonts w:ascii="Arial" w:hAnsi="Arial" w:cs="Arial"/>
                <w:b/>
                <w:color w:val="000000"/>
                <w:lang w:val="sr-Cyrl-BA"/>
              </w:rPr>
              <w:t>е</w:t>
            </w:r>
            <w:r>
              <w:rPr>
                <w:rFonts w:ascii="Arial" w:hAnsi="Arial" w:cs="Arial"/>
                <w:b/>
                <w:color w:val="000000"/>
                <w:lang w:val="sr-Cyrl-BA"/>
              </w:rPr>
              <w:t>р</w:t>
            </w:r>
            <w:r w:rsidR="00A56E08">
              <w:rPr>
                <w:rFonts w:ascii="Arial" w:hAnsi="Arial" w:cs="Arial"/>
                <w:b/>
                <w:color w:val="000000"/>
                <w:lang w:val="sr-Cyrl-BA"/>
              </w:rPr>
              <w:t>ди</w:t>
            </w:r>
            <w:r>
              <w:rPr>
                <w:rFonts w:ascii="Arial" w:hAnsi="Arial" w:cs="Arial"/>
                <w:b/>
                <w:color w:val="000000"/>
                <w:lang w:val="sr-Cyrl-BA"/>
              </w:rPr>
              <w:t>с</w:t>
            </w:r>
            <w:r w:rsidR="00A56E08">
              <w:rPr>
                <w:rFonts w:ascii="Arial" w:hAnsi="Arial" w:cs="Arial"/>
                <w:b/>
                <w:color w:val="000000"/>
                <w:lang w:val="sr-Cyrl-BA"/>
              </w:rPr>
              <w:t>ци</w:t>
            </w:r>
            <w:r>
              <w:rPr>
                <w:rFonts w:ascii="Arial" w:hAnsi="Arial" w:cs="Arial"/>
                <w:b/>
                <w:color w:val="000000"/>
                <w:lang w:val="sr-Cyrl-BA"/>
              </w:rPr>
              <w:t>п</w:t>
            </w:r>
            <w:r w:rsidR="00A56E08">
              <w:rPr>
                <w:rFonts w:ascii="Arial" w:hAnsi="Arial" w:cs="Arial"/>
                <w:b/>
                <w:color w:val="000000"/>
                <w:lang w:val="sr-Cyrl-BA"/>
              </w:rPr>
              <w:t>лина</w:t>
            </w:r>
            <w:r>
              <w:rPr>
                <w:rFonts w:ascii="Arial" w:hAnsi="Arial" w:cs="Arial"/>
                <w:b/>
                <w:color w:val="000000"/>
                <w:lang w:val="sr-Cyrl-BA"/>
              </w:rPr>
              <w:t>р</w:t>
            </w:r>
            <w:r w:rsidR="00A56E08">
              <w:rPr>
                <w:rFonts w:ascii="Arial" w:hAnsi="Arial" w:cs="Arial"/>
                <w:b/>
                <w:color w:val="000000"/>
                <w:lang w:val="sr-Cyrl-BA"/>
              </w:rPr>
              <w:t>ни</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и</w:t>
            </w:r>
            <w:r>
              <w:rPr>
                <w:rFonts w:ascii="Arial" w:hAnsi="Arial" w:cs="Arial"/>
                <w:b/>
                <w:color w:val="000000"/>
                <w:lang w:val="sr-Cyrl-BA"/>
              </w:rPr>
              <w:t>ступ</w:t>
            </w:r>
          </w:p>
          <w:p w14:paraId="1D0EFEF5" w14:textId="65E34FE5" w:rsidR="00892898" w:rsidRPr="00F6340E" w:rsidRDefault="00A56E08"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К</w:t>
            </w:r>
            <w:r w:rsidR="0071360A">
              <w:rPr>
                <w:rFonts w:ascii="Arial" w:hAnsi="Arial" w:cs="Arial"/>
                <w:b/>
                <w:color w:val="000000"/>
                <w:lang w:val="sr-Cyrl-BA"/>
              </w:rPr>
              <w:t>р</w:t>
            </w:r>
            <w:r w:rsidR="00EE6AA2">
              <w:rPr>
                <w:rFonts w:ascii="Arial" w:hAnsi="Arial" w:cs="Arial"/>
                <w:b/>
                <w:color w:val="000000"/>
                <w:lang w:val="sr-Cyrl-BA"/>
              </w:rPr>
              <w:t>е</w:t>
            </w:r>
            <w:r>
              <w:rPr>
                <w:rFonts w:ascii="Arial" w:hAnsi="Arial" w:cs="Arial"/>
                <w:b/>
                <w:color w:val="000000"/>
                <w:lang w:val="sr-Cyrl-BA"/>
              </w:rPr>
              <w:t>и</w:t>
            </w:r>
            <w:r w:rsidR="0071360A">
              <w:rPr>
                <w:rFonts w:ascii="Arial" w:hAnsi="Arial" w:cs="Arial"/>
                <w:b/>
                <w:color w:val="000000"/>
                <w:lang w:val="sr-Cyrl-BA"/>
              </w:rPr>
              <w:t>р</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ај</w:t>
            </w:r>
            <w:r w:rsidR="00EE6AA2">
              <w:rPr>
                <w:rFonts w:ascii="Arial" w:hAnsi="Arial" w:cs="Arial"/>
                <w:b/>
                <w:color w:val="000000"/>
                <w:lang w:val="sr-Cyrl-BA"/>
              </w:rPr>
              <w:t>е</w:t>
            </w:r>
            <w:r>
              <w:rPr>
                <w:rFonts w:ascii="Arial" w:hAnsi="Arial" w:cs="Arial"/>
                <w:b/>
                <w:color w:val="000000"/>
                <w:lang w:val="sr-Cyrl-BA"/>
              </w:rPr>
              <w:t>дниц</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ак</w:t>
            </w:r>
            <w:r w:rsidR="0071360A">
              <w:rPr>
                <w:rFonts w:ascii="Arial" w:hAnsi="Arial" w:cs="Arial"/>
                <w:b/>
                <w:color w:val="000000"/>
                <w:lang w:val="sr-Cyrl-BA"/>
              </w:rPr>
              <w:t>с</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Pr>
                <w:rFonts w:ascii="Arial" w:hAnsi="Arial" w:cs="Arial"/>
                <w:b/>
                <w:color w:val="000000"/>
                <w:lang w:val="sr-Cyrl-BA"/>
              </w:rPr>
              <w:t>м</w:t>
            </w:r>
            <w:r w:rsidR="0071360A">
              <w:rPr>
                <w:rFonts w:ascii="Arial" w:hAnsi="Arial" w:cs="Arial"/>
                <w:b/>
                <w:color w:val="000000"/>
                <w:lang w:val="sr-Cyrl-BA"/>
              </w:rPr>
              <w:t>р</w:t>
            </w:r>
            <w:r w:rsidR="00EE6AA2">
              <w:rPr>
                <w:rFonts w:ascii="Arial" w:hAnsi="Arial" w:cs="Arial"/>
                <w:b/>
                <w:color w:val="000000"/>
                <w:lang w:val="sr-Cyrl-BA"/>
              </w:rPr>
              <w:t>е</w:t>
            </w:r>
            <w:r w:rsidR="00171F00">
              <w:rPr>
                <w:rFonts w:ascii="Arial" w:hAnsi="Arial" w:cs="Arial"/>
                <w:b/>
                <w:color w:val="000000"/>
                <w:lang w:val="sr-Cyrl-BA"/>
              </w:rPr>
              <w:t>ж</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B04FA8">
              <w:rPr>
                <w:rFonts w:ascii="Arial" w:hAnsi="Arial" w:cs="Arial"/>
                <w:b/>
                <w:color w:val="000000"/>
                <w:lang w:val="sr-Cyrl-BA"/>
              </w:rPr>
              <w:t xml:space="preserve"> са </w:t>
            </w:r>
            <w:r>
              <w:rPr>
                <w:rFonts w:ascii="Arial" w:hAnsi="Arial" w:cs="Arial"/>
                <w:b/>
                <w:color w:val="000000"/>
                <w:lang w:val="sr-Cyrl-BA"/>
              </w:rPr>
              <w:t>циљ</w:t>
            </w:r>
            <w:r w:rsidR="00EE6AA2">
              <w:rPr>
                <w:rFonts w:ascii="Arial" w:hAnsi="Arial" w:cs="Arial"/>
                <w:b/>
                <w:color w:val="000000"/>
                <w:lang w:val="sr-Cyrl-BA"/>
              </w:rPr>
              <w:t>е</w:t>
            </w:r>
            <w:r>
              <w:rPr>
                <w:rFonts w:ascii="Arial" w:hAnsi="Arial" w:cs="Arial"/>
                <w:b/>
                <w:color w:val="000000"/>
                <w:lang w:val="sr-Cyrl-BA"/>
              </w:rPr>
              <w:t>м</w:t>
            </w:r>
            <w:r w:rsidR="00892898" w:rsidRPr="00F6340E">
              <w:rPr>
                <w:rFonts w:ascii="Arial" w:hAnsi="Arial" w:cs="Arial"/>
                <w:b/>
                <w:color w:val="000000"/>
                <w:lang w:val="sr-Cyrl-BA"/>
              </w:rPr>
              <w:t xml:space="preserve"> </w:t>
            </w:r>
            <w:r w:rsidR="0071360A">
              <w:rPr>
                <w:rFonts w:ascii="Arial" w:hAnsi="Arial" w:cs="Arial"/>
                <w:b/>
                <w:color w:val="000000"/>
                <w:lang w:val="sr-Cyrl-BA"/>
              </w:rPr>
              <w:t>р</w:t>
            </w:r>
            <w:r>
              <w:rPr>
                <w:rFonts w:ascii="Arial" w:hAnsi="Arial" w:cs="Arial"/>
                <w:b/>
                <w:color w:val="000000"/>
                <w:lang w:val="sr-Cyrl-BA"/>
              </w:rPr>
              <w:t>а</w:t>
            </w:r>
            <w:r w:rsidR="00171F00">
              <w:rPr>
                <w:rFonts w:ascii="Arial" w:hAnsi="Arial" w:cs="Arial"/>
                <w:b/>
                <w:color w:val="000000"/>
                <w:lang w:val="sr-Cyrl-BA"/>
              </w:rPr>
              <w:t>з</w:t>
            </w:r>
            <w:r>
              <w:rPr>
                <w:rFonts w:ascii="Arial" w:hAnsi="Arial" w:cs="Arial"/>
                <w:b/>
                <w:color w:val="000000"/>
                <w:lang w:val="sr-Cyrl-BA"/>
              </w:rPr>
              <w:t>мј</w:t>
            </w:r>
            <w:r w:rsidR="00EE6AA2">
              <w:rPr>
                <w:rFonts w:ascii="Arial" w:hAnsi="Arial" w:cs="Arial"/>
                <w:b/>
                <w:color w:val="000000"/>
                <w:lang w:val="sr-Cyrl-BA"/>
              </w:rPr>
              <w:t>е</w:t>
            </w:r>
            <w:r>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ид</w:t>
            </w:r>
            <w:r w:rsidR="00EE6AA2">
              <w:rPr>
                <w:rFonts w:ascii="Arial" w:hAnsi="Arial" w:cs="Arial"/>
                <w:b/>
                <w:color w:val="000000"/>
                <w:lang w:val="sr-Cyrl-BA"/>
              </w:rPr>
              <w:t>е</w:t>
            </w:r>
            <w:r>
              <w:rPr>
                <w:rFonts w:ascii="Arial" w:hAnsi="Arial" w:cs="Arial"/>
                <w:b/>
                <w:color w:val="000000"/>
                <w:lang w:val="sr-Cyrl-BA"/>
              </w:rPr>
              <w:t>ја</w:t>
            </w:r>
            <w:r w:rsidR="00892898" w:rsidRPr="00F6340E">
              <w:rPr>
                <w:rFonts w:ascii="Arial" w:hAnsi="Arial" w:cs="Arial"/>
                <w:b/>
                <w:color w:val="000000"/>
                <w:lang w:val="sr-Cyrl-BA"/>
              </w:rPr>
              <w:t xml:space="preserve">, </w:t>
            </w:r>
            <w:r>
              <w:rPr>
                <w:rFonts w:ascii="Arial" w:hAnsi="Arial" w:cs="Arial"/>
                <w:b/>
                <w:color w:val="000000"/>
                <w:lang w:val="sr-Cyrl-BA"/>
              </w:rPr>
              <w:t>и</w:t>
            </w:r>
            <w:r w:rsidR="0071360A">
              <w:rPr>
                <w:rFonts w:ascii="Arial" w:hAnsi="Arial" w:cs="Arial"/>
                <w:b/>
                <w:color w:val="000000"/>
                <w:lang w:val="sr-Cyrl-BA"/>
              </w:rPr>
              <w:t>с</w:t>
            </w:r>
            <w:r>
              <w:rPr>
                <w:rFonts w:ascii="Arial" w:hAnsi="Arial" w:cs="Arial"/>
                <w:b/>
                <w:color w:val="000000"/>
                <w:lang w:val="sr-Cyrl-BA"/>
              </w:rPr>
              <w:t>к</w:t>
            </w:r>
            <w:r w:rsidR="0071360A">
              <w:rPr>
                <w:rFonts w:ascii="Arial" w:hAnsi="Arial" w:cs="Arial"/>
                <w:b/>
                <w:color w:val="000000"/>
                <w:lang w:val="sr-Cyrl-BA"/>
              </w:rPr>
              <w:t>уст</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а</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нања</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п</w:t>
            </w:r>
            <w:r>
              <w:rPr>
                <w:rFonts w:ascii="Arial" w:hAnsi="Arial" w:cs="Arial"/>
                <w:b/>
                <w:color w:val="000000"/>
                <w:lang w:val="sr-Cyrl-BA"/>
              </w:rPr>
              <w:t>од</w:t>
            </w:r>
            <w:r w:rsidR="0071360A">
              <w:rPr>
                <w:rFonts w:ascii="Arial" w:hAnsi="Arial" w:cs="Arial"/>
                <w:b/>
                <w:color w:val="000000"/>
                <w:lang w:val="sr-Cyrl-BA"/>
              </w:rPr>
              <w:t>ру</w:t>
            </w:r>
            <w:r>
              <w:rPr>
                <w:rFonts w:ascii="Arial" w:hAnsi="Arial" w:cs="Arial"/>
                <w:b/>
                <w:color w:val="000000"/>
                <w:lang w:val="sr-Cyrl-BA"/>
              </w:rPr>
              <w:t>чј</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ања</w:t>
            </w:r>
            <w:r w:rsidR="00892898" w:rsidRPr="00F6340E">
              <w:rPr>
                <w:rFonts w:ascii="Arial" w:hAnsi="Arial" w:cs="Arial"/>
                <w:b/>
                <w:color w:val="000000"/>
                <w:lang w:val="sr-Cyrl-BA"/>
              </w:rPr>
              <w:t xml:space="preserve"> </w:t>
            </w:r>
            <w:r>
              <w:rPr>
                <w:rFonts w:ascii="Arial" w:hAnsi="Arial" w:cs="Arial"/>
                <w:b/>
                <w:color w:val="000000"/>
                <w:lang w:val="sr-Cyrl-BA"/>
              </w:rPr>
              <w:t>к</w:t>
            </w:r>
            <w:r w:rsidR="0071360A">
              <w:rPr>
                <w:rFonts w:ascii="Arial" w:hAnsi="Arial" w:cs="Arial"/>
                <w:b/>
                <w:color w:val="000000"/>
                <w:lang w:val="sr-Cyrl-BA"/>
              </w:rPr>
              <w:t>в</w:t>
            </w:r>
            <w:r>
              <w:rPr>
                <w:rFonts w:ascii="Arial" w:hAnsi="Arial" w:cs="Arial"/>
                <w:b/>
                <w:color w:val="000000"/>
                <w:lang w:val="sr-Cyrl-BA"/>
              </w:rPr>
              <w:t>али</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т</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р</w:t>
            </w:r>
            <w:r>
              <w:rPr>
                <w:rFonts w:ascii="Arial" w:hAnsi="Arial" w:cs="Arial"/>
                <w:b/>
                <w:color w:val="000000"/>
                <w:lang w:val="sr-Cyrl-BA"/>
              </w:rPr>
              <w:t>ада</w:t>
            </w:r>
            <w:r w:rsidR="00892898" w:rsidRPr="00F6340E">
              <w:rPr>
                <w:rFonts w:ascii="Arial" w:hAnsi="Arial" w:cs="Arial"/>
                <w:b/>
                <w:color w:val="000000"/>
                <w:lang w:val="sr-Cyrl-BA"/>
              </w:rPr>
              <w:t xml:space="preserve"> </w:t>
            </w:r>
            <w:r>
              <w:rPr>
                <w:rFonts w:ascii="Arial" w:hAnsi="Arial" w:cs="Arial"/>
                <w:b/>
                <w:color w:val="000000"/>
                <w:lang w:val="sr-Cyrl-BA"/>
              </w:rPr>
              <w:t>на</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и</w:t>
            </w:r>
            <w:r w:rsidR="0071360A">
              <w:rPr>
                <w:rFonts w:ascii="Arial" w:hAnsi="Arial" w:cs="Arial"/>
                <w:b/>
                <w:color w:val="000000"/>
                <w:lang w:val="sr-Cyrl-BA"/>
              </w:rPr>
              <w:t>с</w:t>
            </w:r>
            <w:r>
              <w:rPr>
                <w:rFonts w:ascii="Arial" w:hAnsi="Arial" w:cs="Arial"/>
                <w:b/>
                <w:color w:val="000000"/>
                <w:lang w:val="sr-Cyrl-BA"/>
              </w:rPr>
              <w:t>око</w:t>
            </w:r>
            <w:r w:rsidR="0071360A">
              <w:rPr>
                <w:rFonts w:ascii="Arial" w:hAnsi="Arial" w:cs="Arial"/>
                <w:b/>
                <w:color w:val="000000"/>
                <w:lang w:val="sr-Cyrl-BA"/>
              </w:rPr>
              <w:t>ш</w:t>
            </w:r>
            <w:r>
              <w:rPr>
                <w:rFonts w:ascii="Arial" w:hAnsi="Arial" w:cs="Arial"/>
                <w:b/>
                <w:color w:val="000000"/>
                <w:lang w:val="sr-Cyrl-BA"/>
              </w:rPr>
              <w:t>кол</w:t>
            </w:r>
            <w:r w:rsidR="0071360A">
              <w:rPr>
                <w:rFonts w:ascii="Arial" w:hAnsi="Arial" w:cs="Arial"/>
                <w:b/>
                <w:color w:val="000000"/>
                <w:lang w:val="sr-Cyrl-BA"/>
              </w:rPr>
              <w:t>с</w:t>
            </w:r>
            <w:r>
              <w:rPr>
                <w:rFonts w:ascii="Arial" w:hAnsi="Arial" w:cs="Arial"/>
                <w:b/>
                <w:color w:val="000000"/>
                <w:lang w:val="sr-Cyrl-BA"/>
              </w:rPr>
              <w:t>ким</w:t>
            </w:r>
            <w:r w:rsidR="00892898" w:rsidRPr="00F6340E">
              <w:rPr>
                <w:rFonts w:ascii="Arial" w:hAnsi="Arial" w:cs="Arial"/>
                <w:b/>
                <w:color w:val="000000"/>
                <w:lang w:val="sr-Cyrl-BA"/>
              </w:rPr>
              <w:t xml:space="preserve"> </w:t>
            </w:r>
            <w:r>
              <w:rPr>
                <w:rFonts w:ascii="Arial" w:hAnsi="Arial" w:cs="Arial"/>
                <w:b/>
                <w:color w:val="000000"/>
                <w:lang w:val="sr-Cyrl-BA"/>
              </w:rPr>
              <w:t>ин</w:t>
            </w:r>
            <w:r w:rsidR="0071360A">
              <w:rPr>
                <w:rFonts w:ascii="Arial" w:hAnsi="Arial" w:cs="Arial"/>
                <w:b/>
                <w:color w:val="000000"/>
                <w:lang w:val="sr-Cyrl-BA"/>
              </w:rPr>
              <w:t>ст</w:t>
            </w:r>
            <w:r>
              <w:rPr>
                <w:rFonts w:ascii="Arial" w:hAnsi="Arial" w:cs="Arial"/>
                <w:b/>
                <w:color w:val="000000"/>
                <w:lang w:val="sr-Cyrl-BA"/>
              </w:rPr>
              <w:t>и</w:t>
            </w:r>
            <w:r w:rsidR="0071360A">
              <w:rPr>
                <w:rFonts w:ascii="Arial" w:hAnsi="Arial" w:cs="Arial"/>
                <w:b/>
                <w:color w:val="000000"/>
                <w:lang w:val="sr-Cyrl-BA"/>
              </w:rPr>
              <w:t>ту</w:t>
            </w:r>
            <w:r>
              <w:rPr>
                <w:rFonts w:ascii="Arial" w:hAnsi="Arial" w:cs="Arial"/>
                <w:b/>
                <w:color w:val="000000"/>
                <w:lang w:val="sr-Cyrl-BA"/>
              </w:rPr>
              <w:t>цијама</w:t>
            </w:r>
            <w:r w:rsidR="00892898" w:rsidRPr="00F6340E">
              <w:rPr>
                <w:rFonts w:ascii="Arial" w:hAnsi="Arial" w:cs="Arial"/>
                <w:b/>
                <w:color w:val="000000"/>
                <w:lang w:val="sr-Cyrl-BA"/>
              </w:rPr>
              <w:t xml:space="preserve"> - </w:t>
            </w:r>
            <w:r w:rsidR="0071360A">
              <w:rPr>
                <w:rFonts w:ascii="Arial" w:hAnsi="Arial" w:cs="Arial"/>
                <w:b/>
                <w:color w:val="000000"/>
                <w:lang w:val="sr-Cyrl-BA"/>
              </w:rPr>
              <w:t>у</w:t>
            </w:r>
            <w:r>
              <w:rPr>
                <w:rFonts w:ascii="Arial" w:hAnsi="Arial" w:cs="Arial"/>
                <w:b/>
                <w:color w:val="000000"/>
                <w:lang w:val="sr-Cyrl-BA"/>
              </w:rPr>
              <w:t>м</w:t>
            </w:r>
            <w:r w:rsidR="0071360A">
              <w:rPr>
                <w:rFonts w:ascii="Arial" w:hAnsi="Arial" w:cs="Arial"/>
                <w:b/>
                <w:color w:val="000000"/>
                <w:lang w:val="sr-Cyrl-BA"/>
              </w:rPr>
              <w:t>р</w:t>
            </w:r>
            <w:r w:rsidR="00EE6AA2">
              <w:rPr>
                <w:rFonts w:ascii="Arial" w:hAnsi="Arial" w:cs="Arial"/>
                <w:b/>
                <w:color w:val="000000"/>
                <w:lang w:val="sr-Cyrl-BA"/>
              </w:rPr>
              <w:t>е</w:t>
            </w:r>
            <w:r w:rsidR="00171F00">
              <w:rPr>
                <w:rFonts w:ascii="Arial" w:hAnsi="Arial" w:cs="Arial"/>
                <w:b/>
                <w:color w:val="000000"/>
                <w:lang w:val="sr-Cyrl-BA"/>
              </w:rPr>
              <w:t>ж</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м</w:t>
            </w:r>
            <w:r w:rsidR="00EE6AA2">
              <w:rPr>
                <w:rFonts w:ascii="Arial" w:hAnsi="Arial" w:cs="Arial"/>
                <w:b/>
                <w:color w:val="000000"/>
                <w:lang w:val="sr-Cyrl-BA"/>
              </w:rPr>
              <w:t>е</w:t>
            </w:r>
            <w:r>
              <w:rPr>
                <w:rFonts w:ascii="Arial" w:hAnsi="Arial" w:cs="Arial"/>
                <w:b/>
                <w:color w:val="000000"/>
                <w:lang w:val="sr-Cyrl-BA"/>
              </w:rPr>
              <w:t>ђ</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фак</w:t>
            </w:r>
            <w:r w:rsidR="0071360A">
              <w:rPr>
                <w:rFonts w:ascii="Arial" w:hAnsi="Arial" w:cs="Arial"/>
                <w:b/>
                <w:color w:val="000000"/>
                <w:lang w:val="sr-Cyrl-BA"/>
              </w:rPr>
              <w:t>у</w:t>
            </w:r>
            <w:r>
              <w:rPr>
                <w:rFonts w:ascii="Arial" w:hAnsi="Arial" w:cs="Arial"/>
                <w:b/>
                <w:color w:val="000000"/>
                <w:lang w:val="sr-Cyrl-BA"/>
              </w:rPr>
              <w:t>л</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т</w:t>
            </w:r>
            <w:r>
              <w:rPr>
                <w:rFonts w:ascii="Arial" w:hAnsi="Arial" w:cs="Arial"/>
                <w:b/>
                <w:color w:val="000000"/>
                <w:lang w:val="sr-Cyrl-BA"/>
              </w:rPr>
              <w:t>има</w:t>
            </w:r>
            <w:r w:rsidR="00892898" w:rsidRPr="00F6340E">
              <w:rPr>
                <w:rFonts w:ascii="Arial" w:hAnsi="Arial" w:cs="Arial"/>
                <w:b/>
                <w:color w:val="000000"/>
                <w:lang w:val="sr-Cyrl-BA"/>
              </w:rPr>
              <w:t xml:space="preserve"> </w:t>
            </w:r>
            <w:r>
              <w:rPr>
                <w:rFonts w:ascii="Arial" w:hAnsi="Arial" w:cs="Arial"/>
                <w:b/>
                <w:color w:val="000000"/>
                <w:lang w:val="sr-Cyrl-BA"/>
              </w:rPr>
              <w:t>ј</w:t>
            </w:r>
            <w:r w:rsidR="00EE6AA2">
              <w:rPr>
                <w:rFonts w:ascii="Arial" w:hAnsi="Arial" w:cs="Arial"/>
                <w:b/>
                <w:color w:val="000000"/>
                <w:lang w:val="sr-Cyrl-BA"/>
              </w:rPr>
              <w:t>е</w:t>
            </w:r>
            <w:r>
              <w:rPr>
                <w:rFonts w:ascii="Arial" w:hAnsi="Arial" w:cs="Arial"/>
                <w:b/>
                <w:color w:val="000000"/>
                <w:lang w:val="sr-Cyrl-BA"/>
              </w:rPr>
              <w:t>дног</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Pr>
                <w:rFonts w:ascii="Arial" w:hAnsi="Arial" w:cs="Arial"/>
                <w:b/>
                <w:color w:val="000000"/>
                <w:lang w:val="sr-Cyrl-BA"/>
              </w:rPr>
              <w:t>ни</w:t>
            </w:r>
            <w:r w:rsidR="0071360A">
              <w:rPr>
                <w:rFonts w:ascii="Arial" w:hAnsi="Arial" w:cs="Arial"/>
                <w:b/>
                <w:color w:val="000000"/>
                <w:lang w:val="sr-Cyrl-BA"/>
              </w:rPr>
              <w:t>в</w:t>
            </w:r>
            <w:r w:rsidR="00EE6AA2">
              <w:rPr>
                <w:rFonts w:ascii="Arial" w:hAnsi="Arial" w:cs="Arial"/>
                <w:b/>
                <w:color w:val="000000"/>
                <w:lang w:val="sr-Cyrl-BA"/>
              </w:rPr>
              <w:t>е</w:t>
            </w:r>
            <w:r w:rsidR="0071360A">
              <w:rPr>
                <w:rFonts w:ascii="Arial" w:hAnsi="Arial" w:cs="Arial"/>
                <w:b/>
                <w:color w:val="000000"/>
                <w:lang w:val="sr-Cyrl-BA"/>
              </w:rPr>
              <w:t>р</w:t>
            </w:r>
            <w:r w:rsidR="00171F00">
              <w:rPr>
                <w:rFonts w:ascii="Arial" w:hAnsi="Arial" w:cs="Arial"/>
                <w:b/>
                <w:color w:val="000000"/>
                <w:lang w:val="sr-Cyrl-BA"/>
              </w:rPr>
              <w:t>з</w:t>
            </w:r>
            <w:r>
              <w:rPr>
                <w:rFonts w:ascii="Arial" w:hAnsi="Arial" w:cs="Arial"/>
                <w:b/>
                <w:color w:val="000000"/>
                <w:lang w:val="sr-Cyrl-BA"/>
              </w:rPr>
              <w:t>и</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т</w:t>
            </w:r>
            <w:r>
              <w:rPr>
                <w:rFonts w:ascii="Arial" w:hAnsi="Arial" w:cs="Arial"/>
                <w:b/>
                <w:color w:val="000000"/>
                <w:lang w:val="sr-Cyrl-BA"/>
              </w:rPr>
              <w:t>а</w:t>
            </w:r>
            <w:r w:rsidR="005470EA"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w:t>
            </w:r>
            <w:r>
              <w:rPr>
                <w:rFonts w:ascii="Arial" w:hAnsi="Arial" w:cs="Arial"/>
                <w:b/>
                <w:color w:val="000000"/>
                <w:lang w:val="sr-Cyrl-BA"/>
              </w:rPr>
              <w:t>или</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Pr>
                <w:rFonts w:ascii="Arial" w:hAnsi="Arial" w:cs="Arial"/>
                <w:b/>
                <w:color w:val="000000"/>
                <w:lang w:val="sr-Cyrl-BA"/>
              </w:rPr>
              <w:t>м</w:t>
            </w:r>
            <w:r w:rsidR="0071360A">
              <w:rPr>
                <w:rFonts w:ascii="Arial" w:hAnsi="Arial" w:cs="Arial"/>
                <w:b/>
                <w:color w:val="000000"/>
                <w:lang w:val="sr-Cyrl-BA"/>
              </w:rPr>
              <w:t>р</w:t>
            </w:r>
            <w:r w:rsidR="00EE6AA2">
              <w:rPr>
                <w:rFonts w:ascii="Arial" w:hAnsi="Arial" w:cs="Arial"/>
                <w:b/>
                <w:color w:val="000000"/>
                <w:lang w:val="sr-Cyrl-BA"/>
              </w:rPr>
              <w:t>е</w:t>
            </w:r>
            <w:r w:rsidR="00171F00">
              <w:rPr>
                <w:rFonts w:ascii="Arial" w:hAnsi="Arial" w:cs="Arial"/>
                <w:b/>
                <w:color w:val="000000"/>
                <w:lang w:val="sr-Cyrl-BA"/>
              </w:rPr>
              <w:t>ж</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м</w:t>
            </w:r>
            <w:r w:rsidR="00EE6AA2">
              <w:rPr>
                <w:rFonts w:ascii="Arial" w:hAnsi="Arial" w:cs="Arial"/>
                <w:b/>
                <w:color w:val="000000"/>
                <w:lang w:val="sr-Cyrl-BA"/>
              </w:rPr>
              <w:t>е</w:t>
            </w:r>
            <w:r>
              <w:rPr>
                <w:rFonts w:ascii="Arial" w:hAnsi="Arial" w:cs="Arial"/>
                <w:b/>
                <w:color w:val="000000"/>
                <w:lang w:val="sr-Cyrl-BA"/>
              </w:rPr>
              <w:t>ђ</w:t>
            </w:r>
            <w:r w:rsidR="0071360A">
              <w:rPr>
                <w:rFonts w:ascii="Arial" w:hAnsi="Arial" w:cs="Arial"/>
                <w:b/>
                <w:color w:val="000000"/>
                <w:lang w:val="sr-Cyrl-BA"/>
              </w:rPr>
              <w:t>у</w:t>
            </w:r>
            <w:r w:rsidR="00892898" w:rsidRPr="00F6340E">
              <w:rPr>
                <w:rFonts w:ascii="Arial" w:hAnsi="Arial" w:cs="Arial"/>
                <w:b/>
                <w:color w:val="000000"/>
                <w:lang w:val="sr-Cyrl-BA"/>
              </w:rPr>
              <w:t xml:space="preserve"> </w:t>
            </w:r>
            <w:r w:rsidR="0071360A">
              <w:rPr>
                <w:rFonts w:ascii="Arial" w:hAnsi="Arial" w:cs="Arial"/>
                <w:b/>
                <w:color w:val="000000"/>
                <w:lang w:val="sr-Cyrl-BA"/>
              </w:rPr>
              <w:t>у</w:t>
            </w:r>
            <w:r>
              <w:rPr>
                <w:rFonts w:ascii="Arial" w:hAnsi="Arial" w:cs="Arial"/>
                <w:b/>
                <w:color w:val="000000"/>
                <w:lang w:val="sr-Cyrl-BA"/>
              </w:rPr>
              <w:t>ни</w:t>
            </w:r>
            <w:r w:rsidR="0071360A">
              <w:rPr>
                <w:rFonts w:ascii="Arial" w:hAnsi="Arial" w:cs="Arial"/>
                <w:b/>
                <w:color w:val="000000"/>
                <w:lang w:val="sr-Cyrl-BA"/>
              </w:rPr>
              <w:t>в</w:t>
            </w:r>
            <w:r w:rsidR="00EE6AA2">
              <w:rPr>
                <w:rFonts w:ascii="Arial" w:hAnsi="Arial" w:cs="Arial"/>
                <w:b/>
                <w:color w:val="000000"/>
                <w:lang w:val="sr-Cyrl-BA"/>
              </w:rPr>
              <w:t>е</w:t>
            </w:r>
            <w:r w:rsidR="0071360A">
              <w:rPr>
                <w:rFonts w:ascii="Arial" w:hAnsi="Arial" w:cs="Arial"/>
                <w:b/>
                <w:color w:val="000000"/>
                <w:lang w:val="sr-Cyrl-BA"/>
              </w:rPr>
              <w:t>р</w:t>
            </w:r>
            <w:r w:rsidR="00171F00">
              <w:rPr>
                <w:rFonts w:ascii="Arial" w:hAnsi="Arial" w:cs="Arial"/>
                <w:b/>
                <w:color w:val="000000"/>
                <w:lang w:val="sr-Cyrl-BA"/>
              </w:rPr>
              <w:t>з</w:t>
            </w:r>
            <w:r>
              <w:rPr>
                <w:rFonts w:ascii="Arial" w:hAnsi="Arial" w:cs="Arial"/>
                <w:b/>
                <w:color w:val="000000"/>
                <w:lang w:val="sr-Cyrl-BA"/>
              </w:rPr>
              <w:t>и</w:t>
            </w:r>
            <w:r w:rsidR="0071360A">
              <w:rPr>
                <w:rFonts w:ascii="Arial" w:hAnsi="Arial" w:cs="Arial"/>
                <w:b/>
                <w:color w:val="000000"/>
                <w:lang w:val="sr-Cyrl-BA"/>
              </w:rPr>
              <w:t>т</w:t>
            </w:r>
            <w:r w:rsidR="00EE6AA2">
              <w:rPr>
                <w:rFonts w:ascii="Arial" w:hAnsi="Arial" w:cs="Arial"/>
                <w:b/>
                <w:color w:val="000000"/>
                <w:lang w:val="sr-Cyrl-BA"/>
              </w:rPr>
              <w:t>е</w:t>
            </w:r>
            <w:r w:rsidR="0071360A">
              <w:rPr>
                <w:rFonts w:ascii="Arial" w:hAnsi="Arial" w:cs="Arial"/>
                <w:b/>
                <w:color w:val="000000"/>
                <w:lang w:val="sr-Cyrl-BA"/>
              </w:rPr>
              <w:t>т</w:t>
            </w:r>
            <w:r>
              <w:rPr>
                <w:rFonts w:ascii="Arial" w:hAnsi="Arial" w:cs="Arial"/>
                <w:b/>
                <w:color w:val="000000"/>
                <w:lang w:val="sr-Cyrl-BA"/>
              </w:rPr>
              <w:t>има</w:t>
            </w:r>
            <w:r w:rsidR="00A4214D" w:rsidRPr="00F6340E">
              <w:rPr>
                <w:rFonts w:ascii="Arial" w:hAnsi="Arial" w:cs="Arial"/>
                <w:b/>
                <w:color w:val="000000"/>
                <w:lang w:val="sr-Cyrl-BA"/>
              </w:rPr>
              <w:t>.</w:t>
            </w:r>
          </w:p>
          <w:p w14:paraId="6357B0B4" w14:textId="6A56515C" w:rsidR="00892898" w:rsidRPr="00F6340E" w:rsidRDefault="0071360A"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Р</w:t>
            </w:r>
            <w:r w:rsidR="00EE6AA2">
              <w:rPr>
                <w:rFonts w:ascii="Arial" w:hAnsi="Arial" w:cs="Arial"/>
                <w:b/>
                <w:color w:val="000000"/>
                <w:lang w:val="sr-Cyrl-BA"/>
              </w:rPr>
              <w:t>е</w:t>
            </w:r>
            <w:r w:rsidR="00A56E08">
              <w:rPr>
                <w:rFonts w:ascii="Arial" w:hAnsi="Arial" w:cs="Arial"/>
                <w:b/>
                <w:color w:val="000000"/>
                <w:lang w:val="sr-Cyrl-BA"/>
              </w:rPr>
              <w:t>до</w:t>
            </w:r>
            <w:r>
              <w:rPr>
                <w:rFonts w:ascii="Arial" w:hAnsi="Arial" w:cs="Arial"/>
                <w:b/>
                <w:color w:val="000000"/>
                <w:lang w:val="sr-Cyrl-BA"/>
              </w:rPr>
              <w:t>в</w:t>
            </w:r>
            <w:r w:rsidR="00A56E08">
              <w:rPr>
                <w:rFonts w:ascii="Arial" w:hAnsi="Arial" w:cs="Arial"/>
                <w:b/>
                <w:color w:val="000000"/>
                <w:lang w:val="sr-Cyrl-BA"/>
              </w:rPr>
              <w:t>но</w:t>
            </w:r>
            <w:r w:rsidR="00892898" w:rsidRPr="00F6340E">
              <w:rPr>
                <w:rFonts w:ascii="Arial" w:hAnsi="Arial" w:cs="Arial"/>
                <w:b/>
                <w:color w:val="000000"/>
                <w:lang w:val="sr-Cyrl-BA"/>
              </w:rPr>
              <w:t xml:space="preserve"> </w:t>
            </w:r>
            <w:r w:rsidR="00A56E08">
              <w:rPr>
                <w:rFonts w:ascii="Arial" w:hAnsi="Arial" w:cs="Arial"/>
                <w:b/>
                <w:color w:val="000000"/>
                <w:lang w:val="sr-Cyrl-BA"/>
              </w:rPr>
              <w:t>а</w:t>
            </w:r>
            <w:r w:rsidR="00171F00">
              <w:rPr>
                <w:rFonts w:ascii="Arial" w:hAnsi="Arial" w:cs="Arial"/>
                <w:b/>
                <w:color w:val="000000"/>
                <w:lang w:val="sr-Cyrl-BA"/>
              </w:rPr>
              <w:t>ж</w:t>
            </w:r>
            <w:r>
              <w:rPr>
                <w:rFonts w:ascii="Arial" w:hAnsi="Arial" w:cs="Arial"/>
                <w:b/>
                <w:color w:val="000000"/>
                <w:lang w:val="sr-Cyrl-BA"/>
              </w:rPr>
              <w:t>ур</w:t>
            </w:r>
            <w:r w:rsidR="00A56E08">
              <w:rPr>
                <w:rFonts w:ascii="Arial" w:hAnsi="Arial" w:cs="Arial"/>
                <w:b/>
                <w:color w:val="000000"/>
                <w:lang w:val="sr-Cyrl-BA"/>
              </w:rPr>
              <w:t>и</w:t>
            </w:r>
            <w:r>
              <w:rPr>
                <w:rFonts w:ascii="Arial" w:hAnsi="Arial" w:cs="Arial"/>
                <w:b/>
                <w:color w:val="000000"/>
                <w:lang w:val="sr-Cyrl-BA"/>
              </w:rPr>
              <w:t>р</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инфо</w:t>
            </w:r>
            <w:r>
              <w:rPr>
                <w:rFonts w:ascii="Arial" w:hAnsi="Arial" w:cs="Arial"/>
                <w:b/>
                <w:color w:val="000000"/>
                <w:lang w:val="sr-Cyrl-BA"/>
              </w:rPr>
              <w:t>р</w:t>
            </w:r>
            <w:r w:rsidR="00A56E08">
              <w:rPr>
                <w:rFonts w:ascii="Arial" w:hAnsi="Arial" w:cs="Arial"/>
                <w:b/>
                <w:color w:val="000000"/>
                <w:lang w:val="sr-Cyrl-BA"/>
              </w:rPr>
              <w:t>ма</w:t>
            </w:r>
            <w:r>
              <w:rPr>
                <w:rFonts w:ascii="Arial" w:hAnsi="Arial" w:cs="Arial"/>
                <w:b/>
                <w:color w:val="000000"/>
                <w:lang w:val="sr-Cyrl-BA"/>
              </w:rPr>
              <w:t>т</w:t>
            </w:r>
            <w:r w:rsidR="00A56E08">
              <w:rPr>
                <w:rFonts w:ascii="Arial" w:hAnsi="Arial" w:cs="Arial"/>
                <w:b/>
                <w:color w:val="000000"/>
                <w:lang w:val="sr-Cyrl-BA"/>
              </w:rPr>
              <w:t>ичк</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с</w:t>
            </w:r>
            <w:r w:rsidR="00A56E08">
              <w:rPr>
                <w:rFonts w:ascii="Arial" w:hAnsi="Arial" w:cs="Arial"/>
                <w:b/>
                <w:color w:val="000000"/>
                <w:lang w:val="sr-Cyrl-BA"/>
              </w:rPr>
              <w:t>и</w:t>
            </w:r>
            <w:r>
              <w:rPr>
                <w:rFonts w:ascii="Arial" w:hAnsi="Arial" w:cs="Arial"/>
                <w:b/>
                <w:color w:val="000000"/>
                <w:lang w:val="sr-Cyrl-BA"/>
              </w:rPr>
              <w:t>ст</w:t>
            </w:r>
            <w:r w:rsidR="00EE6AA2">
              <w:rPr>
                <w:rFonts w:ascii="Arial" w:hAnsi="Arial" w:cs="Arial"/>
                <w:b/>
                <w:color w:val="000000"/>
                <w:lang w:val="sr-Cyrl-BA"/>
              </w:rPr>
              <w:t>е</w:t>
            </w:r>
            <w:r w:rsidR="00A56E08">
              <w:rPr>
                <w:rFonts w:ascii="Arial" w:hAnsi="Arial" w:cs="Arial"/>
                <w:b/>
                <w:color w:val="000000"/>
                <w:lang w:val="sr-Cyrl-BA"/>
              </w:rPr>
              <w:t>м</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а</w:t>
            </w:r>
            <w:r>
              <w:rPr>
                <w:rFonts w:ascii="Arial" w:hAnsi="Arial" w:cs="Arial"/>
                <w:b/>
                <w:color w:val="000000"/>
                <w:lang w:val="sr-Cyrl-BA"/>
              </w:rPr>
              <w:t>т</w:t>
            </w:r>
            <w:r w:rsidR="00A56E08">
              <w:rPr>
                <w:rFonts w:ascii="Arial" w:hAnsi="Arial" w:cs="Arial"/>
                <w:b/>
                <w:color w:val="000000"/>
                <w:lang w:val="sr-Cyrl-BA"/>
              </w:rPr>
              <w:t>и</w:t>
            </w:r>
            <w:r>
              <w:rPr>
                <w:rFonts w:ascii="Arial" w:hAnsi="Arial" w:cs="Arial"/>
                <w:b/>
                <w:color w:val="000000"/>
                <w:lang w:val="sr-Cyrl-BA"/>
              </w:rPr>
              <w:t>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w:t>
            </w:r>
            <w:r>
              <w:rPr>
                <w:rFonts w:ascii="Arial" w:hAnsi="Arial" w:cs="Arial"/>
                <w:b/>
                <w:color w:val="000000"/>
                <w:lang w:val="sr-Cyrl-BA"/>
              </w:rPr>
              <w:t>тр</w:t>
            </w:r>
            <w:r w:rsidR="00EE6AA2">
              <w:rPr>
                <w:rFonts w:ascii="Arial" w:hAnsi="Arial" w:cs="Arial"/>
                <w:b/>
                <w:color w:val="000000"/>
                <w:lang w:val="sr-Cyrl-BA"/>
              </w:rPr>
              <w:t>е</w:t>
            </w:r>
            <w:r w:rsidR="00A56E08">
              <w:rPr>
                <w:rFonts w:ascii="Arial" w:hAnsi="Arial" w:cs="Arial"/>
                <w:b/>
                <w:color w:val="000000"/>
                <w:lang w:val="sr-Cyrl-BA"/>
              </w:rPr>
              <w:t>б</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ст</w:t>
            </w:r>
            <w:r w:rsidR="00A56E08">
              <w:rPr>
                <w:rFonts w:ascii="Arial" w:hAnsi="Arial" w:cs="Arial"/>
                <w:b/>
                <w:color w:val="000000"/>
                <w:lang w:val="sr-Cyrl-BA"/>
              </w:rPr>
              <w:t>и</w:t>
            </w:r>
            <w:r>
              <w:rPr>
                <w:rFonts w:ascii="Arial" w:hAnsi="Arial" w:cs="Arial"/>
                <w:b/>
                <w:color w:val="000000"/>
                <w:lang w:val="sr-Cyrl-BA"/>
              </w:rPr>
              <w:t>ту</w:t>
            </w:r>
            <w:r w:rsidR="00A56E08">
              <w:rPr>
                <w:rFonts w:ascii="Arial" w:hAnsi="Arial" w:cs="Arial"/>
                <w:b/>
                <w:color w:val="000000"/>
                <w:lang w:val="sr-Cyrl-BA"/>
              </w:rPr>
              <w:t>циј</w:t>
            </w:r>
            <w:r w:rsidR="00EE6AA2">
              <w:rPr>
                <w:rFonts w:ascii="Arial" w:hAnsi="Arial" w:cs="Arial"/>
                <w:b/>
                <w:color w:val="000000"/>
                <w:lang w:val="sr-Cyrl-BA"/>
              </w:rPr>
              <w:t>е</w:t>
            </w:r>
          </w:p>
          <w:p w14:paraId="3622CFF8" w14:textId="2158A80F" w:rsidR="00892898" w:rsidRPr="00F6340E" w:rsidRDefault="00A56E08"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Инфо</w:t>
            </w:r>
            <w:r w:rsidR="0071360A">
              <w:rPr>
                <w:rFonts w:ascii="Arial" w:hAnsi="Arial" w:cs="Arial"/>
                <w:b/>
                <w:color w:val="000000"/>
                <w:lang w:val="sr-Cyrl-BA"/>
              </w:rPr>
              <w:t>р</w:t>
            </w:r>
            <w:r>
              <w:rPr>
                <w:rFonts w:ascii="Arial" w:hAnsi="Arial" w:cs="Arial"/>
                <w:b/>
                <w:color w:val="000000"/>
                <w:lang w:val="sr-Cyrl-BA"/>
              </w:rPr>
              <w:t>ми</w:t>
            </w:r>
            <w:r w:rsidR="0071360A">
              <w:rPr>
                <w:rFonts w:ascii="Arial" w:hAnsi="Arial" w:cs="Arial"/>
                <w:b/>
                <w:color w:val="000000"/>
                <w:lang w:val="sr-Cyrl-BA"/>
              </w:rPr>
              <w:t>с</w:t>
            </w:r>
            <w:r>
              <w:rPr>
                <w:rFonts w:ascii="Arial" w:hAnsi="Arial" w:cs="Arial"/>
                <w:b/>
                <w:color w:val="000000"/>
                <w:lang w:val="sr-Cyrl-BA"/>
              </w:rPr>
              <w:t>а</w:t>
            </w:r>
            <w:r w:rsidR="0071360A">
              <w:rPr>
                <w:rFonts w:ascii="Arial" w:hAnsi="Arial" w:cs="Arial"/>
                <w:b/>
                <w:color w:val="000000"/>
                <w:lang w:val="sr-Cyrl-BA"/>
              </w:rPr>
              <w:t>т</w:t>
            </w:r>
            <w:r>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на</w:t>
            </w:r>
            <w:r w:rsidR="0071360A">
              <w:rPr>
                <w:rFonts w:ascii="Arial" w:hAnsi="Arial" w:cs="Arial"/>
                <w:b/>
                <w:color w:val="000000"/>
                <w:lang w:val="sr-Cyrl-BA"/>
              </w:rPr>
              <w:t>ст</w:t>
            </w:r>
            <w:r>
              <w:rPr>
                <w:rFonts w:ascii="Arial" w:hAnsi="Arial" w:cs="Arial"/>
                <w:b/>
                <w:color w:val="000000"/>
                <w:lang w:val="sr-Cyrl-BA"/>
              </w:rPr>
              <w:t>а</w:t>
            </w:r>
            <w:r w:rsidR="0071360A">
              <w:rPr>
                <w:rFonts w:ascii="Arial" w:hAnsi="Arial" w:cs="Arial"/>
                <w:b/>
                <w:color w:val="000000"/>
                <w:lang w:val="sr-Cyrl-BA"/>
              </w:rPr>
              <w:t>в</w:t>
            </w:r>
            <w:r>
              <w:rPr>
                <w:rFonts w:ascii="Arial" w:hAnsi="Arial" w:cs="Arial"/>
                <w:b/>
                <w:color w:val="000000"/>
                <w:lang w:val="sr-Cyrl-BA"/>
              </w:rPr>
              <w:t>ник</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о</w:t>
            </w:r>
            <w:r w:rsidR="00892898" w:rsidRPr="00F6340E">
              <w:rPr>
                <w:rFonts w:ascii="Arial" w:hAnsi="Arial" w:cs="Arial"/>
                <w:b/>
                <w:color w:val="000000"/>
                <w:lang w:val="sr-Cyrl-BA"/>
              </w:rPr>
              <w:t xml:space="preserve"> </w:t>
            </w:r>
            <w:r w:rsidR="0071360A">
              <w:rPr>
                <w:rFonts w:ascii="Arial" w:hAnsi="Arial" w:cs="Arial"/>
                <w:b/>
                <w:color w:val="000000"/>
                <w:lang w:val="sr-Cyrl-BA"/>
              </w:rPr>
              <w:t>в</w:t>
            </w:r>
            <w:r>
              <w:rPr>
                <w:rFonts w:ascii="Arial" w:hAnsi="Arial" w:cs="Arial"/>
                <w:b/>
                <w:color w:val="000000"/>
                <w:lang w:val="sr-Cyrl-BA"/>
              </w:rPr>
              <w:t>а</w:t>
            </w:r>
            <w:r w:rsidR="00171F00">
              <w:rPr>
                <w:rFonts w:ascii="Arial" w:hAnsi="Arial" w:cs="Arial"/>
                <w:b/>
                <w:color w:val="000000"/>
                <w:lang w:val="sr-Cyrl-BA"/>
              </w:rPr>
              <w:t>ж</w:t>
            </w:r>
            <w:r>
              <w:rPr>
                <w:rFonts w:ascii="Arial" w:hAnsi="Arial" w:cs="Arial"/>
                <w:b/>
                <w:color w:val="000000"/>
                <w:lang w:val="sr-Cyrl-BA"/>
              </w:rPr>
              <w:t>но</w:t>
            </w:r>
            <w:r w:rsidR="0071360A">
              <w:rPr>
                <w:rFonts w:ascii="Arial" w:hAnsi="Arial" w:cs="Arial"/>
                <w:b/>
                <w:color w:val="000000"/>
                <w:lang w:val="sr-Cyrl-BA"/>
              </w:rPr>
              <w:t>ст</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имј</w:t>
            </w:r>
            <w:r w:rsidR="00EE6AA2">
              <w:rPr>
                <w:rFonts w:ascii="Arial" w:hAnsi="Arial" w:cs="Arial"/>
                <w:b/>
                <w:color w:val="000000"/>
                <w:lang w:val="sr-Cyrl-BA"/>
              </w:rPr>
              <w:t>е</w:t>
            </w:r>
            <w:r>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инфо</w:t>
            </w:r>
            <w:r w:rsidR="0071360A">
              <w:rPr>
                <w:rFonts w:ascii="Arial" w:hAnsi="Arial" w:cs="Arial"/>
                <w:b/>
                <w:color w:val="000000"/>
                <w:lang w:val="sr-Cyrl-BA"/>
              </w:rPr>
              <w:t>р</w:t>
            </w:r>
            <w:r>
              <w:rPr>
                <w:rFonts w:ascii="Arial" w:hAnsi="Arial" w:cs="Arial"/>
                <w:b/>
                <w:color w:val="000000"/>
                <w:lang w:val="sr-Cyrl-BA"/>
              </w:rPr>
              <w:t>ма</w:t>
            </w:r>
            <w:r w:rsidR="0071360A">
              <w:rPr>
                <w:rFonts w:ascii="Arial" w:hAnsi="Arial" w:cs="Arial"/>
                <w:b/>
                <w:color w:val="000000"/>
                <w:lang w:val="sr-Cyrl-BA"/>
              </w:rPr>
              <w:t>т</w:t>
            </w:r>
            <w:r>
              <w:rPr>
                <w:rFonts w:ascii="Arial" w:hAnsi="Arial" w:cs="Arial"/>
                <w:b/>
                <w:color w:val="000000"/>
                <w:lang w:val="sr-Cyrl-BA"/>
              </w:rPr>
              <w:t>ичког</w:t>
            </w:r>
            <w:r w:rsidR="00892898" w:rsidRPr="00F6340E">
              <w:rPr>
                <w:rFonts w:ascii="Arial" w:hAnsi="Arial" w:cs="Arial"/>
                <w:b/>
                <w:color w:val="000000"/>
                <w:lang w:val="sr-Cyrl-BA"/>
              </w:rPr>
              <w:t xml:space="preserve"> </w:t>
            </w:r>
            <w:r w:rsidR="0071360A">
              <w:rPr>
                <w:rFonts w:ascii="Arial" w:hAnsi="Arial" w:cs="Arial"/>
                <w:b/>
                <w:color w:val="000000"/>
                <w:lang w:val="sr-Cyrl-BA"/>
              </w:rPr>
              <w:t>с</w:t>
            </w:r>
            <w:r>
              <w:rPr>
                <w:rFonts w:ascii="Arial" w:hAnsi="Arial" w:cs="Arial"/>
                <w:b/>
                <w:color w:val="000000"/>
                <w:lang w:val="sr-Cyrl-BA"/>
              </w:rPr>
              <w:t>и</w:t>
            </w:r>
            <w:r w:rsidR="0071360A">
              <w:rPr>
                <w:rFonts w:ascii="Arial" w:hAnsi="Arial" w:cs="Arial"/>
                <w:b/>
                <w:color w:val="000000"/>
                <w:lang w:val="sr-Cyrl-BA"/>
              </w:rPr>
              <w:t>ст</w:t>
            </w:r>
            <w:r w:rsidR="00EE6AA2">
              <w:rPr>
                <w:rFonts w:ascii="Arial" w:hAnsi="Arial" w:cs="Arial"/>
                <w:b/>
                <w:color w:val="000000"/>
                <w:lang w:val="sr-Cyrl-BA"/>
              </w:rPr>
              <w:t>е</w:t>
            </w:r>
            <w:r>
              <w:rPr>
                <w:rFonts w:ascii="Arial" w:hAnsi="Arial" w:cs="Arial"/>
                <w:b/>
                <w:color w:val="000000"/>
                <w:lang w:val="sr-Cyrl-BA"/>
              </w:rPr>
              <w:t>ма</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а</w:t>
            </w:r>
            <w:r w:rsidR="00892898" w:rsidRPr="00F6340E">
              <w:rPr>
                <w:rFonts w:ascii="Arial" w:hAnsi="Arial" w:cs="Arial"/>
                <w:b/>
                <w:color w:val="000000"/>
                <w:lang w:val="sr-Cyrl-BA"/>
              </w:rPr>
              <w:t xml:space="preserve"> </w:t>
            </w:r>
            <w:r w:rsidR="0071360A">
              <w:rPr>
                <w:rFonts w:ascii="Arial" w:hAnsi="Arial" w:cs="Arial"/>
                <w:b/>
                <w:color w:val="000000"/>
                <w:lang w:val="sr-Cyrl-BA"/>
              </w:rPr>
              <w:t>пр</w:t>
            </w:r>
            <w:r>
              <w:rPr>
                <w:rFonts w:ascii="Arial" w:hAnsi="Arial" w:cs="Arial"/>
                <w:b/>
                <w:color w:val="000000"/>
                <w:lang w:val="sr-Cyrl-BA"/>
              </w:rPr>
              <w:t>аћ</w:t>
            </w:r>
            <w:r w:rsidR="00EE6AA2">
              <w:rPr>
                <w:rFonts w:ascii="Arial" w:hAnsi="Arial" w:cs="Arial"/>
                <w:b/>
                <w:color w:val="000000"/>
                <w:lang w:val="sr-Cyrl-BA"/>
              </w:rPr>
              <w:t>е</w:t>
            </w:r>
            <w:r>
              <w:rPr>
                <w:rFonts w:ascii="Arial" w:hAnsi="Arial" w:cs="Arial"/>
                <w:b/>
                <w:color w:val="000000"/>
                <w:lang w:val="sr-Cyrl-BA"/>
              </w:rPr>
              <w:t>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и</w:t>
            </w:r>
            <w:r w:rsidR="00892898" w:rsidRPr="00F6340E">
              <w:rPr>
                <w:rFonts w:ascii="Arial" w:hAnsi="Arial" w:cs="Arial"/>
                <w:b/>
                <w:color w:val="000000"/>
                <w:lang w:val="sr-Cyrl-BA"/>
              </w:rPr>
              <w:t xml:space="preserve"> </w:t>
            </w:r>
            <w:r w:rsidR="0071360A">
              <w:rPr>
                <w:rFonts w:ascii="Arial" w:hAnsi="Arial" w:cs="Arial"/>
                <w:b/>
                <w:color w:val="000000"/>
                <w:lang w:val="sr-Cyrl-BA"/>
              </w:rPr>
              <w:t>вр</w:t>
            </w:r>
            <w:r w:rsidR="00EE6AA2">
              <w:rPr>
                <w:rFonts w:ascii="Arial" w:hAnsi="Arial" w:cs="Arial"/>
                <w:b/>
                <w:color w:val="000000"/>
                <w:lang w:val="sr-Cyrl-BA"/>
              </w:rPr>
              <w:t>е</w:t>
            </w:r>
            <w:r>
              <w:rPr>
                <w:rFonts w:ascii="Arial" w:hAnsi="Arial" w:cs="Arial"/>
                <w:b/>
                <w:color w:val="000000"/>
                <w:lang w:val="sr-Cyrl-BA"/>
              </w:rPr>
              <w:t>дно</w:t>
            </w:r>
            <w:r w:rsidR="0071360A">
              <w:rPr>
                <w:rFonts w:ascii="Arial" w:hAnsi="Arial" w:cs="Arial"/>
                <w:b/>
                <w:color w:val="000000"/>
                <w:lang w:val="sr-Cyrl-BA"/>
              </w:rPr>
              <w:t>в</w:t>
            </w:r>
            <w:r>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71360A">
              <w:rPr>
                <w:rFonts w:ascii="Arial" w:hAnsi="Arial" w:cs="Arial"/>
                <w:b/>
                <w:color w:val="000000"/>
                <w:lang w:val="sr-Cyrl-BA"/>
              </w:rPr>
              <w:t>р</w:t>
            </w:r>
            <w:r>
              <w:rPr>
                <w:rFonts w:ascii="Arial" w:hAnsi="Arial" w:cs="Arial"/>
                <w:b/>
                <w:color w:val="000000"/>
                <w:lang w:val="sr-Cyrl-BA"/>
              </w:rPr>
              <w:t>ада</w:t>
            </w:r>
            <w:r w:rsidR="00892898" w:rsidRPr="00F6340E">
              <w:rPr>
                <w:rFonts w:ascii="Arial" w:hAnsi="Arial" w:cs="Arial"/>
                <w:b/>
                <w:color w:val="000000"/>
                <w:lang w:val="sr-Cyrl-BA"/>
              </w:rPr>
              <w:t xml:space="preserve"> </w:t>
            </w:r>
            <w:r w:rsidR="0071360A">
              <w:rPr>
                <w:rFonts w:ascii="Arial" w:hAnsi="Arial" w:cs="Arial"/>
                <w:b/>
                <w:color w:val="000000"/>
                <w:lang w:val="sr-Cyrl-BA"/>
              </w:rPr>
              <w:t>сту</w:t>
            </w:r>
            <w:r>
              <w:rPr>
                <w:rFonts w:ascii="Arial" w:hAnsi="Arial" w:cs="Arial"/>
                <w:b/>
                <w:color w:val="000000"/>
                <w:lang w:val="sr-Cyrl-BA"/>
              </w:rPr>
              <w:t>д</w:t>
            </w:r>
            <w:r w:rsidR="00EE6AA2">
              <w:rPr>
                <w:rFonts w:ascii="Arial" w:hAnsi="Arial" w:cs="Arial"/>
                <w:b/>
                <w:color w:val="000000"/>
                <w:lang w:val="sr-Cyrl-BA"/>
              </w:rPr>
              <w:t>е</w:t>
            </w:r>
            <w:r>
              <w:rPr>
                <w:rFonts w:ascii="Arial" w:hAnsi="Arial" w:cs="Arial"/>
                <w:b/>
                <w:color w:val="000000"/>
                <w:lang w:val="sr-Cyrl-BA"/>
              </w:rPr>
              <w:t>на</w:t>
            </w:r>
            <w:r w:rsidR="0071360A">
              <w:rPr>
                <w:rFonts w:ascii="Arial" w:hAnsi="Arial" w:cs="Arial"/>
                <w:b/>
                <w:color w:val="000000"/>
                <w:lang w:val="sr-Cyrl-BA"/>
              </w:rPr>
              <w:t>т</w:t>
            </w:r>
            <w:r>
              <w:rPr>
                <w:rFonts w:ascii="Arial" w:hAnsi="Arial" w:cs="Arial"/>
                <w:b/>
                <w:color w:val="000000"/>
                <w:lang w:val="sr-Cyrl-BA"/>
              </w:rPr>
              <w:t>а</w:t>
            </w:r>
            <w:r w:rsidR="00373C6D" w:rsidRPr="00F6340E">
              <w:rPr>
                <w:rFonts w:ascii="Arial" w:hAnsi="Arial" w:cs="Arial"/>
                <w:b/>
                <w:color w:val="000000"/>
                <w:lang w:val="sr-Cyrl-BA"/>
              </w:rPr>
              <w:t>.</w:t>
            </w:r>
          </w:p>
          <w:p w14:paraId="70912A1E" w14:textId="7C507734" w:rsidR="00892898" w:rsidRPr="00F6340E" w:rsidRDefault="0071360A"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themeColor="text1"/>
                <w:lang w:val="sr-Cyrl-BA"/>
              </w:rPr>
              <w:t>П</w:t>
            </w:r>
            <w:r w:rsidR="00A56E08">
              <w:rPr>
                <w:rFonts w:ascii="Arial" w:hAnsi="Arial" w:cs="Arial"/>
                <w:b/>
                <w:color w:val="000000" w:themeColor="text1"/>
                <w:lang w:val="sr-Cyrl-BA"/>
              </w:rPr>
              <w:t>о</w:t>
            </w:r>
            <w:r>
              <w:rPr>
                <w:rFonts w:ascii="Arial" w:hAnsi="Arial" w:cs="Arial"/>
                <w:b/>
                <w:color w:val="000000" w:themeColor="text1"/>
                <w:lang w:val="sr-Cyrl-BA"/>
              </w:rPr>
              <w:t>т</w:t>
            </w:r>
            <w:r w:rsidR="00A56E08">
              <w:rPr>
                <w:rFonts w:ascii="Arial" w:hAnsi="Arial" w:cs="Arial"/>
                <w:b/>
                <w:color w:val="000000" w:themeColor="text1"/>
                <w:lang w:val="sr-Cyrl-BA"/>
              </w:rPr>
              <w:t>акн</w:t>
            </w:r>
            <w:r>
              <w:rPr>
                <w:rFonts w:ascii="Arial" w:hAnsi="Arial" w:cs="Arial"/>
                <w:b/>
                <w:color w:val="000000" w:themeColor="text1"/>
                <w:lang w:val="sr-Cyrl-BA"/>
              </w:rPr>
              <w:t>ут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w:t>
            </w:r>
            <w:r w:rsidR="00A56E08">
              <w:rPr>
                <w:rFonts w:ascii="Arial" w:hAnsi="Arial" w:cs="Arial"/>
                <w:b/>
                <w:color w:val="000000" w:themeColor="text1"/>
                <w:lang w:val="sr-Cyrl-BA"/>
              </w:rPr>
              <w:t>оба</w:t>
            </w:r>
            <w:r>
              <w:rPr>
                <w:rFonts w:ascii="Arial" w:hAnsi="Arial" w:cs="Arial"/>
                <w:b/>
                <w:color w:val="000000" w:themeColor="text1"/>
                <w:lang w:val="sr-Cyrl-BA"/>
              </w:rPr>
              <w:t>в</w:t>
            </w:r>
            <w:r w:rsidR="00EE6AA2">
              <w:rPr>
                <w:rFonts w:ascii="Arial" w:hAnsi="Arial" w:cs="Arial"/>
                <w:b/>
                <w:color w:val="000000" w:themeColor="text1"/>
                <w:lang w:val="sr-Cyrl-BA"/>
              </w:rPr>
              <w:t>е</w:t>
            </w:r>
            <w:r w:rsidR="00171F00">
              <w:rPr>
                <w:rFonts w:ascii="Arial" w:hAnsi="Arial" w:cs="Arial"/>
                <w:b/>
                <w:color w:val="000000" w:themeColor="text1"/>
                <w:lang w:val="sr-Cyrl-BA"/>
              </w:rPr>
              <w:t>з</w:t>
            </w:r>
            <w:r w:rsidR="00A56E08">
              <w:rPr>
                <w:rFonts w:ascii="Arial" w:hAnsi="Arial" w:cs="Arial"/>
                <w:b/>
                <w:color w:val="000000" w:themeColor="text1"/>
                <w:lang w:val="sr-Cyrl-BA"/>
              </w:rPr>
              <w:t>а</w:t>
            </w:r>
            <w:r>
              <w:rPr>
                <w:rFonts w:ascii="Arial" w:hAnsi="Arial" w:cs="Arial"/>
                <w:b/>
                <w:color w:val="000000" w:themeColor="text1"/>
                <w:lang w:val="sr-Cyrl-BA"/>
              </w:rPr>
              <w:t>т</w:t>
            </w:r>
            <w:r w:rsidR="00A56E08">
              <w:rPr>
                <w:rFonts w:ascii="Arial" w:hAnsi="Arial" w:cs="Arial"/>
                <w:b/>
                <w:color w:val="000000" w:themeColor="text1"/>
                <w:lang w:val="sr-Cyrl-BA"/>
              </w:rPr>
              <w:t>и</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на</w:t>
            </w:r>
            <w:r>
              <w:rPr>
                <w:rFonts w:ascii="Arial" w:hAnsi="Arial" w:cs="Arial"/>
                <w:b/>
                <w:color w:val="000000" w:themeColor="text1"/>
                <w:lang w:val="sr-Cyrl-BA"/>
              </w:rPr>
              <w:t>ст</w:t>
            </w:r>
            <w:r w:rsidR="00A56E08">
              <w:rPr>
                <w:rFonts w:ascii="Arial" w:hAnsi="Arial" w:cs="Arial"/>
                <w:b/>
                <w:color w:val="000000" w:themeColor="text1"/>
                <w:lang w:val="sr-Cyrl-BA"/>
              </w:rPr>
              <w:t>а</w:t>
            </w:r>
            <w:r>
              <w:rPr>
                <w:rFonts w:ascii="Arial" w:hAnsi="Arial" w:cs="Arial"/>
                <w:b/>
                <w:color w:val="000000" w:themeColor="text1"/>
                <w:lang w:val="sr-Cyrl-BA"/>
              </w:rPr>
              <w:t>в</w:t>
            </w:r>
            <w:r w:rsidR="00A56E08">
              <w:rPr>
                <w:rFonts w:ascii="Arial" w:hAnsi="Arial" w:cs="Arial"/>
                <w:b/>
                <w:color w:val="000000" w:themeColor="text1"/>
                <w:lang w:val="sr-Cyrl-BA"/>
              </w:rPr>
              <w:t>ник</w:t>
            </w:r>
            <w:r w:rsidR="00EE6AA2">
              <w:rPr>
                <w:rFonts w:ascii="Arial" w:hAnsi="Arial" w:cs="Arial"/>
                <w:b/>
                <w:color w:val="000000" w:themeColor="text1"/>
                <w:lang w:val="sr-Cyrl-BA"/>
              </w:rPr>
              <w:t>е</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на</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р</w:t>
            </w:r>
            <w:r w:rsidR="00EE6AA2">
              <w:rPr>
                <w:rFonts w:ascii="Arial" w:hAnsi="Arial" w:cs="Arial"/>
                <w:b/>
                <w:color w:val="000000" w:themeColor="text1"/>
                <w:lang w:val="sr-Cyrl-BA"/>
              </w:rPr>
              <w:t>е</w:t>
            </w:r>
            <w:r w:rsidR="00A56E08">
              <w:rPr>
                <w:rFonts w:ascii="Arial" w:hAnsi="Arial" w:cs="Arial"/>
                <w:b/>
                <w:color w:val="000000" w:themeColor="text1"/>
                <w:lang w:val="sr-Cyrl-BA"/>
              </w:rPr>
              <w:t>до</w:t>
            </w:r>
            <w:r>
              <w:rPr>
                <w:rFonts w:ascii="Arial" w:hAnsi="Arial" w:cs="Arial"/>
                <w:b/>
                <w:color w:val="000000" w:themeColor="text1"/>
                <w:lang w:val="sr-Cyrl-BA"/>
              </w:rPr>
              <w:t>в</w:t>
            </w:r>
            <w:r w:rsidR="00A56E08">
              <w:rPr>
                <w:rFonts w:ascii="Arial" w:hAnsi="Arial" w:cs="Arial"/>
                <w:b/>
                <w:color w:val="000000" w:themeColor="text1"/>
                <w:lang w:val="sr-Cyrl-BA"/>
              </w:rPr>
              <w:t>н</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уп</w:t>
            </w:r>
            <w:r w:rsidR="00A56E08">
              <w:rPr>
                <w:rFonts w:ascii="Arial" w:hAnsi="Arial" w:cs="Arial"/>
                <w:b/>
                <w:color w:val="000000" w:themeColor="text1"/>
                <w:lang w:val="sr-Cyrl-BA"/>
              </w:rPr>
              <w:t>о</w:t>
            </w:r>
            <w:r>
              <w:rPr>
                <w:rFonts w:ascii="Arial" w:hAnsi="Arial" w:cs="Arial"/>
                <w:b/>
                <w:color w:val="000000" w:themeColor="text1"/>
                <w:lang w:val="sr-Cyrl-BA"/>
              </w:rPr>
              <w:t>тр</w:t>
            </w:r>
            <w:r w:rsidR="00EE6AA2">
              <w:rPr>
                <w:rFonts w:ascii="Arial" w:hAnsi="Arial" w:cs="Arial"/>
                <w:b/>
                <w:color w:val="000000" w:themeColor="text1"/>
                <w:lang w:val="sr-Cyrl-BA"/>
              </w:rPr>
              <w:t>е</w:t>
            </w:r>
            <w:r w:rsidR="00A56E08">
              <w:rPr>
                <w:rFonts w:ascii="Arial" w:hAnsi="Arial" w:cs="Arial"/>
                <w:b/>
                <w:color w:val="000000" w:themeColor="text1"/>
                <w:lang w:val="sr-Cyrl-BA"/>
              </w:rPr>
              <w:t>б</w:t>
            </w:r>
            <w:r>
              <w:rPr>
                <w:rFonts w:ascii="Arial" w:hAnsi="Arial" w:cs="Arial"/>
                <w:b/>
                <w:color w:val="000000" w:themeColor="text1"/>
                <w:lang w:val="sr-Cyrl-BA"/>
              </w:rPr>
              <w:t>у</w:t>
            </w:r>
            <w:r w:rsidR="00892898" w:rsidRPr="00F6340E">
              <w:rPr>
                <w:rFonts w:ascii="Arial" w:hAnsi="Arial" w:cs="Arial"/>
                <w:b/>
                <w:color w:val="000000" w:themeColor="text1"/>
                <w:lang w:val="sr-Cyrl-BA"/>
              </w:rPr>
              <w:t xml:space="preserve"> </w:t>
            </w:r>
            <w:r w:rsidR="00A56E08">
              <w:rPr>
                <w:rFonts w:ascii="Arial" w:hAnsi="Arial" w:cs="Arial"/>
                <w:b/>
                <w:color w:val="000000" w:themeColor="text1"/>
                <w:lang w:val="sr-Cyrl-BA"/>
              </w:rPr>
              <w:t>инфо</w:t>
            </w:r>
            <w:r>
              <w:rPr>
                <w:rFonts w:ascii="Arial" w:hAnsi="Arial" w:cs="Arial"/>
                <w:b/>
                <w:color w:val="000000" w:themeColor="text1"/>
                <w:lang w:val="sr-Cyrl-BA"/>
              </w:rPr>
              <w:t>р</w:t>
            </w:r>
            <w:r w:rsidR="00A56E08">
              <w:rPr>
                <w:rFonts w:ascii="Arial" w:hAnsi="Arial" w:cs="Arial"/>
                <w:b/>
                <w:color w:val="000000" w:themeColor="text1"/>
                <w:lang w:val="sr-Cyrl-BA"/>
              </w:rPr>
              <w:t>ма</w:t>
            </w:r>
            <w:r>
              <w:rPr>
                <w:rFonts w:ascii="Arial" w:hAnsi="Arial" w:cs="Arial"/>
                <w:b/>
                <w:color w:val="000000" w:themeColor="text1"/>
                <w:lang w:val="sr-Cyrl-BA"/>
              </w:rPr>
              <w:t>т</w:t>
            </w:r>
            <w:r w:rsidR="00A56E08">
              <w:rPr>
                <w:rFonts w:ascii="Arial" w:hAnsi="Arial" w:cs="Arial"/>
                <w:b/>
                <w:color w:val="000000" w:themeColor="text1"/>
                <w:lang w:val="sr-Cyrl-BA"/>
              </w:rPr>
              <w:t>ичког</w:t>
            </w:r>
            <w:r w:rsidR="00892898" w:rsidRPr="00F6340E">
              <w:rPr>
                <w:rFonts w:ascii="Arial" w:hAnsi="Arial" w:cs="Arial"/>
                <w:b/>
                <w:color w:val="000000" w:themeColor="text1"/>
                <w:lang w:val="sr-Cyrl-BA"/>
              </w:rPr>
              <w:t xml:space="preserve"> </w:t>
            </w:r>
            <w:r>
              <w:rPr>
                <w:rFonts w:ascii="Arial" w:hAnsi="Arial" w:cs="Arial"/>
                <w:b/>
                <w:color w:val="000000" w:themeColor="text1"/>
                <w:lang w:val="sr-Cyrl-BA"/>
              </w:rPr>
              <w:t>с</w:t>
            </w:r>
            <w:r w:rsidR="00A56E08">
              <w:rPr>
                <w:rFonts w:ascii="Arial" w:hAnsi="Arial" w:cs="Arial"/>
                <w:b/>
                <w:color w:val="000000" w:themeColor="text1"/>
                <w:lang w:val="sr-Cyrl-BA"/>
              </w:rPr>
              <w:t>и</w:t>
            </w:r>
            <w:r>
              <w:rPr>
                <w:rFonts w:ascii="Arial" w:hAnsi="Arial" w:cs="Arial"/>
                <w:b/>
                <w:color w:val="000000" w:themeColor="text1"/>
                <w:lang w:val="sr-Cyrl-BA"/>
              </w:rPr>
              <w:t>ст</w:t>
            </w:r>
            <w:r w:rsidR="00EE6AA2">
              <w:rPr>
                <w:rFonts w:ascii="Arial" w:hAnsi="Arial" w:cs="Arial"/>
                <w:b/>
                <w:color w:val="000000" w:themeColor="text1"/>
                <w:lang w:val="sr-Cyrl-BA"/>
              </w:rPr>
              <w:t>е</w:t>
            </w:r>
            <w:r w:rsidR="00A56E08">
              <w:rPr>
                <w:rFonts w:ascii="Arial" w:hAnsi="Arial" w:cs="Arial"/>
                <w:b/>
                <w:color w:val="000000" w:themeColor="text1"/>
                <w:lang w:val="sr-Cyrl-BA"/>
              </w:rPr>
              <w:t>ма</w:t>
            </w:r>
            <w:r w:rsidR="00C74851" w:rsidRPr="00F6340E">
              <w:rPr>
                <w:rFonts w:ascii="Arial" w:hAnsi="Arial" w:cs="Arial"/>
                <w:b/>
                <w:color w:val="000000" w:themeColor="text1"/>
                <w:lang w:val="sr-Cyrl-BA"/>
              </w:rPr>
              <w:t>,</w:t>
            </w:r>
            <w:r w:rsidR="00892898" w:rsidRPr="00F6340E">
              <w:rPr>
                <w:rFonts w:ascii="Arial" w:hAnsi="Arial" w:cs="Arial"/>
                <w:b/>
                <w:color w:val="000000" w:themeColor="text1"/>
                <w:lang w:val="sr-Cyrl-BA"/>
              </w:rPr>
              <w:t xml:space="preserve"> </w:t>
            </w:r>
            <w:r w:rsidR="00A56E08">
              <w:rPr>
                <w:rFonts w:ascii="Arial" w:hAnsi="Arial" w:cs="Arial"/>
                <w:b/>
                <w:color w:val="000000"/>
                <w:lang w:val="sr-Cyrl-BA"/>
              </w:rPr>
              <w:t>али</w:t>
            </w:r>
            <w:r w:rsidR="00C74851"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и</w:t>
            </w:r>
            <w:r w:rsidR="00C74851" w:rsidRPr="00F6340E">
              <w:rPr>
                <w:rFonts w:ascii="Arial" w:hAnsi="Arial" w:cs="Arial"/>
                <w:b/>
                <w:color w:val="000000"/>
                <w:lang w:val="sr-Cyrl-BA"/>
              </w:rPr>
              <w:t xml:space="preserve"> </w:t>
            </w:r>
            <w:r>
              <w:rPr>
                <w:rFonts w:ascii="Arial" w:hAnsi="Arial" w:cs="Arial"/>
                <w:b/>
                <w:color w:val="000000"/>
                <w:lang w:val="sr-Cyrl-BA"/>
              </w:rPr>
              <w:t>т</w:t>
            </w:r>
            <w:r w:rsidR="00A56E08">
              <w:rPr>
                <w:rFonts w:ascii="Arial" w:hAnsi="Arial" w:cs="Arial"/>
                <w:b/>
                <w:color w:val="000000"/>
                <w:lang w:val="sr-Cyrl-BA"/>
              </w:rPr>
              <w:t>ом</w:t>
            </w:r>
            <w:r w:rsidR="00EE6AA2">
              <w:rPr>
                <w:rFonts w:ascii="Arial" w:hAnsi="Arial" w:cs="Arial"/>
                <w:b/>
                <w:color w:val="000000"/>
                <w:lang w:val="sr-Cyrl-BA"/>
              </w:rPr>
              <w:t>е</w:t>
            </w:r>
            <w:r w:rsidR="00C74851" w:rsidRPr="00F6340E">
              <w:rPr>
                <w:rFonts w:ascii="Arial" w:hAnsi="Arial" w:cs="Arial"/>
                <w:b/>
                <w:color w:val="000000"/>
                <w:lang w:val="sr-Cyrl-BA"/>
              </w:rPr>
              <w:t xml:space="preserve"> </w:t>
            </w:r>
            <w:r w:rsidR="00A56E08">
              <w:rPr>
                <w:rFonts w:ascii="Arial" w:hAnsi="Arial" w:cs="Arial"/>
                <w:b/>
                <w:color w:val="000000"/>
                <w:lang w:val="sr-Cyrl-BA"/>
              </w:rPr>
              <w:t>и</w:t>
            </w:r>
            <w:r w:rsidR="00C74851" w:rsidRPr="00F6340E">
              <w:rPr>
                <w:rFonts w:ascii="Arial" w:hAnsi="Arial" w:cs="Arial"/>
                <w:b/>
                <w:color w:val="000000"/>
                <w:lang w:val="sr-Cyrl-BA"/>
              </w:rPr>
              <w:t xml:space="preserve"> </w:t>
            </w:r>
            <w:r>
              <w:rPr>
                <w:rFonts w:ascii="Arial" w:hAnsi="Arial" w:cs="Arial"/>
                <w:b/>
                <w:color w:val="000000"/>
                <w:lang w:val="sr-Cyrl-BA"/>
              </w:rPr>
              <w:t>пру</w:t>
            </w:r>
            <w:r w:rsidR="00171F00">
              <w:rPr>
                <w:rFonts w:ascii="Arial" w:hAnsi="Arial" w:cs="Arial"/>
                <w:b/>
                <w:color w:val="000000"/>
                <w:lang w:val="sr-Cyrl-BA"/>
              </w:rPr>
              <w:t>ж</w:t>
            </w:r>
            <w:r w:rsidR="00A56E08">
              <w:rPr>
                <w:rFonts w:ascii="Arial" w:hAnsi="Arial" w:cs="Arial"/>
                <w:b/>
                <w:color w:val="000000"/>
                <w:lang w:val="sr-Cyrl-BA"/>
              </w:rPr>
              <w:t>и</w:t>
            </w:r>
            <w:r>
              <w:rPr>
                <w:rFonts w:ascii="Arial" w:hAnsi="Arial" w:cs="Arial"/>
                <w:b/>
                <w:color w:val="000000"/>
                <w:lang w:val="sr-Cyrl-BA"/>
              </w:rPr>
              <w:t>т</w:t>
            </w:r>
            <w:r w:rsidR="00A56E08">
              <w:rPr>
                <w:rFonts w:ascii="Arial" w:hAnsi="Arial" w:cs="Arial"/>
                <w:b/>
                <w:color w:val="000000"/>
                <w:lang w:val="sr-Cyrl-BA"/>
              </w:rPr>
              <w:t>и</w:t>
            </w:r>
            <w:r w:rsidR="00C74851"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w:t>
            </w:r>
            <w:r>
              <w:rPr>
                <w:rFonts w:ascii="Arial" w:hAnsi="Arial" w:cs="Arial"/>
                <w:b/>
                <w:color w:val="000000"/>
                <w:lang w:val="sr-Cyrl-BA"/>
              </w:rPr>
              <w:t>тр</w:t>
            </w:r>
            <w:r w:rsidR="00EE6AA2">
              <w:rPr>
                <w:rFonts w:ascii="Arial" w:hAnsi="Arial" w:cs="Arial"/>
                <w:b/>
                <w:color w:val="000000"/>
                <w:lang w:val="sr-Cyrl-BA"/>
              </w:rPr>
              <w:t>е</w:t>
            </w:r>
            <w:r w:rsidR="00A56E08">
              <w:rPr>
                <w:rFonts w:ascii="Arial" w:hAnsi="Arial" w:cs="Arial"/>
                <w:b/>
                <w:color w:val="000000"/>
                <w:lang w:val="sr-Cyrl-BA"/>
              </w:rPr>
              <w:t>бн</w:t>
            </w:r>
            <w:r>
              <w:rPr>
                <w:rFonts w:ascii="Arial" w:hAnsi="Arial" w:cs="Arial"/>
                <w:b/>
                <w:color w:val="000000"/>
                <w:lang w:val="sr-Cyrl-BA"/>
              </w:rPr>
              <w:t>у</w:t>
            </w:r>
            <w:r w:rsidR="00373C6D"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од</w:t>
            </w:r>
            <w:r>
              <w:rPr>
                <w:rFonts w:ascii="Arial" w:hAnsi="Arial" w:cs="Arial"/>
                <w:b/>
                <w:color w:val="000000"/>
                <w:lang w:val="sr-Cyrl-BA"/>
              </w:rPr>
              <w:t>рш</w:t>
            </w:r>
            <w:r w:rsidR="00A56E08">
              <w:rPr>
                <w:rFonts w:ascii="Arial" w:hAnsi="Arial" w:cs="Arial"/>
                <w:b/>
                <w:color w:val="000000"/>
                <w:lang w:val="sr-Cyrl-BA"/>
              </w:rPr>
              <w:t>к</w:t>
            </w:r>
            <w:r>
              <w:rPr>
                <w:rFonts w:ascii="Arial" w:hAnsi="Arial" w:cs="Arial"/>
                <w:b/>
                <w:color w:val="000000"/>
                <w:lang w:val="sr-Cyrl-BA"/>
              </w:rPr>
              <w:t>у</w:t>
            </w:r>
          </w:p>
          <w:p w14:paraId="0C09B69D" w14:textId="25136E7A" w:rsidR="00892898" w:rsidRPr="00F6340E" w:rsidRDefault="0071360A"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У</w:t>
            </w:r>
            <w:r w:rsidR="00A56E08">
              <w:rPr>
                <w:rFonts w:ascii="Arial" w:hAnsi="Arial" w:cs="Arial"/>
                <w:b/>
                <w:color w:val="000000"/>
                <w:lang w:val="sr-Cyrl-BA"/>
              </w:rPr>
              <w:t>кљ</w:t>
            </w:r>
            <w:r>
              <w:rPr>
                <w:rFonts w:ascii="Arial" w:hAnsi="Arial" w:cs="Arial"/>
                <w:b/>
                <w:color w:val="000000"/>
                <w:lang w:val="sr-Cyrl-BA"/>
              </w:rPr>
              <w:t>у</w:t>
            </w:r>
            <w:r w:rsidR="00A56E08">
              <w:rPr>
                <w:rFonts w:ascii="Arial" w:hAnsi="Arial" w:cs="Arial"/>
                <w:b/>
                <w:color w:val="000000"/>
                <w:lang w:val="sr-Cyrl-BA"/>
              </w:rPr>
              <w:t>чи</w:t>
            </w:r>
            <w:r>
              <w:rPr>
                <w:rFonts w:ascii="Arial" w:hAnsi="Arial" w:cs="Arial"/>
                <w:b/>
                <w:color w:val="000000"/>
                <w:lang w:val="sr-Cyrl-BA"/>
              </w:rPr>
              <w:t>т</w:t>
            </w:r>
            <w:r w:rsidR="00A56E08">
              <w:rPr>
                <w:rFonts w:ascii="Arial" w:hAnsi="Arial" w:cs="Arial"/>
                <w:b/>
                <w:color w:val="000000"/>
                <w:lang w:val="sr-Cyrl-BA"/>
              </w:rPr>
              <w:t>и</w:t>
            </w:r>
            <w:r w:rsidR="00BA79D4" w:rsidRPr="00F6340E">
              <w:rPr>
                <w:rFonts w:ascii="Arial" w:hAnsi="Arial" w:cs="Arial"/>
                <w:b/>
                <w:color w:val="000000"/>
                <w:lang w:val="sr-Cyrl-BA"/>
              </w:rPr>
              <w:t xml:space="preserve"> </w:t>
            </w:r>
            <w:r>
              <w:rPr>
                <w:rFonts w:ascii="Arial" w:hAnsi="Arial" w:cs="Arial"/>
                <w:b/>
                <w:bCs/>
                <w:color w:val="000000"/>
                <w:lang w:val="sr-Cyrl-BA"/>
              </w:rPr>
              <w:t>Р</w:t>
            </w:r>
            <w:r w:rsidR="00EE6AA2">
              <w:rPr>
                <w:rFonts w:ascii="Arial" w:hAnsi="Arial" w:cs="Arial"/>
                <w:b/>
                <w:bCs/>
                <w:color w:val="000000"/>
                <w:lang w:val="sr-Cyrl-BA"/>
              </w:rPr>
              <w:t>е</w:t>
            </w:r>
            <w:r w:rsidR="00A56E08">
              <w:rPr>
                <w:rFonts w:ascii="Arial" w:hAnsi="Arial" w:cs="Arial"/>
                <w:b/>
                <w:bCs/>
                <w:color w:val="000000"/>
                <w:lang w:val="sr-Cyrl-BA"/>
              </w:rPr>
              <w:t>к</w:t>
            </w:r>
            <w:r>
              <w:rPr>
                <w:rFonts w:ascii="Arial" w:hAnsi="Arial" w:cs="Arial"/>
                <w:b/>
                <w:bCs/>
                <w:color w:val="000000"/>
                <w:lang w:val="sr-Cyrl-BA"/>
              </w:rPr>
              <w:t>т</w:t>
            </w:r>
            <w:r w:rsidR="00A56E08">
              <w:rPr>
                <w:rFonts w:ascii="Arial" w:hAnsi="Arial" w:cs="Arial"/>
                <w:b/>
                <w:bCs/>
                <w:color w:val="000000"/>
                <w:lang w:val="sr-Cyrl-BA"/>
              </w:rPr>
              <w:t>о</w:t>
            </w:r>
            <w:r>
              <w:rPr>
                <w:rFonts w:ascii="Arial" w:hAnsi="Arial" w:cs="Arial"/>
                <w:b/>
                <w:bCs/>
                <w:color w:val="000000"/>
                <w:lang w:val="sr-Cyrl-BA"/>
              </w:rPr>
              <w:t>рс</w:t>
            </w:r>
            <w:r w:rsidR="00A56E08">
              <w:rPr>
                <w:rFonts w:ascii="Arial" w:hAnsi="Arial" w:cs="Arial"/>
                <w:b/>
                <w:bCs/>
                <w:color w:val="000000"/>
                <w:lang w:val="sr-Cyrl-BA"/>
              </w:rPr>
              <w:t>к</w:t>
            </w:r>
            <w:r>
              <w:rPr>
                <w:rFonts w:ascii="Arial" w:hAnsi="Arial" w:cs="Arial"/>
                <w:b/>
                <w:bCs/>
                <w:color w:val="000000"/>
                <w:lang w:val="sr-Cyrl-BA"/>
              </w:rPr>
              <w:t>у</w:t>
            </w:r>
            <w:r w:rsidR="00325281" w:rsidRPr="00F6340E">
              <w:rPr>
                <w:rFonts w:ascii="Arial" w:hAnsi="Arial" w:cs="Arial"/>
                <w:b/>
                <w:bCs/>
                <w:color w:val="000000"/>
                <w:lang w:val="sr-Cyrl-BA"/>
              </w:rPr>
              <w:t xml:space="preserve"> </w:t>
            </w:r>
            <w:r w:rsidR="00A56E08">
              <w:rPr>
                <w:rFonts w:ascii="Arial" w:hAnsi="Arial" w:cs="Arial"/>
                <w:b/>
                <w:bCs/>
                <w:color w:val="000000"/>
                <w:lang w:val="sr-Cyrl-BA"/>
              </w:rPr>
              <w:t>конф</w:t>
            </w:r>
            <w:r w:rsidR="00EE6AA2">
              <w:rPr>
                <w:rFonts w:ascii="Arial" w:hAnsi="Arial" w:cs="Arial"/>
                <w:b/>
                <w:bCs/>
                <w:color w:val="000000"/>
                <w:lang w:val="sr-Cyrl-BA"/>
              </w:rPr>
              <w:t>е</w:t>
            </w:r>
            <w:r>
              <w:rPr>
                <w:rFonts w:ascii="Arial" w:hAnsi="Arial" w:cs="Arial"/>
                <w:b/>
                <w:bCs/>
                <w:color w:val="000000"/>
                <w:lang w:val="sr-Cyrl-BA"/>
              </w:rPr>
              <w:t>р</w:t>
            </w:r>
            <w:r w:rsidR="00EE6AA2">
              <w:rPr>
                <w:rFonts w:ascii="Arial" w:hAnsi="Arial" w:cs="Arial"/>
                <w:b/>
                <w:bCs/>
                <w:color w:val="000000"/>
                <w:lang w:val="sr-Cyrl-BA"/>
              </w:rPr>
              <w:t>е</w:t>
            </w:r>
            <w:r w:rsidR="00A56E08">
              <w:rPr>
                <w:rFonts w:ascii="Arial" w:hAnsi="Arial" w:cs="Arial"/>
                <w:b/>
                <w:bCs/>
                <w:color w:val="000000"/>
                <w:lang w:val="sr-Cyrl-BA"/>
              </w:rPr>
              <w:t>нциј</w:t>
            </w:r>
            <w:r>
              <w:rPr>
                <w:rFonts w:ascii="Arial" w:hAnsi="Arial" w:cs="Arial"/>
                <w:b/>
                <w:bCs/>
                <w:color w:val="000000"/>
                <w:lang w:val="sr-Cyrl-BA"/>
              </w:rPr>
              <w:t>у</w:t>
            </w:r>
            <w:r w:rsidR="00325281" w:rsidRPr="00F6340E">
              <w:rPr>
                <w:rFonts w:ascii="Arial" w:hAnsi="Arial" w:cs="Arial"/>
                <w:b/>
                <w:bCs/>
                <w:color w:val="000000"/>
                <w:lang w:val="sr-Cyrl-BA"/>
              </w:rPr>
              <w:t xml:space="preserve"> </w:t>
            </w:r>
            <w:r w:rsidR="00A56E08">
              <w:rPr>
                <w:rFonts w:ascii="Arial" w:hAnsi="Arial" w:cs="Arial"/>
                <w:b/>
                <w:bCs/>
                <w:color w:val="000000"/>
                <w:lang w:val="sr-Cyrl-BA"/>
              </w:rPr>
              <w:t>Бо</w:t>
            </w:r>
            <w:r>
              <w:rPr>
                <w:rFonts w:ascii="Arial" w:hAnsi="Arial" w:cs="Arial"/>
                <w:b/>
                <w:bCs/>
                <w:color w:val="000000"/>
                <w:lang w:val="sr-Cyrl-BA"/>
              </w:rPr>
              <w:t>с</w:t>
            </w:r>
            <w:r w:rsidR="00A56E08">
              <w:rPr>
                <w:rFonts w:ascii="Arial" w:hAnsi="Arial" w:cs="Arial"/>
                <w:b/>
                <w:bCs/>
                <w:color w:val="000000"/>
                <w:lang w:val="sr-Cyrl-BA"/>
              </w:rPr>
              <w:t>н</w:t>
            </w:r>
            <w:r w:rsidR="00EE6AA2">
              <w:rPr>
                <w:rFonts w:ascii="Arial" w:hAnsi="Arial" w:cs="Arial"/>
                <w:b/>
                <w:bCs/>
                <w:color w:val="000000"/>
                <w:lang w:val="sr-Cyrl-BA"/>
              </w:rPr>
              <w:t>е</w:t>
            </w:r>
            <w:r w:rsidR="00325281" w:rsidRPr="00F6340E">
              <w:rPr>
                <w:rFonts w:ascii="Arial" w:hAnsi="Arial" w:cs="Arial"/>
                <w:b/>
                <w:bCs/>
                <w:color w:val="000000"/>
                <w:lang w:val="sr-Cyrl-BA"/>
              </w:rPr>
              <w:t xml:space="preserve"> </w:t>
            </w:r>
            <w:r w:rsidR="00A56E08">
              <w:rPr>
                <w:rFonts w:ascii="Arial" w:hAnsi="Arial" w:cs="Arial"/>
                <w:b/>
                <w:bCs/>
                <w:color w:val="000000"/>
                <w:lang w:val="sr-Cyrl-BA"/>
              </w:rPr>
              <w:t>и</w:t>
            </w:r>
            <w:r w:rsidR="00325281" w:rsidRPr="00F6340E">
              <w:rPr>
                <w:rFonts w:ascii="Arial" w:hAnsi="Arial" w:cs="Arial"/>
                <w:b/>
                <w:bCs/>
                <w:color w:val="000000"/>
                <w:lang w:val="sr-Cyrl-BA"/>
              </w:rPr>
              <w:t xml:space="preserve"> </w:t>
            </w:r>
            <w:r w:rsidR="00A56E08">
              <w:rPr>
                <w:rFonts w:ascii="Arial" w:hAnsi="Arial" w:cs="Arial"/>
                <w:b/>
                <w:bCs/>
                <w:color w:val="000000"/>
                <w:lang w:val="sr-Cyrl-BA"/>
              </w:rPr>
              <w:t>Х</w:t>
            </w:r>
            <w:r w:rsidR="00EE6AA2">
              <w:rPr>
                <w:rFonts w:ascii="Arial" w:hAnsi="Arial" w:cs="Arial"/>
                <w:b/>
                <w:bCs/>
                <w:color w:val="000000"/>
                <w:lang w:val="sr-Cyrl-BA"/>
              </w:rPr>
              <w:t>е</w:t>
            </w:r>
            <w:r>
              <w:rPr>
                <w:rFonts w:ascii="Arial" w:hAnsi="Arial" w:cs="Arial"/>
                <w:b/>
                <w:bCs/>
                <w:color w:val="000000"/>
                <w:lang w:val="sr-Cyrl-BA"/>
              </w:rPr>
              <w:t>р</w:t>
            </w:r>
            <w:r w:rsidR="00A56E08">
              <w:rPr>
                <w:rFonts w:ascii="Arial" w:hAnsi="Arial" w:cs="Arial"/>
                <w:b/>
                <w:bCs/>
                <w:color w:val="000000"/>
                <w:lang w:val="sr-Cyrl-BA"/>
              </w:rPr>
              <w:t>ц</w:t>
            </w:r>
            <w:r w:rsidR="00EE6AA2">
              <w:rPr>
                <w:rFonts w:ascii="Arial" w:hAnsi="Arial" w:cs="Arial"/>
                <w:b/>
                <w:bCs/>
                <w:color w:val="000000"/>
                <w:lang w:val="sr-Cyrl-BA"/>
              </w:rPr>
              <w:t>е</w:t>
            </w:r>
            <w:r w:rsidR="00A56E08">
              <w:rPr>
                <w:rFonts w:ascii="Arial" w:hAnsi="Arial" w:cs="Arial"/>
                <w:b/>
                <w:bCs/>
                <w:color w:val="000000"/>
                <w:lang w:val="sr-Cyrl-BA"/>
              </w:rPr>
              <w:t>го</w:t>
            </w:r>
            <w:r>
              <w:rPr>
                <w:rFonts w:ascii="Arial" w:hAnsi="Arial" w:cs="Arial"/>
                <w:b/>
                <w:bCs/>
                <w:color w:val="000000"/>
                <w:lang w:val="sr-Cyrl-BA"/>
              </w:rPr>
              <w:t>в</w:t>
            </w:r>
            <w:r w:rsidR="00A56E08">
              <w:rPr>
                <w:rFonts w:ascii="Arial" w:hAnsi="Arial" w:cs="Arial"/>
                <w:b/>
                <w:bCs/>
                <w:color w:val="000000"/>
                <w:lang w:val="sr-Cyrl-BA"/>
              </w:rPr>
              <w:t>ин</w:t>
            </w:r>
            <w:r w:rsidR="00EE6AA2">
              <w:rPr>
                <w:rFonts w:ascii="Arial" w:hAnsi="Arial" w:cs="Arial"/>
                <w:b/>
                <w:bCs/>
                <w:color w:val="000000"/>
                <w:lang w:val="sr-Cyrl-BA"/>
              </w:rPr>
              <w:t>е</w:t>
            </w:r>
            <w:r w:rsidR="00325281" w:rsidRPr="00F6340E">
              <w:rPr>
                <w:rFonts w:ascii="Arial" w:hAnsi="Arial" w:cs="Arial"/>
                <w:b/>
                <w:bCs/>
                <w:color w:val="000000"/>
                <w:lang w:val="sr-Cyrl-BA"/>
              </w:rPr>
              <w:t>/</w:t>
            </w:r>
            <w:r>
              <w:rPr>
                <w:rFonts w:ascii="Arial" w:hAnsi="Arial" w:cs="Arial"/>
                <w:b/>
                <w:color w:val="000000"/>
                <w:lang w:val="sr-Cyrl-BA"/>
              </w:rPr>
              <w:t>Р</w:t>
            </w:r>
            <w:r w:rsidR="00EE6AA2">
              <w:rPr>
                <w:rFonts w:ascii="Arial" w:hAnsi="Arial" w:cs="Arial"/>
                <w:b/>
                <w:color w:val="000000"/>
                <w:lang w:val="sr-Cyrl-BA"/>
              </w:rPr>
              <w:t>е</w:t>
            </w:r>
            <w:r w:rsidR="00A56E08">
              <w:rPr>
                <w:rFonts w:ascii="Arial" w:hAnsi="Arial" w:cs="Arial"/>
                <w:b/>
                <w:color w:val="000000"/>
                <w:lang w:val="sr-Cyrl-BA"/>
              </w:rPr>
              <w:t>к</w:t>
            </w:r>
            <w:r>
              <w:rPr>
                <w:rFonts w:ascii="Arial" w:hAnsi="Arial" w:cs="Arial"/>
                <w:b/>
                <w:color w:val="000000"/>
                <w:lang w:val="sr-Cyrl-BA"/>
              </w:rPr>
              <w:t>т</w:t>
            </w:r>
            <w:r w:rsidR="00A56E08">
              <w:rPr>
                <w:rFonts w:ascii="Arial" w:hAnsi="Arial" w:cs="Arial"/>
                <w:b/>
                <w:color w:val="000000"/>
                <w:lang w:val="sr-Cyrl-BA"/>
              </w:rPr>
              <w:t>о</w:t>
            </w:r>
            <w:r>
              <w:rPr>
                <w:rFonts w:ascii="Arial" w:hAnsi="Arial" w:cs="Arial"/>
                <w:b/>
                <w:color w:val="000000"/>
                <w:lang w:val="sr-Cyrl-BA"/>
              </w:rPr>
              <w:t>рс</w:t>
            </w:r>
            <w:r w:rsidR="00A56E08">
              <w:rPr>
                <w:rFonts w:ascii="Arial" w:hAnsi="Arial" w:cs="Arial"/>
                <w:b/>
                <w:color w:val="000000"/>
                <w:lang w:val="sr-Cyrl-BA"/>
              </w:rPr>
              <w:t>ки</w:t>
            </w:r>
            <w:r w:rsidR="00BA79D4"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бо</w:t>
            </w:r>
            <w:r>
              <w:rPr>
                <w:rFonts w:ascii="Arial" w:hAnsi="Arial" w:cs="Arial"/>
                <w:b/>
                <w:color w:val="000000"/>
                <w:lang w:val="sr-Cyrl-BA"/>
              </w:rPr>
              <w:t>р</w:t>
            </w:r>
            <w:r w:rsidR="00BA79D4" w:rsidRPr="00F6340E">
              <w:rPr>
                <w:rFonts w:ascii="Arial" w:hAnsi="Arial" w:cs="Arial"/>
                <w:b/>
                <w:color w:val="000000"/>
                <w:lang w:val="sr-Cyrl-BA"/>
              </w:rPr>
              <w:t xml:space="preserve"> </w:t>
            </w:r>
            <w:r w:rsidR="00A56E08">
              <w:rPr>
                <w:rFonts w:ascii="Arial" w:hAnsi="Arial" w:cs="Arial"/>
                <w:b/>
                <w:color w:val="000000"/>
                <w:lang w:val="sr-Cyrl-BA"/>
              </w:rPr>
              <w:t>Бо</w:t>
            </w:r>
            <w:r>
              <w:rPr>
                <w:rFonts w:ascii="Arial" w:hAnsi="Arial" w:cs="Arial"/>
                <w:b/>
                <w:color w:val="000000"/>
                <w:lang w:val="sr-Cyrl-BA"/>
              </w:rPr>
              <w:t>с</w:t>
            </w:r>
            <w:r w:rsidR="00A56E08">
              <w:rPr>
                <w:rFonts w:ascii="Arial" w:hAnsi="Arial" w:cs="Arial"/>
                <w:b/>
                <w:color w:val="000000"/>
                <w:lang w:val="sr-Cyrl-BA"/>
              </w:rPr>
              <w:t>н</w:t>
            </w:r>
            <w:r w:rsidR="00EE6AA2">
              <w:rPr>
                <w:rFonts w:ascii="Arial" w:hAnsi="Arial" w:cs="Arial"/>
                <w:b/>
                <w:color w:val="000000"/>
                <w:lang w:val="sr-Cyrl-BA"/>
              </w:rPr>
              <w:t>е</w:t>
            </w:r>
            <w:r w:rsidR="00BA79D4" w:rsidRPr="00F6340E">
              <w:rPr>
                <w:rFonts w:ascii="Arial" w:hAnsi="Arial" w:cs="Arial"/>
                <w:b/>
                <w:color w:val="000000"/>
                <w:lang w:val="sr-Cyrl-BA"/>
              </w:rPr>
              <w:t xml:space="preserve"> </w:t>
            </w:r>
            <w:r w:rsidR="00A56E08">
              <w:rPr>
                <w:rFonts w:ascii="Arial" w:hAnsi="Arial" w:cs="Arial"/>
                <w:b/>
                <w:color w:val="000000"/>
                <w:lang w:val="sr-Cyrl-BA"/>
              </w:rPr>
              <w:t>и</w:t>
            </w:r>
            <w:r w:rsidR="00BA79D4" w:rsidRPr="00F6340E">
              <w:rPr>
                <w:rFonts w:ascii="Arial" w:hAnsi="Arial" w:cs="Arial"/>
                <w:b/>
                <w:color w:val="000000"/>
                <w:lang w:val="sr-Cyrl-BA"/>
              </w:rPr>
              <w:t xml:space="preserve"> </w:t>
            </w:r>
            <w:r w:rsidR="00A56E08">
              <w:rPr>
                <w:rFonts w:ascii="Arial" w:hAnsi="Arial" w:cs="Arial"/>
                <w:b/>
                <w:color w:val="000000"/>
                <w:lang w:val="sr-Cyrl-BA"/>
              </w:rPr>
              <w:t>Х</w:t>
            </w:r>
            <w:r w:rsidR="00EE6AA2">
              <w:rPr>
                <w:rFonts w:ascii="Arial" w:hAnsi="Arial" w:cs="Arial"/>
                <w:b/>
                <w:color w:val="000000"/>
                <w:lang w:val="sr-Cyrl-BA"/>
              </w:rPr>
              <w:t>е</w:t>
            </w:r>
            <w:r>
              <w:rPr>
                <w:rFonts w:ascii="Arial" w:hAnsi="Arial" w:cs="Arial"/>
                <w:b/>
                <w:color w:val="000000"/>
                <w:lang w:val="sr-Cyrl-BA"/>
              </w:rPr>
              <w:t>р</w:t>
            </w:r>
            <w:r w:rsidR="00A56E08">
              <w:rPr>
                <w:rFonts w:ascii="Arial" w:hAnsi="Arial" w:cs="Arial"/>
                <w:b/>
                <w:color w:val="000000"/>
                <w:lang w:val="sr-Cyrl-BA"/>
              </w:rPr>
              <w:t>ц</w:t>
            </w:r>
            <w:r w:rsidR="00EE6AA2">
              <w:rPr>
                <w:rFonts w:ascii="Arial" w:hAnsi="Arial" w:cs="Arial"/>
                <w:b/>
                <w:color w:val="000000"/>
                <w:lang w:val="sr-Cyrl-BA"/>
              </w:rPr>
              <w:t>е</w:t>
            </w:r>
            <w:r w:rsidR="00A56E08">
              <w:rPr>
                <w:rFonts w:ascii="Arial" w:hAnsi="Arial" w:cs="Arial"/>
                <w:b/>
                <w:color w:val="000000"/>
                <w:lang w:val="sr-Cyrl-BA"/>
              </w:rPr>
              <w:t>го</w:t>
            </w:r>
            <w:r>
              <w:rPr>
                <w:rFonts w:ascii="Arial" w:hAnsi="Arial" w:cs="Arial"/>
                <w:b/>
                <w:color w:val="000000"/>
                <w:lang w:val="sr-Cyrl-BA"/>
              </w:rPr>
              <w:t>в</w:t>
            </w:r>
            <w:r w:rsidR="00A56E08">
              <w:rPr>
                <w:rFonts w:ascii="Arial" w:hAnsi="Arial" w:cs="Arial"/>
                <w:b/>
                <w:color w:val="000000"/>
                <w:lang w:val="sr-Cyrl-BA"/>
              </w:rPr>
              <w:t>ин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од</w:t>
            </w:r>
            <w:r>
              <w:rPr>
                <w:rFonts w:ascii="Arial" w:hAnsi="Arial" w:cs="Arial"/>
                <w:b/>
                <w:color w:val="000000"/>
                <w:lang w:val="sr-Cyrl-BA"/>
              </w:rPr>
              <w:t>рш</w:t>
            </w:r>
            <w:r w:rsidR="00A56E08">
              <w:rPr>
                <w:rFonts w:ascii="Arial" w:hAnsi="Arial" w:cs="Arial"/>
                <w:b/>
                <w:color w:val="000000"/>
                <w:lang w:val="sr-Cyrl-BA"/>
              </w:rPr>
              <w:t>к</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диги</w:t>
            </w:r>
            <w:r>
              <w:rPr>
                <w:rFonts w:ascii="Arial" w:hAnsi="Arial" w:cs="Arial"/>
                <w:b/>
                <w:color w:val="000000"/>
                <w:lang w:val="sr-Cyrl-BA"/>
              </w:rPr>
              <w:t>т</w:t>
            </w:r>
            <w:r w:rsidR="00A56E08">
              <w:rPr>
                <w:rFonts w:ascii="Arial" w:hAnsi="Arial" w:cs="Arial"/>
                <w:b/>
                <w:color w:val="000000"/>
                <w:lang w:val="sr-Cyrl-BA"/>
              </w:rPr>
              <w:t>али</w:t>
            </w:r>
            <w:r w:rsidR="00171F00">
              <w:rPr>
                <w:rFonts w:ascii="Arial" w:hAnsi="Arial" w:cs="Arial"/>
                <w:b/>
                <w:color w:val="000000"/>
                <w:lang w:val="sr-Cyrl-BA"/>
              </w:rPr>
              <w:t>з</w:t>
            </w:r>
            <w:r w:rsidR="00A56E08">
              <w:rPr>
                <w:rFonts w:ascii="Arial" w:hAnsi="Arial" w:cs="Arial"/>
                <w:b/>
                <w:color w:val="000000"/>
                <w:lang w:val="sr-Cyrl-BA"/>
              </w:rPr>
              <w:t>ацији</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оц</w:t>
            </w:r>
            <w:r w:rsidR="00EE6AA2">
              <w:rPr>
                <w:rFonts w:ascii="Arial" w:hAnsi="Arial" w:cs="Arial"/>
                <w:b/>
                <w:color w:val="000000"/>
                <w:lang w:val="sr-Cyrl-BA"/>
              </w:rPr>
              <w:t>е</w:t>
            </w:r>
            <w:r>
              <w:rPr>
                <w:rFonts w:ascii="Arial" w:hAnsi="Arial" w:cs="Arial"/>
                <w:b/>
                <w:color w:val="000000"/>
                <w:lang w:val="sr-Cyrl-BA"/>
              </w:rPr>
              <w:t>с</w:t>
            </w:r>
            <w:r w:rsidR="00A56E08">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аћ</w:t>
            </w:r>
            <w:r w:rsidR="00EE6AA2">
              <w:rPr>
                <w:rFonts w:ascii="Arial" w:hAnsi="Arial" w:cs="Arial"/>
                <w:b/>
                <w:color w:val="000000"/>
                <w:lang w:val="sr-Cyrl-BA"/>
              </w:rPr>
              <w:t>е</w:t>
            </w:r>
            <w:r w:rsidR="00A56E08">
              <w:rPr>
                <w:rFonts w:ascii="Arial" w:hAnsi="Arial" w:cs="Arial"/>
                <w:b/>
                <w:color w:val="000000"/>
                <w:lang w:val="sr-Cyrl-BA"/>
              </w:rPr>
              <w:t>ња</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вр</w:t>
            </w:r>
            <w:r w:rsidR="00EE6AA2">
              <w:rPr>
                <w:rFonts w:ascii="Arial" w:hAnsi="Arial" w:cs="Arial"/>
                <w:b/>
                <w:color w:val="000000"/>
                <w:lang w:val="sr-Cyrl-BA"/>
              </w:rPr>
              <w:t>е</w:t>
            </w:r>
            <w:r w:rsidR="00A56E08">
              <w:rPr>
                <w:rFonts w:ascii="Arial" w:hAnsi="Arial" w:cs="Arial"/>
                <w:b/>
                <w:color w:val="000000"/>
                <w:lang w:val="sr-Cyrl-BA"/>
              </w:rPr>
              <w:t>дно</w:t>
            </w:r>
            <w:r>
              <w:rPr>
                <w:rFonts w:ascii="Arial" w:hAnsi="Arial" w:cs="Arial"/>
                <w:b/>
                <w:color w:val="000000"/>
                <w:lang w:val="sr-Cyrl-BA"/>
              </w:rPr>
              <w:t>в</w:t>
            </w:r>
            <w:r w:rsidR="00A56E08">
              <w:rPr>
                <w:rFonts w:ascii="Arial" w:hAnsi="Arial" w:cs="Arial"/>
                <w:b/>
                <w:color w:val="000000"/>
                <w:lang w:val="sr-Cyrl-BA"/>
              </w:rPr>
              <w:t>ања</w:t>
            </w:r>
            <w:r w:rsidR="00892898" w:rsidRPr="00F6340E">
              <w:rPr>
                <w:rFonts w:ascii="Arial" w:hAnsi="Arial" w:cs="Arial"/>
                <w:b/>
                <w:color w:val="000000"/>
                <w:lang w:val="sr-Cyrl-BA"/>
              </w:rPr>
              <w:t xml:space="preserve"> </w:t>
            </w: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св</w:t>
            </w:r>
            <w:r w:rsidR="00A56E08">
              <w:rPr>
                <w:rFonts w:ascii="Arial" w:hAnsi="Arial" w:cs="Arial"/>
                <w:b/>
                <w:color w:val="000000"/>
                <w:lang w:val="sr-Cyrl-BA"/>
              </w:rPr>
              <w:t>им</w:t>
            </w:r>
            <w:r w:rsidR="00892898" w:rsidRPr="00F6340E">
              <w:rPr>
                <w:rFonts w:ascii="Arial" w:hAnsi="Arial" w:cs="Arial"/>
                <w:b/>
                <w:color w:val="000000"/>
                <w:lang w:val="sr-Cyrl-BA"/>
              </w:rPr>
              <w:t xml:space="preserve"> </w:t>
            </w:r>
            <w:r w:rsidR="00A56E08">
              <w:rPr>
                <w:rFonts w:ascii="Arial" w:hAnsi="Arial" w:cs="Arial"/>
                <w:b/>
                <w:color w:val="000000"/>
                <w:lang w:val="sr-Cyrl-BA"/>
              </w:rPr>
              <w:t>обла</w:t>
            </w:r>
            <w:r>
              <w:rPr>
                <w:rFonts w:ascii="Arial" w:hAnsi="Arial" w:cs="Arial"/>
                <w:b/>
                <w:color w:val="000000"/>
                <w:lang w:val="sr-Cyrl-BA"/>
              </w:rPr>
              <w:t>ст</w:t>
            </w:r>
            <w:r w:rsidR="00A56E08">
              <w:rPr>
                <w:rFonts w:ascii="Arial" w:hAnsi="Arial" w:cs="Arial"/>
                <w:b/>
                <w:color w:val="000000"/>
                <w:lang w:val="sr-Cyrl-BA"/>
              </w:rPr>
              <w:t>има</w:t>
            </w:r>
            <w:r w:rsidR="00892898" w:rsidRPr="00F6340E">
              <w:rPr>
                <w:rFonts w:ascii="Arial" w:hAnsi="Arial" w:cs="Arial"/>
                <w:b/>
                <w:color w:val="000000"/>
                <w:lang w:val="sr-Cyrl-BA"/>
              </w:rPr>
              <w:t xml:space="preserve"> (</w:t>
            </w:r>
            <w:r>
              <w:rPr>
                <w:rFonts w:ascii="Arial" w:hAnsi="Arial" w:cs="Arial"/>
                <w:b/>
                <w:color w:val="000000"/>
                <w:lang w:val="sr-Cyrl-BA"/>
              </w:rPr>
              <w:t>п</w:t>
            </w:r>
            <w:r w:rsidR="00A56E08">
              <w:rPr>
                <w:rFonts w:ascii="Arial" w:hAnsi="Arial" w:cs="Arial"/>
                <w:b/>
                <w:color w:val="000000"/>
                <w:lang w:val="sr-Cyrl-BA"/>
              </w:rPr>
              <w:t>о</w:t>
            </w:r>
            <w:r>
              <w:rPr>
                <w:rFonts w:ascii="Arial" w:hAnsi="Arial" w:cs="Arial"/>
                <w:b/>
                <w:color w:val="000000"/>
                <w:lang w:val="sr-Cyrl-BA"/>
              </w:rPr>
              <w:t>ст</w:t>
            </w:r>
            <w:r w:rsidR="00A56E08">
              <w:rPr>
                <w:rFonts w:ascii="Arial" w:hAnsi="Arial" w:cs="Arial"/>
                <w:b/>
                <w:color w:val="000000"/>
                <w:lang w:val="sr-Cyrl-BA"/>
              </w:rPr>
              <w:t>игн</w:t>
            </w:r>
            <w:r>
              <w:rPr>
                <w:rFonts w:ascii="Arial" w:hAnsi="Arial" w:cs="Arial"/>
                <w:b/>
                <w:color w:val="000000"/>
                <w:lang w:val="sr-Cyrl-BA"/>
              </w:rPr>
              <w:t>у</w:t>
            </w:r>
            <w:r w:rsidR="00A56E08">
              <w:rPr>
                <w:rFonts w:ascii="Arial" w:hAnsi="Arial" w:cs="Arial"/>
                <w:b/>
                <w:color w:val="000000"/>
                <w:lang w:val="sr-Cyrl-BA"/>
              </w:rPr>
              <w:t>ћа</w:t>
            </w:r>
            <w:r w:rsidR="00892898" w:rsidRPr="00F6340E">
              <w:rPr>
                <w:rFonts w:ascii="Arial" w:hAnsi="Arial" w:cs="Arial"/>
                <w:b/>
                <w:color w:val="000000"/>
                <w:lang w:val="sr-Cyrl-BA"/>
              </w:rPr>
              <w:t xml:space="preserve"> </w:t>
            </w:r>
            <w:r>
              <w:rPr>
                <w:rFonts w:ascii="Arial" w:hAnsi="Arial" w:cs="Arial"/>
                <w:b/>
                <w:color w:val="000000"/>
                <w:lang w:val="sr-Cyrl-BA"/>
              </w:rPr>
              <w:t>сту</w:t>
            </w:r>
            <w:r w:rsidR="00A56E08">
              <w:rPr>
                <w:rFonts w:ascii="Arial" w:hAnsi="Arial" w:cs="Arial"/>
                <w:b/>
                <w:color w:val="000000"/>
                <w:lang w:val="sr-Cyrl-BA"/>
              </w:rPr>
              <w:t>д</w:t>
            </w:r>
            <w:r w:rsidR="00EE6AA2">
              <w:rPr>
                <w:rFonts w:ascii="Arial" w:hAnsi="Arial" w:cs="Arial"/>
                <w:b/>
                <w:color w:val="000000"/>
                <w:lang w:val="sr-Cyrl-BA"/>
              </w:rPr>
              <w:t>е</w:t>
            </w:r>
            <w:r w:rsidR="00A56E08">
              <w:rPr>
                <w:rFonts w:ascii="Arial" w:hAnsi="Arial" w:cs="Arial"/>
                <w:b/>
                <w:color w:val="000000"/>
                <w:lang w:val="sr-Cyrl-BA"/>
              </w:rPr>
              <w:t>на</w:t>
            </w:r>
            <w:r>
              <w:rPr>
                <w:rFonts w:ascii="Arial" w:hAnsi="Arial" w:cs="Arial"/>
                <w:b/>
                <w:color w:val="000000"/>
                <w:lang w:val="sr-Cyrl-BA"/>
              </w:rPr>
              <w:t>т</w:t>
            </w:r>
            <w:r w:rsidR="00A56E08">
              <w:rPr>
                <w:rFonts w:ascii="Arial" w:hAnsi="Arial" w:cs="Arial"/>
                <w:b/>
                <w:color w:val="000000"/>
                <w:lang w:val="sr-Cyrl-BA"/>
              </w:rPr>
              <w:t>а</w:t>
            </w:r>
            <w:r w:rsidR="00892898" w:rsidRPr="00F6340E">
              <w:rPr>
                <w:rFonts w:ascii="Arial" w:hAnsi="Arial" w:cs="Arial"/>
                <w:b/>
                <w:color w:val="000000"/>
                <w:lang w:val="sr-Cyrl-BA"/>
              </w:rPr>
              <w:t xml:space="preserve">, </w:t>
            </w:r>
            <w:r>
              <w:rPr>
                <w:rFonts w:ascii="Arial" w:hAnsi="Arial" w:cs="Arial"/>
                <w:b/>
                <w:color w:val="000000"/>
                <w:lang w:val="sr-Cyrl-BA"/>
              </w:rPr>
              <w:t>стру</w:t>
            </w:r>
            <w:r w:rsidR="00A56E08">
              <w:rPr>
                <w:rFonts w:ascii="Arial" w:hAnsi="Arial" w:cs="Arial"/>
                <w:b/>
                <w:color w:val="000000"/>
                <w:lang w:val="sr-Cyrl-BA"/>
              </w:rPr>
              <w:t>чно</w:t>
            </w:r>
            <w:r w:rsidR="00892898" w:rsidRPr="00F6340E">
              <w:rPr>
                <w:rFonts w:ascii="Arial" w:hAnsi="Arial" w:cs="Arial"/>
                <w:b/>
                <w:color w:val="000000"/>
                <w:lang w:val="sr-Cyrl-BA"/>
              </w:rPr>
              <w:t xml:space="preserve"> </w:t>
            </w:r>
            <w:r>
              <w:rPr>
                <w:rFonts w:ascii="Arial" w:hAnsi="Arial" w:cs="Arial"/>
                <w:b/>
                <w:color w:val="000000"/>
                <w:lang w:val="sr-Cyrl-BA"/>
              </w:rPr>
              <w:t>ус</w:t>
            </w:r>
            <w:r w:rsidR="00A56E08">
              <w:rPr>
                <w:rFonts w:ascii="Arial" w:hAnsi="Arial" w:cs="Arial"/>
                <w:b/>
                <w:color w:val="000000"/>
                <w:lang w:val="sr-Cyrl-BA"/>
              </w:rPr>
              <w:t>а</w:t>
            </w:r>
            <w:r>
              <w:rPr>
                <w:rFonts w:ascii="Arial" w:hAnsi="Arial" w:cs="Arial"/>
                <w:b/>
                <w:color w:val="000000"/>
                <w:lang w:val="sr-Cyrl-BA"/>
              </w:rPr>
              <w:t>врш</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ањ</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Pr>
                <w:rFonts w:ascii="Arial" w:hAnsi="Arial" w:cs="Arial"/>
                <w:b/>
                <w:color w:val="000000"/>
                <w:lang w:val="sr-Cyrl-BA"/>
              </w:rPr>
              <w:t>ст</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ника</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оцј</w:t>
            </w:r>
            <w:r w:rsidR="00EE6AA2">
              <w:rPr>
                <w:rFonts w:ascii="Arial" w:hAnsi="Arial" w:cs="Arial"/>
                <w:b/>
                <w:color w:val="000000"/>
                <w:lang w:val="sr-Cyrl-BA"/>
              </w:rPr>
              <w:t>е</w:t>
            </w:r>
            <w:r w:rsidR="00A56E08">
              <w:rPr>
                <w:rFonts w:ascii="Arial" w:hAnsi="Arial" w:cs="Arial"/>
                <w:b/>
                <w:color w:val="000000"/>
                <w:lang w:val="sr-Cyrl-BA"/>
              </w:rPr>
              <w:t>н</w:t>
            </w:r>
            <w:r>
              <w:rPr>
                <w:rFonts w:ascii="Arial" w:hAnsi="Arial" w:cs="Arial"/>
                <w:b/>
                <w:color w:val="000000"/>
                <w:lang w:val="sr-Cyrl-BA"/>
              </w:rPr>
              <w:t>у</w:t>
            </w:r>
            <w:r w:rsidR="00892898" w:rsidRPr="00F6340E">
              <w:rPr>
                <w:rFonts w:ascii="Arial" w:hAnsi="Arial" w:cs="Arial"/>
                <w:b/>
                <w:color w:val="000000"/>
                <w:lang w:val="sr-Cyrl-BA"/>
              </w:rPr>
              <w:t xml:space="preserve"> </w:t>
            </w:r>
            <w:r w:rsidR="00A56E08">
              <w:rPr>
                <w:rFonts w:ascii="Arial" w:hAnsi="Arial" w:cs="Arial"/>
                <w:b/>
                <w:color w:val="000000"/>
                <w:lang w:val="sr-Cyrl-BA"/>
              </w:rPr>
              <w:t>диги</w:t>
            </w:r>
            <w:r>
              <w:rPr>
                <w:rFonts w:ascii="Arial" w:hAnsi="Arial" w:cs="Arial"/>
                <w:b/>
                <w:color w:val="000000"/>
                <w:lang w:val="sr-Cyrl-BA"/>
              </w:rPr>
              <w:t>т</w:t>
            </w:r>
            <w:r w:rsidR="00A56E08">
              <w:rPr>
                <w:rFonts w:ascii="Arial" w:hAnsi="Arial" w:cs="Arial"/>
                <w:b/>
                <w:color w:val="000000"/>
                <w:lang w:val="sr-Cyrl-BA"/>
              </w:rPr>
              <w:t>алн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171F00">
              <w:rPr>
                <w:rFonts w:ascii="Arial" w:hAnsi="Arial" w:cs="Arial"/>
                <w:b/>
                <w:color w:val="000000"/>
                <w:lang w:val="sr-Cyrl-BA"/>
              </w:rPr>
              <w:t>з</w:t>
            </w:r>
            <w:r>
              <w:rPr>
                <w:rFonts w:ascii="Arial" w:hAnsi="Arial" w:cs="Arial"/>
                <w:b/>
                <w:color w:val="000000"/>
                <w:lang w:val="sr-Cyrl-BA"/>
              </w:rPr>
              <w:t>р</w:t>
            </w:r>
            <w:r w:rsidR="00EE6AA2">
              <w:rPr>
                <w:rFonts w:ascii="Arial" w:hAnsi="Arial" w:cs="Arial"/>
                <w:b/>
                <w:color w:val="000000"/>
                <w:lang w:val="sr-Cyrl-BA"/>
              </w:rPr>
              <w:t>е</w:t>
            </w:r>
            <w:r w:rsidR="00A56E08">
              <w:rPr>
                <w:rFonts w:ascii="Arial" w:hAnsi="Arial" w:cs="Arial"/>
                <w:b/>
                <w:color w:val="000000"/>
                <w:lang w:val="sr-Cyrl-BA"/>
              </w:rPr>
              <w:t>ло</w:t>
            </w:r>
            <w:r>
              <w:rPr>
                <w:rFonts w:ascii="Arial" w:hAnsi="Arial" w:cs="Arial"/>
                <w:b/>
                <w:color w:val="000000"/>
                <w:lang w:val="sr-Cyrl-BA"/>
              </w:rPr>
              <w:t>ст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ст</w:t>
            </w:r>
            <w:r w:rsidR="00A56E08">
              <w:rPr>
                <w:rFonts w:ascii="Arial" w:hAnsi="Arial" w:cs="Arial"/>
                <w:b/>
                <w:color w:val="000000"/>
                <w:lang w:val="sr-Cyrl-BA"/>
              </w:rPr>
              <w:t>и</w:t>
            </w:r>
            <w:r>
              <w:rPr>
                <w:rFonts w:ascii="Arial" w:hAnsi="Arial" w:cs="Arial"/>
                <w:b/>
                <w:color w:val="000000"/>
                <w:lang w:val="sr-Cyrl-BA"/>
              </w:rPr>
              <w:t>ту</w:t>
            </w:r>
            <w:r w:rsidR="00A56E08">
              <w:rPr>
                <w:rFonts w:ascii="Arial" w:hAnsi="Arial" w:cs="Arial"/>
                <w:b/>
                <w:color w:val="000000"/>
                <w:lang w:val="sr-Cyrl-BA"/>
              </w:rPr>
              <w:t>циј</w:t>
            </w:r>
            <w:r w:rsidR="00EE6AA2">
              <w:rPr>
                <w:rFonts w:ascii="Arial" w:hAnsi="Arial" w:cs="Arial"/>
                <w:b/>
                <w:color w:val="000000"/>
                <w:lang w:val="sr-Cyrl-BA"/>
              </w:rPr>
              <w:t>е</w:t>
            </w:r>
            <w:r w:rsidR="00892898" w:rsidRPr="00F6340E">
              <w:rPr>
                <w:rFonts w:ascii="Arial" w:hAnsi="Arial" w:cs="Arial"/>
                <w:b/>
                <w:color w:val="000000"/>
                <w:lang w:val="sr-Cyrl-BA"/>
              </w:rPr>
              <w:t xml:space="preserve"> - </w:t>
            </w:r>
            <w:r w:rsidR="00A56E08">
              <w:rPr>
                <w:rFonts w:ascii="Arial" w:hAnsi="Arial" w:cs="Arial"/>
                <w:b/>
                <w:color w:val="000000"/>
                <w:lang w:val="sr-Cyrl-BA"/>
              </w:rPr>
              <w:t>инф</w:t>
            </w:r>
            <w:r>
              <w:rPr>
                <w:rFonts w:ascii="Arial" w:hAnsi="Arial" w:cs="Arial"/>
                <w:b/>
                <w:color w:val="000000"/>
                <w:lang w:val="sr-Cyrl-BA"/>
              </w:rPr>
              <w:t>р</w:t>
            </w:r>
            <w:r w:rsidR="00A56E08">
              <w:rPr>
                <w:rFonts w:ascii="Arial" w:hAnsi="Arial" w:cs="Arial"/>
                <w:b/>
                <w:color w:val="000000"/>
                <w:lang w:val="sr-Cyrl-BA"/>
              </w:rPr>
              <w:t>а</w:t>
            </w:r>
            <w:r>
              <w:rPr>
                <w:rFonts w:ascii="Arial" w:hAnsi="Arial" w:cs="Arial"/>
                <w:b/>
                <w:color w:val="000000"/>
                <w:lang w:val="sr-Cyrl-BA"/>
              </w:rPr>
              <w:t>стру</w:t>
            </w:r>
            <w:r w:rsidR="00A56E08">
              <w:rPr>
                <w:rFonts w:ascii="Arial" w:hAnsi="Arial" w:cs="Arial"/>
                <w:b/>
                <w:color w:val="000000"/>
                <w:lang w:val="sr-Cyrl-BA"/>
              </w:rPr>
              <w:t>к</w:t>
            </w:r>
            <w:r>
              <w:rPr>
                <w:rFonts w:ascii="Arial" w:hAnsi="Arial" w:cs="Arial"/>
                <w:b/>
                <w:color w:val="000000"/>
                <w:lang w:val="sr-Cyrl-BA"/>
              </w:rPr>
              <w:t>тур</w:t>
            </w:r>
            <w:r w:rsidR="00A56E08">
              <w:rPr>
                <w:rFonts w:ascii="Arial" w:hAnsi="Arial" w:cs="Arial"/>
                <w:b/>
                <w:color w:val="000000"/>
                <w:lang w:val="sr-Cyrl-BA"/>
              </w:rPr>
              <w:t>а</w:t>
            </w:r>
            <w:r w:rsidR="00373C6D" w:rsidRPr="00F6340E">
              <w:rPr>
                <w:rFonts w:ascii="Arial" w:hAnsi="Arial" w:cs="Arial"/>
                <w:b/>
                <w:color w:val="000000"/>
                <w:lang w:val="sr-Cyrl-BA"/>
              </w:rPr>
              <w:t xml:space="preserve"> </w:t>
            </w:r>
            <w:r w:rsidR="00171F00">
              <w:rPr>
                <w:rFonts w:ascii="Arial" w:hAnsi="Arial" w:cs="Arial"/>
                <w:b/>
                <w:color w:val="000000"/>
                <w:lang w:val="sr-Cyrl-BA"/>
              </w:rPr>
              <w:t>з</w:t>
            </w:r>
            <w:r w:rsidR="00A56E08">
              <w:rPr>
                <w:rFonts w:ascii="Arial" w:hAnsi="Arial" w:cs="Arial"/>
                <w:b/>
                <w:color w:val="000000"/>
                <w:lang w:val="sr-Cyrl-BA"/>
              </w:rPr>
              <w:t>а</w:t>
            </w:r>
            <w:r w:rsidR="00373C6D" w:rsidRPr="00F6340E">
              <w:rPr>
                <w:rFonts w:ascii="Arial" w:hAnsi="Arial" w:cs="Arial"/>
                <w:b/>
                <w:color w:val="000000"/>
                <w:lang w:val="sr-Cyrl-BA"/>
              </w:rPr>
              <w:t xml:space="preserve"> </w:t>
            </w:r>
            <w:r w:rsidR="00A56E08">
              <w:rPr>
                <w:rFonts w:ascii="Arial" w:hAnsi="Arial" w:cs="Arial"/>
                <w:b/>
                <w:color w:val="000000"/>
                <w:lang w:val="sr-Cyrl-BA"/>
              </w:rPr>
              <w:t>ИК</w:t>
            </w:r>
            <w:r>
              <w:rPr>
                <w:rFonts w:ascii="Arial" w:hAnsi="Arial" w:cs="Arial"/>
                <w:b/>
                <w:color w:val="000000"/>
                <w:lang w:val="sr-Cyrl-BA"/>
              </w:rPr>
              <w:t>Т</w:t>
            </w:r>
            <w:r w:rsidR="00892898" w:rsidRPr="00F6340E">
              <w:rPr>
                <w:rFonts w:ascii="Arial" w:hAnsi="Arial" w:cs="Arial"/>
                <w:b/>
                <w:color w:val="000000"/>
                <w:lang w:val="sr-Cyrl-BA"/>
              </w:rPr>
              <w:t>)</w:t>
            </w:r>
          </w:p>
          <w:p w14:paraId="07A94662" w14:textId="41583CCC" w:rsidR="000D3690" w:rsidRPr="00F6340E" w:rsidRDefault="00A56E08"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bCs/>
                <w:color w:val="000000"/>
                <w:lang w:val="sr-Cyrl-BA"/>
              </w:rPr>
              <w:t>Фо</w:t>
            </w:r>
            <w:r w:rsidR="0071360A">
              <w:rPr>
                <w:rFonts w:ascii="Arial" w:hAnsi="Arial" w:cs="Arial"/>
                <w:b/>
                <w:bCs/>
                <w:color w:val="000000"/>
                <w:lang w:val="sr-Cyrl-BA"/>
              </w:rPr>
              <w:t>р</w:t>
            </w:r>
            <w:r>
              <w:rPr>
                <w:rFonts w:ascii="Arial" w:hAnsi="Arial" w:cs="Arial"/>
                <w:b/>
                <w:bCs/>
                <w:color w:val="000000"/>
                <w:lang w:val="sr-Cyrl-BA"/>
              </w:rPr>
              <w:t>ми</w:t>
            </w:r>
            <w:r w:rsidR="0071360A">
              <w:rPr>
                <w:rFonts w:ascii="Arial" w:hAnsi="Arial" w:cs="Arial"/>
                <w:b/>
                <w:bCs/>
                <w:color w:val="000000"/>
                <w:lang w:val="sr-Cyrl-BA"/>
              </w:rPr>
              <w:t>р</w:t>
            </w:r>
            <w:r>
              <w:rPr>
                <w:rFonts w:ascii="Arial" w:hAnsi="Arial" w:cs="Arial"/>
                <w:b/>
                <w:bCs/>
                <w:color w:val="000000"/>
                <w:lang w:val="sr-Cyrl-BA"/>
              </w:rPr>
              <w:t>ањ</w:t>
            </w:r>
            <w:r w:rsidR="00EE6AA2">
              <w:rPr>
                <w:rFonts w:ascii="Arial" w:hAnsi="Arial" w:cs="Arial"/>
                <w:b/>
                <w:bCs/>
                <w:color w:val="000000"/>
                <w:lang w:val="sr-Cyrl-BA"/>
              </w:rPr>
              <w:t>е</w:t>
            </w:r>
            <w:r w:rsidR="00892898" w:rsidRPr="00F6340E">
              <w:rPr>
                <w:rFonts w:ascii="Arial" w:hAnsi="Arial" w:cs="Arial"/>
                <w:b/>
                <w:bCs/>
                <w:color w:val="000000"/>
                <w:lang w:val="sr-Cyrl-BA"/>
              </w:rPr>
              <w:t xml:space="preserve"> </w:t>
            </w:r>
            <w:r>
              <w:rPr>
                <w:rFonts w:ascii="Arial" w:hAnsi="Arial" w:cs="Arial"/>
                <w:b/>
                <w:bCs/>
                <w:color w:val="000000"/>
                <w:lang w:val="sr-Cyrl-BA"/>
              </w:rPr>
              <w:t>одј</w:t>
            </w:r>
            <w:r w:rsidR="00EE6AA2">
              <w:rPr>
                <w:rFonts w:ascii="Arial" w:hAnsi="Arial" w:cs="Arial"/>
                <w:b/>
                <w:bCs/>
                <w:color w:val="000000"/>
                <w:lang w:val="sr-Cyrl-BA"/>
              </w:rPr>
              <w:t>е</w:t>
            </w:r>
            <w:r>
              <w:rPr>
                <w:rFonts w:ascii="Arial" w:hAnsi="Arial" w:cs="Arial"/>
                <w:b/>
                <w:bCs/>
                <w:color w:val="000000"/>
                <w:lang w:val="sr-Cyrl-BA"/>
              </w:rPr>
              <w:t>ла</w:t>
            </w:r>
            <w:r w:rsidR="00892898" w:rsidRPr="00F6340E">
              <w:rPr>
                <w:rFonts w:ascii="Arial" w:hAnsi="Arial" w:cs="Arial"/>
                <w:b/>
                <w:bCs/>
                <w:color w:val="000000"/>
                <w:lang w:val="sr-Cyrl-BA"/>
              </w:rPr>
              <w:t xml:space="preserve"> </w:t>
            </w:r>
            <w:r w:rsidR="00171F00">
              <w:rPr>
                <w:rFonts w:ascii="Arial" w:hAnsi="Arial" w:cs="Arial"/>
                <w:b/>
                <w:bCs/>
                <w:color w:val="000000"/>
                <w:lang w:val="sr-Cyrl-BA"/>
              </w:rPr>
              <w:t>з</w:t>
            </w:r>
            <w:r>
              <w:rPr>
                <w:rFonts w:ascii="Arial" w:hAnsi="Arial" w:cs="Arial"/>
                <w:b/>
                <w:bCs/>
                <w:color w:val="000000"/>
                <w:lang w:val="sr-Cyrl-BA"/>
              </w:rPr>
              <w:t>а</w:t>
            </w:r>
            <w:r w:rsidR="00373C6D" w:rsidRPr="00F6340E">
              <w:rPr>
                <w:rFonts w:ascii="Arial" w:hAnsi="Arial" w:cs="Arial"/>
                <w:b/>
                <w:bCs/>
                <w:color w:val="000000"/>
                <w:lang w:val="sr-Cyrl-BA"/>
              </w:rPr>
              <w:t xml:space="preserve"> </w:t>
            </w:r>
            <w:r>
              <w:rPr>
                <w:rFonts w:ascii="Arial" w:hAnsi="Arial" w:cs="Arial"/>
                <w:b/>
                <w:bCs/>
                <w:color w:val="000000"/>
                <w:lang w:val="sr-Cyrl-BA"/>
              </w:rPr>
              <w:t>И</w:t>
            </w:r>
            <w:r w:rsidR="0071360A">
              <w:rPr>
                <w:rFonts w:ascii="Arial" w:hAnsi="Arial" w:cs="Arial"/>
                <w:b/>
                <w:bCs/>
                <w:color w:val="000000"/>
                <w:lang w:val="sr-Cyrl-BA"/>
              </w:rPr>
              <w:t>Т</w:t>
            </w:r>
            <w:r w:rsidR="00373C6D" w:rsidRPr="00F6340E">
              <w:rPr>
                <w:rFonts w:ascii="Arial" w:hAnsi="Arial" w:cs="Arial"/>
                <w:b/>
                <w:bCs/>
                <w:color w:val="000000"/>
                <w:lang w:val="sr-Cyrl-BA"/>
              </w:rPr>
              <w:t xml:space="preserve"> </w:t>
            </w:r>
            <w:r w:rsidR="0071360A">
              <w:rPr>
                <w:rFonts w:ascii="Arial" w:hAnsi="Arial" w:cs="Arial"/>
                <w:b/>
                <w:bCs/>
                <w:color w:val="000000"/>
                <w:lang w:val="sr-Cyrl-BA"/>
              </w:rPr>
              <w:t>у</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с</w:t>
            </w:r>
            <w:r>
              <w:rPr>
                <w:rFonts w:ascii="Arial" w:hAnsi="Arial" w:cs="Arial"/>
                <w:b/>
                <w:bCs/>
                <w:color w:val="000000"/>
                <w:lang w:val="sr-Cyrl-BA"/>
              </w:rPr>
              <w:t>кло</w:t>
            </w:r>
            <w:r w:rsidR="0071360A">
              <w:rPr>
                <w:rFonts w:ascii="Arial" w:hAnsi="Arial" w:cs="Arial"/>
                <w:b/>
                <w:bCs/>
                <w:color w:val="000000"/>
                <w:lang w:val="sr-Cyrl-BA"/>
              </w:rPr>
              <w:t>пу</w:t>
            </w:r>
            <w:r w:rsidR="000D3690" w:rsidRPr="00F6340E">
              <w:rPr>
                <w:rFonts w:ascii="Arial" w:hAnsi="Arial" w:cs="Arial"/>
                <w:b/>
                <w:bCs/>
                <w:color w:val="000000"/>
                <w:lang w:val="sr-Cyrl-BA"/>
              </w:rPr>
              <w:t xml:space="preserve"> </w:t>
            </w:r>
            <w:r>
              <w:rPr>
                <w:rFonts w:ascii="Arial" w:hAnsi="Arial" w:cs="Arial"/>
                <w:b/>
                <w:bCs/>
                <w:color w:val="000000"/>
                <w:lang w:val="sr-Cyrl-BA"/>
              </w:rPr>
              <w:t>об</w:t>
            </w:r>
            <w:r w:rsidR="0071360A">
              <w:rPr>
                <w:rFonts w:ascii="Arial" w:hAnsi="Arial" w:cs="Arial"/>
                <w:b/>
                <w:bCs/>
                <w:color w:val="000000"/>
                <w:lang w:val="sr-Cyrl-BA"/>
              </w:rPr>
              <w:t>р</w:t>
            </w:r>
            <w:r>
              <w:rPr>
                <w:rFonts w:ascii="Arial" w:hAnsi="Arial" w:cs="Arial"/>
                <w:b/>
                <w:bCs/>
                <w:color w:val="000000"/>
                <w:lang w:val="sr-Cyrl-BA"/>
              </w:rPr>
              <w:t>а</w:t>
            </w:r>
            <w:r w:rsidR="00171F00">
              <w:rPr>
                <w:rFonts w:ascii="Arial" w:hAnsi="Arial" w:cs="Arial"/>
                <w:b/>
                <w:bCs/>
                <w:color w:val="000000"/>
                <w:lang w:val="sr-Cyrl-BA"/>
              </w:rPr>
              <w:t>з</w:t>
            </w:r>
            <w:r>
              <w:rPr>
                <w:rFonts w:ascii="Arial" w:hAnsi="Arial" w:cs="Arial"/>
                <w:b/>
                <w:bCs/>
                <w:color w:val="000000"/>
                <w:lang w:val="sr-Cyrl-BA"/>
              </w:rPr>
              <w:t>о</w:t>
            </w:r>
            <w:r w:rsidR="0071360A">
              <w:rPr>
                <w:rFonts w:ascii="Arial" w:hAnsi="Arial" w:cs="Arial"/>
                <w:b/>
                <w:bCs/>
                <w:color w:val="000000"/>
                <w:lang w:val="sr-Cyrl-BA"/>
              </w:rPr>
              <w:t>в</w:t>
            </w:r>
            <w:r>
              <w:rPr>
                <w:rFonts w:ascii="Arial" w:hAnsi="Arial" w:cs="Arial"/>
                <w:b/>
                <w:bCs/>
                <w:color w:val="000000"/>
                <w:lang w:val="sr-Cyrl-BA"/>
              </w:rPr>
              <w:t>н</w:t>
            </w:r>
            <w:r w:rsidR="00EE6AA2">
              <w:rPr>
                <w:rFonts w:ascii="Arial" w:hAnsi="Arial" w:cs="Arial"/>
                <w:b/>
                <w:bCs/>
                <w:color w:val="000000"/>
                <w:lang w:val="sr-Cyrl-BA"/>
              </w:rPr>
              <w:t>е</w:t>
            </w:r>
            <w:r w:rsidR="000D3690" w:rsidRPr="00F6340E">
              <w:rPr>
                <w:rFonts w:ascii="Arial" w:hAnsi="Arial" w:cs="Arial"/>
                <w:b/>
                <w:bCs/>
                <w:color w:val="000000"/>
                <w:lang w:val="sr-Cyrl-BA"/>
              </w:rPr>
              <w:t xml:space="preserve"> </w:t>
            </w:r>
            <w:r>
              <w:rPr>
                <w:rFonts w:ascii="Arial" w:hAnsi="Arial" w:cs="Arial"/>
                <w:b/>
                <w:bCs/>
                <w:color w:val="000000"/>
                <w:lang w:val="sr-Cyrl-BA"/>
              </w:rPr>
              <w:t>ин</w:t>
            </w:r>
            <w:r w:rsidR="0071360A">
              <w:rPr>
                <w:rFonts w:ascii="Arial" w:hAnsi="Arial" w:cs="Arial"/>
                <w:b/>
                <w:bCs/>
                <w:color w:val="000000"/>
                <w:lang w:val="sr-Cyrl-BA"/>
              </w:rPr>
              <w:t>ст</w:t>
            </w:r>
            <w:r>
              <w:rPr>
                <w:rFonts w:ascii="Arial" w:hAnsi="Arial" w:cs="Arial"/>
                <w:b/>
                <w:bCs/>
                <w:color w:val="000000"/>
                <w:lang w:val="sr-Cyrl-BA"/>
              </w:rPr>
              <w:t>и</w:t>
            </w:r>
            <w:r w:rsidR="0071360A">
              <w:rPr>
                <w:rFonts w:ascii="Arial" w:hAnsi="Arial" w:cs="Arial"/>
                <w:b/>
                <w:bCs/>
                <w:color w:val="000000"/>
                <w:lang w:val="sr-Cyrl-BA"/>
              </w:rPr>
              <w:t>ту</w:t>
            </w:r>
            <w:r>
              <w:rPr>
                <w:rFonts w:ascii="Arial" w:hAnsi="Arial" w:cs="Arial"/>
                <w:b/>
                <w:bCs/>
                <w:color w:val="000000"/>
                <w:lang w:val="sr-Cyrl-BA"/>
              </w:rPr>
              <w:t>циј</w:t>
            </w:r>
            <w:r w:rsidR="00EE6AA2">
              <w:rPr>
                <w:rFonts w:ascii="Arial" w:hAnsi="Arial" w:cs="Arial"/>
                <w:b/>
                <w:bCs/>
                <w:color w:val="000000"/>
                <w:lang w:val="sr-Cyrl-BA"/>
              </w:rPr>
              <w:t>е</w:t>
            </w:r>
            <w:r w:rsidR="00B04FA8">
              <w:rPr>
                <w:rFonts w:ascii="Arial" w:hAnsi="Arial" w:cs="Arial"/>
                <w:b/>
                <w:bCs/>
                <w:color w:val="000000"/>
                <w:lang w:val="sr-Cyrl-BA"/>
              </w:rPr>
              <w:t xml:space="preserve"> са </w:t>
            </w:r>
            <w:r>
              <w:rPr>
                <w:rFonts w:ascii="Arial" w:hAnsi="Arial" w:cs="Arial"/>
                <w:b/>
                <w:bCs/>
                <w:color w:val="000000"/>
                <w:lang w:val="sr-Cyrl-BA"/>
              </w:rPr>
              <w:t>ја</w:t>
            </w:r>
            <w:r w:rsidR="0071360A">
              <w:rPr>
                <w:rFonts w:ascii="Arial" w:hAnsi="Arial" w:cs="Arial"/>
                <w:b/>
                <w:bCs/>
                <w:color w:val="000000"/>
                <w:lang w:val="sr-Cyrl-BA"/>
              </w:rPr>
              <w:t>с</w:t>
            </w:r>
            <w:r>
              <w:rPr>
                <w:rFonts w:ascii="Arial" w:hAnsi="Arial" w:cs="Arial"/>
                <w:b/>
                <w:bCs/>
                <w:color w:val="000000"/>
                <w:lang w:val="sr-Cyrl-BA"/>
              </w:rPr>
              <w:t>но</w:t>
            </w:r>
            <w:r w:rsidR="00892898" w:rsidRPr="00F6340E">
              <w:rPr>
                <w:rFonts w:ascii="Arial" w:hAnsi="Arial" w:cs="Arial"/>
                <w:b/>
                <w:bCs/>
                <w:color w:val="000000"/>
                <w:lang w:val="sr-Cyrl-BA"/>
              </w:rPr>
              <w:t xml:space="preserve"> </w:t>
            </w:r>
            <w:r>
              <w:rPr>
                <w:rFonts w:ascii="Arial" w:hAnsi="Arial" w:cs="Arial"/>
                <w:b/>
                <w:bCs/>
                <w:color w:val="000000"/>
                <w:lang w:val="sr-Cyrl-BA"/>
              </w:rPr>
              <w:t>д</w:t>
            </w:r>
            <w:r w:rsidR="00EE6AA2">
              <w:rPr>
                <w:rFonts w:ascii="Arial" w:hAnsi="Arial" w:cs="Arial"/>
                <w:b/>
                <w:bCs/>
                <w:color w:val="000000"/>
                <w:lang w:val="sr-Cyrl-BA"/>
              </w:rPr>
              <w:t>е</w:t>
            </w:r>
            <w:r>
              <w:rPr>
                <w:rFonts w:ascii="Arial" w:hAnsi="Arial" w:cs="Arial"/>
                <w:b/>
                <w:bCs/>
                <w:color w:val="000000"/>
                <w:lang w:val="sr-Cyrl-BA"/>
              </w:rPr>
              <w:t>фини</w:t>
            </w:r>
            <w:r w:rsidR="0071360A">
              <w:rPr>
                <w:rFonts w:ascii="Arial" w:hAnsi="Arial" w:cs="Arial"/>
                <w:b/>
                <w:bCs/>
                <w:color w:val="000000"/>
                <w:lang w:val="sr-Cyrl-BA"/>
              </w:rPr>
              <w:t>с</w:t>
            </w:r>
            <w:r>
              <w:rPr>
                <w:rFonts w:ascii="Arial" w:hAnsi="Arial" w:cs="Arial"/>
                <w:b/>
                <w:bCs/>
                <w:color w:val="000000"/>
                <w:lang w:val="sr-Cyrl-BA"/>
              </w:rPr>
              <w:t>аним</w:t>
            </w:r>
            <w:r w:rsidR="00892898" w:rsidRPr="00F6340E">
              <w:rPr>
                <w:rFonts w:ascii="Arial" w:hAnsi="Arial" w:cs="Arial"/>
                <w:b/>
                <w:bCs/>
                <w:color w:val="000000"/>
                <w:lang w:val="sr-Cyrl-BA"/>
              </w:rPr>
              <w:t xml:space="preserve"> </w:t>
            </w:r>
            <w:r>
              <w:rPr>
                <w:rFonts w:ascii="Arial" w:hAnsi="Arial" w:cs="Arial"/>
                <w:b/>
                <w:bCs/>
                <w:color w:val="000000"/>
                <w:lang w:val="sr-Cyrl-BA"/>
              </w:rPr>
              <w:t>о</w:t>
            </w:r>
            <w:r w:rsidR="0071360A">
              <w:rPr>
                <w:rFonts w:ascii="Arial" w:hAnsi="Arial" w:cs="Arial"/>
                <w:b/>
                <w:bCs/>
                <w:color w:val="000000"/>
                <w:lang w:val="sr-Cyrl-BA"/>
              </w:rPr>
              <w:t>п</w:t>
            </w:r>
            <w:r>
              <w:rPr>
                <w:rFonts w:ascii="Arial" w:hAnsi="Arial" w:cs="Arial"/>
                <w:b/>
                <w:bCs/>
                <w:color w:val="000000"/>
                <w:lang w:val="sr-Cyrl-BA"/>
              </w:rPr>
              <w:t>и</w:t>
            </w:r>
            <w:r w:rsidR="0071360A">
              <w:rPr>
                <w:rFonts w:ascii="Arial" w:hAnsi="Arial" w:cs="Arial"/>
                <w:b/>
                <w:bCs/>
                <w:color w:val="000000"/>
                <w:lang w:val="sr-Cyrl-BA"/>
              </w:rPr>
              <w:t>с</w:t>
            </w:r>
            <w:r>
              <w:rPr>
                <w:rFonts w:ascii="Arial" w:hAnsi="Arial" w:cs="Arial"/>
                <w:b/>
                <w:bCs/>
                <w:color w:val="000000"/>
                <w:lang w:val="sr-Cyrl-BA"/>
              </w:rPr>
              <w:t>ом</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р</w:t>
            </w:r>
            <w:r>
              <w:rPr>
                <w:rFonts w:ascii="Arial" w:hAnsi="Arial" w:cs="Arial"/>
                <w:b/>
                <w:bCs/>
                <w:color w:val="000000"/>
                <w:lang w:val="sr-Cyrl-BA"/>
              </w:rPr>
              <w:t>адних</w:t>
            </w:r>
            <w:r w:rsidR="00892898" w:rsidRPr="00F6340E">
              <w:rPr>
                <w:rFonts w:ascii="Arial" w:hAnsi="Arial" w:cs="Arial"/>
                <w:b/>
                <w:bCs/>
                <w:color w:val="000000"/>
                <w:lang w:val="sr-Cyrl-BA"/>
              </w:rPr>
              <w:t xml:space="preserve"> </w:t>
            </w:r>
            <w:r w:rsidR="00171F00">
              <w:rPr>
                <w:rFonts w:ascii="Arial" w:hAnsi="Arial" w:cs="Arial"/>
                <w:b/>
                <w:bCs/>
                <w:color w:val="000000"/>
                <w:lang w:val="sr-Cyrl-BA"/>
              </w:rPr>
              <w:t>з</w:t>
            </w:r>
            <w:r>
              <w:rPr>
                <w:rFonts w:ascii="Arial" w:hAnsi="Arial" w:cs="Arial"/>
                <w:b/>
                <w:bCs/>
                <w:color w:val="000000"/>
                <w:lang w:val="sr-Cyrl-BA"/>
              </w:rPr>
              <w:t>ада</w:t>
            </w:r>
            <w:r w:rsidR="0071360A">
              <w:rPr>
                <w:rFonts w:ascii="Arial" w:hAnsi="Arial" w:cs="Arial"/>
                <w:b/>
                <w:bCs/>
                <w:color w:val="000000"/>
                <w:lang w:val="sr-Cyrl-BA"/>
              </w:rPr>
              <w:t>т</w:t>
            </w:r>
            <w:r>
              <w:rPr>
                <w:rFonts w:ascii="Arial" w:hAnsi="Arial" w:cs="Arial"/>
                <w:b/>
                <w:bCs/>
                <w:color w:val="000000"/>
                <w:lang w:val="sr-Cyrl-BA"/>
              </w:rPr>
              <w:t>ака</w:t>
            </w:r>
            <w:r w:rsidR="00892898" w:rsidRPr="00F6340E">
              <w:rPr>
                <w:rFonts w:ascii="Arial" w:hAnsi="Arial" w:cs="Arial"/>
                <w:b/>
                <w:bCs/>
                <w:color w:val="000000"/>
                <w:lang w:val="sr-Cyrl-BA"/>
              </w:rPr>
              <w:t xml:space="preserve"> – </w:t>
            </w:r>
            <w:r>
              <w:rPr>
                <w:rFonts w:ascii="Arial" w:hAnsi="Arial" w:cs="Arial"/>
                <w:b/>
                <w:bCs/>
                <w:color w:val="000000"/>
                <w:lang w:val="sr-Cyrl-BA"/>
              </w:rPr>
              <w:t>од</w:t>
            </w:r>
            <w:r w:rsidR="0071360A">
              <w:rPr>
                <w:rFonts w:ascii="Arial" w:hAnsi="Arial" w:cs="Arial"/>
                <w:b/>
                <w:bCs/>
                <w:color w:val="000000"/>
                <w:lang w:val="sr-Cyrl-BA"/>
              </w:rPr>
              <w:t>р</w:t>
            </w:r>
            <w:r w:rsidR="00171F00">
              <w:rPr>
                <w:rFonts w:ascii="Arial" w:hAnsi="Arial" w:cs="Arial"/>
                <w:b/>
                <w:bCs/>
                <w:color w:val="000000"/>
                <w:lang w:val="sr-Cyrl-BA"/>
              </w:rPr>
              <w:t>ж</w:t>
            </w:r>
            <w:r>
              <w:rPr>
                <w:rFonts w:ascii="Arial" w:hAnsi="Arial" w:cs="Arial"/>
                <w:b/>
                <w:bCs/>
                <w:color w:val="000000"/>
                <w:lang w:val="sr-Cyrl-BA"/>
              </w:rPr>
              <w:t>а</w:t>
            </w:r>
            <w:r w:rsidR="0071360A">
              <w:rPr>
                <w:rFonts w:ascii="Arial" w:hAnsi="Arial" w:cs="Arial"/>
                <w:b/>
                <w:bCs/>
                <w:color w:val="000000"/>
                <w:lang w:val="sr-Cyrl-BA"/>
              </w:rPr>
              <w:t>в</w:t>
            </w:r>
            <w:r>
              <w:rPr>
                <w:rFonts w:ascii="Arial" w:hAnsi="Arial" w:cs="Arial"/>
                <w:b/>
                <w:bCs/>
                <w:color w:val="000000"/>
                <w:lang w:val="sr-Cyrl-BA"/>
              </w:rPr>
              <w:t>ањ</w:t>
            </w:r>
            <w:r w:rsidR="00EE6AA2">
              <w:rPr>
                <w:rFonts w:ascii="Arial" w:hAnsi="Arial" w:cs="Arial"/>
                <w:b/>
                <w:bCs/>
                <w:color w:val="000000"/>
                <w:lang w:val="sr-Cyrl-BA"/>
              </w:rPr>
              <w:t>е</w:t>
            </w:r>
            <w:r w:rsidR="00892898" w:rsidRPr="00F6340E">
              <w:rPr>
                <w:rFonts w:ascii="Arial" w:hAnsi="Arial" w:cs="Arial"/>
                <w:b/>
                <w:bCs/>
                <w:color w:val="000000"/>
                <w:lang w:val="sr-Cyrl-BA"/>
              </w:rPr>
              <w:t xml:space="preserve"> (</w:t>
            </w:r>
            <w:r>
              <w:rPr>
                <w:rFonts w:ascii="Arial" w:hAnsi="Arial" w:cs="Arial"/>
                <w:b/>
                <w:bCs/>
                <w:color w:val="000000"/>
                <w:lang w:val="sr-Cyrl-BA"/>
              </w:rPr>
              <w:t>ха</w:t>
            </w:r>
            <w:r w:rsidR="0071360A">
              <w:rPr>
                <w:rFonts w:ascii="Arial" w:hAnsi="Arial" w:cs="Arial"/>
                <w:b/>
                <w:bCs/>
                <w:color w:val="000000"/>
                <w:lang w:val="sr-Cyrl-BA"/>
              </w:rPr>
              <w:t>р</w:t>
            </w:r>
            <w:r>
              <w:rPr>
                <w:rFonts w:ascii="Arial" w:hAnsi="Arial" w:cs="Arial"/>
                <w:b/>
                <w:bCs/>
                <w:color w:val="000000"/>
                <w:lang w:val="sr-Cyrl-BA"/>
              </w:rPr>
              <w:t>д</w:t>
            </w:r>
            <w:r w:rsidR="0071360A">
              <w:rPr>
                <w:rFonts w:ascii="Arial" w:hAnsi="Arial" w:cs="Arial"/>
                <w:b/>
                <w:bCs/>
                <w:color w:val="000000"/>
                <w:lang w:val="sr-Cyrl-BA"/>
              </w:rPr>
              <w:t>в</w:t>
            </w:r>
            <w:r w:rsidR="00EE6AA2">
              <w:rPr>
                <w:rFonts w:ascii="Arial" w:hAnsi="Arial" w:cs="Arial"/>
                <w:b/>
                <w:bCs/>
                <w:color w:val="000000"/>
                <w:lang w:val="sr-Cyrl-BA"/>
              </w:rPr>
              <w:t>е</w:t>
            </w:r>
            <w:r w:rsidR="0071360A">
              <w:rPr>
                <w:rFonts w:ascii="Arial" w:hAnsi="Arial" w:cs="Arial"/>
                <w:b/>
                <w:bCs/>
                <w:color w:val="000000"/>
                <w:lang w:val="sr-Cyrl-BA"/>
              </w:rPr>
              <w:t>р</w:t>
            </w:r>
            <w:r>
              <w:rPr>
                <w:rFonts w:ascii="Arial" w:hAnsi="Arial" w:cs="Arial"/>
                <w:b/>
                <w:bCs/>
                <w:color w:val="000000"/>
                <w:lang w:val="sr-Cyrl-BA"/>
              </w:rPr>
              <w:t>а</w:t>
            </w:r>
            <w:r w:rsidR="00892898" w:rsidRPr="00F6340E">
              <w:rPr>
                <w:rFonts w:ascii="Arial" w:hAnsi="Arial" w:cs="Arial"/>
                <w:b/>
                <w:bCs/>
                <w:color w:val="000000"/>
                <w:lang w:val="sr-Cyrl-BA"/>
              </w:rPr>
              <w:t xml:space="preserve"> </w:t>
            </w:r>
            <w:r>
              <w:rPr>
                <w:rFonts w:ascii="Arial" w:hAnsi="Arial" w:cs="Arial"/>
                <w:b/>
                <w:bCs/>
                <w:color w:val="000000"/>
                <w:lang w:val="sr-Cyrl-BA"/>
              </w:rPr>
              <w:t>и</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с</w:t>
            </w:r>
            <w:r>
              <w:rPr>
                <w:rFonts w:ascii="Arial" w:hAnsi="Arial" w:cs="Arial"/>
                <w:b/>
                <w:bCs/>
                <w:color w:val="000000"/>
                <w:lang w:val="sr-Cyrl-BA"/>
              </w:rPr>
              <w:t>оф</w:t>
            </w:r>
            <w:r w:rsidR="0071360A">
              <w:rPr>
                <w:rFonts w:ascii="Arial" w:hAnsi="Arial" w:cs="Arial"/>
                <w:b/>
                <w:bCs/>
                <w:color w:val="000000"/>
                <w:lang w:val="sr-Cyrl-BA"/>
              </w:rPr>
              <w:t>тв</w:t>
            </w:r>
            <w:r w:rsidR="00EE6AA2">
              <w:rPr>
                <w:rFonts w:ascii="Arial" w:hAnsi="Arial" w:cs="Arial"/>
                <w:b/>
                <w:bCs/>
                <w:color w:val="000000"/>
                <w:lang w:val="sr-Cyrl-BA"/>
              </w:rPr>
              <w:t>е</w:t>
            </w:r>
            <w:r w:rsidR="0071360A">
              <w:rPr>
                <w:rFonts w:ascii="Arial" w:hAnsi="Arial" w:cs="Arial"/>
                <w:b/>
                <w:bCs/>
                <w:color w:val="000000"/>
                <w:lang w:val="sr-Cyrl-BA"/>
              </w:rPr>
              <w:t>р</w:t>
            </w:r>
            <w:r>
              <w:rPr>
                <w:rFonts w:ascii="Arial" w:hAnsi="Arial" w:cs="Arial"/>
                <w:b/>
                <w:bCs/>
                <w:color w:val="000000"/>
                <w:lang w:val="sr-Cyrl-BA"/>
              </w:rPr>
              <w:t>а</w:t>
            </w:r>
            <w:r w:rsidR="00892898" w:rsidRPr="00F6340E">
              <w:rPr>
                <w:rFonts w:ascii="Arial" w:hAnsi="Arial" w:cs="Arial"/>
                <w:b/>
                <w:bCs/>
                <w:color w:val="000000"/>
                <w:lang w:val="sr-Cyrl-BA"/>
              </w:rPr>
              <w:t xml:space="preserve">), </w:t>
            </w:r>
            <w:r>
              <w:rPr>
                <w:rFonts w:ascii="Arial" w:hAnsi="Arial" w:cs="Arial"/>
                <w:b/>
                <w:bCs/>
                <w:color w:val="000000"/>
                <w:lang w:val="sr-Cyrl-BA"/>
              </w:rPr>
              <w:t>као</w:t>
            </w:r>
            <w:r w:rsidR="00892898" w:rsidRPr="00F6340E">
              <w:rPr>
                <w:rFonts w:ascii="Arial" w:hAnsi="Arial" w:cs="Arial"/>
                <w:b/>
                <w:bCs/>
                <w:color w:val="000000"/>
                <w:lang w:val="sr-Cyrl-BA"/>
              </w:rPr>
              <w:t xml:space="preserve"> </w:t>
            </w:r>
            <w:r>
              <w:rPr>
                <w:rFonts w:ascii="Arial" w:hAnsi="Arial" w:cs="Arial"/>
                <w:b/>
                <w:bCs/>
                <w:color w:val="000000"/>
                <w:lang w:val="sr-Cyrl-BA"/>
              </w:rPr>
              <w:t>и</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р</w:t>
            </w:r>
            <w:r>
              <w:rPr>
                <w:rFonts w:ascii="Arial" w:hAnsi="Arial" w:cs="Arial"/>
                <w:b/>
                <w:bCs/>
                <w:color w:val="000000"/>
                <w:lang w:val="sr-Cyrl-BA"/>
              </w:rPr>
              <w:t>ад</w:t>
            </w:r>
            <w:r w:rsidR="00892898" w:rsidRPr="00F6340E">
              <w:rPr>
                <w:rFonts w:ascii="Arial" w:hAnsi="Arial" w:cs="Arial"/>
                <w:b/>
                <w:bCs/>
                <w:color w:val="000000"/>
                <w:lang w:val="sr-Cyrl-BA"/>
              </w:rPr>
              <w:t xml:space="preserve"> </w:t>
            </w:r>
            <w:r>
              <w:rPr>
                <w:rFonts w:ascii="Arial" w:hAnsi="Arial" w:cs="Arial"/>
                <w:b/>
                <w:bCs/>
                <w:color w:val="000000"/>
                <w:lang w:val="sr-Cyrl-BA"/>
              </w:rPr>
              <w:t>на</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усп</w:t>
            </w:r>
            <w:r>
              <w:rPr>
                <w:rFonts w:ascii="Arial" w:hAnsi="Arial" w:cs="Arial"/>
                <w:b/>
                <w:bCs/>
                <w:color w:val="000000"/>
                <w:lang w:val="sr-Cyrl-BA"/>
              </w:rPr>
              <w:t>о</w:t>
            </w:r>
            <w:r w:rsidR="0071360A">
              <w:rPr>
                <w:rFonts w:ascii="Arial" w:hAnsi="Arial" w:cs="Arial"/>
                <w:b/>
                <w:bCs/>
                <w:color w:val="000000"/>
                <w:lang w:val="sr-Cyrl-BA"/>
              </w:rPr>
              <w:t>ст</w:t>
            </w:r>
            <w:r>
              <w:rPr>
                <w:rFonts w:ascii="Arial" w:hAnsi="Arial" w:cs="Arial"/>
                <w:b/>
                <w:bCs/>
                <w:color w:val="000000"/>
                <w:lang w:val="sr-Cyrl-BA"/>
              </w:rPr>
              <w:t>а</w:t>
            </w:r>
            <w:r w:rsidR="0071360A">
              <w:rPr>
                <w:rFonts w:ascii="Arial" w:hAnsi="Arial" w:cs="Arial"/>
                <w:b/>
                <w:bCs/>
                <w:color w:val="000000"/>
                <w:lang w:val="sr-Cyrl-BA"/>
              </w:rPr>
              <w:t>в</w:t>
            </w:r>
            <w:r>
              <w:rPr>
                <w:rFonts w:ascii="Arial" w:hAnsi="Arial" w:cs="Arial"/>
                <w:b/>
                <w:bCs/>
                <w:color w:val="000000"/>
                <w:lang w:val="sr-Cyrl-BA"/>
              </w:rPr>
              <w:t>љањ</w:t>
            </w:r>
            <w:r w:rsidR="0071360A">
              <w:rPr>
                <w:rFonts w:ascii="Arial" w:hAnsi="Arial" w:cs="Arial"/>
                <w:b/>
                <w:bCs/>
                <w:color w:val="000000"/>
                <w:lang w:val="sr-Cyrl-BA"/>
              </w:rPr>
              <w:t>у</w:t>
            </w:r>
            <w:r w:rsidR="00892898" w:rsidRPr="00F6340E">
              <w:rPr>
                <w:rFonts w:ascii="Arial" w:hAnsi="Arial" w:cs="Arial"/>
                <w:b/>
                <w:bCs/>
                <w:color w:val="000000"/>
                <w:lang w:val="sr-Cyrl-BA"/>
              </w:rPr>
              <w:t xml:space="preserve">, </w:t>
            </w:r>
            <w:r>
              <w:rPr>
                <w:rFonts w:ascii="Arial" w:hAnsi="Arial" w:cs="Arial"/>
                <w:b/>
                <w:bCs/>
                <w:color w:val="000000"/>
                <w:lang w:val="sr-Cyrl-BA"/>
              </w:rPr>
              <w:t>од</w:t>
            </w:r>
            <w:r w:rsidR="0071360A">
              <w:rPr>
                <w:rFonts w:ascii="Arial" w:hAnsi="Arial" w:cs="Arial"/>
                <w:b/>
                <w:bCs/>
                <w:color w:val="000000"/>
                <w:lang w:val="sr-Cyrl-BA"/>
              </w:rPr>
              <w:t>р</w:t>
            </w:r>
            <w:r w:rsidR="00171F00">
              <w:rPr>
                <w:rFonts w:ascii="Arial" w:hAnsi="Arial" w:cs="Arial"/>
                <w:b/>
                <w:bCs/>
                <w:color w:val="000000"/>
                <w:lang w:val="sr-Cyrl-BA"/>
              </w:rPr>
              <w:t>ж</w:t>
            </w:r>
            <w:r>
              <w:rPr>
                <w:rFonts w:ascii="Arial" w:hAnsi="Arial" w:cs="Arial"/>
                <w:b/>
                <w:bCs/>
                <w:color w:val="000000"/>
                <w:lang w:val="sr-Cyrl-BA"/>
              </w:rPr>
              <w:t>а</w:t>
            </w:r>
            <w:r w:rsidR="0071360A">
              <w:rPr>
                <w:rFonts w:ascii="Arial" w:hAnsi="Arial" w:cs="Arial"/>
                <w:b/>
                <w:bCs/>
                <w:color w:val="000000"/>
                <w:lang w:val="sr-Cyrl-BA"/>
              </w:rPr>
              <w:t>в</w:t>
            </w:r>
            <w:r>
              <w:rPr>
                <w:rFonts w:ascii="Arial" w:hAnsi="Arial" w:cs="Arial"/>
                <w:b/>
                <w:bCs/>
                <w:color w:val="000000"/>
                <w:lang w:val="sr-Cyrl-BA"/>
              </w:rPr>
              <w:t>ањ</w:t>
            </w:r>
            <w:r w:rsidR="0071360A">
              <w:rPr>
                <w:rFonts w:ascii="Arial" w:hAnsi="Arial" w:cs="Arial"/>
                <w:b/>
                <w:bCs/>
                <w:color w:val="000000"/>
                <w:lang w:val="sr-Cyrl-BA"/>
              </w:rPr>
              <w:t>у</w:t>
            </w:r>
            <w:r w:rsidR="00892898" w:rsidRPr="00F6340E">
              <w:rPr>
                <w:rFonts w:ascii="Arial" w:hAnsi="Arial" w:cs="Arial"/>
                <w:b/>
                <w:bCs/>
                <w:color w:val="000000"/>
                <w:lang w:val="sr-Cyrl-BA"/>
              </w:rPr>
              <w:t xml:space="preserve"> </w:t>
            </w:r>
            <w:r>
              <w:rPr>
                <w:rFonts w:ascii="Arial" w:hAnsi="Arial" w:cs="Arial"/>
                <w:b/>
                <w:bCs/>
                <w:color w:val="000000"/>
                <w:lang w:val="sr-Cyrl-BA"/>
              </w:rPr>
              <w:t>и</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у</w:t>
            </w:r>
            <w:r>
              <w:rPr>
                <w:rFonts w:ascii="Arial" w:hAnsi="Arial" w:cs="Arial"/>
                <w:b/>
                <w:bCs/>
                <w:color w:val="000000"/>
                <w:lang w:val="sr-Cyrl-BA"/>
              </w:rPr>
              <w:t>на</w:t>
            </w:r>
            <w:r w:rsidR="0071360A">
              <w:rPr>
                <w:rFonts w:ascii="Arial" w:hAnsi="Arial" w:cs="Arial"/>
                <w:b/>
                <w:bCs/>
                <w:color w:val="000000"/>
                <w:lang w:val="sr-Cyrl-BA"/>
              </w:rPr>
              <w:t>пр</w:t>
            </w:r>
            <w:r>
              <w:rPr>
                <w:rFonts w:ascii="Arial" w:hAnsi="Arial" w:cs="Arial"/>
                <w:b/>
                <w:bCs/>
                <w:color w:val="000000"/>
                <w:lang w:val="sr-Cyrl-BA"/>
              </w:rPr>
              <w:t>ј</w:t>
            </w:r>
            <w:r w:rsidR="00EE6AA2">
              <w:rPr>
                <w:rFonts w:ascii="Arial" w:hAnsi="Arial" w:cs="Arial"/>
                <w:b/>
                <w:bCs/>
                <w:color w:val="000000"/>
                <w:lang w:val="sr-Cyrl-BA"/>
              </w:rPr>
              <w:t>е</w:t>
            </w:r>
            <w:r>
              <w:rPr>
                <w:rFonts w:ascii="Arial" w:hAnsi="Arial" w:cs="Arial"/>
                <w:b/>
                <w:bCs/>
                <w:color w:val="000000"/>
                <w:lang w:val="sr-Cyrl-BA"/>
              </w:rPr>
              <w:t>ђи</w:t>
            </w:r>
            <w:r w:rsidR="0071360A">
              <w:rPr>
                <w:rFonts w:ascii="Arial" w:hAnsi="Arial" w:cs="Arial"/>
                <w:b/>
                <w:bCs/>
                <w:color w:val="000000"/>
                <w:lang w:val="sr-Cyrl-BA"/>
              </w:rPr>
              <w:t>в</w:t>
            </w:r>
            <w:r>
              <w:rPr>
                <w:rFonts w:ascii="Arial" w:hAnsi="Arial" w:cs="Arial"/>
                <w:b/>
                <w:bCs/>
                <w:color w:val="000000"/>
                <w:lang w:val="sr-Cyrl-BA"/>
              </w:rPr>
              <w:t>ањ</w:t>
            </w:r>
            <w:r w:rsidR="0071360A">
              <w:rPr>
                <w:rFonts w:ascii="Arial" w:hAnsi="Arial" w:cs="Arial"/>
                <w:b/>
                <w:bCs/>
                <w:color w:val="000000"/>
                <w:lang w:val="sr-Cyrl-BA"/>
              </w:rPr>
              <w:t>у</w:t>
            </w:r>
            <w:r w:rsidR="00892898" w:rsidRPr="00F6340E">
              <w:rPr>
                <w:rFonts w:ascii="Arial" w:hAnsi="Arial" w:cs="Arial"/>
                <w:b/>
                <w:bCs/>
                <w:color w:val="000000"/>
                <w:lang w:val="sr-Cyrl-BA"/>
              </w:rPr>
              <w:t xml:space="preserve"> </w:t>
            </w:r>
            <w:r>
              <w:rPr>
                <w:rFonts w:ascii="Arial" w:hAnsi="Arial" w:cs="Arial"/>
                <w:b/>
                <w:bCs/>
                <w:color w:val="000000"/>
                <w:lang w:val="sr-Cyrl-BA"/>
              </w:rPr>
              <w:lastRenderedPageBreak/>
              <w:t>инфо</w:t>
            </w:r>
            <w:r w:rsidR="0071360A">
              <w:rPr>
                <w:rFonts w:ascii="Arial" w:hAnsi="Arial" w:cs="Arial"/>
                <w:b/>
                <w:bCs/>
                <w:color w:val="000000"/>
                <w:lang w:val="sr-Cyrl-BA"/>
              </w:rPr>
              <w:t>р</w:t>
            </w:r>
            <w:r>
              <w:rPr>
                <w:rFonts w:ascii="Arial" w:hAnsi="Arial" w:cs="Arial"/>
                <w:b/>
                <w:bCs/>
                <w:color w:val="000000"/>
                <w:lang w:val="sr-Cyrl-BA"/>
              </w:rPr>
              <w:t>ма</w:t>
            </w:r>
            <w:r w:rsidR="0071360A">
              <w:rPr>
                <w:rFonts w:ascii="Arial" w:hAnsi="Arial" w:cs="Arial"/>
                <w:b/>
                <w:bCs/>
                <w:color w:val="000000"/>
                <w:lang w:val="sr-Cyrl-BA"/>
              </w:rPr>
              <w:t>т</w:t>
            </w:r>
            <w:r>
              <w:rPr>
                <w:rFonts w:ascii="Arial" w:hAnsi="Arial" w:cs="Arial"/>
                <w:b/>
                <w:bCs/>
                <w:color w:val="000000"/>
                <w:lang w:val="sr-Cyrl-BA"/>
              </w:rPr>
              <w:t>ичког</w:t>
            </w:r>
            <w:r w:rsidR="000D3690" w:rsidRPr="00F6340E">
              <w:rPr>
                <w:rFonts w:ascii="Arial" w:hAnsi="Arial" w:cs="Arial"/>
                <w:b/>
                <w:bCs/>
                <w:color w:val="000000"/>
                <w:lang w:val="sr-Cyrl-BA"/>
              </w:rPr>
              <w:t xml:space="preserve"> </w:t>
            </w:r>
            <w:r w:rsidR="0071360A">
              <w:rPr>
                <w:rFonts w:ascii="Arial" w:hAnsi="Arial" w:cs="Arial"/>
                <w:b/>
                <w:bCs/>
                <w:color w:val="000000"/>
                <w:lang w:val="sr-Cyrl-BA"/>
              </w:rPr>
              <w:t>с</w:t>
            </w:r>
            <w:r>
              <w:rPr>
                <w:rFonts w:ascii="Arial" w:hAnsi="Arial" w:cs="Arial"/>
                <w:b/>
                <w:bCs/>
                <w:color w:val="000000"/>
                <w:lang w:val="sr-Cyrl-BA"/>
              </w:rPr>
              <w:t>и</w:t>
            </w:r>
            <w:r w:rsidR="0071360A">
              <w:rPr>
                <w:rFonts w:ascii="Arial" w:hAnsi="Arial" w:cs="Arial"/>
                <w:b/>
                <w:bCs/>
                <w:color w:val="000000"/>
                <w:lang w:val="sr-Cyrl-BA"/>
              </w:rPr>
              <w:t>ст</w:t>
            </w:r>
            <w:r w:rsidR="00EE6AA2">
              <w:rPr>
                <w:rFonts w:ascii="Arial" w:hAnsi="Arial" w:cs="Arial"/>
                <w:b/>
                <w:bCs/>
                <w:color w:val="000000"/>
                <w:lang w:val="sr-Cyrl-BA"/>
              </w:rPr>
              <w:t>е</w:t>
            </w:r>
            <w:r>
              <w:rPr>
                <w:rFonts w:ascii="Arial" w:hAnsi="Arial" w:cs="Arial"/>
                <w:b/>
                <w:bCs/>
                <w:color w:val="000000"/>
                <w:lang w:val="sr-Cyrl-BA"/>
              </w:rPr>
              <w:t>ма</w:t>
            </w:r>
            <w:r w:rsidR="000D3690" w:rsidRPr="00F6340E">
              <w:rPr>
                <w:rFonts w:ascii="Arial" w:hAnsi="Arial" w:cs="Arial"/>
                <w:b/>
                <w:bCs/>
                <w:color w:val="000000"/>
                <w:lang w:val="sr-Cyrl-BA"/>
              </w:rPr>
              <w:t>,</w:t>
            </w:r>
            <w:r w:rsidR="00892898" w:rsidRPr="00F6340E">
              <w:rPr>
                <w:rFonts w:ascii="Arial" w:hAnsi="Arial" w:cs="Arial"/>
                <w:b/>
                <w:bCs/>
                <w:color w:val="000000"/>
                <w:lang w:val="sr-Cyrl-BA"/>
              </w:rPr>
              <w:t xml:space="preserve"> </w:t>
            </w:r>
            <w:r>
              <w:rPr>
                <w:rFonts w:ascii="Arial" w:hAnsi="Arial" w:cs="Arial"/>
                <w:b/>
                <w:bCs/>
                <w:color w:val="000000"/>
                <w:lang w:val="sr-Cyrl-BA"/>
              </w:rPr>
              <w:t>који</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с</w:t>
            </w:r>
            <w:r w:rsidR="00EE6AA2">
              <w:rPr>
                <w:rFonts w:ascii="Arial" w:hAnsi="Arial" w:cs="Arial"/>
                <w:b/>
                <w:bCs/>
                <w:color w:val="000000"/>
                <w:lang w:val="sr-Cyrl-BA"/>
              </w:rPr>
              <w:t>е</w:t>
            </w:r>
            <w:r w:rsidR="00DB12EE" w:rsidRPr="00F6340E">
              <w:rPr>
                <w:rFonts w:ascii="Arial" w:hAnsi="Arial" w:cs="Arial"/>
                <w:b/>
                <w:bCs/>
                <w:color w:val="000000"/>
                <w:lang w:val="sr-Cyrl-BA"/>
              </w:rPr>
              <w:t xml:space="preserve"> </w:t>
            </w:r>
            <w:r>
              <w:rPr>
                <w:rFonts w:ascii="Arial" w:hAnsi="Arial" w:cs="Arial"/>
                <w:b/>
                <w:bCs/>
                <w:color w:val="000000"/>
                <w:lang w:val="sr-Cyrl-BA"/>
              </w:rPr>
              <w:t>ко</w:t>
            </w:r>
            <w:r w:rsidR="0071360A">
              <w:rPr>
                <w:rFonts w:ascii="Arial" w:hAnsi="Arial" w:cs="Arial"/>
                <w:b/>
                <w:bCs/>
                <w:color w:val="000000"/>
                <w:lang w:val="sr-Cyrl-BA"/>
              </w:rPr>
              <w:t>р</w:t>
            </w:r>
            <w:r>
              <w:rPr>
                <w:rFonts w:ascii="Arial" w:hAnsi="Arial" w:cs="Arial"/>
                <w:b/>
                <w:bCs/>
                <w:color w:val="000000"/>
                <w:lang w:val="sr-Cyrl-BA"/>
              </w:rPr>
              <w:t>и</w:t>
            </w:r>
            <w:r w:rsidR="0071360A">
              <w:rPr>
                <w:rFonts w:ascii="Arial" w:hAnsi="Arial" w:cs="Arial"/>
                <w:b/>
                <w:bCs/>
                <w:color w:val="000000"/>
                <w:lang w:val="sr-Cyrl-BA"/>
              </w:rPr>
              <w:t>ст</w:t>
            </w:r>
            <w:r>
              <w:rPr>
                <w:rFonts w:ascii="Arial" w:hAnsi="Arial" w:cs="Arial"/>
                <w:b/>
                <w:bCs/>
                <w:color w:val="000000"/>
                <w:lang w:val="sr-Cyrl-BA"/>
              </w:rPr>
              <w:t>и</w:t>
            </w:r>
            <w:r w:rsidR="00DB12EE" w:rsidRPr="00F6340E">
              <w:rPr>
                <w:rFonts w:ascii="Arial" w:hAnsi="Arial" w:cs="Arial"/>
                <w:b/>
                <w:bCs/>
                <w:color w:val="000000"/>
                <w:lang w:val="sr-Cyrl-BA"/>
              </w:rPr>
              <w:t xml:space="preserve"> </w:t>
            </w:r>
            <w:r w:rsidR="0071360A">
              <w:rPr>
                <w:rFonts w:ascii="Arial" w:hAnsi="Arial" w:cs="Arial"/>
                <w:b/>
                <w:bCs/>
                <w:color w:val="000000"/>
                <w:lang w:val="sr-Cyrl-BA"/>
              </w:rPr>
              <w:t>у</w:t>
            </w:r>
            <w:r w:rsidR="00892898" w:rsidRPr="00F6340E">
              <w:rPr>
                <w:rFonts w:ascii="Arial" w:hAnsi="Arial" w:cs="Arial"/>
                <w:b/>
                <w:bCs/>
                <w:color w:val="000000"/>
                <w:lang w:val="sr-Cyrl-BA"/>
              </w:rPr>
              <w:t xml:space="preserve"> </w:t>
            </w:r>
            <w:r w:rsidR="0071360A">
              <w:rPr>
                <w:rFonts w:ascii="Arial" w:hAnsi="Arial" w:cs="Arial"/>
                <w:b/>
                <w:bCs/>
                <w:color w:val="000000"/>
                <w:lang w:val="sr-Cyrl-BA"/>
              </w:rPr>
              <w:t>с</w:t>
            </w:r>
            <w:r>
              <w:rPr>
                <w:rFonts w:ascii="Arial" w:hAnsi="Arial" w:cs="Arial"/>
                <w:b/>
                <w:bCs/>
                <w:color w:val="000000"/>
                <w:lang w:val="sr-Cyrl-BA"/>
              </w:rPr>
              <w:t>кло</w:t>
            </w:r>
            <w:r w:rsidR="0071360A">
              <w:rPr>
                <w:rFonts w:ascii="Arial" w:hAnsi="Arial" w:cs="Arial"/>
                <w:b/>
                <w:bCs/>
                <w:color w:val="000000"/>
                <w:lang w:val="sr-Cyrl-BA"/>
              </w:rPr>
              <w:t>пу</w:t>
            </w:r>
            <w:r w:rsidR="00892898" w:rsidRPr="00F6340E">
              <w:rPr>
                <w:rFonts w:ascii="Arial" w:hAnsi="Arial" w:cs="Arial"/>
                <w:b/>
                <w:bCs/>
                <w:color w:val="000000"/>
                <w:lang w:val="sr-Cyrl-BA"/>
              </w:rPr>
              <w:t xml:space="preserve"> </w:t>
            </w:r>
            <w:r>
              <w:rPr>
                <w:rFonts w:ascii="Arial" w:hAnsi="Arial" w:cs="Arial"/>
                <w:b/>
                <w:color w:val="000000" w:themeColor="text1"/>
                <w:lang w:val="sr-Cyrl-BA"/>
              </w:rPr>
              <w:t>об</w:t>
            </w:r>
            <w:r w:rsidR="0071360A">
              <w:rPr>
                <w:rFonts w:ascii="Arial" w:hAnsi="Arial" w:cs="Arial"/>
                <w:b/>
                <w:color w:val="000000" w:themeColor="text1"/>
                <w:lang w:val="sr-Cyrl-BA"/>
              </w:rPr>
              <w:t>р</w:t>
            </w:r>
            <w:r>
              <w:rPr>
                <w:rFonts w:ascii="Arial" w:hAnsi="Arial" w:cs="Arial"/>
                <w:b/>
                <w:color w:val="000000" w:themeColor="text1"/>
                <w:lang w:val="sr-Cyrl-BA"/>
              </w:rPr>
              <w:t>а</w:t>
            </w:r>
            <w:r w:rsidR="00171F00">
              <w:rPr>
                <w:rFonts w:ascii="Arial" w:hAnsi="Arial" w:cs="Arial"/>
                <w:b/>
                <w:color w:val="000000" w:themeColor="text1"/>
                <w:lang w:val="sr-Cyrl-BA"/>
              </w:rPr>
              <w:t>з</w:t>
            </w:r>
            <w:r>
              <w:rPr>
                <w:rFonts w:ascii="Arial" w:hAnsi="Arial" w:cs="Arial"/>
                <w:b/>
                <w:color w:val="000000" w:themeColor="text1"/>
                <w:lang w:val="sr-Cyrl-BA"/>
              </w:rPr>
              <w:t>о</w:t>
            </w:r>
            <w:r w:rsidR="0071360A">
              <w:rPr>
                <w:rFonts w:ascii="Arial" w:hAnsi="Arial" w:cs="Arial"/>
                <w:b/>
                <w:color w:val="000000" w:themeColor="text1"/>
                <w:lang w:val="sr-Cyrl-BA"/>
              </w:rPr>
              <w:t>в</w:t>
            </w:r>
            <w:r>
              <w:rPr>
                <w:rFonts w:ascii="Arial" w:hAnsi="Arial" w:cs="Arial"/>
                <w:b/>
                <w:color w:val="000000" w:themeColor="text1"/>
                <w:lang w:val="sr-Cyrl-BA"/>
              </w:rPr>
              <w:t>н</w:t>
            </w:r>
            <w:r w:rsidR="00EE6AA2">
              <w:rPr>
                <w:rFonts w:ascii="Arial" w:hAnsi="Arial" w:cs="Arial"/>
                <w:b/>
                <w:color w:val="000000" w:themeColor="text1"/>
                <w:lang w:val="sr-Cyrl-BA"/>
              </w:rPr>
              <w:t>е</w:t>
            </w:r>
            <w:r w:rsidR="000D3690" w:rsidRPr="00F6340E">
              <w:rPr>
                <w:rFonts w:ascii="Arial" w:hAnsi="Arial" w:cs="Arial"/>
                <w:b/>
                <w:color w:val="000000" w:themeColor="text1"/>
                <w:lang w:val="sr-Cyrl-BA"/>
              </w:rPr>
              <w:t xml:space="preserve"> </w:t>
            </w:r>
            <w:r>
              <w:rPr>
                <w:rFonts w:ascii="Arial" w:hAnsi="Arial" w:cs="Arial"/>
                <w:b/>
                <w:color w:val="000000" w:themeColor="text1"/>
                <w:lang w:val="sr-Cyrl-BA"/>
              </w:rPr>
              <w:t>ин</w:t>
            </w:r>
            <w:r w:rsidR="0071360A">
              <w:rPr>
                <w:rFonts w:ascii="Arial" w:hAnsi="Arial" w:cs="Arial"/>
                <w:b/>
                <w:color w:val="000000" w:themeColor="text1"/>
                <w:lang w:val="sr-Cyrl-BA"/>
              </w:rPr>
              <w:t>ст</w:t>
            </w:r>
            <w:r>
              <w:rPr>
                <w:rFonts w:ascii="Arial" w:hAnsi="Arial" w:cs="Arial"/>
                <w:b/>
                <w:color w:val="000000" w:themeColor="text1"/>
                <w:lang w:val="sr-Cyrl-BA"/>
              </w:rPr>
              <w:t>и</w:t>
            </w:r>
            <w:r w:rsidR="0071360A">
              <w:rPr>
                <w:rFonts w:ascii="Arial" w:hAnsi="Arial" w:cs="Arial"/>
                <w:b/>
                <w:color w:val="000000" w:themeColor="text1"/>
                <w:lang w:val="sr-Cyrl-BA"/>
              </w:rPr>
              <w:t>ту</w:t>
            </w:r>
            <w:r>
              <w:rPr>
                <w:rFonts w:ascii="Arial" w:hAnsi="Arial" w:cs="Arial"/>
                <w:b/>
                <w:color w:val="000000" w:themeColor="text1"/>
                <w:lang w:val="sr-Cyrl-BA"/>
              </w:rPr>
              <w:t>циј</w:t>
            </w:r>
            <w:r w:rsidR="00EE6AA2">
              <w:rPr>
                <w:rFonts w:ascii="Arial" w:hAnsi="Arial" w:cs="Arial"/>
                <w:b/>
                <w:color w:val="000000" w:themeColor="text1"/>
                <w:lang w:val="sr-Cyrl-BA"/>
              </w:rPr>
              <w:t>е</w:t>
            </w:r>
            <w:r w:rsidR="000D3690" w:rsidRPr="00F6340E">
              <w:rPr>
                <w:rFonts w:ascii="Arial" w:hAnsi="Arial" w:cs="Arial"/>
                <w:b/>
                <w:color w:val="000000" w:themeColor="text1"/>
                <w:lang w:val="sr-Cyrl-BA"/>
              </w:rPr>
              <w:t>/</w:t>
            </w:r>
            <w:r w:rsidR="0071360A">
              <w:rPr>
                <w:rFonts w:ascii="Arial" w:hAnsi="Arial" w:cs="Arial"/>
                <w:b/>
                <w:color w:val="000000" w:themeColor="text1"/>
                <w:lang w:val="sr-Cyrl-BA"/>
              </w:rPr>
              <w:t>у</w:t>
            </w:r>
            <w:r>
              <w:rPr>
                <w:rFonts w:ascii="Arial" w:hAnsi="Arial" w:cs="Arial"/>
                <w:b/>
                <w:color w:val="000000" w:themeColor="text1"/>
                <w:lang w:val="sr-Cyrl-BA"/>
              </w:rPr>
              <w:t>ни</w:t>
            </w:r>
            <w:r w:rsidR="0071360A">
              <w:rPr>
                <w:rFonts w:ascii="Arial" w:hAnsi="Arial" w:cs="Arial"/>
                <w:b/>
                <w:color w:val="000000" w:themeColor="text1"/>
                <w:lang w:val="sr-Cyrl-BA"/>
              </w:rPr>
              <w:t>в</w:t>
            </w:r>
            <w:r w:rsidR="00EE6AA2">
              <w:rPr>
                <w:rFonts w:ascii="Arial" w:hAnsi="Arial" w:cs="Arial"/>
                <w:b/>
                <w:color w:val="000000" w:themeColor="text1"/>
                <w:lang w:val="sr-Cyrl-BA"/>
              </w:rPr>
              <w:t>е</w:t>
            </w:r>
            <w:r w:rsidR="0071360A">
              <w:rPr>
                <w:rFonts w:ascii="Arial" w:hAnsi="Arial" w:cs="Arial"/>
                <w:b/>
                <w:color w:val="000000" w:themeColor="text1"/>
                <w:lang w:val="sr-Cyrl-BA"/>
              </w:rPr>
              <w:t>р</w:t>
            </w:r>
            <w:r w:rsidR="00171F00">
              <w:rPr>
                <w:rFonts w:ascii="Arial" w:hAnsi="Arial" w:cs="Arial"/>
                <w:b/>
                <w:color w:val="000000" w:themeColor="text1"/>
                <w:lang w:val="sr-Cyrl-BA"/>
              </w:rPr>
              <w:t>з</w:t>
            </w:r>
            <w:r>
              <w:rPr>
                <w:rFonts w:ascii="Arial" w:hAnsi="Arial" w:cs="Arial"/>
                <w:b/>
                <w:color w:val="000000" w:themeColor="text1"/>
                <w:lang w:val="sr-Cyrl-BA"/>
              </w:rPr>
              <w:t>и</w:t>
            </w:r>
            <w:r w:rsidR="0071360A">
              <w:rPr>
                <w:rFonts w:ascii="Arial" w:hAnsi="Arial" w:cs="Arial"/>
                <w:b/>
                <w:color w:val="000000" w:themeColor="text1"/>
                <w:lang w:val="sr-Cyrl-BA"/>
              </w:rPr>
              <w:t>т</w:t>
            </w:r>
            <w:r w:rsidR="00EE6AA2">
              <w:rPr>
                <w:rFonts w:ascii="Arial" w:hAnsi="Arial" w:cs="Arial"/>
                <w:b/>
                <w:color w:val="000000" w:themeColor="text1"/>
                <w:lang w:val="sr-Cyrl-BA"/>
              </w:rPr>
              <w:t>е</w:t>
            </w:r>
            <w:r w:rsidR="0071360A">
              <w:rPr>
                <w:rFonts w:ascii="Arial" w:hAnsi="Arial" w:cs="Arial"/>
                <w:b/>
                <w:color w:val="000000" w:themeColor="text1"/>
                <w:lang w:val="sr-Cyrl-BA"/>
              </w:rPr>
              <w:t>т</w:t>
            </w:r>
            <w:r w:rsidR="00EE6AA2">
              <w:rPr>
                <w:rFonts w:ascii="Arial" w:hAnsi="Arial" w:cs="Arial"/>
                <w:b/>
                <w:color w:val="000000" w:themeColor="text1"/>
                <w:lang w:val="sr-Cyrl-BA"/>
              </w:rPr>
              <w:t>е</w:t>
            </w:r>
          </w:p>
          <w:p w14:paraId="42F45377" w14:textId="4EA05198" w:rsidR="00892898" w:rsidRPr="00F6340E" w:rsidRDefault="0071360A" w:rsidP="00FB5CB7">
            <w:pPr>
              <w:ind w:left="360"/>
              <w:contextualSpacing/>
              <w:jc w:val="left"/>
              <w:textAlignment w:val="baseline"/>
              <w:rPr>
                <w:rFonts w:ascii="Arial" w:hAnsi="Arial" w:cs="Arial"/>
                <w:color w:val="000000"/>
                <w:lang w:val="sr-Cyrl-BA"/>
              </w:rPr>
            </w:pPr>
            <w:r>
              <w:rPr>
                <w:rFonts w:ascii="Arial" w:hAnsi="Arial" w:cs="Arial"/>
                <w:color w:val="000000" w:themeColor="text1"/>
                <w:lang w:val="sr-Cyrl-BA"/>
              </w:rPr>
              <w:t>Р</w:t>
            </w:r>
            <w:r w:rsidR="00A56E08">
              <w:rPr>
                <w:rFonts w:ascii="Arial" w:hAnsi="Arial" w:cs="Arial"/>
                <w:color w:val="000000" w:themeColor="text1"/>
                <w:lang w:val="sr-Cyrl-BA"/>
              </w:rPr>
              <w:t>адно</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ст</w:t>
            </w:r>
            <w:r w:rsidR="00A56E08">
              <w:rPr>
                <w:rFonts w:ascii="Arial" w:hAnsi="Arial" w:cs="Arial"/>
                <w:color w:val="000000" w:themeColor="text1"/>
                <w:lang w:val="sr-Cyrl-BA"/>
              </w:rPr>
              <w:t>о</w:t>
            </w:r>
            <w:r w:rsidR="000A2EA6" w:rsidRPr="00F6340E">
              <w:rPr>
                <w:rFonts w:ascii="Arial" w:hAnsi="Arial" w:cs="Arial"/>
                <w:color w:val="000000" w:themeColor="text1"/>
                <w:lang w:val="sr-Cyrl-BA"/>
              </w:rPr>
              <w:t xml:space="preserve"> </w:t>
            </w:r>
            <w:r>
              <w:rPr>
                <w:rFonts w:ascii="Arial" w:hAnsi="Arial" w:cs="Arial"/>
                <w:color w:val="000000" w:themeColor="text1"/>
                <w:lang w:val="sr-Cyrl-BA"/>
              </w:rPr>
              <w:t>стру</w:t>
            </w:r>
            <w:r w:rsidR="00A56E08">
              <w:rPr>
                <w:rFonts w:ascii="Arial" w:hAnsi="Arial" w:cs="Arial"/>
                <w:color w:val="000000" w:themeColor="text1"/>
                <w:lang w:val="sr-Cyrl-BA"/>
              </w:rPr>
              <w:t>чних</w:t>
            </w:r>
            <w:r w:rsidR="000A2EA6"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а</w:t>
            </w:r>
            <w:r>
              <w:rPr>
                <w:rFonts w:ascii="Arial" w:hAnsi="Arial" w:cs="Arial"/>
                <w:color w:val="000000" w:themeColor="text1"/>
                <w:lang w:val="sr-Cyrl-BA"/>
              </w:rPr>
              <w:t>р</w:t>
            </w:r>
            <w:r w:rsidR="00A56E08">
              <w:rPr>
                <w:rFonts w:ascii="Arial" w:hAnsi="Arial" w:cs="Arial"/>
                <w:color w:val="000000" w:themeColor="text1"/>
                <w:lang w:val="sr-Cyrl-BA"/>
              </w:rPr>
              <w:t>адника</w:t>
            </w:r>
            <w:r w:rsidR="000A2EA6" w:rsidRPr="00F6340E">
              <w:rPr>
                <w:rFonts w:ascii="Arial" w:hAnsi="Arial" w:cs="Arial"/>
                <w:color w:val="000000" w:themeColor="text1"/>
                <w:lang w:val="sr-Cyrl-BA"/>
              </w:rPr>
              <w:t xml:space="preserve"> </w:t>
            </w:r>
            <w:r>
              <w:rPr>
                <w:rFonts w:ascii="Arial" w:hAnsi="Arial" w:cs="Arial"/>
                <w:color w:val="000000" w:themeColor="text1"/>
                <w:lang w:val="sr-Cyrl-BA"/>
              </w:rPr>
              <w:t>у</w:t>
            </w:r>
            <w:r w:rsidR="000A2EA6" w:rsidRPr="00F6340E">
              <w:rPr>
                <w:rFonts w:ascii="Arial" w:hAnsi="Arial" w:cs="Arial"/>
                <w:color w:val="000000" w:themeColor="text1"/>
                <w:lang w:val="sr-Cyrl-BA"/>
              </w:rPr>
              <w:t xml:space="preserve"> </w:t>
            </w:r>
            <w:r w:rsidR="00A56E08">
              <w:rPr>
                <w:rFonts w:ascii="Arial" w:hAnsi="Arial" w:cs="Arial"/>
                <w:color w:val="000000" w:themeColor="text1"/>
                <w:lang w:val="sr-Cyrl-BA"/>
              </w:rPr>
              <w:t>одј</w:t>
            </w:r>
            <w:r w:rsidR="00EE6AA2">
              <w:rPr>
                <w:rFonts w:ascii="Arial" w:hAnsi="Arial" w:cs="Arial"/>
                <w:color w:val="000000" w:themeColor="text1"/>
                <w:lang w:val="sr-Cyrl-BA"/>
              </w:rPr>
              <w:t>е</w:t>
            </w:r>
            <w:r w:rsidR="00A56E08">
              <w:rPr>
                <w:rFonts w:ascii="Arial" w:hAnsi="Arial" w:cs="Arial"/>
                <w:color w:val="000000" w:themeColor="text1"/>
                <w:lang w:val="sr-Cyrl-BA"/>
              </w:rPr>
              <w:t>л</w:t>
            </w:r>
            <w:r>
              <w:rPr>
                <w:rFonts w:ascii="Arial" w:hAnsi="Arial" w:cs="Arial"/>
                <w:color w:val="000000" w:themeColor="text1"/>
                <w:lang w:val="sr-Cyrl-BA"/>
              </w:rPr>
              <w:t>у</w:t>
            </w:r>
            <w:r w:rsidR="00373C6D" w:rsidRPr="00F6340E">
              <w:rPr>
                <w:rFonts w:ascii="Arial" w:hAnsi="Arial" w:cs="Arial"/>
                <w:color w:val="000000" w:themeColor="text1"/>
                <w:lang w:val="sr-Cyrl-BA"/>
              </w:rPr>
              <w:t xml:space="preserve"> </w:t>
            </w:r>
            <w:r w:rsidR="00171F00">
              <w:rPr>
                <w:rFonts w:ascii="Arial" w:hAnsi="Arial" w:cs="Arial"/>
                <w:color w:val="000000" w:themeColor="text1"/>
                <w:lang w:val="sr-Cyrl-BA"/>
              </w:rPr>
              <w:t>з</w:t>
            </w:r>
            <w:r w:rsidR="00A56E08">
              <w:rPr>
                <w:rFonts w:ascii="Arial" w:hAnsi="Arial" w:cs="Arial"/>
                <w:color w:val="000000" w:themeColor="text1"/>
                <w:lang w:val="sr-Cyrl-BA"/>
              </w:rPr>
              <w:t>а</w:t>
            </w:r>
            <w:r w:rsidR="00373C6D"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Pr>
                <w:rFonts w:ascii="Arial" w:hAnsi="Arial" w:cs="Arial"/>
                <w:color w:val="000000" w:themeColor="text1"/>
                <w:lang w:val="sr-Cyrl-BA"/>
              </w:rPr>
              <w:t>Т</w:t>
            </w:r>
            <w:r w:rsidR="000A2EA6"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0A2EA6" w:rsidRPr="00F6340E">
              <w:rPr>
                <w:rFonts w:ascii="Arial" w:hAnsi="Arial" w:cs="Arial"/>
                <w:color w:val="000000" w:themeColor="text1"/>
                <w:lang w:val="sr-Cyrl-BA"/>
              </w:rPr>
              <w:t xml:space="preserve"> </w:t>
            </w:r>
            <w:r>
              <w:rPr>
                <w:rFonts w:ascii="Arial" w:hAnsi="Arial" w:cs="Arial"/>
                <w:color w:val="000000" w:themeColor="text1"/>
                <w:lang w:val="sr-Cyrl-BA"/>
              </w:rPr>
              <w:t>ру</w:t>
            </w:r>
            <w:r w:rsidR="00A56E08">
              <w:rPr>
                <w:rFonts w:ascii="Arial" w:hAnsi="Arial" w:cs="Arial"/>
                <w:color w:val="000000" w:themeColor="text1"/>
                <w:lang w:val="sr-Cyrl-BA"/>
              </w:rPr>
              <w:t>к</w:t>
            </w:r>
            <w:r>
              <w:rPr>
                <w:rFonts w:ascii="Arial" w:hAnsi="Arial" w:cs="Arial"/>
                <w:color w:val="000000" w:themeColor="text1"/>
                <w:lang w:val="sr-Cyrl-BA"/>
              </w:rPr>
              <w:t>у</w:t>
            </w:r>
            <w:r w:rsidR="00A56E08">
              <w:rPr>
                <w:rFonts w:ascii="Arial" w:hAnsi="Arial" w:cs="Arial"/>
                <w:color w:val="000000" w:themeColor="text1"/>
                <w:lang w:val="sr-Cyrl-BA"/>
              </w:rPr>
              <w:t>ј</w:t>
            </w:r>
            <w:r>
              <w:rPr>
                <w:rFonts w:ascii="Arial" w:hAnsi="Arial" w:cs="Arial"/>
                <w:color w:val="000000" w:themeColor="text1"/>
                <w:lang w:val="sr-Cyrl-BA"/>
              </w:rPr>
              <w:t>у</w:t>
            </w:r>
            <w:r w:rsidR="000A2EA6"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ном</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хником</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т</w:t>
            </w:r>
            <w:r w:rsidR="00EE6AA2">
              <w:rPr>
                <w:rFonts w:ascii="Arial" w:hAnsi="Arial" w:cs="Arial"/>
                <w:color w:val="000000" w:themeColor="text1"/>
                <w:lang w:val="sr-Cyrl-BA"/>
              </w:rPr>
              <w:t>е</w:t>
            </w:r>
            <w:r w:rsidR="00A56E08">
              <w:rPr>
                <w:rFonts w:ascii="Arial" w:hAnsi="Arial" w:cs="Arial"/>
                <w:color w:val="000000" w:themeColor="text1"/>
                <w:lang w:val="sr-Cyrl-BA"/>
              </w:rPr>
              <w:t>хнологијом</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ха</w:t>
            </w:r>
            <w:r>
              <w:rPr>
                <w:rFonts w:ascii="Arial" w:hAnsi="Arial" w:cs="Arial"/>
                <w:color w:val="000000" w:themeColor="text1"/>
                <w:lang w:val="sr-Cyrl-BA"/>
              </w:rPr>
              <w:t>р</w:t>
            </w:r>
            <w:r w:rsidR="00A56E08">
              <w:rPr>
                <w:rFonts w:ascii="Arial" w:hAnsi="Arial" w:cs="Arial"/>
                <w:color w:val="000000" w:themeColor="text1"/>
                <w:lang w:val="sr-Cyrl-BA"/>
              </w:rPr>
              <w:t>д</w:t>
            </w:r>
            <w:r>
              <w:rPr>
                <w:rFonts w:ascii="Arial" w:hAnsi="Arial" w:cs="Arial"/>
                <w:color w:val="000000" w:themeColor="text1"/>
                <w:lang w:val="sr-Cyrl-BA"/>
              </w:rPr>
              <w:t>в</w:t>
            </w:r>
            <w:r w:rsidR="00EE6AA2">
              <w:rPr>
                <w:rFonts w:ascii="Arial" w:hAnsi="Arial" w:cs="Arial"/>
                <w:color w:val="000000" w:themeColor="text1"/>
                <w:lang w:val="sr-Cyrl-BA"/>
              </w:rPr>
              <w:t>е</w:t>
            </w:r>
            <w:r>
              <w:rPr>
                <w:rFonts w:ascii="Arial" w:hAnsi="Arial" w:cs="Arial"/>
                <w:color w:val="000000" w:themeColor="text1"/>
                <w:lang w:val="sr-Cyrl-BA"/>
              </w:rPr>
              <w:t>р</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оф</w:t>
            </w:r>
            <w:r>
              <w:rPr>
                <w:rFonts w:ascii="Arial" w:hAnsi="Arial" w:cs="Arial"/>
                <w:color w:val="000000" w:themeColor="text1"/>
                <w:lang w:val="sr-Cyrl-BA"/>
              </w:rPr>
              <w:t>тв</w:t>
            </w:r>
            <w:r w:rsidR="00EE6AA2">
              <w:rPr>
                <w:rFonts w:ascii="Arial" w:hAnsi="Arial" w:cs="Arial"/>
                <w:color w:val="000000" w:themeColor="text1"/>
                <w:lang w:val="sr-Cyrl-BA"/>
              </w:rPr>
              <w:t>е</w:t>
            </w:r>
            <w:r>
              <w:rPr>
                <w:rFonts w:ascii="Arial" w:hAnsi="Arial" w:cs="Arial"/>
                <w:color w:val="000000" w:themeColor="text1"/>
                <w:lang w:val="sr-Cyrl-BA"/>
              </w:rPr>
              <w:t>р</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ад</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на</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усп</w:t>
            </w:r>
            <w:r w:rsidR="00A56E08">
              <w:rPr>
                <w:rFonts w:ascii="Arial" w:hAnsi="Arial" w:cs="Arial"/>
                <w:color w:val="000000" w:themeColor="text1"/>
                <w:lang w:val="sr-Cyrl-BA"/>
              </w:rPr>
              <w:t>о</w:t>
            </w:r>
            <w:r>
              <w:rPr>
                <w:rFonts w:ascii="Arial" w:hAnsi="Arial" w:cs="Arial"/>
                <w:color w:val="000000" w:themeColor="text1"/>
                <w:lang w:val="sr-Cyrl-BA"/>
              </w:rPr>
              <w:t>ст</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љањ</w:t>
            </w:r>
            <w:r>
              <w:rPr>
                <w:rFonts w:ascii="Arial" w:hAnsi="Arial" w:cs="Arial"/>
                <w:color w:val="000000" w:themeColor="text1"/>
                <w:lang w:val="sr-Cyrl-BA"/>
              </w:rPr>
              <w:t>у</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од</w:t>
            </w:r>
            <w:r>
              <w:rPr>
                <w:rFonts w:ascii="Arial" w:hAnsi="Arial" w:cs="Arial"/>
                <w:color w:val="000000" w:themeColor="text1"/>
                <w:lang w:val="sr-Cyrl-BA"/>
              </w:rPr>
              <w:t>р</w:t>
            </w:r>
            <w:r w:rsidR="00171F00">
              <w:rPr>
                <w:rFonts w:ascii="Arial" w:hAnsi="Arial" w:cs="Arial"/>
                <w:color w:val="000000" w:themeColor="text1"/>
                <w:lang w:val="sr-Cyrl-BA"/>
              </w:rPr>
              <w:t>ж</w:t>
            </w:r>
            <w:r w:rsidR="00A56E08">
              <w:rPr>
                <w:rFonts w:ascii="Arial" w:hAnsi="Arial" w:cs="Arial"/>
                <w:color w:val="000000" w:themeColor="text1"/>
                <w:lang w:val="sr-Cyrl-BA"/>
              </w:rPr>
              <w:t>а</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на</w:t>
            </w:r>
            <w:r>
              <w:rPr>
                <w:rFonts w:ascii="Arial" w:hAnsi="Arial" w:cs="Arial"/>
                <w:color w:val="000000" w:themeColor="text1"/>
                <w:lang w:val="sr-Cyrl-BA"/>
              </w:rPr>
              <w:t>пр</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A56E08">
              <w:rPr>
                <w:rFonts w:ascii="Arial" w:hAnsi="Arial" w:cs="Arial"/>
                <w:color w:val="000000" w:themeColor="text1"/>
                <w:lang w:val="sr-Cyrl-BA"/>
              </w:rPr>
              <w:t>ђи</w:t>
            </w:r>
            <w:r>
              <w:rPr>
                <w:rFonts w:ascii="Arial" w:hAnsi="Arial" w:cs="Arial"/>
                <w:color w:val="000000" w:themeColor="text1"/>
                <w:lang w:val="sr-Cyrl-BA"/>
              </w:rPr>
              <w:t>в</w:t>
            </w:r>
            <w:r w:rsidR="00A56E08">
              <w:rPr>
                <w:rFonts w:ascii="Arial" w:hAnsi="Arial" w:cs="Arial"/>
                <w:color w:val="000000" w:themeColor="text1"/>
                <w:lang w:val="sr-Cyrl-BA"/>
              </w:rPr>
              <w:t>ањ</w:t>
            </w:r>
            <w:r>
              <w:rPr>
                <w:rFonts w:ascii="Arial" w:hAnsi="Arial" w:cs="Arial"/>
                <w:color w:val="000000" w:themeColor="text1"/>
                <w:lang w:val="sr-Cyrl-BA"/>
              </w:rPr>
              <w:t>у</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инфо</w:t>
            </w:r>
            <w:r>
              <w:rPr>
                <w:rFonts w:ascii="Arial" w:hAnsi="Arial" w:cs="Arial"/>
                <w:color w:val="000000" w:themeColor="text1"/>
                <w:lang w:val="sr-Cyrl-BA"/>
              </w:rPr>
              <w:t>р</w:t>
            </w:r>
            <w:r w:rsidR="00A56E08">
              <w:rPr>
                <w:rFonts w:ascii="Arial" w:hAnsi="Arial" w:cs="Arial"/>
                <w:color w:val="000000" w:themeColor="text1"/>
                <w:lang w:val="sr-Cyrl-BA"/>
              </w:rPr>
              <w:t>ма</w:t>
            </w:r>
            <w:r>
              <w:rPr>
                <w:rFonts w:ascii="Arial" w:hAnsi="Arial" w:cs="Arial"/>
                <w:color w:val="000000" w:themeColor="text1"/>
                <w:lang w:val="sr-Cyrl-BA"/>
              </w:rPr>
              <w:t>т</w:t>
            </w:r>
            <w:r w:rsidR="00A56E08">
              <w:rPr>
                <w:rFonts w:ascii="Arial" w:hAnsi="Arial" w:cs="Arial"/>
                <w:color w:val="000000" w:themeColor="text1"/>
                <w:lang w:val="sr-Cyrl-BA"/>
              </w:rPr>
              <w:t>ичких</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EE6AA2">
              <w:rPr>
                <w:rFonts w:ascii="Arial" w:hAnsi="Arial" w:cs="Arial"/>
                <w:color w:val="000000" w:themeColor="text1"/>
                <w:lang w:val="sr-Cyrl-BA"/>
              </w:rPr>
              <w:t>е</w:t>
            </w:r>
            <w:r w:rsidR="00A56E08">
              <w:rPr>
                <w:rFonts w:ascii="Arial" w:hAnsi="Arial" w:cs="Arial"/>
                <w:color w:val="000000" w:themeColor="text1"/>
                <w:lang w:val="sr-Cyrl-BA"/>
              </w:rPr>
              <w:t>ма</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који</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ко</w:t>
            </w:r>
            <w:r>
              <w:rPr>
                <w:rFonts w:ascii="Arial" w:hAnsi="Arial" w:cs="Arial"/>
                <w:color w:val="000000" w:themeColor="text1"/>
                <w:lang w:val="sr-Cyrl-BA"/>
              </w:rPr>
              <w:t>р</w:t>
            </w:r>
            <w:r w:rsidR="00A56E08">
              <w:rPr>
                <w:rFonts w:ascii="Arial" w:hAnsi="Arial" w:cs="Arial"/>
                <w:color w:val="000000" w:themeColor="text1"/>
                <w:lang w:val="sr-Cyrl-BA"/>
              </w:rPr>
              <w:t>и</w:t>
            </w:r>
            <w:r>
              <w:rPr>
                <w:rFonts w:ascii="Arial" w:hAnsi="Arial" w:cs="Arial"/>
                <w:color w:val="000000" w:themeColor="text1"/>
                <w:lang w:val="sr-Cyrl-BA"/>
              </w:rPr>
              <w:t>ст</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у</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кло</w:t>
            </w:r>
            <w:r>
              <w:rPr>
                <w:rFonts w:ascii="Arial" w:hAnsi="Arial" w:cs="Arial"/>
                <w:color w:val="000000" w:themeColor="text1"/>
                <w:lang w:val="sr-Cyrl-BA"/>
              </w:rPr>
              <w:t>пу</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об</w:t>
            </w:r>
            <w:r>
              <w:rPr>
                <w:rFonts w:ascii="Arial" w:hAnsi="Arial" w:cs="Arial"/>
                <w:color w:val="000000" w:themeColor="text1"/>
                <w:lang w:val="sr-Cyrl-BA"/>
              </w:rPr>
              <w:t>р</w:t>
            </w:r>
            <w:r w:rsidR="00A56E08">
              <w:rPr>
                <w:rFonts w:ascii="Arial" w:hAnsi="Arial" w:cs="Arial"/>
                <w:color w:val="000000" w:themeColor="text1"/>
                <w:lang w:val="sr-Cyrl-BA"/>
              </w:rPr>
              <w:t>а</w:t>
            </w:r>
            <w:r w:rsidR="00171F00">
              <w:rPr>
                <w:rFonts w:ascii="Arial" w:hAnsi="Arial" w:cs="Arial"/>
                <w:color w:val="000000" w:themeColor="text1"/>
                <w:lang w:val="sr-Cyrl-BA"/>
              </w:rPr>
              <w:t>з</w:t>
            </w:r>
            <w:r w:rsidR="00A56E08">
              <w:rPr>
                <w:rFonts w:ascii="Arial" w:hAnsi="Arial" w:cs="Arial"/>
                <w:color w:val="000000" w:themeColor="text1"/>
                <w:lang w:val="sr-Cyrl-BA"/>
              </w:rPr>
              <w:t>о</w:t>
            </w:r>
            <w:r>
              <w:rPr>
                <w:rFonts w:ascii="Arial" w:hAnsi="Arial" w:cs="Arial"/>
                <w:color w:val="000000" w:themeColor="text1"/>
                <w:lang w:val="sr-Cyrl-BA"/>
              </w:rPr>
              <w:t>в</w:t>
            </w:r>
            <w:r w:rsidR="00A56E08">
              <w:rPr>
                <w:rFonts w:ascii="Arial" w:hAnsi="Arial" w:cs="Arial"/>
                <w:color w:val="000000" w:themeColor="text1"/>
                <w:lang w:val="sr-Cyrl-BA"/>
              </w:rPr>
              <w:t>н</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ин</w:t>
            </w:r>
            <w:r>
              <w:rPr>
                <w:rFonts w:ascii="Arial" w:hAnsi="Arial" w:cs="Arial"/>
                <w:color w:val="000000" w:themeColor="text1"/>
                <w:lang w:val="sr-Cyrl-BA"/>
              </w:rPr>
              <w:t>ст</w:t>
            </w:r>
            <w:r w:rsidR="00A56E08">
              <w:rPr>
                <w:rFonts w:ascii="Arial" w:hAnsi="Arial" w:cs="Arial"/>
                <w:color w:val="000000" w:themeColor="text1"/>
                <w:lang w:val="sr-Cyrl-BA"/>
              </w:rPr>
              <w:t>и</w:t>
            </w:r>
            <w:r>
              <w:rPr>
                <w:rFonts w:ascii="Arial" w:hAnsi="Arial" w:cs="Arial"/>
                <w:color w:val="000000" w:themeColor="text1"/>
                <w:lang w:val="sr-Cyrl-BA"/>
              </w:rPr>
              <w:t>ту</w:t>
            </w:r>
            <w:r w:rsidR="00A56E08">
              <w:rPr>
                <w:rFonts w:ascii="Arial" w:hAnsi="Arial" w:cs="Arial"/>
                <w:color w:val="000000" w:themeColor="text1"/>
                <w:lang w:val="sr-Cyrl-BA"/>
              </w:rPr>
              <w:t>циј</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w:t>
            </w:r>
            <w:r>
              <w:rPr>
                <w:rFonts w:ascii="Arial" w:hAnsi="Arial" w:cs="Arial"/>
                <w:color w:val="000000" w:themeColor="text1"/>
                <w:lang w:val="sr-Cyrl-BA"/>
              </w:rPr>
              <w:t>у</w:t>
            </w:r>
            <w:r w:rsidR="00A56E08">
              <w:rPr>
                <w:rFonts w:ascii="Arial" w:hAnsi="Arial" w:cs="Arial"/>
                <w:color w:val="000000" w:themeColor="text1"/>
                <w:lang w:val="sr-Cyrl-BA"/>
              </w:rPr>
              <w:t>ни</w:t>
            </w:r>
            <w:r>
              <w:rPr>
                <w:rFonts w:ascii="Arial" w:hAnsi="Arial" w:cs="Arial"/>
                <w:color w:val="000000" w:themeColor="text1"/>
                <w:lang w:val="sr-Cyrl-BA"/>
              </w:rPr>
              <w:t>в</w:t>
            </w:r>
            <w:r w:rsidR="00EE6AA2">
              <w:rPr>
                <w:rFonts w:ascii="Arial" w:hAnsi="Arial" w:cs="Arial"/>
                <w:color w:val="000000" w:themeColor="text1"/>
                <w:lang w:val="sr-Cyrl-BA"/>
              </w:rPr>
              <w:t>е</w:t>
            </w:r>
            <w:r>
              <w:rPr>
                <w:rFonts w:ascii="Arial" w:hAnsi="Arial" w:cs="Arial"/>
                <w:color w:val="000000" w:themeColor="text1"/>
                <w:lang w:val="sr-Cyrl-BA"/>
              </w:rPr>
              <w:t>р</w:t>
            </w:r>
            <w:r w:rsidR="00171F00">
              <w:rPr>
                <w:rFonts w:ascii="Arial" w:hAnsi="Arial" w:cs="Arial"/>
                <w:color w:val="000000" w:themeColor="text1"/>
                <w:lang w:val="sr-Cyrl-BA"/>
              </w:rPr>
              <w:t>з</w:t>
            </w:r>
            <w:r w:rsidR="00A56E08">
              <w:rPr>
                <w:rFonts w:ascii="Arial" w:hAnsi="Arial" w:cs="Arial"/>
                <w:color w:val="000000" w:themeColor="text1"/>
                <w:lang w:val="sr-Cyrl-BA"/>
              </w:rPr>
              <w:t>и</w:t>
            </w:r>
            <w:r>
              <w:rPr>
                <w:rFonts w:ascii="Arial" w:hAnsi="Arial" w:cs="Arial"/>
                <w:color w:val="000000" w:themeColor="text1"/>
                <w:lang w:val="sr-Cyrl-BA"/>
              </w:rPr>
              <w:t>т</w:t>
            </w:r>
            <w:r w:rsidR="00EE6AA2">
              <w:rPr>
                <w:rFonts w:ascii="Arial" w:hAnsi="Arial" w:cs="Arial"/>
                <w:color w:val="000000" w:themeColor="text1"/>
                <w:lang w:val="sr-Cyrl-BA"/>
              </w:rPr>
              <w:t>е</w:t>
            </w:r>
            <w:r>
              <w:rPr>
                <w:rFonts w:ascii="Arial" w:hAnsi="Arial" w:cs="Arial"/>
                <w:color w:val="000000" w:themeColor="text1"/>
                <w:lang w:val="sr-Cyrl-BA"/>
              </w:rPr>
              <w:t>т</w:t>
            </w:r>
            <w:r w:rsidR="00EE6AA2">
              <w:rPr>
                <w:rFonts w:ascii="Arial" w:hAnsi="Arial" w:cs="Arial"/>
                <w:color w:val="000000" w:themeColor="text1"/>
                <w:lang w:val="sr-Cyrl-BA"/>
              </w:rPr>
              <w:t>е</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п</w:t>
            </w:r>
            <w:r w:rsidR="00A56E08">
              <w:rPr>
                <w:rFonts w:ascii="Arial" w:hAnsi="Arial" w:cs="Arial"/>
                <w:color w:val="000000" w:themeColor="text1"/>
                <w:lang w:val="sr-Cyrl-BA"/>
              </w:rPr>
              <w:t>о</w:t>
            </w:r>
            <w:r>
              <w:rPr>
                <w:rFonts w:ascii="Arial" w:hAnsi="Arial" w:cs="Arial"/>
                <w:color w:val="000000" w:themeColor="text1"/>
                <w:lang w:val="sr-Cyrl-BA"/>
              </w:rPr>
              <w:t>тр</w:t>
            </w:r>
            <w:r w:rsidR="00EE6AA2">
              <w:rPr>
                <w:rFonts w:ascii="Arial" w:hAnsi="Arial" w:cs="Arial"/>
                <w:color w:val="000000" w:themeColor="text1"/>
                <w:lang w:val="sr-Cyrl-BA"/>
              </w:rPr>
              <w:t>е</w:t>
            </w:r>
            <w:r w:rsidR="00A56E08">
              <w:rPr>
                <w:rFonts w:ascii="Arial" w:hAnsi="Arial" w:cs="Arial"/>
                <w:color w:val="000000" w:themeColor="text1"/>
                <w:lang w:val="sr-Cyrl-BA"/>
              </w:rPr>
              <w:t>бно</w:t>
            </w:r>
            <w:r w:rsidR="000A2EA6" w:rsidRPr="00F6340E">
              <w:rPr>
                <w:rFonts w:ascii="Arial" w:hAnsi="Arial" w:cs="Arial"/>
                <w:color w:val="000000" w:themeColor="text1"/>
                <w:lang w:val="sr-Cyrl-BA"/>
              </w:rPr>
              <w:t xml:space="preserve"> </w:t>
            </w:r>
            <w:r w:rsidR="00A56E08">
              <w:rPr>
                <w:rFonts w:ascii="Arial" w:hAnsi="Arial" w:cs="Arial"/>
                <w:color w:val="000000" w:themeColor="text1"/>
                <w:lang w:val="sr-Cyrl-BA"/>
              </w:rPr>
              <w:t>ј</w:t>
            </w:r>
            <w:r w:rsidR="00EE6AA2">
              <w:rPr>
                <w:rFonts w:ascii="Arial" w:hAnsi="Arial" w:cs="Arial"/>
                <w:color w:val="000000" w:themeColor="text1"/>
                <w:lang w:val="sr-Cyrl-BA"/>
              </w:rPr>
              <w:t>е</w:t>
            </w:r>
            <w:r w:rsidR="000A2EA6"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иј</w:t>
            </w:r>
            <w:r w:rsidR="00EE6AA2">
              <w:rPr>
                <w:rFonts w:ascii="Arial" w:hAnsi="Arial" w:cs="Arial"/>
                <w:color w:val="000000" w:themeColor="text1"/>
                <w:lang w:val="sr-Cyrl-BA"/>
              </w:rPr>
              <w:t>е</w:t>
            </w:r>
            <w:r>
              <w:rPr>
                <w:rFonts w:ascii="Arial" w:hAnsi="Arial" w:cs="Arial"/>
                <w:color w:val="000000" w:themeColor="text1"/>
                <w:lang w:val="sr-Cyrl-BA"/>
              </w:rPr>
              <w:t>ш</w:t>
            </w:r>
            <w:r w:rsidR="00A56E08">
              <w:rPr>
                <w:rFonts w:ascii="Arial" w:hAnsi="Arial" w:cs="Arial"/>
                <w:color w:val="000000" w:themeColor="text1"/>
                <w:lang w:val="sr-Cyrl-BA"/>
              </w:rPr>
              <w:t>и</w:t>
            </w:r>
            <w:r>
              <w:rPr>
                <w:rFonts w:ascii="Arial" w:hAnsi="Arial" w:cs="Arial"/>
                <w:color w:val="000000" w:themeColor="text1"/>
                <w:lang w:val="sr-Cyrl-BA"/>
              </w:rPr>
              <w:t>т</w:t>
            </w:r>
            <w:r w:rsidR="00A56E08">
              <w:rPr>
                <w:rFonts w:ascii="Arial" w:hAnsi="Arial" w:cs="Arial"/>
                <w:color w:val="000000" w:themeColor="text1"/>
                <w:lang w:val="sr-Cyrl-BA"/>
              </w:rPr>
              <w:t>и</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кол</w:t>
            </w:r>
            <w:r w:rsidR="00EE6AA2">
              <w:rPr>
                <w:rFonts w:ascii="Arial" w:hAnsi="Arial" w:cs="Arial"/>
                <w:color w:val="000000" w:themeColor="text1"/>
                <w:lang w:val="sr-Cyrl-BA"/>
              </w:rPr>
              <w:t>е</w:t>
            </w:r>
            <w:r w:rsidR="00A56E08">
              <w:rPr>
                <w:rFonts w:ascii="Arial" w:hAnsi="Arial" w:cs="Arial"/>
                <w:color w:val="000000" w:themeColor="text1"/>
                <w:lang w:val="sr-Cyrl-BA"/>
              </w:rPr>
              <w:t>к</w:t>
            </w:r>
            <w:r>
              <w:rPr>
                <w:rFonts w:ascii="Arial" w:hAnsi="Arial" w:cs="Arial"/>
                <w:color w:val="000000" w:themeColor="text1"/>
                <w:lang w:val="sr-Cyrl-BA"/>
              </w:rPr>
              <w:t>т</w:t>
            </w:r>
            <w:r w:rsidR="00A56E08">
              <w:rPr>
                <w:rFonts w:ascii="Arial" w:hAnsi="Arial" w:cs="Arial"/>
                <w:color w:val="000000" w:themeColor="text1"/>
                <w:lang w:val="sr-Cyrl-BA"/>
              </w:rPr>
              <w:t>и</w:t>
            </w:r>
            <w:r>
              <w:rPr>
                <w:rFonts w:ascii="Arial" w:hAnsi="Arial" w:cs="Arial"/>
                <w:color w:val="000000" w:themeColor="text1"/>
                <w:lang w:val="sr-Cyrl-BA"/>
              </w:rPr>
              <w:t>в</w:t>
            </w:r>
            <w:r w:rsidR="00A56E08">
              <w:rPr>
                <w:rFonts w:ascii="Arial" w:hAnsi="Arial" w:cs="Arial"/>
                <w:color w:val="000000" w:themeColor="text1"/>
                <w:lang w:val="sr-Cyrl-BA"/>
              </w:rPr>
              <w:t>ним</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го</w:t>
            </w:r>
            <w:r>
              <w:rPr>
                <w:rFonts w:ascii="Arial" w:hAnsi="Arial" w:cs="Arial"/>
                <w:color w:val="000000" w:themeColor="text1"/>
                <w:lang w:val="sr-Cyrl-BA"/>
              </w:rPr>
              <w:t>в</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има</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w:t>
            </w:r>
            <w:r w:rsidR="00A56E08">
              <w:rPr>
                <w:rFonts w:ascii="Arial" w:hAnsi="Arial" w:cs="Arial"/>
                <w:color w:val="000000" w:themeColor="text1"/>
                <w:lang w:val="sr-Cyrl-BA"/>
              </w:rPr>
              <w:t>и</w:t>
            </w:r>
            <w:r>
              <w:rPr>
                <w:rFonts w:ascii="Arial" w:hAnsi="Arial" w:cs="Arial"/>
                <w:color w:val="000000" w:themeColor="text1"/>
                <w:lang w:val="sr-Cyrl-BA"/>
              </w:rPr>
              <w:t>ст</w:t>
            </w:r>
            <w:r w:rsidR="00EE6AA2">
              <w:rPr>
                <w:rFonts w:ascii="Arial" w:hAnsi="Arial" w:cs="Arial"/>
                <w:color w:val="000000" w:themeColor="text1"/>
                <w:lang w:val="sr-Cyrl-BA"/>
              </w:rPr>
              <w:t>е</w:t>
            </w:r>
            <w:r w:rsidR="00A56E08">
              <w:rPr>
                <w:rFonts w:ascii="Arial" w:hAnsi="Arial" w:cs="Arial"/>
                <w:color w:val="000000" w:themeColor="text1"/>
                <w:lang w:val="sr-Cyrl-BA"/>
              </w:rPr>
              <w:t>ма</w:t>
            </w:r>
            <w:r>
              <w:rPr>
                <w:rFonts w:ascii="Arial" w:hAnsi="Arial" w:cs="Arial"/>
                <w:color w:val="000000" w:themeColor="text1"/>
                <w:lang w:val="sr-Cyrl-BA"/>
              </w:rPr>
              <w:t>т</w:t>
            </w:r>
            <w:r w:rsidR="00A56E08">
              <w:rPr>
                <w:rFonts w:ascii="Arial" w:hAnsi="Arial" w:cs="Arial"/>
                <w:color w:val="000000" w:themeColor="text1"/>
                <w:lang w:val="sr-Cyrl-BA"/>
              </w:rPr>
              <w:t>и</w:t>
            </w:r>
            <w:r w:rsidR="00171F00">
              <w:rPr>
                <w:rFonts w:ascii="Arial" w:hAnsi="Arial" w:cs="Arial"/>
                <w:color w:val="000000" w:themeColor="text1"/>
                <w:lang w:val="sr-Cyrl-BA"/>
              </w:rPr>
              <w:t>з</w:t>
            </w:r>
            <w:r w:rsidR="00A56E08">
              <w:rPr>
                <w:rFonts w:ascii="Arial" w:hAnsi="Arial" w:cs="Arial"/>
                <w:color w:val="000000" w:themeColor="text1"/>
                <w:lang w:val="sr-Cyrl-BA"/>
              </w:rPr>
              <w:t>ацијом</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р</w:t>
            </w:r>
            <w:r w:rsidR="00A56E08">
              <w:rPr>
                <w:rFonts w:ascii="Arial" w:hAnsi="Arial" w:cs="Arial"/>
                <w:color w:val="000000" w:themeColor="text1"/>
                <w:lang w:val="sr-Cyrl-BA"/>
              </w:rPr>
              <w:t>адних</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мј</w:t>
            </w:r>
            <w:r w:rsidR="00EE6AA2">
              <w:rPr>
                <w:rFonts w:ascii="Arial" w:hAnsi="Arial" w:cs="Arial"/>
                <w:color w:val="000000" w:themeColor="text1"/>
                <w:lang w:val="sr-Cyrl-BA"/>
              </w:rPr>
              <w:t>е</w:t>
            </w:r>
            <w:r>
              <w:rPr>
                <w:rFonts w:ascii="Arial" w:hAnsi="Arial" w:cs="Arial"/>
                <w:color w:val="000000" w:themeColor="text1"/>
                <w:lang w:val="sr-Cyrl-BA"/>
              </w:rPr>
              <w:t>ст</w:t>
            </w:r>
            <w:r w:rsidR="00A56E08">
              <w:rPr>
                <w:rFonts w:ascii="Arial" w:hAnsi="Arial" w:cs="Arial"/>
                <w:color w:val="000000" w:themeColor="text1"/>
                <w:lang w:val="sr-Cyrl-BA"/>
              </w:rPr>
              <w:t>а</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ст</w:t>
            </w:r>
            <w:r w:rsidR="00A56E08">
              <w:rPr>
                <w:rFonts w:ascii="Arial" w:hAnsi="Arial" w:cs="Arial"/>
                <w:color w:val="000000" w:themeColor="text1"/>
                <w:lang w:val="sr-Cyrl-BA"/>
              </w:rPr>
              <w:t>анда</w:t>
            </w:r>
            <w:r>
              <w:rPr>
                <w:rFonts w:ascii="Arial" w:hAnsi="Arial" w:cs="Arial"/>
                <w:color w:val="000000" w:themeColor="text1"/>
                <w:lang w:val="sr-Cyrl-BA"/>
              </w:rPr>
              <w:t>р</w:t>
            </w:r>
            <w:r w:rsidR="00A56E08">
              <w:rPr>
                <w:rFonts w:ascii="Arial" w:hAnsi="Arial" w:cs="Arial"/>
                <w:color w:val="000000" w:themeColor="text1"/>
                <w:lang w:val="sr-Cyrl-BA"/>
              </w:rPr>
              <w:t>дима</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као</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и</w:t>
            </w:r>
            <w:r w:rsidR="000D3690" w:rsidRPr="00F6340E">
              <w:rPr>
                <w:rFonts w:ascii="Arial" w:hAnsi="Arial" w:cs="Arial"/>
                <w:color w:val="000000" w:themeColor="text1"/>
                <w:lang w:val="sr-Cyrl-BA"/>
              </w:rPr>
              <w:t xml:space="preserve"> </w:t>
            </w:r>
            <w:r w:rsidR="00A56E08">
              <w:rPr>
                <w:rFonts w:ascii="Arial" w:hAnsi="Arial" w:cs="Arial"/>
                <w:color w:val="000000" w:themeColor="text1"/>
                <w:lang w:val="sr-Cyrl-BA"/>
              </w:rPr>
              <w:t>личним</w:t>
            </w:r>
            <w:r w:rsidR="000D3690" w:rsidRPr="00F6340E">
              <w:rPr>
                <w:rFonts w:ascii="Arial" w:hAnsi="Arial" w:cs="Arial"/>
                <w:color w:val="000000" w:themeColor="text1"/>
                <w:lang w:val="sr-Cyrl-BA"/>
              </w:rPr>
              <w:t xml:space="preserve"> </w:t>
            </w:r>
            <w:r>
              <w:rPr>
                <w:rFonts w:ascii="Arial" w:hAnsi="Arial" w:cs="Arial"/>
                <w:color w:val="000000" w:themeColor="text1"/>
                <w:lang w:val="sr-Cyrl-BA"/>
              </w:rPr>
              <w:t>у</w:t>
            </w:r>
            <w:r w:rsidR="00A56E08">
              <w:rPr>
                <w:rFonts w:ascii="Arial" w:hAnsi="Arial" w:cs="Arial"/>
                <w:color w:val="000000" w:themeColor="text1"/>
                <w:lang w:val="sr-Cyrl-BA"/>
              </w:rPr>
              <w:t>го</w:t>
            </w:r>
            <w:r>
              <w:rPr>
                <w:rFonts w:ascii="Arial" w:hAnsi="Arial" w:cs="Arial"/>
                <w:color w:val="000000" w:themeColor="text1"/>
                <w:lang w:val="sr-Cyrl-BA"/>
              </w:rPr>
              <w:t>в</w:t>
            </w:r>
            <w:r w:rsidR="00A56E08">
              <w:rPr>
                <w:rFonts w:ascii="Arial" w:hAnsi="Arial" w:cs="Arial"/>
                <w:color w:val="000000" w:themeColor="text1"/>
                <w:lang w:val="sr-Cyrl-BA"/>
              </w:rPr>
              <w:t>о</w:t>
            </w:r>
            <w:r>
              <w:rPr>
                <w:rFonts w:ascii="Arial" w:hAnsi="Arial" w:cs="Arial"/>
                <w:color w:val="000000" w:themeColor="text1"/>
                <w:lang w:val="sr-Cyrl-BA"/>
              </w:rPr>
              <w:t>р</w:t>
            </w:r>
            <w:r w:rsidR="00A56E08">
              <w:rPr>
                <w:rFonts w:ascii="Arial" w:hAnsi="Arial" w:cs="Arial"/>
                <w:color w:val="000000" w:themeColor="text1"/>
                <w:lang w:val="sr-Cyrl-BA"/>
              </w:rPr>
              <w:t>има</w:t>
            </w:r>
            <w:r w:rsidR="000A2EA6" w:rsidRPr="00F6340E">
              <w:rPr>
                <w:rFonts w:ascii="Arial" w:hAnsi="Arial" w:cs="Arial"/>
                <w:color w:val="000000" w:themeColor="text1"/>
                <w:lang w:val="sr-Cyrl-BA"/>
              </w:rPr>
              <w:t>.</w:t>
            </w:r>
            <w:r w:rsidR="000A2EA6" w:rsidRPr="00F6340E">
              <w:rPr>
                <w:rStyle w:val="FootnoteReference"/>
                <w:rFonts w:ascii="Arial" w:hAnsi="Arial" w:cs="Arial"/>
                <w:color w:val="000000" w:themeColor="text1"/>
                <w:lang w:val="sr-Cyrl-BA"/>
              </w:rPr>
              <w:footnoteReference w:id="31"/>
            </w:r>
          </w:p>
          <w:p w14:paraId="3232DEC3" w14:textId="2D1F1FDF" w:rsidR="00892898" w:rsidRPr="00F6340E" w:rsidRDefault="0071360A" w:rsidP="00FB5CB7">
            <w:pPr>
              <w:numPr>
                <w:ilvl w:val="0"/>
                <w:numId w:val="46"/>
              </w:numPr>
              <w:ind w:left="360"/>
              <w:contextualSpacing/>
              <w:jc w:val="left"/>
              <w:textAlignment w:val="baseline"/>
              <w:rPr>
                <w:rFonts w:ascii="Arial" w:hAnsi="Arial" w:cs="Arial"/>
                <w:b/>
                <w:color w:val="000000"/>
                <w:lang w:val="sr-Cyrl-BA"/>
              </w:rPr>
            </w:pPr>
            <w:r>
              <w:rPr>
                <w:rFonts w:ascii="Arial" w:hAnsi="Arial" w:cs="Arial"/>
                <w:b/>
                <w:color w:val="000000"/>
                <w:lang w:val="sr-Cyrl-BA"/>
              </w:rPr>
              <w:t>У</w:t>
            </w:r>
            <w:r w:rsidR="00A56E08">
              <w:rPr>
                <w:rFonts w:ascii="Arial" w:hAnsi="Arial" w:cs="Arial"/>
                <w:b/>
                <w:color w:val="000000"/>
                <w:lang w:val="sr-Cyrl-BA"/>
              </w:rPr>
              <w:t>кљ</w:t>
            </w:r>
            <w:r>
              <w:rPr>
                <w:rFonts w:ascii="Arial" w:hAnsi="Arial" w:cs="Arial"/>
                <w:b/>
                <w:color w:val="000000"/>
                <w:lang w:val="sr-Cyrl-BA"/>
              </w:rPr>
              <w:t>у</w:t>
            </w:r>
            <w:r w:rsidR="00A56E08">
              <w:rPr>
                <w:rFonts w:ascii="Arial" w:hAnsi="Arial" w:cs="Arial"/>
                <w:b/>
                <w:color w:val="000000"/>
                <w:lang w:val="sr-Cyrl-BA"/>
              </w:rPr>
              <w:t>чи</w:t>
            </w:r>
            <w:r>
              <w:rPr>
                <w:rFonts w:ascii="Arial" w:hAnsi="Arial" w:cs="Arial"/>
                <w:b/>
                <w:color w:val="000000"/>
                <w:lang w:val="sr-Cyrl-BA"/>
              </w:rPr>
              <w:t>т</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на</w:t>
            </w:r>
            <w:r>
              <w:rPr>
                <w:rFonts w:ascii="Arial" w:hAnsi="Arial" w:cs="Arial"/>
                <w:b/>
                <w:color w:val="000000"/>
                <w:lang w:val="sr-Cyrl-BA"/>
              </w:rPr>
              <w:t>ст</w:t>
            </w:r>
            <w:r w:rsidR="00A56E08">
              <w:rPr>
                <w:rFonts w:ascii="Arial" w:hAnsi="Arial" w:cs="Arial"/>
                <w:b/>
                <w:color w:val="000000"/>
                <w:lang w:val="sr-Cyrl-BA"/>
              </w:rPr>
              <w:t>а</w:t>
            </w:r>
            <w:r>
              <w:rPr>
                <w:rFonts w:ascii="Arial" w:hAnsi="Arial" w:cs="Arial"/>
                <w:b/>
                <w:color w:val="000000"/>
                <w:lang w:val="sr-Cyrl-BA"/>
              </w:rPr>
              <w:t>в</w:t>
            </w:r>
            <w:r w:rsidR="00A56E08">
              <w:rPr>
                <w:rFonts w:ascii="Arial" w:hAnsi="Arial" w:cs="Arial"/>
                <w:b/>
                <w:color w:val="000000"/>
                <w:lang w:val="sr-Cyrl-BA"/>
              </w:rPr>
              <w:t>ник</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у</w:t>
            </w:r>
            <w:r w:rsidR="00892898" w:rsidRPr="00F6340E">
              <w:rPr>
                <w:rFonts w:ascii="Arial" w:hAnsi="Arial" w:cs="Arial"/>
                <w:b/>
                <w:color w:val="000000"/>
                <w:lang w:val="sr-Cyrl-BA"/>
              </w:rPr>
              <w:t xml:space="preserve"> </w:t>
            </w:r>
            <w:r>
              <w:rPr>
                <w:rFonts w:ascii="Arial" w:hAnsi="Arial" w:cs="Arial"/>
                <w:b/>
                <w:color w:val="000000"/>
                <w:lang w:val="sr-Cyrl-BA"/>
              </w:rPr>
              <w:t>пр</w:t>
            </w:r>
            <w:r w:rsidR="00A56E08">
              <w:rPr>
                <w:rFonts w:ascii="Arial" w:hAnsi="Arial" w:cs="Arial"/>
                <w:b/>
                <w:color w:val="000000"/>
                <w:lang w:val="sr-Cyrl-BA"/>
              </w:rPr>
              <w:t>оц</w:t>
            </w:r>
            <w:r w:rsidR="00EE6AA2">
              <w:rPr>
                <w:rFonts w:ascii="Arial" w:hAnsi="Arial" w:cs="Arial"/>
                <w:b/>
                <w:color w:val="000000"/>
                <w:lang w:val="sr-Cyrl-BA"/>
              </w:rPr>
              <w:t>е</w:t>
            </w:r>
            <w:r>
              <w:rPr>
                <w:rFonts w:ascii="Arial" w:hAnsi="Arial" w:cs="Arial"/>
                <w:b/>
                <w:color w:val="000000"/>
                <w:lang w:val="sr-Cyrl-BA"/>
              </w:rPr>
              <w:t>с</w:t>
            </w:r>
            <w:r w:rsidR="00892898" w:rsidRPr="00F6340E">
              <w:rPr>
                <w:rFonts w:ascii="Arial" w:hAnsi="Arial" w:cs="Arial"/>
                <w:b/>
                <w:color w:val="000000"/>
                <w:lang w:val="sr-Cyrl-BA"/>
              </w:rPr>
              <w:t xml:space="preserve"> </w:t>
            </w:r>
            <w:r>
              <w:rPr>
                <w:rFonts w:ascii="Arial" w:hAnsi="Arial" w:cs="Arial"/>
                <w:b/>
                <w:color w:val="000000"/>
                <w:lang w:val="sr-Cyrl-BA"/>
              </w:rPr>
              <w:t>вр</w:t>
            </w:r>
            <w:r w:rsidR="00EE6AA2">
              <w:rPr>
                <w:rFonts w:ascii="Arial" w:hAnsi="Arial" w:cs="Arial"/>
                <w:b/>
                <w:color w:val="000000"/>
                <w:lang w:val="sr-Cyrl-BA"/>
              </w:rPr>
              <w:t>е</w:t>
            </w:r>
            <w:r w:rsidR="00A56E08">
              <w:rPr>
                <w:rFonts w:ascii="Arial" w:hAnsi="Arial" w:cs="Arial"/>
                <w:b/>
                <w:color w:val="000000"/>
                <w:lang w:val="sr-Cyrl-BA"/>
              </w:rPr>
              <w:t>дно</w:t>
            </w:r>
            <w:r>
              <w:rPr>
                <w:rFonts w:ascii="Arial" w:hAnsi="Arial" w:cs="Arial"/>
                <w:b/>
                <w:color w:val="000000"/>
                <w:lang w:val="sr-Cyrl-BA"/>
              </w:rPr>
              <w:t>в</w:t>
            </w:r>
            <w:r w:rsidR="00A56E08">
              <w:rPr>
                <w:rFonts w:ascii="Arial" w:hAnsi="Arial" w:cs="Arial"/>
                <w:b/>
                <w:color w:val="000000"/>
                <w:lang w:val="sr-Cyrl-BA"/>
              </w:rPr>
              <w:t>ања</w:t>
            </w:r>
            <w:r w:rsidR="00892898" w:rsidRPr="00F6340E">
              <w:rPr>
                <w:rFonts w:ascii="Arial" w:hAnsi="Arial" w:cs="Arial"/>
                <w:b/>
                <w:color w:val="000000"/>
                <w:lang w:val="sr-Cyrl-BA"/>
              </w:rPr>
              <w:t xml:space="preserve"> </w:t>
            </w:r>
            <w:r w:rsidR="00A56E08">
              <w:rPr>
                <w:rFonts w:ascii="Arial" w:hAnsi="Arial" w:cs="Arial"/>
                <w:b/>
                <w:color w:val="000000"/>
                <w:lang w:val="sr-Cyrl-BA"/>
              </w:rPr>
              <w:t>и</w:t>
            </w:r>
            <w:r w:rsidR="00892898" w:rsidRPr="00F6340E">
              <w:rPr>
                <w:rFonts w:ascii="Arial" w:hAnsi="Arial" w:cs="Arial"/>
                <w:b/>
                <w:color w:val="000000"/>
                <w:lang w:val="sr-Cyrl-BA"/>
              </w:rPr>
              <w:t xml:space="preserve"> </w:t>
            </w:r>
            <w:r w:rsidR="00A56E08">
              <w:rPr>
                <w:rFonts w:ascii="Arial" w:hAnsi="Arial" w:cs="Arial"/>
                <w:b/>
                <w:color w:val="000000"/>
                <w:lang w:val="sr-Cyrl-BA"/>
              </w:rPr>
              <w:t>к</w:t>
            </w:r>
            <w:r>
              <w:rPr>
                <w:rFonts w:ascii="Arial" w:hAnsi="Arial" w:cs="Arial"/>
                <w:b/>
                <w:color w:val="000000"/>
                <w:lang w:val="sr-Cyrl-BA"/>
              </w:rPr>
              <w:t>в</w:t>
            </w:r>
            <w:r w:rsidR="00A56E08">
              <w:rPr>
                <w:rFonts w:ascii="Arial" w:hAnsi="Arial" w:cs="Arial"/>
                <w:b/>
                <w:color w:val="000000"/>
                <w:lang w:val="sr-Cyrl-BA"/>
              </w:rPr>
              <w:t>али</w:t>
            </w:r>
            <w:r>
              <w:rPr>
                <w:rFonts w:ascii="Arial" w:hAnsi="Arial" w:cs="Arial"/>
                <w:b/>
                <w:color w:val="000000"/>
                <w:lang w:val="sr-Cyrl-BA"/>
              </w:rPr>
              <w:t>т</w:t>
            </w:r>
            <w:r w:rsidR="00EE6AA2">
              <w:rPr>
                <w:rFonts w:ascii="Arial" w:hAnsi="Arial" w:cs="Arial"/>
                <w:b/>
                <w:color w:val="000000"/>
                <w:lang w:val="sr-Cyrl-BA"/>
              </w:rPr>
              <w:t>е</w:t>
            </w:r>
            <w:r>
              <w:rPr>
                <w:rFonts w:ascii="Arial" w:hAnsi="Arial" w:cs="Arial"/>
                <w:b/>
                <w:color w:val="000000"/>
                <w:lang w:val="sr-Cyrl-BA"/>
              </w:rPr>
              <w:t>т</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Pr>
                <w:rFonts w:ascii="Arial" w:hAnsi="Arial" w:cs="Arial"/>
                <w:b/>
                <w:color w:val="000000"/>
                <w:lang w:val="sr-Cyrl-BA"/>
              </w:rPr>
              <w:t>р</w:t>
            </w:r>
            <w:r w:rsidR="00A56E08">
              <w:rPr>
                <w:rFonts w:ascii="Arial" w:hAnsi="Arial" w:cs="Arial"/>
                <w:b/>
                <w:color w:val="000000"/>
                <w:lang w:val="sr-Cyrl-BA"/>
              </w:rPr>
              <w:t>ада</w:t>
            </w:r>
            <w:r w:rsidR="00892898" w:rsidRPr="00F6340E">
              <w:rPr>
                <w:rFonts w:ascii="Arial" w:hAnsi="Arial" w:cs="Arial"/>
                <w:b/>
                <w:color w:val="000000"/>
                <w:lang w:val="sr-Cyrl-BA"/>
              </w:rPr>
              <w:t xml:space="preserve"> </w:t>
            </w:r>
            <w:r w:rsidR="00A56E08">
              <w:rPr>
                <w:rFonts w:ascii="Arial" w:hAnsi="Arial" w:cs="Arial"/>
                <w:b/>
                <w:color w:val="000000"/>
                <w:lang w:val="sr-Cyrl-BA"/>
              </w:rPr>
              <w:t>об</w:t>
            </w:r>
            <w:r>
              <w:rPr>
                <w:rFonts w:ascii="Arial" w:hAnsi="Arial" w:cs="Arial"/>
                <w:b/>
                <w:color w:val="000000"/>
                <w:lang w:val="sr-Cyrl-BA"/>
              </w:rPr>
              <w:t>р</w:t>
            </w:r>
            <w:r w:rsidR="00A56E08">
              <w:rPr>
                <w:rFonts w:ascii="Arial" w:hAnsi="Arial" w:cs="Arial"/>
                <w:b/>
                <w:color w:val="000000"/>
                <w:lang w:val="sr-Cyrl-BA"/>
              </w:rPr>
              <w:t>а</w:t>
            </w:r>
            <w:r w:rsidR="00171F00">
              <w:rPr>
                <w:rFonts w:ascii="Arial" w:hAnsi="Arial" w:cs="Arial"/>
                <w:b/>
                <w:color w:val="000000"/>
                <w:lang w:val="sr-Cyrl-BA"/>
              </w:rPr>
              <w:t>з</w:t>
            </w:r>
            <w:r w:rsidR="00A56E08">
              <w:rPr>
                <w:rFonts w:ascii="Arial" w:hAnsi="Arial" w:cs="Arial"/>
                <w:b/>
                <w:color w:val="000000"/>
                <w:lang w:val="sr-Cyrl-BA"/>
              </w:rPr>
              <w:t>о</w:t>
            </w:r>
            <w:r>
              <w:rPr>
                <w:rFonts w:ascii="Arial" w:hAnsi="Arial" w:cs="Arial"/>
                <w:b/>
                <w:color w:val="000000"/>
                <w:lang w:val="sr-Cyrl-BA"/>
              </w:rPr>
              <w:t>в</w:t>
            </w:r>
            <w:r w:rsidR="00A56E08">
              <w:rPr>
                <w:rFonts w:ascii="Arial" w:hAnsi="Arial" w:cs="Arial"/>
                <w:b/>
                <w:color w:val="000000"/>
                <w:lang w:val="sr-Cyrl-BA"/>
              </w:rPr>
              <w:t>н</w:t>
            </w:r>
            <w:r w:rsidR="00EE6AA2">
              <w:rPr>
                <w:rFonts w:ascii="Arial" w:hAnsi="Arial" w:cs="Arial"/>
                <w:b/>
                <w:color w:val="000000"/>
                <w:lang w:val="sr-Cyrl-BA"/>
              </w:rPr>
              <w:t>е</w:t>
            </w:r>
            <w:r w:rsidR="00892898" w:rsidRPr="00F6340E">
              <w:rPr>
                <w:rFonts w:ascii="Arial" w:hAnsi="Arial" w:cs="Arial"/>
                <w:b/>
                <w:color w:val="000000"/>
                <w:lang w:val="sr-Cyrl-BA"/>
              </w:rPr>
              <w:t xml:space="preserve"> </w:t>
            </w:r>
            <w:r w:rsidR="00A56E08">
              <w:rPr>
                <w:rFonts w:ascii="Arial" w:hAnsi="Arial" w:cs="Arial"/>
                <w:b/>
                <w:color w:val="000000"/>
                <w:lang w:val="sr-Cyrl-BA"/>
              </w:rPr>
              <w:t>ин</w:t>
            </w:r>
            <w:r>
              <w:rPr>
                <w:rFonts w:ascii="Arial" w:hAnsi="Arial" w:cs="Arial"/>
                <w:b/>
                <w:color w:val="000000"/>
                <w:lang w:val="sr-Cyrl-BA"/>
              </w:rPr>
              <w:t>ст</w:t>
            </w:r>
            <w:r w:rsidR="00A56E08">
              <w:rPr>
                <w:rFonts w:ascii="Arial" w:hAnsi="Arial" w:cs="Arial"/>
                <w:b/>
                <w:color w:val="000000"/>
                <w:lang w:val="sr-Cyrl-BA"/>
              </w:rPr>
              <w:t>и</w:t>
            </w:r>
            <w:r>
              <w:rPr>
                <w:rFonts w:ascii="Arial" w:hAnsi="Arial" w:cs="Arial"/>
                <w:b/>
                <w:color w:val="000000"/>
                <w:lang w:val="sr-Cyrl-BA"/>
              </w:rPr>
              <w:t>ту</w:t>
            </w:r>
            <w:r w:rsidR="00A56E08">
              <w:rPr>
                <w:rFonts w:ascii="Arial" w:hAnsi="Arial" w:cs="Arial"/>
                <w:b/>
                <w:color w:val="000000"/>
                <w:lang w:val="sr-Cyrl-BA"/>
              </w:rPr>
              <w:t>циј</w:t>
            </w:r>
            <w:r w:rsidR="00EE6AA2">
              <w:rPr>
                <w:rFonts w:ascii="Arial" w:hAnsi="Arial" w:cs="Arial"/>
                <w:b/>
                <w:color w:val="000000"/>
                <w:lang w:val="sr-Cyrl-BA"/>
              </w:rPr>
              <w:t>е</w:t>
            </w:r>
          </w:p>
        </w:tc>
      </w:tr>
    </w:tbl>
    <w:p w14:paraId="72F86591" w14:textId="77777777" w:rsidR="00AA11C2" w:rsidRPr="00F6340E" w:rsidRDefault="00AA11C2" w:rsidP="00892898">
      <w:pPr>
        <w:contextualSpacing/>
        <w:rPr>
          <w:rFonts w:ascii="Arial" w:hAnsi="Arial" w:cs="Arial"/>
          <w:b/>
          <w:color w:val="000000" w:themeColor="text1"/>
          <w:lang w:val="sr-Cyrl-BA"/>
        </w:rPr>
      </w:pPr>
    </w:p>
    <w:p w14:paraId="071C8164" w14:textId="60ABB046" w:rsidR="00AA11C2" w:rsidRPr="00F6340E" w:rsidRDefault="00A56E08" w:rsidP="000962EB">
      <w:pPr>
        <w:pStyle w:val="Heading1"/>
        <w:numPr>
          <w:ilvl w:val="0"/>
          <w:numId w:val="72"/>
        </w:numPr>
        <w:rPr>
          <w:lang w:val="sr-Cyrl-BA"/>
        </w:rPr>
      </w:pPr>
      <w:bookmarkStart w:id="52" w:name="_Toc119050331"/>
      <w:r>
        <w:rPr>
          <w:lang w:val="sr-Cyrl-BA"/>
        </w:rPr>
        <w:lastRenderedPageBreak/>
        <w:t>Ли</w:t>
      </w:r>
      <w:r w:rsidR="0071360A">
        <w:rPr>
          <w:lang w:val="sr-Cyrl-BA"/>
        </w:rPr>
        <w:t>т</w:t>
      </w:r>
      <w:r w:rsidR="00EE6AA2">
        <w:rPr>
          <w:lang w:val="sr-Cyrl-BA"/>
        </w:rPr>
        <w:t>е</w:t>
      </w:r>
      <w:r w:rsidR="0071360A">
        <w:rPr>
          <w:lang w:val="sr-Cyrl-BA"/>
        </w:rPr>
        <w:t>р</w:t>
      </w:r>
      <w:r>
        <w:rPr>
          <w:lang w:val="sr-Cyrl-BA"/>
        </w:rPr>
        <w:t>а</w:t>
      </w:r>
      <w:r w:rsidR="0071360A">
        <w:rPr>
          <w:lang w:val="sr-Cyrl-BA"/>
        </w:rPr>
        <w:t>тур</w:t>
      </w:r>
      <w:r>
        <w:rPr>
          <w:lang w:val="sr-Cyrl-BA"/>
        </w:rPr>
        <w:t>а</w:t>
      </w:r>
      <w:bookmarkEnd w:id="52"/>
      <w:r w:rsidR="005F3F8C" w:rsidRPr="00F6340E">
        <w:rPr>
          <w:lang w:val="sr-Cyrl-BA"/>
        </w:rPr>
        <w:t xml:space="preserve"> </w:t>
      </w:r>
    </w:p>
    <w:p w14:paraId="1081530B" w14:textId="7F7D586D" w:rsidR="00E77700" w:rsidRPr="00E77700" w:rsidRDefault="00E77700" w:rsidP="00FB5CB7">
      <w:pPr>
        <w:pStyle w:val="Body"/>
        <w:numPr>
          <w:ilvl w:val="0"/>
          <w:numId w:val="79"/>
        </w:numPr>
      </w:pPr>
      <w:r w:rsidRPr="00E77700">
        <w:t xml:space="preserve">Agencija za predškolsko, osnovno i srednje obrazovanje (n.d). Instrumentarij za vrjednovanje i samovrjednovanje kvaliteta rada osnovne škole. Dostupno na: </w:t>
      </w:r>
      <w:r w:rsidR="00B71F95">
        <w:t xml:space="preserve"> </w:t>
      </w:r>
      <w:hyperlink r:id="rId32" w:history="1">
        <w:r w:rsidR="00B71F95" w:rsidRPr="0039751B">
          <w:rPr>
            <w:rStyle w:val="Hyperlink"/>
          </w:rPr>
          <w:t>https://aposo.gov.ba/sadrzaj/uploads/Instrumentarij-za-samovrjednovanje-BOS-final1.pdf</w:t>
        </w:r>
      </w:hyperlink>
      <w:r w:rsidR="00B71F95">
        <w:t xml:space="preserve"> </w:t>
      </w:r>
    </w:p>
    <w:p w14:paraId="4C5B7768" w14:textId="77777777" w:rsidR="00E77700" w:rsidRPr="00E77700" w:rsidRDefault="00E77700" w:rsidP="00FB5CB7">
      <w:pPr>
        <w:pStyle w:val="Body"/>
        <w:numPr>
          <w:ilvl w:val="0"/>
          <w:numId w:val="79"/>
        </w:numPr>
      </w:pPr>
      <w:r w:rsidRPr="00E77700">
        <w:t>Anohina A (2005). Analysis of the terminology used in the field of virtual learning. Educational Technology &amp; Society 8(3): 91–102.</w:t>
      </w:r>
    </w:p>
    <w:p w14:paraId="6C00A346" w14:textId="77777777" w:rsidR="00E77700" w:rsidRPr="00E77700" w:rsidRDefault="00E77700" w:rsidP="00FB5CB7">
      <w:pPr>
        <w:pStyle w:val="Body"/>
        <w:numPr>
          <w:ilvl w:val="0"/>
          <w:numId w:val="79"/>
        </w:numPr>
      </w:pPr>
      <w:r w:rsidRPr="00E77700">
        <w:t>Bjelan – Guska, S. i Manko, A. (2020). Okruženje koje potiče individualizirano učenje – Modul 3. Sarajevo: Univerzitet u Sarajevu</w:t>
      </w:r>
    </w:p>
    <w:p w14:paraId="6F84B41B" w14:textId="0FA9EA3D" w:rsidR="00E77700" w:rsidRPr="00E77700" w:rsidRDefault="00E77700" w:rsidP="00FB5CB7">
      <w:pPr>
        <w:pStyle w:val="Body"/>
        <w:numPr>
          <w:ilvl w:val="0"/>
          <w:numId w:val="79"/>
        </w:numPr>
      </w:pPr>
      <w:r w:rsidRPr="00E77700">
        <w:t xml:space="preserve">Bray, B. and McClaskey, K. Personalization vs Differentiation vs Individualization Dostupno na: </w:t>
      </w:r>
      <w:hyperlink r:id="rId33" w:history="1">
        <w:r w:rsidR="00B71F95" w:rsidRPr="0039751B">
          <w:rPr>
            <w:rStyle w:val="Hyperlink"/>
          </w:rPr>
          <w:t>http://www.my-ecoach.com/nastave putem interneta/resources/925/PersonalizationvsDifferentiationvsIndividualization.pdf</w:t>
        </w:r>
      </w:hyperlink>
      <w:r w:rsidR="00B71F95">
        <w:t xml:space="preserve"> </w:t>
      </w:r>
      <w:r w:rsidRPr="00E77700">
        <w:t xml:space="preserve"> </w:t>
      </w:r>
    </w:p>
    <w:p w14:paraId="50FE5D6E" w14:textId="08AEB977" w:rsidR="00E77700" w:rsidRPr="00E77700" w:rsidRDefault="00E77700" w:rsidP="00FB5CB7">
      <w:pPr>
        <w:pStyle w:val="Body"/>
        <w:numPr>
          <w:ilvl w:val="0"/>
          <w:numId w:val="79"/>
        </w:numPr>
      </w:pPr>
      <w:r w:rsidRPr="00E77700">
        <w:t xml:space="preserve">Center for Applied Special Technologies (n.d.). About UDL. dostupno na: </w:t>
      </w:r>
      <w:hyperlink r:id="rId34" w:history="1">
        <w:r w:rsidR="00B71F95" w:rsidRPr="0039751B">
          <w:rPr>
            <w:rStyle w:val="Hyperlink"/>
          </w:rPr>
          <w:t>http://www.cast.org/udl/</w:t>
        </w:r>
      </w:hyperlink>
      <w:r w:rsidR="00B71F95">
        <w:t xml:space="preserve"> </w:t>
      </w:r>
      <w:r w:rsidRPr="00E77700">
        <w:t xml:space="preserve"> </w:t>
      </w:r>
    </w:p>
    <w:p w14:paraId="495314E9" w14:textId="15F46F75" w:rsidR="00E77700" w:rsidRPr="00E77700" w:rsidRDefault="00E77700" w:rsidP="00FB5CB7">
      <w:pPr>
        <w:pStyle w:val="Body"/>
        <w:numPr>
          <w:ilvl w:val="0"/>
          <w:numId w:val="79"/>
        </w:numPr>
      </w:pPr>
      <w:r w:rsidRPr="00E77700">
        <w:t xml:space="preserve">Digital Education Plan (2021 – 2027) dostupno na: </w:t>
      </w:r>
      <w:hyperlink r:id="rId35" w:history="1">
        <w:r w:rsidR="00B71F95" w:rsidRPr="0039751B">
          <w:rPr>
            <w:rStyle w:val="Hyperlink"/>
          </w:rPr>
          <w:t>https://education.ec.europa.eu/focus-topics/digital-education/action-plan</w:t>
        </w:r>
      </w:hyperlink>
      <w:r w:rsidR="00B71F95">
        <w:t xml:space="preserve"> </w:t>
      </w:r>
    </w:p>
    <w:p w14:paraId="13560138" w14:textId="39B11495" w:rsidR="00E77700" w:rsidRPr="00E77700" w:rsidRDefault="00E77700" w:rsidP="00FB5CB7">
      <w:pPr>
        <w:pStyle w:val="Body"/>
        <w:numPr>
          <w:ilvl w:val="0"/>
          <w:numId w:val="79"/>
        </w:numPr>
      </w:pPr>
      <w:r w:rsidRPr="00E77700">
        <w:t xml:space="preserve">EU Akcioni plan za digitalno obrazovanje 2021-2027. Dostupno na: </w:t>
      </w:r>
      <w:hyperlink r:id="rId36" w:history="1">
        <w:r w:rsidR="00B71F95" w:rsidRPr="0039751B">
          <w:rPr>
            <w:rStyle w:val="Hyperlink"/>
          </w:rPr>
          <w:t>https://education.ec.europa.eu/focus-topics/digital-education/action-plan</w:t>
        </w:r>
      </w:hyperlink>
      <w:r w:rsidR="00B71F95">
        <w:t xml:space="preserve"> </w:t>
      </w:r>
    </w:p>
    <w:p w14:paraId="65797B43" w14:textId="41C56ADE" w:rsidR="00E77700" w:rsidRPr="00E77700" w:rsidRDefault="00E77700" w:rsidP="00FB5CB7">
      <w:pPr>
        <w:pStyle w:val="Body"/>
        <w:numPr>
          <w:ilvl w:val="0"/>
          <w:numId w:val="79"/>
        </w:numPr>
      </w:pPr>
      <w:r w:rsidRPr="00E77700">
        <w:t xml:space="preserve">European Framework for the Digital Competence of Educators: DigCompEdu. dostupno na: </w:t>
      </w:r>
      <w:hyperlink r:id="rId37" w:history="1">
        <w:r w:rsidR="00B71F95" w:rsidRPr="0039751B">
          <w:rPr>
            <w:rStyle w:val="Hyperlink"/>
          </w:rPr>
          <w:t>https://publications.jrc.ec.europa.eu/repoZiTOry/handle/JRC107466</w:t>
        </w:r>
      </w:hyperlink>
      <w:r w:rsidR="00B71F95">
        <w:t xml:space="preserve"> </w:t>
      </w:r>
    </w:p>
    <w:p w14:paraId="007AA2D8" w14:textId="77777777" w:rsidR="00E77700" w:rsidRPr="00E77700" w:rsidRDefault="00E77700" w:rsidP="00FB5CB7">
      <w:pPr>
        <w:pStyle w:val="Body"/>
        <w:numPr>
          <w:ilvl w:val="0"/>
          <w:numId w:val="79"/>
        </w:numPr>
      </w:pPr>
      <w:r w:rsidRPr="00E77700">
        <w:t>European Union (2020). Blended learning in school education – guidelines for the start of academic year 2020/21</w:t>
      </w:r>
    </w:p>
    <w:p w14:paraId="7BC5E25A" w14:textId="24A57B9A" w:rsidR="00E77700" w:rsidRPr="00E77700" w:rsidRDefault="00E77700" w:rsidP="00FB5CB7">
      <w:pPr>
        <w:pStyle w:val="Body"/>
        <w:numPr>
          <w:ilvl w:val="0"/>
          <w:numId w:val="79"/>
        </w:numPr>
      </w:pPr>
      <w:r w:rsidRPr="00E77700">
        <w:lastRenderedPageBreak/>
        <w:t xml:space="preserve">Europski okvir digitalnih kompetencija za nastavnike (2017). Dostupno na </w:t>
      </w:r>
      <w:hyperlink r:id="rId38" w:history="1">
        <w:r w:rsidR="00B71F95" w:rsidRPr="0039751B">
          <w:rPr>
            <w:rStyle w:val="Hyperlink"/>
          </w:rPr>
          <w:t>https://publications.jrc.ec.europa.eu/repoZiTOry/handle/JRC107466</w:t>
        </w:r>
      </w:hyperlink>
      <w:r w:rsidR="00B71F95">
        <w:t xml:space="preserve"> </w:t>
      </w:r>
    </w:p>
    <w:p w14:paraId="71898523" w14:textId="7A408B01" w:rsidR="00E77700" w:rsidRPr="00E77700" w:rsidRDefault="00E77700" w:rsidP="00FB5CB7">
      <w:pPr>
        <w:pStyle w:val="Body"/>
        <w:numPr>
          <w:ilvl w:val="0"/>
          <w:numId w:val="79"/>
        </w:numPr>
      </w:pPr>
      <w:r w:rsidRPr="00E77700">
        <w:t xml:space="preserve">International Association for K-12 online Learning – iNACOL (2015). Blending Learning: The Evolution of Nastave putem interneta and Face-to-Face Education from 2008–2015. Promising practices in blended and online learning. dostupno na: </w:t>
      </w:r>
      <w:hyperlink r:id="rId39" w:history="1">
        <w:r w:rsidR="00B71F95" w:rsidRPr="0039751B">
          <w:rPr>
            <w:rStyle w:val="Hyperlink"/>
          </w:rPr>
          <w:t>https://files.eric.ed.gov/fulltext/ED560788.pdf</w:t>
        </w:r>
      </w:hyperlink>
      <w:r w:rsidR="00B71F95">
        <w:t xml:space="preserve"> </w:t>
      </w:r>
    </w:p>
    <w:p w14:paraId="43C5916A" w14:textId="14742810" w:rsidR="00E77700" w:rsidRPr="00E77700" w:rsidRDefault="00E77700" w:rsidP="00FB5CB7">
      <w:pPr>
        <w:pStyle w:val="Body"/>
        <w:numPr>
          <w:ilvl w:val="0"/>
          <w:numId w:val="79"/>
        </w:numPr>
      </w:pPr>
      <w:r w:rsidRPr="00E77700">
        <w:t xml:space="preserve">International Computer and Information Literacy Study – ICILS, dostupno na: </w:t>
      </w:r>
      <w:hyperlink r:id="rId40" w:history="1">
        <w:r w:rsidR="00B71F95" w:rsidRPr="0039751B">
          <w:rPr>
            <w:rStyle w:val="Hyperlink"/>
          </w:rPr>
          <w:t>https://www.ncvvo.hr/medunarodna-istrazivanja/icils/</w:t>
        </w:r>
      </w:hyperlink>
      <w:r w:rsidR="00B71F95">
        <w:t xml:space="preserve"> </w:t>
      </w:r>
    </w:p>
    <w:p w14:paraId="0D687989" w14:textId="119797A2" w:rsidR="00E77700" w:rsidRPr="00E77700" w:rsidRDefault="00E77700" w:rsidP="00FB5CB7">
      <w:pPr>
        <w:pStyle w:val="Body"/>
        <w:numPr>
          <w:ilvl w:val="0"/>
          <w:numId w:val="79"/>
        </w:numPr>
      </w:pPr>
      <w:r w:rsidRPr="00E77700">
        <w:t xml:space="preserve">International Labour Organzation (2021). Policy Brief - Digitalisation of TVET and Skills Development.  Dostupno na: </w:t>
      </w:r>
      <w:hyperlink r:id="rId41" w:history="1">
        <w:r w:rsidR="00B71F95" w:rsidRPr="0039751B">
          <w:rPr>
            <w:rStyle w:val="Hyperlink"/>
          </w:rPr>
          <w:t>https://www.ilo.org/skills/areas/skills-policies-and-systems/WCMS_829984/lang--en/index.htm</w:t>
        </w:r>
      </w:hyperlink>
      <w:r w:rsidRPr="00E77700">
        <w:t xml:space="preserve">; </w:t>
      </w:r>
    </w:p>
    <w:p w14:paraId="7C0B3111" w14:textId="6D133054" w:rsidR="00E77700" w:rsidRPr="00E77700" w:rsidRDefault="00E77700" w:rsidP="00FB5CB7">
      <w:pPr>
        <w:pStyle w:val="Body"/>
        <w:numPr>
          <w:ilvl w:val="0"/>
          <w:numId w:val="79"/>
        </w:numPr>
      </w:pPr>
      <w:r w:rsidRPr="00E77700">
        <w:t>Kafedžić, L., Bjelan-Guska, S., Šušnjara, S., Osmić, L. i Zukić, M. (2018). Pedagoško – didaktički aspekti obrazovanja studenata</w:t>
      </w:r>
      <w:r w:rsidR="00B04FA8">
        <w:t xml:space="preserve"> sa </w:t>
      </w:r>
      <w:r w:rsidRPr="00E77700">
        <w:t>invaliditetom. Sarajevo: Dobra knjiga.</w:t>
      </w:r>
    </w:p>
    <w:p w14:paraId="54665123" w14:textId="0D3D6C69" w:rsidR="00E77700" w:rsidRPr="00E77700" w:rsidRDefault="00E77700" w:rsidP="00FB5CB7">
      <w:pPr>
        <w:pStyle w:val="Body"/>
        <w:numPr>
          <w:ilvl w:val="0"/>
          <w:numId w:val="79"/>
        </w:numPr>
      </w:pPr>
      <w:r w:rsidRPr="00E77700">
        <w:t xml:space="preserve">Kumar Basak, S., Wotto, M. and Belanger, P.  (2018). E-learning, M-learning and D-learning: Conceptual definition and comparative analysis. Dostupno na: </w:t>
      </w:r>
      <w:r w:rsidR="00B71F95">
        <w:t xml:space="preserve"> </w:t>
      </w:r>
      <w:hyperlink r:id="rId42" w:history="1">
        <w:r w:rsidR="00B71F95" w:rsidRPr="0039751B">
          <w:rPr>
            <w:rStyle w:val="Hyperlink"/>
          </w:rPr>
          <w:t>https://journals.sagepub.com/doi/pdf/10.1177/2042753018785180</w:t>
        </w:r>
      </w:hyperlink>
      <w:r w:rsidR="00B71F95">
        <w:t xml:space="preserve"> </w:t>
      </w:r>
    </w:p>
    <w:p w14:paraId="74437E35" w14:textId="520AB442" w:rsidR="00E77700" w:rsidRPr="00E77700" w:rsidRDefault="00E77700" w:rsidP="00FB5CB7">
      <w:pPr>
        <w:pStyle w:val="Body"/>
        <w:numPr>
          <w:ilvl w:val="0"/>
          <w:numId w:val="79"/>
        </w:numPr>
      </w:pPr>
      <w:r w:rsidRPr="00E77700">
        <w:t xml:space="preserve">Malina, A. (2018) Personalizirano poučavanje i modeli savremenog poučavanja dostupno na: </w:t>
      </w:r>
      <w:hyperlink r:id="rId43" w:history="1">
        <w:r w:rsidR="00B71F95" w:rsidRPr="0039751B">
          <w:rPr>
            <w:rStyle w:val="Hyperlink"/>
          </w:rPr>
          <w:t>https://urn.nsk.hr/urn:nbn:hr:158:325130</w:t>
        </w:r>
      </w:hyperlink>
      <w:r w:rsidR="00B71F95">
        <w:t xml:space="preserve"> </w:t>
      </w:r>
    </w:p>
    <w:p w14:paraId="5C4DB6EE" w14:textId="77777777" w:rsidR="00E77700" w:rsidRPr="00E77700" w:rsidRDefault="00E77700" w:rsidP="00FB5CB7">
      <w:pPr>
        <w:pStyle w:val="Body"/>
        <w:numPr>
          <w:ilvl w:val="0"/>
          <w:numId w:val="79"/>
        </w:numPr>
      </w:pPr>
      <w:r w:rsidRPr="00E77700">
        <w:t>Ministarstvo za obrazovanje, nauku i mlade Kanton Sarajevo (2020). Metodologija realizacije nastave putem interneta u Kantonu Sarajevo sa smjernicama za izradu digitalnog obrazovnog sadržaja i praćenje, vrjednovanje i ocjenjivanja učenika/ca</w:t>
      </w:r>
    </w:p>
    <w:p w14:paraId="2C6FB615" w14:textId="4C2239B5" w:rsidR="00E77700" w:rsidRPr="00E77700" w:rsidRDefault="00E77700" w:rsidP="00FB5CB7">
      <w:pPr>
        <w:pStyle w:val="Body"/>
        <w:numPr>
          <w:ilvl w:val="0"/>
          <w:numId w:val="79"/>
        </w:numPr>
      </w:pPr>
      <w:r w:rsidRPr="00E77700">
        <w:t xml:space="preserve">Okvirni zakon o osnovnom i srednjem obrazovanju u Boni i Hercegovini. Dostupno na: </w:t>
      </w:r>
      <w:hyperlink r:id="rId44" w:history="1">
        <w:r w:rsidR="00B71F95" w:rsidRPr="0039751B">
          <w:rPr>
            <w:rStyle w:val="Hyperlink"/>
          </w:rPr>
          <w:t>https://aposo.gov.ba/sadrzaj/uploads/Okvirni-zakon-o-osnovnom-i-srednjem-obrazovanju-u-Bosni-i-Hercegovini.pdf</w:t>
        </w:r>
      </w:hyperlink>
      <w:r w:rsidR="00B71F95">
        <w:t xml:space="preserve"> </w:t>
      </w:r>
    </w:p>
    <w:p w14:paraId="54A91380" w14:textId="6C416A00" w:rsidR="00E77700" w:rsidRPr="00E77700" w:rsidRDefault="00E77700" w:rsidP="00FB5CB7">
      <w:pPr>
        <w:pStyle w:val="Body"/>
        <w:numPr>
          <w:ilvl w:val="0"/>
          <w:numId w:val="79"/>
        </w:numPr>
      </w:pPr>
      <w:r w:rsidRPr="00E77700">
        <w:t xml:space="preserve">Opći komentar na </w:t>
      </w:r>
      <w:r w:rsidR="00355820">
        <w:rPr>
          <w:lang w:val="hr-BA"/>
        </w:rPr>
        <w:t>č</w:t>
      </w:r>
      <w:r w:rsidRPr="00E77700">
        <w:t>lanak 24 Konvencije o pravima osoba</w:t>
      </w:r>
      <w:r w:rsidR="00B04FA8">
        <w:t xml:space="preserve"> sa </w:t>
      </w:r>
      <w:r w:rsidRPr="00E77700">
        <w:t xml:space="preserve">invaliditetom: Pravo na inkluzivno obrazovanje. dostupno na: </w:t>
      </w:r>
      <w:hyperlink r:id="rId45" w:history="1">
        <w:r w:rsidR="00B71F95" w:rsidRPr="0039751B">
          <w:rPr>
            <w:rStyle w:val="Hyperlink"/>
          </w:rPr>
          <w:t>http://www.downsy.ba/wp-content/uploads/2019/07/Opsti-komentar_2.pdf</w:t>
        </w:r>
      </w:hyperlink>
      <w:r w:rsidR="00B71F95">
        <w:t xml:space="preserve"> </w:t>
      </w:r>
      <w:r w:rsidRPr="00E77700">
        <w:t xml:space="preserve"> </w:t>
      </w:r>
    </w:p>
    <w:p w14:paraId="755E0777" w14:textId="77777777" w:rsidR="00E77700" w:rsidRPr="00E77700" w:rsidRDefault="00E77700" w:rsidP="00FB5CB7">
      <w:pPr>
        <w:pStyle w:val="Body"/>
        <w:numPr>
          <w:ilvl w:val="0"/>
          <w:numId w:val="79"/>
        </w:numPr>
      </w:pPr>
      <w:r w:rsidRPr="00E77700">
        <w:t>Osmić, L. (2020). Inkluzivno obrazovanje – Vizija, teorija i koncepti – Modul 1. Sarajevo: Univerzitet u Sarajevu</w:t>
      </w:r>
    </w:p>
    <w:p w14:paraId="335144A3" w14:textId="0D4E1EB1" w:rsidR="00E77700" w:rsidRPr="00E77700" w:rsidRDefault="00E77700" w:rsidP="00FB5CB7">
      <w:pPr>
        <w:pStyle w:val="Body"/>
        <w:numPr>
          <w:ilvl w:val="0"/>
          <w:numId w:val="79"/>
        </w:numPr>
      </w:pPr>
      <w:r w:rsidRPr="00E77700">
        <w:t xml:space="preserve">Osnovni tehnički standardi za alate informatičkih-komunikacionih tehnologija u obrazovnim sistemima u Bosni i Hercegovini. dostupno na: </w:t>
      </w:r>
      <w:hyperlink r:id="rId46" w:history="1">
        <w:r w:rsidR="00B71F95" w:rsidRPr="0039751B">
          <w:rPr>
            <w:rStyle w:val="Hyperlink"/>
          </w:rPr>
          <w:t>http://www.mcp.gov.ba/Content/Read/obrazovanje-dokumenti</w:t>
        </w:r>
      </w:hyperlink>
      <w:r w:rsidR="00B71F95">
        <w:t xml:space="preserve"> </w:t>
      </w:r>
    </w:p>
    <w:p w14:paraId="4FC2E3FA" w14:textId="09B4FB63" w:rsidR="00E77700" w:rsidRPr="00E77700" w:rsidRDefault="00E77700" w:rsidP="00FB5CB7">
      <w:pPr>
        <w:pStyle w:val="Body"/>
        <w:numPr>
          <w:ilvl w:val="0"/>
          <w:numId w:val="79"/>
        </w:numPr>
      </w:pPr>
      <w:r w:rsidRPr="00E77700">
        <w:t>Petrovi</w:t>
      </w:r>
      <w:r w:rsidR="00355820">
        <w:rPr>
          <w:lang w:val="hr-BA"/>
        </w:rPr>
        <w:t>ć</w:t>
      </w:r>
      <w:r w:rsidRPr="00E77700">
        <w:t>, J. (2017). Ra</w:t>
      </w:r>
      <w:r w:rsidR="00355820">
        <w:rPr>
          <w:lang w:val="hr-BA"/>
        </w:rPr>
        <w:t>č</w:t>
      </w:r>
      <w:r w:rsidRPr="00E77700">
        <w:t>unalna provjera znanja bez nadzora. Fakultet elektrotehnike i ra</w:t>
      </w:r>
      <w:r w:rsidR="00CB5414">
        <w:t>ч</w:t>
      </w:r>
      <w:r w:rsidRPr="00E77700">
        <w:t>unarstva. Sveu</w:t>
      </w:r>
      <w:r w:rsidR="00355820">
        <w:rPr>
          <w:lang w:val="hr-BA"/>
        </w:rPr>
        <w:t>č</w:t>
      </w:r>
      <w:r w:rsidRPr="00E77700">
        <w:t xml:space="preserve">ilište u Zagrebu. dostupno na: </w:t>
      </w:r>
      <w:hyperlink r:id="rId47" w:history="1">
        <w:r w:rsidR="00B71F95" w:rsidRPr="0039751B">
          <w:rPr>
            <w:rStyle w:val="Hyperlink"/>
          </w:rPr>
          <w:t>http://www.ieee.hr/_download/repoZiTOry/ieee25-jpetrovic-v5-jp.pdf</w:t>
        </w:r>
      </w:hyperlink>
      <w:r w:rsidR="00B71F95">
        <w:t xml:space="preserve"> </w:t>
      </w:r>
      <w:r w:rsidRPr="00E77700">
        <w:t xml:space="preserve"> </w:t>
      </w:r>
    </w:p>
    <w:p w14:paraId="02B0C198" w14:textId="562AE01C" w:rsidR="00E77700" w:rsidRPr="00E77700" w:rsidRDefault="00E77700" w:rsidP="00FB5CB7">
      <w:pPr>
        <w:pStyle w:val="Body"/>
        <w:numPr>
          <w:ilvl w:val="0"/>
          <w:numId w:val="79"/>
        </w:numPr>
      </w:pPr>
      <w:r w:rsidRPr="00E77700">
        <w:t xml:space="preserve">Roberts, J. and Herrington, J. (2005): Interactive Television: Educational Use in the new millenium.  Dostupno na: </w:t>
      </w:r>
      <w:hyperlink r:id="rId48" w:history="1">
        <w:r w:rsidR="00B71F95" w:rsidRPr="0039751B">
          <w:rPr>
            <w:rStyle w:val="Hyperlink"/>
          </w:rPr>
          <w:t>https://www.researchgate.net/publication/228806805_Interactive_television_Educational_use_in_the_new_millennium</w:t>
        </w:r>
      </w:hyperlink>
      <w:r w:rsidR="00B71F95">
        <w:t xml:space="preserve"> </w:t>
      </w:r>
    </w:p>
    <w:p w14:paraId="51FF9A8A" w14:textId="252D4BBA" w:rsidR="00E77700" w:rsidRPr="00E77700" w:rsidRDefault="00E77700" w:rsidP="00FB5CB7">
      <w:pPr>
        <w:pStyle w:val="Body"/>
        <w:numPr>
          <w:ilvl w:val="0"/>
          <w:numId w:val="79"/>
        </w:numPr>
      </w:pPr>
      <w:r w:rsidRPr="00E77700">
        <w:t xml:space="preserve">SELFIE (Primjer izvještaja škole). dostupno na: </w:t>
      </w:r>
      <w:hyperlink r:id="rId49" w:history="1">
        <w:r w:rsidR="00B71F95" w:rsidRPr="0039751B">
          <w:rPr>
            <w:rStyle w:val="Hyperlink"/>
          </w:rPr>
          <w:t>http://os-slatine.skole.hr/upload/os-slatine/images/newsimg/677/File/SELFIE-report%20(1).pdf</w:t>
        </w:r>
      </w:hyperlink>
      <w:r w:rsidR="00B71F95">
        <w:t xml:space="preserve"> </w:t>
      </w:r>
    </w:p>
    <w:p w14:paraId="55D8946C" w14:textId="77777777" w:rsidR="00E77700" w:rsidRPr="00E77700" w:rsidRDefault="00E77700" w:rsidP="00FB5CB7">
      <w:pPr>
        <w:pStyle w:val="Body"/>
        <w:numPr>
          <w:ilvl w:val="0"/>
          <w:numId w:val="79"/>
        </w:numPr>
      </w:pPr>
      <w:r w:rsidRPr="00E77700">
        <w:t>Slatina, M. (2005). Od individue do ličnosti – uvođenje u teoriju konfluentnog obrazovanja. Zenica: Dom štampe</w:t>
      </w:r>
    </w:p>
    <w:p w14:paraId="70C2E07A" w14:textId="280B166C" w:rsidR="00E77700" w:rsidRPr="00E77700" w:rsidRDefault="00E77700" w:rsidP="00FB5CB7">
      <w:pPr>
        <w:pStyle w:val="Body"/>
        <w:numPr>
          <w:ilvl w:val="0"/>
          <w:numId w:val="79"/>
        </w:numPr>
      </w:pPr>
      <w:r w:rsidRPr="00E77700">
        <w:t xml:space="preserve">Standardi i smjernice za osiguranje kvalitete visokom obrazovanju u Bosni i Hercegovini (2007). Dostupno na: </w:t>
      </w:r>
      <w:hyperlink r:id="rId50" w:history="1">
        <w:r w:rsidR="00B71F95" w:rsidRPr="0039751B">
          <w:rPr>
            <w:rStyle w:val="Hyperlink"/>
          </w:rPr>
          <w:t>http://hea.gov.ba/Kvalitet/dokumenti/?id=1229</w:t>
        </w:r>
      </w:hyperlink>
      <w:r w:rsidR="00B71F95">
        <w:t xml:space="preserve"> </w:t>
      </w:r>
    </w:p>
    <w:p w14:paraId="7F2AA213" w14:textId="77777777" w:rsidR="00E77700" w:rsidRPr="00E77700" w:rsidRDefault="00E77700" w:rsidP="00FB5CB7">
      <w:pPr>
        <w:pStyle w:val="Body"/>
        <w:numPr>
          <w:ilvl w:val="0"/>
          <w:numId w:val="79"/>
        </w:numPr>
      </w:pPr>
      <w:r w:rsidRPr="00E77700">
        <w:t xml:space="preserve">Suhonen J (2005). A formative development method for digital learning environments in sparse learning communities. PhD Thesis, University of Joensuu, Joensuu, Finland. </w:t>
      </w:r>
    </w:p>
    <w:p w14:paraId="2198B98D" w14:textId="6BC63782" w:rsidR="00E77700" w:rsidRPr="00E77700" w:rsidRDefault="00E77700" w:rsidP="00FB5CB7">
      <w:pPr>
        <w:pStyle w:val="Body"/>
        <w:numPr>
          <w:ilvl w:val="0"/>
          <w:numId w:val="79"/>
        </w:numPr>
      </w:pPr>
      <w:r w:rsidRPr="00E77700">
        <w:lastRenderedPageBreak/>
        <w:t xml:space="preserve">Sustainable Development Goals - Agenda 2030. dostupno na: </w:t>
      </w:r>
      <w:hyperlink r:id="rId51" w:history="1">
        <w:r w:rsidR="00B71F95" w:rsidRPr="0039751B">
          <w:rPr>
            <w:rStyle w:val="Hyperlink"/>
          </w:rPr>
          <w:t>https://bosniaherzegovina.un.org/bhs/sdgs</w:t>
        </w:r>
      </w:hyperlink>
      <w:r w:rsidR="00B71F95">
        <w:t xml:space="preserve"> </w:t>
      </w:r>
    </w:p>
    <w:p w14:paraId="7B13196E" w14:textId="1B4F8825" w:rsidR="00E77700" w:rsidRPr="00E77700" w:rsidRDefault="00E77700" w:rsidP="00FB5CB7">
      <w:pPr>
        <w:pStyle w:val="Body"/>
        <w:numPr>
          <w:ilvl w:val="0"/>
          <w:numId w:val="79"/>
        </w:numPr>
      </w:pPr>
      <w:r w:rsidRPr="00E77700">
        <w:t xml:space="preserve">Tomaševski, T. (2004) Manual On Rights-Based Education. Global Human Rights Requirements Made Simple. Collaborative Project Between the UN Special Rapporteur On The Right To Education And Unesco Asia And Pacific Regional Bureau For Education. dostupno na: </w:t>
      </w:r>
      <w:hyperlink r:id="rId52" w:history="1">
        <w:r w:rsidR="00B71F95" w:rsidRPr="0039751B">
          <w:rPr>
            <w:rStyle w:val="Hyperlink"/>
          </w:rPr>
          <w:t>https://www.right-to-education.org/sites/right-to-education.org/files/resource-attachments/Manual%20on%20Rights-based%20Education_Tomasevski_0.pdf</w:t>
        </w:r>
      </w:hyperlink>
      <w:r w:rsidR="00B71F95">
        <w:t xml:space="preserve"> </w:t>
      </w:r>
    </w:p>
    <w:p w14:paraId="26C38E8B" w14:textId="045E31CB" w:rsidR="00E77700" w:rsidRPr="00E77700" w:rsidRDefault="00E77700" w:rsidP="00FB5CB7">
      <w:pPr>
        <w:pStyle w:val="Body"/>
        <w:numPr>
          <w:ilvl w:val="0"/>
          <w:numId w:val="79"/>
        </w:numPr>
      </w:pPr>
      <w:r w:rsidRPr="00E77700">
        <w:t xml:space="preserve">UN Konvencija o pravima djeteta (1989). dostupno na: </w:t>
      </w:r>
      <w:hyperlink r:id="rId53" w:history="1">
        <w:r w:rsidR="00B71F95" w:rsidRPr="0039751B">
          <w:rPr>
            <w:rStyle w:val="Hyperlink"/>
          </w:rPr>
          <w:t>https://www.unicef.hr/wp-content/uploads/2017/05/Konvencija_20o_20pravima_20djeteta_full.pdf</w:t>
        </w:r>
      </w:hyperlink>
      <w:r w:rsidR="00B71F95">
        <w:t xml:space="preserve"> </w:t>
      </w:r>
    </w:p>
    <w:p w14:paraId="37402E75" w14:textId="1496BD1E" w:rsidR="00E77700" w:rsidRPr="00E77700" w:rsidRDefault="00E77700" w:rsidP="00FB5CB7">
      <w:pPr>
        <w:pStyle w:val="Body"/>
        <w:numPr>
          <w:ilvl w:val="0"/>
          <w:numId w:val="79"/>
        </w:numPr>
      </w:pPr>
      <w:r w:rsidRPr="00E77700">
        <w:t xml:space="preserve">UN Opća deklaracija o ljudskim pravima (1948) dostupno na: </w:t>
      </w:r>
      <w:hyperlink r:id="rId54" w:history="1">
        <w:r w:rsidR="00B71F95" w:rsidRPr="0039751B">
          <w:rPr>
            <w:rStyle w:val="Hyperlink"/>
          </w:rPr>
          <w:t>https://www.ombudsmen.gov.ba/documents/obmudsmen_doc2013041003050667cro.pdf</w:t>
        </w:r>
      </w:hyperlink>
      <w:r w:rsidR="00B71F95">
        <w:t xml:space="preserve"> </w:t>
      </w:r>
    </w:p>
    <w:p w14:paraId="34430EAE" w14:textId="77777777" w:rsidR="00E77700" w:rsidRPr="00E77700" w:rsidRDefault="00E77700" w:rsidP="00FB5CB7">
      <w:pPr>
        <w:pStyle w:val="Body"/>
        <w:numPr>
          <w:ilvl w:val="0"/>
          <w:numId w:val="79"/>
        </w:numPr>
      </w:pPr>
      <w:r w:rsidRPr="00E77700">
        <w:t>UNESCO and ITU (2021). Working Group Report on Digital Learning Connecting Learning Spaces: Possibilities for Hybrid Learning</w:t>
      </w:r>
    </w:p>
    <w:p w14:paraId="0B96EA54" w14:textId="77777777" w:rsidR="00E77700" w:rsidRPr="00E77700" w:rsidRDefault="00E77700" w:rsidP="00FB5CB7">
      <w:pPr>
        <w:pStyle w:val="Body"/>
        <w:numPr>
          <w:ilvl w:val="0"/>
          <w:numId w:val="79"/>
        </w:numPr>
      </w:pPr>
      <w:r w:rsidRPr="00E77700">
        <w:t xml:space="preserve">UNESCO (2021). Pregledna studija o kvalitetu učenja na daljinu u visokom obrazovanju u Bosni i Hercegovini tokom COVID-19 pandemije </w:t>
      </w:r>
    </w:p>
    <w:p w14:paraId="37A84613" w14:textId="5E44C7F8" w:rsidR="00E77700" w:rsidRPr="00E77700" w:rsidRDefault="00E77700" w:rsidP="00FB5CB7">
      <w:pPr>
        <w:pStyle w:val="Body"/>
        <w:numPr>
          <w:ilvl w:val="0"/>
          <w:numId w:val="79"/>
        </w:numPr>
      </w:pPr>
      <w:r w:rsidRPr="00E77700">
        <w:t xml:space="preserve">UNESCO (2022). Guidelines for ICT in education policies and masterplans. Dostupno na: </w:t>
      </w:r>
      <w:hyperlink r:id="rId55" w:history="1">
        <w:r w:rsidR="00B71F95" w:rsidRPr="0039751B">
          <w:rPr>
            <w:rStyle w:val="Hyperlink"/>
          </w:rPr>
          <w:t>https://unesdoc.unesco.org/ark:/48223/pf0000380926</w:t>
        </w:r>
      </w:hyperlink>
      <w:r w:rsidR="00B71F95">
        <w:t xml:space="preserve"> </w:t>
      </w:r>
    </w:p>
    <w:p w14:paraId="4D950B29" w14:textId="77777777" w:rsidR="00E77700" w:rsidRPr="00E77700" w:rsidRDefault="00E77700" w:rsidP="00FB5CB7">
      <w:pPr>
        <w:pStyle w:val="Body"/>
        <w:numPr>
          <w:ilvl w:val="0"/>
          <w:numId w:val="79"/>
        </w:numPr>
      </w:pPr>
      <w:r w:rsidRPr="00E77700">
        <w:t>UNESCO ICT Competence Framework for Teachers</w:t>
      </w:r>
    </w:p>
    <w:p w14:paraId="69DA0FF0" w14:textId="77777777" w:rsidR="00E77700" w:rsidRPr="00E77700" w:rsidRDefault="00E77700" w:rsidP="00FB5CB7">
      <w:pPr>
        <w:pStyle w:val="Body"/>
        <w:numPr>
          <w:ilvl w:val="0"/>
          <w:numId w:val="79"/>
        </w:numPr>
      </w:pPr>
      <w:r w:rsidRPr="00E77700">
        <w:t xml:space="preserve">UNICEF (2000). Defining Quality in Education. Paper presented at the International Working Group on Education, Florence, Italy (June, 2000). </w:t>
      </w:r>
    </w:p>
    <w:p w14:paraId="6DA2678A" w14:textId="36C00FF8" w:rsidR="00E77700" w:rsidRPr="00E77700" w:rsidRDefault="00E77700" w:rsidP="00FB5CB7">
      <w:pPr>
        <w:pStyle w:val="Body"/>
        <w:numPr>
          <w:ilvl w:val="0"/>
          <w:numId w:val="79"/>
        </w:numPr>
      </w:pPr>
      <w:r w:rsidRPr="00E77700">
        <w:t xml:space="preserve">UNICEF (2014) Pristup školi i obrazovno okruženje II – Univerzalni dizajn za učenje – Stručni priručnik. Dostupno na: </w:t>
      </w:r>
      <w:hyperlink r:id="rId56" w:history="1">
        <w:r w:rsidR="00B71F95" w:rsidRPr="0039751B">
          <w:rPr>
            <w:rStyle w:val="Hyperlink"/>
          </w:rPr>
          <w:t>https://www.unicef.org/eca/sites/unicef.org.eca/files/Booklet%2011%20-%20Serbian%20Version.pdf</w:t>
        </w:r>
      </w:hyperlink>
      <w:r w:rsidR="00B71F95">
        <w:t xml:space="preserve"> </w:t>
      </w:r>
    </w:p>
    <w:p w14:paraId="0A6B14EB" w14:textId="77777777" w:rsidR="00E77700" w:rsidRPr="00E77700" w:rsidRDefault="00E77700" w:rsidP="00FB5CB7">
      <w:pPr>
        <w:pStyle w:val="Body"/>
        <w:numPr>
          <w:ilvl w:val="0"/>
          <w:numId w:val="79"/>
        </w:numPr>
      </w:pPr>
      <w:r w:rsidRPr="00E77700">
        <w:t>UNICEF (2021a). Pregledna studija o kvalitetu nastave na daljinu i kombiniranog učenja u osnovnom i srednjem obrazovanju (i ZiTO) u Bosni i Hercegovini tokom pandemije koronavirusa</w:t>
      </w:r>
    </w:p>
    <w:p w14:paraId="490E318B" w14:textId="77777777" w:rsidR="00E77700" w:rsidRPr="00E77700" w:rsidRDefault="00E77700" w:rsidP="00FB5CB7">
      <w:pPr>
        <w:pStyle w:val="Body"/>
        <w:numPr>
          <w:ilvl w:val="0"/>
          <w:numId w:val="79"/>
        </w:numPr>
      </w:pPr>
      <w:r w:rsidRPr="00E77700">
        <w:t xml:space="preserve">UNICEF (2021b). Pregledna studija o potrebama nastavnika u nastavi na daljinu i kombiniranom učenju u osnovnim i srednjim (i ZiTO) školama u Bosni i Hercegovini tokom pandemije koronavirusa </w:t>
      </w:r>
    </w:p>
    <w:p w14:paraId="408F87D9" w14:textId="77777777" w:rsidR="00E77700" w:rsidRPr="00E77700" w:rsidRDefault="00E77700" w:rsidP="00FB5CB7">
      <w:pPr>
        <w:pStyle w:val="Body"/>
        <w:numPr>
          <w:ilvl w:val="0"/>
          <w:numId w:val="79"/>
        </w:numPr>
      </w:pPr>
      <w:r w:rsidRPr="00E77700">
        <w:t>UNICEF EDC (2021). Educators' Digital Competency Framework (Okvir digitalnih kompetencija nastavnika)</w:t>
      </w:r>
    </w:p>
    <w:p w14:paraId="5D5B6E51" w14:textId="5CBC3B38" w:rsidR="00E77700" w:rsidRPr="00E77700" w:rsidRDefault="00E77700" w:rsidP="00FB5CB7">
      <w:pPr>
        <w:pStyle w:val="Body"/>
        <w:numPr>
          <w:ilvl w:val="0"/>
          <w:numId w:val="79"/>
        </w:numPr>
      </w:pPr>
      <w:r w:rsidRPr="00E77700">
        <w:t xml:space="preserve">UNICEF. Otvoreni obrazovni digitalni alati za interaktivnu nastavu i učenje preko interneta za nastavnike i učenike. Dostupno na: </w:t>
      </w:r>
      <w:hyperlink r:id="rId57" w:history="1">
        <w:r w:rsidR="00B71F95" w:rsidRPr="0039751B">
          <w:rPr>
            <w:rStyle w:val="Hyperlink"/>
          </w:rPr>
          <w:t>https://www.unicef.org/serbia/otvoreni-obrazovni-digitalni-alati-za-interaktivnu-nastavu-i-ucenje-preko-interneta</w:t>
        </w:r>
      </w:hyperlink>
      <w:r w:rsidR="00B71F95">
        <w:t xml:space="preserve"> </w:t>
      </w:r>
    </w:p>
    <w:p w14:paraId="17A3F524" w14:textId="77777777" w:rsidR="00E77700" w:rsidRPr="00E77700" w:rsidRDefault="00E77700" w:rsidP="00FB5CB7">
      <w:pPr>
        <w:pStyle w:val="Body"/>
        <w:numPr>
          <w:ilvl w:val="0"/>
          <w:numId w:val="79"/>
        </w:numPr>
      </w:pPr>
      <w:r w:rsidRPr="00E77700">
        <w:t>Uputstva o praćenju, vrjednovanju i ocjenjivanju učenika prilikom izvođenja nastave na daljinu. Službeni glasnik Republike Srpske, br. 39/2020.</w:t>
      </w:r>
    </w:p>
    <w:p w14:paraId="08002625" w14:textId="4777F309" w:rsidR="00E77700" w:rsidRPr="00E77700" w:rsidRDefault="00E77700" w:rsidP="00FB5CB7">
      <w:pPr>
        <w:pStyle w:val="Body"/>
        <w:numPr>
          <w:ilvl w:val="0"/>
          <w:numId w:val="79"/>
        </w:numPr>
      </w:pPr>
      <w:r w:rsidRPr="00E77700">
        <w:t xml:space="preserve">World Bank, 2021, The concept of E-Learning. dostupno na:  </w:t>
      </w:r>
      <w:hyperlink r:id="rId58" w:history="1">
        <w:r w:rsidR="00B71F95" w:rsidRPr="0039751B">
          <w:rPr>
            <w:rStyle w:val="Hyperlink"/>
          </w:rPr>
          <w:t>https://web.worldbank.org/archive/website01006/WEB/0__C-331.HTM</w:t>
        </w:r>
      </w:hyperlink>
      <w:r w:rsidR="00B71F95">
        <w:t xml:space="preserve"> </w:t>
      </w:r>
    </w:p>
    <w:p w14:paraId="54FEA39E" w14:textId="77777777" w:rsidR="00E77700" w:rsidRPr="00E77700" w:rsidRDefault="00E77700" w:rsidP="00E77700">
      <w:pPr>
        <w:spacing w:line="276" w:lineRule="auto"/>
        <w:contextualSpacing/>
        <w:rPr>
          <w:rFonts w:ascii="Arial" w:hAnsi="Arial" w:cs="Arial"/>
          <w:color w:val="000000" w:themeColor="text1"/>
          <w:sz w:val="24"/>
          <w:szCs w:val="24"/>
          <w:lang w:val="sr-Cyrl-BA"/>
        </w:rPr>
      </w:pPr>
    </w:p>
    <w:p w14:paraId="4DE0AC63" w14:textId="77777777" w:rsidR="00AB716D" w:rsidRPr="00F6340E" w:rsidRDefault="00AB716D" w:rsidP="00E77700">
      <w:pPr>
        <w:spacing w:line="276" w:lineRule="auto"/>
        <w:contextualSpacing/>
        <w:rPr>
          <w:rFonts w:ascii="Arial" w:hAnsi="Arial" w:cs="Arial"/>
          <w:color w:val="000000" w:themeColor="text1"/>
          <w:lang w:val="sr-Cyrl-BA"/>
        </w:rPr>
      </w:pPr>
    </w:p>
    <w:sectPr w:rsidR="00AB716D" w:rsidRPr="00F6340E" w:rsidSect="00847B04">
      <w:footerReference w:type="default" r:id="rId5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EB86B" w14:textId="77777777" w:rsidR="00B427E2" w:rsidRDefault="00B427E2" w:rsidP="002E19F3">
      <w:r>
        <w:separator/>
      </w:r>
    </w:p>
  </w:endnote>
  <w:endnote w:type="continuationSeparator" w:id="0">
    <w:p w14:paraId="6E2A1485" w14:textId="77777777" w:rsidR="00B427E2" w:rsidRDefault="00B427E2" w:rsidP="002E19F3">
      <w:r>
        <w:continuationSeparator/>
      </w:r>
    </w:p>
  </w:endnote>
  <w:endnote w:type="continuationNotice" w:id="1">
    <w:p w14:paraId="54AC1079" w14:textId="77777777" w:rsidR="00B427E2" w:rsidRDefault="00B42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w:panose1 w:val="020B05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C61B" w14:textId="7CA9EEFB" w:rsidR="00F33370" w:rsidRPr="001A6D76" w:rsidRDefault="00F33370" w:rsidP="001A6D76">
    <w:pPr>
      <w:pStyle w:val="Footer"/>
      <w:jc w:val="right"/>
      <w:rPr>
        <w:rFonts w:ascii="Arial" w:hAnsi="Arial" w:cs="Arial"/>
        <w:b/>
        <w:bCs/>
        <w:sz w:val="18"/>
        <w:szCs w:val="18"/>
      </w:rPr>
    </w:pPr>
    <w:r w:rsidRPr="001A6D76">
      <w:rPr>
        <w:rFonts w:ascii="Arial" w:hAnsi="Arial" w:cs="Arial"/>
        <w:b/>
        <w:bCs/>
        <w:sz w:val="18"/>
        <w:szCs w:val="18"/>
      </w:rPr>
      <w:fldChar w:fldCharType="begin"/>
    </w:r>
    <w:r w:rsidRPr="001A6D76">
      <w:rPr>
        <w:rFonts w:ascii="Arial" w:hAnsi="Arial" w:cs="Arial"/>
        <w:b/>
        <w:bCs/>
        <w:sz w:val="18"/>
        <w:szCs w:val="18"/>
      </w:rPr>
      <w:instrText xml:space="preserve"> PAGE   \* MERGEFORMAT </w:instrText>
    </w:r>
    <w:r w:rsidRPr="001A6D76">
      <w:rPr>
        <w:rFonts w:ascii="Arial" w:hAnsi="Arial" w:cs="Arial"/>
        <w:b/>
        <w:bCs/>
        <w:sz w:val="18"/>
        <w:szCs w:val="18"/>
      </w:rPr>
      <w:fldChar w:fldCharType="separate"/>
    </w:r>
    <w:r w:rsidR="005E45EE">
      <w:rPr>
        <w:rFonts w:ascii="Arial" w:hAnsi="Arial" w:cs="Arial"/>
        <w:b/>
        <w:bCs/>
        <w:noProof/>
        <w:sz w:val="18"/>
        <w:szCs w:val="18"/>
      </w:rPr>
      <w:t>5</w:t>
    </w:r>
    <w:r w:rsidRPr="001A6D7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EBC3" w14:textId="77777777" w:rsidR="00B427E2" w:rsidRDefault="00B427E2" w:rsidP="002E19F3">
      <w:r>
        <w:separator/>
      </w:r>
    </w:p>
  </w:footnote>
  <w:footnote w:type="continuationSeparator" w:id="0">
    <w:p w14:paraId="69FD1D64" w14:textId="77777777" w:rsidR="00B427E2" w:rsidRDefault="00B427E2" w:rsidP="002E19F3">
      <w:r>
        <w:continuationSeparator/>
      </w:r>
    </w:p>
  </w:footnote>
  <w:footnote w:type="continuationNotice" w:id="1">
    <w:p w14:paraId="524081F4" w14:textId="77777777" w:rsidR="00B427E2" w:rsidRDefault="00B427E2"/>
  </w:footnote>
  <w:footnote w:id="2">
    <w:p w14:paraId="4E5E6D5E" w14:textId="2DBBA45F" w:rsidR="00F33370" w:rsidRPr="00171F00" w:rsidRDefault="00F33370">
      <w:pPr>
        <w:pStyle w:val="FootnoteText"/>
        <w:rPr>
          <w:lang w:val="sr-Cyrl-BA"/>
        </w:rPr>
      </w:pPr>
      <w:r w:rsidRPr="00171F00">
        <w:rPr>
          <w:rStyle w:val="FootnoteReference"/>
          <w:lang w:val="sr-Cyrl-BA"/>
        </w:rPr>
        <w:footnoteRef/>
      </w:r>
      <w:r w:rsidR="00B71F95">
        <w:rPr>
          <w:rFonts w:cs="Arial"/>
          <w:color w:val="000000" w:themeColor="text1"/>
          <w:lang w:val="sr-Cyrl-BA"/>
        </w:rPr>
        <w:t xml:space="preserve"> </w:t>
      </w:r>
      <w:r w:rsidR="0071360A" w:rsidRPr="00171F00">
        <w:rPr>
          <w:rFonts w:cs="Arial"/>
          <w:color w:val="000000" w:themeColor="text1"/>
          <w:lang w:val="sr-Cyrl-BA"/>
        </w:rPr>
        <w:t>Им</w:t>
      </w:r>
      <w:r w:rsidR="00A56E08" w:rsidRPr="00171F00">
        <w:rPr>
          <w:rFonts w:cs="Arial"/>
          <w:color w:val="000000" w:themeColor="text1"/>
          <w:lang w:val="sr-Cyrl-BA"/>
        </w:rPr>
        <w:t>а</w:t>
      </w:r>
      <w:r w:rsidR="0071360A" w:rsidRPr="00171F00">
        <w:rPr>
          <w:rFonts w:cs="Arial"/>
          <w:color w:val="000000" w:themeColor="text1"/>
          <w:lang w:val="sr-Cyrl-BA"/>
        </w:rPr>
        <w:t>ју</w:t>
      </w:r>
      <w:r w:rsidR="00A56E08" w:rsidRPr="00171F00">
        <w:rPr>
          <w:rFonts w:cs="Arial"/>
          <w:color w:val="000000" w:themeColor="text1"/>
          <w:lang w:val="sr-Cyrl-BA"/>
        </w:rPr>
        <w:t>ћ</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ви</w:t>
      </w:r>
      <w:r w:rsidR="00A56E08" w:rsidRPr="00171F00">
        <w:rPr>
          <w:rFonts w:cs="Arial"/>
          <w:color w:val="000000" w:themeColor="text1"/>
          <w:lang w:val="sr-Cyrl-BA"/>
        </w:rPr>
        <w:t>д</w:t>
      </w:r>
      <w:r w:rsidR="0071360A" w:rsidRPr="00171F00">
        <w:rPr>
          <w:rFonts w:cs="Arial"/>
          <w:color w:val="000000" w:themeColor="text1"/>
          <w:lang w:val="sr-Cyrl-BA"/>
        </w:rPr>
        <w:t>у</w:t>
      </w:r>
      <w:r w:rsidRPr="00171F00">
        <w:rPr>
          <w:rFonts w:cs="Arial"/>
          <w:color w:val="000000" w:themeColor="text1"/>
          <w:lang w:val="sr-Cyrl-BA"/>
        </w:rPr>
        <w:t xml:space="preserve"> </w:t>
      </w:r>
      <w:hyperlink r:id="rId1" w:history="1">
        <w:r w:rsidR="0071360A" w:rsidRPr="00171F00">
          <w:rPr>
            <w:rStyle w:val="Hyperlink"/>
            <w:rFonts w:cs="Arial"/>
            <w:lang w:val="sr-Cyrl-BA"/>
          </w:rPr>
          <w:t>р</w:t>
        </w:r>
        <w:r w:rsidR="00A56E08" w:rsidRPr="00171F00">
          <w:rPr>
            <w:rStyle w:val="Hyperlink"/>
            <w:rFonts w:cs="Arial"/>
            <w:lang w:val="sr-Cyrl-BA"/>
          </w:rPr>
          <w:t>е</w:t>
        </w:r>
        <w:r w:rsidR="00171F00">
          <w:rPr>
            <w:rStyle w:val="Hyperlink"/>
            <w:rFonts w:cs="Arial"/>
            <w:lang w:val="sr-Cyrl-BA"/>
          </w:rPr>
          <w:t>з</w:t>
        </w:r>
        <w:r w:rsidR="0071360A" w:rsidRPr="00171F00">
          <w:rPr>
            <w:rStyle w:val="Hyperlink"/>
            <w:rFonts w:cs="Arial"/>
            <w:lang w:val="sr-Cyrl-BA"/>
          </w:rPr>
          <w:t>улт</w:t>
        </w:r>
        <w:r w:rsidR="00A56E08" w:rsidRPr="00171F00">
          <w:rPr>
            <w:rStyle w:val="Hyperlink"/>
            <w:rFonts w:cs="Arial"/>
            <w:lang w:val="sr-Cyrl-BA"/>
          </w:rPr>
          <w:t>а</w:t>
        </w:r>
        <w:r w:rsidR="0071360A" w:rsidRPr="00171F00">
          <w:rPr>
            <w:rStyle w:val="Hyperlink"/>
            <w:rFonts w:cs="Arial"/>
            <w:lang w:val="sr-Cyrl-BA"/>
          </w:rPr>
          <w:t>т</w:t>
        </w:r>
        <w:r w:rsidR="00A56E08" w:rsidRPr="00171F00">
          <w:rPr>
            <w:rStyle w:val="Hyperlink"/>
            <w:rFonts w:cs="Arial"/>
            <w:lang w:val="sr-Cyrl-BA"/>
          </w:rPr>
          <w:t>е</w:t>
        </w:r>
        <w:r w:rsidRPr="00171F00">
          <w:rPr>
            <w:rStyle w:val="Hyperlink"/>
            <w:rFonts w:cs="Arial"/>
            <w:lang w:val="sr-Cyrl-BA"/>
          </w:rPr>
          <w:t xml:space="preserve"> </w:t>
        </w:r>
        <w:r w:rsidR="0071360A" w:rsidRPr="00171F00">
          <w:rPr>
            <w:rStyle w:val="Hyperlink"/>
            <w:rFonts w:cs="Arial"/>
            <w:lang w:val="sr-Cyrl-BA"/>
          </w:rPr>
          <w:t>ПИС</w:t>
        </w:r>
        <w:r w:rsidR="00A56E08" w:rsidRPr="00171F00">
          <w:rPr>
            <w:rStyle w:val="Hyperlink"/>
            <w:rFonts w:cs="Arial"/>
            <w:lang w:val="sr-Cyrl-BA"/>
          </w:rPr>
          <w:t>А</w:t>
        </w:r>
        <w:r w:rsidRPr="00171F00">
          <w:rPr>
            <w:rStyle w:val="Hyperlink"/>
            <w:rFonts w:cs="Arial"/>
            <w:lang w:val="sr-Cyrl-BA"/>
          </w:rPr>
          <w:t xml:space="preserve"> 2018 </w:t>
        </w:r>
        <w:r w:rsidR="0071360A" w:rsidRPr="00171F00">
          <w:rPr>
            <w:rStyle w:val="Hyperlink"/>
            <w:rFonts w:cs="Arial"/>
            <w:lang w:val="sr-Cyrl-BA"/>
          </w:rPr>
          <w:t>истр</w:t>
        </w:r>
        <w:r w:rsidR="00A56E08" w:rsidRPr="00171F00">
          <w:rPr>
            <w:rStyle w:val="Hyperlink"/>
            <w:rFonts w:cs="Arial"/>
            <w:lang w:val="sr-Cyrl-BA"/>
          </w:rPr>
          <w:t>а</w:t>
        </w:r>
        <w:r w:rsidR="00171F00">
          <w:rPr>
            <w:rStyle w:val="Hyperlink"/>
            <w:rFonts w:cs="Arial"/>
            <w:lang w:val="sr-Cyrl-BA"/>
          </w:rPr>
          <w:t>ж</w:t>
        </w:r>
        <w:r w:rsidR="0071360A" w:rsidRPr="00171F00">
          <w:rPr>
            <w:rStyle w:val="Hyperlink"/>
            <w:rFonts w:cs="Arial"/>
            <w:lang w:val="sr-Cyrl-BA"/>
          </w:rPr>
          <w:t>ив</w:t>
        </w:r>
        <w:r w:rsidR="00A56E08" w:rsidRPr="00171F00">
          <w:rPr>
            <w:rStyle w:val="Hyperlink"/>
            <w:rFonts w:cs="Arial"/>
            <w:lang w:val="sr-Cyrl-BA"/>
          </w:rPr>
          <w:t>а</w:t>
        </w:r>
        <w:r w:rsidR="0071360A" w:rsidRPr="00171F00">
          <w:rPr>
            <w:rStyle w:val="Hyperlink"/>
            <w:rFonts w:cs="Arial"/>
            <w:lang w:val="sr-Cyrl-BA"/>
          </w:rPr>
          <w:t>њ</w:t>
        </w:r>
        <w:r w:rsidR="00A56E08" w:rsidRPr="00171F00">
          <w:rPr>
            <w:rStyle w:val="Hyperlink"/>
            <w:rFonts w:cs="Arial"/>
            <w:lang w:val="sr-Cyrl-BA"/>
          </w:rPr>
          <w:t>а</w:t>
        </w:r>
      </w:hyperlink>
      <w:r w:rsidRPr="00171F00">
        <w:rPr>
          <w:rFonts w:cs="Arial"/>
          <w:color w:val="000000" w:themeColor="text1"/>
          <w:lang w:val="sr-Cyrl-BA"/>
        </w:rPr>
        <w:t xml:space="preserve"> </w:t>
      </w:r>
      <w:r w:rsidR="0071360A" w:rsidRPr="00171F00">
        <w:rPr>
          <w:rFonts w:cs="Arial"/>
          <w:color w:val="000000" w:themeColor="text1"/>
          <w:lang w:val="sr-Cyrl-BA"/>
        </w:rPr>
        <w:t>пр</w:t>
      </w:r>
      <w:r w:rsidR="00A56E08" w:rsidRPr="00171F00">
        <w:rPr>
          <w:rFonts w:cs="Arial"/>
          <w:color w:val="000000" w:themeColor="text1"/>
          <w:lang w:val="sr-Cyrl-BA"/>
        </w:rPr>
        <w:t>е</w:t>
      </w:r>
      <w:r w:rsidR="0071360A" w:rsidRPr="00171F00">
        <w:rPr>
          <w:rFonts w:cs="Arial"/>
          <w:color w:val="000000" w:themeColor="text1"/>
          <w:lang w:val="sr-Cyrl-BA"/>
        </w:rPr>
        <w:t>м</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којим</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св</w:t>
      </w:r>
      <w:r w:rsidR="00A56E08" w:rsidRPr="00171F00">
        <w:rPr>
          <w:rFonts w:cs="Arial"/>
          <w:color w:val="000000" w:themeColor="text1"/>
          <w:lang w:val="sr-Cyrl-BA"/>
        </w:rPr>
        <w:t>а</w:t>
      </w:r>
      <w:r w:rsidR="0071360A" w:rsidRPr="00171F00">
        <w:rPr>
          <w:rFonts w:cs="Arial"/>
          <w:color w:val="000000" w:themeColor="text1"/>
          <w:lang w:val="sr-Cyrl-BA"/>
        </w:rPr>
        <w:t>ки</w:t>
      </w:r>
      <w:r w:rsidRPr="00171F00">
        <w:rPr>
          <w:rFonts w:cs="Arial"/>
          <w:color w:val="000000" w:themeColor="text1"/>
          <w:lang w:val="sr-Cyrl-BA"/>
        </w:rPr>
        <w:t xml:space="preserve"> </w:t>
      </w:r>
      <w:r w:rsidR="00A56E08" w:rsidRPr="00171F00">
        <w:rPr>
          <w:rFonts w:cs="Arial"/>
          <w:color w:val="000000" w:themeColor="text1"/>
          <w:lang w:val="sr-Cyrl-BA"/>
        </w:rPr>
        <w:t>д</w:t>
      </w:r>
      <w:r w:rsidR="0071360A" w:rsidRPr="00171F00">
        <w:rPr>
          <w:rFonts w:cs="Arial"/>
          <w:color w:val="000000" w:themeColor="text1"/>
          <w:lang w:val="sr-Cyrl-BA"/>
        </w:rPr>
        <w:t>руги</w:t>
      </w:r>
      <w:r w:rsidRPr="00171F00">
        <w:rPr>
          <w:rFonts w:cs="Arial"/>
          <w:color w:val="000000" w:themeColor="text1"/>
          <w:lang w:val="sr-Cyrl-BA"/>
        </w:rPr>
        <w:t xml:space="preserve"> </w:t>
      </w:r>
      <w:r w:rsidR="0071360A" w:rsidRPr="00171F00">
        <w:rPr>
          <w:rFonts w:cs="Arial"/>
          <w:color w:val="000000" w:themeColor="text1"/>
          <w:lang w:val="sr-Cyrl-BA"/>
        </w:rPr>
        <w:t>п</w:t>
      </w:r>
      <w:r w:rsidR="00A56E08" w:rsidRPr="00171F00">
        <w:rPr>
          <w:rFonts w:cs="Arial"/>
          <w:color w:val="000000" w:themeColor="text1"/>
          <w:lang w:val="sr-Cyrl-BA"/>
        </w:rPr>
        <w:t>е</w:t>
      </w:r>
      <w:r w:rsidR="0071360A" w:rsidRPr="00171F00">
        <w:rPr>
          <w:rFonts w:cs="Arial"/>
          <w:color w:val="000000" w:themeColor="text1"/>
          <w:lang w:val="sr-Cyrl-BA"/>
        </w:rPr>
        <w:t>тн</w:t>
      </w:r>
      <w:r w:rsidR="00A56E08" w:rsidRPr="00171F00">
        <w:rPr>
          <w:rFonts w:cs="Arial"/>
          <w:color w:val="000000" w:themeColor="text1"/>
          <w:lang w:val="sr-Cyrl-BA"/>
        </w:rPr>
        <w:t>ае</w:t>
      </w:r>
      <w:r w:rsidR="0071360A" w:rsidRPr="00171F00">
        <w:rPr>
          <w:rFonts w:cs="Arial"/>
          <w:color w:val="000000" w:themeColor="text1"/>
          <w:lang w:val="sr-Cyrl-BA"/>
        </w:rPr>
        <w:t>стого</w:t>
      </w:r>
      <w:r w:rsidR="00A56E08" w:rsidRPr="00171F00">
        <w:rPr>
          <w:rFonts w:cs="Arial"/>
          <w:color w:val="000000" w:themeColor="text1"/>
          <w:lang w:val="sr-Cyrl-BA"/>
        </w:rPr>
        <w:t>д</w:t>
      </w:r>
      <w:r w:rsidR="0071360A" w:rsidRPr="00171F00">
        <w:rPr>
          <w:rFonts w:cs="Arial"/>
          <w:color w:val="000000" w:themeColor="text1"/>
          <w:lang w:val="sr-Cyrl-BA"/>
        </w:rPr>
        <w:t>ишњ</w:t>
      </w:r>
      <w:r w:rsidR="00A56E08" w:rsidRPr="00171F00">
        <w:rPr>
          <w:rFonts w:cs="Arial"/>
          <w:color w:val="000000" w:themeColor="text1"/>
          <w:lang w:val="sr-Cyrl-BA"/>
        </w:rPr>
        <w:t>а</w:t>
      </w:r>
      <w:r w:rsidR="0071360A" w:rsidRPr="00171F00">
        <w:rPr>
          <w:rFonts w:cs="Arial"/>
          <w:color w:val="000000" w:themeColor="text1"/>
          <w:lang w:val="sr-Cyrl-BA"/>
        </w:rPr>
        <w:t>к</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A56E08" w:rsidRPr="00171F00">
        <w:rPr>
          <w:rFonts w:cs="Arial"/>
          <w:color w:val="000000" w:themeColor="text1"/>
          <w:lang w:val="sr-Cyrl-BA"/>
        </w:rPr>
        <w:t>Б</w:t>
      </w:r>
      <w:r w:rsidR="0071360A" w:rsidRPr="00171F00">
        <w:rPr>
          <w:rFonts w:cs="Arial"/>
          <w:color w:val="000000" w:themeColor="text1"/>
          <w:lang w:val="sr-Cyrl-BA"/>
        </w:rPr>
        <w:t>иХ</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с</w:t>
      </w:r>
      <w:r w:rsidR="00A56E08" w:rsidRPr="00171F00">
        <w:rPr>
          <w:rFonts w:cs="Arial"/>
          <w:color w:val="000000" w:themeColor="text1"/>
          <w:lang w:val="sr-Cyrl-BA"/>
        </w:rPr>
        <w:t>а</w:t>
      </w:r>
      <w:r w:rsidR="0071360A" w:rsidRPr="00171F00">
        <w:rPr>
          <w:rFonts w:cs="Arial"/>
          <w:color w:val="000000" w:themeColor="text1"/>
          <w:lang w:val="sr-Cyrl-BA"/>
        </w:rPr>
        <w:t>вл</w:t>
      </w:r>
      <w:r w:rsidR="00A56E08" w:rsidRPr="00171F00">
        <w:rPr>
          <w:rFonts w:cs="Arial"/>
          <w:color w:val="000000" w:themeColor="text1"/>
          <w:lang w:val="sr-Cyrl-BA"/>
        </w:rPr>
        <w:t>ада</w:t>
      </w:r>
      <w:r w:rsidR="0071360A" w:rsidRPr="00171F00">
        <w:rPr>
          <w:rFonts w:cs="Arial"/>
          <w:color w:val="000000" w:themeColor="text1"/>
          <w:lang w:val="sr-Cyrl-BA"/>
        </w:rPr>
        <w:t>в</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основног</w:t>
      </w:r>
      <w:r w:rsidR="00D37C10" w:rsidRPr="00171F00">
        <w:rPr>
          <w:rFonts w:cs="Arial"/>
          <w:color w:val="000000" w:themeColor="text1"/>
          <w:lang w:val="sr-Cyrl-BA"/>
        </w:rPr>
        <w:t xml:space="preserve"> </w:t>
      </w:r>
      <w:r w:rsidR="0071360A" w:rsidRPr="00171F00">
        <w:rPr>
          <w:rFonts w:cs="Arial"/>
          <w:color w:val="000000" w:themeColor="text1"/>
          <w:lang w:val="sr-Cyrl-BA"/>
        </w:rPr>
        <w:t>ниво</w:t>
      </w:r>
      <w:r w:rsidR="00A56E08" w:rsidRPr="00171F00">
        <w:rPr>
          <w:rFonts w:cs="Arial"/>
          <w:color w:val="000000" w:themeColor="text1"/>
          <w:lang w:val="sr-Cyrl-BA"/>
        </w:rPr>
        <w:t>а</w:t>
      </w:r>
      <w:r w:rsidRPr="00171F00">
        <w:rPr>
          <w:rFonts w:cs="Arial"/>
          <w:color w:val="000000" w:themeColor="text1"/>
          <w:lang w:val="sr-Cyrl-BA"/>
        </w:rPr>
        <w:t xml:space="preserve"> </w:t>
      </w:r>
      <w:r w:rsidR="00A56E08" w:rsidRPr="00171F00">
        <w:rPr>
          <w:rFonts w:cs="Arial"/>
          <w:color w:val="000000" w:themeColor="text1"/>
          <w:lang w:val="sr-Cyrl-BA"/>
        </w:rPr>
        <w:t>ч</w:t>
      </w:r>
      <w:r w:rsidR="0071360A" w:rsidRPr="00171F00">
        <w:rPr>
          <w:rFonts w:cs="Arial"/>
          <w:color w:val="000000" w:themeColor="text1"/>
          <w:lang w:val="sr-Cyrl-BA"/>
        </w:rPr>
        <w:t>ит</w:t>
      </w:r>
      <w:r w:rsidR="00A56E08" w:rsidRPr="00171F00">
        <w:rPr>
          <w:rFonts w:cs="Arial"/>
          <w:color w:val="000000" w:themeColor="text1"/>
          <w:lang w:val="sr-Cyrl-BA"/>
        </w:rPr>
        <w:t>а</w:t>
      </w:r>
      <w:r w:rsidR="0071360A" w:rsidRPr="00171F00">
        <w:rPr>
          <w:rFonts w:cs="Arial"/>
          <w:color w:val="000000" w:themeColor="text1"/>
          <w:lang w:val="sr-Cyrl-BA"/>
        </w:rPr>
        <w:t>л</w:t>
      </w:r>
      <w:r w:rsidR="00A56E08" w:rsidRPr="00171F00">
        <w:rPr>
          <w:rFonts w:cs="Arial"/>
          <w:color w:val="000000" w:themeColor="text1"/>
          <w:lang w:val="sr-Cyrl-BA"/>
        </w:rPr>
        <w:t>ач</w:t>
      </w:r>
      <w:r w:rsidR="0071360A" w:rsidRPr="00171F00">
        <w:rPr>
          <w:rFonts w:cs="Arial"/>
          <w:color w:val="000000" w:themeColor="text1"/>
          <w:lang w:val="sr-Cyrl-BA"/>
        </w:rPr>
        <w:t>к</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писм</w:t>
      </w:r>
      <w:r w:rsidR="00A56E08" w:rsidRPr="00171F00">
        <w:rPr>
          <w:rFonts w:cs="Arial"/>
          <w:color w:val="000000" w:themeColor="text1"/>
          <w:lang w:val="sr-Cyrl-BA"/>
        </w:rPr>
        <w:t>е</w:t>
      </w:r>
      <w:r w:rsidR="0071360A" w:rsidRPr="00171F00">
        <w:rPr>
          <w:rFonts w:cs="Arial"/>
          <w:color w:val="000000" w:themeColor="text1"/>
          <w:lang w:val="sr-Cyrl-BA"/>
        </w:rPr>
        <w:t>ности</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пр</w:t>
      </w:r>
      <w:r w:rsidR="00A56E08" w:rsidRPr="00171F00">
        <w:rPr>
          <w:rFonts w:cs="Arial"/>
          <w:color w:val="000000" w:themeColor="text1"/>
          <w:lang w:val="sr-Cyrl-BA"/>
        </w:rPr>
        <w:t>е</w:t>
      </w:r>
      <w:r w:rsidR="0071360A" w:rsidRPr="00171F00">
        <w:rPr>
          <w:rFonts w:cs="Arial"/>
          <w:color w:val="000000" w:themeColor="text1"/>
          <w:lang w:val="sr-Cyrl-BA"/>
        </w:rPr>
        <w:t>м</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којим</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су</w:t>
      </w:r>
      <w:r w:rsidRPr="00171F00">
        <w:rPr>
          <w:rFonts w:cs="Arial"/>
          <w:color w:val="000000" w:themeColor="text1"/>
          <w:lang w:val="sr-Cyrl-BA"/>
        </w:rPr>
        <w:t xml:space="preserve"> </w:t>
      </w:r>
      <w:r w:rsidR="0071360A" w:rsidRPr="00171F00">
        <w:rPr>
          <w:rFonts w:cs="Arial"/>
          <w:color w:val="000000" w:themeColor="text1"/>
          <w:lang w:val="sr-Cyrl-BA"/>
        </w:rPr>
        <w:t>у</w:t>
      </w:r>
      <w:r w:rsidR="00A56E08" w:rsidRPr="00171F00">
        <w:rPr>
          <w:rFonts w:cs="Arial"/>
          <w:color w:val="000000" w:themeColor="text1"/>
          <w:lang w:val="sr-Cyrl-BA"/>
        </w:rPr>
        <w:t>че</w:t>
      </w:r>
      <w:r w:rsidR="0071360A" w:rsidRPr="00171F00">
        <w:rPr>
          <w:rFonts w:cs="Arial"/>
          <w:color w:val="000000" w:themeColor="text1"/>
          <w:lang w:val="sr-Cyrl-BA"/>
        </w:rPr>
        <w:t>ни</w:t>
      </w:r>
      <w:r w:rsidR="00A56E08" w:rsidRPr="00171F00">
        <w:rPr>
          <w:rFonts w:cs="Arial"/>
          <w:color w:val="000000" w:themeColor="text1"/>
          <w:lang w:val="sr-Cyrl-BA"/>
        </w:rPr>
        <w:t>ц</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A56E08" w:rsidRPr="00171F00">
        <w:rPr>
          <w:rFonts w:cs="Arial"/>
          <w:color w:val="000000" w:themeColor="text1"/>
          <w:lang w:val="sr-Cyrl-BA"/>
        </w:rPr>
        <w:t>Б</w:t>
      </w:r>
      <w:r w:rsidR="0071360A" w:rsidRPr="00171F00">
        <w:rPr>
          <w:rFonts w:cs="Arial"/>
          <w:color w:val="000000" w:themeColor="text1"/>
          <w:lang w:val="sr-Cyrl-BA"/>
        </w:rPr>
        <w:t>иХ</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просј</w:t>
      </w:r>
      <w:r w:rsidR="00A56E08" w:rsidRPr="00171F00">
        <w:rPr>
          <w:rFonts w:cs="Arial"/>
          <w:color w:val="000000" w:themeColor="text1"/>
          <w:lang w:val="sr-Cyrl-BA"/>
        </w:rPr>
        <w:t>е</w:t>
      </w:r>
      <w:r w:rsidR="0071360A" w:rsidRPr="00171F00">
        <w:rPr>
          <w:rFonts w:cs="Arial"/>
          <w:color w:val="000000" w:themeColor="text1"/>
          <w:lang w:val="sr-Cyrl-BA"/>
        </w:rPr>
        <w:t>ку</w:t>
      </w:r>
      <w:r w:rsidRPr="00171F00">
        <w:rPr>
          <w:rFonts w:cs="Arial"/>
          <w:color w:val="000000" w:themeColor="text1"/>
          <w:lang w:val="sr-Cyrl-BA"/>
        </w:rPr>
        <w:t xml:space="preserve"> </w:t>
      </w:r>
      <w:r w:rsidR="0071360A" w:rsidRPr="00171F00">
        <w:rPr>
          <w:rFonts w:cs="Arial"/>
          <w:color w:val="000000" w:themeColor="text1"/>
          <w:lang w:val="sr-Cyrl-BA"/>
        </w:rPr>
        <w:t>три</w:t>
      </w:r>
      <w:r w:rsidRPr="00171F00">
        <w:rPr>
          <w:rFonts w:cs="Arial"/>
          <w:color w:val="000000" w:themeColor="text1"/>
          <w:lang w:val="sr-Cyrl-BA"/>
        </w:rPr>
        <w:t xml:space="preserve"> </w:t>
      </w:r>
      <w:r w:rsidR="0071360A" w:rsidRPr="00171F00">
        <w:rPr>
          <w:rFonts w:cs="Arial"/>
          <w:color w:val="000000" w:themeColor="text1"/>
          <w:lang w:val="sr-Cyrl-BA"/>
        </w:rPr>
        <w:t>го</w:t>
      </w:r>
      <w:r w:rsidR="00A56E08" w:rsidRPr="00171F00">
        <w:rPr>
          <w:rFonts w:cs="Arial"/>
          <w:color w:val="000000" w:themeColor="text1"/>
          <w:lang w:val="sr-Cyrl-BA"/>
        </w:rPr>
        <w:t>д</w:t>
      </w:r>
      <w:r w:rsidR="0071360A" w:rsidRPr="00171F00">
        <w:rPr>
          <w:rFonts w:cs="Arial"/>
          <w:color w:val="000000" w:themeColor="text1"/>
          <w:lang w:val="sr-Cyrl-BA"/>
        </w:rPr>
        <w:t>ин</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школов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и</w:t>
      </w:r>
      <w:r w:rsidR="00171F00">
        <w:rPr>
          <w:rFonts w:cs="Arial"/>
          <w:color w:val="000000" w:themeColor="text1"/>
          <w:lang w:val="sr-Cyrl-BA"/>
        </w:rPr>
        <w:t>з</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својих</w:t>
      </w:r>
      <w:r w:rsidRPr="00171F00">
        <w:rPr>
          <w:rFonts w:cs="Arial"/>
          <w:color w:val="000000" w:themeColor="text1"/>
          <w:lang w:val="sr-Cyrl-BA"/>
        </w:rPr>
        <w:t xml:space="preserve"> </w:t>
      </w:r>
      <w:r w:rsidR="0067697D">
        <w:rPr>
          <w:rFonts w:cs="Arial"/>
          <w:color w:val="000000" w:themeColor="text1"/>
          <w:lang w:val="sr-Cyrl-BA"/>
        </w:rPr>
        <w:t>вршњака</w:t>
      </w:r>
      <w:r w:rsidRPr="00171F00">
        <w:rPr>
          <w:rFonts w:cs="Arial"/>
          <w:color w:val="000000" w:themeColor="text1"/>
          <w:lang w:val="sr-Cyrl-BA"/>
        </w:rPr>
        <w:t xml:space="preserve"> </w:t>
      </w:r>
      <w:r w:rsidR="0071360A" w:rsidRPr="00171F00">
        <w:rPr>
          <w:rFonts w:cs="Arial"/>
          <w:color w:val="000000" w:themeColor="text1"/>
          <w:lang w:val="sr-Cyrl-BA"/>
        </w:rPr>
        <w:t>и</w:t>
      </w:r>
      <w:r w:rsidR="00171F00">
        <w:rPr>
          <w:rFonts w:cs="Arial"/>
          <w:color w:val="000000" w:themeColor="text1"/>
          <w:lang w:val="sr-Cyrl-BA"/>
        </w:rPr>
        <w:t>з</w:t>
      </w:r>
      <w:r w:rsidRPr="00171F00">
        <w:rPr>
          <w:rFonts w:cs="Arial"/>
          <w:color w:val="000000" w:themeColor="text1"/>
          <w:lang w:val="sr-Cyrl-BA"/>
        </w:rPr>
        <w:t xml:space="preserve"> </w:t>
      </w:r>
      <w:r w:rsidR="00171F00">
        <w:rPr>
          <w:rFonts w:cs="Arial"/>
          <w:color w:val="000000" w:themeColor="text1"/>
          <w:lang w:val="sr-Cyrl-BA"/>
        </w:rPr>
        <w:t>з</w:t>
      </w:r>
      <w:r w:rsidR="00A56E08" w:rsidRPr="00171F00">
        <w:rPr>
          <w:rFonts w:cs="Arial"/>
          <w:color w:val="000000" w:themeColor="text1"/>
          <w:lang w:val="sr-Cyrl-BA"/>
        </w:rPr>
        <w:t>е</w:t>
      </w:r>
      <w:r w:rsidR="0071360A" w:rsidRPr="00171F00">
        <w:rPr>
          <w:rFonts w:cs="Arial"/>
          <w:color w:val="000000" w:themeColor="text1"/>
          <w:lang w:val="sr-Cyrl-BA"/>
        </w:rPr>
        <w:t>м</w:t>
      </w:r>
      <w:r w:rsidR="00A56E08" w:rsidRPr="00171F00">
        <w:rPr>
          <w:rFonts w:cs="Arial"/>
          <w:color w:val="000000" w:themeColor="text1"/>
          <w:lang w:val="sr-Cyrl-BA"/>
        </w:rPr>
        <w:t>а</w:t>
      </w:r>
      <w:r w:rsidR="0071360A" w:rsidRPr="00171F00">
        <w:rPr>
          <w:rFonts w:cs="Arial"/>
          <w:color w:val="000000" w:themeColor="text1"/>
          <w:lang w:val="sr-Cyrl-BA"/>
        </w:rPr>
        <w:t>љ</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О</w:t>
      </w:r>
      <w:r w:rsidR="00A56E08" w:rsidRPr="00171F00">
        <w:rPr>
          <w:rFonts w:cs="Arial"/>
          <w:color w:val="000000" w:themeColor="text1"/>
          <w:lang w:val="sr-Cyrl-BA"/>
        </w:rPr>
        <w:t>ЕЦД</w:t>
      </w:r>
      <w:r w:rsidRPr="00171F00">
        <w:rPr>
          <w:rFonts w:cs="Arial"/>
          <w:color w:val="000000" w:themeColor="text1"/>
          <w:lang w:val="sr-Cyrl-BA"/>
        </w:rPr>
        <w:t>-</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ј</w:t>
      </w:r>
      <w:r w:rsidR="00A56E08" w:rsidRPr="00171F00">
        <w:rPr>
          <w:rFonts w:cs="Arial"/>
          <w:color w:val="000000" w:themeColor="text1"/>
          <w:lang w:val="sr-Cyrl-BA"/>
        </w:rPr>
        <w:t>а</w:t>
      </w:r>
      <w:r w:rsidR="0071360A" w:rsidRPr="00171F00">
        <w:rPr>
          <w:rFonts w:cs="Arial"/>
          <w:color w:val="000000" w:themeColor="text1"/>
          <w:lang w:val="sr-Cyrl-BA"/>
        </w:rPr>
        <w:t>сно</w:t>
      </w:r>
      <w:r w:rsidRPr="00171F00">
        <w:rPr>
          <w:rFonts w:cs="Arial"/>
          <w:color w:val="000000" w:themeColor="text1"/>
          <w:lang w:val="sr-Cyrl-BA"/>
        </w:rPr>
        <w:t xml:space="preserve"> </w:t>
      </w:r>
      <w:r w:rsidR="0071360A" w:rsidRPr="00171F00">
        <w:rPr>
          <w:rFonts w:cs="Arial"/>
          <w:color w:val="000000" w:themeColor="text1"/>
          <w:lang w:val="sr-Cyrl-BA"/>
        </w:rPr>
        <w:t>ј</w:t>
      </w:r>
      <w:r w:rsidR="00A56E08" w:rsidRPr="00171F00">
        <w:rPr>
          <w:rFonts w:cs="Arial"/>
          <w:color w:val="000000" w:themeColor="text1"/>
          <w:lang w:val="sr-Cyrl-BA"/>
        </w:rPr>
        <w:t>е</w:t>
      </w:r>
      <w:r w:rsidRPr="00171F00">
        <w:rPr>
          <w:rFonts w:cs="Arial"/>
          <w:color w:val="000000" w:themeColor="text1"/>
          <w:lang w:val="sr-Cyrl-BA"/>
        </w:rPr>
        <w:t xml:space="preserve"> </w:t>
      </w:r>
      <w:r w:rsidR="00A56E08" w:rsidRPr="00171F00">
        <w:rPr>
          <w:rFonts w:cs="Arial"/>
          <w:color w:val="000000" w:themeColor="text1"/>
          <w:lang w:val="sr-Cyrl-BA"/>
        </w:rPr>
        <w:t>да</w:t>
      </w:r>
      <w:r w:rsidRPr="00171F00">
        <w:rPr>
          <w:rFonts w:cs="Arial"/>
          <w:color w:val="000000" w:themeColor="text1"/>
          <w:lang w:val="sr-Cyrl-BA"/>
        </w:rPr>
        <w:t xml:space="preserve"> </w:t>
      </w:r>
      <w:r w:rsidR="0071360A" w:rsidRPr="00171F00">
        <w:rPr>
          <w:rFonts w:cs="Arial"/>
          <w:color w:val="000000" w:themeColor="text1"/>
          <w:lang w:val="sr-Cyrl-BA"/>
        </w:rPr>
        <w:t>ј</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гу</w:t>
      </w:r>
      <w:r w:rsidR="00A56E08" w:rsidRPr="00171F00">
        <w:rPr>
          <w:rFonts w:cs="Arial"/>
          <w:color w:val="000000" w:themeColor="text1"/>
          <w:lang w:val="sr-Cyrl-BA"/>
        </w:rPr>
        <w:t>б</w:t>
      </w:r>
      <w:r w:rsidR="0071360A" w:rsidRPr="00171F00">
        <w:rPr>
          <w:rFonts w:cs="Arial"/>
          <w:color w:val="000000" w:themeColor="text1"/>
          <w:lang w:val="sr-Cyrl-BA"/>
        </w:rPr>
        <w:t>ит</w:t>
      </w:r>
      <w:r w:rsidR="00A56E08" w:rsidRPr="00171F00">
        <w:rPr>
          <w:rFonts w:cs="Arial"/>
          <w:color w:val="000000" w:themeColor="text1"/>
          <w:lang w:val="sr-Cyrl-BA"/>
        </w:rPr>
        <w:t>а</w:t>
      </w:r>
      <w:r w:rsidR="0071360A" w:rsidRPr="00171F00">
        <w:rPr>
          <w:rFonts w:cs="Arial"/>
          <w:color w:val="000000" w:themeColor="text1"/>
          <w:lang w:val="sr-Cyrl-BA"/>
        </w:rPr>
        <w:t>к</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у</w:t>
      </w:r>
      <w:r w:rsidR="00A56E08" w:rsidRPr="00171F00">
        <w:rPr>
          <w:rFonts w:cs="Arial"/>
          <w:color w:val="000000" w:themeColor="text1"/>
          <w:lang w:val="sr-Cyrl-BA"/>
        </w:rPr>
        <w:t>че</w:t>
      </w:r>
      <w:r w:rsidR="0071360A" w:rsidRPr="00171F00">
        <w:rPr>
          <w:rFonts w:cs="Arial"/>
          <w:color w:val="000000" w:themeColor="text1"/>
          <w:lang w:val="sr-Cyrl-BA"/>
        </w:rPr>
        <w:t>њу</w:t>
      </w:r>
      <w:r w:rsidRPr="00171F00">
        <w:rPr>
          <w:rFonts w:cs="Arial"/>
          <w:color w:val="000000" w:themeColor="text1"/>
          <w:lang w:val="sr-Cyrl-BA"/>
        </w:rPr>
        <w:t xml:space="preserve"> </w:t>
      </w:r>
      <w:r w:rsidR="0071360A" w:rsidRPr="00171F00">
        <w:rPr>
          <w:rFonts w:cs="Arial"/>
          <w:color w:val="000000" w:themeColor="text1"/>
          <w:lang w:val="sr-Cyrl-BA"/>
        </w:rPr>
        <w:t>у</w:t>
      </w:r>
      <w:r w:rsidR="00171F00">
        <w:rPr>
          <w:rFonts w:cs="Arial"/>
          <w:color w:val="000000" w:themeColor="text1"/>
          <w:lang w:val="sr-Cyrl-BA"/>
        </w:rPr>
        <w:t>з</w:t>
      </w:r>
      <w:r w:rsidR="0071360A" w:rsidRPr="00171F00">
        <w:rPr>
          <w:rFonts w:cs="Arial"/>
          <w:color w:val="000000" w:themeColor="text1"/>
          <w:lang w:val="sr-Cyrl-BA"/>
        </w:rPr>
        <w:t>роков</w:t>
      </w:r>
      <w:r w:rsidR="00A56E08" w:rsidRPr="00171F00">
        <w:rPr>
          <w:rFonts w:cs="Arial"/>
          <w:color w:val="000000" w:themeColor="text1"/>
          <w:lang w:val="sr-Cyrl-BA"/>
        </w:rPr>
        <w:t>а</w:t>
      </w:r>
      <w:r w:rsidR="0071360A" w:rsidRPr="00171F00">
        <w:rPr>
          <w:rFonts w:cs="Arial"/>
          <w:color w:val="000000" w:themeColor="text1"/>
          <w:lang w:val="sr-Cyrl-BA"/>
        </w:rPr>
        <w:t>н</w:t>
      </w:r>
      <w:r w:rsidRPr="00171F00">
        <w:rPr>
          <w:rFonts w:cs="Arial"/>
          <w:color w:val="000000" w:themeColor="text1"/>
          <w:lang w:val="sr-Cyrl-BA"/>
        </w:rPr>
        <w:t xml:space="preserve"> </w:t>
      </w:r>
      <w:r w:rsidR="0071360A" w:rsidRPr="00171F00">
        <w:rPr>
          <w:rFonts w:cs="Arial"/>
          <w:color w:val="000000" w:themeColor="text1"/>
          <w:lang w:val="sr-Cyrl-BA"/>
        </w:rPr>
        <w:t>п</w:t>
      </w:r>
      <w:r w:rsidR="00A56E08" w:rsidRPr="00171F00">
        <w:rPr>
          <w:rFonts w:cs="Arial"/>
          <w:color w:val="000000" w:themeColor="text1"/>
          <w:lang w:val="sr-Cyrl-BA"/>
        </w:rPr>
        <w:t>а</w:t>
      </w:r>
      <w:r w:rsidR="0071360A" w:rsidRPr="00171F00">
        <w:rPr>
          <w:rFonts w:cs="Arial"/>
          <w:color w:val="000000" w:themeColor="text1"/>
          <w:lang w:val="sr-Cyrl-BA"/>
        </w:rPr>
        <w:t>н</w:t>
      </w:r>
      <w:r w:rsidR="00A56E08" w:rsidRPr="00171F00">
        <w:rPr>
          <w:rFonts w:cs="Arial"/>
          <w:color w:val="000000" w:themeColor="text1"/>
          <w:lang w:val="sr-Cyrl-BA"/>
        </w:rPr>
        <w:t>де</w:t>
      </w:r>
      <w:r w:rsidR="0071360A" w:rsidRPr="00171F00">
        <w:rPr>
          <w:rFonts w:cs="Arial"/>
          <w:color w:val="000000" w:themeColor="text1"/>
          <w:lang w:val="sr-Cyrl-BA"/>
        </w:rPr>
        <w:t>мијом</w:t>
      </w:r>
      <w:r w:rsidRPr="00171F00">
        <w:rPr>
          <w:rFonts w:cs="Arial"/>
          <w:color w:val="000000" w:themeColor="text1"/>
          <w:lang w:val="sr-Cyrl-BA"/>
        </w:rPr>
        <w:t xml:space="preserve"> </w:t>
      </w:r>
      <w:r w:rsidR="00A56E08" w:rsidRPr="00171F00">
        <w:rPr>
          <w:rFonts w:cs="Arial"/>
          <w:color w:val="000000" w:themeColor="text1"/>
          <w:lang w:val="sr-Cyrl-BA"/>
        </w:rPr>
        <w:t>Ц</w:t>
      </w:r>
      <w:r w:rsidR="0071360A" w:rsidRPr="00171F00">
        <w:rPr>
          <w:rFonts w:cs="Arial"/>
          <w:color w:val="000000" w:themeColor="text1"/>
          <w:lang w:val="sr-Cyrl-BA"/>
        </w:rPr>
        <w:t>ови</w:t>
      </w:r>
      <w:r w:rsidR="00A56E08" w:rsidRPr="00171F00">
        <w:rPr>
          <w:rFonts w:cs="Arial"/>
          <w:color w:val="000000" w:themeColor="text1"/>
          <w:lang w:val="sr-Cyrl-BA"/>
        </w:rPr>
        <w:t>д</w:t>
      </w:r>
      <w:r w:rsidRPr="00171F00">
        <w:rPr>
          <w:rFonts w:cs="Arial"/>
          <w:color w:val="000000" w:themeColor="text1"/>
          <w:lang w:val="sr-Cyrl-BA"/>
        </w:rPr>
        <w:t xml:space="preserve"> – 19 </w:t>
      </w:r>
      <w:r w:rsidR="0071360A" w:rsidRPr="00171F00">
        <w:rPr>
          <w:rFonts w:cs="Arial"/>
          <w:color w:val="000000" w:themeColor="text1"/>
          <w:lang w:val="sr-Cyrl-BA"/>
        </w:rPr>
        <w:t>још</w:t>
      </w:r>
      <w:r w:rsidRPr="00171F00">
        <w:rPr>
          <w:rFonts w:cs="Arial"/>
          <w:color w:val="000000" w:themeColor="text1"/>
          <w:lang w:val="sr-Cyrl-BA"/>
        </w:rPr>
        <w:t xml:space="preserve"> </w:t>
      </w:r>
      <w:r w:rsidR="0071360A" w:rsidRPr="00171F00">
        <w:rPr>
          <w:rFonts w:cs="Arial"/>
          <w:color w:val="000000" w:themeColor="text1"/>
          <w:lang w:val="sr-Cyrl-BA"/>
        </w:rPr>
        <w:t>в</w:t>
      </w:r>
      <w:r w:rsidR="00A56E08" w:rsidRPr="00171F00">
        <w:rPr>
          <w:rFonts w:cs="Arial"/>
          <w:color w:val="000000" w:themeColor="text1"/>
          <w:lang w:val="sr-Cyrl-BA"/>
        </w:rPr>
        <w:t>ећ</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е</w:t>
      </w:r>
      <w:r w:rsidR="0071360A" w:rsidRPr="00171F00">
        <w:rPr>
          <w:rFonts w:cs="Arial"/>
          <w:color w:val="000000" w:themeColor="text1"/>
          <w:lang w:val="sr-Cyrl-BA"/>
        </w:rPr>
        <w:t>го</w:t>
      </w:r>
      <w:r w:rsidR="009A10E7" w:rsidRPr="00171F00">
        <w:rPr>
          <w:rFonts w:cs="Arial"/>
          <w:color w:val="000000" w:themeColor="text1"/>
          <w:lang w:val="sr-Cyrl-BA"/>
        </w:rPr>
        <w:t xml:space="preserve"> </w:t>
      </w:r>
      <w:r w:rsidR="0071360A" w:rsidRPr="00171F00">
        <w:rPr>
          <w:rFonts w:cs="Arial"/>
          <w:color w:val="000000" w:themeColor="text1"/>
          <w:lang w:val="sr-Cyrl-BA"/>
        </w:rPr>
        <w:t>што</w:t>
      </w:r>
      <w:r w:rsidR="009A10E7" w:rsidRPr="00171F00">
        <w:rPr>
          <w:rFonts w:cs="Arial"/>
          <w:color w:val="000000" w:themeColor="text1"/>
          <w:lang w:val="sr-Cyrl-BA"/>
        </w:rPr>
        <w:t xml:space="preserve"> </w:t>
      </w:r>
      <w:r w:rsidR="0071360A" w:rsidRPr="00171F00">
        <w:rPr>
          <w:rFonts w:cs="Arial"/>
          <w:color w:val="000000" w:themeColor="text1"/>
          <w:lang w:val="sr-Cyrl-BA"/>
        </w:rPr>
        <w:t>ј</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то</w:t>
      </w:r>
      <w:r w:rsidRPr="00171F00">
        <w:rPr>
          <w:rFonts w:cs="Arial"/>
          <w:color w:val="000000" w:themeColor="text1"/>
          <w:lang w:val="sr-Cyrl-BA"/>
        </w:rPr>
        <w:t xml:space="preserve"> </w:t>
      </w:r>
      <w:r w:rsidR="0071360A" w:rsidRPr="00171F00">
        <w:rPr>
          <w:rFonts w:cs="Arial"/>
          <w:color w:val="000000" w:themeColor="text1"/>
          <w:lang w:val="sr-Cyrl-BA"/>
        </w:rPr>
        <w:t>слу</w:t>
      </w:r>
      <w:r w:rsidR="00A56E08" w:rsidRPr="00171F00">
        <w:rPr>
          <w:rFonts w:cs="Arial"/>
          <w:color w:val="000000" w:themeColor="text1"/>
          <w:lang w:val="sr-Cyrl-BA"/>
        </w:rPr>
        <w:t>ча</w:t>
      </w:r>
      <w:r w:rsidR="0071360A" w:rsidRPr="00171F00">
        <w:rPr>
          <w:rFonts w:cs="Arial"/>
          <w:color w:val="000000" w:themeColor="text1"/>
          <w:lang w:val="sr-Cyrl-BA"/>
        </w:rPr>
        <w:t>ј</w:t>
      </w:r>
      <w:r w:rsidR="002B5CE0"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р</w:t>
      </w:r>
      <w:r w:rsidR="00A56E08" w:rsidRPr="00171F00">
        <w:rPr>
          <w:rFonts w:cs="Arial"/>
          <w:color w:val="000000" w:themeColor="text1"/>
          <w:lang w:val="sr-Cyrl-BA"/>
        </w:rPr>
        <w:t>а</w:t>
      </w:r>
      <w:r w:rsidR="00171F00">
        <w:rPr>
          <w:rFonts w:cs="Arial"/>
          <w:color w:val="000000" w:themeColor="text1"/>
          <w:lang w:val="sr-Cyrl-BA"/>
        </w:rPr>
        <w:t>з</w:t>
      </w:r>
      <w:r w:rsidR="0071360A" w:rsidRPr="00171F00">
        <w:rPr>
          <w:rFonts w:cs="Arial"/>
          <w:color w:val="000000" w:themeColor="text1"/>
          <w:lang w:val="sr-Cyrl-BA"/>
        </w:rPr>
        <w:t>виј</w:t>
      </w:r>
      <w:r w:rsidR="00A56E08" w:rsidRPr="00171F00">
        <w:rPr>
          <w:rFonts w:cs="Arial"/>
          <w:color w:val="000000" w:themeColor="text1"/>
          <w:lang w:val="sr-Cyrl-BA"/>
        </w:rPr>
        <w:t>е</w:t>
      </w:r>
      <w:r w:rsidR="0071360A" w:rsidRPr="00171F00">
        <w:rPr>
          <w:rFonts w:cs="Arial"/>
          <w:color w:val="000000" w:themeColor="text1"/>
          <w:lang w:val="sr-Cyrl-BA"/>
        </w:rPr>
        <w:t>ним</w:t>
      </w:r>
      <w:r w:rsidRPr="00171F00">
        <w:rPr>
          <w:rFonts w:cs="Arial"/>
          <w:color w:val="000000" w:themeColor="text1"/>
          <w:lang w:val="sr-Cyrl-BA"/>
        </w:rPr>
        <w:t xml:space="preserve"> </w:t>
      </w:r>
      <w:r w:rsidR="00171F00">
        <w:rPr>
          <w:rFonts w:cs="Arial"/>
          <w:color w:val="000000" w:themeColor="text1"/>
          <w:lang w:val="sr-Cyrl-BA"/>
        </w:rPr>
        <w:t>з</w:t>
      </w:r>
      <w:r w:rsidR="00A56E08" w:rsidRPr="00171F00">
        <w:rPr>
          <w:rFonts w:cs="Arial"/>
          <w:color w:val="000000" w:themeColor="text1"/>
          <w:lang w:val="sr-Cyrl-BA"/>
        </w:rPr>
        <w:t>е</w:t>
      </w:r>
      <w:r w:rsidR="0071360A" w:rsidRPr="00171F00">
        <w:rPr>
          <w:rFonts w:cs="Arial"/>
          <w:color w:val="000000" w:themeColor="text1"/>
          <w:lang w:val="sr-Cyrl-BA"/>
        </w:rPr>
        <w:t>мљ</w:t>
      </w:r>
      <w:r w:rsidR="00A56E08" w:rsidRPr="00171F00">
        <w:rPr>
          <w:rFonts w:cs="Arial"/>
          <w:color w:val="000000" w:themeColor="text1"/>
          <w:lang w:val="sr-Cyrl-BA"/>
        </w:rPr>
        <w:t>а</w:t>
      </w:r>
      <w:r w:rsidR="0071360A" w:rsidRPr="00171F00">
        <w:rPr>
          <w:rFonts w:cs="Arial"/>
          <w:color w:val="000000" w:themeColor="text1"/>
          <w:lang w:val="sr-Cyrl-BA"/>
        </w:rPr>
        <w:t>м</w:t>
      </w:r>
      <w:r w:rsidR="00A56E08" w:rsidRPr="00171F00">
        <w:rPr>
          <w:rFonts w:cs="Arial"/>
          <w:color w:val="000000" w:themeColor="text1"/>
          <w:lang w:val="sr-Cyrl-BA"/>
        </w:rPr>
        <w:t>а</w:t>
      </w:r>
      <w:r w:rsidRPr="00171F00">
        <w:rPr>
          <w:rFonts w:cs="Arial"/>
          <w:color w:val="000000" w:themeColor="text1"/>
          <w:lang w:val="sr-Cyrl-BA"/>
        </w:rPr>
        <w:t>.</w:t>
      </w:r>
      <w:r w:rsidRPr="00171F00">
        <w:rPr>
          <w:rFonts w:cs="Arial"/>
          <w:color w:val="000000" w:themeColor="text1"/>
          <w:sz w:val="24"/>
          <w:szCs w:val="24"/>
          <w:lang w:val="sr-Cyrl-BA"/>
        </w:rPr>
        <w:t xml:space="preserve">  </w:t>
      </w:r>
    </w:p>
  </w:footnote>
  <w:footnote w:id="3">
    <w:p w14:paraId="7BE22083" w14:textId="2D9EE4C2" w:rsidR="00F33370" w:rsidRPr="00171F00" w:rsidRDefault="00F33370">
      <w:pPr>
        <w:pStyle w:val="FootnoteText"/>
        <w:rPr>
          <w:rFonts w:cs="Arial"/>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погл</w:t>
      </w:r>
      <w:r w:rsidR="00A56E08" w:rsidRPr="00171F00">
        <w:rPr>
          <w:rFonts w:cs="Arial"/>
          <w:lang w:val="sr-Cyrl-BA"/>
        </w:rPr>
        <w:t>а</w:t>
      </w:r>
      <w:r w:rsidR="0071360A" w:rsidRPr="00171F00">
        <w:rPr>
          <w:rFonts w:cs="Arial"/>
          <w:lang w:val="sr-Cyrl-BA"/>
        </w:rPr>
        <w:t>вљу</w:t>
      </w:r>
      <w:r w:rsidRPr="00171F00">
        <w:rPr>
          <w:rFonts w:cs="Arial"/>
          <w:lang w:val="sr-Cyrl-BA"/>
        </w:rPr>
        <w:t xml:space="preserve"> </w:t>
      </w:r>
      <w:r w:rsidR="0071360A" w:rsidRPr="00171F00">
        <w:rPr>
          <w:rFonts w:cs="Arial"/>
          <w:lang w:val="sr-Cyrl-BA"/>
        </w:rPr>
        <w:t>су</w:t>
      </w:r>
      <w:r w:rsidRPr="00171F00">
        <w:rPr>
          <w:rFonts w:cs="Arial"/>
          <w:lang w:val="sr-Cyrl-BA"/>
        </w:rPr>
        <w:t xml:space="preserve"> </w:t>
      </w:r>
      <w:r w:rsidR="0071360A" w:rsidRPr="00171F00">
        <w:rPr>
          <w:rFonts w:cs="Arial"/>
          <w:lang w:val="sr-Cyrl-BA"/>
        </w:rPr>
        <w:t>кон</w:t>
      </w:r>
      <w:r w:rsidR="00A56E08" w:rsidRPr="00171F00">
        <w:rPr>
          <w:rFonts w:cs="Arial"/>
          <w:lang w:val="sr-Cyrl-BA"/>
        </w:rPr>
        <w:t>це</w:t>
      </w:r>
      <w:r w:rsidR="0071360A" w:rsidRPr="00171F00">
        <w:rPr>
          <w:rFonts w:cs="Arial"/>
          <w:lang w:val="sr-Cyrl-BA"/>
        </w:rPr>
        <w:t>пту</w:t>
      </w:r>
      <w:r w:rsidR="00A56E08" w:rsidRPr="00171F00">
        <w:rPr>
          <w:rFonts w:cs="Arial"/>
          <w:lang w:val="sr-Cyrl-BA"/>
        </w:rPr>
        <w:t>а</w:t>
      </w:r>
      <w:r w:rsidR="0071360A" w:rsidRPr="00171F00">
        <w:rPr>
          <w:rFonts w:cs="Arial"/>
          <w:lang w:val="sr-Cyrl-BA"/>
        </w:rPr>
        <w:t>ли</w:t>
      </w:r>
      <w:r w:rsidR="00171F00">
        <w:rPr>
          <w:rFonts w:cs="Arial"/>
          <w:lang w:val="sr-Cyrl-BA"/>
        </w:rPr>
        <w:t>з</w:t>
      </w:r>
      <w:r w:rsidR="0071360A" w:rsidRPr="00171F00">
        <w:rPr>
          <w:rFonts w:cs="Arial"/>
          <w:lang w:val="sr-Cyrl-BA"/>
        </w:rPr>
        <w:t>ов</w:t>
      </w:r>
      <w:r w:rsidR="00A56E08" w:rsidRPr="00171F00">
        <w:rPr>
          <w:rFonts w:cs="Arial"/>
          <w:lang w:val="sr-Cyrl-BA"/>
        </w:rPr>
        <w:t>а</w:t>
      </w:r>
      <w:r w:rsidR="0071360A" w:rsidRPr="00171F00">
        <w:rPr>
          <w:rFonts w:cs="Arial"/>
          <w:lang w:val="sr-Cyrl-BA"/>
        </w:rPr>
        <w:t>ни</w:t>
      </w:r>
      <w:r w:rsidRPr="00171F00">
        <w:rPr>
          <w:rFonts w:cs="Arial"/>
          <w:lang w:val="sr-Cyrl-BA"/>
        </w:rPr>
        <w:t xml:space="preserve"> </w:t>
      </w:r>
      <w:r w:rsidR="0071360A" w:rsidRPr="00171F00">
        <w:rPr>
          <w:rFonts w:cs="Arial"/>
          <w:lang w:val="sr-Cyrl-BA"/>
        </w:rPr>
        <w:t>појмови</w:t>
      </w:r>
      <w:r w:rsidRPr="00171F00">
        <w:rPr>
          <w:rFonts w:cs="Arial"/>
          <w:lang w:val="sr-Cyrl-BA"/>
        </w:rPr>
        <w:t xml:space="preserve"> </w:t>
      </w:r>
      <w:r w:rsidR="0071360A" w:rsidRPr="00171F00">
        <w:rPr>
          <w:rFonts w:cs="Arial"/>
          <w:lang w:val="sr-Cyrl-BA"/>
        </w:rPr>
        <w:t>који</w:t>
      </w:r>
      <w:r w:rsidRPr="00171F00">
        <w:rPr>
          <w:rFonts w:cs="Arial"/>
          <w:lang w:val="sr-Cyrl-BA"/>
        </w:rPr>
        <w:t xml:space="preserve"> </w:t>
      </w:r>
      <w:r w:rsidR="0071360A" w:rsidRPr="00171F00">
        <w:rPr>
          <w:rFonts w:cs="Arial"/>
          <w:lang w:val="sr-Cyrl-BA"/>
        </w:rPr>
        <w:t>су</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0071360A" w:rsidRPr="00171F00">
        <w:rPr>
          <w:rFonts w:cs="Arial"/>
          <w:lang w:val="sr-Cyrl-BA"/>
        </w:rPr>
        <w:t>ј</w:t>
      </w:r>
      <w:r w:rsidR="00A56E08" w:rsidRPr="00171F00">
        <w:rPr>
          <w:rFonts w:cs="Arial"/>
          <w:lang w:val="sr-Cyrl-BA"/>
        </w:rPr>
        <w:t>че</w:t>
      </w:r>
      <w:r w:rsidR="0071360A" w:rsidRPr="00171F00">
        <w:rPr>
          <w:rFonts w:cs="Arial"/>
          <w:lang w:val="sr-Cyrl-BA"/>
        </w:rPr>
        <w:t>ш</w:t>
      </w:r>
      <w:r w:rsidR="00A56E08" w:rsidRPr="00171F00">
        <w:rPr>
          <w:rFonts w:cs="Arial"/>
          <w:lang w:val="sr-Cyrl-BA"/>
        </w:rPr>
        <w:t>ће</w:t>
      </w:r>
      <w:r w:rsidRPr="00171F00">
        <w:rPr>
          <w:rFonts w:cs="Arial"/>
          <w:lang w:val="sr-Cyrl-BA"/>
        </w:rPr>
        <w:t xml:space="preserve"> </w:t>
      </w:r>
      <w:r w:rsidR="0071360A" w:rsidRPr="00171F00">
        <w:rPr>
          <w:rFonts w:cs="Arial"/>
          <w:lang w:val="sr-Cyrl-BA"/>
        </w:rPr>
        <w:t>пр</w:t>
      </w:r>
      <w:r w:rsidR="00A56E08" w:rsidRPr="00171F00">
        <w:rPr>
          <w:rFonts w:cs="Arial"/>
          <w:lang w:val="sr-Cyrl-BA"/>
        </w:rPr>
        <w:t>ед</w:t>
      </w:r>
      <w:r w:rsidR="0071360A" w:rsidRPr="00171F00">
        <w:rPr>
          <w:rFonts w:cs="Arial"/>
          <w:lang w:val="sr-Cyrl-BA"/>
        </w:rPr>
        <w:t>м</w:t>
      </w:r>
      <w:r w:rsidR="00A56E08" w:rsidRPr="00171F00">
        <w:rPr>
          <w:rFonts w:cs="Arial"/>
          <w:lang w:val="sr-Cyrl-BA"/>
        </w:rPr>
        <w:t>е</w:t>
      </w:r>
      <w:r w:rsidR="0071360A" w:rsidRPr="00171F00">
        <w:rPr>
          <w:rFonts w:cs="Arial"/>
          <w:lang w:val="sr-Cyrl-BA"/>
        </w:rPr>
        <w:t>т</w:t>
      </w:r>
      <w:r w:rsidRPr="00171F00">
        <w:rPr>
          <w:rFonts w:cs="Arial"/>
          <w:lang w:val="sr-Cyrl-BA"/>
        </w:rPr>
        <w:t xml:space="preserve"> </w:t>
      </w:r>
      <w:r w:rsidR="00A56E08" w:rsidRPr="00171F00">
        <w:rPr>
          <w:rFonts w:cs="Arial"/>
          <w:lang w:val="sr-Cyrl-BA"/>
        </w:rPr>
        <w:t>д</w:t>
      </w:r>
      <w:r w:rsidR="0071360A" w:rsidRPr="00171F00">
        <w:rPr>
          <w:rFonts w:cs="Arial"/>
          <w:lang w:val="sr-Cyrl-BA"/>
        </w:rPr>
        <w:t>ил</w:t>
      </w:r>
      <w:r w:rsidR="00A56E08" w:rsidRPr="00171F00">
        <w:rPr>
          <w:rFonts w:cs="Arial"/>
          <w:lang w:val="sr-Cyrl-BA"/>
        </w:rPr>
        <w:t>е</w:t>
      </w:r>
      <w:r w:rsidR="0071360A" w:rsidRPr="00171F00">
        <w:rPr>
          <w:rFonts w:cs="Arial"/>
          <w:lang w:val="sr-Cyrl-BA"/>
        </w:rPr>
        <w:t>м</w:t>
      </w:r>
      <w:r w:rsidR="00A56E08" w:rsidRPr="00171F00">
        <w:rPr>
          <w:rFonts w:cs="Arial"/>
          <w:lang w:val="sr-Cyrl-BA"/>
        </w:rPr>
        <w:t>а</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о</w:t>
      </w:r>
      <w:r w:rsidR="00A56E08" w:rsidRPr="00171F00">
        <w:rPr>
          <w:rFonts w:cs="Arial"/>
          <w:lang w:val="sr-Cyrl-BA"/>
        </w:rPr>
        <w:t>б</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овној</w:t>
      </w:r>
      <w:r w:rsidRPr="00171F00">
        <w:rPr>
          <w:rFonts w:cs="Arial"/>
          <w:lang w:val="sr-Cyrl-BA"/>
        </w:rPr>
        <w:t xml:space="preserve"> </w:t>
      </w:r>
      <w:r w:rsidR="0071360A" w:rsidRPr="00171F00">
        <w:rPr>
          <w:rFonts w:cs="Arial"/>
          <w:lang w:val="sr-Cyrl-BA"/>
        </w:rPr>
        <w:t>пр</w:t>
      </w:r>
      <w:r w:rsidR="00A56E08" w:rsidRPr="00171F00">
        <w:rPr>
          <w:rFonts w:cs="Arial"/>
          <w:lang w:val="sr-Cyrl-BA"/>
        </w:rPr>
        <w:t>а</w:t>
      </w:r>
      <w:r w:rsidR="0071360A" w:rsidRPr="00171F00">
        <w:rPr>
          <w:rFonts w:cs="Arial"/>
          <w:lang w:val="sr-Cyrl-BA"/>
        </w:rPr>
        <w:t>кси</w:t>
      </w:r>
      <w:r w:rsidR="00270A7A" w:rsidRPr="00171F00">
        <w:rPr>
          <w:rFonts w:cs="Arial"/>
          <w:lang w:val="sr-Cyrl-BA"/>
        </w:rPr>
        <w:t>,</w:t>
      </w:r>
      <w:r w:rsidRPr="00171F00">
        <w:rPr>
          <w:rFonts w:cs="Arial"/>
          <w:lang w:val="sr-Cyrl-BA"/>
        </w:rPr>
        <w:t xml:space="preserve"> </w:t>
      </w:r>
      <w:r w:rsidR="00A56E08" w:rsidRPr="00171F00">
        <w:rPr>
          <w:rFonts w:cs="Arial"/>
          <w:lang w:val="sr-Cyrl-BA"/>
        </w:rPr>
        <w:t>а</w:t>
      </w:r>
      <w:r w:rsidRPr="00171F00">
        <w:rPr>
          <w:rFonts w:cs="Arial"/>
          <w:lang w:val="sr-Cyrl-BA"/>
        </w:rPr>
        <w:t xml:space="preserve"> </w:t>
      </w:r>
      <w:r w:rsidR="0071360A" w:rsidRPr="00171F00">
        <w:rPr>
          <w:rFonts w:cs="Arial"/>
          <w:lang w:val="sr-Cyrl-BA"/>
        </w:rPr>
        <w:t>о</w:t>
      </w:r>
      <w:r w:rsidR="00A56E08" w:rsidRPr="00171F00">
        <w:rPr>
          <w:rFonts w:cs="Arial"/>
          <w:lang w:val="sr-Cyrl-BA"/>
        </w:rPr>
        <w:t>д</w:t>
      </w:r>
      <w:r w:rsidR="0071360A" w:rsidRPr="00171F00">
        <w:rPr>
          <w:rFonts w:cs="Arial"/>
          <w:lang w:val="sr-Cyrl-BA"/>
        </w:rPr>
        <w:t>нос</w:t>
      </w:r>
      <w:r w:rsidR="00A56E08" w:rsidRPr="00171F00">
        <w:rPr>
          <w:rFonts w:cs="Arial"/>
          <w:lang w:val="sr-Cyrl-BA"/>
        </w:rPr>
        <w:t>е</w:t>
      </w:r>
      <w:r w:rsidRPr="00171F00">
        <w:rPr>
          <w:rFonts w:cs="Arial"/>
          <w:lang w:val="sr-Cyrl-BA"/>
        </w:rPr>
        <w:t xml:space="preserve"> </w:t>
      </w:r>
      <w:r w:rsidR="0071360A" w:rsidRPr="00171F00">
        <w:rPr>
          <w:rFonts w:cs="Arial"/>
          <w:lang w:val="sr-Cyrl-BA"/>
        </w:rPr>
        <w:t>с</w:t>
      </w:r>
      <w:r w:rsidR="00A56E08" w:rsidRPr="00171F00">
        <w:rPr>
          <w:rFonts w:cs="Arial"/>
          <w:lang w:val="sr-Cyrl-BA"/>
        </w:rPr>
        <w:t>е</w:t>
      </w:r>
      <w:r w:rsidRPr="00171F00">
        <w:rPr>
          <w:rFonts w:cs="Arial"/>
          <w:lang w:val="sr-Cyrl-BA"/>
        </w:rPr>
        <w:t xml:space="preserve"> </w:t>
      </w:r>
      <w:r w:rsidR="0071360A" w:rsidRPr="00171F00">
        <w:rPr>
          <w:rFonts w:cs="Arial"/>
          <w:lang w:val="sr-Cyrl-BA"/>
        </w:rPr>
        <w:t>прв</w:t>
      </w:r>
      <w:r w:rsidR="00A56E08" w:rsidRPr="00171F00">
        <w:rPr>
          <w:rFonts w:cs="Arial"/>
          <w:lang w:val="sr-Cyrl-BA"/>
        </w:rPr>
        <w:t>е</w:t>
      </w:r>
      <w:r w:rsidR="0071360A" w:rsidRPr="00171F00">
        <w:rPr>
          <w:rFonts w:cs="Arial"/>
          <w:lang w:val="sr-Cyrl-BA"/>
        </w:rPr>
        <w:t>нств</w:t>
      </w:r>
      <w:r w:rsidR="00A56E08" w:rsidRPr="00171F00">
        <w:rPr>
          <w:rFonts w:cs="Arial"/>
          <w:lang w:val="sr-Cyrl-BA"/>
        </w:rPr>
        <w:t>е</w:t>
      </w:r>
      <w:r w:rsidR="0071360A" w:rsidRPr="00171F00">
        <w:rPr>
          <w:rFonts w:cs="Arial"/>
          <w:lang w:val="sr-Cyrl-BA"/>
        </w:rPr>
        <w:t>но</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о</w:t>
      </w:r>
      <w:r w:rsidR="00A56E08" w:rsidRPr="00171F00">
        <w:rPr>
          <w:rFonts w:cs="Arial"/>
          <w:lang w:val="sr-Cyrl-BA"/>
        </w:rPr>
        <w:t>б</w:t>
      </w:r>
      <w:r w:rsidR="0071360A" w:rsidRPr="00171F00">
        <w:rPr>
          <w:rFonts w:cs="Arial"/>
          <w:lang w:val="sr-Cyrl-BA"/>
        </w:rPr>
        <w:t>лик</w:t>
      </w:r>
      <w:r w:rsidR="00A56E08" w:rsidRPr="00171F00">
        <w:rPr>
          <w:rFonts w:cs="Arial"/>
          <w:lang w:val="sr-Cyrl-BA"/>
        </w:rPr>
        <w:t>е</w:t>
      </w:r>
      <w:r w:rsidRPr="00171F00">
        <w:rPr>
          <w:rFonts w:cs="Arial"/>
          <w:lang w:val="sr-Cyrl-BA"/>
        </w:rPr>
        <w:t xml:space="preserve"> </w:t>
      </w:r>
      <w:r w:rsidR="0071360A" w:rsidRPr="00171F00">
        <w:rPr>
          <w:rFonts w:cs="Arial"/>
          <w:lang w:val="sr-Cyrl-BA"/>
        </w:rPr>
        <w:t>у</w:t>
      </w:r>
      <w:r w:rsidR="00A56E08" w:rsidRPr="00171F00">
        <w:rPr>
          <w:rFonts w:cs="Arial"/>
          <w:lang w:val="sr-Cyrl-BA"/>
        </w:rPr>
        <w:t>че</w:t>
      </w:r>
      <w:r w:rsidR="0071360A" w:rsidRPr="00171F00">
        <w:rPr>
          <w:rFonts w:cs="Arial"/>
          <w:lang w:val="sr-Cyrl-BA"/>
        </w:rPr>
        <w:t>њ</w:t>
      </w:r>
      <w:r w:rsidR="00A56E08" w:rsidRPr="00171F00">
        <w:rPr>
          <w:rFonts w:cs="Arial"/>
          <w:lang w:val="sr-Cyrl-BA"/>
        </w:rPr>
        <w:t>а</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по</w:t>
      </w:r>
      <w:r w:rsidR="00A56E08" w:rsidRPr="00171F00">
        <w:rPr>
          <w:rFonts w:cs="Arial"/>
          <w:lang w:val="sr-Cyrl-BA"/>
        </w:rPr>
        <w:t>д</w:t>
      </w:r>
      <w:r w:rsidR="0071360A" w:rsidRPr="00171F00">
        <w:rPr>
          <w:rFonts w:cs="Arial"/>
          <w:lang w:val="sr-Cyrl-BA"/>
        </w:rPr>
        <w:t>у</w:t>
      </w:r>
      <w:r w:rsidR="00A56E08" w:rsidRPr="00171F00">
        <w:rPr>
          <w:rFonts w:cs="Arial"/>
          <w:lang w:val="sr-Cyrl-BA"/>
        </w:rPr>
        <w:t>ча</w:t>
      </w:r>
      <w:r w:rsidR="0071360A" w:rsidRPr="00171F00">
        <w:rPr>
          <w:rFonts w:cs="Arial"/>
          <w:lang w:val="sr-Cyrl-BA"/>
        </w:rPr>
        <w:t>в</w:t>
      </w:r>
      <w:r w:rsidR="00A56E08" w:rsidRPr="00171F00">
        <w:rPr>
          <w:rFonts w:cs="Arial"/>
          <w:lang w:val="sr-Cyrl-BA"/>
        </w:rPr>
        <w:t>а</w:t>
      </w:r>
      <w:r w:rsidR="0071360A" w:rsidRPr="00171F00">
        <w:rPr>
          <w:rFonts w:cs="Arial"/>
          <w:lang w:val="sr-Cyrl-BA"/>
        </w:rPr>
        <w:t>њ</w:t>
      </w:r>
      <w:r w:rsidR="00A56E08" w:rsidRPr="00171F00">
        <w:rPr>
          <w:rFonts w:cs="Arial"/>
          <w:lang w:val="sr-Cyrl-BA"/>
        </w:rPr>
        <w:t>а</w:t>
      </w:r>
      <w:r w:rsidRPr="00171F00">
        <w:rPr>
          <w:rFonts w:cs="Arial"/>
          <w:lang w:val="sr-Cyrl-BA"/>
        </w:rPr>
        <w:t xml:space="preserve"> </w:t>
      </w:r>
      <w:r w:rsidR="0071360A" w:rsidRPr="00171F00">
        <w:rPr>
          <w:rFonts w:cs="Arial"/>
          <w:lang w:val="sr-Cyrl-BA"/>
        </w:rPr>
        <w:t>у</w:t>
      </w:r>
      <w:r w:rsidR="00171F00">
        <w:rPr>
          <w:rFonts w:cs="Arial"/>
          <w:lang w:val="sr-Cyrl-BA"/>
        </w:rPr>
        <w:t>з</w:t>
      </w:r>
      <w:r w:rsidRPr="00171F00">
        <w:rPr>
          <w:rFonts w:cs="Arial"/>
          <w:lang w:val="sr-Cyrl-BA"/>
        </w:rPr>
        <w:t xml:space="preserve"> </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ли</w:t>
      </w:r>
      <w:r w:rsidR="00A56E08" w:rsidRPr="00171F00">
        <w:rPr>
          <w:rFonts w:cs="Arial"/>
          <w:lang w:val="sr-Cyrl-BA"/>
        </w:rPr>
        <w:t>ч</w:t>
      </w:r>
      <w:r w:rsidR="0071360A" w:rsidRPr="00171F00">
        <w:rPr>
          <w:rFonts w:cs="Arial"/>
          <w:lang w:val="sr-Cyrl-BA"/>
        </w:rPr>
        <w:t>ит</w:t>
      </w:r>
      <w:r w:rsidR="00A56E08" w:rsidRPr="00171F00">
        <w:rPr>
          <w:rFonts w:cs="Arial"/>
          <w:lang w:val="sr-Cyrl-BA"/>
        </w:rPr>
        <w:t>е</w:t>
      </w:r>
      <w:r w:rsidRPr="00171F00">
        <w:rPr>
          <w:rFonts w:cs="Arial"/>
          <w:lang w:val="sr-Cyrl-BA"/>
        </w:rPr>
        <w:t xml:space="preserve"> </w:t>
      </w:r>
      <w:r w:rsidR="0071360A" w:rsidRPr="00171F00">
        <w:rPr>
          <w:rFonts w:cs="Arial"/>
          <w:lang w:val="sr-Cyrl-BA"/>
        </w:rPr>
        <w:t>примј</w:t>
      </w:r>
      <w:r w:rsidR="00A56E08" w:rsidRPr="00171F00">
        <w:rPr>
          <w:rFonts w:cs="Arial"/>
          <w:lang w:val="sr-Cyrl-BA"/>
        </w:rPr>
        <w:t>е</w:t>
      </w:r>
      <w:r w:rsidR="0071360A" w:rsidRPr="00171F00">
        <w:rPr>
          <w:rFonts w:cs="Arial"/>
          <w:lang w:val="sr-Cyrl-BA"/>
        </w:rPr>
        <w:t>н</w:t>
      </w:r>
      <w:r w:rsidR="00A56E08" w:rsidRPr="00171F00">
        <w:rPr>
          <w:rFonts w:cs="Arial"/>
          <w:lang w:val="sr-Cyrl-BA"/>
        </w:rPr>
        <w:t>е</w:t>
      </w:r>
      <w:r w:rsidRPr="00171F00">
        <w:rPr>
          <w:rFonts w:cs="Arial"/>
          <w:lang w:val="sr-Cyrl-BA"/>
        </w:rPr>
        <w:t xml:space="preserve"> </w:t>
      </w:r>
      <w:r w:rsidR="00CA5E58">
        <w:rPr>
          <w:rFonts w:cs="Arial"/>
          <w:lang w:val="sr-Cyrl-BA"/>
        </w:rPr>
        <w:t xml:space="preserve">информатичко – комуникационе </w:t>
      </w:r>
      <w:r w:rsidR="0071360A" w:rsidRPr="00171F00">
        <w:rPr>
          <w:rFonts w:cs="Arial"/>
          <w:lang w:val="sr-Cyrl-BA"/>
        </w:rPr>
        <w:t>т</w:t>
      </w:r>
      <w:r w:rsidR="00A56E08" w:rsidRPr="00171F00">
        <w:rPr>
          <w:rFonts w:cs="Arial"/>
          <w:lang w:val="sr-Cyrl-BA"/>
        </w:rPr>
        <w:t>е</w:t>
      </w:r>
      <w:r w:rsidR="0071360A" w:rsidRPr="00171F00">
        <w:rPr>
          <w:rFonts w:cs="Arial"/>
          <w:lang w:val="sr-Cyrl-BA"/>
        </w:rPr>
        <w:t>хнологиј</w:t>
      </w:r>
      <w:r w:rsidR="00A56E08" w:rsidRPr="00171F00">
        <w:rPr>
          <w:rFonts w:cs="Arial"/>
          <w:lang w:val="sr-Cyrl-BA"/>
        </w:rPr>
        <w:t>е</w:t>
      </w:r>
      <w:r w:rsidRPr="00171F00">
        <w:rPr>
          <w:rFonts w:cs="Arial"/>
          <w:lang w:val="sr-Cyrl-BA"/>
        </w:rPr>
        <w:t xml:space="preserve">. </w:t>
      </w:r>
      <w:r w:rsidR="0071360A" w:rsidRPr="00171F00">
        <w:rPr>
          <w:rFonts w:cs="Arial"/>
          <w:lang w:val="sr-Cyrl-BA"/>
        </w:rPr>
        <w:t>Сви</w:t>
      </w:r>
      <w:r w:rsidRPr="00171F00">
        <w:rPr>
          <w:rFonts w:cs="Arial"/>
          <w:lang w:val="sr-Cyrl-BA"/>
        </w:rPr>
        <w:t xml:space="preserve"> </w:t>
      </w:r>
      <w:r w:rsidR="0071360A" w:rsidRPr="00171F00">
        <w:rPr>
          <w:rFonts w:cs="Arial"/>
          <w:lang w:val="sr-Cyrl-BA"/>
        </w:rPr>
        <w:t>ост</w:t>
      </w:r>
      <w:r w:rsidR="00A56E08" w:rsidRPr="00171F00">
        <w:rPr>
          <w:rFonts w:cs="Arial"/>
          <w:lang w:val="sr-Cyrl-BA"/>
        </w:rPr>
        <w:t>а</w:t>
      </w:r>
      <w:r w:rsidR="0071360A" w:rsidRPr="00171F00">
        <w:rPr>
          <w:rFonts w:cs="Arial"/>
          <w:lang w:val="sr-Cyrl-BA"/>
        </w:rPr>
        <w:t>ли</w:t>
      </w:r>
      <w:r w:rsidRPr="00171F00">
        <w:rPr>
          <w:rFonts w:cs="Arial"/>
          <w:lang w:val="sr-Cyrl-BA"/>
        </w:rPr>
        <w:t xml:space="preserve"> </w:t>
      </w:r>
      <w:r w:rsidR="0071360A" w:rsidRPr="00171F00">
        <w:rPr>
          <w:rFonts w:cs="Arial"/>
          <w:lang w:val="sr-Cyrl-BA"/>
        </w:rPr>
        <w:t>појмови</w:t>
      </w:r>
      <w:r w:rsidRPr="00171F00">
        <w:rPr>
          <w:rFonts w:cs="Arial"/>
          <w:lang w:val="sr-Cyrl-BA"/>
        </w:rPr>
        <w:t xml:space="preserve">, </w:t>
      </w:r>
      <w:r w:rsidR="0071360A" w:rsidRPr="00171F00">
        <w:rPr>
          <w:rFonts w:cs="Arial"/>
          <w:lang w:val="sr-Cyrl-BA"/>
        </w:rPr>
        <w:t>попут</w:t>
      </w:r>
      <w:r w:rsidRPr="00171F00">
        <w:rPr>
          <w:rFonts w:cs="Arial"/>
          <w:lang w:val="sr-Cyrl-BA"/>
        </w:rPr>
        <w:t xml:space="preserve"> </w:t>
      </w:r>
      <w:r w:rsidR="0071360A" w:rsidRPr="00171F00">
        <w:rPr>
          <w:rFonts w:cs="Arial"/>
          <w:lang w:val="sr-Cyrl-BA"/>
        </w:rPr>
        <w:t>инфр</w:t>
      </w:r>
      <w:r w:rsidR="00A56E08" w:rsidRPr="00171F00">
        <w:rPr>
          <w:rFonts w:cs="Arial"/>
          <w:lang w:val="sr-Cyrl-BA"/>
        </w:rPr>
        <w:t>а</w:t>
      </w:r>
      <w:r w:rsidR="0071360A" w:rsidRPr="00171F00">
        <w:rPr>
          <w:rFonts w:cs="Arial"/>
          <w:lang w:val="sr-Cyrl-BA"/>
        </w:rPr>
        <w:t>структур</w:t>
      </w:r>
      <w:r w:rsidR="00A56E08" w:rsidRPr="00171F00">
        <w:rPr>
          <w:rFonts w:cs="Arial"/>
          <w:lang w:val="sr-Cyrl-BA"/>
        </w:rPr>
        <w:t>е</w:t>
      </w:r>
      <w:r w:rsidR="00EE6127" w:rsidRPr="00171F00">
        <w:rPr>
          <w:rFonts w:cs="Arial"/>
          <w:lang w:val="sr-Cyrl-BA"/>
        </w:rPr>
        <w:t xml:space="preserve"> </w:t>
      </w:r>
      <w:r w:rsidR="00171F00">
        <w:rPr>
          <w:rFonts w:cs="Arial"/>
          <w:lang w:val="sr-Cyrl-BA"/>
        </w:rPr>
        <w:t>з</w:t>
      </w:r>
      <w:r w:rsidR="00A56E08" w:rsidRPr="00171F00">
        <w:rPr>
          <w:rFonts w:cs="Arial"/>
          <w:lang w:val="sr-Cyrl-BA"/>
        </w:rPr>
        <w:t>а</w:t>
      </w:r>
      <w:r w:rsidR="00EE6127" w:rsidRPr="00171F00">
        <w:rPr>
          <w:rFonts w:cs="Arial"/>
          <w:lang w:val="sr-Cyrl-BA"/>
        </w:rPr>
        <w:t xml:space="preserve"> </w:t>
      </w:r>
      <w:r w:rsidR="0071360A" w:rsidRPr="00171F00">
        <w:rPr>
          <w:rFonts w:cs="Arial"/>
          <w:lang w:val="sr-Cyrl-BA"/>
        </w:rPr>
        <w:t>ИКТ</w:t>
      </w:r>
      <w:r w:rsidRPr="00171F00">
        <w:rPr>
          <w:rFonts w:cs="Arial"/>
          <w:lang w:val="sr-Cyrl-BA"/>
        </w:rPr>
        <w:t xml:space="preserve">, </w:t>
      </w:r>
      <w:r w:rsidR="0071360A" w:rsidRPr="00171F00">
        <w:rPr>
          <w:rFonts w:cs="Arial"/>
          <w:lang w:val="sr-Cyrl-BA"/>
        </w:rPr>
        <w:t>ЛМС</w:t>
      </w:r>
      <w:r w:rsidRPr="00171F00">
        <w:rPr>
          <w:rFonts w:cs="Arial"/>
          <w:lang w:val="sr-Cyrl-BA"/>
        </w:rPr>
        <w:t xml:space="preserve">, </w:t>
      </w:r>
      <w:r w:rsidR="00A56E08" w:rsidRPr="00171F00">
        <w:rPr>
          <w:rFonts w:cs="Arial"/>
          <w:lang w:val="sr-Cyrl-BA"/>
        </w:rPr>
        <w:t>Е</w:t>
      </w:r>
      <w:r w:rsidR="0071360A" w:rsidRPr="00171F00">
        <w:rPr>
          <w:rFonts w:cs="Arial"/>
          <w:lang w:val="sr-Cyrl-BA"/>
        </w:rPr>
        <w:t>МИС</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A56E08" w:rsidRPr="00171F00">
        <w:rPr>
          <w:rFonts w:cs="Arial"/>
          <w:lang w:val="sr-Cyrl-BA"/>
        </w:rPr>
        <w:t>д</w:t>
      </w:r>
      <w:r w:rsidR="0071360A" w:rsidRPr="00171F00">
        <w:rPr>
          <w:rFonts w:cs="Arial"/>
          <w:lang w:val="sr-Cyrl-BA"/>
        </w:rPr>
        <w:t>р</w:t>
      </w:r>
      <w:r w:rsidRPr="00171F00">
        <w:rPr>
          <w:rFonts w:cs="Arial"/>
          <w:lang w:val="sr-Cyrl-BA"/>
        </w:rPr>
        <w:t xml:space="preserve">., </w:t>
      </w:r>
      <w:r w:rsidR="00A56E08" w:rsidRPr="00171F00">
        <w:rPr>
          <w:rFonts w:cs="Arial"/>
          <w:lang w:val="sr-Cyrl-BA"/>
        </w:rPr>
        <w:t>де</w:t>
      </w:r>
      <w:r w:rsidR="0071360A" w:rsidRPr="00171F00">
        <w:rPr>
          <w:rFonts w:cs="Arial"/>
          <w:lang w:val="sr-Cyrl-BA"/>
        </w:rPr>
        <w:t>финис</w:t>
      </w:r>
      <w:r w:rsidR="00A56E08" w:rsidRPr="00171F00">
        <w:rPr>
          <w:rFonts w:cs="Arial"/>
          <w:lang w:val="sr-Cyrl-BA"/>
        </w:rPr>
        <w:t>а</w:t>
      </w:r>
      <w:r w:rsidR="0071360A" w:rsidRPr="00171F00">
        <w:rPr>
          <w:rFonts w:cs="Arial"/>
          <w:lang w:val="sr-Cyrl-BA"/>
        </w:rPr>
        <w:t>ни</w:t>
      </w:r>
      <w:r w:rsidRPr="00171F00">
        <w:rPr>
          <w:rFonts w:cs="Arial"/>
          <w:lang w:val="sr-Cyrl-BA"/>
        </w:rPr>
        <w:t xml:space="preserve"> </w:t>
      </w:r>
      <w:r w:rsidR="0071360A" w:rsidRPr="00171F00">
        <w:rPr>
          <w:rFonts w:cs="Arial"/>
          <w:lang w:val="sr-Cyrl-BA"/>
        </w:rPr>
        <w:t>су</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оквиру</w:t>
      </w:r>
      <w:r w:rsidRPr="00171F00">
        <w:rPr>
          <w:rFonts w:cs="Arial"/>
          <w:lang w:val="sr-Cyrl-BA"/>
        </w:rPr>
        <w:t xml:space="preserve"> </w:t>
      </w:r>
      <w:r w:rsidR="0071360A" w:rsidRPr="00171F00">
        <w:rPr>
          <w:rFonts w:cs="Arial"/>
          <w:lang w:val="sr-Cyrl-BA"/>
        </w:rPr>
        <w:t>погл</w:t>
      </w:r>
      <w:r w:rsidR="00A56E08" w:rsidRPr="00171F00">
        <w:rPr>
          <w:rFonts w:cs="Arial"/>
          <w:lang w:val="sr-Cyrl-BA"/>
        </w:rPr>
        <w:t>а</w:t>
      </w:r>
      <w:r w:rsidR="0071360A" w:rsidRPr="00171F00">
        <w:rPr>
          <w:rFonts w:cs="Arial"/>
          <w:lang w:val="sr-Cyrl-BA"/>
        </w:rPr>
        <w:t>вљ</w:t>
      </w:r>
      <w:r w:rsidR="00A56E08" w:rsidRPr="00171F00">
        <w:rPr>
          <w:rFonts w:cs="Arial"/>
          <w:lang w:val="sr-Cyrl-BA"/>
        </w:rPr>
        <w:t>а</w:t>
      </w:r>
      <w:r w:rsidRPr="00171F00">
        <w:rPr>
          <w:rFonts w:cs="Arial"/>
          <w:lang w:val="sr-Cyrl-BA"/>
        </w:rPr>
        <w:t xml:space="preserve"> </w:t>
      </w:r>
      <w:r w:rsidR="0071360A" w:rsidRPr="00171F00">
        <w:rPr>
          <w:rFonts w:cs="Arial"/>
          <w:lang w:val="sr-Cyrl-BA"/>
        </w:rPr>
        <w:t>којим</w:t>
      </w:r>
      <w:r w:rsidR="00A56E08" w:rsidRPr="00171F00">
        <w:rPr>
          <w:rFonts w:cs="Arial"/>
          <w:lang w:val="sr-Cyrl-BA"/>
        </w:rPr>
        <w:t>а</w:t>
      </w:r>
      <w:r w:rsidRPr="00171F00">
        <w:rPr>
          <w:rFonts w:cs="Arial"/>
          <w:lang w:val="sr-Cyrl-BA"/>
        </w:rPr>
        <w:t xml:space="preserve"> </w:t>
      </w:r>
      <w:r w:rsidR="0071360A" w:rsidRPr="00171F00">
        <w:rPr>
          <w:rFonts w:cs="Arial"/>
          <w:lang w:val="sr-Cyrl-BA"/>
        </w:rPr>
        <w:t>прим</w:t>
      </w:r>
      <w:r w:rsidR="00A56E08" w:rsidRPr="00171F00">
        <w:rPr>
          <w:rFonts w:cs="Arial"/>
          <w:lang w:val="sr-Cyrl-BA"/>
        </w:rPr>
        <w:t>а</w:t>
      </w:r>
      <w:r w:rsidR="0071360A" w:rsidRPr="00171F00">
        <w:rPr>
          <w:rFonts w:cs="Arial"/>
          <w:lang w:val="sr-Cyrl-BA"/>
        </w:rPr>
        <w:t>рно</w:t>
      </w:r>
      <w:r w:rsidRPr="00171F00">
        <w:rPr>
          <w:rFonts w:cs="Arial"/>
          <w:lang w:val="sr-Cyrl-BA"/>
        </w:rPr>
        <w:t xml:space="preserve"> </w:t>
      </w:r>
      <w:r w:rsidR="0071360A" w:rsidRPr="00171F00">
        <w:rPr>
          <w:rFonts w:cs="Arial"/>
          <w:lang w:val="sr-Cyrl-BA"/>
        </w:rPr>
        <w:t>прип</w:t>
      </w:r>
      <w:r w:rsidR="00A56E08" w:rsidRPr="00171F00">
        <w:rPr>
          <w:rFonts w:cs="Arial"/>
          <w:lang w:val="sr-Cyrl-BA"/>
        </w:rPr>
        <w:t>ада</w:t>
      </w:r>
      <w:r w:rsidR="0071360A" w:rsidRPr="00171F00">
        <w:rPr>
          <w:rFonts w:cs="Arial"/>
          <w:lang w:val="sr-Cyrl-BA"/>
        </w:rPr>
        <w:t>ју</w:t>
      </w:r>
      <w:r w:rsidRPr="00171F00">
        <w:rPr>
          <w:rFonts w:cs="Arial"/>
          <w:lang w:val="sr-Cyrl-BA"/>
        </w:rPr>
        <w:t xml:space="preserve">. </w:t>
      </w:r>
    </w:p>
  </w:footnote>
  <w:footnote w:id="4">
    <w:p w14:paraId="6E35F25A" w14:textId="48AB090C" w:rsidR="00F33370" w:rsidRPr="00171F00" w:rsidRDefault="00F33370" w:rsidP="00B71F95">
      <w:pPr>
        <w:pStyle w:val="FootnoteText"/>
        <w:rPr>
          <w:lang w:val="sr-Cyrl-BA"/>
        </w:rPr>
      </w:pPr>
      <w:r w:rsidRPr="00171F00">
        <w:rPr>
          <w:rStyle w:val="FootnoteReference"/>
          <w:lang w:val="sr-Cyrl-BA"/>
        </w:rPr>
        <w:footnoteRef/>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рн</w:t>
      </w:r>
      <w:r w:rsidR="00A56E08" w:rsidRPr="00171F00">
        <w:rPr>
          <w:lang w:val="sr-Cyrl-BA"/>
        </w:rPr>
        <w:t>е</w:t>
      </w:r>
      <w:r w:rsidR="0071360A" w:rsidRPr="00171F00">
        <w:rPr>
          <w:lang w:val="sr-Cyrl-BA"/>
        </w:rPr>
        <w:t>т</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гло</w:t>
      </w:r>
      <w:r w:rsidR="00A56E08" w:rsidRPr="00171F00">
        <w:rPr>
          <w:lang w:val="sr-Cyrl-BA"/>
        </w:rPr>
        <w:t>ба</w:t>
      </w:r>
      <w:r w:rsidR="0071360A" w:rsidRPr="00171F00">
        <w:rPr>
          <w:lang w:val="sr-Cyrl-BA"/>
        </w:rPr>
        <w:t>лн</w:t>
      </w:r>
      <w:r w:rsidR="00A56E08" w:rsidRPr="00171F00">
        <w:rPr>
          <w:lang w:val="sr-Cyrl-BA"/>
        </w:rPr>
        <w:t>а</w:t>
      </w:r>
      <w:r w:rsidRPr="00171F00">
        <w:rPr>
          <w:lang w:val="sr-Cyrl-BA"/>
        </w:rPr>
        <w:t xml:space="preserve"> </w:t>
      </w:r>
      <w:r w:rsidR="0071360A" w:rsidRPr="00171F00">
        <w:rPr>
          <w:lang w:val="sr-Cyrl-BA"/>
        </w:rPr>
        <w:t>ј</w:t>
      </w:r>
      <w:r w:rsidR="00A56E08" w:rsidRPr="00171F00">
        <w:rPr>
          <w:lang w:val="sr-Cyrl-BA"/>
        </w:rPr>
        <w:t>а</w:t>
      </w:r>
      <w:r w:rsidR="0071360A" w:rsidRPr="00171F00">
        <w:rPr>
          <w:lang w:val="sr-Cyrl-BA"/>
        </w:rPr>
        <w:t>вн</w:t>
      </w:r>
      <w:r w:rsidR="00A56E08" w:rsidRPr="00171F00">
        <w:rPr>
          <w:lang w:val="sr-Cyrl-BA"/>
        </w:rPr>
        <w:t>а</w:t>
      </w:r>
      <w:r w:rsidRPr="00171F00">
        <w:rPr>
          <w:lang w:val="sr-Cyrl-BA"/>
        </w:rPr>
        <w:t xml:space="preserve"> </w:t>
      </w:r>
      <w:r w:rsidR="0071360A" w:rsidRPr="00171F00">
        <w:rPr>
          <w:lang w:val="sr-Cyrl-BA"/>
        </w:rPr>
        <w:t>мр</w:t>
      </w:r>
      <w:r w:rsidR="00A56E08" w:rsidRPr="00171F00">
        <w:rPr>
          <w:lang w:val="sr-Cyrl-BA"/>
        </w:rPr>
        <w:t>е</w:t>
      </w:r>
      <w:r w:rsidR="00171F00">
        <w:rPr>
          <w:lang w:val="sr-Cyrl-BA"/>
        </w:rPr>
        <w:t>ж</w:t>
      </w:r>
      <w:r w:rsidR="00A56E08" w:rsidRPr="00171F00">
        <w:rPr>
          <w:lang w:val="sr-Cyrl-BA"/>
        </w:rPr>
        <w:t>а</w:t>
      </w:r>
      <w:r w:rsidRPr="00171F00">
        <w:rPr>
          <w:lang w:val="sr-Cyrl-BA"/>
        </w:rPr>
        <w:t xml:space="preserve"> </w:t>
      </w:r>
      <w:r w:rsidR="0071360A" w:rsidRPr="00171F00">
        <w:rPr>
          <w:lang w:val="sr-Cyrl-BA"/>
        </w:rPr>
        <w:t>кој</w:t>
      </w:r>
      <w:r w:rsidR="00A56E08" w:rsidRPr="00171F00">
        <w:rPr>
          <w:lang w:val="sr-Cyrl-BA"/>
        </w:rPr>
        <w:t>а</w:t>
      </w:r>
      <w:r w:rsidRPr="00171F00">
        <w:rPr>
          <w:lang w:val="sr-Cyrl-BA"/>
        </w:rPr>
        <w:t xml:space="preserve"> </w:t>
      </w:r>
      <w:r w:rsidR="0071360A" w:rsidRPr="00171F00">
        <w:rPr>
          <w:lang w:val="sr-Cyrl-BA"/>
        </w:rPr>
        <w:t>успост</w:t>
      </w:r>
      <w:r w:rsidR="00A56E08" w:rsidRPr="00171F00">
        <w:rPr>
          <w:lang w:val="sr-Cyrl-BA"/>
        </w:rPr>
        <w:t>а</w:t>
      </w:r>
      <w:r w:rsidR="0071360A" w:rsidRPr="00171F00">
        <w:rPr>
          <w:lang w:val="sr-Cyrl-BA"/>
        </w:rPr>
        <w:t>вљ</w:t>
      </w:r>
      <w:r w:rsidR="00A56E08" w:rsidRPr="00171F00">
        <w:rPr>
          <w:lang w:val="sr-Cyrl-BA"/>
        </w:rPr>
        <w:t>а</w:t>
      </w:r>
      <w:r w:rsidRPr="00171F00">
        <w:rPr>
          <w:lang w:val="sr-Cyrl-BA"/>
        </w:rPr>
        <w:t xml:space="preserve"> </w:t>
      </w:r>
      <w:r w:rsidR="0071360A" w:rsidRPr="00171F00">
        <w:rPr>
          <w:lang w:val="sr-Cyrl-BA"/>
        </w:rPr>
        <w:t>в</w:t>
      </w:r>
      <w:r w:rsidR="00A56E08" w:rsidRPr="00171F00">
        <w:rPr>
          <w:lang w:val="sr-Cyrl-BA"/>
        </w:rPr>
        <w:t>е</w:t>
      </w:r>
      <w:r w:rsidR="00171F00">
        <w:rPr>
          <w:lang w:val="sr-Cyrl-BA"/>
        </w:rPr>
        <w:t>з</w:t>
      </w:r>
      <w:r w:rsidR="0071360A" w:rsidRPr="00171F00">
        <w:rPr>
          <w:lang w:val="sr-Cyrl-BA"/>
        </w:rPr>
        <w:t>у</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омогу</w:t>
      </w:r>
      <w:r w:rsidR="00A56E08" w:rsidRPr="00171F00">
        <w:rPr>
          <w:lang w:val="sr-Cyrl-BA"/>
        </w:rPr>
        <w:t>ћа</w:t>
      </w:r>
      <w:r w:rsidR="0071360A" w:rsidRPr="00171F00">
        <w:rPr>
          <w:lang w:val="sr-Cyrl-BA"/>
        </w:rPr>
        <w:t>в</w:t>
      </w:r>
      <w:r w:rsidR="00A56E08" w:rsidRPr="00171F00">
        <w:rPr>
          <w:lang w:val="sr-Cyrl-BA"/>
        </w:rPr>
        <w:t>а</w:t>
      </w:r>
      <w:r w:rsidRPr="00171F00">
        <w:rPr>
          <w:lang w:val="sr-Cyrl-BA"/>
        </w:rPr>
        <w:t xml:space="preserve"> </w:t>
      </w:r>
      <w:r w:rsidR="0071360A" w:rsidRPr="00171F00">
        <w:rPr>
          <w:lang w:val="sr-Cyrl-BA"/>
        </w:rPr>
        <w:t>комуник</w:t>
      </w:r>
      <w:r w:rsidR="00A56E08" w:rsidRPr="00171F00">
        <w:rPr>
          <w:lang w:val="sr-Cyrl-BA"/>
        </w:rPr>
        <w:t>ац</w:t>
      </w:r>
      <w:r w:rsidR="0071360A" w:rsidRPr="00171F00">
        <w:rPr>
          <w:lang w:val="sr-Cyrl-BA"/>
        </w:rPr>
        <w:t>ију</w:t>
      </w:r>
      <w:r w:rsidRPr="00171F00">
        <w:rPr>
          <w:lang w:val="sr-Cyrl-BA"/>
        </w:rPr>
        <w:t xml:space="preserve">, </w:t>
      </w:r>
      <w:r w:rsidR="0071360A" w:rsidRPr="00171F00">
        <w:rPr>
          <w:lang w:val="sr-Cyrl-BA"/>
        </w:rPr>
        <w:t>прикупљ</w:t>
      </w:r>
      <w:r w:rsidR="00A56E08" w:rsidRPr="00171F00">
        <w:rPr>
          <w:lang w:val="sr-Cyrl-BA"/>
        </w:rPr>
        <w:t>а</w:t>
      </w:r>
      <w:r w:rsidR="0071360A" w:rsidRPr="00171F00">
        <w:rPr>
          <w:lang w:val="sr-Cyrl-BA"/>
        </w:rPr>
        <w:t>њ</w:t>
      </w:r>
      <w:r w:rsidR="00A56E08" w:rsidRPr="00171F00">
        <w:rPr>
          <w:lang w:val="sr-Cyrl-BA"/>
        </w:rPr>
        <w:t>е</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нос</w:t>
      </w:r>
      <w:r w:rsidRPr="00171F00">
        <w:rPr>
          <w:lang w:val="sr-Cyrl-BA"/>
        </w:rPr>
        <w:t xml:space="preserve"> </w:t>
      </w:r>
      <w:r w:rsidR="0071360A" w:rsidRPr="00171F00">
        <w:rPr>
          <w:lang w:val="sr-Cyrl-BA"/>
        </w:rPr>
        <w:t>по</w:t>
      </w:r>
      <w:r w:rsidR="00A56E08" w:rsidRPr="00171F00">
        <w:rPr>
          <w:lang w:val="sr-Cyrl-BA"/>
        </w:rPr>
        <w:t>да</w:t>
      </w:r>
      <w:r w:rsidR="0071360A" w:rsidRPr="00171F00">
        <w:rPr>
          <w:lang w:val="sr-Cyrl-BA"/>
        </w:rPr>
        <w:t>т</w:t>
      </w:r>
      <w:r w:rsidR="00A56E08" w:rsidRPr="00171F00">
        <w:rPr>
          <w:lang w:val="sr-Cyrl-BA"/>
        </w:rPr>
        <w:t>а</w:t>
      </w:r>
      <w:r w:rsidR="0071360A" w:rsidRPr="00171F00">
        <w:rPr>
          <w:lang w:val="sr-Cyrl-BA"/>
        </w:rPr>
        <w:t>к</w:t>
      </w:r>
      <w:r w:rsidR="00A56E08" w:rsidRPr="00171F00">
        <w:rPr>
          <w:lang w:val="sr-Cyrl-BA"/>
        </w:rPr>
        <w:t>а</w:t>
      </w:r>
      <w:r w:rsidRPr="00171F00">
        <w:rPr>
          <w:lang w:val="sr-Cyrl-BA"/>
        </w:rPr>
        <w:t xml:space="preserve"> </w:t>
      </w:r>
      <w:r w:rsidR="0071360A" w:rsidRPr="00171F00">
        <w:rPr>
          <w:lang w:val="sr-Cyrl-BA"/>
        </w:rPr>
        <w:t>м</w:t>
      </w:r>
      <w:r w:rsidR="00A56E08" w:rsidRPr="00171F00">
        <w:rPr>
          <w:lang w:val="sr-Cyrl-BA"/>
        </w:rPr>
        <w:t>еђ</w:t>
      </w:r>
      <w:r w:rsidR="0071360A" w:rsidRPr="00171F00">
        <w:rPr>
          <w:lang w:val="sr-Cyrl-BA"/>
        </w:rPr>
        <w:t>у</w:t>
      </w:r>
      <w:r w:rsidRPr="00171F00">
        <w:rPr>
          <w:lang w:val="sr-Cyrl-BA"/>
        </w:rPr>
        <w:t xml:space="preserve"> </w:t>
      </w:r>
      <w:r w:rsidR="0071360A" w:rsidRPr="00171F00">
        <w:rPr>
          <w:lang w:val="sr-Cyrl-BA"/>
        </w:rPr>
        <w:t>р</w:t>
      </w:r>
      <w:r w:rsidR="00A56E08" w:rsidRPr="00171F00">
        <w:rPr>
          <w:lang w:val="sr-Cyrl-BA"/>
        </w:rPr>
        <w:t>а</w:t>
      </w:r>
      <w:r w:rsidR="00171F00">
        <w:rPr>
          <w:lang w:val="sr-Cyrl-BA"/>
        </w:rPr>
        <w:t>з</w:t>
      </w:r>
      <w:r w:rsidR="0071360A" w:rsidRPr="00171F00">
        <w:rPr>
          <w:lang w:val="sr-Cyrl-BA"/>
        </w:rPr>
        <w:t>ли</w:t>
      </w:r>
      <w:r w:rsidR="00A56E08" w:rsidRPr="00171F00">
        <w:rPr>
          <w:lang w:val="sr-Cyrl-BA"/>
        </w:rPr>
        <w:t>ч</w:t>
      </w:r>
      <w:r w:rsidR="0071360A" w:rsidRPr="00171F00">
        <w:rPr>
          <w:lang w:val="sr-Cyrl-BA"/>
        </w:rPr>
        <w:t>итим</w:t>
      </w:r>
      <w:r w:rsidRPr="00171F00">
        <w:rPr>
          <w:lang w:val="sr-Cyrl-BA"/>
        </w:rPr>
        <w:t xml:space="preserve"> </w:t>
      </w:r>
      <w:r w:rsidR="0071360A" w:rsidRPr="00171F00">
        <w:rPr>
          <w:lang w:val="sr-Cyrl-BA"/>
        </w:rPr>
        <w:t>р</w:t>
      </w:r>
      <w:r w:rsidR="00A56E08" w:rsidRPr="00171F00">
        <w:rPr>
          <w:lang w:val="sr-Cyrl-BA"/>
        </w:rPr>
        <w:t>ач</w:t>
      </w:r>
      <w:r w:rsidR="0071360A" w:rsidRPr="00171F00">
        <w:rPr>
          <w:lang w:val="sr-Cyrl-BA"/>
        </w:rPr>
        <w:t>ун</w:t>
      </w:r>
      <w:r w:rsidR="00A56E08" w:rsidRPr="00171F00">
        <w:rPr>
          <w:lang w:val="sr-Cyrl-BA"/>
        </w:rPr>
        <w:t>а</w:t>
      </w:r>
      <w:r w:rsidR="0071360A" w:rsidRPr="00171F00">
        <w:rPr>
          <w:lang w:val="sr-Cyrl-BA"/>
        </w:rPr>
        <w:t>рим</w:t>
      </w:r>
      <w:r w:rsidR="00A56E08" w:rsidRPr="00171F00">
        <w:rPr>
          <w:lang w:val="sr-Cyrl-BA"/>
        </w:rPr>
        <w:t>а</w:t>
      </w:r>
      <w:r w:rsidRPr="00171F00">
        <w:rPr>
          <w:lang w:val="sr-Cyrl-BA"/>
        </w:rPr>
        <w:t xml:space="preserve"> </w:t>
      </w:r>
      <w:r w:rsidR="0071360A" w:rsidRPr="00171F00">
        <w:rPr>
          <w:lang w:val="sr-Cyrl-BA"/>
        </w:rPr>
        <w:t>т</w:t>
      </w:r>
      <w:r w:rsidR="00A56E08" w:rsidRPr="00171F00">
        <w:rPr>
          <w:lang w:val="sr-Cyrl-BA"/>
        </w:rPr>
        <w:t>е</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A56E08" w:rsidRPr="00171F00">
        <w:rPr>
          <w:lang w:val="sr-Cyrl-BA"/>
        </w:rPr>
        <w:t>д</w:t>
      </w:r>
      <w:r w:rsidR="0071360A" w:rsidRPr="00171F00">
        <w:rPr>
          <w:lang w:val="sr-Cyrl-BA"/>
        </w:rPr>
        <w:t>оступн</w:t>
      </w:r>
      <w:r w:rsidR="00A56E08" w:rsidRPr="00171F00">
        <w:rPr>
          <w:lang w:val="sr-Cyrl-BA"/>
        </w:rPr>
        <w:t>а</w:t>
      </w:r>
      <w:r w:rsidRPr="00171F00">
        <w:rPr>
          <w:lang w:val="sr-Cyrl-BA"/>
        </w:rPr>
        <w:t xml:space="preserve"> </w:t>
      </w:r>
      <w:r w:rsidR="0071360A" w:rsidRPr="00171F00">
        <w:rPr>
          <w:lang w:val="sr-Cyrl-BA"/>
        </w:rPr>
        <w:t>свим</w:t>
      </w:r>
      <w:r w:rsidR="00A56E08" w:rsidRPr="00171F00">
        <w:rPr>
          <w:lang w:val="sr-Cyrl-BA"/>
        </w:rPr>
        <w:t>а</w:t>
      </w:r>
      <w:r w:rsidRPr="00171F00">
        <w:rPr>
          <w:lang w:val="sr-Cyrl-BA"/>
        </w:rPr>
        <w:t xml:space="preserve">. </w:t>
      </w:r>
      <w:r w:rsidR="0071360A" w:rsidRPr="00171F00">
        <w:rPr>
          <w:lang w:val="sr-Cyrl-BA"/>
        </w:rPr>
        <w:t>Интр</w:t>
      </w:r>
      <w:r w:rsidR="00A56E08" w:rsidRPr="00171F00">
        <w:rPr>
          <w:lang w:val="sr-Cyrl-BA"/>
        </w:rPr>
        <w:t>а</w:t>
      </w:r>
      <w:r w:rsidR="0071360A" w:rsidRPr="00171F00">
        <w:rPr>
          <w:lang w:val="sr-Cyrl-BA"/>
        </w:rPr>
        <w:t>н</w:t>
      </w:r>
      <w:r w:rsidR="00A56E08" w:rsidRPr="00171F00">
        <w:rPr>
          <w:lang w:val="sr-Cyrl-BA"/>
        </w:rPr>
        <w:t>е</w:t>
      </w:r>
      <w:r w:rsidR="0071360A" w:rsidRPr="00171F00">
        <w:rPr>
          <w:lang w:val="sr-Cyrl-BA"/>
        </w:rPr>
        <w:t>т</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оп</w:t>
      </w:r>
      <w:r w:rsidR="00A56E08" w:rsidRPr="00171F00">
        <w:rPr>
          <w:lang w:val="sr-Cyrl-BA"/>
        </w:rPr>
        <w:t>е</w:t>
      </w:r>
      <w:r w:rsidR="0071360A" w:rsidRPr="00171F00">
        <w:rPr>
          <w:lang w:val="sr-Cyrl-BA"/>
        </w:rPr>
        <w:t>т</w:t>
      </w:r>
      <w:r w:rsidRPr="00171F00">
        <w:rPr>
          <w:lang w:val="sr-Cyrl-BA"/>
        </w:rPr>
        <w:t xml:space="preserve">, </w:t>
      </w:r>
      <w:r w:rsidR="00A56E08" w:rsidRPr="00171F00">
        <w:rPr>
          <w:lang w:val="sr-Cyrl-BA"/>
        </w:rPr>
        <w:t>д</w:t>
      </w:r>
      <w:r w:rsidR="0071360A" w:rsidRPr="00171F00">
        <w:rPr>
          <w:lang w:val="sr-Cyrl-BA"/>
        </w:rPr>
        <w:t>ио</w:t>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рн</w:t>
      </w:r>
      <w:r w:rsidR="00A56E08" w:rsidRPr="00171F00">
        <w:rPr>
          <w:lang w:val="sr-Cyrl-BA"/>
        </w:rPr>
        <w:t>е</w:t>
      </w:r>
      <w:r w:rsidR="0071360A" w:rsidRPr="00171F00">
        <w:rPr>
          <w:lang w:val="sr-Cyrl-BA"/>
        </w:rPr>
        <w:t>т</w:t>
      </w:r>
      <w:r w:rsidR="00A56E08" w:rsidRPr="00171F00">
        <w:rPr>
          <w:lang w:val="sr-Cyrl-BA"/>
        </w:rPr>
        <w:t>а</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прив</w:t>
      </w:r>
      <w:r w:rsidR="00A56E08" w:rsidRPr="00171F00">
        <w:rPr>
          <w:lang w:val="sr-Cyrl-BA"/>
        </w:rPr>
        <w:t>а</w:t>
      </w:r>
      <w:r w:rsidR="0071360A" w:rsidRPr="00171F00">
        <w:rPr>
          <w:lang w:val="sr-Cyrl-BA"/>
        </w:rPr>
        <w:t>тном</w:t>
      </w:r>
      <w:r w:rsidRPr="00171F00">
        <w:rPr>
          <w:lang w:val="sr-Cyrl-BA"/>
        </w:rPr>
        <w:t xml:space="preserve"> </w:t>
      </w:r>
      <w:r w:rsidR="0071360A" w:rsidRPr="00171F00">
        <w:rPr>
          <w:lang w:val="sr-Cyrl-BA"/>
        </w:rPr>
        <w:t>вл</w:t>
      </w:r>
      <w:r w:rsidR="00A56E08" w:rsidRPr="00171F00">
        <w:rPr>
          <w:lang w:val="sr-Cyrl-BA"/>
        </w:rPr>
        <w:t>а</w:t>
      </w:r>
      <w:r w:rsidR="0071360A" w:rsidRPr="00171F00">
        <w:rPr>
          <w:lang w:val="sr-Cyrl-BA"/>
        </w:rPr>
        <w:t>сништву</w:t>
      </w:r>
      <w:r w:rsidRPr="00171F00">
        <w:rPr>
          <w:lang w:val="sr-Cyrl-BA"/>
        </w:rPr>
        <w:t xml:space="preserve"> </w:t>
      </w:r>
      <w:r w:rsidR="0071360A" w:rsidRPr="00171F00">
        <w:rPr>
          <w:lang w:val="sr-Cyrl-BA"/>
        </w:rPr>
        <w:t>н</w:t>
      </w:r>
      <w:r w:rsidR="00A56E08" w:rsidRPr="00171F00">
        <w:rPr>
          <w:lang w:val="sr-Cyrl-BA"/>
        </w:rPr>
        <w:t>е</w:t>
      </w:r>
      <w:r w:rsidR="0071360A" w:rsidRPr="00171F00">
        <w:rPr>
          <w:lang w:val="sr-Cyrl-BA"/>
        </w:rPr>
        <w:t>к</w:t>
      </w:r>
      <w:r w:rsidR="00A56E08" w:rsidRPr="00171F00">
        <w:rPr>
          <w:lang w:val="sr-Cyrl-BA"/>
        </w:rPr>
        <w:t>е</w:t>
      </w:r>
      <w:r w:rsidRPr="00171F00">
        <w:rPr>
          <w:lang w:val="sr-Cyrl-BA"/>
        </w:rPr>
        <w:t xml:space="preserve"> </w:t>
      </w:r>
      <w:r w:rsidR="0071360A" w:rsidRPr="00171F00">
        <w:rPr>
          <w:lang w:val="sr-Cyrl-BA"/>
        </w:rPr>
        <w:t>орг</w:t>
      </w:r>
      <w:r w:rsidR="00A56E08" w:rsidRPr="00171F00">
        <w:rPr>
          <w:lang w:val="sr-Cyrl-BA"/>
        </w:rPr>
        <w:t>а</w:t>
      </w:r>
      <w:r w:rsidR="0071360A" w:rsidRPr="00171F00">
        <w:rPr>
          <w:lang w:val="sr-Cyrl-BA"/>
        </w:rPr>
        <w:t>ни</w:t>
      </w:r>
      <w:r w:rsidR="00171F00">
        <w:rPr>
          <w:lang w:val="sr-Cyrl-BA"/>
        </w:rPr>
        <w:t>з</w:t>
      </w:r>
      <w:r w:rsidR="00A56E08" w:rsidRPr="00171F00">
        <w:rPr>
          <w:lang w:val="sr-Cyrl-BA"/>
        </w:rPr>
        <w:t>ац</w:t>
      </w:r>
      <w:r w:rsidR="0071360A" w:rsidRPr="00171F00">
        <w:rPr>
          <w:lang w:val="sr-Cyrl-BA"/>
        </w:rPr>
        <w:t>иј</w:t>
      </w:r>
      <w:r w:rsidR="00A56E08" w:rsidRPr="00171F00">
        <w:rPr>
          <w:lang w:val="sr-Cyrl-BA"/>
        </w:rPr>
        <w:t>е</w:t>
      </w:r>
      <w:r w:rsidRPr="00171F00">
        <w:rPr>
          <w:lang w:val="sr-Cyrl-BA"/>
        </w:rPr>
        <w:t>/</w:t>
      </w:r>
      <w:r w:rsidR="0071360A" w:rsidRPr="00171F00">
        <w:rPr>
          <w:lang w:val="sr-Cyrl-BA"/>
        </w:rPr>
        <w:t>комп</w:t>
      </w:r>
      <w:r w:rsidR="00A56E08" w:rsidRPr="00171F00">
        <w:rPr>
          <w:lang w:val="sr-Cyrl-BA"/>
        </w:rPr>
        <w:t>а</w:t>
      </w:r>
      <w:r w:rsidR="0071360A" w:rsidRPr="00171F00">
        <w:rPr>
          <w:lang w:val="sr-Cyrl-BA"/>
        </w:rPr>
        <w:t>ниј</w:t>
      </w:r>
      <w:r w:rsidR="00A56E08" w:rsidRPr="00171F00">
        <w:rPr>
          <w:lang w:val="sr-Cyrl-BA"/>
        </w:rPr>
        <w:t>е</w:t>
      </w:r>
      <w:r w:rsidRPr="00171F00">
        <w:rPr>
          <w:lang w:val="sr-Cyrl-BA"/>
        </w:rPr>
        <w:t xml:space="preserve">, </w:t>
      </w:r>
      <w:r w:rsidR="0071360A" w:rsidRPr="00171F00">
        <w:rPr>
          <w:rFonts w:eastAsia="Times New Roman"/>
          <w:shd w:val="clear" w:color="auto" w:fill="FFFFFF"/>
          <w:lang w:val="sr-Cyrl-BA"/>
        </w:rPr>
        <w:t>пов</w:t>
      </w:r>
      <w:r w:rsidR="00A56E08" w:rsidRPr="00171F00">
        <w:rPr>
          <w:rFonts w:eastAsia="Times New Roman"/>
          <w:shd w:val="clear" w:color="auto" w:fill="FFFFFF"/>
          <w:lang w:val="sr-Cyrl-BA"/>
        </w:rPr>
        <w:t>е</w:t>
      </w:r>
      <w:r w:rsidR="00171F00">
        <w:rPr>
          <w:rFonts w:eastAsia="Times New Roman"/>
          <w:shd w:val="clear" w:color="auto" w:fill="FFFFFF"/>
          <w:lang w:val="sr-Cyrl-BA"/>
        </w:rPr>
        <w:t>з</w:t>
      </w:r>
      <w:r w:rsidR="0071360A" w:rsidRPr="00171F00">
        <w:rPr>
          <w:rFonts w:eastAsia="Times New Roman"/>
          <w:shd w:val="clear" w:color="auto" w:fill="FFFFFF"/>
          <w:lang w:val="sr-Cyrl-BA"/>
        </w:rPr>
        <w:t>уј</w:t>
      </w:r>
      <w:r w:rsidR="00A56E08" w:rsidRPr="00171F00">
        <w:rPr>
          <w:rFonts w:eastAsia="Times New Roman"/>
          <w:shd w:val="clear" w:color="auto" w:fill="FFFFFF"/>
          <w:lang w:val="sr-Cyrl-BA"/>
        </w:rPr>
        <w:t>е</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св</w:t>
      </w:r>
      <w:r w:rsidR="00A56E08" w:rsidRPr="00171F00">
        <w:rPr>
          <w:rFonts w:eastAsia="Times New Roman"/>
          <w:shd w:val="clear" w:color="auto" w:fill="FFFFFF"/>
          <w:lang w:val="sr-Cyrl-BA"/>
        </w:rPr>
        <w:t>е</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р</w:t>
      </w:r>
      <w:r w:rsidR="00A56E08" w:rsidRPr="00171F00">
        <w:rPr>
          <w:rFonts w:eastAsia="Times New Roman"/>
          <w:shd w:val="clear" w:color="auto" w:fill="FFFFFF"/>
          <w:lang w:val="sr-Cyrl-BA"/>
        </w:rPr>
        <w:t>ач</w:t>
      </w:r>
      <w:r w:rsidR="0071360A" w:rsidRPr="00171F00">
        <w:rPr>
          <w:rFonts w:eastAsia="Times New Roman"/>
          <w:shd w:val="clear" w:color="auto" w:fill="FFFFFF"/>
          <w:lang w:val="sr-Cyrl-BA"/>
        </w:rPr>
        <w:t>ун</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р</w:t>
      </w:r>
      <w:r w:rsidR="00A56E08" w:rsidRPr="00171F00">
        <w:rPr>
          <w:rFonts w:eastAsia="Times New Roman"/>
          <w:shd w:val="clear" w:color="auto" w:fill="FFFFFF"/>
          <w:lang w:val="sr-Cyrl-BA"/>
        </w:rPr>
        <w:t>е</w:t>
      </w:r>
      <w:r w:rsidR="000F446A"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и</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омогу</w:t>
      </w:r>
      <w:r w:rsidR="00A56E08" w:rsidRPr="00171F00">
        <w:rPr>
          <w:rFonts w:eastAsia="Times New Roman"/>
          <w:shd w:val="clear" w:color="auto" w:fill="FFFFFF"/>
          <w:lang w:val="sr-Cyrl-BA"/>
        </w:rPr>
        <w:t>ћа</w:t>
      </w:r>
      <w:r w:rsidR="0071360A" w:rsidRPr="00171F00">
        <w:rPr>
          <w:rFonts w:eastAsia="Times New Roman"/>
          <w:shd w:val="clear" w:color="auto" w:fill="FFFFFF"/>
          <w:lang w:val="sr-Cyrl-BA"/>
        </w:rPr>
        <w:t>в</w:t>
      </w:r>
      <w:r w:rsidR="00A56E08" w:rsidRPr="00171F00">
        <w:rPr>
          <w:rFonts w:eastAsia="Times New Roman"/>
          <w:shd w:val="clear" w:color="auto" w:fill="FFFFFF"/>
          <w:lang w:val="sr-Cyrl-BA"/>
        </w:rPr>
        <w:t>а</w:t>
      </w:r>
      <w:r w:rsidR="000F446A"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приступ</w:t>
      </w:r>
      <w:r w:rsidRPr="00171F00">
        <w:rPr>
          <w:rFonts w:eastAsia="Times New Roman"/>
          <w:shd w:val="clear" w:color="auto" w:fill="FFFFFF"/>
          <w:lang w:val="sr-Cyrl-BA"/>
        </w:rPr>
        <w:t xml:space="preserve"> </w:t>
      </w:r>
      <w:r w:rsidR="00A56E08" w:rsidRPr="00171F00">
        <w:rPr>
          <w:rFonts w:eastAsia="Times New Roman"/>
          <w:shd w:val="clear" w:color="auto" w:fill="FFFFFF"/>
          <w:lang w:val="sr-Cyrl-BA"/>
        </w:rPr>
        <w:t>да</w:t>
      </w:r>
      <w:r w:rsidR="0071360A" w:rsidRPr="00171F00">
        <w:rPr>
          <w:rFonts w:eastAsia="Times New Roman"/>
          <w:shd w:val="clear" w:color="auto" w:fill="FFFFFF"/>
          <w:lang w:val="sr-Cyrl-BA"/>
        </w:rPr>
        <w:t>тот</w:t>
      </w:r>
      <w:r w:rsidR="00A56E08" w:rsidRPr="00171F00">
        <w:rPr>
          <w:rFonts w:eastAsia="Times New Roman"/>
          <w:shd w:val="clear" w:color="auto" w:fill="FFFFFF"/>
          <w:lang w:val="sr-Cyrl-BA"/>
        </w:rPr>
        <w:t>е</w:t>
      </w:r>
      <w:r w:rsidR="0071360A" w:rsidRPr="00171F00">
        <w:rPr>
          <w:rFonts w:eastAsia="Times New Roman"/>
          <w:shd w:val="clear" w:color="auto" w:fill="FFFFFF"/>
          <w:lang w:val="sr-Cyrl-BA"/>
        </w:rPr>
        <w:t>к</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м</w:t>
      </w:r>
      <w:r w:rsidR="00A56E08" w:rsidRPr="00171F00">
        <w:rPr>
          <w:rFonts w:eastAsia="Times New Roman"/>
          <w:shd w:val="clear" w:color="auto" w:fill="FFFFFF"/>
          <w:lang w:val="sr-Cyrl-BA"/>
        </w:rPr>
        <w:t>а</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и</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м</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п</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м</w:t>
      </w:r>
      <w:r w:rsidR="00A56E08" w:rsidRPr="00171F00">
        <w:rPr>
          <w:rFonts w:eastAsia="Times New Roman"/>
          <w:shd w:val="clear" w:color="auto" w:fill="FFFFFF"/>
          <w:lang w:val="sr-Cyrl-BA"/>
        </w:rPr>
        <w:t>а</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унут</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р</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мр</w:t>
      </w:r>
      <w:r w:rsidR="00A56E08" w:rsidRPr="00171F00">
        <w:rPr>
          <w:rFonts w:eastAsia="Times New Roman"/>
          <w:shd w:val="clear" w:color="auto" w:fill="FFFFFF"/>
          <w:lang w:val="sr-Cyrl-BA"/>
        </w:rPr>
        <w:t>е</w:t>
      </w:r>
      <w:r w:rsidR="00171F00">
        <w:rPr>
          <w:rFonts w:eastAsia="Times New Roman"/>
          <w:shd w:val="clear" w:color="auto" w:fill="FFFFFF"/>
          <w:lang w:val="sr-Cyrl-BA"/>
        </w:rPr>
        <w:t>ж</w:t>
      </w:r>
      <w:r w:rsidR="00A56E08" w:rsidRPr="00171F00">
        <w:rPr>
          <w:rFonts w:eastAsia="Times New Roman"/>
          <w:shd w:val="clear" w:color="auto" w:fill="FFFFFF"/>
          <w:lang w:val="sr-Cyrl-BA"/>
        </w:rPr>
        <w:t>е</w:t>
      </w:r>
      <w:r w:rsidRPr="00171F00">
        <w:rPr>
          <w:rFonts w:eastAsia="Times New Roman"/>
          <w:shd w:val="clear" w:color="auto" w:fill="FFFFFF"/>
          <w:lang w:val="sr-Cyrl-BA"/>
        </w:rPr>
        <w:t xml:space="preserve">, </w:t>
      </w:r>
      <w:r w:rsidR="00A56E08" w:rsidRPr="00171F00">
        <w:rPr>
          <w:rFonts w:eastAsia="Times New Roman"/>
          <w:shd w:val="clear" w:color="auto" w:fill="FFFFFF"/>
          <w:lang w:val="sr-Cyrl-BA"/>
        </w:rPr>
        <w:t>а</w:t>
      </w:r>
      <w:r w:rsidRPr="00171F00">
        <w:rPr>
          <w:rFonts w:eastAsia="Times New Roman"/>
          <w:shd w:val="clear" w:color="auto" w:fill="FFFFFF"/>
          <w:lang w:val="sr-Cyrl-BA"/>
        </w:rPr>
        <w:t xml:space="preserve"> </w:t>
      </w:r>
      <w:r w:rsidR="00A56E08" w:rsidRPr="00171F00">
        <w:rPr>
          <w:rFonts w:eastAsia="Times New Roman"/>
          <w:shd w:val="clear" w:color="auto" w:fill="FFFFFF"/>
          <w:lang w:val="sr-Cyrl-BA"/>
        </w:rPr>
        <w:t>д</w:t>
      </w:r>
      <w:r w:rsidR="0071360A" w:rsidRPr="00171F00">
        <w:rPr>
          <w:rFonts w:eastAsia="Times New Roman"/>
          <w:shd w:val="clear" w:color="auto" w:fill="FFFFFF"/>
          <w:lang w:val="sr-Cyrl-BA"/>
        </w:rPr>
        <w:t>о</w:t>
      </w:r>
      <w:r w:rsidR="00171F00">
        <w:rPr>
          <w:rFonts w:eastAsia="Times New Roman"/>
          <w:shd w:val="clear" w:color="auto" w:fill="FFFFFF"/>
          <w:lang w:val="sr-Cyrl-BA"/>
        </w:rPr>
        <w:t>з</w:t>
      </w:r>
      <w:r w:rsidR="0071360A" w:rsidRPr="00171F00">
        <w:rPr>
          <w:rFonts w:eastAsia="Times New Roman"/>
          <w:shd w:val="clear" w:color="auto" w:fill="FFFFFF"/>
          <w:lang w:val="sr-Cyrl-BA"/>
        </w:rPr>
        <w:t>волу</w:t>
      </w:r>
      <w:r w:rsidRPr="00171F00">
        <w:rPr>
          <w:rFonts w:eastAsia="Times New Roman"/>
          <w:shd w:val="clear" w:color="auto" w:fill="FFFFFF"/>
          <w:lang w:val="sr-Cyrl-BA"/>
        </w:rPr>
        <w:t xml:space="preserve"> </w:t>
      </w:r>
      <w:r w:rsidR="00171F00">
        <w:rPr>
          <w:rFonts w:eastAsia="Times New Roman"/>
          <w:shd w:val="clear" w:color="auto" w:fill="FFFFFF"/>
          <w:lang w:val="sr-Cyrl-BA"/>
        </w:rPr>
        <w:t>з</w:t>
      </w:r>
      <w:r w:rsidR="00A56E08" w:rsidRPr="00171F00">
        <w:rPr>
          <w:rFonts w:eastAsia="Times New Roman"/>
          <w:shd w:val="clear" w:color="auto" w:fill="FFFFFF"/>
          <w:lang w:val="sr-Cyrl-BA"/>
        </w:rPr>
        <w:t>а</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приступ</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мр</w:t>
      </w:r>
      <w:r w:rsidR="00A56E08" w:rsidRPr="00171F00">
        <w:rPr>
          <w:rFonts w:eastAsia="Times New Roman"/>
          <w:shd w:val="clear" w:color="auto" w:fill="FFFFFF"/>
          <w:lang w:val="sr-Cyrl-BA"/>
        </w:rPr>
        <w:t>е</w:t>
      </w:r>
      <w:r w:rsidR="00171F00">
        <w:rPr>
          <w:rFonts w:eastAsia="Times New Roman"/>
          <w:shd w:val="clear" w:color="auto" w:fill="FFFFFF"/>
          <w:lang w:val="sr-Cyrl-BA"/>
        </w:rPr>
        <w:t>ж</w:t>
      </w:r>
      <w:r w:rsidR="0071360A" w:rsidRPr="00171F00">
        <w:rPr>
          <w:rFonts w:eastAsia="Times New Roman"/>
          <w:shd w:val="clear" w:color="auto" w:fill="FFFFFF"/>
          <w:lang w:val="sr-Cyrl-BA"/>
        </w:rPr>
        <w:t>и</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им</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ју</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с</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мо</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овл</w:t>
      </w:r>
      <w:r w:rsidR="00A56E08" w:rsidRPr="00171F00">
        <w:rPr>
          <w:rFonts w:eastAsia="Times New Roman"/>
          <w:shd w:val="clear" w:color="auto" w:fill="FFFFFF"/>
          <w:lang w:val="sr-Cyrl-BA"/>
        </w:rPr>
        <w:t>а</w:t>
      </w:r>
      <w:r w:rsidR="0071360A" w:rsidRPr="00171F00">
        <w:rPr>
          <w:rFonts w:eastAsia="Times New Roman"/>
          <w:shd w:val="clear" w:color="auto" w:fill="FFFFFF"/>
          <w:lang w:val="sr-Cyrl-BA"/>
        </w:rPr>
        <w:t>шт</w:t>
      </w:r>
      <w:r w:rsidR="00A56E08" w:rsidRPr="00171F00">
        <w:rPr>
          <w:rFonts w:eastAsia="Times New Roman"/>
          <w:shd w:val="clear" w:color="auto" w:fill="FFFFFF"/>
          <w:lang w:val="sr-Cyrl-BA"/>
        </w:rPr>
        <w:t>е</w:t>
      </w:r>
      <w:r w:rsidR="0071360A" w:rsidRPr="00171F00">
        <w:rPr>
          <w:rFonts w:eastAsia="Times New Roman"/>
          <w:shd w:val="clear" w:color="auto" w:fill="FFFFFF"/>
          <w:lang w:val="sr-Cyrl-BA"/>
        </w:rPr>
        <w:t>ни</w:t>
      </w:r>
      <w:r w:rsidRPr="00171F00">
        <w:rPr>
          <w:rFonts w:eastAsia="Times New Roman"/>
          <w:shd w:val="clear" w:color="auto" w:fill="FFFFFF"/>
          <w:lang w:val="sr-Cyrl-BA"/>
        </w:rPr>
        <w:t xml:space="preserve"> </w:t>
      </w:r>
      <w:r w:rsidR="0071360A" w:rsidRPr="00171F00">
        <w:rPr>
          <w:rFonts w:eastAsia="Times New Roman"/>
          <w:shd w:val="clear" w:color="auto" w:fill="FFFFFF"/>
          <w:lang w:val="sr-Cyrl-BA"/>
        </w:rPr>
        <w:t>корисни</w:t>
      </w:r>
      <w:r w:rsidR="00A56E08" w:rsidRPr="00171F00">
        <w:rPr>
          <w:rFonts w:eastAsia="Times New Roman"/>
          <w:shd w:val="clear" w:color="auto" w:fill="FFFFFF"/>
          <w:lang w:val="sr-Cyrl-BA"/>
        </w:rPr>
        <w:t>ц</w:t>
      </w:r>
      <w:r w:rsidR="0071360A" w:rsidRPr="00171F00">
        <w:rPr>
          <w:rFonts w:eastAsia="Times New Roman"/>
          <w:shd w:val="clear" w:color="auto" w:fill="FFFFFF"/>
          <w:lang w:val="sr-Cyrl-BA"/>
        </w:rPr>
        <w:t>и</w:t>
      </w:r>
      <w:r w:rsidRPr="00171F00">
        <w:rPr>
          <w:rFonts w:eastAsia="Times New Roman"/>
          <w:shd w:val="clear" w:color="auto" w:fill="FFFFFF"/>
          <w:lang w:val="sr-Cyrl-BA"/>
        </w:rPr>
        <w:t>.</w:t>
      </w:r>
      <w:r w:rsidRPr="00171F00">
        <w:rPr>
          <w:rFonts w:ascii="Helvetica" w:eastAsia="Times New Roman" w:hAnsi="Helvetica" w:cs="Times New Roman"/>
          <w:sz w:val="24"/>
          <w:szCs w:val="24"/>
          <w:shd w:val="clear" w:color="auto" w:fill="FFFFFF"/>
          <w:lang w:val="sr-Cyrl-BA"/>
        </w:rPr>
        <w:t xml:space="preserve"> </w:t>
      </w:r>
    </w:p>
  </w:footnote>
  <w:footnote w:id="5">
    <w:p w14:paraId="7C0A16BD" w14:textId="23A5B629" w:rsidR="00F33370" w:rsidRPr="00171F00" w:rsidRDefault="00F33370" w:rsidP="00B71F95">
      <w:pPr>
        <w:pStyle w:val="FootnoteText"/>
        <w:rPr>
          <w:lang w:val="sr-Cyrl-BA"/>
        </w:rPr>
      </w:pPr>
      <w:r w:rsidRPr="00171F00">
        <w:rPr>
          <w:rStyle w:val="FootnoteReference"/>
          <w:color w:val="000000" w:themeColor="text1"/>
          <w:lang w:val="sr-Cyrl-BA"/>
        </w:rPr>
        <w:footnoteRef/>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w:t>
      </w:r>
      <w:r w:rsidR="00A56E08" w:rsidRPr="00171F00">
        <w:rPr>
          <w:lang w:val="sr-Cyrl-BA"/>
        </w:rPr>
        <w:t>а</w:t>
      </w:r>
      <w:r w:rsidR="0071360A" w:rsidRPr="00171F00">
        <w:rPr>
          <w:lang w:val="sr-Cyrl-BA"/>
        </w:rPr>
        <w:t>ктивн</w:t>
      </w:r>
      <w:r w:rsidR="00A56E08" w:rsidRPr="00171F00">
        <w:rPr>
          <w:lang w:val="sr-Cyrl-BA"/>
        </w:rPr>
        <w:t>а</w:t>
      </w:r>
      <w:r w:rsidRPr="00171F00">
        <w:rPr>
          <w:lang w:val="sr-Cyrl-BA"/>
        </w:rPr>
        <w:t xml:space="preserve"> </w:t>
      </w:r>
      <w:r w:rsidR="0071360A" w:rsidRPr="00171F00">
        <w:rPr>
          <w:lang w:val="sr-Cyrl-BA"/>
        </w:rPr>
        <w:t>ТВ</w:t>
      </w:r>
      <w:r w:rsidRPr="00171F00">
        <w:rPr>
          <w:lang w:val="sr-Cyrl-BA"/>
        </w:rPr>
        <w:t xml:space="preserve"> </w:t>
      </w:r>
      <w:r w:rsidR="0071360A" w:rsidRPr="00171F00">
        <w:rPr>
          <w:lang w:val="sr-Cyrl-BA"/>
        </w:rPr>
        <w:t>пр</w:t>
      </w:r>
      <w:r w:rsidR="00A56E08" w:rsidRPr="00171F00">
        <w:rPr>
          <w:lang w:val="sr-Cyrl-BA"/>
        </w:rPr>
        <w:t>ед</w:t>
      </w:r>
      <w:r w:rsidR="0071360A" w:rsidRPr="00171F00">
        <w:rPr>
          <w:lang w:val="sr-Cyrl-BA"/>
        </w:rPr>
        <w:t>ств</w:t>
      </w:r>
      <w:r w:rsidR="00A56E08" w:rsidRPr="00171F00">
        <w:rPr>
          <w:lang w:val="sr-Cyrl-BA"/>
        </w:rPr>
        <w:t>а</w:t>
      </w:r>
      <w:r w:rsidR="0071360A" w:rsidRPr="00171F00">
        <w:rPr>
          <w:lang w:val="sr-Cyrl-BA"/>
        </w:rPr>
        <w:t>љ</w:t>
      </w:r>
      <w:r w:rsidR="00A56E08" w:rsidRPr="00171F00">
        <w:rPr>
          <w:lang w:val="sr-Cyrl-BA"/>
        </w:rPr>
        <w:t>а</w:t>
      </w:r>
      <w:r w:rsidRPr="00171F00">
        <w:rPr>
          <w:lang w:val="sr-Cyrl-BA"/>
        </w:rPr>
        <w:t xml:space="preserve"> </w:t>
      </w:r>
      <w:r w:rsidR="0071360A" w:rsidRPr="00171F00">
        <w:rPr>
          <w:lang w:val="sr-Cyrl-BA"/>
        </w:rPr>
        <w:t>свој</w:t>
      </w:r>
      <w:r w:rsidR="00A56E08" w:rsidRPr="00171F00">
        <w:rPr>
          <w:lang w:val="sr-Cyrl-BA"/>
        </w:rPr>
        <w:t>е</w:t>
      </w:r>
      <w:r w:rsidR="0071360A" w:rsidRPr="00171F00">
        <w:rPr>
          <w:lang w:val="sr-Cyrl-BA"/>
        </w:rPr>
        <w:t>врсну</w:t>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гр</w:t>
      </w:r>
      <w:r w:rsidR="00A56E08" w:rsidRPr="00171F00">
        <w:rPr>
          <w:lang w:val="sr-Cyrl-BA"/>
        </w:rPr>
        <w:t>ац</w:t>
      </w:r>
      <w:r w:rsidR="0071360A" w:rsidRPr="00171F00">
        <w:rPr>
          <w:lang w:val="sr-Cyrl-BA"/>
        </w:rPr>
        <w:t>ију</w:t>
      </w:r>
      <w:r w:rsidRPr="00171F00">
        <w:rPr>
          <w:lang w:val="sr-Cyrl-BA"/>
        </w:rPr>
        <w:t xml:space="preserve"> </w:t>
      </w:r>
      <w:r w:rsidR="0071360A" w:rsidRPr="00171F00">
        <w:rPr>
          <w:lang w:val="sr-Cyrl-BA"/>
        </w:rPr>
        <w:t>тр</w:t>
      </w:r>
      <w:r w:rsidR="00A56E08" w:rsidRPr="00171F00">
        <w:rPr>
          <w:lang w:val="sr-Cyrl-BA"/>
        </w:rPr>
        <w:t>ад</w:t>
      </w:r>
      <w:r w:rsidR="0071360A" w:rsidRPr="00171F00">
        <w:rPr>
          <w:lang w:val="sr-Cyrl-BA"/>
        </w:rPr>
        <w:t>и</w:t>
      </w:r>
      <w:r w:rsidR="00A56E08" w:rsidRPr="00171F00">
        <w:rPr>
          <w:lang w:val="sr-Cyrl-BA"/>
        </w:rPr>
        <w:t>ц</w:t>
      </w:r>
      <w:r w:rsidR="0071360A" w:rsidRPr="00171F00">
        <w:rPr>
          <w:lang w:val="sr-Cyrl-BA"/>
        </w:rPr>
        <w:t>ион</w:t>
      </w:r>
      <w:r w:rsidR="00A56E08" w:rsidRPr="00171F00">
        <w:rPr>
          <w:lang w:val="sr-Cyrl-BA"/>
        </w:rPr>
        <w:t>а</w:t>
      </w:r>
      <w:r w:rsidR="0071360A" w:rsidRPr="00171F00">
        <w:rPr>
          <w:lang w:val="sr-Cyrl-BA"/>
        </w:rPr>
        <w:t>лн</w:t>
      </w:r>
      <w:r w:rsidR="00A56E08" w:rsidRPr="00171F00">
        <w:rPr>
          <w:lang w:val="sr-Cyrl-BA"/>
        </w:rPr>
        <w:t>е</w:t>
      </w:r>
      <w:r w:rsidRPr="00171F00">
        <w:rPr>
          <w:lang w:val="sr-Cyrl-BA"/>
        </w:rPr>
        <w:t xml:space="preserve"> </w:t>
      </w:r>
      <w:r w:rsidR="0071360A" w:rsidRPr="00171F00">
        <w:rPr>
          <w:lang w:val="sr-Cyrl-BA"/>
        </w:rPr>
        <w:t>ТВ</w:t>
      </w:r>
      <w:r w:rsidRPr="00171F00">
        <w:rPr>
          <w:lang w:val="sr-Cyrl-BA"/>
        </w:rPr>
        <w:t xml:space="preserve"> </w:t>
      </w:r>
      <w:r w:rsidR="0071360A" w:rsidRPr="00171F00">
        <w:rPr>
          <w:lang w:val="sr-Cyrl-BA"/>
        </w:rPr>
        <w:t>т</w:t>
      </w:r>
      <w:r w:rsidR="00A56E08" w:rsidRPr="00171F00">
        <w:rPr>
          <w:lang w:val="sr-Cyrl-BA"/>
        </w:rPr>
        <w:t>е</w:t>
      </w:r>
      <w:r w:rsidR="0071360A" w:rsidRPr="00171F00">
        <w:rPr>
          <w:lang w:val="sr-Cyrl-BA"/>
        </w:rPr>
        <w:t>хнологиј</w:t>
      </w:r>
      <w:r w:rsidR="00A56E08" w:rsidRPr="00171F00">
        <w:rPr>
          <w:lang w:val="sr-Cyrl-BA"/>
        </w:rPr>
        <w:t>е</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по</w:t>
      </w:r>
      <w:r w:rsidR="00A56E08" w:rsidRPr="00171F00">
        <w:rPr>
          <w:lang w:val="sr-Cyrl-BA"/>
        </w:rPr>
        <w:t>да</w:t>
      </w:r>
      <w:r w:rsidR="0071360A" w:rsidRPr="00171F00">
        <w:rPr>
          <w:lang w:val="sr-Cyrl-BA"/>
        </w:rPr>
        <w:t>тковних</w:t>
      </w:r>
      <w:r w:rsidRPr="00171F00">
        <w:rPr>
          <w:lang w:val="sr-Cyrl-BA"/>
        </w:rPr>
        <w:t xml:space="preserve"> </w:t>
      </w:r>
      <w:r w:rsidR="0071360A" w:rsidRPr="00171F00">
        <w:rPr>
          <w:lang w:val="sr-Cyrl-BA"/>
        </w:rPr>
        <w:t>услуг</w:t>
      </w:r>
      <w:r w:rsidR="00A56E08" w:rsidRPr="00171F00">
        <w:rPr>
          <w:lang w:val="sr-Cyrl-BA"/>
        </w:rPr>
        <w:t>а</w:t>
      </w:r>
      <w:r w:rsidRPr="00171F00">
        <w:rPr>
          <w:lang w:val="sr-Cyrl-BA"/>
        </w:rPr>
        <w:t xml:space="preserve">. </w:t>
      </w:r>
      <w:r w:rsidR="0071360A" w:rsidRPr="00171F00">
        <w:rPr>
          <w:lang w:val="sr-Cyrl-BA"/>
        </w:rPr>
        <w:t>То</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A56E08" w:rsidRPr="00171F00">
        <w:rPr>
          <w:lang w:val="sr-Cyrl-BA"/>
        </w:rPr>
        <w:t>д</w:t>
      </w:r>
      <w:r w:rsidR="0071360A" w:rsidRPr="00171F00">
        <w:rPr>
          <w:lang w:val="sr-Cyrl-BA"/>
        </w:rPr>
        <w:t>восмј</w:t>
      </w:r>
      <w:r w:rsidR="00A56E08" w:rsidRPr="00171F00">
        <w:rPr>
          <w:lang w:val="sr-Cyrl-BA"/>
        </w:rPr>
        <w:t>е</w:t>
      </w:r>
      <w:r w:rsidR="0071360A" w:rsidRPr="00171F00">
        <w:rPr>
          <w:lang w:val="sr-Cyrl-BA"/>
        </w:rPr>
        <w:t>рни</w:t>
      </w:r>
      <w:r w:rsidRPr="00171F00">
        <w:rPr>
          <w:lang w:val="sr-Cyrl-BA"/>
        </w:rPr>
        <w:t xml:space="preserve"> </w:t>
      </w:r>
      <w:r w:rsidR="0071360A" w:rsidRPr="00171F00">
        <w:rPr>
          <w:lang w:val="sr-Cyrl-BA"/>
        </w:rPr>
        <w:t>сист</w:t>
      </w:r>
      <w:r w:rsidR="00A56E08" w:rsidRPr="00171F00">
        <w:rPr>
          <w:lang w:val="sr-Cyrl-BA"/>
        </w:rPr>
        <w:t>е</w:t>
      </w:r>
      <w:r w:rsidR="0071360A" w:rsidRPr="00171F00">
        <w:rPr>
          <w:lang w:val="sr-Cyrl-BA"/>
        </w:rPr>
        <w:t>м</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корисни</w:t>
      </w:r>
      <w:r w:rsidR="00A56E08" w:rsidRPr="00171F00">
        <w:rPr>
          <w:lang w:val="sr-Cyrl-BA"/>
        </w:rPr>
        <w:t>ц</w:t>
      </w:r>
      <w:r w:rsidR="0071360A" w:rsidRPr="00171F00">
        <w:rPr>
          <w:lang w:val="sr-Cyrl-BA"/>
        </w:rPr>
        <w:t>им</w:t>
      </w:r>
      <w:r w:rsidR="00A56E08" w:rsidRPr="00171F00">
        <w:rPr>
          <w:lang w:val="sr-Cyrl-BA"/>
        </w:rPr>
        <w:t>а</w:t>
      </w:r>
      <w:r w:rsidRPr="00171F00">
        <w:rPr>
          <w:lang w:val="sr-Cyrl-BA"/>
        </w:rPr>
        <w:t xml:space="preserve"> </w:t>
      </w:r>
      <w:r w:rsidR="0071360A" w:rsidRPr="00171F00">
        <w:rPr>
          <w:lang w:val="sr-Cyrl-BA"/>
        </w:rPr>
        <w:t>омогу</w:t>
      </w:r>
      <w:r w:rsidR="00A56E08" w:rsidRPr="00171F00">
        <w:rPr>
          <w:lang w:val="sr-Cyrl-BA"/>
        </w:rPr>
        <w:t>ћа</w:t>
      </w:r>
      <w:r w:rsidR="0071360A" w:rsidRPr="00171F00">
        <w:rPr>
          <w:lang w:val="sr-Cyrl-BA"/>
        </w:rPr>
        <w:t>в</w:t>
      </w:r>
      <w:r w:rsidR="00A56E08" w:rsidRPr="00171F00">
        <w:rPr>
          <w:lang w:val="sr-Cyrl-BA"/>
        </w:rPr>
        <w:t>а</w:t>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w:t>
      </w:r>
      <w:r w:rsidR="00A56E08" w:rsidRPr="00171F00">
        <w:rPr>
          <w:lang w:val="sr-Cyrl-BA"/>
        </w:rPr>
        <w:t>а</w:t>
      </w:r>
      <w:r w:rsidR="0071360A" w:rsidRPr="00171F00">
        <w:rPr>
          <w:lang w:val="sr-Cyrl-BA"/>
        </w:rPr>
        <w:t>к</w:t>
      </w:r>
      <w:r w:rsidR="00A56E08" w:rsidRPr="00171F00">
        <w:rPr>
          <w:lang w:val="sr-Cyrl-BA"/>
        </w:rPr>
        <w:t>ц</w:t>
      </w:r>
      <w:r w:rsidR="0071360A" w:rsidRPr="00171F00">
        <w:rPr>
          <w:lang w:val="sr-Cyrl-BA"/>
        </w:rPr>
        <w:t>ију</w:t>
      </w:r>
      <w:r w:rsidRPr="00171F00">
        <w:rPr>
          <w:lang w:val="sr-Cyrl-BA"/>
        </w:rPr>
        <w:t xml:space="preserve"> </w:t>
      </w:r>
      <w:r w:rsidR="0071360A" w:rsidRPr="00171F00">
        <w:rPr>
          <w:lang w:val="sr-Cyrl-BA"/>
        </w:rPr>
        <w:t>пут</w:t>
      </w:r>
      <w:r w:rsidR="00A56E08" w:rsidRPr="00171F00">
        <w:rPr>
          <w:lang w:val="sr-Cyrl-BA"/>
        </w:rPr>
        <w:t>е</w:t>
      </w:r>
      <w:r w:rsidR="0071360A" w:rsidRPr="00171F00">
        <w:rPr>
          <w:lang w:val="sr-Cyrl-BA"/>
        </w:rPr>
        <w:t>м</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р</w:t>
      </w:r>
      <w:r w:rsidR="00A56E08" w:rsidRPr="00171F00">
        <w:rPr>
          <w:lang w:val="sr-Cyrl-BA"/>
        </w:rPr>
        <w:t>едб</w:t>
      </w:r>
      <w:r w:rsidR="0071360A" w:rsidRPr="00171F00">
        <w:rPr>
          <w:lang w:val="sr-Cyrl-BA"/>
        </w:rPr>
        <w:t>и</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повр</w:t>
      </w:r>
      <w:r w:rsidR="00A56E08" w:rsidRPr="00171F00">
        <w:rPr>
          <w:lang w:val="sr-Cyrl-BA"/>
        </w:rPr>
        <w:t>а</w:t>
      </w:r>
      <w:r w:rsidR="0071360A" w:rsidRPr="00171F00">
        <w:rPr>
          <w:lang w:val="sr-Cyrl-BA"/>
        </w:rPr>
        <w:t>тних</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w:t>
      </w:r>
      <w:r w:rsidR="00A56E08" w:rsidRPr="00171F00">
        <w:rPr>
          <w:lang w:val="sr-Cyrl-BA"/>
        </w:rPr>
        <w:t>а</w:t>
      </w:r>
      <w:r w:rsidRPr="00171F00">
        <w:rPr>
          <w:lang w:val="sr-Cyrl-BA"/>
        </w:rPr>
        <w:t xml:space="preserve">. </w:t>
      </w:r>
      <w:r w:rsidR="0071360A" w:rsidRPr="00171F00">
        <w:rPr>
          <w:lang w:val="sr-Cyrl-BA"/>
        </w:rPr>
        <w:t>Он</w:t>
      </w:r>
      <w:r w:rsidR="00A56E08" w:rsidRPr="00171F00">
        <w:rPr>
          <w:lang w:val="sr-Cyrl-BA"/>
        </w:rPr>
        <w:t>а</w:t>
      </w:r>
      <w:r w:rsidRPr="00171F00">
        <w:rPr>
          <w:lang w:val="sr-Cyrl-BA"/>
        </w:rPr>
        <w:t xml:space="preserve"> </w:t>
      </w:r>
      <w:r w:rsidR="0071360A" w:rsidRPr="00171F00">
        <w:rPr>
          <w:lang w:val="sr-Cyrl-BA"/>
        </w:rPr>
        <w:t>миј</w:t>
      </w:r>
      <w:r w:rsidR="00A56E08" w:rsidRPr="00171F00">
        <w:rPr>
          <w:lang w:val="sr-Cyrl-BA"/>
        </w:rPr>
        <w:t>е</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ач</w:t>
      </w:r>
      <w:r w:rsidR="0071360A" w:rsidRPr="00171F00">
        <w:rPr>
          <w:lang w:val="sr-Cyrl-BA"/>
        </w:rPr>
        <w:t>ин</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гл</w:t>
      </w:r>
      <w:r w:rsidR="00A56E08" w:rsidRPr="00171F00">
        <w:rPr>
          <w:lang w:val="sr-Cyrl-BA"/>
        </w:rPr>
        <w:t>еда</w:t>
      </w:r>
      <w:r w:rsidR="0071360A" w:rsidRPr="00171F00">
        <w:rPr>
          <w:lang w:val="sr-Cyrl-BA"/>
        </w:rPr>
        <w:t>т</w:t>
      </w:r>
      <w:r w:rsidR="00A56E08" w:rsidRPr="00171F00">
        <w:rPr>
          <w:lang w:val="sr-Cyrl-BA"/>
        </w:rPr>
        <w:t>е</w:t>
      </w:r>
      <w:r w:rsidR="0071360A" w:rsidRPr="00171F00">
        <w:rPr>
          <w:lang w:val="sr-Cyrl-BA"/>
        </w:rPr>
        <w:t>љи</w:t>
      </w:r>
      <w:r w:rsidRPr="00171F00">
        <w:rPr>
          <w:lang w:val="sr-Cyrl-BA"/>
        </w:rPr>
        <w:t xml:space="preserve"> «</w:t>
      </w:r>
      <w:r w:rsidR="0071360A" w:rsidRPr="00171F00">
        <w:rPr>
          <w:lang w:val="sr-Cyrl-BA"/>
        </w:rPr>
        <w:t>кон</w:t>
      </w:r>
      <w:r w:rsidR="00171F00">
        <w:rPr>
          <w:lang w:val="sr-Cyrl-BA"/>
        </w:rPr>
        <w:t>з</w:t>
      </w:r>
      <w:r w:rsidR="0071360A" w:rsidRPr="00171F00">
        <w:rPr>
          <w:lang w:val="sr-Cyrl-BA"/>
        </w:rPr>
        <w:t>умир</w:t>
      </w:r>
      <w:r w:rsidR="00A56E08" w:rsidRPr="00171F00">
        <w:rPr>
          <w:lang w:val="sr-Cyrl-BA"/>
        </w:rPr>
        <w:t>а</w:t>
      </w:r>
      <w:r w:rsidR="0071360A" w:rsidRPr="00171F00">
        <w:rPr>
          <w:lang w:val="sr-Cyrl-BA"/>
        </w:rPr>
        <w:t>ју</w:t>
      </w:r>
      <w:r w:rsidRPr="00171F00">
        <w:rPr>
          <w:lang w:val="sr-Cyrl-BA"/>
        </w:rPr>
        <w:t xml:space="preserve">» </w:t>
      </w:r>
      <w:r w:rsidR="0071360A" w:rsidRPr="00171F00">
        <w:rPr>
          <w:lang w:val="sr-Cyrl-BA"/>
        </w:rPr>
        <w:t>с</w:t>
      </w:r>
      <w:r w:rsidR="00A56E08" w:rsidRPr="00171F00">
        <w:rPr>
          <w:lang w:val="sr-Cyrl-BA"/>
        </w:rPr>
        <w:t>ад</w:t>
      </w:r>
      <w:r w:rsidR="0071360A" w:rsidRPr="00171F00">
        <w:rPr>
          <w:lang w:val="sr-Cyrl-BA"/>
        </w:rPr>
        <w:t>р</w:t>
      </w:r>
      <w:r w:rsidR="00171F00">
        <w:rPr>
          <w:lang w:val="sr-Cyrl-BA"/>
        </w:rPr>
        <w:t>ж</w:t>
      </w:r>
      <w:r w:rsidR="00A56E08" w:rsidRPr="00171F00">
        <w:rPr>
          <w:lang w:val="sr-Cyrl-BA"/>
        </w:rPr>
        <w:t>а</w:t>
      </w:r>
      <w:r w:rsidR="0071360A" w:rsidRPr="00171F00">
        <w:rPr>
          <w:lang w:val="sr-Cyrl-BA"/>
        </w:rPr>
        <w:t>ј</w:t>
      </w:r>
      <w:r w:rsidRPr="00171F00">
        <w:rPr>
          <w:lang w:val="sr-Cyrl-BA"/>
        </w:rPr>
        <w:t xml:space="preserve"> </w:t>
      </w:r>
      <w:r w:rsidR="0071360A" w:rsidRPr="00171F00">
        <w:rPr>
          <w:lang w:val="sr-Cyrl-BA"/>
        </w:rPr>
        <w:t>омогу</w:t>
      </w:r>
      <w:r w:rsidR="00A56E08" w:rsidRPr="00171F00">
        <w:rPr>
          <w:lang w:val="sr-Cyrl-BA"/>
        </w:rPr>
        <w:t>ћ</w:t>
      </w:r>
      <w:r w:rsidR="0071360A" w:rsidRPr="00171F00">
        <w:rPr>
          <w:lang w:val="sr-Cyrl-BA"/>
        </w:rPr>
        <w:t>ују</w:t>
      </w:r>
      <w:r w:rsidR="00A56E08" w:rsidRPr="00171F00">
        <w:rPr>
          <w:lang w:val="sr-Cyrl-BA"/>
        </w:rPr>
        <w:t>ћ</w:t>
      </w:r>
      <w:r w:rsidR="0071360A" w:rsidRPr="00171F00">
        <w:rPr>
          <w:lang w:val="sr-Cyrl-BA"/>
        </w:rPr>
        <w:t>и</w:t>
      </w:r>
      <w:r w:rsidRPr="00171F00">
        <w:rPr>
          <w:lang w:val="sr-Cyrl-BA"/>
        </w:rPr>
        <w:t xml:space="preserve"> </w:t>
      </w:r>
      <w:r w:rsidR="0071360A" w:rsidRPr="00171F00">
        <w:rPr>
          <w:lang w:val="sr-Cyrl-BA"/>
        </w:rPr>
        <w:t>корисни</w:t>
      </w:r>
      <w:r w:rsidR="00A56E08" w:rsidRPr="00171F00">
        <w:rPr>
          <w:lang w:val="sr-Cyrl-BA"/>
        </w:rPr>
        <w:t>ц</w:t>
      </w:r>
      <w:r w:rsidR="0071360A" w:rsidRPr="00171F00">
        <w:rPr>
          <w:lang w:val="sr-Cyrl-BA"/>
        </w:rPr>
        <w:t>им</w:t>
      </w:r>
      <w:r w:rsidR="00A56E08" w:rsidRPr="00171F00">
        <w:rPr>
          <w:lang w:val="sr-Cyrl-BA"/>
        </w:rPr>
        <w:t>а</w:t>
      </w:r>
      <w:r w:rsidRPr="00171F00">
        <w:rPr>
          <w:lang w:val="sr-Cyrl-BA"/>
        </w:rPr>
        <w:t xml:space="preserve"> </w:t>
      </w:r>
      <w:r w:rsidR="0071360A" w:rsidRPr="00171F00">
        <w:rPr>
          <w:lang w:val="sr-Cyrl-BA"/>
        </w:rPr>
        <w:t>виш</w:t>
      </w:r>
      <w:r w:rsidR="00A56E08" w:rsidRPr="00171F00">
        <w:rPr>
          <w:lang w:val="sr-Cyrl-BA"/>
        </w:rPr>
        <w:t>е</w:t>
      </w:r>
      <w:r w:rsidRPr="00171F00">
        <w:rPr>
          <w:lang w:val="sr-Cyrl-BA"/>
        </w:rPr>
        <w:t xml:space="preserve"> </w:t>
      </w:r>
      <w:r w:rsidR="0071360A" w:rsidRPr="00171F00">
        <w:rPr>
          <w:lang w:val="sr-Cyrl-BA"/>
        </w:rPr>
        <w:t>и</w:t>
      </w:r>
      <w:r w:rsidR="00171F00">
        <w:rPr>
          <w:lang w:val="sr-Cyrl-BA"/>
        </w:rPr>
        <w:t>з</w:t>
      </w:r>
      <w:r w:rsidR="00A56E08" w:rsidRPr="00171F00">
        <w:rPr>
          <w:lang w:val="sr-Cyrl-BA"/>
        </w:rPr>
        <w:t>б</w:t>
      </w:r>
      <w:r w:rsidR="0071360A" w:rsidRPr="00171F00">
        <w:rPr>
          <w:lang w:val="sr-Cyrl-BA"/>
        </w:rPr>
        <w:t>ор</w:t>
      </w:r>
      <w:r w:rsidR="00A56E08" w:rsidRPr="00171F00">
        <w:rPr>
          <w:lang w:val="sr-Cyrl-BA"/>
        </w:rPr>
        <w:t>а</w:t>
      </w:r>
      <w:r w:rsidRPr="00171F00">
        <w:rPr>
          <w:lang w:val="sr-Cyrl-BA"/>
        </w:rPr>
        <w:t xml:space="preserve"> (</w:t>
      </w:r>
      <w:r w:rsidR="0071360A" w:rsidRPr="00171F00">
        <w:rPr>
          <w:lang w:val="sr-Cyrl-BA"/>
        </w:rPr>
        <w:t>виш</w:t>
      </w:r>
      <w:r w:rsidR="00A56E08" w:rsidRPr="00171F00">
        <w:rPr>
          <w:lang w:val="sr-Cyrl-BA"/>
        </w:rPr>
        <w:t>е</w:t>
      </w:r>
      <w:r w:rsidRPr="00171F00">
        <w:rPr>
          <w:lang w:val="sr-Cyrl-BA"/>
        </w:rPr>
        <w:t xml:space="preserve"> </w:t>
      </w:r>
      <w:r w:rsidR="0071360A" w:rsidRPr="00171F00">
        <w:rPr>
          <w:lang w:val="sr-Cyrl-BA"/>
        </w:rPr>
        <w:t>к</w:t>
      </w:r>
      <w:r w:rsidR="00A56E08" w:rsidRPr="00171F00">
        <w:rPr>
          <w:lang w:val="sr-Cyrl-BA"/>
        </w:rPr>
        <w:t>а</w:t>
      </w:r>
      <w:r w:rsidR="0071360A" w:rsidRPr="00171F00">
        <w:rPr>
          <w:lang w:val="sr-Cyrl-BA"/>
        </w:rPr>
        <w:t>н</w:t>
      </w:r>
      <w:r w:rsidR="00A56E08" w:rsidRPr="00171F00">
        <w:rPr>
          <w:lang w:val="sr-Cyrl-BA"/>
        </w:rPr>
        <w:t>а</w:t>
      </w:r>
      <w:r w:rsidR="0071360A" w:rsidRPr="00171F00">
        <w:rPr>
          <w:lang w:val="sr-Cyrl-BA"/>
        </w:rPr>
        <w:t>л</w:t>
      </w:r>
      <w:r w:rsidR="00A56E08" w:rsidRPr="00171F00">
        <w:rPr>
          <w:lang w:val="sr-Cyrl-BA"/>
        </w:rPr>
        <w:t>а</w:t>
      </w:r>
      <w:r w:rsidRPr="00171F00">
        <w:rPr>
          <w:lang w:val="sr-Cyrl-BA"/>
        </w:rPr>
        <w:t xml:space="preserve">), </w:t>
      </w:r>
      <w:r w:rsidR="0071360A" w:rsidRPr="00171F00">
        <w:rPr>
          <w:lang w:val="sr-Cyrl-BA"/>
        </w:rPr>
        <w:t>в</w:t>
      </w:r>
      <w:r w:rsidR="00A56E08" w:rsidRPr="00171F00">
        <w:rPr>
          <w:lang w:val="sr-Cyrl-BA"/>
        </w:rPr>
        <w:t>ећ</w:t>
      </w:r>
      <w:r w:rsidR="0071360A" w:rsidRPr="00171F00">
        <w:rPr>
          <w:lang w:val="sr-Cyrl-BA"/>
        </w:rPr>
        <w:t>у</w:t>
      </w:r>
      <w:r w:rsidRPr="00171F00">
        <w:rPr>
          <w:lang w:val="sr-Cyrl-BA"/>
        </w:rPr>
        <w:t xml:space="preserve"> </w:t>
      </w:r>
      <w:r w:rsidR="0071360A" w:rsidRPr="00171F00">
        <w:rPr>
          <w:lang w:val="sr-Cyrl-BA"/>
        </w:rPr>
        <w:t>контролу</w:t>
      </w:r>
      <w:r w:rsidRPr="00171F00">
        <w:rPr>
          <w:lang w:val="sr-Cyrl-BA"/>
        </w:rPr>
        <w:t xml:space="preserve"> </w:t>
      </w:r>
      <w:r w:rsidR="0071360A" w:rsidRPr="00171F00">
        <w:rPr>
          <w:lang w:val="sr-Cyrl-BA"/>
        </w:rPr>
        <w:t>н</w:t>
      </w:r>
      <w:r w:rsidR="00A56E08" w:rsidRPr="00171F00">
        <w:rPr>
          <w:lang w:val="sr-Cyrl-BA"/>
        </w:rPr>
        <w:t>ад</w:t>
      </w:r>
      <w:r w:rsidRPr="00171F00">
        <w:rPr>
          <w:lang w:val="sr-Cyrl-BA"/>
        </w:rPr>
        <w:t xml:space="preserve"> </w:t>
      </w:r>
      <w:r w:rsidR="0071360A" w:rsidRPr="00171F00">
        <w:rPr>
          <w:lang w:val="sr-Cyrl-BA"/>
        </w:rPr>
        <w:t>гл</w:t>
      </w:r>
      <w:r w:rsidR="00A56E08" w:rsidRPr="00171F00">
        <w:rPr>
          <w:lang w:val="sr-Cyrl-BA"/>
        </w:rPr>
        <w:t>еда</w:t>
      </w:r>
      <w:r w:rsidR="0071360A" w:rsidRPr="00171F00">
        <w:rPr>
          <w:lang w:val="sr-Cyrl-BA"/>
        </w:rPr>
        <w:t>њ</w:t>
      </w:r>
      <w:r w:rsidR="00A56E08" w:rsidRPr="00171F00">
        <w:rPr>
          <w:lang w:val="sr-Cyrl-BA"/>
        </w:rPr>
        <w:t>е</w:t>
      </w:r>
      <w:r w:rsidR="0071360A" w:rsidRPr="00171F00">
        <w:rPr>
          <w:lang w:val="sr-Cyrl-BA"/>
        </w:rPr>
        <w:t>м</w:t>
      </w:r>
      <w:r w:rsidRPr="00171F00">
        <w:rPr>
          <w:lang w:val="sr-Cyrl-BA"/>
        </w:rPr>
        <w:t xml:space="preserve"> (</w:t>
      </w:r>
      <w:r w:rsidR="0071360A" w:rsidRPr="00171F00">
        <w:rPr>
          <w:lang w:val="sr-Cyrl-BA"/>
        </w:rPr>
        <w:t>к</w:t>
      </w:r>
      <w:r w:rsidR="00A56E08" w:rsidRPr="00171F00">
        <w:rPr>
          <w:lang w:val="sr-Cyrl-BA"/>
        </w:rPr>
        <w:t>ада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к</w:t>
      </w:r>
      <w:r w:rsidR="00A56E08" w:rsidRPr="00171F00">
        <w:rPr>
          <w:lang w:val="sr-Cyrl-BA"/>
        </w:rPr>
        <w:t>а</w:t>
      </w:r>
      <w:r w:rsidR="0071360A" w:rsidRPr="00171F00">
        <w:rPr>
          <w:lang w:val="sr-Cyrl-BA"/>
        </w:rPr>
        <w:t>ко</w:t>
      </w:r>
      <w:r w:rsidRPr="00171F00">
        <w:rPr>
          <w:lang w:val="sr-Cyrl-BA"/>
        </w:rPr>
        <w:t xml:space="preserve"> </w:t>
      </w:r>
      <w:r w:rsidR="0071360A" w:rsidRPr="00171F00">
        <w:rPr>
          <w:lang w:val="sr-Cyrl-BA"/>
        </w:rPr>
        <w:t>корисни</w:t>
      </w:r>
      <w:r w:rsidR="00A56E08" w:rsidRPr="00171F00">
        <w:rPr>
          <w:lang w:val="sr-Cyrl-BA"/>
        </w:rPr>
        <w:t>ц</w:t>
      </w:r>
      <w:r w:rsidR="0071360A" w:rsidRPr="00171F00">
        <w:rPr>
          <w:lang w:val="sr-Cyrl-BA"/>
        </w:rPr>
        <w:t>и</w:t>
      </w:r>
      <w:r w:rsidRPr="00171F00">
        <w:rPr>
          <w:lang w:val="sr-Cyrl-BA"/>
        </w:rPr>
        <w:t xml:space="preserve"> </w:t>
      </w:r>
      <w:r w:rsidR="0071360A" w:rsidRPr="00171F00">
        <w:rPr>
          <w:lang w:val="sr-Cyrl-BA"/>
        </w:rPr>
        <w:t>гл</w:t>
      </w:r>
      <w:r w:rsidR="00A56E08" w:rsidRPr="00171F00">
        <w:rPr>
          <w:lang w:val="sr-Cyrl-BA"/>
        </w:rPr>
        <w:t>еда</w:t>
      </w:r>
      <w:r w:rsidR="0071360A" w:rsidRPr="00171F00">
        <w:rPr>
          <w:lang w:val="sr-Cyrl-BA"/>
        </w:rPr>
        <w:t>ју</w:t>
      </w:r>
      <w:r w:rsidRPr="00171F00">
        <w:rPr>
          <w:lang w:val="sr-Cyrl-BA"/>
        </w:rPr>
        <w:t xml:space="preserve">), </w:t>
      </w:r>
      <w:r w:rsidR="0071360A" w:rsidRPr="00171F00">
        <w:rPr>
          <w:lang w:val="sr-Cyrl-BA"/>
        </w:rPr>
        <w:t>виш</w:t>
      </w:r>
      <w:r w:rsidR="00A56E08" w:rsidRPr="00171F00">
        <w:rPr>
          <w:lang w:val="sr-Cyrl-BA"/>
        </w:rPr>
        <w:t>е</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носних</w:t>
      </w:r>
      <w:r w:rsidRPr="00171F00">
        <w:rPr>
          <w:lang w:val="sr-Cyrl-BA"/>
        </w:rPr>
        <w:t xml:space="preserve"> </w:t>
      </w:r>
      <w:r w:rsidR="0071360A" w:rsidRPr="00171F00">
        <w:rPr>
          <w:lang w:val="sr-Cyrl-BA"/>
        </w:rPr>
        <w:t>м</w:t>
      </w:r>
      <w:r w:rsidR="00A56E08" w:rsidRPr="00171F00">
        <w:rPr>
          <w:lang w:val="sr-Cyrl-BA"/>
        </w:rPr>
        <w:t>ед</w:t>
      </w:r>
      <w:r w:rsidR="0071360A" w:rsidRPr="00171F00">
        <w:rPr>
          <w:lang w:val="sr-Cyrl-BA"/>
        </w:rPr>
        <w:t>иј</w:t>
      </w:r>
      <w:r w:rsidR="00A56E08" w:rsidRPr="00171F00">
        <w:rPr>
          <w:lang w:val="sr-Cyrl-BA"/>
        </w:rPr>
        <w:t>а</w:t>
      </w:r>
      <w:r w:rsidRPr="00171F00">
        <w:rPr>
          <w:lang w:val="sr-Cyrl-BA"/>
        </w:rPr>
        <w:t xml:space="preserve"> (</w:t>
      </w:r>
      <w:r w:rsidR="0071360A" w:rsidRPr="00171F00">
        <w:rPr>
          <w:lang w:val="sr-Cyrl-BA"/>
        </w:rPr>
        <w:t>г</w:t>
      </w:r>
      <w:r w:rsidR="00A56E08" w:rsidRPr="00171F00">
        <w:rPr>
          <w:lang w:val="sr-Cyrl-BA"/>
        </w:rPr>
        <w:t>д</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љу</w:t>
      </w:r>
      <w:r w:rsidR="00A56E08" w:rsidRPr="00171F00">
        <w:rPr>
          <w:lang w:val="sr-Cyrl-BA"/>
        </w:rPr>
        <w:t>д</w:t>
      </w:r>
      <w:r w:rsidR="0071360A" w:rsidRPr="00171F00">
        <w:rPr>
          <w:lang w:val="sr-Cyrl-BA"/>
        </w:rPr>
        <w:t>и</w:t>
      </w:r>
      <w:r w:rsidRPr="00171F00">
        <w:rPr>
          <w:lang w:val="sr-Cyrl-BA"/>
        </w:rPr>
        <w:t xml:space="preserve"> </w:t>
      </w:r>
      <w:r w:rsidR="0071360A" w:rsidRPr="00171F00">
        <w:rPr>
          <w:lang w:val="sr-Cyrl-BA"/>
        </w:rPr>
        <w:t>гл</w:t>
      </w:r>
      <w:r w:rsidR="00A56E08" w:rsidRPr="00171F00">
        <w:rPr>
          <w:lang w:val="sr-Cyrl-BA"/>
        </w:rPr>
        <w:t>еда</w:t>
      </w:r>
      <w:r w:rsidR="0071360A" w:rsidRPr="00171F00">
        <w:rPr>
          <w:lang w:val="sr-Cyrl-BA"/>
        </w:rPr>
        <w:t>ју</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в</w:t>
      </w:r>
      <w:r w:rsidR="00A56E08" w:rsidRPr="00171F00">
        <w:rPr>
          <w:lang w:val="sr-Cyrl-BA"/>
        </w:rPr>
        <w:t>ећ</w:t>
      </w:r>
      <w:r w:rsidR="0071360A" w:rsidRPr="00171F00">
        <w:rPr>
          <w:lang w:val="sr-Cyrl-BA"/>
        </w:rPr>
        <w:t>у</w:t>
      </w:r>
      <w:r w:rsidRPr="00171F00">
        <w:rPr>
          <w:lang w:val="sr-Cyrl-BA"/>
        </w:rPr>
        <w:t xml:space="preserve"> </w:t>
      </w:r>
      <w:r w:rsidR="0071360A" w:rsidRPr="00171F00">
        <w:rPr>
          <w:lang w:val="sr-Cyrl-BA"/>
        </w:rPr>
        <w:t>могу</w:t>
      </w:r>
      <w:r w:rsidR="00A56E08" w:rsidRPr="00171F00">
        <w:rPr>
          <w:lang w:val="sr-Cyrl-BA"/>
        </w:rPr>
        <w:t>ћ</w:t>
      </w:r>
      <w:r w:rsidR="0071360A" w:rsidRPr="00171F00">
        <w:rPr>
          <w:lang w:val="sr-Cyrl-BA"/>
        </w:rPr>
        <w:t>ност</w:t>
      </w:r>
      <w:r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w:t>
      </w:r>
      <w:r w:rsidR="00A56E08" w:rsidRPr="00171F00">
        <w:rPr>
          <w:lang w:val="sr-Cyrl-BA"/>
        </w:rPr>
        <w:t>а</w:t>
      </w:r>
      <w:r w:rsidR="0071360A" w:rsidRPr="00171F00">
        <w:rPr>
          <w:lang w:val="sr-Cyrl-BA"/>
        </w:rPr>
        <w:t>к</w:t>
      </w:r>
      <w:r w:rsidR="00A56E08" w:rsidRPr="00171F00">
        <w:rPr>
          <w:lang w:val="sr-Cyrl-BA"/>
        </w:rPr>
        <w:t>ц</w:t>
      </w:r>
      <w:r w:rsidR="0071360A" w:rsidRPr="00171F00">
        <w:rPr>
          <w:lang w:val="sr-Cyrl-BA"/>
        </w:rPr>
        <w:t>иј</w:t>
      </w:r>
      <w:r w:rsidR="00A56E08" w:rsidRPr="00171F00">
        <w:rPr>
          <w:lang w:val="sr-Cyrl-BA"/>
        </w:rPr>
        <w:t>е</w:t>
      </w:r>
      <w:r w:rsidRPr="00171F00">
        <w:rPr>
          <w:lang w:val="sr-Cyrl-BA"/>
        </w:rPr>
        <w:t xml:space="preserve"> </w:t>
      </w:r>
      <w:r w:rsidR="0071360A" w:rsidRPr="00171F00">
        <w:rPr>
          <w:lang w:val="sr-Cyrl-BA"/>
        </w:rPr>
        <w:t>с</w:t>
      </w:r>
      <w:r w:rsidR="00A56E08" w:rsidRPr="00171F00">
        <w:rPr>
          <w:lang w:val="sr-Cyrl-BA"/>
        </w:rPr>
        <w:t>а</w:t>
      </w:r>
      <w:r w:rsidRPr="00171F00">
        <w:rPr>
          <w:lang w:val="sr-Cyrl-BA"/>
        </w:rPr>
        <w:t xml:space="preserve"> </w:t>
      </w:r>
      <w:r w:rsidR="0071360A" w:rsidRPr="00171F00">
        <w:rPr>
          <w:lang w:val="sr-Cyrl-BA"/>
        </w:rPr>
        <w:t>с</w:t>
      </w:r>
      <w:r w:rsidR="00A56E08" w:rsidRPr="00171F00">
        <w:rPr>
          <w:lang w:val="sr-Cyrl-BA"/>
        </w:rPr>
        <w:t>ад</w:t>
      </w:r>
      <w:r w:rsidR="0071360A" w:rsidRPr="00171F00">
        <w:rPr>
          <w:lang w:val="sr-Cyrl-BA"/>
        </w:rPr>
        <w:t>р</w:t>
      </w:r>
      <w:r w:rsidR="00171F00">
        <w:rPr>
          <w:lang w:val="sr-Cyrl-BA"/>
        </w:rPr>
        <w:t>ж</w:t>
      </w:r>
      <w:r w:rsidR="00A56E08" w:rsidRPr="00171F00">
        <w:rPr>
          <w:lang w:val="sr-Cyrl-BA"/>
        </w:rPr>
        <w:t>а</w:t>
      </w:r>
      <w:r w:rsidR="0071360A" w:rsidRPr="00171F00">
        <w:rPr>
          <w:lang w:val="sr-Cyrl-BA"/>
        </w:rPr>
        <w:t>јим</w:t>
      </w:r>
      <w:r w:rsidR="00A56E08" w:rsidRPr="00171F00">
        <w:rPr>
          <w:lang w:val="sr-Cyrl-BA"/>
        </w:rPr>
        <w:t>а</w:t>
      </w:r>
      <w:r w:rsidRPr="00171F00">
        <w:rPr>
          <w:lang w:val="sr-Cyrl-BA"/>
        </w:rPr>
        <w:t xml:space="preserve"> (</w:t>
      </w:r>
      <w:r w:rsidR="0071360A" w:rsidRPr="00171F00">
        <w:rPr>
          <w:lang w:val="sr-Cyrl-BA"/>
        </w:rPr>
        <w:t>Ро</w:t>
      </w:r>
      <w:r w:rsidR="00A56E08" w:rsidRPr="00171F00">
        <w:rPr>
          <w:lang w:val="sr-Cyrl-BA"/>
        </w:rPr>
        <w:t>бе</w:t>
      </w:r>
      <w:r w:rsidR="0071360A" w:rsidRPr="00171F00">
        <w:rPr>
          <w:lang w:val="sr-Cyrl-BA"/>
        </w:rPr>
        <w:t>ртс</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Х</w:t>
      </w:r>
      <w:r w:rsidR="00A56E08" w:rsidRPr="00171F00">
        <w:rPr>
          <w:lang w:val="sr-Cyrl-BA"/>
        </w:rPr>
        <w:t>е</w:t>
      </w:r>
      <w:r w:rsidR="0071360A" w:rsidRPr="00171F00">
        <w:rPr>
          <w:lang w:val="sr-Cyrl-BA"/>
        </w:rPr>
        <w:t>ррингтон</w:t>
      </w:r>
      <w:r w:rsidRPr="00171F00">
        <w:rPr>
          <w:lang w:val="sr-Cyrl-BA"/>
        </w:rPr>
        <w:t xml:space="preserve">, 2005 </w:t>
      </w:r>
      <w:r w:rsidR="0071360A" w:rsidRPr="00171F00">
        <w:rPr>
          <w:lang w:val="sr-Cyrl-BA"/>
        </w:rPr>
        <w:t>пр</w:t>
      </w:r>
      <w:r w:rsidR="00A56E08" w:rsidRPr="00171F00">
        <w:rPr>
          <w:lang w:val="sr-Cyrl-BA"/>
        </w:rPr>
        <w:t>е</w:t>
      </w:r>
      <w:r w:rsidR="0071360A" w:rsidRPr="00171F00">
        <w:rPr>
          <w:lang w:val="sr-Cyrl-BA"/>
        </w:rPr>
        <w:t>м</w:t>
      </w:r>
      <w:r w:rsidR="00A56E08" w:rsidRPr="00171F00">
        <w:rPr>
          <w:lang w:val="sr-Cyrl-BA"/>
        </w:rPr>
        <w:t>а</w:t>
      </w:r>
      <w:r w:rsidRPr="00171F00">
        <w:rPr>
          <w:lang w:val="sr-Cyrl-BA"/>
        </w:rPr>
        <w:t xml:space="preserve"> </w:t>
      </w:r>
      <w:r w:rsidR="0071360A" w:rsidRPr="00171F00">
        <w:rPr>
          <w:lang w:val="sr-Cyrl-BA"/>
        </w:rPr>
        <w:t>В</w:t>
      </w:r>
      <w:r w:rsidR="00A56E08" w:rsidRPr="00171F00">
        <w:rPr>
          <w:lang w:val="sr-Cyrl-BA"/>
        </w:rPr>
        <w:t>а</w:t>
      </w:r>
      <w:r w:rsidR="0071360A" w:rsidRPr="00171F00">
        <w:rPr>
          <w:lang w:val="sr-Cyrl-BA"/>
        </w:rPr>
        <w:t>р</w:t>
      </w:r>
      <w:r w:rsidR="00A56E08" w:rsidRPr="00171F00">
        <w:rPr>
          <w:lang w:val="sr-Cyrl-BA"/>
        </w:rPr>
        <w:t>а</w:t>
      </w:r>
      <w:r w:rsidR="0071360A" w:rsidRPr="00171F00">
        <w:rPr>
          <w:lang w:val="sr-Cyrl-BA"/>
        </w:rPr>
        <w:t>н</w:t>
      </w:r>
      <w:r w:rsidRPr="00171F00">
        <w:rPr>
          <w:lang w:val="sr-Cyrl-BA"/>
        </w:rPr>
        <w:t xml:space="preserve">, 2004). </w:t>
      </w:r>
      <w:r w:rsidR="0071360A" w:rsidRPr="00171F00">
        <w:rPr>
          <w:lang w:val="sr-Cyrl-BA"/>
        </w:rPr>
        <w:t>Инт</w:t>
      </w:r>
      <w:r w:rsidR="00A56E08" w:rsidRPr="00171F00">
        <w:rPr>
          <w:lang w:val="sr-Cyrl-BA"/>
        </w:rPr>
        <w:t>е</w:t>
      </w:r>
      <w:r w:rsidR="0071360A" w:rsidRPr="00171F00">
        <w:rPr>
          <w:lang w:val="sr-Cyrl-BA"/>
        </w:rPr>
        <w:t>р</w:t>
      </w:r>
      <w:r w:rsidR="00A56E08" w:rsidRPr="00171F00">
        <w:rPr>
          <w:lang w:val="sr-Cyrl-BA"/>
        </w:rPr>
        <w:t>а</w:t>
      </w:r>
      <w:r w:rsidR="0071360A" w:rsidRPr="00171F00">
        <w:rPr>
          <w:lang w:val="sr-Cyrl-BA"/>
        </w:rPr>
        <w:t>ктивн</w:t>
      </w:r>
      <w:r w:rsidR="00A56E08" w:rsidRPr="00171F00">
        <w:rPr>
          <w:lang w:val="sr-Cyrl-BA"/>
        </w:rPr>
        <w:t>а</w:t>
      </w:r>
      <w:r w:rsidRPr="00171F00">
        <w:rPr>
          <w:lang w:val="sr-Cyrl-BA"/>
        </w:rPr>
        <w:t xml:space="preserve"> </w:t>
      </w:r>
      <w:r w:rsidR="0071360A" w:rsidRPr="00171F00">
        <w:rPr>
          <w:lang w:val="sr-Cyrl-BA"/>
        </w:rPr>
        <w:t>ТВ</w:t>
      </w:r>
      <w:r w:rsidRPr="00171F00">
        <w:rPr>
          <w:lang w:val="sr-Cyrl-BA"/>
        </w:rPr>
        <w:t xml:space="preserve"> </w:t>
      </w:r>
      <w:r w:rsidR="0071360A" w:rsidRPr="00171F00">
        <w:rPr>
          <w:lang w:val="sr-Cyrl-BA"/>
        </w:rPr>
        <w:t>омогу</w:t>
      </w:r>
      <w:r w:rsidR="00A56E08" w:rsidRPr="00171F00">
        <w:rPr>
          <w:lang w:val="sr-Cyrl-BA"/>
        </w:rPr>
        <w:t>ћа</w:t>
      </w:r>
      <w:r w:rsidR="0071360A" w:rsidRPr="00171F00">
        <w:rPr>
          <w:lang w:val="sr-Cyrl-BA"/>
        </w:rPr>
        <w:t>в</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р</w:t>
      </w:r>
      <w:r w:rsidR="00A56E08" w:rsidRPr="00171F00">
        <w:rPr>
          <w:lang w:val="sr-Cyrl-BA"/>
        </w:rPr>
        <w:t>еа</w:t>
      </w:r>
      <w:r w:rsidR="0071360A" w:rsidRPr="00171F00">
        <w:rPr>
          <w:lang w:val="sr-Cyrl-BA"/>
        </w:rPr>
        <w:t>ли</w:t>
      </w:r>
      <w:r w:rsidR="00171F00">
        <w:rPr>
          <w:lang w:val="sr-Cyrl-BA"/>
        </w:rPr>
        <w:t>з</w:t>
      </w:r>
      <w:r w:rsidR="00A56E08" w:rsidRPr="00171F00">
        <w:rPr>
          <w:lang w:val="sr-Cyrl-BA"/>
        </w:rPr>
        <w:t>ац</w:t>
      </w:r>
      <w:r w:rsidR="0071360A" w:rsidRPr="00171F00">
        <w:rPr>
          <w:lang w:val="sr-Cyrl-BA"/>
        </w:rPr>
        <w:t>ију</w:t>
      </w:r>
      <w:r w:rsidRPr="00171F00">
        <w:rPr>
          <w:lang w:val="sr-Cyrl-BA"/>
        </w:rPr>
        <w:t xml:space="preserve"> </w:t>
      </w:r>
      <w:r w:rsidR="0071360A" w:rsidRPr="00171F00">
        <w:rPr>
          <w:lang w:val="sr-Cyrl-BA"/>
        </w:rPr>
        <w:t>ТВ</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Pr="00171F00">
        <w:rPr>
          <w:lang w:val="sr-Cyrl-BA"/>
        </w:rPr>
        <w:t xml:space="preserve">. </w:t>
      </w:r>
    </w:p>
  </w:footnote>
  <w:footnote w:id="6">
    <w:p w14:paraId="63665C72" w14:textId="2232B98A" w:rsidR="00F33370" w:rsidRPr="00171F00" w:rsidRDefault="00F33370" w:rsidP="00B71F95">
      <w:pPr>
        <w:pStyle w:val="FootnoteText"/>
        <w:rPr>
          <w:lang w:val="sr-Cyrl-BA"/>
        </w:rPr>
      </w:pPr>
      <w:r w:rsidRPr="00171F00">
        <w:rPr>
          <w:rStyle w:val="FootnoteReference"/>
          <w:rFonts w:cs="Arial"/>
          <w:lang w:val="sr-Cyrl-BA"/>
        </w:rPr>
        <w:footnoteRef/>
      </w:r>
      <w:r w:rsidRPr="00171F00">
        <w:rPr>
          <w:lang w:val="sr-Cyrl-BA"/>
        </w:rPr>
        <w:t xml:space="preserve"> </w:t>
      </w:r>
      <w:r w:rsidR="00A56E08" w:rsidRPr="00171F00">
        <w:rPr>
          <w:lang w:val="sr-Cyrl-BA"/>
        </w:rPr>
        <w:t>Ц</w:t>
      </w:r>
      <w:r w:rsidR="0071360A" w:rsidRPr="00171F00">
        <w:rPr>
          <w:lang w:val="sr-Cyrl-BA"/>
        </w:rPr>
        <w:t>иљ</w:t>
      </w:r>
      <w:r w:rsidR="00A56E08" w:rsidRPr="00171F00">
        <w:rPr>
          <w:lang w:val="sr-Cyrl-BA"/>
        </w:rPr>
        <w:t>е</w:t>
      </w:r>
      <w:r w:rsidR="0071360A" w:rsidRPr="00171F00">
        <w:rPr>
          <w:lang w:val="sr-Cyrl-BA"/>
        </w:rPr>
        <w:t>ви</w:t>
      </w:r>
      <w:r w:rsidRPr="00171F00">
        <w:rPr>
          <w:lang w:val="sr-Cyrl-BA"/>
        </w:rPr>
        <w:t xml:space="preserve"> </w:t>
      </w:r>
      <w:r w:rsidR="0071360A" w:rsidRPr="00171F00">
        <w:rPr>
          <w:lang w:val="sr-Cyrl-BA"/>
        </w:rPr>
        <w:t>о</w:t>
      </w:r>
      <w:r w:rsidR="00A56E08" w:rsidRPr="00171F00">
        <w:rPr>
          <w:lang w:val="sr-Cyrl-BA"/>
        </w:rPr>
        <w:t>д</w:t>
      </w:r>
      <w:r w:rsidR="0071360A" w:rsidRPr="00171F00">
        <w:rPr>
          <w:lang w:val="sr-Cyrl-BA"/>
        </w:rPr>
        <w:t>р</w:t>
      </w:r>
      <w:r w:rsidR="00171F00">
        <w:rPr>
          <w:lang w:val="sr-Cyrl-BA"/>
        </w:rPr>
        <w:t>ж</w:t>
      </w:r>
      <w:r w:rsidR="0071360A" w:rsidRPr="00171F00">
        <w:rPr>
          <w:lang w:val="sr-Cyrl-BA"/>
        </w:rPr>
        <w:t>ивог</w:t>
      </w:r>
      <w:r w:rsidRPr="00171F00">
        <w:rPr>
          <w:lang w:val="sr-Cyrl-BA"/>
        </w:rPr>
        <w:t xml:space="preserve"> </w:t>
      </w:r>
      <w:r w:rsidR="0071360A" w:rsidRPr="00171F00">
        <w:rPr>
          <w:lang w:val="sr-Cyrl-BA"/>
        </w:rPr>
        <w:t>р</w:t>
      </w:r>
      <w:r w:rsidR="00A56E08" w:rsidRPr="00171F00">
        <w:rPr>
          <w:lang w:val="sr-Cyrl-BA"/>
        </w:rPr>
        <w:t>а</w:t>
      </w:r>
      <w:r w:rsidR="00171F00">
        <w:rPr>
          <w:lang w:val="sr-Cyrl-BA"/>
        </w:rPr>
        <w:t>з</w:t>
      </w:r>
      <w:r w:rsidR="0071360A" w:rsidRPr="00171F00">
        <w:rPr>
          <w:lang w:val="sr-Cyrl-BA"/>
        </w:rPr>
        <w:t>вој</w:t>
      </w:r>
      <w:r w:rsidR="00A56E08" w:rsidRPr="00171F00">
        <w:rPr>
          <w:lang w:val="sr-Cyrl-BA"/>
        </w:rPr>
        <w:t>а</w:t>
      </w:r>
      <w:r w:rsidRPr="00171F00">
        <w:rPr>
          <w:lang w:val="sr-Cyrl-BA"/>
        </w:rPr>
        <w:t xml:space="preserve"> (</w:t>
      </w:r>
      <w:r w:rsidR="00CA5E58">
        <w:rPr>
          <w:lang w:val="hr-BA"/>
        </w:rPr>
        <w:t>Sustainable Development GOals</w:t>
      </w:r>
      <w:r w:rsidRPr="00171F00">
        <w:rPr>
          <w:lang w:val="sr-Cyrl-BA"/>
        </w:rPr>
        <w:t xml:space="preserve"> - </w:t>
      </w:r>
      <w:r w:rsidR="0071360A" w:rsidRPr="00171F00">
        <w:rPr>
          <w:lang w:val="sr-Cyrl-BA"/>
        </w:rPr>
        <w:t>С</w:t>
      </w:r>
      <w:r w:rsidR="00A56E08" w:rsidRPr="00171F00">
        <w:rPr>
          <w:lang w:val="sr-Cyrl-BA"/>
        </w:rPr>
        <w:t>Д</w:t>
      </w:r>
      <w:r w:rsidR="0071360A" w:rsidRPr="00171F00">
        <w:rPr>
          <w:lang w:val="sr-Cyrl-BA"/>
        </w:rPr>
        <w:t>Гс</w:t>
      </w:r>
      <w:r w:rsidRPr="00171F00">
        <w:rPr>
          <w:lang w:val="sr-Cyrl-BA"/>
        </w:rPr>
        <w:t xml:space="preserve">), </w:t>
      </w:r>
      <w:r w:rsidR="0071360A" w:rsidRPr="00171F00">
        <w:rPr>
          <w:lang w:val="sr-Cyrl-BA"/>
        </w:rPr>
        <w:t>по</w:t>
      </w:r>
      <w:r w:rsidR="00171F00">
        <w:rPr>
          <w:lang w:val="sr-Cyrl-BA"/>
        </w:rPr>
        <w:t>з</w:t>
      </w:r>
      <w:r w:rsidR="0071360A" w:rsidRPr="00171F00">
        <w:rPr>
          <w:lang w:val="sr-Cyrl-BA"/>
        </w:rPr>
        <w:t>н</w:t>
      </w:r>
      <w:r w:rsidR="00A56E08" w:rsidRPr="00171F00">
        <w:rPr>
          <w:lang w:val="sr-Cyrl-BA"/>
        </w:rPr>
        <w:t>а</w:t>
      </w:r>
      <w:r w:rsidR="0071360A" w:rsidRPr="00171F00">
        <w:rPr>
          <w:lang w:val="sr-Cyrl-BA"/>
        </w:rPr>
        <w:t>ти</w:t>
      </w:r>
      <w:r w:rsidRPr="00171F00">
        <w:rPr>
          <w:lang w:val="sr-Cyrl-BA"/>
        </w:rPr>
        <w:t xml:space="preserve"> </w:t>
      </w:r>
      <w:r w:rsidR="0071360A" w:rsidRPr="00171F00">
        <w:rPr>
          <w:lang w:val="sr-Cyrl-BA"/>
        </w:rPr>
        <w:t>су</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к</w:t>
      </w:r>
      <w:r w:rsidR="00A56E08" w:rsidRPr="00171F00">
        <w:rPr>
          <w:lang w:val="sr-Cyrl-BA"/>
        </w:rPr>
        <w:t>а</w:t>
      </w:r>
      <w:r w:rsidR="0071360A" w:rsidRPr="00171F00">
        <w:rPr>
          <w:lang w:val="sr-Cyrl-BA"/>
        </w:rPr>
        <w:t>о</w:t>
      </w:r>
      <w:r w:rsidRPr="00171F00">
        <w:rPr>
          <w:lang w:val="sr-Cyrl-BA"/>
        </w:rPr>
        <w:t xml:space="preserve"> "</w:t>
      </w:r>
      <w:r w:rsidR="0071360A" w:rsidRPr="00171F00">
        <w:rPr>
          <w:lang w:val="sr-Cyrl-BA"/>
        </w:rPr>
        <w:t>Гло</w:t>
      </w:r>
      <w:r w:rsidR="00A56E08" w:rsidRPr="00171F00">
        <w:rPr>
          <w:lang w:val="sr-Cyrl-BA"/>
        </w:rPr>
        <w:t>ба</w:t>
      </w:r>
      <w:r w:rsidR="0071360A" w:rsidRPr="00171F00">
        <w:rPr>
          <w:lang w:val="sr-Cyrl-BA"/>
        </w:rPr>
        <w:t>лни</w:t>
      </w:r>
      <w:r w:rsidRPr="00171F00">
        <w:rPr>
          <w:lang w:val="sr-Cyrl-BA"/>
        </w:rPr>
        <w:t xml:space="preserve"> </w:t>
      </w:r>
      <w:r w:rsidR="00A56E08" w:rsidRPr="00171F00">
        <w:rPr>
          <w:lang w:val="sr-Cyrl-BA"/>
        </w:rPr>
        <w:t>ц</w:t>
      </w:r>
      <w:r w:rsidR="0071360A" w:rsidRPr="00171F00">
        <w:rPr>
          <w:lang w:val="sr-Cyrl-BA"/>
        </w:rPr>
        <w:t>иљ</w:t>
      </w:r>
      <w:r w:rsidR="00A56E08" w:rsidRPr="00171F00">
        <w:rPr>
          <w:lang w:val="sr-Cyrl-BA"/>
        </w:rPr>
        <w:t>е</w:t>
      </w:r>
      <w:r w:rsidR="0071360A" w:rsidRPr="00171F00">
        <w:rPr>
          <w:lang w:val="sr-Cyrl-BA"/>
        </w:rPr>
        <w:t>ви</w:t>
      </w:r>
      <w:r w:rsidRPr="00171F00">
        <w:rPr>
          <w:lang w:val="sr-Cyrl-BA"/>
        </w:rPr>
        <w:t>"</w:t>
      </w:r>
      <w:r w:rsidR="00D02159" w:rsidRPr="00171F00">
        <w:rPr>
          <w:lang w:val="sr-Cyrl-BA"/>
        </w:rPr>
        <w:t>,</w:t>
      </w:r>
      <w:r w:rsidRPr="00171F00">
        <w:rPr>
          <w:lang w:val="sr-Cyrl-BA"/>
        </w:rPr>
        <w:t xml:space="preserve"> </w:t>
      </w:r>
      <w:r w:rsidR="00A56E08" w:rsidRPr="00171F00">
        <w:rPr>
          <w:lang w:val="sr-Cyrl-BA"/>
        </w:rPr>
        <w:t>а</w:t>
      </w:r>
      <w:r w:rsidRPr="00171F00">
        <w:rPr>
          <w:lang w:val="sr-Cyrl-BA"/>
        </w:rPr>
        <w:t xml:space="preserve"> </w:t>
      </w:r>
      <w:r w:rsidR="0071360A" w:rsidRPr="00171F00">
        <w:rPr>
          <w:lang w:val="sr-Cyrl-BA"/>
        </w:rPr>
        <w:t>пр</w:t>
      </w:r>
      <w:r w:rsidR="00A56E08" w:rsidRPr="00171F00">
        <w:rPr>
          <w:lang w:val="sr-Cyrl-BA"/>
        </w:rPr>
        <w:t>ед</w:t>
      </w:r>
      <w:r w:rsidR="0071360A" w:rsidRPr="00171F00">
        <w:rPr>
          <w:lang w:val="sr-Cyrl-BA"/>
        </w:rPr>
        <w:t>ст</w:t>
      </w:r>
      <w:r w:rsidR="00A56E08" w:rsidRPr="00171F00">
        <w:rPr>
          <w:lang w:val="sr-Cyrl-BA"/>
        </w:rPr>
        <w:t>а</w:t>
      </w:r>
      <w:r w:rsidR="0071360A" w:rsidRPr="00171F00">
        <w:rPr>
          <w:lang w:val="sr-Cyrl-BA"/>
        </w:rPr>
        <w:t>вљ</w:t>
      </w:r>
      <w:r w:rsidR="00A56E08" w:rsidRPr="00171F00">
        <w:rPr>
          <w:lang w:val="sr-Cyrl-BA"/>
        </w:rPr>
        <w:t>а</w:t>
      </w:r>
      <w:r w:rsidR="0071360A" w:rsidRPr="00171F00">
        <w:rPr>
          <w:lang w:val="sr-Cyrl-BA"/>
        </w:rPr>
        <w:t>ју</w:t>
      </w:r>
      <w:r w:rsidRPr="00171F00">
        <w:rPr>
          <w:lang w:val="sr-Cyrl-BA"/>
        </w:rPr>
        <w:t xml:space="preserve"> </w:t>
      </w:r>
      <w:r w:rsidR="0071360A" w:rsidRPr="00171F00">
        <w:rPr>
          <w:lang w:val="sr-Cyrl-BA"/>
        </w:rPr>
        <w:t>унив</w:t>
      </w:r>
      <w:r w:rsidR="00A56E08" w:rsidRPr="00171F00">
        <w:rPr>
          <w:lang w:val="sr-Cyrl-BA"/>
        </w:rPr>
        <w:t>е</w:t>
      </w:r>
      <w:r w:rsidR="0071360A" w:rsidRPr="00171F00">
        <w:rPr>
          <w:lang w:val="sr-Cyrl-BA"/>
        </w:rPr>
        <w:t>р</w:t>
      </w:r>
      <w:r w:rsidR="00171F00">
        <w:rPr>
          <w:lang w:val="sr-Cyrl-BA"/>
        </w:rPr>
        <w:t>з</w:t>
      </w:r>
      <w:r w:rsidR="00A56E08" w:rsidRPr="00171F00">
        <w:rPr>
          <w:lang w:val="sr-Cyrl-BA"/>
        </w:rPr>
        <w:t>а</w:t>
      </w:r>
      <w:r w:rsidR="0071360A" w:rsidRPr="00171F00">
        <w:rPr>
          <w:lang w:val="sr-Cyrl-BA"/>
        </w:rPr>
        <w:t>лни</w:t>
      </w:r>
      <w:r w:rsidRPr="00171F00">
        <w:rPr>
          <w:lang w:val="sr-Cyrl-BA"/>
        </w:rPr>
        <w:t xml:space="preserve"> </w:t>
      </w:r>
      <w:r w:rsidR="0071360A" w:rsidRPr="00171F00">
        <w:rPr>
          <w:lang w:val="sr-Cyrl-BA"/>
        </w:rPr>
        <w:t>по</w:t>
      </w:r>
      <w:r w:rsidR="00171F00">
        <w:rPr>
          <w:lang w:val="sr-Cyrl-BA"/>
        </w:rPr>
        <w:t>з</w:t>
      </w:r>
      <w:r w:rsidR="0071360A" w:rsidRPr="00171F00">
        <w:rPr>
          <w:lang w:val="sr-Cyrl-BA"/>
        </w:rPr>
        <w:t>ив</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A56E08" w:rsidRPr="00171F00">
        <w:rPr>
          <w:lang w:val="sr-Cyrl-BA"/>
        </w:rPr>
        <w:t>а</w:t>
      </w:r>
      <w:r w:rsidR="0071360A" w:rsidRPr="00171F00">
        <w:rPr>
          <w:lang w:val="sr-Cyrl-BA"/>
        </w:rPr>
        <w:t>к</w:t>
      </w:r>
      <w:r w:rsidR="00A56E08" w:rsidRPr="00171F00">
        <w:rPr>
          <w:lang w:val="sr-Cyrl-BA"/>
        </w:rPr>
        <w:t>ц</w:t>
      </w:r>
      <w:r w:rsidR="0071360A" w:rsidRPr="00171F00">
        <w:rPr>
          <w:lang w:val="sr-Cyrl-BA"/>
        </w:rPr>
        <w:t>ију</w:t>
      </w:r>
      <w:r w:rsidRPr="00171F00">
        <w:rPr>
          <w:lang w:val="sr-Cyrl-BA"/>
        </w:rPr>
        <w:t xml:space="preserve"> </w:t>
      </w:r>
      <w:r w:rsidR="0071360A" w:rsidRPr="00171F00">
        <w:rPr>
          <w:lang w:val="sr-Cyrl-BA"/>
        </w:rPr>
        <w:t>окон</w:t>
      </w:r>
      <w:r w:rsidR="00A56E08" w:rsidRPr="00171F00">
        <w:rPr>
          <w:lang w:val="sr-Cyrl-BA"/>
        </w:rPr>
        <w:t>ча</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сиром</w:t>
      </w:r>
      <w:r w:rsidR="00A56E08" w:rsidRPr="00171F00">
        <w:rPr>
          <w:lang w:val="sr-Cyrl-BA"/>
        </w:rPr>
        <w:t>а</w:t>
      </w:r>
      <w:r w:rsidR="0071360A" w:rsidRPr="00171F00">
        <w:rPr>
          <w:lang w:val="sr-Cyrl-BA"/>
        </w:rPr>
        <w:t>штв</w:t>
      </w:r>
      <w:r w:rsidR="00A56E08" w:rsidRPr="00171F00">
        <w:rPr>
          <w:lang w:val="sr-Cyrl-BA"/>
        </w:rPr>
        <w:t>а</w:t>
      </w:r>
      <w:r w:rsidRPr="00171F00">
        <w:rPr>
          <w:lang w:val="sr-Cyrl-BA"/>
        </w:rPr>
        <w:t xml:space="preserve">, </w:t>
      </w:r>
      <w:r w:rsidR="00171F00">
        <w:rPr>
          <w:lang w:val="sr-Cyrl-BA"/>
        </w:rPr>
        <w:t>з</w:t>
      </w:r>
      <w:r w:rsidR="00A56E08" w:rsidRPr="00171F00">
        <w:rPr>
          <w:lang w:val="sr-Cyrl-BA"/>
        </w:rPr>
        <w:t>а</w:t>
      </w:r>
      <w:r w:rsidR="0071360A" w:rsidRPr="00171F00">
        <w:rPr>
          <w:lang w:val="sr-Cyrl-BA"/>
        </w:rPr>
        <w:t>штит</w:t>
      </w:r>
      <w:r w:rsidR="00A56E08" w:rsidRPr="00171F00">
        <w:rPr>
          <w:lang w:val="sr-Cyrl-BA"/>
        </w:rPr>
        <w:t>е</w:t>
      </w:r>
      <w:r w:rsidRPr="00171F00">
        <w:rPr>
          <w:lang w:val="sr-Cyrl-BA"/>
        </w:rPr>
        <w:t xml:space="preserve"> </w:t>
      </w:r>
      <w:r w:rsidR="0071360A" w:rsidRPr="00171F00">
        <w:rPr>
          <w:lang w:val="sr-Cyrl-BA"/>
        </w:rPr>
        <w:t>пл</w:t>
      </w:r>
      <w:r w:rsidR="00A56E08" w:rsidRPr="00171F00">
        <w:rPr>
          <w:lang w:val="sr-Cyrl-BA"/>
        </w:rPr>
        <w:t>а</w:t>
      </w:r>
      <w:r w:rsidR="0071360A" w:rsidRPr="00171F00">
        <w:rPr>
          <w:lang w:val="sr-Cyrl-BA"/>
        </w:rPr>
        <w:t>н</w:t>
      </w:r>
      <w:r w:rsidR="00A56E08" w:rsidRPr="00171F00">
        <w:rPr>
          <w:lang w:val="sr-Cyrl-BA"/>
        </w:rPr>
        <w:t>е</w:t>
      </w:r>
      <w:r w:rsidR="0071360A" w:rsidRPr="00171F00">
        <w:rPr>
          <w:lang w:val="sr-Cyrl-BA"/>
        </w:rPr>
        <w:t>т</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осигур</w:t>
      </w:r>
      <w:r w:rsidR="00A56E08" w:rsidRPr="00171F00">
        <w:rPr>
          <w:lang w:val="sr-Cyrl-BA"/>
        </w:rPr>
        <w:t>а</w:t>
      </w:r>
      <w:r w:rsidR="0071360A" w:rsidRPr="00171F00">
        <w:rPr>
          <w:lang w:val="sr-Cyrl-BA"/>
        </w:rPr>
        <w:t>в</w:t>
      </w:r>
      <w:r w:rsidR="00A56E08" w:rsidRPr="00171F00">
        <w:rPr>
          <w:lang w:val="sr-Cyrl-BA"/>
        </w:rPr>
        <w:t>а</w:t>
      </w:r>
      <w:r w:rsidR="0071360A" w:rsidRPr="00171F00">
        <w:rPr>
          <w:lang w:val="sr-Cyrl-BA"/>
        </w:rPr>
        <w:t>њ</w:t>
      </w:r>
      <w:r w:rsidR="00A56E08" w:rsidRPr="00171F00">
        <w:rPr>
          <w:lang w:val="sr-Cyrl-BA"/>
        </w:rPr>
        <w:t>а</w:t>
      </w:r>
      <w:r w:rsidRPr="00171F00">
        <w:rPr>
          <w:lang w:val="sr-Cyrl-BA"/>
        </w:rPr>
        <w:t xml:space="preserve"> </w:t>
      </w:r>
      <w:r w:rsidR="00A56E08" w:rsidRPr="00171F00">
        <w:rPr>
          <w:lang w:val="sr-Cyrl-BA"/>
        </w:rPr>
        <w:t>да</w:t>
      </w:r>
      <w:r w:rsidRPr="00171F00">
        <w:rPr>
          <w:lang w:val="sr-Cyrl-BA"/>
        </w:rPr>
        <w:t xml:space="preserve"> </w:t>
      </w:r>
      <w:r w:rsidR="0071360A" w:rsidRPr="00171F00">
        <w:rPr>
          <w:lang w:val="sr-Cyrl-BA"/>
        </w:rPr>
        <w:t>сви</w:t>
      </w:r>
      <w:r w:rsidRPr="00171F00">
        <w:rPr>
          <w:lang w:val="sr-Cyrl-BA"/>
        </w:rPr>
        <w:t xml:space="preserve"> </w:t>
      </w:r>
      <w:r w:rsidR="0071360A" w:rsidRPr="00171F00">
        <w:rPr>
          <w:lang w:val="sr-Cyrl-BA"/>
        </w:rPr>
        <w:t>љу</w:t>
      </w:r>
      <w:r w:rsidR="00A56E08" w:rsidRPr="00171F00">
        <w:rPr>
          <w:lang w:val="sr-Cyrl-BA"/>
        </w:rPr>
        <w:t>д</w:t>
      </w:r>
      <w:r w:rsidR="0071360A" w:rsidRPr="00171F00">
        <w:rPr>
          <w:lang w:val="sr-Cyrl-BA"/>
        </w:rPr>
        <w:t>и</w:t>
      </w:r>
      <w:r w:rsidRPr="00171F00">
        <w:rPr>
          <w:lang w:val="sr-Cyrl-BA"/>
        </w:rPr>
        <w:t xml:space="preserve"> </w:t>
      </w:r>
      <w:r w:rsidR="0071360A" w:rsidRPr="00171F00">
        <w:rPr>
          <w:lang w:val="sr-Cyrl-BA"/>
        </w:rPr>
        <w:t>у</w:t>
      </w:r>
      <w:r w:rsidR="00171F00">
        <w:rPr>
          <w:lang w:val="sr-Cyrl-BA"/>
        </w:rPr>
        <w:t>ж</w:t>
      </w:r>
      <w:r w:rsidR="0071360A" w:rsidRPr="00171F00">
        <w:rPr>
          <w:lang w:val="sr-Cyrl-BA"/>
        </w:rPr>
        <w:t>ив</w:t>
      </w:r>
      <w:r w:rsidR="00A56E08" w:rsidRPr="00171F00">
        <w:rPr>
          <w:lang w:val="sr-Cyrl-BA"/>
        </w:rPr>
        <w:t>а</w:t>
      </w:r>
      <w:r w:rsidR="0071360A" w:rsidRPr="00171F00">
        <w:rPr>
          <w:lang w:val="sr-Cyrl-BA"/>
        </w:rPr>
        <w:t>ју</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миру</w:t>
      </w:r>
      <w:r w:rsidRPr="00171F00">
        <w:rPr>
          <w:lang w:val="sr-Cyrl-BA"/>
        </w:rPr>
        <w:t xml:space="preserve"> </w:t>
      </w:r>
      <w:r w:rsidR="0071360A" w:rsidRPr="00171F00">
        <w:rPr>
          <w:lang w:val="sr-Cyrl-BA"/>
        </w:rPr>
        <w:t>и</w:t>
      </w:r>
      <w:r w:rsidRPr="00171F00">
        <w:rPr>
          <w:lang w:val="sr-Cyrl-BA"/>
        </w:rPr>
        <w:t xml:space="preserve"> </w:t>
      </w:r>
      <w:r w:rsidR="00A56E08" w:rsidRPr="00171F00">
        <w:rPr>
          <w:lang w:val="sr-Cyrl-BA"/>
        </w:rPr>
        <w:t>б</w:t>
      </w:r>
      <w:r w:rsidR="0071360A" w:rsidRPr="00171F00">
        <w:rPr>
          <w:lang w:val="sr-Cyrl-BA"/>
        </w:rPr>
        <w:t>л</w:t>
      </w:r>
      <w:r w:rsidR="00A56E08" w:rsidRPr="00171F00">
        <w:rPr>
          <w:lang w:val="sr-Cyrl-BA"/>
        </w:rPr>
        <w:t>а</w:t>
      </w:r>
      <w:r w:rsidR="0071360A" w:rsidRPr="00171F00">
        <w:rPr>
          <w:lang w:val="sr-Cyrl-BA"/>
        </w:rPr>
        <w:t>гост</w:t>
      </w:r>
      <w:r w:rsidR="00A56E08" w:rsidRPr="00171F00">
        <w:rPr>
          <w:lang w:val="sr-Cyrl-BA"/>
        </w:rPr>
        <w:t>а</w:t>
      </w:r>
      <w:r w:rsidR="0071360A" w:rsidRPr="00171F00">
        <w:rPr>
          <w:lang w:val="sr-Cyrl-BA"/>
        </w:rPr>
        <w:t>њу</w:t>
      </w:r>
      <w:r w:rsidRPr="00171F00">
        <w:rPr>
          <w:lang w:val="sr-Cyrl-BA"/>
        </w:rPr>
        <w:t xml:space="preserve">. </w:t>
      </w:r>
      <w:r w:rsidR="00A56E08" w:rsidRPr="00171F00">
        <w:rPr>
          <w:lang w:val="sr-Cyrl-BA"/>
        </w:rPr>
        <w:t>Ц</w:t>
      </w:r>
      <w:r w:rsidR="0071360A" w:rsidRPr="00171F00">
        <w:rPr>
          <w:lang w:val="sr-Cyrl-BA"/>
        </w:rPr>
        <w:t>иљ</w:t>
      </w:r>
      <w:r w:rsidR="00A56E08" w:rsidRPr="00171F00">
        <w:rPr>
          <w:lang w:val="sr-Cyrl-BA"/>
        </w:rPr>
        <w:t>е</w:t>
      </w:r>
      <w:r w:rsidR="0071360A" w:rsidRPr="00171F00">
        <w:rPr>
          <w:lang w:val="sr-Cyrl-BA"/>
        </w:rPr>
        <w:t>ви</w:t>
      </w:r>
      <w:r w:rsidRPr="00171F00">
        <w:rPr>
          <w:lang w:val="sr-Cyrl-BA"/>
        </w:rPr>
        <w:t xml:space="preserve"> (</w:t>
      </w:r>
      <w:r w:rsidR="0071360A" w:rsidRPr="00171F00">
        <w:rPr>
          <w:lang w:val="sr-Cyrl-BA"/>
        </w:rPr>
        <w:t>укупно</w:t>
      </w:r>
      <w:r w:rsidRPr="00171F00">
        <w:rPr>
          <w:lang w:val="sr-Cyrl-BA"/>
        </w:rPr>
        <w:t xml:space="preserve"> </w:t>
      </w:r>
      <w:r w:rsidR="0071360A" w:rsidRPr="00171F00">
        <w:rPr>
          <w:lang w:val="sr-Cyrl-BA"/>
        </w:rPr>
        <w:t>њих</w:t>
      </w:r>
      <w:r w:rsidRPr="00171F00">
        <w:rPr>
          <w:lang w:val="sr-Cyrl-BA"/>
        </w:rPr>
        <w:t xml:space="preserve"> 17) </w:t>
      </w:r>
      <w:r w:rsidR="0071360A" w:rsidRPr="00171F00">
        <w:rPr>
          <w:lang w:val="sr-Cyrl-BA"/>
        </w:rPr>
        <w:t>су</w:t>
      </w:r>
      <w:r w:rsidRPr="00171F00">
        <w:rPr>
          <w:lang w:val="sr-Cyrl-BA"/>
        </w:rPr>
        <w:t xml:space="preserve"> </w:t>
      </w:r>
      <w:r w:rsidR="0071360A" w:rsidRPr="00171F00">
        <w:rPr>
          <w:lang w:val="sr-Cyrl-BA"/>
        </w:rPr>
        <w:t>м</w:t>
      </w:r>
      <w:r w:rsidR="00A56E08" w:rsidRPr="00171F00">
        <w:rPr>
          <w:lang w:val="sr-Cyrl-BA"/>
        </w:rPr>
        <w:t>еђ</w:t>
      </w:r>
      <w:r w:rsidR="0071360A" w:rsidRPr="00171F00">
        <w:rPr>
          <w:lang w:val="sr-Cyrl-BA"/>
        </w:rPr>
        <w:t>усо</w:t>
      </w:r>
      <w:r w:rsidR="00A56E08" w:rsidRPr="00171F00">
        <w:rPr>
          <w:lang w:val="sr-Cyrl-BA"/>
        </w:rPr>
        <w:t>б</w:t>
      </w:r>
      <w:r w:rsidR="0071360A" w:rsidRPr="00171F00">
        <w:rPr>
          <w:lang w:val="sr-Cyrl-BA"/>
        </w:rPr>
        <w:t>но</w:t>
      </w:r>
      <w:r w:rsidRPr="00171F00">
        <w:rPr>
          <w:lang w:val="sr-Cyrl-BA"/>
        </w:rPr>
        <w:t xml:space="preserve"> </w:t>
      </w:r>
      <w:r w:rsidR="0071360A" w:rsidRPr="00171F00">
        <w:rPr>
          <w:lang w:val="sr-Cyrl-BA"/>
        </w:rPr>
        <w:t>пов</w:t>
      </w:r>
      <w:r w:rsidR="00A56E08" w:rsidRPr="00171F00">
        <w:rPr>
          <w:lang w:val="sr-Cyrl-BA"/>
        </w:rPr>
        <w:t>е</w:t>
      </w:r>
      <w:r w:rsidR="00171F00">
        <w:rPr>
          <w:lang w:val="sr-Cyrl-BA"/>
        </w:rPr>
        <w:t>з</w:t>
      </w:r>
      <w:r w:rsidR="00A56E08" w:rsidRPr="00171F00">
        <w:rPr>
          <w:lang w:val="sr-Cyrl-BA"/>
        </w:rPr>
        <w:t>а</w:t>
      </w:r>
      <w:r w:rsidR="0071360A" w:rsidRPr="00171F00">
        <w:rPr>
          <w:lang w:val="sr-Cyrl-BA"/>
        </w:rPr>
        <w:t>ни</w:t>
      </w:r>
      <w:r w:rsidRPr="00171F00">
        <w:rPr>
          <w:lang w:val="sr-Cyrl-BA"/>
        </w:rPr>
        <w:t xml:space="preserve"> </w:t>
      </w:r>
      <w:r w:rsidR="0071360A" w:rsidRPr="00171F00">
        <w:rPr>
          <w:lang w:val="sr-Cyrl-BA"/>
        </w:rPr>
        <w:t>и</w:t>
      </w:r>
      <w:r w:rsidRPr="00171F00">
        <w:rPr>
          <w:lang w:val="sr-Cyrl-BA"/>
        </w:rPr>
        <w:t xml:space="preserve"> </w:t>
      </w:r>
      <w:r w:rsidR="00A56E08" w:rsidRPr="00171F00">
        <w:rPr>
          <w:lang w:val="sr-Cyrl-BA"/>
        </w:rPr>
        <w:t>че</w:t>
      </w:r>
      <w:r w:rsidR="0071360A" w:rsidRPr="00171F00">
        <w:rPr>
          <w:lang w:val="sr-Cyrl-BA"/>
        </w:rPr>
        <w:t>сто</w:t>
      </w:r>
      <w:r w:rsidRPr="00171F00">
        <w:rPr>
          <w:lang w:val="sr-Cyrl-BA"/>
        </w:rPr>
        <w:t xml:space="preserve"> </w:t>
      </w:r>
      <w:r w:rsidR="00A56E08" w:rsidRPr="00171F00">
        <w:rPr>
          <w:lang w:val="sr-Cyrl-BA"/>
        </w:rPr>
        <w:t>ће</w:t>
      </w:r>
      <w:r w:rsidRPr="00171F00">
        <w:rPr>
          <w:lang w:val="sr-Cyrl-BA"/>
        </w:rPr>
        <w:t xml:space="preserve"> </w:t>
      </w:r>
      <w:r w:rsidR="0071360A" w:rsidRPr="00171F00">
        <w:rPr>
          <w:lang w:val="sr-Cyrl-BA"/>
        </w:rPr>
        <w:t>кљу</w:t>
      </w:r>
      <w:r w:rsidR="00A56E08" w:rsidRPr="00171F00">
        <w:rPr>
          <w:lang w:val="sr-Cyrl-BA"/>
        </w:rPr>
        <w:t>ч</w:t>
      </w:r>
      <w:r w:rsidRPr="00171F00">
        <w:rPr>
          <w:lang w:val="sr-Cyrl-BA"/>
        </w:rPr>
        <w:t xml:space="preserve"> </w:t>
      </w:r>
      <w:r w:rsidR="0071360A" w:rsidRPr="00171F00">
        <w:rPr>
          <w:lang w:val="sr-Cyrl-BA"/>
        </w:rPr>
        <w:t>успј</w:t>
      </w:r>
      <w:r w:rsidR="00A56E08" w:rsidRPr="00171F00">
        <w:rPr>
          <w:lang w:val="sr-Cyrl-BA"/>
        </w:rPr>
        <w:t>е</w:t>
      </w:r>
      <w:r w:rsidR="0071360A" w:rsidRPr="00171F00">
        <w:rPr>
          <w:lang w:val="sr-Cyrl-BA"/>
        </w:rPr>
        <w:t>х</w:t>
      </w:r>
      <w:r w:rsidR="00A56E08" w:rsidRPr="00171F00">
        <w:rPr>
          <w:lang w:val="sr-Cyrl-BA"/>
        </w:rPr>
        <w:t>а</w:t>
      </w:r>
      <w:r w:rsidRPr="00171F00">
        <w:rPr>
          <w:lang w:val="sr-Cyrl-BA"/>
        </w:rPr>
        <w:t xml:space="preserve"> </w:t>
      </w:r>
      <w:r w:rsidR="0071360A" w:rsidRPr="00171F00">
        <w:rPr>
          <w:lang w:val="sr-Cyrl-BA"/>
        </w:rPr>
        <w:t>ј</w:t>
      </w:r>
      <w:r w:rsidR="00A56E08" w:rsidRPr="00171F00">
        <w:rPr>
          <w:lang w:val="sr-Cyrl-BA"/>
        </w:rPr>
        <w:t>ед</w:t>
      </w:r>
      <w:r w:rsidR="0071360A" w:rsidRPr="00171F00">
        <w:rPr>
          <w:lang w:val="sr-Cyrl-BA"/>
        </w:rPr>
        <w:t>ног</w:t>
      </w:r>
      <w:r w:rsidRPr="00171F00">
        <w:rPr>
          <w:lang w:val="sr-Cyrl-BA"/>
        </w:rPr>
        <w:t xml:space="preserve"> </w:t>
      </w:r>
      <w:r w:rsidR="0071360A" w:rsidRPr="00171F00">
        <w:rPr>
          <w:lang w:val="sr-Cyrl-BA"/>
        </w:rPr>
        <w:t>укљу</w:t>
      </w:r>
      <w:r w:rsidR="00A56E08" w:rsidRPr="00171F00">
        <w:rPr>
          <w:lang w:val="sr-Cyrl-BA"/>
        </w:rPr>
        <w:t>ч</w:t>
      </w:r>
      <w:r w:rsidR="0071360A" w:rsidRPr="00171F00">
        <w:rPr>
          <w:lang w:val="sr-Cyrl-BA"/>
        </w:rPr>
        <w:t>ив</w:t>
      </w:r>
      <w:r w:rsidR="00A56E08" w:rsidRPr="00171F00">
        <w:rPr>
          <w:lang w:val="sr-Cyrl-BA"/>
        </w:rPr>
        <w:t>а</w:t>
      </w:r>
      <w:r w:rsidR="0071360A" w:rsidRPr="00171F00">
        <w:rPr>
          <w:lang w:val="sr-Cyrl-BA"/>
        </w:rPr>
        <w:t>ти</w:t>
      </w:r>
      <w:r w:rsidRPr="00171F00">
        <w:rPr>
          <w:lang w:val="sr-Cyrl-BA"/>
        </w:rPr>
        <w:t xml:space="preserve"> </w:t>
      </w:r>
      <w:r w:rsidR="0071360A" w:rsidRPr="00171F00">
        <w:rPr>
          <w:lang w:val="sr-Cyrl-BA"/>
        </w:rPr>
        <w:t>рј</w:t>
      </w:r>
      <w:r w:rsidR="00A56E08" w:rsidRPr="00171F00">
        <w:rPr>
          <w:lang w:val="sr-Cyrl-BA"/>
        </w:rPr>
        <w:t>е</w:t>
      </w:r>
      <w:r w:rsidR="0071360A" w:rsidRPr="00171F00">
        <w:rPr>
          <w:lang w:val="sr-Cyrl-BA"/>
        </w:rPr>
        <w:t>ш</w:t>
      </w:r>
      <w:r w:rsidR="00A56E08" w:rsidRPr="00171F00">
        <w:rPr>
          <w:lang w:val="sr-Cyrl-BA"/>
        </w:rPr>
        <w:t>а</w:t>
      </w:r>
      <w:r w:rsidR="0071360A" w:rsidRPr="00171F00">
        <w:rPr>
          <w:lang w:val="sr-Cyrl-BA"/>
        </w:rPr>
        <w:t>в</w:t>
      </w:r>
      <w:r w:rsidR="00A56E08" w:rsidRPr="00171F00">
        <w:rPr>
          <w:lang w:val="sr-Cyrl-BA"/>
        </w:rPr>
        <w:t>а</w:t>
      </w:r>
      <w:r w:rsidR="0071360A" w:rsidRPr="00171F00">
        <w:rPr>
          <w:lang w:val="sr-Cyrl-BA"/>
        </w:rPr>
        <w:t>њ</w:t>
      </w:r>
      <w:r w:rsidR="00A56E08" w:rsidRPr="00171F00">
        <w:rPr>
          <w:lang w:val="sr-Cyrl-BA"/>
        </w:rPr>
        <w:t>е</w:t>
      </w:r>
      <w:r w:rsidRPr="00171F00">
        <w:rPr>
          <w:shd w:val="clear" w:color="auto" w:fill="E8E8E8"/>
          <w:lang w:val="sr-Cyrl-BA"/>
        </w:rPr>
        <w:t xml:space="preserve"> </w:t>
      </w:r>
      <w:r w:rsidR="0071360A" w:rsidRPr="00171F00">
        <w:rPr>
          <w:lang w:val="sr-Cyrl-BA"/>
        </w:rPr>
        <w:t>про</w:t>
      </w:r>
      <w:r w:rsidR="00A56E08" w:rsidRPr="00171F00">
        <w:rPr>
          <w:lang w:val="sr-Cyrl-BA"/>
        </w:rPr>
        <w:t>б</w:t>
      </w:r>
      <w:r w:rsidR="0071360A" w:rsidRPr="00171F00">
        <w:rPr>
          <w:lang w:val="sr-Cyrl-BA"/>
        </w:rPr>
        <w:t>л</w:t>
      </w:r>
      <w:r w:rsidR="00A56E08" w:rsidRPr="00171F00">
        <w:rPr>
          <w:lang w:val="sr-Cyrl-BA"/>
        </w:rPr>
        <w:t>е</w:t>
      </w:r>
      <w:r w:rsidR="0071360A" w:rsidRPr="00171F00">
        <w:rPr>
          <w:lang w:val="sr-Cyrl-BA"/>
        </w:rPr>
        <w:t>м</w:t>
      </w:r>
      <w:r w:rsidR="00A56E08" w:rsidRPr="00171F00">
        <w:rPr>
          <w:lang w:val="sr-Cyrl-BA"/>
        </w:rPr>
        <w:t>а</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су</w:t>
      </w:r>
      <w:r w:rsidRPr="00171F00">
        <w:rPr>
          <w:lang w:val="sr-Cyrl-BA"/>
        </w:rPr>
        <w:t xml:space="preserve"> </w:t>
      </w:r>
      <w:r w:rsidR="00A56E08" w:rsidRPr="00171F00">
        <w:rPr>
          <w:lang w:val="sr-Cyrl-BA"/>
        </w:rPr>
        <w:t>че</w:t>
      </w:r>
      <w:r w:rsidR="0071360A" w:rsidRPr="00171F00">
        <w:rPr>
          <w:lang w:val="sr-Cyrl-BA"/>
        </w:rPr>
        <w:t>ш</w:t>
      </w:r>
      <w:r w:rsidR="00A56E08" w:rsidRPr="00171F00">
        <w:rPr>
          <w:lang w:val="sr-Cyrl-BA"/>
        </w:rPr>
        <w:t>ће</w:t>
      </w:r>
      <w:r w:rsidRPr="00171F00">
        <w:rPr>
          <w:lang w:val="sr-Cyrl-BA"/>
        </w:rPr>
        <w:t xml:space="preserve"> </w:t>
      </w:r>
      <w:r w:rsidR="0071360A" w:rsidRPr="00171F00">
        <w:rPr>
          <w:lang w:val="sr-Cyrl-BA"/>
        </w:rPr>
        <w:t>пов</w:t>
      </w:r>
      <w:r w:rsidR="00A56E08" w:rsidRPr="00171F00">
        <w:rPr>
          <w:lang w:val="sr-Cyrl-BA"/>
        </w:rPr>
        <w:t>е</w:t>
      </w:r>
      <w:r w:rsidR="00171F00">
        <w:rPr>
          <w:lang w:val="sr-Cyrl-BA"/>
        </w:rPr>
        <w:t>з</w:t>
      </w:r>
      <w:r w:rsidR="00A56E08" w:rsidRPr="00171F00">
        <w:rPr>
          <w:lang w:val="sr-Cyrl-BA"/>
        </w:rPr>
        <w:t>а</w:t>
      </w:r>
      <w:r w:rsidR="0071360A" w:rsidRPr="00171F00">
        <w:rPr>
          <w:lang w:val="sr-Cyrl-BA"/>
        </w:rPr>
        <w:t>ни</w:t>
      </w:r>
      <w:r w:rsidR="00B04FA8">
        <w:rPr>
          <w:lang w:val="sr-Cyrl-BA"/>
        </w:rPr>
        <w:t xml:space="preserve"> са </w:t>
      </w:r>
      <w:r w:rsidR="00A56E08" w:rsidRPr="00171F00">
        <w:rPr>
          <w:lang w:val="sr-Cyrl-BA"/>
        </w:rPr>
        <w:t>д</w:t>
      </w:r>
      <w:r w:rsidR="0071360A" w:rsidRPr="00171F00">
        <w:rPr>
          <w:lang w:val="sr-Cyrl-BA"/>
        </w:rPr>
        <w:t>ругим</w:t>
      </w:r>
      <w:r w:rsidRPr="00171F00">
        <w:rPr>
          <w:lang w:val="sr-Cyrl-BA"/>
        </w:rPr>
        <w:t xml:space="preserve">. </w:t>
      </w:r>
      <w:r w:rsidR="0071360A" w:rsidRPr="00171F00">
        <w:rPr>
          <w:lang w:val="sr-Cyrl-BA"/>
        </w:rPr>
        <w:t>Виш</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p>
    <w:p w14:paraId="68F564D7" w14:textId="4D023BBA" w:rsidR="00F33370" w:rsidRPr="00171F00" w:rsidRDefault="00B427E2" w:rsidP="00B71F95">
      <w:pPr>
        <w:pStyle w:val="FootnoteText"/>
        <w:rPr>
          <w:lang w:val="sr-Cyrl-BA"/>
        </w:rPr>
      </w:pPr>
      <w:hyperlink r:id="rId2" w:history="1">
        <w:r w:rsidR="00A94F64" w:rsidRPr="00A63835">
          <w:rPr>
            <w:rStyle w:val="Hyperlink"/>
          </w:rPr>
          <w:t>https://bosniaherzegovina.un.org/bhs/sdgs</w:t>
        </w:r>
      </w:hyperlink>
      <w:r w:rsidR="00A94F64" w:rsidRPr="00171F00">
        <w:rPr>
          <w:lang w:val="sr-Cyrl-BA"/>
        </w:rPr>
        <w:t xml:space="preserve"> </w:t>
      </w:r>
      <w:r w:rsidR="00F33370" w:rsidRPr="00171F00">
        <w:rPr>
          <w:lang w:val="sr-Cyrl-BA"/>
        </w:rPr>
        <w:t>(</w:t>
      </w:r>
      <w:r w:rsidR="0071360A" w:rsidRPr="00171F00">
        <w:rPr>
          <w:lang w:val="sr-Cyrl-BA"/>
        </w:rPr>
        <w:t>посј</w:t>
      </w:r>
      <w:r w:rsidR="00A56E08" w:rsidRPr="00171F00">
        <w:rPr>
          <w:lang w:val="sr-Cyrl-BA"/>
        </w:rPr>
        <w:t>е</w:t>
      </w:r>
      <w:r w:rsidR="0071360A" w:rsidRPr="00171F00">
        <w:rPr>
          <w:lang w:val="sr-Cyrl-BA"/>
        </w:rPr>
        <w:t>т</w:t>
      </w:r>
      <w:r w:rsidR="00CA5E58">
        <w:rPr>
          <w:lang w:val="sr-Cyrl-BA"/>
        </w:rPr>
        <w:t>а</w:t>
      </w:r>
      <w:r w:rsidR="00F33370" w:rsidRPr="00171F00">
        <w:rPr>
          <w:lang w:val="sr-Cyrl-BA"/>
        </w:rPr>
        <w:t xml:space="preserve"> 08.04.2022. </w:t>
      </w:r>
      <w:r w:rsidR="0071360A" w:rsidRPr="00171F00">
        <w:rPr>
          <w:lang w:val="sr-Cyrl-BA"/>
        </w:rPr>
        <w:t>го</w:t>
      </w:r>
      <w:r w:rsidR="00A56E08" w:rsidRPr="00171F00">
        <w:rPr>
          <w:lang w:val="sr-Cyrl-BA"/>
        </w:rPr>
        <w:t>д</w:t>
      </w:r>
      <w:r w:rsidR="0071360A" w:rsidRPr="00171F00">
        <w:rPr>
          <w:lang w:val="sr-Cyrl-BA"/>
        </w:rPr>
        <w:t>ин</w:t>
      </w:r>
      <w:r w:rsidR="00A56E08" w:rsidRPr="00171F00">
        <w:rPr>
          <w:lang w:val="sr-Cyrl-BA"/>
        </w:rPr>
        <w:t>е</w:t>
      </w:r>
      <w:r w:rsidR="00F33370" w:rsidRPr="00171F00">
        <w:rPr>
          <w:lang w:val="sr-Cyrl-BA"/>
        </w:rPr>
        <w:t>)</w:t>
      </w:r>
    </w:p>
  </w:footnote>
  <w:footnote w:id="7">
    <w:p w14:paraId="608C21EA" w14:textId="31F1A55A" w:rsidR="00F33370" w:rsidRPr="00A94F64" w:rsidRDefault="00F33370" w:rsidP="00A94F64">
      <w:pPr>
        <w:pStyle w:val="FootnoteText"/>
        <w:rPr>
          <w:rFonts w:cs="Arial"/>
          <w:b/>
          <w:bCs/>
          <w:szCs w:val="18"/>
          <w:lang w:val="sr-Cyrl-BA"/>
        </w:rPr>
      </w:pPr>
      <w:r w:rsidRPr="00A94F64">
        <w:rPr>
          <w:rStyle w:val="FootnoteReference"/>
          <w:rFonts w:cs="Arial"/>
          <w:color w:val="000000" w:themeColor="text1"/>
          <w:szCs w:val="18"/>
          <w:lang w:val="sr-Cyrl-BA"/>
        </w:rPr>
        <w:footnoteRef/>
      </w:r>
      <w:r w:rsidRPr="00A94F64">
        <w:rPr>
          <w:rFonts w:cs="Arial"/>
          <w:szCs w:val="18"/>
          <w:lang w:val="sr-Cyrl-BA"/>
        </w:rPr>
        <w:t xml:space="preserve"> </w:t>
      </w:r>
      <w:r w:rsidR="0071360A" w:rsidRPr="00A94F64">
        <w:rPr>
          <w:rFonts w:cs="Arial"/>
          <w:szCs w:val="18"/>
          <w:lang w:val="sr-Cyrl-BA"/>
        </w:rPr>
        <w:t>Виш</w:t>
      </w:r>
      <w:r w:rsidR="00A56E08" w:rsidRPr="00A94F64">
        <w:rPr>
          <w:rFonts w:cs="Arial"/>
          <w:szCs w:val="18"/>
          <w:lang w:val="sr-Cyrl-BA"/>
        </w:rPr>
        <w:t>е</w:t>
      </w:r>
      <w:r w:rsidR="00D02159" w:rsidRPr="00A94F64">
        <w:rPr>
          <w:rFonts w:cs="Arial"/>
          <w:szCs w:val="18"/>
          <w:lang w:val="sr-Cyrl-BA"/>
        </w:rPr>
        <w:t xml:space="preserve"> </w:t>
      </w:r>
      <w:r w:rsidR="0071360A" w:rsidRPr="00A94F64">
        <w:rPr>
          <w:rFonts w:cs="Arial"/>
          <w:szCs w:val="18"/>
          <w:lang w:val="sr-Cyrl-BA"/>
        </w:rPr>
        <w:t>н</w:t>
      </w:r>
      <w:r w:rsidR="00A56E08" w:rsidRPr="00A94F64">
        <w:rPr>
          <w:rFonts w:cs="Arial"/>
          <w:szCs w:val="18"/>
          <w:lang w:val="sr-Cyrl-BA"/>
        </w:rPr>
        <w:t>а</w:t>
      </w:r>
      <w:r w:rsidRPr="00A94F64">
        <w:rPr>
          <w:rFonts w:cs="Arial"/>
          <w:szCs w:val="18"/>
          <w:lang w:val="sr-Cyrl-BA"/>
        </w:rPr>
        <w:t xml:space="preserve">: </w:t>
      </w:r>
      <w:r w:rsidR="00CA5E58" w:rsidRPr="00A94F64">
        <w:rPr>
          <w:rFonts w:cs="Arial"/>
          <w:szCs w:val="18"/>
          <w:lang w:val="hr-BA"/>
        </w:rPr>
        <w:t>Center for applied Special TEchnologies</w:t>
      </w:r>
      <w:r w:rsidRPr="00A94F64">
        <w:rPr>
          <w:rFonts w:cs="Arial"/>
          <w:bCs/>
          <w:szCs w:val="18"/>
          <w:lang w:val="sr-Cyrl-BA"/>
        </w:rPr>
        <w:t xml:space="preserve"> (</w:t>
      </w:r>
      <w:r w:rsidR="0071360A" w:rsidRPr="00A94F64">
        <w:rPr>
          <w:rFonts w:cs="Arial"/>
          <w:bCs/>
          <w:szCs w:val="18"/>
          <w:lang w:val="sr-Cyrl-BA"/>
        </w:rPr>
        <w:t>н</w:t>
      </w:r>
      <w:r w:rsidRPr="00A94F64">
        <w:rPr>
          <w:rFonts w:cs="Arial"/>
          <w:bCs/>
          <w:szCs w:val="18"/>
          <w:lang w:val="sr-Cyrl-BA"/>
        </w:rPr>
        <w:t>.</w:t>
      </w:r>
      <w:r w:rsidR="00A56E08" w:rsidRPr="00A94F64">
        <w:rPr>
          <w:rFonts w:cs="Arial"/>
          <w:bCs/>
          <w:szCs w:val="18"/>
          <w:lang w:val="sr-Cyrl-BA"/>
        </w:rPr>
        <w:t>д</w:t>
      </w:r>
      <w:r w:rsidRPr="00A94F64">
        <w:rPr>
          <w:rFonts w:cs="Arial"/>
          <w:bCs/>
          <w:szCs w:val="18"/>
          <w:lang w:val="sr-Cyrl-BA"/>
        </w:rPr>
        <w:t xml:space="preserve">.). </w:t>
      </w:r>
      <w:r w:rsidR="00A56E08" w:rsidRPr="00A94F64">
        <w:rPr>
          <w:rFonts w:cs="Arial"/>
          <w:bCs/>
          <w:i/>
          <w:iCs/>
          <w:szCs w:val="18"/>
          <w:lang w:val="sr-Cyrl-BA"/>
        </w:rPr>
        <w:t>Аб</w:t>
      </w:r>
      <w:r w:rsidR="0071360A" w:rsidRPr="00A94F64">
        <w:rPr>
          <w:rFonts w:cs="Arial"/>
          <w:bCs/>
          <w:i/>
          <w:iCs/>
          <w:szCs w:val="18"/>
          <w:lang w:val="sr-Cyrl-BA"/>
        </w:rPr>
        <w:t>оут</w:t>
      </w:r>
      <w:r w:rsidRPr="00A94F64">
        <w:rPr>
          <w:rFonts w:cs="Arial"/>
          <w:bCs/>
          <w:i/>
          <w:iCs/>
          <w:szCs w:val="18"/>
          <w:lang w:val="sr-Cyrl-BA"/>
        </w:rPr>
        <w:t xml:space="preserve"> </w:t>
      </w:r>
      <w:r w:rsidR="0071360A" w:rsidRPr="00A94F64">
        <w:rPr>
          <w:rFonts w:cs="Arial"/>
          <w:bCs/>
          <w:i/>
          <w:iCs/>
          <w:szCs w:val="18"/>
          <w:lang w:val="sr-Cyrl-BA"/>
        </w:rPr>
        <w:t>У</w:t>
      </w:r>
      <w:r w:rsidR="00A56E08" w:rsidRPr="00A94F64">
        <w:rPr>
          <w:rFonts w:cs="Arial"/>
          <w:bCs/>
          <w:i/>
          <w:iCs/>
          <w:szCs w:val="18"/>
          <w:lang w:val="sr-Cyrl-BA"/>
        </w:rPr>
        <w:t>Д</w:t>
      </w:r>
      <w:r w:rsidR="0071360A" w:rsidRPr="00A94F64">
        <w:rPr>
          <w:rFonts w:cs="Arial"/>
          <w:bCs/>
          <w:i/>
          <w:iCs/>
          <w:szCs w:val="18"/>
          <w:lang w:val="sr-Cyrl-BA"/>
        </w:rPr>
        <w:t>Л</w:t>
      </w:r>
      <w:r w:rsidRPr="00A94F64">
        <w:rPr>
          <w:rFonts w:cs="Arial"/>
          <w:bCs/>
          <w:szCs w:val="18"/>
          <w:lang w:val="sr-Cyrl-BA"/>
        </w:rPr>
        <w:t xml:space="preserve">. </w:t>
      </w:r>
      <w:hyperlink r:id="rId3" w:history="1">
        <w:r w:rsidR="00A94F64" w:rsidRPr="00A94F64">
          <w:rPr>
            <w:rStyle w:val="Hyperlink"/>
            <w:rFonts w:cs="Arial"/>
            <w:szCs w:val="18"/>
          </w:rPr>
          <w:t>http://www.cast.org/udl/</w:t>
        </w:r>
      </w:hyperlink>
      <w:r w:rsidR="00CA5E58" w:rsidRPr="00A94F64">
        <w:rPr>
          <w:rFonts w:cs="Arial"/>
          <w:szCs w:val="18"/>
        </w:rPr>
        <w:t xml:space="preserve"> </w:t>
      </w:r>
      <w:r w:rsidRPr="00A94F64">
        <w:rPr>
          <w:rFonts w:cs="Arial"/>
          <w:bCs/>
          <w:szCs w:val="18"/>
          <w:lang w:val="sr-Cyrl-BA"/>
        </w:rPr>
        <w:t>(</w:t>
      </w:r>
      <w:r w:rsidR="0071360A" w:rsidRPr="00A94F64">
        <w:rPr>
          <w:rFonts w:cs="Arial"/>
          <w:bCs/>
          <w:szCs w:val="18"/>
          <w:lang w:val="sr-Cyrl-BA"/>
        </w:rPr>
        <w:t>посј</w:t>
      </w:r>
      <w:r w:rsidR="00A56E08" w:rsidRPr="00A94F64">
        <w:rPr>
          <w:rFonts w:cs="Arial"/>
          <w:bCs/>
          <w:szCs w:val="18"/>
          <w:lang w:val="sr-Cyrl-BA"/>
        </w:rPr>
        <w:t>е</w:t>
      </w:r>
      <w:r w:rsidR="0071360A" w:rsidRPr="00A94F64">
        <w:rPr>
          <w:rFonts w:cs="Arial"/>
          <w:bCs/>
          <w:szCs w:val="18"/>
          <w:lang w:val="sr-Cyrl-BA"/>
        </w:rPr>
        <w:t>т</w:t>
      </w:r>
      <w:r w:rsidR="00A56E08" w:rsidRPr="00A94F64">
        <w:rPr>
          <w:rFonts w:cs="Arial"/>
          <w:bCs/>
          <w:szCs w:val="18"/>
          <w:lang w:val="sr-Cyrl-BA"/>
        </w:rPr>
        <w:t>а</w:t>
      </w:r>
      <w:r w:rsidRPr="00A94F64">
        <w:rPr>
          <w:rFonts w:cs="Arial"/>
          <w:bCs/>
          <w:szCs w:val="18"/>
          <w:lang w:val="sr-Cyrl-BA"/>
        </w:rPr>
        <w:t xml:space="preserve"> 08.04.2022 </w:t>
      </w:r>
      <w:r w:rsidR="0071360A" w:rsidRPr="00A94F64">
        <w:rPr>
          <w:rFonts w:cs="Arial"/>
          <w:bCs/>
          <w:szCs w:val="18"/>
          <w:lang w:val="sr-Cyrl-BA"/>
        </w:rPr>
        <w:t>го</w:t>
      </w:r>
      <w:r w:rsidR="00A56E08" w:rsidRPr="00A94F64">
        <w:rPr>
          <w:rFonts w:cs="Arial"/>
          <w:bCs/>
          <w:szCs w:val="18"/>
          <w:lang w:val="sr-Cyrl-BA"/>
        </w:rPr>
        <w:t>д</w:t>
      </w:r>
      <w:r w:rsidR="0071360A" w:rsidRPr="00A94F64">
        <w:rPr>
          <w:rFonts w:cs="Arial"/>
          <w:bCs/>
          <w:szCs w:val="18"/>
          <w:lang w:val="sr-Cyrl-BA"/>
        </w:rPr>
        <w:t>ин</w:t>
      </w:r>
      <w:r w:rsidR="00A56E08" w:rsidRPr="00A94F64">
        <w:rPr>
          <w:rFonts w:cs="Arial"/>
          <w:bCs/>
          <w:szCs w:val="18"/>
          <w:lang w:val="sr-Cyrl-BA"/>
        </w:rPr>
        <w:t>е</w:t>
      </w:r>
      <w:r w:rsidRPr="00A94F64">
        <w:rPr>
          <w:rFonts w:cs="Arial"/>
          <w:b/>
          <w:bCs/>
          <w:szCs w:val="18"/>
          <w:lang w:val="sr-Cyrl-BA"/>
        </w:rPr>
        <w:t xml:space="preserve">) </w:t>
      </w:r>
    </w:p>
    <w:p w14:paraId="7AFDE5D2" w14:textId="77777777" w:rsidR="00F33370" w:rsidRPr="00171F00" w:rsidRDefault="00F33370" w:rsidP="00872771">
      <w:pPr>
        <w:pStyle w:val="FootnoteText"/>
        <w:rPr>
          <w:lang w:val="sr-Cyrl-BA"/>
        </w:rPr>
      </w:pPr>
    </w:p>
  </w:footnote>
  <w:footnote w:id="8">
    <w:p w14:paraId="6878862D" w14:textId="16F89B40" w:rsidR="00F33370" w:rsidRPr="00171F00" w:rsidRDefault="00F33370">
      <w:pPr>
        <w:pStyle w:val="FootnoteText"/>
        <w:rPr>
          <w:rFonts w:cs="Arial"/>
          <w:lang w:val="sr-Cyrl-BA"/>
        </w:rPr>
      </w:pPr>
      <w:r w:rsidRPr="00171F00">
        <w:rPr>
          <w:rStyle w:val="FootnoteReference"/>
          <w:lang w:val="sr-Cyrl-BA"/>
        </w:rPr>
        <w:footnoteRef/>
      </w:r>
      <w:r w:rsidRPr="00171F00">
        <w:rPr>
          <w:lang w:val="sr-Cyrl-BA"/>
        </w:rPr>
        <w:t xml:space="preserve"> </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умн</w:t>
      </w:r>
      <w:r w:rsidR="00A56E08" w:rsidRPr="00171F00">
        <w:rPr>
          <w:rFonts w:cs="Arial"/>
          <w:lang w:val="sr-Cyrl-BA"/>
        </w:rPr>
        <w:t>а</w:t>
      </w:r>
      <w:r w:rsidRPr="00171F00">
        <w:rPr>
          <w:rFonts w:cs="Arial"/>
          <w:lang w:val="sr-Cyrl-BA"/>
        </w:rPr>
        <w:t xml:space="preserve"> </w:t>
      </w:r>
      <w:r w:rsidR="00A56E08" w:rsidRPr="00171F00">
        <w:rPr>
          <w:rFonts w:cs="Arial"/>
          <w:lang w:val="sr-Cyrl-BA"/>
        </w:rPr>
        <w:t>ада</w:t>
      </w:r>
      <w:r w:rsidR="0071360A" w:rsidRPr="00171F00">
        <w:rPr>
          <w:rFonts w:cs="Arial"/>
          <w:lang w:val="sr-Cyrl-BA"/>
        </w:rPr>
        <w:t>пт</w:t>
      </w:r>
      <w:r w:rsidR="00A56E08" w:rsidRPr="00171F00">
        <w:rPr>
          <w:rFonts w:cs="Arial"/>
          <w:lang w:val="sr-Cyrl-BA"/>
        </w:rPr>
        <w:t>ац</w:t>
      </w:r>
      <w:r w:rsidR="0071360A" w:rsidRPr="00171F00">
        <w:rPr>
          <w:rFonts w:cs="Arial"/>
          <w:lang w:val="sr-Cyrl-BA"/>
        </w:rPr>
        <w:t>иј</w:t>
      </w:r>
      <w:r w:rsidR="00A56E08" w:rsidRPr="00171F00">
        <w:rPr>
          <w:rFonts w:cs="Arial"/>
          <w:lang w:val="sr-Cyrl-BA"/>
        </w:rPr>
        <w:t>а</w:t>
      </w:r>
      <w:r w:rsidRPr="00171F00">
        <w:rPr>
          <w:rFonts w:cs="Arial"/>
          <w:lang w:val="sr-Cyrl-BA"/>
        </w:rPr>
        <w:t xml:space="preserve"> </w:t>
      </w:r>
      <w:r w:rsidR="0071360A" w:rsidRPr="00171F00">
        <w:rPr>
          <w:rFonts w:cs="Arial"/>
          <w:lang w:val="sr-Cyrl-BA"/>
        </w:rPr>
        <w:t>о</w:t>
      </w:r>
      <w:r w:rsidR="00171F00">
        <w:rPr>
          <w:rFonts w:cs="Arial"/>
          <w:lang w:val="sr-Cyrl-BA"/>
        </w:rPr>
        <w:t>з</w:t>
      </w:r>
      <w:r w:rsidR="0071360A" w:rsidRPr="00171F00">
        <w:rPr>
          <w:rFonts w:cs="Arial"/>
          <w:lang w:val="sr-Cyrl-BA"/>
        </w:rPr>
        <w:t>н</w:t>
      </w:r>
      <w:r w:rsidR="00A56E08" w:rsidRPr="00171F00">
        <w:rPr>
          <w:rFonts w:cs="Arial"/>
          <w:lang w:val="sr-Cyrl-BA"/>
        </w:rPr>
        <w:t>ача</w:t>
      </w:r>
      <w:r w:rsidR="0071360A" w:rsidRPr="00171F00">
        <w:rPr>
          <w:rFonts w:cs="Arial"/>
          <w:lang w:val="sr-Cyrl-BA"/>
        </w:rPr>
        <w:t>в</w:t>
      </w:r>
      <w:r w:rsidR="00A56E08" w:rsidRPr="00171F00">
        <w:rPr>
          <w:rFonts w:cs="Arial"/>
          <w:lang w:val="sr-Cyrl-BA"/>
        </w:rPr>
        <w:t>а</w:t>
      </w:r>
      <w:r w:rsidRPr="00171F00">
        <w:rPr>
          <w:rFonts w:cs="Arial"/>
          <w:lang w:val="sr-Cyrl-BA"/>
        </w:rPr>
        <w:t xml:space="preserve"> </w:t>
      </w:r>
      <w:r w:rsidR="0071360A" w:rsidRPr="00171F00">
        <w:rPr>
          <w:rFonts w:cs="Arial"/>
          <w:lang w:val="sr-Cyrl-BA"/>
        </w:rPr>
        <w:t>о</w:t>
      </w:r>
      <w:r w:rsidR="00A56E08" w:rsidRPr="00171F00">
        <w:rPr>
          <w:rFonts w:cs="Arial"/>
          <w:lang w:val="sr-Cyrl-BA"/>
        </w:rPr>
        <w:t>д</w:t>
      </w:r>
      <w:r w:rsidR="0071360A" w:rsidRPr="00171F00">
        <w:rPr>
          <w:rFonts w:cs="Arial"/>
          <w:lang w:val="sr-Cyrl-BA"/>
        </w:rPr>
        <w:t>гов</w:t>
      </w:r>
      <w:r w:rsidR="00A56E08" w:rsidRPr="00171F00">
        <w:rPr>
          <w:rFonts w:cs="Arial"/>
          <w:lang w:val="sr-Cyrl-BA"/>
        </w:rPr>
        <w:t>а</w:t>
      </w:r>
      <w:r w:rsidR="0071360A" w:rsidRPr="00171F00">
        <w:rPr>
          <w:rFonts w:cs="Arial"/>
          <w:lang w:val="sr-Cyrl-BA"/>
        </w:rPr>
        <w:t>р</w:t>
      </w:r>
      <w:r w:rsidR="00A56E08" w:rsidRPr="00171F00">
        <w:rPr>
          <w:rFonts w:cs="Arial"/>
          <w:lang w:val="sr-Cyrl-BA"/>
        </w:rPr>
        <w:t>а</w:t>
      </w:r>
      <w:r w:rsidR="0071360A" w:rsidRPr="00171F00">
        <w:rPr>
          <w:rFonts w:cs="Arial"/>
          <w:lang w:val="sr-Cyrl-BA"/>
        </w:rPr>
        <w:t>ју</w:t>
      </w:r>
      <w:r w:rsidR="00A56E08" w:rsidRPr="00171F00">
        <w:rPr>
          <w:rFonts w:cs="Arial"/>
          <w:lang w:val="sr-Cyrl-BA"/>
        </w:rPr>
        <w:t>ће</w:t>
      </w:r>
      <w:r w:rsidRPr="00171F00">
        <w:rPr>
          <w:rFonts w:cs="Arial"/>
          <w:lang w:val="sr-Cyrl-BA"/>
        </w:rPr>
        <w:t xml:space="preserve"> </w:t>
      </w:r>
      <w:r w:rsidR="0071360A" w:rsidRPr="00171F00">
        <w:rPr>
          <w:rFonts w:cs="Arial"/>
          <w:lang w:val="sr-Cyrl-BA"/>
        </w:rPr>
        <w:t>и</w:t>
      </w:r>
      <w:r w:rsidR="00171F00">
        <w:rPr>
          <w:rFonts w:cs="Arial"/>
          <w:lang w:val="sr-Cyrl-BA"/>
        </w:rPr>
        <w:t>з</w:t>
      </w:r>
      <w:r w:rsidR="0071360A" w:rsidRPr="00171F00">
        <w:rPr>
          <w:rFonts w:cs="Arial"/>
          <w:lang w:val="sr-Cyrl-BA"/>
        </w:rPr>
        <w:t>мј</w:t>
      </w:r>
      <w:r w:rsidR="00A56E08" w:rsidRPr="00171F00">
        <w:rPr>
          <w:rFonts w:cs="Arial"/>
          <w:lang w:val="sr-Cyrl-BA"/>
        </w:rPr>
        <w:t>е</w:t>
      </w:r>
      <w:r w:rsidR="0071360A" w:rsidRPr="00171F00">
        <w:rPr>
          <w:rFonts w:cs="Arial"/>
          <w:lang w:val="sr-Cyrl-BA"/>
        </w:rPr>
        <w:t>н</w:t>
      </w:r>
      <w:r w:rsidR="00A56E08" w:rsidRPr="00171F00">
        <w:rPr>
          <w:rFonts w:cs="Arial"/>
          <w:lang w:val="sr-Cyrl-BA"/>
        </w:rPr>
        <w:t>е</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прил</w:t>
      </w:r>
      <w:r w:rsidR="00A56E08" w:rsidRPr="00171F00">
        <w:rPr>
          <w:rFonts w:cs="Arial"/>
          <w:lang w:val="sr-Cyrl-BA"/>
        </w:rPr>
        <w:t>а</w:t>
      </w:r>
      <w:r w:rsidR="0071360A" w:rsidRPr="00171F00">
        <w:rPr>
          <w:rFonts w:cs="Arial"/>
          <w:lang w:val="sr-Cyrl-BA"/>
        </w:rPr>
        <w:t>го</w:t>
      </w:r>
      <w:r w:rsidR="00A56E08" w:rsidRPr="00171F00">
        <w:rPr>
          <w:rFonts w:cs="Arial"/>
          <w:lang w:val="sr-Cyrl-BA"/>
        </w:rPr>
        <w:t>ђа</w:t>
      </w:r>
      <w:r w:rsidR="0071360A" w:rsidRPr="00171F00">
        <w:rPr>
          <w:rFonts w:cs="Arial"/>
          <w:lang w:val="sr-Cyrl-BA"/>
        </w:rPr>
        <w:t>в</w:t>
      </w:r>
      <w:r w:rsidR="00A56E08" w:rsidRPr="00171F00">
        <w:rPr>
          <w:rFonts w:cs="Arial"/>
          <w:lang w:val="sr-Cyrl-BA"/>
        </w:rPr>
        <w:t>а</w:t>
      </w:r>
      <w:r w:rsidR="0071360A" w:rsidRPr="00171F00">
        <w:rPr>
          <w:rFonts w:cs="Arial"/>
          <w:lang w:val="sr-Cyrl-BA"/>
        </w:rPr>
        <w:t>њ</w:t>
      </w:r>
      <w:r w:rsidR="00A56E08" w:rsidRPr="00171F00">
        <w:rPr>
          <w:rFonts w:cs="Arial"/>
          <w:lang w:val="sr-Cyrl-BA"/>
        </w:rPr>
        <w:t>а</w:t>
      </w:r>
      <w:r w:rsidRPr="00171F00">
        <w:rPr>
          <w:rFonts w:cs="Arial"/>
          <w:lang w:val="sr-Cyrl-BA"/>
        </w:rPr>
        <w:t xml:space="preserve"> </w:t>
      </w:r>
      <w:r w:rsidR="0071360A" w:rsidRPr="00171F00">
        <w:rPr>
          <w:rFonts w:cs="Arial"/>
          <w:lang w:val="sr-Cyrl-BA"/>
        </w:rPr>
        <w:t>потр</w:t>
      </w:r>
      <w:r w:rsidR="00A56E08" w:rsidRPr="00171F00">
        <w:rPr>
          <w:rFonts w:cs="Arial"/>
          <w:lang w:val="sr-Cyrl-BA"/>
        </w:rPr>
        <w:t>еб</w:t>
      </w:r>
      <w:r w:rsidR="0071360A" w:rsidRPr="00171F00">
        <w:rPr>
          <w:rFonts w:cs="Arial"/>
          <w:lang w:val="sr-Cyrl-BA"/>
        </w:rPr>
        <w:t>н</w:t>
      </w:r>
      <w:r w:rsidR="00A56E08" w:rsidRPr="00171F00">
        <w:rPr>
          <w:rFonts w:cs="Arial"/>
          <w:lang w:val="sr-Cyrl-BA"/>
        </w:rPr>
        <w:t>е</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конкр</w:t>
      </w:r>
      <w:r w:rsidR="00A56E08" w:rsidRPr="00171F00">
        <w:rPr>
          <w:rFonts w:cs="Arial"/>
          <w:lang w:val="sr-Cyrl-BA"/>
        </w:rPr>
        <w:t>е</w:t>
      </w:r>
      <w:r w:rsidR="0071360A" w:rsidRPr="00171F00">
        <w:rPr>
          <w:rFonts w:cs="Arial"/>
          <w:lang w:val="sr-Cyrl-BA"/>
        </w:rPr>
        <w:t>тном</w:t>
      </w:r>
      <w:r w:rsidRPr="00171F00">
        <w:rPr>
          <w:rFonts w:cs="Arial"/>
          <w:lang w:val="sr-Cyrl-BA"/>
        </w:rPr>
        <w:t xml:space="preserve"> </w:t>
      </w:r>
      <w:r w:rsidR="0071360A" w:rsidRPr="00171F00">
        <w:rPr>
          <w:rFonts w:cs="Arial"/>
          <w:lang w:val="sr-Cyrl-BA"/>
        </w:rPr>
        <w:t>слу</w:t>
      </w:r>
      <w:r w:rsidR="00A56E08" w:rsidRPr="00171F00">
        <w:rPr>
          <w:rFonts w:cs="Arial"/>
          <w:lang w:val="sr-Cyrl-BA"/>
        </w:rPr>
        <w:t>ча</w:t>
      </w:r>
      <w:r w:rsidR="0071360A" w:rsidRPr="00171F00">
        <w:rPr>
          <w:rFonts w:cs="Arial"/>
          <w:lang w:val="sr-Cyrl-BA"/>
        </w:rPr>
        <w:t>ју</w:t>
      </w:r>
      <w:r w:rsidRPr="00171F00">
        <w:rPr>
          <w:rFonts w:cs="Arial"/>
          <w:lang w:val="sr-Cyrl-BA"/>
        </w:rPr>
        <w:t xml:space="preserve">, </w:t>
      </w:r>
      <w:r w:rsidR="00A56E08" w:rsidRPr="00171F00">
        <w:rPr>
          <w:rFonts w:cs="Arial"/>
          <w:lang w:val="sr-Cyrl-BA"/>
        </w:rPr>
        <w:t>а</w:t>
      </w:r>
      <w:r w:rsidRPr="00171F00">
        <w:rPr>
          <w:rFonts w:cs="Arial"/>
          <w:lang w:val="sr-Cyrl-BA"/>
        </w:rPr>
        <w:t xml:space="preserve"> </w:t>
      </w:r>
      <w:r w:rsidR="0071360A" w:rsidRPr="00171F00">
        <w:rPr>
          <w:rFonts w:cs="Arial"/>
          <w:lang w:val="sr-Cyrl-BA"/>
        </w:rPr>
        <w:t>кој</w:t>
      </w:r>
      <w:r w:rsidR="00A56E08" w:rsidRPr="00171F00">
        <w:rPr>
          <w:rFonts w:cs="Arial"/>
          <w:lang w:val="sr-Cyrl-BA"/>
        </w:rPr>
        <w:t>е</w:t>
      </w:r>
      <w:r w:rsidRPr="00171F00">
        <w:rPr>
          <w:rFonts w:cs="Arial"/>
          <w:lang w:val="sr-Cyrl-BA"/>
        </w:rPr>
        <w:t xml:space="preserve"> </w:t>
      </w:r>
      <w:r w:rsidR="0071360A" w:rsidRPr="00171F00">
        <w:rPr>
          <w:rFonts w:cs="Arial"/>
          <w:lang w:val="sr-Cyrl-BA"/>
        </w:rPr>
        <w:t>н</w:t>
      </w:r>
      <w:r w:rsidR="00A56E08" w:rsidRPr="00171F00">
        <w:rPr>
          <w:rFonts w:cs="Arial"/>
          <w:lang w:val="sr-Cyrl-BA"/>
        </w:rPr>
        <w:t>е</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0071360A" w:rsidRPr="00171F00">
        <w:rPr>
          <w:rFonts w:cs="Arial"/>
          <w:lang w:val="sr-Cyrl-BA"/>
        </w:rPr>
        <w:t>м</w:t>
      </w:r>
      <w:r w:rsidR="00A56E08" w:rsidRPr="00171F00">
        <w:rPr>
          <w:rFonts w:cs="Arial"/>
          <w:lang w:val="sr-Cyrl-BA"/>
        </w:rPr>
        <w:t>ећ</w:t>
      </w:r>
      <w:r w:rsidR="0071360A" w:rsidRPr="00171F00">
        <w:rPr>
          <w:rFonts w:cs="Arial"/>
          <w:lang w:val="sr-Cyrl-BA"/>
        </w:rPr>
        <w:t>у</w:t>
      </w:r>
      <w:r w:rsidRPr="00171F00">
        <w:rPr>
          <w:rFonts w:cs="Arial"/>
          <w:lang w:val="sr-Cyrl-BA"/>
        </w:rPr>
        <w:t xml:space="preserve"> </w:t>
      </w:r>
      <w:r w:rsidR="0071360A" w:rsidRPr="00171F00">
        <w:rPr>
          <w:rFonts w:cs="Arial"/>
          <w:lang w:val="sr-Cyrl-BA"/>
        </w:rPr>
        <w:t>н</w:t>
      </w:r>
      <w:r w:rsidR="00A56E08" w:rsidRPr="00171F00">
        <w:rPr>
          <w:rFonts w:cs="Arial"/>
          <w:lang w:val="sr-Cyrl-BA"/>
        </w:rPr>
        <w:t>е</w:t>
      </w:r>
      <w:r w:rsidR="0071360A" w:rsidRPr="00171F00">
        <w:rPr>
          <w:rFonts w:cs="Arial"/>
          <w:lang w:val="sr-Cyrl-BA"/>
        </w:rPr>
        <w:t>пропор</w:t>
      </w:r>
      <w:r w:rsidR="00A56E08" w:rsidRPr="00171F00">
        <w:rPr>
          <w:rFonts w:cs="Arial"/>
          <w:lang w:val="sr-Cyrl-BA"/>
        </w:rPr>
        <w:t>ц</w:t>
      </w:r>
      <w:r w:rsidR="0071360A" w:rsidRPr="00171F00">
        <w:rPr>
          <w:rFonts w:cs="Arial"/>
          <w:lang w:val="sr-Cyrl-BA"/>
        </w:rPr>
        <w:t>ион</w:t>
      </w:r>
      <w:r w:rsidR="00A56E08" w:rsidRPr="00171F00">
        <w:rPr>
          <w:rFonts w:cs="Arial"/>
          <w:lang w:val="sr-Cyrl-BA"/>
        </w:rPr>
        <w:t>а</w:t>
      </w:r>
      <w:r w:rsidR="0071360A" w:rsidRPr="00171F00">
        <w:rPr>
          <w:rFonts w:cs="Arial"/>
          <w:lang w:val="sr-Cyrl-BA"/>
        </w:rPr>
        <w:t>л</w:t>
      </w:r>
      <w:r w:rsidR="00A56E08" w:rsidRPr="00171F00">
        <w:rPr>
          <w:rFonts w:cs="Arial"/>
          <w:lang w:val="sr-Cyrl-BA"/>
        </w:rPr>
        <w:t>а</w:t>
      </w:r>
      <w:r w:rsidR="0071360A" w:rsidRPr="00171F00">
        <w:rPr>
          <w:rFonts w:cs="Arial"/>
          <w:lang w:val="sr-Cyrl-BA"/>
        </w:rPr>
        <w:t>н</w:t>
      </w:r>
      <w:r w:rsidR="00B8450A" w:rsidRPr="00171F00">
        <w:rPr>
          <w:rFonts w:cs="Arial"/>
          <w:lang w:val="sr-Cyrl-BA"/>
        </w:rPr>
        <w:t xml:space="preserve"> </w:t>
      </w:r>
      <w:r w:rsidR="0071360A" w:rsidRPr="00171F00">
        <w:rPr>
          <w:rFonts w:cs="Arial"/>
          <w:lang w:val="sr-Cyrl-BA"/>
        </w:rPr>
        <w:t>или</w:t>
      </w:r>
      <w:r w:rsidRPr="00171F00">
        <w:rPr>
          <w:rFonts w:cs="Arial"/>
          <w:lang w:val="sr-Cyrl-BA"/>
        </w:rPr>
        <w:t xml:space="preserve"> </w:t>
      </w:r>
      <w:r w:rsidR="0071360A" w:rsidRPr="00171F00">
        <w:rPr>
          <w:rFonts w:cs="Arial"/>
          <w:lang w:val="sr-Cyrl-BA"/>
        </w:rPr>
        <w:t>н</w:t>
      </w:r>
      <w:r w:rsidR="00A56E08" w:rsidRPr="00171F00">
        <w:rPr>
          <w:rFonts w:cs="Arial"/>
          <w:lang w:val="sr-Cyrl-BA"/>
        </w:rPr>
        <w:t>е</w:t>
      </w:r>
      <w:r w:rsidR="0071360A" w:rsidRPr="00171F00">
        <w:rPr>
          <w:rFonts w:cs="Arial"/>
          <w:lang w:val="sr-Cyrl-BA"/>
        </w:rPr>
        <w:t>о</w:t>
      </w:r>
      <w:r w:rsidR="00A56E08" w:rsidRPr="00171F00">
        <w:rPr>
          <w:rFonts w:cs="Arial"/>
          <w:lang w:val="sr-Cyrl-BA"/>
        </w:rPr>
        <w:t>д</w:t>
      </w:r>
      <w:r w:rsidR="0071360A" w:rsidRPr="00171F00">
        <w:rPr>
          <w:rFonts w:cs="Arial"/>
          <w:lang w:val="sr-Cyrl-BA"/>
        </w:rPr>
        <w:t>гов</w:t>
      </w:r>
      <w:r w:rsidR="00A56E08" w:rsidRPr="00171F00">
        <w:rPr>
          <w:rFonts w:cs="Arial"/>
          <w:lang w:val="sr-Cyrl-BA"/>
        </w:rPr>
        <w:t>а</w:t>
      </w:r>
      <w:r w:rsidR="0071360A" w:rsidRPr="00171F00">
        <w:rPr>
          <w:rFonts w:cs="Arial"/>
          <w:lang w:val="sr-Cyrl-BA"/>
        </w:rPr>
        <w:t>р</w:t>
      </w:r>
      <w:r w:rsidR="00A56E08" w:rsidRPr="00171F00">
        <w:rPr>
          <w:rFonts w:cs="Arial"/>
          <w:lang w:val="sr-Cyrl-BA"/>
        </w:rPr>
        <w:t>а</w:t>
      </w:r>
      <w:r w:rsidR="0071360A" w:rsidRPr="00171F00">
        <w:rPr>
          <w:rFonts w:cs="Arial"/>
          <w:lang w:val="sr-Cyrl-BA"/>
        </w:rPr>
        <w:t>ју</w:t>
      </w:r>
      <w:r w:rsidR="00A56E08" w:rsidRPr="00171F00">
        <w:rPr>
          <w:rFonts w:cs="Arial"/>
          <w:lang w:val="sr-Cyrl-BA"/>
        </w:rPr>
        <w:t>ћ</w:t>
      </w:r>
      <w:r w:rsidR="0071360A" w:rsidRPr="00171F00">
        <w:rPr>
          <w:rFonts w:cs="Arial"/>
          <w:lang w:val="sr-Cyrl-BA"/>
        </w:rPr>
        <w:t>и</w:t>
      </w:r>
      <w:r w:rsidR="00B8450A"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р</w:t>
      </w:r>
      <w:r w:rsidR="00A56E08" w:rsidRPr="00171F00">
        <w:rPr>
          <w:rFonts w:cs="Arial"/>
          <w:lang w:val="sr-Cyrl-BA"/>
        </w:rPr>
        <w:t>е</w:t>
      </w:r>
      <w:r w:rsidR="0071360A" w:rsidRPr="00171F00">
        <w:rPr>
          <w:rFonts w:cs="Arial"/>
          <w:lang w:val="sr-Cyrl-BA"/>
        </w:rPr>
        <w:t>т</w:t>
      </w:r>
      <w:r w:rsidRPr="00171F00">
        <w:rPr>
          <w:rFonts w:cs="Arial"/>
          <w:lang w:val="sr-Cyrl-BA"/>
        </w:rPr>
        <w:t xml:space="preserve">, </w:t>
      </w:r>
      <w:r w:rsidR="0071360A" w:rsidRPr="00171F00">
        <w:rPr>
          <w:rFonts w:cs="Arial"/>
          <w:lang w:val="sr-Cyrl-BA"/>
        </w:rPr>
        <w:t>к</w:t>
      </w:r>
      <w:r w:rsidR="00A56E08" w:rsidRPr="00171F00">
        <w:rPr>
          <w:rFonts w:cs="Arial"/>
          <w:lang w:val="sr-Cyrl-BA"/>
        </w:rPr>
        <w:t>а</w:t>
      </w:r>
      <w:r w:rsidR="0071360A" w:rsidRPr="00171F00">
        <w:rPr>
          <w:rFonts w:cs="Arial"/>
          <w:lang w:val="sr-Cyrl-BA"/>
        </w:rPr>
        <w:t>ко</w:t>
      </w:r>
      <w:r w:rsidRPr="00171F00">
        <w:rPr>
          <w:rFonts w:cs="Arial"/>
          <w:lang w:val="sr-Cyrl-BA"/>
        </w:rPr>
        <w:t xml:space="preserve"> </w:t>
      </w:r>
      <w:r w:rsidR="00A56E08" w:rsidRPr="00171F00">
        <w:rPr>
          <w:rFonts w:cs="Arial"/>
          <w:lang w:val="sr-Cyrl-BA"/>
        </w:rPr>
        <w:t>б</w:t>
      </w:r>
      <w:r w:rsidR="0071360A" w:rsidRPr="00171F00">
        <w:rPr>
          <w:rFonts w:cs="Arial"/>
          <w:lang w:val="sr-Cyrl-BA"/>
        </w:rPr>
        <w:t>и</w:t>
      </w:r>
      <w:r w:rsidRPr="00171F00">
        <w:rPr>
          <w:rFonts w:cs="Arial"/>
          <w:lang w:val="sr-Cyrl-BA"/>
        </w:rPr>
        <w:t xml:space="preserve"> </w:t>
      </w:r>
      <w:r w:rsidR="0071360A" w:rsidRPr="00171F00">
        <w:rPr>
          <w:rFonts w:cs="Arial"/>
          <w:lang w:val="sr-Cyrl-BA"/>
        </w:rPr>
        <w:t>с</w:t>
      </w:r>
      <w:r w:rsidR="00A56E08" w:rsidRPr="00171F00">
        <w:rPr>
          <w:rFonts w:cs="Arial"/>
          <w:lang w:val="sr-Cyrl-BA"/>
        </w:rPr>
        <w:t>е</w:t>
      </w:r>
      <w:r w:rsidRPr="00171F00">
        <w:rPr>
          <w:rFonts w:cs="Arial"/>
          <w:lang w:val="sr-Cyrl-BA"/>
        </w:rPr>
        <w:t xml:space="preserve"> </w:t>
      </w:r>
      <w:r w:rsidR="0071360A" w:rsidRPr="00171F00">
        <w:rPr>
          <w:rFonts w:cs="Arial"/>
          <w:lang w:val="sr-Cyrl-BA"/>
        </w:rPr>
        <w:t>осигур</w:t>
      </w:r>
      <w:r w:rsidR="00A56E08" w:rsidRPr="00171F00">
        <w:rPr>
          <w:rFonts w:cs="Arial"/>
          <w:lang w:val="sr-Cyrl-BA"/>
        </w:rPr>
        <w:t>а</w:t>
      </w:r>
      <w:r w:rsidR="0071360A" w:rsidRPr="00171F00">
        <w:rPr>
          <w:rFonts w:cs="Arial"/>
          <w:lang w:val="sr-Cyrl-BA"/>
        </w:rPr>
        <w:t>ло</w:t>
      </w:r>
      <w:r w:rsidRPr="00171F00">
        <w:rPr>
          <w:rFonts w:cs="Arial"/>
          <w:lang w:val="sr-Cyrl-BA"/>
        </w:rPr>
        <w:t xml:space="preserve"> </w:t>
      </w:r>
      <w:r w:rsidR="00A56E08" w:rsidRPr="00171F00">
        <w:rPr>
          <w:rFonts w:cs="Arial"/>
          <w:lang w:val="sr-Cyrl-BA"/>
        </w:rPr>
        <w:t>да</w:t>
      </w:r>
      <w:r w:rsidRPr="00171F00">
        <w:rPr>
          <w:rFonts w:cs="Arial"/>
          <w:lang w:val="sr-Cyrl-BA"/>
        </w:rPr>
        <w:t xml:space="preserve"> </w:t>
      </w:r>
      <w:r w:rsidR="00A56E08" w:rsidRPr="00171F00">
        <w:rPr>
          <w:rFonts w:cs="Arial"/>
          <w:lang w:val="sr-Cyrl-BA"/>
        </w:rPr>
        <w:t>д</w:t>
      </w:r>
      <w:r w:rsidR="0071360A" w:rsidRPr="00171F00">
        <w:rPr>
          <w:rFonts w:cs="Arial"/>
          <w:lang w:val="sr-Cyrl-BA"/>
        </w:rPr>
        <w:t>ј</w:t>
      </w:r>
      <w:r w:rsidR="00A56E08" w:rsidRPr="00171F00">
        <w:rPr>
          <w:rFonts w:cs="Arial"/>
          <w:lang w:val="sr-Cyrl-BA"/>
        </w:rPr>
        <w:t>еца</w:t>
      </w:r>
      <w:r w:rsidRPr="00171F00">
        <w:rPr>
          <w:rFonts w:cs="Arial"/>
          <w:lang w:val="sr-Cyrl-BA"/>
        </w:rPr>
        <w:t xml:space="preserve"> </w:t>
      </w:r>
      <w:r w:rsidR="0071360A" w:rsidRPr="00171F00">
        <w:rPr>
          <w:rFonts w:cs="Arial"/>
          <w:lang w:val="sr-Cyrl-BA"/>
        </w:rPr>
        <w:t>с</w:t>
      </w:r>
      <w:r w:rsidR="00A56E08" w:rsidRPr="00171F00">
        <w:rPr>
          <w:rFonts w:cs="Arial"/>
          <w:lang w:val="sr-Cyrl-BA"/>
        </w:rPr>
        <w:t>а</w:t>
      </w:r>
      <w:r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шко</w:t>
      </w:r>
      <w:r w:rsidR="00A56E08" w:rsidRPr="00171F00">
        <w:rPr>
          <w:rFonts w:cs="Arial"/>
          <w:lang w:val="sr-Cyrl-BA"/>
        </w:rPr>
        <w:t>ћа</w:t>
      </w:r>
      <w:r w:rsidR="0071360A" w:rsidRPr="00171F00">
        <w:rPr>
          <w:rFonts w:cs="Arial"/>
          <w:lang w:val="sr-Cyrl-BA"/>
        </w:rPr>
        <w:t>м</w:t>
      </w:r>
      <w:r w:rsidR="00A56E08" w:rsidRPr="00171F00">
        <w:rPr>
          <w:rFonts w:cs="Arial"/>
          <w:lang w:val="sr-Cyrl-BA"/>
        </w:rPr>
        <w:t>а</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воју</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осо</w:t>
      </w:r>
      <w:r w:rsidR="00A56E08" w:rsidRPr="00171F00">
        <w:rPr>
          <w:rFonts w:cs="Arial"/>
          <w:lang w:val="sr-Cyrl-BA"/>
        </w:rPr>
        <w:t>бе</w:t>
      </w:r>
      <w:r w:rsidR="00B04FA8">
        <w:rPr>
          <w:rFonts w:cs="Arial"/>
          <w:lang w:val="sr-Cyrl-BA"/>
        </w:rPr>
        <w:t xml:space="preserve"> са </w:t>
      </w:r>
      <w:r w:rsidR="0071360A" w:rsidRPr="00171F00">
        <w:rPr>
          <w:rFonts w:cs="Arial"/>
          <w:lang w:val="sr-Cyrl-BA"/>
        </w:rPr>
        <w:t>инв</w:t>
      </w:r>
      <w:r w:rsidR="00A56E08" w:rsidRPr="00171F00">
        <w:rPr>
          <w:rFonts w:cs="Arial"/>
          <w:lang w:val="sr-Cyrl-BA"/>
        </w:rPr>
        <w:t>а</w:t>
      </w:r>
      <w:r w:rsidR="0071360A" w:rsidRPr="00171F00">
        <w:rPr>
          <w:rFonts w:cs="Arial"/>
          <w:lang w:val="sr-Cyrl-BA"/>
        </w:rPr>
        <w:t>ли</w:t>
      </w:r>
      <w:r w:rsidR="00A56E08" w:rsidRPr="00171F00">
        <w:rPr>
          <w:rFonts w:cs="Arial"/>
          <w:lang w:val="sr-Cyrl-BA"/>
        </w:rPr>
        <w:t>д</w:t>
      </w:r>
      <w:r w:rsidR="0071360A" w:rsidRPr="00171F00">
        <w:rPr>
          <w:rFonts w:cs="Arial"/>
          <w:lang w:val="sr-Cyrl-BA"/>
        </w:rPr>
        <w:t>ит</w:t>
      </w:r>
      <w:r w:rsidR="00A56E08" w:rsidRPr="00171F00">
        <w:rPr>
          <w:rFonts w:cs="Arial"/>
          <w:lang w:val="sr-Cyrl-BA"/>
        </w:rPr>
        <w:t>е</w:t>
      </w:r>
      <w:r w:rsidR="0071360A" w:rsidRPr="00171F00">
        <w:rPr>
          <w:rFonts w:cs="Arial"/>
          <w:lang w:val="sr-Cyrl-BA"/>
        </w:rPr>
        <w:t>том</w:t>
      </w:r>
      <w:r w:rsidRPr="00171F00">
        <w:rPr>
          <w:rFonts w:cs="Arial"/>
          <w:lang w:val="sr-Cyrl-BA"/>
        </w:rPr>
        <w:t xml:space="preserve"> </w:t>
      </w:r>
      <w:r w:rsidR="0071360A" w:rsidRPr="00171F00">
        <w:rPr>
          <w:rFonts w:cs="Arial"/>
          <w:lang w:val="sr-Cyrl-BA"/>
        </w:rPr>
        <w:t>р</w:t>
      </w:r>
      <w:r w:rsidR="00A56E08" w:rsidRPr="00171F00">
        <w:rPr>
          <w:rFonts w:cs="Arial"/>
          <w:lang w:val="sr-Cyrl-BA"/>
        </w:rPr>
        <w:t>а</w:t>
      </w:r>
      <w:r w:rsidR="0071360A" w:rsidRPr="00171F00">
        <w:rPr>
          <w:rFonts w:cs="Arial"/>
          <w:lang w:val="sr-Cyrl-BA"/>
        </w:rPr>
        <w:t>внопр</w:t>
      </w:r>
      <w:r w:rsidR="00A56E08" w:rsidRPr="00171F00">
        <w:rPr>
          <w:rFonts w:cs="Arial"/>
          <w:lang w:val="sr-Cyrl-BA"/>
        </w:rPr>
        <w:t>а</w:t>
      </w:r>
      <w:r w:rsidR="0071360A" w:rsidRPr="00171F00">
        <w:rPr>
          <w:rFonts w:cs="Arial"/>
          <w:lang w:val="sr-Cyrl-BA"/>
        </w:rPr>
        <w:t>вно</w:t>
      </w:r>
      <w:r w:rsidR="00B04FA8">
        <w:rPr>
          <w:rFonts w:cs="Arial"/>
          <w:lang w:val="sr-Cyrl-BA"/>
        </w:rPr>
        <w:t xml:space="preserve"> са </w:t>
      </w:r>
      <w:r w:rsidR="00A56E08" w:rsidRPr="00171F00">
        <w:rPr>
          <w:rFonts w:cs="Arial"/>
          <w:lang w:val="sr-Cyrl-BA"/>
        </w:rPr>
        <w:t>д</w:t>
      </w:r>
      <w:r w:rsidR="0071360A" w:rsidRPr="00171F00">
        <w:rPr>
          <w:rFonts w:cs="Arial"/>
          <w:lang w:val="sr-Cyrl-BA"/>
        </w:rPr>
        <w:t>ругим</w:t>
      </w:r>
      <w:r w:rsidRPr="00171F00">
        <w:rPr>
          <w:rFonts w:cs="Arial"/>
          <w:lang w:val="sr-Cyrl-BA"/>
        </w:rPr>
        <w:t xml:space="preserve"> </w:t>
      </w:r>
      <w:r w:rsidR="0071360A" w:rsidRPr="00171F00">
        <w:rPr>
          <w:rFonts w:cs="Arial"/>
          <w:lang w:val="sr-Cyrl-BA"/>
        </w:rPr>
        <w:t>осо</w:t>
      </w:r>
      <w:r w:rsidR="00A56E08" w:rsidRPr="00171F00">
        <w:rPr>
          <w:rFonts w:cs="Arial"/>
          <w:lang w:val="sr-Cyrl-BA"/>
        </w:rPr>
        <w:t>ба</w:t>
      </w:r>
      <w:r w:rsidR="0071360A" w:rsidRPr="00171F00">
        <w:rPr>
          <w:rFonts w:cs="Arial"/>
          <w:lang w:val="sr-Cyrl-BA"/>
        </w:rPr>
        <w:t>м</w:t>
      </w:r>
      <w:r w:rsidR="00A56E08" w:rsidRPr="00171F00">
        <w:rPr>
          <w:rFonts w:cs="Arial"/>
          <w:lang w:val="sr-Cyrl-BA"/>
        </w:rPr>
        <w:t>а</w:t>
      </w:r>
      <w:r w:rsidRPr="00171F00">
        <w:rPr>
          <w:rFonts w:cs="Arial"/>
          <w:lang w:val="sr-Cyrl-BA"/>
        </w:rPr>
        <w:t xml:space="preserve"> </w:t>
      </w:r>
      <w:r w:rsidR="0071360A" w:rsidRPr="00171F00">
        <w:rPr>
          <w:rFonts w:cs="Arial"/>
          <w:lang w:val="sr-Cyrl-BA"/>
        </w:rPr>
        <w:t>у</w:t>
      </w:r>
      <w:r w:rsidR="00171F00">
        <w:rPr>
          <w:rFonts w:cs="Arial"/>
          <w:lang w:val="sr-Cyrl-BA"/>
        </w:rPr>
        <w:t>ж</w:t>
      </w:r>
      <w:r w:rsidR="0071360A" w:rsidRPr="00171F00">
        <w:rPr>
          <w:rFonts w:cs="Arial"/>
          <w:lang w:val="sr-Cyrl-BA"/>
        </w:rPr>
        <w:t>ив</w:t>
      </w:r>
      <w:r w:rsidR="00A56E08" w:rsidRPr="00171F00">
        <w:rPr>
          <w:rFonts w:cs="Arial"/>
          <w:lang w:val="sr-Cyrl-BA"/>
        </w:rPr>
        <w:t>а</w:t>
      </w:r>
      <w:r w:rsidR="0071360A" w:rsidRPr="00171F00">
        <w:rPr>
          <w:rFonts w:cs="Arial"/>
          <w:lang w:val="sr-Cyrl-BA"/>
        </w:rPr>
        <w:t>ју</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оств</w:t>
      </w:r>
      <w:r w:rsidR="00A56E08" w:rsidRPr="00171F00">
        <w:rPr>
          <w:rFonts w:cs="Arial"/>
          <w:lang w:val="sr-Cyrl-BA"/>
        </w:rPr>
        <w:t>а</w:t>
      </w:r>
      <w:r w:rsidR="0071360A" w:rsidRPr="00171F00">
        <w:rPr>
          <w:rFonts w:cs="Arial"/>
          <w:lang w:val="sr-Cyrl-BA"/>
        </w:rPr>
        <w:t>рују</w:t>
      </w:r>
      <w:r w:rsidRPr="00171F00">
        <w:rPr>
          <w:rFonts w:cs="Arial"/>
          <w:lang w:val="sr-Cyrl-BA"/>
        </w:rPr>
        <w:t xml:space="preserve"> </w:t>
      </w:r>
      <w:r w:rsidR="0071360A" w:rsidRPr="00171F00">
        <w:rPr>
          <w:rFonts w:cs="Arial"/>
          <w:lang w:val="sr-Cyrl-BA"/>
        </w:rPr>
        <w:t>св</w:t>
      </w:r>
      <w:r w:rsidR="00A56E08" w:rsidRPr="00171F00">
        <w:rPr>
          <w:rFonts w:cs="Arial"/>
          <w:lang w:val="sr-Cyrl-BA"/>
        </w:rPr>
        <w:t>а</w:t>
      </w:r>
      <w:r w:rsidRPr="00171F00">
        <w:rPr>
          <w:rFonts w:cs="Arial"/>
          <w:lang w:val="sr-Cyrl-BA"/>
        </w:rPr>
        <w:t xml:space="preserve"> </w:t>
      </w:r>
      <w:r w:rsidR="0071360A" w:rsidRPr="00171F00">
        <w:rPr>
          <w:rFonts w:cs="Arial"/>
          <w:lang w:val="sr-Cyrl-BA"/>
        </w:rPr>
        <w:t>љу</w:t>
      </w:r>
      <w:r w:rsidR="00A56E08" w:rsidRPr="00171F00">
        <w:rPr>
          <w:rFonts w:cs="Arial"/>
          <w:lang w:val="sr-Cyrl-BA"/>
        </w:rPr>
        <w:t>д</w:t>
      </w:r>
      <w:r w:rsidR="0071360A" w:rsidRPr="00171F00">
        <w:rPr>
          <w:rFonts w:cs="Arial"/>
          <w:lang w:val="sr-Cyrl-BA"/>
        </w:rPr>
        <w:t>ск</w:t>
      </w:r>
      <w:r w:rsidR="00A56E08" w:rsidRPr="00171F00">
        <w:rPr>
          <w:rFonts w:cs="Arial"/>
          <w:lang w:val="sr-Cyrl-BA"/>
        </w:rPr>
        <w:t>а</w:t>
      </w:r>
      <w:r w:rsidRPr="00171F00">
        <w:rPr>
          <w:rFonts w:cs="Arial"/>
          <w:lang w:val="sr-Cyrl-BA"/>
        </w:rPr>
        <w:t xml:space="preserve"> </w:t>
      </w:r>
      <w:r w:rsidR="0071360A" w:rsidRPr="00171F00">
        <w:rPr>
          <w:rFonts w:cs="Arial"/>
          <w:lang w:val="sr-Cyrl-BA"/>
        </w:rPr>
        <w:t>пр</w:t>
      </w:r>
      <w:r w:rsidR="00A56E08" w:rsidRPr="00171F00">
        <w:rPr>
          <w:rFonts w:cs="Arial"/>
          <w:lang w:val="sr-Cyrl-BA"/>
        </w:rPr>
        <w:t>а</w:t>
      </w:r>
      <w:r w:rsidR="0071360A" w:rsidRPr="00171F00">
        <w:rPr>
          <w:rFonts w:cs="Arial"/>
          <w:lang w:val="sr-Cyrl-BA"/>
        </w:rPr>
        <w:t>в</w:t>
      </w:r>
      <w:r w:rsidR="00A56E08" w:rsidRPr="00171F00">
        <w:rPr>
          <w:rFonts w:cs="Arial"/>
          <w:lang w:val="sr-Cyrl-BA"/>
        </w:rPr>
        <w:t>а</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основн</w:t>
      </w:r>
      <w:r w:rsidR="00A56E08" w:rsidRPr="00171F00">
        <w:rPr>
          <w:rFonts w:cs="Arial"/>
          <w:lang w:val="sr-Cyrl-BA"/>
        </w:rPr>
        <w:t>е</w:t>
      </w:r>
      <w:r w:rsidRPr="00171F00">
        <w:rPr>
          <w:rFonts w:cs="Arial"/>
          <w:lang w:val="sr-Cyrl-BA"/>
        </w:rPr>
        <w:t xml:space="preserve"> </w:t>
      </w:r>
      <w:r w:rsidR="0071360A" w:rsidRPr="00171F00">
        <w:rPr>
          <w:rFonts w:cs="Arial"/>
          <w:lang w:val="sr-Cyrl-BA"/>
        </w:rPr>
        <w:t>сло</w:t>
      </w:r>
      <w:r w:rsidR="00A56E08" w:rsidRPr="00171F00">
        <w:rPr>
          <w:rFonts w:cs="Arial"/>
          <w:lang w:val="sr-Cyrl-BA"/>
        </w:rPr>
        <w:t>б</w:t>
      </w:r>
      <w:r w:rsidR="0071360A" w:rsidRPr="00171F00">
        <w:rPr>
          <w:rFonts w:cs="Arial"/>
          <w:lang w:val="sr-Cyrl-BA"/>
        </w:rPr>
        <w:t>о</w:t>
      </w:r>
      <w:r w:rsidR="00A56E08" w:rsidRPr="00171F00">
        <w:rPr>
          <w:rFonts w:cs="Arial"/>
          <w:lang w:val="sr-Cyrl-BA"/>
        </w:rPr>
        <w:t>де</w:t>
      </w:r>
      <w:r w:rsidRPr="00171F00">
        <w:rPr>
          <w:rFonts w:cs="Arial"/>
          <w:lang w:val="sr-Cyrl-BA"/>
        </w:rPr>
        <w:t xml:space="preserve"> (</w:t>
      </w:r>
      <w:r w:rsidR="0071360A" w:rsidRPr="00171F00">
        <w:rPr>
          <w:rFonts w:cs="Arial"/>
          <w:lang w:val="sr-Cyrl-BA"/>
        </w:rPr>
        <w:t>К</w:t>
      </w:r>
      <w:r w:rsidR="00A56E08" w:rsidRPr="00171F00">
        <w:rPr>
          <w:rFonts w:cs="Arial"/>
          <w:lang w:val="sr-Cyrl-BA"/>
        </w:rPr>
        <w:t>а</w:t>
      </w:r>
      <w:r w:rsidR="0071360A" w:rsidRPr="00171F00">
        <w:rPr>
          <w:rFonts w:cs="Arial"/>
          <w:lang w:val="sr-Cyrl-BA"/>
        </w:rPr>
        <w:t>ф</w:t>
      </w:r>
      <w:r w:rsidR="00A56E08" w:rsidRPr="00171F00">
        <w:rPr>
          <w:rFonts w:cs="Arial"/>
          <w:lang w:val="sr-Cyrl-BA"/>
        </w:rPr>
        <w:t>еџ</w:t>
      </w:r>
      <w:r w:rsidR="0071360A" w:rsidRPr="00171F00">
        <w:rPr>
          <w:rFonts w:cs="Arial"/>
          <w:lang w:val="sr-Cyrl-BA"/>
        </w:rPr>
        <w:t>и</w:t>
      </w:r>
      <w:r w:rsidR="00A56E08" w:rsidRPr="00171F00">
        <w:rPr>
          <w:rFonts w:cs="Arial"/>
          <w:lang w:val="sr-Cyrl-BA"/>
        </w:rPr>
        <w:t>ћ</w:t>
      </w:r>
      <w:r w:rsidRPr="00171F00">
        <w:rPr>
          <w:rFonts w:cs="Arial"/>
          <w:lang w:val="sr-Cyrl-BA"/>
        </w:rPr>
        <w:t xml:space="preserve">, </w:t>
      </w:r>
      <w:r w:rsidR="00A56E08" w:rsidRPr="00171F00">
        <w:rPr>
          <w:rFonts w:cs="Arial"/>
          <w:lang w:val="sr-Cyrl-BA"/>
        </w:rPr>
        <w:t>Б</w:t>
      </w:r>
      <w:r w:rsidR="0071360A" w:rsidRPr="00171F00">
        <w:rPr>
          <w:rFonts w:cs="Arial"/>
          <w:lang w:val="sr-Cyrl-BA"/>
        </w:rPr>
        <w:t>ј</w:t>
      </w:r>
      <w:r w:rsidR="00A56E08" w:rsidRPr="00171F00">
        <w:rPr>
          <w:rFonts w:cs="Arial"/>
          <w:lang w:val="sr-Cyrl-BA"/>
        </w:rPr>
        <w:t>е</w:t>
      </w:r>
      <w:r w:rsidR="0071360A" w:rsidRPr="00171F00">
        <w:rPr>
          <w:rFonts w:cs="Arial"/>
          <w:lang w:val="sr-Cyrl-BA"/>
        </w:rPr>
        <w:t>л</w:t>
      </w:r>
      <w:r w:rsidR="00A56E08" w:rsidRPr="00171F00">
        <w:rPr>
          <w:rFonts w:cs="Arial"/>
          <w:lang w:val="sr-Cyrl-BA"/>
        </w:rPr>
        <w:t>а</w:t>
      </w:r>
      <w:r w:rsidR="0071360A" w:rsidRPr="00171F00">
        <w:rPr>
          <w:rFonts w:cs="Arial"/>
          <w:lang w:val="sr-Cyrl-BA"/>
        </w:rPr>
        <w:t>н</w:t>
      </w:r>
      <w:r w:rsidRPr="00171F00">
        <w:rPr>
          <w:rFonts w:cs="Arial"/>
          <w:lang w:val="sr-Cyrl-BA"/>
        </w:rPr>
        <w:t>-</w:t>
      </w:r>
      <w:r w:rsidR="0071360A" w:rsidRPr="00171F00">
        <w:rPr>
          <w:rFonts w:cs="Arial"/>
          <w:lang w:val="sr-Cyrl-BA"/>
        </w:rPr>
        <w:t>Гуск</w:t>
      </w:r>
      <w:r w:rsidR="00A56E08" w:rsidRPr="00171F00">
        <w:rPr>
          <w:rFonts w:cs="Arial"/>
          <w:lang w:val="sr-Cyrl-BA"/>
        </w:rPr>
        <w:t>а</w:t>
      </w:r>
      <w:r w:rsidRPr="00171F00">
        <w:rPr>
          <w:rFonts w:cs="Arial"/>
          <w:lang w:val="sr-Cyrl-BA"/>
        </w:rPr>
        <w:t xml:space="preserve">, </w:t>
      </w:r>
      <w:r w:rsidR="0071360A" w:rsidRPr="00171F00">
        <w:rPr>
          <w:rFonts w:cs="Arial"/>
          <w:lang w:val="sr-Cyrl-BA"/>
        </w:rPr>
        <w:t>Шушњ</w:t>
      </w:r>
      <w:r w:rsidR="00A56E08" w:rsidRPr="00171F00">
        <w:rPr>
          <w:rFonts w:cs="Arial"/>
          <w:lang w:val="sr-Cyrl-BA"/>
        </w:rPr>
        <w:t>а</w:t>
      </w:r>
      <w:r w:rsidR="0071360A" w:rsidRPr="00171F00">
        <w:rPr>
          <w:rFonts w:cs="Arial"/>
          <w:lang w:val="sr-Cyrl-BA"/>
        </w:rPr>
        <w:t>р</w:t>
      </w:r>
      <w:r w:rsidR="00A56E08" w:rsidRPr="00171F00">
        <w:rPr>
          <w:rFonts w:cs="Arial"/>
          <w:lang w:val="sr-Cyrl-BA"/>
        </w:rPr>
        <w:t>а</w:t>
      </w:r>
      <w:r w:rsidRPr="00171F00">
        <w:rPr>
          <w:rFonts w:cs="Arial"/>
          <w:lang w:val="sr-Cyrl-BA"/>
        </w:rPr>
        <w:t xml:space="preserve">, </w:t>
      </w:r>
      <w:r w:rsidR="0071360A" w:rsidRPr="00171F00">
        <w:rPr>
          <w:rFonts w:cs="Arial"/>
          <w:lang w:val="sr-Cyrl-BA"/>
        </w:rPr>
        <w:t>Осми</w:t>
      </w:r>
      <w:r w:rsidR="00A56E08" w:rsidRPr="00171F00">
        <w:rPr>
          <w:rFonts w:cs="Arial"/>
          <w:lang w:val="sr-Cyrl-BA"/>
        </w:rPr>
        <w:t>ћ</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171F00">
        <w:rPr>
          <w:rFonts w:cs="Arial"/>
          <w:lang w:val="sr-Cyrl-BA"/>
        </w:rPr>
        <w:t>З</w:t>
      </w:r>
      <w:r w:rsidR="0071360A" w:rsidRPr="00171F00">
        <w:rPr>
          <w:rFonts w:cs="Arial"/>
          <w:lang w:val="sr-Cyrl-BA"/>
        </w:rPr>
        <w:t>уки</w:t>
      </w:r>
      <w:r w:rsidR="00A56E08" w:rsidRPr="00171F00">
        <w:rPr>
          <w:rFonts w:cs="Arial"/>
          <w:lang w:val="sr-Cyrl-BA"/>
        </w:rPr>
        <w:t>ћ</w:t>
      </w:r>
      <w:r w:rsidRPr="00171F00">
        <w:rPr>
          <w:rFonts w:cs="Arial"/>
          <w:lang w:val="sr-Cyrl-BA"/>
        </w:rPr>
        <w:t xml:space="preserve">, 2018: 4). </w:t>
      </w:r>
    </w:p>
  </w:footnote>
  <w:footnote w:id="9">
    <w:p w14:paraId="6CA1CF02" w14:textId="2F572948" w:rsidR="00F33370" w:rsidRPr="00171F00" w:rsidRDefault="00F33370">
      <w:pPr>
        <w:pStyle w:val="FootnoteText"/>
        <w:rPr>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lang w:val="sr-Cyrl-BA"/>
        </w:rPr>
        <w:t>ви</w:t>
      </w:r>
      <w:r w:rsidR="00A56E08" w:rsidRPr="00171F00">
        <w:rPr>
          <w:rFonts w:cs="Arial"/>
          <w:lang w:val="sr-Cyrl-BA"/>
        </w:rPr>
        <w:t>д</w:t>
      </w:r>
      <w:r w:rsidR="0071360A" w:rsidRPr="00171F00">
        <w:rPr>
          <w:rFonts w:cs="Arial"/>
          <w:lang w:val="sr-Cyrl-BA"/>
        </w:rPr>
        <w:t>ј</w:t>
      </w:r>
      <w:r w:rsidR="00A56E08" w:rsidRPr="00171F00">
        <w:rPr>
          <w:rFonts w:cs="Arial"/>
          <w:lang w:val="sr-Cyrl-BA"/>
        </w:rPr>
        <w:t>е</w:t>
      </w:r>
      <w:r w:rsidR="0071360A" w:rsidRPr="00171F00">
        <w:rPr>
          <w:rFonts w:cs="Arial"/>
          <w:lang w:val="sr-Cyrl-BA"/>
        </w:rPr>
        <w:t>ти</w:t>
      </w:r>
      <w:r w:rsidRPr="00171F00">
        <w:rPr>
          <w:rFonts w:cs="Arial"/>
          <w:lang w:val="sr-Cyrl-BA"/>
        </w:rPr>
        <w:t xml:space="preserve"> </w:t>
      </w:r>
      <w:r w:rsidR="0071360A" w:rsidRPr="00171F00">
        <w:rPr>
          <w:rFonts w:cs="Arial"/>
          <w:lang w:val="sr-Cyrl-BA"/>
        </w:rPr>
        <w:t>погл</w:t>
      </w:r>
      <w:r w:rsidR="00A56E08" w:rsidRPr="00171F00">
        <w:rPr>
          <w:rFonts w:cs="Arial"/>
          <w:lang w:val="sr-Cyrl-BA"/>
        </w:rPr>
        <w:t>а</w:t>
      </w:r>
      <w:r w:rsidR="0071360A" w:rsidRPr="00171F00">
        <w:rPr>
          <w:rFonts w:cs="Arial"/>
          <w:lang w:val="sr-Cyrl-BA"/>
        </w:rPr>
        <w:t>вљ</w:t>
      </w:r>
      <w:r w:rsidR="00A56E08" w:rsidRPr="00171F00">
        <w:rPr>
          <w:rFonts w:cs="Arial"/>
          <w:lang w:val="sr-Cyrl-BA"/>
        </w:rPr>
        <w:t>е</w:t>
      </w:r>
      <w:r w:rsidRPr="00171F00">
        <w:rPr>
          <w:rFonts w:cs="Arial"/>
          <w:lang w:val="sr-Cyrl-BA"/>
        </w:rPr>
        <w:t xml:space="preserve"> 4.</w:t>
      </w:r>
    </w:p>
  </w:footnote>
  <w:footnote w:id="10">
    <w:p w14:paraId="48BBA826" w14:textId="5CA76C28"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71360A" w:rsidRPr="00171F00">
        <w:rPr>
          <w:rFonts w:cs="Arial"/>
          <w:i/>
          <w:color w:val="000000" w:themeColor="text1"/>
          <w:lang w:val="sr-Cyrl-BA"/>
        </w:rPr>
        <w:t>Форм</w:t>
      </w:r>
      <w:r w:rsidR="00A56E08" w:rsidRPr="00171F00">
        <w:rPr>
          <w:rFonts w:cs="Arial"/>
          <w:i/>
          <w:color w:val="000000" w:themeColor="text1"/>
          <w:lang w:val="sr-Cyrl-BA"/>
        </w:rPr>
        <w:t>а</w:t>
      </w:r>
      <w:r w:rsidR="0071360A" w:rsidRPr="00171F00">
        <w:rPr>
          <w:rFonts w:cs="Arial"/>
          <w:i/>
          <w:color w:val="000000" w:themeColor="text1"/>
          <w:lang w:val="sr-Cyrl-BA"/>
        </w:rPr>
        <w:t>тивно</w:t>
      </w:r>
      <w:r w:rsidRPr="00171F00">
        <w:rPr>
          <w:rFonts w:cs="Arial"/>
          <w:i/>
          <w:color w:val="000000" w:themeColor="text1"/>
          <w:lang w:val="sr-Cyrl-BA"/>
        </w:rPr>
        <w:t xml:space="preserve"> </w:t>
      </w:r>
      <w:r w:rsidR="0071360A" w:rsidRPr="00171F00">
        <w:rPr>
          <w:rFonts w:cs="Arial"/>
          <w:i/>
          <w:color w:val="000000" w:themeColor="text1"/>
          <w:lang w:val="sr-Cyrl-BA"/>
        </w:rPr>
        <w:t>вр</w:t>
      </w:r>
      <w:r w:rsidR="00A56E08" w:rsidRPr="00171F00">
        <w:rPr>
          <w:rFonts w:cs="Arial"/>
          <w:i/>
          <w:color w:val="000000" w:themeColor="text1"/>
          <w:lang w:val="sr-Cyrl-BA"/>
        </w:rPr>
        <w:t>ед</w:t>
      </w:r>
      <w:r w:rsidR="0071360A" w:rsidRPr="00171F00">
        <w:rPr>
          <w:rFonts w:cs="Arial"/>
          <w:i/>
          <w:color w:val="000000" w:themeColor="text1"/>
          <w:lang w:val="sr-Cyrl-BA"/>
        </w:rPr>
        <w:t>нов</w:t>
      </w:r>
      <w:r w:rsidR="00A56E08" w:rsidRPr="00171F00">
        <w:rPr>
          <w:rFonts w:cs="Arial"/>
          <w:i/>
          <w:color w:val="000000" w:themeColor="text1"/>
          <w:lang w:val="sr-Cyrl-BA"/>
        </w:rPr>
        <w:t>а</w:t>
      </w:r>
      <w:r w:rsidR="0071360A" w:rsidRPr="00171F00">
        <w:rPr>
          <w:rFonts w:cs="Arial"/>
          <w:i/>
          <w:color w:val="000000" w:themeColor="text1"/>
          <w:lang w:val="sr-Cyrl-BA"/>
        </w:rPr>
        <w:t>њ</w:t>
      </w:r>
      <w:r w:rsidR="00A56E08" w:rsidRPr="00171F00">
        <w:rPr>
          <w:rFonts w:cs="Arial"/>
          <w:i/>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постигну</w:t>
      </w:r>
      <w:r w:rsidR="00CA5E58">
        <w:rPr>
          <w:rFonts w:cs="Arial"/>
          <w:color w:val="000000" w:themeColor="text1"/>
          <w:lang w:val="sr-Cyrl-BA"/>
        </w:rPr>
        <w:t>ћ</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у</w:t>
      </w:r>
      <w:r w:rsidR="00A56E08" w:rsidRPr="00171F00">
        <w:rPr>
          <w:rFonts w:cs="Arial"/>
          <w:color w:val="000000" w:themeColor="text1"/>
          <w:lang w:val="sr-Cyrl-BA"/>
        </w:rPr>
        <w:t>че</w:t>
      </w:r>
      <w:r w:rsidR="0071360A" w:rsidRPr="00171F00">
        <w:rPr>
          <w:rFonts w:cs="Arial"/>
          <w:color w:val="000000" w:themeColor="text1"/>
          <w:lang w:val="sr-Cyrl-BA"/>
        </w:rPr>
        <w:t>ник</w:t>
      </w:r>
      <w:r w:rsidR="00A56E08" w:rsidRPr="00171F00">
        <w:rPr>
          <w:rFonts w:cs="Arial"/>
          <w:color w:val="000000" w:themeColor="text1"/>
          <w:lang w:val="sr-Cyrl-BA"/>
        </w:rPr>
        <w:t>а</w:t>
      </w:r>
      <w:r w:rsidRPr="00171F00">
        <w:rPr>
          <w:rFonts w:cs="Arial"/>
          <w:color w:val="000000" w:themeColor="text1"/>
          <w:lang w:val="sr-Cyrl-BA"/>
        </w:rPr>
        <w:t>/</w:t>
      </w:r>
      <w:r w:rsidR="0071360A" w:rsidRPr="00171F00">
        <w:rPr>
          <w:rFonts w:cs="Arial"/>
          <w:color w:val="000000" w:themeColor="text1"/>
          <w:lang w:val="sr-Cyrl-BA"/>
        </w:rPr>
        <w:t>сту</w:t>
      </w:r>
      <w:r w:rsidR="00A56E08" w:rsidRPr="00171F00">
        <w:rPr>
          <w:rFonts w:cs="Arial"/>
          <w:color w:val="000000" w:themeColor="text1"/>
          <w:lang w:val="sr-Cyrl-BA"/>
        </w:rPr>
        <w:t>де</w:t>
      </w:r>
      <w:r w:rsidR="0071360A" w:rsidRPr="00171F00">
        <w:rPr>
          <w:rFonts w:cs="Arial"/>
          <w:color w:val="000000" w:themeColor="text1"/>
          <w:lang w:val="sr-Cyrl-BA"/>
        </w:rPr>
        <w:t>н</w:t>
      </w:r>
      <w:r w:rsidR="00A56E08" w:rsidRPr="00171F00">
        <w:rPr>
          <w:rFonts w:cs="Arial"/>
          <w:color w:val="000000" w:themeColor="text1"/>
          <w:lang w:val="sr-Cyrl-BA"/>
        </w:rPr>
        <w:t>а</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ј</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вр</w:t>
      </w:r>
      <w:r w:rsidR="00A56E08" w:rsidRPr="00171F00">
        <w:rPr>
          <w:rFonts w:cs="Arial"/>
          <w:color w:val="000000" w:themeColor="text1"/>
          <w:lang w:val="sr-Cyrl-BA"/>
        </w:rPr>
        <w:t>ед</w:t>
      </w:r>
      <w:r w:rsidR="0071360A" w:rsidRPr="00171F00">
        <w:rPr>
          <w:rFonts w:cs="Arial"/>
          <w:color w:val="000000" w:themeColor="text1"/>
          <w:lang w:val="sr-Cyrl-BA"/>
        </w:rPr>
        <w:t>нов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кој</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с</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о</w:t>
      </w:r>
      <w:r w:rsidR="00A56E08" w:rsidRPr="00171F00">
        <w:rPr>
          <w:rFonts w:cs="Arial"/>
          <w:color w:val="000000" w:themeColor="text1"/>
          <w:lang w:val="sr-Cyrl-BA"/>
        </w:rPr>
        <w:t>д</w:t>
      </w:r>
      <w:r w:rsidR="0071360A" w:rsidRPr="00171F00">
        <w:rPr>
          <w:rFonts w:cs="Arial"/>
          <w:color w:val="000000" w:themeColor="text1"/>
          <w:lang w:val="sr-Cyrl-BA"/>
        </w:rPr>
        <w:t>виј</w:t>
      </w:r>
      <w:r w:rsidR="00A56E08" w:rsidRPr="00171F00">
        <w:rPr>
          <w:rFonts w:cs="Arial"/>
          <w:color w:val="000000" w:themeColor="text1"/>
          <w:lang w:val="sr-Cyrl-BA"/>
        </w:rPr>
        <w:t>а</w:t>
      </w:r>
      <w:r w:rsidRPr="00171F00">
        <w:rPr>
          <w:rFonts w:cs="Arial"/>
          <w:color w:val="000000" w:themeColor="text1"/>
          <w:lang w:val="sr-Cyrl-BA"/>
        </w:rPr>
        <w:t xml:space="preserve"> </w:t>
      </w:r>
      <w:r w:rsidR="00171F00">
        <w:rPr>
          <w:rFonts w:cs="Arial"/>
          <w:color w:val="000000" w:themeColor="text1"/>
          <w:lang w:val="sr-Cyrl-BA"/>
        </w:rPr>
        <w:t>з</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вриј</w:t>
      </w:r>
      <w:r w:rsidR="00A56E08" w:rsidRPr="00171F00">
        <w:rPr>
          <w:rFonts w:cs="Arial"/>
          <w:color w:val="000000" w:themeColor="text1"/>
          <w:lang w:val="sr-Cyrl-BA"/>
        </w:rPr>
        <w:t>е</w:t>
      </w:r>
      <w:r w:rsidR="0071360A" w:rsidRPr="00171F00">
        <w:rPr>
          <w:rFonts w:cs="Arial"/>
          <w:color w:val="000000" w:themeColor="text1"/>
          <w:lang w:val="sr-Cyrl-BA"/>
        </w:rPr>
        <w:t>м</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е</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по</w:t>
      </w:r>
      <w:r w:rsidR="00A56E08" w:rsidRPr="00171F00">
        <w:rPr>
          <w:rFonts w:cs="Arial"/>
          <w:color w:val="000000" w:themeColor="text1"/>
          <w:lang w:val="sr-Cyrl-BA"/>
        </w:rPr>
        <w:t>д</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а</w:t>
      </w:r>
      <w:r w:rsidR="0071360A" w:rsidRPr="00171F00">
        <w:rPr>
          <w:rFonts w:cs="Arial"/>
          <w:color w:val="000000" w:themeColor="text1"/>
          <w:lang w:val="sr-Cyrl-BA"/>
        </w:rPr>
        <w:t>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р</w:t>
      </w:r>
      <w:r w:rsidR="00A56E08" w:rsidRPr="00171F00">
        <w:rPr>
          <w:rFonts w:cs="Arial"/>
          <w:color w:val="000000" w:themeColor="text1"/>
          <w:lang w:val="sr-Cyrl-BA"/>
        </w:rPr>
        <w:t>ад</w:t>
      </w:r>
      <w:r w:rsidR="0071360A" w:rsidRPr="00171F00">
        <w:rPr>
          <w:rFonts w:cs="Arial"/>
          <w:color w:val="000000" w:themeColor="text1"/>
          <w:lang w:val="sr-Cyrl-BA"/>
        </w:rPr>
        <w:t>и</w:t>
      </w:r>
      <w:r w:rsidRPr="00171F00">
        <w:rPr>
          <w:rFonts w:cs="Arial"/>
          <w:color w:val="000000" w:themeColor="text1"/>
          <w:lang w:val="sr-Cyrl-BA"/>
        </w:rPr>
        <w:t xml:space="preserve"> </w:t>
      </w:r>
      <w:r w:rsidR="00A56E08" w:rsidRPr="00171F00">
        <w:rPr>
          <w:rFonts w:cs="Arial"/>
          <w:color w:val="000000" w:themeColor="text1"/>
          <w:lang w:val="sr-Cyrl-BA"/>
        </w:rPr>
        <w:t>да</w:t>
      </w:r>
      <w:r w:rsidR="0071360A" w:rsidRPr="00171F00">
        <w:rPr>
          <w:rFonts w:cs="Arial"/>
          <w:color w:val="000000" w:themeColor="text1"/>
          <w:lang w:val="sr-Cyrl-BA"/>
        </w:rPr>
        <w:t>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информ</w:t>
      </w:r>
      <w:r w:rsidR="00A56E08" w:rsidRPr="00171F00">
        <w:rPr>
          <w:rFonts w:cs="Arial"/>
          <w:color w:val="000000" w:themeColor="text1"/>
          <w:lang w:val="sr-Cyrl-BA"/>
        </w:rPr>
        <w:t>ац</w:t>
      </w:r>
      <w:r w:rsidR="0071360A" w:rsidRPr="00171F00">
        <w:rPr>
          <w:rFonts w:cs="Arial"/>
          <w:color w:val="000000" w:themeColor="text1"/>
          <w:lang w:val="sr-Cyrl-BA"/>
        </w:rPr>
        <w:t>иј</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о</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а</w:t>
      </w:r>
      <w:r w:rsidR="0071360A" w:rsidRPr="00171F00">
        <w:rPr>
          <w:rFonts w:cs="Arial"/>
          <w:color w:val="000000" w:themeColor="text1"/>
          <w:lang w:val="sr-Cyrl-BA"/>
        </w:rPr>
        <w:t>пр</w:t>
      </w:r>
      <w:r w:rsidR="00A56E08" w:rsidRPr="00171F00">
        <w:rPr>
          <w:rFonts w:cs="Arial"/>
          <w:color w:val="000000" w:themeColor="text1"/>
          <w:lang w:val="sr-Cyrl-BA"/>
        </w:rPr>
        <w:t>е</w:t>
      </w:r>
      <w:r w:rsidR="0071360A" w:rsidRPr="00171F00">
        <w:rPr>
          <w:rFonts w:cs="Arial"/>
          <w:color w:val="000000" w:themeColor="text1"/>
          <w:lang w:val="sr-Cyrl-BA"/>
        </w:rPr>
        <w:t>тку</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по</w:t>
      </w:r>
      <w:r w:rsidR="00A56E08" w:rsidRPr="00171F00">
        <w:rPr>
          <w:rFonts w:cs="Arial"/>
          <w:color w:val="000000" w:themeColor="text1"/>
          <w:lang w:val="sr-Cyrl-BA"/>
        </w:rPr>
        <w:t>б</w:t>
      </w:r>
      <w:r w:rsidR="0071360A" w:rsidRPr="00171F00">
        <w:rPr>
          <w:rFonts w:cs="Arial"/>
          <w:color w:val="000000" w:themeColor="text1"/>
          <w:lang w:val="sr-Cyrl-BA"/>
        </w:rPr>
        <w:t>ољ</w:t>
      </w:r>
      <w:r w:rsidR="00CA5E58">
        <w:rPr>
          <w:rFonts w:cs="Arial"/>
          <w:color w:val="000000" w:themeColor="text1"/>
          <w:lang w:val="sr-Cyrl-BA"/>
        </w:rPr>
        <w:t>ш</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е</w:t>
      </w:r>
      <w:r w:rsidRPr="00171F00">
        <w:rPr>
          <w:rFonts w:cs="Arial"/>
          <w:color w:val="000000" w:themeColor="text1"/>
          <w:lang w:val="sr-Cyrl-BA"/>
        </w:rPr>
        <w:t xml:space="preserve"> </w:t>
      </w:r>
      <w:r w:rsidR="00A56E08" w:rsidRPr="00171F00">
        <w:rPr>
          <w:rFonts w:cs="Arial"/>
          <w:color w:val="000000" w:themeColor="text1"/>
          <w:lang w:val="sr-Cyrl-BA"/>
        </w:rPr>
        <w:t>б</w:t>
      </w:r>
      <w:r w:rsidR="0071360A" w:rsidRPr="00171F00">
        <w:rPr>
          <w:rFonts w:cs="Arial"/>
          <w:color w:val="000000" w:themeColor="text1"/>
          <w:lang w:val="sr-Cyrl-BA"/>
        </w:rPr>
        <w:t>у</w:t>
      </w:r>
      <w:r w:rsidR="00A56E08" w:rsidRPr="00171F00">
        <w:rPr>
          <w:rFonts w:cs="Arial"/>
          <w:color w:val="000000" w:themeColor="text1"/>
          <w:lang w:val="sr-Cyrl-BA"/>
        </w:rPr>
        <w:t>д</w:t>
      </w:r>
      <w:r w:rsidR="0071360A" w:rsidRPr="00171F00">
        <w:rPr>
          <w:rFonts w:cs="Arial"/>
          <w:color w:val="000000" w:themeColor="text1"/>
          <w:lang w:val="sr-Cyrl-BA"/>
        </w:rPr>
        <w:t>у</w:t>
      </w:r>
      <w:r w:rsidR="00CA5E58">
        <w:rPr>
          <w:rFonts w:cs="Arial"/>
          <w:color w:val="000000" w:themeColor="text1"/>
          <w:lang w:val="sr-Cyrl-BA"/>
        </w:rPr>
        <w:t>ћ</w:t>
      </w:r>
      <w:r w:rsidR="00A56E08" w:rsidRPr="00171F00">
        <w:rPr>
          <w:rFonts w:cs="Arial"/>
          <w:color w:val="000000" w:themeColor="text1"/>
          <w:lang w:val="sr-Cyrl-BA"/>
        </w:rPr>
        <w:t>е</w:t>
      </w:r>
      <w:r w:rsidR="0071360A" w:rsidRPr="00171F00">
        <w:rPr>
          <w:rFonts w:cs="Arial"/>
          <w:color w:val="000000" w:themeColor="text1"/>
          <w:lang w:val="sr-Cyrl-BA"/>
        </w:rPr>
        <w:t>г</w:t>
      </w:r>
      <w:r w:rsidRPr="00171F00">
        <w:rPr>
          <w:rFonts w:cs="Arial"/>
          <w:color w:val="000000" w:themeColor="text1"/>
          <w:lang w:val="sr-Cyrl-BA"/>
        </w:rPr>
        <w:t xml:space="preserve"> </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е</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по</w:t>
      </w:r>
      <w:r w:rsidR="00A56E08" w:rsidRPr="00171F00">
        <w:rPr>
          <w:rFonts w:cs="Arial"/>
          <w:color w:val="000000" w:themeColor="text1"/>
          <w:lang w:val="sr-Cyrl-BA"/>
        </w:rPr>
        <w:t>д</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а</w:t>
      </w:r>
      <w:r w:rsidR="0071360A" w:rsidRPr="00171F00">
        <w:rPr>
          <w:rFonts w:cs="Arial"/>
          <w:color w:val="000000" w:themeColor="text1"/>
          <w:lang w:val="sr-Cyrl-BA"/>
        </w:rPr>
        <w:t>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поти</w:t>
      </w:r>
      <w:r w:rsidR="00A56E08" w:rsidRPr="00171F00">
        <w:rPr>
          <w:rFonts w:cs="Arial"/>
          <w:color w:val="000000" w:themeColor="text1"/>
          <w:lang w:val="sr-Cyrl-BA"/>
        </w:rPr>
        <w:t>ца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р</w:t>
      </w:r>
      <w:r w:rsidR="00A56E08" w:rsidRPr="00171F00">
        <w:rPr>
          <w:rFonts w:cs="Arial"/>
          <w:color w:val="000000" w:themeColor="text1"/>
          <w:lang w:val="sr-Cyrl-BA"/>
        </w:rPr>
        <w:t>е</w:t>
      </w:r>
      <w:r w:rsidR="0071360A" w:rsidRPr="00171F00">
        <w:rPr>
          <w:rFonts w:cs="Arial"/>
          <w:color w:val="000000" w:themeColor="text1"/>
          <w:lang w:val="sr-Cyrl-BA"/>
        </w:rPr>
        <w:t>фл</w:t>
      </w:r>
      <w:r w:rsidR="00A56E08" w:rsidRPr="00171F00">
        <w:rPr>
          <w:rFonts w:cs="Arial"/>
          <w:color w:val="000000" w:themeColor="text1"/>
          <w:lang w:val="sr-Cyrl-BA"/>
        </w:rPr>
        <w:t>е</w:t>
      </w:r>
      <w:r w:rsidR="0071360A" w:rsidRPr="00171F00">
        <w:rPr>
          <w:rFonts w:cs="Arial"/>
          <w:color w:val="000000" w:themeColor="text1"/>
          <w:lang w:val="sr-Cyrl-BA"/>
        </w:rPr>
        <w:t>ксиј</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о</w:t>
      </w:r>
      <w:r w:rsidRPr="00171F00">
        <w:rPr>
          <w:rFonts w:cs="Arial"/>
          <w:color w:val="000000" w:themeColor="text1"/>
          <w:lang w:val="sr-Cyrl-BA"/>
        </w:rPr>
        <w:t xml:space="preserve"> </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е</w:t>
      </w:r>
      <w:r w:rsidR="0071360A" w:rsidRPr="00171F00">
        <w:rPr>
          <w:rFonts w:cs="Arial"/>
          <w:color w:val="000000" w:themeColor="text1"/>
          <w:lang w:val="sr-Cyrl-BA"/>
        </w:rPr>
        <w:t>њу</w:t>
      </w:r>
      <w:r w:rsidRPr="00171F00">
        <w:rPr>
          <w:rFonts w:cs="Arial"/>
          <w:color w:val="000000" w:themeColor="text1"/>
          <w:lang w:val="sr-Cyrl-BA"/>
        </w:rPr>
        <w:t xml:space="preserve">, </w:t>
      </w:r>
      <w:r w:rsidR="0071360A" w:rsidRPr="00171F00">
        <w:rPr>
          <w:rFonts w:cs="Arial"/>
          <w:color w:val="000000" w:themeColor="text1"/>
          <w:lang w:val="sr-Cyrl-BA"/>
        </w:rPr>
        <w:t>схв</w:t>
      </w:r>
      <w:r w:rsidR="00A56E08" w:rsidRPr="00171F00">
        <w:rPr>
          <w:rFonts w:cs="Arial"/>
          <w:color w:val="000000" w:themeColor="text1"/>
          <w:lang w:val="sr-Cyrl-BA"/>
        </w:rPr>
        <w:t>а</w:t>
      </w:r>
      <w:r w:rsidR="0071360A" w:rsidRPr="00171F00">
        <w:rPr>
          <w:rFonts w:cs="Arial"/>
          <w:color w:val="000000" w:themeColor="text1"/>
          <w:lang w:val="sr-Cyrl-BA"/>
        </w:rPr>
        <w:t>т</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ед</w:t>
      </w:r>
      <w:r w:rsidR="0071360A" w:rsidRPr="00171F00">
        <w:rPr>
          <w:rFonts w:cs="Arial"/>
          <w:color w:val="000000" w:themeColor="text1"/>
          <w:lang w:val="sr-Cyrl-BA"/>
        </w:rPr>
        <w:t>ост</w:t>
      </w:r>
      <w:r w:rsidR="00A56E08" w:rsidRPr="00171F00">
        <w:rPr>
          <w:rFonts w:cs="Arial"/>
          <w:color w:val="000000" w:themeColor="text1"/>
          <w:lang w:val="sr-Cyrl-BA"/>
        </w:rPr>
        <w:t>а</w:t>
      </w:r>
      <w:r w:rsidR="0071360A" w:rsidRPr="00171F00">
        <w:rPr>
          <w:rFonts w:cs="Arial"/>
          <w:color w:val="000000" w:themeColor="text1"/>
          <w:lang w:val="sr-Cyrl-BA"/>
        </w:rPr>
        <w:t>т</w:t>
      </w:r>
      <w:r w:rsidR="00A56E08" w:rsidRPr="00171F00">
        <w:rPr>
          <w:rFonts w:cs="Arial"/>
          <w:color w:val="000000" w:themeColor="text1"/>
          <w:lang w:val="sr-Cyrl-BA"/>
        </w:rPr>
        <w:t>а</w:t>
      </w:r>
      <w:r w:rsidR="0071360A" w:rsidRPr="00171F00">
        <w:rPr>
          <w:rFonts w:cs="Arial"/>
          <w:color w:val="000000" w:themeColor="text1"/>
          <w:lang w:val="sr-Cyrl-BA"/>
        </w:rPr>
        <w:t>к</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е</w:t>
      </w:r>
      <w:r w:rsidR="0071360A" w:rsidRPr="00171F00">
        <w:rPr>
          <w:rFonts w:cs="Arial"/>
          <w:color w:val="000000" w:themeColor="text1"/>
          <w:lang w:val="sr-Cyrl-BA"/>
        </w:rPr>
        <w:t>њу</w:t>
      </w:r>
      <w:r w:rsidRPr="00171F00">
        <w:rPr>
          <w:rFonts w:cs="Arial"/>
          <w:color w:val="000000" w:themeColor="text1"/>
          <w:lang w:val="sr-Cyrl-BA"/>
        </w:rPr>
        <w:t xml:space="preserve">, </w:t>
      </w:r>
      <w:r w:rsidR="0071360A" w:rsidRPr="00171F00">
        <w:rPr>
          <w:rFonts w:cs="Arial"/>
          <w:color w:val="000000" w:themeColor="text1"/>
          <w:lang w:val="sr-Cyrl-BA"/>
        </w:rPr>
        <w:t>пр</w:t>
      </w:r>
      <w:r w:rsidR="00A56E08" w:rsidRPr="00171F00">
        <w:rPr>
          <w:rFonts w:cs="Arial"/>
          <w:color w:val="000000" w:themeColor="text1"/>
          <w:lang w:val="sr-Cyrl-BA"/>
        </w:rPr>
        <w:t>е</w:t>
      </w:r>
      <w:r w:rsidR="0071360A" w:rsidRPr="00171F00">
        <w:rPr>
          <w:rFonts w:cs="Arial"/>
          <w:color w:val="000000" w:themeColor="text1"/>
          <w:lang w:val="sr-Cyrl-BA"/>
        </w:rPr>
        <w:t>по</w:t>
      </w:r>
      <w:r w:rsidR="00171F00">
        <w:rPr>
          <w:rFonts w:cs="Arial"/>
          <w:color w:val="000000" w:themeColor="text1"/>
          <w:lang w:val="sr-Cyrl-BA"/>
        </w:rPr>
        <w:t>з</w:t>
      </w:r>
      <w:r w:rsidR="0071360A" w:rsidRPr="00171F00">
        <w:rPr>
          <w:rFonts w:cs="Arial"/>
          <w:color w:val="000000" w:themeColor="text1"/>
          <w:lang w:val="sr-Cyrl-BA"/>
        </w:rPr>
        <w:t>н</w:t>
      </w:r>
      <w:r w:rsidR="00A56E08" w:rsidRPr="00171F00">
        <w:rPr>
          <w:rFonts w:cs="Arial"/>
          <w:color w:val="000000" w:themeColor="text1"/>
          <w:lang w:val="sr-Cyrl-BA"/>
        </w:rPr>
        <w:t>а</w:t>
      </w:r>
      <w:r w:rsidR="0071360A" w:rsidRPr="00171F00">
        <w:rPr>
          <w:rFonts w:cs="Arial"/>
          <w:color w:val="000000" w:themeColor="text1"/>
          <w:lang w:val="sr-Cyrl-BA"/>
        </w:rPr>
        <w:t>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сн</w:t>
      </w:r>
      <w:r w:rsidR="00A56E08" w:rsidRPr="00171F00">
        <w:rPr>
          <w:rFonts w:cs="Arial"/>
          <w:color w:val="000000" w:themeColor="text1"/>
          <w:lang w:val="sr-Cyrl-BA"/>
        </w:rPr>
        <w:t>а</w:t>
      </w:r>
      <w:r w:rsidR="0071360A" w:rsidRPr="00171F00">
        <w:rPr>
          <w:rFonts w:cs="Arial"/>
          <w:color w:val="000000" w:themeColor="text1"/>
          <w:lang w:val="sr-Cyrl-BA"/>
        </w:rPr>
        <w:t>г</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у</w:t>
      </w:r>
      <w:r w:rsidR="00A56E08" w:rsidRPr="00171F00">
        <w:rPr>
          <w:rFonts w:cs="Arial"/>
          <w:color w:val="000000" w:themeColor="text1"/>
          <w:lang w:val="sr-Cyrl-BA"/>
        </w:rPr>
        <w:t>че</w:t>
      </w:r>
      <w:r w:rsidR="0071360A" w:rsidRPr="00171F00">
        <w:rPr>
          <w:rFonts w:cs="Arial"/>
          <w:color w:val="000000" w:themeColor="text1"/>
          <w:lang w:val="sr-Cyrl-BA"/>
        </w:rPr>
        <w:t>ник</w:t>
      </w:r>
      <w:r w:rsidR="00A56E08" w:rsidRPr="00171F00">
        <w:rPr>
          <w:rFonts w:cs="Arial"/>
          <w:color w:val="000000" w:themeColor="text1"/>
          <w:lang w:val="sr-Cyrl-BA"/>
        </w:rPr>
        <w:t>а</w:t>
      </w:r>
      <w:r w:rsidRPr="00171F00">
        <w:rPr>
          <w:rFonts w:cs="Arial"/>
          <w:color w:val="000000" w:themeColor="text1"/>
          <w:lang w:val="sr-Cyrl-BA"/>
        </w:rPr>
        <w:t>/</w:t>
      </w:r>
      <w:r w:rsidR="0071360A" w:rsidRPr="00171F00">
        <w:rPr>
          <w:rFonts w:cs="Arial"/>
          <w:color w:val="000000" w:themeColor="text1"/>
          <w:lang w:val="sr-Cyrl-BA"/>
        </w:rPr>
        <w:t>сту</w:t>
      </w:r>
      <w:r w:rsidR="00A56E08" w:rsidRPr="00171F00">
        <w:rPr>
          <w:rFonts w:cs="Arial"/>
          <w:color w:val="000000" w:themeColor="text1"/>
          <w:lang w:val="sr-Cyrl-BA"/>
        </w:rPr>
        <w:t>де</w:t>
      </w:r>
      <w:r w:rsidR="0071360A" w:rsidRPr="00171F00">
        <w:rPr>
          <w:rFonts w:cs="Arial"/>
          <w:color w:val="000000" w:themeColor="text1"/>
          <w:lang w:val="sr-Cyrl-BA"/>
        </w:rPr>
        <w:t>н</w:t>
      </w:r>
      <w:r w:rsidR="00A56E08" w:rsidRPr="00171F00">
        <w:rPr>
          <w:rFonts w:cs="Arial"/>
          <w:color w:val="000000" w:themeColor="text1"/>
          <w:lang w:val="sr-Cyrl-BA"/>
        </w:rPr>
        <w:t>а</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т</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пл</w:t>
      </w:r>
      <w:r w:rsidR="00A56E08" w:rsidRPr="00171F00">
        <w:rPr>
          <w:rFonts w:cs="Arial"/>
          <w:color w:val="000000" w:themeColor="text1"/>
          <w:lang w:val="sr-Cyrl-BA"/>
        </w:rPr>
        <w:t>а</w:t>
      </w:r>
      <w:r w:rsidR="0071360A" w:rsidRPr="00171F00">
        <w:rPr>
          <w:rFonts w:cs="Arial"/>
          <w:color w:val="000000" w:themeColor="text1"/>
          <w:lang w:val="sr-Cyrl-BA"/>
        </w:rPr>
        <w:t>нир</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њиховог</w:t>
      </w:r>
      <w:r w:rsidRPr="00171F00">
        <w:rPr>
          <w:rFonts w:cs="Arial"/>
          <w:color w:val="000000" w:themeColor="text1"/>
          <w:lang w:val="sr-Cyrl-BA"/>
        </w:rPr>
        <w:t xml:space="preserve"> </w:t>
      </w:r>
      <w:r w:rsidR="00A56E08" w:rsidRPr="00171F00">
        <w:rPr>
          <w:rFonts w:cs="Arial"/>
          <w:color w:val="000000" w:themeColor="text1"/>
          <w:lang w:val="sr-Cyrl-BA"/>
        </w:rPr>
        <w:t>б</w:t>
      </w:r>
      <w:r w:rsidR="0071360A" w:rsidRPr="00171F00">
        <w:rPr>
          <w:rFonts w:cs="Arial"/>
          <w:color w:val="000000" w:themeColor="text1"/>
          <w:lang w:val="sr-Cyrl-BA"/>
        </w:rPr>
        <w:t>у</w:t>
      </w:r>
      <w:r w:rsidR="00A56E08" w:rsidRPr="00171F00">
        <w:rPr>
          <w:rFonts w:cs="Arial"/>
          <w:color w:val="000000" w:themeColor="text1"/>
          <w:lang w:val="sr-Cyrl-BA"/>
        </w:rPr>
        <w:t>д</w:t>
      </w:r>
      <w:r w:rsidR="0071360A" w:rsidRPr="00171F00">
        <w:rPr>
          <w:rFonts w:cs="Arial"/>
          <w:color w:val="000000" w:themeColor="text1"/>
          <w:lang w:val="sr-Cyrl-BA"/>
        </w:rPr>
        <w:t>у</w:t>
      </w:r>
      <w:r w:rsidR="00CA5E58">
        <w:rPr>
          <w:rFonts w:cs="Arial"/>
          <w:color w:val="000000" w:themeColor="text1"/>
          <w:lang w:val="sr-Cyrl-BA"/>
        </w:rPr>
        <w:t>ћ</w:t>
      </w:r>
      <w:r w:rsidR="00A56E08" w:rsidRPr="00171F00">
        <w:rPr>
          <w:rFonts w:cs="Arial"/>
          <w:color w:val="000000" w:themeColor="text1"/>
          <w:lang w:val="sr-Cyrl-BA"/>
        </w:rPr>
        <w:t>е</w:t>
      </w:r>
      <w:r w:rsidR="0071360A" w:rsidRPr="00171F00">
        <w:rPr>
          <w:rFonts w:cs="Arial"/>
          <w:color w:val="000000" w:themeColor="text1"/>
          <w:lang w:val="sr-Cyrl-BA"/>
        </w:rPr>
        <w:t>г</w:t>
      </w:r>
      <w:r w:rsidRPr="00171F00">
        <w:rPr>
          <w:rFonts w:cs="Arial"/>
          <w:color w:val="000000" w:themeColor="text1"/>
          <w:lang w:val="sr-Cyrl-BA"/>
        </w:rPr>
        <w:t xml:space="preserve"> </w:t>
      </w:r>
      <w:r w:rsidR="0071360A" w:rsidRPr="00171F00">
        <w:rPr>
          <w:rFonts w:cs="Arial"/>
          <w:color w:val="000000" w:themeColor="text1"/>
          <w:lang w:val="sr-Cyrl-BA"/>
        </w:rPr>
        <w:t>у</w:t>
      </w:r>
      <w:r w:rsidR="00CA5E58">
        <w:rPr>
          <w:rFonts w:cs="Arial"/>
          <w:color w:val="000000" w:themeColor="text1"/>
          <w:lang w:val="sr-Cyrl-BA"/>
        </w:rPr>
        <w:t>ч</w:t>
      </w:r>
      <w:r w:rsidR="00A56E08" w:rsidRPr="00171F00">
        <w:rPr>
          <w:rFonts w:cs="Arial"/>
          <w:color w:val="000000" w:themeColor="text1"/>
          <w:lang w:val="sr-Cyrl-BA"/>
        </w:rPr>
        <w:t>е</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поу</w:t>
      </w:r>
      <w:r w:rsidR="00CA5E58">
        <w:rPr>
          <w:rFonts w:cs="Arial"/>
          <w:color w:val="000000" w:themeColor="text1"/>
          <w:lang w:val="sr-Cyrl-BA"/>
        </w:rPr>
        <w:t>ч</w:t>
      </w:r>
      <w:r w:rsidR="00A56E08" w:rsidRPr="00171F00">
        <w:rPr>
          <w:rFonts w:cs="Arial"/>
          <w:color w:val="000000" w:themeColor="text1"/>
          <w:lang w:val="sr-Cyrl-BA"/>
        </w:rPr>
        <w:t>а</w:t>
      </w:r>
      <w:r w:rsidR="0071360A" w:rsidRPr="00171F00">
        <w:rPr>
          <w:rFonts w:cs="Arial"/>
          <w:color w:val="000000" w:themeColor="text1"/>
          <w:lang w:val="sr-Cyrl-BA"/>
        </w:rPr>
        <w:t>в</w:t>
      </w:r>
      <w:r w:rsidR="00A56E08" w:rsidRPr="00171F00">
        <w:rPr>
          <w:rFonts w:cs="Arial"/>
          <w:color w:val="000000" w:themeColor="text1"/>
          <w:lang w:val="sr-Cyrl-BA"/>
        </w:rPr>
        <w:t>а</w:t>
      </w:r>
      <w:r w:rsidR="0071360A" w:rsidRPr="00171F00">
        <w:rPr>
          <w:rFonts w:cs="Arial"/>
          <w:color w:val="000000" w:themeColor="text1"/>
          <w:lang w:val="sr-Cyrl-BA"/>
        </w:rPr>
        <w:t>њ</w:t>
      </w:r>
      <w:r w:rsidR="00A56E08" w:rsidRPr="00171F00">
        <w:rPr>
          <w:rFonts w:cs="Arial"/>
          <w:color w:val="000000" w:themeColor="text1"/>
          <w:lang w:val="sr-Cyrl-BA"/>
        </w:rPr>
        <w:t>а</w:t>
      </w:r>
      <w:r w:rsidRPr="00171F00">
        <w:rPr>
          <w:rFonts w:cs="Arial"/>
          <w:color w:val="000000" w:themeColor="text1"/>
          <w:lang w:val="sr-Cyrl-BA"/>
        </w:rPr>
        <w:t>.</w:t>
      </w:r>
    </w:p>
  </w:footnote>
  <w:footnote w:id="11">
    <w:p w14:paraId="0B289CBF" w14:textId="6970BAAE" w:rsidR="00F33370" w:rsidRPr="00171F00" w:rsidRDefault="00F33370">
      <w:pPr>
        <w:pStyle w:val="FootnoteText"/>
        <w:rPr>
          <w:lang w:val="sr-Cyrl-BA"/>
        </w:rPr>
      </w:pPr>
      <w:r w:rsidRPr="00171F00">
        <w:rPr>
          <w:rStyle w:val="FootnoteReference"/>
          <w:lang w:val="sr-Cyrl-BA"/>
        </w:rPr>
        <w:footnoteRef/>
      </w:r>
      <w:r w:rsidR="00A94F64">
        <w:rPr>
          <w:rFonts w:cs="Arial"/>
          <w:lang w:val="sr-Cyrl-BA"/>
        </w:rPr>
        <w:t xml:space="preserve"> </w:t>
      </w:r>
      <w:r w:rsidR="0071360A" w:rsidRPr="00171F00">
        <w:rPr>
          <w:rFonts w:cs="Arial"/>
          <w:lang w:val="sr-Cyrl-BA"/>
        </w:rPr>
        <w:t>Информ</w:t>
      </w:r>
      <w:r w:rsidR="00A56E08" w:rsidRPr="00171F00">
        <w:rPr>
          <w:rFonts w:cs="Arial"/>
          <w:lang w:val="sr-Cyrl-BA"/>
        </w:rPr>
        <w:t>а</w:t>
      </w:r>
      <w:r w:rsidR="0071360A" w:rsidRPr="00171F00">
        <w:rPr>
          <w:rFonts w:cs="Arial"/>
          <w:lang w:val="sr-Cyrl-BA"/>
        </w:rPr>
        <w:t>ти</w:t>
      </w:r>
      <w:r w:rsidR="00A56E08" w:rsidRPr="00171F00">
        <w:rPr>
          <w:rFonts w:cs="Arial"/>
          <w:lang w:val="sr-Cyrl-BA"/>
        </w:rPr>
        <w:t>ч</w:t>
      </w:r>
      <w:r w:rsidR="0071360A" w:rsidRPr="00171F00">
        <w:rPr>
          <w:rFonts w:cs="Arial"/>
          <w:lang w:val="sr-Cyrl-BA"/>
        </w:rPr>
        <w:t>ко</w:t>
      </w:r>
      <w:r w:rsidRPr="00171F00">
        <w:rPr>
          <w:rFonts w:cs="Arial"/>
          <w:lang w:val="sr-Cyrl-BA"/>
        </w:rPr>
        <w:t xml:space="preserve">– </w:t>
      </w:r>
      <w:r w:rsidR="0071360A" w:rsidRPr="00171F00">
        <w:rPr>
          <w:rFonts w:cs="Arial"/>
          <w:lang w:val="sr-Cyrl-BA"/>
        </w:rPr>
        <w:t>комуник</w:t>
      </w:r>
      <w:r w:rsidR="00A56E08" w:rsidRPr="00171F00">
        <w:rPr>
          <w:rFonts w:cs="Arial"/>
          <w:lang w:val="sr-Cyrl-BA"/>
        </w:rPr>
        <w:t>ац</w:t>
      </w:r>
      <w:r w:rsidR="0071360A" w:rsidRPr="00171F00">
        <w:rPr>
          <w:rFonts w:cs="Arial"/>
          <w:lang w:val="sr-Cyrl-BA"/>
        </w:rPr>
        <w:t>ион</w:t>
      </w:r>
      <w:r w:rsidR="00A56E08" w:rsidRPr="00171F00">
        <w:rPr>
          <w:rFonts w:cs="Arial"/>
          <w:lang w:val="sr-Cyrl-BA"/>
        </w:rPr>
        <w:t>а</w:t>
      </w:r>
      <w:r w:rsidR="00C04EC1"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хнологиј</w:t>
      </w:r>
      <w:r w:rsidR="00A56E08" w:rsidRPr="00171F00">
        <w:rPr>
          <w:rFonts w:cs="Arial"/>
          <w:lang w:val="sr-Cyrl-BA"/>
        </w:rPr>
        <w:t>а</w:t>
      </w:r>
      <w:r w:rsidRPr="00171F00">
        <w:rPr>
          <w:rFonts w:cs="Arial"/>
          <w:lang w:val="sr-Cyrl-BA"/>
        </w:rPr>
        <w:t xml:space="preserve"> </w:t>
      </w:r>
      <w:r w:rsidR="0071360A" w:rsidRPr="00171F00">
        <w:rPr>
          <w:rFonts w:cs="Arial"/>
          <w:lang w:val="sr-Cyrl-BA"/>
        </w:rPr>
        <w:t>по</w:t>
      </w:r>
      <w:r w:rsidR="00A56E08" w:rsidRPr="00171F00">
        <w:rPr>
          <w:rFonts w:cs="Arial"/>
          <w:lang w:val="sr-Cyrl-BA"/>
        </w:rPr>
        <w:t>д</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умиј</w:t>
      </w:r>
      <w:r w:rsidR="00A56E08" w:rsidRPr="00171F00">
        <w:rPr>
          <w:rFonts w:cs="Arial"/>
          <w:lang w:val="sr-Cyrl-BA"/>
        </w:rPr>
        <w:t>е</w:t>
      </w:r>
      <w:r w:rsidR="0071360A" w:rsidRPr="00171F00">
        <w:rPr>
          <w:rFonts w:cs="Arial"/>
          <w:lang w:val="sr-Cyrl-BA"/>
        </w:rPr>
        <w:t>в</w:t>
      </w:r>
      <w:r w:rsidR="00A56E08" w:rsidRPr="00171F00">
        <w:rPr>
          <w:rFonts w:cs="Arial"/>
          <w:lang w:val="sr-Cyrl-BA"/>
        </w:rPr>
        <w:t>а</w:t>
      </w:r>
      <w:r w:rsidRPr="00171F00">
        <w:rPr>
          <w:rFonts w:cs="Arial"/>
          <w:lang w:val="sr-Cyrl-BA"/>
        </w:rPr>
        <w:t xml:space="preserve"> </w:t>
      </w:r>
      <w:r w:rsidR="0071360A" w:rsidRPr="00171F00">
        <w:rPr>
          <w:rFonts w:eastAsia="Arial" w:cs="Arial"/>
          <w:lang w:val="sr-Cyrl-BA"/>
        </w:rPr>
        <w:t>скуп</w:t>
      </w:r>
      <w:r w:rsidRPr="00171F00">
        <w:rPr>
          <w:rFonts w:eastAsia="Arial" w:cs="Arial"/>
          <w:lang w:val="sr-Cyrl-BA"/>
        </w:rPr>
        <w:t xml:space="preserve"> </w:t>
      </w:r>
      <w:r w:rsidR="0071360A" w:rsidRPr="00171F00">
        <w:rPr>
          <w:rFonts w:eastAsia="Arial" w:cs="Arial"/>
          <w:lang w:val="sr-Cyrl-BA"/>
        </w:rPr>
        <w:t>т</w:t>
      </w:r>
      <w:r w:rsidR="00A56E08" w:rsidRPr="00171F00">
        <w:rPr>
          <w:rFonts w:eastAsia="Arial" w:cs="Arial"/>
          <w:lang w:val="sr-Cyrl-BA"/>
        </w:rPr>
        <w:t>е</w:t>
      </w:r>
      <w:r w:rsidR="0071360A" w:rsidRPr="00171F00">
        <w:rPr>
          <w:rFonts w:eastAsia="Arial" w:cs="Arial"/>
          <w:lang w:val="sr-Cyrl-BA"/>
        </w:rPr>
        <w:t>хнологиј</w:t>
      </w:r>
      <w:r w:rsidR="00A56E08" w:rsidRPr="00171F00">
        <w:rPr>
          <w:rFonts w:eastAsia="Arial" w:cs="Arial"/>
          <w:lang w:val="sr-Cyrl-BA"/>
        </w:rPr>
        <w:t>а</w:t>
      </w:r>
      <w:r w:rsidRPr="00171F00">
        <w:rPr>
          <w:rFonts w:eastAsia="Arial" w:cs="Arial"/>
          <w:lang w:val="sr-Cyrl-BA"/>
        </w:rPr>
        <w:t xml:space="preserve"> </w:t>
      </w:r>
      <w:r w:rsidR="0071360A" w:rsidRPr="00171F00">
        <w:rPr>
          <w:rFonts w:eastAsia="Arial" w:cs="Arial"/>
          <w:lang w:val="sr-Cyrl-BA"/>
        </w:rPr>
        <w:t>р</w:t>
      </w:r>
      <w:r w:rsidR="00A56E08" w:rsidRPr="00171F00">
        <w:rPr>
          <w:rFonts w:eastAsia="Arial" w:cs="Arial"/>
          <w:lang w:val="sr-Cyrl-BA"/>
        </w:rPr>
        <w:t>а</w:t>
      </w:r>
      <w:r w:rsidR="00171F00">
        <w:rPr>
          <w:rFonts w:eastAsia="Arial" w:cs="Arial"/>
          <w:lang w:val="sr-Cyrl-BA"/>
        </w:rPr>
        <w:t>з</w:t>
      </w:r>
      <w:r w:rsidR="0071360A" w:rsidRPr="00171F00">
        <w:rPr>
          <w:rFonts w:eastAsia="Arial" w:cs="Arial"/>
          <w:lang w:val="sr-Cyrl-BA"/>
        </w:rPr>
        <w:t>виј</w:t>
      </w:r>
      <w:r w:rsidR="00A56E08" w:rsidRPr="00171F00">
        <w:rPr>
          <w:rFonts w:eastAsia="Arial" w:cs="Arial"/>
          <w:lang w:val="sr-Cyrl-BA"/>
        </w:rPr>
        <w:t>е</w:t>
      </w:r>
      <w:r w:rsidR="0071360A" w:rsidRPr="00171F00">
        <w:rPr>
          <w:rFonts w:eastAsia="Arial" w:cs="Arial"/>
          <w:lang w:val="sr-Cyrl-BA"/>
        </w:rPr>
        <w:t>них</w:t>
      </w:r>
      <w:r w:rsidRPr="00171F00">
        <w:rPr>
          <w:rFonts w:eastAsia="Arial" w:cs="Arial"/>
          <w:lang w:val="sr-Cyrl-BA"/>
        </w:rPr>
        <w:t xml:space="preserve"> </w:t>
      </w:r>
      <w:r w:rsidR="00171F00">
        <w:rPr>
          <w:rFonts w:eastAsia="Arial" w:cs="Arial"/>
          <w:lang w:val="sr-Cyrl-BA"/>
        </w:rPr>
        <w:t>з</w:t>
      </w:r>
      <w:r w:rsidR="00A56E08" w:rsidRPr="00171F00">
        <w:rPr>
          <w:rFonts w:eastAsia="Arial" w:cs="Arial"/>
          <w:lang w:val="sr-Cyrl-BA"/>
        </w:rPr>
        <w:t>а</w:t>
      </w:r>
      <w:r w:rsidRPr="00171F00">
        <w:rPr>
          <w:rFonts w:eastAsia="Arial" w:cs="Arial"/>
          <w:lang w:val="sr-Cyrl-BA"/>
        </w:rPr>
        <w:t xml:space="preserve"> </w:t>
      </w:r>
      <w:r w:rsidR="00A56E08" w:rsidRPr="00171F00">
        <w:rPr>
          <w:rFonts w:eastAsia="Arial" w:cs="Arial"/>
          <w:lang w:val="sr-Cyrl-BA"/>
        </w:rPr>
        <w:t>е</w:t>
      </w:r>
      <w:r w:rsidR="0071360A" w:rsidRPr="00171F00">
        <w:rPr>
          <w:rFonts w:eastAsia="Arial" w:cs="Arial"/>
          <w:lang w:val="sr-Cyrl-BA"/>
        </w:rPr>
        <w:t>фик</w:t>
      </w:r>
      <w:r w:rsidR="00A56E08" w:rsidRPr="00171F00">
        <w:rPr>
          <w:rFonts w:eastAsia="Arial" w:cs="Arial"/>
          <w:lang w:val="sr-Cyrl-BA"/>
        </w:rPr>
        <w:t>а</w:t>
      </w:r>
      <w:r w:rsidR="0071360A" w:rsidRPr="00171F00">
        <w:rPr>
          <w:rFonts w:eastAsia="Arial" w:cs="Arial"/>
          <w:lang w:val="sr-Cyrl-BA"/>
        </w:rPr>
        <w:t>сниј</w:t>
      </w:r>
      <w:r w:rsidR="00A56E08" w:rsidRPr="00171F00">
        <w:rPr>
          <w:rFonts w:eastAsia="Arial" w:cs="Arial"/>
          <w:lang w:val="sr-Cyrl-BA"/>
        </w:rPr>
        <w:t>е</w:t>
      </w:r>
      <w:r w:rsidRPr="00171F00">
        <w:rPr>
          <w:rFonts w:eastAsia="Arial" w:cs="Arial"/>
          <w:lang w:val="sr-Cyrl-BA"/>
        </w:rPr>
        <w:t xml:space="preserve"> </w:t>
      </w:r>
      <w:r w:rsidR="0071360A" w:rsidRPr="00171F00">
        <w:rPr>
          <w:rFonts w:eastAsia="Arial" w:cs="Arial"/>
          <w:lang w:val="sr-Cyrl-BA"/>
        </w:rPr>
        <w:t>информис</w:t>
      </w:r>
      <w:r w:rsidR="00A56E08" w:rsidRPr="00171F00">
        <w:rPr>
          <w:rFonts w:eastAsia="Arial" w:cs="Arial"/>
          <w:lang w:val="sr-Cyrl-BA"/>
        </w:rPr>
        <w:t>а</w:t>
      </w:r>
      <w:r w:rsidR="0071360A" w:rsidRPr="00171F00">
        <w:rPr>
          <w:rFonts w:eastAsia="Arial" w:cs="Arial"/>
          <w:lang w:val="sr-Cyrl-BA"/>
        </w:rPr>
        <w:t>њ</w:t>
      </w:r>
      <w:r w:rsidR="00A56E08" w:rsidRPr="00171F00">
        <w:rPr>
          <w:rFonts w:eastAsia="Arial" w:cs="Arial"/>
          <w:lang w:val="sr-Cyrl-BA"/>
        </w:rPr>
        <w:t>е</w:t>
      </w:r>
      <w:r w:rsidRPr="00171F00">
        <w:rPr>
          <w:rFonts w:eastAsia="Arial" w:cs="Arial"/>
          <w:lang w:val="sr-Cyrl-BA"/>
        </w:rPr>
        <w:t xml:space="preserve"> </w:t>
      </w:r>
      <w:r w:rsidR="0071360A" w:rsidRPr="00171F00">
        <w:rPr>
          <w:rFonts w:eastAsia="Arial" w:cs="Arial"/>
          <w:lang w:val="sr-Cyrl-BA"/>
        </w:rPr>
        <w:t>и</w:t>
      </w:r>
      <w:r w:rsidRPr="00171F00">
        <w:rPr>
          <w:rFonts w:eastAsia="Arial" w:cs="Arial"/>
          <w:lang w:val="sr-Cyrl-BA"/>
        </w:rPr>
        <w:t xml:space="preserve"> </w:t>
      </w:r>
      <w:r w:rsidR="0071360A" w:rsidRPr="00171F00">
        <w:rPr>
          <w:rFonts w:eastAsia="Arial" w:cs="Arial"/>
          <w:lang w:val="sr-Cyrl-BA"/>
        </w:rPr>
        <w:t>комуник</w:t>
      </w:r>
      <w:r w:rsidR="00A56E08" w:rsidRPr="00171F00">
        <w:rPr>
          <w:rFonts w:eastAsia="Arial" w:cs="Arial"/>
          <w:lang w:val="sr-Cyrl-BA"/>
        </w:rPr>
        <w:t>ац</w:t>
      </w:r>
      <w:r w:rsidR="0071360A" w:rsidRPr="00171F00">
        <w:rPr>
          <w:rFonts w:eastAsia="Arial" w:cs="Arial"/>
          <w:lang w:val="sr-Cyrl-BA"/>
        </w:rPr>
        <w:t>ију</w:t>
      </w:r>
      <w:r w:rsidRPr="00171F00">
        <w:rPr>
          <w:rFonts w:eastAsia="Arial" w:cs="Arial"/>
          <w:lang w:val="sr-Cyrl-BA"/>
        </w:rPr>
        <w:t>.</w:t>
      </w:r>
    </w:p>
  </w:footnote>
  <w:footnote w:id="12">
    <w:p w14:paraId="3F03AAF4" w14:textId="39656427" w:rsidR="00F33370" w:rsidRPr="00171F00" w:rsidRDefault="00F33370">
      <w:pPr>
        <w:pStyle w:val="FootnoteText"/>
        <w:rPr>
          <w:rFonts w:cs="Arial"/>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eastAsia="Arial" w:cs="Arial"/>
          <w:color w:val="000000"/>
          <w:lang w:val="sr-Cyrl-BA" w:eastAsia="en-US"/>
        </w:rPr>
        <w:t>Нпр</w:t>
      </w:r>
      <w:r w:rsidRPr="00171F00">
        <w:rPr>
          <w:rFonts w:eastAsia="Arial" w:cs="Arial"/>
          <w:color w:val="000000"/>
          <w:lang w:val="sr-Cyrl-BA" w:eastAsia="en-US"/>
        </w:rPr>
        <w:t>.</w:t>
      </w:r>
      <w:r w:rsidR="00CA5E58">
        <w:rPr>
          <w:rFonts w:eastAsia="Arial" w:cs="Arial"/>
          <w:color w:val="000000"/>
          <w:lang w:val="sr-Cyrl-BA" w:eastAsia="en-US"/>
        </w:rPr>
        <w:t xml:space="preserve"> </w:t>
      </w:r>
      <w:r w:rsidR="00A56E08" w:rsidRPr="00171F00">
        <w:rPr>
          <w:rFonts w:cs="Arial"/>
          <w:lang w:val="sr-Cyrl-BA"/>
        </w:rPr>
        <w:t>да</w:t>
      </w:r>
      <w:r w:rsidRPr="00171F00">
        <w:rPr>
          <w:rFonts w:cs="Arial"/>
          <w:lang w:val="sr-Cyrl-BA"/>
        </w:rPr>
        <w:t xml:space="preserve"> </w:t>
      </w:r>
      <w:r w:rsidR="0071360A" w:rsidRPr="00171F00">
        <w:rPr>
          <w:rFonts w:cs="Arial"/>
          <w:lang w:val="sr-Cyrl-BA"/>
        </w:rPr>
        <w:t>ну</w:t>
      </w:r>
      <w:r w:rsidR="00A56E08" w:rsidRPr="00171F00">
        <w:rPr>
          <w:rFonts w:cs="Arial"/>
          <w:lang w:val="sr-Cyrl-BA"/>
        </w:rPr>
        <w:t>д</w:t>
      </w:r>
      <w:r w:rsidR="0071360A" w:rsidRPr="00171F00">
        <w:rPr>
          <w:rFonts w:cs="Arial"/>
          <w:lang w:val="sr-Cyrl-BA"/>
        </w:rPr>
        <w:t>и</w:t>
      </w:r>
      <w:r w:rsidRPr="00171F00">
        <w:rPr>
          <w:rFonts w:cs="Arial"/>
          <w:lang w:val="sr-Cyrl-BA"/>
        </w:rPr>
        <w:t xml:space="preserve"> </w:t>
      </w:r>
      <w:r w:rsidR="0071360A" w:rsidRPr="00171F00">
        <w:rPr>
          <w:rFonts w:cs="Arial"/>
          <w:lang w:val="sr-Cyrl-BA"/>
        </w:rPr>
        <w:t>могу</w:t>
      </w:r>
      <w:r w:rsidR="00A56E08" w:rsidRPr="00171F00">
        <w:rPr>
          <w:rFonts w:cs="Arial"/>
          <w:lang w:val="sr-Cyrl-BA"/>
        </w:rPr>
        <w:t>ћ</w:t>
      </w:r>
      <w:r w:rsidR="0071360A" w:rsidRPr="00171F00">
        <w:rPr>
          <w:rFonts w:cs="Arial"/>
          <w:lang w:val="sr-Cyrl-BA"/>
        </w:rPr>
        <w:t>ност</w:t>
      </w:r>
      <w:r w:rsidRPr="00171F00">
        <w:rPr>
          <w:rFonts w:cs="Arial"/>
          <w:lang w:val="sr-Cyrl-BA"/>
        </w:rPr>
        <w:t xml:space="preserve"> </w:t>
      </w:r>
      <w:r w:rsidR="0071360A" w:rsidRPr="00171F00">
        <w:rPr>
          <w:rFonts w:cs="Arial"/>
          <w:lang w:val="sr-Cyrl-BA"/>
        </w:rPr>
        <w:t>контр</w:t>
      </w:r>
      <w:r w:rsidR="00A56E08" w:rsidRPr="00171F00">
        <w:rPr>
          <w:rFonts w:cs="Arial"/>
          <w:lang w:val="sr-Cyrl-BA"/>
        </w:rPr>
        <w:t>а</w:t>
      </w:r>
      <w:r w:rsidR="0071360A" w:rsidRPr="00171F00">
        <w:rPr>
          <w:rFonts w:cs="Arial"/>
          <w:lang w:val="sr-Cyrl-BA"/>
        </w:rPr>
        <w:t>стног</w:t>
      </w:r>
      <w:r w:rsidRPr="00171F00">
        <w:rPr>
          <w:rFonts w:cs="Arial"/>
          <w:lang w:val="sr-Cyrl-BA"/>
        </w:rPr>
        <w:t xml:space="preserve"> </w:t>
      </w:r>
      <w:r w:rsidR="0071360A" w:rsidRPr="00171F00">
        <w:rPr>
          <w:rFonts w:cs="Arial"/>
          <w:lang w:val="sr-Cyrl-BA"/>
        </w:rPr>
        <w:t>прик</w:t>
      </w:r>
      <w:r w:rsidR="00A56E08" w:rsidRPr="00171F00">
        <w:rPr>
          <w:rFonts w:cs="Arial"/>
          <w:lang w:val="sr-Cyrl-BA"/>
        </w:rPr>
        <w:t>а</w:t>
      </w:r>
      <w:r w:rsidR="00171F00">
        <w:rPr>
          <w:rFonts w:cs="Arial"/>
          <w:lang w:val="sr-Cyrl-BA"/>
        </w:rPr>
        <w:t>з</w:t>
      </w:r>
      <w:r w:rsidR="00A56E08" w:rsidRPr="00171F00">
        <w:rPr>
          <w:rFonts w:cs="Arial"/>
          <w:lang w:val="sr-Cyrl-BA"/>
        </w:rPr>
        <w:t>а</w:t>
      </w:r>
      <w:r w:rsidRPr="00171F00">
        <w:rPr>
          <w:rFonts w:cs="Arial"/>
          <w:lang w:val="sr-Cyrl-BA"/>
        </w:rPr>
        <w:t xml:space="preserve"> </w:t>
      </w:r>
      <w:r w:rsidR="0071360A" w:rsidRPr="00171F00">
        <w:rPr>
          <w:rFonts w:cs="Arial"/>
          <w:lang w:val="sr-Cyrl-BA"/>
        </w:rPr>
        <w:t>с</w:t>
      </w:r>
      <w:r w:rsidR="00A56E08" w:rsidRPr="00171F00">
        <w:rPr>
          <w:rFonts w:cs="Arial"/>
          <w:lang w:val="sr-Cyrl-BA"/>
        </w:rPr>
        <w:t>ад</w:t>
      </w:r>
      <w:r w:rsidR="0071360A" w:rsidRPr="00171F00">
        <w:rPr>
          <w:rFonts w:cs="Arial"/>
          <w:lang w:val="sr-Cyrl-BA"/>
        </w:rPr>
        <w:t>р</w:t>
      </w:r>
      <w:r w:rsidR="00171F00">
        <w:rPr>
          <w:rFonts w:cs="Arial"/>
          <w:lang w:val="sr-Cyrl-BA"/>
        </w:rPr>
        <w:t>ж</w:t>
      </w:r>
      <w:r w:rsidR="00A56E08" w:rsidRPr="00171F00">
        <w:rPr>
          <w:rFonts w:cs="Arial"/>
          <w:lang w:val="sr-Cyrl-BA"/>
        </w:rPr>
        <w:t>а</w:t>
      </w:r>
      <w:r w:rsidR="0071360A" w:rsidRPr="00171F00">
        <w:rPr>
          <w:rFonts w:cs="Arial"/>
          <w:lang w:val="sr-Cyrl-BA"/>
        </w:rPr>
        <w:t>ј</w:t>
      </w:r>
      <w:r w:rsidR="00A56E08" w:rsidRPr="00171F00">
        <w:rPr>
          <w:rFonts w:cs="Arial"/>
          <w:lang w:val="sr-Cyrl-BA"/>
        </w:rPr>
        <w:t>а</w:t>
      </w:r>
      <w:r w:rsidRPr="00171F00">
        <w:rPr>
          <w:rFonts w:cs="Arial"/>
          <w:lang w:val="sr-Cyrl-BA"/>
        </w:rPr>
        <w:t xml:space="preserve">, </w:t>
      </w:r>
      <w:r w:rsidR="0071360A" w:rsidRPr="00171F00">
        <w:rPr>
          <w:rFonts w:cs="Arial"/>
          <w:lang w:val="sr-Cyrl-BA"/>
        </w:rPr>
        <w:t>ув</w:t>
      </w:r>
      <w:r w:rsidR="00A56E08" w:rsidRPr="00171F00">
        <w:rPr>
          <w:rFonts w:cs="Arial"/>
          <w:lang w:val="sr-Cyrl-BA"/>
        </w:rPr>
        <w:t>ећа</w:t>
      </w:r>
      <w:r w:rsidR="0071360A" w:rsidRPr="00171F00">
        <w:rPr>
          <w:rFonts w:cs="Arial"/>
          <w:lang w:val="sr-Cyrl-BA"/>
        </w:rPr>
        <w:t>л</w:t>
      </w:r>
      <w:r w:rsidR="00A56E08" w:rsidRPr="00171F00">
        <w:rPr>
          <w:rFonts w:cs="Arial"/>
          <w:lang w:val="sr-Cyrl-BA"/>
        </w:rPr>
        <w:t>а</w:t>
      </w:r>
      <w:r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кст</w:t>
      </w:r>
      <w:r w:rsidR="00A56E08" w:rsidRPr="00171F00">
        <w:rPr>
          <w:rFonts w:cs="Arial"/>
          <w:lang w:val="sr-Cyrl-BA"/>
        </w:rPr>
        <w:t>а</w:t>
      </w:r>
      <w:r w:rsidRPr="00171F00">
        <w:rPr>
          <w:rFonts w:cs="Arial"/>
          <w:lang w:val="sr-Cyrl-BA"/>
        </w:rPr>
        <w:t xml:space="preserve">, </w:t>
      </w:r>
      <w:r w:rsidR="00A56E08" w:rsidRPr="00171F00">
        <w:rPr>
          <w:rFonts w:cs="Arial"/>
          <w:lang w:val="sr-Cyrl-BA"/>
        </w:rPr>
        <w:t>а</w:t>
      </w:r>
      <w:r w:rsidR="0071360A" w:rsidRPr="00171F00">
        <w:rPr>
          <w:rFonts w:cs="Arial"/>
          <w:lang w:val="sr-Cyrl-BA"/>
        </w:rPr>
        <w:t>у</w:t>
      </w:r>
      <w:r w:rsidR="00A56E08" w:rsidRPr="00171F00">
        <w:rPr>
          <w:rFonts w:cs="Arial"/>
          <w:lang w:val="sr-Cyrl-BA"/>
        </w:rPr>
        <w:t>д</w:t>
      </w:r>
      <w:r w:rsidR="0071360A" w:rsidRPr="00171F00">
        <w:rPr>
          <w:rFonts w:cs="Arial"/>
          <w:lang w:val="sr-Cyrl-BA"/>
        </w:rPr>
        <w:t>ио</w:t>
      </w:r>
      <w:r w:rsidRPr="00171F00">
        <w:rPr>
          <w:rFonts w:cs="Arial"/>
          <w:lang w:val="sr-Cyrl-BA"/>
        </w:rPr>
        <w:t xml:space="preserve"> </w:t>
      </w:r>
      <w:r w:rsidR="0071360A" w:rsidRPr="00171F00">
        <w:rPr>
          <w:rFonts w:cs="Arial"/>
          <w:lang w:val="sr-Cyrl-BA"/>
        </w:rPr>
        <w:t>конв</w:t>
      </w:r>
      <w:r w:rsidR="00A56E08" w:rsidRPr="00171F00">
        <w:rPr>
          <w:rFonts w:cs="Arial"/>
          <w:lang w:val="sr-Cyrl-BA"/>
        </w:rPr>
        <w:t>е</w:t>
      </w:r>
      <w:r w:rsidR="0071360A" w:rsidRPr="00171F00">
        <w:rPr>
          <w:rFonts w:cs="Arial"/>
          <w:lang w:val="sr-Cyrl-BA"/>
        </w:rPr>
        <w:t>р</w:t>
      </w:r>
      <w:r w:rsidR="00171F00">
        <w:rPr>
          <w:rFonts w:cs="Arial"/>
          <w:lang w:val="sr-Cyrl-BA"/>
        </w:rPr>
        <w:t>з</w:t>
      </w:r>
      <w:r w:rsidR="0071360A" w:rsidRPr="00171F00">
        <w:rPr>
          <w:rFonts w:cs="Arial"/>
          <w:lang w:val="sr-Cyrl-BA"/>
        </w:rPr>
        <w:t>ију</w:t>
      </w:r>
      <w:r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ксту</w:t>
      </w:r>
      <w:r w:rsidR="00A56E08" w:rsidRPr="00171F00">
        <w:rPr>
          <w:rFonts w:cs="Arial"/>
          <w:lang w:val="sr-Cyrl-BA"/>
        </w:rPr>
        <w:t>а</w:t>
      </w:r>
      <w:r w:rsidR="0071360A" w:rsidRPr="00171F00">
        <w:rPr>
          <w:rFonts w:cs="Arial"/>
          <w:lang w:val="sr-Cyrl-BA"/>
        </w:rPr>
        <w:t>лног</w:t>
      </w:r>
      <w:r w:rsidRPr="00171F00">
        <w:rPr>
          <w:rFonts w:cs="Arial"/>
          <w:lang w:val="sr-Cyrl-BA"/>
        </w:rPr>
        <w:t xml:space="preserve"> </w:t>
      </w:r>
      <w:r w:rsidR="00171F00">
        <w:rPr>
          <w:rFonts w:cs="Arial"/>
          <w:lang w:val="sr-Cyrl-BA"/>
        </w:rPr>
        <w:t>з</w:t>
      </w:r>
      <w:r w:rsidR="00A56E08" w:rsidRPr="00171F00">
        <w:rPr>
          <w:rFonts w:cs="Arial"/>
          <w:lang w:val="sr-Cyrl-BA"/>
        </w:rPr>
        <w:t>а</w:t>
      </w:r>
      <w:r w:rsidR="0071360A" w:rsidRPr="00171F00">
        <w:rPr>
          <w:rFonts w:cs="Arial"/>
          <w:lang w:val="sr-Cyrl-BA"/>
        </w:rPr>
        <w:t>пис</w:t>
      </w:r>
      <w:r w:rsidR="00A56E08" w:rsidRPr="00171F00">
        <w:rPr>
          <w:rFonts w:cs="Arial"/>
          <w:lang w:val="sr-Cyrl-BA"/>
        </w:rPr>
        <w:t>а</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сли</w:t>
      </w:r>
      <w:r w:rsidR="00A56E08" w:rsidRPr="00171F00">
        <w:rPr>
          <w:rFonts w:cs="Arial"/>
          <w:lang w:val="sr-Cyrl-BA"/>
        </w:rPr>
        <w:t>ч</w:t>
      </w:r>
      <w:r w:rsidR="0071360A" w:rsidRPr="00171F00">
        <w:rPr>
          <w:rFonts w:cs="Arial"/>
          <w:lang w:val="sr-Cyrl-BA"/>
        </w:rPr>
        <w:t>но</w:t>
      </w:r>
      <w:r w:rsidRPr="00171F00">
        <w:rPr>
          <w:rFonts w:eastAsia="Arial" w:cs="Arial"/>
          <w:color w:val="000000"/>
          <w:lang w:val="sr-Cyrl-BA" w:eastAsia="en-US"/>
        </w:rPr>
        <w:t>.</w:t>
      </w:r>
      <w:r w:rsidRPr="00171F00" w:rsidDel="00F40F45">
        <w:rPr>
          <w:rFonts w:eastAsia="Arial" w:cs="Arial"/>
          <w:color w:val="000000"/>
          <w:lang w:val="sr-Cyrl-BA"/>
        </w:rPr>
        <w:t xml:space="preserve"> </w:t>
      </w:r>
    </w:p>
  </w:footnote>
  <w:footnote w:id="13">
    <w:p w14:paraId="069F73B7" w14:textId="6300EB1D" w:rsidR="00F33370" w:rsidRPr="00171F00" w:rsidRDefault="00F33370" w:rsidP="005C448C">
      <w:pPr>
        <w:pStyle w:val="FootnoteText"/>
        <w:rPr>
          <w:rFonts w:cs="Arial"/>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color w:val="000000" w:themeColor="text1"/>
          <w:lang w:val="sr-Cyrl-BA"/>
        </w:rPr>
        <w:t>Ви</w:t>
      </w:r>
      <w:r w:rsidR="00A56E08" w:rsidRPr="00171F00">
        <w:rPr>
          <w:rFonts w:cs="Arial"/>
          <w:color w:val="000000" w:themeColor="text1"/>
          <w:lang w:val="sr-Cyrl-BA"/>
        </w:rPr>
        <w:t>д</w:t>
      </w:r>
      <w:r w:rsidR="0071360A" w:rsidRPr="00171F00">
        <w:rPr>
          <w:rFonts w:cs="Arial"/>
          <w:color w:val="000000" w:themeColor="text1"/>
          <w:lang w:val="sr-Cyrl-BA"/>
        </w:rPr>
        <w:t>ј</w:t>
      </w:r>
      <w:r w:rsidR="00A56E08" w:rsidRPr="00171F00">
        <w:rPr>
          <w:rFonts w:cs="Arial"/>
          <w:color w:val="000000" w:themeColor="text1"/>
          <w:lang w:val="sr-Cyrl-BA"/>
        </w:rPr>
        <w:t>е</w:t>
      </w:r>
      <w:r w:rsidR="0071360A" w:rsidRPr="00171F00">
        <w:rPr>
          <w:rFonts w:cs="Arial"/>
          <w:color w:val="000000" w:themeColor="text1"/>
          <w:lang w:val="sr-Cyrl-BA"/>
        </w:rPr>
        <w:t>ти</w:t>
      </w:r>
      <w:r w:rsidRPr="00171F00">
        <w:rPr>
          <w:rFonts w:cs="Arial"/>
          <w:color w:val="000000" w:themeColor="text1"/>
          <w:lang w:val="sr-Cyrl-BA"/>
        </w:rPr>
        <w:t xml:space="preserve"> </w:t>
      </w:r>
      <w:r w:rsidR="0071360A" w:rsidRPr="00171F00">
        <w:rPr>
          <w:rFonts w:cs="Arial"/>
          <w:color w:val="000000" w:themeColor="text1"/>
          <w:lang w:val="sr-Cyrl-BA"/>
        </w:rPr>
        <w:t>виш</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а</w:t>
      </w:r>
      <w:r w:rsidRPr="00171F00">
        <w:rPr>
          <w:rFonts w:cs="Arial"/>
          <w:color w:val="000000" w:themeColor="text1"/>
          <w:lang w:val="sr-Cyrl-BA"/>
        </w:rPr>
        <w:t xml:space="preserve">: </w:t>
      </w:r>
      <w:hyperlink r:id="rId4" w:history="1">
        <w:r w:rsidR="00A94F64" w:rsidRPr="0039751B">
          <w:rPr>
            <w:rStyle w:val="Hyperlink"/>
          </w:rPr>
          <w:t>https://www.unicef.org/serbia/otvoreni-obrazovni-digitalni-alati-za-interaktivnu-nastavu-i-ucenje-preko-interneta</w:t>
        </w:r>
      </w:hyperlink>
      <w:r w:rsidR="00A94F64">
        <w:rPr>
          <w:lang w:val="sr-Cyrl-BA"/>
        </w:rPr>
        <w:t xml:space="preserve"> </w:t>
      </w:r>
      <w:r w:rsidRPr="00171F00">
        <w:rPr>
          <w:rFonts w:cs="Arial"/>
          <w:color w:val="000000" w:themeColor="text1"/>
          <w:lang w:val="sr-Cyrl-BA"/>
        </w:rPr>
        <w:t>(</w:t>
      </w:r>
      <w:r w:rsidR="0071360A" w:rsidRPr="00171F00">
        <w:rPr>
          <w:rFonts w:cs="Arial"/>
          <w:color w:val="000000" w:themeColor="text1"/>
          <w:lang w:val="sr-Cyrl-BA"/>
        </w:rPr>
        <w:t>посј</w:t>
      </w:r>
      <w:r w:rsidR="00A56E08" w:rsidRPr="00171F00">
        <w:rPr>
          <w:rFonts w:cs="Arial"/>
          <w:color w:val="000000" w:themeColor="text1"/>
          <w:lang w:val="sr-Cyrl-BA"/>
        </w:rPr>
        <w:t>е</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24.04.2022.)</w:t>
      </w:r>
    </w:p>
  </w:footnote>
  <w:footnote w:id="14">
    <w:p w14:paraId="7512849F" w14:textId="415BE480" w:rsidR="00F33370" w:rsidRPr="00171F00" w:rsidRDefault="00F33370" w:rsidP="00F22500">
      <w:pPr>
        <w:pStyle w:val="FootnoteText"/>
        <w:rPr>
          <w:rFonts w:cs="Arial"/>
          <w:lang w:val="sr-Cyrl-BA"/>
        </w:rPr>
      </w:pPr>
      <w:r w:rsidRPr="00171F00">
        <w:rPr>
          <w:rStyle w:val="FootnoteReference"/>
          <w:rFonts w:cs="Arial"/>
          <w:color w:val="000000" w:themeColor="text1"/>
          <w:lang w:val="sr-Cyrl-BA"/>
        </w:rPr>
        <w:footnoteRef/>
      </w:r>
      <w:r w:rsidR="00A94F64">
        <w:rPr>
          <w:rFonts w:cs="Arial"/>
          <w:color w:val="000000" w:themeColor="text1"/>
          <w:lang w:val="sr-Cyrl-BA"/>
        </w:rPr>
        <w:t xml:space="preserve"> </w:t>
      </w:r>
      <w:r w:rsidR="0071360A" w:rsidRPr="00171F00">
        <w:rPr>
          <w:rFonts w:cs="Arial"/>
          <w:color w:val="000000" w:themeColor="text1"/>
          <w:lang w:val="sr-Cyrl-BA"/>
        </w:rPr>
        <w:t>Р</w:t>
      </w:r>
      <w:r w:rsidR="00A56E08" w:rsidRPr="00171F00">
        <w:rPr>
          <w:rFonts w:cs="Arial"/>
          <w:color w:val="000000" w:themeColor="text1"/>
          <w:lang w:val="sr-Cyrl-BA"/>
        </w:rPr>
        <w:t>ад</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с</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о</w:t>
      </w:r>
      <w:r w:rsidRPr="00171F00">
        <w:rPr>
          <w:rFonts w:cs="Arial"/>
          <w:color w:val="000000" w:themeColor="text1"/>
          <w:lang w:val="sr-Cyrl-BA"/>
        </w:rPr>
        <w:t xml:space="preserve"> </w:t>
      </w:r>
      <w:r w:rsidR="00A56E08" w:rsidRPr="00171F00">
        <w:rPr>
          <w:rFonts w:cs="Arial"/>
          <w:color w:val="000000" w:themeColor="text1"/>
          <w:lang w:val="sr-Cyrl-BA"/>
        </w:rPr>
        <w:t>д</w:t>
      </w:r>
      <w:r w:rsidR="0071360A" w:rsidRPr="00171F00">
        <w:rPr>
          <w:rFonts w:cs="Arial"/>
          <w:color w:val="000000" w:themeColor="text1"/>
          <w:lang w:val="sr-Cyrl-BA"/>
        </w:rPr>
        <w:t>окум</w:t>
      </w:r>
      <w:r w:rsidR="00A56E08" w:rsidRPr="00171F00">
        <w:rPr>
          <w:rFonts w:cs="Arial"/>
          <w:color w:val="000000" w:themeColor="text1"/>
          <w:lang w:val="sr-Cyrl-BA"/>
        </w:rPr>
        <w:t>е</w:t>
      </w:r>
      <w:r w:rsidR="0071360A" w:rsidRPr="00171F00">
        <w:rPr>
          <w:rFonts w:cs="Arial"/>
          <w:color w:val="000000" w:themeColor="text1"/>
          <w:lang w:val="sr-Cyrl-BA"/>
        </w:rPr>
        <w:t>нту</w:t>
      </w:r>
      <w:r w:rsidRPr="00171F00">
        <w:rPr>
          <w:rFonts w:cs="Arial"/>
          <w:color w:val="000000" w:themeColor="text1"/>
          <w:lang w:val="sr-Cyrl-BA"/>
        </w:rPr>
        <w:t xml:space="preserve"> </w:t>
      </w:r>
      <w:r w:rsidR="0071360A" w:rsidRPr="00171F00">
        <w:rPr>
          <w:rFonts w:cs="Arial"/>
          <w:color w:val="000000" w:themeColor="text1"/>
          <w:lang w:val="sr-Cyrl-BA"/>
        </w:rPr>
        <w:t>Основни</w:t>
      </w:r>
      <w:r w:rsidRPr="00171F00">
        <w:rPr>
          <w:rFonts w:cs="Arial"/>
          <w:color w:val="000000" w:themeColor="text1"/>
          <w:lang w:val="sr-Cyrl-BA"/>
        </w:rPr>
        <w:t xml:space="preserve"> </w:t>
      </w:r>
      <w:r w:rsidR="0071360A" w:rsidRPr="00171F00">
        <w:rPr>
          <w:rFonts w:cs="Arial"/>
          <w:color w:val="000000" w:themeColor="text1"/>
          <w:lang w:val="sr-Cyrl-BA"/>
        </w:rPr>
        <w:t>т</w:t>
      </w:r>
      <w:r w:rsidR="00A56E08" w:rsidRPr="00171F00">
        <w:rPr>
          <w:rFonts w:cs="Arial"/>
          <w:color w:val="000000" w:themeColor="text1"/>
          <w:lang w:val="sr-Cyrl-BA"/>
        </w:rPr>
        <w:t>е</w:t>
      </w:r>
      <w:r w:rsidR="0071360A" w:rsidRPr="00171F00">
        <w:rPr>
          <w:rFonts w:cs="Arial"/>
          <w:color w:val="000000" w:themeColor="text1"/>
          <w:lang w:val="sr-Cyrl-BA"/>
        </w:rPr>
        <w:t>хни</w:t>
      </w:r>
      <w:r w:rsidR="00A56E08" w:rsidRPr="00171F00">
        <w:rPr>
          <w:rFonts w:cs="Arial"/>
          <w:color w:val="000000" w:themeColor="text1"/>
          <w:lang w:val="sr-Cyrl-BA"/>
        </w:rPr>
        <w:t>ч</w:t>
      </w:r>
      <w:r w:rsidR="0071360A" w:rsidRPr="00171F00">
        <w:rPr>
          <w:rFonts w:cs="Arial"/>
          <w:color w:val="000000" w:themeColor="text1"/>
          <w:lang w:val="sr-Cyrl-BA"/>
        </w:rPr>
        <w:t>ки</w:t>
      </w:r>
      <w:r w:rsidR="004B0FCD" w:rsidRPr="00171F00">
        <w:rPr>
          <w:rFonts w:cs="Arial"/>
          <w:color w:val="000000" w:themeColor="text1"/>
          <w:lang w:val="sr-Cyrl-BA"/>
        </w:rPr>
        <w:t xml:space="preserve"> </w:t>
      </w:r>
      <w:r w:rsidR="0071360A" w:rsidRPr="00171F00">
        <w:rPr>
          <w:rFonts w:cs="Arial"/>
          <w:color w:val="000000" w:themeColor="text1"/>
          <w:lang w:val="sr-Cyrl-BA"/>
        </w:rPr>
        <w:t>ст</w:t>
      </w:r>
      <w:r w:rsidR="00A56E08" w:rsidRPr="00171F00">
        <w:rPr>
          <w:rFonts w:cs="Arial"/>
          <w:color w:val="000000" w:themeColor="text1"/>
          <w:lang w:val="sr-Cyrl-BA"/>
        </w:rPr>
        <w:t>а</w:t>
      </w:r>
      <w:r w:rsidR="0071360A" w:rsidRPr="00171F00">
        <w:rPr>
          <w:rFonts w:cs="Arial"/>
          <w:color w:val="000000" w:themeColor="text1"/>
          <w:lang w:val="sr-Cyrl-BA"/>
        </w:rPr>
        <w:t>н</w:t>
      </w:r>
      <w:r w:rsidR="00A56E08" w:rsidRPr="00171F00">
        <w:rPr>
          <w:rFonts w:cs="Arial"/>
          <w:color w:val="000000" w:themeColor="text1"/>
          <w:lang w:val="sr-Cyrl-BA"/>
        </w:rPr>
        <w:t>да</w:t>
      </w:r>
      <w:r w:rsidR="0071360A" w:rsidRPr="00171F00">
        <w:rPr>
          <w:rFonts w:cs="Arial"/>
          <w:color w:val="000000" w:themeColor="text1"/>
          <w:lang w:val="sr-Cyrl-BA"/>
        </w:rPr>
        <w:t>р</w:t>
      </w:r>
      <w:r w:rsidR="00A56E08" w:rsidRPr="00171F00">
        <w:rPr>
          <w:rFonts w:cs="Arial"/>
          <w:color w:val="000000" w:themeColor="text1"/>
          <w:lang w:val="sr-Cyrl-BA"/>
        </w:rPr>
        <w:t>д</w:t>
      </w:r>
      <w:r w:rsidR="0071360A" w:rsidRPr="00171F00">
        <w:rPr>
          <w:rFonts w:cs="Arial"/>
          <w:color w:val="000000" w:themeColor="text1"/>
          <w:lang w:val="sr-Cyrl-BA"/>
        </w:rPr>
        <w:t>и</w:t>
      </w:r>
      <w:r w:rsidR="004B0FCD" w:rsidRPr="00171F00">
        <w:rPr>
          <w:rFonts w:cs="Arial"/>
          <w:color w:val="000000" w:themeColor="text1"/>
          <w:lang w:val="sr-Cyrl-BA"/>
        </w:rPr>
        <w:t xml:space="preserve"> </w:t>
      </w:r>
      <w:r w:rsidR="00171F00">
        <w:rPr>
          <w:rFonts w:cs="Arial"/>
          <w:color w:val="000000" w:themeColor="text1"/>
          <w:lang w:val="sr-Cyrl-BA"/>
        </w:rPr>
        <w:t>з</w:t>
      </w:r>
      <w:r w:rsidR="00A56E08" w:rsidRPr="00171F00">
        <w:rPr>
          <w:rFonts w:cs="Arial"/>
          <w:color w:val="000000" w:themeColor="text1"/>
          <w:lang w:val="sr-Cyrl-BA"/>
        </w:rPr>
        <w:t>а</w:t>
      </w:r>
      <w:r w:rsidRPr="00171F00">
        <w:rPr>
          <w:rFonts w:cs="Arial"/>
          <w:color w:val="000000" w:themeColor="text1"/>
          <w:lang w:val="sr-Cyrl-BA"/>
        </w:rPr>
        <w:t xml:space="preserve"> </w:t>
      </w:r>
      <w:r w:rsidR="00A56E08" w:rsidRPr="00171F00">
        <w:rPr>
          <w:rFonts w:cs="Arial"/>
          <w:color w:val="000000" w:themeColor="text1"/>
          <w:lang w:val="sr-Cyrl-BA"/>
        </w:rPr>
        <w:t>а</w:t>
      </w:r>
      <w:r w:rsidR="0071360A" w:rsidRPr="00171F00">
        <w:rPr>
          <w:rFonts w:cs="Arial"/>
          <w:color w:val="000000" w:themeColor="text1"/>
          <w:lang w:val="sr-Cyrl-BA"/>
        </w:rPr>
        <w:t>л</w:t>
      </w:r>
      <w:r w:rsidR="00A56E08" w:rsidRPr="00171F00">
        <w:rPr>
          <w:rFonts w:cs="Arial"/>
          <w:color w:val="000000" w:themeColor="text1"/>
          <w:lang w:val="sr-Cyrl-BA"/>
        </w:rPr>
        <w:t>а</w:t>
      </w:r>
      <w:r w:rsidR="0071360A" w:rsidRPr="00171F00">
        <w:rPr>
          <w:rFonts w:cs="Arial"/>
          <w:color w:val="000000" w:themeColor="text1"/>
          <w:lang w:val="sr-Cyrl-BA"/>
        </w:rPr>
        <w:t>т</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информ</w:t>
      </w:r>
      <w:r w:rsidR="00A56E08" w:rsidRPr="00171F00">
        <w:rPr>
          <w:rFonts w:cs="Arial"/>
          <w:color w:val="000000" w:themeColor="text1"/>
          <w:lang w:val="sr-Cyrl-BA"/>
        </w:rPr>
        <w:t>а</w:t>
      </w:r>
      <w:r w:rsidR="0071360A" w:rsidRPr="00171F00">
        <w:rPr>
          <w:rFonts w:cs="Arial"/>
          <w:color w:val="000000" w:themeColor="text1"/>
          <w:lang w:val="sr-Cyrl-BA"/>
        </w:rPr>
        <w:t>ти</w:t>
      </w:r>
      <w:r w:rsidR="00A56E08" w:rsidRPr="00171F00">
        <w:rPr>
          <w:rFonts w:cs="Arial"/>
          <w:color w:val="000000" w:themeColor="text1"/>
          <w:lang w:val="sr-Cyrl-BA"/>
        </w:rPr>
        <w:t>ч</w:t>
      </w:r>
      <w:r w:rsidR="0071360A" w:rsidRPr="00171F00">
        <w:rPr>
          <w:rFonts w:cs="Arial"/>
          <w:color w:val="000000" w:themeColor="text1"/>
          <w:lang w:val="sr-Cyrl-BA"/>
        </w:rPr>
        <w:t>ко</w:t>
      </w:r>
      <w:r w:rsidRPr="00171F00">
        <w:rPr>
          <w:rFonts w:cs="Arial"/>
          <w:color w:val="000000" w:themeColor="text1"/>
          <w:lang w:val="sr-Cyrl-BA"/>
        </w:rPr>
        <w:t>-</w:t>
      </w:r>
      <w:r w:rsidR="0071360A" w:rsidRPr="00171F00">
        <w:rPr>
          <w:rFonts w:cs="Arial"/>
          <w:color w:val="000000" w:themeColor="text1"/>
          <w:lang w:val="sr-Cyrl-BA"/>
        </w:rPr>
        <w:t>комуник</w:t>
      </w:r>
      <w:r w:rsidR="00A56E08" w:rsidRPr="00171F00">
        <w:rPr>
          <w:rFonts w:cs="Arial"/>
          <w:color w:val="000000" w:themeColor="text1"/>
          <w:lang w:val="sr-Cyrl-BA"/>
        </w:rPr>
        <w:t>ац</w:t>
      </w:r>
      <w:r w:rsidR="0071360A" w:rsidRPr="00171F00">
        <w:rPr>
          <w:rFonts w:cs="Arial"/>
          <w:color w:val="000000" w:themeColor="text1"/>
          <w:lang w:val="sr-Cyrl-BA"/>
        </w:rPr>
        <w:t>ионих</w:t>
      </w:r>
      <w:r w:rsidRPr="00171F00">
        <w:rPr>
          <w:rFonts w:cs="Arial"/>
          <w:color w:val="000000" w:themeColor="text1"/>
          <w:lang w:val="sr-Cyrl-BA"/>
        </w:rPr>
        <w:t xml:space="preserve"> </w:t>
      </w:r>
      <w:r w:rsidR="0071360A" w:rsidRPr="00171F00">
        <w:rPr>
          <w:rFonts w:cs="Arial"/>
          <w:color w:val="000000" w:themeColor="text1"/>
          <w:lang w:val="sr-Cyrl-BA"/>
        </w:rPr>
        <w:t>т</w:t>
      </w:r>
      <w:r w:rsidR="00A56E08" w:rsidRPr="00171F00">
        <w:rPr>
          <w:rFonts w:cs="Arial"/>
          <w:color w:val="000000" w:themeColor="text1"/>
          <w:lang w:val="sr-Cyrl-BA"/>
        </w:rPr>
        <w:t>е</w:t>
      </w:r>
      <w:r w:rsidR="0071360A" w:rsidRPr="00171F00">
        <w:rPr>
          <w:rFonts w:cs="Arial"/>
          <w:color w:val="000000" w:themeColor="text1"/>
          <w:lang w:val="sr-Cyrl-BA"/>
        </w:rPr>
        <w:t>хнологиј</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71360A" w:rsidRPr="00171F00">
        <w:rPr>
          <w:rFonts w:cs="Arial"/>
          <w:color w:val="000000" w:themeColor="text1"/>
          <w:lang w:val="sr-Cyrl-BA"/>
        </w:rPr>
        <w:t>о</w:t>
      </w:r>
      <w:r w:rsidR="00A56E08" w:rsidRPr="00171F00">
        <w:rPr>
          <w:rFonts w:cs="Arial"/>
          <w:color w:val="000000" w:themeColor="text1"/>
          <w:lang w:val="sr-Cyrl-BA"/>
        </w:rPr>
        <w:t>б</w:t>
      </w:r>
      <w:r w:rsidR="0071360A" w:rsidRPr="00171F00">
        <w:rPr>
          <w:rFonts w:cs="Arial"/>
          <w:color w:val="000000" w:themeColor="text1"/>
          <w:lang w:val="sr-Cyrl-BA"/>
        </w:rPr>
        <w:t>р</w:t>
      </w:r>
      <w:r w:rsidR="00A56E08" w:rsidRPr="00171F00">
        <w:rPr>
          <w:rFonts w:cs="Arial"/>
          <w:color w:val="000000" w:themeColor="text1"/>
          <w:lang w:val="sr-Cyrl-BA"/>
        </w:rPr>
        <w:t>а</w:t>
      </w:r>
      <w:r w:rsidR="00171F00">
        <w:rPr>
          <w:rFonts w:cs="Arial"/>
          <w:color w:val="000000" w:themeColor="text1"/>
          <w:lang w:val="sr-Cyrl-BA"/>
        </w:rPr>
        <w:t>з</w:t>
      </w:r>
      <w:r w:rsidR="0071360A" w:rsidRPr="00171F00">
        <w:rPr>
          <w:rFonts w:cs="Arial"/>
          <w:color w:val="000000" w:themeColor="text1"/>
          <w:lang w:val="sr-Cyrl-BA"/>
        </w:rPr>
        <w:t>овним</w:t>
      </w:r>
      <w:r w:rsidRPr="00171F00">
        <w:rPr>
          <w:rFonts w:cs="Arial"/>
          <w:color w:val="000000" w:themeColor="text1"/>
          <w:lang w:val="sr-Cyrl-BA"/>
        </w:rPr>
        <w:t xml:space="preserve"> </w:t>
      </w:r>
      <w:r w:rsidR="0071360A" w:rsidRPr="00171F00">
        <w:rPr>
          <w:rFonts w:cs="Arial"/>
          <w:color w:val="000000" w:themeColor="text1"/>
          <w:lang w:val="sr-Cyrl-BA"/>
        </w:rPr>
        <w:t>сист</w:t>
      </w:r>
      <w:r w:rsidR="00A56E08" w:rsidRPr="00171F00">
        <w:rPr>
          <w:rFonts w:cs="Arial"/>
          <w:color w:val="000000" w:themeColor="text1"/>
          <w:lang w:val="sr-Cyrl-BA"/>
        </w:rPr>
        <w:t>е</w:t>
      </w:r>
      <w:r w:rsidR="0071360A" w:rsidRPr="00171F00">
        <w:rPr>
          <w:rFonts w:cs="Arial"/>
          <w:color w:val="000000" w:themeColor="text1"/>
          <w:lang w:val="sr-Cyrl-BA"/>
        </w:rPr>
        <w:t>мим</w:t>
      </w:r>
      <w:r w:rsidR="00A56E08" w:rsidRPr="00171F00">
        <w:rPr>
          <w:rFonts w:cs="Arial"/>
          <w:color w:val="000000" w:themeColor="text1"/>
          <w:lang w:val="sr-Cyrl-BA"/>
        </w:rPr>
        <w:t>а</w:t>
      </w:r>
      <w:r w:rsidRPr="00171F00">
        <w:rPr>
          <w:rFonts w:cs="Arial"/>
          <w:color w:val="000000" w:themeColor="text1"/>
          <w:lang w:val="sr-Cyrl-BA"/>
        </w:rPr>
        <w:t xml:space="preserve"> </w:t>
      </w:r>
      <w:r w:rsidR="0071360A" w:rsidRPr="00171F00">
        <w:rPr>
          <w:rFonts w:cs="Arial"/>
          <w:color w:val="000000" w:themeColor="text1"/>
          <w:lang w:val="sr-Cyrl-BA"/>
        </w:rPr>
        <w:t>у</w:t>
      </w:r>
      <w:r w:rsidRPr="00171F00">
        <w:rPr>
          <w:rFonts w:cs="Arial"/>
          <w:color w:val="000000" w:themeColor="text1"/>
          <w:lang w:val="sr-Cyrl-BA"/>
        </w:rPr>
        <w:t xml:space="preserve"> </w:t>
      </w:r>
      <w:r w:rsidR="00A56E08" w:rsidRPr="00171F00">
        <w:rPr>
          <w:rFonts w:cs="Arial"/>
          <w:color w:val="000000" w:themeColor="text1"/>
          <w:lang w:val="sr-Cyrl-BA"/>
        </w:rPr>
        <w:t>Б</w:t>
      </w:r>
      <w:r w:rsidR="0071360A" w:rsidRPr="00171F00">
        <w:rPr>
          <w:rFonts w:cs="Arial"/>
          <w:color w:val="000000" w:themeColor="text1"/>
          <w:lang w:val="sr-Cyrl-BA"/>
        </w:rPr>
        <w:t>осни</w:t>
      </w:r>
      <w:r w:rsidRPr="00171F00">
        <w:rPr>
          <w:rFonts w:cs="Arial"/>
          <w:color w:val="000000" w:themeColor="text1"/>
          <w:lang w:val="sr-Cyrl-BA"/>
        </w:rPr>
        <w:t xml:space="preserve"> </w:t>
      </w:r>
      <w:r w:rsidR="0071360A" w:rsidRPr="00171F00">
        <w:rPr>
          <w:rFonts w:cs="Arial"/>
          <w:color w:val="000000" w:themeColor="text1"/>
          <w:lang w:val="sr-Cyrl-BA"/>
        </w:rPr>
        <w:t>и</w:t>
      </w:r>
      <w:r w:rsidRPr="00171F00">
        <w:rPr>
          <w:rFonts w:cs="Arial"/>
          <w:color w:val="000000" w:themeColor="text1"/>
          <w:lang w:val="sr-Cyrl-BA"/>
        </w:rPr>
        <w:t xml:space="preserve"> </w:t>
      </w:r>
      <w:r w:rsidR="0071360A" w:rsidRPr="00171F00">
        <w:rPr>
          <w:rFonts w:cs="Arial"/>
          <w:color w:val="000000" w:themeColor="text1"/>
          <w:lang w:val="sr-Cyrl-BA"/>
        </w:rPr>
        <w:t>Х</w:t>
      </w:r>
      <w:r w:rsidR="00A56E08" w:rsidRPr="00171F00">
        <w:rPr>
          <w:rFonts w:cs="Arial"/>
          <w:color w:val="000000" w:themeColor="text1"/>
          <w:lang w:val="sr-Cyrl-BA"/>
        </w:rPr>
        <w:t>е</w:t>
      </w:r>
      <w:r w:rsidR="0071360A" w:rsidRPr="00171F00">
        <w:rPr>
          <w:rFonts w:cs="Arial"/>
          <w:color w:val="000000" w:themeColor="text1"/>
          <w:lang w:val="sr-Cyrl-BA"/>
        </w:rPr>
        <w:t>р</w:t>
      </w:r>
      <w:r w:rsidR="00A56E08" w:rsidRPr="00171F00">
        <w:rPr>
          <w:rFonts w:cs="Arial"/>
          <w:color w:val="000000" w:themeColor="text1"/>
          <w:lang w:val="sr-Cyrl-BA"/>
        </w:rPr>
        <w:t>це</w:t>
      </w:r>
      <w:r w:rsidR="0071360A" w:rsidRPr="00171F00">
        <w:rPr>
          <w:rFonts w:cs="Arial"/>
          <w:color w:val="000000" w:themeColor="text1"/>
          <w:lang w:val="sr-Cyrl-BA"/>
        </w:rPr>
        <w:t>говини</w:t>
      </w:r>
      <w:r w:rsidRPr="00171F00">
        <w:rPr>
          <w:rFonts w:cs="Arial"/>
          <w:color w:val="000000" w:themeColor="text1"/>
          <w:lang w:val="sr-Cyrl-BA"/>
        </w:rPr>
        <w:t xml:space="preserve"> </w:t>
      </w:r>
      <w:r w:rsidR="00A56E08" w:rsidRPr="00171F00">
        <w:rPr>
          <w:rFonts w:cs="Arial"/>
          <w:color w:val="000000" w:themeColor="text1"/>
          <w:lang w:val="sr-Cyrl-BA"/>
        </w:rPr>
        <w:t>д</w:t>
      </w:r>
      <w:r w:rsidR="0071360A" w:rsidRPr="00171F00">
        <w:rPr>
          <w:rFonts w:cs="Arial"/>
          <w:color w:val="000000" w:themeColor="text1"/>
          <w:lang w:val="sr-Cyrl-BA"/>
        </w:rPr>
        <w:t>оступно</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а</w:t>
      </w:r>
      <w:r w:rsidRPr="00171F00">
        <w:rPr>
          <w:rFonts w:cs="Arial"/>
          <w:color w:val="000000" w:themeColor="text1"/>
          <w:lang w:val="sr-Cyrl-BA"/>
        </w:rPr>
        <w:t xml:space="preserve">: </w:t>
      </w:r>
      <w:hyperlink r:id="rId5" w:history="1">
        <w:r w:rsidR="00A94F64" w:rsidRPr="0039751B">
          <w:rPr>
            <w:rStyle w:val="Hyperlink"/>
          </w:rPr>
          <w:t>http://www.mcp.gov.ba/Content/Read/obrazovanje-dokumenti</w:t>
        </w:r>
      </w:hyperlink>
      <w:r w:rsidR="00A94F64">
        <w:rPr>
          <w:lang w:val="sr-Cyrl-BA"/>
        </w:rPr>
        <w:t xml:space="preserve"> </w:t>
      </w:r>
      <w:r w:rsidRPr="00171F00">
        <w:rPr>
          <w:rFonts w:cs="Arial"/>
          <w:color w:val="000000" w:themeColor="text1"/>
          <w:lang w:val="sr-Cyrl-BA"/>
        </w:rPr>
        <w:t>(</w:t>
      </w:r>
      <w:r w:rsidR="0071360A" w:rsidRPr="00171F00">
        <w:rPr>
          <w:rFonts w:cs="Arial"/>
          <w:color w:val="000000" w:themeColor="text1"/>
          <w:lang w:val="sr-Cyrl-BA"/>
        </w:rPr>
        <w:t>посј</w:t>
      </w:r>
      <w:r w:rsidR="00A56E08" w:rsidRPr="00171F00">
        <w:rPr>
          <w:rFonts w:cs="Arial"/>
          <w:color w:val="000000" w:themeColor="text1"/>
          <w:lang w:val="sr-Cyrl-BA"/>
        </w:rPr>
        <w:t>е</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28.04.2022.)</w:t>
      </w:r>
    </w:p>
  </w:footnote>
  <w:footnote w:id="15">
    <w:p w14:paraId="1998D061" w14:textId="78B7592A" w:rsidR="00F33370" w:rsidRPr="00171F00" w:rsidRDefault="00F33370" w:rsidP="00A94F64">
      <w:pPr>
        <w:pStyle w:val="FootnoteText"/>
        <w:rPr>
          <w:lang w:val="sr-Cyrl-BA"/>
        </w:rPr>
      </w:pPr>
      <w:r w:rsidRPr="00171F00">
        <w:rPr>
          <w:rStyle w:val="FootnoteReference"/>
          <w:rFonts w:cs="Arial"/>
          <w:sz w:val="20"/>
          <w:lang w:val="sr-Cyrl-BA"/>
        </w:rPr>
        <w:footnoteRef/>
      </w:r>
      <w:r w:rsidR="00A94F64">
        <w:rPr>
          <w:lang w:val="sr-Cyrl-BA"/>
        </w:rPr>
        <w:t xml:space="preserve"> </w:t>
      </w:r>
      <w:r w:rsidR="0071360A" w:rsidRPr="00171F00">
        <w:rPr>
          <w:lang w:val="sr-Cyrl-BA"/>
        </w:rPr>
        <w:t>Виш</w:t>
      </w:r>
      <w:r w:rsidR="00A56E08" w:rsidRPr="00171F00">
        <w:rPr>
          <w:lang w:val="sr-Cyrl-BA"/>
        </w:rPr>
        <w:t>е</w:t>
      </w:r>
      <w:r w:rsidRPr="00171F00">
        <w:rPr>
          <w:lang w:val="sr-Cyrl-BA"/>
        </w:rPr>
        <w:t xml:space="preserve"> </w:t>
      </w:r>
      <w:r w:rsidR="0071360A" w:rsidRPr="00171F00">
        <w:rPr>
          <w:lang w:val="sr-Cyrl-BA"/>
        </w:rPr>
        <w:t>о</w:t>
      </w:r>
      <w:r w:rsidRPr="00171F00">
        <w:rPr>
          <w:lang w:val="sr-Cyrl-BA"/>
        </w:rPr>
        <w:t xml:space="preserve"> </w:t>
      </w:r>
      <w:r w:rsidR="00171F00">
        <w:rPr>
          <w:lang w:val="sr-Cyrl-BA"/>
        </w:rPr>
        <w:t>з</w:t>
      </w:r>
      <w:r w:rsidR="00A56E08" w:rsidRPr="00171F00">
        <w:rPr>
          <w:lang w:val="sr-Cyrl-BA"/>
        </w:rPr>
        <w:t>а</w:t>
      </w:r>
      <w:r w:rsidR="0071360A" w:rsidRPr="00171F00">
        <w:rPr>
          <w:lang w:val="sr-Cyrl-BA"/>
        </w:rPr>
        <w:t>ступљ</w:t>
      </w:r>
      <w:r w:rsidR="00A56E08" w:rsidRPr="00171F00">
        <w:rPr>
          <w:lang w:val="sr-Cyrl-BA"/>
        </w:rPr>
        <w:t>е</w:t>
      </w:r>
      <w:r w:rsidR="0071360A" w:rsidRPr="00171F00">
        <w:rPr>
          <w:lang w:val="sr-Cyrl-BA"/>
        </w:rPr>
        <w:t>ности</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00423AEA" w:rsidRPr="00171F00">
        <w:rPr>
          <w:lang w:val="sr-Cyrl-BA"/>
        </w:rPr>
        <w:t xml:space="preserve"> </w:t>
      </w:r>
      <w:r w:rsidR="0071360A" w:rsidRPr="00171F00">
        <w:rPr>
          <w:lang w:val="sr-Cyrl-BA"/>
        </w:rPr>
        <w:t>пут</w:t>
      </w:r>
      <w:r w:rsidR="00A56E08" w:rsidRPr="00171F00">
        <w:rPr>
          <w:lang w:val="sr-Cyrl-BA"/>
        </w:rPr>
        <w:t>е</w:t>
      </w:r>
      <w:r w:rsidR="0071360A" w:rsidRPr="00171F00">
        <w:rPr>
          <w:lang w:val="sr-Cyrl-BA"/>
        </w:rPr>
        <w:t>м</w:t>
      </w:r>
      <w:r w:rsidR="00423AEA"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рн</w:t>
      </w:r>
      <w:r w:rsidR="00A56E08" w:rsidRPr="00171F00">
        <w:rPr>
          <w:lang w:val="sr-Cyrl-BA"/>
        </w:rPr>
        <w:t>е</w:t>
      </w:r>
      <w:r w:rsidR="0071360A" w:rsidRPr="00171F00">
        <w:rPr>
          <w:lang w:val="sr-Cyrl-BA"/>
        </w:rPr>
        <w:t>т</w:t>
      </w:r>
      <w:r w:rsidR="00A56E08" w:rsidRPr="00171F00">
        <w:rPr>
          <w:lang w:val="sr-Cyrl-BA"/>
        </w:rPr>
        <w:t>а</w:t>
      </w:r>
      <w:r w:rsidR="00423AEA" w:rsidRPr="00171F00">
        <w:rPr>
          <w:lang w:val="sr-Cyrl-BA"/>
        </w:rPr>
        <w:t xml:space="preserve"> </w:t>
      </w:r>
      <w:r w:rsidR="0071360A" w:rsidRPr="00171F00">
        <w:rPr>
          <w:lang w:val="sr-Cyrl-BA"/>
        </w:rPr>
        <w:t>у</w:t>
      </w:r>
      <w:r w:rsidRPr="00171F00">
        <w:rPr>
          <w:lang w:val="sr-Cyrl-BA"/>
        </w:rPr>
        <w:t xml:space="preserve"> </w:t>
      </w:r>
      <w:r w:rsidR="00171F00">
        <w:rPr>
          <w:lang w:val="sr-Cyrl-BA"/>
        </w:rPr>
        <w:t>з</w:t>
      </w:r>
      <w:r w:rsidR="00A56E08" w:rsidRPr="00171F00">
        <w:rPr>
          <w:lang w:val="sr-Cyrl-BA"/>
        </w:rPr>
        <w:t>а</w:t>
      </w:r>
      <w:r w:rsidR="0071360A" w:rsidRPr="00171F00">
        <w:rPr>
          <w:lang w:val="sr-Cyrl-BA"/>
        </w:rPr>
        <w:t>коним</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нивоу</w:t>
      </w:r>
      <w:r w:rsidRPr="00171F00">
        <w:rPr>
          <w:lang w:val="sr-Cyrl-BA"/>
        </w:rPr>
        <w:t xml:space="preserve"> </w:t>
      </w:r>
      <w:r w:rsidR="00A56E08" w:rsidRPr="00171F00">
        <w:rPr>
          <w:lang w:val="sr-Cyrl-BA"/>
        </w:rPr>
        <w:t>ад</w:t>
      </w:r>
      <w:r w:rsidR="0071360A" w:rsidRPr="00171F00">
        <w:rPr>
          <w:lang w:val="sr-Cyrl-BA"/>
        </w:rPr>
        <w:t>министр</w:t>
      </w:r>
      <w:r w:rsidR="00A56E08" w:rsidRPr="00171F00">
        <w:rPr>
          <w:lang w:val="sr-Cyrl-BA"/>
        </w:rPr>
        <w:t>а</w:t>
      </w:r>
      <w:r w:rsidR="0071360A" w:rsidRPr="00171F00">
        <w:rPr>
          <w:lang w:val="sr-Cyrl-BA"/>
        </w:rPr>
        <w:t>тивних</w:t>
      </w:r>
      <w:r w:rsidRPr="00171F00">
        <w:rPr>
          <w:lang w:val="sr-Cyrl-BA"/>
        </w:rPr>
        <w:t xml:space="preserve"> </w:t>
      </w:r>
      <w:r w:rsidR="0071360A" w:rsidRPr="00171F00">
        <w:rPr>
          <w:lang w:val="sr-Cyrl-BA"/>
        </w:rPr>
        <w:t>ј</w:t>
      </w:r>
      <w:r w:rsidR="00A56E08" w:rsidRPr="00171F00">
        <w:rPr>
          <w:lang w:val="sr-Cyrl-BA"/>
        </w:rPr>
        <w:t>ед</w:t>
      </w:r>
      <w:r w:rsidR="0071360A" w:rsidRPr="00171F00">
        <w:rPr>
          <w:lang w:val="sr-Cyrl-BA"/>
        </w:rPr>
        <w:t>ини</w:t>
      </w:r>
      <w:r w:rsidR="00A56E08" w:rsidRPr="00171F00">
        <w:rPr>
          <w:lang w:val="sr-Cyrl-BA"/>
        </w:rPr>
        <w:t>ца</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гл</w:t>
      </w:r>
      <w:r w:rsidR="00A56E08" w:rsidRPr="00171F00">
        <w:rPr>
          <w:lang w:val="sr-Cyrl-BA"/>
        </w:rPr>
        <w:t>ед</w:t>
      </w:r>
      <w:r w:rsidR="0071360A" w:rsidRPr="00171F00">
        <w:rPr>
          <w:lang w:val="sr-Cyrl-BA"/>
        </w:rPr>
        <w:t>ној</w:t>
      </w:r>
      <w:r w:rsidRPr="00171F00">
        <w:rPr>
          <w:lang w:val="sr-Cyrl-BA"/>
        </w:rPr>
        <w:t xml:space="preserve"> </w:t>
      </w:r>
      <w:r w:rsidR="0071360A" w:rsidRPr="00171F00">
        <w:rPr>
          <w:lang w:val="sr-Cyrl-BA"/>
        </w:rPr>
        <w:t>сту</w:t>
      </w:r>
      <w:r w:rsidR="00A56E08" w:rsidRPr="00171F00">
        <w:rPr>
          <w:lang w:val="sr-Cyrl-BA"/>
        </w:rPr>
        <w:t>д</w:t>
      </w:r>
      <w:r w:rsidR="0071360A" w:rsidRPr="00171F00">
        <w:rPr>
          <w:lang w:val="sr-Cyrl-BA"/>
        </w:rPr>
        <w:t>ији</w:t>
      </w:r>
      <w:r w:rsidRPr="00171F00">
        <w:rPr>
          <w:lang w:val="sr-Cyrl-BA"/>
        </w:rPr>
        <w:t xml:space="preserve"> </w:t>
      </w:r>
      <w:r w:rsidR="0071360A" w:rsidRPr="00171F00">
        <w:rPr>
          <w:lang w:val="sr-Cyrl-BA"/>
        </w:rPr>
        <w:t>о</w:t>
      </w:r>
      <w:r w:rsidRPr="00171F00">
        <w:rPr>
          <w:lang w:val="sr-Cyrl-BA"/>
        </w:rPr>
        <w:t xml:space="preserve"> </w:t>
      </w:r>
      <w:r w:rsidR="0071360A" w:rsidRPr="00171F00">
        <w:rPr>
          <w:lang w:val="sr-Cyrl-BA"/>
        </w:rPr>
        <w:t>кв</w:t>
      </w:r>
      <w:r w:rsidR="00A56E08" w:rsidRPr="00171F00">
        <w:rPr>
          <w:lang w:val="sr-Cyrl-BA"/>
        </w:rPr>
        <w:t>а</w:t>
      </w:r>
      <w:r w:rsidR="0071360A" w:rsidRPr="00171F00">
        <w:rPr>
          <w:lang w:val="sr-Cyrl-BA"/>
        </w:rPr>
        <w:t>лит</w:t>
      </w:r>
      <w:r w:rsidR="00A56E08" w:rsidRPr="00171F00">
        <w:rPr>
          <w:lang w:val="sr-Cyrl-BA"/>
        </w:rPr>
        <w:t>е</w:t>
      </w:r>
      <w:r w:rsidR="0071360A" w:rsidRPr="00171F00">
        <w:rPr>
          <w:lang w:val="sr-Cyrl-BA"/>
        </w:rPr>
        <w:t>ту</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A56E08" w:rsidRPr="00171F00">
        <w:rPr>
          <w:lang w:val="sr-Cyrl-BA"/>
        </w:rPr>
        <w:t>да</w:t>
      </w:r>
      <w:r w:rsidR="0071360A" w:rsidRPr="00171F00">
        <w:rPr>
          <w:lang w:val="sr-Cyrl-BA"/>
        </w:rPr>
        <w:t>љину</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ком</w:t>
      </w:r>
      <w:r w:rsidR="00A56E08" w:rsidRPr="00171F00">
        <w:rPr>
          <w:lang w:val="sr-Cyrl-BA"/>
        </w:rPr>
        <w:t>б</w:t>
      </w:r>
      <w:r w:rsidR="0071360A" w:rsidRPr="00171F00">
        <w:rPr>
          <w:lang w:val="sr-Cyrl-BA"/>
        </w:rPr>
        <w:t>инир</w:t>
      </w:r>
      <w:r w:rsidR="00A56E08" w:rsidRPr="00171F00">
        <w:rPr>
          <w:lang w:val="sr-Cyrl-BA"/>
        </w:rPr>
        <w:t>а</w:t>
      </w:r>
      <w:r w:rsidR="0071360A" w:rsidRPr="00171F00">
        <w:rPr>
          <w:lang w:val="sr-Cyrl-BA"/>
        </w:rPr>
        <w:t>ног</w:t>
      </w:r>
      <w:r w:rsidRPr="00171F00">
        <w:rPr>
          <w:lang w:val="sr-Cyrl-BA"/>
        </w:rPr>
        <w:t xml:space="preserve"> </w:t>
      </w:r>
      <w:r w:rsidR="0071360A" w:rsidRPr="00171F00">
        <w:rPr>
          <w:lang w:val="sr-Cyrl-BA"/>
        </w:rPr>
        <w:t>у</w:t>
      </w:r>
      <w:r w:rsidR="00A56E08" w:rsidRPr="00171F00">
        <w:rPr>
          <w:lang w:val="sr-Cyrl-BA"/>
        </w:rPr>
        <w:t>че</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основном</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ср</w:t>
      </w:r>
      <w:r w:rsidR="00A56E08" w:rsidRPr="00171F00">
        <w:rPr>
          <w:lang w:val="sr-Cyrl-BA"/>
        </w:rPr>
        <w:t>ед</w:t>
      </w:r>
      <w:r w:rsidR="0071360A" w:rsidRPr="00171F00">
        <w:rPr>
          <w:lang w:val="sr-Cyrl-BA"/>
        </w:rPr>
        <w:t>њ</w:t>
      </w:r>
      <w:r w:rsidR="00A56E08" w:rsidRPr="00171F00">
        <w:rPr>
          <w:lang w:val="sr-Cyrl-BA"/>
        </w:rPr>
        <w:t>е</w:t>
      </w:r>
      <w:r w:rsidR="0071360A" w:rsidRPr="00171F00">
        <w:rPr>
          <w:lang w:val="sr-Cyrl-BA"/>
        </w:rPr>
        <w:t>м</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њу</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СиТО</w:t>
      </w:r>
      <w:r w:rsidRPr="00171F00">
        <w:rPr>
          <w:lang w:val="sr-Cyrl-BA"/>
        </w:rPr>
        <w:t xml:space="preserve">) </w:t>
      </w:r>
      <w:r w:rsidR="0071360A" w:rsidRPr="00171F00">
        <w:rPr>
          <w:lang w:val="sr-Cyrl-BA"/>
        </w:rPr>
        <w:t>у</w:t>
      </w:r>
      <w:r w:rsidRPr="00171F00">
        <w:rPr>
          <w:lang w:val="sr-Cyrl-BA"/>
        </w:rPr>
        <w:t xml:space="preserve"> </w:t>
      </w:r>
      <w:r w:rsidR="00A56E08" w:rsidRPr="00171F00">
        <w:rPr>
          <w:lang w:val="sr-Cyrl-BA"/>
        </w:rPr>
        <w:t>Б</w:t>
      </w:r>
      <w:r w:rsidR="0071360A" w:rsidRPr="00171F00">
        <w:rPr>
          <w:lang w:val="sr-Cyrl-BA"/>
        </w:rPr>
        <w:t>осни</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Х</w:t>
      </w:r>
      <w:r w:rsidR="00A56E08" w:rsidRPr="00171F00">
        <w:rPr>
          <w:lang w:val="sr-Cyrl-BA"/>
        </w:rPr>
        <w:t>е</w:t>
      </w:r>
      <w:r w:rsidR="0071360A" w:rsidRPr="00171F00">
        <w:rPr>
          <w:lang w:val="sr-Cyrl-BA"/>
        </w:rPr>
        <w:t>р</w:t>
      </w:r>
      <w:r w:rsidR="00A56E08" w:rsidRPr="00171F00">
        <w:rPr>
          <w:lang w:val="sr-Cyrl-BA"/>
        </w:rPr>
        <w:t>це</w:t>
      </w:r>
      <w:r w:rsidR="0071360A" w:rsidRPr="00171F00">
        <w:rPr>
          <w:lang w:val="sr-Cyrl-BA"/>
        </w:rPr>
        <w:t>говини</w:t>
      </w:r>
      <w:r w:rsidRPr="00171F00">
        <w:rPr>
          <w:lang w:val="sr-Cyrl-BA"/>
        </w:rPr>
        <w:t xml:space="preserve"> </w:t>
      </w:r>
      <w:r w:rsidR="0071360A" w:rsidRPr="00171F00">
        <w:rPr>
          <w:lang w:val="sr-Cyrl-BA"/>
        </w:rPr>
        <w:t>током</w:t>
      </w:r>
      <w:r w:rsidRPr="00171F00">
        <w:rPr>
          <w:lang w:val="sr-Cyrl-BA"/>
        </w:rPr>
        <w:t xml:space="preserve"> </w:t>
      </w:r>
      <w:r w:rsidR="0071360A" w:rsidRPr="00171F00">
        <w:rPr>
          <w:lang w:val="sr-Cyrl-BA"/>
        </w:rPr>
        <w:t>п</w:t>
      </w:r>
      <w:r w:rsidR="00A56E08" w:rsidRPr="00171F00">
        <w:rPr>
          <w:lang w:val="sr-Cyrl-BA"/>
        </w:rPr>
        <w:t>а</w:t>
      </w:r>
      <w:r w:rsidR="0071360A" w:rsidRPr="00171F00">
        <w:rPr>
          <w:lang w:val="sr-Cyrl-BA"/>
        </w:rPr>
        <w:t>н</w:t>
      </w:r>
      <w:r w:rsidR="00A56E08" w:rsidRPr="00171F00">
        <w:rPr>
          <w:lang w:val="sr-Cyrl-BA"/>
        </w:rPr>
        <w:t>де</w:t>
      </w:r>
      <w:r w:rsidR="0071360A" w:rsidRPr="00171F00">
        <w:rPr>
          <w:lang w:val="sr-Cyrl-BA"/>
        </w:rPr>
        <w:t>миј</w:t>
      </w:r>
      <w:r w:rsidR="00A56E08" w:rsidRPr="00171F00">
        <w:rPr>
          <w:lang w:val="sr-Cyrl-BA"/>
        </w:rPr>
        <w:t>е</w:t>
      </w:r>
      <w:r w:rsidRPr="00171F00">
        <w:rPr>
          <w:lang w:val="sr-Cyrl-BA"/>
        </w:rPr>
        <w:t xml:space="preserve"> </w:t>
      </w:r>
      <w:r w:rsidR="0071360A" w:rsidRPr="00171F00">
        <w:rPr>
          <w:lang w:val="sr-Cyrl-BA"/>
        </w:rPr>
        <w:t>корон</w:t>
      </w:r>
      <w:r w:rsidR="00A56E08" w:rsidRPr="00171F00">
        <w:rPr>
          <w:lang w:val="sr-Cyrl-BA"/>
        </w:rPr>
        <w:t>а</w:t>
      </w:r>
      <w:r w:rsidR="0071360A" w:rsidRPr="00171F00">
        <w:rPr>
          <w:lang w:val="sr-Cyrl-BA"/>
        </w:rPr>
        <w:t>вирус</w:t>
      </w:r>
      <w:r w:rsidR="00A56E08" w:rsidRPr="00171F00">
        <w:rPr>
          <w:lang w:val="sr-Cyrl-BA"/>
        </w:rPr>
        <w:t>а</w:t>
      </w:r>
      <w:r w:rsidRPr="00171F00">
        <w:rPr>
          <w:lang w:val="sr-Cyrl-BA"/>
        </w:rPr>
        <w:t xml:space="preserve"> (</w:t>
      </w:r>
      <w:r w:rsidR="0071360A" w:rsidRPr="00171F00">
        <w:rPr>
          <w:lang w:val="sr-Cyrl-BA"/>
        </w:rPr>
        <w:t>УНИ</w:t>
      </w:r>
      <w:r w:rsidR="00A56E08" w:rsidRPr="00171F00">
        <w:rPr>
          <w:lang w:val="sr-Cyrl-BA"/>
        </w:rPr>
        <w:t>ЦЕ</w:t>
      </w:r>
      <w:r w:rsidR="0071360A" w:rsidRPr="00171F00">
        <w:rPr>
          <w:lang w:val="sr-Cyrl-BA"/>
        </w:rPr>
        <w:t>Ф</w:t>
      </w:r>
      <w:r w:rsidRPr="00171F00">
        <w:rPr>
          <w:lang w:val="sr-Cyrl-BA"/>
        </w:rPr>
        <w:t>, 2021</w:t>
      </w:r>
      <w:r w:rsidR="00A56E08" w:rsidRPr="00171F00">
        <w:rPr>
          <w:lang w:val="sr-Cyrl-BA"/>
        </w:rPr>
        <w:t>а</w:t>
      </w:r>
      <w:r w:rsidRPr="00171F00">
        <w:rPr>
          <w:lang w:val="sr-Cyrl-BA"/>
        </w:rPr>
        <w:t>).</w:t>
      </w:r>
    </w:p>
  </w:footnote>
  <w:footnote w:id="16">
    <w:p w14:paraId="1AAC66ED" w14:textId="2CE4966C" w:rsidR="00F33370" w:rsidRPr="00171F00" w:rsidRDefault="00F33370">
      <w:pPr>
        <w:pStyle w:val="FootnoteText"/>
        <w:rPr>
          <w:rFonts w:cs="Arial"/>
          <w:lang w:val="sr-Cyrl-BA"/>
        </w:rPr>
      </w:pPr>
      <w:r w:rsidRPr="00171F00">
        <w:rPr>
          <w:rStyle w:val="FootnoteReference"/>
          <w:rFonts w:cs="Arial"/>
          <w:lang w:val="sr-Cyrl-BA"/>
        </w:rPr>
        <w:footnoteRef/>
      </w:r>
      <w:r w:rsidR="00A94F64">
        <w:rPr>
          <w:rFonts w:cs="Arial"/>
          <w:lang w:val="sr-Cyrl-BA"/>
        </w:rPr>
        <w:t xml:space="preserve"> </w:t>
      </w:r>
      <w:r w:rsidR="0071360A" w:rsidRPr="00171F00">
        <w:rPr>
          <w:rFonts w:cs="Arial"/>
          <w:lang w:val="sr-Cyrl-BA"/>
        </w:rPr>
        <w:t>Н</w:t>
      </w:r>
      <w:r w:rsidR="00A56E08" w:rsidRPr="00171F00">
        <w:rPr>
          <w:rFonts w:cs="Arial"/>
          <w:lang w:val="sr-Cyrl-BA"/>
        </w:rPr>
        <w:t>ед</w:t>
      </w:r>
      <w:r w:rsidR="0071360A" w:rsidRPr="00171F00">
        <w:rPr>
          <w:rFonts w:cs="Arial"/>
          <w:lang w:val="sr-Cyrl-BA"/>
        </w:rPr>
        <w:t>ост</w:t>
      </w:r>
      <w:r w:rsidR="00A56E08" w:rsidRPr="00171F00">
        <w:rPr>
          <w:rFonts w:cs="Arial"/>
          <w:lang w:val="sr-Cyrl-BA"/>
        </w:rPr>
        <w:t>ац</w:t>
      </w:r>
      <w:r w:rsidR="0071360A" w:rsidRPr="00171F00">
        <w:rPr>
          <w:rFonts w:cs="Arial"/>
          <w:lang w:val="sr-Cyrl-BA"/>
        </w:rPr>
        <w:t>и</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потр</w:t>
      </w:r>
      <w:r w:rsidR="00A56E08" w:rsidRPr="00171F00">
        <w:rPr>
          <w:rFonts w:cs="Arial"/>
          <w:lang w:val="sr-Cyrl-BA"/>
        </w:rPr>
        <w:t>ебе</w:t>
      </w:r>
      <w:r w:rsidRPr="00171F00">
        <w:rPr>
          <w:rFonts w:cs="Arial"/>
          <w:lang w:val="sr-Cyrl-BA"/>
        </w:rPr>
        <w:t xml:space="preserve"> </w:t>
      </w:r>
      <w:r w:rsidR="0071360A" w:rsidRPr="00171F00">
        <w:rPr>
          <w:rFonts w:cs="Arial"/>
          <w:lang w:val="sr-Cyrl-BA"/>
        </w:rPr>
        <w:t>су</w:t>
      </w:r>
      <w:r w:rsidRPr="00171F00">
        <w:rPr>
          <w:rFonts w:cs="Arial"/>
          <w:lang w:val="sr-Cyrl-BA"/>
        </w:rPr>
        <w:t xml:space="preserve"> </w:t>
      </w:r>
      <w:r w:rsidR="0071360A" w:rsidRPr="00171F00">
        <w:rPr>
          <w:rFonts w:cs="Arial"/>
          <w:lang w:val="sr-Cyrl-BA"/>
        </w:rPr>
        <w:t>и</w:t>
      </w:r>
      <w:r w:rsidR="00171F00">
        <w:rPr>
          <w:rFonts w:cs="Arial"/>
          <w:lang w:val="sr-Cyrl-BA"/>
        </w:rPr>
        <w:t>з</w:t>
      </w:r>
      <w:r w:rsidR="0071360A" w:rsidRPr="00171F00">
        <w:rPr>
          <w:rFonts w:cs="Arial"/>
          <w:lang w:val="sr-Cyrl-BA"/>
        </w:rPr>
        <w:t>н</w:t>
      </w:r>
      <w:r w:rsidR="00A56E08" w:rsidRPr="00171F00">
        <w:rPr>
          <w:rFonts w:cs="Arial"/>
          <w:lang w:val="sr-Cyrl-BA"/>
        </w:rPr>
        <w:t>е</w:t>
      </w:r>
      <w:r w:rsidR="0071360A" w:rsidRPr="00171F00">
        <w:rPr>
          <w:rFonts w:cs="Arial"/>
          <w:lang w:val="sr-Cyrl-BA"/>
        </w:rPr>
        <w:t>с</w:t>
      </w:r>
      <w:r w:rsidR="00A56E08" w:rsidRPr="00171F00">
        <w:rPr>
          <w:rFonts w:cs="Arial"/>
          <w:lang w:val="sr-Cyrl-BA"/>
        </w:rPr>
        <w:t>е</w:t>
      </w:r>
      <w:r w:rsidR="0071360A" w:rsidRPr="00171F00">
        <w:rPr>
          <w:rFonts w:cs="Arial"/>
          <w:lang w:val="sr-Cyrl-BA"/>
        </w:rPr>
        <w:t>ни</w:t>
      </w:r>
      <w:r w:rsidRPr="00171F00">
        <w:rPr>
          <w:rFonts w:cs="Arial"/>
          <w:lang w:val="sr-Cyrl-BA"/>
        </w:rPr>
        <w:t xml:space="preserve"> </w:t>
      </w:r>
      <w:r w:rsidR="0071360A" w:rsidRPr="00171F00">
        <w:rPr>
          <w:rFonts w:cs="Arial"/>
          <w:lang w:val="sr-Cyrl-BA"/>
        </w:rPr>
        <w:t>током</w:t>
      </w:r>
      <w:r w:rsidRPr="00171F00">
        <w:rPr>
          <w:rFonts w:cs="Arial"/>
          <w:lang w:val="sr-Cyrl-BA"/>
        </w:rPr>
        <w:t xml:space="preserve"> </w:t>
      </w:r>
      <w:r w:rsidR="0071360A" w:rsidRPr="00171F00">
        <w:rPr>
          <w:rFonts w:cs="Arial"/>
          <w:lang w:val="sr-Cyrl-BA"/>
        </w:rPr>
        <w:t>р</w:t>
      </w:r>
      <w:r w:rsidR="00A56E08" w:rsidRPr="00171F00">
        <w:rPr>
          <w:rFonts w:cs="Arial"/>
          <w:lang w:val="sr-Cyrl-BA"/>
        </w:rPr>
        <w:t>еа</w:t>
      </w:r>
      <w:r w:rsidR="0071360A" w:rsidRPr="00171F00">
        <w:rPr>
          <w:rFonts w:cs="Arial"/>
          <w:lang w:val="sr-Cyrl-BA"/>
        </w:rPr>
        <w:t>ли</w:t>
      </w:r>
      <w:r w:rsidR="00171F00">
        <w:rPr>
          <w:rFonts w:cs="Arial"/>
          <w:lang w:val="sr-Cyrl-BA"/>
        </w:rPr>
        <w:t>з</w:t>
      </w:r>
      <w:r w:rsidR="0071360A" w:rsidRPr="00171F00">
        <w:rPr>
          <w:rFonts w:cs="Arial"/>
          <w:lang w:val="sr-Cyrl-BA"/>
        </w:rPr>
        <w:t>ов</w:t>
      </w:r>
      <w:r w:rsidR="00A56E08" w:rsidRPr="00171F00">
        <w:rPr>
          <w:rFonts w:cs="Arial"/>
          <w:lang w:val="sr-Cyrl-BA"/>
        </w:rPr>
        <w:t>а</w:t>
      </w:r>
      <w:r w:rsidR="0071360A" w:rsidRPr="00171F00">
        <w:rPr>
          <w:rFonts w:cs="Arial"/>
          <w:lang w:val="sr-Cyrl-BA"/>
        </w:rPr>
        <w:t>них</w:t>
      </w:r>
      <w:r w:rsidRPr="00171F00">
        <w:rPr>
          <w:rFonts w:cs="Arial"/>
          <w:lang w:val="sr-Cyrl-BA"/>
        </w:rPr>
        <w:t xml:space="preserve"> </w:t>
      </w:r>
      <w:r w:rsidR="0071360A" w:rsidRPr="00171F00">
        <w:rPr>
          <w:rFonts w:cs="Arial"/>
          <w:lang w:val="sr-Cyrl-BA"/>
        </w:rPr>
        <w:t>Консулт</w:t>
      </w:r>
      <w:r w:rsidR="00A56E08" w:rsidRPr="00171F00">
        <w:rPr>
          <w:rFonts w:cs="Arial"/>
          <w:lang w:val="sr-Cyrl-BA"/>
        </w:rPr>
        <w:t>ац</w:t>
      </w:r>
      <w:r w:rsidR="0071360A" w:rsidRPr="00171F00">
        <w:rPr>
          <w:rFonts w:cs="Arial"/>
          <w:lang w:val="sr-Cyrl-BA"/>
        </w:rPr>
        <w:t>иј</w:t>
      </w:r>
      <w:r w:rsidR="00A56E08" w:rsidRPr="00171F00">
        <w:rPr>
          <w:rFonts w:cs="Arial"/>
          <w:lang w:val="sr-Cyrl-BA"/>
        </w:rPr>
        <w:t>а</w:t>
      </w:r>
      <w:r w:rsidRPr="00171F00">
        <w:rPr>
          <w:rFonts w:cs="Arial"/>
          <w:lang w:val="sr-Cyrl-BA"/>
        </w:rPr>
        <w:t xml:space="preserve"> </w:t>
      </w:r>
      <w:r w:rsidR="0071360A" w:rsidRPr="00171F00">
        <w:rPr>
          <w:rFonts w:cs="Arial"/>
          <w:lang w:val="sr-Cyrl-BA"/>
        </w:rPr>
        <w:t>с</w:t>
      </w:r>
      <w:r w:rsidR="00A56E08" w:rsidRPr="00171F00">
        <w:rPr>
          <w:rFonts w:cs="Arial"/>
          <w:lang w:val="sr-Cyrl-BA"/>
        </w:rPr>
        <w:t>а</w:t>
      </w:r>
      <w:r w:rsidRPr="00171F00">
        <w:rPr>
          <w:rFonts w:cs="Arial"/>
          <w:lang w:val="sr-Cyrl-BA"/>
        </w:rPr>
        <w:t xml:space="preserve"> </w:t>
      </w:r>
      <w:r w:rsidR="0071360A" w:rsidRPr="00171F00">
        <w:rPr>
          <w:rFonts w:cs="Arial"/>
          <w:lang w:val="sr-Cyrl-BA"/>
        </w:rPr>
        <w:t>орг</w:t>
      </w:r>
      <w:r w:rsidR="00A56E08" w:rsidRPr="00171F00">
        <w:rPr>
          <w:rFonts w:cs="Arial"/>
          <w:lang w:val="sr-Cyrl-BA"/>
        </w:rPr>
        <w:t>а</w:t>
      </w:r>
      <w:r w:rsidR="0071360A" w:rsidRPr="00171F00">
        <w:rPr>
          <w:rFonts w:cs="Arial"/>
          <w:lang w:val="sr-Cyrl-BA"/>
        </w:rPr>
        <w:t>ни</w:t>
      </w:r>
      <w:r w:rsidR="00171F00">
        <w:rPr>
          <w:rFonts w:cs="Arial"/>
          <w:lang w:val="sr-Cyrl-BA"/>
        </w:rPr>
        <w:t>з</w:t>
      </w:r>
      <w:r w:rsidR="00A56E08" w:rsidRPr="00171F00">
        <w:rPr>
          <w:rFonts w:cs="Arial"/>
          <w:lang w:val="sr-Cyrl-BA"/>
        </w:rPr>
        <w:t>ац</w:t>
      </w:r>
      <w:r w:rsidR="0071360A" w:rsidRPr="00171F00">
        <w:rPr>
          <w:rFonts w:cs="Arial"/>
          <w:lang w:val="sr-Cyrl-BA"/>
        </w:rPr>
        <w:t>иј</w:t>
      </w:r>
      <w:r w:rsidR="00A56E08" w:rsidRPr="00171F00">
        <w:rPr>
          <w:rFonts w:cs="Arial"/>
          <w:lang w:val="sr-Cyrl-BA"/>
        </w:rPr>
        <w:t>а</w:t>
      </w:r>
      <w:r w:rsidR="0071360A" w:rsidRPr="00171F00">
        <w:rPr>
          <w:rFonts w:cs="Arial"/>
          <w:lang w:val="sr-Cyrl-BA"/>
        </w:rPr>
        <w:t>м</w:t>
      </w:r>
      <w:r w:rsidR="00A56E08" w:rsidRPr="00171F00">
        <w:rPr>
          <w:rFonts w:cs="Arial"/>
          <w:lang w:val="sr-Cyrl-BA"/>
        </w:rPr>
        <w:t>а</w:t>
      </w:r>
      <w:r w:rsidRPr="00171F00">
        <w:rPr>
          <w:rFonts w:cs="Arial"/>
          <w:lang w:val="sr-Cyrl-BA"/>
        </w:rPr>
        <w:t xml:space="preserve"> </w:t>
      </w:r>
      <w:r w:rsidR="00A56E08" w:rsidRPr="00171F00">
        <w:rPr>
          <w:rFonts w:cs="Arial"/>
          <w:lang w:val="sr-Cyrl-BA"/>
        </w:rPr>
        <w:t>ц</w:t>
      </w:r>
      <w:r w:rsidR="0071360A" w:rsidRPr="00171F00">
        <w:rPr>
          <w:rFonts w:cs="Arial"/>
          <w:lang w:val="sr-Cyrl-BA"/>
        </w:rPr>
        <w:t>ивилног</w:t>
      </w:r>
      <w:r w:rsidRPr="00171F00">
        <w:rPr>
          <w:rFonts w:cs="Arial"/>
          <w:lang w:val="sr-Cyrl-BA"/>
        </w:rPr>
        <w:t xml:space="preserve"> </w:t>
      </w:r>
      <w:r w:rsidR="00A56E08" w:rsidRPr="00171F00">
        <w:rPr>
          <w:rFonts w:cs="Arial"/>
          <w:lang w:val="sr-Cyrl-BA"/>
        </w:rPr>
        <w:t>д</w:t>
      </w:r>
      <w:r w:rsidR="0071360A" w:rsidRPr="00171F00">
        <w:rPr>
          <w:rFonts w:cs="Arial"/>
          <w:lang w:val="sr-Cyrl-BA"/>
        </w:rPr>
        <w:t>руштв</w:t>
      </w:r>
      <w:r w:rsidR="00A56E08" w:rsidRPr="00171F00">
        <w:rPr>
          <w:rFonts w:cs="Arial"/>
          <w:lang w:val="sr-Cyrl-BA"/>
        </w:rPr>
        <w:t>а</w:t>
      </w:r>
      <w:r w:rsidRPr="00171F00">
        <w:rPr>
          <w:rFonts w:cs="Arial"/>
          <w:lang w:val="sr-Cyrl-BA"/>
        </w:rPr>
        <w:t xml:space="preserve">, </w:t>
      </w:r>
      <w:r w:rsidR="00A56E08" w:rsidRPr="00171F00">
        <w:rPr>
          <w:rFonts w:cs="Arial"/>
          <w:lang w:val="sr-Cyrl-BA"/>
        </w:rPr>
        <w:t>а</w:t>
      </w:r>
      <w:r w:rsidR="0071360A" w:rsidRPr="00171F00">
        <w:rPr>
          <w:rFonts w:cs="Arial"/>
          <w:lang w:val="sr-Cyrl-BA"/>
        </w:rPr>
        <w:t>к</w:t>
      </w:r>
      <w:r w:rsidR="00A56E08" w:rsidRPr="00171F00">
        <w:rPr>
          <w:rFonts w:cs="Arial"/>
          <w:lang w:val="sr-Cyrl-BA"/>
        </w:rPr>
        <w:t>аде</w:t>
      </w:r>
      <w:r w:rsidR="0071360A" w:rsidRPr="00171F00">
        <w:rPr>
          <w:rFonts w:cs="Arial"/>
          <w:lang w:val="sr-Cyrl-BA"/>
        </w:rPr>
        <w:t>мском</w:t>
      </w:r>
      <w:r w:rsidRPr="00171F00">
        <w:rPr>
          <w:rFonts w:cs="Arial"/>
          <w:lang w:val="sr-Cyrl-BA"/>
        </w:rPr>
        <w:t xml:space="preserve"> </w:t>
      </w:r>
      <w:r w:rsidR="00171F00">
        <w:rPr>
          <w:rFonts w:cs="Arial"/>
          <w:lang w:val="sr-Cyrl-BA"/>
        </w:rPr>
        <w:t>з</w:t>
      </w:r>
      <w:r w:rsidR="00A56E08" w:rsidRPr="00171F00">
        <w:rPr>
          <w:rFonts w:cs="Arial"/>
          <w:lang w:val="sr-Cyrl-BA"/>
        </w:rPr>
        <w:t>а</w:t>
      </w:r>
      <w:r w:rsidR="0071360A" w:rsidRPr="00171F00">
        <w:rPr>
          <w:rFonts w:cs="Arial"/>
          <w:lang w:val="sr-Cyrl-BA"/>
        </w:rPr>
        <w:t>ј</w:t>
      </w:r>
      <w:r w:rsidR="00A56E08" w:rsidRPr="00171F00">
        <w:rPr>
          <w:rFonts w:cs="Arial"/>
          <w:lang w:val="sr-Cyrl-BA"/>
        </w:rPr>
        <w:t>ед</w:t>
      </w:r>
      <w:r w:rsidR="0071360A" w:rsidRPr="00171F00">
        <w:rPr>
          <w:rFonts w:cs="Arial"/>
          <w:lang w:val="sr-Cyrl-BA"/>
        </w:rPr>
        <w:t>ни</w:t>
      </w:r>
      <w:r w:rsidR="00A56E08" w:rsidRPr="00171F00">
        <w:rPr>
          <w:rFonts w:cs="Arial"/>
          <w:lang w:val="sr-Cyrl-BA"/>
        </w:rPr>
        <w:t>ц</w:t>
      </w:r>
      <w:r w:rsidR="0071360A" w:rsidRPr="00171F00">
        <w:rPr>
          <w:rFonts w:cs="Arial"/>
          <w:lang w:val="sr-Cyrl-BA"/>
        </w:rPr>
        <w:t>ом</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прив</w:t>
      </w:r>
      <w:r w:rsidR="00A56E08" w:rsidRPr="00171F00">
        <w:rPr>
          <w:rFonts w:cs="Arial"/>
          <w:lang w:val="sr-Cyrl-BA"/>
        </w:rPr>
        <w:t>а</w:t>
      </w:r>
      <w:r w:rsidR="0071360A" w:rsidRPr="00171F00">
        <w:rPr>
          <w:rFonts w:cs="Arial"/>
          <w:lang w:val="sr-Cyrl-BA"/>
        </w:rPr>
        <w:t>тним</w:t>
      </w:r>
      <w:r w:rsidRPr="00171F00">
        <w:rPr>
          <w:rFonts w:cs="Arial"/>
          <w:lang w:val="sr-Cyrl-BA"/>
        </w:rPr>
        <w:t xml:space="preserve"> </w:t>
      </w:r>
      <w:r w:rsidR="0071360A" w:rsidRPr="00171F00">
        <w:rPr>
          <w:rFonts w:cs="Arial"/>
          <w:lang w:val="sr-Cyrl-BA"/>
        </w:rPr>
        <w:t>с</w:t>
      </w:r>
      <w:r w:rsidR="00A56E08" w:rsidRPr="00171F00">
        <w:rPr>
          <w:rFonts w:cs="Arial"/>
          <w:lang w:val="sr-Cyrl-BA"/>
        </w:rPr>
        <w:t>е</w:t>
      </w:r>
      <w:r w:rsidR="0071360A" w:rsidRPr="00171F00">
        <w:rPr>
          <w:rFonts w:cs="Arial"/>
          <w:lang w:val="sr-Cyrl-BA"/>
        </w:rPr>
        <w:t>ктором</w:t>
      </w:r>
      <w:r w:rsidRPr="00171F00">
        <w:rPr>
          <w:rFonts w:cs="Arial"/>
          <w:lang w:val="sr-Cyrl-BA"/>
        </w:rPr>
        <w:t xml:space="preserve">, </w:t>
      </w:r>
      <w:r w:rsidR="00A56E08" w:rsidRPr="00171F00">
        <w:rPr>
          <w:rFonts w:cs="Arial"/>
          <w:lang w:val="sr-Cyrl-BA"/>
        </w:rPr>
        <w:t>да</w:t>
      </w:r>
      <w:r w:rsidR="0071360A" w:rsidRPr="00171F00">
        <w:rPr>
          <w:rFonts w:cs="Arial"/>
          <w:lang w:val="sr-Cyrl-BA"/>
        </w:rPr>
        <w:t>н</w:t>
      </w:r>
      <w:r w:rsidR="00A56E08" w:rsidRPr="00171F00">
        <w:rPr>
          <w:rFonts w:cs="Arial"/>
          <w:lang w:val="sr-Cyrl-BA"/>
        </w:rPr>
        <w:t>а</w:t>
      </w:r>
      <w:r w:rsidRPr="00171F00">
        <w:rPr>
          <w:rFonts w:cs="Arial"/>
          <w:lang w:val="sr-Cyrl-BA"/>
        </w:rPr>
        <w:t xml:space="preserve"> 06.06.2022. </w:t>
      </w:r>
      <w:r w:rsidR="0071360A" w:rsidRPr="00171F00">
        <w:rPr>
          <w:rFonts w:cs="Arial"/>
          <w:lang w:val="sr-Cyrl-BA"/>
        </w:rPr>
        <w:t>го</w:t>
      </w:r>
      <w:r w:rsidR="00A56E08" w:rsidRPr="00171F00">
        <w:rPr>
          <w:rFonts w:cs="Arial"/>
          <w:lang w:val="sr-Cyrl-BA"/>
        </w:rPr>
        <w:t>д</w:t>
      </w:r>
      <w:r w:rsidR="0071360A" w:rsidRPr="00171F00">
        <w:rPr>
          <w:rFonts w:cs="Arial"/>
          <w:lang w:val="sr-Cyrl-BA"/>
        </w:rPr>
        <w:t>ин</w:t>
      </w:r>
      <w:r w:rsidR="00A56E08" w:rsidRPr="00171F00">
        <w:rPr>
          <w:rFonts w:cs="Arial"/>
          <w:lang w:val="sr-Cyrl-BA"/>
        </w:rPr>
        <w:t>е</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УН</w:t>
      </w:r>
      <w:r w:rsidRPr="00171F00">
        <w:rPr>
          <w:rFonts w:cs="Arial"/>
          <w:lang w:val="sr-Cyrl-BA"/>
        </w:rPr>
        <w:t xml:space="preserve"> </w:t>
      </w:r>
      <w:r w:rsidR="00171F00">
        <w:rPr>
          <w:rFonts w:cs="Arial"/>
          <w:lang w:val="sr-Cyrl-BA"/>
        </w:rPr>
        <w:t>з</w:t>
      </w:r>
      <w:r w:rsidR="0071360A" w:rsidRPr="00171F00">
        <w:rPr>
          <w:rFonts w:cs="Arial"/>
          <w:lang w:val="sr-Cyrl-BA"/>
        </w:rPr>
        <w:t>гр</w:t>
      </w:r>
      <w:r w:rsidR="00A56E08" w:rsidRPr="00171F00">
        <w:rPr>
          <w:rFonts w:cs="Arial"/>
          <w:lang w:val="sr-Cyrl-BA"/>
        </w:rPr>
        <w:t>ад</w:t>
      </w:r>
      <w:r w:rsidR="0071360A" w:rsidRPr="00171F00">
        <w:rPr>
          <w:rFonts w:cs="Arial"/>
          <w:lang w:val="sr-Cyrl-BA"/>
        </w:rPr>
        <w:t>и</w:t>
      </w:r>
      <w:r w:rsidRPr="00171F00">
        <w:rPr>
          <w:rFonts w:cs="Arial"/>
          <w:lang w:val="sr-Cyrl-BA"/>
        </w:rPr>
        <w:t xml:space="preserve"> </w:t>
      </w:r>
      <w:r w:rsidR="0071360A" w:rsidRPr="00171F00">
        <w:rPr>
          <w:rFonts w:cs="Arial"/>
          <w:lang w:val="sr-Cyrl-BA"/>
        </w:rPr>
        <w:t>у</w:t>
      </w:r>
      <w:r w:rsidRPr="00171F00">
        <w:rPr>
          <w:rFonts w:cs="Arial"/>
          <w:lang w:val="sr-Cyrl-BA"/>
        </w:rPr>
        <w:t xml:space="preserve"> </w:t>
      </w:r>
      <w:r w:rsidR="0071360A" w:rsidRPr="00171F00">
        <w:rPr>
          <w:rFonts w:cs="Arial"/>
          <w:lang w:val="sr-Cyrl-BA"/>
        </w:rPr>
        <w:t>С</w:t>
      </w:r>
      <w:r w:rsidR="00A56E08" w:rsidRPr="00171F00">
        <w:rPr>
          <w:rFonts w:cs="Arial"/>
          <w:lang w:val="sr-Cyrl-BA"/>
        </w:rPr>
        <w:t>а</w:t>
      </w:r>
      <w:r w:rsidR="0071360A" w:rsidRPr="00171F00">
        <w:rPr>
          <w:rFonts w:cs="Arial"/>
          <w:lang w:val="sr-Cyrl-BA"/>
        </w:rPr>
        <w:t>р</w:t>
      </w:r>
      <w:r w:rsidR="00A56E08" w:rsidRPr="00171F00">
        <w:rPr>
          <w:rFonts w:cs="Arial"/>
          <w:lang w:val="sr-Cyrl-BA"/>
        </w:rPr>
        <w:t>а</w:t>
      </w:r>
      <w:r w:rsidR="0071360A" w:rsidRPr="00171F00">
        <w:rPr>
          <w:rFonts w:cs="Arial"/>
          <w:lang w:val="sr-Cyrl-BA"/>
        </w:rPr>
        <w:t>ј</w:t>
      </w:r>
      <w:r w:rsidR="00A56E08" w:rsidRPr="00171F00">
        <w:rPr>
          <w:rFonts w:cs="Arial"/>
          <w:lang w:val="sr-Cyrl-BA"/>
        </w:rPr>
        <w:t>е</w:t>
      </w:r>
      <w:r w:rsidR="0071360A" w:rsidRPr="00171F00">
        <w:rPr>
          <w:rFonts w:cs="Arial"/>
          <w:lang w:val="sr-Cyrl-BA"/>
        </w:rPr>
        <w:t>ву</w:t>
      </w:r>
      <w:r w:rsidRPr="00171F00">
        <w:rPr>
          <w:rFonts w:cs="Arial"/>
          <w:lang w:val="sr-Cyrl-BA"/>
        </w:rPr>
        <w:t xml:space="preserve">. </w:t>
      </w:r>
      <w:r w:rsidR="0071360A" w:rsidRPr="00171F00">
        <w:rPr>
          <w:rFonts w:cs="Arial"/>
          <w:lang w:val="sr-Cyrl-BA"/>
        </w:rPr>
        <w:t>Консулт</w:t>
      </w:r>
      <w:r w:rsidR="00A56E08" w:rsidRPr="00171F00">
        <w:rPr>
          <w:rFonts w:cs="Arial"/>
          <w:lang w:val="sr-Cyrl-BA"/>
        </w:rPr>
        <w:t>ац</w:t>
      </w:r>
      <w:r w:rsidR="0071360A" w:rsidRPr="00171F00">
        <w:rPr>
          <w:rFonts w:cs="Arial"/>
          <w:lang w:val="sr-Cyrl-BA"/>
        </w:rPr>
        <w:t>иј</w:t>
      </w:r>
      <w:r w:rsidR="00A56E08" w:rsidRPr="00171F00">
        <w:rPr>
          <w:rFonts w:cs="Arial"/>
          <w:lang w:val="sr-Cyrl-BA"/>
        </w:rPr>
        <w:t>е</w:t>
      </w:r>
      <w:r w:rsidRPr="00171F00">
        <w:rPr>
          <w:rFonts w:cs="Arial"/>
          <w:lang w:val="sr-Cyrl-BA"/>
        </w:rPr>
        <w:t xml:space="preserve"> </w:t>
      </w:r>
      <w:r w:rsidR="0071360A" w:rsidRPr="00171F00">
        <w:rPr>
          <w:rFonts w:cs="Arial"/>
          <w:lang w:val="sr-Cyrl-BA"/>
        </w:rPr>
        <w:t>су</w:t>
      </w:r>
      <w:r w:rsidRPr="00171F00">
        <w:rPr>
          <w:rFonts w:cs="Arial"/>
          <w:lang w:val="sr-Cyrl-BA"/>
        </w:rPr>
        <w:t xml:space="preserve"> </w:t>
      </w:r>
      <w:r w:rsidR="00A56E08" w:rsidRPr="00171F00">
        <w:rPr>
          <w:rFonts w:cs="Arial"/>
          <w:lang w:val="sr-Cyrl-BA"/>
        </w:rPr>
        <w:t>б</w:t>
      </w:r>
      <w:r w:rsidR="0071360A" w:rsidRPr="00171F00">
        <w:rPr>
          <w:rFonts w:cs="Arial"/>
          <w:lang w:val="sr-Cyrl-BA"/>
        </w:rPr>
        <w:t>ил</w:t>
      </w:r>
      <w:r w:rsidR="00A56E08" w:rsidRPr="00171F00">
        <w:rPr>
          <w:rFonts w:cs="Arial"/>
          <w:lang w:val="sr-Cyrl-BA"/>
        </w:rPr>
        <w:t>е</w:t>
      </w:r>
      <w:r w:rsidRPr="00171F00">
        <w:rPr>
          <w:rFonts w:cs="Arial"/>
          <w:lang w:val="sr-Cyrl-BA"/>
        </w:rPr>
        <w:t xml:space="preserve"> </w:t>
      </w:r>
      <w:r w:rsidR="0071360A" w:rsidRPr="00171F00">
        <w:rPr>
          <w:rFonts w:cs="Arial"/>
          <w:lang w:val="sr-Cyrl-BA"/>
        </w:rPr>
        <w:t>ј</w:t>
      </w:r>
      <w:r w:rsidR="00A56E08" w:rsidRPr="00171F00">
        <w:rPr>
          <w:rFonts w:cs="Arial"/>
          <w:lang w:val="sr-Cyrl-BA"/>
        </w:rPr>
        <w:t>ед</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о</w:t>
      </w:r>
      <w:r w:rsidR="00A56E08" w:rsidRPr="00171F00">
        <w:rPr>
          <w:rFonts w:cs="Arial"/>
          <w:lang w:val="sr-Cyrl-BA"/>
        </w:rPr>
        <w:t>д</w:t>
      </w:r>
      <w:r w:rsidRPr="00171F00">
        <w:rPr>
          <w:rFonts w:cs="Arial"/>
          <w:lang w:val="sr-Cyrl-BA"/>
        </w:rPr>
        <w:t xml:space="preserve"> </w:t>
      </w:r>
      <w:r w:rsidR="0071360A" w:rsidRPr="00171F00">
        <w:rPr>
          <w:rFonts w:cs="Arial"/>
          <w:lang w:val="sr-Cyrl-BA"/>
        </w:rPr>
        <w:t>припр</w:t>
      </w:r>
      <w:r w:rsidR="00A56E08" w:rsidRPr="00171F00">
        <w:rPr>
          <w:rFonts w:cs="Arial"/>
          <w:lang w:val="sr-Cyrl-BA"/>
        </w:rPr>
        <w:t>е</w:t>
      </w:r>
      <w:r w:rsidR="0071360A" w:rsidRPr="00171F00">
        <w:rPr>
          <w:rFonts w:cs="Arial"/>
          <w:lang w:val="sr-Cyrl-BA"/>
        </w:rPr>
        <w:t>мних</w:t>
      </w:r>
      <w:r w:rsidRPr="00171F00">
        <w:rPr>
          <w:rFonts w:cs="Arial"/>
          <w:lang w:val="sr-Cyrl-BA"/>
        </w:rPr>
        <w:t xml:space="preserve"> </w:t>
      </w:r>
      <w:r w:rsidR="00A56E08" w:rsidRPr="00171F00">
        <w:rPr>
          <w:rFonts w:cs="Arial"/>
          <w:lang w:val="sr-Cyrl-BA"/>
        </w:rPr>
        <w:t>а</w:t>
      </w:r>
      <w:r w:rsidR="0071360A" w:rsidRPr="00171F00">
        <w:rPr>
          <w:rFonts w:cs="Arial"/>
          <w:lang w:val="sr-Cyrl-BA"/>
        </w:rPr>
        <w:t>ктивности</w:t>
      </w:r>
      <w:r w:rsidRPr="00171F00">
        <w:rPr>
          <w:rFonts w:cs="Arial"/>
          <w:lang w:val="sr-Cyrl-BA"/>
        </w:rPr>
        <w:t xml:space="preserve"> </w:t>
      </w:r>
      <w:r w:rsidR="00171F00">
        <w:rPr>
          <w:rFonts w:cs="Arial"/>
          <w:lang w:val="sr-Cyrl-BA"/>
        </w:rPr>
        <w:t>з</w:t>
      </w:r>
      <w:r w:rsidR="00A56E08" w:rsidRPr="00171F00">
        <w:rPr>
          <w:rFonts w:cs="Arial"/>
          <w:lang w:val="sr-Cyrl-BA"/>
        </w:rPr>
        <w:t>а</w:t>
      </w:r>
      <w:r w:rsidRPr="00171F00">
        <w:rPr>
          <w:rFonts w:cs="Arial"/>
          <w:lang w:val="sr-Cyrl-BA"/>
        </w:rPr>
        <w:t xml:space="preserve"> </w:t>
      </w:r>
      <w:r w:rsidR="0071360A" w:rsidRPr="00171F00">
        <w:rPr>
          <w:rFonts w:cs="Arial"/>
          <w:lang w:val="sr-Cyrl-BA"/>
        </w:rPr>
        <w:t>у</w:t>
      </w:r>
      <w:r w:rsidR="00A56E08" w:rsidRPr="00171F00">
        <w:rPr>
          <w:rFonts w:cs="Arial"/>
          <w:lang w:val="sr-Cyrl-BA"/>
        </w:rPr>
        <w:t>че</w:t>
      </w:r>
      <w:r w:rsidR="0071360A" w:rsidRPr="00171F00">
        <w:rPr>
          <w:rFonts w:cs="Arial"/>
          <w:lang w:val="sr-Cyrl-BA"/>
        </w:rPr>
        <w:t>ствов</w:t>
      </w:r>
      <w:r w:rsidR="00A56E08" w:rsidRPr="00171F00">
        <w:rPr>
          <w:rFonts w:cs="Arial"/>
          <w:lang w:val="sr-Cyrl-BA"/>
        </w:rPr>
        <w:t>а</w:t>
      </w:r>
      <w:r w:rsidR="0071360A" w:rsidRPr="00171F00">
        <w:rPr>
          <w:rFonts w:cs="Arial"/>
          <w:lang w:val="sr-Cyrl-BA"/>
        </w:rPr>
        <w:t>њ</w:t>
      </w:r>
      <w:r w:rsidR="00A56E08" w:rsidRPr="00171F00">
        <w:rPr>
          <w:rFonts w:cs="Arial"/>
          <w:lang w:val="sr-Cyrl-BA"/>
        </w:rPr>
        <w:t>е</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С</w:t>
      </w:r>
      <w:r w:rsidR="00A56E08" w:rsidRPr="00171F00">
        <w:rPr>
          <w:rFonts w:cs="Arial"/>
          <w:lang w:val="sr-Cyrl-BA"/>
        </w:rPr>
        <w:t>а</w:t>
      </w:r>
      <w:r w:rsidR="0071360A" w:rsidRPr="00171F00">
        <w:rPr>
          <w:rFonts w:cs="Arial"/>
          <w:lang w:val="sr-Cyrl-BA"/>
        </w:rPr>
        <w:t>миту</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т</w:t>
      </w:r>
      <w:r w:rsidR="00A56E08" w:rsidRPr="00171F00">
        <w:rPr>
          <w:rFonts w:cs="Arial"/>
          <w:lang w:val="sr-Cyrl-BA"/>
        </w:rPr>
        <w:t>е</w:t>
      </w:r>
      <w:r w:rsidR="0071360A" w:rsidRPr="00171F00">
        <w:rPr>
          <w:rFonts w:cs="Arial"/>
          <w:lang w:val="sr-Cyrl-BA"/>
        </w:rPr>
        <w:t>му</w:t>
      </w:r>
      <w:r w:rsidRPr="00171F00">
        <w:rPr>
          <w:rFonts w:cs="Arial"/>
          <w:lang w:val="sr-Cyrl-BA"/>
        </w:rPr>
        <w:t xml:space="preserve"> </w:t>
      </w:r>
      <w:r w:rsidR="0071360A" w:rsidRPr="00171F00">
        <w:rPr>
          <w:rFonts w:cs="Arial"/>
          <w:lang w:val="sr-Cyrl-BA"/>
        </w:rPr>
        <w:t>тр</w:t>
      </w:r>
      <w:r w:rsidR="00A56E08" w:rsidRPr="00171F00">
        <w:rPr>
          <w:rFonts w:cs="Arial"/>
          <w:lang w:val="sr-Cyrl-BA"/>
        </w:rPr>
        <w:t>а</w:t>
      </w:r>
      <w:r w:rsidR="0071360A" w:rsidRPr="00171F00">
        <w:rPr>
          <w:rFonts w:cs="Arial"/>
          <w:lang w:val="sr-Cyrl-BA"/>
        </w:rPr>
        <w:t>нсформ</w:t>
      </w:r>
      <w:r w:rsidR="00A56E08" w:rsidRPr="00171F00">
        <w:rPr>
          <w:rFonts w:cs="Arial"/>
          <w:lang w:val="sr-Cyrl-BA"/>
        </w:rPr>
        <w:t>ац</w:t>
      </w:r>
      <w:r w:rsidR="0071360A" w:rsidRPr="00171F00">
        <w:rPr>
          <w:rFonts w:cs="Arial"/>
          <w:lang w:val="sr-Cyrl-BA"/>
        </w:rPr>
        <w:t>иј</w:t>
      </w:r>
      <w:r w:rsidR="00A56E08" w:rsidRPr="00171F00">
        <w:rPr>
          <w:rFonts w:cs="Arial"/>
          <w:lang w:val="sr-Cyrl-BA"/>
        </w:rPr>
        <w:t>е</w:t>
      </w:r>
      <w:r w:rsidRPr="00171F00">
        <w:rPr>
          <w:rFonts w:cs="Arial"/>
          <w:lang w:val="sr-Cyrl-BA"/>
        </w:rPr>
        <w:t xml:space="preserve"> </w:t>
      </w:r>
      <w:r w:rsidR="0071360A" w:rsidRPr="00171F00">
        <w:rPr>
          <w:rFonts w:cs="Arial"/>
          <w:lang w:val="sr-Cyrl-BA"/>
        </w:rPr>
        <w:t>о</w:t>
      </w:r>
      <w:r w:rsidR="00A56E08" w:rsidRPr="00171F00">
        <w:rPr>
          <w:rFonts w:cs="Arial"/>
          <w:lang w:val="sr-Cyrl-BA"/>
        </w:rPr>
        <w:t>б</w:t>
      </w:r>
      <w:r w:rsidR="0071360A" w:rsidRPr="00171F00">
        <w:rPr>
          <w:rFonts w:cs="Arial"/>
          <w:lang w:val="sr-Cyrl-BA"/>
        </w:rPr>
        <w:t>р</w:t>
      </w:r>
      <w:r w:rsidR="00A56E08" w:rsidRPr="00171F00">
        <w:rPr>
          <w:rFonts w:cs="Arial"/>
          <w:lang w:val="sr-Cyrl-BA"/>
        </w:rPr>
        <w:t>а</w:t>
      </w:r>
      <w:r w:rsidR="00171F00">
        <w:rPr>
          <w:rFonts w:cs="Arial"/>
          <w:lang w:val="sr-Cyrl-BA"/>
        </w:rPr>
        <w:t>з</w:t>
      </w:r>
      <w:r w:rsidR="0071360A" w:rsidRPr="00171F00">
        <w:rPr>
          <w:rFonts w:cs="Arial"/>
          <w:lang w:val="sr-Cyrl-BA"/>
        </w:rPr>
        <w:t>ов</w:t>
      </w:r>
      <w:r w:rsidR="00A56E08" w:rsidRPr="00171F00">
        <w:rPr>
          <w:rFonts w:cs="Arial"/>
          <w:lang w:val="sr-Cyrl-BA"/>
        </w:rPr>
        <w:t>а</w:t>
      </w:r>
      <w:r w:rsidR="0071360A" w:rsidRPr="00171F00">
        <w:rPr>
          <w:rFonts w:cs="Arial"/>
          <w:lang w:val="sr-Cyrl-BA"/>
        </w:rPr>
        <w:t>њ</w:t>
      </w:r>
      <w:r w:rsidR="00A56E08" w:rsidRPr="00171F00">
        <w:rPr>
          <w:rFonts w:cs="Arial"/>
          <w:lang w:val="sr-Cyrl-BA"/>
        </w:rPr>
        <w:t>а</w:t>
      </w:r>
      <w:r w:rsidRPr="00171F00">
        <w:rPr>
          <w:rFonts w:cs="Arial"/>
          <w:lang w:val="sr-Cyrl-BA"/>
        </w:rPr>
        <w:t xml:space="preserve"> 2022. </w:t>
      </w:r>
    </w:p>
  </w:footnote>
  <w:footnote w:id="17">
    <w:p w14:paraId="6FF08893" w14:textId="1E023797" w:rsidR="00F33370" w:rsidRPr="00171F00" w:rsidRDefault="00F33370">
      <w:pPr>
        <w:pStyle w:val="FootnoteText"/>
        <w:rPr>
          <w:rFonts w:cs="Arial"/>
          <w:color w:val="000000" w:themeColor="text1"/>
          <w:lang w:val="sr-Cyrl-BA"/>
        </w:rPr>
      </w:pPr>
      <w:r w:rsidRPr="00171F00">
        <w:rPr>
          <w:rStyle w:val="FootnoteReference"/>
          <w:rFonts w:cs="Arial"/>
          <w:color w:val="000000" w:themeColor="text1"/>
          <w:lang w:val="sr-Cyrl-BA"/>
        </w:rPr>
        <w:footnoteRef/>
      </w:r>
      <w:r w:rsidRPr="00171F00">
        <w:rPr>
          <w:rFonts w:cs="Arial"/>
          <w:color w:val="000000" w:themeColor="text1"/>
          <w:lang w:val="sr-Cyrl-BA"/>
        </w:rPr>
        <w:t xml:space="preserve"> </w:t>
      </w:r>
      <w:r w:rsidR="0071360A" w:rsidRPr="00171F00">
        <w:rPr>
          <w:rFonts w:cs="Arial"/>
          <w:color w:val="000000" w:themeColor="text1"/>
          <w:lang w:val="sr-Cyrl-BA"/>
        </w:rPr>
        <w:t>Виш</w:t>
      </w:r>
      <w:r w:rsidR="00A56E08" w:rsidRPr="00171F00">
        <w:rPr>
          <w:rFonts w:cs="Arial"/>
          <w:color w:val="000000" w:themeColor="text1"/>
          <w:lang w:val="sr-Cyrl-BA"/>
        </w:rPr>
        <w:t>е</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а</w:t>
      </w:r>
      <w:r w:rsidRPr="00171F00">
        <w:rPr>
          <w:rFonts w:cs="Arial"/>
          <w:color w:val="000000" w:themeColor="text1"/>
          <w:lang w:val="sr-Cyrl-BA"/>
        </w:rPr>
        <w:t xml:space="preserve">: </w:t>
      </w:r>
      <w:hyperlink r:id="rId6" w:history="1">
        <w:r w:rsidR="00A94F64" w:rsidRPr="0039751B">
          <w:rPr>
            <w:rStyle w:val="Hyperlink"/>
          </w:rPr>
          <w:t>https://education.ec.europa.eu/focus-topics/digital-education/action-plan</w:t>
        </w:r>
      </w:hyperlink>
      <w:r w:rsidRPr="00171F00">
        <w:rPr>
          <w:rFonts w:cs="Arial"/>
          <w:color w:val="000000" w:themeColor="text1"/>
          <w:lang w:val="sr-Cyrl-BA"/>
        </w:rPr>
        <w:t xml:space="preserve"> (</w:t>
      </w:r>
      <w:r w:rsidR="0071360A" w:rsidRPr="00171F00">
        <w:rPr>
          <w:rFonts w:cs="Arial"/>
          <w:color w:val="000000" w:themeColor="text1"/>
          <w:lang w:val="sr-Cyrl-BA"/>
        </w:rPr>
        <w:t>посј</w:t>
      </w:r>
      <w:r w:rsidR="00A56E08" w:rsidRPr="00171F00">
        <w:rPr>
          <w:rFonts w:cs="Arial"/>
          <w:color w:val="000000" w:themeColor="text1"/>
          <w:lang w:val="sr-Cyrl-BA"/>
        </w:rPr>
        <w:t>е</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10.08.2022.)</w:t>
      </w:r>
    </w:p>
  </w:footnote>
  <w:footnote w:id="18">
    <w:p w14:paraId="557EC44A" w14:textId="2A7A2CE8"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A56E08" w:rsidRPr="00171F00">
        <w:rPr>
          <w:rFonts w:cs="Arial"/>
          <w:color w:val="000000" w:themeColor="text1"/>
          <w:lang w:val="sr-Cyrl-BA"/>
        </w:rPr>
        <w:t>Де</w:t>
      </w:r>
      <w:r w:rsidR="0071360A" w:rsidRPr="00171F00">
        <w:rPr>
          <w:rFonts w:cs="Arial"/>
          <w:color w:val="000000" w:themeColor="text1"/>
          <w:lang w:val="sr-Cyrl-BA"/>
        </w:rPr>
        <w:t>финис</w:t>
      </w:r>
      <w:r w:rsidR="00A56E08" w:rsidRPr="00171F00">
        <w:rPr>
          <w:rFonts w:cs="Arial"/>
          <w:color w:val="000000" w:themeColor="text1"/>
          <w:lang w:val="sr-Cyrl-BA"/>
        </w:rPr>
        <w:t>а</w:t>
      </w:r>
      <w:r w:rsidR="0071360A" w:rsidRPr="00171F00">
        <w:rPr>
          <w:rFonts w:cs="Arial"/>
          <w:color w:val="000000" w:themeColor="text1"/>
          <w:lang w:val="sr-Cyrl-BA"/>
        </w:rPr>
        <w:t>но</w:t>
      </w:r>
      <w:r w:rsidR="00E47419" w:rsidRPr="00171F00">
        <w:rPr>
          <w:rFonts w:cs="Arial"/>
          <w:color w:val="000000" w:themeColor="text1"/>
          <w:lang w:val="sr-Cyrl-BA"/>
        </w:rPr>
        <w:t xml:space="preserve"> </w:t>
      </w:r>
      <w:r w:rsidR="0071360A" w:rsidRPr="00171F00">
        <w:rPr>
          <w:rFonts w:cs="Arial"/>
          <w:color w:val="000000" w:themeColor="text1"/>
          <w:lang w:val="sr-Cyrl-BA"/>
        </w:rPr>
        <w:t>у</w:t>
      </w:r>
      <w:r w:rsidR="00E47419" w:rsidRPr="00171F00">
        <w:rPr>
          <w:rFonts w:cs="Arial"/>
          <w:color w:val="000000" w:themeColor="text1"/>
          <w:lang w:val="sr-Cyrl-BA"/>
        </w:rPr>
        <w:t xml:space="preserve"> </w:t>
      </w:r>
      <w:r w:rsidR="0071360A" w:rsidRPr="00171F00">
        <w:rPr>
          <w:rFonts w:cs="Arial"/>
          <w:color w:val="000000" w:themeColor="text1"/>
          <w:lang w:val="sr-Cyrl-BA"/>
        </w:rPr>
        <w:t>УНС</w:t>
      </w:r>
      <w:r w:rsidR="00A56E08" w:rsidRPr="00171F00">
        <w:rPr>
          <w:rFonts w:cs="Arial"/>
          <w:color w:val="000000" w:themeColor="text1"/>
          <w:lang w:val="sr-Cyrl-BA"/>
        </w:rPr>
        <w:t>Ц</w:t>
      </w:r>
      <w:r w:rsidR="0071360A" w:rsidRPr="00171F00">
        <w:rPr>
          <w:rFonts w:cs="Arial"/>
          <w:color w:val="000000" w:themeColor="text1"/>
          <w:lang w:val="sr-Cyrl-BA"/>
        </w:rPr>
        <w:t>Р</w:t>
      </w:r>
      <w:r w:rsidRPr="00171F00">
        <w:rPr>
          <w:rFonts w:cs="Arial"/>
          <w:color w:val="000000" w:themeColor="text1"/>
          <w:lang w:val="sr-Cyrl-BA"/>
        </w:rPr>
        <w:t xml:space="preserve"> 1244 </w:t>
      </w:r>
      <w:r w:rsidR="0071360A" w:rsidRPr="00171F00">
        <w:rPr>
          <w:rFonts w:cs="Arial"/>
          <w:color w:val="000000" w:themeColor="text1"/>
          <w:lang w:val="sr-Cyrl-BA"/>
        </w:rPr>
        <w:t>и</w:t>
      </w:r>
      <w:r w:rsidR="00171F00">
        <w:rPr>
          <w:rFonts w:cs="Arial"/>
          <w:color w:val="000000" w:themeColor="text1"/>
          <w:lang w:val="sr-Cyrl-BA"/>
        </w:rPr>
        <w:t>з</w:t>
      </w:r>
      <w:r w:rsidRPr="00171F00">
        <w:rPr>
          <w:rFonts w:cs="Arial"/>
          <w:color w:val="000000" w:themeColor="text1"/>
          <w:lang w:val="sr-Cyrl-BA"/>
        </w:rPr>
        <w:t xml:space="preserve"> 1999.</w:t>
      </w:r>
    </w:p>
  </w:footnote>
  <w:footnote w:id="19">
    <w:p w14:paraId="64D268DB" w14:textId="26C75A7B" w:rsidR="00F33370" w:rsidRPr="00171F00" w:rsidRDefault="00F33370" w:rsidP="004D1E15">
      <w:pPr>
        <w:pStyle w:val="FootnoteText"/>
        <w:rPr>
          <w:rFonts w:cs="Arial"/>
          <w:lang w:val="sr-Cyrl-BA"/>
        </w:rPr>
      </w:pPr>
      <w:r w:rsidRPr="00171F00">
        <w:rPr>
          <w:rStyle w:val="FootnoteReference"/>
          <w:rFonts w:cs="Arial"/>
          <w:lang w:val="sr-Cyrl-BA"/>
        </w:rPr>
        <w:footnoteRef/>
      </w:r>
      <w:r w:rsidR="00A94F64">
        <w:rPr>
          <w:rFonts w:cs="Arial"/>
          <w:lang w:val="sr-Cyrl-BA"/>
        </w:rPr>
        <w:t xml:space="preserve"> </w:t>
      </w:r>
      <w:r w:rsidR="0071360A" w:rsidRPr="00171F00">
        <w:rPr>
          <w:rFonts w:cs="Arial"/>
          <w:lang w:val="sr-Cyrl-BA"/>
        </w:rPr>
        <w:t>виш</w:t>
      </w:r>
      <w:r w:rsidR="00A56E08" w:rsidRPr="00171F00">
        <w:rPr>
          <w:rFonts w:cs="Arial"/>
          <w:lang w:val="sr-Cyrl-BA"/>
        </w:rPr>
        <w:t>е</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hyperlink r:id="rId7" w:history="1">
        <w:r w:rsidR="00A94F64" w:rsidRPr="00A63835">
          <w:rPr>
            <w:rStyle w:val="Hyperlink"/>
            <w:rFonts w:cs="Arial"/>
          </w:rPr>
          <w:t>https://aposo.gov.ba/sadrzaj/uploads/Instrumentarij-za-samovrednovanje-BOS-final1.pdf</w:t>
        </w:r>
      </w:hyperlink>
      <w:r w:rsidRPr="00171F00">
        <w:rPr>
          <w:rFonts w:cs="Arial"/>
          <w:color w:val="000000" w:themeColor="text1"/>
          <w:lang w:val="sr-Cyrl-BA"/>
        </w:rPr>
        <w:t xml:space="preserve"> (</w:t>
      </w:r>
      <w:r w:rsidR="0071360A" w:rsidRPr="00171F00">
        <w:rPr>
          <w:rFonts w:cs="Arial"/>
          <w:color w:val="000000" w:themeColor="text1"/>
          <w:lang w:val="sr-Cyrl-BA"/>
        </w:rPr>
        <w:t>посј</w:t>
      </w:r>
      <w:r w:rsidR="00A56E08" w:rsidRPr="00171F00">
        <w:rPr>
          <w:rFonts w:cs="Arial"/>
          <w:color w:val="000000" w:themeColor="text1"/>
          <w:lang w:val="sr-Cyrl-BA"/>
        </w:rPr>
        <w:t>е</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01.06.2022.)</w:t>
      </w:r>
    </w:p>
  </w:footnote>
  <w:footnote w:id="20">
    <w:p w14:paraId="770D8CB8" w14:textId="7CCF5299" w:rsidR="00F33370" w:rsidRPr="00171F00" w:rsidRDefault="00F33370" w:rsidP="004D1E15">
      <w:pPr>
        <w:pStyle w:val="FootnoteText"/>
        <w:rPr>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bCs/>
          <w:color w:val="000000" w:themeColor="text1"/>
          <w:lang w:val="sr-Cyrl-BA"/>
        </w:rPr>
        <w:t>С</w:t>
      </w:r>
      <w:r w:rsidR="00A56E08" w:rsidRPr="00171F00">
        <w:rPr>
          <w:rFonts w:cs="Arial"/>
          <w:bCs/>
          <w:color w:val="000000" w:themeColor="text1"/>
          <w:lang w:val="sr-Cyrl-BA"/>
        </w:rPr>
        <w:t>Е</w:t>
      </w:r>
      <w:r w:rsidR="0071360A" w:rsidRPr="00171F00">
        <w:rPr>
          <w:rFonts w:cs="Arial"/>
          <w:bCs/>
          <w:color w:val="000000" w:themeColor="text1"/>
          <w:lang w:val="sr-Cyrl-BA"/>
        </w:rPr>
        <w:t>ЛФИ</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ј</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скр</w:t>
      </w:r>
      <w:r w:rsidR="00A56E08" w:rsidRPr="00171F00">
        <w:rPr>
          <w:rFonts w:cs="Arial"/>
          <w:bCs/>
          <w:color w:val="000000" w:themeColor="text1"/>
          <w:lang w:val="sr-Cyrl-BA"/>
        </w:rPr>
        <w:t>аће</w:t>
      </w:r>
      <w:r w:rsidR="0071360A" w:rsidRPr="00171F00">
        <w:rPr>
          <w:rFonts w:cs="Arial"/>
          <w:bCs/>
          <w:color w:val="000000" w:themeColor="text1"/>
          <w:lang w:val="sr-Cyrl-BA"/>
        </w:rPr>
        <w:t>ни</w:t>
      </w:r>
      <w:r w:rsidR="00A56E08" w:rsidRPr="00171F00">
        <w:rPr>
          <w:rFonts w:cs="Arial"/>
          <w:bCs/>
          <w:color w:val="000000" w:themeColor="text1"/>
          <w:lang w:val="sr-Cyrl-BA"/>
        </w:rPr>
        <w:t>ца</w:t>
      </w:r>
      <w:r w:rsidRPr="00171F00">
        <w:rPr>
          <w:rFonts w:cs="Arial"/>
          <w:bCs/>
          <w:color w:val="000000" w:themeColor="text1"/>
          <w:lang w:val="sr-Cyrl-BA"/>
        </w:rPr>
        <w:t xml:space="preserve"> </w:t>
      </w:r>
      <w:r w:rsidR="0071360A" w:rsidRPr="00171F00">
        <w:rPr>
          <w:rFonts w:cs="Arial"/>
          <w:bCs/>
          <w:color w:val="000000" w:themeColor="text1"/>
          <w:lang w:val="sr-Cyrl-BA"/>
        </w:rPr>
        <w:t>о</w:t>
      </w:r>
      <w:r w:rsidR="00A56E08" w:rsidRPr="00171F00">
        <w:rPr>
          <w:rFonts w:cs="Arial"/>
          <w:bCs/>
          <w:color w:val="000000" w:themeColor="text1"/>
          <w:lang w:val="sr-Cyrl-BA"/>
        </w:rPr>
        <w:t>д</w:t>
      </w:r>
      <w:r w:rsidRPr="00171F00">
        <w:rPr>
          <w:rFonts w:cs="Arial"/>
          <w:bCs/>
          <w:color w:val="000000" w:themeColor="text1"/>
          <w:lang w:val="sr-Cyrl-BA"/>
        </w:rPr>
        <w:t xml:space="preserve"> </w:t>
      </w:r>
      <w:r w:rsidR="00A56E08" w:rsidRPr="00171F00">
        <w:rPr>
          <w:rFonts w:cs="Arial"/>
          <w:bCs/>
          <w:color w:val="000000" w:themeColor="text1"/>
          <w:lang w:val="sr-Cyrl-BA"/>
        </w:rPr>
        <w:t>е</w:t>
      </w:r>
      <w:r w:rsidR="0071360A" w:rsidRPr="00171F00">
        <w:rPr>
          <w:rFonts w:cs="Arial"/>
          <w:bCs/>
          <w:color w:val="000000" w:themeColor="text1"/>
          <w:lang w:val="sr-Cyrl-BA"/>
        </w:rPr>
        <w:t>нгл</w:t>
      </w:r>
      <w:r w:rsidRPr="00171F00">
        <w:rPr>
          <w:rFonts w:cs="Arial"/>
          <w:bCs/>
          <w:color w:val="000000" w:themeColor="text1"/>
          <w:lang w:val="sr-Cyrl-BA"/>
        </w:rPr>
        <w:t xml:space="preserve">. </w:t>
      </w:r>
      <w:r w:rsidR="00CA5E58" w:rsidRPr="00A94F64">
        <w:rPr>
          <w:rFonts w:cs="Arial"/>
          <w:bCs/>
          <w:i/>
          <w:iCs/>
          <w:color w:val="000000" w:themeColor="text1"/>
          <w:lang w:val="sr-Cyrl-BA"/>
        </w:rPr>
        <w:t>Self-reflection on Effective Learning by Fostering the use of Innovative Educational Technologies</w:t>
      </w:r>
      <w:r w:rsidR="00CA5E58" w:rsidRPr="00CA5E58">
        <w:rPr>
          <w:rFonts w:cs="Arial"/>
          <w:bCs/>
          <w:color w:val="000000" w:themeColor="text1"/>
          <w:lang w:val="sr-Cyrl-BA"/>
        </w:rPr>
        <w:t xml:space="preserve"> </w:t>
      </w:r>
      <w:r w:rsidRPr="00171F00">
        <w:rPr>
          <w:rFonts w:cs="Arial"/>
          <w:bCs/>
          <w:color w:val="000000" w:themeColor="text1"/>
          <w:lang w:val="sr-Cyrl-BA"/>
        </w:rPr>
        <w:t>(</w:t>
      </w:r>
      <w:r w:rsidR="0071360A" w:rsidRPr="00171F00">
        <w:rPr>
          <w:rFonts w:cs="Arial"/>
          <w:bCs/>
          <w:color w:val="000000" w:themeColor="text1"/>
          <w:lang w:val="sr-Cyrl-BA"/>
        </w:rPr>
        <w:t>С</w:t>
      </w:r>
      <w:r w:rsidR="00A56E08" w:rsidRPr="00171F00">
        <w:rPr>
          <w:rFonts w:cs="Arial"/>
          <w:bCs/>
          <w:color w:val="000000" w:themeColor="text1"/>
          <w:lang w:val="sr-Cyrl-BA"/>
        </w:rPr>
        <w:t>а</w:t>
      </w:r>
      <w:r w:rsidR="0071360A" w:rsidRPr="00171F00">
        <w:rPr>
          <w:rFonts w:cs="Arial"/>
          <w:bCs/>
          <w:color w:val="000000" w:themeColor="text1"/>
          <w:lang w:val="sr-Cyrl-BA"/>
        </w:rPr>
        <w:t>мопро</w:t>
      </w:r>
      <w:r w:rsidR="00A56E08" w:rsidRPr="00171F00">
        <w:rPr>
          <w:rFonts w:cs="Arial"/>
          <w:bCs/>
          <w:color w:val="000000" w:themeColor="text1"/>
          <w:lang w:val="sr-Cyrl-BA"/>
        </w:rPr>
        <w:t>ц</w:t>
      </w:r>
      <w:r w:rsidR="0071360A" w:rsidRPr="00171F00">
        <w:rPr>
          <w:rFonts w:cs="Arial"/>
          <w:bCs/>
          <w:color w:val="000000" w:themeColor="text1"/>
          <w:lang w:val="sr-Cyrl-BA"/>
        </w:rPr>
        <w:t>ј</w:t>
      </w:r>
      <w:r w:rsidR="00A56E08" w:rsidRPr="00171F00">
        <w:rPr>
          <w:rFonts w:cs="Arial"/>
          <w:bCs/>
          <w:color w:val="000000" w:themeColor="text1"/>
          <w:lang w:val="sr-Cyrl-BA"/>
        </w:rPr>
        <w:t>е</w:t>
      </w:r>
      <w:r w:rsidR="0071360A" w:rsidRPr="00171F00">
        <w:rPr>
          <w:rFonts w:cs="Arial"/>
          <w:bCs/>
          <w:color w:val="000000" w:themeColor="text1"/>
          <w:lang w:val="sr-Cyrl-BA"/>
        </w:rPr>
        <w:t>н</w:t>
      </w:r>
      <w:r w:rsidR="00A56E08" w:rsidRPr="00171F00">
        <w:rPr>
          <w:rFonts w:cs="Arial"/>
          <w:bCs/>
          <w:color w:val="000000" w:themeColor="text1"/>
          <w:lang w:val="sr-Cyrl-BA"/>
        </w:rPr>
        <w:t>а</w:t>
      </w:r>
      <w:r w:rsidRPr="00171F00">
        <w:rPr>
          <w:rFonts w:cs="Arial"/>
          <w:bCs/>
          <w:color w:val="000000" w:themeColor="text1"/>
          <w:lang w:val="sr-Cyrl-BA"/>
        </w:rPr>
        <w:t xml:space="preserve"> </w:t>
      </w:r>
      <w:r w:rsidR="00A56E08" w:rsidRPr="00171F00">
        <w:rPr>
          <w:rFonts w:cs="Arial"/>
          <w:bCs/>
          <w:color w:val="000000" w:themeColor="text1"/>
          <w:lang w:val="sr-Cyrl-BA"/>
        </w:rPr>
        <w:t>е</w:t>
      </w:r>
      <w:r w:rsidR="0071360A" w:rsidRPr="00171F00">
        <w:rPr>
          <w:rFonts w:cs="Arial"/>
          <w:bCs/>
          <w:color w:val="000000" w:themeColor="text1"/>
          <w:lang w:val="sr-Cyrl-BA"/>
        </w:rPr>
        <w:t>ф</w:t>
      </w:r>
      <w:r w:rsidR="00A56E08" w:rsidRPr="00171F00">
        <w:rPr>
          <w:rFonts w:cs="Arial"/>
          <w:bCs/>
          <w:color w:val="000000" w:themeColor="text1"/>
          <w:lang w:val="sr-Cyrl-BA"/>
        </w:rPr>
        <w:t>е</w:t>
      </w:r>
      <w:r w:rsidR="0071360A" w:rsidRPr="00171F00">
        <w:rPr>
          <w:rFonts w:cs="Arial"/>
          <w:bCs/>
          <w:color w:val="000000" w:themeColor="text1"/>
          <w:lang w:val="sr-Cyrl-BA"/>
        </w:rPr>
        <w:t>ктивности</w:t>
      </w:r>
      <w:r w:rsidRPr="00171F00">
        <w:rPr>
          <w:rFonts w:cs="Arial"/>
          <w:bCs/>
          <w:color w:val="000000" w:themeColor="text1"/>
          <w:lang w:val="sr-Cyrl-BA"/>
        </w:rPr>
        <w:t xml:space="preserve"> </w:t>
      </w:r>
      <w:r w:rsidR="0071360A" w:rsidRPr="00171F00">
        <w:rPr>
          <w:rFonts w:cs="Arial"/>
          <w:bCs/>
          <w:color w:val="000000" w:themeColor="text1"/>
          <w:lang w:val="sr-Cyrl-BA"/>
        </w:rPr>
        <w:t>у</w:t>
      </w:r>
      <w:r w:rsidR="00A56E08" w:rsidRPr="00171F00">
        <w:rPr>
          <w:rFonts w:cs="Arial"/>
          <w:bCs/>
          <w:color w:val="000000" w:themeColor="text1"/>
          <w:lang w:val="sr-Cyrl-BA"/>
        </w:rPr>
        <w:t>че</w:t>
      </w:r>
      <w:r w:rsidR="0071360A" w:rsidRPr="00171F00">
        <w:rPr>
          <w:rFonts w:cs="Arial"/>
          <w:bCs/>
          <w:color w:val="000000" w:themeColor="text1"/>
          <w:lang w:val="sr-Cyrl-BA"/>
        </w:rPr>
        <w:t>њ</w:t>
      </w:r>
      <w:r w:rsidR="00A56E08" w:rsidRPr="00171F00">
        <w:rPr>
          <w:rFonts w:cs="Arial"/>
          <w:bCs/>
          <w:color w:val="000000" w:themeColor="text1"/>
          <w:lang w:val="sr-Cyrl-BA"/>
        </w:rPr>
        <w:t>а</w:t>
      </w:r>
      <w:r w:rsidRPr="00171F00">
        <w:rPr>
          <w:rFonts w:cs="Arial"/>
          <w:bCs/>
          <w:color w:val="000000" w:themeColor="text1"/>
          <w:lang w:val="sr-Cyrl-BA"/>
        </w:rPr>
        <w:t xml:space="preserve"> </w:t>
      </w:r>
      <w:r w:rsidR="0071360A" w:rsidRPr="00171F00">
        <w:rPr>
          <w:rFonts w:cs="Arial"/>
          <w:bCs/>
          <w:color w:val="000000" w:themeColor="text1"/>
          <w:lang w:val="sr-Cyrl-BA"/>
        </w:rPr>
        <w:t>кро</w:t>
      </w:r>
      <w:r w:rsidR="00171F00">
        <w:rPr>
          <w:rFonts w:cs="Arial"/>
          <w:bCs/>
          <w:color w:val="000000" w:themeColor="text1"/>
          <w:lang w:val="sr-Cyrl-BA"/>
        </w:rPr>
        <w:t>з</w:t>
      </w:r>
      <w:r w:rsidRPr="00171F00">
        <w:rPr>
          <w:rFonts w:cs="Arial"/>
          <w:bCs/>
          <w:color w:val="000000" w:themeColor="text1"/>
          <w:lang w:val="sr-Cyrl-BA"/>
        </w:rPr>
        <w:t xml:space="preserve"> </w:t>
      </w:r>
      <w:r w:rsidR="0071360A" w:rsidRPr="00171F00">
        <w:rPr>
          <w:rFonts w:cs="Arial"/>
          <w:bCs/>
          <w:color w:val="000000" w:themeColor="text1"/>
          <w:lang w:val="sr-Cyrl-BA"/>
        </w:rPr>
        <w:t>ј</w:t>
      </w:r>
      <w:r w:rsidR="00A56E08" w:rsidRPr="00171F00">
        <w:rPr>
          <w:rFonts w:cs="Arial"/>
          <w:bCs/>
          <w:color w:val="000000" w:themeColor="text1"/>
          <w:lang w:val="sr-Cyrl-BA"/>
        </w:rPr>
        <w:t>ача</w:t>
      </w:r>
      <w:r w:rsidR="0071360A" w:rsidRPr="00171F00">
        <w:rPr>
          <w:rFonts w:cs="Arial"/>
          <w:bCs/>
          <w:color w:val="000000" w:themeColor="text1"/>
          <w:lang w:val="sr-Cyrl-BA"/>
        </w:rPr>
        <w:t>њ</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примј</w:t>
      </w:r>
      <w:r w:rsidR="00A56E08" w:rsidRPr="00171F00">
        <w:rPr>
          <w:rFonts w:cs="Arial"/>
          <w:bCs/>
          <w:color w:val="000000" w:themeColor="text1"/>
          <w:lang w:val="sr-Cyrl-BA"/>
        </w:rPr>
        <w:t>е</w:t>
      </w:r>
      <w:r w:rsidR="0071360A" w:rsidRPr="00171F00">
        <w:rPr>
          <w:rFonts w:cs="Arial"/>
          <w:bCs/>
          <w:color w:val="000000" w:themeColor="text1"/>
          <w:lang w:val="sr-Cyrl-BA"/>
        </w:rPr>
        <w:t>н</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инов</w:t>
      </w:r>
      <w:r w:rsidR="00A56E08" w:rsidRPr="00171F00">
        <w:rPr>
          <w:rFonts w:cs="Arial"/>
          <w:bCs/>
          <w:color w:val="000000" w:themeColor="text1"/>
          <w:lang w:val="sr-Cyrl-BA"/>
        </w:rPr>
        <w:t>а</w:t>
      </w:r>
      <w:r w:rsidR="0071360A" w:rsidRPr="00171F00">
        <w:rPr>
          <w:rFonts w:cs="Arial"/>
          <w:bCs/>
          <w:color w:val="000000" w:themeColor="text1"/>
          <w:lang w:val="sr-Cyrl-BA"/>
        </w:rPr>
        <w:t>тивн</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о</w:t>
      </w:r>
      <w:r w:rsidR="00A56E08" w:rsidRPr="00171F00">
        <w:rPr>
          <w:rFonts w:cs="Arial"/>
          <w:bCs/>
          <w:color w:val="000000" w:themeColor="text1"/>
          <w:lang w:val="sr-Cyrl-BA"/>
        </w:rPr>
        <w:t>б</w:t>
      </w:r>
      <w:r w:rsidR="0071360A" w:rsidRPr="00171F00">
        <w:rPr>
          <w:rFonts w:cs="Arial"/>
          <w:bCs/>
          <w:color w:val="000000" w:themeColor="text1"/>
          <w:lang w:val="sr-Cyrl-BA"/>
        </w:rPr>
        <w:t>р</w:t>
      </w:r>
      <w:r w:rsidR="00A56E08" w:rsidRPr="00171F00">
        <w:rPr>
          <w:rFonts w:cs="Arial"/>
          <w:bCs/>
          <w:color w:val="000000" w:themeColor="text1"/>
          <w:lang w:val="sr-Cyrl-BA"/>
        </w:rPr>
        <w:t>а</w:t>
      </w:r>
      <w:r w:rsidR="00171F00">
        <w:rPr>
          <w:rFonts w:cs="Arial"/>
          <w:bCs/>
          <w:color w:val="000000" w:themeColor="text1"/>
          <w:lang w:val="sr-Cyrl-BA"/>
        </w:rPr>
        <w:t>з</w:t>
      </w:r>
      <w:r w:rsidR="0071360A" w:rsidRPr="00171F00">
        <w:rPr>
          <w:rFonts w:cs="Arial"/>
          <w:bCs/>
          <w:color w:val="000000" w:themeColor="text1"/>
          <w:lang w:val="sr-Cyrl-BA"/>
        </w:rPr>
        <w:t>овн</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т</w:t>
      </w:r>
      <w:r w:rsidR="00A56E08" w:rsidRPr="00171F00">
        <w:rPr>
          <w:rFonts w:cs="Arial"/>
          <w:bCs/>
          <w:color w:val="000000" w:themeColor="text1"/>
          <w:lang w:val="sr-Cyrl-BA"/>
        </w:rPr>
        <w:t>е</w:t>
      </w:r>
      <w:r w:rsidR="0071360A" w:rsidRPr="00171F00">
        <w:rPr>
          <w:rFonts w:cs="Arial"/>
          <w:bCs/>
          <w:color w:val="000000" w:themeColor="text1"/>
          <w:lang w:val="sr-Cyrl-BA"/>
        </w:rPr>
        <w:t>хнологиј</w:t>
      </w:r>
      <w:r w:rsidR="00A56E08" w:rsidRPr="00171F00">
        <w:rPr>
          <w:rFonts w:cs="Arial"/>
          <w:bCs/>
          <w:color w:val="000000" w:themeColor="text1"/>
          <w:lang w:val="sr-Cyrl-BA"/>
        </w:rPr>
        <w:t>е</w:t>
      </w:r>
      <w:r w:rsidRPr="00171F00">
        <w:rPr>
          <w:rFonts w:cs="Arial"/>
          <w:bCs/>
          <w:color w:val="000000" w:themeColor="text1"/>
          <w:lang w:val="sr-Cyrl-BA"/>
        </w:rPr>
        <w:t>)</w:t>
      </w:r>
    </w:p>
  </w:footnote>
  <w:footnote w:id="21">
    <w:p w14:paraId="16BC3EF3" w14:textId="5D56C5C3"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71360A" w:rsidRPr="00171F00">
        <w:rPr>
          <w:rFonts w:cs="Arial"/>
          <w:bCs/>
          <w:color w:val="000000" w:themeColor="text1"/>
          <w:lang w:val="sr-Cyrl-BA"/>
        </w:rPr>
        <w:t>Примј</w:t>
      </w:r>
      <w:r w:rsidR="00A56E08" w:rsidRPr="00171F00">
        <w:rPr>
          <w:rFonts w:cs="Arial"/>
          <w:bCs/>
          <w:color w:val="000000" w:themeColor="text1"/>
          <w:lang w:val="sr-Cyrl-BA"/>
        </w:rPr>
        <w:t>е</w:t>
      </w:r>
      <w:r w:rsidR="0071360A" w:rsidRPr="00171F00">
        <w:rPr>
          <w:rFonts w:cs="Arial"/>
          <w:bCs/>
          <w:color w:val="000000" w:themeColor="text1"/>
          <w:lang w:val="sr-Cyrl-BA"/>
        </w:rPr>
        <w:t>р</w:t>
      </w:r>
      <w:r w:rsidRPr="00171F00">
        <w:rPr>
          <w:rFonts w:cs="Arial"/>
          <w:bCs/>
          <w:color w:val="000000" w:themeColor="text1"/>
          <w:lang w:val="sr-Cyrl-BA"/>
        </w:rPr>
        <w:t xml:space="preserve"> </w:t>
      </w:r>
      <w:r w:rsidR="0071360A" w:rsidRPr="00171F00">
        <w:rPr>
          <w:rFonts w:cs="Arial"/>
          <w:bCs/>
          <w:color w:val="000000" w:themeColor="text1"/>
          <w:lang w:val="sr-Cyrl-BA"/>
        </w:rPr>
        <w:t>и</w:t>
      </w:r>
      <w:r w:rsidR="00171F00">
        <w:rPr>
          <w:rFonts w:cs="Arial"/>
          <w:bCs/>
          <w:color w:val="000000" w:themeColor="text1"/>
          <w:lang w:val="sr-Cyrl-BA"/>
        </w:rPr>
        <w:t>з</w:t>
      </w:r>
      <w:r w:rsidR="0071360A" w:rsidRPr="00171F00">
        <w:rPr>
          <w:rFonts w:cs="Arial"/>
          <w:bCs/>
          <w:color w:val="000000" w:themeColor="text1"/>
          <w:lang w:val="sr-Cyrl-BA"/>
        </w:rPr>
        <w:t>вј</w:t>
      </w:r>
      <w:r w:rsidR="00A56E08" w:rsidRPr="00171F00">
        <w:rPr>
          <w:rFonts w:cs="Arial"/>
          <w:bCs/>
          <w:color w:val="000000" w:themeColor="text1"/>
          <w:lang w:val="sr-Cyrl-BA"/>
        </w:rPr>
        <w:t>е</w:t>
      </w:r>
      <w:r w:rsidR="0071360A" w:rsidRPr="00171F00">
        <w:rPr>
          <w:rFonts w:cs="Arial"/>
          <w:bCs/>
          <w:color w:val="000000" w:themeColor="text1"/>
          <w:lang w:val="sr-Cyrl-BA"/>
        </w:rPr>
        <w:t>шт</w:t>
      </w:r>
      <w:r w:rsidR="00A56E08" w:rsidRPr="00171F00">
        <w:rPr>
          <w:rFonts w:cs="Arial"/>
          <w:bCs/>
          <w:color w:val="000000" w:themeColor="text1"/>
          <w:lang w:val="sr-Cyrl-BA"/>
        </w:rPr>
        <w:t>а</w:t>
      </w:r>
      <w:r w:rsidR="0071360A" w:rsidRPr="00171F00">
        <w:rPr>
          <w:rFonts w:cs="Arial"/>
          <w:bCs/>
          <w:color w:val="000000" w:themeColor="text1"/>
          <w:lang w:val="sr-Cyrl-BA"/>
        </w:rPr>
        <w:t>ј</w:t>
      </w:r>
      <w:r w:rsidR="00A56E08" w:rsidRPr="00171F00">
        <w:rPr>
          <w:rFonts w:cs="Arial"/>
          <w:bCs/>
          <w:color w:val="000000" w:themeColor="text1"/>
          <w:lang w:val="sr-Cyrl-BA"/>
        </w:rPr>
        <w:t>а</w:t>
      </w:r>
      <w:r w:rsidRPr="00171F00">
        <w:rPr>
          <w:rFonts w:cs="Arial"/>
          <w:bCs/>
          <w:color w:val="000000" w:themeColor="text1"/>
          <w:lang w:val="sr-Cyrl-BA"/>
        </w:rPr>
        <w:t xml:space="preserve"> </w:t>
      </w:r>
      <w:r w:rsidR="0071360A" w:rsidRPr="00171F00">
        <w:rPr>
          <w:rFonts w:cs="Arial"/>
          <w:bCs/>
          <w:color w:val="000000" w:themeColor="text1"/>
          <w:lang w:val="sr-Cyrl-BA"/>
        </w:rPr>
        <w:t>ј</w:t>
      </w:r>
      <w:r w:rsidR="00A56E08" w:rsidRPr="00171F00">
        <w:rPr>
          <w:rFonts w:cs="Arial"/>
          <w:bCs/>
          <w:color w:val="000000" w:themeColor="text1"/>
          <w:lang w:val="sr-Cyrl-BA"/>
        </w:rPr>
        <w:t>ед</w:t>
      </w:r>
      <w:r w:rsidR="0071360A" w:rsidRPr="00171F00">
        <w:rPr>
          <w:rFonts w:cs="Arial"/>
          <w:bCs/>
          <w:color w:val="000000" w:themeColor="text1"/>
          <w:lang w:val="sr-Cyrl-BA"/>
        </w:rPr>
        <w:t>н</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71360A" w:rsidRPr="00171F00">
        <w:rPr>
          <w:rFonts w:cs="Arial"/>
          <w:bCs/>
          <w:color w:val="000000" w:themeColor="text1"/>
          <w:lang w:val="sr-Cyrl-BA"/>
        </w:rPr>
        <w:t>школ</w:t>
      </w:r>
      <w:r w:rsidR="00A56E08" w:rsidRPr="00171F00">
        <w:rPr>
          <w:rFonts w:cs="Arial"/>
          <w:bCs/>
          <w:color w:val="000000" w:themeColor="text1"/>
          <w:lang w:val="sr-Cyrl-BA"/>
        </w:rPr>
        <w:t>е</w:t>
      </w:r>
      <w:r w:rsidRPr="00171F00">
        <w:rPr>
          <w:rFonts w:cs="Arial"/>
          <w:bCs/>
          <w:color w:val="000000" w:themeColor="text1"/>
          <w:lang w:val="sr-Cyrl-BA"/>
        </w:rPr>
        <w:t xml:space="preserve"> </w:t>
      </w:r>
      <w:r w:rsidR="00A56E08" w:rsidRPr="00171F00">
        <w:rPr>
          <w:rFonts w:cs="Arial"/>
          <w:color w:val="000000" w:themeColor="text1"/>
          <w:lang w:val="sr-Cyrl-BA"/>
        </w:rPr>
        <w:t>д</w:t>
      </w:r>
      <w:r w:rsidR="0071360A" w:rsidRPr="00171F00">
        <w:rPr>
          <w:rFonts w:cs="Arial"/>
          <w:color w:val="000000" w:themeColor="text1"/>
          <w:lang w:val="sr-Cyrl-BA"/>
        </w:rPr>
        <w:t>оступ</w:t>
      </w:r>
      <w:r w:rsidR="00A56E08" w:rsidRPr="00171F00">
        <w:rPr>
          <w:rFonts w:cs="Arial"/>
          <w:color w:val="000000" w:themeColor="text1"/>
          <w:lang w:val="sr-Cyrl-BA"/>
        </w:rPr>
        <w:t>а</w:t>
      </w:r>
      <w:r w:rsidR="0071360A" w:rsidRPr="00171F00">
        <w:rPr>
          <w:rFonts w:cs="Arial"/>
          <w:color w:val="000000" w:themeColor="text1"/>
          <w:lang w:val="sr-Cyrl-BA"/>
        </w:rPr>
        <w:t>н</w:t>
      </w:r>
      <w:r w:rsidRPr="00171F00">
        <w:rPr>
          <w:rFonts w:cs="Arial"/>
          <w:color w:val="000000" w:themeColor="text1"/>
          <w:lang w:val="sr-Cyrl-BA"/>
        </w:rPr>
        <w:t xml:space="preserve"> </w:t>
      </w:r>
      <w:r w:rsidR="0071360A" w:rsidRPr="00171F00">
        <w:rPr>
          <w:rFonts w:cs="Arial"/>
          <w:color w:val="000000" w:themeColor="text1"/>
          <w:lang w:val="sr-Cyrl-BA"/>
        </w:rPr>
        <w:t>н</w:t>
      </w:r>
      <w:r w:rsidR="00A56E08" w:rsidRPr="00171F00">
        <w:rPr>
          <w:rFonts w:cs="Arial"/>
          <w:color w:val="000000" w:themeColor="text1"/>
          <w:lang w:val="sr-Cyrl-BA"/>
        </w:rPr>
        <w:t>а</w:t>
      </w:r>
      <w:r w:rsidRPr="00171F00">
        <w:rPr>
          <w:rFonts w:cs="Arial"/>
          <w:color w:val="000000" w:themeColor="text1"/>
          <w:lang w:val="sr-Cyrl-BA"/>
        </w:rPr>
        <w:t xml:space="preserve">: </w:t>
      </w:r>
      <w:hyperlink r:id="rId8" w:history="1">
        <w:r w:rsidR="00A94F64" w:rsidRPr="0039751B">
          <w:rPr>
            <w:rStyle w:val="Hyperlink"/>
          </w:rPr>
          <w:t>http://os-slatine.skole.hr/upload/os-slatine/images/newsimg/677/File/SELFIE-report%20(1).pdf</w:t>
        </w:r>
      </w:hyperlink>
      <w:r w:rsidRPr="00171F00">
        <w:rPr>
          <w:rFonts w:cs="Arial"/>
          <w:color w:val="000000" w:themeColor="text1"/>
          <w:lang w:val="sr-Cyrl-BA"/>
        </w:rPr>
        <w:t xml:space="preserve"> (</w:t>
      </w:r>
      <w:r w:rsidR="0071360A" w:rsidRPr="00171F00">
        <w:rPr>
          <w:rFonts w:cs="Arial"/>
          <w:color w:val="000000" w:themeColor="text1"/>
          <w:lang w:val="sr-Cyrl-BA"/>
        </w:rPr>
        <w:t>посј</w:t>
      </w:r>
      <w:r w:rsidR="00A56E08" w:rsidRPr="00171F00">
        <w:rPr>
          <w:rFonts w:cs="Arial"/>
          <w:color w:val="000000" w:themeColor="text1"/>
          <w:lang w:val="sr-Cyrl-BA"/>
        </w:rPr>
        <w:t>е</w:t>
      </w:r>
      <w:r w:rsidR="0071360A" w:rsidRPr="00171F00">
        <w:rPr>
          <w:rFonts w:cs="Arial"/>
          <w:color w:val="000000" w:themeColor="text1"/>
          <w:lang w:val="sr-Cyrl-BA"/>
        </w:rPr>
        <w:t>т</w:t>
      </w:r>
      <w:r w:rsidR="00A56E08" w:rsidRPr="00171F00">
        <w:rPr>
          <w:rFonts w:cs="Arial"/>
          <w:color w:val="000000" w:themeColor="text1"/>
          <w:lang w:val="sr-Cyrl-BA"/>
        </w:rPr>
        <w:t>а</w:t>
      </w:r>
      <w:r w:rsidRPr="00171F00">
        <w:rPr>
          <w:rFonts w:cs="Arial"/>
          <w:color w:val="000000" w:themeColor="text1"/>
          <w:lang w:val="sr-Cyrl-BA"/>
        </w:rPr>
        <w:t xml:space="preserve"> 02.06.2022.)</w:t>
      </w:r>
    </w:p>
  </w:footnote>
  <w:footnote w:id="22">
    <w:p w14:paraId="6DA84500" w14:textId="0685CC42" w:rsidR="00F33370" w:rsidRPr="00171F00" w:rsidRDefault="00F33370" w:rsidP="00A94F64">
      <w:pPr>
        <w:pStyle w:val="FootnoteText"/>
        <w:rPr>
          <w:lang w:val="sr-Cyrl-BA"/>
        </w:rPr>
      </w:pPr>
      <w:r w:rsidRPr="00171F00">
        <w:rPr>
          <w:rStyle w:val="FootnoteReference"/>
          <w:rFonts w:cs="Arial"/>
          <w:color w:val="000000" w:themeColor="text1"/>
          <w:sz w:val="20"/>
          <w:lang w:val="sr-Cyrl-BA"/>
        </w:rPr>
        <w:footnoteRef/>
      </w:r>
      <w:r w:rsidRPr="00171F00">
        <w:rPr>
          <w:color w:val="000000" w:themeColor="text1"/>
          <w:lang w:val="sr-Cyrl-BA"/>
        </w:rPr>
        <w:t xml:space="preserve"> </w:t>
      </w:r>
      <w:r w:rsidR="0071360A" w:rsidRPr="00171F00">
        <w:rPr>
          <w:lang w:val="sr-Cyrl-BA"/>
        </w:rPr>
        <w:t>Ов</w:t>
      </w:r>
      <w:r w:rsidR="00A56E08" w:rsidRPr="00171F00">
        <w:rPr>
          <w:lang w:val="sr-Cyrl-BA"/>
        </w:rPr>
        <w:t>а</w:t>
      </w:r>
      <w:r w:rsidR="0071360A" w:rsidRPr="00171F00">
        <w:rPr>
          <w:lang w:val="sr-Cyrl-BA"/>
        </w:rPr>
        <w:t>ј</w:t>
      </w:r>
      <w:r w:rsidRPr="00171F00">
        <w:rPr>
          <w:lang w:val="sr-Cyrl-BA"/>
        </w:rPr>
        <w:t xml:space="preserve"> </w:t>
      </w:r>
      <w:r w:rsidR="00A56E08" w:rsidRPr="00171F00">
        <w:rPr>
          <w:lang w:val="sr-Cyrl-BA"/>
        </w:rPr>
        <w:t>д</w:t>
      </w:r>
      <w:r w:rsidR="0071360A" w:rsidRPr="00171F00">
        <w:rPr>
          <w:lang w:val="sr-Cyrl-BA"/>
        </w:rPr>
        <w:t>окум</w:t>
      </w:r>
      <w:r w:rsidR="00A56E08" w:rsidRPr="00171F00">
        <w:rPr>
          <w:lang w:val="sr-Cyrl-BA"/>
        </w:rPr>
        <w:t>е</w:t>
      </w:r>
      <w:r w:rsidR="0071360A" w:rsidRPr="00171F00">
        <w:rPr>
          <w:lang w:val="sr-Cyrl-BA"/>
        </w:rPr>
        <w:t>нт</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и</w:t>
      </w:r>
      <w:r w:rsidR="00171F00">
        <w:rPr>
          <w:lang w:val="sr-Cyrl-BA"/>
        </w:rPr>
        <w:t>з</w:t>
      </w:r>
      <w:r w:rsidR="0071360A" w:rsidRPr="00171F00">
        <w:rPr>
          <w:lang w:val="sr-Cyrl-BA"/>
        </w:rPr>
        <w:t>р</w:t>
      </w:r>
      <w:r w:rsidR="00A56E08" w:rsidRPr="00171F00">
        <w:rPr>
          <w:lang w:val="sr-Cyrl-BA"/>
        </w:rPr>
        <w:t>ађе</w:t>
      </w:r>
      <w:r w:rsidR="0071360A" w:rsidRPr="00171F00">
        <w:rPr>
          <w:lang w:val="sr-Cyrl-BA"/>
        </w:rPr>
        <w:t>н</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оквиру</w:t>
      </w:r>
      <w:r w:rsidRPr="00171F00">
        <w:rPr>
          <w:lang w:val="sr-Cyrl-BA"/>
        </w:rPr>
        <w:t xml:space="preserve"> </w:t>
      </w:r>
      <w:r w:rsidR="00171F00">
        <w:rPr>
          <w:lang w:val="sr-Cyrl-BA"/>
        </w:rPr>
        <w:t>з</w:t>
      </w:r>
      <w:r w:rsidR="00A56E08" w:rsidRPr="00171F00">
        <w:rPr>
          <w:lang w:val="sr-Cyrl-BA"/>
        </w:rPr>
        <w:t>а</w:t>
      </w:r>
      <w:r w:rsidR="0071360A" w:rsidRPr="00171F00">
        <w:rPr>
          <w:lang w:val="sr-Cyrl-BA"/>
        </w:rPr>
        <w:t>ј</w:t>
      </w:r>
      <w:r w:rsidR="00A56E08" w:rsidRPr="00171F00">
        <w:rPr>
          <w:lang w:val="sr-Cyrl-BA"/>
        </w:rPr>
        <w:t>ед</w:t>
      </w:r>
      <w:r w:rsidR="0071360A" w:rsidRPr="00171F00">
        <w:rPr>
          <w:lang w:val="sr-Cyrl-BA"/>
        </w:rPr>
        <w:t>ни</w:t>
      </w:r>
      <w:r w:rsidR="00CA5E58">
        <w:rPr>
          <w:lang w:val="sr-Cyrl-BA"/>
        </w:rPr>
        <w:t>ч</w:t>
      </w:r>
      <w:r w:rsidR="0071360A" w:rsidRPr="00171F00">
        <w:rPr>
          <w:lang w:val="sr-Cyrl-BA"/>
        </w:rPr>
        <w:t>ког</w:t>
      </w:r>
      <w:r w:rsidR="00A56E08" w:rsidRPr="00171F00">
        <w:rPr>
          <w:lang w:val="sr-Cyrl-BA"/>
        </w:rPr>
        <w:t>а</w:t>
      </w:r>
      <w:r w:rsidRPr="00171F00">
        <w:rPr>
          <w:lang w:val="sr-Cyrl-BA"/>
        </w:rPr>
        <w:t xml:space="preserve"> </w:t>
      </w:r>
      <w:r w:rsidR="0071360A" w:rsidRPr="00171F00">
        <w:rPr>
          <w:lang w:val="sr-Cyrl-BA"/>
        </w:rPr>
        <w:t>прој</w:t>
      </w:r>
      <w:r w:rsidR="00A56E08" w:rsidRPr="00171F00">
        <w:rPr>
          <w:lang w:val="sr-Cyrl-BA"/>
        </w:rPr>
        <w:t>е</w:t>
      </w:r>
      <w:r w:rsidR="0071360A" w:rsidRPr="00171F00">
        <w:rPr>
          <w:lang w:val="sr-Cyrl-BA"/>
        </w:rPr>
        <w:t>кт</w:t>
      </w:r>
      <w:r w:rsidR="00A56E08" w:rsidRPr="00171F00">
        <w:rPr>
          <w:lang w:val="sr-Cyrl-BA"/>
        </w:rPr>
        <w:t>а</w:t>
      </w:r>
      <w:r w:rsidRPr="00171F00">
        <w:rPr>
          <w:lang w:val="sr-Cyrl-BA"/>
        </w:rPr>
        <w:t xml:space="preserve"> </w:t>
      </w:r>
      <w:r w:rsidR="00A56E08" w:rsidRPr="00171F00">
        <w:rPr>
          <w:lang w:val="sr-Cyrl-BA"/>
        </w:rPr>
        <w:t>Е</w:t>
      </w:r>
      <w:r w:rsidR="0071360A" w:rsidRPr="00171F00">
        <w:rPr>
          <w:lang w:val="sr-Cyrl-BA"/>
        </w:rPr>
        <w:t>вропск</w:t>
      </w:r>
      <w:r w:rsidR="00A56E08" w:rsidRPr="00171F00">
        <w:rPr>
          <w:lang w:val="sr-Cyrl-BA"/>
        </w:rPr>
        <w:t>е</w:t>
      </w:r>
      <w:r w:rsidR="00AE44FC" w:rsidRPr="00171F00">
        <w:rPr>
          <w:lang w:val="sr-Cyrl-BA"/>
        </w:rPr>
        <w:t xml:space="preserve"> </w:t>
      </w:r>
      <w:r w:rsidR="0071360A" w:rsidRPr="00171F00">
        <w:rPr>
          <w:lang w:val="sr-Cyrl-BA"/>
        </w:rPr>
        <w:t>комисиј</w:t>
      </w:r>
      <w:r w:rsidR="00A56E08" w:rsidRPr="00171F00">
        <w:rPr>
          <w:lang w:val="sr-Cyrl-BA"/>
        </w:rPr>
        <w:t>е</w:t>
      </w:r>
      <w:r w:rsidR="00AE44FC"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С</w:t>
      </w:r>
      <w:r w:rsidR="00A56E08" w:rsidRPr="00171F00">
        <w:rPr>
          <w:lang w:val="sr-Cyrl-BA"/>
        </w:rPr>
        <w:t>а</w:t>
      </w:r>
      <w:r w:rsidR="0071360A" w:rsidRPr="00171F00">
        <w:rPr>
          <w:lang w:val="sr-Cyrl-BA"/>
        </w:rPr>
        <w:t>вј</w:t>
      </w:r>
      <w:r w:rsidR="00A56E08" w:rsidRPr="00171F00">
        <w:rPr>
          <w:lang w:val="sr-Cyrl-BA"/>
        </w:rPr>
        <w:t>е</w:t>
      </w:r>
      <w:r w:rsidR="0071360A" w:rsidRPr="00171F00">
        <w:rPr>
          <w:lang w:val="sr-Cyrl-BA"/>
        </w:rPr>
        <w:t>т</w:t>
      </w:r>
      <w:r w:rsidR="00A56E08" w:rsidRPr="00171F00">
        <w:rPr>
          <w:lang w:val="sr-Cyrl-BA"/>
        </w:rPr>
        <w:t>а</w:t>
      </w:r>
      <w:r w:rsidRPr="00171F00">
        <w:rPr>
          <w:lang w:val="sr-Cyrl-BA"/>
        </w:rPr>
        <w:t xml:space="preserve"> </w:t>
      </w:r>
      <w:r w:rsidR="00A56E08" w:rsidRPr="00171F00">
        <w:rPr>
          <w:lang w:val="sr-Cyrl-BA"/>
        </w:rPr>
        <w:t>Е</w:t>
      </w:r>
      <w:r w:rsidR="0071360A" w:rsidRPr="00171F00">
        <w:rPr>
          <w:lang w:val="sr-Cyrl-BA"/>
        </w:rPr>
        <w:t>вроп</w:t>
      </w:r>
      <w:r w:rsidR="00A56E08" w:rsidRPr="00171F00">
        <w:rPr>
          <w:lang w:val="sr-Cyrl-BA"/>
        </w:rPr>
        <w:t>е</w:t>
      </w:r>
      <w:r w:rsidRPr="00171F00">
        <w:rPr>
          <w:lang w:val="sr-Cyrl-BA"/>
        </w:rPr>
        <w:t xml:space="preserve"> </w:t>
      </w:r>
      <w:r w:rsidRPr="00171F00">
        <w:rPr>
          <w:color w:val="1E1916"/>
          <w:lang w:val="sr-Cyrl-BA"/>
        </w:rPr>
        <w:t>"</w:t>
      </w:r>
      <w:r w:rsidR="0071360A" w:rsidRPr="00171F00">
        <w:rPr>
          <w:lang w:val="sr-Cyrl-BA"/>
        </w:rPr>
        <w:t>Ј</w:t>
      </w:r>
      <w:r w:rsidR="00A56E08" w:rsidRPr="00171F00">
        <w:rPr>
          <w:lang w:val="sr-Cyrl-BA"/>
        </w:rPr>
        <w:t>а</w:t>
      </w:r>
      <w:r w:rsidR="00CA5E58">
        <w:rPr>
          <w:lang w:val="sr-Cyrl-BA"/>
        </w:rPr>
        <w:t>ч</w:t>
      </w:r>
      <w:r w:rsidR="00A56E08" w:rsidRPr="00171F00">
        <w:rPr>
          <w:lang w:val="sr-Cyrl-BA"/>
        </w:rPr>
        <w:t>а</w:t>
      </w:r>
      <w:r w:rsidR="0071360A" w:rsidRPr="00171F00">
        <w:rPr>
          <w:lang w:val="sr-Cyrl-BA"/>
        </w:rPr>
        <w:t>њ</w:t>
      </w:r>
      <w:r w:rsidR="00A56E08" w:rsidRPr="00171F00">
        <w:rPr>
          <w:lang w:val="sr-Cyrl-BA"/>
        </w:rPr>
        <w:t>е</w:t>
      </w:r>
      <w:r w:rsidRPr="00171F00">
        <w:rPr>
          <w:lang w:val="sr-Cyrl-BA"/>
        </w:rPr>
        <w:t xml:space="preserve"> </w:t>
      </w:r>
      <w:r w:rsidR="0071360A" w:rsidRPr="00171F00">
        <w:rPr>
          <w:lang w:val="sr-Cyrl-BA"/>
        </w:rPr>
        <w:t>високог</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у</w:t>
      </w:r>
      <w:r w:rsidRPr="00171F00">
        <w:rPr>
          <w:lang w:val="sr-Cyrl-BA"/>
        </w:rPr>
        <w:t xml:space="preserve"> </w:t>
      </w:r>
      <w:r w:rsidR="00A56E08" w:rsidRPr="00171F00">
        <w:rPr>
          <w:lang w:val="sr-Cyrl-BA"/>
        </w:rPr>
        <w:t>Б</w:t>
      </w:r>
      <w:r w:rsidR="0071360A" w:rsidRPr="00171F00">
        <w:rPr>
          <w:lang w:val="sr-Cyrl-BA"/>
        </w:rPr>
        <w:t>осни</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Х</w:t>
      </w:r>
      <w:r w:rsidR="00A56E08" w:rsidRPr="00171F00">
        <w:rPr>
          <w:lang w:val="sr-Cyrl-BA"/>
        </w:rPr>
        <w:t>е</w:t>
      </w:r>
      <w:r w:rsidR="0071360A" w:rsidRPr="00171F00">
        <w:rPr>
          <w:lang w:val="sr-Cyrl-BA"/>
        </w:rPr>
        <w:t>р</w:t>
      </w:r>
      <w:r w:rsidR="00A56E08" w:rsidRPr="00171F00">
        <w:rPr>
          <w:lang w:val="sr-Cyrl-BA"/>
        </w:rPr>
        <w:t>це</w:t>
      </w:r>
      <w:r w:rsidR="0071360A" w:rsidRPr="00171F00">
        <w:rPr>
          <w:lang w:val="sr-Cyrl-BA"/>
        </w:rPr>
        <w:t>говини</w:t>
      </w:r>
      <w:r w:rsidRPr="00171F00">
        <w:rPr>
          <w:color w:val="1E1916"/>
          <w:lang w:val="sr-Cyrl-BA"/>
        </w:rPr>
        <w:t xml:space="preserve">" </w:t>
      </w:r>
      <w:r w:rsidR="0071360A" w:rsidRPr="00171F00">
        <w:rPr>
          <w:lang w:val="sr-Cyrl-BA"/>
        </w:rPr>
        <w:t>и</w:t>
      </w:r>
      <w:r w:rsidRPr="00171F00">
        <w:rPr>
          <w:lang w:val="sr-Cyrl-BA"/>
        </w:rPr>
        <w:t xml:space="preserve"> </w:t>
      </w:r>
      <w:r w:rsidR="0071360A" w:rsidRPr="00171F00">
        <w:rPr>
          <w:lang w:val="sr-Cyrl-BA"/>
        </w:rPr>
        <w:t>о</w:t>
      </w:r>
      <w:r w:rsidR="00A56E08" w:rsidRPr="00171F00">
        <w:rPr>
          <w:lang w:val="sr-Cyrl-BA"/>
        </w:rPr>
        <w:t>д</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е</w:t>
      </w:r>
      <w:r w:rsidR="0071360A" w:rsidRPr="00171F00">
        <w:rPr>
          <w:lang w:val="sr-Cyrl-BA"/>
        </w:rPr>
        <w:t>н</w:t>
      </w:r>
      <w:r w:rsidRPr="00171F00">
        <w:rPr>
          <w:lang w:val="sr-Cyrl-BA"/>
        </w:rPr>
        <w:t xml:space="preserve"> </w:t>
      </w:r>
      <w:r w:rsidR="0071360A" w:rsidRPr="00171F00">
        <w:rPr>
          <w:lang w:val="sr-Cyrl-BA"/>
        </w:rPr>
        <w:t>о</w:t>
      </w:r>
      <w:r w:rsidR="00A56E08" w:rsidRPr="00171F00">
        <w:rPr>
          <w:lang w:val="sr-Cyrl-BA"/>
        </w:rPr>
        <w:t>д</w:t>
      </w:r>
      <w:r w:rsidRPr="00171F00">
        <w:rPr>
          <w:lang w:val="sr-Cyrl-BA"/>
        </w:rPr>
        <w:t xml:space="preserve"> </w:t>
      </w:r>
      <w:r w:rsidR="0071360A" w:rsidRPr="00171F00">
        <w:rPr>
          <w:lang w:val="sr-Cyrl-BA"/>
        </w:rPr>
        <w:t>стр</w:t>
      </w:r>
      <w:r w:rsidR="00A56E08" w:rsidRPr="00171F00">
        <w:rPr>
          <w:lang w:val="sr-Cyrl-BA"/>
        </w:rPr>
        <w:t>а</w:t>
      </w:r>
      <w:r w:rsidR="0071360A" w:rsidRPr="00171F00">
        <w:rPr>
          <w:lang w:val="sr-Cyrl-BA"/>
        </w:rPr>
        <w:t>н</w:t>
      </w:r>
      <w:r w:rsidR="00A56E08" w:rsidRPr="00171F00">
        <w:rPr>
          <w:lang w:val="sr-Cyrl-BA"/>
        </w:rPr>
        <w:t>е</w:t>
      </w:r>
      <w:r w:rsidRPr="00171F00">
        <w:rPr>
          <w:lang w:val="sr-Cyrl-BA"/>
        </w:rPr>
        <w:t xml:space="preserve"> </w:t>
      </w:r>
      <w:r w:rsidR="0071360A" w:rsidRPr="00171F00">
        <w:rPr>
          <w:lang w:val="sr-Cyrl-BA"/>
        </w:rPr>
        <w:t>Упр</w:t>
      </w:r>
      <w:r w:rsidR="00A56E08" w:rsidRPr="00171F00">
        <w:rPr>
          <w:lang w:val="sr-Cyrl-BA"/>
        </w:rPr>
        <w:t>а</w:t>
      </w:r>
      <w:r w:rsidR="0071360A" w:rsidRPr="00171F00">
        <w:rPr>
          <w:lang w:val="sr-Cyrl-BA"/>
        </w:rPr>
        <w:t>вног</w:t>
      </w:r>
      <w:r w:rsidRPr="00171F00">
        <w:rPr>
          <w:lang w:val="sr-Cyrl-BA"/>
        </w:rPr>
        <w:t xml:space="preserve"> </w:t>
      </w:r>
      <w:r w:rsidR="0071360A" w:rsidRPr="00171F00">
        <w:rPr>
          <w:lang w:val="sr-Cyrl-BA"/>
        </w:rPr>
        <w:t>о</w:t>
      </w:r>
      <w:r w:rsidR="00A56E08" w:rsidRPr="00171F00">
        <w:rPr>
          <w:lang w:val="sr-Cyrl-BA"/>
        </w:rPr>
        <w:t>дб</w:t>
      </w:r>
      <w:r w:rsidR="0071360A" w:rsidRPr="00171F00">
        <w:rPr>
          <w:lang w:val="sr-Cyrl-BA"/>
        </w:rPr>
        <w:t>ор</w:t>
      </w:r>
      <w:r w:rsidR="00A56E08" w:rsidRPr="00171F00">
        <w:rPr>
          <w:lang w:val="sr-Cyrl-BA"/>
        </w:rPr>
        <w:t>а</w:t>
      </w:r>
      <w:r w:rsidRPr="00171F00">
        <w:rPr>
          <w:lang w:val="sr-Cyrl-BA"/>
        </w:rPr>
        <w:t xml:space="preserve"> 2007. </w:t>
      </w:r>
      <w:r w:rsidR="0071360A" w:rsidRPr="00171F00">
        <w:rPr>
          <w:lang w:val="sr-Cyrl-BA"/>
        </w:rPr>
        <w:t>го</w:t>
      </w:r>
      <w:r w:rsidR="00A56E08" w:rsidRPr="00171F00">
        <w:rPr>
          <w:lang w:val="sr-Cyrl-BA"/>
        </w:rPr>
        <w:t>д</w:t>
      </w:r>
      <w:r w:rsidR="0071360A" w:rsidRPr="00171F00">
        <w:rPr>
          <w:lang w:val="sr-Cyrl-BA"/>
        </w:rPr>
        <w:t>ин</w:t>
      </w:r>
      <w:r w:rsidR="00A56E08" w:rsidRPr="00171F00">
        <w:rPr>
          <w:lang w:val="sr-Cyrl-BA"/>
        </w:rPr>
        <w:t>е</w:t>
      </w:r>
      <w:r w:rsidRPr="00171F00">
        <w:rPr>
          <w:lang w:val="sr-Cyrl-BA"/>
        </w:rPr>
        <w:t xml:space="preserve">. </w:t>
      </w:r>
      <w:r w:rsidR="0071360A" w:rsidRPr="00171F00">
        <w:rPr>
          <w:color w:val="000000" w:themeColor="text1"/>
          <w:lang w:val="sr-Cyrl-BA"/>
        </w:rPr>
        <w:t>виш</w:t>
      </w:r>
      <w:r w:rsidR="00A56E08" w:rsidRPr="00171F00">
        <w:rPr>
          <w:color w:val="000000" w:themeColor="text1"/>
          <w:lang w:val="sr-Cyrl-BA"/>
        </w:rPr>
        <w:t>е</w:t>
      </w:r>
      <w:r w:rsidRPr="00171F00">
        <w:rPr>
          <w:color w:val="000000" w:themeColor="text1"/>
          <w:lang w:val="sr-Cyrl-BA"/>
        </w:rPr>
        <w:t xml:space="preserve"> </w:t>
      </w:r>
      <w:r w:rsidR="0071360A" w:rsidRPr="00171F00">
        <w:rPr>
          <w:color w:val="000000" w:themeColor="text1"/>
          <w:lang w:val="sr-Cyrl-BA"/>
        </w:rPr>
        <w:t>н</w:t>
      </w:r>
      <w:r w:rsidR="00A56E08" w:rsidRPr="00171F00">
        <w:rPr>
          <w:color w:val="000000" w:themeColor="text1"/>
          <w:lang w:val="sr-Cyrl-BA"/>
        </w:rPr>
        <w:t>а</w:t>
      </w:r>
      <w:r w:rsidRPr="00171F00">
        <w:rPr>
          <w:color w:val="000000" w:themeColor="text1"/>
          <w:lang w:val="sr-Cyrl-BA"/>
        </w:rPr>
        <w:t xml:space="preserve">: </w:t>
      </w:r>
      <w:hyperlink r:id="rId9" w:history="1">
        <w:r w:rsidR="00A94F64" w:rsidRPr="0039751B">
          <w:rPr>
            <w:rStyle w:val="Hyperlink"/>
          </w:rPr>
          <w:t>http://hea.gov.ba/Kvalitet/dokumenti/?id=1229</w:t>
        </w:r>
      </w:hyperlink>
      <w:r w:rsidRPr="00171F00">
        <w:rPr>
          <w:color w:val="000000" w:themeColor="text1"/>
          <w:lang w:val="sr-Cyrl-BA"/>
        </w:rPr>
        <w:t xml:space="preserve"> (</w:t>
      </w:r>
      <w:r w:rsidR="0071360A" w:rsidRPr="00171F00">
        <w:rPr>
          <w:color w:val="000000" w:themeColor="text1"/>
          <w:lang w:val="sr-Cyrl-BA"/>
        </w:rPr>
        <w:t>посј</w:t>
      </w:r>
      <w:r w:rsidR="00A56E08" w:rsidRPr="00171F00">
        <w:rPr>
          <w:color w:val="000000" w:themeColor="text1"/>
          <w:lang w:val="sr-Cyrl-BA"/>
        </w:rPr>
        <w:t>е</w:t>
      </w:r>
      <w:r w:rsidR="0071360A" w:rsidRPr="00171F00">
        <w:rPr>
          <w:color w:val="000000" w:themeColor="text1"/>
          <w:lang w:val="sr-Cyrl-BA"/>
        </w:rPr>
        <w:t>т</w:t>
      </w:r>
      <w:r w:rsidR="00CA5E58">
        <w:rPr>
          <w:color w:val="000000" w:themeColor="text1"/>
          <w:lang w:val="sr-Cyrl-BA"/>
        </w:rPr>
        <w:t>а</w:t>
      </w:r>
      <w:r w:rsidRPr="00171F00">
        <w:rPr>
          <w:color w:val="000000" w:themeColor="text1"/>
          <w:lang w:val="sr-Cyrl-BA"/>
        </w:rPr>
        <w:t xml:space="preserve"> 10.06.2022.)</w:t>
      </w:r>
    </w:p>
  </w:footnote>
  <w:footnote w:id="23">
    <w:p w14:paraId="383FF609" w14:textId="73694A08"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A56E08" w:rsidRPr="00171F00">
        <w:rPr>
          <w:lang w:val="sr-Cyrl-BA"/>
        </w:rPr>
        <w:t>Е</w:t>
      </w:r>
      <w:r w:rsidR="0071360A" w:rsidRPr="00171F00">
        <w:rPr>
          <w:lang w:val="sr-Cyrl-BA"/>
        </w:rPr>
        <w:t>МИС</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A56E08" w:rsidRPr="00171F00">
        <w:rPr>
          <w:lang w:val="sr-Cyrl-BA"/>
        </w:rPr>
        <w:t>да</w:t>
      </w:r>
      <w:r w:rsidR="0071360A" w:rsidRPr="00171F00">
        <w:rPr>
          <w:lang w:val="sr-Cyrl-BA"/>
        </w:rPr>
        <w:t>кл</w:t>
      </w:r>
      <w:r w:rsidR="00A56E08" w:rsidRPr="00171F00">
        <w:rPr>
          <w:lang w:val="sr-Cyrl-BA"/>
        </w:rPr>
        <w:t>е</w:t>
      </w:r>
      <w:r w:rsidRPr="00171F00">
        <w:rPr>
          <w:lang w:val="sr-Cyrl-BA"/>
        </w:rPr>
        <w:t xml:space="preserve">, </w:t>
      </w:r>
      <w:r w:rsidR="0071360A" w:rsidRPr="00171F00">
        <w:rPr>
          <w:lang w:val="sr-Cyrl-BA"/>
        </w:rPr>
        <w:t>ј</w:t>
      </w:r>
      <w:r w:rsidR="00A56E08" w:rsidRPr="00171F00">
        <w:rPr>
          <w:lang w:val="sr-Cyrl-BA"/>
        </w:rPr>
        <w:t>ед</w:t>
      </w:r>
      <w:r w:rsidR="0071360A" w:rsidRPr="00171F00">
        <w:rPr>
          <w:lang w:val="sr-Cyrl-BA"/>
        </w:rPr>
        <w:t>инств</w:t>
      </w:r>
      <w:r w:rsidR="00A56E08" w:rsidRPr="00171F00">
        <w:rPr>
          <w:lang w:val="sr-Cyrl-BA"/>
        </w:rPr>
        <w:t>е</w:t>
      </w:r>
      <w:r w:rsidR="0071360A" w:rsidRPr="00171F00">
        <w:rPr>
          <w:lang w:val="sr-Cyrl-BA"/>
        </w:rPr>
        <w:t>ни</w:t>
      </w:r>
      <w:r w:rsidRPr="00171F00">
        <w:rPr>
          <w:lang w:val="sr-Cyrl-BA"/>
        </w:rPr>
        <w:t xml:space="preserve"> </w:t>
      </w:r>
      <w:r w:rsidR="0071360A" w:rsidRPr="00171F00">
        <w:rPr>
          <w:lang w:val="sr-Cyrl-BA"/>
        </w:rPr>
        <w:t>н</w:t>
      </w:r>
      <w:r w:rsidR="00A56E08" w:rsidRPr="00171F00">
        <w:rPr>
          <w:lang w:val="sr-Cyrl-BA"/>
        </w:rPr>
        <w:t>а</w:t>
      </w:r>
      <w:r w:rsidR="00171F00">
        <w:rPr>
          <w:lang w:val="sr-Cyrl-BA"/>
        </w:rPr>
        <w:t>з</w:t>
      </w:r>
      <w:r w:rsidR="0071360A" w:rsidRPr="00171F00">
        <w:rPr>
          <w:lang w:val="sr-Cyrl-BA"/>
        </w:rPr>
        <w:t>ив</w:t>
      </w:r>
      <w:r w:rsidRPr="00171F00">
        <w:rPr>
          <w:lang w:val="sr-Cyrl-BA"/>
        </w:rPr>
        <w:t xml:space="preserve"> </w:t>
      </w:r>
      <w:r w:rsidR="00171F00">
        <w:rPr>
          <w:lang w:val="sr-Cyrl-BA"/>
        </w:rPr>
        <w:t>з</w:t>
      </w:r>
      <w:r w:rsidR="00A56E08" w:rsidRPr="00171F00">
        <w:rPr>
          <w:lang w:val="sr-Cyrl-BA"/>
        </w:rPr>
        <w:t>а</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ијск</w:t>
      </w:r>
      <w:r w:rsidR="00A56E08" w:rsidRPr="00171F00">
        <w:rPr>
          <w:lang w:val="sr-Cyrl-BA"/>
        </w:rPr>
        <w:t>е</w:t>
      </w:r>
      <w:r w:rsidRPr="00171F00">
        <w:rPr>
          <w:lang w:val="sr-Cyrl-BA"/>
        </w:rPr>
        <w:t xml:space="preserve"> </w:t>
      </w:r>
      <w:r w:rsidR="0071360A" w:rsidRPr="00171F00">
        <w:rPr>
          <w:lang w:val="sr-Cyrl-BA"/>
        </w:rPr>
        <w:t>сист</w:t>
      </w:r>
      <w:r w:rsidR="00A56E08" w:rsidRPr="00171F00">
        <w:rPr>
          <w:lang w:val="sr-Cyrl-BA"/>
        </w:rPr>
        <w:t>е</w:t>
      </w:r>
      <w:r w:rsidR="0071360A" w:rsidRPr="00171F00">
        <w:rPr>
          <w:lang w:val="sr-Cyrl-BA"/>
        </w:rPr>
        <w:t>м</w:t>
      </w:r>
      <w:r w:rsidR="00A56E08" w:rsidRPr="00171F00">
        <w:rPr>
          <w:lang w:val="sr-Cyrl-BA"/>
        </w:rPr>
        <w:t>е</w:t>
      </w:r>
      <w:r w:rsidRPr="00171F00">
        <w:rPr>
          <w:lang w:val="sr-Cyrl-BA"/>
        </w:rPr>
        <w:t xml:space="preserve"> </w:t>
      </w:r>
      <w:r w:rsidR="00171F00">
        <w:rPr>
          <w:lang w:val="sr-Cyrl-BA"/>
        </w:rPr>
        <w:t>з</w:t>
      </w:r>
      <w:r w:rsidR="00A56E08" w:rsidRPr="00171F00">
        <w:rPr>
          <w:lang w:val="sr-Cyrl-BA"/>
        </w:rPr>
        <w:t>а</w:t>
      </w:r>
      <w:r w:rsidRPr="00171F00">
        <w:rPr>
          <w:lang w:val="sr-Cyrl-BA"/>
        </w:rPr>
        <w:t xml:space="preserve"> </w:t>
      </w:r>
      <w:r w:rsidR="0071360A" w:rsidRPr="00171F00">
        <w:rPr>
          <w:lang w:val="sr-Cyrl-BA"/>
        </w:rPr>
        <w:t>упр</w:t>
      </w:r>
      <w:r w:rsidR="00A56E08" w:rsidRPr="00171F00">
        <w:rPr>
          <w:lang w:val="sr-Cyrl-BA"/>
        </w:rPr>
        <w:t>а</w:t>
      </w:r>
      <w:r w:rsidR="0071360A" w:rsidRPr="00171F00">
        <w:rPr>
          <w:lang w:val="sr-Cyrl-BA"/>
        </w:rPr>
        <w:t>вљ</w:t>
      </w:r>
      <w:r w:rsidR="00A56E08" w:rsidRPr="00171F00">
        <w:rPr>
          <w:lang w:val="sr-Cyrl-BA"/>
        </w:rPr>
        <w:t>а</w:t>
      </w:r>
      <w:r w:rsidR="0071360A" w:rsidRPr="00171F00">
        <w:rPr>
          <w:lang w:val="sr-Cyrl-BA"/>
        </w:rPr>
        <w:t>њ</w:t>
      </w:r>
      <w:r w:rsidR="00A56E08" w:rsidRPr="00171F00">
        <w:rPr>
          <w:lang w:val="sr-Cyrl-BA"/>
        </w:rPr>
        <w:t>е</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њ</w:t>
      </w:r>
      <w:r w:rsidR="00A56E08" w:rsidRPr="00171F00">
        <w:rPr>
          <w:lang w:val="sr-Cyrl-BA"/>
        </w:rPr>
        <w:t>е</w:t>
      </w:r>
      <w:r w:rsidR="0071360A" w:rsidRPr="00171F00">
        <w:rPr>
          <w:lang w:val="sr-Cyrl-BA"/>
        </w:rPr>
        <w:t>м</w:t>
      </w:r>
      <w:r w:rsidRPr="00171F00">
        <w:rPr>
          <w:lang w:val="sr-Cyrl-BA"/>
        </w:rPr>
        <w:t xml:space="preserve"> </w:t>
      </w:r>
      <w:r w:rsidR="0071360A" w:rsidRPr="00171F00">
        <w:rPr>
          <w:lang w:val="sr-Cyrl-BA"/>
        </w:rPr>
        <w:t>т</w:t>
      </w:r>
      <w:r w:rsidR="00A56E08" w:rsidRPr="00171F00">
        <w:rPr>
          <w:lang w:val="sr-Cyrl-BA"/>
        </w:rPr>
        <w:t>е</w:t>
      </w:r>
      <w:r w:rsidRPr="00171F00">
        <w:rPr>
          <w:lang w:val="sr-Cyrl-BA"/>
        </w:rPr>
        <w:t xml:space="preserve"> </w:t>
      </w:r>
      <w:r w:rsidR="0071360A" w:rsidRPr="00171F00">
        <w:rPr>
          <w:lang w:val="sr-Cyrl-BA"/>
        </w:rPr>
        <w:t>стог</w:t>
      </w:r>
      <w:r w:rsidR="00A56E08" w:rsidRPr="00171F00">
        <w:rPr>
          <w:lang w:val="sr-Cyrl-BA"/>
        </w:rPr>
        <w:t>а</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ухв</w:t>
      </w:r>
      <w:r w:rsidR="00A56E08" w:rsidRPr="00171F00">
        <w:rPr>
          <w:lang w:val="sr-Cyrl-BA"/>
        </w:rPr>
        <w:t>а</w:t>
      </w:r>
      <w:r w:rsidR="0071360A" w:rsidRPr="00171F00">
        <w:rPr>
          <w:lang w:val="sr-Cyrl-BA"/>
        </w:rPr>
        <w:t>т</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сп</w:t>
      </w:r>
      <w:r w:rsidR="00A56E08" w:rsidRPr="00171F00">
        <w:rPr>
          <w:lang w:val="sr-Cyrl-BA"/>
        </w:rPr>
        <w:t>ец</w:t>
      </w:r>
      <w:r w:rsidR="0071360A" w:rsidRPr="00171F00">
        <w:rPr>
          <w:lang w:val="sr-Cyrl-BA"/>
        </w:rPr>
        <w:t>ифи</w:t>
      </w:r>
      <w:r w:rsidR="00A56E08" w:rsidRPr="00171F00">
        <w:rPr>
          <w:lang w:val="sr-Cyrl-BA"/>
        </w:rPr>
        <w:t>ч</w:t>
      </w:r>
      <w:r w:rsidR="0071360A" w:rsidRPr="00171F00">
        <w:rPr>
          <w:lang w:val="sr-Cyrl-BA"/>
        </w:rPr>
        <w:t>н</w:t>
      </w:r>
      <w:r w:rsidR="00A56E08" w:rsidRPr="00171F00">
        <w:rPr>
          <w:lang w:val="sr-Cyrl-BA"/>
        </w:rPr>
        <w:t>е</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ијск</w:t>
      </w:r>
      <w:r w:rsidR="00A56E08" w:rsidRPr="00171F00">
        <w:rPr>
          <w:lang w:val="sr-Cyrl-BA"/>
        </w:rPr>
        <w:t>е</w:t>
      </w:r>
      <w:r w:rsidRPr="00171F00">
        <w:rPr>
          <w:lang w:val="sr-Cyrl-BA"/>
        </w:rPr>
        <w:t xml:space="preserve"> </w:t>
      </w:r>
      <w:r w:rsidR="0071360A" w:rsidRPr="00171F00">
        <w:rPr>
          <w:lang w:val="sr-Cyrl-BA"/>
        </w:rPr>
        <w:t>сист</w:t>
      </w:r>
      <w:r w:rsidR="00A56E08" w:rsidRPr="00171F00">
        <w:rPr>
          <w:lang w:val="sr-Cyrl-BA"/>
        </w:rPr>
        <w:t>е</w:t>
      </w:r>
      <w:r w:rsidR="0071360A" w:rsidRPr="00171F00">
        <w:rPr>
          <w:lang w:val="sr-Cyrl-BA"/>
        </w:rPr>
        <w:t>м</w:t>
      </w:r>
      <w:r w:rsidR="00A56E08" w:rsidRPr="00171F00">
        <w:rPr>
          <w:lang w:val="sr-Cyrl-BA"/>
        </w:rPr>
        <w:t>е</w:t>
      </w:r>
      <w:r w:rsidRPr="00171F00">
        <w:rPr>
          <w:lang w:val="sr-Cyrl-BA"/>
        </w:rPr>
        <w:t xml:space="preserve"> </w:t>
      </w:r>
      <w:r w:rsidR="0071360A" w:rsidRPr="00171F00">
        <w:rPr>
          <w:lang w:val="sr-Cyrl-BA"/>
        </w:rPr>
        <w:t>к</w:t>
      </w:r>
      <w:r w:rsidR="00A56E08" w:rsidRPr="00171F00">
        <w:rPr>
          <w:lang w:val="sr-Cyrl-BA"/>
        </w:rPr>
        <w:t>а</w:t>
      </w:r>
      <w:r w:rsidR="0071360A" w:rsidRPr="00171F00">
        <w:rPr>
          <w:lang w:val="sr-Cyrl-BA"/>
        </w:rPr>
        <w:t>о</w:t>
      </w:r>
      <w:r w:rsidRPr="00171F00">
        <w:rPr>
          <w:lang w:val="sr-Cyrl-BA"/>
        </w:rPr>
        <w:t xml:space="preserve"> </w:t>
      </w:r>
      <w:r w:rsidR="0071360A" w:rsidRPr="00171F00">
        <w:rPr>
          <w:lang w:val="sr-Cyrl-BA"/>
        </w:rPr>
        <w:t>што</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нпр</w:t>
      </w:r>
      <w:r w:rsidRPr="00171F00">
        <w:rPr>
          <w:lang w:val="sr-Cyrl-BA"/>
        </w:rPr>
        <w:t xml:space="preserve">. </w:t>
      </w:r>
      <w:r w:rsidR="00A56E08" w:rsidRPr="00171F00">
        <w:rPr>
          <w:lang w:val="sr-Cyrl-BA"/>
        </w:rPr>
        <w:t>ЕД</w:t>
      </w:r>
      <w:r w:rsidR="0071360A" w:rsidRPr="00171F00">
        <w:rPr>
          <w:lang w:val="sr-Cyrl-BA"/>
        </w:rPr>
        <w:t>УИС</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Р</w:t>
      </w:r>
      <w:r w:rsidR="00A56E08" w:rsidRPr="00171F00">
        <w:rPr>
          <w:lang w:val="sr-Cyrl-BA"/>
        </w:rPr>
        <w:t>е</w:t>
      </w:r>
      <w:r w:rsidR="0071360A" w:rsidRPr="00171F00">
        <w:rPr>
          <w:lang w:val="sr-Cyrl-BA"/>
        </w:rPr>
        <w:t>пу</w:t>
      </w:r>
      <w:r w:rsidR="00A56E08" w:rsidRPr="00171F00">
        <w:rPr>
          <w:lang w:val="sr-Cyrl-BA"/>
        </w:rPr>
        <w:t>б</w:t>
      </w:r>
      <w:r w:rsidR="0071360A" w:rsidRPr="00171F00">
        <w:rPr>
          <w:lang w:val="sr-Cyrl-BA"/>
        </w:rPr>
        <w:t>ли</w:t>
      </w:r>
      <w:r w:rsidR="00A56E08" w:rsidRPr="00171F00">
        <w:rPr>
          <w:lang w:val="sr-Cyrl-BA"/>
        </w:rPr>
        <w:t>ц</w:t>
      </w:r>
      <w:r w:rsidR="0071360A" w:rsidRPr="00171F00">
        <w:rPr>
          <w:lang w:val="sr-Cyrl-BA"/>
        </w:rPr>
        <w:t>и</w:t>
      </w:r>
      <w:r w:rsidRPr="00171F00">
        <w:rPr>
          <w:lang w:val="sr-Cyrl-BA"/>
        </w:rPr>
        <w:t xml:space="preserve"> </w:t>
      </w:r>
      <w:r w:rsidR="0071360A" w:rsidRPr="00171F00">
        <w:rPr>
          <w:lang w:val="sr-Cyrl-BA"/>
        </w:rPr>
        <w:t>Српској</w:t>
      </w:r>
      <w:r w:rsidRPr="00171F00">
        <w:rPr>
          <w:lang w:val="sr-Cyrl-BA"/>
        </w:rPr>
        <w:t xml:space="preserve">. </w:t>
      </w:r>
    </w:p>
  </w:footnote>
  <w:footnote w:id="24">
    <w:p w14:paraId="2BD9E9D8" w14:textId="165C5019" w:rsidR="00F33370" w:rsidRPr="00171F00" w:rsidRDefault="00F33370" w:rsidP="00A94F64">
      <w:pPr>
        <w:pStyle w:val="FootnoteText"/>
        <w:rPr>
          <w:lang w:val="sr-Cyrl-BA"/>
        </w:rPr>
      </w:pPr>
      <w:r w:rsidRPr="00171F00">
        <w:rPr>
          <w:rStyle w:val="FootnoteReference"/>
          <w:lang w:val="sr-Cyrl-BA"/>
        </w:rPr>
        <w:footnoteRef/>
      </w:r>
      <w:r w:rsidRPr="00171F00">
        <w:rPr>
          <w:lang w:val="sr-Cyrl-BA"/>
        </w:rPr>
        <w:t xml:space="preserve"> </w:t>
      </w:r>
      <w:r w:rsidR="0071360A" w:rsidRPr="00171F00">
        <w:rPr>
          <w:lang w:val="sr-Cyrl-BA"/>
        </w:rPr>
        <w:t>Мо</w:t>
      </w:r>
      <w:r w:rsidR="00A56E08" w:rsidRPr="00171F00">
        <w:rPr>
          <w:lang w:val="sr-Cyrl-BA"/>
        </w:rPr>
        <w:t>д</w:t>
      </w:r>
      <w:r w:rsidR="0071360A" w:rsidRPr="00171F00">
        <w:rPr>
          <w:lang w:val="sr-Cyrl-BA"/>
        </w:rPr>
        <w:t>ули</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71360A" w:rsidRPr="00171F00">
        <w:rPr>
          <w:lang w:val="sr-Cyrl-BA"/>
        </w:rPr>
        <w:t>корист</w:t>
      </w:r>
      <w:r w:rsidR="00A56E08" w:rsidRPr="00171F00">
        <w:rPr>
          <w:lang w:val="sr-Cyrl-BA"/>
        </w:rPr>
        <w:t>е</w:t>
      </w:r>
      <w:r w:rsidR="001E501B"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високом</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њу</w:t>
      </w:r>
      <w:r w:rsidRPr="00171F00">
        <w:rPr>
          <w:lang w:val="sr-Cyrl-BA"/>
        </w:rPr>
        <w:t xml:space="preserve"> </w:t>
      </w:r>
      <w:r w:rsidR="0071360A" w:rsidRPr="00171F00">
        <w:rPr>
          <w:lang w:val="sr-Cyrl-BA"/>
        </w:rPr>
        <w:t>к</w:t>
      </w:r>
      <w:r w:rsidR="00A56E08" w:rsidRPr="00171F00">
        <w:rPr>
          <w:lang w:val="sr-Cyrl-BA"/>
        </w:rPr>
        <w:t>а</w:t>
      </w:r>
      <w:r w:rsidR="0071360A" w:rsidRPr="00171F00">
        <w:rPr>
          <w:lang w:val="sr-Cyrl-BA"/>
        </w:rPr>
        <w:t>о</w:t>
      </w:r>
      <w:r w:rsidRPr="00171F00">
        <w:rPr>
          <w:lang w:val="sr-Cyrl-BA"/>
        </w:rPr>
        <w:t xml:space="preserve"> </w:t>
      </w:r>
      <w:r w:rsidR="0071360A" w:rsidRPr="00171F00">
        <w:rPr>
          <w:lang w:val="sr-Cyrl-BA"/>
        </w:rPr>
        <w:t>што</w:t>
      </w:r>
      <w:r w:rsidRPr="00171F00">
        <w:rPr>
          <w:lang w:val="sr-Cyrl-BA"/>
        </w:rPr>
        <w:t xml:space="preserve"> </w:t>
      </w:r>
      <w:r w:rsidR="0071360A" w:rsidRPr="00171F00">
        <w:rPr>
          <w:lang w:val="sr-Cyrl-BA"/>
        </w:rPr>
        <w:t>су</w:t>
      </w:r>
      <w:r w:rsidRPr="00171F00">
        <w:rPr>
          <w:lang w:val="sr-Cyrl-BA"/>
        </w:rPr>
        <w:t xml:space="preserve">, </w:t>
      </w:r>
      <w:r w:rsidR="0071360A" w:rsidRPr="00171F00">
        <w:rPr>
          <w:lang w:val="sr-Cyrl-BA"/>
        </w:rPr>
        <w:t>нпр</w:t>
      </w:r>
      <w:r w:rsidRPr="00171F00">
        <w:rPr>
          <w:lang w:val="sr-Cyrl-BA"/>
        </w:rPr>
        <w:t xml:space="preserve">. </w:t>
      </w:r>
      <w:r w:rsidR="0071360A" w:rsidRPr="00171F00">
        <w:rPr>
          <w:lang w:val="sr-Cyrl-BA"/>
        </w:rPr>
        <w:t>ИССС</w:t>
      </w:r>
      <w:r w:rsidRPr="00171F00">
        <w:rPr>
          <w:rStyle w:val="FootnoteReference"/>
          <w:rFonts w:cs="Arial"/>
          <w:color w:val="000000" w:themeColor="text1"/>
          <w:sz w:val="20"/>
          <w:lang w:val="sr-Cyrl-BA"/>
        </w:rPr>
        <w:footnoteRef/>
      </w:r>
      <w:r w:rsidRPr="00171F00">
        <w:rPr>
          <w:lang w:val="sr-Cyrl-BA"/>
        </w:rPr>
        <w:t xml:space="preserve"> (</w:t>
      </w:r>
      <w:r w:rsidR="0071360A" w:rsidRPr="00171F00">
        <w:rPr>
          <w:lang w:val="sr-Cyrl-BA"/>
        </w:rPr>
        <w:t>Унив</w:t>
      </w:r>
      <w:r w:rsidR="00A56E08" w:rsidRPr="00171F00">
        <w:rPr>
          <w:lang w:val="sr-Cyrl-BA"/>
        </w:rPr>
        <w:t>е</w:t>
      </w:r>
      <w:r w:rsidR="0071360A" w:rsidRPr="00171F00">
        <w:rPr>
          <w:lang w:val="sr-Cyrl-BA"/>
        </w:rPr>
        <w:t>р</w:t>
      </w:r>
      <w:r w:rsidR="00171F00">
        <w:rPr>
          <w:lang w:val="sr-Cyrl-BA"/>
        </w:rPr>
        <w:t>з</w:t>
      </w:r>
      <w:r w:rsidR="0071360A" w:rsidRPr="00171F00">
        <w:rPr>
          <w:lang w:val="sr-Cyrl-BA"/>
        </w:rPr>
        <w:t>ит</w:t>
      </w:r>
      <w:r w:rsidR="00A56E08" w:rsidRPr="00171F00">
        <w:rPr>
          <w:lang w:val="sr-Cyrl-BA"/>
        </w:rPr>
        <w:t>е</w:t>
      </w:r>
      <w:r w:rsidR="0071360A" w:rsidRPr="00171F00">
        <w:rPr>
          <w:lang w:val="sr-Cyrl-BA"/>
        </w:rPr>
        <w:t>т</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С</w:t>
      </w:r>
      <w:r w:rsidR="00A56E08" w:rsidRPr="00171F00">
        <w:rPr>
          <w:lang w:val="sr-Cyrl-BA"/>
        </w:rPr>
        <w:t>а</w:t>
      </w:r>
      <w:r w:rsidR="0071360A" w:rsidRPr="00171F00">
        <w:rPr>
          <w:lang w:val="sr-Cyrl-BA"/>
        </w:rPr>
        <w:t>р</w:t>
      </w:r>
      <w:r w:rsidR="00A56E08" w:rsidRPr="00171F00">
        <w:rPr>
          <w:lang w:val="sr-Cyrl-BA"/>
        </w:rPr>
        <w:t>а</w:t>
      </w:r>
      <w:r w:rsidR="0071360A" w:rsidRPr="00171F00">
        <w:rPr>
          <w:lang w:val="sr-Cyrl-BA"/>
        </w:rPr>
        <w:t>ј</w:t>
      </w:r>
      <w:r w:rsidR="00A56E08" w:rsidRPr="00171F00">
        <w:rPr>
          <w:lang w:val="sr-Cyrl-BA"/>
        </w:rPr>
        <w:t>е</w:t>
      </w:r>
      <w:r w:rsidR="0071360A" w:rsidRPr="00171F00">
        <w:rPr>
          <w:lang w:val="sr-Cyrl-BA"/>
        </w:rPr>
        <w:t>ву</w:t>
      </w:r>
      <w:r w:rsidRPr="00171F00">
        <w:rPr>
          <w:lang w:val="sr-Cyrl-BA"/>
        </w:rPr>
        <w:t xml:space="preserve">) </w:t>
      </w:r>
      <w:r w:rsidR="0071360A" w:rsidRPr="00171F00">
        <w:rPr>
          <w:lang w:val="sr-Cyrl-BA"/>
        </w:rPr>
        <w:t>или</w:t>
      </w:r>
      <w:r w:rsidRPr="00171F00">
        <w:rPr>
          <w:lang w:val="sr-Cyrl-BA"/>
        </w:rPr>
        <w:t xml:space="preserve"> </w:t>
      </w:r>
      <w:r w:rsidR="0071360A" w:rsidRPr="00171F00">
        <w:rPr>
          <w:lang w:val="sr-Cyrl-BA"/>
        </w:rPr>
        <w:t>ИСС</w:t>
      </w:r>
      <w:r w:rsidRPr="00171F00">
        <w:rPr>
          <w:rStyle w:val="FootnoteReference"/>
          <w:rFonts w:cs="Arial"/>
          <w:color w:val="000000" w:themeColor="text1"/>
          <w:sz w:val="20"/>
          <w:lang w:val="sr-Cyrl-BA"/>
        </w:rPr>
        <w:footnoteRef/>
      </w:r>
      <w:r w:rsidRPr="00171F00">
        <w:rPr>
          <w:lang w:val="sr-Cyrl-BA"/>
        </w:rPr>
        <w:t xml:space="preserve">  (</w:t>
      </w:r>
      <w:r w:rsidR="0071360A" w:rsidRPr="00171F00">
        <w:rPr>
          <w:lang w:val="sr-Cyrl-BA"/>
        </w:rPr>
        <w:t>Унив</w:t>
      </w:r>
      <w:r w:rsidR="00A56E08" w:rsidRPr="00171F00">
        <w:rPr>
          <w:lang w:val="sr-Cyrl-BA"/>
        </w:rPr>
        <w:t>е</w:t>
      </w:r>
      <w:r w:rsidR="0071360A" w:rsidRPr="00171F00">
        <w:rPr>
          <w:lang w:val="sr-Cyrl-BA"/>
        </w:rPr>
        <w:t>р</w:t>
      </w:r>
      <w:r w:rsidR="00171F00">
        <w:rPr>
          <w:lang w:val="sr-Cyrl-BA"/>
        </w:rPr>
        <w:t>з</w:t>
      </w:r>
      <w:r w:rsidR="0071360A" w:rsidRPr="00171F00">
        <w:rPr>
          <w:lang w:val="sr-Cyrl-BA"/>
        </w:rPr>
        <w:t>ит</w:t>
      </w:r>
      <w:r w:rsidR="00A56E08" w:rsidRPr="00171F00">
        <w:rPr>
          <w:lang w:val="sr-Cyrl-BA"/>
        </w:rPr>
        <w:t>е</w:t>
      </w:r>
      <w:r w:rsidR="0071360A" w:rsidRPr="00171F00">
        <w:rPr>
          <w:lang w:val="sr-Cyrl-BA"/>
        </w:rPr>
        <w:t>т</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Мост</w:t>
      </w:r>
      <w:r w:rsidR="00A56E08" w:rsidRPr="00171F00">
        <w:rPr>
          <w:lang w:val="sr-Cyrl-BA"/>
        </w:rPr>
        <w:t>а</w:t>
      </w:r>
      <w:r w:rsidR="0071360A" w:rsidRPr="00171F00">
        <w:rPr>
          <w:lang w:val="sr-Cyrl-BA"/>
        </w:rPr>
        <w:t>ру</w:t>
      </w:r>
      <w:r w:rsidRPr="00171F00">
        <w:rPr>
          <w:lang w:val="sr-Cyrl-BA"/>
        </w:rPr>
        <w:t xml:space="preserve">) </w:t>
      </w:r>
      <w:r w:rsidR="0071360A" w:rsidRPr="00171F00">
        <w:rPr>
          <w:lang w:val="sr-Cyrl-BA"/>
        </w:rPr>
        <w:t>могу</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A56E08" w:rsidRPr="00171F00">
        <w:rPr>
          <w:lang w:val="sr-Cyrl-BA"/>
        </w:rPr>
        <w:t>д</w:t>
      </w:r>
      <w:r w:rsidR="0071360A" w:rsidRPr="00171F00">
        <w:rPr>
          <w:lang w:val="sr-Cyrl-BA"/>
        </w:rPr>
        <w:t>о</w:t>
      </w:r>
      <w:r w:rsidR="00A56E08" w:rsidRPr="00171F00">
        <w:rPr>
          <w:lang w:val="sr-Cyrl-BA"/>
        </w:rPr>
        <w:t>да</w:t>
      </w:r>
      <w:r w:rsidR="0071360A" w:rsidRPr="00171F00">
        <w:rPr>
          <w:lang w:val="sr-Cyrl-BA"/>
        </w:rPr>
        <w:t>ти</w:t>
      </w:r>
      <w:r w:rsidRPr="00171F00">
        <w:rPr>
          <w:lang w:val="sr-Cyrl-BA"/>
        </w:rPr>
        <w:t xml:space="preserve"> </w:t>
      </w:r>
      <w:r w:rsidR="00A56E08" w:rsidRPr="00171F00">
        <w:rPr>
          <w:lang w:val="sr-Cyrl-BA"/>
        </w:rPr>
        <w:t>Е</w:t>
      </w:r>
      <w:r w:rsidR="0071360A" w:rsidRPr="00171F00">
        <w:rPr>
          <w:lang w:val="sr-Cyrl-BA"/>
        </w:rPr>
        <w:t>МИС</w:t>
      </w:r>
      <w:r w:rsidRPr="00171F00">
        <w:rPr>
          <w:lang w:val="sr-Cyrl-BA"/>
        </w:rPr>
        <w:t>-</w:t>
      </w:r>
      <w:r w:rsidR="0071360A" w:rsidRPr="00171F00">
        <w:rPr>
          <w:lang w:val="sr-Cyrl-BA"/>
        </w:rPr>
        <w:t>у</w:t>
      </w:r>
      <w:r w:rsidRPr="00171F00">
        <w:rPr>
          <w:lang w:val="sr-Cyrl-BA"/>
        </w:rPr>
        <w:t xml:space="preserve"> </w:t>
      </w:r>
      <w:r w:rsidR="0071360A" w:rsidRPr="00171F00">
        <w:rPr>
          <w:lang w:val="sr-Cyrl-BA"/>
        </w:rPr>
        <w:t>што</w:t>
      </w:r>
      <w:r w:rsidRPr="00171F00">
        <w:rPr>
          <w:lang w:val="sr-Cyrl-BA"/>
        </w:rPr>
        <w:t xml:space="preserve"> </w:t>
      </w:r>
      <w:r w:rsidR="00A56E08" w:rsidRPr="00171F00">
        <w:rPr>
          <w:lang w:val="sr-Cyrl-BA"/>
        </w:rPr>
        <w:t>б</w:t>
      </w:r>
      <w:r w:rsidR="0071360A" w:rsidRPr="00171F00">
        <w:rPr>
          <w:lang w:val="sr-Cyrl-BA"/>
        </w:rPr>
        <w:t>и</w:t>
      </w:r>
      <w:r w:rsidRPr="00171F00">
        <w:rPr>
          <w:lang w:val="sr-Cyrl-BA"/>
        </w:rPr>
        <w:t xml:space="preserve"> </w:t>
      </w:r>
      <w:r w:rsidR="0071360A" w:rsidRPr="00171F00">
        <w:rPr>
          <w:lang w:val="sr-Cyrl-BA"/>
        </w:rPr>
        <w:t>омогу</w:t>
      </w:r>
      <w:r w:rsidR="00A56E08" w:rsidRPr="00171F00">
        <w:rPr>
          <w:lang w:val="sr-Cyrl-BA"/>
        </w:rPr>
        <w:t>ћ</w:t>
      </w:r>
      <w:r w:rsidR="0071360A" w:rsidRPr="00171F00">
        <w:rPr>
          <w:lang w:val="sr-Cyrl-BA"/>
        </w:rPr>
        <w:t>ило</w:t>
      </w:r>
      <w:r w:rsidRPr="00171F00">
        <w:rPr>
          <w:lang w:val="sr-Cyrl-BA"/>
        </w:rPr>
        <w:t xml:space="preserve"> </w:t>
      </w:r>
      <w:r w:rsidR="0071360A" w:rsidRPr="00171F00">
        <w:rPr>
          <w:lang w:val="sr-Cyrl-BA"/>
        </w:rPr>
        <w:t>ј</w:t>
      </w:r>
      <w:r w:rsidR="00A56E08" w:rsidRPr="00171F00">
        <w:rPr>
          <w:lang w:val="sr-Cyrl-BA"/>
        </w:rPr>
        <w:t>ед</w:t>
      </w:r>
      <w:r w:rsidR="0071360A" w:rsidRPr="00171F00">
        <w:rPr>
          <w:lang w:val="sr-Cyrl-BA"/>
        </w:rPr>
        <w:t>инств</w:t>
      </w:r>
      <w:r w:rsidR="00A56E08" w:rsidRPr="00171F00">
        <w:rPr>
          <w:lang w:val="sr-Cyrl-BA"/>
        </w:rPr>
        <w:t>е</w:t>
      </w:r>
      <w:r w:rsidR="0071360A" w:rsidRPr="00171F00">
        <w:rPr>
          <w:lang w:val="sr-Cyrl-BA"/>
        </w:rPr>
        <w:t>ну</w:t>
      </w:r>
      <w:r w:rsidRPr="00171F00">
        <w:rPr>
          <w:lang w:val="sr-Cyrl-BA"/>
        </w:rPr>
        <w:t xml:space="preserve"> </w:t>
      </w:r>
      <w:r w:rsidR="00A56E08" w:rsidRPr="00171F00">
        <w:rPr>
          <w:lang w:val="sr-Cyrl-BA"/>
        </w:rPr>
        <w:t>ба</w:t>
      </w:r>
      <w:r w:rsidR="00171F00">
        <w:rPr>
          <w:lang w:val="sr-Cyrl-BA"/>
        </w:rPr>
        <w:t>з</w:t>
      </w:r>
      <w:r w:rsidR="0071360A" w:rsidRPr="00171F00">
        <w:rPr>
          <w:lang w:val="sr-Cyrl-BA"/>
        </w:rPr>
        <w:t>у</w:t>
      </w:r>
      <w:r w:rsidRPr="00171F00">
        <w:rPr>
          <w:lang w:val="sr-Cyrl-BA"/>
        </w:rPr>
        <w:t xml:space="preserve"> </w:t>
      </w:r>
      <w:r w:rsidR="0071360A" w:rsidRPr="00171F00">
        <w:rPr>
          <w:lang w:val="sr-Cyrl-BA"/>
        </w:rPr>
        <w:t>окомитог</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во</w:t>
      </w:r>
      <w:r w:rsidR="00A56E08" w:rsidRPr="00171F00">
        <w:rPr>
          <w:lang w:val="sr-Cyrl-BA"/>
        </w:rPr>
        <w:t>д</w:t>
      </w:r>
      <w:r w:rsidR="0071360A" w:rsidRPr="00171F00">
        <w:rPr>
          <w:lang w:val="sr-Cyrl-BA"/>
        </w:rPr>
        <w:t>ор</w:t>
      </w:r>
      <w:r w:rsidR="00A56E08" w:rsidRPr="00171F00">
        <w:rPr>
          <w:lang w:val="sr-Cyrl-BA"/>
        </w:rPr>
        <w:t>а</w:t>
      </w:r>
      <w:r w:rsidR="0071360A" w:rsidRPr="00171F00">
        <w:rPr>
          <w:lang w:val="sr-Cyrl-BA"/>
        </w:rPr>
        <w:t>вног</w:t>
      </w:r>
      <w:r w:rsidR="0016782E" w:rsidRPr="00171F00">
        <w:rPr>
          <w:lang w:val="sr-Cyrl-BA"/>
        </w:rPr>
        <w:t xml:space="preserve"> </w:t>
      </w:r>
      <w:r w:rsidR="0071360A" w:rsidRPr="00171F00">
        <w:rPr>
          <w:lang w:val="sr-Cyrl-BA"/>
        </w:rPr>
        <w:t>уви</w:t>
      </w:r>
      <w:r w:rsidR="00A56E08" w:rsidRPr="00171F00">
        <w:rPr>
          <w:lang w:val="sr-Cyrl-BA"/>
        </w:rPr>
        <w:t>да</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про</w:t>
      </w:r>
      <w:r w:rsidR="00A56E08" w:rsidRPr="00171F00">
        <w:rPr>
          <w:lang w:val="sr-Cyrl-BA"/>
        </w:rPr>
        <w:t>це</w:t>
      </w:r>
      <w:r w:rsidR="0071360A" w:rsidRPr="00171F00">
        <w:rPr>
          <w:lang w:val="sr-Cyrl-BA"/>
        </w:rPr>
        <w:t>с</w:t>
      </w:r>
      <w:r w:rsidRPr="00171F00">
        <w:rPr>
          <w:lang w:val="sr-Cyrl-BA"/>
        </w:rPr>
        <w:t xml:space="preserve"> </w:t>
      </w:r>
      <w:r w:rsidR="0071360A" w:rsidRPr="00171F00">
        <w:rPr>
          <w:lang w:val="sr-Cyrl-BA"/>
        </w:rPr>
        <w:t>вр</w:t>
      </w:r>
      <w:r w:rsidR="00A56E08" w:rsidRPr="00171F00">
        <w:rPr>
          <w:lang w:val="sr-Cyrl-BA"/>
        </w:rPr>
        <w:t>ед</w:t>
      </w:r>
      <w:r w:rsidR="0071360A" w:rsidRPr="00171F00">
        <w:rPr>
          <w:lang w:val="sr-Cyrl-BA"/>
        </w:rPr>
        <w:t>нов</w:t>
      </w:r>
      <w:r w:rsidR="00A56E08" w:rsidRPr="00171F00">
        <w:rPr>
          <w:lang w:val="sr-Cyrl-BA"/>
        </w:rPr>
        <w:t>а</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њу</w:t>
      </w:r>
      <w:r w:rsidRPr="00171F00">
        <w:rPr>
          <w:lang w:val="sr-Cyrl-BA"/>
        </w:rPr>
        <w:t xml:space="preserve">. </w:t>
      </w:r>
    </w:p>
    <w:p w14:paraId="61ECC8A0" w14:textId="77777777" w:rsidR="00F33370" w:rsidRPr="00171F00" w:rsidRDefault="00F33370" w:rsidP="004D1E15">
      <w:pPr>
        <w:pStyle w:val="FootnoteText"/>
        <w:rPr>
          <w:lang w:val="sr-Cyrl-BA"/>
        </w:rPr>
      </w:pPr>
    </w:p>
  </w:footnote>
  <w:footnote w:id="25">
    <w:p w14:paraId="359D2BED" w14:textId="4A3E8656"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71360A" w:rsidRPr="00171F00">
        <w:rPr>
          <w:lang w:val="sr-Cyrl-BA"/>
        </w:rPr>
        <w:t>Ви</w:t>
      </w:r>
      <w:r w:rsidR="00A56E08" w:rsidRPr="00171F00">
        <w:rPr>
          <w:lang w:val="sr-Cyrl-BA"/>
        </w:rPr>
        <w:t>д</w:t>
      </w:r>
      <w:r w:rsidR="0071360A" w:rsidRPr="00171F00">
        <w:rPr>
          <w:lang w:val="sr-Cyrl-BA"/>
        </w:rPr>
        <w:t>ј</w:t>
      </w:r>
      <w:r w:rsidR="00A56E08" w:rsidRPr="00171F00">
        <w:rPr>
          <w:lang w:val="sr-Cyrl-BA"/>
        </w:rPr>
        <w:t>е</w:t>
      </w:r>
      <w:r w:rsidR="0071360A" w:rsidRPr="00171F00">
        <w:rPr>
          <w:lang w:val="sr-Cyrl-BA"/>
        </w:rPr>
        <w:t>ти</w:t>
      </w:r>
      <w:r w:rsidRPr="00171F00">
        <w:rPr>
          <w:lang w:val="sr-Cyrl-BA"/>
        </w:rPr>
        <w:t xml:space="preserve"> </w:t>
      </w:r>
      <w:r w:rsidR="0071360A" w:rsidRPr="00171F00">
        <w:rPr>
          <w:lang w:val="sr-Cyrl-BA"/>
        </w:rPr>
        <w:t>погл</w:t>
      </w:r>
      <w:r w:rsidR="00A56E08" w:rsidRPr="00171F00">
        <w:rPr>
          <w:lang w:val="sr-Cyrl-BA"/>
        </w:rPr>
        <w:t>а</w:t>
      </w:r>
      <w:r w:rsidR="0071360A" w:rsidRPr="00171F00">
        <w:rPr>
          <w:lang w:val="sr-Cyrl-BA"/>
        </w:rPr>
        <w:t>вљ</w:t>
      </w:r>
      <w:r w:rsidR="00A56E08" w:rsidRPr="00171F00">
        <w:rPr>
          <w:lang w:val="sr-Cyrl-BA"/>
        </w:rPr>
        <w:t>е</w:t>
      </w:r>
      <w:r w:rsidRPr="00171F00">
        <w:rPr>
          <w:lang w:val="sr-Cyrl-BA"/>
        </w:rPr>
        <w:t xml:space="preserve"> 3 </w:t>
      </w:r>
      <w:r w:rsidR="00171F00">
        <w:rPr>
          <w:lang w:val="sr-Cyrl-BA"/>
        </w:rPr>
        <w:t>з</w:t>
      </w:r>
      <w:r w:rsidR="00A56E08" w:rsidRPr="00171F00">
        <w:rPr>
          <w:lang w:val="sr-Cyrl-BA"/>
        </w:rPr>
        <w:t>а</w:t>
      </w:r>
      <w:r w:rsidRPr="00171F00">
        <w:rPr>
          <w:lang w:val="sr-Cyrl-BA"/>
        </w:rPr>
        <w:t xml:space="preserve"> </w:t>
      </w:r>
      <w:r w:rsidR="00A56E08" w:rsidRPr="00171F00">
        <w:rPr>
          <w:lang w:val="sr-Cyrl-BA"/>
        </w:rPr>
        <w:t>де</w:t>
      </w:r>
      <w:r w:rsidR="0071360A" w:rsidRPr="00171F00">
        <w:rPr>
          <w:lang w:val="sr-Cyrl-BA"/>
        </w:rPr>
        <w:t>т</w:t>
      </w:r>
      <w:r w:rsidR="00A56E08" w:rsidRPr="00171F00">
        <w:rPr>
          <w:lang w:val="sr-Cyrl-BA"/>
        </w:rPr>
        <w:t>а</w:t>
      </w:r>
      <w:r w:rsidR="0071360A" w:rsidRPr="00171F00">
        <w:rPr>
          <w:lang w:val="sr-Cyrl-BA"/>
        </w:rPr>
        <w:t>љ</w:t>
      </w:r>
      <w:r w:rsidR="00A56E08" w:rsidRPr="00171F00">
        <w:rPr>
          <w:lang w:val="sr-Cyrl-BA"/>
        </w:rPr>
        <w:t>е</w:t>
      </w:r>
      <w:r w:rsidRPr="00171F00">
        <w:rPr>
          <w:lang w:val="sr-Cyrl-BA"/>
        </w:rPr>
        <w:t xml:space="preserve">. </w:t>
      </w:r>
    </w:p>
  </w:footnote>
  <w:footnote w:id="26">
    <w:p w14:paraId="7F6CE026" w14:textId="65E7C175" w:rsidR="00F33370" w:rsidRPr="00171F00" w:rsidRDefault="00F33370" w:rsidP="00A94F64">
      <w:pPr>
        <w:pStyle w:val="FootnoteText"/>
        <w:rPr>
          <w:rFonts w:ascii="Times New Roman" w:hAnsi="Times New Roman" w:cs="Times New Roman"/>
          <w:sz w:val="24"/>
          <w:szCs w:val="24"/>
          <w:lang w:val="sr-Cyrl-BA"/>
        </w:rPr>
      </w:pPr>
      <w:r w:rsidRPr="00171F00">
        <w:rPr>
          <w:rStyle w:val="FootnoteReference"/>
          <w:lang w:val="sr-Cyrl-BA"/>
        </w:rPr>
        <w:footnoteRef/>
      </w:r>
      <w:r w:rsidR="00A94F64">
        <w:rPr>
          <w:lang w:val="sr-Cyrl-BA"/>
        </w:rPr>
        <w:t xml:space="preserve"> </w:t>
      </w:r>
      <w:r w:rsidR="0071360A" w:rsidRPr="00171F00">
        <w:rPr>
          <w:lang w:val="sr-Cyrl-BA"/>
        </w:rPr>
        <w:t>Информ</w:t>
      </w:r>
      <w:r w:rsidR="00A56E08" w:rsidRPr="00171F00">
        <w:rPr>
          <w:lang w:val="sr-Cyrl-BA"/>
        </w:rPr>
        <w:t>а</w:t>
      </w:r>
      <w:r w:rsidR="0071360A" w:rsidRPr="00171F00">
        <w:rPr>
          <w:lang w:val="sr-Cyrl-BA"/>
        </w:rPr>
        <w:t>ти</w:t>
      </w:r>
      <w:r w:rsidR="00A56E08" w:rsidRPr="00171F00">
        <w:rPr>
          <w:lang w:val="sr-Cyrl-BA"/>
        </w:rPr>
        <w:t>ч</w:t>
      </w:r>
      <w:r w:rsidR="0071360A" w:rsidRPr="00171F00">
        <w:rPr>
          <w:lang w:val="sr-Cyrl-BA"/>
        </w:rPr>
        <w:t>ки</w:t>
      </w:r>
      <w:r w:rsidR="00CD7F5F" w:rsidRPr="00171F00">
        <w:rPr>
          <w:lang w:val="sr-Cyrl-BA"/>
        </w:rPr>
        <w:t xml:space="preserve"> </w:t>
      </w:r>
      <w:r w:rsidR="0071360A" w:rsidRPr="00171F00">
        <w:rPr>
          <w:lang w:val="sr-Cyrl-BA"/>
        </w:rPr>
        <w:t>сту</w:t>
      </w:r>
      <w:r w:rsidR="00A56E08" w:rsidRPr="00171F00">
        <w:rPr>
          <w:lang w:val="sr-Cyrl-BA"/>
        </w:rPr>
        <w:t>де</w:t>
      </w:r>
      <w:r w:rsidR="0071360A" w:rsidRPr="00171F00">
        <w:rPr>
          <w:lang w:val="sr-Cyrl-BA"/>
        </w:rPr>
        <w:t>нтски</w:t>
      </w:r>
      <w:r w:rsidRPr="00171F00">
        <w:rPr>
          <w:lang w:val="sr-Cyrl-BA"/>
        </w:rPr>
        <w:t xml:space="preserve"> </w:t>
      </w:r>
      <w:r w:rsidR="0071360A" w:rsidRPr="00171F00">
        <w:rPr>
          <w:lang w:val="sr-Cyrl-BA"/>
        </w:rPr>
        <w:t>сист</w:t>
      </w:r>
      <w:r w:rsidR="00A56E08" w:rsidRPr="00171F00">
        <w:rPr>
          <w:lang w:val="sr-Cyrl-BA"/>
        </w:rPr>
        <w:t>е</w:t>
      </w:r>
      <w:r w:rsidR="0071360A" w:rsidRPr="00171F00">
        <w:rPr>
          <w:lang w:val="sr-Cyrl-BA"/>
        </w:rPr>
        <w:t>ми</w:t>
      </w:r>
      <w:r w:rsidRPr="00171F00">
        <w:rPr>
          <w:lang w:val="sr-Cyrl-BA"/>
        </w:rPr>
        <w:t xml:space="preserve"> </w:t>
      </w:r>
      <w:r w:rsidR="0071360A" w:rsidRPr="00171F00">
        <w:rPr>
          <w:lang w:val="sr-Cyrl-BA"/>
        </w:rPr>
        <w:t>су</w:t>
      </w:r>
      <w:r w:rsidRPr="00171F00">
        <w:rPr>
          <w:lang w:val="sr-Cyrl-BA"/>
        </w:rPr>
        <w:t xml:space="preserve"> </w:t>
      </w:r>
      <w:r w:rsidR="0071360A" w:rsidRPr="00171F00">
        <w:rPr>
          <w:lang w:val="sr-Cyrl-BA"/>
        </w:rPr>
        <w:t>софтв</w:t>
      </w:r>
      <w:r w:rsidR="00A56E08" w:rsidRPr="00171F00">
        <w:rPr>
          <w:lang w:val="sr-Cyrl-BA"/>
        </w:rPr>
        <w:t>е</w:t>
      </w:r>
      <w:r w:rsidR="0071360A" w:rsidRPr="00171F00">
        <w:rPr>
          <w:lang w:val="sr-Cyrl-BA"/>
        </w:rPr>
        <w:t>ри</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омогу</w:t>
      </w:r>
      <w:r w:rsidR="00A56E08" w:rsidRPr="00171F00">
        <w:rPr>
          <w:lang w:val="sr-Cyrl-BA"/>
        </w:rPr>
        <w:t>ћа</w:t>
      </w:r>
      <w:r w:rsidR="0071360A" w:rsidRPr="00171F00">
        <w:rPr>
          <w:lang w:val="sr-Cyrl-BA"/>
        </w:rPr>
        <w:t>в</w:t>
      </w:r>
      <w:r w:rsidR="00A56E08" w:rsidRPr="00171F00">
        <w:rPr>
          <w:lang w:val="sr-Cyrl-BA"/>
        </w:rPr>
        <w:t>а</w:t>
      </w:r>
      <w:r w:rsidR="0071360A" w:rsidRPr="00171F00">
        <w:rPr>
          <w:lang w:val="sr-Cyrl-BA"/>
        </w:rPr>
        <w:t>ју</w:t>
      </w:r>
      <w:r w:rsidRPr="00171F00">
        <w:rPr>
          <w:lang w:val="sr-Cyrl-BA"/>
        </w:rPr>
        <w:t xml:space="preserve"> </w:t>
      </w:r>
      <w:r w:rsidR="0071360A" w:rsidRPr="00171F00">
        <w:rPr>
          <w:lang w:val="sr-Cyrl-BA"/>
        </w:rPr>
        <w:t>сту</w:t>
      </w:r>
      <w:r w:rsidR="00A56E08" w:rsidRPr="00171F00">
        <w:rPr>
          <w:lang w:val="sr-Cyrl-BA"/>
        </w:rPr>
        <w:t>де</w:t>
      </w:r>
      <w:r w:rsidR="0071360A" w:rsidRPr="00171F00">
        <w:rPr>
          <w:lang w:val="sr-Cyrl-BA"/>
        </w:rPr>
        <w:t>нтим</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вни</w:t>
      </w:r>
      <w:r w:rsidR="00A56E08" w:rsidRPr="00171F00">
        <w:rPr>
          <w:lang w:val="sr-Cyrl-BA"/>
        </w:rPr>
        <w:t>ц</w:t>
      </w:r>
      <w:r w:rsidR="0071360A" w:rsidRPr="00171F00">
        <w:rPr>
          <w:lang w:val="sr-Cyrl-BA"/>
        </w:rPr>
        <w:t>им</w:t>
      </w:r>
      <w:r w:rsidR="00A56E08" w:rsidRPr="00171F00">
        <w:rPr>
          <w:lang w:val="sr-Cyrl-BA"/>
        </w:rPr>
        <w:t>а</w:t>
      </w:r>
      <w:r w:rsidRPr="00171F00">
        <w:rPr>
          <w:lang w:val="sr-Cyrl-BA"/>
        </w:rPr>
        <w:t xml:space="preserve">, </w:t>
      </w:r>
      <w:r w:rsidR="0071360A" w:rsidRPr="00171F00">
        <w:rPr>
          <w:lang w:val="sr-Cyrl-BA"/>
        </w:rPr>
        <w:t>р</w:t>
      </w:r>
      <w:r w:rsidR="00A56E08" w:rsidRPr="00171F00">
        <w:rPr>
          <w:lang w:val="sr-Cyrl-BA"/>
        </w:rPr>
        <w:t>е</w:t>
      </w:r>
      <w:r w:rsidR="0071360A" w:rsidRPr="00171F00">
        <w:rPr>
          <w:lang w:val="sr-Cyrl-BA"/>
        </w:rPr>
        <w:t>ф</w:t>
      </w:r>
      <w:r w:rsidR="00A56E08" w:rsidRPr="00171F00">
        <w:rPr>
          <w:lang w:val="sr-Cyrl-BA"/>
        </w:rPr>
        <w:t>е</w:t>
      </w:r>
      <w:r w:rsidR="0071360A" w:rsidRPr="00171F00">
        <w:rPr>
          <w:lang w:val="sr-Cyrl-BA"/>
        </w:rPr>
        <w:t>р</w:t>
      </w:r>
      <w:r w:rsidR="00A56E08" w:rsidRPr="00171F00">
        <w:rPr>
          <w:lang w:val="sr-Cyrl-BA"/>
        </w:rPr>
        <w:t>е</w:t>
      </w:r>
      <w:r w:rsidR="0071360A" w:rsidRPr="00171F00">
        <w:rPr>
          <w:lang w:val="sr-Cyrl-BA"/>
        </w:rPr>
        <w:t>нтим</w:t>
      </w:r>
      <w:r w:rsidR="00A56E08" w:rsidRPr="00171F00">
        <w:rPr>
          <w:lang w:val="sr-Cyrl-BA"/>
        </w:rPr>
        <w:t>а</w:t>
      </w:r>
      <w:r w:rsidRPr="00171F00">
        <w:rPr>
          <w:lang w:val="sr-Cyrl-BA"/>
        </w:rPr>
        <w:t xml:space="preserve"> </w:t>
      </w:r>
      <w:r w:rsidR="0071360A" w:rsidRPr="00171F00">
        <w:rPr>
          <w:lang w:val="sr-Cyrl-BA"/>
        </w:rPr>
        <w:t>сту</w:t>
      </w:r>
      <w:r w:rsidR="00A56E08" w:rsidRPr="00171F00">
        <w:rPr>
          <w:lang w:val="sr-Cyrl-BA"/>
        </w:rPr>
        <w:t>де</w:t>
      </w:r>
      <w:r w:rsidR="0071360A" w:rsidRPr="00171F00">
        <w:rPr>
          <w:lang w:val="sr-Cyrl-BA"/>
        </w:rPr>
        <w:t>нтск</w:t>
      </w:r>
      <w:r w:rsidR="00A56E08" w:rsidRPr="00171F00">
        <w:rPr>
          <w:lang w:val="sr-Cyrl-BA"/>
        </w:rPr>
        <w:t>е</w:t>
      </w:r>
      <w:r w:rsidRPr="00171F00">
        <w:rPr>
          <w:lang w:val="sr-Cyrl-BA"/>
        </w:rPr>
        <w:t xml:space="preserve"> </w:t>
      </w:r>
      <w:r w:rsidR="0071360A" w:rsidRPr="00171F00">
        <w:rPr>
          <w:lang w:val="sr-Cyrl-BA"/>
        </w:rPr>
        <w:t>слу</w:t>
      </w:r>
      <w:r w:rsidR="00171F00">
        <w:rPr>
          <w:lang w:val="sr-Cyrl-BA"/>
        </w:rPr>
        <w:t>ж</w:t>
      </w:r>
      <w:r w:rsidR="00A56E08" w:rsidRPr="00171F00">
        <w:rPr>
          <w:lang w:val="sr-Cyrl-BA"/>
        </w:rPr>
        <w:t>бе</w:t>
      </w:r>
      <w:r w:rsidRPr="00171F00">
        <w:rPr>
          <w:lang w:val="sr-Cyrl-BA"/>
        </w:rPr>
        <w:t xml:space="preserve"> </w:t>
      </w:r>
      <w:r w:rsidR="0071360A" w:rsidRPr="00171F00">
        <w:rPr>
          <w:lang w:val="sr-Cyrl-BA"/>
        </w:rPr>
        <w:t>приј</w:t>
      </w:r>
      <w:r w:rsidR="00A56E08" w:rsidRPr="00171F00">
        <w:rPr>
          <w:lang w:val="sr-Cyrl-BA"/>
        </w:rPr>
        <w:t>а</w:t>
      </w:r>
      <w:r w:rsidR="0071360A" w:rsidRPr="00171F00">
        <w:rPr>
          <w:lang w:val="sr-Cyrl-BA"/>
        </w:rPr>
        <w:t>ву</w:t>
      </w:r>
      <w:r w:rsidRPr="00171F00">
        <w:rPr>
          <w:lang w:val="sr-Cyrl-BA"/>
        </w:rPr>
        <w:t xml:space="preserve"> </w:t>
      </w:r>
      <w:r w:rsidR="0071360A" w:rsidRPr="00171F00">
        <w:rPr>
          <w:lang w:val="sr-Cyrl-BA"/>
        </w:rPr>
        <w:t>испит</w:t>
      </w:r>
      <w:r w:rsidR="00A56E08" w:rsidRPr="00171F00">
        <w:rPr>
          <w:lang w:val="sr-Cyrl-BA"/>
        </w:rPr>
        <w:t>а</w:t>
      </w:r>
      <w:r w:rsidRPr="00171F00">
        <w:rPr>
          <w:lang w:val="sr-Cyrl-BA"/>
        </w:rPr>
        <w:t xml:space="preserve">, </w:t>
      </w:r>
      <w:r w:rsidR="0071360A" w:rsidRPr="00171F00">
        <w:rPr>
          <w:lang w:val="sr-Cyrl-BA"/>
        </w:rPr>
        <w:t>упис</w:t>
      </w:r>
      <w:r w:rsidRPr="00171F00">
        <w:rPr>
          <w:lang w:val="sr-Cyrl-BA"/>
        </w:rPr>
        <w:t xml:space="preserve"> </w:t>
      </w:r>
      <w:r w:rsidR="0071360A" w:rsidRPr="00171F00">
        <w:rPr>
          <w:lang w:val="sr-Cyrl-BA"/>
        </w:rPr>
        <w:t>о</w:t>
      </w:r>
      <w:r w:rsidR="00A56E08" w:rsidRPr="00171F00">
        <w:rPr>
          <w:lang w:val="sr-Cyrl-BA"/>
        </w:rPr>
        <w:t>ц</w:t>
      </w:r>
      <w:r w:rsidR="0071360A" w:rsidRPr="00171F00">
        <w:rPr>
          <w:lang w:val="sr-Cyrl-BA"/>
        </w:rPr>
        <w:t>ј</w:t>
      </w:r>
      <w:r w:rsidR="00A56E08" w:rsidRPr="00171F00">
        <w:rPr>
          <w:lang w:val="sr-Cyrl-BA"/>
        </w:rPr>
        <w:t>е</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т</w:t>
      </w:r>
      <w:r w:rsidR="00A56E08" w:rsidRPr="00171F00">
        <w:rPr>
          <w:lang w:val="sr-Cyrl-BA"/>
        </w:rPr>
        <w:t>е</w:t>
      </w:r>
      <w:r w:rsidRPr="00171F00">
        <w:rPr>
          <w:lang w:val="sr-Cyrl-BA"/>
        </w:rPr>
        <w:t xml:space="preserve"> </w:t>
      </w:r>
      <w:r w:rsidR="0071360A" w:rsidRPr="00171F00">
        <w:rPr>
          <w:lang w:val="sr-Cyrl-BA"/>
        </w:rPr>
        <w:t>приступ</w:t>
      </w:r>
      <w:r w:rsidRPr="00171F00">
        <w:rPr>
          <w:lang w:val="sr-Cyrl-BA"/>
        </w:rPr>
        <w:t xml:space="preserve"> </w:t>
      </w:r>
      <w:r w:rsidR="00A56E08" w:rsidRPr="00171F00">
        <w:rPr>
          <w:lang w:val="sr-Cyrl-BA"/>
        </w:rPr>
        <w:t>д</w:t>
      </w:r>
      <w:r w:rsidR="0071360A" w:rsidRPr="00171F00">
        <w:rPr>
          <w:lang w:val="sr-Cyrl-BA"/>
        </w:rPr>
        <w:t>ругим</w:t>
      </w:r>
      <w:r w:rsidRPr="00171F00">
        <w:rPr>
          <w:lang w:val="sr-Cyrl-BA"/>
        </w:rPr>
        <w:t xml:space="preserve"> </w:t>
      </w:r>
      <w:r w:rsidR="0071360A" w:rsidRPr="00171F00">
        <w:rPr>
          <w:lang w:val="sr-Cyrl-BA"/>
        </w:rPr>
        <w:t>р</w:t>
      </w:r>
      <w:r w:rsidR="00A56E08" w:rsidRPr="00171F00">
        <w:rPr>
          <w:lang w:val="sr-Cyrl-BA"/>
        </w:rPr>
        <w:t>е</w:t>
      </w:r>
      <w:r w:rsidR="0071360A" w:rsidRPr="00171F00">
        <w:rPr>
          <w:lang w:val="sr-Cyrl-BA"/>
        </w:rPr>
        <w:t>л</w:t>
      </w:r>
      <w:r w:rsidR="00A56E08" w:rsidRPr="00171F00">
        <w:rPr>
          <w:lang w:val="sr-Cyrl-BA"/>
        </w:rPr>
        <w:t>е</w:t>
      </w:r>
      <w:r w:rsidR="0071360A" w:rsidRPr="00171F00">
        <w:rPr>
          <w:lang w:val="sr-Cyrl-BA"/>
        </w:rPr>
        <w:t>в</w:t>
      </w:r>
      <w:r w:rsidR="00A56E08" w:rsidRPr="00171F00">
        <w:rPr>
          <w:lang w:val="sr-Cyrl-BA"/>
        </w:rPr>
        <w:t>а</w:t>
      </w:r>
      <w:r w:rsidR="0071360A" w:rsidRPr="00171F00">
        <w:rPr>
          <w:lang w:val="sr-Cyrl-BA"/>
        </w:rPr>
        <w:t>нтним</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w:t>
      </w:r>
      <w:r w:rsidR="00A56E08" w:rsidRPr="00171F00">
        <w:rPr>
          <w:lang w:val="sr-Cyrl-BA"/>
        </w:rPr>
        <w:t>а</w:t>
      </w:r>
      <w:r w:rsidR="0071360A" w:rsidRPr="00171F00">
        <w:rPr>
          <w:lang w:val="sr-Cyrl-BA"/>
        </w:rPr>
        <w:t>м</w:t>
      </w:r>
      <w:r w:rsidR="00A56E08" w:rsidRPr="00171F00">
        <w:rPr>
          <w:lang w:val="sr-Cyrl-BA"/>
        </w:rPr>
        <w:t>а</w:t>
      </w:r>
      <w:r w:rsidRPr="00171F00">
        <w:rPr>
          <w:lang w:val="sr-Cyrl-BA"/>
        </w:rPr>
        <w:t xml:space="preserve"> </w:t>
      </w:r>
      <w:r w:rsidR="0071360A" w:rsidRPr="00171F00">
        <w:rPr>
          <w:lang w:val="sr-Cyrl-BA"/>
        </w:rPr>
        <w:t>који</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71360A" w:rsidRPr="00171F00">
        <w:rPr>
          <w:lang w:val="sr-Cyrl-BA"/>
        </w:rPr>
        <w:t>о</w:t>
      </w:r>
      <w:r w:rsidR="00A56E08" w:rsidRPr="00171F00">
        <w:rPr>
          <w:lang w:val="sr-Cyrl-BA"/>
        </w:rPr>
        <w:t>д</w:t>
      </w:r>
      <w:r w:rsidR="0071360A" w:rsidRPr="00171F00">
        <w:rPr>
          <w:lang w:val="sr-Cyrl-BA"/>
        </w:rPr>
        <w:t>нос</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A56E08" w:rsidRPr="00171F00">
        <w:rPr>
          <w:lang w:val="sr-Cyrl-BA"/>
        </w:rPr>
        <w:t>ад</w:t>
      </w:r>
      <w:r w:rsidR="0071360A" w:rsidRPr="00171F00">
        <w:rPr>
          <w:lang w:val="sr-Cyrl-BA"/>
        </w:rPr>
        <w:t>министр</w:t>
      </w:r>
      <w:r w:rsidR="00A56E08" w:rsidRPr="00171F00">
        <w:rPr>
          <w:lang w:val="sr-Cyrl-BA"/>
        </w:rPr>
        <w:t>а</w:t>
      </w:r>
      <w:r w:rsidR="0071360A" w:rsidRPr="00171F00">
        <w:rPr>
          <w:lang w:val="sr-Cyrl-BA"/>
        </w:rPr>
        <w:t>тивну</w:t>
      </w:r>
      <w:r w:rsidRPr="00171F00">
        <w:rPr>
          <w:lang w:val="sr-Cyrl-BA"/>
        </w:rPr>
        <w:t xml:space="preserve"> </w:t>
      </w:r>
      <w:r w:rsidR="0071360A" w:rsidRPr="00171F00">
        <w:rPr>
          <w:lang w:val="sr-Cyrl-BA"/>
        </w:rPr>
        <w:t>основу</w:t>
      </w:r>
      <w:r w:rsidRPr="00171F00">
        <w:rPr>
          <w:lang w:val="sr-Cyrl-BA"/>
        </w:rPr>
        <w:t xml:space="preserve"> </w:t>
      </w:r>
      <w:r w:rsidR="0071360A" w:rsidRPr="00171F00">
        <w:rPr>
          <w:lang w:val="sr-Cyrl-BA"/>
        </w:rPr>
        <w:t>сту</w:t>
      </w:r>
      <w:r w:rsidR="00A56E08" w:rsidRPr="00171F00">
        <w:rPr>
          <w:lang w:val="sr-Cyrl-BA"/>
        </w:rPr>
        <w:t>д</w:t>
      </w:r>
      <w:r w:rsidR="0071360A" w:rsidRPr="00171F00">
        <w:rPr>
          <w:lang w:val="sr-Cyrl-BA"/>
        </w:rPr>
        <w:t>иј</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Pr="00171F00">
        <w:rPr>
          <w:lang w:val="sr-Cyrl-BA"/>
        </w:rPr>
        <w:t xml:space="preserve">. </w:t>
      </w:r>
      <w:r w:rsidR="0071360A" w:rsidRPr="00171F00">
        <w:rPr>
          <w:lang w:val="sr-Cyrl-BA"/>
        </w:rPr>
        <w:t>Ов</w:t>
      </w:r>
      <w:r w:rsidR="00A56E08" w:rsidRPr="00171F00">
        <w:rPr>
          <w:lang w:val="sr-Cyrl-BA"/>
        </w:rPr>
        <w:t>а</w:t>
      </w:r>
      <w:r w:rsidR="0071360A" w:rsidRPr="00171F00">
        <w:rPr>
          <w:lang w:val="sr-Cyrl-BA"/>
        </w:rPr>
        <w:t>ко</w:t>
      </w:r>
      <w:r w:rsidRPr="00171F00">
        <w:rPr>
          <w:lang w:val="sr-Cyrl-BA"/>
        </w:rPr>
        <w:t xml:space="preserve"> </w:t>
      </w:r>
      <w:r w:rsidR="00A56E08" w:rsidRPr="00171F00">
        <w:rPr>
          <w:lang w:val="sr-Cyrl-BA"/>
        </w:rPr>
        <w:t>д</w:t>
      </w:r>
      <w:r w:rsidR="0071360A" w:rsidRPr="00171F00">
        <w:rPr>
          <w:lang w:val="sr-Cyrl-BA"/>
        </w:rPr>
        <w:t>и</w:t>
      </w:r>
      <w:r w:rsidR="00171F00">
        <w:rPr>
          <w:lang w:val="sr-Cyrl-BA"/>
        </w:rPr>
        <w:t>з</w:t>
      </w:r>
      <w:r w:rsidR="00A56E08" w:rsidRPr="00171F00">
        <w:rPr>
          <w:lang w:val="sr-Cyrl-BA"/>
        </w:rPr>
        <w:t>а</w:t>
      </w:r>
      <w:r w:rsidR="0071360A" w:rsidRPr="00171F00">
        <w:rPr>
          <w:lang w:val="sr-Cyrl-BA"/>
        </w:rPr>
        <w:t>јнир</w:t>
      </w:r>
      <w:r w:rsidR="00A56E08" w:rsidRPr="00171F00">
        <w:rPr>
          <w:lang w:val="sr-Cyrl-BA"/>
        </w:rPr>
        <w:t>а</w:t>
      </w:r>
      <w:r w:rsidR="0071360A" w:rsidRPr="00171F00">
        <w:rPr>
          <w:lang w:val="sr-Cyrl-BA"/>
        </w:rPr>
        <w:t>ни</w:t>
      </w:r>
      <w:r w:rsidRPr="00171F00">
        <w:rPr>
          <w:lang w:val="sr-Cyrl-BA"/>
        </w:rPr>
        <w:t xml:space="preserve">, </w:t>
      </w:r>
      <w:r w:rsidR="0071360A" w:rsidRPr="00171F00">
        <w:rPr>
          <w:lang w:val="sr-Cyrl-BA"/>
        </w:rPr>
        <w:t>информ</w:t>
      </w:r>
      <w:r w:rsidR="00A56E08" w:rsidRPr="00171F00">
        <w:rPr>
          <w:lang w:val="sr-Cyrl-BA"/>
        </w:rPr>
        <w:t>ац</w:t>
      </w:r>
      <w:r w:rsidR="0071360A" w:rsidRPr="00171F00">
        <w:rPr>
          <w:lang w:val="sr-Cyrl-BA"/>
        </w:rPr>
        <w:t>ијски</w:t>
      </w:r>
      <w:r w:rsidRPr="00171F00">
        <w:rPr>
          <w:lang w:val="sr-Cyrl-BA"/>
        </w:rPr>
        <w:t xml:space="preserve"> </w:t>
      </w:r>
      <w:r w:rsidR="0071360A" w:rsidRPr="00171F00">
        <w:rPr>
          <w:lang w:val="sr-Cyrl-BA"/>
        </w:rPr>
        <w:t>сту</w:t>
      </w:r>
      <w:r w:rsidR="00A56E08" w:rsidRPr="00171F00">
        <w:rPr>
          <w:lang w:val="sr-Cyrl-BA"/>
        </w:rPr>
        <w:t>де</w:t>
      </w:r>
      <w:r w:rsidR="0071360A" w:rsidRPr="00171F00">
        <w:rPr>
          <w:lang w:val="sr-Cyrl-BA"/>
        </w:rPr>
        <w:t>нтски</w:t>
      </w:r>
      <w:r w:rsidRPr="00171F00">
        <w:rPr>
          <w:lang w:val="sr-Cyrl-BA"/>
        </w:rPr>
        <w:t xml:space="preserve"> </w:t>
      </w:r>
      <w:r w:rsidR="0071360A" w:rsidRPr="00171F00">
        <w:rPr>
          <w:lang w:val="sr-Cyrl-BA"/>
        </w:rPr>
        <w:t>сист</w:t>
      </w:r>
      <w:r w:rsidR="00A56E08" w:rsidRPr="00171F00">
        <w:rPr>
          <w:lang w:val="sr-Cyrl-BA"/>
        </w:rPr>
        <w:t>е</w:t>
      </w:r>
      <w:r w:rsidR="0071360A" w:rsidRPr="00171F00">
        <w:rPr>
          <w:lang w:val="sr-Cyrl-BA"/>
        </w:rPr>
        <w:t>ми</w:t>
      </w:r>
      <w:r w:rsidRPr="00171F00">
        <w:rPr>
          <w:lang w:val="sr-Cyrl-BA"/>
        </w:rPr>
        <w:t xml:space="preserve"> </w:t>
      </w:r>
      <w:r w:rsidR="0071360A" w:rsidRPr="00171F00">
        <w:rPr>
          <w:lang w:val="sr-Cyrl-BA"/>
        </w:rPr>
        <w:t>су</w:t>
      </w:r>
      <w:r w:rsidRPr="00171F00">
        <w:rPr>
          <w:lang w:val="sr-Cyrl-BA"/>
        </w:rPr>
        <w:t xml:space="preserve"> </w:t>
      </w:r>
      <w:r w:rsidR="00A56E08" w:rsidRPr="00171F00">
        <w:rPr>
          <w:lang w:val="sr-Cyrl-BA"/>
        </w:rPr>
        <w:t>д</w:t>
      </w:r>
      <w:r w:rsidR="0071360A" w:rsidRPr="00171F00">
        <w:rPr>
          <w:lang w:val="sr-Cyrl-BA"/>
        </w:rPr>
        <w:t>иј</w:t>
      </w:r>
      <w:r w:rsidR="00A56E08" w:rsidRPr="00171F00">
        <w:rPr>
          <w:lang w:val="sr-Cyrl-BA"/>
        </w:rPr>
        <w:t>е</w:t>
      </w:r>
      <w:r w:rsidR="0071360A" w:rsidRPr="00171F00">
        <w:rPr>
          <w:lang w:val="sr-Cyrl-BA"/>
        </w:rPr>
        <w:t>лом</w:t>
      </w:r>
      <w:r w:rsidRPr="00171F00">
        <w:rPr>
          <w:lang w:val="sr-Cyrl-BA"/>
        </w:rPr>
        <w:t xml:space="preserve"> </w:t>
      </w:r>
      <w:r w:rsidR="0071360A" w:rsidRPr="00171F00">
        <w:rPr>
          <w:lang w:val="sr-Cyrl-BA"/>
        </w:rPr>
        <w:t>мо</w:t>
      </w:r>
      <w:r w:rsidR="00A56E08" w:rsidRPr="00171F00">
        <w:rPr>
          <w:lang w:val="sr-Cyrl-BA"/>
        </w:rPr>
        <w:t>де</w:t>
      </w:r>
      <w:r w:rsidR="0071360A" w:rsidRPr="00171F00">
        <w:rPr>
          <w:lang w:val="sr-Cyrl-BA"/>
        </w:rPr>
        <w:t>рни</w:t>
      </w:r>
      <w:r w:rsidR="00171F00">
        <w:rPr>
          <w:lang w:val="sr-Cyrl-BA"/>
        </w:rPr>
        <w:t>з</w:t>
      </w:r>
      <w:r w:rsidR="00A56E08" w:rsidRPr="00171F00">
        <w:rPr>
          <w:lang w:val="sr-Cyrl-BA"/>
        </w:rPr>
        <w:t>ац</w:t>
      </w:r>
      <w:r w:rsidR="0071360A" w:rsidRPr="00171F00">
        <w:rPr>
          <w:lang w:val="sr-Cyrl-BA"/>
        </w:rPr>
        <w:t>иј</w:t>
      </w:r>
      <w:r w:rsidR="00A56E08" w:rsidRPr="00171F00">
        <w:rPr>
          <w:lang w:val="sr-Cyrl-BA"/>
        </w:rPr>
        <w:t>е</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информ</w:t>
      </w:r>
      <w:r w:rsidR="00A56E08" w:rsidRPr="00171F00">
        <w:rPr>
          <w:lang w:val="sr-Cyrl-BA"/>
        </w:rPr>
        <w:t>а</w:t>
      </w:r>
      <w:r w:rsidR="0071360A" w:rsidRPr="00171F00">
        <w:rPr>
          <w:lang w:val="sr-Cyrl-BA"/>
        </w:rPr>
        <w:t>ти</w:t>
      </w:r>
      <w:r w:rsidR="00171F00">
        <w:rPr>
          <w:lang w:val="sr-Cyrl-BA"/>
        </w:rPr>
        <w:t>з</w:t>
      </w:r>
      <w:r w:rsidR="00A56E08" w:rsidRPr="00171F00">
        <w:rPr>
          <w:lang w:val="sr-Cyrl-BA"/>
        </w:rPr>
        <w:t>ац</w:t>
      </w:r>
      <w:r w:rsidR="0071360A" w:rsidRPr="00171F00">
        <w:rPr>
          <w:lang w:val="sr-Cyrl-BA"/>
        </w:rPr>
        <w:t>иј</w:t>
      </w:r>
      <w:r w:rsidR="00A56E08" w:rsidRPr="00171F00">
        <w:rPr>
          <w:lang w:val="sr-Cyrl-BA"/>
        </w:rPr>
        <w:t>е</w:t>
      </w:r>
      <w:r w:rsidRPr="00171F00">
        <w:rPr>
          <w:lang w:val="sr-Cyrl-BA"/>
        </w:rPr>
        <w:t xml:space="preserve"> </w:t>
      </w:r>
      <w:r w:rsidR="0071360A" w:rsidRPr="00171F00">
        <w:rPr>
          <w:lang w:val="sr-Cyrl-BA"/>
        </w:rPr>
        <w:t>про</w:t>
      </w:r>
      <w:r w:rsidR="00A56E08" w:rsidRPr="00171F00">
        <w:rPr>
          <w:lang w:val="sr-Cyrl-BA"/>
        </w:rPr>
        <w:t>це</w:t>
      </w:r>
      <w:r w:rsidR="0071360A" w:rsidRPr="00171F00">
        <w:rPr>
          <w:lang w:val="sr-Cyrl-BA"/>
        </w:rPr>
        <w:t>с</w:t>
      </w:r>
      <w:r w:rsidR="00A56E08" w:rsidRPr="00171F00">
        <w:rPr>
          <w:lang w:val="sr-Cyrl-BA"/>
        </w:rPr>
        <w:t>а</w:t>
      </w:r>
      <w:r w:rsidRPr="00171F00">
        <w:rPr>
          <w:lang w:val="sr-Cyrl-BA"/>
        </w:rPr>
        <w:t xml:space="preserve"> </w:t>
      </w:r>
      <w:r w:rsidR="0071360A" w:rsidRPr="00171F00">
        <w:rPr>
          <w:lang w:val="sr-Cyrl-BA"/>
        </w:rPr>
        <w:t>сту</w:t>
      </w:r>
      <w:r w:rsidR="00A56E08" w:rsidRPr="00171F00">
        <w:rPr>
          <w:lang w:val="sr-Cyrl-BA"/>
        </w:rPr>
        <w:t>д</w:t>
      </w:r>
      <w:r w:rsidR="0071360A" w:rsidRPr="00171F00">
        <w:rPr>
          <w:lang w:val="sr-Cyrl-BA"/>
        </w:rPr>
        <w:t>ир</w:t>
      </w:r>
      <w:r w:rsidR="00A56E08" w:rsidRPr="00171F00">
        <w:rPr>
          <w:lang w:val="sr-Cyrl-BA"/>
        </w:rPr>
        <w:t>а</w:t>
      </w:r>
      <w:r w:rsidR="0071360A" w:rsidRPr="00171F00">
        <w:rPr>
          <w:lang w:val="sr-Cyrl-BA"/>
        </w:rPr>
        <w:t>њ</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bookmarkStart w:id="49" w:name="_Hlk115994213"/>
      <w:r w:rsidR="0071360A" w:rsidRPr="00171F00">
        <w:rPr>
          <w:lang w:val="sr-Cyrl-BA"/>
        </w:rPr>
        <w:t>в</w:t>
      </w:r>
      <w:r w:rsidR="00A56E08" w:rsidRPr="00171F00">
        <w:rPr>
          <w:lang w:val="sr-Cyrl-BA"/>
        </w:rPr>
        <w:t>а</w:t>
      </w:r>
      <w:r w:rsidR="00171F00">
        <w:rPr>
          <w:lang w:val="sr-Cyrl-BA"/>
        </w:rPr>
        <w:t>ж</w:t>
      </w:r>
      <w:r w:rsidR="0071360A" w:rsidRPr="00171F00">
        <w:rPr>
          <w:lang w:val="sr-Cyrl-BA"/>
        </w:rPr>
        <w:t>н</w:t>
      </w:r>
      <w:r w:rsidR="00A56E08" w:rsidRPr="00171F00">
        <w:rPr>
          <w:lang w:val="sr-Cyrl-BA"/>
        </w:rPr>
        <w:t>а</w:t>
      </w:r>
      <w:r w:rsidR="0057191F" w:rsidRPr="00171F00">
        <w:rPr>
          <w:lang w:val="sr-Cyrl-BA"/>
        </w:rPr>
        <w:t xml:space="preserve"> </w:t>
      </w:r>
      <w:r w:rsidR="0071360A" w:rsidRPr="00171F00">
        <w:rPr>
          <w:lang w:val="sr-Cyrl-BA"/>
        </w:rPr>
        <w:t>су</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тпост</w:t>
      </w:r>
      <w:r w:rsidR="00A56E08" w:rsidRPr="00171F00">
        <w:rPr>
          <w:lang w:val="sr-Cyrl-BA"/>
        </w:rPr>
        <w:t>а</w:t>
      </w:r>
      <w:r w:rsidR="0071360A" w:rsidRPr="00171F00">
        <w:rPr>
          <w:lang w:val="sr-Cyrl-BA"/>
        </w:rPr>
        <w:t>вк</w:t>
      </w:r>
      <w:r w:rsidR="00A56E08" w:rsidRPr="00171F00">
        <w:rPr>
          <w:lang w:val="sr-Cyrl-BA"/>
        </w:rPr>
        <w:t>а</w:t>
      </w:r>
      <w:r w:rsidRPr="00171F00">
        <w:rPr>
          <w:lang w:val="sr-Cyrl-BA"/>
        </w:rPr>
        <w:t xml:space="preserve"> </w:t>
      </w:r>
      <w:r w:rsidR="0071360A" w:rsidRPr="00171F00">
        <w:rPr>
          <w:lang w:val="sr-Cyrl-BA"/>
        </w:rPr>
        <w:t>сту</w:t>
      </w:r>
      <w:r w:rsidR="00A56E08" w:rsidRPr="00171F00">
        <w:rPr>
          <w:lang w:val="sr-Cyrl-BA"/>
        </w:rPr>
        <w:t>д</w:t>
      </w:r>
      <w:r w:rsidR="0071360A" w:rsidRPr="00171F00">
        <w:rPr>
          <w:lang w:val="sr-Cyrl-BA"/>
        </w:rPr>
        <w:t>иј</w:t>
      </w:r>
      <w:r w:rsidR="00A56E08" w:rsidRPr="00171F00">
        <w:rPr>
          <w:lang w:val="sr-Cyrl-BA"/>
        </w:rPr>
        <w:t>а</w:t>
      </w:r>
      <w:r w:rsidRPr="00171F00">
        <w:rPr>
          <w:lang w:val="sr-Cyrl-BA"/>
        </w:rPr>
        <w:t xml:space="preserve"> </w:t>
      </w:r>
      <w:bookmarkEnd w:id="49"/>
      <w:r w:rsidR="0071360A" w:rsidRPr="00171F00">
        <w:rPr>
          <w:lang w:val="sr-Cyrl-BA"/>
        </w:rPr>
        <w:t>у</w:t>
      </w:r>
      <w:r w:rsidRPr="00171F00">
        <w:rPr>
          <w:lang w:val="sr-Cyrl-BA"/>
        </w:rPr>
        <w:t xml:space="preserve"> </w:t>
      </w:r>
      <w:r w:rsidR="0071360A" w:rsidRPr="00171F00">
        <w:rPr>
          <w:lang w:val="sr-Cyrl-BA"/>
        </w:rPr>
        <w:t>скл</w:t>
      </w:r>
      <w:r w:rsidR="00A56E08" w:rsidRPr="00171F00">
        <w:rPr>
          <w:lang w:val="sr-Cyrl-BA"/>
        </w:rPr>
        <w:t>ад</w:t>
      </w:r>
      <w:r w:rsidR="0071360A" w:rsidRPr="00171F00">
        <w:rPr>
          <w:lang w:val="sr-Cyrl-BA"/>
        </w:rPr>
        <w:t>у</w:t>
      </w:r>
      <w:r w:rsidR="00B04FA8">
        <w:rPr>
          <w:lang w:val="sr-Cyrl-BA"/>
        </w:rPr>
        <w:t xml:space="preserve"> са </w:t>
      </w:r>
      <w:r w:rsidR="00A56E08" w:rsidRPr="00171F00">
        <w:rPr>
          <w:lang w:val="sr-Cyrl-BA"/>
        </w:rPr>
        <w:t>б</w:t>
      </w:r>
      <w:r w:rsidR="0071360A" w:rsidRPr="00171F00">
        <w:rPr>
          <w:lang w:val="sr-Cyrl-BA"/>
        </w:rPr>
        <w:t>олоњским</w:t>
      </w:r>
      <w:r w:rsidRPr="00171F00">
        <w:rPr>
          <w:lang w:val="sr-Cyrl-BA"/>
        </w:rPr>
        <w:t xml:space="preserve"> </w:t>
      </w:r>
      <w:r w:rsidR="0071360A" w:rsidRPr="00171F00">
        <w:rPr>
          <w:lang w:val="sr-Cyrl-BA"/>
        </w:rPr>
        <w:t>прин</w:t>
      </w:r>
      <w:r w:rsidR="00A56E08" w:rsidRPr="00171F00">
        <w:rPr>
          <w:lang w:val="sr-Cyrl-BA"/>
        </w:rPr>
        <w:t>ц</w:t>
      </w:r>
      <w:r w:rsidR="0071360A" w:rsidRPr="00171F00">
        <w:rPr>
          <w:lang w:val="sr-Cyrl-BA"/>
        </w:rPr>
        <w:t>ипим</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р</w:t>
      </w:r>
      <w:r w:rsidR="00A56E08" w:rsidRPr="00171F00">
        <w:rPr>
          <w:lang w:val="sr-Cyrl-BA"/>
        </w:rPr>
        <w:t>а</w:t>
      </w:r>
      <w:r w:rsidR="00171F00">
        <w:rPr>
          <w:lang w:val="sr-Cyrl-BA"/>
        </w:rPr>
        <w:t>з</w:t>
      </w:r>
      <w:r w:rsidR="0071360A" w:rsidRPr="00171F00">
        <w:rPr>
          <w:lang w:val="sr-Cyrl-BA"/>
        </w:rPr>
        <w:t>ли</w:t>
      </w:r>
      <w:r w:rsidR="00A56E08" w:rsidRPr="00171F00">
        <w:rPr>
          <w:lang w:val="sr-Cyrl-BA"/>
        </w:rPr>
        <w:t>ч</w:t>
      </w:r>
      <w:r w:rsidR="0071360A" w:rsidRPr="00171F00">
        <w:rPr>
          <w:lang w:val="sr-Cyrl-BA"/>
        </w:rPr>
        <w:t>итим</w:t>
      </w:r>
      <w:r w:rsidRPr="00171F00">
        <w:rPr>
          <w:lang w:val="sr-Cyrl-BA"/>
        </w:rPr>
        <w:t xml:space="preserve"> </w:t>
      </w:r>
      <w:r w:rsidR="0071360A" w:rsidRPr="00171F00">
        <w:rPr>
          <w:lang w:val="sr-Cyrl-BA"/>
        </w:rPr>
        <w:t>орг</w:t>
      </w:r>
      <w:r w:rsidR="00A56E08" w:rsidRPr="00171F00">
        <w:rPr>
          <w:lang w:val="sr-Cyrl-BA"/>
        </w:rPr>
        <w:t>а</w:t>
      </w:r>
      <w:r w:rsidR="0071360A" w:rsidRPr="00171F00">
        <w:rPr>
          <w:lang w:val="sr-Cyrl-BA"/>
        </w:rPr>
        <w:t>ни</w:t>
      </w:r>
      <w:r w:rsidR="00171F00">
        <w:rPr>
          <w:lang w:val="sr-Cyrl-BA"/>
        </w:rPr>
        <w:t>з</w:t>
      </w:r>
      <w:r w:rsidR="00A56E08" w:rsidRPr="00171F00">
        <w:rPr>
          <w:lang w:val="sr-Cyrl-BA"/>
        </w:rPr>
        <w:t>ац</w:t>
      </w:r>
      <w:r w:rsidR="0071360A" w:rsidRPr="00171F00">
        <w:rPr>
          <w:lang w:val="sr-Cyrl-BA"/>
        </w:rPr>
        <w:t>ионим</w:t>
      </w:r>
      <w:r w:rsidR="00D46A3E" w:rsidRPr="00171F00">
        <w:rPr>
          <w:lang w:val="sr-Cyrl-BA"/>
        </w:rPr>
        <w:t xml:space="preserve"> </w:t>
      </w:r>
      <w:r w:rsidR="0071360A" w:rsidRPr="00171F00">
        <w:rPr>
          <w:lang w:val="sr-Cyrl-BA"/>
        </w:rPr>
        <w:t>ј</w:t>
      </w:r>
      <w:r w:rsidR="00A56E08" w:rsidRPr="00171F00">
        <w:rPr>
          <w:lang w:val="sr-Cyrl-BA"/>
        </w:rPr>
        <w:t>ед</w:t>
      </w:r>
      <w:r w:rsidR="0071360A" w:rsidRPr="00171F00">
        <w:rPr>
          <w:lang w:val="sr-Cyrl-BA"/>
        </w:rPr>
        <w:t>ини</w:t>
      </w:r>
      <w:r w:rsidR="00A56E08" w:rsidRPr="00171F00">
        <w:rPr>
          <w:lang w:val="sr-Cyrl-BA"/>
        </w:rPr>
        <w:t>ца</w:t>
      </w:r>
      <w:r w:rsidR="0071360A" w:rsidRPr="00171F00">
        <w:rPr>
          <w:lang w:val="sr-Cyrl-BA"/>
        </w:rPr>
        <w:t>м</w:t>
      </w:r>
      <w:r w:rsidR="00A56E08" w:rsidRPr="00171F00">
        <w:rPr>
          <w:lang w:val="sr-Cyrl-BA"/>
        </w:rPr>
        <w:t>а</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71360A" w:rsidRPr="00171F00">
        <w:rPr>
          <w:lang w:val="sr-Cyrl-BA"/>
        </w:rPr>
        <w:t>могу</w:t>
      </w:r>
      <w:r w:rsidRPr="00171F00">
        <w:rPr>
          <w:lang w:val="sr-Cyrl-BA"/>
        </w:rPr>
        <w:t xml:space="preserve"> </w:t>
      </w:r>
      <w:r w:rsidR="0071360A" w:rsidRPr="00171F00">
        <w:rPr>
          <w:lang w:val="sr-Cyrl-BA"/>
        </w:rPr>
        <w:t>р</w:t>
      </w:r>
      <w:r w:rsidR="00A56E08" w:rsidRPr="00171F00">
        <w:rPr>
          <w:lang w:val="sr-Cyrl-BA"/>
        </w:rPr>
        <w:t>а</w:t>
      </w:r>
      <w:r w:rsidR="00171F00">
        <w:rPr>
          <w:lang w:val="sr-Cyrl-BA"/>
        </w:rPr>
        <w:t>з</w:t>
      </w:r>
      <w:r w:rsidR="0071360A" w:rsidRPr="00171F00">
        <w:rPr>
          <w:lang w:val="sr-Cyrl-BA"/>
        </w:rPr>
        <w:t>ли</w:t>
      </w:r>
      <w:r w:rsidR="00A56E08" w:rsidRPr="00171F00">
        <w:rPr>
          <w:lang w:val="sr-Cyrl-BA"/>
        </w:rPr>
        <w:t>ч</w:t>
      </w:r>
      <w:r w:rsidR="0071360A" w:rsidRPr="00171F00">
        <w:rPr>
          <w:lang w:val="sr-Cyrl-BA"/>
        </w:rPr>
        <w:t>ито</w:t>
      </w:r>
      <w:r w:rsidRPr="00171F00">
        <w:rPr>
          <w:lang w:val="sr-Cyrl-BA"/>
        </w:rPr>
        <w:t xml:space="preserve"> </w:t>
      </w:r>
      <w:r w:rsidR="00171F00">
        <w:rPr>
          <w:lang w:val="sr-Cyrl-BA"/>
        </w:rPr>
        <w:t>з</w:t>
      </w:r>
      <w:r w:rsidR="0071360A" w:rsidRPr="00171F00">
        <w:rPr>
          <w:lang w:val="sr-Cyrl-BA"/>
        </w:rPr>
        <w:t>в</w:t>
      </w:r>
      <w:r w:rsidR="00A56E08" w:rsidRPr="00171F00">
        <w:rPr>
          <w:lang w:val="sr-Cyrl-BA"/>
        </w:rPr>
        <w:t>а</w:t>
      </w:r>
      <w:r w:rsidR="0071360A" w:rsidRPr="00171F00">
        <w:rPr>
          <w:lang w:val="sr-Cyrl-BA"/>
        </w:rPr>
        <w:t>ти</w:t>
      </w:r>
      <w:r w:rsidRPr="00171F00">
        <w:rPr>
          <w:lang w:val="sr-Cyrl-BA"/>
        </w:rPr>
        <w:t xml:space="preserve"> </w:t>
      </w:r>
      <w:r w:rsidR="0071360A" w:rsidRPr="00171F00">
        <w:rPr>
          <w:lang w:val="sr-Cyrl-BA"/>
        </w:rPr>
        <w:t>и</w:t>
      </w:r>
      <w:r w:rsidRPr="00171F00">
        <w:rPr>
          <w:lang w:val="sr-Cyrl-BA"/>
        </w:rPr>
        <w:t xml:space="preserve"> </w:t>
      </w:r>
      <w:r w:rsidR="00A56E08" w:rsidRPr="00171F00">
        <w:rPr>
          <w:lang w:val="sr-Cyrl-BA"/>
        </w:rPr>
        <w:t>б</w:t>
      </w:r>
      <w:r w:rsidR="0071360A" w:rsidRPr="00171F00">
        <w:rPr>
          <w:lang w:val="sr-Cyrl-BA"/>
        </w:rPr>
        <w:t>ити</w:t>
      </w:r>
      <w:r w:rsidRPr="00171F00">
        <w:rPr>
          <w:lang w:val="sr-Cyrl-BA"/>
        </w:rPr>
        <w:t xml:space="preserve"> </w:t>
      </w:r>
      <w:r w:rsidR="0071360A" w:rsidRPr="00171F00">
        <w:rPr>
          <w:lang w:val="sr-Cyrl-BA"/>
        </w:rPr>
        <w:t>р</w:t>
      </w:r>
      <w:r w:rsidR="00A56E08" w:rsidRPr="00171F00">
        <w:rPr>
          <w:lang w:val="sr-Cyrl-BA"/>
        </w:rPr>
        <w:t>а</w:t>
      </w:r>
      <w:r w:rsidR="00171F00">
        <w:rPr>
          <w:lang w:val="sr-Cyrl-BA"/>
        </w:rPr>
        <w:t>з</w:t>
      </w:r>
      <w:r w:rsidR="0071360A" w:rsidRPr="00171F00">
        <w:rPr>
          <w:lang w:val="sr-Cyrl-BA"/>
        </w:rPr>
        <w:t>ли</w:t>
      </w:r>
      <w:r w:rsidR="00A56E08" w:rsidRPr="00171F00">
        <w:rPr>
          <w:lang w:val="sr-Cyrl-BA"/>
        </w:rPr>
        <w:t>ч</w:t>
      </w:r>
      <w:r w:rsidR="0071360A" w:rsidRPr="00171F00">
        <w:rPr>
          <w:lang w:val="sr-Cyrl-BA"/>
        </w:rPr>
        <w:t>ито</w:t>
      </w:r>
      <w:r w:rsidRPr="00171F00">
        <w:rPr>
          <w:lang w:val="sr-Cyrl-BA"/>
        </w:rPr>
        <w:t xml:space="preserve"> </w:t>
      </w:r>
      <w:r w:rsidR="0071360A" w:rsidRPr="00171F00">
        <w:rPr>
          <w:lang w:val="sr-Cyrl-BA"/>
        </w:rPr>
        <w:t>т</w:t>
      </w:r>
      <w:r w:rsidR="00A56E08" w:rsidRPr="00171F00">
        <w:rPr>
          <w:lang w:val="sr-Cyrl-BA"/>
        </w:rPr>
        <w:t>е</w:t>
      </w:r>
      <w:r w:rsidR="0071360A" w:rsidRPr="00171F00">
        <w:rPr>
          <w:lang w:val="sr-Cyrl-BA"/>
        </w:rPr>
        <w:t>хни</w:t>
      </w:r>
      <w:r w:rsidR="00A56E08" w:rsidRPr="00171F00">
        <w:rPr>
          <w:lang w:val="sr-Cyrl-BA"/>
        </w:rPr>
        <w:t>ч</w:t>
      </w:r>
      <w:r w:rsidR="0071360A" w:rsidRPr="00171F00">
        <w:rPr>
          <w:lang w:val="sr-Cyrl-BA"/>
        </w:rPr>
        <w:t>ки</w:t>
      </w:r>
      <w:r w:rsidRPr="00171F00">
        <w:rPr>
          <w:lang w:val="sr-Cyrl-BA"/>
        </w:rPr>
        <w:t xml:space="preserve"> </w:t>
      </w:r>
      <w:r w:rsidR="0071360A" w:rsidRPr="00171F00">
        <w:rPr>
          <w:lang w:val="sr-Cyrl-BA"/>
        </w:rPr>
        <w:t>кр</w:t>
      </w:r>
      <w:r w:rsidR="00A56E08" w:rsidRPr="00171F00">
        <w:rPr>
          <w:lang w:val="sr-Cyrl-BA"/>
        </w:rPr>
        <w:t>е</w:t>
      </w:r>
      <w:r w:rsidR="0071360A" w:rsidRPr="00171F00">
        <w:rPr>
          <w:lang w:val="sr-Cyrl-BA"/>
        </w:rPr>
        <w:t>ир</w:t>
      </w:r>
      <w:r w:rsidR="00A56E08" w:rsidRPr="00171F00">
        <w:rPr>
          <w:lang w:val="sr-Cyrl-BA"/>
        </w:rPr>
        <w:t>а</w:t>
      </w:r>
      <w:r w:rsidR="0071360A" w:rsidRPr="00171F00">
        <w:rPr>
          <w:lang w:val="sr-Cyrl-BA"/>
        </w:rPr>
        <w:t>ни</w:t>
      </w:r>
      <w:r w:rsidRPr="00171F00">
        <w:rPr>
          <w:lang w:val="sr-Cyrl-BA"/>
        </w:rPr>
        <w:t xml:space="preserve">, </w:t>
      </w:r>
      <w:r w:rsidR="00A56E08" w:rsidRPr="00171F00">
        <w:rPr>
          <w:lang w:val="sr-Cyrl-BA"/>
        </w:rPr>
        <w:t>а</w:t>
      </w:r>
      <w:r w:rsidR="0071360A" w:rsidRPr="00171F00">
        <w:rPr>
          <w:lang w:val="sr-Cyrl-BA"/>
        </w:rPr>
        <w:t>ли</w:t>
      </w:r>
      <w:r w:rsidRPr="00171F00">
        <w:rPr>
          <w:lang w:val="sr-Cyrl-BA"/>
        </w:rPr>
        <w:t xml:space="preserve"> </w:t>
      </w:r>
      <w:r w:rsidR="0071360A" w:rsidRPr="00171F00">
        <w:rPr>
          <w:lang w:val="sr-Cyrl-BA"/>
        </w:rPr>
        <w:t>кон</w:t>
      </w:r>
      <w:r w:rsidR="00A56E08" w:rsidRPr="00171F00">
        <w:rPr>
          <w:lang w:val="sr-Cyrl-BA"/>
        </w:rPr>
        <w:t>це</w:t>
      </w:r>
      <w:r w:rsidR="0071360A" w:rsidRPr="00171F00">
        <w:rPr>
          <w:lang w:val="sr-Cyrl-BA"/>
        </w:rPr>
        <w:t>пт</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мј</w:t>
      </w:r>
      <w:r w:rsidR="00A56E08" w:rsidRPr="00171F00">
        <w:rPr>
          <w:lang w:val="sr-Cyrl-BA"/>
        </w:rPr>
        <w:t>е</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ост</w:t>
      </w:r>
      <w:r w:rsidR="00A56E08" w:rsidRPr="00171F00">
        <w:rPr>
          <w:lang w:val="sr-Cyrl-BA"/>
        </w:rPr>
        <w:t>а</w:t>
      </w:r>
      <w:r w:rsidR="0071360A" w:rsidRPr="00171F00">
        <w:rPr>
          <w:lang w:val="sr-Cyrl-BA"/>
        </w:rPr>
        <w:t>ју</w:t>
      </w:r>
      <w:r w:rsidRPr="00171F00">
        <w:rPr>
          <w:lang w:val="sr-Cyrl-BA"/>
        </w:rPr>
        <w:t xml:space="preserve"> </w:t>
      </w:r>
      <w:r w:rsidR="0071360A" w:rsidRPr="00171F00">
        <w:rPr>
          <w:lang w:val="sr-Cyrl-BA"/>
        </w:rPr>
        <w:t>исти</w:t>
      </w:r>
      <w:r w:rsidRPr="00171F00">
        <w:rPr>
          <w:lang w:val="sr-Cyrl-BA"/>
        </w:rPr>
        <w:t xml:space="preserve">. </w:t>
      </w:r>
    </w:p>
    <w:p w14:paraId="265A305A" w14:textId="54F823E6" w:rsidR="00F33370" w:rsidRPr="00171F00" w:rsidRDefault="00F33370">
      <w:pPr>
        <w:pStyle w:val="FootnoteText"/>
        <w:rPr>
          <w:lang w:val="sr-Cyrl-BA"/>
        </w:rPr>
      </w:pPr>
    </w:p>
  </w:footnote>
  <w:footnote w:id="27">
    <w:p w14:paraId="2CB40C4E" w14:textId="06F591C7" w:rsidR="00F33370" w:rsidRPr="00171F00" w:rsidRDefault="00F33370">
      <w:pPr>
        <w:pStyle w:val="FootnoteText"/>
        <w:rPr>
          <w:rFonts w:cs="Arial"/>
          <w:lang w:val="sr-Cyrl-BA"/>
        </w:rPr>
      </w:pPr>
      <w:r w:rsidRPr="00171F00">
        <w:rPr>
          <w:rStyle w:val="FootnoteReference"/>
          <w:rFonts w:cs="Arial"/>
          <w:lang w:val="sr-Cyrl-BA"/>
        </w:rPr>
        <w:footnoteRef/>
      </w:r>
      <w:r w:rsidR="00A94F64">
        <w:rPr>
          <w:rFonts w:eastAsiaTheme="minorHAnsi" w:cs="Arial"/>
          <w:color w:val="000000" w:themeColor="text1"/>
          <w:lang w:val="sr-Cyrl-BA"/>
        </w:rPr>
        <w:t xml:space="preserve"> </w:t>
      </w:r>
      <w:r w:rsidR="0071360A" w:rsidRPr="00171F00">
        <w:rPr>
          <w:rFonts w:eastAsiaTheme="minorHAnsi" w:cs="Arial"/>
          <w:color w:val="000000" w:themeColor="text1"/>
          <w:lang w:val="sr-Cyrl-BA"/>
        </w:rPr>
        <w:t>Пос</w:t>
      </w:r>
      <w:r w:rsidR="00A56E08" w:rsidRPr="00171F00">
        <w:rPr>
          <w:rFonts w:eastAsiaTheme="minorHAnsi" w:cs="Arial"/>
          <w:color w:val="000000" w:themeColor="text1"/>
          <w:lang w:val="sr-Cyrl-BA"/>
        </w:rPr>
        <w:t>еб</w:t>
      </w:r>
      <w:r w:rsidR="0071360A" w:rsidRPr="00171F00">
        <w:rPr>
          <w:rFonts w:eastAsiaTheme="minorHAnsi" w:cs="Arial"/>
          <w:color w:val="000000" w:themeColor="text1"/>
          <w:lang w:val="sr-Cyrl-BA"/>
        </w:rPr>
        <w:t>но</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ст</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вник</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основних</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ср</w:t>
      </w:r>
      <w:r w:rsidR="00A56E08" w:rsidRPr="00171F00">
        <w:rPr>
          <w:rFonts w:eastAsiaTheme="minorHAnsi" w:cs="Arial"/>
          <w:color w:val="000000" w:themeColor="text1"/>
          <w:lang w:val="sr-Cyrl-BA"/>
        </w:rPr>
        <w:t>ед</w:t>
      </w:r>
      <w:r w:rsidR="0071360A" w:rsidRPr="00171F00">
        <w:rPr>
          <w:rFonts w:eastAsiaTheme="minorHAnsi" w:cs="Arial"/>
          <w:color w:val="000000" w:themeColor="text1"/>
          <w:lang w:val="sr-Cyrl-BA"/>
        </w:rPr>
        <w:t>њих</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школ</w:t>
      </w:r>
      <w:r w:rsidR="00A56E08" w:rsidRPr="00171F00">
        <w:rPr>
          <w:rFonts w:eastAsiaTheme="minorHAnsi" w:cs="Arial"/>
          <w:color w:val="000000" w:themeColor="text1"/>
          <w:lang w:val="sr-Cyrl-BA"/>
        </w:rPr>
        <w:t>а</w:t>
      </w:r>
      <w:r w:rsidR="00B04FA8">
        <w:rPr>
          <w:rFonts w:eastAsiaTheme="minorHAnsi" w:cs="Arial"/>
          <w:color w:val="000000" w:themeColor="text1"/>
          <w:lang w:val="sr-Cyrl-BA"/>
        </w:rPr>
        <w:t xml:space="preserve"> </w:t>
      </w:r>
      <w:r w:rsidR="001F2F40">
        <w:rPr>
          <w:rFonts w:eastAsiaTheme="minorHAnsi" w:cs="Arial"/>
          <w:color w:val="000000" w:themeColor="text1"/>
          <w:lang w:val="sr-Cyrl-BA"/>
        </w:rPr>
        <w:t>с обзиром</w:t>
      </w:r>
      <w:r w:rsidRPr="00171F00">
        <w:rPr>
          <w:rFonts w:eastAsiaTheme="minorHAnsi" w:cs="Arial"/>
          <w:color w:val="000000" w:themeColor="text1"/>
          <w:lang w:val="sr-Cyrl-BA"/>
        </w:rPr>
        <w:t xml:space="preserve"> </w:t>
      </w:r>
      <w:r w:rsidR="00A56E08" w:rsidRPr="00171F00">
        <w:rPr>
          <w:rFonts w:eastAsiaTheme="minorHAnsi" w:cs="Arial"/>
          <w:color w:val="000000" w:themeColor="text1"/>
          <w:lang w:val="sr-Cyrl-BA"/>
        </w:rPr>
        <w:t>да</w:t>
      </w:r>
      <w:r w:rsidRPr="00171F00">
        <w:rPr>
          <w:rFonts w:eastAsiaTheme="minorHAnsi" w:cs="Arial"/>
          <w:color w:val="000000" w:themeColor="text1"/>
          <w:lang w:val="sr-Cyrl-BA"/>
        </w:rPr>
        <w:t xml:space="preserve"> </w:t>
      </w:r>
      <w:r w:rsidR="00171F00">
        <w:rPr>
          <w:rFonts w:eastAsiaTheme="minorHAnsi" w:cs="Arial"/>
          <w:color w:val="000000" w:themeColor="text1"/>
          <w:lang w:val="sr-Cyrl-BA"/>
        </w:rPr>
        <w:t>з</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пр</w:t>
      </w:r>
      <w:r w:rsidR="00A56E08" w:rsidRPr="00171F00">
        <w:rPr>
          <w:rFonts w:eastAsiaTheme="minorHAnsi" w:cs="Arial"/>
          <w:color w:val="000000" w:themeColor="text1"/>
          <w:lang w:val="sr-Cyrl-BA"/>
        </w:rPr>
        <w:t>ед</w:t>
      </w:r>
      <w:r w:rsidR="0071360A" w:rsidRPr="00171F00">
        <w:rPr>
          <w:rFonts w:eastAsiaTheme="minorHAnsi" w:cs="Arial"/>
          <w:color w:val="000000" w:themeColor="text1"/>
          <w:lang w:val="sr-Cyrl-BA"/>
        </w:rPr>
        <w:t>ов</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њ</w:t>
      </w:r>
      <w:r w:rsidR="00A56E08" w:rsidRPr="00171F00">
        <w:rPr>
          <w:rFonts w:eastAsiaTheme="minorHAnsi" w:cs="Arial"/>
          <w:color w:val="000000" w:themeColor="text1"/>
          <w:lang w:val="sr-Cyrl-BA"/>
        </w:rPr>
        <w:t>е</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ст</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вник</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високошколским</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уст</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нов</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м</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постој</w:t>
      </w:r>
      <w:r w:rsidR="00A56E08" w:rsidRPr="00171F00">
        <w:rPr>
          <w:rFonts w:eastAsiaTheme="minorHAnsi" w:cs="Arial"/>
          <w:color w:val="000000" w:themeColor="text1"/>
          <w:lang w:val="sr-Cyrl-BA"/>
        </w:rPr>
        <w:t>е</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ј</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сно</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пропис</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ни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крит</w:t>
      </w:r>
      <w:r w:rsidR="00A56E08" w:rsidRPr="00171F00">
        <w:rPr>
          <w:rFonts w:eastAsiaTheme="minorHAnsi" w:cs="Arial"/>
          <w:color w:val="000000" w:themeColor="text1"/>
          <w:lang w:val="sr-Cyrl-BA"/>
        </w:rPr>
        <w:t>е</w:t>
      </w:r>
      <w:r w:rsidR="0071360A" w:rsidRPr="00171F00">
        <w:rPr>
          <w:rFonts w:eastAsiaTheme="minorHAnsi" w:cs="Arial"/>
          <w:color w:val="000000" w:themeColor="text1"/>
          <w:lang w:val="sr-Cyrl-BA"/>
        </w:rPr>
        <w:t>рији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Њих</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ј</w:t>
      </w:r>
      <w:r w:rsidR="00A56E08" w:rsidRPr="00171F00">
        <w:rPr>
          <w:rFonts w:eastAsiaTheme="minorHAnsi" w:cs="Arial"/>
          <w:color w:val="000000" w:themeColor="text1"/>
          <w:lang w:val="sr-Cyrl-BA"/>
        </w:rPr>
        <w:t>е</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потр</w:t>
      </w:r>
      <w:r w:rsidR="00A56E08" w:rsidRPr="00171F00">
        <w:rPr>
          <w:rFonts w:eastAsiaTheme="minorHAnsi" w:cs="Arial"/>
          <w:color w:val="000000" w:themeColor="text1"/>
          <w:lang w:val="sr-Cyrl-BA"/>
        </w:rPr>
        <w:t>еб</w:t>
      </w:r>
      <w:r w:rsidR="0071360A" w:rsidRPr="00171F00">
        <w:rPr>
          <w:rFonts w:eastAsiaTheme="minorHAnsi" w:cs="Arial"/>
          <w:color w:val="000000" w:themeColor="text1"/>
          <w:lang w:val="sr-Cyrl-BA"/>
        </w:rPr>
        <w:t>но</w:t>
      </w:r>
      <w:r w:rsidRPr="00171F00">
        <w:rPr>
          <w:rFonts w:eastAsiaTheme="minorHAnsi" w:cs="Arial"/>
          <w:color w:val="000000" w:themeColor="text1"/>
          <w:lang w:val="sr-Cyrl-BA"/>
        </w:rPr>
        <w:t xml:space="preserve"> </w:t>
      </w:r>
      <w:r w:rsidR="00A56E08" w:rsidRPr="00171F00">
        <w:rPr>
          <w:rFonts w:eastAsiaTheme="minorHAnsi" w:cs="Arial"/>
          <w:color w:val="000000" w:themeColor="text1"/>
          <w:lang w:val="sr-Cyrl-BA"/>
        </w:rPr>
        <w:t>д</w:t>
      </w:r>
      <w:r w:rsidR="0071360A" w:rsidRPr="00171F00">
        <w:rPr>
          <w:rFonts w:eastAsiaTheme="minorHAnsi" w:cs="Arial"/>
          <w:color w:val="000000" w:themeColor="text1"/>
          <w:lang w:val="sr-Cyrl-BA"/>
        </w:rPr>
        <w:t>опунити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с</w:t>
      </w:r>
      <w:r w:rsidR="00A56E08" w:rsidRPr="00171F00">
        <w:rPr>
          <w:rFonts w:eastAsiaTheme="minorHAnsi" w:cs="Arial"/>
          <w:color w:val="000000" w:themeColor="text1"/>
          <w:lang w:val="sr-Cyrl-BA"/>
        </w:rPr>
        <w:t>ад</w:t>
      </w:r>
      <w:r w:rsidR="0071360A" w:rsidRPr="00171F00">
        <w:rPr>
          <w:rFonts w:eastAsiaTheme="minorHAnsi" w:cs="Arial"/>
          <w:color w:val="000000" w:themeColor="text1"/>
          <w:lang w:val="sr-Cyrl-BA"/>
        </w:rPr>
        <w:t>р</w:t>
      </w:r>
      <w:r w:rsidR="00171F00">
        <w:rPr>
          <w:rFonts w:eastAsiaTheme="minorHAnsi" w:cs="Arial"/>
          <w:color w:val="000000" w:themeColor="text1"/>
          <w:lang w:val="sr-Cyrl-BA"/>
        </w:rPr>
        <w:t>ж</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ј</w:t>
      </w:r>
      <w:r w:rsidR="00A56E08" w:rsidRPr="00171F00">
        <w:rPr>
          <w:rFonts w:eastAsiaTheme="minorHAnsi" w:cs="Arial"/>
          <w:color w:val="000000" w:themeColor="text1"/>
          <w:lang w:val="sr-Cyrl-BA"/>
        </w:rPr>
        <w:t>е</w:t>
      </w:r>
      <w:r w:rsidR="0071360A" w:rsidRPr="00171F00">
        <w:rPr>
          <w:rFonts w:eastAsiaTheme="minorHAnsi" w:cs="Arial"/>
          <w:color w:val="000000" w:themeColor="text1"/>
          <w:lang w:val="sr-Cyrl-BA"/>
        </w:rPr>
        <w:t>м</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који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с</w:t>
      </w:r>
      <w:r w:rsidR="00A56E08" w:rsidRPr="00171F00">
        <w:rPr>
          <w:rFonts w:eastAsiaTheme="minorHAnsi" w:cs="Arial"/>
          <w:color w:val="000000" w:themeColor="text1"/>
          <w:lang w:val="sr-Cyrl-BA"/>
        </w:rPr>
        <w:t>е</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о</w:t>
      </w:r>
      <w:r w:rsidR="00A56E08" w:rsidRPr="00171F00">
        <w:rPr>
          <w:rFonts w:eastAsiaTheme="minorHAnsi" w:cs="Arial"/>
          <w:color w:val="000000" w:themeColor="text1"/>
          <w:lang w:val="sr-Cyrl-BA"/>
        </w:rPr>
        <w:t>д</w:t>
      </w:r>
      <w:r w:rsidR="0071360A" w:rsidRPr="00171F00">
        <w:rPr>
          <w:rFonts w:eastAsiaTheme="minorHAnsi" w:cs="Arial"/>
          <w:color w:val="000000" w:themeColor="text1"/>
          <w:lang w:val="sr-Cyrl-BA"/>
        </w:rPr>
        <w:t>носи</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A56E08" w:rsidRPr="00171F00">
        <w:rPr>
          <w:rFonts w:eastAsiaTheme="minorHAnsi" w:cs="Arial"/>
          <w:color w:val="000000" w:themeColor="text1"/>
          <w:lang w:val="sr-Cyrl-BA"/>
        </w:rPr>
        <w:t>д</w:t>
      </w:r>
      <w:r w:rsidR="0071360A" w:rsidRPr="00171F00">
        <w:rPr>
          <w:rFonts w:eastAsiaTheme="minorHAnsi" w:cs="Arial"/>
          <w:color w:val="000000" w:themeColor="text1"/>
          <w:lang w:val="sr-Cyrl-BA"/>
        </w:rPr>
        <w:t>игит</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лну</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тр</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нсформ</w:t>
      </w:r>
      <w:r w:rsidR="00A56E08" w:rsidRPr="00171F00">
        <w:rPr>
          <w:rFonts w:eastAsiaTheme="minorHAnsi" w:cs="Arial"/>
          <w:color w:val="000000" w:themeColor="text1"/>
          <w:lang w:val="sr-Cyrl-BA"/>
        </w:rPr>
        <w:t>ац</w:t>
      </w:r>
      <w:r w:rsidR="0071360A" w:rsidRPr="00171F00">
        <w:rPr>
          <w:rFonts w:eastAsiaTheme="minorHAnsi" w:cs="Arial"/>
          <w:color w:val="000000" w:themeColor="text1"/>
          <w:lang w:val="sr-Cyrl-BA"/>
        </w:rPr>
        <w:t>ију</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о</w:t>
      </w:r>
      <w:r w:rsidR="00A56E08" w:rsidRPr="00171F00">
        <w:rPr>
          <w:rFonts w:eastAsiaTheme="minorHAnsi" w:cs="Arial"/>
          <w:color w:val="000000" w:themeColor="text1"/>
          <w:lang w:val="sr-Cyrl-BA"/>
        </w:rPr>
        <w:t>б</w:t>
      </w:r>
      <w:r w:rsidR="0071360A" w:rsidRPr="00171F00">
        <w:rPr>
          <w:rFonts w:eastAsiaTheme="minorHAnsi" w:cs="Arial"/>
          <w:color w:val="000000" w:themeColor="text1"/>
          <w:lang w:val="sr-Cyrl-BA"/>
        </w:rPr>
        <w:t>р</w:t>
      </w:r>
      <w:r w:rsidR="00A56E08" w:rsidRPr="00171F00">
        <w:rPr>
          <w:rFonts w:eastAsiaTheme="minorHAnsi" w:cs="Arial"/>
          <w:color w:val="000000" w:themeColor="text1"/>
          <w:lang w:val="sr-Cyrl-BA"/>
        </w:rPr>
        <w:t>а</w:t>
      </w:r>
      <w:r w:rsidR="00171F00">
        <w:rPr>
          <w:rFonts w:eastAsiaTheme="minorHAnsi" w:cs="Arial"/>
          <w:color w:val="000000" w:themeColor="text1"/>
          <w:lang w:val="sr-Cyrl-BA"/>
        </w:rPr>
        <w:t>з</w:t>
      </w:r>
      <w:r w:rsidR="0071360A" w:rsidRPr="00171F00">
        <w:rPr>
          <w:rFonts w:eastAsiaTheme="minorHAnsi" w:cs="Arial"/>
          <w:color w:val="000000" w:themeColor="text1"/>
          <w:lang w:val="sr-Cyrl-BA"/>
        </w:rPr>
        <w:t>ов</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њ</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т</w:t>
      </w:r>
      <w:r w:rsidR="00A56E08" w:rsidRPr="00171F00">
        <w:rPr>
          <w:rFonts w:eastAsiaTheme="minorHAnsi" w:cs="Arial"/>
          <w:color w:val="000000" w:themeColor="text1"/>
          <w:lang w:val="sr-Cyrl-BA"/>
        </w:rPr>
        <w:t>е</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у</w:t>
      </w:r>
      <w:r w:rsidR="00AD1BF8"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скл</w:t>
      </w:r>
      <w:r w:rsidR="00A56E08" w:rsidRPr="00171F00">
        <w:rPr>
          <w:rFonts w:eastAsiaTheme="minorHAnsi" w:cs="Arial"/>
          <w:color w:val="000000" w:themeColor="text1"/>
          <w:lang w:val="sr-Cyrl-BA"/>
        </w:rPr>
        <w:t>ад</w:t>
      </w:r>
      <w:r w:rsidR="0071360A" w:rsidRPr="00171F00">
        <w:rPr>
          <w:rFonts w:eastAsiaTheme="minorHAnsi" w:cs="Arial"/>
          <w:color w:val="000000" w:themeColor="text1"/>
          <w:lang w:val="sr-Cyrl-BA"/>
        </w:rPr>
        <w:t>у</w:t>
      </w:r>
      <w:r w:rsidR="00B04FA8">
        <w:rPr>
          <w:rFonts w:eastAsiaTheme="minorHAnsi" w:cs="Arial"/>
          <w:color w:val="000000" w:themeColor="text1"/>
          <w:lang w:val="sr-Cyrl-BA"/>
        </w:rPr>
        <w:t xml:space="preserve"> са </w:t>
      </w:r>
      <w:r w:rsidR="0071360A" w:rsidRPr="00171F00">
        <w:rPr>
          <w:rFonts w:eastAsiaTheme="minorHAnsi" w:cs="Arial"/>
          <w:color w:val="000000" w:themeColor="text1"/>
          <w:lang w:val="sr-Cyrl-BA"/>
        </w:rPr>
        <w:t>тим</w:t>
      </w:r>
      <w:r w:rsidR="004C2124"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и</w:t>
      </w:r>
      <w:r w:rsidRPr="00171F00">
        <w:rPr>
          <w:rFonts w:eastAsiaTheme="minorHAnsi" w:cs="Arial"/>
          <w:color w:val="000000" w:themeColor="text1"/>
          <w:lang w:val="sr-Cyrl-BA"/>
        </w:rPr>
        <w:t xml:space="preserve"> </w:t>
      </w:r>
      <w:r w:rsidR="00A56E08" w:rsidRPr="00171F00">
        <w:rPr>
          <w:rFonts w:eastAsiaTheme="minorHAnsi" w:cs="Arial"/>
          <w:color w:val="000000" w:themeColor="text1"/>
          <w:lang w:val="sr-Cyrl-BA"/>
        </w:rPr>
        <w:t>д</w:t>
      </w:r>
      <w:r w:rsidR="0071360A" w:rsidRPr="00171F00">
        <w:rPr>
          <w:rFonts w:eastAsiaTheme="minorHAnsi" w:cs="Arial"/>
          <w:color w:val="000000" w:themeColor="text1"/>
          <w:lang w:val="sr-Cyrl-BA"/>
        </w:rPr>
        <w:t>игит</w:t>
      </w:r>
      <w:r w:rsidR="00A56E08" w:rsidRPr="00171F00">
        <w:rPr>
          <w:rFonts w:eastAsiaTheme="minorHAnsi" w:cs="Arial"/>
          <w:color w:val="000000" w:themeColor="text1"/>
          <w:lang w:val="sr-Cyrl-BA"/>
        </w:rPr>
        <w:t>а</w:t>
      </w:r>
      <w:r w:rsidR="0071360A" w:rsidRPr="00171F00">
        <w:rPr>
          <w:rFonts w:eastAsiaTheme="minorHAnsi" w:cs="Arial"/>
          <w:color w:val="000000" w:themeColor="text1"/>
          <w:lang w:val="sr-Cyrl-BA"/>
        </w:rPr>
        <w:t>лних</w:t>
      </w:r>
      <w:r w:rsidRPr="00171F00">
        <w:rPr>
          <w:rFonts w:eastAsiaTheme="minorHAnsi" w:cs="Arial"/>
          <w:color w:val="000000" w:themeColor="text1"/>
          <w:lang w:val="sr-Cyrl-BA"/>
        </w:rPr>
        <w:t xml:space="preserve"> </w:t>
      </w:r>
      <w:r w:rsidR="0071360A" w:rsidRPr="00171F00">
        <w:rPr>
          <w:rFonts w:eastAsiaTheme="minorHAnsi" w:cs="Arial"/>
          <w:color w:val="000000" w:themeColor="text1"/>
          <w:lang w:val="sr-Cyrl-BA"/>
        </w:rPr>
        <w:t>комп</w:t>
      </w:r>
      <w:r w:rsidR="00A56E08" w:rsidRPr="00171F00">
        <w:rPr>
          <w:rFonts w:eastAsiaTheme="minorHAnsi" w:cs="Arial"/>
          <w:color w:val="000000" w:themeColor="text1"/>
          <w:lang w:val="sr-Cyrl-BA"/>
        </w:rPr>
        <w:t>е</w:t>
      </w:r>
      <w:r w:rsidR="0071360A" w:rsidRPr="00171F00">
        <w:rPr>
          <w:rFonts w:eastAsiaTheme="minorHAnsi" w:cs="Arial"/>
          <w:color w:val="000000" w:themeColor="text1"/>
          <w:lang w:val="sr-Cyrl-BA"/>
        </w:rPr>
        <w:t>т</w:t>
      </w:r>
      <w:r w:rsidR="00A56E08" w:rsidRPr="00171F00">
        <w:rPr>
          <w:rFonts w:eastAsiaTheme="minorHAnsi" w:cs="Arial"/>
          <w:color w:val="000000" w:themeColor="text1"/>
          <w:lang w:val="sr-Cyrl-BA"/>
        </w:rPr>
        <w:t>е</w:t>
      </w:r>
      <w:r w:rsidR="0071360A" w:rsidRPr="00171F00">
        <w:rPr>
          <w:rFonts w:eastAsiaTheme="minorHAnsi" w:cs="Arial"/>
          <w:color w:val="000000" w:themeColor="text1"/>
          <w:lang w:val="sr-Cyrl-BA"/>
        </w:rPr>
        <w:t>н</w:t>
      </w:r>
      <w:r w:rsidR="00A56E08" w:rsidRPr="00171F00">
        <w:rPr>
          <w:rFonts w:eastAsiaTheme="minorHAnsi" w:cs="Arial"/>
          <w:color w:val="000000" w:themeColor="text1"/>
          <w:lang w:val="sr-Cyrl-BA"/>
        </w:rPr>
        <w:t>ц</w:t>
      </w:r>
      <w:r w:rsidR="0071360A" w:rsidRPr="00171F00">
        <w:rPr>
          <w:rFonts w:eastAsiaTheme="minorHAnsi" w:cs="Arial"/>
          <w:color w:val="000000" w:themeColor="text1"/>
          <w:lang w:val="sr-Cyrl-BA"/>
        </w:rPr>
        <w:t>иј</w:t>
      </w:r>
      <w:r w:rsidR="00A56E08" w:rsidRPr="00171F00">
        <w:rPr>
          <w:rFonts w:eastAsiaTheme="minorHAnsi" w:cs="Arial"/>
          <w:color w:val="000000" w:themeColor="text1"/>
          <w:lang w:val="sr-Cyrl-BA"/>
        </w:rPr>
        <w:t>а</w:t>
      </w:r>
      <w:r w:rsidRPr="00171F00">
        <w:rPr>
          <w:rFonts w:eastAsiaTheme="minorHAnsi" w:cs="Arial"/>
          <w:color w:val="000000" w:themeColor="text1"/>
          <w:lang w:val="sr-Cyrl-BA"/>
        </w:rPr>
        <w:t>.</w:t>
      </w:r>
    </w:p>
  </w:footnote>
  <w:footnote w:id="28">
    <w:p w14:paraId="583033EF" w14:textId="1CB8A845" w:rsidR="00F33370" w:rsidRPr="00171F00" w:rsidRDefault="00F33370">
      <w:pPr>
        <w:pStyle w:val="FootnoteText"/>
        <w:rPr>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lang w:val="sr-Cyrl-BA"/>
        </w:rPr>
        <w:t>Ов</w:t>
      </w:r>
      <w:r w:rsidR="00A56E08" w:rsidRPr="00171F00">
        <w:rPr>
          <w:rFonts w:cs="Arial"/>
          <w:lang w:val="sr-Cyrl-BA"/>
        </w:rPr>
        <w:t>а</w:t>
      </w:r>
      <w:r w:rsidR="0071360A" w:rsidRPr="00171F00">
        <w:rPr>
          <w:rFonts w:cs="Arial"/>
          <w:lang w:val="sr-Cyrl-BA"/>
        </w:rPr>
        <w:t>к</w:t>
      </w:r>
      <w:r w:rsidR="00A56E08" w:rsidRPr="00171F00">
        <w:rPr>
          <w:rFonts w:cs="Arial"/>
          <w:lang w:val="sr-Cyrl-BA"/>
        </w:rPr>
        <w:t>а</w:t>
      </w:r>
      <w:r w:rsidR="0071360A" w:rsidRPr="00171F00">
        <w:rPr>
          <w:rFonts w:cs="Arial"/>
          <w:lang w:val="sr-Cyrl-BA"/>
        </w:rPr>
        <w:t>в</w:t>
      </w:r>
      <w:r w:rsidRPr="00171F00">
        <w:rPr>
          <w:rFonts w:cs="Arial"/>
          <w:lang w:val="sr-Cyrl-BA"/>
        </w:rPr>
        <w:t xml:space="preserve"> </w:t>
      </w:r>
      <w:r w:rsidR="0071360A" w:rsidRPr="00171F00">
        <w:rPr>
          <w:rFonts w:cs="Arial"/>
          <w:lang w:val="sr-Cyrl-BA"/>
        </w:rPr>
        <w:t>ст</w:t>
      </w:r>
      <w:r w:rsidR="00A56E08" w:rsidRPr="00171F00">
        <w:rPr>
          <w:rFonts w:cs="Arial"/>
          <w:lang w:val="sr-Cyrl-BA"/>
        </w:rPr>
        <w:t>а</w:t>
      </w:r>
      <w:r w:rsidR="0071360A" w:rsidRPr="00171F00">
        <w:rPr>
          <w:rFonts w:cs="Arial"/>
          <w:lang w:val="sr-Cyrl-BA"/>
        </w:rPr>
        <w:t>в</w:t>
      </w:r>
      <w:r w:rsidRPr="00171F00">
        <w:rPr>
          <w:rFonts w:cs="Arial"/>
          <w:lang w:val="sr-Cyrl-BA"/>
        </w:rPr>
        <w:t xml:space="preserve"> </w:t>
      </w:r>
      <w:r w:rsidR="0071360A" w:rsidRPr="00171F00">
        <w:rPr>
          <w:rFonts w:cs="Arial"/>
          <w:lang w:val="sr-Cyrl-BA"/>
        </w:rPr>
        <w:t>и</w:t>
      </w:r>
      <w:r w:rsidR="00171F00">
        <w:rPr>
          <w:rFonts w:cs="Arial"/>
          <w:lang w:val="sr-Cyrl-BA"/>
        </w:rPr>
        <w:t>з</w:t>
      </w:r>
      <w:r w:rsidR="0071360A" w:rsidRPr="00171F00">
        <w:rPr>
          <w:rFonts w:cs="Arial"/>
          <w:lang w:val="sr-Cyrl-BA"/>
        </w:rPr>
        <w:t>н</w:t>
      </w:r>
      <w:r w:rsidR="00A56E08" w:rsidRPr="00171F00">
        <w:rPr>
          <w:rFonts w:cs="Arial"/>
          <w:lang w:val="sr-Cyrl-BA"/>
        </w:rPr>
        <w:t>е</w:t>
      </w:r>
      <w:r w:rsidR="0071360A" w:rsidRPr="00171F00">
        <w:rPr>
          <w:rFonts w:cs="Arial"/>
          <w:lang w:val="sr-Cyrl-BA"/>
        </w:rPr>
        <w:t>с</w:t>
      </w:r>
      <w:r w:rsidR="00A56E08" w:rsidRPr="00171F00">
        <w:rPr>
          <w:rFonts w:cs="Arial"/>
          <w:lang w:val="sr-Cyrl-BA"/>
        </w:rPr>
        <w:t>е</w:t>
      </w:r>
      <w:r w:rsidR="0071360A" w:rsidRPr="00171F00">
        <w:rPr>
          <w:rFonts w:cs="Arial"/>
          <w:lang w:val="sr-Cyrl-BA"/>
        </w:rPr>
        <w:t>н</w:t>
      </w:r>
      <w:r w:rsidRPr="00171F00">
        <w:rPr>
          <w:rFonts w:cs="Arial"/>
          <w:lang w:val="sr-Cyrl-BA"/>
        </w:rPr>
        <w:t xml:space="preserve"> </w:t>
      </w:r>
      <w:r w:rsidR="0071360A" w:rsidRPr="00171F00">
        <w:rPr>
          <w:rFonts w:cs="Arial"/>
          <w:lang w:val="sr-Cyrl-BA"/>
        </w:rPr>
        <w:t>ј</w:t>
      </w:r>
      <w:r w:rsidR="00A56E08" w:rsidRPr="00171F00">
        <w:rPr>
          <w:rFonts w:cs="Arial"/>
          <w:lang w:val="sr-Cyrl-BA"/>
        </w:rPr>
        <w:t>е</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с</w:t>
      </w:r>
      <w:r w:rsidR="00A56E08" w:rsidRPr="00171F00">
        <w:rPr>
          <w:rFonts w:cs="Arial"/>
          <w:lang w:val="sr-Cyrl-BA"/>
        </w:rPr>
        <w:t>а</w:t>
      </w:r>
      <w:r w:rsidR="0071360A" w:rsidRPr="00171F00">
        <w:rPr>
          <w:rFonts w:cs="Arial"/>
          <w:lang w:val="sr-Cyrl-BA"/>
        </w:rPr>
        <w:t>ст</w:t>
      </w:r>
      <w:r w:rsidR="00A56E08" w:rsidRPr="00171F00">
        <w:rPr>
          <w:rFonts w:cs="Arial"/>
          <w:lang w:val="sr-Cyrl-BA"/>
        </w:rPr>
        <w:t>а</w:t>
      </w:r>
      <w:r w:rsidR="0071360A" w:rsidRPr="00171F00">
        <w:rPr>
          <w:rFonts w:cs="Arial"/>
          <w:lang w:val="sr-Cyrl-BA"/>
        </w:rPr>
        <w:t>нку</w:t>
      </w:r>
      <w:r w:rsidRPr="00171F00">
        <w:rPr>
          <w:rFonts w:cs="Arial"/>
          <w:lang w:val="sr-Cyrl-BA"/>
        </w:rPr>
        <w:t xml:space="preserve"> </w:t>
      </w:r>
      <w:r w:rsidR="0071360A" w:rsidRPr="00171F00">
        <w:rPr>
          <w:rFonts w:cs="Arial"/>
          <w:lang w:val="sr-Cyrl-BA"/>
        </w:rPr>
        <w:t>р</w:t>
      </w:r>
      <w:r w:rsidR="00A56E08" w:rsidRPr="00171F00">
        <w:rPr>
          <w:rFonts w:cs="Arial"/>
          <w:lang w:val="sr-Cyrl-BA"/>
        </w:rPr>
        <w:t>ад</w:t>
      </w:r>
      <w:r w:rsidR="0071360A" w:rsidRPr="00171F00">
        <w:rPr>
          <w:rFonts w:cs="Arial"/>
          <w:lang w:val="sr-Cyrl-BA"/>
        </w:rPr>
        <w:t>н</w:t>
      </w:r>
      <w:r w:rsidR="00A56E08" w:rsidRPr="00171F00">
        <w:rPr>
          <w:rFonts w:cs="Arial"/>
          <w:lang w:val="sr-Cyrl-BA"/>
        </w:rPr>
        <w:t>е</w:t>
      </w:r>
      <w:r w:rsidR="004C2124" w:rsidRPr="00171F00">
        <w:rPr>
          <w:rFonts w:cs="Arial"/>
          <w:lang w:val="sr-Cyrl-BA"/>
        </w:rPr>
        <w:t xml:space="preserve"> </w:t>
      </w:r>
      <w:r w:rsidR="0071360A" w:rsidRPr="00171F00">
        <w:rPr>
          <w:rFonts w:cs="Arial"/>
          <w:lang w:val="sr-Cyrl-BA"/>
        </w:rPr>
        <w:t>груп</w:t>
      </w:r>
      <w:r w:rsidR="00A56E08" w:rsidRPr="00171F00">
        <w:rPr>
          <w:rFonts w:cs="Arial"/>
          <w:lang w:val="sr-Cyrl-BA"/>
        </w:rPr>
        <w:t>е</w:t>
      </w:r>
      <w:r w:rsidRPr="00171F00">
        <w:rPr>
          <w:rFonts w:cs="Arial"/>
          <w:lang w:val="sr-Cyrl-BA"/>
        </w:rPr>
        <w:t>.</w:t>
      </w:r>
      <w:r w:rsidRPr="00171F00">
        <w:rPr>
          <w:lang w:val="sr-Cyrl-BA"/>
        </w:rPr>
        <w:t xml:space="preserve"> </w:t>
      </w:r>
    </w:p>
  </w:footnote>
  <w:footnote w:id="29">
    <w:p w14:paraId="029D39D1" w14:textId="3A48EC63" w:rsidR="00F33370" w:rsidRPr="00171F00" w:rsidRDefault="00F33370" w:rsidP="00892898">
      <w:pPr>
        <w:pStyle w:val="FootnoteText"/>
        <w:rPr>
          <w:rFonts w:cs="Arial"/>
          <w:lang w:val="sr-Cyrl-BA"/>
        </w:rPr>
      </w:pPr>
      <w:r w:rsidRPr="00171F00">
        <w:rPr>
          <w:rStyle w:val="FootnoteReference"/>
          <w:rFonts w:cs="Arial"/>
          <w:lang w:val="sr-Cyrl-BA"/>
        </w:rPr>
        <w:footnoteRef/>
      </w:r>
      <w:r w:rsidRPr="00171F00">
        <w:rPr>
          <w:rFonts w:cs="Arial"/>
          <w:lang w:val="sr-Cyrl-BA"/>
        </w:rPr>
        <w:t xml:space="preserve"> </w:t>
      </w:r>
      <w:r w:rsidR="0071360A" w:rsidRPr="00171F00">
        <w:rPr>
          <w:rFonts w:cs="Arial"/>
          <w:lang w:val="sr-Cyrl-BA"/>
        </w:rPr>
        <w:t>Примј</w:t>
      </w:r>
      <w:r w:rsidR="00A56E08" w:rsidRPr="00171F00">
        <w:rPr>
          <w:rFonts w:cs="Arial"/>
          <w:lang w:val="sr-Cyrl-BA"/>
        </w:rPr>
        <w:t>е</w:t>
      </w:r>
      <w:r w:rsidR="0071360A" w:rsidRPr="00171F00">
        <w:rPr>
          <w:rFonts w:cs="Arial"/>
          <w:lang w:val="sr-Cyrl-BA"/>
        </w:rPr>
        <w:t>њиво</w:t>
      </w:r>
      <w:r w:rsidRPr="00171F00">
        <w:rPr>
          <w:rFonts w:cs="Arial"/>
          <w:lang w:val="sr-Cyrl-BA"/>
        </w:rPr>
        <w:t xml:space="preserve"> </w:t>
      </w:r>
      <w:r w:rsidR="0071360A" w:rsidRPr="00171F00">
        <w:rPr>
          <w:rFonts w:cs="Arial"/>
          <w:lang w:val="sr-Cyrl-BA"/>
        </w:rPr>
        <w:t>н</w:t>
      </w:r>
      <w:r w:rsidR="00A56E08" w:rsidRPr="00171F00">
        <w:rPr>
          <w:rFonts w:cs="Arial"/>
          <w:lang w:val="sr-Cyrl-BA"/>
        </w:rPr>
        <w:t>а</w:t>
      </w:r>
      <w:r w:rsidRPr="00171F00">
        <w:rPr>
          <w:rFonts w:cs="Arial"/>
          <w:lang w:val="sr-Cyrl-BA"/>
        </w:rPr>
        <w:t xml:space="preserve"> </w:t>
      </w:r>
      <w:r w:rsidR="0071360A" w:rsidRPr="00171F00">
        <w:rPr>
          <w:rFonts w:cs="Arial"/>
          <w:lang w:val="sr-Cyrl-BA"/>
        </w:rPr>
        <w:t>ро</w:t>
      </w:r>
      <w:r w:rsidR="00A56E08" w:rsidRPr="00171F00">
        <w:rPr>
          <w:rFonts w:cs="Arial"/>
          <w:lang w:val="sr-Cyrl-BA"/>
        </w:rPr>
        <w:t>д</w:t>
      </w:r>
      <w:r w:rsidR="0071360A" w:rsidRPr="00171F00">
        <w:rPr>
          <w:rFonts w:cs="Arial"/>
          <w:lang w:val="sr-Cyrl-BA"/>
        </w:rPr>
        <w:t>ит</w:t>
      </w:r>
      <w:r w:rsidR="00A56E08" w:rsidRPr="00171F00">
        <w:rPr>
          <w:rFonts w:cs="Arial"/>
          <w:lang w:val="sr-Cyrl-BA"/>
        </w:rPr>
        <w:t>е</w:t>
      </w:r>
      <w:r w:rsidR="0071360A" w:rsidRPr="00171F00">
        <w:rPr>
          <w:rFonts w:cs="Arial"/>
          <w:lang w:val="sr-Cyrl-BA"/>
        </w:rPr>
        <w:t>љ</w:t>
      </w:r>
      <w:r w:rsidR="00A56E08" w:rsidRPr="00171F00">
        <w:rPr>
          <w:rFonts w:cs="Arial"/>
          <w:lang w:val="sr-Cyrl-BA"/>
        </w:rPr>
        <w:t>е</w:t>
      </w:r>
      <w:r w:rsidRPr="00171F00">
        <w:rPr>
          <w:rFonts w:cs="Arial"/>
          <w:lang w:val="sr-Cyrl-BA"/>
        </w:rPr>
        <w:t xml:space="preserve"> </w:t>
      </w:r>
      <w:r w:rsidR="0071360A" w:rsidRPr="00171F00">
        <w:rPr>
          <w:rFonts w:cs="Arial"/>
          <w:lang w:val="sr-Cyrl-BA"/>
        </w:rPr>
        <w:t>у</w:t>
      </w:r>
      <w:r w:rsidR="00A56E08" w:rsidRPr="00171F00">
        <w:rPr>
          <w:rFonts w:cs="Arial"/>
          <w:lang w:val="sr-Cyrl-BA"/>
        </w:rPr>
        <w:t>че</w:t>
      </w:r>
      <w:r w:rsidR="0071360A" w:rsidRPr="00171F00">
        <w:rPr>
          <w:rFonts w:cs="Arial"/>
          <w:lang w:val="sr-Cyrl-BA"/>
        </w:rPr>
        <w:t>ник</w:t>
      </w:r>
      <w:r w:rsidR="00A56E08" w:rsidRPr="00171F00">
        <w:rPr>
          <w:rFonts w:cs="Arial"/>
          <w:lang w:val="sr-Cyrl-BA"/>
        </w:rPr>
        <w:t>а</w:t>
      </w:r>
      <w:r w:rsidRPr="00171F00">
        <w:rPr>
          <w:rFonts w:cs="Arial"/>
          <w:lang w:val="sr-Cyrl-BA"/>
        </w:rPr>
        <w:t xml:space="preserve"> </w:t>
      </w:r>
      <w:r w:rsidR="0071360A" w:rsidRPr="00171F00">
        <w:rPr>
          <w:rFonts w:cs="Arial"/>
          <w:lang w:val="sr-Cyrl-BA"/>
        </w:rPr>
        <w:t>основних</w:t>
      </w:r>
      <w:r w:rsidRPr="00171F00">
        <w:rPr>
          <w:rFonts w:cs="Arial"/>
          <w:lang w:val="sr-Cyrl-BA"/>
        </w:rPr>
        <w:t xml:space="preserve"> </w:t>
      </w:r>
      <w:r w:rsidR="0071360A" w:rsidRPr="00171F00">
        <w:rPr>
          <w:rFonts w:cs="Arial"/>
          <w:lang w:val="sr-Cyrl-BA"/>
        </w:rPr>
        <w:t>и</w:t>
      </w:r>
      <w:r w:rsidRPr="00171F00">
        <w:rPr>
          <w:rFonts w:cs="Arial"/>
          <w:lang w:val="sr-Cyrl-BA"/>
        </w:rPr>
        <w:t xml:space="preserve"> </w:t>
      </w:r>
      <w:r w:rsidR="0071360A" w:rsidRPr="00171F00">
        <w:rPr>
          <w:rFonts w:cs="Arial"/>
          <w:lang w:val="sr-Cyrl-BA"/>
        </w:rPr>
        <w:t>ср</w:t>
      </w:r>
      <w:r w:rsidR="00A56E08" w:rsidRPr="00171F00">
        <w:rPr>
          <w:rFonts w:cs="Arial"/>
          <w:lang w:val="sr-Cyrl-BA"/>
        </w:rPr>
        <w:t>ед</w:t>
      </w:r>
      <w:r w:rsidR="0071360A" w:rsidRPr="00171F00">
        <w:rPr>
          <w:rFonts w:cs="Arial"/>
          <w:lang w:val="sr-Cyrl-BA"/>
        </w:rPr>
        <w:t>њих</w:t>
      </w:r>
      <w:r w:rsidRPr="00171F00">
        <w:rPr>
          <w:rFonts w:cs="Arial"/>
          <w:lang w:val="sr-Cyrl-BA"/>
        </w:rPr>
        <w:t xml:space="preserve"> </w:t>
      </w:r>
      <w:r w:rsidR="0071360A" w:rsidRPr="00171F00">
        <w:rPr>
          <w:rFonts w:cs="Arial"/>
          <w:lang w:val="sr-Cyrl-BA"/>
        </w:rPr>
        <w:t>школ</w:t>
      </w:r>
      <w:r w:rsidR="00A56E08" w:rsidRPr="00171F00">
        <w:rPr>
          <w:rFonts w:cs="Arial"/>
          <w:lang w:val="sr-Cyrl-BA"/>
        </w:rPr>
        <w:t>а</w:t>
      </w:r>
      <w:r w:rsidRPr="00171F00">
        <w:rPr>
          <w:rFonts w:cs="Arial"/>
          <w:lang w:val="sr-Cyrl-BA"/>
        </w:rPr>
        <w:t>.</w:t>
      </w:r>
    </w:p>
  </w:footnote>
  <w:footnote w:id="30">
    <w:p w14:paraId="496DA4A0" w14:textId="15C1A5CC" w:rsidR="00F33370" w:rsidRPr="00171F00" w:rsidRDefault="00F33370" w:rsidP="00A94F64">
      <w:pPr>
        <w:pStyle w:val="FootnoteText"/>
        <w:rPr>
          <w:rFonts w:cs="Arial"/>
          <w:color w:val="000000" w:themeColor="text1"/>
          <w:sz w:val="20"/>
          <w:lang w:val="sr-Cyrl-BA"/>
        </w:rPr>
      </w:pPr>
      <w:r w:rsidRPr="00171F00">
        <w:rPr>
          <w:rStyle w:val="FootnoteReference"/>
          <w:rFonts w:cs="Arial"/>
          <w:color w:val="000000" w:themeColor="text1"/>
          <w:sz w:val="20"/>
          <w:lang w:val="sr-Cyrl-BA"/>
        </w:rPr>
        <w:footnoteRef/>
      </w:r>
      <w:r w:rsidRPr="00171F00">
        <w:rPr>
          <w:rFonts w:cs="Arial"/>
          <w:color w:val="000000" w:themeColor="text1"/>
          <w:sz w:val="20"/>
          <w:lang w:val="sr-Cyrl-BA"/>
        </w:rPr>
        <w:t xml:space="preserve"> </w:t>
      </w:r>
      <w:r w:rsidR="0071360A" w:rsidRPr="00171F00">
        <w:rPr>
          <w:rFonts w:cs="Arial"/>
          <w:color w:val="000000" w:themeColor="text1"/>
          <w:sz w:val="20"/>
          <w:lang w:val="sr-Cyrl-BA"/>
        </w:rPr>
        <w:t>Виш</w:t>
      </w:r>
      <w:r w:rsidR="00A56E08" w:rsidRPr="00171F00">
        <w:rPr>
          <w:rFonts w:cs="Arial"/>
          <w:color w:val="000000" w:themeColor="text1"/>
          <w:sz w:val="20"/>
          <w:lang w:val="sr-Cyrl-BA"/>
        </w:rPr>
        <w:t>е</w:t>
      </w:r>
      <w:r w:rsidRPr="00171F00">
        <w:rPr>
          <w:rFonts w:cs="Arial"/>
          <w:color w:val="000000" w:themeColor="text1"/>
          <w:sz w:val="20"/>
          <w:lang w:val="sr-Cyrl-BA"/>
        </w:rPr>
        <w:t xml:space="preserve"> </w:t>
      </w:r>
      <w:r w:rsidR="0071360A" w:rsidRPr="00171F00">
        <w:rPr>
          <w:rFonts w:cs="Arial"/>
          <w:color w:val="000000" w:themeColor="text1"/>
          <w:sz w:val="20"/>
          <w:lang w:val="sr-Cyrl-BA"/>
        </w:rPr>
        <w:t>н</w:t>
      </w:r>
      <w:r w:rsidR="00A56E08" w:rsidRPr="00171F00">
        <w:rPr>
          <w:rFonts w:cs="Arial"/>
          <w:color w:val="000000" w:themeColor="text1"/>
          <w:sz w:val="20"/>
          <w:lang w:val="sr-Cyrl-BA"/>
        </w:rPr>
        <w:t>а</w:t>
      </w:r>
      <w:r w:rsidRPr="00171F00">
        <w:rPr>
          <w:rFonts w:cs="Arial"/>
          <w:color w:val="000000" w:themeColor="text1"/>
          <w:sz w:val="20"/>
          <w:lang w:val="sr-Cyrl-BA"/>
        </w:rPr>
        <w:t xml:space="preserve">: </w:t>
      </w:r>
      <w:hyperlink r:id="rId10" w:history="1">
        <w:r w:rsidR="00A94F64" w:rsidRPr="0039751B">
          <w:rPr>
            <w:rStyle w:val="Hyperlink"/>
          </w:rPr>
          <w:t>https://www.ncvvo.hr/medunarodna-istrazivanja/icils/</w:t>
        </w:r>
      </w:hyperlink>
      <w:r w:rsidR="00A94F64">
        <w:rPr>
          <w:lang w:val="sr-Cyrl-BA"/>
        </w:rPr>
        <w:t xml:space="preserve"> </w:t>
      </w:r>
      <w:r w:rsidRPr="00171F00">
        <w:rPr>
          <w:rFonts w:cs="Arial"/>
          <w:color w:val="000000" w:themeColor="text1"/>
          <w:sz w:val="20"/>
          <w:lang w:val="sr-Cyrl-BA"/>
        </w:rPr>
        <w:t>(</w:t>
      </w:r>
      <w:r w:rsidR="0071360A" w:rsidRPr="00171F00">
        <w:rPr>
          <w:rFonts w:cs="Arial"/>
          <w:color w:val="000000" w:themeColor="text1"/>
          <w:sz w:val="20"/>
          <w:lang w:val="sr-Cyrl-BA"/>
        </w:rPr>
        <w:t>посј</w:t>
      </w:r>
      <w:r w:rsidR="00A56E08" w:rsidRPr="00171F00">
        <w:rPr>
          <w:rFonts w:cs="Arial"/>
          <w:color w:val="000000" w:themeColor="text1"/>
          <w:sz w:val="20"/>
          <w:lang w:val="sr-Cyrl-BA"/>
        </w:rPr>
        <w:t>е</w:t>
      </w:r>
      <w:r w:rsidR="0071360A" w:rsidRPr="00171F00">
        <w:rPr>
          <w:rFonts w:cs="Arial"/>
          <w:color w:val="000000" w:themeColor="text1"/>
          <w:sz w:val="20"/>
          <w:lang w:val="sr-Cyrl-BA"/>
        </w:rPr>
        <w:t>т</w:t>
      </w:r>
      <w:r w:rsidR="00A56E08" w:rsidRPr="00171F00">
        <w:rPr>
          <w:rFonts w:cs="Arial"/>
          <w:color w:val="000000" w:themeColor="text1"/>
          <w:sz w:val="20"/>
          <w:lang w:val="sr-Cyrl-BA"/>
        </w:rPr>
        <w:t>а</w:t>
      </w:r>
      <w:r w:rsidRPr="00171F00">
        <w:rPr>
          <w:rFonts w:cs="Arial"/>
          <w:color w:val="000000" w:themeColor="text1"/>
          <w:sz w:val="20"/>
          <w:lang w:val="sr-Cyrl-BA"/>
        </w:rPr>
        <w:t>: 29.08.2022.)</w:t>
      </w:r>
    </w:p>
    <w:p w14:paraId="7026CAC0" w14:textId="5A871330" w:rsidR="00F33370" w:rsidRPr="00171F00" w:rsidRDefault="00F33370">
      <w:pPr>
        <w:pStyle w:val="FootnoteText"/>
        <w:rPr>
          <w:lang w:val="sr-Cyrl-BA"/>
        </w:rPr>
      </w:pPr>
    </w:p>
  </w:footnote>
  <w:footnote w:id="31">
    <w:p w14:paraId="1E466B28" w14:textId="319684E5" w:rsidR="00F33370" w:rsidRPr="00171F00" w:rsidRDefault="00F33370">
      <w:pPr>
        <w:pStyle w:val="FootnoteText"/>
        <w:rPr>
          <w:lang w:val="sr-Cyrl-BA"/>
        </w:rPr>
      </w:pPr>
      <w:r w:rsidRPr="00171F00">
        <w:rPr>
          <w:rStyle w:val="FootnoteReference"/>
          <w:lang w:val="sr-Cyrl-BA"/>
        </w:rPr>
        <w:footnoteRef/>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порук</w:t>
      </w:r>
      <w:r w:rsidR="00A56E08" w:rsidRPr="00171F00">
        <w:rPr>
          <w:lang w:val="sr-Cyrl-BA"/>
        </w:rPr>
        <w:t>а</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прои</w:t>
      </w:r>
      <w:r w:rsidR="00171F00">
        <w:rPr>
          <w:lang w:val="sr-Cyrl-BA"/>
        </w:rPr>
        <w:t>з</w:t>
      </w:r>
      <w:r w:rsidR="00A56E08" w:rsidRPr="00171F00">
        <w:rPr>
          <w:lang w:val="sr-Cyrl-BA"/>
        </w:rPr>
        <w:t>а</w:t>
      </w:r>
      <w:r w:rsidR="0071360A" w:rsidRPr="00171F00">
        <w:rPr>
          <w:lang w:val="sr-Cyrl-BA"/>
        </w:rPr>
        <w:t>шл</w:t>
      </w:r>
      <w:r w:rsidR="00A56E08" w:rsidRPr="00171F00">
        <w:rPr>
          <w:lang w:val="sr-Cyrl-BA"/>
        </w:rPr>
        <w:t>а</w:t>
      </w:r>
      <w:r w:rsidRPr="00171F00">
        <w:rPr>
          <w:lang w:val="sr-Cyrl-BA"/>
        </w:rPr>
        <w:t xml:space="preserve"> </w:t>
      </w:r>
      <w:r w:rsidR="0071360A" w:rsidRPr="00171F00">
        <w:rPr>
          <w:lang w:val="sr-Cyrl-BA"/>
        </w:rPr>
        <w:t>и</w:t>
      </w:r>
      <w:r w:rsidR="00171F00">
        <w:rPr>
          <w:lang w:val="sr-Cyrl-BA"/>
        </w:rPr>
        <w:t>з</w:t>
      </w:r>
      <w:r w:rsidRPr="00171F00">
        <w:rPr>
          <w:lang w:val="sr-Cyrl-BA"/>
        </w:rPr>
        <w:t xml:space="preserve"> </w:t>
      </w:r>
      <w:r w:rsidR="0071360A" w:rsidRPr="00171F00">
        <w:rPr>
          <w:lang w:val="sr-Cyrl-BA"/>
        </w:rPr>
        <w:t>про</w:t>
      </w:r>
      <w:r w:rsidR="00A56E08" w:rsidRPr="00171F00">
        <w:rPr>
          <w:lang w:val="sr-Cyrl-BA"/>
        </w:rPr>
        <w:t>б</w:t>
      </w:r>
      <w:r w:rsidR="0071360A" w:rsidRPr="00171F00">
        <w:rPr>
          <w:lang w:val="sr-Cyrl-BA"/>
        </w:rPr>
        <w:t>л</w:t>
      </w:r>
      <w:r w:rsidR="00A56E08" w:rsidRPr="00171F00">
        <w:rPr>
          <w:lang w:val="sr-Cyrl-BA"/>
        </w:rPr>
        <w:t>е</w:t>
      </w:r>
      <w:r w:rsidR="0071360A" w:rsidRPr="00171F00">
        <w:rPr>
          <w:lang w:val="sr-Cyrl-BA"/>
        </w:rPr>
        <w:t>м</w:t>
      </w:r>
      <w:r w:rsidR="00A56E08" w:rsidRPr="00171F00">
        <w:rPr>
          <w:lang w:val="sr-Cyrl-BA"/>
        </w:rPr>
        <w:t>а</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по</w:t>
      </w:r>
      <w:r w:rsidR="00171F00">
        <w:rPr>
          <w:lang w:val="sr-Cyrl-BA"/>
        </w:rPr>
        <w:t>з</w:t>
      </w:r>
      <w:r w:rsidR="0071360A" w:rsidRPr="00171F00">
        <w:rPr>
          <w:lang w:val="sr-Cyrl-BA"/>
        </w:rPr>
        <w:t>н</w:t>
      </w:r>
      <w:r w:rsidR="00A56E08" w:rsidRPr="00171F00">
        <w:rPr>
          <w:lang w:val="sr-Cyrl-BA"/>
        </w:rPr>
        <w:t>а</w:t>
      </w:r>
      <w:r w:rsidR="0071360A" w:rsidRPr="00171F00">
        <w:rPr>
          <w:lang w:val="sr-Cyrl-BA"/>
        </w:rPr>
        <w:t>тих</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пр</w:t>
      </w:r>
      <w:r w:rsidR="00A56E08" w:rsidRPr="00171F00">
        <w:rPr>
          <w:lang w:val="sr-Cyrl-BA"/>
        </w:rPr>
        <w:t>а</w:t>
      </w:r>
      <w:r w:rsidR="0071360A" w:rsidRPr="00171F00">
        <w:rPr>
          <w:lang w:val="sr-Cyrl-BA"/>
        </w:rPr>
        <w:t>кси</w:t>
      </w:r>
      <w:r w:rsidR="005470EA" w:rsidRPr="00171F00">
        <w:rPr>
          <w:lang w:val="sr-Cyrl-BA"/>
        </w:rPr>
        <w:t>,</w:t>
      </w:r>
      <w:r w:rsidRPr="00171F00">
        <w:rPr>
          <w:lang w:val="sr-Cyrl-BA"/>
        </w:rPr>
        <w:t xml:space="preserve"> </w:t>
      </w:r>
      <w:r w:rsidR="00A56E08" w:rsidRPr="00171F00">
        <w:rPr>
          <w:lang w:val="sr-Cyrl-BA"/>
        </w:rPr>
        <w:t>а</w:t>
      </w:r>
      <w:r w:rsidRPr="00171F00">
        <w:rPr>
          <w:lang w:val="sr-Cyrl-BA"/>
        </w:rPr>
        <w:t xml:space="preserve"> </w:t>
      </w:r>
      <w:r w:rsidR="0071360A" w:rsidRPr="00171F00">
        <w:rPr>
          <w:lang w:val="sr-Cyrl-BA"/>
        </w:rPr>
        <w:t>о</w:t>
      </w:r>
      <w:r w:rsidR="00A56E08" w:rsidRPr="00171F00">
        <w:rPr>
          <w:lang w:val="sr-Cyrl-BA"/>
        </w:rPr>
        <w:t>д</w:t>
      </w:r>
      <w:r w:rsidR="0071360A" w:rsidRPr="00171F00">
        <w:rPr>
          <w:lang w:val="sr-Cyrl-BA"/>
        </w:rPr>
        <w:t>носи</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е</w:t>
      </w:r>
      <w:r w:rsidR="0071360A" w:rsidRPr="00171F00">
        <w:rPr>
          <w:lang w:val="sr-Cyrl-BA"/>
        </w:rPr>
        <w:t>о</w:t>
      </w:r>
      <w:r w:rsidR="00A56E08" w:rsidRPr="00171F00">
        <w:rPr>
          <w:lang w:val="sr-Cyrl-BA"/>
        </w:rPr>
        <w:t>д</w:t>
      </w:r>
      <w:r w:rsidR="0071360A" w:rsidRPr="00171F00">
        <w:rPr>
          <w:lang w:val="sr-Cyrl-BA"/>
        </w:rPr>
        <w:t>гов</w:t>
      </w:r>
      <w:r w:rsidR="00A56E08" w:rsidRPr="00171F00">
        <w:rPr>
          <w:lang w:val="sr-Cyrl-BA"/>
        </w:rPr>
        <w:t>а</w:t>
      </w:r>
      <w:r w:rsidR="0071360A" w:rsidRPr="00171F00">
        <w:rPr>
          <w:lang w:val="sr-Cyrl-BA"/>
        </w:rPr>
        <w:t>р</w:t>
      </w:r>
      <w:r w:rsidR="00A56E08" w:rsidRPr="00171F00">
        <w:rPr>
          <w:lang w:val="sr-Cyrl-BA"/>
        </w:rPr>
        <w:t>а</w:t>
      </w:r>
      <w:r w:rsidR="0071360A" w:rsidRPr="00171F00">
        <w:rPr>
          <w:lang w:val="sr-Cyrl-BA"/>
        </w:rPr>
        <w:t>ју</w:t>
      </w:r>
      <w:r w:rsidR="00A56E08" w:rsidRPr="00171F00">
        <w:rPr>
          <w:lang w:val="sr-Cyrl-BA"/>
        </w:rPr>
        <w:t>ћ</w:t>
      </w:r>
      <w:r w:rsidR="0071360A" w:rsidRPr="00171F00">
        <w:rPr>
          <w:lang w:val="sr-Cyrl-BA"/>
        </w:rPr>
        <w:t>и</w:t>
      </w:r>
      <w:r w:rsidR="00373C6D" w:rsidRPr="00171F00">
        <w:rPr>
          <w:lang w:val="sr-Cyrl-BA"/>
        </w:rPr>
        <w:t xml:space="preserve"> </w:t>
      </w:r>
      <w:r w:rsidR="0071360A" w:rsidRPr="00171F00">
        <w:rPr>
          <w:lang w:val="sr-Cyrl-BA"/>
        </w:rPr>
        <w:t>ст</w:t>
      </w:r>
      <w:r w:rsidR="00A56E08" w:rsidRPr="00171F00">
        <w:rPr>
          <w:lang w:val="sr-Cyrl-BA"/>
        </w:rPr>
        <w:t>а</w:t>
      </w:r>
      <w:r w:rsidR="0071360A" w:rsidRPr="00171F00">
        <w:rPr>
          <w:lang w:val="sr-Cyrl-BA"/>
        </w:rPr>
        <w:t>тус</w:t>
      </w:r>
      <w:r w:rsidRPr="00171F00">
        <w:rPr>
          <w:lang w:val="sr-Cyrl-BA"/>
        </w:rPr>
        <w:t xml:space="preserve"> </w:t>
      </w:r>
      <w:r w:rsidR="00CA5E58">
        <w:rPr>
          <w:lang w:val="sr-Cyrl-BA"/>
        </w:rPr>
        <w:t>запосленик</w:t>
      </w:r>
      <w:r w:rsidR="00A56E08" w:rsidRPr="00171F00">
        <w:rPr>
          <w:lang w:val="sr-Cyrl-BA"/>
        </w:rPr>
        <w:t>а</w:t>
      </w:r>
      <w:r w:rsidRPr="00171F00">
        <w:rPr>
          <w:lang w:val="sr-Cyrl-BA"/>
        </w:rPr>
        <w:t xml:space="preserve"> </w:t>
      </w:r>
      <w:r w:rsidR="0071360A" w:rsidRPr="00171F00">
        <w:rPr>
          <w:lang w:val="sr-Cyrl-BA"/>
        </w:rPr>
        <w:t>слу</w:t>
      </w:r>
      <w:r w:rsidR="00171F00">
        <w:rPr>
          <w:lang w:val="sr-Cyrl-BA"/>
        </w:rPr>
        <w:t>ж</w:t>
      </w:r>
      <w:r w:rsidR="00A56E08" w:rsidRPr="00171F00">
        <w:rPr>
          <w:lang w:val="sr-Cyrl-BA"/>
        </w:rPr>
        <w:t>б</w:t>
      </w:r>
      <w:r w:rsidR="0071360A" w:rsidRPr="00171F00">
        <w:rPr>
          <w:lang w:val="sr-Cyrl-BA"/>
        </w:rPr>
        <w:t>и</w:t>
      </w:r>
      <w:r w:rsidR="00373C6D" w:rsidRPr="00171F00">
        <w:rPr>
          <w:lang w:val="sr-Cyrl-BA"/>
        </w:rPr>
        <w:t xml:space="preserve"> </w:t>
      </w:r>
      <w:r w:rsidR="00171F00">
        <w:rPr>
          <w:lang w:val="sr-Cyrl-BA"/>
        </w:rPr>
        <w:t>з</w:t>
      </w:r>
      <w:r w:rsidR="00A56E08" w:rsidRPr="00171F00">
        <w:rPr>
          <w:lang w:val="sr-Cyrl-BA"/>
        </w:rPr>
        <w:t>а</w:t>
      </w:r>
      <w:r w:rsidRPr="00171F00">
        <w:rPr>
          <w:lang w:val="sr-Cyrl-BA"/>
        </w:rPr>
        <w:t xml:space="preserve"> </w:t>
      </w:r>
      <w:r w:rsidR="0071360A" w:rsidRPr="00171F00">
        <w:rPr>
          <w:lang w:val="sr-Cyrl-BA"/>
        </w:rPr>
        <w:t>ИТ</w:t>
      </w:r>
      <w:r w:rsidR="00373C6D"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склопу</w:t>
      </w:r>
      <w:r w:rsidRPr="00171F00">
        <w:rPr>
          <w:lang w:val="sr-Cyrl-BA"/>
        </w:rPr>
        <w:t xml:space="preserve"> </w:t>
      </w:r>
      <w:r w:rsidR="0071360A" w:rsidRPr="00171F00">
        <w:rPr>
          <w:lang w:val="sr-Cyrl-BA"/>
        </w:rPr>
        <w:t>о</w:t>
      </w:r>
      <w:r w:rsidR="00A56E08" w:rsidRPr="00171F00">
        <w:rPr>
          <w:lang w:val="sr-Cyrl-BA"/>
        </w:rPr>
        <w:t>б</w:t>
      </w:r>
      <w:r w:rsidR="0071360A" w:rsidRPr="00171F00">
        <w:rPr>
          <w:lang w:val="sr-Cyrl-BA"/>
        </w:rPr>
        <w:t>р</w:t>
      </w:r>
      <w:r w:rsidR="00A56E08" w:rsidRPr="00171F00">
        <w:rPr>
          <w:lang w:val="sr-Cyrl-BA"/>
        </w:rPr>
        <w:t>а</w:t>
      </w:r>
      <w:r w:rsidR="00171F00">
        <w:rPr>
          <w:lang w:val="sr-Cyrl-BA"/>
        </w:rPr>
        <w:t>з</w:t>
      </w:r>
      <w:r w:rsidR="0071360A" w:rsidRPr="00171F00">
        <w:rPr>
          <w:lang w:val="sr-Cyrl-BA"/>
        </w:rPr>
        <w:t>овних</w:t>
      </w:r>
      <w:r w:rsidRPr="00171F00">
        <w:rPr>
          <w:lang w:val="sr-Cyrl-BA"/>
        </w:rPr>
        <w:t xml:space="preserve"> </w:t>
      </w:r>
      <w:r w:rsidR="0071360A" w:rsidRPr="00171F00">
        <w:rPr>
          <w:lang w:val="sr-Cyrl-BA"/>
        </w:rPr>
        <w:t>уст</w:t>
      </w:r>
      <w:r w:rsidR="00A56E08" w:rsidRPr="00171F00">
        <w:rPr>
          <w:lang w:val="sr-Cyrl-BA"/>
        </w:rPr>
        <w:t>а</w:t>
      </w:r>
      <w:r w:rsidR="0071360A" w:rsidRPr="00171F00">
        <w:rPr>
          <w:lang w:val="sr-Cyrl-BA"/>
        </w:rPr>
        <w:t>нов</w:t>
      </w:r>
      <w:r w:rsidR="00A56E08" w:rsidRPr="00171F00">
        <w:rPr>
          <w:lang w:val="sr-Cyrl-BA"/>
        </w:rPr>
        <w:t>а</w:t>
      </w:r>
      <w:r w:rsidRPr="00171F00">
        <w:rPr>
          <w:lang w:val="sr-Cyrl-BA"/>
        </w:rPr>
        <w:t xml:space="preserve">. </w:t>
      </w:r>
      <w:r w:rsidR="0071360A" w:rsidRPr="00171F00">
        <w:rPr>
          <w:lang w:val="sr-Cyrl-BA"/>
        </w:rPr>
        <w:t>В</w:t>
      </w:r>
      <w:r w:rsidR="00A56E08" w:rsidRPr="00171F00">
        <w:rPr>
          <w:lang w:val="sr-Cyrl-BA"/>
        </w:rPr>
        <w:t>а</w:t>
      </w:r>
      <w:r w:rsidR="00171F00">
        <w:rPr>
          <w:lang w:val="sr-Cyrl-BA"/>
        </w:rPr>
        <w:t>ж</w:t>
      </w:r>
      <w:r w:rsidR="0071360A" w:rsidRPr="00171F00">
        <w:rPr>
          <w:lang w:val="sr-Cyrl-BA"/>
        </w:rPr>
        <w:t>но</w:t>
      </w:r>
      <w:r w:rsidRPr="00171F00">
        <w:rPr>
          <w:lang w:val="sr-Cyrl-BA"/>
        </w:rPr>
        <w:t xml:space="preserve"> </w:t>
      </w:r>
      <w:r w:rsidR="0071360A" w:rsidRPr="00171F00">
        <w:rPr>
          <w:lang w:val="sr-Cyrl-BA"/>
        </w:rPr>
        <w:t>ј</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гл</w:t>
      </w:r>
      <w:r w:rsidR="00A56E08" w:rsidRPr="00171F00">
        <w:rPr>
          <w:lang w:val="sr-Cyrl-BA"/>
        </w:rPr>
        <w:t>а</w:t>
      </w:r>
      <w:r w:rsidR="0071360A" w:rsidRPr="00171F00">
        <w:rPr>
          <w:lang w:val="sr-Cyrl-BA"/>
        </w:rPr>
        <w:t>сити</w:t>
      </w:r>
      <w:r w:rsidRPr="00171F00">
        <w:rPr>
          <w:lang w:val="sr-Cyrl-BA"/>
        </w:rPr>
        <w:t xml:space="preserve"> </w:t>
      </w:r>
      <w:r w:rsidR="00A56E08" w:rsidRPr="00171F00">
        <w:rPr>
          <w:lang w:val="sr-Cyrl-BA"/>
        </w:rPr>
        <w:t>да</w:t>
      </w:r>
      <w:r w:rsidRPr="00171F00">
        <w:rPr>
          <w:lang w:val="sr-Cyrl-BA"/>
        </w:rPr>
        <w:t xml:space="preserve"> </w:t>
      </w:r>
      <w:r w:rsidR="0071360A" w:rsidRPr="00171F00">
        <w:rPr>
          <w:lang w:val="sr-Cyrl-BA"/>
        </w:rPr>
        <w:t>с</w:t>
      </w:r>
      <w:r w:rsidR="00A56E08" w:rsidRPr="00171F00">
        <w:rPr>
          <w:lang w:val="sr-Cyrl-BA"/>
        </w:rPr>
        <w:t>е</w:t>
      </w:r>
      <w:r w:rsidRPr="00171F00">
        <w:rPr>
          <w:lang w:val="sr-Cyrl-BA"/>
        </w:rPr>
        <w:t xml:space="preserve"> </w:t>
      </w:r>
      <w:r w:rsidR="0071360A" w:rsidRPr="00171F00">
        <w:rPr>
          <w:lang w:val="sr-Cyrl-BA"/>
        </w:rPr>
        <w:t>ов</w:t>
      </w:r>
      <w:r w:rsidR="00A56E08" w:rsidRPr="00171F00">
        <w:rPr>
          <w:lang w:val="sr-Cyrl-BA"/>
        </w:rPr>
        <w:t>а</w:t>
      </w:r>
      <w:r w:rsidRPr="00171F00">
        <w:rPr>
          <w:lang w:val="sr-Cyrl-BA"/>
        </w:rPr>
        <w:t xml:space="preserve"> </w:t>
      </w:r>
      <w:r w:rsidR="0071360A" w:rsidRPr="00171F00">
        <w:rPr>
          <w:lang w:val="sr-Cyrl-BA"/>
        </w:rPr>
        <w:t>пој</w:t>
      </w:r>
      <w:r w:rsidR="00A56E08" w:rsidRPr="00171F00">
        <w:rPr>
          <w:lang w:val="sr-Cyrl-BA"/>
        </w:rPr>
        <w:t>а</w:t>
      </w:r>
      <w:r w:rsidR="0071360A" w:rsidRPr="00171F00">
        <w:rPr>
          <w:lang w:val="sr-Cyrl-BA"/>
        </w:rPr>
        <w:t>в</w:t>
      </w:r>
      <w:r w:rsidR="00A56E08" w:rsidRPr="00171F00">
        <w:rPr>
          <w:lang w:val="sr-Cyrl-BA"/>
        </w:rPr>
        <w:t>а</w:t>
      </w:r>
      <w:r w:rsidRPr="00171F00">
        <w:rPr>
          <w:lang w:val="sr-Cyrl-BA"/>
        </w:rPr>
        <w:t xml:space="preserve"> </w:t>
      </w:r>
      <w:r w:rsidR="0071360A" w:rsidRPr="00171F00">
        <w:rPr>
          <w:lang w:val="sr-Cyrl-BA"/>
        </w:rPr>
        <w:t>н</w:t>
      </w:r>
      <w:r w:rsidR="00A56E08" w:rsidRPr="00171F00">
        <w:rPr>
          <w:lang w:val="sr-Cyrl-BA"/>
        </w:rPr>
        <w:t>е</w:t>
      </w:r>
      <w:r w:rsidRPr="00171F00">
        <w:rPr>
          <w:lang w:val="sr-Cyrl-BA"/>
        </w:rPr>
        <w:t xml:space="preserve"> </w:t>
      </w:r>
      <w:r w:rsidR="0071360A" w:rsidRPr="00171F00">
        <w:rPr>
          <w:lang w:val="sr-Cyrl-BA"/>
        </w:rPr>
        <w:t>мо</w:t>
      </w:r>
      <w:r w:rsidR="00171F00">
        <w:rPr>
          <w:lang w:val="sr-Cyrl-BA"/>
        </w:rPr>
        <w:t>ж</w:t>
      </w:r>
      <w:r w:rsidR="00A56E08" w:rsidRPr="00171F00">
        <w:rPr>
          <w:lang w:val="sr-Cyrl-BA"/>
        </w:rPr>
        <w:t>е</w:t>
      </w:r>
      <w:r w:rsidRPr="00171F00">
        <w:rPr>
          <w:lang w:val="sr-Cyrl-BA"/>
        </w:rPr>
        <w:t xml:space="preserve"> </w:t>
      </w:r>
      <w:r w:rsidR="0071360A" w:rsidRPr="00171F00">
        <w:rPr>
          <w:lang w:val="sr-Cyrl-BA"/>
        </w:rPr>
        <w:t>у</w:t>
      </w:r>
      <w:r w:rsidRPr="00171F00">
        <w:rPr>
          <w:lang w:val="sr-Cyrl-BA"/>
        </w:rPr>
        <w:t xml:space="preserve"> </w:t>
      </w:r>
      <w:r w:rsidR="0071360A" w:rsidRPr="00171F00">
        <w:rPr>
          <w:lang w:val="sr-Cyrl-BA"/>
        </w:rPr>
        <w:t>потпуности</w:t>
      </w:r>
      <w:r w:rsidRPr="00171F00">
        <w:rPr>
          <w:lang w:val="sr-Cyrl-BA"/>
        </w:rPr>
        <w:t xml:space="preserve"> </w:t>
      </w:r>
      <w:r w:rsidR="0071360A" w:rsidRPr="00171F00">
        <w:rPr>
          <w:lang w:val="sr-Cyrl-BA"/>
        </w:rPr>
        <w:t>г</w:t>
      </w:r>
      <w:r w:rsidR="00A56E08" w:rsidRPr="00171F00">
        <w:rPr>
          <w:lang w:val="sr-Cyrl-BA"/>
        </w:rPr>
        <w:t>е</w:t>
      </w:r>
      <w:r w:rsidR="0071360A" w:rsidRPr="00171F00">
        <w:rPr>
          <w:lang w:val="sr-Cyrl-BA"/>
        </w:rPr>
        <w:t>н</w:t>
      </w:r>
      <w:r w:rsidR="00A56E08" w:rsidRPr="00171F00">
        <w:rPr>
          <w:lang w:val="sr-Cyrl-BA"/>
        </w:rPr>
        <w:t>е</w:t>
      </w:r>
      <w:r w:rsidR="0071360A" w:rsidRPr="00171F00">
        <w:rPr>
          <w:lang w:val="sr-Cyrl-BA"/>
        </w:rPr>
        <w:t>р</w:t>
      </w:r>
      <w:r w:rsidR="00A56E08" w:rsidRPr="00171F00">
        <w:rPr>
          <w:lang w:val="sr-Cyrl-BA"/>
        </w:rPr>
        <w:t>а</w:t>
      </w:r>
      <w:r w:rsidR="0071360A" w:rsidRPr="00171F00">
        <w:rPr>
          <w:lang w:val="sr-Cyrl-BA"/>
        </w:rPr>
        <w:t>ли</w:t>
      </w:r>
      <w:r w:rsidR="00171F00">
        <w:rPr>
          <w:lang w:val="sr-Cyrl-BA"/>
        </w:rPr>
        <w:t>з</w:t>
      </w:r>
      <w:r w:rsidR="0071360A" w:rsidRPr="00171F00">
        <w:rPr>
          <w:lang w:val="sr-Cyrl-BA"/>
        </w:rPr>
        <w:t>ов</w:t>
      </w:r>
      <w:r w:rsidR="00A56E08" w:rsidRPr="00171F00">
        <w:rPr>
          <w:lang w:val="sr-Cyrl-BA"/>
        </w:rPr>
        <w:t>а</w:t>
      </w:r>
      <w:r w:rsidR="0071360A" w:rsidRPr="00171F00">
        <w:rPr>
          <w:lang w:val="sr-Cyrl-BA"/>
        </w:rPr>
        <w:t>ти</w:t>
      </w:r>
      <w:r w:rsidRPr="00171F00">
        <w:rPr>
          <w:lang w:val="sr-Cyrl-BA"/>
        </w:rPr>
        <w:t xml:space="preserve">, </w:t>
      </w:r>
      <w:r w:rsidR="00A56E08" w:rsidRPr="00171F00">
        <w:rPr>
          <w:lang w:val="sr-Cyrl-BA"/>
        </w:rPr>
        <w:t>а</w:t>
      </w:r>
      <w:r w:rsidR="0071360A" w:rsidRPr="00171F00">
        <w:rPr>
          <w:lang w:val="sr-Cyrl-BA"/>
        </w:rPr>
        <w:t>ли</w:t>
      </w:r>
      <w:r w:rsidRPr="00171F00">
        <w:rPr>
          <w:lang w:val="sr-Cyrl-BA"/>
        </w:rPr>
        <w:t xml:space="preserve"> </w:t>
      </w:r>
      <w:r w:rsidR="00A56E08" w:rsidRPr="00171F00">
        <w:rPr>
          <w:lang w:val="sr-Cyrl-BA"/>
        </w:rPr>
        <w:t>да</w:t>
      </w:r>
      <w:r w:rsidRPr="00171F00">
        <w:rPr>
          <w:lang w:val="sr-Cyrl-BA"/>
        </w:rPr>
        <w:t xml:space="preserve"> </w:t>
      </w:r>
      <w:r w:rsidR="0071360A" w:rsidRPr="00171F00">
        <w:rPr>
          <w:lang w:val="sr-Cyrl-BA"/>
        </w:rPr>
        <w:t>ју</w:t>
      </w:r>
      <w:r w:rsidRPr="00171F00">
        <w:rPr>
          <w:lang w:val="sr-Cyrl-BA"/>
        </w:rPr>
        <w:t xml:space="preserve"> </w:t>
      </w:r>
      <w:r w:rsidR="0071360A" w:rsidRPr="00171F00">
        <w:rPr>
          <w:lang w:val="sr-Cyrl-BA"/>
        </w:rPr>
        <w:t>ј</w:t>
      </w:r>
      <w:r w:rsidR="00A56E08" w:rsidRPr="00171F00">
        <w:rPr>
          <w:lang w:val="sr-Cyrl-BA"/>
        </w:rPr>
        <w:t>е</w:t>
      </w:r>
      <w:r w:rsidR="00B04FA8">
        <w:rPr>
          <w:lang w:val="sr-Cyrl-BA"/>
        </w:rPr>
        <w:t xml:space="preserve"> </w:t>
      </w:r>
      <w:r w:rsidR="001F2F40">
        <w:rPr>
          <w:lang w:val="sr-Cyrl-BA"/>
        </w:rPr>
        <w:t>с обзиром</w:t>
      </w:r>
      <w:r w:rsidRPr="00171F00">
        <w:rPr>
          <w:lang w:val="sr-Cyrl-BA"/>
        </w:rPr>
        <w:t xml:space="preserve"> </w:t>
      </w:r>
      <w:r w:rsidR="0071360A" w:rsidRPr="00171F00">
        <w:rPr>
          <w:lang w:val="sr-Cyrl-BA"/>
        </w:rPr>
        <w:t>н</w:t>
      </w:r>
      <w:r w:rsidR="00A56E08" w:rsidRPr="00171F00">
        <w:rPr>
          <w:lang w:val="sr-Cyrl-BA"/>
        </w:rPr>
        <w:t>а</w:t>
      </w:r>
      <w:r w:rsidRPr="00171F00">
        <w:rPr>
          <w:lang w:val="sr-Cyrl-BA"/>
        </w:rPr>
        <w:t xml:space="preserve"> </w:t>
      </w:r>
      <w:r w:rsidR="0071360A" w:rsidRPr="00171F00">
        <w:rPr>
          <w:lang w:val="sr-Cyrl-BA"/>
        </w:rPr>
        <w:t>инструк</w:t>
      </w:r>
      <w:r w:rsidR="00A56E08" w:rsidRPr="00171F00">
        <w:rPr>
          <w:lang w:val="sr-Cyrl-BA"/>
        </w:rPr>
        <w:t>ц</w:t>
      </w:r>
      <w:r w:rsidR="0071360A" w:rsidRPr="00171F00">
        <w:rPr>
          <w:lang w:val="sr-Cyrl-BA"/>
        </w:rPr>
        <w:t>иј</w:t>
      </w:r>
      <w:r w:rsidR="00A56E08" w:rsidRPr="00171F00">
        <w:rPr>
          <w:lang w:val="sr-Cyrl-BA"/>
        </w:rPr>
        <w:t>е</w:t>
      </w:r>
      <w:r w:rsidRPr="00171F00">
        <w:rPr>
          <w:lang w:val="sr-Cyrl-BA"/>
        </w:rPr>
        <w:t xml:space="preserve"> </w:t>
      </w:r>
      <w:r w:rsidR="00A56E08" w:rsidRPr="00171F00">
        <w:rPr>
          <w:lang w:val="sr-Cyrl-BA"/>
        </w:rPr>
        <w:t>ч</w:t>
      </w:r>
      <w:r w:rsidR="0071360A" w:rsidRPr="00171F00">
        <w:rPr>
          <w:lang w:val="sr-Cyrl-BA"/>
        </w:rPr>
        <w:t>л</w:t>
      </w:r>
      <w:r w:rsidR="00A56E08" w:rsidRPr="00171F00">
        <w:rPr>
          <w:lang w:val="sr-Cyrl-BA"/>
        </w:rPr>
        <w:t>а</w:t>
      </w:r>
      <w:r w:rsidR="0071360A" w:rsidRPr="00171F00">
        <w:rPr>
          <w:lang w:val="sr-Cyrl-BA"/>
        </w:rPr>
        <w:t>нов</w:t>
      </w:r>
      <w:r w:rsidR="00A56E08" w:rsidRPr="00171F00">
        <w:rPr>
          <w:lang w:val="sr-Cyrl-BA"/>
        </w:rPr>
        <w:t>а</w:t>
      </w:r>
      <w:r w:rsidRPr="00171F00">
        <w:rPr>
          <w:lang w:val="sr-Cyrl-BA"/>
        </w:rPr>
        <w:t xml:space="preserve"> </w:t>
      </w:r>
      <w:r w:rsidR="0071360A" w:rsidRPr="00171F00">
        <w:rPr>
          <w:lang w:val="sr-Cyrl-BA"/>
        </w:rPr>
        <w:t>РГ</w:t>
      </w:r>
      <w:r w:rsidRPr="00171F00">
        <w:rPr>
          <w:lang w:val="sr-Cyrl-BA"/>
        </w:rPr>
        <w:t xml:space="preserve"> </w:t>
      </w:r>
      <w:r w:rsidR="0071360A" w:rsidRPr="00171F00">
        <w:rPr>
          <w:lang w:val="sr-Cyrl-BA"/>
        </w:rPr>
        <w:t>ип</w:t>
      </w:r>
      <w:r w:rsidR="00A56E08" w:rsidRPr="00171F00">
        <w:rPr>
          <w:lang w:val="sr-Cyrl-BA"/>
        </w:rPr>
        <w:t>а</w:t>
      </w:r>
      <w:r w:rsidR="0071360A" w:rsidRPr="00171F00">
        <w:rPr>
          <w:lang w:val="sr-Cyrl-BA"/>
        </w:rPr>
        <w:t>к</w:t>
      </w:r>
      <w:r w:rsidRPr="00171F00">
        <w:rPr>
          <w:lang w:val="sr-Cyrl-BA"/>
        </w:rPr>
        <w:t xml:space="preserve"> </w:t>
      </w:r>
      <w:r w:rsidR="0071360A" w:rsidRPr="00171F00">
        <w:rPr>
          <w:lang w:val="sr-Cyrl-BA"/>
        </w:rPr>
        <w:t>в</w:t>
      </w:r>
      <w:r w:rsidR="00A56E08" w:rsidRPr="00171F00">
        <w:rPr>
          <w:lang w:val="sr-Cyrl-BA"/>
        </w:rPr>
        <w:t>а</w:t>
      </w:r>
      <w:r w:rsidR="00171F00">
        <w:rPr>
          <w:lang w:val="sr-Cyrl-BA"/>
        </w:rPr>
        <w:t>ж</w:t>
      </w:r>
      <w:r w:rsidR="0071360A" w:rsidRPr="00171F00">
        <w:rPr>
          <w:lang w:val="sr-Cyrl-BA"/>
        </w:rPr>
        <w:t>но</w:t>
      </w:r>
      <w:r w:rsidRPr="00171F00">
        <w:rPr>
          <w:lang w:val="sr-Cyrl-BA"/>
        </w:rPr>
        <w:t xml:space="preserve"> </w:t>
      </w:r>
      <w:r w:rsidR="0071360A" w:rsidRPr="00171F00">
        <w:rPr>
          <w:lang w:val="sr-Cyrl-BA"/>
        </w:rPr>
        <w:t>уврстити</w:t>
      </w:r>
      <w:r w:rsidRPr="00171F00">
        <w:rPr>
          <w:lang w:val="sr-Cyrl-BA"/>
        </w:rPr>
        <w:t xml:space="preserve"> </w:t>
      </w:r>
      <w:r w:rsidR="0071360A" w:rsidRPr="00171F00">
        <w:rPr>
          <w:lang w:val="sr-Cyrl-BA"/>
        </w:rPr>
        <w:t>м</w:t>
      </w:r>
      <w:r w:rsidR="00A56E08" w:rsidRPr="00171F00">
        <w:rPr>
          <w:lang w:val="sr-Cyrl-BA"/>
        </w:rPr>
        <w:t>еђ</w:t>
      </w:r>
      <w:r w:rsidR="0071360A" w:rsidRPr="00171F00">
        <w:rPr>
          <w:lang w:val="sr-Cyrl-BA"/>
        </w:rPr>
        <w:t>у</w:t>
      </w:r>
      <w:r w:rsidRPr="00171F00">
        <w:rPr>
          <w:lang w:val="sr-Cyrl-BA"/>
        </w:rPr>
        <w:t xml:space="preserve"> </w:t>
      </w:r>
      <w:r w:rsidR="0071360A" w:rsidRPr="00171F00">
        <w:rPr>
          <w:lang w:val="sr-Cyrl-BA"/>
        </w:rPr>
        <w:t>пр</w:t>
      </w:r>
      <w:r w:rsidR="00A56E08" w:rsidRPr="00171F00">
        <w:rPr>
          <w:lang w:val="sr-Cyrl-BA"/>
        </w:rPr>
        <w:t>е</w:t>
      </w:r>
      <w:r w:rsidR="0071360A" w:rsidRPr="00171F00">
        <w:rPr>
          <w:lang w:val="sr-Cyrl-BA"/>
        </w:rPr>
        <w:t>порук</w:t>
      </w:r>
      <w:r w:rsidR="00A56E08" w:rsidRPr="00171F00">
        <w:rPr>
          <w:lang w:val="sr-Cyrl-BA"/>
        </w:rPr>
        <w:t>е</w:t>
      </w:r>
      <w:r w:rsidRPr="00171F00">
        <w:rPr>
          <w:lang w:val="sr-Cyrl-BA"/>
        </w:rPr>
        <w:t xml:space="preserve"> </w:t>
      </w:r>
      <w:r w:rsidR="00171F00">
        <w:rPr>
          <w:lang w:val="sr-Cyrl-BA"/>
        </w:rPr>
        <w:t>з</w:t>
      </w:r>
      <w:r w:rsidR="00A56E08" w:rsidRPr="00171F00">
        <w:rPr>
          <w:lang w:val="sr-Cyrl-BA"/>
        </w:rPr>
        <w:t>а</w:t>
      </w:r>
      <w:r w:rsidRPr="00171F00">
        <w:rPr>
          <w:lang w:val="sr-Cyrl-BA"/>
        </w:rPr>
        <w:t xml:space="preserve"> </w:t>
      </w:r>
      <w:r w:rsidR="0071360A" w:rsidRPr="00171F00">
        <w:rPr>
          <w:lang w:val="sr-Cyrl-BA"/>
        </w:rPr>
        <w:t>ун</w:t>
      </w:r>
      <w:r w:rsidR="00A56E08" w:rsidRPr="00171F00">
        <w:rPr>
          <w:lang w:val="sr-Cyrl-BA"/>
        </w:rPr>
        <w:t>а</w:t>
      </w:r>
      <w:r w:rsidR="0071360A" w:rsidRPr="00171F00">
        <w:rPr>
          <w:lang w:val="sr-Cyrl-BA"/>
        </w:rPr>
        <w:t>прј</w:t>
      </w:r>
      <w:r w:rsidR="00A56E08" w:rsidRPr="00171F00">
        <w:rPr>
          <w:lang w:val="sr-Cyrl-BA"/>
        </w:rPr>
        <w:t>еђе</w:t>
      </w:r>
      <w:r w:rsidR="0071360A" w:rsidRPr="00171F00">
        <w:rPr>
          <w:lang w:val="sr-Cyrl-BA"/>
        </w:rPr>
        <w:t>њ</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00373C6D" w:rsidRPr="00171F00">
        <w:rPr>
          <w:lang w:val="sr-Cyrl-BA"/>
        </w:rPr>
        <w:t xml:space="preserve"> </w:t>
      </w:r>
      <w:r w:rsidR="0071360A" w:rsidRPr="00171F00">
        <w:rPr>
          <w:lang w:val="sr-Cyrl-BA"/>
        </w:rPr>
        <w:t>пут</w:t>
      </w:r>
      <w:r w:rsidR="00A56E08" w:rsidRPr="00171F00">
        <w:rPr>
          <w:lang w:val="sr-Cyrl-BA"/>
        </w:rPr>
        <w:t>е</w:t>
      </w:r>
      <w:r w:rsidR="0071360A" w:rsidRPr="00171F00">
        <w:rPr>
          <w:lang w:val="sr-Cyrl-BA"/>
        </w:rPr>
        <w:t>м</w:t>
      </w:r>
      <w:r w:rsidR="00373C6D" w:rsidRPr="00171F00">
        <w:rPr>
          <w:lang w:val="sr-Cyrl-BA"/>
        </w:rPr>
        <w:t xml:space="preserve"> </w:t>
      </w:r>
      <w:r w:rsidR="0071360A" w:rsidRPr="00171F00">
        <w:rPr>
          <w:lang w:val="sr-Cyrl-BA"/>
        </w:rPr>
        <w:t>инт</w:t>
      </w:r>
      <w:r w:rsidR="00A56E08" w:rsidRPr="00171F00">
        <w:rPr>
          <w:lang w:val="sr-Cyrl-BA"/>
        </w:rPr>
        <w:t>е</w:t>
      </w:r>
      <w:r w:rsidR="0071360A" w:rsidRPr="00171F00">
        <w:rPr>
          <w:lang w:val="sr-Cyrl-BA"/>
        </w:rPr>
        <w:t>рн</w:t>
      </w:r>
      <w:r w:rsidR="00A56E08" w:rsidRPr="00171F00">
        <w:rPr>
          <w:lang w:val="sr-Cyrl-BA"/>
        </w:rPr>
        <w:t>е</w:t>
      </w:r>
      <w:r w:rsidR="0071360A" w:rsidRPr="00171F00">
        <w:rPr>
          <w:lang w:val="sr-Cyrl-BA"/>
        </w:rPr>
        <w:t>т</w:t>
      </w:r>
      <w:r w:rsidR="00A56E08" w:rsidRPr="00171F00">
        <w:rPr>
          <w:lang w:val="sr-Cyrl-BA"/>
        </w:rPr>
        <w:t>а</w:t>
      </w:r>
      <w:r w:rsidRPr="00171F00">
        <w:rPr>
          <w:lang w:val="sr-Cyrl-BA"/>
        </w:rPr>
        <w:t xml:space="preserve"> </w:t>
      </w:r>
      <w:r w:rsidR="0071360A" w:rsidRPr="00171F00">
        <w:rPr>
          <w:lang w:val="sr-Cyrl-BA"/>
        </w:rPr>
        <w:t>и</w:t>
      </w:r>
      <w:r w:rsidRPr="00171F00">
        <w:rPr>
          <w:lang w:val="sr-Cyrl-BA"/>
        </w:rPr>
        <w:t xml:space="preserve"> </w:t>
      </w:r>
      <w:r w:rsidR="0071360A" w:rsidRPr="00171F00">
        <w:rPr>
          <w:lang w:val="sr-Cyrl-BA"/>
        </w:rPr>
        <w:t>ком</w:t>
      </w:r>
      <w:r w:rsidR="00A56E08" w:rsidRPr="00171F00">
        <w:rPr>
          <w:lang w:val="sr-Cyrl-BA"/>
        </w:rPr>
        <w:t>б</w:t>
      </w:r>
      <w:r w:rsidR="0071360A" w:rsidRPr="00171F00">
        <w:rPr>
          <w:lang w:val="sr-Cyrl-BA"/>
        </w:rPr>
        <w:t>инов</w:t>
      </w:r>
      <w:r w:rsidR="00A56E08" w:rsidRPr="00171F00">
        <w:rPr>
          <w:lang w:val="sr-Cyrl-BA"/>
        </w:rPr>
        <w:t>а</w:t>
      </w:r>
      <w:r w:rsidR="0071360A" w:rsidRPr="00171F00">
        <w:rPr>
          <w:lang w:val="sr-Cyrl-BA"/>
        </w:rPr>
        <w:t>н</w:t>
      </w:r>
      <w:r w:rsidR="00A56E08" w:rsidRPr="00171F00">
        <w:rPr>
          <w:lang w:val="sr-Cyrl-BA"/>
        </w:rPr>
        <w:t>е</w:t>
      </w:r>
      <w:r w:rsidRPr="00171F00">
        <w:rPr>
          <w:lang w:val="sr-Cyrl-BA"/>
        </w:rPr>
        <w:t xml:space="preserve"> </w:t>
      </w:r>
      <w:r w:rsidR="0071360A" w:rsidRPr="00171F00">
        <w:rPr>
          <w:lang w:val="sr-Cyrl-BA"/>
        </w:rPr>
        <w:t>н</w:t>
      </w:r>
      <w:r w:rsidR="00A56E08" w:rsidRPr="00171F00">
        <w:rPr>
          <w:lang w:val="sr-Cyrl-BA"/>
        </w:rPr>
        <w:t>а</w:t>
      </w:r>
      <w:r w:rsidR="0071360A" w:rsidRPr="00171F00">
        <w:rPr>
          <w:lang w:val="sr-Cyrl-BA"/>
        </w:rPr>
        <w:t>ст</w:t>
      </w:r>
      <w:r w:rsidR="00A56E08" w:rsidRPr="00171F00">
        <w:rPr>
          <w:lang w:val="sr-Cyrl-BA"/>
        </w:rPr>
        <w:t>а</w:t>
      </w:r>
      <w:r w:rsidR="0071360A" w:rsidRPr="00171F00">
        <w:rPr>
          <w:lang w:val="sr-Cyrl-BA"/>
        </w:rPr>
        <w:t>в</w:t>
      </w:r>
      <w:r w:rsidR="00A56E08" w:rsidRPr="00171F00">
        <w:rPr>
          <w:lang w:val="sr-Cyrl-BA"/>
        </w:rPr>
        <w:t>е</w:t>
      </w:r>
      <w:r w:rsidRPr="00171F00">
        <w:rPr>
          <w:lang w:val="sr-Cyrl-B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26BF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C7693"/>
    <w:multiLevelType w:val="hybridMultilevel"/>
    <w:tmpl w:val="20D27C60"/>
    <w:lvl w:ilvl="0" w:tplc="FFFFFFFF">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F21CB"/>
    <w:multiLevelType w:val="multilevel"/>
    <w:tmpl w:val="2246601C"/>
    <w:lvl w:ilvl="0">
      <w:start w:val="4"/>
      <w:numFmt w:val="decimal"/>
      <w:lvlText w:val="%1."/>
      <w:lvlJc w:val="left"/>
      <w:pPr>
        <w:ind w:left="600" w:hanging="60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 w15:restartNumberingAfterBreak="0">
    <w:nsid w:val="02CD2CCA"/>
    <w:multiLevelType w:val="multilevel"/>
    <w:tmpl w:val="F51E33E2"/>
    <w:lvl w:ilvl="0">
      <w:start w:val="1"/>
      <w:numFmt w:val="decimal"/>
      <w:lvlText w:val="%1"/>
      <w:lvlJc w:val="left"/>
      <w:pPr>
        <w:ind w:left="580" w:hanging="580"/>
      </w:pPr>
      <w:rPr>
        <w:rFonts w:hint="default"/>
      </w:rPr>
    </w:lvl>
    <w:lvl w:ilvl="1">
      <w:start w:val="2"/>
      <w:numFmt w:val="decimal"/>
      <w:lvlText w:val="%1.%2"/>
      <w:lvlJc w:val="left"/>
      <w:pPr>
        <w:ind w:left="1116"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4" w15:restartNumberingAfterBreak="0">
    <w:nsid w:val="043223CC"/>
    <w:multiLevelType w:val="hybridMultilevel"/>
    <w:tmpl w:val="3CE6C258"/>
    <w:lvl w:ilvl="0" w:tplc="08090011">
      <w:start w:val="1"/>
      <w:numFmt w:val="decimal"/>
      <w:lvlText w:val="%1)"/>
      <w:lvlJc w:val="left"/>
      <w:pPr>
        <w:ind w:left="720"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05110A04"/>
    <w:multiLevelType w:val="hybridMultilevel"/>
    <w:tmpl w:val="5B068F7C"/>
    <w:lvl w:ilvl="0" w:tplc="FC04F374">
      <w:start w:val="1"/>
      <w:numFmt w:val="bullet"/>
      <w:pStyle w:val="Bulletlis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8D3D9C"/>
    <w:multiLevelType w:val="multilevel"/>
    <w:tmpl w:val="9B5A7BBE"/>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A812C08"/>
    <w:multiLevelType w:val="hybridMultilevel"/>
    <w:tmpl w:val="A4C6B582"/>
    <w:lvl w:ilvl="0" w:tplc="BB80C70A">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25354"/>
    <w:multiLevelType w:val="hybridMultilevel"/>
    <w:tmpl w:val="1938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407845"/>
    <w:multiLevelType w:val="hybridMultilevel"/>
    <w:tmpl w:val="B2A4DD44"/>
    <w:lvl w:ilvl="0" w:tplc="2364FAD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3B227C"/>
    <w:multiLevelType w:val="hybridMultilevel"/>
    <w:tmpl w:val="F5426542"/>
    <w:lvl w:ilvl="0" w:tplc="F14C943E">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C55E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C965A2"/>
    <w:multiLevelType w:val="hybridMultilevel"/>
    <w:tmpl w:val="20D27C6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0A00CF7"/>
    <w:multiLevelType w:val="hybridMultilevel"/>
    <w:tmpl w:val="35C07AA6"/>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0D5079"/>
    <w:multiLevelType w:val="hybridMultilevel"/>
    <w:tmpl w:val="EEE21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437687"/>
    <w:multiLevelType w:val="hybridMultilevel"/>
    <w:tmpl w:val="F2204114"/>
    <w:lvl w:ilvl="0" w:tplc="53B0E9EC">
      <w:start w:val="4"/>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153E19EB"/>
    <w:multiLevelType w:val="hybridMultilevel"/>
    <w:tmpl w:val="1BEEC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93268B"/>
    <w:multiLevelType w:val="hybridMultilevel"/>
    <w:tmpl w:val="FDA406C0"/>
    <w:lvl w:ilvl="0" w:tplc="2364FAD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8A21F4"/>
    <w:multiLevelType w:val="hybridMultilevel"/>
    <w:tmpl w:val="62002BFE"/>
    <w:lvl w:ilvl="0" w:tplc="042089FE">
      <w:start w:val="1"/>
      <w:numFmt w:val="decimal"/>
      <w:lvlText w:val="%1."/>
      <w:lvlJc w:val="left"/>
      <w:pPr>
        <w:ind w:left="360" w:hanging="360"/>
      </w:pPr>
      <w:rPr>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0936C4"/>
    <w:multiLevelType w:val="hybridMultilevel"/>
    <w:tmpl w:val="239A444E"/>
    <w:lvl w:ilvl="0" w:tplc="C5EA14C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019064E"/>
    <w:multiLevelType w:val="multilevel"/>
    <w:tmpl w:val="056EB25E"/>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2E617F2"/>
    <w:multiLevelType w:val="hybridMultilevel"/>
    <w:tmpl w:val="9F5AA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22792C"/>
    <w:multiLevelType w:val="hybridMultilevel"/>
    <w:tmpl w:val="31562856"/>
    <w:lvl w:ilvl="0" w:tplc="ADECCA9C">
      <w:start w:val="1"/>
      <w:numFmt w:val="bullet"/>
      <w:lvlText w:val=""/>
      <w:lvlJc w:val="left"/>
      <w:pPr>
        <w:ind w:left="360" w:hanging="360"/>
      </w:pPr>
      <w:rPr>
        <w:rFonts w:ascii="Wingdings" w:hAnsi="Wingding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51A11CF"/>
    <w:multiLevelType w:val="hybridMultilevel"/>
    <w:tmpl w:val="0D864E74"/>
    <w:lvl w:ilvl="0" w:tplc="0C80E67C">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67E5E7E"/>
    <w:multiLevelType w:val="multilevel"/>
    <w:tmpl w:val="5212CBAA"/>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27285435"/>
    <w:multiLevelType w:val="multilevel"/>
    <w:tmpl w:val="8018A3DC"/>
    <w:lvl w:ilvl="0">
      <w:numFmt w:val="bullet"/>
      <w:lvlText w:val="-"/>
      <w:lvlJc w:val="left"/>
      <w:pPr>
        <w:ind w:left="36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692C78"/>
    <w:multiLevelType w:val="multilevel"/>
    <w:tmpl w:val="7D4EA88A"/>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7E945D7"/>
    <w:multiLevelType w:val="hybridMultilevel"/>
    <w:tmpl w:val="33A6EA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EA66DD"/>
    <w:multiLevelType w:val="multilevel"/>
    <w:tmpl w:val="DE249C30"/>
    <w:lvl w:ilvl="0">
      <w:start w:val="1"/>
      <w:numFmt w:val="decimal"/>
      <w:lvlText w:val="%1"/>
      <w:lvlJc w:val="left"/>
      <w:pPr>
        <w:ind w:left="440" w:hanging="44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F54865"/>
    <w:multiLevelType w:val="multilevel"/>
    <w:tmpl w:val="B0AE84DA"/>
    <w:lvl w:ilvl="0">
      <w:start w:val="1"/>
      <w:numFmt w:val="decimal"/>
      <w:lvlText w:val="%1)"/>
      <w:lvlJc w:val="left"/>
      <w:pPr>
        <w:tabs>
          <w:tab w:val="num" w:pos="360"/>
        </w:tabs>
        <w:ind w:left="360" w:hanging="360"/>
      </w:pPr>
      <w:rPr>
        <w:rFonts w:ascii="Arial" w:eastAsia="Times New Roman" w:hAnsi="Arial" w:cs="Arial" w:hint="default"/>
        <w:sz w:val="24"/>
        <w:szCs w:val="24"/>
      </w:rPr>
    </w:lvl>
    <w:lvl w:ilvl="1">
      <w:start w:val="1"/>
      <w:numFmt w:val="decimal"/>
      <w:lvlText w:val="%2)"/>
      <w:lvlJc w:val="left"/>
      <w:pPr>
        <w:ind w:left="36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9000FC"/>
    <w:multiLevelType w:val="hybridMultilevel"/>
    <w:tmpl w:val="DF16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BF22CA0"/>
    <w:multiLevelType w:val="hybridMultilevel"/>
    <w:tmpl w:val="0636A09C"/>
    <w:lvl w:ilvl="0" w:tplc="ED0447E4">
      <w:start w:val="1"/>
      <w:numFmt w:val="bullet"/>
      <w:lvlText w:val=""/>
      <w:lvlJc w:val="left"/>
      <w:pPr>
        <w:ind w:left="360" w:hanging="360"/>
      </w:pPr>
      <w:rPr>
        <w:rFonts w:ascii="Wingdings" w:hAnsi="Wingding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1AF4AD6"/>
    <w:multiLevelType w:val="multilevel"/>
    <w:tmpl w:val="969AF922"/>
    <w:lvl w:ilvl="0">
      <w:numFmt w:val="bullet"/>
      <w:lvlText w:val="-"/>
      <w:lvlJc w:val="left"/>
      <w:pPr>
        <w:ind w:left="360" w:hanging="360"/>
      </w:pPr>
      <w:rPr>
        <w:rFonts w:ascii="Cambria" w:eastAsia="Cambria" w:hAnsi="Cambria" w:cs="Cambria"/>
      </w:rPr>
    </w:lvl>
    <w:lvl w:ilvl="1">
      <w:numFmt w:val="bullet"/>
      <w:lvlText w:val="-"/>
      <w:lvlJc w:val="left"/>
      <w:pPr>
        <w:ind w:left="1080" w:hanging="360"/>
      </w:pPr>
      <w:rPr>
        <w:rFonts w:ascii="Cambria" w:eastAsia="Cambria" w:hAnsi="Cambria" w:cs="Cambri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2BE556F"/>
    <w:multiLevelType w:val="multilevel"/>
    <w:tmpl w:val="9A563F8E"/>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44441AA"/>
    <w:multiLevelType w:val="hybridMultilevel"/>
    <w:tmpl w:val="4F6EABC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9C75BE"/>
    <w:multiLevelType w:val="hybridMultilevel"/>
    <w:tmpl w:val="9BACAF2C"/>
    <w:lvl w:ilvl="0" w:tplc="A89ABAE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4ED2D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38743D"/>
    <w:multiLevelType w:val="multilevel"/>
    <w:tmpl w:val="5CEE938C"/>
    <w:lvl w:ilvl="0">
      <w:start w:val="1"/>
      <w:numFmt w:val="decimal"/>
      <w:lvlText w:val="%1)"/>
      <w:lvlJc w:val="left"/>
      <w:pPr>
        <w:tabs>
          <w:tab w:val="num" w:pos="360"/>
        </w:tabs>
        <w:ind w:left="360" w:hanging="360"/>
      </w:pPr>
      <w:rPr>
        <w:rFonts w:ascii="Arial" w:eastAsia="Times New Roman" w:hAnsi="Arial" w:cs="Aria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5DD1785"/>
    <w:multiLevelType w:val="hybridMultilevel"/>
    <w:tmpl w:val="04F8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7129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8850A11"/>
    <w:multiLevelType w:val="multilevel"/>
    <w:tmpl w:val="D58E6B50"/>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39C31E4C"/>
    <w:multiLevelType w:val="hybridMultilevel"/>
    <w:tmpl w:val="12CA3CC4"/>
    <w:lvl w:ilvl="0" w:tplc="5EA076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390D10"/>
    <w:multiLevelType w:val="hybridMultilevel"/>
    <w:tmpl w:val="8CFC45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537249"/>
    <w:multiLevelType w:val="hybridMultilevel"/>
    <w:tmpl w:val="933CF210"/>
    <w:lvl w:ilvl="0" w:tplc="DED8BBA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D0B0C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5D1BFB"/>
    <w:multiLevelType w:val="hybridMultilevel"/>
    <w:tmpl w:val="59BCE6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40681325"/>
    <w:multiLevelType w:val="multilevel"/>
    <w:tmpl w:val="716E1D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0CC1BEA"/>
    <w:multiLevelType w:val="hybridMultilevel"/>
    <w:tmpl w:val="2444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16B6C39"/>
    <w:multiLevelType w:val="multilevel"/>
    <w:tmpl w:val="282804CE"/>
    <w:lvl w:ilvl="0">
      <w:numFmt w:val="bullet"/>
      <w:lvlText w:val="-"/>
      <w:lvlJc w:val="left"/>
      <w:pPr>
        <w:ind w:left="36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DA1989"/>
    <w:multiLevelType w:val="hybridMultilevel"/>
    <w:tmpl w:val="98D22DA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5F04A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027587"/>
    <w:multiLevelType w:val="multilevel"/>
    <w:tmpl w:val="1878195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2" w15:restartNumberingAfterBreak="0">
    <w:nsid w:val="461D16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67241FB"/>
    <w:multiLevelType w:val="hybridMultilevel"/>
    <w:tmpl w:val="E5C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651DAF"/>
    <w:multiLevelType w:val="multilevel"/>
    <w:tmpl w:val="01F69CD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4C0A70DB"/>
    <w:multiLevelType w:val="hybridMultilevel"/>
    <w:tmpl w:val="994A2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C797129"/>
    <w:multiLevelType w:val="hybridMultilevel"/>
    <w:tmpl w:val="08588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0A748D"/>
    <w:multiLevelType w:val="multilevel"/>
    <w:tmpl w:val="668EC678"/>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71E71F1"/>
    <w:multiLevelType w:val="multilevel"/>
    <w:tmpl w:val="5CEE938C"/>
    <w:lvl w:ilvl="0">
      <w:start w:val="1"/>
      <w:numFmt w:val="decimal"/>
      <w:lvlText w:val="%1)"/>
      <w:lvlJc w:val="left"/>
      <w:pPr>
        <w:tabs>
          <w:tab w:val="num" w:pos="360"/>
        </w:tabs>
        <w:ind w:left="360" w:hanging="360"/>
      </w:pPr>
      <w:rPr>
        <w:rFonts w:ascii="Arial" w:eastAsia="Times New Roman" w:hAnsi="Arial" w:cs="Aria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9C7000C"/>
    <w:multiLevelType w:val="hybridMultilevel"/>
    <w:tmpl w:val="FD5A1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C527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D0436AF"/>
    <w:multiLevelType w:val="hybridMultilevel"/>
    <w:tmpl w:val="4664C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ED5169"/>
    <w:multiLevelType w:val="hybridMultilevel"/>
    <w:tmpl w:val="21984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8106AB9"/>
    <w:multiLevelType w:val="multilevel"/>
    <w:tmpl w:val="1390E0C4"/>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8C809CD"/>
    <w:multiLevelType w:val="multilevel"/>
    <w:tmpl w:val="81087220"/>
    <w:lvl w:ilvl="0">
      <w:start w:val="1"/>
      <w:numFmt w:val="bullet"/>
      <w:lvlText w:val=""/>
      <w:lvlJc w:val="left"/>
      <w:pPr>
        <w:ind w:left="360" w:hanging="360"/>
      </w:pPr>
      <w:rPr>
        <w:rFonts w:ascii="Wingdings" w:hAnsi="Wingdings" w:hint="default"/>
        <w:color w:val="000000" w:themeColor="text1"/>
      </w:rPr>
    </w:lvl>
    <w:lvl w:ilvl="1">
      <w:start w:val="1"/>
      <w:numFmt w:val="decimal"/>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15:restartNumberingAfterBreak="0">
    <w:nsid w:val="69385956"/>
    <w:multiLevelType w:val="hybridMultilevel"/>
    <w:tmpl w:val="C4B87662"/>
    <w:lvl w:ilvl="0" w:tplc="3F66B658">
      <w:start w:val="1"/>
      <w:numFmt w:val="bullet"/>
      <w:lvlText w:val="-"/>
      <w:lvlJc w:val="left"/>
      <w:pPr>
        <w:ind w:left="720" w:hanging="360"/>
      </w:pPr>
      <w:rPr>
        <w:rFonts w:ascii="Arial" w:eastAsia="Cambria" w:hAnsi="Arial"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927C2B"/>
    <w:multiLevelType w:val="hybridMultilevel"/>
    <w:tmpl w:val="8D8C9936"/>
    <w:lvl w:ilvl="0" w:tplc="E5FCB5A2">
      <w:start w:val="5"/>
      <w:numFmt w:val="bullet"/>
      <w:lvlText w:val="-"/>
      <w:lvlJc w:val="left"/>
      <w:pPr>
        <w:ind w:left="720" w:hanging="360"/>
      </w:pPr>
      <w:rPr>
        <w:rFonts w:ascii="Calibri" w:eastAsia="Calibri Light" w:hAnsi="Calibri"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BB102F"/>
    <w:multiLevelType w:val="hybridMultilevel"/>
    <w:tmpl w:val="1848E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E04690B"/>
    <w:multiLevelType w:val="multilevel"/>
    <w:tmpl w:val="4FD891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1910A38"/>
    <w:multiLevelType w:val="hybridMultilevel"/>
    <w:tmpl w:val="8786B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2422E60"/>
    <w:multiLevelType w:val="hybridMultilevel"/>
    <w:tmpl w:val="B492D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37F2511"/>
    <w:multiLevelType w:val="hybridMultilevel"/>
    <w:tmpl w:val="42205520"/>
    <w:lvl w:ilvl="0" w:tplc="5C14026C">
      <w:start w:val="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9B2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6F43B27"/>
    <w:multiLevelType w:val="multilevel"/>
    <w:tmpl w:val="F67C973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7EC6CE6"/>
    <w:multiLevelType w:val="multilevel"/>
    <w:tmpl w:val="E29292F8"/>
    <w:lvl w:ilvl="0">
      <w:start w:val="1"/>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7B1B7E07"/>
    <w:multiLevelType w:val="multilevel"/>
    <w:tmpl w:val="5CEE938C"/>
    <w:lvl w:ilvl="0">
      <w:start w:val="1"/>
      <w:numFmt w:val="decimal"/>
      <w:lvlText w:val="%1)"/>
      <w:lvlJc w:val="left"/>
      <w:pPr>
        <w:tabs>
          <w:tab w:val="num" w:pos="360"/>
        </w:tabs>
        <w:ind w:left="360" w:hanging="360"/>
      </w:pPr>
      <w:rPr>
        <w:rFonts w:ascii="Arial" w:eastAsia="Times New Roman" w:hAnsi="Arial" w:cs="Aria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C8A1EF0"/>
    <w:multiLevelType w:val="multilevel"/>
    <w:tmpl w:val="239216BA"/>
    <w:lvl w:ilvl="0">
      <w:start w:val="1"/>
      <w:numFmt w:val="decimal"/>
      <w:lvlText w:val="%1"/>
      <w:lvlJc w:val="left"/>
      <w:pPr>
        <w:ind w:left="580" w:hanging="58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C9E0C93"/>
    <w:multiLevelType w:val="hybridMultilevel"/>
    <w:tmpl w:val="F2CE4E30"/>
    <w:lvl w:ilvl="0" w:tplc="FE441904">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DE0621"/>
    <w:multiLevelType w:val="hybridMultilevel"/>
    <w:tmpl w:val="C574A622"/>
    <w:lvl w:ilvl="0" w:tplc="E3FCFE12">
      <w:start w:val="6"/>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66"/>
  </w:num>
  <w:num w:numId="2">
    <w:abstractNumId w:val="27"/>
  </w:num>
  <w:num w:numId="3">
    <w:abstractNumId w:val="45"/>
  </w:num>
  <w:num w:numId="4">
    <w:abstractNumId w:val="25"/>
  </w:num>
  <w:num w:numId="5">
    <w:abstractNumId w:val="32"/>
  </w:num>
  <w:num w:numId="6">
    <w:abstractNumId w:val="48"/>
  </w:num>
  <w:num w:numId="7">
    <w:abstractNumId w:val="33"/>
  </w:num>
  <w:num w:numId="8">
    <w:abstractNumId w:val="40"/>
  </w:num>
  <w:num w:numId="9">
    <w:abstractNumId w:val="54"/>
  </w:num>
  <w:num w:numId="10">
    <w:abstractNumId w:val="21"/>
  </w:num>
  <w:num w:numId="11">
    <w:abstractNumId w:val="8"/>
  </w:num>
  <w:num w:numId="12">
    <w:abstractNumId w:val="67"/>
  </w:num>
  <w:num w:numId="13">
    <w:abstractNumId w:val="64"/>
  </w:num>
  <w:num w:numId="14">
    <w:abstractNumId w:val="63"/>
  </w:num>
  <w:num w:numId="15">
    <w:abstractNumId w:val="62"/>
  </w:num>
  <w:num w:numId="16">
    <w:abstractNumId w:val="47"/>
  </w:num>
  <w:num w:numId="17">
    <w:abstractNumId w:val="14"/>
  </w:num>
  <w:num w:numId="18">
    <w:abstractNumId w:val="70"/>
  </w:num>
  <w:num w:numId="19">
    <w:abstractNumId w:val="53"/>
  </w:num>
  <w:num w:numId="20">
    <w:abstractNumId w:val="69"/>
  </w:num>
  <w:num w:numId="21">
    <w:abstractNumId w:val="55"/>
  </w:num>
  <w:num w:numId="22">
    <w:abstractNumId w:val="38"/>
  </w:num>
  <w:num w:numId="23">
    <w:abstractNumId w:val="61"/>
  </w:num>
  <w:num w:numId="24">
    <w:abstractNumId w:val="30"/>
  </w:num>
  <w:num w:numId="25">
    <w:abstractNumId w:val="31"/>
  </w:num>
  <w:num w:numId="26">
    <w:abstractNumId w:val="10"/>
  </w:num>
  <w:num w:numId="27">
    <w:abstractNumId w:val="22"/>
  </w:num>
  <w:num w:numId="28">
    <w:abstractNumId w:val="56"/>
  </w:num>
  <w:num w:numId="29">
    <w:abstractNumId w:val="7"/>
  </w:num>
  <w:num w:numId="30">
    <w:abstractNumId w:val="17"/>
  </w:num>
  <w:num w:numId="31">
    <w:abstractNumId w:val="34"/>
  </w:num>
  <w:num w:numId="32">
    <w:abstractNumId w:val="2"/>
  </w:num>
  <w:num w:numId="33">
    <w:abstractNumId w:val="23"/>
  </w:num>
  <w:num w:numId="34">
    <w:abstractNumId w:val="13"/>
  </w:num>
  <w:num w:numId="35">
    <w:abstractNumId w:val="43"/>
  </w:num>
  <w:num w:numId="36">
    <w:abstractNumId w:val="19"/>
  </w:num>
  <w:num w:numId="37">
    <w:abstractNumId w:val="75"/>
  </w:num>
  <w:num w:numId="38">
    <w:abstractNumId w:val="16"/>
  </w:num>
  <w:num w:numId="39">
    <w:abstractNumId w:val="42"/>
  </w:num>
  <w:num w:numId="40">
    <w:abstractNumId w:val="51"/>
  </w:num>
  <w:num w:numId="41">
    <w:abstractNumId w:val="35"/>
  </w:num>
  <w:num w:numId="42">
    <w:abstractNumId w:val="59"/>
  </w:num>
  <w:num w:numId="43">
    <w:abstractNumId w:val="78"/>
  </w:num>
  <w:num w:numId="44">
    <w:abstractNumId w:val="77"/>
  </w:num>
  <w:num w:numId="45">
    <w:abstractNumId w:val="65"/>
  </w:num>
  <w:num w:numId="46">
    <w:abstractNumId w:val="4"/>
  </w:num>
  <w:num w:numId="47">
    <w:abstractNumId w:val="15"/>
  </w:num>
  <w:num w:numId="48">
    <w:abstractNumId w:val="24"/>
  </w:num>
  <w:num w:numId="49">
    <w:abstractNumId w:val="9"/>
  </w:num>
  <w:num w:numId="50">
    <w:abstractNumId w:val="71"/>
  </w:num>
  <w:num w:numId="51">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18"/>
  </w:num>
  <w:num w:numId="55">
    <w:abstractNumId w:val="58"/>
  </w:num>
  <w:num w:numId="56">
    <w:abstractNumId w:val="37"/>
  </w:num>
  <w:num w:numId="57">
    <w:abstractNumId w:val="29"/>
  </w:num>
  <w:num w:numId="58">
    <w:abstractNumId w:val="28"/>
  </w:num>
  <w:num w:numId="59">
    <w:abstractNumId w:val="11"/>
  </w:num>
  <w:num w:numId="60">
    <w:abstractNumId w:val="74"/>
  </w:num>
  <w:num w:numId="61">
    <w:abstractNumId w:val="39"/>
  </w:num>
  <w:num w:numId="62">
    <w:abstractNumId w:val="52"/>
  </w:num>
  <w:num w:numId="63">
    <w:abstractNumId w:val="72"/>
  </w:num>
  <w:num w:numId="64">
    <w:abstractNumId w:val="3"/>
  </w:num>
  <w:num w:numId="65">
    <w:abstractNumId w:val="44"/>
  </w:num>
  <w:num w:numId="66">
    <w:abstractNumId w:val="76"/>
  </w:num>
  <w:num w:numId="67">
    <w:abstractNumId w:val="0"/>
  </w:num>
  <w:num w:numId="68">
    <w:abstractNumId w:val="6"/>
  </w:num>
  <w:num w:numId="69">
    <w:abstractNumId w:val="26"/>
  </w:num>
  <w:num w:numId="70">
    <w:abstractNumId w:val="20"/>
  </w:num>
  <w:num w:numId="71">
    <w:abstractNumId w:val="46"/>
  </w:num>
  <w:num w:numId="72">
    <w:abstractNumId w:val="12"/>
  </w:num>
  <w:num w:numId="73">
    <w:abstractNumId w:val="60"/>
  </w:num>
  <w:num w:numId="74">
    <w:abstractNumId w:val="50"/>
  </w:num>
  <w:num w:numId="75">
    <w:abstractNumId w:val="5"/>
  </w:num>
  <w:num w:numId="76">
    <w:abstractNumId w:val="36"/>
  </w:num>
  <w:num w:numId="77">
    <w:abstractNumId w:val="57"/>
  </w:num>
  <w:num w:numId="78">
    <w:abstractNumId w:val="1"/>
  </w:num>
  <w:num w:numId="79">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BB"/>
    <w:rsid w:val="000010C5"/>
    <w:rsid w:val="00003305"/>
    <w:rsid w:val="00003739"/>
    <w:rsid w:val="00003765"/>
    <w:rsid w:val="000053AE"/>
    <w:rsid w:val="000059CE"/>
    <w:rsid w:val="00006194"/>
    <w:rsid w:val="0000669E"/>
    <w:rsid w:val="00014D1D"/>
    <w:rsid w:val="00017264"/>
    <w:rsid w:val="0001779D"/>
    <w:rsid w:val="00017B02"/>
    <w:rsid w:val="0002060C"/>
    <w:rsid w:val="000228F3"/>
    <w:rsid w:val="00022B58"/>
    <w:rsid w:val="00023661"/>
    <w:rsid w:val="000241CB"/>
    <w:rsid w:val="000249CB"/>
    <w:rsid w:val="000264AF"/>
    <w:rsid w:val="00030F45"/>
    <w:rsid w:val="00031A6A"/>
    <w:rsid w:val="0003287C"/>
    <w:rsid w:val="0004106E"/>
    <w:rsid w:val="000427C8"/>
    <w:rsid w:val="000451DD"/>
    <w:rsid w:val="000461F0"/>
    <w:rsid w:val="00046A63"/>
    <w:rsid w:val="00047634"/>
    <w:rsid w:val="00051DA5"/>
    <w:rsid w:val="000529C6"/>
    <w:rsid w:val="00052FEF"/>
    <w:rsid w:val="0005432F"/>
    <w:rsid w:val="00054FEF"/>
    <w:rsid w:val="00057891"/>
    <w:rsid w:val="000579A5"/>
    <w:rsid w:val="00057B0C"/>
    <w:rsid w:val="000602DB"/>
    <w:rsid w:val="00060C49"/>
    <w:rsid w:val="00060E9F"/>
    <w:rsid w:val="0006360C"/>
    <w:rsid w:val="00065575"/>
    <w:rsid w:val="00066C88"/>
    <w:rsid w:val="00070DBF"/>
    <w:rsid w:val="00071FD8"/>
    <w:rsid w:val="000726A2"/>
    <w:rsid w:val="0007366B"/>
    <w:rsid w:val="000736D2"/>
    <w:rsid w:val="00074111"/>
    <w:rsid w:val="00074CE7"/>
    <w:rsid w:val="00076A32"/>
    <w:rsid w:val="0007719E"/>
    <w:rsid w:val="000802E1"/>
    <w:rsid w:val="00083547"/>
    <w:rsid w:val="00092A10"/>
    <w:rsid w:val="00094278"/>
    <w:rsid w:val="00095AD7"/>
    <w:rsid w:val="000962EB"/>
    <w:rsid w:val="0009737D"/>
    <w:rsid w:val="00097E5F"/>
    <w:rsid w:val="00097FCA"/>
    <w:rsid w:val="000A01A1"/>
    <w:rsid w:val="000A0306"/>
    <w:rsid w:val="000A2659"/>
    <w:rsid w:val="000A27B3"/>
    <w:rsid w:val="000A2EA6"/>
    <w:rsid w:val="000A2EFE"/>
    <w:rsid w:val="000A323A"/>
    <w:rsid w:val="000A38DD"/>
    <w:rsid w:val="000A3BF9"/>
    <w:rsid w:val="000A58DF"/>
    <w:rsid w:val="000B435D"/>
    <w:rsid w:val="000B5AA0"/>
    <w:rsid w:val="000B5F9E"/>
    <w:rsid w:val="000B6DD3"/>
    <w:rsid w:val="000B6FFF"/>
    <w:rsid w:val="000C1813"/>
    <w:rsid w:val="000C2C63"/>
    <w:rsid w:val="000C3E06"/>
    <w:rsid w:val="000C50C5"/>
    <w:rsid w:val="000C6F5F"/>
    <w:rsid w:val="000D15AC"/>
    <w:rsid w:val="000D3690"/>
    <w:rsid w:val="000E226F"/>
    <w:rsid w:val="000E34CC"/>
    <w:rsid w:val="000E371F"/>
    <w:rsid w:val="000E6308"/>
    <w:rsid w:val="000E6CA4"/>
    <w:rsid w:val="000E7B62"/>
    <w:rsid w:val="000E7E5B"/>
    <w:rsid w:val="000F1696"/>
    <w:rsid w:val="000F1B0A"/>
    <w:rsid w:val="000F1F3A"/>
    <w:rsid w:val="000F262E"/>
    <w:rsid w:val="000F2C6C"/>
    <w:rsid w:val="000F2D24"/>
    <w:rsid w:val="000F446A"/>
    <w:rsid w:val="000F5BD8"/>
    <w:rsid w:val="000F7D39"/>
    <w:rsid w:val="0010257C"/>
    <w:rsid w:val="00102826"/>
    <w:rsid w:val="00103E94"/>
    <w:rsid w:val="0010634A"/>
    <w:rsid w:val="00110C2A"/>
    <w:rsid w:val="001123A2"/>
    <w:rsid w:val="0011497C"/>
    <w:rsid w:val="00114DCD"/>
    <w:rsid w:val="00115925"/>
    <w:rsid w:val="00115A88"/>
    <w:rsid w:val="00120AE4"/>
    <w:rsid w:val="00123A5F"/>
    <w:rsid w:val="00123BF4"/>
    <w:rsid w:val="00123D1A"/>
    <w:rsid w:val="00123DA2"/>
    <w:rsid w:val="00124DD2"/>
    <w:rsid w:val="00125149"/>
    <w:rsid w:val="0012779D"/>
    <w:rsid w:val="00130B67"/>
    <w:rsid w:val="00134C7C"/>
    <w:rsid w:val="0013563D"/>
    <w:rsid w:val="00136CC1"/>
    <w:rsid w:val="00136D54"/>
    <w:rsid w:val="00140D33"/>
    <w:rsid w:val="00142A9E"/>
    <w:rsid w:val="00142BDE"/>
    <w:rsid w:val="00144320"/>
    <w:rsid w:val="001453BB"/>
    <w:rsid w:val="00145642"/>
    <w:rsid w:val="00145FA4"/>
    <w:rsid w:val="00147FE5"/>
    <w:rsid w:val="00150694"/>
    <w:rsid w:val="001529E1"/>
    <w:rsid w:val="001548F5"/>
    <w:rsid w:val="00155CFB"/>
    <w:rsid w:val="00156F3E"/>
    <w:rsid w:val="00157204"/>
    <w:rsid w:val="001607C3"/>
    <w:rsid w:val="001609F1"/>
    <w:rsid w:val="0016132C"/>
    <w:rsid w:val="00164293"/>
    <w:rsid w:val="001645BF"/>
    <w:rsid w:val="00164C16"/>
    <w:rsid w:val="00166A12"/>
    <w:rsid w:val="0016782E"/>
    <w:rsid w:val="00167F60"/>
    <w:rsid w:val="00170F40"/>
    <w:rsid w:val="001713A1"/>
    <w:rsid w:val="001716AB"/>
    <w:rsid w:val="00171F00"/>
    <w:rsid w:val="001732E0"/>
    <w:rsid w:val="00174450"/>
    <w:rsid w:val="00174BB4"/>
    <w:rsid w:val="00175677"/>
    <w:rsid w:val="00175C5D"/>
    <w:rsid w:val="00176746"/>
    <w:rsid w:val="00177022"/>
    <w:rsid w:val="001775D4"/>
    <w:rsid w:val="00177EA9"/>
    <w:rsid w:val="001809E8"/>
    <w:rsid w:val="001813B1"/>
    <w:rsid w:val="0018189A"/>
    <w:rsid w:val="0018454D"/>
    <w:rsid w:val="00184A9A"/>
    <w:rsid w:val="001919E3"/>
    <w:rsid w:val="00192A43"/>
    <w:rsid w:val="001939FA"/>
    <w:rsid w:val="0019451B"/>
    <w:rsid w:val="001960B1"/>
    <w:rsid w:val="0019680A"/>
    <w:rsid w:val="00197620"/>
    <w:rsid w:val="001979F4"/>
    <w:rsid w:val="001A03B4"/>
    <w:rsid w:val="001A2391"/>
    <w:rsid w:val="001A3922"/>
    <w:rsid w:val="001A644A"/>
    <w:rsid w:val="001A6D76"/>
    <w:rsid w:val="001A737A"/>
    <w:rsid w:val="001A740A"/>
    <w:rsid w:val="001B5E0E"/>
    <w:rsid w:val="001B5F79"/>
    <w:rsid w:val="001B6D8A"/>
    <w:rsid w:val="001B7F1C"/>
    <w:rsid w:val="001C0592"/>
    <w:rsid w:val="001C2DA1"/>
    <w:rsid w:val="001C2EDD"/>
    <w:rsid w:val="001C5F14"/>
    <w:rsid w:val="001C6E8F"/>
    <w:rsid w:val="001C7AB3"/>
    <w:rsid w:val="001D023E"/>
    <w:rsid w:val="001D2358"/>
    <w:rsid w:val="001D3B99"/>
    <w:rsid w:val="001D41C6"/>
    <w:rsid w:val="001D42B3"/>
    <w:rsid w:val="001D5161"/>
    <w:rsid w:val="001D6917"/>
    <w:rsid w:val="001D6FEE"/>
    <w:rsid w:val="001D7033"/>
    <w:rsid w:val="001D7AF9"/>
    <w:rsid w:val="001E2308"/>
    <w:rsid w:val="001E446A"/>
    <w:rsid w:val="001E4D2E"/>
    <w:rsid w:val="001E501B"/>
    <w:rsid w:val="001E7A86"/>
    <w:rsid w:val="001E7F24"/>
    <w:rsid w:val="001F0715"/>
    <w:rsid w:val="001F0DA9"/>
    <w:rsid w:val="001F1070"/>
    <w:rsid w:val="001F2F40"/>
    <w:rsid w:val="001F34C7"/>
    <w:rsid w:val="001F47D7"/>
    <w:rsid w:val="001F56F2"/>
    <w:rsid w:val="001F6718"/>
    <w:rsid w:val="00201C34"/>
    <w:rsid w:val="0020378D"/>
    <w:rsid w:val="002051A1"/>
    <w:rsid w:val="00210EE1"/>
    <w:rsid w:val="00211A69"/>
    <w:rsid w:val="00211ECA"/>
    <w:rsid w:val="0021785B"/>
    <w:rsid w:val="00221161"/>
    <w:rsid w:val="0022553B"/>
    <w:rsid w:val="00225F28"/>
    <w:rsid w:val="00225FB0"/>
    <w:rsid w:val="0022709C"/>
    <w:rsid w:val="0022781E"/>
    <w:rsid w:val="002309EB"/>
    <w:rsid w:val="00231DB1"/>
    <w:rsid w:val="00234FA7"/>
    <w:rsid w:val="0023510A"/>
    <w:rsid w:val="0023671C"/>
    <w:rsid w:val="00237644"/>
    <w:rsid w:val="0024011D"/>
    <w:rsid w:val="00244962"/>
    <w:rsid w:val="002473FD"/>
    <w:rsid w:val="002474CE"/>
    <w:rsid w:val="00253384"/>
    <w:rsid w:val="0025422F"/>
    <w:rsid w:val="00254CF7"/>
    <w:rsid w:val="002551DC"/>
    <w:rsid w:val="002563A7"/>
    <w:rsid w:val="00256B7C"/>
    <w:rsid w:val="002578D5"/>
    <w:rsid w:val="00260039"/>
    <w:rsid w:val="00260846"/>
    <w:rsid w:val="002613DB"/>
    <w:rsid w:val="002660DF"/>
    <w:rsid w:val="00270664"/>
    <w:rsid w:val="00270A7A"/>
    <w:rsid w:val="00271569"/>
    <w:rsid w:val="002721D3"/>
    <w:rsid w:val="00273427"/>
    <w:rsid w:val="00273942"/>
    <w:rsid w:val="002766A2"/>
    <w:rsid w:val="0027676B"/>
    <w:rsid w:val="00277A2C"/>
    <w:rsid w:val="00282832"/>
    <w:rsid w:val="00282A43"/>
    <w:rsid w:val="0028438C"/>
    <w:rsid w:val="00285635"/>
    <w:rsid w:val="0028574F"/>
    <w:rsid w:val="00285908"/>
    <w:rsid w:val="0028700F"/>
    <w:rsid w:val="00287AD9"/>
    <w:rsid w:val="00287FB6"/>
    <w:rsid w:val="00290AB1"/>
    <w:rsid w:val="002912C4"/>
    <w:rsid w:val="002954E4"/>
    <w:rsid w:val="0029666C"/>
    <w:rsid w:val="002970D5"/>
    <w:rsid w:val="002A3DB1"/>
    <w:rsid w:val="002A70A2"/>
    <w:rsid w:val="002B1AFE"/>
    <w:rsid w:val="002B21E5"/>
    <w:rsid w:val="002B2471"/>
    <w:rsid w:val="002B5CE0"/>
    <w:rsid w:val="002C1030"/>
    <w:rsid w:val="002C1393"/>
    <w:rsid w:val="002C1FB2"/>
    <w:rsid w:val="002C1FF4"/>
    <w:rsid w:val="002C296B"/>
    <w:rsid w:val="002C2CBA"/>
    <w:rsid w:val="002C37D1"/>
    <w:rsid w:val="002C3976"/>
    <w:rsid w:val="002C3EA6"/>
    <w:rsid w:val="002C483F"/>
    <w:rsid w:val="002C6474"/>
    <w:rsid w:val="002D0A84"/>
    <w:rsid w:val="002D11D3"/>
    <w:rsid w:val="002D342B"/>
    <w:rsid w:val="002D5404"/>
    <w:rsid w:val="002D69EA"/>
    <w:rsid w:val="002D6C6B"/>
    <w:rsid w:val="002E0523"/>
    <w:rsid w:val="002E0D93"/>
    <w:rsid w:val="002E19F3"/>
    <w:rsid w:val="002E2FFF"/>
    <w:rsid w:val="002E452F"/>
    <w:rsid w:val="002E575A"/>
    <w:rsid w:val="002E5C47"/>
    <w:rsid w:val="002F12FE"/>
    <w:rsid w:val="002F1585"/>
    <w:rsid w:val="002F1F33"/>
    <w:rsid w:val="002F4297"/>
    <w:rsid w:val="002F4601"/>
    <w:rsid w:val="002F4AEA"/>
    <w:rsid w:val="002F4C17"/>
    <w:rsid w:val="002F52B3"/>
    <w:rsid w:val="00300850"/>
    <w:rsid w:val="00301620"/>
    <w:rsid w:val="0031084A"/>
    <w:rsid w:val="003139B5"/>
    <w:rsid w:val="00317F10"/>
    <w:rsid w:val="003251C6"/>
    <w:rsid w:val="00325281"/>
    <w:rsid w:val="00326272"/>
    <w:rsid w:val="003305EC"/>
    <w:rsid w:val="00330625"/>
    <w:rsid w:val="00331937"/>
    <w:rsid w:val="003337BD"/>
    <w:rsid w:val="00333E65"/>
    <w:rsid w:val="0033462A"/>
    <w:rsid w:val="003347B8"/>
    <w:rsid w:val="0033696C"/>
    <w:rsid w:val="003412EC"/>
    <w:rsid w:val="00342E4C"/>
    <w:rsid w:val="003455EE"/>
    <w:rsid w:val="003467AE"/>
    <w:rsid w:val="003531ED"/>
    <w:rsid w:val="00355820"/>
    <w:rsid w:val="00355A00"/>
    <w:rsid w:val="00356B83"/>
    <w:rsid w:val="00360058"/>
    <w:rsid w:val="00360609"/>
    <w:rsid w:val="00361A6C"/>
    <w:rsid w:val="00366745"/>
    <w:rsid w:val="00371408"/>
    <w:rsid w:val="00372650"/>
    <w:rsid w:val="0037396C"/>
    <w:rsid w:val="00373C6D"/>
    <w:rsid w:val="00373D64"/>
    <w:rsid w:val="00374E50"/>
    <w:rsid w:val="00376042"/>
    <w:rsid w:val="003762BB"/>
    <w:rsid w:val="003767AD"/>
    <w:rsid w:val="00376EC1"/>
    <w:rsid w:val="003850BA"/>
    <w:rsid w:val="003855C7"/>
    <w:rsid w:val="003904C4"/>
    <w:rsid w:val="0039052A"/>
    <w:rsid w:val="003923F6"/>
    <w:rsid w:val="0039315F"/>
    <w:rsid w:val="0039585F"/>
    <w:rsid w:val="0039701E"/>
    <w:rsid w:val="003A6139"/>
    <w:rsid w:val="003A6F48"/>
    <w:rsid w:val="003A7CEC"/>
    <w:rsid w:val="003B19B5"/>
    <w:rsid w:val="003B25BF"/>
    <w:rsid w:val="003B444E"/>
    <w:rsid w:val="003B5396"/>
    <w:rsid w:val="003B6F28"/>
    <w:rsid w:val="003C0E74"/>
    <w:rsid w:val="003C0F1F"/>
    <w:rsid w:val="003C193D"/>
    <w:rsid w:val="003C3116"/>
    <w:rsid w:val="003C5A3D"/>
    <w:rsid w:val="003C6BA5"/>
    <w:rsid w:val="003D12D8"/>
    <w:rsid w:val="003D1749"/>
    <w:rsid w:val="003D3153"/>
    <w:rsid w:val="003D33E7"/>
    <w:rsid w:val="003D40E9"/>
    <w:rsid w:val="003D4B9F"/>
    <w:rsid w:val="003D633E"/>
    <w:rsid w:val="003E5F94"/>
    <w:rsid w:val="003E6C7D"/>
    <w:rsid w:val="003F051F"/>
    <w:rsid w:val="003F199D"/>
    <w:rsid w:val="0040348F"/>
    <w:rsid w:val="004043C3"/>
    <w:rsid w:val="00406A4A"/>
    <w:rsid w:val="00407CF4"/>
    <w:rsid w:val="004107B6"/>
    <w:rsid w:val="00410AF8"/>
    <w:rsid w:val="00413D2D"/>
    <w:rsid w:val="0041488B"/>
    <w:rsid w:val="00415C5A"/>
    <w:rsid w:val="00417596"/>
    <w:rsid w:val="0042154F"/>
    <w:rsid w:val="00423AEA"/>
    <w:rsid w:val="00423AF7"/>
    <w:rsid w:val="00425E1D"/>
    <w:rsid w:val="00426980"/>
    <w:rsid w:val="00430BD2"/>
    <w:rsid w:val="00431BD9"/>
    <w:rsid w:val="00432AE7"/>
    <w:rsid w:val="00434060"/>
    <w:rsid w:val="004342B7"/>
    <w:rsid w:val="00434F08"/>
    <w:rsid w:val="00435D40"/>
    <w:rsid w:val="00436C37"/>
    <w:rsid w:val="004379DA"/>
    <w:rsid w:val="00445494"/>
    <w:rsid w:val="004508BA"/>
    <w:rsid w:val="00452C5F"/>
    <w:rsid w:val="004544C1"/>
    <w:rsid w:val="00456CDA"/>
    <w:rsid w:val="00456EC2"/>
    <w:rsid w:val="00460C6D"/>
    <w:rsid w:val="00462DCE"/>
    <w:rsid w:val="00463513"/>
    <w:rsid w:val="00464672"/>
    <w:rsid w:val="00465CEE"/>
    <w:rsid w:val="00466339"/>
    <w:rsid w:val="00466808"/>
    <w:rsid w:val="0047286B"/>
    <w:rsid w:val="00473DA4"/>
    <w:rsid w:val="004763A3"/>
    <w:rsid w:val="00476AE8"/>
    <w:rsid w:val="00480DA2"/>
    <w:rsid w:val="00483250"/>
    <w:rsid w:val="004857B3"/>
    <w:rsid w:val="004864B4"/>
    <w:rsid w:val="00487E0D"/>
    <w:rsid w:val="0049103B"/>
    <w:rsid w:val="00494FAC"/>
    <w:rsid w:val="00495B3E"/>
    <w:rsid w:val="004964A0"/>
    <w:rsid w:val="00496D98"/>
    <w:rsid w:val="004A1019"/>
    <w:rsid w:val="004A17E5"/>
    <w:rsid w:val="004A1F9E"/>
    <w:rsid w:val="004A3C81"/>
    <w:rsid w:val="004A6583"/>
    <w:rsid w:val="004A699A"/>
    <w:rsid w:val="004A6A10"/>
    <w:rsid w:val="004B01A1"/>
    <w:rsid w:val="004B0FCD"/>
    <w:rsid w:val="004B1691"/>
    <w:rsid w:val="004B323E"/>
    <w:rsid w:val="004B3C8B"/>
    <w:rsid w:val="004B5159"/>
    <w:rsid w:val="004B785C"/>
    <w:rsid w:val="004C1306"/>
    <w:rsid w:val="004C2124"/>
    <w:rsid w:val="004C2646"/>
    <w:rsid w:val="004C4E9B"/>
    <w:rsid w:val="004C572F"/>
    <w:rsid w:val="004D0F21"/>
    <w:rsid w:val="004D1E15"/>
    <w:rsid w:val="004D2FBE"/>
    <w:rsid w:val="004D4401"/>
    <w:rsid w:val="004D48F0"/>
    <w:rsid w:val="004D612F"/>
    <w:rsid w:val="004D639C"/>
    <w:rsid w:val="004D7D92"/>
    <w:rsid w:val="004E048C"/>
    <w:rsid w:val="004E1ED0"/>
    <w:rsid w:val="004E233F"/>
    <w:rsid w:val="004E3DDF"/>
    <w:rsid w:val="004E4659"/>
    <w:rsid w:val="004F04A3"/>
    <w:rsid w:val="004F2140"/>
    <w:rsid w:val="004F264E"/>
    <w:rsid w:val="004F5AFD"/>
    <w:rsid w:val="004F6B18"/>
    <w:rsid w:val="004F6E05"/>
    <w:rsid w:val="00501072"/>
    <w:rsid w:val="005012AC"/>
    <w:rsid w:val="005027DB"/>
    <w:rsid w:val="00503635"/>
    <w:rsid w:val="005040E6"/>
    <w:rsid w:val="00507D1F"/>
    <w:rsid w:val="005103F5"/>
    <w:rsid w:val="005134A6"/>
    <w:rsid w:val="00513691"/>
    <w:rsid w:val="005140F9"/>
    <w:rsid w:val="00514365"/>
    <w:rsid w:val="0051440C"/>
    <w:rsid w:val="00514422"/>
    <w:rsid w:val="0051604D"/>
    <w:rsid w:val="005170A2"/>
    <w:rsid w:val="0051794C"/>
    <w:rsid w:val="00521035"/>
    <w:rsid w:val="005217C1"/>
    <w:rsid w:val="00527D11"/>
    <w:rsid w:val="00527DBA"/>
    <w:rsid w:val="005305D9"/>
    <w:rsid w:val="00533898"/>
    <w:rsid w:val="005400D0"/>
    <w:rsid w:val="0054239B"/>
    <w:rsid w:val="00543177"/>
    <w:rsid w:val="0054392E"/>
    <w:rsid w:val="00543F85"/>
    <w:rsid w:val="0054571C"/>
    <w:rsid w:val="00546030"/>
    <w:rsid w:val="005470EA"/>
    <w:rsid w:val="00550707"/>
    <w:rsid w:val="00553106"/>
    <w:rsid w:val="005549C9"/>
    <w:rsid w:val="00555BBE"/>
    <w:rsid w:val="00556210"/>
    <w:rsid w:val="00562551"/>
    <w:rsid w:val="0056403E"/>
    <w:rsid w:val="005659BE"/>
    <w:rsid w:val="00566335"/>
    <w:rsid w:val="0057002F"/>
    <w:rsid w:val="0057191F"/>
    <w:rsid w:val="005729E9"/>
    <w:rsid w:val="005746C7"/>
    <w:rsid w:val="00582B48"/>
    <w:rsid w:val="00584D54"/>
    <w:rsid w:val="00587C03"/>
    <w:rsid w:val="005900E5"/>
    <w:rsid w:val="005908D2"/>
    <w:rsid w:val="00590EB8"/>
    <w:rsid w:val="0059151E"/>
    <w:rsid w:val="00591D70"/>
    <w:rsid w:val="00592D71"/>
    <w:rsid w:val="00593813"/>
    <w:rsid w:val="00593A8E"/>
    <w:rsid w:val="00594254"/>
    <w:rsid w:val="005974D4"/>
    <w:rsid w:val="00597EB7"/>
    <w:rsid w:val="005A3C5D"/>
    <w:rsid w:val="005A4163"/>
    <w:rsid w:val="005A59A6"/>
    <w:rsid w:val="005A5AA1"/>
    <w:rsid w:val="005A5DD6"/>
    <w:rsid w:val="005A7BC2"/>
    <w:rsid w:val="005B0FA7"/>
    <w:rsid w:val="005B19D7"/>
    <w:rsid w:val="005B2BDA"/>
    <w:rsid w:val="005B2FE5"/>
    <w:rsid w:val="005B5252"/>
    <w:rsid w:val="005B6581"/>
    <w:rsid w:val="005C0D11"/>
    <w:rsid w:val="005C2E76"/>
    <w:rsid w:val="005C2F8F"/>
    <w:rsid w:val="005C448C"/>
    <w:rsid w:val="005C4E34"/>
    <w:rsid w:val="005C53BE"/>
    <w:rsid w:val="005C55FD"/>
    <w:rsid w:val="005C5D86"/>
    <w:rsid w:val="005C7318"/>
    <w:rsid w:val="005C77FD"/>
    <w:rsid w:val="005D003E"/>
    <w:rsid w:val="005D0ABE"/>
    <w:rsid w:val="005D1215"/>
    <w:rsid w:val="005D13E6"/>
    <w:rsid w:val="005D1C8C"/>
    <w:rsid w:val="005D1DB4"/>
    <w:rsid w:val="005D26D1"/>
    <w:rsid w:val="005D2DE6"/>
    <w:rsid w:val="005D41C1"/>
    <w:rsid w:val="005E1115"/>
    <w:rsid w:val="005E1D2B"/>
    <w:rsid w:val="005E2E72"/>
    <w:rsid w:val="005E45EE"/>
    <w:rsid w:val="005E4E63"/>
    <w:rsid w:val="005E58A3"/>
    <w:rsid w:val="005E5A29"/>
    <w:rsid w:val="005E6579"/>
    <w:rsid w:val="005F2A94"/>
    <w:rsid w:val="005F3F8C"/>
    <w:rsid w:val="005F5496"/>
    <w:rsid w:val="005F651D"/>
    <w:rsid w:val="00600385"/>
    <w:rsid w:val="00600517"/>
    <w:rsid w:val="00603301"/>
    <w:rsid w:val="00610257"/>
    <w:rsid w:val="00610411"/>
    <w:rsid w:val="0061266D"/>
    <w:rsid w:val="006135A7"/>
    <w:rsid w:val="00613713"/>
    <w:rsid w:val="006148C6"/>
    <w:rsid w:val="00615A7F"/>
    <w:rsid w:val="00616637"/>
    <w:rsid w:val="00621237"/>
    <w:rsid w:val="00621C3E"/>
    <w:rsid w:val="00622105"/>
    <w:rsid w:val="00622179"/>
    <w:rsid w:val="00624C7F"/>
    <w:rsid w:val="00625414"/>
    <w:rsid w:val="00625C4A"/>
    <w:rsid w:val="00625C6F"/>
    <w:rsid w:val="00625D96"/>
    <w:rsid w:val="00630D96"/>
    <w:rsid w:val="0063207C"/>
    <w:rsid w:val="00632234"/>
    <w:rsid w:val="0063265E"/>
    <w:rsid w:val="00633EE1"/>
    <w:rsid w:val="00634886"/>
    <w:rsid w:val="00634D5D"/>
    <w:rsid w:val="00635C89"/>
    <w:rsid w:val="00640508"/>
    <w:rsid w:val="00640CB4"/>
    <w:rsid w:val="0064215E"/>
    <w:rsid w:val="006432DF"/>
    <w:rsid w:val="006447FD"/>
    <w:rsid w:val="0064490F"/>
    <w:rsid w:val="00644984"/>
    <w:rsid w:val="0064799C"/>
    <w:rsid w:val="00647C3C"/>
    <w:rsid w:val="0065008E"/>
    <w:rsid w:val="00651611"/>
    <w:rsid w:val="00655BE9"/>
    <w:rsid w:val="00655C2F"/>
    <w:rsid w:val="00656B75"/>
    <w:rsid w:val="00656D05"/>
    <w:rsid w:val="00664C0B"/>
    <w:rsid w:val="00664C6D"/>
    <w:rsid w:val="00666EE8"/>
    <w:rsid w:val="00667131"/>
    <w:rsid w:val="006701E8"/>
    <w:rsid w:val="00670809"/>
    <w:rsid w:val="00670BCF"/>
    <w:rsid w:val="00671F46"/>
    <w:rsid w:val="006728C3"/>
    <w:rsid w:val="00672C7C"/>
    <w:rsid w:val="00673515"/>
    <w:rsid w:val="006739B6"/>
    <w:rsid w:val="0067697D"/>
    <w:rsid w:val="00677DAF"/>
    <w:rsid w:val="00680507"/>
    <w:rsid w:val="0068278D"/>
    <w:rsid w:val="00684CD7"/>
    <w:rsid w:val="00686F90"/>
    <w:rsid w:val="00687DA4"/>
    <w:rsid w:val="006912E6"/>
    <w:rsid w:val="00691C4B"/>
    <w:rsid w:val="00693BFB"/>
    <w:rsid w:val="00694533"/>
    <w:rsid w:val="006A2C4D"/>
    <w:rsid w:val="006A449F"/>
    <w:rsid w:val="006A4E39"/>
    <w:rsid w:val="006B32E9"/>
    <w:rsid w:val="006B5098"/>
    <w:rsid w:val="006B5F71"/>
    <w:rsid w:val="006B670B"/>
    <w:rsid w:val="006B7D09"/>
    <w:rsid w:val="006C091A"/>
    <w:rsid w:val="006C1FD7"/>
    <w:rsid w:val="006C2F44"/>
    <w:rsid w:val="006C746F"/>
    <w:rsid w:val="006C762F"/>
    <w:rsid w:val="006C7D72"/>
    <w:rsid w:val="006D0FBF"/>
    <w:rsid w:val="006D1BD4"/>
    <w:rsid w:val="006D2433"/>
    <w:rsid w:val="006D32EF"/>
    <w:rsid w:val="006D53EB"/>
    <w:rsid w:val="006D5913"/>
    <w:rsid w:val="006D77FE"/>
    <w:rsid w:val="006D7853"/>
    <w:rsid w:val="006E3F09"/>
    <w:rsid w:val="006E4CAC"/>
    <w:rsid w:val="006E6353"/>
    <w:rsid w:val="006E7E06"/>
    <w:rsid w:val="006F3279"/>
    <w:rsid w:val="006F375A"/>
    <w:rsid w:val="006F76DC"/>
    <w:rsid w:val="00700C8F"/>
    <w:rsid w:val="007010D1"/>
    <w:rsid w:val="00703117"/>
    <w:rsid w:val="007044AE"/>
    <w:rsid w:val="00710D32"/>
    <w:rsid w:val="00711436"/>
    <w:rsid w:val="0071177A"/>
    <w:rsid w:val="00711A0A"/>
    <w:rsid w:val="00711CAB"/>
    <w:rsid w:val="00712144"/>
    <w:rsid w:val="00712F0B"/>
    <w:rsid w:val="0071360A"/>
    <w:rsid w:val="00713E0F"/>
    <w:rsid w:val="0071413A"/>
    <w:rsid w:val="00714CF6"/>
    <w:rsid w:val="00717FB2"/>
    <w:rsid w:val="007215F0"/>
    <w:rsid w:val="00721C54"/>
    <w:rsid w:val="00722CA2"/>
    <w:rsid w:val="007236D0"/>
    <w:rsid w:val="00723A2B"/>
    <w:rsid w:val="00726609"/>
    <w:rsid w:val="0072720C"/>
    <w:rsid w:val="00727C7D"/>
    <w:rsid w:val="00727D98"/>
    <w:rsid w:val="00730A5B"/>
    <w:rsid w:val="00730D26"/>
    <w:rsid w:val="007310FD"/>
    <w:rsid w:val="0073268B"/>
    <w:rsid w:val="007329F0"/>
    <w:rsid w:val="00734CE4"/>
    <w:rsid w:val="00735975"/>
    <w:rsid w:val="00740C05"/>
    <w:rsid w:val="0074188C"/>
    <w:rsid w:val="00741A05"/>
    <w:rsid w:val="00743C0E"/>
    <w:rsid w:val="00745121"/>
    <w:rsid w:val="00746050"/>
    <w:rsid w:val="00746262"/>
    <w:rsid w:val="007465F0"/>
    <w:rsid w:val="00747566"/>
    <w:rsid w:val="00753A6E"/>
    <w:rsid w:val="007557AC"/>
    <w:rsid w:val="00756927"/>
    <w:rsid w:val="00756E38"/>
    <w:rsid w:val="00761785"/>
    <w:rsid w:val="0076195D"/>
    <w:rsid w:val="007633E0"/>
    <w:rsid w:val="00763878"/>
    <w:rsid w:val="00763B31"/>
    <w:rsid w:val="00764884"/>
    <w:rsid w:val="0076712D"/>
    <w:rsid w:val="00770C36"/>
    <w:rsid w:val="00770D64"/>
    <w:rsid w:val="007714C7"/>
    <w:rsid w:val="00771A9E"/>
    <w:rsid w:val="00773281"/>
    <w:rsid w:val="007735B3"/>
    <w:rsid w:val="00773AE9"/>
    <w:rsid w:val="0077619F"/>
    <w:rsid w:val="00780E20"/>
    <w:rsid w:val="0078101B"/>
    <w:rsid w:val="007822EA"/>
    <w:rsid w:val="00783670"/>
    <w:rsid w:val="00783F38"/>
    <w:rsid w:val="00785C30"/>
    <w:rsid w:val="00787887"/>
    <w:rsid w:val="00792629"/>
    <w:rsid w:val="00793E3A"/>
    <w:rsid w:val="00795D90"/>
    <w:rsid w:val="0079782A"/>
    <w:rsid w:val="007A0BF1"/>
    <w:rsid w:val="007A21AD"/>
    <w:rsid w:val="007A22C3"/>
    <w:rsid w:val="007A2BF9"/>
    <w:rsid w:val="007A581F"/>
    <w:rsid w:val="007A59F9"/>
    <w:rsid w:val="007A5A54"/>
    <w:rsid w:val="007A66CE"/>
    <w:rsid w:val="007A691C"/>
    <w:rsid w:val="007A798A"/>
    <w:rsid w:val="007A7E0F"/>
    <w:rsid w:val="007B0CF0"/>
    <w:rsid w:val="007B5EF3"/>
    <w:rsid w:val="007B7C4E"/>
    <w:rsid w:val="007C46AF"/>
    <w:rsid w:val="007C52F2"/>
    <w:rsid w:val="007C5DD0"/>
    <w:rsid w:val="007D0D0A"/>
    <w:rsid w:val="007D155A"/>
    <w:rsid w:val="007D1767"/>
    <w:rsid w:val="007D1911"/>
    <w:rsid w:val="007D43D7"/>
    <w:rsid w:val="007D5A5A"/>
    <w:rsid w:val="007E2365"/>
    <w:rsid w:val="007E2AD9"/>
    <w:rsid w:val="007E2AE7"/>
    <w:rsid w:val="007E3B3E"/>
    <w:rsid w:val="007E6740"/>
    <w:rsid w:val="007E743D"/>
    <w:rsid w:val="007E753F"/>
    <w:rsid w:val="007E7E5D"/>
    <w:rsid w:val="007F0D87"/>
    <w:rsid w:val="007F47B7"/>
    <w:rsid w:val="007F4EEA"/>
    <w:rsid w:val="007F543C"/>
    <w:rsid w:val="007F7A10"/>
    <w:rsid w:val="00800E71"/>
    <w:rsid w:val="00800F39"/>
    <w:rsid w:val="00805522"/>
    <w:rsid w:val="00806F56"/>
    <w:rsid w:val="008128DE"/>
    <w:rsid w:val="008129B4"/>
    <w:rsid w:val="008133F5"/>
    <w:rsid w:val="00815E32"/>
    <w:rsid w:val="00815E42"/>
    <w:rsid w:val="00816671"/>
    <w:rsid w:val="00816F9B"/>
    <w:rsid w:val="0081709C"/>
    <w:rsid w:val="00817AF2"/>
    <w:rsid w:val="00817D33"/>
    <w:rsid w:val="00820E37"/>
    <w:rsid w:val="00825883"/>
    <w:rsid w:val="00826921"/>
    <w:rsid w:val="008279E7"/>
    <w:rsid w:val="00827E04"/>
    <w:rsid w:val="00830BB7"/>
    <w:rsid w:val="00830C24"/>
    <w:rsid w:val="0083574B"/>
    <w:rsid w:val="0084056D"/>
    <w:rsid w:val="00840940"/>
    <w:rsid w:val="00841972"/>
    <w:rsid w:val="008424F0"/>
    <w:rsid w:val="00843840"/>
    <w:rsid w:val="00843D73"/>
    <w:rsid w:val="008444A3"/>
    <w:rsid w:val="0084480A"/>
    <w:rsid w:val="00847B04"/>
    <w:rsid w:val="008500A7"/>
    <w:rsid w:val="00850522"/>
    <w:rsid w:val="00850D74"/>
    <w:rsid w:val="00850DB1"/>
    <w:rsid w:val="00853528"/>
    <w:rsid w:val="00854216"/>
    <w:rsid w:val="00855438"/>
    <w:rsid w:val="0085586D"/>
    <w:rsid w:val="00855CC3"/>
    <w:rsid w:val="008563CD"/>
    <w:rsid w:val="00856B45"/>
    <w:rsid w:val="00857901"/>
    <w:rsid w:val="00863F50"/>
    <w:rsid w:val="00867BD5"/>
    <w:rsid w:val="00871D39"/>
    <w:rsid w:val="00871E7C"/>
    <w:rsid w:val="00872722"/>
    <w:rsid w:val="00872771"/>
    <w:rsid w:val="0087479E"/>
    <w:rsid w:val="00880A99"/>
    <w:rsid w:val="00881211"/>
    <w:rsid w:val="008827CD"/>
    <w:rsid w:val="00883BA7"/>
    <w:rsid w:val="00885CF5"/>
    <w:rsid w:val="00886577"/>
    <w:rsid w:val="008873FD"/>
    <w:rsid w:val="008912A7"/>
    <w:rsid w:val="00892898"/>
    <w:rsid w:val="00893558"/>
    <w:rsid w:val="008941FE"/>
    <w:rsid w:val="00896266"/>
    <w:rsid w:val="0089627B"/>
    <w:rsid w:val="0089642C"/>
    <w:rsid w:val="008A1221"/>
    <w:rsid w:val="008A2EA5"/>
    <w:rsid w:val="008A457E"/>
    <w:rsid w:val="008A46C7"/>
    <w:rsid w:val="008A4B24"/>
    <w:rsid w:val="008A524E"/>
    <w:rsid w:val="008A58F0"/>
    <w:rsid w:val="008A6BF8"/>
    <w:rsid w:val="008B0F9B"/>
    <w:rsid w:val="008B1E24"/>
    <w:rsid w:val="008B4558"/>
    <w:rsid w:val="008B66AA"/>
    <w:rsid w:val="008B6B9D"/>
    <w:rsid w:val="008B70D7"/>
    <w:rsid w:val="008C2125"/>
    <w:rsid w:val="008C29E8"/>
    <w:rsid w:val="008C38AD"/>
    <w:rsid w:val="008C491A"/>
    <w:rsid w:val="008C4B83"/>
    <w:rsid w:val="008C7670"/>
    <w:rsid w:val="008D0A38"/>
    <w:rsid w:val="008D463D"/>
    <w:rsid w:val="008D56DB"/>
    <w:rsid w:val="008E02E6"/>
    <w:rsid w:val="008E2369"/>
    <w:rsid w:val="008E2C4D"/>
    <w:rsid w:val="008E3939"/>
    <w:rsid w:val="008E4411"/>
    <w:rsid w:val="008E4E3B"/>
    <w:rsid w:val="008E6635"/>
    <w:rsid w:val="008E748D"/>
    <w:rsid w:val="008F1BD2"/>
    <w:rsid w:val="008F222F"/>
    <w:rsid w:val="008F4422"/>
    <w:rsid w:val="008F5C4F"/>
    <w:rsid w:val="008F5C87"/>
    <w:rsid w:val="008F5D6A"/>
    <w:rsid w:val="008F5F2C"/>
    <w:rsid w:val="008F70A6"/>
    <w:rsid w:val="008F7276"/>
    <w:rsid w:val="0090202F"/>
    <w:rsid w:val="009027BC"/>
    <w:rsid w:val="00903C7E"/>
    <w:rsid w:val="0090557F"/>
    <w:rsid w:val="00910026"/>
    <w:rsid w:val="00911C5F"/>
    <w:rsid w:val="00915D1D"/>
    <w:rsid w:val="00920838"/>
    <w:rsid w:val="00920B36"/>
    <w:rsid w:val="00924E6F"/>
    <w:rsid w:val="009250C9"/>
    <w:rsid w:val="0092704C"/>
    <w:rsid w:val="0093010D"/>
    <w:rsid w:val="00930CA3"/>
    <w:rsid w:val="00933789"/>
    <w:rsid w:val="00934E48"/>
    <w:rsid w:val="00935E31"/>
    <w:rsid w:val="00936D12"/>
    <w:rsid w:val="00940966"/>
    <w:rsid w:val="00945900"/>
    <w:rsid w:val="0094674D"/>
    <w:rsid w:val="0094743C"/>
    <w:rsid w:val="00947928"/>
    <w:rsid w:val="0095464F"/>
    <w:rsid w:val="00964BA1"/>
    <w:rsid w:val="00965AE7"/>
    <w:rsid w:val="00967D58"/>
    <w:rsid w:val="00971865"/>
    <w:rsid w:val="00972C81"/>
    <w:rsid w:val="009739BE"/>
    <w:rsid w:val="00973BB3"/>
    <w:rsid w:val="00974108"/>
    <w:rsid w:val="009744BD"/>
    <w:rsid w:val="00974DA0"/>
    <w:rsid w:val="009750F8"/>
    <w:rsid w:val="00976562"/>
    <w:rsid w:val="00977C69"/>
    <w:rsid w:val="00980E92"/>
    <w:rsid w:val="00981676"/>
    <w:rsid w:val="00981831"/>
    <w:rsid w:val="0098438E"/>
    <w:rsid w:val="009844AF"/>
    <w:rsid w:val="00985B6F"/>
    <w:rsid w:val="00985D11"/>
    <w:rsid w:val="00986E2D"/>
    <w:rsid w:val="00987159"/>
    <w:rsid w:val="0099086A"/>
    <w:rsid w:val="00992A10"/>
    <w:rsid w:val="00993B4D"/>
    <w:rsid w:val="00995470"/>
    <w:rsid w:val="009956F2"/>
    <w:rsid w:val="00996761"/>
    <w:rsid w:val="00997443"/>
    <w:rsid w:val="00997A90"/>
    <w:rsid w:val="009A08A3"/>
    <w:rsid w:val="009A10E7"/>
    <w:rsid w:val="009A1399"/>
    <w:rsid w:val="009A7BFD"/>
    <w:rsid w:val="009A7C7A"/>
    <w:rsid w:val="009A7D2A"/>
    <w:rsid w:val="009A7EE0"/>
    <w:rsid w:val="009B1E3D"/>
    <w:rsid w:val="009B3DF5"/>
    <w:rsid w:val="009B5587"/>
    <w:rsid w:val="009C1158"/>
    <w:rsid w:val="009C2EEB"/>
    <w:rsid w:val="009C6DDA"/>
    <w:rsid w:val="009D234E"/>
    <w:rsid w:val="009D3877"/>
    <w:rsid w:val="009D418C"/>
    <w:rsid w:val="009D5E84"/>
    <w:rsid w:val="009D6A2C"/>
    <w:rsid w:val="009D6B74"/>
    <w:rsid w:val="009D6D7C"/>
    <w:rsid w:val="009E239F"/>
    <w:rsid w:val="009E3488"/>
    <w:rsid w:val="009E421F"/>
    <w:rsid w:val="009E563D"/>
    <w:rsid w:val="009E5FEA"/>
    <w:rsid w:val="009E6513"/>
    <w:rsid w:val="009E668D"/>
    <w:rsid w:val="009E759B"/>
    <w:rsid w:val="009E76F8"/>
    <w:rsid w:val="009F08BF"/>
    <w:rsid w:val="009F0BE1"/>
    <w:rsid w:val="009F0CA7"/>
    <w:rsid w:val="009F1F1F"/>
    <w:rsid w:val="009F1F64"/>
    <w:rsid w:val="009F4BF4"/>
    <w:rsid w:val="009F5041"/>
    <w:rsid w:val="009F7478"/>
    <w:rsid w:val="00A043AF"/>
    <w:rsid w:val="00A043D3"/>
    <w:rsid w:val="00A05FA2"/>
    <w:rsid w:val="00A105F2"/>
    <w:rsid w:val="00A10F58"/>
    <w:rsid w:val="00A13487"/>
    <w:rsid w:val="00A1574C"/>
    <w:rsid w:val="00A157C3"/>
    <w:rsid w:val="00A171DA"/>
    <w:rsid w:val="00A17B2F"/>
    <w:rsid w:val="00A201E4"/>
    <w:rsid w:val="00A212BC"/>
    <w:rsid w:val="00A213A2"/>
    <w:rsid w:val="00A221EF"/>
    <w:rsid w:val="00A24593"/>
    <w:rsid w:val="00A30651"/>
    <w:rsid w:val="00A30748"/>
    <w:rsid w:val="00A311E0"/>
    <w:rsid w:val="00A34F4A"/>
    <w:rsid w:val="00A4214D"/>
    <w:rsid w:val="00A43A8B"/>
    <w:rsid w:val="00A46474"/>
    <w:rsid w:val="00A466C5"/>
    <w:rsid w:val="00A4761E"/>
    <w:rsid w:val="00A477AC"/>
    <w:rsid w:val="00A477F1"/>
    <w:rsid w:val="00A478DA"/>
    <w:rsid w:val="00A47A03"/>
    <w:rsid w:val="00A47D16"/>
    <w:rsid w:val="00A506C8"/>
    <w:rsid w:val="00A52863"/>
    <w:rsid w:val="00A542A6"/>
    <w:rsid w:val="00A54D2A"/>
    <w:rsid w:val="00A56E08"/>
    <w:rsid w:val="00A57E2E"/>
    <w:rsid w:val="00A600AF"/>
    <w:rsid w:val="00A6135C"/>
    <w:rsid w:val="00A61657"/>
    <w:rsid w:val="00A6194B"/>
    <w:rsid w:val="00A622AB"/>
    <w:rsid w:val="00A62AE5"/>
    <w:rsid w:val="00A64064"/>
    <w:rsid w:val="00A64C8D"/>
    <w:rsid w:val="00A67AD5"/>
    <w:rsid w:val="00A72625"/>
    <w:rsid w:val="00A72CD4"/>
    <w:rsid w:val="00A72F49"/>
    <w:rsid w:val="00A744AC"/>
    <w:rsid w:val="00A745E6"/>
    <w:rsid w:val="00A74E97"/>
    <w:rsid w:val="00A76BE9"/>
    <w:rsid w:val="00A80BDF"/>
    <w:rsid w:val="00A86F07"/>
    <w:rsid w:val="00A877D3"/>
    <w:rsid w:val="00A9095B"/>
    <w:rsid w:val="00A90C7E"/>
    <w:rsid w:val="00A929D4"/>
    <w:rsid w:val="00A93756"/>
    <w:rsid w:val="00A94C89"/>
    <w:rsid w:val="00A94F64"/>
    <w:rsid w:val="00A975F1"/>
    <w:rsid w:val="00AA02FC"/>
    <w:rsid w:val="00AA11C2"/>
    <w:rsid w:val="00AA1289"/>
    <w:rsid w:val="00AA1C13"/>
    <w:rsid w:val="00AA1DC5"/>
    <w:rsid w:val="00AA22E7"/>
    <w:rsid w:val="00AA23FB"/>
    <w:rsid w:val="00AA24F5"/>
    <w:rsid w:val="00AA28CA"/>
    <w:rsid w:val="00AA30F4"/>
    <w:rsid w:val="00AA4755"/>
    <w:rsid w:val="00AB12A6"/>
    <w:rsid w:val="00AB31CC"/>
    <w:rsid w:val="00AB3BFA"/>
    <w:rsid w:val="00AB3E53"/>
    <w:rsid w:val="00AB4608"/>
    <w:rsid w:val="00AB5318"/>
    <w:rsid w:val="00AB592D"/>
    <w:rsid w:val="00AB671A"/>
    <w:rsid w:val="00AB6A9A"/>
    <w:rsid w:val="00AB7005"/>
    <w:rsid w:val="00AB716D"/>
    <w:rsid w:val="00AB7D5C"/>
    <w:rsid w:val="00AC12F4"/>
    <w:rsid w:val="00AC33E5"/>
    <w:rsid w:val="00AC406B"/>
    <w:rsid w:val="00AC572B"/>
    <w:rsid w:val="00AC604E"/>
    <w:rsid w:val="00AC61AD"/>
    <w:rsid w:val="00AD0965"/>
    <w:rsid w:val="00AD1466"/>
    <w:rsid w:val="00AD1658"/>
    <w:rsid w:val="00AD1BF8"/>
    <w:rsid w:val="00AD3FEE"/>
    <w:rsid w:val="00AD6C3C"/>
    <w:rsid w:val="00AE20D1"/>
    <w:rsid w:val="00AE2BAC"/>
    <w:rsid w:val="00AE3C01"/>
    <w:rsid w:val="00AE44FC"/>
    <w:rsid w:val="00AE46E2"/>
    <w:rsid w:val="00AF0E3D"/>
    <w:rsid w:val="00AF1134"/>
    <w:rsid w:val="00AF5ED2"/>
    <w:rsid w:val="00B021A5"/>
    <w:rsid w:val="00B04FA8"/>
    <w:rsid w:val="00B067B9"/>
    <w:rsid w:val="00B0681A"/>
    <w:rsid w:val="00B1062B"/>
    <w:rsid w:val="00B11EB6"/>
    <w:rsid w:val="00B12379"/>
    <w:rsid w:val="00B12D03"/>
    <w:rsid w:val="00B15E84"/>
    <w:rsid w:val="00B20FD1"/>
    <w:rsid w:val="00B23AA9"/>
    <w:rsid w:val="00B278EC"/>
    <w:rsid w:val="00B305B6"/>
    <w:rsid w:val="00B31562"/>
    <w:rsid w:val="00B323CB"/>
    <w:rsid w:val="00B32F7F"/>
    <w:rsid w:val="00B33C71"/>
    <w:rsid w:val="00B3494E"/>
    <w:rsid w:val="00B34E4E"/>
    <w:rsid w:val="00B34F9A"/>
    <w:rsid w:val="00B40B39"/>
    <w:rsid w:val="00B427E2"/>
    <w:rsid w:val="00B430D4"/>
    <w:rsid w:val="00B4370F"/>
    <w:rsid w:val="00B443A8"/>
    <w:rsid w:val="00B47CD8"/>
    <w:rsid w:val="00B500A5"/>
    <w:rsid w:val="00B500BB"/>
    <w:rsid w:val="00B51017"/>
    <w:rsid w:val="00B52E7B"/>
    <w:rsid w:val="00B530DD"/>
    <w:rsid w:val="00B540B5"/>
    <w:rsid w:val="00B543E7"/>
    <w:rsid w:val="00B60442"/>
    <w:rsid w:val="00B608CE"/>
    <w:rsid w:val="00B630E0"/>
    <w:rsid w:val="00B70E70"/>
    <w:rsid w:val="00B71F95"/>
    <w:rsid w:val="00B72087"/>
    <w:rsid w:val="00B741B8"/>
    <w:rsid w:val="00B76D4C"/>
    <w:rsid w:val="00B82A43"/>
    <w:rsid w:val="00B82E0C"/>
    <w:rsid w:val="00B83045"/>
    <w:rsid w:val="00B8371D"/>
    <w:rsid w:val="00B843E6"/>
    <w:rsid w:val="00B8450A"/>
    <w:rsid w:val="00B868CB"/>
    <w:rsid w:val="00B91744"/>
    <w:rsid w:val="00B92FBF"/>
    <w:rsid w:val="00B934CB"/>
    <w:rsid w:val="00B951EB"/>
    <w:rsid w:val="00B95779"/>
    <w:rsid w:val="00B97570"/>
    <w:rsid w:val="00B97CDC"/>
    <w:rsid w:val="00BA0A28"/>
    <w:rsid w:val="00BA0F60"/>
    <w:rsid w:val="00BA1954"/>
    <w:rsid w:val="00BA418D"/>
    <w:rsid w:val="00BA571B"/>
    <w:rsid w:val="00BA5941"/>
    <w:rsid w:val="00BA6A31"/>
    <w:rsid w:val="00BA79D4"/>
    <w:rsid w:val="00BB049E"/>
    <w:rsid w:val="00BB1211"/>
    <w:rsid w:val="00BB2FB0"/>
    <w:rsid w:val="00BB4AEE"/>
    <w:rsid w:val="00BB4D07"/>
    <w:rsid w:val="00BB77A9"/>
    <w:rsid w:val="00BB7BF1"/>
    <w:rsid w:val="00BC042E"/>
    <w:rsid w:val="00BC4044"/>
    <w:rsid w:val="00BC4572"/>
    <w:rsid w:val="00BC4E38"/>
    <w:rsid w:val="00BC61F0"/>
    <w:rsid w:val="00BC67E6"/>
    <w:rsid w:val="00BC695F"/>
    <w:rsid w:val="00BC7ABF"/>
    <w:rsid w:val="00BD1CFE"/>
    <w:rsid w:val="00BD2928"/>
    <w:rsid w:val="00BD29BD"/>
    <w:rsid w:val="00BD36F0"/>
    <w:rsid w:val="00BD6688"/>
    <w:rsid w:val="00BE0483"/>
    <w:rsid w:val="00BE08A2"/>
    <w:rsid w:val="00BE1CA0"/>
    <w:rsid w:val="00BE2B08"/>
    <w:rsid w:val="00BE6A63"/>
    <w:rsid w:val="00BF0C16"/>
    <w:rsid w:val="00BF1725"/>
    <w:rsid w:val="00BF1BE9"/>
    <w:rsid w:val="00BF261E"/>
    <w:rsid w:val="00BF3A1F"/>
    <w:rsid w:val="00BF6941"/>
    <w:rsid w:val="00BF7370"/>
    <w:rsid w:val="00C009B7"/>
    <w:rsid w:val="00C03801"/>
    <w:rsid w:val="00C04EC1"/>
    <w:rsid w:val="00C057F4"/>
    <w:rsid w:val="00C06672"/>
    <w:rsid w:val="00C07B3E"/>
    <w:rsid w:val="00C1094D"/>
    <w:rsid w:val="00C10AE9"/>
    <w:rsid w:val="00C132AD"/>
    <w:rsid w:val="00C1421D"/>
    <w:rsid w:val="00C1451A"/>
    <w:rsid w:val="00C16035"/>
    <w:rsid w:val="00C16A37"/>
    <w:rsid w:val="00C16BAC"/>
    <w:rsid w:val="00C17066"/>
    <w:rsid w:val="00C20E94"/>
    <w:rsid w:val="00C23120"/>
    <w:rsid w:val="00C232A6"/>
    <w:rsid w:val="00C232B4"/>
    <w:rsid w:val="00C2332F"/>
    <w:rsid w:val="00C23CA6"/>
    <w:rsid w:val="00C279EC"/>
    <w:rsid w:val="00C306C4"/>
    <w:rsid w:val="00C353AE"/>
    <w:rsid w:val="00C3635A"/>
    <w:rsid w:val="00C36627"/>
    <w:rsid w:val="00C3706E"/>
    <w:rsid w:val="00C4021E"/>
    <w:rsid w:val="00C4140E"/>
    <w:rsid w:val="00C419FC"/>
    <w:rsid w:val="00C41F70"/>
    <w:rsid w:val="00C43F88"/>
    <w:rsid w:val="00C46704"/>
    <w:rsid w:val="00C46CED"/>
    <w:rsid w:val="00C47A01"/>
    <w:rsid w:val="00C5221B"/>
    <w:rsid w:val="00C53415"/>
    <w:rsid w:val="00C569CA"/>
    <w:rsid w:val="00C603AC"/>
    <w:rsid w:val="00C60C54"/>
    <w:rsid w:val="00C630E8"/>
    <w:rsid w:val="00C65514"/>
    <w:rsid w:val="00C65892"/>
    <w:rsid w:val="00C67914"/>
    <w:rsid w:val="00C67C25"/>
    <w:rsid w:val="00C70418"/>
    <w:rsid w:val="00C70955"/>
    <w:rsid w:val="00C71DCF"/>
    <w:rsid w:val="00C7235B"/>
    <w:rsid w:val="00C72435"/>
    <w:rsid w:val="00C72773"/>
    <w:rsid w:val="00C74851"/>
    <w:rsid w:val="00C74E19"/>
    <w:rsid w:val="00C77CF0"/>
    <w:rsid w:val="00C80922"/>
    <w:rsid w:val="00C84867"/>
    <w:rsid w:val="00C856C1"/>
    <w:rsid w:val="00C85FBE"/>
    <w:rsid w:val="00C87D38"/>
    <w:rsid w:val="00C87E4F"/>
    <w:rsid w:val="00C933D8"/>
    <w:rsid w:val="00C95D38"/>
    <w:rsid w:val="00C967CF"/>
    <w:rsid w:val="00CA003C"/>
    <w:rsid w:val="00CA1EFF"/>
    <w:rsid w:val="00CA2798"/>
    <w:rsid w:val="00CA5E58"/>
    <w:rsid w:val="00CA63F8"/>
    <w:rsid w:val="00CB0474"/>
    <w:rsid w:val="00CB1702"/>
    <w:rsid w:val="00CB1918"/>
    <w:rsid w:val="00CB1E69"/>
    <w:rsid w:val="00CB34B7"/>
    <w:rsid w:val="00CB3799"/>
    <w:rsid w:val="00CB445C"/>
    <w:rsid w:val="00CB5414"/>
    <w:rsid w:val="00CC2174"/>
    <w:rsid w:val="00CC3E24"/>
    <w:rsid w:val="00CC44A8"/>
    <w:rsid w:val="00CC6DCA"/>
    <w:rsid w:val="00CC6DE1"/>
    <w:rsid w:val="00CD12B6"/>
    <w:rsid w:val="00CD20C0"/>
    <w:rsid w:val="00CD3EA1"/>
    <w:rsid w:val="00CD7F5F"/>
    <w:rsid w:val="00CE1055"/>
    <w:rsid w:val="00CE2944"/>
    <w:rsid w:val="00CE3591"/>
    <w:rsid w:val="00CE3E8F"/>
    <w:rsid w:val="00CE613A"/>
    <w:rsid w:val="00CE6CCD"/>
    <w:rsid w:val="00CE7519"/>
    <w:rsid w:val="00CE7FF6"/>
    <w:rsid w:val="00CF1C5A"/>
    <w:rsid w:val="00CF6A41"/>
    <w:rsid w:val="00D003A8"/>
    <w:rsid w:val="00D00B7A"/>
    <w:rsid w:val="00D01311"/>
    <w:rsid w:val="00D02117"/>
    <w:rsid w:val="00D02159"/>
    <w:rsid w:val="00D02E8C"/>
    <w:rsid w:val="00D0618F"/>
    <w:rsid w:val="00D065E7"/>
    <w:rsid w:val="00D06AAD"/>
    <w:rsid w:val="00D072A6"/>
    <w:rsid w:val="00D12E32"/>
    <w:rsid w:val="00D131F8"/>
    <w:rsid w:val="00D20B30"/>
    <w:rsid w:val="00D21098"/>
    <w:rsid w:val="00D21D10"/>
    <w:rsid w:val="00D224BA"/>
    <w:rsid w:val="00D229D3"/>
    <w:rsid w:val="00D23B7E"/>
    <w:rsid w:val="00D25647"/>
    <w:rsid w:val="00D25B89"/>
    <w:rsid w:val="00D25BC6"/>
    <w:rsid w:val="00D26894"/>
    <w:rsid w:val="00D27064"/>
    <w:rsid w:val="00D315C3"/>
    <w:rsid w:val="00D325D1"/>
    <w:rsid w:val="00D343A7"/>
    <w:rsid w:val="00D35DD8"/>
    <w:rsid w:val="00D37C10"/>
    <w:rsid w:val="00D4145A"/>
    <w:rsid w:val="00D44D2D"/>
    <w:rsid w:val="00D46A3E"/>
    <w:rsid w:val="00D50EA3"/>
    <w:rsid w:val="00D519BB"/>
    <w:rsid w:val="00D57A41"/>
    <w:rsid w:val="00D60E45"/>
    <w:rsid w:val="00D633C1"/>
    <w:rsid w:val="00D65353"/>
    <w:rsid w:val="00D663DF"/>
    <w:rsid w:val="00D6679F"/>
    <w:rsid w:val="00D67348"/>
    <w:rsid w:val="00D73C21"/>
    <w:rsid w:val="00D73EF7"/>
    <w:rsid w:val="00D74DDA"/>
    <w:rsid w:val="00D771AB"/>
    <w:rsid w:val="00D80CBB"/>
    <w:rsid w:val="00D820AD"/>
    <w:rsid w:val="00D8219A"/>
    <w:rsid w:val="00D83675"/>
    <w:rsid w:val="00D8584C"/>
    <w:rsid w:val="00D86A47"/>
    <w:rsid w:val="00D86D8E"/>
    <w:rsid w:val="00D904F9"/>
    <w:rsid w:val="00D9209D"/>
    <w:rsid w:val="00D933BD"/>
    <w:rsid w:val="00D93590"/>
    <w:rsid w:val="00D940FD"/>
    <w:rsid w:val="00D94303"/>
    <w:rsid w:val="00D97187"/>
    <w:rsid w:val="00D976C8"/>
    <w:rsid w:val="00D97AD8"/>
    <w:rsid w:val="00D97B5C"/>
    <w:rsid w:val="00DA06C8"/>
    <w:rsid w:val="00DA1E5F"/>
    <w:rsid w:val="00DA2821"/>
    <w:rsid w:val="00DA2A5F"/>
    <w:rsid w:val="00DA4B8D"/>
    <w:rsid w:val="00DB12EE"/>
    <w:rsid w:val="00DB1C03"/>
    <w:rsid w:val="00DB21FF"/>
    <w:rsid w:val="00DB2D9B"/>
    <w:rsid w:val="00DB319C"/>
    <w:rsid w:val="00DB3792"/>
    <w:rsid w:val="00DC3ED7"/>
    <w:rsid w:val="00DC42A3"/>
    <w:rsid w:val="00DC4754"/>
    <w:rsid w:val="00DC5EB0"/>
    <w:rsid w:val="00DD2425"/>
    <w:rsid w:val="00DD29E8"/>
    <w:rsid w:val="00DD56F8"/>
    <w:rsid w:val="00DD5922"/>
    <w:rsid w:val="00DD624B"/>
    <w:rsid w:val="00DD6A8C"/>
    <w:rsid w:val="00DD7391"/>
    <w:rsid w:val="00DD795C"/>
    <w:rsid w:val="00DD7F4F"/>
    <w:rsid w:val="00DE0514"/>
    <w:rsid w:val="00DE0B84"/>
    <w:rsid w:val="00DE2815"/>
    <w:rsid w:val="00DE6362"/>
    <w:rsid w:val="00DE7188"/>
    <w:rsid w:val="00DF44EF"/>
    <w:rsid w:val="00DF475A"/>
    <w:rsid w:val="00DF65DB"/>
    <w:rsid w:val="00DF7AC4"/>
    <w:rsid w:val="00E0084E"/>
    <w:rsid w:val="00E01B0F"/>
    <w:rsid w:val="00E03288"/>
    <w:rsid w:val="00E051E4"/>
    <w:rsid w:val="00E069BB"/>
    <w:rsid w:val="00E105A8"/>
    <w:rsid w:val="00E10644"/>
    <w:rsid w:val="00E128AB"/>
    <w:rsid w:val="00E13281"/>
    <w:rsid w:val="00E1600C"/>
    <w:rsid w:val="00E174B0"/>
    <w:rsid w:val="00E17516"/>
    <w:rsid w:val="00E22D50"/>
    <w:rsid w:val="00E2374F"/>
    <w:rsid w:val="00E246EC"/>
    <w:rsid w:val="00E256CC"/>
    <w:rsid w:val="00E262A6"/>
    <w:rsid w:val="00E31156"/>
    <w:rsid w:val="00E31486"/>
    <w:rsid w:val="00E32B9E"/>
    <w:rsid w:val="00E34B1C"/>
    <w:rsid w:val="00E352FA"/>
    <w:rsid w:val="00E36AF7"/>
    <w:rsid w:val="00E37355"/>
    <w:rsid w:val="00E40E0A"/>
    <w:rsid w:val="00E418B5"/>
    <w:rsid w:val="00E42DCA"/>
    <w:rsid w:val="00E431C4"/>
    <w:rsid w:val="00E447B2"/>
    <w:rsid w:val="00E45758"/>
    <w:rsid w:val="00E45843"/>
    <w:rsid w:val="00E460D4"/>
    <w:rsid w:val="00E46F2E"/>
    <w:rsid w:val="00E47419"/>
    <w:rsid w:val="00E519B0"/>
    <w:rsid w:val="00E523D4"/>
    <w:rsid w:val="00E533B9"/>
    <w:rsid w:val="00E54BAB"/>
    <w:rsid w:val="00E55C17"/>
    <w:rsid w:val="00E55EA5"/>
    <w:rsid w:val="00E56584"/>
    <w:rsid w:val="00E606A8"/>
    <w:rsid w:val="00E61849"/>
    <w:rsid w:val="00E62303"/>
    <w:rsid w:val="00E62A48"/>
    <w:rsid w:val="00E632BD"/>
    <w:rsid w:val="00E642F0"/>
    <w:rsid w:val="00E65572"/>
    <w:rsid w:val="00E66EF8"/>
    <w:rsid w:val="00E67995"/>
    <w:rsid w:val="00E74448"/>
    <w:rsid w:val="00E75945"/>
    <w:rsid w:val="00E75A1E"/>
    <w:rsid w:val="00E75F07"/>
    <w:rsid w:val="00E77700"/>
    <w:rsid w:val="00E77767"/>
    <w:rsid w:val="00E8064C"/>
    <w:rsid w:val="00E80F6C"/>
    <w:rsid w:val="00E8314B"/>
    <w:rsid w:val="00E83305"/>
    <w:rsid w:val="00E834A0"/>
    <w:rsid w:val="00E85225"/>
    <w:rsid w:val="00E864CA"/>
    <w:rsid w:val="00E87C0F"/>
    <w:rsid w:val="00E87D40"/>
    <w:rsid w:val="00E90E4B"/>
    <w:rsid w:val="00E92226"/>
    <w:rsid w:val="00E93ABC"/>
    <w:rsid w:val="00E93AFE"/>
    <w:rsid w:val="00E979CB"/>
    <w:rsid w:val="00EA1AE1"/>
    <w:rsid w:val="00EA48D1"/>
    <w:rsid w:val="00EA68AE"/>
    <w:rsid w:val="00EA6FB0"/>
    <w:rsid w:val="00EA760C"/>
    <w:rsid w:val="00EA7815"/>
    <w:rsid w:val="00EA799A"/>
    <w:rsid w:val="00EA7DA7"/>
    <w:rsid w:val="00EA7E9A"/>
    <w:rsid w:val="00EB1371"/>
    <w:rsid w:val="00EB2197"/>
    <w:rsid w:val="00EB49CB"/>
    <w:rsid w:val="00EB6E0D"/>
    <w:rsid w:val="00EB73EC"/>
    <w:rsid w:val="00EB7533"/>
    <w:rsid w:val="00EC1296"/>
    <w:rsid w:val="00EC1F61"/>
    <w:rsid w:val="00EC3978"/>
    <w:rsid w:val="00EC4ED0"/>
    <w:rsid w:val="00ED2417"/>
    <w:rsid w:val="00ED43ED"/>
    <w:rsid w:val="00EE0040"/>
    <w:rsid w:val="00EE0D6C"/>
    <w:rsid w:val="00EE1F82"/>
    <w:rsid w:val="00EE2A43"/>
    <w:rsid w:val="00EE4497"/>
    <w:rsid w:val="00EE5DA8"/>
    <w:rsid w:val="00EE6127"/>
    <w:rsid w:val="00EE6AA2"/>
    <w:rsid w:val="00EF37D5"/>
    <w:rsid w:val="00EF4B87"/>
    <w:rsid w:val="00EF5272"/>
    <w:rsid w:val="00EF6E01"/>
    <w:rsid w:val="00F00E30"/>
    <w:rsid w:val="00F00E7F"/>
    <w:rsid w:val="00F03298"/>
    <w:rsid w:val="00F036F1"/>
    <w:rsid w:val="00F037F9"/>
    <w:rsid w:val="00F03B5B"/>
    <w:rsid w:val="00F07595"/>
    <w:rsid w:val="00F102C9"/>
    <w:rsid w:val="00F109BF"/>
    <w:rsid w:val="00F1158D"/>
    <w:rsid w:val="00F12B5C"/>
    <w:rsid w:val="00F13570"/>
    <w:rsid w:val="00F14C43"/>
    <w:rsid w:val="00F15D5C"/>
    <w:rsid w:val="00F16086"/>
    <w:rsid w:val="00F16CE1"/>
    <w:rsid w:val="00F176F2"/>
    <w:rsid w:val="00F17EE6"/>
    <w:rsid w:val="00F209DF"/>
    <w:rsid w:val="00F22500"/>
    <w:rsid w:val="00F312A7"/>
    <w:rsid w:val="00F33370"/>
    <w:rsid w:val="00F34D5A"/>
    <w:rsid w:val="00F37F58"/>
    <w:rsid w:val="00F40CE1"/>
    <w:rsid w:val="00F4237A"/>
    <w:rsid w:val="00F42ABC"/>
    <w:rsid w:val="00F42BA3"/>
    <w:rsid w:val="00F4334A"/>
    <w:rsid w:val="00F43A82"/>
    <w:rsid w:val="00F43CB3"/>
    <w:rsid w:val="00F44AC4"/>
    <w:rsid w:val="00F4514C"/>
    <w:rsid w:val="00F47C7C"/>
    <w:rsid w:val="00F5023E"/>
    <w:rsid w:val="00F50CD1"/>
    <w:rsid w:val="00F549D9"/>
    <w:rsid w:val="00F6279A"/>
    <w:rsid w:val="00F6340E"/>
    <w:rsid w:val="00F651B2"/>
    <w:rsid w:val="00F66FA6"/>
    <w:rsid w:val="00F70046"/>
    <w:rsid w:val="00F71963"/>
    <w:rsid w:val="00F72886"/>
    <w:rsid w:val="00F733F8"/>
    <w:rsid w:val="00F753A9"/>
    <w:rsid w:val="00F80052"/>
    <w:rsid w:val="00F80805"/>
    <w:rsid w:val="00F832F8"/>
    <w:rsid w:val="00F83C3C"/>
    <w:rsid w:val="00F83E0E"/>
    <w:rsid w:val="00F84617"/>
    <w:rsid w:val="00F85CDF"/>
    <w:rsid w:val="00F8633B"/>
    <w:rsid w:val="00F869C0"/>
    <w:rsid w:val="00F87FCA"/>
    <w:rsid w:val="00F91E22"/>
    <w:rsid w:val="00F92736"/>
    <w:rsid w:val="00F93074"/>
    <w:rsid w:val="00F9455F"/>
    <w:rsid w:val="00F9706C"/>
    <w:rsid w:val="00F973BF"/>
    <w:rsid w:val="00FA2E8A"/>
    <w:rsid w:val="00FA4499"/>
    <w:rsid w:val="00FA4DC9"/>
    <w:rsid w:val="00FA578D"/>
    <w:rsid w:val="00FA5AA0"/>
    <w:rsid w:val="00FA763F"/>
    <w:rsid w:val="00FA7C7F"/>
    <w:rsid w:val="00FB0811"/>
    <w:rsid w:val="00FB1394"/>
    <w:rsid w:val="00FB1C07"/>
    <w:rsid w:val="00FB1CF4"/>
    <w:rsid w:val="00FB33F0"/>
    <w:rsid w:val="00FB382C"/>
    <w:rsid w:val="00FB3B0A"/>
    <w:rsid w:val="00FB3DC6"/>
    <w:rsid w:val="00FB547E"/>
    <w:rsid w:val="00FB5CB7"/>
    <w:rsid w:val="00FB6A15"/>
    <w:rsid w:val="00FB795D"/>
    <w:rsid w:val="00FB7F55"/>
    <w:rsid w:val="00FC1091"/>
    <w:rsid w:val="00FC1C20"/>
    <w:rsid w:val="00FC38EA"/>
    <w:rsid w:val="00FC3CDB"/>
    <w:rsid w:val="00FC59EB"/>
    <w:rsid w:val="00FC5DD9"/>
    <w:rsid w:val="00FC62AA"/>
    <w:rsid w:val="00FC7104"/>
    <w:rsid w:val="00FC7E7F"/>
    <w:rsid w:val="00FD07E7"/>
    <w:rsid w:val="00FD2CB1"/>
    <w:rsid w:val="00FD779C"/>
    <w:rsid w:val="00FE1D80"/>
    <w:rsid w:val="00FE230A"/>
    <w:rsid w:val="00FE4FDC"/>
    <w:rsid w:val="00FE53DF"/>
    <w:rsid w:val="00FE5D37"/>
    <w:rsid w:val="00FE6CCC"/>
    <w:rsid w:val="00FE72BE"/>
    <w:rsid w:val="00FF1C28"/>
    <w:rsid w:val="00FF1F18"/>
    <w:rsid w:val="00FF3B1A"/>
    <w:rsid w:val="00FF41BB"/>
    <w:rsid w:val="00FF604D"/>
    <w:rsid w:val="013AF20C"/>
    <w:rsid w:val="0244E804"/>
    <w:rsid w:val="042AB311"/>
    <w:rsid w:val="0441A3D5"/>
    <w:rsid w:val="0B52FE7A"/>
    <w:rsid w:val="0B777155"/>
    <w:rsid w:val="0D1B158C"/>
    <w:rsid w:val="0DECDC39"/>
    <w:rsid w:val="0F25DFDB"/>
    <w:rsid w:val="1078196F"/>
    <w:rsid w:val="11308B70"/>
    <w:rsid w:val="142A1928"/>
    <w:rsid w:val="16DF48E9"/>
    <w:rsid w:val="1827773A"/>
    <w:rsid w:val="1B79EB8B"/>
    <w:rsid w:val="1BC6CA81"/>
    <w:rsid w:val="1D09ED4F"/>
    <w:rsid w:val="2082549F"/>
    <w:rsid w:val="20D0FC23"/>
    <w:rsid w:val="223D8B6A"/>
    <w:rsid w:val="24A6EE4B"/>
    <w:rsid w:val="257A8F26"/>
    <w:rsid w:val="2AD04834"/>
    <w:rsid w:val="2B5F2E40"/>
    <w:rsid w:val="2D3DEF61"/>
    <w:rsid w:val="2E96CF02"/>
    <w:rsid w:val="30854459"/>
    <w:rsid w:val="37A7DAD0"/>
    <w:rsid w:val="3B552C4B"/>
    <w:rsid w:val="3B610E41"/>
    <w:rsid w:val="4567E8DA"/>
    <w:rsid w:val="45F6CEE6"/>
    <w:rsid w:val="4B8BBF94"/>
    <w:rsid w:val="4F84E080"/>
    <w:rsid w:val="50BB8DF2"/>
    <w:rsid w:val="52303CAE"/>
    <w:rsid w:val="55F365AC"/>
    <w:rsid w:val="5B4800E3"/>
    <w:rsid w:val="5BEE6231"/>
    <w:rsid w:val="5CC501B3"/>
    <w:rsid w:val="5DE93169"/>
    <w:rsid w:val="5E355AD7"/>
    <w:rsid w:val="6099776A"/>
    <w:rsid w:val="61F64509"/>
    <w:rsid w:val="65118254"/>
    <w:rsid w:val="6E479A7C"/>
    <w:rsid w:val="6F7A2421"/>
    <w:rsid w:val="6FEBE289"/>
    <w:rsid w:val="731CE647"/>
    <w:rsid w:val="73788AF9"/>
    <w:rsid w:val="7DC4146C"/>
    <w:rsid w:val="7FA7E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BB"/>
    <w:pPr>
      <w:spacing w:after="0" w:line="240" w:lineRule="auto"/>
      <w:jc w:val="both"/>
    </w:pPr>
    <w:rPr>
      <w:rFonts w:ascii="Cambria" w:eastAsia="Cambria" w:hAnsi="Cambria" w:cs="Cambria"/>
      <w:lang w:val="hr-HR" w:eastAsia="en-GB"/>
    </w:rPr>
  </w:style>
  <w:style w:type="paragraph" w:styleId="Heading1">
    <w:name w:val="heading 1"/>
    <w:basedOn w:val="Normal"/>
    <w:next w:val="Normal"/>
    <w:link w:val="Heading1Char"/>
    <w:uiPriority w:val="9"/>
    <w:qFormat/>
    <w:rsid w:val="001A6D76"/>
    <w:pPr>
      <w:keepNext/>
      <w:keepLines/>
      <w:pageBreakBefore/>
      <w:spacing w:before="120" w:after="400"/>
      <w:jc w:val="left"/>
      <w:outlineLvl w:val="0"/>
    </w:pPr>
    <w:rPr>
      <w:rFonts w:ascii="Arial" w:eastAsiaTheme="majorEastAsia" w:hAnsi="Arial" w:cstheme="majorBidi"/>
      <w:b/>
      <w:color w:val="00B0F0"/>
      <w:sz w:val="48"/>
      <w:szCs w:val="32"/>
      <w:lang w:val="bs-Latn-BA"/>
    </w:rPr>
  </w:style>
  <w:style w:type="paragraph" w:styleId="Heading2">
    <w:name w:val="heading 2"/>
    <w:basedOn w:val="Normal"/>
    <w:next w:val="Normal"/>
    <w:link w:val="Heading2Char"/>
    <w:uiPriority w:val="9"/>
    <w:unhideWhenUsed/>
    <w:qFormat/>
    <w:rsid w:val="001A6D76"/>
    <w:pPr>
      <w:keepNext/>
      <w:keepLines/>
      <w:numPr>
        <w:ilvl w:val="1"/>
        <w:numId w:val="58"/>
      </w:numPr>
      <w:spacing w:before="480"/>
      <w:jc w:val="left"/>
      <w:outlineLvl w:val="1"/>
    </w:pPr>
    <w:rPr>
      <w:rFonts w:ascii="Arial" w:eastAsiaTheme="majorEastAsia" w:hAnsi="Arial" w:cstheme="majorBidi"/>
      <w:b/>
      <w:color w:val="00B0F0"/>
      <w:sz w:val="36"/>
      <w:szCs w:val="26"/>
    </w:rPr>
  </w:style>
  <w:style w:type="paragraph" w:styleId="Heading3">
    <w:name w:val="heading 3"/>
    <w:basedOn w:val="Normal"/>
    <w:next w:val="Normal"/>
    <w:link w:val="Heading3Char"/>
    <w:uiPriority w:val="9"/>
    <w:unhideWhenUsed/>
    <w:qFormat/>
    <w:rsid w:val="001A6D76"/>
    <w:pPr>
      <w:keepNext/>
      <w:keepLines/>
      <w:spacing w:before="320" w:after="320"/>
      <w:jc w:val="left"/>
      <w:outlineLvl w:val="2"/>
    </w:pPr>
    <w:rPr>
      <w:rFonts w:ascii="Arial" w:eastAsiaTheme="majorEastAsia" w:hAnsi="Arial" w:cstheme="majorBidi"/>
      <w:b/>
      <w:color w:val="00B0F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D76"/>
    <w:rPr>
      <w:rFonts w:ascii="Arial" w:eastAsiaTheme="majorEastAsia" w:hAnsi="Arial" w:cstheme="majorBidi"/>
      <w:b/>
      <w:color w:val="00B0F0"/>
      <w:sz w:val="48"/>
      <w:szCs w:val="32"/>
      <w:lang w:val="bs-Latn-BA" w:eastAsia="en-GB"/>
    </w:rPr>
  </w:style>
  <w:style w:type="paragraph" w:styleId="Title">
    <w:name w:val="Title"/>
    <w:basedOn w:val="Normal"/>
    <w:next w:val="Normal"/>
    <w:link w:val="TitleChar"/>
    <w:uiPriority w:val="10"/>
    <w:qFormat/>
    <w:rsid w:val="00E069BB"/>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069BB"/>
    <w:rPr>
      <w:rFonts w:ascii="Cambria" w:eastAsiaTheme="majorEastAsia" w:hAnsi="Cambria" w:cstheme="majorBidi"/>
      <w:noProof/>
      <w:spacing w:val="-10"/>
      <w:kern w:val="28"/>
      <w:sz w:val="56"/>
      <w:szCs w:val="56"/>
      <w:lang w:val="hr-HR" w:eastAsia="en-GB"/>
    </w:rPr>
  </w:style>
  <w:style w:type="character" w:styleId="Hyperlink">
    <w:name w:val="Hyperlink"/>
    <w:basedOn w:val="DefaultParagraphFont"/>
    <w:uiPriority w:val="99"/>
    <w:unhideWhenUsed/>
    <w:rsid w:val="00E069BB"/>
    <w:rPr>
      <w:color w:val="0563C1"/>
      <w:u w:val="single"/>
    </w:rPr>
  </w:style>
  <w:style w:type="paragraph" w:styleId="TOCHeading">
    <w:name w:val="TOC Heading"/>
    <w:basedOn w:val="Heading1"/>
    <w:next w:val="Normal"/>
    <w:uiPriority w:val="39"/>
    <w:unhideWhenUsed/>
    <w:qFormat/>
    <w:rsid w:val="00E069BB"/>
    <w:pPr>
      <w:spacing w:before="480" w:after="0" w:line="276" w:lineRule="auto"/>
      <w:outlineLvl w:val="9"/>
    </w:pPr>
    <w:rPr>
      <w:rFonts w:asciiTheme="majorHAnsi" w:hAnsiTheme="majorHAnsi"/>
      <w:bCs/>
      <w:color w:val="2F5496" w:themeColor="accent1" w:themeShade="BF"/>
      <w:sz w:val="28"/>
      <w:szCs w:val="28"/>
      <w:lang w:val="en-US" w:eastAsia="en-US"/>
    </w:rPr>
  </w:style>
  <w:style w:type="paragraph" w:styleId="TOC2">
    <w:name w:val="toc 2"/>
    <w:basedOn w:val="Normal"/>
    <w:next w:val="Normal"/>
    <w:autoRedefine/>
    <w:uiPriority w:val="39"/>
    <w:unhideWhenUsed/>
    <w:rsid w:val="004B5159"/>
    <w:pPr>
      <w:tabs>
        <w:tab w:val="right" w:leader="dot" w:pos="9350"/>
      </w:tabs>
      <w:spacing w:before="120" w:line="276" w:lineRule="auto"/>
      <w:ind w:left="220"/>
      <w:jc w:val="left"/>
    </w:pPr>
    <w:rPr>
      <w:rFonts w:asciiTheme="minorHAnsi" w:hAnsiTheme="minorHAnsi" w:cstheme="minorHAnsi"/>
      <w:b/>
      <w:bCs/>
      <w:szCs w:val="26"/>
    </w:rPr>
  </w:style>
  <w:style w:type="paragraph" w:styleId="TOC1">
    <w:name w:val="toc 1"/>
    <w:basedOn w:val="Normal"/>
    <w:next w:val="Normal"/>
    <w:autoRedefine/>
    <w:uiPriority w:val="39"/>
    <w:unhideWhenUsed/>
    <w:rsid w:val="00E40E0A"/>
    <w:pPr>
      <w:tabs>
        <w:tab w:val="right" w:leader="dot" w:pos="9350"/>
      </w:tabs>
      <w:spacing w:before="120" w:line="276" w:lineRule="auto"/>
      <w:jc w:val="left"/>
    </w:pPr>
    <w:rPr>
      <w:rFonts w:ascii="Arial" w:hAnsi="Arial" w:cs="Arial"/>
      <w:b/>
      <w:sz w:val="24"/>
      <w:szCs w:val="24"/>
      <w:lang w:val="bs-Latn-BA"/>
    </w:rPr>
  </w:style>
  <w:style w:type="paragraph" w:styleId="TOC3">
    <w:name w:val="toc 3"/>
    <w:basedOn w:val="Normal"/>
    <w:next w:val="Normal"/>
    <w:autoRedefine/>
    <w:uiPriority w:val="39"/>
    <w:unhideWhenUsed/>
    <w:rsid w:val="004B5159"/>
    <w:pPr>
      <w:tabs>
        <w:tab w:val="right" w:leader="dot" w:pos="9350"/>
      </w:tabs>
      <w:spacing w:line="276" w:lineRule="auto"/>
      <w:ind w:left="440"/>
      <w:jc w:val="left"/>
    </w:pPr>
    <w:rPr>
      <w:rFonts w:asciiTheme="minorHAnsi" w:hAnsiTheme="minorHAnsi" w:cstheme="minorHAnsi"/>
      <w:sz w:val="20"/>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E069BB"/>
    <w:pPr>
      <w:ind w:left="720"/>
      <w:contextualSpacing/>
    </w:pPr>
  </w:style>
  <w:style w:type="character" w:customStyle="1" w:styleId="Heading2Char">
    <w:name w:val="Heading 2 Char"/>
    <w:basedOn w:val="DefaultParagraphFont"/>
    <w:link w:val="Heading2"/>
    <w:uiPriority w:val="9"/>
    <w:rsid w:val="001A6D76"/>
    <w:rPr>
      <w:rFonts w:ascii="Arial" w:eastAsiaTheme="majorEastAsia" w:hAnsi="Arial" w:cstheme="majorBidi"/>
      <w:b/>
      <w:color w:val="00B0F0"/>
      <w:sz w:val="36"/>
      <w:szCs w:val="26"/>
      <w:lang w:val="hr-HR" w:eastAsia="en-GB"/>
    </w:rPr>
  </w:style>
  <w:style w:type="paragraph" w:styleId="Header">
    <w:name w:val="header"/>
    <w:basedOn w:val="Normal"/>
    <w:link w:val="HeaderChar"/>
    <w:uiPriority w:val="99"/>
    <w:unhideWhenUsed/>
    <w:rsid w:val="002E19F3"/>
    <w:pPr>
      <w:tabs>
        <w:tab w:val="center" w:pos="4680"/>
        <w:tab w:val="right" w:pos="9360"/>
      </w:tabs>
    </w:pPr>
  </w:style>
  <w:style w:type="character" w:customStyle="1" w:styleId="HeaderChar">
    <w:name w:val="Header Char"/>
    <w:basedOn w:val="DefaultParagraphFont"/>
    <w:link w:val="Header"/>
    <w:uiPriority w:val="99"/>
    <w:rsid w:val="002E19F3"/>
    <w:rPr>
      <w:rFonts w:ascii="Cambria" w:eastAsia="Cambria" w:hAnsi="Cambria" w:cs="Cambria"/>
      <w:noProof/>
      <w:lang w:val="hr-HR" w:eastAsia="en-GB"/>
    </w:rPr>
  </w:style>
  <w:style w:type="paragraph" w:styleId="Footer">
    <w:name w:val="footer"/>
    <w:basedOn w:val="Normal"/>
    <w:link w:val="FooterChar"/>
    <w:uiPriority w:val="99"/>
    <w:unhideWhenUsed/>
    <w:rsid w:val="002E19F3"/>
    <w:pPr>
      <w:tabs>
        <w:tab w:val="center" w:pos="4680"/>
        <w:tab w:val="right" w:pos="9360"/>
      </w:tabs>
    </w:pPr>
  </w:style>
  <w:style w:type="character" w:customStyle="1" w:styleId="FooterChar">
    <w:name w:val="Footer Char"/>
    <w:basedOn w:val="DefaultParagraphFont"/>
    <w:link w:val="Footer"/>
    <w:uiPriority w:val="99"/>
    <w:rsid w:val="002E19F3"/>
    <w:rPr>
      <w:rFonts w:ascii="Cambria" w:eastAsia="Cambria" w:hAnsi="Cambria" w:cs="Cambria"/>
      <w:noProof/>
      <w:lang w:val="hr-HR" w:eastAsia="en-GB"/>
    </w:rPr>
  </w:style>
  <w:style w:type="character" w:customStyle="1" w:styleId="Heading3Char">
    <w:name w:val="Heading 3 Char"/>
    <w:basedOn w:val="DefaultParagraphFont"/>
    <w:link w:val="Heading3"/>
    <w:uiPriority w:val="9"/>
    <w:rsid w:val="001A6D76"/>
    <w:rPr>
      <w:rFonts w:ascii="Arial" w:eastAsiaTheme="majorEastAsia" w:hAnsi="Arial" w:cstheme="majorBidi"/>
      <w:b/>
      <w:color w:val="00B0F0"/>
      <w:sz w:val="24"/>
      <w:szCs w:val="24"/>
      <w:lang w:val="hr-HR" w:eastAsia="en-GB"/>
    </w:rPr>
  </w:style>
  <w:style w:type="paragraph" w:styleId="NoSpacing">
    <w:name w:val="No Spacing"/>
    <w:uiPriority w:val="1"/>
    <w:qFormat/>
    <w:rsid w:val="004A3C81"/>
    <w:pPr>
      <w:spacing w:after="0" w:line="240" w:lineRule="auto"/>
      <w:jc w:val="both"/>
    </w:pPr>
    <w:rPr>
      <w:rFonts w:ascii="Cambria" w:eastAsia="Cambria" w:hAnsi="Cambria" w:cs="Cambria"/>
      <w:noProof/>
      <w:lang w:val="hr-HR" w:eastAsia="en-GB"/>
    </w:rPr>
  </w:style>
  <w:style w:type="paragraph" w:styleId="FootnoteText">
    <w:name w:val="footnote text"/>
    <w:basedOn w:val="Normal"/>
    <w:link w:val="FootnoteTextChar"/>
    <w:uiPriority w:val="99"/>
    <w:unhideWhenUsed/>
    <w:rsid w:val="00B71F95"/>
    <w:pPr>
      <w:spacing w:line="288" w:lineRule="auto"/>
      <w:jc w:val="left"/>
    </w:pPr>
    <w:rPr>
      <w:rFonts w:ascii="Arial" w:hAnsi="Arial"/>
      <w:sz w:val="18"/>
      <w:szCs w:val="20"/>
    </w:rPr>
  </w:style>
  <w:style w:type="character" w:customStyle="1" w:styleId="FootnoteTextChar">
    <w:name w:val="Footnote Text Char"/>
    <w:basedOn w:val="DefaultParagraphFont"/>
    <w:link w:val="FootnoteText"/>
    <w:uiPriority w:val="99"/>
    <w:rsid w:val="00B71F95"/>
    <w:rPr>
      <w:rFonts w:ascii="Arial" w:eastAsia="Cambria" w:hAnsi="Arial" w:cs="Cambria"/>
      <w:sz w:val="18"/>
      <w:szCs w:val="20"/>
      <w:lang w:val="hr-HR" w:eastAsia="en-GB"/>
    </w:rPr>
  </w:style>
  <w:style w:type="character" w:styleId="FootnoteReference">
    <w:name w:val="footnote reference"/>
    <w:basedOn w:val="DefaultParagraphFont"/>
    <w:uiPriority w:val="99"/>
    <w:unhideWhenUsed/>
    <w:rsid w:val="004107B6"/>
    <w:rPr>
      <w:vertAlign w:val="superscript"/>
    </w:rPr>
  </w:style>
  <w:style w:type="character" w:customStyle="1" w:styleId="UnresolvedMention1">
    <w:name w:val="Unresolved Mention1"/>
    <w:basedOn w:val="DefaultParagraphFont"/>
    <w:uiPriority w:val="99"/>
    <w:semiHidden/>
    <w:unhideWhenUsed/>
    <w:rsid w:val="001E7A86"/>
    <w:rPr>
      <w:color w:val="605E5C"/>
      <w:shd w:val="clear" w:color="auto" w:fill="E1DFDD"/>
    </w:rPr>
  </w:style>
  <w:style w:type="paragraph" w:styleId="Caption">
    <w:name w:val="caption"/>
    <w:basedOn w:val="Normal"/>
    <w:next w:val="Normal"/>
    <w:uiPriority w:val="35"/>
    <w:unhideWhenUsed/>
    <w:qFormat/>
    <w:rsid w:val="0012779D"/>
    <w:pPr>
      <w:spacing w:after="200"/>
    </w:pPr>
    <w:rPr>
      <w:i/>
      <w:iCs/>
      <w:color w:val="44546A" w:themeColor="text2"/>
      <w:sz w:val="18"/>
      <w:szCs w:val="18"/>
    </w:rPr>
  </w:style>
  <w:style w:type="paragraph" w:styleId="NormalWeb">
    <w:name w:val="Normal (Web)"/>
    <w:basedOn w:val="Normal"/>
    <w:uiPriority w:val="99"/>
    <w:unhideWhenUsed/>
    <w:rsid w:val="00872771"/>
    <w:pPr>
      <w:spacing w:before="100" w:beforeAutospacing="1" w:after="100" w:afterAutospacing="1"/>
      <w:jc w:val="left"/>
    </w:pPr>
    <w:rPr>
      <w:rFonts w:ascii="Times New Roman" w:eastAsiaTheme="minorHAnsi" w:hAnsi="Times New Roman" w:cs="Times New Roman"/>
      <w:sz w:val="24"/>
      <w:szCs w:val="24"/>
      <w:lang w:val="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872771"/>
    <w:rPr>
      <w:rFonts w:ascii="Cambria" w:eastAsia="Cambria" w:hAnsi="Cambria" w:cs="Cambria"/>
      <w:noProof/>
      <w:lang w:val="hr-HR" w:eastAsia="en-GB"/>
    </w:rPr>
  </w:style>
  <w:style w:type="character" w:customStyle="1" w:styleId="markedcontent">
    <w:name w:val="markedcontent"/>
    <w:basedOn w:val="DefaultParagraphFont"/>
    <w:rsid w:val="00872771"/>
  </w:style>
  <w:style w:type="character" w:customStyle="1" w:styleId="y2iqfc">
    <w:name w:val="y2iqfc"/>
    <w:basedOn w:val="DefaultParagraphFont"/>
    <w:rsid w:val="00872771"/>
  </w:style>
  <w:style w:type="table" w:styleId="TableGrid">
    <w:name w:val="Table Grid"/>
    <w:basedOn w:val="TableNormal"/>
    <w:uiPriority w:val="39"/>
    <w:rsid w:val="0087277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2771"/>
  </w:style>
  <w:style w:type="character" w:styleId="Strong">
    <w:name w:val="Strong"/>
    <w:basedOn w:val="DefaultParagraphFont"/>
    <w:uiPriority w:val="22"/>
    <w:qFormat/>
    <w:rsid w:val="00872771"/>
    <w:rPr>
      <w:b/>
      <w:bCs/>
    </w:rPr>
  </w:style>
  <w:style w:type="character" w:styleId="Emphasis">
    <w:name w:val="Emphasis"/>
    <w:basedOn w:val="DefaultParagraphFont"/>
    <w:uiPriority w:val="20"/>
    <w:qFormat/>
    <w:rsid w:val="00872771"/>
    <w:rPr>
      <w:i/>
      <w:iCs/>
    </w:rPr>
  </w:style>
  <w:style w:type="character" w:styleId="CommentReference">
    <w:name w:val="annotation reference"/>
    <w:basedOn w:val="DefaultParagraphFont"/>
    <w:uiPriority w:val="99"/>
    <w:semiHidden/>
    <w:unhideWhenUsed/>
    <w:rsid w:val="00940966"/>
    <w:rPr>
      <w:sz w:val="16"/>
      <w:szCs w:val="16"/>
    </w:rPr>
  </w:style>
  <w:style w:type="paragraph" w:styleId="CommentText">
    <w:name w:val="annotation text"/>
    <w:basedOn w:val="Normal"/>
    <w:link w:val="CommentTextChar"/>
    <w:uiPriority w:val="99"/>
    <w:unhideWhenUsed/>
    <w:rsid w:val="00940966"/>
    <w:rPr>
      <w:sz w:val="20"/>
      <w:szCs w:val="20"/>
    </w:rPr>
  </w:style>
  <w:style w:type="character" w:customStyle="1" w:styleId="CommentTextChar">
    <w:name w:val="Comment Text Char"/>
    <w:basedOn w:val="DefaultParagraphFont"/>
    <w:link w:val="CommentText"/>
    <w:uiPriority w:val="99"/>
    <w:rsid w:val="00940966"/>
    <w:rPr>
      <w:rFonts w:ascii="Cambria" w:eastAsia="Cambria" w:hAnsi="Cambria" w:cs="Cambria"/>
      <w:noProof/>
      <w:sz w:val="20"/>
      <w:szCs w:val="20"/>
      <w:lang w:val="hr-HR" w:eastAsia="en-GB"/>
    </w:rPr>
  </w:style>
  <w:style w:type="paragraph" w:styleId="CommentSubject">
    <w:name w:val="annotation subject"/>
    <w:basedOn w:val="CommentText"/>
    <w:next w:val="CommentText"/>
    <w:link w:val="CommentSubjectChar"/>
    <w:uiPriority w:val="99"/>
    <w:semiHidden/>
    <w:unhideWhenUsed/>
    <w:rsid w:val="00940966"/>
    <w:rPr>
      <w:b/>
      <w:bCs/>
    </w:rPr>
  </w:style>
  <w:style w:type="character" w:customStyle="1" w:styleId="CommentSubjectChar">
    <w:name w:val="Comment Subject Char"/>
    <w:basedOn w:val="CommentTextChar"/>
    <w:link w:val="CommentSubject"/>
    <w:uiPriority w:val="99"/>
    <w:semiHidden/>
    <w:rsid w:val="00940966"/>
    <w:rPr>
      <w:rFonts w:ascii="Cambria" w:eastAsia="Cambria" w:hAnsi="Cambria" w:cs="Cambria"/>
      <w:b/>
      <w:bCs/>
      <w:noProof/>
      <w:sz w:val="20"/>
      <w:szCs w:val="20"/>
      <w:lang w:val="hr-HR" w:eastAsia="en-GB"/>
    </w:rPr>
  </w:style>
  <w:style w:type="character" w:customStyle="1" w:styleId="UnresolvedMention2">
    <w:name w:val="Unresolved Mention2"/>
    <w:basedOn w:val="DefaultParagraphFont"/>
    <w:uiPriority w:val="99"/>
    <w:rsid w:val="00E8314B"/>
    <w:rPr>
      <w:color w:val="605E5C"/>
      <w:shd w:val="clear" w:color="auto" w:fill="E1DFDD"/>
    </w:rPr>
  </w:style>
  <w:style w:type="paragraph" w:styleId="BalloonText">
    <w:name w:val="Balloon Text"/>
    <w:basedOn w:val="Normal"/>
    <w:link w:val="BalloonTextChar"/>
    <w:uiPriority w:val="99"/>
    <w:semiHidden/>
    <w:unhideWhenUsed/>
    <w:rsid w:val="00201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34"/>
    <w:rPr>
      <w:rFonts w:ascii="Segoe UI" w:eastAsia="Cambria" w:hAnsi="Segoe UI" w:cs="Segoe UI"/>
      <w:noProof/>
      <w:sz w:val="18"/>
      <w:szCs w:val="18"/>
      <w:lang w:val="hr-HR" w:eastAsia="en-GB"/>
    </w:rPr>
  </w:style>
  <w:style w:type="paragraph" w:styleId="Revision">
    <w:name w:val="Revision"/>
    <w:hidden/>
    <w:uiPriority w:val="99"/>
    <w:semiHidden/>
    <w:rsid w:val="00CB34B7"/>
    <w:pPr>
      <w:spacing w:after="0" w:line="240" w:lineRule="auto"/>
    </w:pPr>
    <w:rPr>
      <w:rFonts w:ascii="Cambria" w:eastAsia="Cambria" w:hAnsi="Cambria" w:cs="Cambria"/>
      <w:noProof/>
      <w:lang w:val="hr-HR" w:eastAsia="en-GB"/>
    </w:rPr>
  </w:style>
  <w:style w:type="character" w:styleId="FollowedHyperlink">
    <w:name w:val="FollowedHyperlink"/>
    <w:basedOn w:val="DefaultParagraphFont"/>
    <w:uiPriority w:val="99"/>
    <w:semiHidden/>
    <w:unhideWhenUsed/>
    <w:rsid w:val="001F56F2"/>
    <w:rPr>
      <w:color w:val="954F72" w:themeColor="followedHyperlink"/>
      <w:u w:val="single"/>
    </w:rPr>
  </w:style>
  <w:style w:type="paragraph" w:styleId="DocumentMap">
    <w:name w:val="Document Map"/>
    <w:basedOn w:val="Normal"/>
    <w:link w:val="DocumentMapChar"/>
    <w:uiPriority w:val="99"/>
    <w:semiHidden/>
    <w:unhideWhenUsed/>
    <w:rsid w:val="004B5159"/>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B5159"/>
    <w:rPr>
      <w:rFonts w:ascii="Times New Roman" w:eastAsia="Cambria" w:hAnsi="Times New Roman" w:cs="Times New Roman"/>
      <w:noProof/>
      <w:sz w:val="24"/>
      <w:szCs w:val="24"/>
      <w:lang w:val="hr-HR" w:eastAsia="en-GB"/>
    </w:rPr>
  </w:style>
  <w:style w:type="paragraph" w:customStyle="1" w:styleId="Body">
    <w:name w:val="Body"/>
    <w:rsid w:val="00FA4DC9"/>
    <w:pPr>
      <w:pBdr>
        <w:top w:val="nil"/>
        <w:left w:val="nil"/>
        <w:bottom w:val="nil"/>
        <w:right w:val="nil"/>
        <w:between w:val="nil"/>
        <w:bar w:val="nil"/>
      </w:pBdr>
      <w:spacing w:before="320" w:after="320" w:line="264" w:lineRule="auto"/>
    </w:pPr>
    <w:rPr>
      <w:rFonts w:ascii="Arial" w:eastAsia="Arial Unicode MS" w:hAnsi="Arial" w:cs="Arial Unicode MS"/>
      <w:noProof/>
      <w:color w:val="000000"/>
      <w:sz w:val="24"/>
      <w:u w:color="000000"/>
      <w:bdr w:val="nil"/>
      <w:lang w:val="sr-Cyrl-BA"/>
      <w14:textOutline w14:w="0" w14:cap="flat" w14:cmpd="sng" w14:algn="ctr">
        <w14:noFill/>
        <w14:prstDash w14:val="solid"/>
        <w14:bevel/>
      </w14:textOutline>
    </w:rPr>
  </w:style>
  <w:style w:type="character" w:customStyle="1" w:styleId="None">
    <w:name w:val="None"/>
    <w:rsid w:val="004B5159"/>
  </w:style>
  <w:style w:type="paragraph" w:styleId="HTMLPreformatted">
    <w:name w:val="HTML Preformatted"/>
    <w:basedOn w:val="Normal"/>
    <w:link w:val="HTMLPreformattedChar"/>
    <w:uiPriority w:val="99"/>
    <w:unhideWhenUsed/>
    <w:rsid w:val="0084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0"/>
      <w:szCs w:val="20"/>
      <w:lang w:val="en-GB"/>
    </w:rPr>
  </w:style>
  <w:style w:type="character" w:customStyle="1" w:styleId="HTMLPreformattedChar">
    <w:name w:val="HTML Preformatted Char"/>
    <w:basedOn w:val="DefaultParagraphFont"/>
    <w:link w:val="HTMLPreformatted"/>
    <w:uiPriority w:val="99"/>
    <w:rsid w:val="00847B04"/>
    <w:rPr>
      <w:rFonts w:ascii="Courier New" w:hAnsi="Courier New" w:cs="Courier New"/>
      <w:sz w:val="20"/>
      <w:szCs w:val="20"/>
      <w:lang w:val="en-GB" w:eastAsia="en-GB"/>
    </w:rPr>
  </w:style>
  <w:style w:type="paragraph" w:styleId="TOC4">
    <w:name w:val="toc 4"/>
    <w:basedOn w:val="Normal"/>
    <w:next w:val="Normal"/>
    <w:autoRedefine/>
    <w:uiPriority w:val="39"/>
    <w:unhideWhenUsed/>
    <w:rsid w:val="00A43A8B"/>
    <w:pPr>
      <w:ind w:left="660"/>
    </w:pPr>
  </w:style>
  <w:style w:type="paragraph" w:styleId="TOC5">
    <w:name w:val="toc 5"/>
    <w:basedOn w:val="Normal"/>
    <w:next w:val="Normal"/>
    <w:autoRedefine/>
    <w:uiPriority w:val="39"/>
    <w:unhideWhenUsed/>
    <w:rsid w:val="00A43A8B"/>
    <w:pPr>
      <w:ind w:left="880"/>
    </w:pPr>
  </w:style>
  <w:style w:type="paragraph" w:styleId="TOC6">
    <w:name w:val="toc 6"/>
    <w:basedOn w:val="Normal"/>
    <w:next w:val="Normal"/>
    <w:autoRedefine/>
    <w:uiPriority w:val="39"/>
    <w:unhideWhenUsed/>
    <w:rsid w:val="00A43A8B"/>
    <w:pPr>
      <w:ind w:left="1100"/>
    </w:pPr>
  </w:style>
  <w:style w:type="paragraph" w:styleId="TOC7">
    <w:name w:val="toc 7"/>
    <w:basedOn w:val="Normal"/>
    <w:next w:val="Normal"/>
    <w:autoRedefine/>
    <w:uiPriority w:val="39"/>
    <w:unhideWhenUsed/>
    <w:rsid w:val="00A43A8B"/>
    <w:pPr>
      <w:ind w:left="1320"/>
    </w:pPr>
  </w:style>
  <w:style w:type="paragraph" w:styleId="TOC8">
    <w:name w:val="toc 8"/>
    <w:basedOn w:val="Normal"/>
    <w:next w:val="Normal"/>
    <w:autoRedefine/>
    <w:uiPriority w:val="39"/>
    <w:unhideWhenUsed/>
    <w:rsid w:val="00A43A8B"/>
    <w:pPr>
      <w:ind w:left="1540"/>
    </w:pPr>
  </w:style>
  <w:style w:type="paragraph" w:styleId="TOC9">
    <w:name w:val="toc 9"/>
    <w:basedOn w:val="Normal"/>
    <w:next w:val="Normal"/>
    <w:autoRedefine/>
    <w:uiPriority w:val="39"/>
    <w:unhideWhenUsed/>
    <w:rsid w:val="00A43A8B"/>
    <w:pPr>
      <w:ind w:left="1760"/>
    </w:pPr>
  </w:style>
  <w:style w:type="paragraph" w:styleId="EndnoteText">
    <w:name w:val="endnote text"/>
    <w:basedOn w:val="Normal"/>
    <w:link w:val="EndnoteTextChar"/>
    <w:uiPriority w:val="99"/>
    <w:unhideWhenUsed/>
    <w:rsid w:val="00A43A8B"/>
    <w:rPr>
      <w:sz w:val="24"/>
      <w:szCs w:val="24"/>
    </w:rPr>
  </w:style>
  <w:style w:type="character" w:customStyle="1" w:styleId="EndnoteTextChar">
    <w:name w:val="Endnote Text Char"/>
    <w:basedOn w:val="DefaultParagraphFont"/>
    <w:link w:val="EndnoteText"/>
    <w:uiPriority w:val="99"/>
    <w:rsid w:val="00A43A8B"/>
    <w:rPr>
      <w:rFonts w:ascii="Cambria" w:eastAsia="Cambria" w:hAnsi="Cambria" w:cs="Cambria"/>
      <w:noProof/>
      <w:sz w:val="24"/>
      <w:szCs w:val="24"/>
      <w:lang w:val="hr-HR" w:eastAsia="en-GB"/>
    </w:rPr>
  </w:style>
  <w:style w:type="character" w:styleId="EndnoteReference">
    <w:name w:val="endnote reference"/>
    <w:basedOn w:val="DefaultParagraphFont"/>
    <w:uiPriority w:val="99"/>
    <w:unhideWhenUsed/>
    <w:rsid w:val="00A43A8B"/>
    <w:rPr>
      <w:vertAlign w:val="superscript"/>
    </w:rPr>
  </w:style>
  <w:style w:type="paragraph" w:customStyle="1" w:styleId="gmail-msolistparagraph">
    <w:name w:val="gmail-msolistparagraph"/>
    <w:basedOn w:val="Normal"/>
    <w:rsid w:val="0094743C"/>
    <w:pPr>
      <w:spacing w:before="100" w:beforeAutospacing="1" w:after="100" w:afterAutospacing="1"/>
      <w:jc w:val="left"/>
    </w:pPr>
    <w:rPr>
      <w:rFonts w:ascii="Calibri" w:eastAsiaTheme="minorHAnsi" w:hAnsi="Calibri" w:cs="Calibri"/>
      <w:lang w:val="en-US" w:eastAsia="en-US"/>
    </w:rPr>
  </w:style>
  <w:style w:type="character" w:customStyle="1" w:styleId="gmail-apple-converted-space">
    <w:name w:val="gmail-apple-converted-space"/>
    <w:basedOn w:val="DefaultParagraphFont"/>
    <w:rsid w:val="0094743C"/>
  </w:style>
  <w:style w:type="character" w:customStyle="1" w:styleId="UnresolvedMention3">
    <w:name w:val="Unresolved Mention3"/>
    <w:basedOn w:val="DefaultParagraphFont"/>
    <w:uiPriority w:val="99"/>
    <w:semiHidden/>
    <w:unhideWhenUsed/>
    <w:rsid w:val="005E6579"/>
    <w:rPr>
      <w:color w:val="605E5C"/>
      <w:shd w:val="clear" w:color="auto" w:fill="E1DFDD"/>
    </w:rPr>
  </w:style>
  <w:style w:type="paragraph" w:customStyle="1" w:styleId="Bulletlist">
    <w:name w:val="Bullet list"/>
    <w:basedOn w:val="ListParagraph"/>
    <w:qFormat/>
    <w:rsid w:val="00210EE1"/>
    <w:pPr>
      <w:numPr>
        <w:numId w:val="75"/>
      </w:numPr>
      <w:spacing w:line="264" w:lineRule="auto"/>
      <w:ind w:left="714" w:hanging="357"/>
      <w:jc w:val="left"/>
    </w:pPr>
    <w:rPr>
      <w:rFonts w:ascii="Arial" w:eastAsia="Calibri Light" w:hAnsi="Arial" w:cs="Arial"/>
      <w:color w:val="000000" w:themeColor="text1"/>
      <w:sz w:val="24"/>
      <w:szCs w:val="24"/>
      <w:lang w:val="sr-Cyrl-BA"/>
    </w:rPr>
  </w:style>
  <w:style w:type="paragraph" w:customStyle="1" w:styleId="Numberedlist">
    <w:name w:val="Numbered list"/>
    <w:basedOn w:val="Bulletlist"/>
    <w:qFormat/>
    <w:rsid w:val="00210EE1"/>
    <w:pPr>
      <w:numPr>
        <w:numId w:val="77"/>
      </w:numPr>
    </w:pPr>
  </w:style>
  <w:style w:type="character" w:customStyle="1" w:styleId="UnresolvedMention">
    <w:name w:val="Unresolved Mention"/>
    <w:basedOn w:val="DefaultParagraphFont"/>
    <w:uiPriority w:val="99"/>
    <w:rsid w:val="00B7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0017">
      <w:bodyDiv w:val="1"/>
      <w:marLeft w:val="0"/>
      <w:marRight w:val="0"/>
      <w:marTop w:val="0"/>
      <w:marBottom w:val="0"/>
      <w:divBdr>
        <w:top w:val="none" w:sz="0" w:space="0" w:color="auto"/>
        <w:left w:val="none" w:sz="0" w:space="0" w:color="auto"/>
        <w:bottom w:val="none" w:sz="0" w:space="0" w:color="auto"/>
        <w:right w:val="none" w:sz="0" w:space="0" w:color="auto"/>
      </w:divBdr>
    </w:div>
    <w:div w:id="133916069">
      <w:bodyDiv w:val="1"/>
      <w:marLeft w:val="0"/>
      <w:marRight w:val="0"/>
      <w:marTop w:val="0"/>
      <w:marBottom w:val="0"/>
      <w:divBdr>
        <w:top w:val="none" w:sz="0" w:space="0" w:color="auto"/>
        <w:left w:val="none" w:sz="0" w:space="0" w:color="auto"/>
        <w:bottom w:val="none" w:sz="0" w:space="0" w:color="auto"/>
        <w:right w:val="none" w:sz="0" w:space="0" w:color="auto"/>
      </w:divBdr>
      <w:divsChild>
        <w:div w:id="788015417">
          <w:marLeft w:val="0"/>
          <w:marRight w:val="0"/>
          <w:marTop w:val="0"/>
          <w:marBottom w:val="0"/>
          <w:divBdr>
            <w:top w:val="none" w:sz="0" w:space="0" w:color="auto"/>
            <w:left w:val="none" w:sz="0" w:space="0" w:color="auto"/>
            <w:bottom w:val="none" w:sz="0" w:space="0" w:color="auto"/>
            <w:right w:val="none" w:sz="0" w:space="0" w:color="auto"/>
          </w:divBdr>
          <w:divsChild>
            <w:div w:id="880441884">
              <w:marLeft w:val="0"/>
              <w:marRight w:val="0"/>
              <w:marTop w:val="0"/>
              <w:marBottom w:val="0"/>
              <w:divBdr>
                <w:top w:val="none" w:sz="0" w:space="0" w:color="auto"/>
                <w:left w:val="none" w:sz="0" w:space="0" w:color="auto"/>
                <w:bottom w:val="none" w:sz="0" w:space="0" w:color="auto"/>
                <w:right w:val="none" w:sz="0" w:space="0" w:color="auto"/>
              </w:divBdr>
              <w:divsChild>
                <w:div w:id="16432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8847">
      <w:bodyDiv w:val="1"/>
      <w:marLeft w:val="0"/>
      <w:marRight w:val="0"/>
      <w:marTop w:val="0"/>
      <w:marBottom w:val="0"/>
      <w:divBdr>
        <w:top w:val="none" w:sz="0" w:space="0" w:color="auto"/>
        <w:left w:val="none" w:sz="0" w:space="0" w:color="auto"/>
        <w:bottom w:val="none" w:sz="0" w:space="0" w:color="auto"/>
        <w:right w:val="none" w:sz="0" w:space="0" w:color="auto"/>
      </w:divBdr>
    </w:div>
    <w:div w:id="230887946">
      <w:bodyDiv w:val="1"/>
      <w:marLeft w:val="0"/>
      <w:marRight w:val="0"/>
      <w:marTop w:val="0"/>
      <w:marBottom w:val="0"/>
      <w:divBdr>
        <w:top w:val="none" w:sz="0" w:space="0" w:color="auto"/>
        <w:left w:val="none" w:sz="0" w:space="0" w:color="auto"/>
        <w:bottom w:val="none" w:sz="0" w:space="0" w:color="auto"/>
        <w:right w:val="none" w:sz="0" w:space="0" w:color="auto"/>
      </w:divBdr>
    </w:div>
    <w:div w:id="239558004">
      <w:bodyDiv w:val="1"/>
      <w:marLeft w:val="0"/>
      <w:marRight w:val="0"/>
      <w:marTop w:val="0"/>
      <w:marBottom w:val="0"/>
      <w:divBdr>
        <w:top w:val="none" w:sz="0" w:space="0" w:color="auto"/>
        <w:left w:val="none" w:sz="0" w:space="0" w:color="auto"/>
        <w:bottom w:val="none" w:sz="0" w:space="0" w:color="auto"/>
        <w:right w:val="none" w:sz="0" w:space="0" w:color="auto"/>
      </w:divBdr>
    </w:div>
    <w:div w:id="244343651">
      <w:bodyDiv w:val="1"/>
      <w:marLeft w:val="0"/>
      <w:marRight w:val="0"/>
      <w:marTop w:val="0"/>
      <w:marBottom w:val="0"/>
      <w:divBdr>
        <w:top w:val="none" w:sz="0" w:space="0" w:color="auto"/>
        <w:left w:val="none" w:sz="0" w:space="0" w:color="auto"/>
        <w:bottom w:val="none" w:sz="0" w:space="0" w:color="auto"/>
        <w:right w:val="none" w:sz="0" w:space="0" w:color="auto"/>
      </w:divBdr>
      <w:divsChild>
        <w:div w:id="1244678366">
          <w:marLeft w:val="0"/>
          <w:marRight w:val="0"/>
          <w:marTop w:val="0"/>
          <w:marBottom w:val="0"/>
          <w:divBdr>
            <w:top w:val="none" w:sz="0" w:space="0" w:color="auto"/>
            <w:left w:val="none" w:sz="0" w:space="0" w:color="auto"/>
            <w:bottom w:val="none" w:sz="0" w:space="0" w:color="auto"/>
            <w:right w:val="none" w:sz="0" w:space="0" w:color="auto"/>
          </w:divBdr>
          <w:divsChild>
            <w:div w:id="2125341297">
              <w:marLeft w:val="0"/>
              <w:marRight w:val="0"/>
              <w:marTop w:val="0"/>
              <w:marBottom w:val="0"/>
              <w:divBdr>
                <w:top w:val="none" w:sz="0" w:space="0" w:color="auto"/>
                <w:left w:val="none" w:sz="0" w:space="0" w:color="auto"/>
                <w:bottom w:val="none" w:sz="0" w:space="0" w:color="auto"/>
                <w:right w:val="none" w:sz="0" w:space="0" w:color="auto"/>
              </w:divBdr>
              <w:divsChild>
                <w:div w:id="20542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89044">
      <w:bodyDiv w:val="1"/>
      <w:marLeft w:val="0"/>
      <w:marRight w:val="0"/>
      <w:marTop w:val="0"/>
      <w:marBottom w:val="0"/>
      <w:divBdr>
        <w:top w:val="none" w:sz="0" w:space="0" w:color="auto"/>
        <w:left w:val="none" w:sz="0" w:space="0" w:color="auto"/>
        <w:bottom w:val="none" w:sz="0" w:space="0" w:color="auto"/>
        <w:right w:val="none" w:sz="0" w:space="0" w:color="auto"/>
      </w:divBdr>
      <w:divsChild>
        <w:div w:id="1655907855">
          <w:marLeft w:val="0"/>
          <w:marRight w:val="0"/>
          <w:marTop w:val="0"/>
          <w:marBottom w:val="0"/>
          <w:divBdr>
            <w:top w:val="none" w:sz="0" w:space="0" w:color="auto"/>
            <w:left w:val="none" w:sz="0" w:space="0" w:color="auto"/>
            <w:bottom w:val="none" w:sz="0" w:space="0" w:color="auto"/>
            <w:right w:val="none" w:sz="0" w:space="0" w:color="auto"/>
          </w:divBdr>
          <w:divsChild>
            <w:div w:id="721828647">
              <w:marLeft w:val="0"/>
              <w:marRight w:val="0"/>
              <w:marTop w:val="0"/>
              <w:marBottom w:val="0"/>
              <w:divBdr>
                <w:top w:val="none" w:sz="0" w:space="0" w:color="auto"/>
                <w:left w:val="none" w:sz="0" w:space="0" w:color="auto"/>
                <w:bottom w:val="none" w:sz="0" w:space="0" w:color="auto"/>
                <w:right w:val="none" w:sz="0" w:space="0" w:color="auto"/>
              </w:divBdr>
              <w:divsChild>
                <w:div w:id="634529392">
                  <w:marLeft w:val="0"/>
                  <w:marRight w:val="0"/>
                  <w:marTop w:val="0"/>
                  <w:marBottom w:val="0"/>
                  <w:divBdr>
                    <w:top w:val="none" w:sz="0" w:space="0" w:color="auto"/>
                    <w:left w:val="none" w:sz="0" w:space="0" w:color="auto"/>
                    <w:bottom w:val="none" w:sz="0" w:space="0" w:color="auto"/>
                    <w:right w:val="none" w:sz="0" w:space="0" w:color="auto"/>
                  </w:divBdr>
                </w:div>
                <w:div w:id="15357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3927">
      <w:bodyDiv w:val="1"/>
      <w:marLeft w:val="0"/>
      <w:marRight w:val="0"/>
      <w:marTop w:val="0"/>
      <w:marBottom w:val="0"/>
      <w:divBdr>
        <w:top w:val="none" w:sz="0" w:space="0" w:color="auto"/>
        <w:left w:val="none" w:sz="0" w:space="0" w:color="auto"/>
        <w:bottom w:val="none" w:sz="0" w:space="0" w:color="auto"/>
        <w:right w:val="none" w:sz="0" w:space="0" w:color="auto"/>
      </w:divBdr>
      <w:divsChild>
        <w:div w:id="969359201">
          <w:marLeft w:val="720"/>
          <w:marRight w:val="0"/>
          <w:marTop w:val="200"/>
          <w:marBottom w:val="0"/>
          <w:divBdr>
            <w:top w:val="none" w:sz="0" w:space="0" w:color="auto"/>
            <w:left w:val="none" w:sz="0" w:space="0" w:color="auto"/>
            <w:bottom w:val="none" w:sz="0" w:space="0" w:color="auto"/>
            <w:right w:val="none" w:sz="0" w:space="0" w:color="auto"/>
          </w:divBdr>
        </w:div>
      </w:divsChild>
    </w:div>
    <w:div w:id="400296939">
      <w:bodyDiv w:val="1"/>
      <w:marLeft w:val="0"/>
      <w:marRight w:val="0"/>
      <w:marTop w:val="0"/>
      <w:marBottom w:val="0"/>
      <w:divBdr>
        <w:top w:val="none" w:sz="0" w:space="0" w:color="auto"/>
        <w:left w:val="none" w:sz="0" w:space="0" w:color="auto"/>
        <w:bottom w:val="none" w:sz="0" w:space="0" w:color="auto"/>
        <w:right w:val="none" w:sz="0" w:space="0" w:color="auto"/>
      </w:divBdr>
      <w:divsChild>
        <w:div w:id="840508399">
          <w:marLeft w:val="0"/>
          <w:marRight w:val="0"/>
          <w:marTop w:val="0"/>
          <w:marBottom w:val="0"/>
          <w:divBdr>
            <w:top w:val="none" w:sz="0" w:space="0" w:color="auto"/>
            <w:left w:val="none" w:sz="0" w:space="0" w:color="auto"/>
            <w:bottom w:val="none" w:sz="0" w:space="0" w:color="auto"/>
            <w:right w:val="none" w:sz="0" w:space="0" w:color="auto"/>
          </w:divBdr>
          <w:divsChild>
            <w:div w:id="1356543308">
              <w:marLeft w:val="0"/>
              <w:marRight w:val="0"/>
              <w:marTop w:val="0"/>
              <w:marBottom w:val="0"/>
              <w:divBdr>
                <w:top w:val="none" w:sz="0" w:space="0" w:color="auto"/>
                <w:left w:val="none" w:sz="0" w:space="0" w:color="auto"/>
                <w:bottom w:val="none" w:sz="0" w:space="0" w:color="auto"/>
                <w:right w:val="none" w:sz="0" w:space="0" w:color="auto"/>
              </w:divBdr>
              <w:divsChild>
                <w:div w:id="1556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10282">
      <w:bodyDiv w:val="1"/>
      <w:marLeft w:val="0"/>
      <w:marRight w:val="0"/>
      <w:marTop w:val="0"/>
      <w:marBottom w:val="0"/>
      <w:divBdr>
        <w:top w:val="none" w:sz="0" w:space="0" w:color="auto"/>
        <w:left w:val="none" w:sz="0" w:space="0" w:color="auto"/>
        <w:bottom w:val="none" w:sz="0" w:space="0" w:color="auto"/>
        <w:right w:val="none" w:sz="0" w:space="0" w:color="auto"/>
      </w:divBdr>
      <w:divsChild>
        <w:div w:id="333382369">
          <w:marLeft w:val="547"/>
          <w:marRight w:val="0"/>
          <w:marTop w:val="0"/>
          <w:marBottom w:val="0"/>
          <w:divBdr>
            <w:top w:val="none" w:sz="0" w:space="0" w:color="auto"/>
            <w:left w:val="none" w:sz="0" w:space="0" w:color="auto"/>
            <w:bottom w:val="none" w:sz="0" w:space="0" w:color="auto"/>
            <w:right w:val="none" w:sz="0" w:space="0" w:color="auto"/>
          </w:divBdr>
        </w:div>
        <w:div w:id="1448429284">
          <w:marLeft w:val="547"/>
          <w:marRight w:val="0"/>
          <w:marTop w:val="0"/>
          <w:marBottom w:val="0"/>
          <w:divBdr>
            <w:top w:val="none" w:sz="0" w:space="0" w:color="auto"/>
            <w:left w:val="none" w:sz="0" w:space="0" w:color="auto"/>
            <w:bottom w:val="none" w:sz="0" w:space="0" w:color="auto"/>
            <w:right w:val="none" w:sz="0" w:space="0" w:color="auto"/>
          </w:divBdr>
        </w:div>
        <w:div w:id="1570727473">
          <w:marLeft w:val="547"/>
          <w:marRight w:val="0"/>
          <w:marTop w:val="0"/>
          <w:marBottom w:val="0"/>
          <w:divBdr>
            <w:top w:val="none" w:sz="0" w:space="0" w:color="auto"/>
            <w:left w:val="none" w:sz="0" w:space="0" w:color="auto"/>
            <w:bottom w:val="none" w:sz="0" w:space="0" w:color="auto"/>
            <w:right w:val="none" w:sz="0" w:space="0" w:color="auto"/>
          </w:divBdr>
        </w:div>
      </w:divsChild>
    </w:div>
    <w:div w:id="412237308">
      <w:bodyDiv w:val="1"/>
      <w:marLeft w:val="0"/>
      <w:marRight w:val="0"/>
      <w:marTop w:val="0"/>
      <w:marBottom w:val="0"/>
      <w:divBdr>
        <w:top w:val="none" w:sz="0" w:space="0" w:color="auto"/>
        <w:left w:val="none" w:sz="0" w:space="0" w:color="auto"/>
        <w:bottom w:val="none" w:sz="0" w:space="0" w:color="auto"/>
        <w:right w:val="none" w:sz="0" w:space="0" w:color="auto"/>
      </w:divBdr>
    </w:div>
    <w:div w:id="430442722">
      <w:bodyDiv w:val="1"/>
      <w:marLeft w:val="0"/>
      <w:marRight w:val="0"/>
      <w:marTop w:val="0"/>
      <w:marBottom w:val="0"/>
      <w:divBdr>
        <w:top w:val="none" w:sz="0" w:space="0" w:color="auto"/>
        <w:left w:val="none" w:sz="0" w:space="0" w:color="auto"/>
        <w:bottom w:val="none" w:sz="0" w:space="0" w:color="auto"/>
        <w:right w:val="none" w:sz="0" w:space="0" w:color="auto"/>
      </w:divBdr>
    </w:div>
    <w:div w:id="472142095">
      <w:bodyDiv w:val="1"/>
      <w:marLeft w:val="0"/>
      <w:marRight w:val="0"/>
      <w:marTop w:val="0"/>
      <w:marBottom w:val="0"/>
      <w:divBdr>
        <w:top w:val="none" w:sz="0" w:space="0" w:color="auto"/>
        <w:left w:val="none" w:sz="0" w:space="0" w:color="auto"/>
        <w:bottom w:val="none" w:sz="0" w:space="0" w:color="auto"/>
        <w:right w:val="none" w:sz="0" w:space="0" w:color="auto"/>
      </w:divBdr>
      <w:divsChild>
        <w:div w:id="653490425">
          <w:marLeft w:val="547"/>
          <w:marRight w:val="0"/>
          <w:marTop w:val="0"/>
          <w:marBottom w:val="0"/>
          <w:divBdr>
            <w:top w:val="none" w:sz="0" w:space="0" w:color="auto"/>
            <w:left w:val="none" w:sz="0" w:space="0" w:color="auto"/>
            <w:bottom w:val="none" w:sz="0" w:space="0" w:color="auto"/>
            <w:right w:val="none" w:sz="0" w:space="0" w:color="auto"/>
          </w:divBdr>
        </w:div>
        <w:div w:id="1004894302">
          <w:marLeft w:val="547"/>
          <w:marRight w:val="0"/>
          <w:marTop w:val="0"/>
          <w:marBottom w:val="0"/>
          <w:divBdr>
            <w:top w:val="none" w:sz="0" w:space="0" w:color="auto"/>
            <w:left w:val="none" w:sz="0" w:space="0" w:color="auto"/>
            <w:bottom w:val="none" w:sz="0" w:space="0" w:color="auto"/>
            <w:right w:val="none" w:sz="0" w:space="0" w:color="auto"/>
          </w:divBdr>
        </w:div>
      </w:divsChild>
    </w:div>
    <w:div w:id="643971555">
      <w:bodyDiv w:val="1"/>
      <w:marLeft w:val="0"/>
      <w:marRight w:val="0"/>
      <w:marTop w:val="0"/>
      <w:marBottom w:val="0"/>
      <w:divBdr>
        <w:top w:val="none" w:sz="0" w:space="0" w:color="auto"/>
        <w:left w:val="none" w:sz="0" w:space="0" w:color="auto"/>
        <w:bottom w:val="none" w:sz="0" w:space="0" w:color="auto"/>
        <w:right w:val="none" w:sz="0" w:space="0" w:color="auto"/>
      </w:divBdr>
      <w:divsChild>
        <w:div w:id="1391074917">
          <w:marLeft w:val="0"/>
          <w:marRight w:val="0"/>
          <w:marTop w:val="0"/>
          <w:marBottom w:val="0"/>
          <w:divBdr>
            <w:top w:val="none" w:sz="0" w:space="0" w:color="auto"/>
            <w:left w:val="none" w:sz="0" w:space="0" w:color="auto"/>
            <w:bottom w:val="none" w:sz="0" w:space="0" w:color="auto"/>
            <w:right w:val="none" w:sz="0" w:space="0" w:color="auto"/>
          </w:divBdr>
          <w:divsChild>
            <w:div w:id="993871996">
              <w:marLeft w:val="0"/>
              <w:marRight w:val="0"/>
              <w:marTop w:val="0"/>
              <w:marBottom w:val="0"/>
              <w:divBdr>
                <w:top w:val="none" w:sz="0" w:space="0" w:color="auto"/>
                <w:left w:val="none" w:sz="0" w:space="0" w:color="auto"/>
                <w:bottom w:val="none" w:sz="0" w:space="0" w:color="auto"/>
                <w:right w:val="none" w:sz="0" w:space="0" w:color="auto"/>
              </w:divBdr>
              <w:divsChild>
                <w:div w:id="3647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3152">
      <w:bodyDiv w:val="1"/>
      <w:marLeft w:val="0"/>
      <w:marRight w:val="0"/>
      <w:marTop w:val="0"/>
      <w:marBottom w:val="0"/>
      <w:divBdr>
        <w:top w:val="none" w:sz="0" w:space="0" w:color="auto"/>
        <w:left w:val="none" w:sz="0" w:space="0" w:color="auto"/>
        <w:bottom w:val="none" w:sz="0" w:space="0" w:color="auto"/>
        <w:right w:val="none" w:sz="0" w:space="0" w:color="auto"/>
      </w:divBdr>
      <w:divsChild>
        <w:div w:id="1080561613">
          <w:marLeft w:val="0"/>
          <w:marRight w:val="0"/>
          <w:marTop w:val="0"/>
          <w:marBottom w:val="0"/>
          <w:divBdr>
            <w:top w:val="none" w:sz="0" w:space="0" w:color="auto"/>
            <w:left w:val="none" w:sz="0" w:space="0" w:color="auto"/>
            <w:bottom w:val="none" w:sz="0" w:space="0" w:color="auto"/>
            <w:right w:val="none" w:sz="0" w:space="0" w:color="auto"/>
          </w:divBdr>
          <w:divsChild>
            <w:div w:id="887226850">
              <w:marLeft w:val="0"/>
              <w:marRight w:val="0"/>
              <w:marTop w:val="0"/>
              <w:marBottom w:val="0"/>
              <w:divBdr>
                <w:top w:val="none" w:sz="0" w:space="0" w:color="auto"/>
                <w:left w:val="none" w:sz="0" w:space="0" w:color="auto"/>
                <w:bottom w:val="none" w:sz="0" w:space="0" w:color="auto"/>
                <w:right w:val="none" w:sz="0" w:space="0" w:color="auto"/>
              </w:divBdr>
              <w:divsChild>
                <w:div w:id="800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4180">
      <w:bodyDiv w:val="1"/>
      <w:marLeft w:val="0"/>
      <w:marRight w:val="0"/>
      <w:marTop w:val="0"/>
      <w:marBottom w:val="0"/>
      <w:divBdr>
        <w:top w:val="none" w:sz="0" w:space="0" w:color="auto"/>
        <w:left w:val="none" w:sz="0" w:space="0" w:color="auto"/>
        <w:bottom w:val="none" w:sz="0" w:space="0" w:color="auto"/>
        <w:right w:val="none" w:sz="0" w:space="0" w:color="auto"/>
      </w:divBdr>
      <w:divsChild>
        <w:div w:id="505756088">
          <w:marLeft w:val="547"/>
          <w:marRight w:val="0"/>
          <w:marTop w:val="0"/>
          <w:marBottom w:val="0"/>
          <w:divBdr>
            <w:top w:val="none" w:sz="0" w:space="0" w:color="auto"/>
            <w:left w:val="none" w:sz="0" w:space="0" w:color="auto"/>
            <w:bottom w:val="none" w:sz="0" w:space="0" w:color="auto"/>
            <w:right w:val="none" w:sz="0" w:space="0" w:color="auto"/>
          </w:divBdr>
        </w:div>
        <w:div w:id="649557231">
          <w:marLeft w:val="547"/>
          <w:marRight w:val="0"/>
          <w:marTop w:val="0"/>
          <w:marBottom w:val="0"/>
          <w:divBdr>
            <w:top w:val="none" w:sz="0" w:space="0" w:color="auto"/>
            <w:left w:val="none" w:sz="0" w:space="0" w:color="auto"/>
            <w:bottom w:val="none" w:sz="0" w:space="0" w:color="auto"/>
            <w:right w:val="none" w:sz="0" w:space="0" w:color="auto"/>
          </w:divBdr>
        </w:div>
        <w:div w:id="1759130540">
          <w:marLeft w:val="547"/>
          <w:marRight w:val="0"/>
          <w:marTop w:val="0"/>
          <w:marBottom w:val="0"/>
          <w:divBdr>
            <w:top w:val="none" w:sz="0" w:space="0" w:color="auto"/>
            <w:left w:val="none" w:sz="0" w:space="0" w:color="auto"/>
            <w:bottom w:val="none" w:sz="0" w:space="0" w:color="auto"/>
            <w:right w:val="none" w:sz="0" w:space="0" w:color="auto"/>
          </w:divBdr>
        </w:div>
      </w:divsChild>
    </w:div>
    <w:div w:id="749010957">
      <w:bodyDiv w:val="1"/>
      <w:marLeft w:val="0"/>
      <w:marRight w:val="0"/>
      <w:marTop w:val="0"/>
      <w:marBottom w:val="0"/>
      <w:divBdr>
        <w:top w:val="none" w:sz="0" w:space="0" w:color="auto"/>
        <w:left w:val="none" w:sz="0" w:space="0" w:color="auto"/>
        <w:bottom w:val="none" w:sz="0" w:space="0" w:color="auto"/>
        <w:right w:val="none" w:sz="0" w:space="0" w:color="auto"/>
      </w:divBdr>
    </w:div>
    <w:div w:id="802231117">
      <w:bodyDiv w:val="1"/>
      <w:marLeft w:val="0"/>
      <w:marRight w:val="0"/>
      <w:marTop w:val="0"/>
      <w:marBottom w:val="0"/>
      <w:divBdr>
        <w:top w:val="none" w:sz="0" w:space="0" w:color="auto"/>
        <w:left w:val="none" w:sz="0" w:space="0" w:color="auto"/>
        <w:bottom w:val="none" w:sz="0" w:space="0" w:color="auto"/>
        <w:right w:val="none" w:sz="0" w:space="0" w:color="auto"/>
      </w:divBdr>
    </w:div>
    <w:div w:id="889419744">
      <w:bodyDiv w:val="1"/>
      <w:marLeft w:val="0"/>
      <w:marRight w:val="0"/>
      <w:marTop w:val="0"/>
      <w:marBottom w:val="0"/>
      <w:divBdr>
        <w:top w:val="none" w:sz="0" w:space="0" w:color="auto"/>
        <w:left w:val="none" w:sz="0" w:space="0" w:color="auto"/>
        <w:bottom w:val="none" w:sz="0" w:space="0" w:color="auto"/>
        <w:right w:val="none" w:sz="0" w:space="0" w:color="auto"/>
      </w:divBdr>
    </w:div>
    <w:div w:id="903878214">
      <w:bodyDiv w:val="1"/>
      <w:marLeft w:val="0"/>
      <w:marRight w:val="0"/>
      <w:marTop w:val="0"/>
      <w:marBottom w:val="0"/>
      <w:divBdr>
        <w:top w:val="none" w:sz="0" w:space="0" w:color="auto"/>
        <w:left w:val="none" w:sz="0" w:space="0" w:color="auto"/>
        <w:bottom w:val="none" w:sz="0" w:space="0" w:color="auto"/>
        <w:right w:val="none" w:sz="0" w:space="0" w:color="auto"/>
      </w:divBdr>
      <w:divsChild>
        <w:div w:id="435633771">
          <w:marLeft w:val="0"/>
          <w:marRight w:val="0"/>
          <w:marTop w:val="0"/>
          <w:marBottom w:val="0"/>
          <w:divBdr>
            <w:top w:val="none" w:sz="0" w:space="0" w:color="auto"/>
            <w:left w:val="none" w:sz="0" w:space="0" w:color="auto"/>
            <w:bottom w:val="none" w:sz="0" w:space="0" w:color="auto"/>
            <w:right w:val="none" w:sz="0" w:space="0" w:color="auto"/>
          </w:divBdr>
          <w:divsChild>
            <w:div w:id="2130388104">
              <w:marLeft w:val="0"/>
              <w:marRight w:val="0"/>
              <w:marTop w:val="0"/>
              <w:marBottom w:val="0"/>
              <w:divBdr>
                <w:top w:val="none" w:sz="0" w:space="0" w:color="auto"/>
                <w:left w:val="none" w:sz="0" w:space="0" w:color="auto"/>
                <w:bottom w:val="none" w:sz="0" w:space="0" w:color="auto"/>
                <w:right w:val="none" w:sz="0" w:space="0" w:color="auto"/>
              </w:divBdr>
              <w:divsChild>
                <w:div w:id="14002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6351">
      <w:bodyDiv w:val="1"/>
      <w:marLeft w:val="0"/>
      <w:marRight w:val="0"/>
      <w:marTop w:val="0"/>
      <w:marBottom w:val="0"/>
      <w:divBdr>
        <w:top w:val="none" w:sz="0" w:space="0" w:color="auto"/>
        <w:left w:val="none" w:sz="0" w:space="0" w:color="auto"/>
        <w:bottom w:val="none" w:sz="0" w:space="0" w:color="auto"/>
        <w:right w:val="none" w:sz="0" w:space="0" w:color="auto"/>
      </w:divBdr>
    </w:div>
    <w:div w:id="1034306773">
      <w:bodyDiv w:val="1"/>
      <w:marLeft w:val="0"/>
      <w:marRight w:val="0"/>
      <w:marTop w:val="0"/>
      <w:marBottom w:val="0"/>
      <w:divBdr>
        <w:top w:val="none" w:sz="0" w:space="0" w:color="auto"/>
        <w:left w:val="none" w:sz="0" w:space="0" w:color="auto"/>
        <w:bottom w:val="none" w:sz="0" w:space="0" w:color="auto"/>
        <w:right w:val="none" w:sz="0" w:space="0" w:color="auto"/>
      </w:divBdr>
      <w:divsChild>
        <w:div w:id="1686514025">
          <w:marLeft w:val="720"/>
          <w:marRight w:val="0"/>
          <w:marTop w:val="200"/>
          <w:marBottom w:val="0"/>
          <w:divBdr>
            <w:top w:val="none" w:sz="0" w:space="0" w:color="auto"/>
            <w:left w:val="none" w:sz="0" w:space="0" w:color="auto"/>
            <w:bottom w:val="none" w:sz="0" w:space="0" w:color="auto"/>
            <w:right w:val="none" w:sz="0" w:space="0" w:color="auto"/>
          </w:divBdr>
        </w:div>
      </w:divsChild>
    </w:div>
    <w:div w:id="1043595827">
      <w:bodyDiv w:val="1"/>
      <w:marLeft w:val="0"/>
      <w:marRight w:val="0"/>
      <w:marTop w:val="0"/>
      <w:marBottom w:val="0"/>
      <w:divBdr>
        <w:top w:val="none" w:sz="0" w:space="0" w:color="auto"/>
        <w:left w:val="none" w:sz="0" w:space="0" w:color="auto"/>
        <w:bottom w:val="none" w:sz="0" w:space="0" w:color="auto"/>
        <w:right w:val="none" w:sz="0" w:space="0" w:color="auto"/>
      </w:divBdr>
      <w:divsChild>
        <w:div w:id="398744911">
          <w:marLeft w:val="0"/>
          <w:marRight w:val="0"/>
          <w:marTop w:val="0"/>
          <w:marBottom w:val="0"/>
          <w:divBdr>
            <w:top w:val="none" w:sz="0" w:space="0" w:color="auto"/>
            <w:left w:val="none" w:sz="0" w:space="0" w:color="auto"/>
            <w:bottom w:val="none" w:sz="0" w:space="0" w:color="auto"/>
            <w:right w:val="none" w:sz="0" w:space="0" w:color="auto"/>
          </w:divBdr>
          <w:divsChild>
            <w:div w:id="1739672979">
              <w:marLeft w:val="0"/>
              <w:marRight w:val="0"/>
              <w:marTop w:val="0"/>
              <w:marBottom w:val="0"/>
              <w:divBdr>
                <w:top w:val="none" w:sz="0" w:space="0" w:color="auto"/>
                <w:left w:val="none" w:sz="0" w:space="0" w:color="auto"/>
                <w:bottom w:val="none" w:sz="0" w:space="0" w:color="auto"/>
                <w:right w:val="none" w:sz="0" w:space="0" w:color="auto"/>
              </w:divBdr>
              <w:divsChild>
                <w:div w:id="1833984817">
                  <w:marLeft w:val="0"/>
                  <w:marRight w:val="0"/>
                  <w:marTop w:val="0"/>
                  <w:marBottom w:val="0"/>
                  <w:divBdr>
                    <w:top w:val="none" w:sz="0" w:space="0" w:color="auto"/>
                    <w:left w:val="none" w:sz="0" w:space="0" w:color="auto"/>
                    <w:bottom w:val="none" w:sz="0" w:space="0" w:color="auto"/>
                    <w:right w:val="none" w:sz="0" w:space="0" w:color="auto"/>
                  </w:divBdr>
                  <w:divsChild>
                    <w:div w:id="10594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821512">
      <w:bodyDiv w:val="1"/>
      <w:marLeft w:val="0"/>
      <w:marRight w:val="0"/>
      <w:marTop w:val="0"/>
      <w:marBottom w:val="0"/>
      <w:divBdr>
        <w:top w:val="none" w:sz="0" w:space="0" w:color="auto"/>
        <w:left w:val="none" w:sz="0" w:space="0" w:color="auto"/>
        <w:bottom w:val="none" w:sz="0" w:space="0" w:color="auto"/>
        <w:right w:val="none" w:sz="0" w:space="0" w:color="auto"/>
      </w:divBdr>
    </w:div>
    <w:div w:id="1063410440">
      <w:bodyDiv w:val="1"/>
      <w:marLeft w:val="0"/>
      <w:marRight w:val="0"/>
      <w:marTop w:val="0"/>
      <w:marBottom w:val="0"/>
      <w:divBdr>
        <w:top w:val="none" w:sz="0" w:space="0" w:color="auto"/>
        <w:left w:val="none" w:sz="0" w:space="0" w:color="auto"/>
        <w:bottom w:val="none" w:sz="0" w:space="0" w:color="auto"/>
        <w:right w:val="none" w:sz="0" w:space="0" w:color="auto"/>
      </w:divBdr>
    </w:div>
    <w:div w:id="1130367317">
      <w:bodyDiv w:val="1"/>
      <w:marLeft w:val="0"/>
      <w:marRight w:val="0"/>
      <w:marTop w:val="0"/>
      <w:marBottom w:val="0"/>
      <w:divBdr>
        <w:top w:val="none" w:sz="0" w:space="0" w:color="auto"/>
        <w:left w:val="none" w:sz="0" w:space="0" w:color="auto"/>
        <w:bottom w:val="none" w:sz="0" w:space="0" w:color="auto"/>
        <w:right w:val="none" w:sz="0" w:space="0" w:color="auto"/>
      </w:divBdr>
    </w:div>
    <w:div w:id="1199007101">
      <w:bodyDiv w:val="1"/>
      <w:marLeft w:val="0"/>
      <w:marRight w:val="0"/>
      <w:marTop w:val="0"/>
      <w:marBottom w:val="0"/>
      <w:divBdr>
        <w:top w:val="none" w:sz="0" w:space="0" w:color="auto"/>
        <w:left w:val="none" w:sz="0" w:space="0" w:color="auto"/>
        <w:bottom w:val="none" w:sz="0" w:space="0" w:color="auto"/>
        <w:right w:val="none" w:sz="0" w:space="0" w:color="auto"/>
      </w:divBdr>
    </w:div>
    <w:div w:id="1201630926">
      <w:bodyDiv w:val="1"/>
      <w:marLeft w:val="0"/>
      <w:marRight w:val="0"/>
      <w:marTop w:val="0"/>
      <w:marBottom w:val="0"/>
      <w:divBdr>
        <w:top w:val="none" w:sz="0" w:space="0" w:color="auto"/>
        <w:left w:val="none" w:sz="0" w:space="0" w:color="auto"/>
        <w:bottom w:val="none" w:sz="0" w:space="0" w:color="auto"/>
        <w:right w:val="none" w:sz="0" w:space="0" w:color="auto"/>
      </w:divBdr>
      <w:divsChild>
        <w:div w:id="504441470">
          <w:marLeft w:val="1426"/>
          <w:marRight w:val="0"/>
          <w:marTop w:val="100"/>
          <w:marBottom w:val="0"/>
          <w:divBdr>
            <w:top w:val="none" w:sz="0" w:space="0" w:color="auto"/>
            <w:left w:val="none" w:sz="0" w:space="0" w:color="auto"/>
            <w:bottom w:val="none" w:sz="0" w:space="0" w:color="auto"/>
            <w:right w:val="none" w:sz="0" w:space="0" w:color="auto"/>
          </w:divBdr>
        </w:div>
        <w:div w:id="753015121">
          <w:marLeft w:val="1426"/>
          <w:marRight w:val="0"/>
          <w:marTop w:val="100"/>
          <w:marBottom w:val="0"/>
          <w:divBdr>
            <w:top w:val="none" w:sz="0" w:space="0" w:color="auto"/>
            <w:left w:val="none" w:sz="0" w:space="0" w:color="auto"/>
            <w:bottom w:val="none" w:sz="0" w:space="0" w:color="auto"/>
            <w:right w:val="none" w:sz="0" w:space="0" w:color="auto"/>
          </w:divBdr>
        </w:div>
      </w:divsChild>
    </w:div>
    <w:div w:id="1201897045">
      <w:bodyDiv w:val="1"/>
      <w:marLeft w:val="0"/>
      <w:marRight w:val="0"/>
      <w:marTop w:val="0"/>
      <w:marBottom w:val="0"/>
      <w:divBdr>
        <w:top w:val="none" w:sz="0" w:space="0" w:color="auto"/>
        <w:left w:val="none" w:sz="0" w:space="0" w:color="auto"/>
        <w:bottom w:val="none" w:sz="0" w:space="0" w:color="auto"/>
        <w:right w:val="none" w:sz="0" w:space="0" w:color="auto"/>
      </w:divBdr>
      <w:divsChild>
        <w:div w:id="843782474">
          <w:marLeft w:val="0"/>
          <w:marRight w:val="0"/>
          <w:marTop w:val="0"/>
          <w:marBottom w:val="0"/>
          <w:divBdr>
            <w:top w:val="none" w:sz="0" w:space="0" w:color="auto"/>
            <w:left w:val="none" w:sz="0" w:space="0" w:color="auto"/>
            <w:bottom w:val="none" w:sz="0" w:space="0" w:color="auto"/>
            <w:right w:val="none" w:sz="0" w:space="0" w:color="auto"/>
          </w:divBdr>
          <w:divsChild>
            <w:div w:id="1461142197">
              <w:marLeft w:val="0"/>
              <w:marRight w:val="0"/>
              <w:marTop w:val="0"/>
              <w:marBottom w:val="0"/>
              <w:divBdr>
                <w:top w:val="none" w:sz="0" w:space="0" w:color="auto"/>
                <w:left w:val="none" w:sz="0" w:space="0" w:color="auto"/>
                <w:bottom w:val="none" w:sz="0" w:space="0" w:color="auto"/>
                <w:right w:val="none" w:sz="0" w:space="0" w:color="auto"/>
              </w:divBdr>
              <w:divsChild>
                <w:div w:id="1488401844">
                  <w:marLeft w:val="0"/>
                  <w:marRight w:val="0"/>
                  <w:marTop w:val="0"/>
                  <w:marBottom w:val="0"/>
                  <w:divBdr>
                    <w:top w:val="none" w:sz="0" w:space="0" w:color="auto"/>
                    <w:left w:val="none" w:sz="0" w:space="0" w:color="auto"/>
                    <w:bottom w:val="none" w:sz="0" w:space="0" w:color="auto"/>
                    <w:right w:val="none" w:sz="0" w:space="0" w:color="auto"/>
                  </w:divBdr>
                  <w:divsChild>
                    <w:div w:id="1468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80044">
      <w:bodyDiv w:val="1"/>
      <w:marLeft w:val="0"/>
      <w:marRight w:val="0"/>
      <w:marTop w:val="0"/>
      <w:marBottom w:val="0"/>
      <w:divBdr>
        <w:top w:val="none" w:sz="0" w:space="0" w:color="auto"/>
        <w:left w:val="none" w:sz="0" w:space="0" w:color="auto"/>
        <w:bottom w:val="none" w:sz="0" w:space="0" w:color="auto"/>
        <w:right w:val="none" w:sz="0" w:space="0" w:color="auto"/>
      </w:divBdr>
      <w:divsChild>
        <w:div w:id="1414742296">
          <w:marLeft w:val="1339"/>
          <w:marRight w:val="0"/>
          <w:marTop w:val="100"/>
          <w:marBottom w:val="0"/>
          <w:divBdr>
            <w:top w:val="none" w:sz="0" w:space="0" w:color="auto"/>
            <w:left w:val="none" w:sz="0" w:space="0" w:color="auto"/>
            <w:bottom w:val="none" w:sz="0" w:space="0" w:color="auto"/>
            <w:right w:val="none" w:sz="0" w:space="0" w:color="auto"/>
          </w:divBdr>
        </w:div>
      </w:divsChild>
    </w:div>
    <w:div w:id="1223827317">
      <w:bodyDiv w:val="1"/>
      <w:marLeft w:val="0"/>
      <w:marRight w:val="0"/>
      <w:marTop w:val="0"/>
      <w:marBottom w:val="0"/>
      <w:divBdr>
        <w:top w:val="none" w:sz="0" w:space="0" w:color="auto"/>
        <w:left w:val="none" w:sz="0" w:space="0" w:color="auto"/>
        <w:bottom w:val="none" w:sz="0" w:space="0" w:color="auto"/>
        <w:right w:val="none" w:sz="0" w:space="0" w:color="auto"/>
      </w:divBdr>
      <w:divsChild>
        <w:div w:id="1297683726">
          <w:marLeft w:val="547"/>
          <w:marRight w:val="0"/>
          <w:marTop w:val="0"/>
          <w:marBottom w:val="0"/>
          <w:divBdr>
            <w:top w:val="none" w:sz="0" w:space="0" w:color="auto"/>
            <w:left w:val="none" w:sz="0" w:space="0" w:color="auto"/>
            <w:bottom w:val="none" w:sz="0" w:space="0" w:color="auto"/>
            <w:right w:val="none" w:sz="0" w:space="0" w:color="auto"/>
          </w:divBdr>
        </w:div>
        <w:div w:id="1305938377">
          <w:marLeft w:val="547"/>
          <w:marRight w:val="0"/>
          <w:marTop w:val="0"/>
          <w:marBottom w:val="0"/>
          <w:divBdr>
            <w:top w:val="none" w:sz="0" w:space="0" w:color="auto"/>
            <w:left w:val="none" w:sz="0" w:space="0" w:color="auto"/>
            <w:bottom w:val="none" w:sz="0" w:space="0" w:color="auto"/>
            <w:right w:val="none" w:sz="0" w:space="0" w:color="auto"/>
          </w:divBdr>
        </w:div>
        <w:div w:id="1374504410">
          <w:marLeft w:val="547"/>
          <w:marRight w:val="0"/>
          <w:marTop w:val="0"/>
          <w:marBottom w:val="0"/>
          <w:divBdr>
            <w:top w:val="none" w:sz="0" w:space="0" w:color="auto"/>
            <w:left w:val="none" w:sz="0" w:space="0" w:color="auto"/>
            <w:bottom w:val="none" w:sz="0" w:space="0" w:color="auto"/>
            <w:right w:val="none" w:sz="0" w:space="0" w:color="auto"/>
          </w:divBdr>
        </w:div>
      </w:divsChild>
    </w:div>
    <w:div w:id="1244604740">
      <w:bodyDiv w:val="1"/>
      <w:marLeft w:val="0"/>
      <w:marRight w:val="0"/>
      <w:marTop w:val="0"/>
      <w:marBottom w:val="0"/>
      <w:divBdr>
        <w:top w:val="none" w:sz="0" w:space="0" w:color="auto"/>
        <w:left w:val="none" w:sz="0" w:space="0" w:color="auto"/>
        <w:bottom w:val="none" w:sz="0" w:space="0" w:color="auto"/>
        <w:right w:val="none" w:sz="0" w:space="0" w:color="auto"/>
      </w:divBdr>
    </w:div>
    <w:div w:id="1250387152">
      <w:bodyDiv w:val="1"/>
      <w:marLeft w:val="0"/>
      <w:marRight w:val="0"/>
      <w:marTop w:val="0"/>
      <w:marBottom w:val="0"/>
      <w:divBdr>
        <w:top w:val="none" w:sz="0" w:space="0" w:color="auto"/>
        <w:left w:val="none" w:sz="0" w:space="0" w:color="auto"/>
        <w:bottom w:val="none" w:sz="0" w:space="0" w:color="auto"/>
        <w:right w:val="none" w:sz="0" w:space="0" w:color="auto"/>
      </w:divBdr>
      <w:divsChild>
        <w:div w:id="1754668213">
          <w:marLeft w:val="720"/>
          <w:marRight w:val="0"/>
          <w:marTop w:val="200"/>
          <w:marBottom w:val="0"/>
          <w:divBdr>
            <w:top w:val="none" w:sz="0" w:space="0" w:color="auto"/>
            <w:left w:val="none" w:sz="0" w:space="0" w:color="auto"/>
            <w:bottom w:val="none" w:sz="0" w:space="0" w:color="auto"/>
            <w:right w:val="none" w:sz="0" w:space="0" w:color="auto"/>
          </w:divBdr>
        </w:div>
      </w:divsChild>
    </w:div>
    <w:div w:id="1259411891">
      <w:bodyDiv w:val="1"/>
      <w:marLeft w:val="0"/>
      <w:marRight w:val="0"/>
      <w:marTop w:val="0"/>
      <w:marBottom w:val="0"/>
      <w:divBdr>
        <w:top w:val="none" w:sz="0" w:space="0" w:color="auto"/>
        <w:left w:val="none" w:sz="0" w:space="0" w:color="auto"/>
        <w:bottom w:val="none" w:sz="0" w:space="0" w:color="auto"/>
        <w:right w:val="none" w:sz="0" w:space="0" w:color="auto"/>
      </w:divBdr>
      <w:divsChild>
        <w:div w:id="368993045">
          <w:marLeft w:val="0"/>
          <w:marRight w:val="0"/>
          <w:marTop w:val="0"/>
          <w:marBottom w:val="0"/>
          <w:divBdr>
            <w:top w:val="none" w:sz="0" w:space="0" w:color="auto"/>
            <w:left w:val="none" w:sz="0" w:space="0" w:color="auto"/>
            <w:bottom w:val="none" w:sz="0" w:space="0" w:color="auto"/>
            <w:right w:val="none" w:sz="0" w:space="0" w:color="auto"/>
          </w:divBdr>
          <w:divsChild>
            <w:div w:id="998197147">
              <w:marLeft w:val="0"/>
              <w:marRight w:val="0"/>
              <w:marTop w:val="0"/>
              <w:marBottom w:val="0"/>
              <w:divBdr>
                <w:top w:val="none" w:sz="0" w:space="0" w:color="auto"/>
                <w:left w:val="none" w:sz="0" w:space="0" w:color="auto"/>
                <w:bottom w:val="none" w:sz="0" w:space="0" w:color="auto"/>
                <w:right w:val="none" w:sz="0" w:space="0" w:color="auto"/>
              </w:divBdr>
              <w:divsChild>
                <w:div w:id="136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6637">
      <w:bodyDiv w:val="1"/>
      <w:marLeft w:val="0"/>
      <w:marRight w:val="0"/>
      <w:marTop w:val="0"/>
      <w:marBottom w:val="0"/>
      <w:divBdr>
        <w:top w:val="none" w:sz="0" w:space="0" w:color="auto"/>
        <w:left w:val="none" w:sz="0" w:space="0" w:color="auto"/>
        <w:bottom w:val="none" w:sz="0" w:space="0" w:color="auto"/>
        <w:right w:val="none" w:sz="0" w:space="0" w:color="auto"/>
      </w:divBdr>
      <w:divsChild>
        <w:div w:id="1596671957">
          <w:marLeft w:val="0"/>
          <w:marRight w:val="0"/>
          <w:marTop w:val="0"/>
          <w:marBottom w:val="0"/>
          <w:divBdr>
            <w:top w:val="none" w:sz="0" w:space="0" w:color="auto"/>
            <w:left w:val="none" w:sz="0" w:space="0" w:color="auto"/>
            <w:bottom w:val="none" w:sz="0" w:space="0" w:color="auto"/>
            <w:right w:val="none" w:sz="0" w:space="0" w:color="auto"/>
          </w:divBdr>
          <w:divsChild>
            <w:div w:id="1469782661">
              <w:marLeft w:val="0"/>
              <w:marRight w:val="0"/>
              <w:marTop w:val="0"/>
              <w:marBottom w:val="0"/>
              <w:divBdr>
                <w:top w:val="none" w:sz="0" w:space="0" w:color="auto"/>
                <w:left w:val="none" w:sz="0" w:space="0" w:color="auto"/>
                <w:bottom w:val="none" w:sz="0" w:space="0" w:color="auto"/>
                <w:right w:val="none" w:sz="0" w:space="0" w:color="auto"/>
              </w:divBdr>
              <w:divsChild>
                <w:div w:id="10229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115">
      <w:bodyDiv w:val="1"/>
      <w:marLeft w:val="0"/>
      <w:marRight w:val="0"/>
      <w:marTop w:val="0"/>
      <w:marBottom w:val="0"/>
      <w:divBdr>
        <w:top w:val="none" w:sz="0" w:space="0" w:color="auto"/>
        <w:left w:val="none" w:sz="0" w:space="0" w:color="auto"/>
        <w:bottom w:val="none" w:sz="0" w:space="0" w:color="auto"/>
        <w:right w:val="none" w:sz="0" w:space="0" w:color="auto"/>
      </w:divBdr>
    </w:div>
    <w:div w:id="1447458219">
      <w:bodyDiv w:val="1"/>
      <w:marLeft w:val="0"/>
      <w:marRight w:val="0"/>
      <w:marTop w:val="0"/>
      <w:marBottom w:val="0"/>
      <w:divBdr>
        <w:top w:val="none" w:sz="0" w:space="0" w:color="auto"/>
        <w:left w:val="none" w:sz="0" w:space="0" w:color="auto"/>
        <w:bottom w:val="none" w:sz="0" w:space="0" w:color="auto"/>
        <w:right w:val="none" w:sz="0" w:space="0" w:color="auto"/>
      </w:divBdr>
    </w:div>
    <w:div w:id="1469202088">
      <w:bodyDiv w:val="1"/>
      <w:marLeft w:val="0"/>
      <w:marRight w:val="0"/>
      <w:marTop w:val="0"/>
      <w:marBottom w:val="0"/>
      <w:divBdr>
        <w:top w:val="none" w:sz="0" w:space="0" w:color="auto"/>
        <w:left w:val="none" w:sz="0" w:space="0" w:color="auto"/>
        <w:bottom w:val="none" w:sz="0" w:space="0" w:color="auto"/>
        <w:right w:val="none" w:sz="0" w:space="0" w:color="auto"/>
      </w:divBdr>
    </w:div>
    <w:div w:id="1514414672">
      <w:bodyDiv w:val="1"/>
      <w:marLeft w:val="0"/>
      <w:marRight w:val="0"/>
      <w:marTop w:val="0"/>
      <w:marBottom w:val="0"/>
      <w:divBdr>
        <w:top w:val="none" w:sz="0" w:space="0" w:color="auto"/>
        <w:left w:val="none" w:sz="0" w:space="0" w:color="auto"/>
        <w:bottom w:val="none" w:sz="0" w:space="0" w:color="auto"/>
        <w:right w:val="none" w:sz="0" w:space="0" w:color="auto"/>
      </w:divBdr>
    </w:div>
    <w:div w:id="1547257022">
      <w:bodyDiv w:val="1"/>
      <w:marLeft w:val="0"/>
      <w:marRight w:val="0"/>
      <w:marTop w:val="0"/>
      <w:marBottom w:val="0"/>
      <w:divBdr>
        <w:top w:val="none" w:sz="0" w:space="0" w:color="auto"/>
        <w:left w:val="none" w:sz="0" w:space="0" w:color="auto"/>
        <w:bottom w:val="none" w:sz="0" w:space="0" w:color="auto"/>
        <w:right w:val="none" w:sz="0" w:space="0" w:color="auto"/>
      </w:divBdr>
      <w:divsChild>
        <w:div w:id="501624110">
          <w:marLeft w:val="0"/>
          <w:marRight w:val="0"/>
          <w:marTop w:val="0"/>
          <w:marBottom w:val="0"/>
          <w:divBdr>
            <w:top w:val="none" w:sz="0" w:space="0" w:color="auto"/>
            <w:left w:val="none" w:sz="0" w:space="0" w:color="auto"/>
            <w:bottom w:val="none" w:sz="0" w:space="0" w:color="auto"/>
            <w:right w:val="none" w:sz="0" w:space="0" w:color="auto"/>
          </w:divBdr>
          <w:divsChild>
            <w:div w:id="698050127">
              <w:marLeft w:val="0"/>
              <w:marRight w:val="0"/>
              <w:marTop w:val="0"/>
              <w:marBottom w:val="0"/>
              <w:divBdr>
                <w:top w:val="none" w:sz="0" w:space="0" w:color="auto"/>
                <w:left w:val="none" w:sz="0" w:space="0" w:color="auto"/>
                <w:bottom w:val="none" w:sz="0" w:space="0" w:color="auto"/>
                <w:right w:val="none" w:sz="0" w:space="0" w:color="auto"/>
              </w:divBdr>
              <w:divsChild>
                <w:div w:id="626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11889">
      <w:bodyDiv w:val="1"/>
      <w:marLeft w:val="0"/>
      <w:marRight w:val="0"/>
      <w:marTop w:val="0"/>
      <w:marBottom w:val="0"/>
      <w:divBdr>
        <w:top w:val="none" w:sz="0" w:space="0" w:color="auto"/>
        <w:left w:val="none" w:sz="0" w:space="0" w:color="auto"/>
        <w:bottom w:val="none" w:sz="0" w:space="0" w:color="auto"/>
        <w:right w:val="none" w:sz="0" w:space="0" w:color="auto"/>
      </w:divBdr>
    </w:div>
    <w:div w:id="1638795782">
      <w:bodyDiv w:val="1"/>
      <w:marLeft w:val="0"/>
      <w:marRight w:val="0"/>
      <w:marTop w:val="0"/>
      <w:marBottom w:val="0"/>
      <w:divBdr>
        <w:top w:val="none" w:sz="0" w:space="0" w:color="auto"/>
        <w:left w:val="none" w:sz="0" w:space="0" w:color="auto"/>
        <w:bottom w:val="none" w:sz="0" w:space="0" w:color="auto"/>
        <w:right w:val="none" w:sz="0" w:space="0" w:color="auto"/>
      </w:divBdr>
    </w:div>
    <w:div w:id="1652129689">
      <w:bodyDiv w:val="1"/>
      <w:marLeft w:val="0"/>
      <w:marRight w:val="0"/>
      <w:marTop w:val="0"/>
      <w:marBottom w:val="0"/>
      <w:divBdr>
        <w:top w:val="none" w:sz="0" w:space="0" w:color="auto"/>
        <w:left w:val="none" w:sz="0" w:space="0" w:color="auto"/>
        <w:bottom w:val="none" w:sz="0" w:space="0" w:color="auto"/>
        <w:right w:val="none" w:sz="0" w:space="0" w:color="auto"/>
      </w:divBdr>
    </w:div>
    <w:div w:id="1670711506">
      <w:bodyDiv w:val="1"/>
      <w:marLeft w:val="0"/>
      <w:marRight w:val="0"/>
      <w:marTop w:val="0"/>
      <w:marBottom w:val="0"/>
      <w:divBdr>
        <w:top w:val="none" w:sz="0" w:space="0" w:color="auto"/>
        <w:left w:val="none" w:sz="0" w:space="0" w:color="auto"/>
        <w:bottom w:val="none" w:sz="0" w:space="0" w:color="auto"/>
        <w:right w:val="none" w:sz="0" w:space="0" w:color="auto"/>
      </w:divBdr>
    </w:div>
    <w:div w:id="1674144394">
      <w:bodyDiv w:val="1"/>
      <w:marLeft w:val="0"/>
      <w:marRight w:val="0"/>
      <w:marTop w:val="0"/>
      <w:marBottom w:val="0"/>
      <w:divBdr>
        <w:top w:val="none" w:sz="0" w:space="0" w:color="auto"/>
        <w:left w:val="none" w:sz="0" w:space="0" w:color="auto"/>
        <w:bottom w:val="none" w:sz="0" w:space="0" w:color="auto"/>
        <w:right w:val="none" w:sz="0" w:space="0" w:color="auto"/>
      </w:divBdr>
      <w:divsChild>
        <w:div w:id="1405033360">
          <w:marLeft w:val="0"/>
          <w:marRight w:val="0"/>
          <w:marTop w:val="0"/>
          <w:marBottom w:val="0"/>
          <w:divBdr>
            <w:top w:val="none" w:sz="0" w:space="0" w:color="auto"/>
            <w:left w:val="none" w:sz="0" w:space="0" w:color="auto"/>
            <w:bottom w:val="none" w:sz="0" w:space="0" w:color="auto"/>
            <w:right w:val="none" w:sz="0" w:space="0" w:color="auto"/>
          </w:divBdr>
          <w:divsChild>
            <w:div w:id="583145205">
              <w:marLeft w:val="0"/>
              <w:marRight w:val="0"/>
              <w:marTop w:val="0"/>
              <w:marBottom w:val="0"/>
              <w:divBdr>
                <w:top w:val="none" w:sz="0" w:space="0" w:color="auto"/>
                <w:left w:val="none" w:sz="0" w:space="0" w:color="auto"/>
                <w:bottom w:val="none" w:sz="0" w:space="0" w:color="auto"/>
                <w:right w:val="none" w:sz="0" w:space="0" w:color="auto"/>
              </w:divBdr>
              <w:divsChild>
                <w:div w:id="1194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4340">
      <w:bodyDiv w:val="1"/>
      <w:marLeft w:val="0"/>
      <w:marRight w:val="0"/>
      <w:marTop w:val="0"/>
      <w:marBottom w:val="0"/>
      <w:divBdr>
        <w:top w:val="none" w:sz="0" w:space="0" w:color="auto"/>
        <w:left w:val="none" w:sz="0" w:space="0" w:color="auto"/>
        <w:bottom w:val="none" w:sz="0" w:space="0" w:color="auto"/>
        <w:right w:val="none" w:sz="0" w:space="0" w:color="auto"/>
      </w:divBdr>
    </w:div>
    <w:div w:id="1717046163">
      <w:bodyDiv w:val="1"/>
      <w:marLeft w:val="0"/>
      <w:marRight w:val="0"/>
      <w:marTop w:val="0"/>
      <w:marBottom w:val="0"/>
      <w:divBdr>
        <w:top w:val="none" w:sz="0" w:space="0" w:color="auto"/>
        <w:left w:val="none" w:sz="0" w:space="0" w:color="auto"/>
        <w:bottom w:val="none" w:sz="0" w:space="0" w:color="auto"/>
        <w:right w:val="none" w:sz="0" w:space="0" w:color="auto"/>
      </w:divBdr>
      <w:divsChild>
        <w:div w:id="696083052">
          <w:marLeft w:val="1339"/>
          <w:marRight w:val="0"/>
          <w:marTop w:val="100"/>
          <w:marBottom w:val="0"/>
          <w:divBdr>
            <w:top w:val="none" w:sz="0" w:space="0" w:color="auto"/>
            <w:left w:val="none" w:sz="0" w:space="0" w:color="auto"/>
            <w:bottom w:val="none" w:sz="0" w:space="0" w:color="auto"/>
            <w:right w:val="none" w:sz="0" w:space="0" w:color="auto"/>
          </w:divBdr>
        </w:div>
      </w:divsChild>
    </w:div>
    <w:div w:id="1737632811">
      <w:bodyDiv w:val="1"/>
      <w:marLeft w:val="0"/>
      <w:marRight w:val="0"/>
      <w:marTop w:val="0"/>
      <w:marBottom w:val="0"/>
      <w:divBdr>
        <w:top w:val="none" w:sz="0" w:space="0" w:color="auto"/>
        <w:left w:val="none" w:sz="0" w:space="0" w:color="auto"/>
        <w:bottom w:val="none" w:sz="0" w:space="0" w:color="auto"/>
        <w:right w:val="none" w:sz="0" w:space="0" w:color="auto"/>
      </w:divBdr>
      <w:divsChild>
        <w:div w:id="1138499989">
          <w:marLeft w:val="0"/>
          <w:marRight w:val="0"/>
          <w:marTop w:val="0"/>
          <w:marBottom w:val="0"/>
          <w:divBdr>
            <w:top w:val="none" w:sz="0" w:space="0" w:color="auto"/>
            <w:left w:val="none" w:sz="0" w:space="0" w:color="auto"/>
            <w:bottom w:val="none" w:sz="0" w:space="0" w:color="auto"/>
            <w:right w:val="none" w:sz="0" w:space="0" w:color="auto"/>
          </w:divBdr>
          <w:divsChild>
            <w:div w:id="1858039747">
              <w:marLeft w:val="0"/>
              <w:marRight w:val="0"/>
              <w:marTop w:val="0"/>
              <w:marBottom w:val="0"/>
              <w:divBdr>
                <w:top w:val="none" w:sz="0" w:space="0" w:color="auto"/>
                <w:left w:val="none" w:sz="0" w:space="0" w:color="auto"/>
                <w:bottom w:val="none" w:sz="0" w:space="0" w:color="auto"/>
                <w:right w:val="none" w:sz="0" w:space="0" w:color="auto"/>
              </w:divBdr>
              <w:divsChild>
                <w:div w:id="990644834">
                  <w:marLeft w:val="0"/>
                  <w:marRight w:val="0"/>
                  <w:marTop w:val="0"/>
                  <w:marBottom w:val="0"/>
                  <w:divBdr>
                    <w:top w:val="none" w:sz="0" w:space="0" w:color="auto"/>
                    <w:left w:val="none" w:sz="0" w:space="0" w:color="auto"/>
                    <w:bottom w:val="none" w:sz="0" w:space="0" w:color="auto"/>
                    <w:right w:val="none" w:sz="0" w:space="0" w:color="auto"/>
                  </w:divBdr>
                  <w:divsChild>
                    <w:div w:id="3672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9414">
      <w:bodyDiv w:val="1"/>
      <w:marLeft w:val="0"/>
      <w:marRight w:val="0"/>
      <w:marTop w:val="0"/>
      <w:marBottom w:val="0"/>
      <w:divBdr>
        <w:top w:val="none" w:sz="0" w:space="0" w:color="auto"/>
        <w:left w:val="none" w:sz="0" w:space="0" w:color="auto"/>
        <w:bottom w:val="none" w:sz="0" w:space="0" w:color="auto"/>
        <w:right w:val="none" w:sz="0" w:space="0" w:color="auto"/>
      </w:divBdr>
    </w:div>
    <w:div w:id="1775245730">
      <w:bodyDiv w:val="1"/>
      <w:marLeft w:val="0"/>
      <w:marRight w:val="0"/>
      <w:marTop w:val="0"/>
      <w:marBottom w:val="0"/>
      <w:divBdr>
        <w:top w:val="none" w:sz="0" w:space="0" w:color="auto"/>
        <w:left w:val="none" w:sz="0" w:space="0" w:color="auto"/>
        <w:bottom w:val="none" w:sz="0" w:space="0" w:color="auto"/>
        <w:right w:val="none" w:sz="0" w:space="0" w:color="auto"/>
      </w:divBdr>
    </w:div>
    <w:div w:id="1837837838">
      <w:bodyDiv w:val="1"/>
      <w:marLeft w:val="0"/>
      <w:marRight w:val="0"/>
      <w:marTop w:val="0"/>
      <w:marBottom w:val="0"/>
      <w:divBdr>
        <w:top w:val="none" w:sz="0" w:space="0" w:color="auto"/>
        <w:left w:val="none" w:sz="0" w:space="0" w:color="auto"/>
        <w:bottom w:val="none" w:sz="0" w:space="0" w:color="auto"/>
        <w:right w:val="none" w:sz="0" w:space="0" w:color="auto"/>
      </w:divBdr>
    </w:div>
    <w:div w:id="1870099249">
      <w:bodyDiv w:val="1"/>
      <w:marLeft w:val="0"/>
      <w:marRight w:val="0"/>
      <w:marTop w:val="0"/>
      <w:marBottom w:val="0"/>
      <w:divBdr>
        <w:top w:val="none" w:sz="0" w:space="0" w:color="auto"/>
        <w:left w:val="none" w:sz="0" w:space="0" w:color="auto"/>
        <w:bottom w:val="none" w:sz="0" w:space="0" w:color="auto"/>
        <w:right w:val="none" w:sz="0" w:space="0" w:color="auto"/>
      </w:divBdr>
      <w:divsChild>
        <w:div w:id="1476409754">
          <w:marLeft w:val="0"/>
          <w:marRight w:val="0"/>
          <w:marTop w:val="0"/>
          <w:marBottom w:val="0"/>
          <w:divBdr>
            <w:top w:val="none" w:sz="0" w:space="0" w:color="auto"/>
            <w:left w:val="none" w:sz="0" w:space="0" w:color="auto"/>
            <w:bottom w:val="none" w:sz="0" w:space="0" w:color="auto"/>
            <w:right w:val="none" w:sz="0" w:space="0" w:color="auto"/>
          </w:divBdr>
          <w:divsChild>
            <w:div w:id="146677601">
              <w:marLeft w:val="0"/>
              <w:marRight w:val="0"/>
              <w:marTop w:val="0"/>
              <w:marBottom w:val="0"/>
              <w:divBdr>
                <w:top w:val="none" w:sz="0" w:space="0" w:color="auto"/>
                <w:left w:val="none" w:sz="0" w:space="0" w:color="auto"/>
                <w:bottom w:val="none" w:sz="0" w:space="0" w:color="auto"/>
                <w:right w:val="none" w:sz="0" w:space="0" w:color="auto"/>
              </w:divBdr>
              <w:divsChild>
                <w:div w:id="1231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3382">
      <w:bodyDiv w:val="1"/>
      <w:marLeft w:val="0"/>
      <w:marRight w:val="0"/>
      <w:marTop w:val="0"/>
      <w:marBottom w:val="0"/>
      <w:divBdr>
        <w:top w:val="none" w:sz="0" w:space="0" w:color="auto"/>
        <w:left w:val="none" w:sz="0" w:space="0" w:color="auto"/>
        <w:bottom w:val="none" w:sz="0" w:space="0" w:color="auto"/>
        <w:right w:val="none" w:sz="0" w:space="0" w:color="auto"/>
      </w:divBdr>
    </w:div>
    <w:div w:id="1920291744">
      <w:bodyDiv w:val="1"/>
      <w:marLeft w:val="0"/>
      <w:marRight w:val="0"/>
      <w:marTop w:val="0"/>
      <w:marBottom w:val="0"/>
      <w:divBdr>
        <w:top w:val="none" w:sz="0" w:space="0" w:color="auto"/>
        <w:left w:val="none" w:sz="0" w:space="0" w:color="auto"/>
        <w:bottom w:val="none" w:sz="0" w:space="0" w:color="auto"/>
        <w:right w:val="none" w:sz="0" w:space="0" w:color="auto"/>
      </w:divBdr>
      <w:divsChild>
        <w:div w:id="2034988623">
          <w:marLeft w:val="720"/>
          <w:marRight w:val="0"/>
          <w:marTop w:val="200"/>
          <w:marBottom w:val="0"/>
          <w:divBdr>
            <w:top w:val="none" w:sz="0" w:space="0" w:color="auto"/>
            <w:left w:val="none" w:sz="0" w:space="0" w:color="auto"/>
            <w:bottom w:val="none" w:sz="0" w:space="0" w:color="auto"/>
            <w:right w:val="none" w:sz="0" w:space="0" w:color="auto"/>
          </w:divBdr>
        </w:div>
      </w:divsChild>
    </w:div>
    <w:div w:id="2033262906">
      <w:bodyDiv w:val="1"/>
      <w:marLeft w:val="0"/>
      <w:marRight w:val="0"/>
      <w:marTop w:val="0"/>
      <w:marBottom w:val="0"/>
      <w:divBdr>
        <w:top w:val="none" w:sz="0" w:space="0" w:color="auto"/>
        <w:left w:val="none" w:sz="0" w:space="0" w:color="auto"/>
        <w:bottom w:val="none" w:sz="0" w:space="0" w:color="auto"/>
        <w:right w:val="none" w:sz="0" w:space="0" w:color="auto"/>
      </w:divBdr>
      <w:divsChild>
        <w:div w:id="1230532162">
          <w:marLeft w:val="720"/>
          <w:marRight w:val="0"/>
          <w:marTop w:val="200"/>
          <w:marBottom w:val="0"/>
          <w:divBdr>
            <w:top w:val="none" w:sz="0" w:space="0" w:color="auto"/>
            <w:left w:val="none" w:sz="0" w:space="0" w:color="auto"/>
            <w:bottom w:val="none" w:sz="0" w:space="0" w:color="auto"/>
            <w:right w:val="none" w:sz="0" w:space="0" w:color="auto"/>
          </w:divBdr>
        </w:div>
      </w:divsChild>
    </w:div>
    <w:div w:id="2033453239">
      <w:bodyDiv w:val="1"/>
      <w:marLeft w:val="0"/>
      <w:marRight w:val="0"/>
      <w:marTop w:val="0"/>
      <w:marBottom w:val="0"/>
      <w:divBdr>
        <w:top w:val="none" w:sz="0" w:space="0" w:color="auto"/>
        <w:left w:val="none" w:sz="0" w:space="0" w:color="auto"/>
        <w:bottom w:val="none" w:sz="0" w:space="0" w:color="auto"/>
        <w:right w:val="none" w:sz="0" w:space="0" w:color="auto"/>
      </w:divBdr>
    </w:div>
    <w:div w:id="2051879166">
      <w:bodyDiv w:val="1"/>
      <w:marLeft w:val="0"/>
      <w:marRight w:val="0"/>
      <w:marTop w:val="0"/>
      <w:marBottom w:val="0"/>
      <w:divBdr>
        <w:top w:val="none" w:sz="0" w:space="0" w:color="auto"/>
        <w:left w:val="none" w:sz="0" w:space="0" w:color="auto"/>
        <w:bottom w:val="none" w:sz="0" w:space="0" w:color="auto"/>
        <w:right w:val="none" w:sz="0" w:space="0" w:color="auto"/>
      </w:divBdr>
      <w:divsChild>
        <w:div w:id="624970113">
          <w:marLeft w:val="0"/>
          <w:marRight w:val="0"/>
          <w:marTop w:val="0"/>
          <w:marBottom w:val="0"/>
          <w:divBdr>
            <w:top w:val="none" w:sz="0" w:space="0" w:color="auto"/>
            <w:left w:val="none" w:sz="0" w:space="0" w:color="auto"/>
            <w:bottom w:val="none" w:sz="0" w:space="0" w:color="auto"/>
            <w:right w:val="none" w:sz="0" w:space="0" w:color="auto"/>
          </w:divBdr>
          <w:divsChild>
            <w:div w:id="1217739291">
              <w:marLeft w:val="0"/>
              <w:marRight w:val="0"/>
              <w:marTop w:val="0"/>
              <w:marBottom w:val="0"/>
              <w:divBdr>
                <w:top w:val="none" w:sz="0" w:space="0" w:color="auto"/>
                <w:left w:val="none" w:sz="0" w:space="0" w:color="auto"/>
                <w:bottom w:val="none" w:sz="0" w:space="0" w:color="auto"/>
                <w:right w:val="none" w:sz="0" w:space="0" w:color="auto"/>
              </w:divBdr>
              <w:divsChild>
                <w:div w:id="15851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49806">
      <w:bodyDiv w:val="1"/>
      <w:marLeft w:val="0"/>
      <w:marRight w:val="0"/>
      <w:marTop w:val="0"/>
      <w:marBottom w:val="0"/>
      <w:divBdr>
        <w:top w:val="none" w:sz="0" w:space="0" w:color="auto"/>
        <w:left w:val="none" w:sz="0" w:space="0" w:color="auto"/>
        <w:bottom w:val="none" w:sz="0" w:space="0" w:color="auto"/>
        <w:right w:val="none" w:sz="0" w:space="0" w:color="auto"/>
      </w:divBdr>
    </w:div>
    <w:div w:id="2072386775">
      <w:bodyDiv w:val="1"/>
      <w:marLeft w:val="0"/>
      <w:marRight w:val="0"/>
      <w:marTop w:val="0"/>
      <w:marBottom w:val="0"/>
      <w:divBdr>
        <w:top w:val="none" w:sz="0" w:space="0" w:color="auto"/>
        <w:left w:val="none" w:sz="0" w:space="0" w:color="auto"/>
        <w:bottom w:val="none" w:sz="0" w:space="0" w:color="auto"/>
        <w:right w:val="none" w:sz="0" w:space="0" w:color="auto"/>
      </w:divBdr>
    </w:div>
    <w:div w:id="2141681339">
      <w:bodyDiv w:val="1"/>
      <w:marLeft w:val="0"/>
      <w:marRight w:val="0"/>
      <w:marTop w:val="0"/>
      <w:marBottom w:val="0"/>
      <w:divBdr>
        <w:top w:val="none" w:sz="0" w:space="0" w:color="auto"/>
        <w:left w:val="none" w:sz="0" w:space="0" w:color="auto"/>
        <w:bottom w:val="none" w:sz="0" w:space="0" w:color="auto"/>
        <w:right w:val="none" w:sz="0" w:space="0" w:color="auto"/>
      </w:divBdr>
      <w:divsChild>
        <w:div w:id="1223524221">
          <w:marLeft w:val="0"/>
          <w:marRight w:val="0"/>
          <w:marTop w:val="0"/>
          <w:marBottom w:val="0"/>
          <w:divBdr>
            <w:top w:val="none" w:sz="0" w:space="0" w:color="auto"/>
            <w:left w:val="none" w:sz="0" w:space="0" w:color="auto"/>
            <w:bottom w:val="none" w:sz="0" w:space="0" w:color="auto"/>
            <w:right w:val="none" w:sz="0" w:space="0" w:color="auto"/>
          </w:divBdr>
          <w:divsChild>
            <w:div w:id="682706460">
              <w:marLeft w:val="0"/>
              <w:marRight w:val="0"/>
              <w:marTop w:val="0"/>
              <w:marBottom w:val="0"/>
              <w:divBdr>
                <w:top w:val="none" w:sz="0" w:space="0" w:color="auto"/>
                <w:left w:val="none" w:sz="0" w:space="0" w:color="auto"/>
                <w:bottom w:val="none" w:sz="0" w:space="0" w:color="auto"/>
                <w:right w:val="none" w:sz="0" w:space="0" w:color="auto"/>
              </w:divBdr>
              <w:divsChild>
                <w:div w:id="6319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hrr.gov.ba/PDF/Konvencija_bos.pdf" TargetMode="External"/><Relationship Id="rId18" Type="http://schemas.openxmlformats.org/officeDocument/2006/relationships/hyperlink" Target="https://education.ec.europa.eu/focus-topics/digital-education/action-plan" TargetMode="External"/><Relationship Id="rId26" Type="http://schemas.openxmlformats.org/officeDocument/2006/relationships/diagramLayout" Target="diagrams/layout2.xml"/><Relationship Id="rId39" Type="http://schemas.openxmlformats.org/officeDocument/2006/relationships/hyperlink" Target="https://files.eric.ed.gov/fulltext/ED560788.pdf" TargetMode="External"/><Relationship Id="rId21" Type="http://schemas.openxmlformats.org/officeDocument/2006/relationships/diagramLayout" Target="diagrams/layout1.xml"/><Relationship Id="rId34" Type="http://schemas.openxmlformats.org/officeDocument/2006/relationships/hyperlink" Target="http://www.cast.org/udl/" TargetMode="External"/><Relationship Id="rId42" Type="http://schemas.openxmlformats.org/officeDocument/2006/relationships/hyperlink" Target="https://journals.sagepub.com/doi/pdf/10.1177/2042753018785180" TargetMode="External"/><Relationship Id="rId47" Type="http://schemas.openxmlformats.org/officeDocument/2006/relationships/hyperlink" Target="http://www.ieee.hr/_download/repoZiTOry/ieee25-jpetrovic-v5-jp.pdf" TargetMode="External"/><Relationship Id="rId50" Type="http://schemas.openxmlformats.org/officeDocument/2006/relationships/hyperlink" Target="http://hea.gov.ba/Kvalitet/dokumenti/?id=1229" TargetMode="External"/><Relationship Id="rId55" Type="http://schemas.openxmlformats.org/officeDocument/2006/relationships/hyperlink" Target="https://unesdoc.unesco.org/ark:/48223/pf00003809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cp.gov.ba/Content/Read/obrazovanje-dokumenti" TargetMode="Externa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hyperlink" Target="https://www.ilo.org/skills/areas/skills-policies-and-systems/WCMS_829984/lang--en/index.htm" TargetMode="External"/><Relationship Id="rId54" Type="http://schemas.openxmlformats.org/officeDocument/2006/relationships/hyperlink" Target="https://www.ombudsmen.gov.ba/documents/obmudsmen_doc2013041003050667cr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bih/media/676/file/Konvencija%20o%20pravima%20djeteta.pdf?fbclid=IwAR0CMNHt4iz3GL1pX4OgswiM4xY_n3DBgvt1sBO0jj6Nd5Xv67lSKQdcysc" TargetMode="External"/><Relationship Id="rId24" Type="http://schemas.microsoft.com/office/2007/relationships/diagramDrawing" Target="diagrams/drawing1.xml"/><Relationship Id="rId32" Type="http://schemas.openxmlformats.org/officeDocument/2006/relationships/hyperlink" Target="https://aposo.gov.ba/sadrzaj/uploads/Instrumentarij-za-samovrjednovanje-BOS-final1.pdf" TargetMode="External"/><Relationship Id="rId37" Type="http://schemas.openxmlformats.org/officeDocument/2006/relationships/hyperlink" Target="https://publications.jrc.ec.europa.eu/repoZiTOry/handle/JRC107466" TargetMode="External"/><Relationship Id="rId40" Type="http://schemas.openxmlformats.org/officeDocument/2006/relationships/hyperlink" Target="https://www.ncvvo.hr/medunarodna-istrazivanja/icils/" TargetMode="External"/><Relationship Id="rId45" Type="http://schemas.openxmlformats.org/officeDocument/2006/relationships/hyperlink" Target="http://www.downsy.ba/wp-content/uploads/2019/07/Opsti-komentar_2.pdf" TargetMode="External"/><Relationship Id="rId53" Type="http://schemas.openxmlformats.org/officeDocument/2006/relationships/hyperlink" Target="https://www.unicef.hr/wp-content/uploads/2017/05/Konvencija_20o_20pravima_20djeteta_full.pdf" TargetMode="External"/><Relationship Id="rId58" Type="http://schemas.openxmlformats.org/officeDocument/2006/relationships/hyperlink" Target="https://web.worldbank.org/archive/website01006/WEB/0__C-331.HTM" TargetMode="External"/><Relationship Id="rId5" Type="http://schemas.openxmlformats.org/officeDocument/2006/relationships/numbering" Target="numbering.xml"/><Relationship Id="rId15" Type="http://schemas.openxmlformats.org/officeDocument/2006/relationships/hyperlink" Target="https://mo.ks.gov.ba/sites/mo.ks.gov.ba/files/metodologija-2020.pdf"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education.ec.europa.eu/focus-topics/digital-education/action-plan" TargetMode="External"/><Relationship Id="rId49" Type="http://schemas.openxmlformats.org/officeDocument/2006/relationships/hyperlink" Target="http://os-slatine.skole.hr/upload/os-slatine/images/newsimg/677/File/SELFIE-report%20(1).pdf" TargetMode="External"/><Relationship Id="rId57" Type="http://schemas.openxmlformats.org/officeDocument/2006/relationships/hyperlink" Target="https://www.unicef.org/serbia/otvoreni-obrazovni-digitalni-alati-za-interaktivnu-nastavu-i-ucenje-preko-interneta"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ations.jrc.ec.europa.eu/repository/handle/JRC107466" TargetMode="External"/><Relationship Id="rId31" Type="http://schemas.openxmlformats.org/officeDocument/2006/relationships/hyperlink" Target="http://www.mcp.gov.ba/attachments/bs_Migrirani_dokumenti/Sektori/Obrazovanje/Obrazovanje-ostalo/Osnovni_tehni%C4%8Dki_standardi_IKT_alata_u_obrazovanju_BOS.doc" TargetMode="External"/><Relationship Id="rId44" Type="http://schemas.openxmlformats.org/officeDocument/2006/relationships/hyperlink" Target="https://aposo.gov.ba/sadrzaj/uploads/Okvirni-zakon-o-osnovnom-i-srednjem-obrazovanju-u-Bosni-i-Hercegovini.pdf" TargetMode="External"/><Relationship Id="rId52" Type="http://schemas.openxmlformats.org/officeDocument/2006/relationships/hyperlink" Target="https://www.right-to-education.org/sites/right-to-education.org/files/resource-attachments/Manual%20on%20Rights-based%20Education_Tomasevski_0.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dars.net/sr-SP-Cyrl/Vlada/Ministarstva/mpk/PAO/PublishingImages/Pages/Osnovno_obrazovanje/%d0%a3%d0%bf%d1%83%d1%82%d1%81%d1%82%d0%b2%d0%be%20%d0%be%20%d0%bf%d1%80%d0%b0%d1%9b%d0%b5%d1%9a%d1%83%2c%20%d0%b2%d1%80%d0%b5%d0%b4%d0%bd%d0%be%d0%b2%d0%b0%d1%9a%d1%83%20%d0%b8%20%d0%be%d1%86%d1%98%d0%b5%d1%9a%d0%b8%d0%b2%d0%b0%d1%9a%d1%83%20%d1%83%d1%87%d0%b5%d0%bd%d0%b8%d0%ba%d0%b0%20%d0%bf%d1%80%d0%b8%d0%bb%d0%b8%d0%ba%d0%be%d0%bc%20%d0%b8%d0%b7%d0%b2%d0%be%d1%92%d0%b5%d1%9a%d0%b0%20%d0%bd%d0%b0%d1%81%d1%82%d0%b0%d0%b2%d0%b5%20%d0%bd%d0%b0%20%d0%b4%d0%b0%d1%99%d0%b8%d0%bd%d1%83%20%20%28%d0%a1%d0%bb%d1%83%d0%b6%d0%b1%d0%b5%d0%bd%d0%b8%20%d0%b3%d0%bb%d0%b0%d1%81%d0%bd%d0%b8%d0%ba%20%d0%a0%d0%a1%2039-20%29.pdf"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s://zamisli2030.ba/bs/okvir-ciljeva-odrzivog-razvoja-u-bih/" TargetMode="External"/><Relationship Id="rId35" Type="http://schemas.openxmlformats.org/officeDocument/2006/relationships/hyperlink" Target="https://education.ec.europa.eu/focus-topics/digital-education/action-plan" TargetMode="External"/><Relationship Id="rId43" Type="http://schemas.openxmlformats.org/officeDocument/2006/relationships/hyperlink" Target="https://urn.nsk.hr/urn:nbn:hr:158:325130" TargetMode="External"/><Relationship Id="rId48" Type="http://schemas.openxmlformats.org/officeDocument/2006/relationships/hyperlink" Target="https://www.researchgate.net/publication/228806805_Interactive_television_Educational_use_in_the_new_millennium" TargetMode="External"/><Relationship Id="rId56" Type="http://schemas.openxmlformats.org/officeDocument/2006/relationships/hyperlink" Target="https://www.unicef.org/eca/sites/unicef.org.eca/files/Booklet%2011%20-%20Serbian%20Version.pdf" TargetMode="External"/><Relationship Id="rId8" Type="http://schemas.openxmlformats.org/officeDocument/2006/relationships/webSettings" Target="webSettings.xml"/><Relationship Id="rId51" Type="http://schemas.openxmlformats.org/officeDocument/2006/relationships/hyperlink" Target="https://bosniaherzegovina.un.org/bhs/sdgs" TargetMode="External"/><Relationship Id="rId3" Type="http://schemas.openxmlformats.org/officeDocument/2006/relationships/customXml" Target="../customXml/item3.xml"/><Relationship Id="rId12" Type="http://schemas.openxmlformats.org/officeDocument/2006/relationships/hyperlink" Target="http://www.mhrr.gov.ba/PDF/Konvencija_bos.pdf" TargetMode="External"/><Relationship Id="rId17" Type="http://schemas.openxmlformats.org/officeDocument/2006/relationships/hyperlink" Target="http://www.mcp.gov.ba/attachments/bs_Migrirani_dokumenti/Sektori/Obrazovanje/Obrazovanje-ostalo/Osnovni_tehni%C4%8Dki_standardi_IKT_alata_u_obrazovanju_BOS.doc" TargetMode="External"/><Relationship Id="rId25" Type="http://schemas.openxmlformats.org/officeDocument/2006/relationships/diagramData" Target="diagrams/data2.xml"/><Relationship Id="rId33" Type="http://schemas.openxmlformats.org/officeDocument/2006/relationships/hyperlink" Target="http://www.my-ecoach.com/nastave%20putem%20interneta/resources/925/PersonalizationvsDifferentiationvsIndividualization.pdf" TargetMode="External"/><Relationship Id="rId38" Type="http://schemas.openxmlformats.org/officeDocument/2006/relationships/hyperlink" Target="https://publications.jrc.ec.europa.eu/repoZiTOry/handle/JRC107466" TargetMode="External"/><Relationship Id="rId46" Type="http://schemas.openxmlformats.org/officeDocument/2006/relationships/hyperlink" Target="http://www.mcp.gov.ba/Content/Read/obrazovanje-dokumenti"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os-slatine.skole.hr/upload/os-slatine/images/newsimg/677/File/SELFIE-report%20(1).pdf" TargetMode="External"/><Relationship Id="rId3" Type="http://schemas.openxmlformats.org/officeDocument/2006/relationships/hyperlink" Target="http://www.cast.org/udl/" TargetMode="External"/><Relationship Id="rId7" Type="http://schemas.openxmlformats.org/officeDocument/2006/relationships/hyperlink" Target="https://aposo.gov.ba/sadrzaj/uploads/Instrumentarij-za-samovrednovanje-BOS-final1.pdf" TargetMode="External"/><Relationship Id="rId2" Type="http://schemas.openxmlformats.org/officeDocument/2006/relationships/hyperlink" Target="https://bosniaherzegovina.un.org/bhs/sdgs" TargetMode="External"/><Relationship Id="rId1" Type="http://schemas.openxmlformats.org/officeDocument/2006/relationships/hyperlink" Target="https://aposo.gov.ba/bs/pisa-2018-izvjestaj-za-bosnu-i-hercegovinu/" TargetMode="External"/><Relationship Id="rId6" Type="http://schemas.openxmlformats.org/officeDocument/2006/relationships/hyperlink" Target="https://education.ec.europa.eu/focus-topics/digital-education/action-plan" TargetMode="External"/><Relationship Id="rId5" Type="http://schemas.openxmlformats.org/officeDocument/2006/relationships/hyperlink" Target="http://www.mcp.gov.ba/Content/Read/obrazovanje-dokumenti" TargetMode="External"/><Relationship Id="rId10" Type="http://schemas.openxmlformats.org/officeDocument/2006/relationships/hyperlink" Target="https://www.ncvvo.hr/medunarodna-istrazivanja/icils/" TargetMode="External"/><Relationship Id="rId4" Type="http://schemas.openxmlformats.org/officeDocument/2006/relationships/hyperlink" Target="https://www.unicef.org/serbia/otvoreni-obrazovni-digitalni-alati-za-interaktivnu-nastavu-i-ucenje-preko-interneta" TargetMode="External"/><Relationship Id="rId9" Type="http://schemas.openxmlformats.org/officeDocument/2006/relationships/hyperlink" Target="http://hea.gov.ba/Kvalitet/dokumenti/?id=1229"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E84F76-86C2-0544-9214-163B4FA6379E}" type="doc">
      <dgm:prSet loTypeId="urn:microsoft.com/office/officeart/2009/3/layout/IncreasingArrowsProcess" loCatId="" qsTypeId="urn:microsoft.com/office/officeart/2005/8/quickstyle/simple1" qsCatId="simple" csTypeId="urn:microsoft.com/office/officeart/2005/8/colors/colorful5" csCatId="colorful" phldr="1"/>
      <dgm:spPr/>
      <dgm:t>
        <a:bodyPr/>
        <a:lstStyle/>
        <a:p>
          <a:endParaRPr lang="en-GB"/>
        </a:p>
      </dgm:t>
    </dgm:pt>
    <dgm:pt modelId="{97CA9293-6D7A-964F-BBF6-C2A7B6CBA3E6}">
      <dgm:prSet phldrT="[Text]" custT="1"/>
      <dgm:spPr/>
      <dgm:t>
        <a:bodyPr tIns="108000"/>
        <a:lstStyle/>
        <a:p>
          <a:pPr algn="ctr"/>
          <a:r>
            <a:rPr lang="sr-Cyrl-BA" sz="1000" b="1">
              <a:solidFill>
                <a:sysClr val="windowText" lastClr="000000"/>
              </a:solidFill>
              <a:latin typeface="Arial" charset="0"/>
              <a:cs typeface="Arial" charset="0"/>
            </a:rPr>
            <a:t>Развој знања - Педагошке компетенције наставника</a:t>
          </a:r>
          <a:endParaRPr lang="en-US" sz="1000" b="1">
            <a:solidFill>
              <a:sysClr val="windowText" lastClr="000000"/>
            </a:solidFill>
            <a:latin typeface="Arial" charset="0"/>
            <a:cs typeface="Arial" charset="0"/>
          </a:endParaRPr>
        </a:p>
      </dgm:t>
    </dgm:pt>
    <dgm:pt modelId="{77514544-6095-C941-8140-D642E9271F77}" type="parTrans" cxnId="{A2A81804-2CEB-8249-ACCD-3745319F59FC}">
      <dgm:prSet/>
      <dgm:spPr/>
      <dgm:t>
        <a:bodyPr/>
        <a:lstStyle/>
        <a:p>
          <a:pPr algn="just"/>
          <a:endParaRPr lang="en-GB" sz="1000">
            <a:solidFill>
              <a:sysClr val="windowText" lastClr="000000"/>
            </a:solidFill>
            <a:latin typeface="Arial" charset="0"/>
            <a:ea typeface="Arial" charset="0"/>
            <a:cs typeface="Arial" charset="0"/>
          </a:endParaRPr>
        </a:p>
      </dgm:t>
    </dgm:pt>
    <dgm:pt modelId="{C0FDBF76-C414-1541-91BC-9CBF95E92CA8}" type="sibTrans" cxnId="{A2A81804-2CEB-8249-ACCD-3745319F59FC}">
      <dgm:prSet/>
      <dgm:spPr/>
      <dgm:t>
        <a:bodyPr/>
        <a:lstStyle/>
        <a:p>
          <a:pPr algn="just"/>
          <a:endParaRPr lang="en-GB" sz="1000">
            <a:solidFill>
              <a:sysClr val="windowText" lastClr="000000"/>
            </a:solidFill>
            <a:latin typeface="Arial" charset="0"/>
            <a:ea typeface="Arial" charset="0"/>
            <a:cs typeface="Arial" charset="0"/>
          </a:endParaRPr>
        </a:p>
      </dgm:t>
    </dgm:pt>
    <dgm:pt modelId="{1F3F1459-1DD9-044F-8C2B-83779167D4A7}">
      <dgm:prSet phldrT="[Text]" custT="1">
        <dgm:style>
          <a:lnRef idx="2">
            <a:schemeClr val="dk1"/>
          </a:lnRef>
          <a:fillRef idx="1">
            <a:schemeClr val="lt1"/>
          </a:fillRef>
          <a:effectRef idx="0">
            <a:schemeClr val="dk1"/>
          </a:effectRef>
          <a:fontRef idx="minor">
            <a:schemeClr val="dk1"/>
          </a:fontRef>
        </dgm:style>
      </dgm:prSet>
      <dgm:spPr>
        <a:ln>
          <a:solidFill>
            <a:schemeClr val="accent1"/>
          </a:solidFill>
        </a:ln>
      </dgm:spPr>
      <dgm:t>
        <a:bodyPr tIns="108000"/>
        <a:lstStyle/>
        <a:p>
          <a:pPr algn="l"/>
          <a:r>
            <a:rPr lang="sr-Cyrl-BA" sz="1000">
              <a:solidFill>
                <a:sysClr val="windowText" lastClr="000000"/>
              </a:solidFill>
              <a:latin typeface="Arial" charset="0"/>
              <a:cs typeface="Arial" charset="0"/>
            </a:rPr>
            <a:t>1.Дигитално учење и подучавање и њихова повезаност са образовном политиком </a:t>
          </a:r>
        </a:p>
        <a:p>
          <a:r>
            <a:rPr lang="sr-Cyrl-BA" sz="1000">
              <a:solidFill>
                <a:sysClr val="windowText" lastClr="000000"/>
              </a:solidFill>
              <a:latin typeface="Arial" charset="0"/>
              <a:cs typeface="Arial" charset="0"/>
            </a:rPr>
            <a:t>2.Дигитално учење и подучавање са инклузивним приступом </a:t>
          </a:r>
        </a:p>
        <a:p>
          <a:r>
            <a:rPr lang="sr-Cyrl-BA" sz="1000">
              <a:solidFill>
                <a:sysClr val="windowText" lastClr="000000"/>
              </a:solidFill>
              <a:latin typeface="Arial" charset="0"/>
              <a:cs typeface="Arial" charset="0"/>
            </a:rPr>
            <a:t>3.Дигитално оцјењивање и вредновање</a:t>
          </a:r>
          <a:endParaRPr lang="en-GB" sz="1000">
            <a:solidFill>
              <a:sysClr val="windowText" lastClr="000000"/>
            </a:solidFill>
            <a:latin typeface="Arial" charset="0"/>
            <a:ea typeface="Arial" charset="0"/>
            <a:cs typeface="Arial" charset="0"/>
          </a:endParaRPr>
        </a:p>
      </dgm:t>
    </dgm:pt>
    <dgm:pt modelId="{6A657780-9580-934E-BB0C-B634D0D0B06E}" type="parTrans" cxnId="{E7980D20-5A09-4A41-A0CC-480103351A03}">
      <dgm:prSet/>
      <dgm:spPr/>
      <dgm:t>
        <a:bodyPr/>
        <a:lstStyle/>
        <a:p>
          <a:pPr algn="just"/>
          <a:endParaRPr lang="en-GB" sz="1000">
            <a:solidFill>
              <a:sysClr val="windowText" lastClr="000000"/>
            </a:solidFill>
            <a:latin typeface="Arial" charset="0"/>
            <a:ea typeface="Arial" charset="0"/>
            <a:cs typeface="Arial" charset="0"/>
          </a:endParaRPr>
        </a:p>
      </dgm:t>
    </dgm:pt>
    <dgm:pt modelId="{6D90F9E4-E337-2248-BE7B-F6CE0132B7B1}" type="sibTrans" cxnId="{E7980D20-5A09-4A41-A0CC-480103351A03}">
      <dgm:prSet/>
      <dgm:spPr/>
      <dgm:t>
        <a:bodyPr/>
        <a:lstStyle/>
        <a:p>
          <a:pPr algn="just"/>
          <a:endParaRPr lang="en-GB" sz="1000">
            <a:solidFill>
              <a:sysClr val="windowText" lastClr="000000"/>
            </a:solidFill>
            <a:latin typeface="Arial" charset="0"/>
            <a:ea typeface="Arial" charset="0"/>
            <a:cs typeface="Arial" charset="0"/>
          </a:endParaRPr>
        </a:p>
      </dgm:t>
    </dgm:pt>
    <dgm:pt modelId="{0CCBF977-5ACC-F94D-AC11-87B734B240E6}">
      <dgm:prSet phldrT="[Text]" custT="1"/>
      <dgm:spPr/>
      <dgm:t>
        <a:bodyPr tIns="108000"/>
        <a:lstStyle/>
        <a:p>
          <a:pPr algn="ctr"/>
          <a:r>
            <a:rPr lang="sr-Cyrl-BA" sz="1000" b="1">
              <a:solidFill>
                <a:sysClr val="windowText" lastClr="000000"/>
              </a:solidFill>
              <a:latin typeface="Arial" charset="0"/>
              <a:cs typeface="Arial" charset="0"/>
            </a:rPr>
            <a:t>Примјена знања – Компетенције ученика/студента</a:t>
          </a:r>
          <a:endParaRPr lang="en-US" sz="1000" b="1">
            <a:solidFill>
              <a:sysClr val="windowText" lastClr="000000"/>
            </a:solidFill>
            <a:latin typeface="Arial" charset="0"/>
            <a:cs typeface="Arial" charset="0"/>
          </a:endParaRPr>
        </a:p>
      </dgm:t>
    </dgm:pt>
    <dgm:pt modelId="{02D8A724-349C-A943-B2D6-C803A5682E2F}" type="parTrans" cxnId="{866C66AB-19C4-DB4F-A282-F40A27AC7BB9}">
      <dgm:prSet/>
      <dgm:spPr/>
      <dgm:t>
        <a:bodyPr/>
        <a:lstStyle/>
        <a:p>
          <a:pPr algn="just"/>
          <a:endParaRPr lang="en-GB" sz="1000">
            <a:solidFill>
              <a:sysClr val="windowText" lastClr="000000"/>
            </a:solidFill>
            <a:latin typeface="Arial" charset="0"/>
            <a:ea typeface="Arial" charset="0"/>
            <a:cs typeface="Arial" charset="0"/>
          </a:endParaRPr>
        </a:p>
      </dgm:t>
    </dgm:pt>
    <dgm:pt modelId="{94380658-018F-4B4E-9880-5B020A488B7E}" type="sibTrans" cxnId="{866C66AB-19C4-DB4F-A282-F40A27AC7BB9}">
      <dgm:prSet/>
      <dgm:spPr/>
      <dgm:t>
        <a:bodyPr/>
        <a:lstStyle/>
        <a:p>
          <a:pPr algn="just"/>
          <a:endParaRPr lang="en-GB" sz="1000">
            <a:solidFill>
              <a:sysClr val="windowText" lastClr="000000"/>
            </a:solidFill>
            <a:latin typeface="Arial" charset="0"/>
            <a:ea typeface="Arial" charset="0"/>
            <a:cs typeface="Arial" charset="0"/>
          </a:endParaRPr>
        </a:p>
      </dgm:t>
    </dgm:pt>
    <dgm:pt modelId="{223B96DE-EEA3-434E-940D-E15518B3AECD}">
      <dgm:prSet phldrT="[Text]" custT="1"/>
      <dgm:spPr/>
      <dgm:t>
        <a:bodyPr tIns="108000"/>
        <a:lstStyle/>
        <a:p>
          <a:pPr algn="l"/>
          <a:r>
            <a:rPr lang="sr-Cyrl-BA" sz="1000">
              <a:solidFill>
                <a:sysClr val="windowText" lastClr="000000"/>
              </a:solidFill>
              <a:latin typeface="Arial" charset="0"/>
              <a:cs typeface="Arial" charset="0"/>
            </a:rPr>
            <a:t>1.Потицати развој дигиталних компетенција ученика/студента </a:t>
          </a:r>
        </a:p>
        <a:p>
          <a:r>
            <a:rPr lang="sr-Cyrl-BA" sz="1000">
              <a:solidFill>
                <a:sysClr val="windowText" lastClr="000000"/>
              </a:solidFill>
              <a:latin typeface="Arial" charset="0"/>
              <a:cs typeface="Arial" charset="0"/>
            </a:rPr>
            <a:t>2.Одговорна употреба дигиталне технологије </a:t>
          </a:r>
        </a:p>
        <a:p>
          <a:r>
            <a:rPr lang="sr-Cyrl-BA" sz="1000">
              <a:solidFill>
                <a:sysClr val="windowText" lastClr="000000"/>
              </a:solidFill>
              <a:latin typeface="Arial" charset="0"/>
              <a:cs typeface="Arial" charset="0"/>
            </a:rPr>
            <a:t>3.Рјешавање проблема </a:t>
          </a:r>
        </a:p>
      </dgm:t>
    </dgm:pt>
    <dgm:pt modelId="{FACFA23C-472E-694C-9C1E-3690615EB3F1}" type="parTrans" cxnId="{AB919FE1-AFFA-CC44-9C80-16B27CD6F302}">
      <dgm:prSet/>
      <dgm:spPr/>
      <dgm:t>
        <a:bodyPr/>
        <a:lstStyle/>
        <a:p>
          <a:pPr algn="just"/>
          <a:endParaRPr lang="en-GB" sz="1000">
            <a:solidFill>
              <a:sysClr val="windowText" lastClr="000000"/>
            </a:solidFill>
            <a:latin typeface="Arial" charset="0"/>
            <a:ea typeface="Arial" charset="0"/>
            <a:cs typeface="Arial" charset="0"/>
          </a:endParaRPr>
        </a:p>
      </dgm:t>
    </dgm:pt>
    <dgm:pt modelId="{A4243E46-6DF6-9F48-8C84-4E510E4C6C2E}" type="sibTrans" cxnId="{AB919FE1-AFFA-CC44-9C80-16B27CD6F302}">
      <dgm:prSet/>
      <dgm:spPr/>
      <dgm:t>
        <a:bodyPr/>
        <a:lstStyle/>
        <a:p>
          <a:pPr algn="just"/>
          <a:endParaRPr lang="en-GB" sz="1000">
            <a:solidFill>
              <a:sysClr val="windowText" lastClr="000000"/>
            </a:solidFill>
            <a:latin typeface="Arial" charset="0"/>
            <a:ea typeface="Arial" charset="0"/>
            <a:cs typeface="Arial" charset="0"/>
          </a:endParaRPr>
        </a:p>
      </dgm:t>
    </dgm:pt>
    <dgm:pt modelId="{90BECEA5-64CA-9548-8F38-BD7782EC8809}">
      <dgm:prSet phldrT="[Text]" custT="1"/>
      <dgm:spPr/>
      <dgm:t>
        <a:bodyPr lIns="0" tIns="108000" rIns="360000"/>
        <a:lstStyle/>
        <a:p>
          <a:pPr algn="ctr"/>
          <a:r>
            <a:rPr lang="sr-Cyrl-BA" sz="1000" b="1">
              <a:solidFill>
                <a:sysClr val="windowText" lastClr="000000"/>
              </a:solidFill>
              <a:latin typeface="Arial" charset="0"/>
              <a:cs typeface="Arial" charset="0"/>
            </a:rPr>
            <a:t>Размјена знања – Заједнице праксе</a:t>
          </a:r>
          <a:endParaRPr lang="en-US" sz="1000" b="1">
            <a:solidFill>
              <a:sysClr val="windowText" lastClr="000000"/>
            </a:solidFill>
            <a:latin typeface="Arial" charset="0"/>
            <a:cs typeface="Arial" charset="0"/>
          </a:endParaRPr>
        </a:p>
      </dgm:t>
    </dgm:pt>
    <dgm:pt modelId="{9FF1D0ED-A4FF-864F-A788-B0913FF7C124}" type="parTrans" cxnId="{1DEFB7E5-E7B0-0E4C-9545-A61BEAF10969}">
      <dgm:prSet/>
      <dgm:spPr/>
      <dgm:t>
        <a:bodyPr/>
        <a:lstStyle/>
        <a:p>
          <a:pPr algn="just"/>
          <a:endParaRPr lang="en-GB" sz="1000">
            <a:solidFill>
              <a:sysClr val="windowText" lastClr="000000"/>
            </a:solidFill>
            <a:latin typeface="Arial" charset="0"/>
            <a:ea typeface="Arial" charset="0"/>
            <a:cs typeface="Arial" charset="0"/>
          </a:endParaRPr>
        </a:p>
      </dgm:t>
    </dgm:pt>
    <dgm:pt modelId="{4B61B1B7-C69C-F44E-941A-5F9179C07898}" type="sibTrans" cxnId="{1DEFB7E5-E7B0-0E4C-9545-A61BEAF10969}">
      <dgm:prSet/>
      <dgm:spPr/>
      <dgm:t>
        <a:bodyPr/>
        <a:lstStyle/>
        <a:p>
          <a:pPr algn="just"/>
          <a:endParaRPr lang="en-GB" sz="1000">
            <a:solidFill>
              <a:sysClr val="windowText" lastClr="000000"/>
            </a:solidFill>
            <a:latin typeface="Arial" charset="0"/>
            <a:ea typeface="Arial" charset="0"/>
            <a:cs typeface="Arial" charset="0"/>
          </a:endParaRPr>
        </a:p>
      </dgm:t>
    </dgm:pt>
    <dgm:pt modelId="{EA752805-17C1-0C4F-9761-96031F27534F}">
      <dgm:prSet custT="1"/>
      <dgm:spPr/>
      <dgm:t>
        <a:bodyPr tIns="72000" rIns="144000" bIns="72000"/>
        <a:lstStyle/>
        <a:p>
          <a:pPr algn="ctr"/>
          <a:r>
            <a:rPr lang="sr-Cyrl-BA" sz="900" b="1">
              <a:solidFill>
                <a:sysClr val="windowText" lastClr="000000"/>
              </a:solidFill>
              <a:latin typeface="Arial" charset="0"/>
              <a:cs typeface="Arial" charset="0"/>
            </a:rPr>
            <a:t>Знање и комуникација  - Организацијска комуникација</a:t>
          </a:r>
          <a:endParaRPr lang="en-US" sz="900" b="1">
            <a:solidFill>
              <a:sysClr val="windowText" lastClr="000000"/>
            </a:solidFill>
            <a:latin typeface="Arial" charset="0"/>
            <a:cs typeface="Arial" charset="0"/>
          </a:endParaRPr>
        </a:p>
      </dgm:t>
    </dgm:pt>
    <dgm:pt modelId="{2F425F29-5AD2-2E4A-9AAC-FE456E8EEE41}" type="parTrans" cxnId="{EDA39E28-3DFF-B44B-B624-E8E12454330B}">
      <dgm:prSet/>
      <dgm:spPr/>
      <dgm:t>
        <a:bodyPr/>
        <a:lstStyle/>
        <a:p>
          <a:pPr algn="just"/>
          <a:endParaRPr lang="en-GB" sz="1000">
            <a:solidFill>
              <a:sysClr val="windowText" lastClr="000000"/>
            </a:solidFill>
            <a:latin typeface="Arial" charset="0"/>
            <a:ea typeface="Arial" charset="0"/>
            <a:cs typeface="Arial" charset="0"/>
          </a:endParaRPr>
        </a:p>
      </dgm:t>
    </dgm:pt>
    <dgm:pt modelId="{383E539F-7E0D-AB46-917B-1D782A6F424D}" type="sibTrans" cxnId="{EDA39E28-3DFF-B44B-B624-E8E12454330B}">
      <dgm:prSet/>
      <dgm:spPr/>
      <dgm:t>
        <a:bodyPr/>
        <a:lstStyle/>
        <a:p>
          <a:pPr algn="just"/>
          <a:endParaRPr lang="en-GB" sz="1000">
            <a:solidFill>
              <a:sysClr val="windowText" lastClr="000000"/>
            </a:solidFill>
            <a:latin typeface="Arial" charset="0"/>
            <a:ea typeface="Arial" charset="0"/>
            <a:cs typeface="Arial" charset="0"/>
          </a:endParaRPr>
        </a:p>
      </dgm:t>
    </dgm:pt>
    <dgm:pt modelId="{F02B9B44-2DCF-0145-8F8A-1C535C4AFA5E}">
      <dgm:prSet phldrT="[Text]" custT="1"/>
      <dgm:spPr/>
      <dgm:t>
        <a:bodyPr tIns="108000"/>
        <a:lstStyle/>
        <a:p>
          <a:pPr algn="l"/>
          <a:r>
            <a:rPr lang="sr-Cyrl-BA" sz="1000">
              <a:solidFill>
                <a:sysClr val="windowText" lastClr="000000"/>
              </a:solidFill>
              <a:latin typeface="Arial" charset="0"/>
              <a:cs typeface="Arial" charset="0"/>
            </a:rPr>
            <a:t>1.Професионални ангажман и континуирани професионални развој</a:t>
          </a:r>
        </a:p>
        <a:p>
          <a:r>
            <a:rPr lang="sr-Cyrl-BA" sz="1000">
              <a:solidFill>
                <a:sysClr val="windowText" lastClr="000000"/>
              </a:solidFill>
              <a:latin typeface="Arial" charset="0"/>
              <a:cs typeface="Arial" charset="0"/>
            </a:rPr>
            <a:t>2.Размишљати о постојећим и истражити нова професионална знања </a:t>
          </a:r>
        </a:p>
        <a:p>
          <a:r>
            <a:rPr lang="sr-Cyrl-BA" sz="1000">
              <a:solidFill>
                <a:sysClr val="windowText" lastClr="000000"/>
              </a:solidFill>
              <a:latin typeface="Arial" charset="0"/>
              <a:cs typeface="Arial" charset="0"/>
            </a:rPr>
            <a:t>3.Обука и менторство</a:t>
          </a:r>
          <a:endParaRPr lang="en-GB" sz="1000">
            <a:solidFill>
              <a:sysClr val="windowText" lastClr="000000"/>
            </a:solidFill>
            <a:latin typeface="Arial" charset="0"/>
            <a:ea typeface="Arial" charset="0"/>
            <a:cs typeface="Arial" charset="0"/>
          </a:endParaRPr>
        </a:p>
      </dgm:t>
    </dgm:pt>
    <dgm:pt modelId="{AB92BCAF-916A-7E4E-B10C-80EE08AC9DF8}" type="sibTrans" cxnId="{39BE0C90-6A71-6541-AF6F-312C9BEC5293}">
      <dgm:prSet/>
      <dgm:spPr/>
      <dgm:t>
        <a:bodyPr/>
        <a:lstStyle/>
        <a:p>
          <a:pPr algn="just"/>
          <a:endParaRPr lang="en-GB" sz="1000">
            <a:solidFill>
              <a:sysClr val="windowText" lastClr="000000"/>
            </a:solidFill>
            <a:latin typeface="Arial" charset="0"/>
            <a:ea typeface="Arial" charset="0"/>
            <a:cs typeface="Arial" charset="0"/>
          </a:endParaRPr>
        </a:p>
      </dgm:t>
    </dgm:pt>
    <dgm:pt modelId="{2065ABAF-5CA7-8B40-AEA3-705681C7057E}" type="parTrans" cxnId="{39BE0C90-6A71-6541-AF6F-312C9BEC5293}">
      <dgm:prSet/>
      <dgm:spPr/>
      <dgm:t>
        <a:bodyPr/>
        <a:lstStyle/>
        <a:p>
          <a:pPr algn="just"/>
          <a:endParaRPr lang="en-GB" sz="1000">
            <a:solidFill>
              <a:sysClr val="windowText" lastClr="000000"/>
            </a:solidFill>
            <a:latin typeface="Arial" charset="0"/>
            <a:ea typeface="Arial" charset="0"/>
            <a:cs typeface="Arial" charset="0"/>
          </a:endParaRPr>
        </a:p>
      </dgm:t>
    </dgm:pt>
    <dgm:pt modelId="{F5BD5544-A3AE-2F42-BAA4-D3E8CB0C41D7}">
      <dgm:prSet custT="1"/>
      <dgm:spPr/>
      <dgm:t>
        <a:bodyPr tIns="108000" bIns="108000"/>
        <a:lstStyle/>
        <a:p>
          <a:pPr algn="l"/>
          <a:r>
            <a:rPr lang="sr-Cyrl-BA" sz="1000">
              <a:solidFill>
                <a:sysClr val="windowText" lastClr="000000"/>
              </a:solidFill>
              <a:latin typeface="Arial" charset="0"/>
              <a:cs typeface="Arial" charset="0"/>
            </a:rPr>
            <a:t>1.Дигитална организацијска комуникација са ученицима/студентима и другим учесницима у образовању</a:t>
          </a:r>
          <a:endParaRPr lang="en-GB" sz="1000">
            <a:solidFill>
              <a:sysClr val="windowText" lastClr="000000"/>
            </a:solidFill>
            <a:latin typeface="Arial" charset="0"/>
            <a:ea typeface="Arial" charset="0"/>
            <a:cs typeface="Arial" charset="0"/>
          </a:endParaRPr>
        </a:p>
      </dgm:t>
    </dgm:pt>
    <dgm:pt modelId="{DB7489C0-4300-F343-A716-7F293DC9F2E2}" type="parTrans" cxnId="{32E43A8D-0F5E-0A4F-80ED-96866EEAA047}">
      <dgm:prSet/>
      <dgm:spPr/>
      <dgm:t>
        <a:bodyPr/>
        <a:lstStyle/>
        <a:p>
          <a:pPr algn="just"/>
          <a:endParaRPr lang="en-GB" sz="1000">
            <a:solidFill>
              <a:sysClr val="windowText" lastClr="000000"/>
            </a:solidFill>
            <a:latin typeface="Arial" charset="0"/>
            <a:ea typeface="Arial" charset="0"/>
            <a:cs typeface="Arial" charset="0"/>
          </a:endParaRPr>
        </a:p>
      </dgm:t>
    </dgm:pt>
    <dgm:pt modelId="{72E544F9-FC19-454E-8110-57AE3D9CCBB5}" type="sibTrans" cxnId="{32E43A8D-0F5E-0A4F-80ED-96866EEAA047}">
      <dgm:prSet/>
      <dgm:spPr/>
      <dgm:t>
        <a:bodyPr/>
        <a:lstStyle/>
        <a:p>
          <a:pPr algn="just"/>
          <a:endParaRPr lang="en-GB" sz="1000">
            <a:solidFill>
              <a:sysClr val="windowText" lastClr="000000"/>
            </a:solidFill>
            <a:latin typeface="Arial" charset="0"/>
            <a:ea typeface="Arial" charset="0"/>
            <a:cs typeface="Arial" charset="0"/>
          </a:endParaRPr>
        </a:p>
      </dgm:t>
    </dgm:pt>
    <dgm:pt modelId="{5C524C14-34CC-4E75-BC8B-5AE8119DC4D0}">
      <dgm:prSet custT="1"/>
      <dgm:spPr/>
      <dgm:t>
        <a:bodyPr/>
        <a:lstStyle/>
        <a:p>
          <a:pPr algn="l"/>
          <a:endParaRPr lang="en-US" sz="1000">
            <a:solidFill>
              <a:sysClr val="windowText" lastClr="000000"/>
            </a:solidFill>
            <a:latin typeface="Arial" charset="0"/>
            <a:cs typeface="Arial" charset="0"/>
          </a:endParaRPr>
        </a:p>
      </dgm:t>
    </dgm:pt>
    <dgm:pt modelId="{13D80752-1942-4391-A2B9-47FC2D80EA1A}" type="parTrans" cxnId="{DD5D80C1-408F-4F3F-BE1B-37D721B9B5C5}">
      <dgm:prSet/>
      <dgm:spPr/>
      <dgm:t>
        <a:bodyPr/>
        <a:lstStyle/>
        <a:p>
          <a:endParaRPr lang="en-US"/>
        </a:p>
      </dgm:t>
    </dgm:pt>
    <dgm:pt modelId="{970AEE32-1D9C-4AE6-9DFD-5C6167F9F8CD}" type="sibTrans" cxnId="{DD5D80C1-408F-4F3F-BE1B-37D721B9B5C5}">
      <dgm:prSet/>
      <dgm:spPr/>
      <dgm:t>
        <a:bodyPr/>
        <a:lstStyle/>
        <a:p>
          <a:endParaRPr lang="en-US"/>
        </a:p>
      </dgm:t>
    </dgm:pt>
    <dgm:pt modelId="{A83311BF-3E64-4FC7-A3EE-D3A6A7B61CF5}">
      <dgm:prSet custT="1"/>
      <dgm:spPr/>
      <dgm:t>
        <a:bodyPr/>
        <a:lstStyle/>
        <a:p>
          <a:pPr algn="l"/>
          <a:r>
            <a:rPr lang="sr-Cyrl-BA" sz="1000">
              <a:solidFill>
                <a:sysClr val="windowText" lastClr="000000"/>
              </a:solidFill>
              <a:latin typeface="Arial" charset="0"/>
              <a:cs typeface="Arial" charset="0"/>
            </a:rPr>
            <a:t>2.Сигурна и одговорна употреба дигиталних извора </a:t>
          </a:r>
          <a:endParaRPr lang="en-US" sz="1000">
            <a:solidFill>
              <a:sysClr val="windowText" lastClr="000000"/>
            </a:solidFill>
            <a:latin typeface="Arial" charset="0"/>
            <a:cs typeface="Arial" charset="0"/>
          </a:endParaRPr>
        </a:p>
      </dgm:t>
    </dgm:pt>
    <dgm:pt modelId="{91D63705-4038-467C-9025-59C041D0699D}" type="parTrans" cxnId="{7AE0F1F9-E6AE-4B38-B46F-775682238C1B}">
      <dgm:prSet/>
      <dgm:spPr/>
      <dgm:t>
        <a:bodyPr/>
        <a:lstStyle/>
        <a:p>
          <a:endParaRPr lang="en-US"/>
        </a:p>
      </dgm:t>
    </dgm:pt>
    <dgm:pt modelId="{E27D5479-D25E-4AF6-A546-75C3E8FA41D9}" type="sibTrans" cxnId="{7AE0F1F9-E6AE-4B38-B46F-775682238C1B}">
      <dgm:prSet/>
      <dgm:spPr/>
      <dgm:t>
        <a:bodyPr/>
        <a:lstStyle/>
        <a:p>
          <a:endParaRPr lang="en-US"/>
        </a:p>
      </dgm:t>
    </dgm:pt>
    <dgm:pt modelId="{541207C8-DB4E-2C4A-B747-25BD652ED4E6}" type="pres">
      <dgm:prSet presAssocID="{52E84F76-86C2-0544-9214-163B4FA6379E}" presName="Name0" presStyleCnt="0">
        <dgm:presLayoutVars>
          <dgm:chMax val="5"/>
          <dgm:chPref val="5"/>
          <dgm:dir/>
          <dgm:animLvl val="lvl"/>
        </dgm:presLayoutVars>
      </dgm:prSet>
      <dgm:spPr/>
      <dgm:t>
        <a:bodyPr/>
        <a:lstStyle/>
        <a:p>
          <a:endParaRPr lang="en-US"/>
        </a:p>
      </dgm:t>
    </dgm:pt>
    <dgm:pt modelId="{9ED1895F-AA25-4744-9C5C-3CA70ED766F5}" type="pres">
      <dgm:prSet presAssocID="{97CA9293-6D7A-964F-BBF6-C2A7B6CBA3E6}" presName="parentText1" presStyleLbl="node1" presStyleIdx="0" presStyleCnt="4" custLinFactNeighborX="-199" custLinFactNeighborY="-6139">
        <dgm:presLayoutVars>
          <dgm:chMax/>
          <dgm:chPref val="3"/>
          <dgm:bulletEnabled val="1"/>
        </dgm:presLayoutVars>
      </dgm:prSet>
      <dgm:spPr/>
      <dgm:t>
        <a:bodyPr/>
        <a:lstStyle/>
        <a:p>
          <a:endParaRPr lang="en-US"/>
        </a:p>
      </dgm:t>
    </dgm:pt>
    <dgm:pt modelId="{752DBB05-AA56-E846-940E-2699223DD8EB}" type="pres">
      <dgm:prSet presAssocID="{97CA9293-6D7A-964F-BBF6-C2A7B6CBA3E6}" presName="childText1" presStyleLbl="solidAlignAcc1" presStyleIdx="0" presStyleCnt="4" custScaleX="94644" custScaleY="167964" custLinFactNeighborX="-904" custLinFactNeighborY="28837">
        <dgm:presLayoutVars>
          <dgm:chMax val="0"/>
          <dgm:chPref val="0"/>
          <dgm:bulletEnabled val="1"/>
        </dgm:presLayoutVars>
      </dgm:prSet>
      <dgm:spPr/>
      <dgm:t>
        <a:bodyPr/>
        <a:lstStyle/>
        <a:p>
          <a:endParaRPr lang="en-US"/>
        </a:p>
      </dgm:t>
    </dgm:pt>
    <dgm:pt modelId="{E2859B6A-2235-3E43-AFB1-1F95060CCA3E}" type="pres">
      <dgm:prSet presAssocID="{0CCBF977-5ACC-F94D-AC11-87B734B240E6}" presName="parentText2" presStyleLbl="node1" presStyleIdx="1" presStyleCnt="4">
        <dgm:presLayoutVars>
          <dgm:chMax/>
          <dgm:chPref val="3"/>
          <dgm:bulletEnabled val="1"/>
        </dgm:presLayoutVars>
      </dgm:prSet>
      <dgm:spPr/>
      <dgm:t>
        <a:bodyPr/>
        <a:lstStyle/>
        <a:p>
          <a:endParaRPr lang="en-US"/>
        </a:p>
      </dgm:t>
    </dgm:pt>
    <dgm:pt modelId="{150D265E-9F5D-4A44-9FF4-93289958FA00}" type="pres">
      <dgm:prSet presAssocID="{0CCBF977-5ACC-F94D-AC11-87B734B240E6}" presName="childText2" presStyleLbl="solidAlignAcc1" presStyleIdx="1" presStyleCnt="4" custScaleX="85191" custScaleY="148768" custLinFactNeighborX="-6476" custLinFactNeighborY="24415">
        <dgm:presLayoutVars>
          <dgm:chMax val="0"/>
          <dgm:chPref val="0"/>
          <dgm:bulletEnabled val="1"/>
        </dgm:presLayoutVars>
      </dgm:prSet>
      <dgm:spPr/>
      <dgm:t>
        <a:bodyPr/>
        <a:lstStyle/>
        <a:p>
          <a:endParaRPr lang="en-US"/>
        </a:p>
      </dgm:t>
    </dgm:pt>
    <dgm:pt modelId="{B7831F29-8105-C449-B6F5-22D51348CFD7}" type="pres">
      <dgm:prSet presAssocID="{90BECEA5-64CA-9548-8F38-BD7782EC8809}" presName="parentText3" presStyleLbl="node1" presStyleIdx="2" presStyleCnt="4" custScaleX="105161" custLinFactNeighborX="-2580" custLinFactNeighborY="6139">
        <dgm:presLayoutVars>
          <dgm:chMax/>
          <dgm:chPref val="3"/>
          <dgm:bulletEnabled val="1"/>
        </dgm:presLayoutVars>
      </dgm:prSet>
      <dgm:spPr/>
      <dgm:t>
        <a:bodyPr/>
        <a:lstStyle/>
        <a:p>
          <a:endParaRPr lang="en-US"/>
        </a:p>
      </dgm:t>
    </dgm:pt>
    <dgm:pt modelId="{2F429193-F9A8-BD40-980D-AD97511C0009}" type="pres">
      <dgm:prSet presAssocID="{90BECEA5-64CA-9548-8F38-BD7782EC8809}" presName="childText3" presStyleLbl="solidAlignAcc1" presStyleIdx="2" presStyleCnt="4" custScaleX="84775" custScaleY="126773" custLinFactNeighborX="-18806" custLinFactNeighborY="15956">
        <dgm:presLayoutVars>
          <dgm:chMax val="0"/>
          <dgm:chPref val="0"/>
          <dgm:bulletEnabled val="1"/>
        </dgm:presLayoutVars>
      </dgm:prSet>
      <dgm:spPr/>
      <dgm:t>
        <a:bodyPr/>
        <a:lstStyle/>
        <a:p>
          <a:endParaRPr lang="en-US"/>
        </a:p>
      </dgm:t>
    </dgm:pt>
    <dgm:pt modelId="{B59FC7C7-AA76-D944-83B9-963C0196B65C}" type="pres">
      <dgm:prSet presAssocID="{EA752805-17C1-0C4F-9761-96031F27534F}" presName="parentText4" presStyleLbl="node1" presStyleIdx="3" presStyleCnt="4" custScaleX="116907" custScaleY="101976" custLinFactNeighborX="-9109" custLinFactNeighborY="21091">
        <dgm:presLayoutVars>
          <dgm:chMax/>
          <dgm:chPref val="3"/>
          <dgm:bulletEnabled val="1"/>
        </dgm:presLayoutVars>
      </dgm:prSet>
      <dgm:spPr/>
      <dgm:t>
        <a:bodyPr/>
        <a:lstStyle/>
        <a:p>
          <a:endParaRPr lang="en-US"/>
        </a:p>
      </dgm:t>
    </dgm:pt>
    <dgm:pt modelId="{165AB93A-0751-AF41-82E2-50449CC3E944}" type="pres">
      <dgm:prSet presAssocID="{EA752805-17C1-0C4F-9761-96031F27534F}" presName="childText4" presStyleLbl="solidAlignAcc1" presStyleIdx="3" presStyleCnt="4" custScaleX="103129" custScaleY="99539" custLinFactNeighborX="-21288" custLinFactNeighborY="10385">
        <dgm:presLayoutVars>
          <dgm:chMax val="0"/>
          <dgm:chPref val="0"/>
          <dgm:bulletEnabled val="1"/>
        </dgm:presLayoutVars>
      </dgm:prSet>
      <dgm:spPr/>
      <dgm:t>
        <a:bodyPr/>
        <a:lstStyle/>
        <a:p>
          <a:endParaRPr lang="en-US"/>
        </a:p>
      </dgm:t>
    </dgm:pt>
  </dgm:ptLst>
  <dgm:cxnLst>
    <dgm:cxn modelId="{7EF0E349-3667-9245-91F9-0EB14527BB7C}" type="presOf" srcId="{0CCBF977-5ACC-F94D-AC11-87B734B240E6}" destId="{E2859B6A-2235-3E43-AFB1-1F95060CCA3E}" srcOrd="0" destOrd="0" presId="urn:microsoft.com/office/officeart/2009/3/layout/IncreasingArrowsProcess"/>
    <dgm:cxn modelId="{DD5D80C1-408F-4F3F-BE1B-37D721B9B5C5}" srcId="{97CA9293-6D7A-964F-BBF6-C2A7B6CBA3E6}" destId="{5C524C14-34CC-4E75-BC8B-5AE8119DC4D0}" srcOrd="1" destOrd="0" parTransId="{13D80752-1942-4391-A2B9-47FC2D80EA1A}" sibTransId="{970AEE32-1D9C-4AE6-9DFD-5C6167F9F8CD}"/>
    <dgm:cxn modelId="{71D09B03-4835-694F-945A-4E33D44A7B7D}" type="presOf" srcId="{F02B9B44-2DCF-0145-8F8A-1C535C4AFA5E}" destId="{2F429193-F9A8-BD40-980D-AD97511C0009}" srcOrd="0" destOrd="0" presId="urn:microsoft.com/office/officeart/2009/3/layout/IncreasingArrowsProcess"/>
    <dgm:cxn modelId="{E7980D20-5A09-4A41-A0CC-480103351A03}" srcId="{97CA9293-6D7A-964F-BBF6-C2A7B6CBA3E6}" destId="{1F3F1459-1DD9-044F-8C2B-83779167D4A7}" srcOrd="0" destOrd="0" parTransId="{6A657780-9580-934E-BB0C-B634D0D0B06E}" sibTransId="{6D90F9E4-E337-2248-BE7B-F6CE0132B7B1}"/>
    <dgm:cxn modelId="{F276A355-15D8-3243-96F9-E021E0A2FA3F}" type="presOf" srcId="{F5BD5544-A3AE-2F42-BAA4-D3E8CB0C41D7}" destId="{165AB93A-0751-AF41-82E2-50449CC3E944}" srcOrd="0" destOrd="0" presId="urn:microsoft.com/office/officeart/2009/3/layout/IncreasingArrowsProcess"/>
    <dgm:cxn modelId="{866C66AB-19C4-DB4F-A282-F40A27AC7BB9}" srcId="{52E84F76-86C2-0544-9214-163B4FA6379E}" destId="{0CCBF977-5ACC-F94D-AC11-87B734B240E6}" srcOrd="1" destOrd="0" parTransId="{02D8A724-349C-A943-B2D6-C803A5682E2F}" sibTransId="{94380658-018F-4B4E-9880-5B020A488B7E}"/>
    <dgm:cxn modelId="{ABC29A0F-2DBD-3844-B48D-19480520B196}" type="presOf" srcId="{90BECEA5-64CA-9548-8F38-BD7782EC8809}" destId="{B7831F29-8105-C449-B6F5-22D51348CFD7}" srcOrd="0" destOrd="0" presId="urn:microsoft.com/office/officeart/2009/3/layout/IncreasingArrowsProcess"/>
    <dgm:cxn modelId="{A8066CB3-F4C6-E147-8F20-FA709F53DA9D}" type="presOf" srcId="{1F3F1459-1DD9-044F-8C2B-83779167D4A7}" destId="{752DBB05-AA56-E846-940E-2699223DD8EB}" srcOrd="0" destOrd="0" presId="urn:microsoft.com/office/officeart/2009/3/layout/IncreasingArrowsProcess"/>
    <dgm:cxn modelId="{A2A81804-2CEB-8249-ACCD-3745319F59FC}" srcId="{52E84F76-86C2-0544-9214-163B4FA6379E}" destId="{97CA9293-6D7A-964F-BBF6-C2A7B6CBA3E6}" srcOrd="0" destOrd="0" parTransId="{77514544-6095-C941-8140-D642E9271F77}" sibTransId="{C0FDBF76-C414-1541-91BC-9CBF95E92CA8}"/>
    <dgm:cxn modelId="{32E43A8D-0F5E-0A4F-80ED-96866EEAA047}" srcId="{EA752805-17C1-0C4F-9761-96031F27534F}" destId="{F5BD5544-A3AE-2F42-BAA4-D3E8CB0C41D7}" srcOrd="0" destOrd="0" parTransId="{DB7489C0-4300-F343-A716-7F293DC9F2E2}" sibTransId="{72E544F9-FC19-454E-8110-57AE3D9CCBB5}"/>
    <dgm:cxn modelId="{AB919FE1-AFFA-CC44-9C80-16B27CD6F302}" srcId="{0CCBF977-5ACC-F94D-AC11-87B734B240E6}" destId="{223B96DE-EEA3-434E-940D-E15518B3AECD}" srcOrd="0" destOrd="0" parTransId="{FACFA23C-472E-694C-9C1E-3690615EB3F1}" sibTransId="{A4243E46-6DF6-9F48-8C84-4E510E4C6C2E}"/>
    <dgm:cxn modelId="{F397A20B-05E3-42E0-92CA-15868F6A211E}" type="presOf" srcId="{A83311BF-3E64-4FC7-A3EE-D3A6A7B61CF5}" destId="{165AB93A-0751-AF41-82E2-50449CC3E944}" srcOrd="0" destOrd="1" presId="urn:microsoft.com/office/officeart/2009/3/layout/IncreasingArrowsProcess"/>
    <dgm:cxn modelId="{EDA39E28-3DFF-B44B-B624-E8E12454330B}" srcId="{52E84F76-86C2-0544-9214-163B4FA6379E}" destId="{EA752805-17C1-0C4F-9761-96031F27534F}" srcOrd="3" destOrd="0" parTransId="{2F425F29-5AD2-2E4A-9AAC-FE456E8EEE41}" sibTransId="{383E539F-7E0D-AB46-917B-1D782A6F424D}"/>
    <dgm:cxn modelId="{1DEFB7E5-E7B0-0E4C-9545-A61BEAF10969}" srcId="{52E84F76-86C2-0544-9214-163B4FA6379E}" destId="{90BECEA5-64CA-9548-8F38-BD7782EC8809}" srcOrd="2" destOrd="0" parTransId="{9FF1D0ED-A4FF-864F-A788-B0913FF7C124}" sibTransId="{4B61B1B7-C69C-F44E-941A-5F9179C07898}"/>
    <dgm:cxn modelId="{C1E07182-2980-3B4F-989C-19A2FAE2983F}" type="presOf" srcId="{223B96DE-EEA3-434E-940D-E15518B3AECD}" destId="{150D265E-9F5D-4A44-9FF4-93289958FA00}" srcOrd="0" destOrd="0" presId="urn:microsoft.com/office/officeart/2009/3/layout/IncreasingArrowsProcess"/>
    <dgm:cxn modelId="{7AE0F1F9-E6AE-4B38-B46F-775682238C1B}" srcId="{EA752805-17C1-0C4F-9761-96031F27534F}" destId="{A83311BF-3E64-4FC7-A3EE-D3A6A7B61CF5}" srcOrd="1" destOrd="0" parTransId="{91D63705-4038-467C-9025-59C041D0699D}" sibTransId="{E27D5479-D25E-4AF6-A546-75C3E8FA41D9}"/>
    <dgm:cxn modelId="{6BAF0BD4-550B-1D43-9A0E-5524FAFF8A5F}" type="presOf" srcId="{52E84F76-86C2-0544-9214-163B4FA6379E}" destId="{541207C8-DB4E-2C4A-B747-25BD652ED4E6}" srcOrd="0" destOrd="0" presId="urn:microsoft.com/office/officeart/2009/3/layout/IncreasingArrowsProcess"/>
    <dgm:cxn modelId="{39BE0C90-6A71-6541-AF6F-312C9BEC5293}" srcId="{90BECEA5-64CA-9548-8F38-BD7782EC8809}" destId="{F02B9B44-2DCF-0145-8F8A-1C535C4AFA5E}" srcOrd="0" destOrd="0" parTransId="{2065ABAF-5CA7-8B40-AEA3-705681C7057E}" sibTransId="{AB92BCAF-916A-7E4E-B10C-80EE08AC9DF8}"/>
    <dgm:cxn modelId="{07612A5B-D207-0B49-BD2B-8E7D04E583FE}" type="presOf" srcId="{EA752805-17C1-0C4F-9761-96031F27534F}" destId="{B59FC7C7-AA76-D944-83B9-963C0196B65C}" srcOrd="0" destOrd="0" presId="urn:microsoft.com/office/officeart/2009/3/layout/IncreasingArrowsProcess"/>
    <dgm:cxn modelId="{BD4AE2CA-0769-4A70-AEC8-17EE399E9DBC}" type="presOf" srcId="{5C524C14-34CC-4E75-BC8B-5AE8119DC4D0}" destId="{752DBB05-AA56-E846-940E-2699223DD8EB}" srcOrd="0" destOrd="1" presId="urn:microsoft.com/office/officeart/2009/3/layout/IncreasingArrowsProcess"/>
    <dgm:cxn modelId="{12C61FE4-3808-E049-8075-EDE00EB82037}" type="presOf" srcId="{97CA9293-6D7A-964F-BBF6-C2A7B6CBA3E6}" destId="{9ED1895F-AA25-4744-9C5C-3CA70ED766F5}" srcOrd="0" destOrd="0" presId="urn:microsoft.com/office/officeart/2009/3/layout/IncreasingArrowsProcess"/>
    <dgm:cxn modelId="{A1A967B8-DFEE-CD4D-A6B7-37A06352BE84}" type="presParOf" srcId="{541207C8-DB4E-2C4A-B747-25BD652ED4E6}" destId="{9ED1895F-AA25-4744-9C5C-3CA70ED766F5}" srcOrd="0" destOrd="0" presId="urn:microsoft.com/office/officeart/2009/3/layout/IncreasingArrowsProcess"/>
    <dgm:cxn modelId="{3C653FB9-66E7-9143-BAD8-5FEBE2863B95}" type="presParOf" srcId="{541207C8-DB4E-2C4A-B747-25BD652ED4E6}" destId="{752DBB05-AA56-E846-940E-2699223DD8EB}" srcOrd="1" destOrd="0" presId="urn:microsoft.com/office/officeart/2009/3/layout/IncreasingArrowsProcess"/>
    <dgm:cxn modelId="{DA928E88-B7B4-AD48-851B-4B0CA33AEE20}" type="presParOf" srcId="{541207C8-DB4E-2C4A-B747-25BD652ED4E6}" destId="{E2859B6A-2235-3E43-AFB1-1F95060CCA3E}" srcOrd="2" destOrd="0" presId="urn:microsoft.com/office/officeart/2009/3/layout/IncreasingArrowsProcess"/>
    <dgm:cxn modelId="{ACA8C609-BAE9-FE48-BA48-182F6CFF2FE6}" type="presParOf" srcId="{541207C8-DB4E-2C4A-B747-25BD652ED4E6}" destId="{150D265E-9F5D-4A44-9FF4-93289958FA00}" srcOrd="3" destOrd="0" presId="urn:microsoft.com/office/officeart/2009/3/layout/IncreasingArrowsProcess"/>
    <dgm:cxn modelId="{558475F2-9A4B-804C-8DC8-E082CA1B1D87}" type="presParOf" srcId="{541207C8-DB4E-2C4A-B747-25BD652ED4E6}" destId="{B7831F29-8105-C449-B6F5-22D51348CFD7}" srcOrd="4" destOrd="0" presId="urn:microsoft.com/office/officeart/2009/3/layout/IncreasingArrowsProcess"/>
    <dgm:cxn modelId="{B5550365-2A03-0F40-AE01-F22A16B3F67A}" type="presParOf" srcId="{541207C8-DB4E-2C4A-B747-25BD652ED4E6}" destId="{2F429193-F9A8-BD40-980D-AD97511C0009}" srcOrd="5" destOrd="0" presId="urn:microsoft.com/office/officeart/2009/3/layout/IncreasingArrowsProcess"/>
    <dgm:cxn modelId="{1881FA1D-CB50-7746-94C8-58F17C13F1F4}" type="presParOf" srcId="{541207C8-DB4E-2C4A-B747-25BD652ED4E6}" destId="{B59FC7C7-AA76-D944-83B9-963C0196B65C}" srcOrd="6" destOrd="0" presId="urn:microsoft.com/office/officeart/2009/3/layout/IncreasingArrowsProcess"/>
    <dgm:cxn modelId="{776E7F21-E8B5-FB47-AE00-73383F8747F2}" type="presParOf" srcId="{541207C8-DB4E-2C4A-B747-25BD652ED4E6}" destId="{165AB93A-0751-AF41-82E2-50449CC3E944}" srcOrd="7" destOrd="0" presId="urn:microsoft.com/office/officeart/2009/3/layout/IncreasingArrows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AE83FE-B708-AF4A-98C6-99EECE0E9E31}" type="doc">
      <dgm:prSet loTypeId="urn:microsoft.com/office/officeart/2005/8/layout/radial1" loCatId="" qsTypeId="urn:microsoft.com/office/officeart/2005/8/quickstyle/simple4" qsCatId="simple" csTypeId="urn:microsoft.com/office/officeart/2005/8/colors/accent1_1" csCatId="accent1" phldr="1"/>
      <dgm:spPr/>
      <dgm:t>
        <a:bodyPr/>
        <a:lstStyle/>
        <a:p>
          <a:endParaRPr lang="en-GB"/>
        </a:p>
      </dgm:t>
    </dgm:pt>
    <dgm:pt modelId="{F816BC81-9989-0944-A83F-32B421854C15}">
      <dgm:prSet phldrT="[Text]" custT="1"/>
      <dgm:spPr>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dgm:spPr>
      <dgm:t>
        <a:bodyPr lIns="0" rIns="0"/>
        <a:lstStyle/>
        <a:p>
          <a:pPr algn="ctr"/>
          <a:r>
            <a:rPr lang="sr-Cyrl-BA" sz="1900" b="1" cap="none" spc="0">
              <a:ln w="0"/>
              <a:solidFill>
                <a:srgbClr val="00B0F0"/>
              </a:solidFill>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СЕЛФИЕ</a:t>
          </a:r>
          <a:endParaRPr lang="en-US" sz="1900" b="1" cap="none" spc="0">
            <a:ln w="0"/>
            <a:solidFill>
              <a:srgbClr val="00B0F0"/>
            </a:solidFill>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gm:t>
    </dgm:pt>
    <dgm:pt modelId="{87FC60E5-A9DA-5F42-BF9F-B7191C57B68A}" type="parTrans" cxnId="{0989AC89-74CB-7A4B-934D-48347A3CA204}">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A8AE7B6B-742B-674D-92A7-2FAE0600479C}" type="sibTrans" cxnId="{0989AC89-74CB-7A4B-934D-48347A3CA204}">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9591C67B-18A4-3F49-B4CD-F2419B5EE1A0}">
      <dgm:prSet phldrT="[Text]" custT="1"/>
      <dgm:spPr>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Педагогија: подршка и ресурси</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2D5E7BBB-3CE0-D544-9A1E-D0D1F606C9BB}" type="parTrans" cxnId="{C8EBBA56-578B-194C-9653-69792E85E659}">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E981C7B5-DDA3-1E44-94FD-A7C89FEB379C}" type="sibTrans" cxnId="{C8EBBA56-578B-194C-9653-69792E85E659}">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F0E2804D-2B98-C94A-8BE7-3BDC1F788CA0}">
      <dgm:prSet phldrT="[Text]" custT="1"/>
      <dgm:spPr>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Педагогија: вођење у учионици</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61A5F38E-1D73-484D-B298-0625F5163A1B}" type="parTrans" cxnId="{49CC3C4B-8EF7-D543-8D0D-6E4874AE8392}">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0F364EF7-38B7-F346-9C1A-71C74FEE53E5}" type="sibTrans" cxnId="{49CC3C4B-8EF7-D543-8D0D-6E4874AE8392}">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12DBCD4A-2062-DF45-ACBB-CD18CC2617BD}">
      <dgm:prSet phldrT="[Text]" custT="1"/>
      <dgm:spPr>
        <a:gradFill flip="none" rotWithShape="1">
          <a:gsLst>
            <a:gs pos="0">
              <a:schemeClr val="lt1">
                <a:hueOff val="0"/>
                <a:satOff val="0"/>
                <a:alphaOff val="0"/>
                <a:satMod val="103000"/>
                <a:tint val="94000"/>
                <a:lumMod val="100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Сарадња и умрежавање</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BD7B672D-700B-D449-A168-CA8A2812C870}" type="parTrans" cxnId="{0256DBB0-D8D5-6A42-B541-67FDD76D265E}">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0030B8BC-9E26-694E-ACC8-6EA46311B081}" type="sibTrans" cxnId="{0256DBB0-D8D5-6A42-B541-67FDD76D265E}">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73EE9CE7-38A5-B149-8FFC-3C48D167D853}">
      <dgm:prSet phldrT="[Text]" custT="1"/>
      <dgm:spPr>
        <a:gradFill flip="none" rotWithShape="1">
          <a:gsLst>
            <a:gs pos="0">
              <a:schemeClr val="lt1">
                <a:hueOff val="0"/>
                <a:satOff val="0"/>
                <a:alphaOff val="0"/>
                <a:satMod val="103000"/>
                <a:tint val="94000"/>
                <a:lumMod val="100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Управа</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16BB1604-99DF-AC4E-82E6-7FBCD36814B5}" type="parTrans" cxnId="{9B9CE969-3ECF-9D42-99D4-AFDD8A8E7735}">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76BF9783-8108-E842-A1A7-972B4B128FA8}" type="sibTrans" cxnId="{9B9CE969-3ECF-9D42-99D4-AFDD8A8E7735}">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A1000CDB-5730-9D47-9A26-450E65E15D30}">
      <dgm:prSet custT="1"/>
      <dgm:spPr>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Дигитална компетенција ученика </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3A2D329B-58FB-7A46-B009-D5246155FD30}" type="parTrans" cxnId="{FB2EF008-ED03-574D-BC5C-6A72BC4D15FF}">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74635D11-7B03-EB4B-AAF9-B4B6226A0CB3}" type="sibTrans" cxnId="{FB2EF008-ED03-574D-BC5C-6A72BC4D15FF}">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2DE0E86F-36A4-FB4B-9413-9467A7EC76BA}">
      <dgm:prSet custT="1"/>
      <dgm:spPr>
        <a:gradFill flip="none" rotWithShape="1">
          <a:gsLst>
            <a:gs pos="0">
              <a:schemeClr val="bg1"/>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Инфраструк-тура и опрема </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A4EE9931-95CA-594D-BA65-F61577DF59FD}" type="parTrans" cxnId="{D1A392C1-3DE6-9F48-B6B2-899760E624F0}">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07DDB91E-CF11-0343-B61B-9FFD044862A1}" type="sibTrans" cxnId="{D1A392C1-3DE6-9F48-B6B2-899760E624F0}">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86BEF1E2-ECAD-EE43-A472-7F69C1CB12C7}">
      <dgm:prSet custT="1"/>
      <dgm:spPr>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Континуално стручно усаврша-вање</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665672BB-0A39-5342-A923-ABCA9DA69ED0}" type="parTrans" cxnId="{04A5FC7B-F364-1346-94EB-D055F4E54432}">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86A09AF0-9761-3445-B777-F86D9D63CF6E}" type="sibTrans" cxnId="{04A5FC7B-F364-1346-94EB-D055F4E54432}">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20DEDC5E-F27B-9D44-9BA1-80C73AFF1B64}">
      <dgm:prSet custT="1"/>
      <dgm:spPr>
        <a:gradFill flip="none" rotWithShape="1">
          <a:gsLst>
            <a:gs pos="0">
              <a:schemeClr val="bg1"/>
            </a:gs>
            <a:gs pos="100000">
              <a:srgbClr val="D3E5ED"/>
            </a:gs>
          </a:gsLst>
          <a:path path="circle">
            <a:fillToRect r="100000" b="100000"/>
          </a:path>
          <a:tileRect l="-100000" t="-100000"/>
        </a:gradFill>
      </dgm:spPr>
      <dgm:t>
        <a:bodyPr/>
        <a:lstStyle/>
        <a:p>
          <a:pPr algn="ctr"/>
          <a:r>
            <a:rPr lang="sr-Cyrl-BA" sz="1000" b="1" cap="none" spc="0">
              <a:ln w="0"/>
              <a:solidFill>
                <a:srgbClr val="00B0F0"/>
              </a:solidFill>
              <a:effectLst/>
              <a:latin typeface="Arial" panose="020B0604020202020204" pitchFamily="34" charset="0"/>
              <a:cs typeface="Arial" panose="020B0604020202020204" pitchFamily="34" charset="0"/>
            </a:rPr>
            <a:t>Праксе вредновања </a:t>
          </a:r>
          <a:endParaRPr lang="en-US" sz="1000" b="1" cap="none" spc="0">
            <a:ln w="0"/>
            <a:solidFill>
              <a:srgbClr val="00B0F0"/>
            </a:solidFill>
            <a:effectLst/>
            <a:latin typeface="Arial" panose="020B0604020202020204" pitchFamily="34" charset="0"/>
            <a:cs typeface="Arial" panose="020B0604020202020204" pitchFamily="34" charset="0"/>
          </a:endParaRPr>
        </a:p>
      </dgm:t>
    </dgm:pt>
    <dgm:pt modelId="{A0047AB2-FD83-F84F-AD59-91385CED06F2}" type="parTrans" cxnId="{C045B36F-C2C0-F147-898A-202023EA6DBE}">
      <dgm:prSet custT="1"/>
      <dgm:spPr>
        <a:ln>
          <a:solidFill>
            <a:srgbClr val="00B0F0"/>
          </a:solidFill>
        </a:ln>
      </dgm:spPr>
      <dgm:t>
        <a:bodyPr/>
        <a:lstStyle/>
        <a:p>
          <a:pPr algn="ctr"/>
          <a:endParaRPr lang="en-GB" sz="900" b="0" cap="none" spc="0">
            <a:ln w="0"/>
            <a:solidFill>
              <a:srgbClr val="00B0F0"/>
            </a:solidFill>
            <a:effectLst>
              <a:outerShdw blurRad="38100" dist="19050" dir="2700000" algn="tl" rotWithShape="0">
                <a:schemeClr val="dk1">
                  <a:alpha val="40000"/>
                </a:schemeClr>
              </a:outerShdw>
            </a:effectLst>
          </a:endParaRPr>
        </a:p>
      </dgm:t>
    </dgm:pt>
    <dgm:pt modelId="{8BBC2295-0776-F84F-B0A3-5F424E9ADB47}" type="sibTrans" cxnId="{C045B36F-C2C0-F147-898A-202023EA6DBE}">
      <dgm:prSet/>
      <dgm:spPr/>
      <dgm:t>
        <a:bodyPr/>
        <a:lstStyle/>
        <a:p>
          <a:pPr algn="ctr"/>
          <a:endParaRPr lang="en-GB" sz="3200" b="0" cap="none" spc="0">
            <a:ln w="0"/>
            <a:solidFill>
              <a:srgbClr val="00B0F0"/>
            </a:solidFill>
            <a:effectLst>
              <a:outerShdw blurRad="38100" dist="19050" dir="2700000" algn="tl" rotWithShape="0">
                <a:schemeClr val="dk1">
                  <a:alpha val="40000"/>
                </a:schemeClr>
              </a:outerShdw>
            </a:effectLst>
          </a:endParaRPr>
        </a:p>
      </dgm:t>
    </dgm:pt>
    <dgm:pt modelId="{874FC9C1-A040-ED4C-A9BD-2548C3B4DE63}" type="pres">
      <dgm:prSet presAssocID="{97AE83FE-B708-AF4A-98C6-99EECE0E9E31}" presName="cycle" presStyleCnt="0">
        <dgm:presLayoutVars>
          <dgm:chMax val="1"/>
          <dgm:dir/>
          <dgm:animLvl val="ctr"/>
          <dgm:resizeHandles val="exact"/>
        </dgm:presLayoutVars>
      </dgm:prSet>
      <dgm:spPr/>
      <dgm:t>
        <a:bodyPr/>
        <a:lstStyle/>
        <a:p>
          <a:endParaRPr lang="en-US"/>
        </a:p>
      </dgm:t>
    </dgm:pt>
    <dgm:pt modelId="{79D0C49F-19A9-AD4D-A6B1-D46C263B0B11}" type="pres">
      <dgm:prSet presAssocID="{F816BC81-9989-0944-A83F-32B421854C15}" presName="centerShape" presStyleLbl="node0" presStyleIdx="0" presStyleCnt="1" custScaleX="168726" custScaleY="164257"/>
      <dgm:spPr/>
      <dgm:t>
        <a:bodyPr/>
        <a:lstStyle/>
        <a:p>
          <a:endParaRPr lang="en-US"/>
        </a:p>
      </dgm:t>
    </dgm:pt>
    <dgm:pt modelId="{3CF61727-669F-BF4B-8920-3B8A090CBAEC}" type="pres">
      <dgm:prSet presAssocID="{2D5E7BBB-3CE0-D544-9A1E-D0D1F606C9BB}" presName="Name9" presStyleLbl="parChTrans1D2" presStyleIdx="0" presStyleCnt="8"/>
      <dgm:spPr/>
      <dgm:t>
        <a:bodyPr/>
        <a:lstStyle/>
        <a:p>
          <a:endParaRPr lang="en-US"/>
        </a:p>
      </dgm:t>
    </dgm:pt>
    <dgm:pt modelId="{FED2BBD3-FCBC-3D49-8B89-B17A46ADFBA7}" type="pres">
      <dgm:prSet presAssocID="{2D5E7BBB-3CE0-D544-9A1E-D0D1F606C9BB}" presName="connTx" presStyleLbl="parChTrans1D2" presStyleIdx="0" presStyleCnt="8"/>
      <dgm:spPr/>
      <dgm:t>
        <a:bodyPr/>
        <a:lstStyle/>
        <a:p>
          <a:endParaRPr lang="en-US"/>
        </a:p>
      </dgm:t>
    </dgm:pt>
    <dgm:pt modelId="{82A11F61-6F38-3F48-89A8-A16B9E1D4EDC}" type="pres">
      <dgm:prSet presAssocID="{9591C67B-18A4-3F49-B4CD-F2419B5EE1A0}" presName="node" presStyleLbl="node1" presStyleIdx="0" presStyleCnt="8" custScaleX="140012" custScaleY="140012">
        <dgm:presLayoutVars>
          <dgm:bulletEnabled val="1"/>
        </dgm:presLayoutVars>
      </dgm:prSet>
      <dgm:spPr/>
      <dgm:t>
        <a:bodyPr/>
        <a:lstStyle/>
        <a:p>
          <a:endParaRPr lang="en-US"/>
        </a:p>
      </dgm:t>
    </dgm:pt>
    <dgm:pt modelId="{6C6E85E5-022F-D247-8D4B-7BE7E4B7FBDF}" type="pres">
      <dgm:prSet presAssocID="{61A5F38E-1D73-484D-B298-0625F5163A1B}" presName="Name9" presStyleLbl="parChTrans1D2" presStyleIdx="1" presStyleCnt="8"/>
      <dgm:spPr/>
      <dgm:t>
        <a:bodyPr/>
        <a:lstStyle/>
        <a:p>
          <a:endParaRPr lang="en-US"/>
        </a:p>
      </dgm:t>
    </dgm:pt>
    <dgm:pt modelId="{D28818DF-924E-E447-BFD8-247BA51A570D}" type="pres">
      <dgm:prSet presAssocID="{61A5F38E-1D73-484D-B298-0625F5163A1B}" presName="connTx" presStyleLbl="parChTrans1D2" presStyleIdx="1" presStyleCnt="8"/>
      <dgm:spPr/>
      <dgm:t>
        <a:bodyPr/>
        <a:lstStyle/>
        <a:p>
          <a:endParaRPr lang="en-US"/>
        </a:p>
      </dgm:t>
    </dgm:pt>
    <dgm:pt modelId="{843CE498-2F6E-314C-B1A3-6C684C9E9D92}" type="pres">
      <dgm:prSet presAssocID="{F0E2804D-2B98-C94A-8BE7-3BDC1F788CA0}" presName="node" presStyleLbl="node1" presStyleIdx="1" presStyleCnt="8" custScaleX="140012" custScaleY="140012">
        <dgm:presLayoutVars>
          <dgm:bulletEnabled val="1"/>
        </dgm:presLayoutVars>
      </dgm:prSet>
      <dgm:spPr/>
      <dgm:t>
        <a:bodyPr/>
        <a:lstStyle/>
        <a:p>
          <a:endParaRPr lang="en-US"/>
        </a:p>
      </dgm:t>
    </dgm:pt>
    <dgm:pt modelId="{D0B0BE3B-FB1B-A74D-987E-7441FEB2E3C5}" type="pres">
      <dgm:prSet presAssocID="{BD7B672D-700B-D449-A168-CA8A2812C870}" presName="Name9" presStyleLbl="parChTrans1D2" presStyleIdx="2" presStyleCnt="8"/>
      <dgm:spPr/>
      <dgm:t>
        <a:bodyPr/>
        <a:lstStyle/>
        <a:p>
          <a:endParaRPr lang="en-US"/>
        </a:p>
      </dgm:t>
    </dgm:pt>
    <dgm:pt modelId="{60845A7C-9B17-6943-A839-A68B5AC15770}" type="pres">
      <dgm:prSet presAssocID="{BD7B672D-700B-D449-A168-CA8A2812C870}" presName="connTx" presStyleLbl="parChTrans1D2" presStyleIdx="2" presStyleCnt="8"/>
      <dgm:spPr/>
      <dgm:t>
        <a:bodyPr/>
        <a:lstStyle/>
        <a:p>
          <a:endParaRPr lang="en-US"/>
        </a:p>
      </dgm:t>
    </dgm:pt>
    <dgm:pt modelId="{3D1B5CB0-8CC7-8F40-B30A-A690BBB11642}" type="pres">
      <dgm:prSet presAssocID="{12DBCD4A-2062-DF45-ACBB-CD18CC2617BD}" presName="node" presStyleLbl="node1" presStyleIdx="2" presStyleCnt="8" custScaleX="140012" custScaleY="140012">
        <dgm:presLayoutVars>
          <dgm:bulletEnabled val="1"/>
        </dgm:presLayoutVars>
      </dgm:prSet>
      <dgm:spPr/>
      <dgm:t>
        <a:bodyPr/>
        <a:lstStyle/>
        <a:p>
          <a:endParaRPr lang="en-US"/>
        </a:p>
      </dgm:t>
    </dgm:pt>
    <dgm:pt modelId="{35FC0A38-9BEC-AD45-8930-F12B71B3F7E9}" type="pres">
      <dgm:prSet presAssocID="{16BB1604-99DF-AC4E-82E6-7FBCD36814B5}" presName="Name9" presStyleLbl="parChTrans1D2" presStyleIdx="3" presStyleCnt="8"/>
      <dgm:spPr/>
      <dgm:t>
        <a:bodyPr/>
        <a:lstStyle/>
        <a:p>
          <a:endParaRPr lang="en-US"/>
        </a:p>
      </dgm:t>
    </dgm:pt>
    <dgm:pt modelId="{B546E147-7E78-2C42-BB33-4B2DBE6ECC4E}" type="pres">
      <dgm:prSet presAssocID="{16BB1604-99DF-AC4E-82E6-7FBCD36814B5}" presName="connTx" presStyleLbl="parChTrans1D2" presStyleIdx="3" presStyleCnt="8"/>
      <dgm:spPr/>
      <dgm:t>
        <a:bodyPr/>
        <a:lstStyle/>
        <a:p>
          <a:endParaRPr lang="en-US"/>
        </a:p>
      </dgm:t>
    </dgm:pt>
    <dgm:pt modelId="{3774576C-80E1-8848-AC42-578321B69118}" type="pres">
      <dgm:prSet presAssocID="{73EE9CE7-38A5-B149-8FFC-3C48D167D853}" presName="node" presStyleLbl="node1" presStyleIdx="3" presStyleCnt="8" custScaleX="140012" custScaleY="140012">
        <dgm:presLayoutVars>
          <dgm:bulletEnabled val="1"/>
        </dgm:presLayoutVars>
      </dgm:prSet>
      <dgm:spPr/>
      <dgm:t>
        <a:bodyPr/>
        <a:lstStyle/>
        <a:p>
          <a:endParaRPr lang="en-US"/>
        </a:p>
      </dgm:t>
    </dgm:pt>
    <dgm:pt modelId="{9C91C644-5021-9E4C-83B9-5E808BBC3EA8}" type="pres">
      <dgm:prSet presAssocID="{3A2D329B-58FB-7A46-B009-D5246155FD30}" presName="Name9" presStyleLbl="parChTrans1D2" presStyleIdx="4" presStyleCnt="8"/>
      <dgm:spPr/>
      <dgm:t>
        <a:bodyPr/>
        <a:lstStyle/>
        <a:p>
          <a:endParaRPr lang="en-US"/>
        </a:p>
      </dgm:t>
    </dgm:pt>
    <dgm:pt modelId="{5C192E12-B8A3-764C-AE47-299674B230FF}" type="pres">
      <dgm:prSet presAssocID="{3A2D329B-58FB-7A46-B009-D5246155FD30}" presName="connTx" presStyleLbl="parChTrans1D2" presStyleIdx="4" presStyleCnt="8"/>
      <dgm:spPr/>
      <dgm:t>
        <a:bodyPr/>
        <a:lstStyle/>
        <a:p>
          <a:endParaRPr lang="en-US"/>
        </a:p>
      </dgm:t>
    </dgm:pt>
    <dgm:pt modelId="{EE89B8C4-A46B-704C-91C8-87B491218848}" type="pres">
      <dgm:prSet presAssocID="{A1000CDB-5730-9D47-9A26-450E65E15D30}" presName="node" presStyleLbl="node1" presStyleIdx="4" presStyleCnt="8" custScaleX="140012" custScaleY="140012">
        <dgm:presLayoutVars>
          <dgm:bulletEnabled val="1"/>
        </dgm:presLayoutVars>
      </dgm:prSet>
      <dgm:spPr/>
      <dgm:t>
        <a:bodyPr/>
        <a:lstStyle/>
        <a:p>
          <a:endParaRPr lang="en-US"/>
        </a:p>
      </dgm:t>
    </dgm:pt>
    <dgm:pt modelId="{58D43498-798D-8A48-9E23-D16FD872D5A7}" type="pres">
      <dgm:prSet presAssocID="{A4EE9931-95CA-594D-BA65-F61577DF59FD}" presName="Name9" presStyleLbl="parChTrans1D2" presStyleIdx="5" presStyleCnt="8"/>
      <dgm:spPr/>
      <dgm:t>
        <a:bodyPr/>
        <a:lstStyle/>
        <a:p>
          <a:endParaRPr lang="en-US"/>
        </a:p>
      </dgm:t>
    </dgm:pt>
    <dgm:pt modelId="{5160280C-1698-3945-84AD-34C956053868}" type="pres">
      <dgm:prSet presAssocID="{A4EE9931-95CA-594D-BA65-F61577DF59FD}" presName="connTx" presStyleLbl="parChTrans1D2" presStyleIdx="5" presStyleCnt="8"/>
      <dgm:spPr/>
      <dgm:t>
        <a:bodyPr/>
        <a:lstStyle/>
        <a:p>
          <a:endParaRPr lang="en-US"/>
        </a:p>
      </dgm:t>
    </dgm:pt>
    <dgm:pt modelId="{F170FD62-5925-C241-807E-0115BEB39AFB}" type="pres">
      <dgm:prSet presAssocID="{2DE0E86F-36A4-FB4B-9413-9467A7EC76BA}" presName="node" presStyleLbl="node1" presStyleIdx="5" presStyleCnt="8" custScaleX="140012" custScaleY="140012">
        <dgm:presLayoutVars>
          <dgm:bulletEnabled val="1"/>
        </dgm:presLayoutVars>
      </dgm:prSet>
      <dgm:spPr/>
      <dgm:t>
        <a:bodyPr/>
        <a:lstStyle/>
        <a:p>
          <a:endParaRPr lang="en-US"/>
        </a:p>
      </dgm:t>
    </dgm:pt>
    <dgm:pt modelId="{B02B7923-A519-684C-B11A-484A0C55465C}" type="pres">
      <dgm:prSet presAssocID="{665672BB-0A39-5342-A923-ABCA9DA69ED0}" presName="Name9" presStyleLbl="parChTrans1D2" presStyleIdx="6" presStyleCnt="8"/>
      <dgm:spPr/>
      <dgm:t>
        <a:bodyPr/>
        <a:lstStyle/>
        <a:p>
          <a:endParaRPr lang="en-US"/>
        </a:p>
      </dgm:t>
    </dgm:pt>
    <dgm:pt modelId="{6CFB88CD-F1A6-FF45-B5A9-B0F511577A83}" type="pres">
      <dgm:prSet presAssocID="{665672BB-0A39-5342-A923-ABCA9DA69ED0}" presName="connTx" presStyleLbl="parChTrans1D2" presStyleIdx="6" presStyleCnt="8"/>
      <dgm:spPr/>
      <dgm:t>
        <a:bodyPr/>
        <a:lstStyle/>
        <a:p>
          <a:endParaRPr lang="en-US"/>
        </a:p>
      </dgm:t>
    </dgm:pt>
    <dgm:pt modelId="{BB5CDFC9-6374-024C-AB5A-FC9ED52A34EA}" type="pres">
      <dgm:prSet presAssocID="{86BEF1E2-ECAD-EE43-A472-7F69C1CB12C7}" presName="node" presStyleLbl="node1" presStyleIdx="6" presStyleCnt="8" custScaleX="140012" custScaleY="140012">
        <dgm:presLayoutVars>
          <dgm:bulletEnabled val="1"/>
        </dgm:presLayoutVars>
      </dgm:prSet>
      <dgm:spPr/>
      <dgm:t>
        <a:bodyPr/>
        <a:lstStyle/>
        <a:p>
          <a:endParaRPr lang="en-US"/>
        </a:p>
      </dgm:t>
    </dgm:pt>
    <dgm:pt modelId="{FD6E4706-A770-AE4E-8DDB-9E94B4BD3FC3}" type="pres">
      <dgm:prSet presAssocID="{A0047AB2-FD83-F84F-AD59-91385CED06F2}" presName="Name9" presStyleLbl="parChTrans1D2" presStyleIdx="7" presStyleCnt="8"/>
      <dgm:spPr/>
      <dgm:t>
        <a:bodyPr/>
        <a:lstStyle/>
        <a:p>
          <a:endParaRPr lang="en-US"/>
        </a:p>
      </dgm:t>
    </dgm:pt>
    <dgm:pt modelId="{322956D9-0559-D345-BBC8-4275591BAA8A}" type="pres">
      <dgm:prSet presAssocID="{A0047AB2-FD83-F84F-AD59-91385CED06F2}" presName="connTx" presStyleLbl="parChTrans1D2" presStyleIdx="7" presStyleCnt="8"/>
      <dgm:spPr/>
      <dgm:t>
        <a:bodyPr/>
        <a:lstStyle/>
        <a:p>
          <a:endParaRPr lang="en-US"/>
        </a:p>
      </dgm:t>
    </dgm:pt>
    <dgm:pt modelId="{1DACD5EA-C9F0-FC40-A182-09C5554E0177}" type="pres">
      <dgm:prSet presAssocID="{20DEDC5E-F27B-9D44-9BA1-80C73AFF1B64}" presName="node" presStyleLbl="node1" presStyleIdx="7" presStyleCnt="8" custScaleX="140012" custScaleY="140012">
        <dgm:presLayoutVars>
          <dgm:bulletEnabled val="1"/>
        </dgm:presLayoutVars>
      </dgm:prSet>
      <dgm:spPr/>
      <dgm:t>
        <a:bodyPr/>
        <a:lstStyle/>
        <a:p>
          <a:endParaRPr lang="en-US"/>
        </a:p>
      </dgm:t>
    </dgm:pt>
  </dgm:ptLst>
  <dgm:cxnLst>
    <dgm:cxn modelId="{90D3B0ED-DAAF-2F43-AAA7-371EB904D2A7}" type="presOf" srcId="{86BEF1E2-ECAD-EE43-A472-7F69C1CB12C7}" destId="{BB5CDFC9-6374-024C-AB5A-FC9ED52A34EA}" srcOrd="0" destOrd="0" presId="urn:microsoft.com/office/officeart/2005/8/layout/radial1"/>
    <dgm:cxn modelId="{D19BAFD8-045B-1E44-B51D-D9B462729466}" type="presOf" srcId="{665672BB-0A39-5342-A923-ABCA9DA69ED0}" destId="{B02B7923-A519-684C-B11A-484A0C55465C}" srcOrd="0" destOrd="0" presId="urn:microsoft.com/office/officeart/2005/8/layout/radial1"/>
    <dgm:cxn modelId="{3F05A3AD-0399-6A40-A396-A489A75427E0}" type="presOf" srcId="{16BB1604-99DF-AC4E-82E6-7FBCD36814B5}" destId="{B546E147-7E78-2C42-BB33-4B2DBE6ECC4E}" srcOrd="1" destOrd="0" presId="urn:microsoft.com/office/officeart/2005/8/layout/radial1"/>
    <dgm:cxn modelId="{A134D2C5-0267-B54B-BA5A-092DB4E15745}" type="presOf" srcId="{73EE9CE7-38A5-B149-8FFC-3C48D167D853}" destId="{3774576C-80E1-8848-AC42-578321B69118}" srcOrd="0" destOrd="0" presId="urn:microsoft.com/office/officeart/2005/8/layout/radial1"/>
    <dgm:cxn modelId="{AB8517A9-EDBF-A94F-BC89-CBE7A266290B}" type="presOf" srcId="{16BB1604-99DF-AC4E-82E6-7FBCD36814B5}" destId="{35FC0A38-9BEC-AD45-8930-F12B71B3F7E9}" srcOrd="0" destOrd="0" presId="urn:microsoft.com/office/officeart/2005/8/layout/radial1"/>
    <dgm:cxn modelId="{7EFE45FF-33E3-2B4D-829A-B3F64963AA61}" type="presOf" srcId="{BD7B672D-700B-D449-A168-CA8A2812C870}" destId="{D0B0BE3B-FB1B-A74D-987E-7441FEB2E3C5}" srcOrd="0" destOrd="0" presId="urn:microsoft.com/office/officeart/2005/8/layout/radial1"/>
    <dgm:cxn modelId="{C8EBBA56-578B-194C-9653-69792E85E659}" srcId="{F816BC81-9989-0944-A83F-32B421854C15}" destId="{9591C67B-18A4-3F49-B4CD-F2419B5EE1A0}" srcOrd="0" destOrd="0" parTransId="{2D5E7BBB-3CE0-D544-9A1E-D0D1F606C9BB}" sibTransId="{E981C7B5-DDA3-1E44-94FD-A7C89FEB379C}"/>
    <dgm:cxn modelId="{F52C3CAC-70EB-464F-BD8C-4FC7ACC0FB08}" type="presOf" srcId="{12DBCD4A-2062-DF45-ACBB-CD18CC2617BD}" destId="{3D1B5CB0-8CC7-8F40-B30A-A690BBB11642}" srcOrd="0" destOrd="0" presId="urn:microsoft.com/office/officeart/2005/8/layout/radial1"/>
    <dgm:cxn modelId="{5977983A-A0B0-1D45-9992-E10B938BE21E}" type="presOf" srcId="{A0047AB2-FD83-F84F-AD59-91385CED06F2}" destId="{FD6E4706-A770-AE4E-8DDB-9E94B4BD3FC3}" srcOrd="0" destOrd="0" presId="urn:microsoft.com/office/officeart/2005/8/layout/radial1"/>
    <dgm:cxn modelId="{B5889C6E-6275-2245-B65E-C52FE8B898FB}" type="presOf" srcId="{9591C67B-18A4-3F49-B4CD-F2419B5EE1A0}" destId="{82A11F61-6F38-3F48-89A8-A16B9E1D4EDC}" srcOrd="0" destOrd="0" presId="urn:microsoft.com/office/officeart/2005/8/layout/radial1"/>
    <dgm:cxn modelId="{D8B326C7-084E-5E4D-A864-D921A0F83B3F}" type="presOf" srcId="{A4EE9931-95CA-594D-BA65-F61577DF59FD}" destId="{5160280C-1698-3945-84AD-34C956053868}" srcOrd="1" destOrd="0" presId="urn:microsoft.com/office/officeart/2005/8/layout/radial1"/>
    <dgm:cxn modelId="{D1A392C1-3DE6-9F48-B6B2-899760E624F0}" srcId="{F816BC81-9989-0944-A83F-32B421854C15}" destId="{2DE0E86F-36A4-FB4B-9413-9467A7EC76BA}" srcOrd="5" destOrd="0" parTransId="{A4EE9931-95CA-594D-BA65-F61577DF59FD}" sibTransId="{07DDB91E-CF11-0343-B61B-9FFD044862A1}"/>
    <dgm:cxn modelId="{298A3C32-07B4-5347-A79E-3A606BA368DE}" type="presOf" srcId="{61A5F38E-1D73-484D-B298-0625F5163A1B}" destId="{D28818DF-924E-E447-BFD8-247BA51A570D}" srcOrd="1" destOrd="0" presId="urn:microsoft.com/office/officeart/2005/8/layout/radial1"/>
    <dgm:cxn modelId="{CFCD75FC-B403-A44D-BCCF-D8E59161EA7F}" type="presOf" srcId="{F0E2804D-2B98-C94A-8BE7-3BDC1F788CA0}" destId="{843CE498-2F6E-314C-B1A3-6C684C9E9D92}" srcOrd="0" destOrd="0" presId="urn:microsoft.com/office/officeart/2005/8/layout/radial1"/>
    <dgm:cxn modelId="{04A5FC7B-F364-1346-94EB-D055F4E54432}" srcId="{F816BC81-9989-0944-A83F-32B421854C15}" destId="{86BEF1E2-ECAD-EE43-A472-7F69C1CB12C7}" srcOrd="6" destOrd="0" parTransId="{665672BB-0A39-5342-A923-ABCA9DA69ED0}" sibTransId="{86A09AF0-9761-3445-B777-F86D9D63CF6E}"/>
    <dgm:cxn modelId="{A4A7F7F0-BA00-B34D-91CA-2FA6F67B5CF3}" type="presOf" srcId="{2D5E7BBB-3CE0-D544-9A1E-D0D1F606C9BB}" destId="{3CF61727-669F-BF4B-8920-3B8A090CBAEC}" srcOrd="0" destOrd="0" presId="urn:microsoft.com/office/officeart/2005/8/layout/radial1"/>
    <dgm:cxn modelId="{546AA87F-42B2-C448-8285-9470F1EDC40A}" type="presOf" srcId="{665672BB-0A39-5342-A923-ABCA9DA69ED0}" destId="{6CFB88CD-F1A6-FF45-B5A9-B0F511577A83}" srcOrd="1" destOrd="0" presId="urn:microsoft.com/office/officeart/2005/8/layout/radial1"/>
    <dgm:cxn modelId="{A1767585-4FBF-7F4E-B409-5B047A888965}" type="presOf" srcId="{61A5F38E-1D73-484D-B298-0625F5163A1B}" destId="{6C6E85E5-022F-D247-8D4B-7BE7E4B7FBDF}" srcOrd="0" destOrd="0" presId="urn:microsoft.com/office/officeart/2005/8/layout/radial1"/>
    <dgm:cxn modelId="{0256DBB0-D8D5-6A42-B541-67FDD76D265E}" srcId="{F816BC81-9989-0944-A83F-32B421854C15}" destId="{12DBCD4A-2062-DF45-ACBB-CD18CC2617BD}" srcOrd="2" destOrd="0" parTransId="{BD7B672D-700B-D449-A168-CA8A2812C870}" sibTransId="{0030B8BC-9E26-694E-ACC8-6EA46311B081}"/>
    <dgm:cxn modelId="{FB2EF008-ED03-574D-BC5C-6A72BC4D15FF}" srcId="{F816BC81-9989-0944-A83F-32B421854C15}" destId="{A1000CDB-5730-9D47-9A26-450E65E15D30}" srcOrd="4" destOrd="0" parTransId="{3A2D329B-58FB-7A46-B009-D5246155FD30}" sibTransId="{74635D11-7B03-EB4B-AAF9-B4B6226A0CB3}"/>
    <dgm:cxn modelId="{0989AC89-74CB-7A4B-934D-48347A3CA204}" srcId="{97AE83FE-B708-AF4A-98C6-99EECE0E9E31}" destId="{F816BC81-9989-0944-A83F-32B421854C15}" srcOrd="0" destOrd="0" parTransId="{87FC60E5-A9DA-5F42-BF9F-B7191C57B68A}" sibTransId="{A8AE7B6B-742B-674D-92A7-2FAE0600479C}"/>
    <dgm:cxn modelId="{F6BBEA1E-7BE8-434F-8A11-1FED61AE8EF3}" type="presOf" srcId="{A1000CDB-5730-9D47-9A26-450E65E15D30}" destId="{EE89B8C4-A46B-704C-91C8-87B491218848}" srcOrd="0" destOrd="0" presId="urn:microsoft.com/office/officeart/2005/8/layout/radial1"/>
    <dgm:cxn modelId="{FF95709E-2C54-F54E-9729-096C039AE16D}" type="presOf" srcId="{20DEDC5E-F27B-9D44-9BA1-80C73AFF1B64}" destId="{1DACD5EA-C9F0-FC40-A182-09C5554E0177}" srcOrd="0" destOrd="0" presId="urn:microsoft.com/office/officeart/2005/8/layout/radial1"/>
    <dgm:cxn modelId="{49CC3C4B-8EF7-D543-8D0D-6E4874AE8392}" srcId="{F816BC81-9989-0944-A83F-32B421854C15}" destId="{F0E2804D-2B98-C94A-8BE7-3BDC1F788CA0}" srcOrd="1" destOrd="0" parTransId="{61A5F38E-1D73-484D-B298-0625F5163A1B}" sibTransId="{0F364EF7-38B7-F346-9C1A-71C74FEE53E5}"/>
    <dgm:cxn modelId="{5F5AAEBC-68D6-604C-948D-009C5B388BF2}" type="presOf" srcId="{A4EE9931-95CA-594D-BA65-F61577DF59FD}" destId="{58D43498-798D-8A48-9E23-D16FD872D5A7}" srcOrd="0" destOrd="0" presId="urn:microsoft.com/office/officeart/2005/8/layout/radial1"/>
    <dgm:cxn modelId="{2D491327-17D4-C744-81B5-4E1DCE1F39C9}" type="presOf" srcId="{3A2D329B-58FB-7A46-B009-D5246155FD30}" destId="{9C91C644-5021-9E4C-83B9-5E808BBC3EA8}" srcOrd="0" destOrd="0" presId="urn:microsoft.com/office/officeart/2005/8/layout/radial1"/>
    <dgm:cxn modelId="{93FB2ED6-0634-474C-80A0-1CEB319908C3}" type="presOf" srcId="{A0047AB2-FD83-F84F-AD59-91385CED06F2}" destId="{322956D9-0559-D345-BBC8-4275591BAA8A}" srcOrd="1" destOrd="0" presId="urn:microsoft.com/office/officeart/2005/8/layout/radial1"/>
    <dgm:cxn modelId="{A7D51E3C-0AF7-3E45-A87F-136EBB6CB946}" type="presOf" srcId="{97AE83FE-B708-AF4A-98C6-99EECE0E9E31}" destId="{874FC9C1-A040-ED4C-A9BD-2548C3B4DE63}" srcOrd="0" destOrd="0" presId="urn:microsoft.com/office/officeart/2005/8/layout/radial1"/>
    <dgm:cxn modelId="{C045B36F-C2C0-F147-898A-202023EA6DBE}" srcId="{F816BC81-9989-0944-A83F-32B421854C15}" destId="{20DEDC5E-F27B-9D44-9BA1-80C73AFF1B64}" srcOrd="7" destOrd="0" parTransId="{A0047AB2-FD83-F84F-AD59-91385CED06F2}" sibTransId="{8BBC2295-0776-F84F-B0A3-5F424E9ADB47}"/>
    <dgm:cxn modelId="{89086FDA-6511-EB43-9626-058E68368730}" type="presOf" srcId="{2DE0E86F-36A4-FB4B-9413-9467A7EC76BA}" destId="{F170FD62-5925-C241-807E-0115BEB39AFB}" srcOrd="0" destOrd="0" presId="urn:microsoft.com/office/officeart/2005/8/layout/radial1"/>
    <dgm:cxn modelId="{0212D08F-8680-3242-8CBA-720A85883155}" type="presOf" srcId="{2D5E7BBB-3CE0-D544-9A1E-D0D1F606C9BB}" destId="{FED2BBD3-FCBC-3D49-8B89-B17A46ADFBA7}" srcOrd="1" destOrd="0" presId="urn:microsoft.com/office/officeart/2005/8/layout/radial1"/>
    <dgm:cxn modelId="{9B9CE969-3ECF-9D42-99D4-AFDD8A8E7735}" srcId="{F816BC81-9989-0944-A83F-32B421854C15}" destId="{73EE9CE7-38A5-B149-8FFC-3C48D167D853}" srcOrd="3" destOrd="0" parTransId="{16BB1604-99DF-AC4E-82E6-7FBCD36814B5}" sibTransId="{76BF9783-8108-E842-A1A7-972B4B128FA8}"/>
    <dgm:cxn modelId="{27382C11-6619-0E41-B3CF-F55B6E75CFE0}" type="presOf" srcId="{3A2D329B-58FB-7A46-B009-D5246155FD30}" destId="{5C192E12-B8A3-764C-AE47-299674B230FF}" srcOrd="1" destOrd="0" presId="urn:microsoft.com/office/officeart/2005/8/layout/radial1"/>
    <dgm:cxn modelId="{BBE79757-3E09-604F-B96C-D36B380D1B9A}" type="presOf" srcId="{BD7B672D-700B-D449-A168-CA8A2812C870}" destId="{60845A7C-9B17-6943-A839-A68B5AC15770}" srcOrd="1" destOrd="0" presId="urn:microsoft.com/office/officeart/2005/8/layout/radial1"/>
    <dgm:cxn modelId="{634466AD-E64A-AF4F-BCE5-25600EECCB25}" type="presOf" srcId="{F816BC81-9989-0944-A83F-32B421854C15}" destId="{79D0C49F-19A9-AD4D-A6B1-D46C263B0B11}" srcOrd="0" destOrd="0" presId="urn:microsoft.com/office/officeart/2005/8/layout/radial1"/>
    <dgm:cxn modelId="{FC42AFC5-DFD3-FC4D-A488-0B50873E79F7}" type="presParOf" srcId="{874FC9C1-A040-ED4C-A9BD-2548C3B4DE63}" destId="{79D0C49F-19A9-AD4D-A6B1-D46C263B0B11}" srcOrd="0" destOrd="0" presId="urn:microsoft.com/office/officeart/2005/8/layout/radial1"/>
    <dgm:cxn modelId="{7F56FA6C-836F-054D-B109-993C571460C0}" type="presParOf" srcId="{874FC9C1-A040-ED4C-A9BD-2548C3B4DE63}" destId="{3CF61727-669F-BF4B-8920-3B8A090CBAEC}" srcOrd="1" destOrd="0" presId="urn:microsoft.com/office/officeart/2005/8/layout/radial1"/>
    <dgm:cxn modelId="{1D2603D8-FE01-DB4F-B212-AE59E90AC9B7}" type="presParOf" srcId="{3CF61727-669F-BF4B-8920-3B8A090CBAEC}" destId="{FED2BBD3-FCBC-3D49-8B89-B17A46ADFBA7}" srcOrd="0" destOrd="0" presId="urn:microsoft.com/office/officeart/2005/8/layout/radial1"/>
    <dgm:cxn modelId="{E8DD57E0-C6DC-B447-B444-A3861EA4B634}" type="presParOf" srcId="{874FC9C1-A040-ED4C-A9BD-2548C3B4DE63}" destId="{82A11F61-6F38-3F48-89A8-A16B9E1D4EDC}" srcOrd="2" destOrd="0" presId="urn:microsoft.com/office/officeart/2005/8/layout/radial1"/>
    <dgm:cxn modelId="{5228FF9A-C9C2-DC42-AEA7-FB61CE82B447}" type="presParOf" srcId="{874FC9C1-A040-ED4C-A9BD-2548C3B4DE63}" destId="{6C6E85E5-022F-D247-8D4B-7BE7E4B7FBDF}" srcOrd="3" destOrd="0" presId="urn:microsoft.com/office/officeart/2005/8/layout/radial1"/>
    <dgm:cxn modelId="{BF76920A-649B-4B4A-A6BD-7EDCC821E623}" type="presParOf" srcId="{6C6E85E5-022F-D247-8D4B-7BE7E4B7FBDF}" destId="{D28818DF-924E-E447-BFD8-247BA51A570D}" srcOrd="0" destOrd="0" presId="urn:microsoft.com/office/officeart/2005/8/layout/radial1"/>
    <dgm:cxn modelId="{4286F4F8-4C8A-7D43-B85F-9204EBC49EBA}" type="presParOf" srcId="{874FC9C1-A040-ED4C-A9BD-2548C3B4DE63}" destId="{843CE498-2F6E-314C-B1A3-6C684C9E9D92}" srcOrd="4" destOrd="0" presId="urn:microsoft.com/office/officeart/2005/8/layout/radial1"/>
    <dgm:cxn modelId="{B9913144-E24D-F14E-AF23-1FF99BEFE02B}" type="presParOf" srcId="{874FC9C1-A040-ED4C-A9BD-2548C3B4DE63}" destId="{D0B0BE3B-FB1B-A74D-987E-7441FEB2E3C5}" srcOrd="5" destOrd="0" presId="urn:microsoft.com/office/officeart/2005/8/layout/radial1"/>
    <dgm:cxn modelId="{52247414-C543-5346-9C02-2852E28E2FC6}" type="presParOf" srcId="{D0B0BE3B-FB1B-A74D-987E-7441FEB2E3C5}" destId="{60845A7C-9B17-6943-A839-A68B5AC15770}" srcOrd="0" destOrd="0" presId="urn:microsoft.com/office/officeart/2005/8/layout/radial1"/>
    <dgm:cxn modelId="{BEE06824-6B63-2943-8156-7A96DC437B18}" type="presParOf" srcId="{874FC9C1-A040-ED4C-A9BD-2548C3B4DE63}" destId="{3D1B5CB0-8CC7-8F40-B30A-A690BBB11642}" srcOrd="6" destOrd="0" presId="urn:microsoft.com/office/officeart/2005/8/layout/radial1"/>
    <dgm:cxn modelId="{714D6940-3BFA-F74B-BB62-D441411127A7}" type="presParOf" srcId="{874FC9C1-A040-ED4C-A9BD-2548C3B4DE63}" destId="{35FC0A38-9BEC-AD45-8930-F12B71B3F7E9}" srcOrd="7" destOrd="0" presId="urn:microsoft.com/office/officeart/2005/8/layout/radial1"/>
    <dgm:cxn modelId="{4952563E-4D00-194B-B2BD-076D2D0A0A18}" type="presParOf" srcId="{35FC0A38-9BEC-AD45-8930-F12B71B3F7E9}" destId="{B546E147-7E78-2C42-BB33-4B2DBE6ECC4E}" srcOrd="0" destOrd="0" presId="urn:microsoft.com/office/officeart/2005/8/layout/radial1"/>
    <dgm:cxn modelId="{449E9BE5-1D63-924D-89FD-0FD047121CF4}" type="presParOf" srcId="{874FC9C1-A040-ED4C-A9BD-2548C3B4DE63}" destId="{3774576C-80E1-8848-AC42-578321B69118}" srcOrd="8" destOrd="0" presId="urn:microsoft.com/office/officeart/2005/8/layout/radial1"/>
    <dgm:cxn modelId="{28058BD1-6552-BF4F-AF4F-927AE253E820}" type="presParOf" srcId="{874FC9C1-A040-ED4C-A9BD-2548C3B4DE63}" destId="{9C91C644-5021-9E4C-83B9-5E808BBC3EA8}" srcOrd="9" destOrd="0" presId="urn:microsoft.com/office/officeart/2005/8/layout/radial1"/>
    <dgm:cxn modelId="{2C3FACB4-C5EA-3040-BBDC-7F533CFC77D7}" type="presParOf" srcId="{9C91C644-5021-9E4C-83B9-5E808BBC3EA8}" destId="{5C192E12-B8A3-764C-AE47-299674B230FF}" srcOrd="0" destOrd="0" presId="urn:microsoft.com/office/officeart/2005/8/layout/radial1"/>
    <dgm:cxn modelId="{F4E93032-2300-6447-A421-7F7198C66CE1}" type="presParOf" srcId="{874FC9C1-A040-ED4C-A9BD-2548C3B4DE63}" destId="{EE89B8C4-A46B-704C-91C8-87B491218848}" srcOrd="10" destOrd="0" presId="urn:microsoft.com/office/officeart/2005/8/layout/radial1"/>
    <dgm:cxn modelId="{63B87DCB-ED70-4F4D-BA6D-5B48B73D1F5B}" type="presParOf" srcId="{874FC9C1-A040-ED4C-A9BD-2548C3B4DE63}" destId="{58D43498-798D-8A48-9E23-D16FD872D5A7}" srcOrd="11" destOrd="0" presId="urn:microsoft.com/office/officeart/2005/8/layout/radial1"/>
    <dgm:cxn modelId="{DC83CBCE-A5F4-A246-9128-6FCC0BC52A50}" type="presParOf" srcId="{58D43498-798D-8A48-9E23-D16FD872D5A7}" destId="{5160280C-1698-3945-84AD-34C956053868}" srcOrd="0" destOrd="0" presId="urn:microsoft.com/office/officeart/2005/8/layout/radial1"/>
    <dgm:cxn modelId="{24A24547-A004-7946-AD8C-E4B8BBCECB3D}" type="presParOf" srcId="{874FC9C1-A040-ED4C-A9BD-2548C3B4DE63}" destId="{F170FD62-5925-C241-807E-0115BEB39AFB}" srcOrd="12" destOrd="0" presId="urn:microsoft.com/office/officeart/2005/8/layout/radial1"/>
    <dgm:cxn modelId="{93996FAB-96B1-574A-857F-8A25038613EF}" type="presParOf" srcId="{874FC9C1-A040-ED4C-A9BD-2548C3B4DE63}" destId="{B02B7923-A519-684C-B11A-484A0C55465C}" srcOrd="13" destOrd="0" presId="urn:microsoft.com/office/officeart/2005/8/layout/radial1"/>
    <dgm:cxn modelId="{4A5A5421-EF89-934C-893A-25F579E2E893}" type="presParOf" srcId="{B02B7923-A519-684C-B11A-484A0C55465C}" destId="{6CFB88CD-F1A6-FF45-B5A9-B0F511577A83}" srcOrd="0" destOrd="0" presId="urn:microsoft.com/office/officeart/2005/8/layout/radial1"/>
    <dgm:cxn modelId="{6747D740-4B78-2449-840F-AA5E2F82BB92}" type="presParOf" srcId="{874FC9C1-A040-ED4C-A9BD-2548C3B4DE63}" destId="{BB5CDFC9-6374-024C-AB5A-FC9ED52A34EA}" srcOrd="14" destOrd="0" presId="urn:microsoft.com/office/officeart/2005/8/layout/radial1"/>
    <dgm:cxn modelId="{2AF9216F-7BB6-F84F-A19C-520365FC7B85}" type="presParOf" srcId="{874FC9C1-A040-ED4C-A9BD-2548C3B4DE63}" destId="{FD6E4706-A770-AE4E-8DDB-9E94B4BD3FC3}" srcOrd="15" destOrd="0" presId="urn:microsoft.com/office/officeart/2005/8/layout/radial1"/>
    <dgm:cxn modelId="{E9929A21-219A-6241-848B-92BE741CDB31}" type="presParOf" srcId="{FD6E4706-A770-AE4E-8DDB-9E94B4BD3FC3}" destId="{322956D9-0559-D345-BBC8-4275591BAA8A}" srcOrd="0" destOrd="0" presId="urn:microsoft.com/office/officeart/2005/8/layout/radial1"/>
    <dgm:cxn modelId="{62489CF9-CCB3-DA47-96EF-EF3BA5CECA5E}" type="presParOf" srcId="{874FC9C1-A040-ED4C-A9BD-2548C3B4DE63}" destId="{1DACD5EA-C9F0-FC40-A182-09C5554E0177}" srcOrd="16"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1895F-AA25-4744-9C5C-3CA70ED766F5}">
      <dsp:nvSpPr>
        <dsp:cNvPr id="0" name=""/>
        <dsp:cNvSpPr/>
      </dsp:nvSpPr>
      <dsp:spPr>
        <a:xfrm>
          <a:off x="-23101" y="418874"/>
          <a:ext cx="5648944" cy="822401"/>
        </a:xfrm>
        <a:prstGeom prst="rightArrow">
          <a:avLst>
            <a:gd name="adj1" fmla="val 50000"/>
            <a:gd name="adj2" fmla="val 5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08000" rIns="254000" bIns="130556" numCol="1" spcCol="1270" anchor="ctr" anchorCtr="0">
          <a:noAutofit/>
        </a:bodyPr>
        <a:lstStyle/>
        <a:p>
          <a:pPr lvl="0" algn="ctr" defTabSz="444500">
            <a:lnSpc>
              <a:spcPct val="90000"/>
            </a:lnSpc>
            <a:spcBef>
              <a:spcPct val="0"/>
            </a:spcBef>
            <a:spcAft>
              <a:spcPct val="35000"/>
            </a:spcAft>
          </a:pPr>
          <a:r>
            <a:rPr lang="sr-Cyrl-BA" sz="1000" b="1" kern="1200">
              <a:solidFill>
                <a:sysClr val="windowText" lastClr="000000"/>
              </a:solidFill>
              <a:latin typeface="Arial" charset="0"/>
              <a:cs typeface="Arial" charset="0"/>
            </a:rPr>
            <a:t>Развој знања - Педагошке компетенције наставника</a:t>
          </a:r>
          <a:endParaRPr lang="en-US" sz="1000" b="1" kern="1200">
            <a:solidFill>
              <a:sysClr val="windowText" lastClr="000000"/>
            </a:solidFill>
            <a:latin typeface="Arial" charset="0"/>
            <a:cs typeface="Arial" charset="0"/>
          </a:endParaRPr>
        </a:p>
      </dsp:txBody>
      <dsp:txXfrm>
        <a:off x="-23101" y="624474"/>
        <a:ext cx="5443344" cy="411201"/>
      </dsp:txXfrm>
    </dsp:sp>
    <dsp:sp modelId="{752DBB05-AA56-E846-940E-2699223DD8EB}">
      <dsp:nvSpPr>
        <dsp:cNvPr id="0" name=""/>
        <dsp:cNvSpPr/>
      </dsp:nvSpPr>
      <dsp:spPr>
        <a:xfrm>
          <a:off x="0" y="1026627"/>
          <a:ext cx="1232342" cy="2555059"/>
        </a:xfrm>
        <a:prstGeom prst="rect">
          <a:avLst/>
        </a:prstGeom>
        <a:solidFill>
          <a:schemeClr val="lt1"/>
        </a:solidFill>
        <a:ln w="12700" cap="flat" cmpd="sng" algn="ctr">
          <a:solidFill>
            <a:schemeClr val="accent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108000" rIns="38100" bIns="38100" numCol="1" spcCol="1270" anchor="t" anchorCtr="0">
          <a:noAutofit/>
        </a:bodyPr>
        <a:lstStyle/>
        <a:p>
          <a:pPr lvl="0" algn="l" defTabSz="444500">
            <a:lnSpc>
              <a:spcPct val="90000"/>
            </a:lnSpc>
            <a:spcBef>
              <a:spcPct val="0"/>
            </a:spcBef>
            <a:spcAft>
              <a:spcPct val="35000"/>
            </a:spcAft>
          </a:pPr>
          <a:r>
            <a:rPr lang="sr-Cyrl-BA" sz="1000" kern="1200">
              <a:solidFill>
                <a:sysClr val="windowText" lastClr="000000"/>
              </a:solidFill>
              <a:latin typeface="Arial" charset="0"/>
              <a:cs typeface="Arial" charset="0"/>
            </a:rPr>
            <a:t>1.Дигитално учење и подучавање и њихова повезаност са образовном политиком </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2.Дигитално учење и подучавање са инклузивним приступом </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3.Дигитално оцјењивање и вредновање</a:t>
          </a:r>
          <a:endParaRPr lang="en-GB" sz="1000" kern="1200">
            <a:solidFill>
              <a:sysClr val="windowText" lastClr="000000"/>
            </a:solidFill>
            <a:latin typeface="Arial" charset="0"/>
            <a:ea typeface="Arial" charset="0"/>
            <a:cs typeface="Arial" charset="0"/>
          </a:endParaRPr>
        </a:p>
        <a:p>
          <a:pPr lvl="0" algn="l" defTabSz="444500">
            <a:lnSpc>
              <a:spcPct val="90000"/>
            </a:lnSpc>
            <a:spcBef>
              <a:spcPct val="0"/>
            </a:spcBef>
            <a:spcAft>
              <a:spcPct val="35000"/>
            </a:spcAft>
          </a:pPr>
          <a:endParaRPr lang="en-US" sz="1000" kern="1200">
            <a:solidFill>
              <a:sysClr val="windowText" lastClr="000000"/>
            </a:solidFill>
            <a:latin typeface="Arial" charset="0"/>
            <a:cs typeface="Arial" charset="0"/>
          </a:endParaRPr>
        </a:p>
      </dsp:txBody>
      <dsp:txXfrm>
        <a:off x="0" y="1026627"/>
        <a:ext cx="1232342" cy="2555059"/>
      </dsp:txXfrm>
    </dsp:sp>
    <dsp:sp modelId="{E2859B6A-2235-3E43-AFB1-1F95060CCA3E}">
      <dsp:nvSpPr>
        <dsp:cNvPr id="0" name=""/>
        <dsp:cNvSpPr/>
      </dsp:nvSpPr>
      <dsp:spPr>
        <a:xfrm>
          <a:off x="1278980" y="743398"/>
          <a:ext cx="4346863" cy="822401"/>
        </a:xfrm>
        <a:prstGeom prst="rightArrow">
          <a:avLst>
            <a:gd name="adj1" fmla="val 50000"/>
            <a:gd name="adj2" fmla="val 50000"/>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08000" rIns="254000" bIns="130556" numCol="1" spcCol="1270" anchor="ctr" anchorCtr="0">
          <a:noAutofit/>
        </a:bodyPr>
        <a:lstStyle/>
        <a:p>
          <a:pPr lvl="0" algn="ctr" defTabSz="444500">
            <a:lnSpc>
              <a:spcPct val="90000"/>
            </a:lnSpc>
            <a:spcBef>
              <a:spcPct val="0"/>
            </a:spcBef>
            <a:spcAft>
              <a:spcPct val="35000"/>
            </a:spcAft>
          </a:pPr>
          <a:r>
            <a:rPr lang="sr-Cyrl-BA" sz="1000" b="1" kern="1200">
              <a:solidFill>
                <a:sysClr val="windowText" lastClr="000000"/>
              </a:solidFill>
              <a:latin typeface="Arial" charset="0"/>
              <a:cs typeface="Arial" charset="0"/>
            </a:rPr>
            <a:t>Примјена знања – Компетенције ученика/студента</a:t>
          </a:r>
          <a:endParaRPr lang="en-US" sz="1000" b="1" kern="1200">
            <a:solidFill>
              <a:sysClr val="windowText" lastClr="000000"/>
            </a:solidFill>
            <a:latin typeface="Arial" charset="0"/>
            <a:cs typeface="Arial" charset="0"/>
          </a:endParaRPr>
        </a:p>
      </dsp:txBody>
      <dsp:txXfrm>
        <a:off x="1278980" y="948998"/>
        <a:ext cx="4141263" cy="411201"/>
      </dsp:txXfrm>
    </dsp:sp>
    <dsp:sp modelId="{150D265E-9F5D-4A44-9FF4-93289958FA00}">
      <dsp:nvSpPr>
        <dsp:cNvPr id="0" name=""/>
        <dsp:cNvSpPr/>
      </dsp:nvSpPr>
      <dsp:spPr>
        <a:xfrm>
          <a:off x="1291070" y="1379389"/>
          <a:ext cx="1109256" cy="2205369"/>
        </a:xfrm>
        <a:prstGeom prst="rect">
          <a:avLst/>
        </a:prstGeom>
        <a:solidFill>
          <a:schemeClr val="lt1">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08000" rIns="38100" bIns="38100" numCol="1" spcCol="1270" anchor="t" anchorCtr="0">
          <a:noAutofit/>
        </a:bodyPr>
        <a:lstStyle/>
        <a:p>
          <a:pPr lvl="0" algn="l" defTabSz="444500">
            <a:lnSpc>
              <a:spcPct val="90000"/>
            </a:lnSpc>
            <a:spcBef>
              <a:spcPct val="0"/>
            </a:spcBef>
            <a:spcAft>
              <a:spcPct val="35000"/>
            </a:spcAft>
          </a:pPr>
          <a:r>
            <a:rPr lang="sr-Cyrl-BA" sz="1000" kern="1200">
              <a:solidFill>
                <a:sysClr val="windowText" lastClr="000000"/>
              </a:solidFill>
              <a:latin typeface="Arial" charset="0"/>
              <a:cs typeface="Arial" charset="0"/>
            </a:rPr>
            <a:t>1.Потицати развој дигиталних компетенција ученика/студента </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2.Одговорна употреба дигиталне технологије </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3.Рјешавање проблема </a:t>
          </a:r>
        </a:p>
      </dsp:txBody>
      <dsp:txXfrm>
        <a:off x="1291070" y="1379389"/>
        <a:ext cx="1109256" cy="2205369"/>
      </dsp:txXfrm>
    </dsp:sp>
    <dsp:sp modelId="{B7831F29-8105-C449-B6F5-22D51348CFD7}">
      <dsp:nvSpPr>
        <dsp:cNvPr id="0" name=""/>
        <dsp:cNvSpPr/>
      </dsp:nvSpPr>
      <dsp:spPr>
        <a:xfrm>
          <a:off x="2423936" y="1067922"/>
          <a:ext cx="3201922" cy="822401"/>
        </a:xfrm>
        <a:prstGeom prst="rightArrow">
          <a:avLst>
            <a:gd name="adj1" fmla="val 50000"/>
            <a:gd name="adj2" fmla="val 50000"/>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8000" rIns="360000" bIns="130556" numCol="1" spcCol="1270" anchor="ctr" anchorCtr="0">
          <a:noAutofit/>
        </a:bodyPr>
        <a:lstStyle/>
        <a:p>
          <a:pPr lvl="0" algn="ctr" defTabSz="444500">
            <a:lnSpc>
              <a:spcPct val="90000"/>
            </a:lnSpc>
            <a:spcBef>
              <a:spcPct val="0"/>
            </a:spcBef>
            <a:spcAft>
              <a:spcPct val="35000"/>
            </a:spcAft>
          </a:pPr>
          <a:r>
            <a:rPr lang="sr-Cyrl-BA" sz="1000" b="1" kern="1200">
              <a:solidFill>
                <a:sysClr val="windowText" lastClr="000000"/>
              </a:solidFill>
              <a:latin typeface="Arial" charset="0"/>
              <a:cs typeface="Arial" charset="0"/>
            </a:rPr>
            <a:t>Размјена знања – Заједнице праксе</a:t>
          </a:r>
          <a:endParaRPr lang="en-US" sz="1000" b="1" kern="1200">
            <a:solidFill>
              <a:sysClr val="windowText" lastClr="000000"/>
            </a:solidFill>
            <a:latin typeface="Arial" charset="0"/>
            <a:cs typeface="Arial" charset="0"/>
          </a:endParaRPr>
        </a:p>
      </dsp:txBody>
      <dsp:txXfrm>
        <a:off x="2423936" y="1273522"/>
        <a:ext cx="2996322" cy="411201"/>
      </dsp:txXfrm>
    </dsp:sp>
    <dsp:sp modelId="{2F429193-F9A8-BD40-980D-AD97511C0009}">
      <dsp:nvSpPr>
        <dsp:cNvPr id="0" name=""/>
        <dsp:cNvSpPr/>
      </dsp:nvSpPr>
      <dsp:spPr>
        <a:xfrm>
          <a:off x="2435313" y="1691312"/>
          <a:ext cx="1103839" cy="1891876"/>
        </a:xfrm>
        <a:prstGeom prst="rect">
          <a:avLst/>
        </a:prstGeom>
        <a:solidFill>
          <a:schemeClr val="lt1">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08000" rIns="38100" bIns="38100" numCol="1" spcCol="1270" anchor="t" anchorCtr="0">
          <a:noAutofit/>
        </a:bodyPr>
        <a:lstStyle/>
        <a:p>
          <a:pPr lvl="0" algn="l" defTabSz="444500">
            <a:lnSpc>
              <a:spcPct val="90000"/>
            </a:lnSpc>
            <a:spcBef>
              <a:spcPct val="0"/>
            </a:spcBef>
            <a:spcAft>
              <a:spcPct val="35000"/>
            </a:spcAft>
          </a:pPr>
          <a:r>
            <a:rPr lang="sr-Cyrl-BA" sz="1000" kern="1200">
              <a:solidFill>
                <a:sysClr val="windowText" lastClr="000000"/>
              </a:solidFill>
              <a:latin typeface="Arial" charset="0"/>
              <a:cs typeface="Arial" charset="0"/>
            </a:rPr>
            <a:t>1.Професионални ангажман и континуирани професионални развој</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2.Размишљати о постојећим и истражити нова професионална знања </a:t>
          </a:r>
        </a:p>
        <a:p>
          <a:pPr lvl="0" defTabSz="444500">
            <a:lnSpc>
              <a:spcPct val="90000"/>
            </a:lnSpc>
            <a:spcBef>
              <a:spcPct val="0"/>
            </a:spcBef>
            <a:spcAft>
              <a:spcPct val="35000"/>
            </a:spcAft>
          </a:pPr>
          <a:r>
            <a:rPr lang="sr-Cyrl-BA" sz="1000" kern="1200">
              <a:solidFill>
                <a:sysClr val="windowText" lastClr="000000"/>
              </a:solidFill>
              <a:latin typeface="Arial" charset="0"/>
              <a:cs typeface="Arial" charset="0"/>
            </a:rPr>
            <a:t>3.Обука и менторство</a:t>
          </a:r>
          <a:endParaRPr lang="en-GB" sz="1000" kern="1200">
            <a:solidFill>
              <a:sysClr val="windowText" lastClr="000000"/>
            </a:solidFill>
            <a:latin typeface="Arial" charset="0"/>
            <a:ea typeface="Arial" charset="0"/>
            <a:cs typeface="Arial" charset="0"/>
          </a:endParaRPr>
        </a:p>
      </dsp:txBody>
      <dsp:txXfrm>
        <a:off x="2435313" y="1691312"/>
        <a:ext cx="1103839" cy="1891876"/>
      </dsp:txXfrm>
    </dsp:sp>
    <dsp:sp modelId="{B59FC7C7-AA76-D944-83B9-963C0196B65C}">
      <dsp:nvSpPr>
        <dsp:cNvPr id="0" name=""/>
        <dsp:cNvSpPr/>
      </dsp:nvSpPr>
      <dsp:spPr>
        <a:xfrm>
          <a:off x="3577082" y="1456798"/>
          <a:ext cx="2037337" cy="838652"/>
        </a:xfrm>
        <a:prstGeom prst="rightArrow">
          <a:avLst>
            <a:gd name="adj1" fmla="val 50000"/>
            <a:gd name="adj2" fmla="val 5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72000" rIns="144000" bIns="72000" numCol="1" spcCol="1270" anchor="ctr" anchorCtr="0">
          <a:noAutofit/>
        </a:bodyPr>
        <a:lstStyle/>
        <a:p>
          <a:pPr lvl="0" algn="ctr" defTabSz="400050">
            <a:lnSpc>
              <a:spcPct val="90000"/>
            </a:lnSpc>
            <a:spcBef>
              <a:spcPct val="0"/>
            </a:spcBef>
            <a:spcAft>
              <a:spcPct val="35000"/>
            </a:spcAft>
          </a:pPr>
          <a:r>
            <a:rPr lang="sr-Cyrl-BA" sz="900" b="1" kern="1200">
              <a:solidFill>
                <a:sysClr val="windowText" lastClr="000000"/>
              </a:solidFill>
              <a:latin typeface="Arial" charset="0"/>
              <a:cs typeface="Arial" charset="0"/>
            </a:rPr>
            <a:t>Знање и комуникација  - Организацијска комуникација</a:t>
          </a:r>
          <a:endParaRPr lang="en-US" sz="900" b="1" kern="1200">
            <a:solidFill>
              <a:sysClr val="windowText" lastClr="000000"/>
            </a:solidFill>
            <a:latin typeface="Arial" charset="0"/>
            <a:cs typeface="Arial" charset="0"/>
          </a:endParaRPr>
        </a:p>
      </dsp:txBody>
      <dsp:txXfrm>
        <a:off x="3577082" y="1666461"/>
        <a:ext cx="1827674" cy="419326"/>
      </dsp:txXfrm>
    </dsp:sp>
    <dsp:sp modelId="{165AB93A-0751-AF41-82E2-50449CC3E944}">
      <dsp:nvSpPr>
        <dsp:cNvPr id="0" name=""/>
        <dsp:cNvSpPr/>
      </dsp:nvSpPr>
      <dsp:spPr>
        <a:xfrm>
          <a:off x="3582874" y="2087278"/>
          <a:ext cx="1355057" cy="1502865"/>
        </a:xfrm>
        <a:prstGeom prst="rect">
          <a:avLst/>
        </a:prstGeom>
        <a:solidFill>
          <a:schemeClr val="lt1">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08000" rIns="38100" bIns="108000" numCol="1" spcCol="1270" anchor="t" anchorCtr="0">
          <a:noAutofit/>
        </a:bodyPr>
        <a:lstStyle/>
        <a:p>
          <a:pPr lvl="0" algn="l" defTabSz="444500">
            <a:lnSpc>
              <a:spcPct val="90000"/>
            </a:lnSpc>
            <a:spcBef>
              <a:spcPct val="0"/>
            </a:spcBef>
            <a:spcAft>
              <a:spcPct val="35000"/>
            </a:spcAft>
          </a:pPr>
          <a:r>
            <a:rPr lang="sr-Cyrl-BA" sz="1000" kern="1200">
              <a:solidFill>
                <a:sysClr val="windowText" lastClr="000000"/>
              </a:solidFill>
              <a:latin typeface="Arial" charset="0"/>
              <a:cs typeface="Arial" charset="0"/>
            </a:rPr>
            <a:t>1.Дигитална организацијска комуникација са ученицима/студентима и другим учесницима у образовању</a:t>
          </a:r>
          <a:endParaRPr lang="en-GB" sz="1000" kern="1200">
            <a:solidFill>
              <a:sysClr val="windowText" lastClr="000000"/>
            </a:solidFill>
            <a:latin typeface="Arial" charset="0"/>
            <a:ea typeface="Arial" charset="0"/>
            <a:cs typeface="Arial" charset="0"/>
          </a:endParaRPr>
        </a:p>
        <a:p>
          <a:pPr lvl="0" algn="l" defTabSz="444500">
            <a:lnSpc>
              <a:spcPct val="90000"/>
            </a:lnSpc>
            <a:spcBef>
              <a:spcPct val="0"/>
            </a:spcBef>
            <a:spcAft>
              <a:spcPct val="35000"/>
            </a:spcAft>
          </a:pPr>
          <a:r>
            <a:rPr lang="sr-Cyrl-BA" sz="1000" kern="1200">
              <a:solidFill>
                <a:sysClr val="windowText" lastClr="000000"/>
              </a:solidFill>
              <a:latin typeface="Arial" charset="0"/>
              <a:cs typeface="Arial" charset="0"/>
            </a:rPr>
            <a:t>2.Сигурна и одговорна употреба дигиталних извора </a:t>
          </a:r>
          <a:endParaRPr lang="en-US" sz="1000" kern="1200">
            <a:solidFill>
              <a:sysClr val="windowText" lastClr="000000"/>
            </a:solidFill>
            <a:latin typeface="Arial" charset="0"/>
            <a:cs typeface="Arial" charset="0"/>
          </a:endParaRPr>
        </a:p>
      </dsp:txBody>
      <dsp:txXfrm>
        <a:off x="3582874" y="2087278"/>
        <a:ext cx="1355057" cy="15028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D0C49F-19A9-AD4D-A6B1-D46C263B0B11}">
      <dsp:nvSpPr>
        <dsp:cNvPr id="0" name=""/>
        <dsp:cNvSpPr/>
      </dsp:nvSpPr>
      <dsp:spPr>
        <a:xfrm>
          <a:off x="2068123" y="1257957"/>
          <a:ext cx="1518402" cy="1478184"/>
        </a:xfrm>
        <a:prstGeom prst="ellipse">
          <a:avLst/>
        </a:prstGeom>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12065" rIns="0" bIns="12065" numCol="1" spcCol="1270" anchor="ctr" anchorCtr="0">
          <a:noAutofit/>
        </a:bodyPr>
        <a:lstStyle/>
        <a:p>
          <a:pPr lvl="0" algn="ctr" defTabSz="844550">
            <a:lnSpc>
              <a:spcPct val="90000"/>
            </a:lnSpc>
            <a:spcBef>
              <a:spcPct val="0"/>
            </a:spcBef>
            <a:spcAft>
              <a:spcPct val="35000"/>
            </a:spcAft>
          </a:pPr>
          <a:r>
            <a:rPr lang="sr-Cyrl-BA" sz="1900" b="1" kern="1200" cap="none" spc="0">
              <a:ln w="0"/>
              <a:solidFill>
                <a:srgbClr val="00B0F0"/>
              </a:solidFill>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rPr>
            <a:t>СЕЛФИЕ</a:t>
          </a:r>
          <a:endParaRPr lang="en-US" sz="1900" b="1" kern="1200" cap="none" spc="0">
            <a:ln w="0"/>
            <a:solidFill>
              <a:srgbClr val="00B0F0"/>
            </a:solidFill>
            <a:effectLst>
              <a:outerShdw blurRad="38100" dist="19050" dir="2700000" algn="tl" rotWithShape="0">
                <a:schemeClr val="dk1">
                  <a:alpha val="40000"/>
                </a:schemeClr>
              </a:outerShdw>
            </a:effectLst>
            <a:latin typeface="Arial" panose="020B0604020202020204" pitchFamily="34" charset="0"/>
            <a:cs typeface="Arial" panose="020B0604020202020204" pitchFamily="34" charset="0"/>
          </a:endParaRPr>
        </a:p>
      </dsp:txBody>
      <dsp:txXfrm>
        <a:off x="2290488" y="1474432"/>
        <a:ext cx="1073672" cy="1045234"/>
      </dsp:txXfrm>
    </dsp:sp>
    <dsp:sp modelId="{3CF61727-669F-BF4B-8920-3B8A090CBAEC}">
      <dsp:nvSpPr>
        <dsp:cNvPr id="0" name=""/>
        <dsp:cNvSpPr/>
      </dsp:nvSpPr>
      <dsp:spPr>
        <a:xfrm rot="16200000">
          <a:off x="2746236" y="1162545"/>
          <a:ext cx="162176" cy="28646"/>
        </a:xfrm>
        <a:custGeom>
          <a:avLst/>
          <a:gdLst/>
          <a:ahLst/>
          <a:cxnLst/>
          <a:rect l="0" t="0" r="0" b="0"/>
          <a:pathLst>
            <a:path>
              <a:moveTo>
                <a:pt x="0" y="14323"/>
              </a:moveTo>
              <a:lnTo>
                <a:pt x="162176"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a:off x="2823270" y="1172814"/>
        <a:ext cx="8108" cy="8108"/>
      </dsp:txXfrm>
    </dsp:sp>
    <dsp:sp modelId="{82A11F61-6F38-3F48-89A8-A16B9E1D4EDC}">
      <dsp:nvSpPr>
        <dsp:cNvPr id="0" name=""/>
        <dsp:cNvSpPr/>
      </dsp:nvSpPr>
      <dsp:spPr>
        <a:xfrm>
          <a:off x="2197325" y="-164217"/>
          <a:ext cx="1259998" cy="1259998"/>
        </a:xfrm>
        <a:prstGeom prst="ellipse">
          <a:avLst/>
        </a:prstGeom>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Педагогија: подршка и ресурси</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2381847" y="20305"/>
        <a:ext cx="890954" cy="890954"/>
      </dsp:txXfrm>
    </dsp:sp>
    <dsp:sp modelId="{6C6E85E5-022F-D247-8D4B-7BE7E4B7FBDF}">
      <dsp:nvSpPr>
        <dsp:cNvPr id="0" name=""/>
        <dsp:cNvSpPr/>
      </dsp:nvSpPr>
      <dsp:spPr>
        <a:xfrm rot="18900000">
          <a:off x="3334601" y="1399287"/>
          <a:ext cx="152324" cy="28646"/>
        </a:xfrm>
        <a:custGeom>
          <a:avLst/>
          <a:gdLst/>
          <a:ahLst/>
          <a:cxnLst/>
          <a:rect l="0" t="0" r="0" b="0"/>
          <a:pathLst>
            <a:path>
              <a:moveTo>
                <a:pt x="0" y="14323"/>
              </a:moveTo>
              <a:lnTo>
                <a:pt x="152324"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a:off x="3406955" y="1409802"/>
        <a:ext cx="7616" cy="7616"/>
      </dsp:txXfrm>
    </dsp:sp>
    <dsp:sp modelId="{843CE498-2F6E-314C-B1A3-6C684C9E9D92}">
      <dsp:nvSpPr>
        <dsp:cNvPr id="0" name=""/>
        <dsp:cNvSpPr/>
      </dsp:nvSpPr>
      <dsp:spPr>
        <a:xfrm>
          <a:off x="3280095" y="284280"/>
          <a:ext cx="1259998" cy="1259998"/>
        </a:xfrm>
        <a:prstGeom prst="ellipse">
          <a:avLst/>
        </a:prstGeom>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Педагогија: вођење у учионици</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3464617" y="468802"/>
        <a:ext cx="890954" cy="890954"/>
      </dsp:txXfrm>
    </dsp:sp>
    <dsp:sp modelId="{D0B0BE3B-FB1B-A74D-987E-7441FEB2E3C5}">
      <dsp:nvSpPr>
        <dsp:cNvPr id="0" name=""/>
        <dsp:cNvSpPr/>
      </dsp:nvSpPr>
      <dsp:spPr>
        <a:xfrm>
          <a:off x="3586526" y="1982726"/>
          <a:ext cx="142067" cy="28646"/>
        </a:xfrm>
        <a:custGeom>
          <a:avLst/>
          <a:gdLst/>
          <a:ahLst/>
          <a:cxnLst/>
          <a:rect l="0" t="0" r="0" b="0"/>
          <a:pathLst>
            <a:path>
              <a:moveTo>
                <a:pt x="0" y="14323"/>
              </a:moveTo>
              <a:lnTo>
                <a:pt x="142067"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a:off x="3654008" y="1993497"/>
        <a:ext cx="7103" cy="7103"/>
      </dsp:txXfrm>
    </dsp:sp>
    <dsp:sp modelId="{3D1B5CB0-8CC7-8F40-B30A-A690BBB11642}">
      <dsp:nvSpPr>
        <dsp:cNvPr id="0" name=""/>
        <dsp:cNvSpPr/>
      </dsp:nvSpPr>
      <dsp:spPr>
        <a:xfrm>
          <a:off x="3728593" y="1367050"/>
          <a:ext cx="1259998" cy="1259998"/>
        </a:xfrm>
        <a:prstGeom prst="ellipse">
          <a:avLst/>
        </a:prstGeom>
        <a:gradFill flip="none" rotWithShape="1">
          <a:gsLst>
            <a:gs pos="0">
              <a:schemeClr val="lt1">
                <a:hueOff val="0"/>
                <a:satOff val="0"/>
                <a:alphaOff val="0"/>
                <a:satMod val="103000"/>
                <a:tint val="94000"/>
                <a:lumMod val="100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Сарадња и умрежавање</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3913115" y="1551572"/>
        <a:ext cx="890954" cy="890954"/>
      </dsp:txXfrm>
    </dsp:sp>
    <dsp:sp modelId="{35FC0A38-9BEC-AD45-8930-F12B71B3F7E9}">
      <dsp:nvSpPr>
        <dsp:cNvPr id="0" name=""/>
        <dsp:cNvSpPr/>
      </dsp:nvSpPr>
      <dsp:spPr>
        <a:xfrm rot="2700000">
          <a:off x="3334601" y="2566164"/>
          <a:ext cx="152324" cy="28646"/>
        </a:xfrm>
        <a:custGeom>
          <a:avLst/>
          <a:gdLst/>
          <a:ahLst/>
          <a:cxnLst/>
          <a:rect l="0" t="0" r="0" b="0"/>
          <a:pathLst>
            <a:path>
              <a:moveTo>
                <a:pt x="0" y="14323"/>
              </a:moveTo>
              <a:lnTo>
                <a:pt x="152324"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a:off x="3406955" y="2576679"/>
        <a:ext cx="7616" cy="7616"/>
      </dsp:txXfrm>
    </dsp:sp>
    <dsp:sp modelId="{3774576C-80E1-8848-AC42-578321B69118}">
      <dsp:nvSpPr>
        <dsp:cNvPr id="0" name=""/>
        <dsp:cNvSpPr/>
      </dsp:nvSpPr>
      <dsp:spPr>
        <a:xfrm>
          <a:off x="3280095" y="2449820"/>
          <a:ext cx="1259998" cy="1259998"/>
        </a:xfrm>
        <a:prstGeom prst="ellipse">
          <a:avLst/>
        </a:prstGeom>
        <a:gradFill flip="none" rotWithShape="1">
          <a:gsLst>
            <a:gs pos="0">
              <a:schemeClr val="lt1">
                <a:hueOff val="0"/>
                <a:satOff val="0"/>
                <a:alphaOff val="0"/>
                <a:satMod val="103000"/>
                <a:tint val="94000"/>
                <a:lumMod val="100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Управа</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3464617" y="2634342"/>
        <a:ext cx="890954" cy="890954"/>
      </dsp:txXfrm>
    </dsp:sp>
    <dsp:sp modelId="{9C91C644-5021-9E4C-83B9-5E808BBC3EA8}">
      <dsp:nvSpPr>
        <dsp:cNvPr id="0" name=""/>
        <dsp:cNvSpPr/>
      </dsp:nvSpPr>
      <dsp:spPr>
        <a:xfrm rot="5400000">
          <a:off x="2746236" y="2802906"/>
          <a:ext cx="162176" cy="28646"/>
        </a:xfrm>
        <a:custGeom>
          <a:avLst/>
          <a:gdLst/>
          <a:ahLst/>
          <a:cxnLst/>
          <a:rect l="0" t="0" r="0" b="0"/>
          <a:pathLst>
            <a:path>
              <a:moveTo>
                <a:pt x="0" y="14323"/>
              </a:moveTo>
              <a:lnTo>
                <a:pt x="162176"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a:off x="2823270" y="2813175"/>
        <a:ext cx="8108" cy="8108"/>
      </dsp:txXfrm>
    </dsp:sp>
    <dsp:sp modelId="{EE89B8C4-A46B-704C-91C8-87B491218848}">
      <dsp:nvSpPr>
        <dsp:cNvPr id="0" name=""/>
        <dsp:cNvSpPr/>
      </dsp:nvSpPr>
      <dsp:spPr>
        <a:xfrm>
          <a:off x="2197325" y="2898318"/>
          <a:ext cx="1259998" cy="1259998"/>
        </a:xfrm>
        <a:prstGeom prst="ellipse">
          <a:avLst/>
        </a:prstGeom>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Дигитална компетенција ученика </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2381847" y="3082840"/>
        <a:ext cx="890954" cy="890954"/>
      </dsp:txXfrm>
    </dsp:sp>
    <dsp:sp modelId="{58D43498-798D-8A48-9E23-D16FD872D5A7}">
      <dsp:nvSpPr>
        <dsp:cNvPr id="0" name=""/>
        <dsp:cNvSpPr/>
      </dsp:nvSpPr>
      <dsp:spPr>
        <a:xfrm rot="8100000">
          <a:off x="2167724" y="2566164"/>
          <a:ext cx="152324" cy="28646"/>
        </a:xfrm>
        <a:custGeom>
          <a:avLst/>
          <a:gdLst/>
          <a:ahLst/>
          <a:cxnLst/>
          <a:rect l="0" t="0" r="0" b="0"/>
          <a:pathLst>
            <a:path>
              <a:moveTo>
                <a:pt x="0" y="14323"/>
              </a:moveTo>
              <a:lnTo>
                <a:pt x="152324"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rot="10800000">
        <a:off x="2240078" y="2576679"/>
        <a:ext cx="7616" cy="7616"/>
      </dsp:txXfrm>
    </dsp:sp>
    <dsp:sp modelId="{F170FD62-5925-C241-807E-0115BEB39AFB}">
      <dsp:nvSpPr>
        <dsp:cNvPr id="0" name=""/>
        <dsp:cNvSpPr/>
      </dsp:nvSpPr>
      <dsp:spPr>
        <a:xfrm>
          <a:off x="1114555" y="2449820"/>
          <a:ext cx="1259998" cy="1259998"/>
        </a:xfrm>
        <a:prstGeom prst="ellipse">
          <a:avLst/>
        </a:prstGeom>
        <a:gradFill flip="none" rotWithShape="1">
          <a:gsLst>
            <a:gs pos="0">
              <a:schemeClr val="bg1"/>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Инфраструк-тура и опрема </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1299077" y="2634342"/>
        <a:ext cx="890954" cy="890954"/>
      </dsp:txXfrm>
    </dsp:sp>
    <dsp:sp modelId="{B02B7923-A519-684C-B11A-484A0C55465C}">
      <dsp:nvSpPr>
        <dsp:cNvPr id="0" name=""/>
        <dsp:cNvSpPr/>
      </dsp:nvSpPr>
      <dsp:spPr>
        <a:xfrm rot="10800000">
          <a:off x="1926056" y="1982726"/>
          <a:ext cx="142067" cy="28646"/>
        </a:xfrm>
        <a:custGeom>
          <a:avLst/>
          <a:gdLst/>
          <a:ahLst/>
          <a:cxnLst/>
          <a:rect l="0" t="0" r="0" b="0"/>
          <a:pathLst>
            <a:path>
              <a:moveTo>
                <a:pt x="0" y="14323"/>
              </a:moveTo>
              <a:lnTo>
                <a:pt x="142067"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rot="10800000">
        <a:off x="1993538" y="1993497"/>
        <a:ext cx="7103" cy="7103"/>
      </dsp:txXfrm>
    </dsp:sp>
    <dsp:sp modelId="{BB5CDFC9-6374-024C-AB5A-FC9ED52A34EA}">
      <dsp:nvSpPr>
        <dsp:cNvPr id="0" name=""/>
        <dsp:cNvSpPr/>
      </dsp:nvSpPr>
      <dsp:spPr>
        <a:xfrm>
          <a:off x="666057" y="1367050"/>
          <a:ext cx="1259998" cy="1259998"/>
        </a:xfrm>
        <a:prstGeom prst="ellipse">
          <a:avLst/>
        </a:prstGeom>
        <a:gradFill flip="none" rotWithShape="1">
          <a:gsLst>
            <a:gs pos="0">
              <a:schemeClr val="lt1">
                <a:hueOff val="0"/>
                <a:satOff val="0"/>
                <a:lumOff val="0"/>
                <a:alphaOff val="0"/>
                <a:satMod val="103000"/>
                <a:lumMod val="102000"/>
                <a:tint val="94000"/>
              </a:schemeClr>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Континуално стручно усаврша-вање</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850579" y="1551572"/>
        <a:ext cx="890954" cy="890954"/>
      </dsp:txXfrm>
    </dsp:sp>
    <dsp:sp modelId="{FD6E4706-A770-AE4E-8DDB-9E94B4BD3FC3}">
      <dsp:nvSpPr>
        <dsp:cNvPr id="0" name=""/>
        <dsp:cNvSpPr/>
      </dsp:nvSpPr>
      <dsp:spPr>
        <a:xfrm rot="13500000">
          <a:off x="2167724" y="1399287"/>
          <a:ext cx="152324" cy="28646"/>
        </a:xfrm>
        <a:custGeom>
          <a:avLst/>
          <a:gdLst/>
          <a:ahLst/>
          <a:cxnLst/>
          <a:rect l="0" t="0" r="0" b="0"/>
          <a:pathLst>
            <a:path>
              <a:moveTo>
                <a:pt x="0" y="14323"/>
              </a:moveTo>
              <a:lnTo>
                <a:pt x="152324" y="14323"/>
              </a:lnTo>
            </a:path>
          </a:pathLst>
        </a:custGeom>
        <a:noFill/>
        <a:ln w="6350" cap="flat" cmpd="sng" algn="ctr">
          <a:solidFill>
            <a:srgbClr val="00B0F0"/>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GB" sz="900" b="0" kern="1200" cap="none" spc="0">
            <a:ln w="0"/>
            <a:solidFill>
              <a:srgbClr val="00B0F0"/>
            </a:solidFill>
            <a:effectLst>
              <a:outerShdw blurRad="38100" dist="19050" dir="2700000" algn="tl" rotWithShape="0">
                <a:schemeClr val="dk1">
                  <a:alpha val="40000"/>
                </a:schemeClr>
              </a:outerShdw>
            </a:effectLst>
          </a:endParaRPr>
        </a:p>
      </dsp:txBody>
      <dsp:txXfrm rot="10800000">
        <a:off x="2240078" y="1409802"/>
        <a:ext cx="7616" cy="7616"/>
      </dsp:txXfrm>
    </dsp:sp>
    <dsp:sp modelId="{1DACD5EA-C9F0-FC40-A182-09C5554E0177}">
      <dsp:nvSpPr>
        <dsp:cNvPr id="0" name=""/>
        <dsp:cNvSpPr/>
      </dsp:nvSpPr>
      <dsp:spPr>
        <a:xfrm>
          <a:off x="1114555" y="284280"/>
          <a:ext cx="1259998" cy="1259998"/>
        </a:xfrm>
        <a:prstGeom prst="ellipse">
          <a:avLst/>
        </a:prstGeom>
        <a:gradFill flip="none" rotWithShape="1">
          <a:gsLst>
            <a:gs pos="0">
              <a:schemeClr val="bg1"/>
            </a:gs>
            <a:gs pos="100000">
              <a:srgbClr val="D3E5ED"/>
            </a:gs>
          </a:gsLst>
          <a:path path="circle">
            <a:fillToRect r="100000" b="100000"/>
          </a:path>
          <a:tileRect l="-100000" t="-10000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BA" sz="1000" b="1" kern="1200" cap="none" spc="0">
              <a:ln w="0"/>
              <a:solidFill>
                <a:srgbClr val="00B0F0"/>
              </a:solidFill>
              <a:effectLst/>
              <a:latin typeface="Arial" panose="020B0604020202020204" pitchFamily="34" charset="0"/>
              <a:cs typeface="Arial" panose="020B0604020202020204" pitchFamily="34" charset="0"/>
            </a:rPr>
            <a:t>Праксе вредновања </a:t>
          </a:r>
          <a:endParaRPr lang="en-US" sz="1000" b="1" kern="1200" cap="none" spc="0">
            <a:ln w="0"/>
            <a:solidFill>
              <a:srgbClr val="00B0F0"/>
            </a:solidFill>
            <a:effectLst/>
            <a:latin typeface="Arial" panose="020B0604020202020204" pitchFamily="34" charset="0"/>
            <a:cs typeface="Arial" panose="020B0604020202020204" pitchFamily="34" charset="0"/>
          </a:endParaRPr>
        </a:p>
      </dsp:txBody>
      <dsp:txXfrm>
        <a:off x="1299077" y="468802"/>
        <a:ext cx="890954" cy="890954"/>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1E579353A8D4997C73D7EBAA2507D" ma:contentTypeVersion="1" ma:contentTypeDescription="Create a new document." ma:contentTypeScope="" ma:versionID="99a3d38efdf97af5aaf540ebb513f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EBEE-4398-4D0E-9CA4-691C729AE371}"/>
</file>

<file path=customXml/itemProps2.xml><?xml version="1.0" encoding="utf-8"?>
<ds:datastoreItem xmlns:ds="http://schemas.openxmlformats.org/officeDocument/2006/customXml" ds:itemID="{FC045B63-EE2B-46DD-8800-EEE6AE1203CC}">
  <ds:schemaRefs>
    <ds:schemaRef ds:uri="http://schemas.microsoft.com/office/2006/metadata/properties"/>
    <ds:schemaRef ds:uri="http://schemas.microsoft.com/office/infopath/2007/PartnerControls"/>
    <ds:schemaRef ds:uri="7aba61b1-2d8c-4b58-806a-13b206d8a958"/>
    <ds:schemaRef ds:uri="ca283e0b-db31-4043-a2ef-b80661bf084a"/>
  </ds:schemaRefs>
</ds:datastoreItem>
</file>

<file path=customXml/itemProps3.xml><?xml version="1.0" encoding="utf-8"?>
<ds:datastoreItem xmlns:ds="http://schemas.openxmlformats.org/officeDocument/2006/customXml" ds:itemID="{42F2ED58-1B2F-4B2A-9999-2E34F76EAA3B}">
  <ds:schemaRefs>
    <ds:schemaRef ds:uri="http://schemas.microsoft.com/sharepoint/v3/contenttype/forms"/>
  </ds:schemaRefs>
</ds:datastoreItem>
</file>

<file path=customXml/itemProps4.xml><?xml version="1.0" encoding="utf-8"?>
<ds:datastoreItem xmlns:ds="http://schemas.openxmlformats.org/officeDocument/2006/customXml" ds:itemID="{10CE7293-FC2E-42A6-96A9-9580FBC7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21788</Words>
  <Characters>124193</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145690</CharactersWithSpaces>
  <SharedDoc>false</SharedDoc>
  <HLinks>
    <vt:vector size="156" baseType="variant">
      <vt:variant>
        <vt:i4>6291517</vt:i4>
      </vt:variant>
      <vt:variant>
        <vt:i4>90</vt:i4>
      </vt:variant>
      <vt:variant>
        <vt:i4>0</vt:i4>
      </vt:variant>
      <vt:variant>
        <vt:i4>5</vt:i4>
      </vt:variant>
      <vt:variant>
        <vt:lpwstr>http://os-slatine.skole.hr/upload/os-slatine/images/newsimg/677/File/SELFIE-report (1).pdf</vt:lpwstr>
      </vt:variant>
      <vt:variant>
        <vt:lpwstr/>
      </vt:variant>
      <vt:variant>
        <vt:i4>4194312</vt:i4>
      </vt:variant>
      <vt:variant>
        <vt:i4>87</vt:i4>
      </vt:variant>
      <vt:variant>
        <vt:i4>0</vt:i4>
      </vt:variant>
      <vt:variant>
        <vt:i4>5</vt:i4>
      </vt:variant>
      <vt:variant>
        <vt:lpwstr>https://www.unicef.org/serbia/otvoreni-obrazovni-digitalni-alati-za-interaktivnu-nastavu-i-ucenje-preko-interneta</vt:lpwstr>
      </vt:variant>
      <vt:variant>
        <vt:lpwstr/>
      </vt:variant>
      <vt:variant>
        <vt:i4>1441850</vt:i4>
      </vt:variant>
      <vt:variant>
        <vt:i4>80</vt:i4>
      </vt:variant>
      <vt:variant>
        <vt:i4>0</vt:i4>
      </vt:variant>
      <vt:variant>
        <vt:i4>5</vt:i4>
      </vt:variant>
      <vt:variant>
        <vt:lpwstr/>
      </vt:variant>
      <vt:variant>
        <vt:lpwstr>_Toc99563759</vt:lpwstr>
      </vt:variant>
      <vt:variant>
        <vt:i4>1572922</vt:i4>
      </vt:variant>
      <vt:variant>
        <vt:i4>74</vt:i4>
      </vt:variant>
      <vt:variant>
        <vt:i4>0</vt:i4>
      </vt:variant>
      <vt:variant>
        <vt:i4>5</vt:i4>
      </vt:variant>
      <vt:variant>
        <vt:lpwstr/>
      </vt:variant>
      <vt:variant>
        <vt:lpwstr>_Toc99563757</vt:lpwstr>
      </vt:variant>
      <vt:variant>
        <vt:i4>1703994</vt:i4>
      </vt:variant>
      <vt:variant>
        <vt:i4>68</vt:i4>
      </vt:variant>
      <vt:variant>
        <vt:i4>0</vt:i4>
      </vt:variant>
      <vt:variant>
        <vt:i4>5</vt:i4>
      </vt:variant>
      <vt:variant>
        <vt:lpwstr/>
      </vt:variant>
      <vt:variant>
        <vt:lpwstr>_Toc99563755</vt:lpwstr>
      </vt:variant>
      <vt:variant>
        <vt:i4>1769530</vt:i4>
      </vt:variant>
      <vt:variant>
        <vt:i4>62</vt:i4>
      </vt:variant>
      <vt:variant>
        <vt:i4>0</vt:i4>
      </vt:variant>
      <vt:variant>
        <vt:i4>5</vt:i4>
      </vt:variant>
      <vt:variant>
        <vt:lpwstr/>
      </vt:variant>
      <vt:variant>
        <vt:lpwstr>_Toc99563754</vt:lpwstr>
      </vt:variant>
      <vt:variant>
        <vt:i4>1835066</vt:i4>
      </vt:variant>
      <vt:variant>
        <vt:i4>56</vt:i4>
      </vt:variant>
      <vt:variant>
        <vt:i4>0</vt:i4>
      </vt:variant>
      <vt:variant>
        <vt:i4>5</vt:i4>
      </vt:variant>
      <vt:variant>
        <vt:lpwstr/>
      </vt:variant>
      <vt:variant>
        <vt:lpwstr>_Toc99563753</vt:lpwstr>
      </vt:variant>
      <vt:variant>
        <vt:i4>1966138</vt:i4>
      </vt:variant>
      <vt:variant>
        <vt:i4>50</vt:i4>
      </vt:variant>
      <vt:variant>
        <vt:i4>0</vt:i4>
      </vt:variant>
      <vt:variant>
        <vt:i4>5</vt:i4>
      </vt:variant>
      <vt:variant>
        <vt:lpwstr/>
      </vt:variant>
      <vt:variant>
        <vt:lpwstr>_Toc99563751</vt:lpwstr>
      </vt:variant>
      <vt:variant>
        <vt:i4>2031674</vt:i4>
      </vt:variant>
      <vt:variant>
        <vt:i4>44</vt:i4>
      </vt:variant>
      <vt:variant>
        <vt:i4>0</vt:i4>
      </vt:variant>
      <vt:variant>
        <vt:i4>5</vt:i4>
      </vt:variant>
      <vt:variant>
        <vt:lpwstr/>
      </vt:variant>
      <vt:variant>
        <vt:lpwstr>_Toc99563750</vt:lpwstr>
      </vt:variant>
      <vt:variant>
        <vt:i4>1441851</vt:i4>
      </vt:variant>
      <vt:variant>
        <vt:i4>38</vt:i4>
      </vt:variant>
      <vt:variant>
        <vt:i4>0</vt:i4>
      </vt:variant>
      <vt:variant>
        <vt:i4>5</vt:i4>
      </vt:variant>
      <vt:variant>
        <vt:lpwstr/>
      </vt:variant>
      <vt:variant>
        <vt:lpwstr>_Toc99563749</vt:lpwstr>
      </vt:variant>
      <vt:variant>
        <vt:i4>1507387</vt:i4>
      </vt:variant>
      <vt:variant>
        <vt:i4>32</vt:i4>
      </vt:variant>
      <vt:variant>
        <vt:i4>0</vt:i4>
      </vt:variant>
      <vt:variant>
        <vt:i4>5</vt:i4>
      </vt:variant>
      <vt:variant>
        <vt:lpwstr/>
      </vt:variant>
      <vt:variant>
        <vt:lpwstr>_Toc99563748</vt:lpwstr>
      </vt:variant>
      <vt:variant>
        <vt:i4>1572923</vt:i4>
      </vt:variant>
      <vt:variant>
        <vt:i4>26</vt:i4>
      </vt:variant>
      <vt:variant>
        <vt:i4>0</vt:i4>
      </vt:variant>
      <vt:variant>
        <vt:i4>5</vt:i4>
      </vt:variant>
      <vt:variant>
        <vt:lpwstr/>
      </vt:variant>
      <vt:variant>
        <vt:lpwstr>_Toc99563747</vt:lpwstr>
      </vt:variant>
      <vt:variant>
        <vt:i4>1638459</vt:i4>
      </vt:variant>
      <vt:variant>
        <vt:i4>20</vt:i4>
      </vt:variant>
      <vt:variant>
        <vt:i4>0</vt:i4>
      </vt:variant>
      <vt:variant>
        <vt:i4>5</vt:i4>
      </vt:variant>
      <vt:variant>
        <vt:lpwstr/>
      </vt:variant>
      <vt:variant>
        <vt:lpwstr>_Toc99563746</vt:lpwstr>
      </vt:variant>
      <vt:variant>
        <vt:i4>1769531</vt:i4>
      </vt:variant>
      <vt:variant>
        <vt:i4>14</vt:i4>
      </vt:variant>
      <vt:variant>
        <vt:i4>0</vt:i4>
      </vt:variant>
      <vt:variant>
        <vt:i4>5</vt:i4>
      </vt:variant>
      <vt:variant>
        <vt:lpwstr/>
      </vt:variant>
      <vt:variant>
        <vt:lpwstr>_Toc99563744</vt:lpwstr>
      </vt:variant>
      <vt:variant>
        <vt:i4>1835067</vt:i4>
      </vt:variant>
      <vt:variant>
        <vt:i4>8</vt:i4>
      </vt:variant>
      <vt:variant>
        <vt:i4>0</vt:i4>
      </vt:variant>
      <vt:variant>
        <vt:i4>5</vt:i4>
      </vt:variant>
      <vt:variant>
        <vt:lpwstr/>
      </vt:variant>
      <vt:variant>
        <vt:lpwstr>_Toc99563743</vt:lpwstr>
      </vt:variant>
      <vt:variant>
        <vt:i4>1900603</vt:i4>
      </vt:variant>
      <vt:variant>
        <vt:i4>2</vt:i4>
      </vt:variant>
      <vt:variant>
        <vt:i4>0</vt:i4>
      </vt:variant>
      <vt:variant>
        <vt:i4>5</vt:i4>
      </vt:variant>
      <vt:variant>
        <vt:lpwstr/>
      </vt:variant>
      <vt:variant>
        <vt:lpwstr>_Toc99563742</vt:lpwstr>
      </vt:variant>
      <vt:variant>
        <vt:i4>5832713</vt:i4>
      </vt:variant>
      <vt:variant>
        <vt:i4>21</vt:i4>
      </vt:variant>
      <vt:variant>
        <vt:i4>0</vt:i4>
      </vt:variant>
      <vt:variant>
        <vt:i4>5</vt:i4>
      </vt:variant>
      <vt:variant>
        <vt:lpwstr>http://hea.gov.ba/Kvalitet/dokumenti/?id=1229</vt:lpwstr>
      </vt:variant>
      <vt:variant>
        <vt:lpwstr/>
      </vt:variant>
      <vt:variant>
        <vt:i4>6291517</vt:i4>
      </vt:variant>
      <vt:variant>
        <vt:i4>18</vt:i4>
      </vt:variant>
      <vt:variant>
        <vt:i4>0</vt:i4>
      </vt:variant>
      <vt:variant>
        <vt:i4>5</vt:i4>
      </vt:variant>
      <vt:variant>
        <vt:lpwstr>http://os-slatine.skole.hr/upload/os-slatine/images/newsimg/677/File/SELFIE-report (1).pdf</vt:lpwstr>
      </vt:variant>
      <vt:variant>
        <vt:lpwstr/>
      </vt:variant>
      <vt:variant>
        <vt:i4>1966111</vt:i4>
      </vt:variant>
      <vt:variant>
        <vt:i4>15</vt:i4>
      </vt:variant>
      <vt:variant>
        <vt:i4>0</vt:i4>
      </vt:variant>
      <vt:variant>
        <vt:i4>5</vt:i4>
      </vt:variant>
      <vt:variant>
        <vt:lpwstr>https://aposo.gov.ba/sadrzaj/uploads/Instrumentarij-za-samovrednovanje-BOS-final1.pdf</vt:lpwstr>
      </vt:variant>
      <vt:variant>
        <vt:lpwstr/>
      </vt:variant>
      <vt:variant>
        <vt:i4>6553718</vt:i4>
      </vt:variant>
      <vt:variant>
        <vt:i4>12</vt:i4>
      </vt:variant>
      <vt:variant>
        <vt:i4>0</vt:i4>
      </vt:variant>
      <vt:variant>
        <vt:i4>5</vt:i4>
      </vt:variant>
      <vt:variant>
        <vt:lpwstr>http://www.hea.gov.ba/o-nama/Misija/?id=486</vt:lpwstr>
      </vt:variant>
      <vt:variant>
        <vt:lpwstr/>
      </vt:variant>
      <vt:variant>
        <vt:i4>7667820</vt:i4>
      </vt:variant>
      <vt:variant>
        <vt:i4>9</vt:i4>
      </vt:variant>
      <vt:variant>
        <vt:i4>0</vt:i4>
      </vt:variant>
      <vt:variant>
        <vt:i4>5</vt:i4>
      </vt:variant>
      <vt:variant>
        <vt:lpwstr>https://aposo.gov.ba/bs/o-agenciji/</vt:lpwstr>
      </vt:variant>
      <vt:variant>
        <vt:lpwstr/>
      </vt:variant>
      <vt:variant>
        <vt:i4>5111900</vt:i4>
      </vt:variant>
      <vt:variant>
        <vt:i4>6</vt:i4>
      </vt:variant>
      <vt:variant>
        <vt:i4>0</vt:i4>
      </vt:variant>
      <vt:variant>
        <vt:i4>5</vt:i4>
      </vt:variant>
      <vt:variant>
        <vt:lpwstr>http://www.mcp.gov.ba/Content/Read/obrazovanje-dokumenti</vt:lpwstr>
      </vt:variant>
      <vt:variant>
        <vt:lpwstr/>
      </vt:variant>
      <vt:variant>
        <vt:i4>4194312</vt:i4>
      </vt:variant>
      <vt:variant>
        <vt:i4>3</vt:i4>
      </vt:variant>
      <vt:variant>
        <vt:i4>0</vt:i4>
      </vt:variant>
      <vt:variant>
        <vt:i4>5</vt:i4>
      </vt:variant>
      <vt:variant>
        <vt:lpwstr>https://www.unicef.org/serbia/otvoreni-obrazovni-digitalni-alati-za-interaktivnu-nastavu-i-ucenje-preko-interneta</vt:lpwstr>
      </vt:variant>
      <vt:variant>
        <vt:lpwstr/>
      </vt:variant>
      <vt:variant>
        <vt:i4>196692</vt:i4>
      </vt:variant>
      <vt:variant>
        <vt:i4>0</vt:i4>
      </vt:variant>
      <vt:variant>
        <vt:i4>0</vt:i4>
      </vt:variant>
      <vt:variant>
        <vt:i4>5</vt:i4>
      </vt:variant>
      <vt:variant>
        <vt:lpwstr>http://www.cast.org/udl/</vt:lpwstr>
      </vt:variant>
      <vt:variant>
        <vt:lpwstr/>
      </vt:variant>
      <vt:variant>
        <vt:i4>3604543</vt:i4>
      </vt:variant>
      <vt:variant>
        <vt:i4>3</vt:i4>
      </vt:variant>
      <vt:variant>
        <vt:i4>0</vt:i4>
      </vt:variant>
      <vt:variant>
        <vt:i4>5</vt:i4>
      </vt:variant>
      <vt:variant>
        <vt:lpwstr>https://www.researchgate.net/figure/Classifications-of-blended-learning-Proportion-of-Content-Delivered-Online-Type-of-Course_tbl1_288443155</vt:lpwstr>
      </vt:variant>
      <vt:variant>
        <vt:lpwstr/>
      </vt:variant>
      <vt:variant>
        <vt:i4>5570652</vt:i4>
      </vt:variant>
      <vt:variant>
        <vt:i4>0</vt:i4>
      </vt:variant>
      <vt:variant>
        <vt:i4>0</vt:i4>
      </vt:variant>
      <vt:variant>
        <vt:i4>5</vt:i4>
      </vt:variant>
      <vt:variant>
        <vt:lpwstr>https://files.eric.ed.gov/fulltext/EJ1118423.pdf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2022-11-22T10:01:00Z</dcterms:created>
  <dcterms:modified xsi:type="dcterms:W3CDTF">2022-11-22T10:01:00Z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0x0101007701E579353A8D4997C73D7EBAA2507D</vt:lpwstr>
  </property>
  <property fmtid="{D5CDD505-2E9C-101B-9397-08002B2CF9AE}" pid="4" name="GrammarlyDocumentId">
    <vt:lpwstr>62111984dbefaa9e4e065e655a5b7a8406695a10dd2011c598e195595cf8b6b9</vt:lpwstr>
  </property>
</Properties>
</file>